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4A6040" w:rsidRDefault="009773C8" w:rsidP="004A6040">
      <w:pPr>
        <w:pStyle w:val="1-MainHeading"/>
      </w:pPr>
      <w:bookmarkStart w:id="0" w:name="_GoBack"/>
      <w:bookmarkEnd w:id="0"/>
      <w:r>
        <w:t>6</w:t>
      </w:r>
      <w:r w:rsidR="00433044" w:rsidRPr="00C12C14">
        <w:t>.</w:t>
      </w:r>
      <w:r>
        <w:t>05</w:t>
      </w:r>
      <w:r w:rsidR="00163F66">
        <w:tab/>
      </w:r>
      <w:r w:rsidR="009E0868">
        <w:t>VENETOCLAX</w:t>
      </w:r>
      <w:r w:rsidR="00163F66">
        <w:t>,</w:t>
      </w:r>
      <w:r w:rsidR="00163F66">
        <w:br/>
      </w:r>
      <w:r>
        <w:t>T</w:t>
      </w:r>
      <w:r w:rsidR="009E0868">
        <w:t>ablet</w:t>
      </w:r>
      <w:r w:rsidR="00163F66">
        <w:t>,</w:t>
      </w:r>
      <w:r w:rsidR="007F1F55">
        <w:t xml:space="preserve"> </w:t>
      </w:r>
      <w:r w:rsidR="009E0868">
        <w:t>10 mg, 50 mg, 100</w:t>
      </w:r>
      <w:r w:rsidR="00181D53">
        <w:t xml:space="preserve"> </w:t>
      </w:r>
      <w:r w:rsidR="009E0868">
        <w:t>mg</w:t>
      </w:r>
      <w:r w:rsidR="00163F66">
        <w:t>,</w:t>
      </w:r>
      <w:r w:rsidR="00163F66">
        <w:br/>
      </w:r>
      <w:r w:rsidR="009E0868">
        <w:t>Venclexta</w:t>
      </w:r>
      <w:r w:rsidR="00B60939" w:rsidRPr="004B74FC">
        <w:t>®</w:t>
      </w:r>
      <w:r w:rsidR="004A6040" w:rsidRPr="004A6040">
        <w:t>,</w:t>
      </w:r>
      <w:r w:rsidR="004A6040" w:rsidRPr="004A6040">
        <w:br/>
      </w:r>
      <w:r w:rsidR="009E0868">
        <w:t>AbbVie</w:t>
      </w:r>
      <w:r>
        <w:t xml:space="preserve"> Pty Ltd</w:t>
      </w:r>
      <w:r w:rsidR="00B60939" w:rsidRPr="004A6040">
        <w:t>.</w:t>
      </w:r>
    </w:p>
    <w:p w:rsidR="00B50DB8" w:rsidRPr="00407F2D" w:rsidRDefault="00B50DB8" w:rsidP="004A6040">
      <w:pPr>
        <w:pStyle w:val="2-SectionHeading"/>
      </w:pPr>
      <w:bookmarkStart w:id="1" w:name="_Toc30502533"/>
      <w:r w:rsidRPr="00407F2D">
        <w:t xml:space="preserve">Purpose of </w:t>
      </w:r>
      <w:r w:rsidR="00CD7193">
        <w:t>s</w:t>
      </w:r>
      <w:r w:rsidR="00BB3A45">
        <w:t>ubmission</w:t>
      </w:r>
      <w:bookmarkEnd w:id="1"/>
    </w:p>
    <w:p w:rsidR="006E5F29" w:rsidRPr="008B1757" w:rsidRDefault="006E5F29" w:rsidP="006E5F29">
      <w:pPr>
        <w:pStyle w:val="ExecSumBodyText"/>
      </w:pPr>
      <w:r>
        <w:t xml:space="preserve">The submission </w:t>
      </w:r>
      <w:r w:rsidRPr="004E18E9">
        <w:t xml:space="preserve">requested </w:t>
      </w:r>
      <w:r>
        <w:t>a</w:t>
      </w:r>
      <w:r w:rsidR="008A253F">
        <w:t xml:space="preserve"> Section 85 (General Schedule),</w:t>
      </w:r>
      <w:r>
        <w:t xml:space="preserve"> Authority Required (Streamlined) listing for venetoclax in combination with obinutuzumab for p</w:t>
      </w:r>
      <w:r w:rsidRPr="006F7AED">
        <w:t xml:space="preserve">reviously untreated chronic lymphocytic leukaemia </w:t>
      </w:r>
      <w:r>
        <w:t xml:space="preserve">(CLL) </w:t>
      </w:r>
      <w:r w:rsidRPr="006F7AED">
        <w:t>in patients with coexisting conditions who are inappropriate for fludarabine</w:t>
      </w:r>
      <w:r w:rsidR="0090146E">
        <w:t xml:space="preserve"> </w:t>
      </w:r>
      <w:r w:rsidRPr="006F7AED">
        <w:t>based chemo-immunotherapy</w:t>
      </w:r>
      <w:r w:rsidRPr="004E18E9">
        <w:t xml:space="preserve">. </w:t>
      </w:r>
    </w:p>
    <w:p w:rsidR="006E5F29" w:rsidRPr="006656E8" w:rsidRDefault="006E5F29" w:rsidP="006E5F29">
      <w:pPr>
        <w:pStyle w:val="ExecSumBodyText"/>
      </w:pPr>
      <w:r w:rsidRPr="006656E8">
        <w:t xml:space="preserve">Listing was requested on the basis of a cost-effectiveness analysis versus obinutuzumab in combination with chlorambucil. The PBAC has not previously considered venetoclax for this restriction.  </w:t>
      </w:r>
    </w:p>
    <w:p w:rsidR="006E5F29" w:rsidRPr="004A6040" w:rsidRDefault="006E5F29" w:rsidP="006E5F29">
      <w:pPr>
        <w:pStyle w:val="TableFigureCaption"/>
      </w:pPr>
      <w:r>
        <w:t>Table 1</w:t>
      </w:r>
      <w:r w:rsidRPr="004A6040">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6E5F29" w:rsidRPr="00691913" w:rsidTr="00DB37E6">
        <w:trPr>
          <w:cantSplit/>
          <w:tblHeader/>
        </w:trPr>
        <w:tc>
          <w:tcPr>
            <w:tcW w:w="924" w:type="pct"/>
            <w:shd w:val="clear" w:color="auto" w:fill="auto"/>
          </w:tcPr>
          <w:p w:rsidR="006E5F29" w:rsidRPr="008B1757" w:rsidRDefault="006E5F29" w:rsidP="00DB37E6">
            <w:pPr>
              <w:pStyle w:val="Tableheadingrow"/>
              <w:rPr>
                <w:szCs w:val="20"/>
              </w:rPr>
            </w:pPr>
            <w:r w:rsidRPr="008B1757">
              <w:t>Component</w:t>
            </w:r>
          </w:p>
        </w:tc>
        <w:tc>
          <w:tcPr>
            <w:tcW w:w="4076" w:type="pct"/>
            <w:shd w:val="clear" w:color="auto" w:fill="auto"/>
          </w:tcPr>
          <w:p w:rsidR="006E5F29" w:rsidRPr="008B1757" w:rsidRDefault="006E5F29" w:rsidP="00DB37E6">
            <w:pPr>
              <w:pStyle w:val="Tableheadingrow"/>
            </w:pPr>
            <w:r w:rsidRPr="008B1757">
              <w:t>Description</w:t>
            </w:r>
          </w:p>
        </w:tc>
      </w:tr>
      <w:tr w:rsidR="006E5F29" w:rsidRPr="00691913" w:rsidTr="00DB37E6">
        <w:trPr>
          <w:cantSplit/>
        </w:trPr>
        <w:tc>
          <w:tcPr>
            <w:tcW w:w="924" w:type="pct"/>
            <w:shd w:val="clear" w:color="auto" w:fill="auto"/>
            <w:vAlign w:val="center"/>
          </w:tcPr>
          <w:p w:rsidR="006E5F29" w:rsidRPr="00691913" w:rsidRDefault="006E5F29" w:rsidP="00DB37E6">
            <w:pPr>
              <w:pStyle w:val="TableText"/>
            </w:pPr>
            <w:r>
              <w:t>Population</w:t>
            </w:r>
          </w:p>
        </w:tc>
        <w:tc>
          <w:tcPr>
            <w:tcW w:w="4076" w:type="pct"/>
            <w:shd w:val="clear" w:color="auto" w:fill="auto"/>
            <w:vAlign w:val="center"/>
          </w:tcPr>
          <w:p w:rsidR="006E5F29" w:rsidRPr="001E1E86" w:rsidRDefault="006E5F29" w:rsidP="00DB37E6">
            <w:pPr>
              <w:pStyle w:val="TableText"/>
              <w:rPr>
                <w:szCs w:val="20"/>
              </w:rPr>
            </w:pPr>
            <w:r w:rsidRPr="00E84884">
              <w:rPr>
                <w:rFonts w:cstheme="minorHAnsi"/>
                <w:bCs w:val="0"/>
              </w:rPr>
              <w:t>Patients with previously untreated chronic lymphocytic leukaemia and coexisting conditions, inappropriate for fludarabine</w:t>
            </w:r>
            <w:r w:rsidR="0090146E">
              <w:rPr>
                <w:rFonts w:cstheme="minorHAnsi"/>
                <w:bCs w:val="0"/>
              </w:rPr>
              <w:t xml:space="preserve"> </w:t>
            </w:r>
            <w:r w:rsidRPr="00E84884">
              <w:rPr>
                <w:rFonts w:cstheme="minorHAnsi"/>
                <w:bCs w:val="0"/>
              </w:rPr>
              <w:t>based chemo</w:t>
            </w:r>
            <w:r w:rsidR="00252B2A">
              <w:rPr>
                <w:rFonts w:cstheme="minorHAnsi"/>
                <w:bCs w:val="0"/>
              </w:rPr>
              <w:t>-</w:t>
            </w:r>
            <w:r w:rsidRPr="00E84884">
              <w:rPr>
                <w:rFonts w:cstheme="minorHAnsi"/>
                <w:bCs w:val="0"/>
              </w:rPr>
              <w:t xml:space="preserve">immunotherapy </w:t>
            </w:r>
          </w:p>
        </w:tc>
      </w:tr>
      <w:tr w:rsidR="006E5F29" w:rsidRPr="00691913" w:rsidTr="00DB37E6">
        <w:trPr>
          <w:cantSplit/>
        </w:trPr>
        <w:tc>
          <w:tcPr>
            <w:tcW w:w="924" w:type="pct"/>
            <w:shd w:val="clear" w:color="auto" w:fill="auto"/>
            <w:vAlign w:val="center"/>
          </w:tcPr>
          <w:p w:rsidR="006E5F29" w:rsidRPr="00691913" w:rsidRDefault="006E5F29" w:rsidP="00DB37E6">
            <w:pPr>
              <w:pStyle w:val="TableText"/>
            </w:pPr>
            <w:r>
              <w:t>Intervention</w:t>
            </w:r>
          </w:p>
        </w:tc>
        <w:tc>
          <w:tcPr>
            <w:tcW w:w="4076" w:type="pct"/>
            <w:shd w:val="clear" w:color="auto" w:fill="auto"/>
            <w:vAlign w:val="center"/>
          </w:tcPr>
          <w:p w:rsidR="006E5F29" w:rsidRPr="00691913" w:rsidRDefault="006E5F29" w:rsidP="00DB37E6">
            <w:pPr>
              <w:pStyle w:val="TableText"/>
            </w:pPr>
            <w:r>
              <w:rPr>
                <w:rFonts w:eastAsia="TimesNewRoman" w:cstheme="minorHAnsi"/>
                <w:color w:val="000000"/>
                <w:szCs w:val="20"/>
              </w:rPr>
              <w:t>Venetoclax</w:t>
            </w:r>
            <w:r w:rsidRPr="00E84884">
              <w:rPr>
                <w:rFonts w:eastAsia="TimesNewRoman" w:cstheme="minorHAnsi"/>
                <w:color w:val="000000"/>
                <w:szCs w:val="20"/>
              </w:rPr>
              <w:t xml:space="preserve"> </w:t>
            </w:r>
            <w:r>
              <w:rPr>
                <w:rFonts w:eastAsia="TimesNewRoman" w:cstheme="minorHAnsi"/>
                <w:color w:val="000000"/>
                <w:szCs w:val="20"/>
              </w:rPr>
              <w:t>(12 cycles over 12 months, oral tablets) with d</w:t>
            </w:r>
            <w:r w:rsidRPr="007B723D">
              <w:rPr>
                <w:rFonts w:eastAsia="TimesNewRoman" w:cstheme="minorHAnsi"/>
                <w:color w:val="000000"/>
                <w:szCs w:val="20"/>
              </w:rPr>
              <w:t>ose</w:t>
            </w:r>
            <w:r>
              <w:rPr>
                <w:rFonts w:eastAsia="TimesNewRoman" w:cstheme="minorHAnsi"/>
                <w:color w:val="000000"/>
                <w:szCs w:val="20"/>
              </w:rPr>
              <w:t xml:space="preserve"> up-titration</w:t>
            </w:r>
            <w:r w:rsidRPr="007B723D">
              <w:rPr>
                <w:rFonts w:eastAsia="TimesNewRoman" w:cstheme="minorHAnsi"/>
                <w:color w:val="000000"/>
                <w:szCs w:val="20"/>
              </w:rPr>
              <w:t xml:space="preserve"> </w:t>
            </w:r>
            <w:r>
              <w:rPr>
                <w:rFonts w:eastAsia="TimesNewRoman" w:cstheme="minorHAnsi"/>
                <w:color w:val="000000"/>
                <w:szCs w:val="20"/>
              </w:rPr>
              <w:t xml:space="preserve">over the first 5 weeks, in combination with </w:t>
            </w:r>
            <w:r>
              <w:rPr>
                <w:rFonts w:cstheme="minorHAnsi"/>
                <w:bCs w:val="0"/>
              </w:rPr>
              <w:t>obinutuzumab (6 cycles over 6 months, intravenous infusion)</w:t>
            </w:r>
            <w:r w:rsidRPr="00E84884">
              <w:t xml:space="preserve"> </w:t>
            </w:r>
          </w:p>
        </w:tc>
      </w:tr>
      <w:tr w:rsidR="006E5F29" w:rsidRPr="00691913" w:rsidTr="00DB37E6">
        <w:trPr>
          <w:cantSplit/>
        </w:trPr>
        <w:tc>
          <w:tcPr>
            <w:tcW w:w="924" w:type="pct"/>
            <w:shd w:val="clear" w:color="auto" w:fill="auto"/>
            <w:vAlign w:val="center"/>
          </w:tcPr>
          <w:p w:rsidR="006E5F29" w:rsidRPr="00691913" w:rsidRDefault="006E5F29" w:rsidP="00DB37E6">
            <w:pPr>
              <w:pStyle w:val="TableText"/>
            </w:pPr>
            <w:r>
              <w:t>Comparator</w:t>
            </w:r>
          </w:p>
        </w:tc>
        <w:tc>
          <w:tcPr>
            <w:tcW w:w="4076" w:type="pct"/>
            <w:shd w:val="clear" w:color="auto" w:fill="auto"/>
            <w:vAlign w:val="center"/>
          </w:tcPr>
          <w:p w:rsidR="006E5F29" w:rsidRPr="00691913" w:rsidRDefault="006E5F29" w:rsidP="0027591B">
            <w:pPr>
              <w:pStyle w:val="TableText"/>
              <w:jc w:val="both"/>
            </w:pPr>
            <w:r w:rsidRPr="00E84884">
              <w:rPr>
                <w:rFonts w:cstheme="minorHAnsi"/>
              </w:rPr>
              <w:t xml:space="preserve">Main comparator: </w:t>
            </w:r>
            <w:r>
              <w:rPr>
                <w:rFonts w:cstheme="minorHAnsi"/>
              </w:rPr>
              <w:t>Chlorambucil + obinutuzumab</w:t>
            </w:r>
            <w:r w:rsidRPr="00E84884">
              <w:rPr>
                <w:rFonts w:cstheme="minorHAnsi"/>
              </w:rPr>
              <w:t xml:space="preserve">, (6 cycles </w:t>
            </w:r>
            <w:r>
              <w:rPr>
                <w:rFonts w:cstheme="minorHAnsi"/>
              </w:rPr>
              <w:t xml:space="preserve">obinutuzumab, </w:t>
            </w:r>
            <w:r>
              <w:rPr>
                <w:rFonts w:cstheme="minorHAnsi"/>
                <w:bCs w:val="0"/>
              </w:rPr>
              <w:t>intravenous infusion</w:t>
            </w:r>
            <w:r>
              <w:rPr>
                <w:rFonts w:cstheme="minorHAnsi"/>
              </w:rPr>
              <w:t>;</w:t>
            </w:r>
            <w:r w:rsidRPr="00E84884">
              <w:rPr>
                <w:rFonts w:cstheme="minorHAnsi"/>
              </w:rPr>
              <w:t xml:space="preserve"> </w:t>
            </w:r>
            <w:r>
              <w:rPr>
                <w:rFonts w:cstheme="minorHAnsi"/>
              </w:rPr>
              <w:t>6</w:t>
            </w:r>
            <w:r w:rsidRPr="00E84884">
              <w:rPr>
                <w:rFonts w:cstheme="minorHAnsi"/>
              </w:rPr>
              <w:t xml:space="preserve"> cycles </w:t>
            </w:r>
            <w:r>
              <w:rPr>
                <w:rFonts w:cstheme="minorHAnsi"/>
              </w:rPr>
              <w:t>chlorambucil; oral tablets</w:t>
            </w:r>
            <w:r w:rsidRPr="00E84884">
              <w:rPr>
                <w:rFonts w:cstheme="minorHAnsi"/>
              </w:rPr>
              <w:t>)</w:t>
            </w:r>
            <w:r>
              <w:rPr>
                <w:rFonts w:cstheme="minorHAnsi"/>
                <w:vertAlign w:val="superscript"/>
              </w:rPr>
              <w:t>a</w:t>
            </w:r>
          </w:p>
        </w:tc>
      </w:tr>
      <w:tr w:rsidR="006E5F29" w:rsidRPr="00691913" w:rsidTr="00DB37E6">
        <w:trPr>
          <w:cantSplit/>
        </w:trPr>
        <w:tc>
          <w:tcPr>
            <w:tcW w:w="924" w:type="pct"/>
            <w:shd w:val="clear" w:color="auto" w:fill="auto"/>
            <w:vAlign w:val="center"/>
          </w:tcPr>
          <w:p w:rsidR="006E5F29" w:rsidRPr="00691913" w:rsidRDefault="006E5F29" w:rsidP="00DB37E6">
            <w:pPr>
              <w:pStyle w:val="TableText"/>
            </w:pPr>
            <w:r>
              <w:t>Outcomes</w:t>
            </w:r>
          </w:p>
        </w:tc>
        <w:tc>
          <w:tcPr>
            <w:tcW w:w="4076" w:type="pct"/>
            <w:shd w:val="clear" w:color="auto" w:fill="auto"/>
            <w:vAlign w:val="center"/>
          </w:tcPr>
          <w:p w:rsidR="006E5F29" w:rsidRPr="001E1E86" w:rsidRDefault="006E5F29" w:rsidP="00DB37E6">
            <w:pPr>
              <w:pStyle w:val="TableText"/>
              <w:rPr>
                <w:rFonts w:eastAsia="Times New Roman" w:cs="Arial"/>
                <w:bCs w:val="0"/>
                <w:snapToGrid w:val="0"/>
                <w:color w:val="0066FF"/>
                <w:szCs w:val="20"/>
              </w:rPr>
            </w:pPr>
            <w:r>
              <w:rPr>
                <w:rFonts w:cstheme="minorHAnsi"/>
              </w:rPr>
              <w:t>Improved progression free survival and increased time to next anti-CLL treatment</w:t>
            </w:r>
          </w:p>
        </w:tc>
      </w:tr>
      <w:tr w:rsidR="006E5F29" w:rsidRPr="00691913" w:rsidTr="00DB37E6">
        <w:trPr>
          <w:cantSplit/>
        </w:trPr>
        <w:tc>
          <w:tcPr>
            <w:tcW w:w="924" w:type="pct"/>
            <w:shd w:val="clear" w:color="auto" w:fill="auto"/>
            <w:vAlign w:val="center"/>
          </w:tcPr>
          <w:p w:rsidR="006E5F29" w:rsidRPr="00691913" w:rsidRDefault="006E5F29" w:rsidP="00DB37E6">
            <w:pPr>
              <w:pStyle w:val="TableText"/>
            </w:pPr>
            <w:r>
              <w:t>Clinical claims</w:t>
            </w:r>
          </w:p>
        </w:tc>
        <w:tc>
          <w:tcPr>
            <w:tcW w:w="4076" w:type="pct"/>
            <w:shd w:val="clear" w:color="auto" w:fill="auto"/>
            <w:vAlign w:val="center"/>
          </w:tcPr>
          <w:p w:rsidR="006E5F29" w:rsidRPr="00E84884" w:rsidRDefault="006E5F29" w:rsidP="00DB37E6">
            <w:pPr>
              <w:pStyle w:val="TableText"/>
              <w:jc w:val="both"/>
              <w:rPr>
                <w:rFonts w:cstheme="minorHAnsi"/>
              </w:rPr>
            </w:pPr>
            <w:r w:rsidRPr="00E84884">
              <w:rPr>
                <w:rFonts w:cstheme="minorHAnsi"/>
              </w:rPr>
              <w:t>Venetoclax</w:t>
            </w:r>
            <w:r>
              <w:rPr>
                <w:rFonts w:cstheme="minorHAnsi"/>
              </w:rPr>
              <w:t xml:space="preserve"> + </w:t>
            </w:r>
            <w:r w:rsidRPr="00E84884">
              <w:rPr>
                <w:rFonts w:cstheme="minorHAnsi"/>
              </w:rPr>
              <w:t xml:space="preserve">obinutuzumab is superior in efficacy to </w:t>
            </w:r>
            <w:r>
              <w:rPr>
                <w:rFonts w:cstheme="minorHAnsi"/>
              </w:rPr>
              <w:t>chlorambucil + obinutuzumab</w:t>
            </w:r>
          </w:p>
          <w:p w:rsidR="006E5F29" w:rsidRPr="006006C3" w:rsidRDefault="006E5F29" w:rsidP="006006C3">
            <w:pPr>
              <w:pStyle w:val="TableText"/>
              <w:jc w:val="both"/>
              <w:rPr>
                <w:rFonts w:cstheme="minorHAnsi"/>
              </w:rPr>
            </w:pPr>
            <w:r w:rsidRPr="00E84884">
              <w:rPr>
                <w:rFonts w:cstheme="minorHAnsi"/>
              </w:rPr>
              <w:t>Venetoclax</w:t>
            </w:r>
            <w:r>
              <w:rPr>
                <w:rFonts w:cstheme="minorHAnsi"/>
              </w:rPr>
              <w:t xml:space="preserve"> + </w:t>
            </w:r>
            <w:r w:rsidRPr="00E84884">
              <w:rPr>
                <w:rFonts w:cstheme="minorHAnsi"/>
              </w:rPr>
              <w:t xml:space="preserve">obinutuzumab </w:t>
            </w:r>
            <w:r>
              <w:rPr>
                <w:rFonts w:cstheme="minorHAnsi"/>
              </w:rPr>
              <w:t>is</w:t>
            </w:r>
            <w:r w:rsidRPr="00E84884">
              <w:rPr>
                <w:rFonts w:cstheme="minorHAnsi"/>
              </w:rPr>
              <w:t xml:space="preserve"> non-inferior </w:t>
            </w:r>
            <w:r>
              <w:rPr>
                <w:rFonts w:cstheme="minorHAnsi"/>
              </w:rPr>
              <w:t xml:space="preserve">in </w:t>
            </w:r>
            <w:r w:rsidRPr="00E84884">
              <w:rPr>
                <w:rFonts w:cstheme="minorHAnsi"/>
              </w:rPr>
              <w:t xml:space="preserve">safety compared to </w:t>
            </w:r>
            <w:r>
              <w:rPr>
                <w:rFonts w:cstheme="minorHAnsi"/>
              </w:rPr>
              <w:t>chlorambucil + obinutuzumab</w:t>
            </w:r>
          </w:p>
        </w:tc>
      </w:tr>
    </w:tbl>
    <w:p w:rsidR="006E5F29" w:rsidRDefault="006E5F29" w:rsidP="006E5F29">
      <w:pPr>
        <w:pStyle w:val="TableFigureFooter"/>
      </w:pPr>
      <w:r>
        <w:t>Source: Table 1, p.3 of the submission</w:t>
      </w:r>
    </w:p>
    <w:p w:rsidR="006E5F29" w:rsidRDefault="006E5F29" w:rsidP="006E5F29">
      <w:pPr>
        <w:pStyle w:val="TableFigureFooter"/>
      </w:pPr>
      <w:r>
        <w:t>Abbreviations: CLL, chronic lymphocytic leukaemia</w:t>
      </w:r>
    </w:p>
    <w:p w:rsidR="004E43B2" w:rsidRPr="006E5F29" w:rsidRDefault="006E5F29" w:rsidP="004A6040">
      <w:pPr>
        <w:pStyle w:val="TableFigureFooter"/>
      </w:pPr>
      <w:r>
        <w:rPr>
          <w:vertAlign w:val="superscript"/>
        </w:rPr>
        <w:t>a</w:t>
      </w:r>
      <w:r>
        <w:t xml:space="preserve"> Chlorambucil was administered for 12 cycles in the key clinical trial supporting the submission</w:t>
      </w:r>
    </w:p>
    <w:p w:rsidR="005C25FF" w:rsidRPr="00407F2D" w:rsidRDefault="005C25FF" w:rsidP="004A6040">
      <w:pPr>
        <w:pStyle w:val="2-SectionHeading"/>
      </w:pPr>
      <w:bookmarkStart w:id="2" w:name="_Toc30502534"/>
      <w:r w:rsidRPr="00407F2D">
        <w:t>Background</w:t>
      </w:r>
      <w:bookmarkEnd w:id="2"/>
    </w:p>
    <w:p w:rsidR="005C25FF" w:rsidRPr="004151CF" w:rsidRDefault="005C25FF" w:rsidP="004A6040">
      <w:pPr>
        <w:pStyle w:val="3-SubsectionHeading"/>
      </w:pPr>
      <w:bookmarkStart w:id="3" w:name="_Toc22897638"/>
      <w:bookmarkStart w:id="4" w:name="_Toc30502535"/>
      <w:r w:rsidRPr="004151CF">
        <w:t>Registration status</w:t>
      </w:r>
      <w:bookmarkEnd w:id="3"/>
      <w:bookmarkEnd w:id="4"/>
    </w:p>
    <w:p w:rsidR="006E5F29" w:rsidRPr="003124D8" w:rsidRDefault="006E5F29" w:rsidP="006E5F29">
      <w:pPr>
        <w:pStyle w:val="ExecSumBodyText"/>
      </w:pPr>
      <w:r w:rsidRPr="003124D8">
        <w:t xml:space="preserve">The submission </w:t>
      </w:r>
      <w:r w:rsidR="000204EE">
        <w:t>wa</w:t>
      </w:r>
      <w:r w:rsidRPr="003124D8">
        <w:t xml:space="preserve">s a parallel process application for expansion of the current venetoclax TGA approved indication to “the treatment of adult patients with chronic lymphocytic leukaemia (CLL) or small lymphocytic lymphoma (SLL)”. </w:t>
      </w:r>
      <w:r w:rsidR="00F5003F" w:rsidRPr="003124D8">
        <w:t>The ‘dose and method of administration’ section in the draft PI specifies u</w:t>
      </w:r>
      <w:r w:rsidR="000814F9" w:rsidRPr="003124D8">
        <w:t>se in combination with obinutuzu</w:t>
      </w:r>
      <w:r w:rsidR="00F5003F" w:rsidRPr="003124D8">
        <w:t xml:space="preserve">mab for first line CLL/SLL. </w:t>
      </w:r>
      <w:r w:rsidRPr="003124D8">
        <w:t xml:space="preserve">At the time of evaluation for PBAC consideration, the TGA delegate’s first round report was available, and provided with the submission. The </w:t>
      </w:r>
      <w:r w:rsidR="00CF7A9B" w:rsidRPr="003124D8">
        <w:t xml:space="preserve">TGA delegate’s </w:t>
      </w:r>
      <w:r w:rsidR="008B43FB">
        <w:t>summary</w:t>
      </w:r>
      <w:r w:rsidR="00CF7A9B" w:rsidRPr="003124D8">
        <w:t xml:space="preserve"> </w:t>
      </w:r>
      <w:r w:rsidR="000204EE">
        <w:t>wa</w:t>
      </w:r>
      <w:r w:rsidR="00CF7A9B" w:rsidRPr="003124D8">
        <w:t xml:space="preserve">s </w:t>
      </w:r>
      <w:r w:rsidR="008B43FB">
        <w:t xml:space="preserve">received </w:t>
      </w:r>
      <w:r w:rsidR="00A21484">
        <w:t>prior to the PBAC meeting</w:t>
      </w:r>
      <w:r w:rsidR="008B43FB">
        <w:t>.</w:t>
      </w:r>
    </w:p>
    <w:p w:rsidR="006E5F29" w:rsidRPr="003124D8" w:rsidRDefault="006E5F29" w:rsidP="006E5F29">
      <w:pPr>
        <w:pStyle w:val="ExecSumBodyText"/>
      </w:pPr>
      <w:r w:rsidRPr="003124D8">
        <w:t>Venetoclax is currently registered on the ARTG as monotherapy for relapsed/refractory CLL with 17p deletion, or when there are no other suitable treatment options, and as combination therapy with rituximab for relapsed/refractory CLL.</w:t>
      </w:r>
    </w:p>
    <w:p w:rsidR="005C25FF" w:rsidRPr="003124D8" w:rsidRDefault="006E5F29" w:rsidP="006E5F29">
      <w:pPr>
        <w:pStyle w:val="ExecSumBodyText"/>
      </w:pPr>
      <w:r w:rsidRPr="003124D8">
        <w:lastRenderedPageBreak/>
        <w:t>Venetoclax was approved by the US Food and Drug Administration (FDA) on 15 May 2019 for adult patients with previously untreated CLL/SLL, and is currently being considered for registration in the European Union (EU), Canada, Switzerland and New Zealand.</w:t>
      </w:r>
    </w:p>
    <w:p w:rsidR="005C25FF" w:rsidRPr="00621ADA" w:rsidRDefault="005C25FF" w:rsidP="004E18E9">
      <w:pPr>
        <w:pStyle w:val="3-SubsectionHeading"/>
      </w:pPr>
      <w:bookmarkStart w:id="5" w:name="_Toc22897639"/>
      <w:bookmarkStart w:id="6" w:name="_Toc30502536"/>
      <w:r w:rsidRPr="00621ADA">
        <w:t>Previous PBAC consideration</w:t>
      </w:r>
      <w:bookmarkEnd w:id="5"/>
      <w:bookmarkEnd w:id="6"/>
    </w:p>
    <w:p w:rsidR="00D87E1E" w:rsidRPr="00BB6136" w:rsidRDefault="006E5F29" w:rsidP="00D87E1E">
      <w:pPr>
        <w:pStyle w:val="ExecSumBodyText"/>
        <w:numPr>
          <w:ilvl w:val="1"/>
          <w:numId w:val="1"/>
        </w:numPr>
      </w:pPr>
      <w:r>
        <w:rPr>
          <w:snapToGrid/>
          <w:lang w:val="en-US"/>
        </w:rPr>
        <w:t xml:space="preserve">Venetoclax is currently listed on the PBS as combination therapy with rituximab </w:t>
      </w:r>
      <w:r w:rsidR="00FC5B16">
        <w:rPr>
          <w:snapToGrid/>
          <w:lang w:val="en-US"/>
        </w:rPr>
        <w:t xml:space="preserve">(following venetoclax dose titration) </w:t>
      </w:r>
      <w:r>
        <w:rPr>
          <w:snapToGrid/>
          <w:lang w:val="en-US"/>
        </w:rPr>
        <w:t xml:space="preserve">for the treatment of relapsed/refractory CLL in patients </w:t>
      </w:r>
      <w:r w:rsidRPr="00153F88">
        <w:rPr>
          <w:snapToGrid/>
          <w:lang w:val="en-US"/>
        </w:rPr>
        <w:t>unsuitable for treatment or retreatment with a purine analogue</w:t>
      </w:r>
      <w:r w:rsidR="00AF4A20">
        <w:rPr>
          <w:snapToGrid/>
          <w:lang w:val="en-US"/>
        </w:rPr>
        <w:t>, on a cost-minimisation basis versus ibrutinib monotherapy</w:t>
      </w:r>
      <w:r w:rsidR="00AF4A20">
        <w:t xml:space="preserve">. </w:t>
      </w:r>
    </w:p>
    <w:p w:rsidR="00BB6136" w:rsidRPr="00BB6136" w:rsidRDefault="00BB6136" w:rsidP="00BB6136">
      <w:pPr>
        <w:pStyle w:val="ExecSumBodyText"/>
        <w:numPr>
          <w:ilvl w:val="0"/>
          <w:numId w:val="0"/>
        </w:numPr>
        <w:ind w:left="720"/>
        <w:rPr>
          <w:i/>
        </w:rPr>
      </w:pPr>
      <w:r>
        <w:rPr>
          <w:i/>
          <w:snapToGrid/>
          <w:lang w:val="en-US"/>
        </w:rPr>
        <w:t xml:space="preserve">For more detail on PBAC’s view, see section 7 PBAC outcome. </w:t>
      </w:r>
    </w:p>
    <w:p w:rsidR="00FC19AD" w:rsidRPr="00882085" w:rsidRDefault="00B50DB8" w:rsidP="00FC19AD">
      <w:pPr>
        <w:pStyle w:val="2-SectionHeading"/>
      </w:pPr>
      <w:bookmarkStart w:id="7" w:name="_Toc30502537"/>
      <w:r w:rsidRPr="00407F2D">
        <w:t>Requested listing</w:t>
      </w:r>
      <w:bookmarkEnd w:id="7"/>
    </w:p>
    <w:p w:rsidR="00AA117A" w:rsidRPr="001F0FFE" w:rsidRDefault="00AA117A" w:rsidP="001F0FFE">
      <w:pPr>
        <w:pStyle w:val="ExecSumBodyText"/>
        <w:numPr>
          <w:ilvl w:val="1"/>
          <w:numId w:val="1"/>
        </w:numPr>
        <w:rPr>
          <w:color w:val="0066FF"/>
        </w:rPr>
      </w:pPr>
      <w:r>
        <w:t>The requested listing is presented below. Suggestions and additions proposed by the Secretariat are added in italics and suggested deletions are crossed out with strikethrough.</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6F45EA" w:rsidRPr="00A953F5" w:rsidTr="00AE4E34">
        <w:trPr>
          <w:cantSplit/>
          <w:trHeight w:val="471"/>
        </w:trPr>
        <w:tc>
          <w:tcPr>
            <w:tcW w:w="2689" w:type="dxa"/>
          </w:tcPr>
          <w:p w:rsidR="006F45EA" w:rsidRPr="00A953F5" w:rsidRDefault="006F45EA" w:rsidP="00AE4E34">
            <w:pPr>
              <w:keepNext/>
              <w:ind w:left="-108"/>
              <w:rPr>
                <w:rFonts w:ascii="Arial Narrow" w:hAnsi="Arial Narrow"/>
                <w:b/>
                <w:sz w:val="18"/>
                <w:szCs w:val="18"/>
              </w:rPr>
            </w:pPr>
            <w:r w:rsidRPr="00A953F5">
              <w:rPr>
                <w:rFonts w:ascii="Arial Narrow" w:hAnsi="Arial Narrow"/>
                <w:b/>
                <w:sz w:val="18"/>
                <w:szCs w:val="18"/>
              </w:rPr>
              <w:t>Name, Restriction,</w:t>
            </w:r>
          </w:p>
          <w:p w:rsidR="006F45EA" w:rsidRPr="00A953F5" w:rsidRDefault="006F45EA" w:rsidP="00AE4E34">
            <w:pPr>
              <w:keepNext/>
              <w:ind w:left="-108"/>
              <w:rPr>
                <w:rFonts w:ascii="Arial Narrow" w:hAnsi="Arial Narrow"/>
                <w:b/>
                <w:sz w:val="18"/>
                <w:szCs w:val="18"/>
              </w:rPr>
            </w:pPr>
            <w:r w:rsidRPr="00A953F5">
              <w:rPr>
                <w:rFonts w:ascii="Arial Narrow" w:hAnsi="Arial Narrow"/>
                <w:b/>
                <w:sz w:val="18"/>
                <w:szCs w:val="18"/>
              </w:rPr>
              <w:t>Manner of administration and form</w:t>
            </w:r>
          </w:p>
        </w:tc>
        <w:tc>
          <w:tcPr>
            <w:tcW w:w="1275"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PBS item code</w:t>
            </w:r>
          </w:p>
        </w:tc>
        <w:tc>
          <w:tcPr>
            <w:tcW w:w="851"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Max. qty packs</w:t>
            </w:r>
          </w:p>
        </w:tc>
        <w:tc>
          <w:tcPr>
            <w:tcW w:w="850"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Max. qty units</w:t>
            </w:r>
          </w:p>
        </w:tc>
        <w:tc>
          <w:tcPr>
            <w:tcW w:w="709"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№.of</w:t>
            </w:r>
          </w:p>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Rpts</w:t>
            </w:r>
          </w:p>
        </w:tc>
        <w:tc>
          <w:tcPr>
            <w:tcW w:w="2551" w:type="dxa"/>
            <w:gridSpan w:val="2"/>
          </w:tcPr>
          <w:p w:rsidR="006F45EA" w:rsidRPr="00A953F5" w:rsidRDefault="006F45EA" w:rsidP="00AE4E34">
            <w:pPr>
              <w:keepNext/>
              <w:jc w:val="left"/>
              <w:rPr>
                <w:rFonts w:ascii="Arial Narrow" w:hAnsi="Arial Narrow"/>
                <w:b/>
                <w:sz w:val="18"/>
                <w:szCs w:val="18"/>
                <w:lang w:val="fr-FR"/>
              </w:rPr>
            </w:pPr>
            <w:r w:rsidRPr="00A953F5">
              <w:rPr>
                <w:rFonts w:ascii="Arial Narrow" w:hAnsi="Arial Narrow"/>
                <w:b/>
                <w:sz w:val="18"/>
                <w:szCs w:val="18"/>
              </w:rPr>
              <w:t>Proprietary Name and Manufacturer</w:t>
            </w:r>
          </w:p>
        </w:tc>
      </w:tr>
      <w:tr w:rsidR="006F45EA" w:rsidRPr="00A953F5" w:rsidTr="00AE4E34">
        <w:trPr>
          <w:cantSplit/>
          <w:trHeight w:val="664"/>
        </w:trPr>
        <w:tc>
          <w:tcPr>
            <w:tcW w:w="2689" w:type="dxa"/>
          </w:tcPr>
          <w:p w:rsidR="006F45EA" w:rsidRPr="00A953F5" w:rsidRDefault="006F45EA" w:rsidP="00AE4E34">
            <w:pPr>
              <w:keepNext/>
              <w:ind w:left="-108"/>
              <w:rPr>
                <w:rFonts w:ascii="Arial Narrow" w:hAnsi="Arial Narrow"/>
                <w:smallCaps/>
                <w:sz w:val="18"/>
                <w:szCs w:val="18"/>
              </w:rPr>
            </w:pPr>
            <w:r w:rsidRPr="00A953F5">
              <w:rPr>
                <w:rFonts w:ascii="Arial Narrow" w:hAnsi="Arial Narrow"/>
                <w:smallCaps/>
                <w:sz w:val="18"/>
                <w:szCs w:val="18"/>
              </w:rPr>
              <w:t>Venetoclax (starting pack)</w:t>
            </w:r>
          </w:p>
          <w:p w:rsidR="006F45EA" w:rsidRPr="00A953F5" w:rsidRDefault="006F45EA" w:rsidP="00AE4E34">
            <w:pPr>
              <w:keepNext/>
              <w:ind w:left="-108"/>
              <w:rPr>
                <w:rFonts w:ascii="Arial Narrow" w:hAnsi="Arial Narrow"/>
                <w:sz w:val="18"/>
                <w:szCs w:val="18"/>
              </w:rPr>
            </w:pPr>
          </w:p>
          <w:p w:rsidR="006F45EA" w:rsidRPr="00A953F5" w:rsidRDefault="006F45EA" w:rsidP="00AE4E34">
            <w:pPr>
              <w:keepNext/>
              <w:ind w:left="-108"/>
              <w:jc w:val="left"/>
              <w:rPr>
                <w:rFonts w:ascii="Arial Narrow" w:hAnsi="Arial Narrow"/>
                <w:sz w:val="18"/>
                <w:szCs w:val="18"/>
              </w:rPr>
            </w:pPr>
            <w:r w:rsidRPr="00A953F5">
              <w:rPr>
                <w:rStyle w:val="form-strength"/>
                <w:rFonts w:ascii="Arial Narrow" w:hAnsi="Arial Narrow"/>
                <w:color w:val="333333"/>
                <w:sz w:val="18"/>
                <w:szCs w:val="18"/>
              </w:rPr>
              <w:t>venetoclax 10 mg tablet [14] (&amp;) venetoclax 50 mg tablet [7] (&amp;) venetoclax 100 mg tablet [7] (&amp;) venetoclax 100 mg tablet [14], 1 pack</w:t>
            </w:r>
          </w:p>
        </w:tc>
        <w:tc>
          <w:tcPr>
            <w:tcW w:w="1275" w:type="dxa"/>
          </w:tcPr>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r w:rsidRPr="00A953F5">
              <w:rPr>
                <w:rFonts w:ascii="Arial Narrow" w:hAnsi="Arial Narrow"/>
                <w:sz w:val="18"/>
                <w:szCs w:val="18"/>
              </w:rPr>
              <w:t>11630D</w:t>
            </w:r>
          </w:p>
        </w:tc>
        <w:tc>
          <w:tcPr>
            <w:tcW w:w="851" w:type="dxa"/>
          </w:tcPr>
          <w:p w:rsidR="006F45EA" w:rsidRPr="00A953F5" w:rsidRDefault="006F45EA" w:rsidP="00AE4E34">
            <w:pPr>
              <w:keepNext/>
              <w:jc w:val="center"/>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jc w:val="center"/>
              <w:rPr>
                <w:rFonts w:ascii="Arial Narrow" w:hAnsi="Arial Narrow"/>
                <w:sz w:val="18"/>
                <w:szCs w:val="18"/>
              </w:rPr>
            </w:pPr>
            <w:r w:rsidRPr="00A953F5">
              <w:rPr>
                <w:rFonts w:ascii="Arial Narrow" w:hAnsi="Arial Narrow"/>
                <w:sz w:val="18"/>
                <w:szCs w:val="18"/>
              </w:rPr>
              <w:t>1</w:t>
            </w:r>
          </w:p>
        </w:tc>
        <w:tc>
          <w:tcPr>
            <w:tcW w:w="850" w:type="dxa"/>
          </w:tcPr>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r w:rsidRPr="00A953F5">
              <w:rPr>
                <w:rFonts w:ascii="Arial Narrow" w:hAnsi="Arial Narrow"/>
                <w:sz w:val="18"/>
                <w:szCs w:val="18"/>
              </w:rPr>
              <w:t>1</w:t>
            </w:r>
          </w:p>
        </w:tc>
        <w:tc>
          <w:tcPr>
            <w:tcW w:w="709" w:type="dxa"/>
          </w:tcPr>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r w:rsidRPr="00A953F5">
              <w:rPr>
                <w:rFonts w:ascii="Arial Narrow" w:hAnsi="Arial Narrow"/>
                <w:sz w:val="18"/>
                <w:szCs w:val="18"/>
              </w:rPr>
              <w:t>0</w:t>
            </w:r>
          </w:p>
        </w:tc>
        <w:tc>
          <w:tcPr>
            <w:tcW w:w="1134" w:type="dxa"/>
          </w:tcPr>
          <w:p w:rsidR="006F45EA" w:rsidRPr="00A953F5" w:rsidRDefault="006F45EA" w:rsidP="00AE4E34">
            <w:pPr>
              <w:keepNext/>
              <w:rPr>
                <w:rFonts w:ascii="Arial Narrow" w:hAnsi="Arial Narrow"/>
                <w:sz w:val="18"/>
                <w:szCs w:val="18"/>
              </w:rPr>
            </w:pPr>
          </w:p>
          <w:p w:rsidR="006F45EA" w:rsidRPr="00A953F5" w:rsidRDefault="006F45EA" w:rsidP="00AE4E34">
            <w:pPr>
              <w:keepNext/>
              <w:rPr>
                <w:rFonts w:ascii="Arial Narrow" w:hAnsi="Arial Narrow"/>
                <w:sz w:val="18"/>
                <w:szCs w:val="18"/>
              </w:rPr>
            </w:pPr>
          </w:p>
          <w:p w:rsidR="006F45EA" w:rsidRPr="00A953F5" w:rsidRDefault="006F45EA" w:rsidP="00AE4E34">
            <w:pPr>
              <w:keepNext/>
              <w:rPr>
                <w:rFonts w:ascii="Arial Narrow" w:hAnsi="Arial Narrow"/>
                <w:sz w:val="18"/>
                <w:szCs w:val="18"/>
              </w:rPr>
            </w:pPr>
            <w:r w:rsidRPr="00A953F5">
              <w:rPr>
                <w:rFonts w:ascii="Arial Narrow" w:hAnsi="Arial Narrow"/>
                <w:sz w:val="18"/>
                <w:szCs w:val="18"/>
              </w:rPr>
              <w:t>Venclexta</w:t>
            </w:r>
            <w:r w:rsidRPr="00A953F5">
              <w:rPr>
                <w:rFonts w:ascii="Arial Narrow" w:hAnsi="Arial Narrow"/>
                <w:sz w:val="18"/>
                <w:szCs w:val="18"/>
                <w:vertAlign w:val="superscript"/>
              </w:rPr>
              <w:t>®</w:t>
            </w:r>
          </w:p>
        </w:tc>
        <w:tc>
          <w:tcPr>
            <w:tcW w:w="1417" w:type="dxa"/>
          </w:tcPr>
          <w:p w:rsidR="006F45EA" w:rsidRPr="00A953F5" w:rsidRDefault="006F45EA" w:rsidP="00AE4E34">
            <w:pPr>
              <w:keepNext/>
              <w:rPr>
                <w:rFonts w:ascii="Arial Narrow" w:hAnsi="Arial Narrow"/>
                <w:sz w:val="18"/>
                <w:szCs w:val="18"/>
              </w:rPr>
            </w:pPr>
          </w:p>
          <w:p w:rsidR="006F45EA" w:rsidRPr="00A953F5" w:rsidRDefault="006F45EA" w:rsidP="00AE4E34">
            <w:pPr>
              <w:keepNext/>
              <w:rPr>
                <w:rFonts w:ascii="Arial Narrow" w:hAnsi="Arial Narrow"/>
                <w:sz w:val="18"/>
                <w:szCs w:val="18"/>
              </w:rPr>
            </w:pPr>
          </w:p>
          <w:p w:rsidR="006F45EA" w:rsidRPr="00A953F5" w:rsidRDefault="006F45EA" w:rsidP="00AE4E34">
            <w:pPr>
              <w:keepNext/>
              <w:rPr>
                <w:rFonts w:ascii="Arial Narrow" w:hAnsi="Arial Narrow"/>
                <w:sz w:val="18"/>
                <w:szCs w:val="18"/>
              </w:rPr>
            </w:pPr>
            <w:r w:rsidRPr="00A953F5">
              <w:rPr>
                <w:rFonts w:ascii="Arial Narrow" w:hAnsi="Arial Narrow"/>
                <w:sz w:val="18"/>
                <w:szCs w:val="18"/>
              </w:rPr>
              <w:t>AbbVie Pty Ltd</w:t>
            </w:r>
          </w:p>
        </w:tc>
      </w:tr>
    </w:tbl>
    <w:p w:rsidR="00DE4F40" w:rsidRDefault="00DE4F40" w:rsidP="001208FC"/>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7559"/>
      </w:tblGrid>
      <w:tr w:rsidR="006F45EA" w:rsidRPr="00A953F5" w:rsidTr="00217A3E">
        <w:tc>
          <w:tcPr>
            <w:tcW w:w="766" w:type="pct"/>
            <w:tcBorders>
              <w:top w:val="single" w:sz="4" w:space="0" w:color="auto"/>
              <w:left w:val="single" w:sz="4" w:space="0" w:color="auto"/>
              <w:bottom w:val="single" w:sz="4" w:space="0" w:color="auto"/>
              <w:right w:val="single" w:sz="4" w:space="0" w:color="auto"/>
            </w:tcBorders>
          </w:tcPr>
          <w:p w:rsidR="006F45EA" w:rsidRPr="00A953F5" w:rsidRDefault="00955A7B" w:rsidP="00217A3E">
            <w:pPr>
              <w:jc w:val="left"/>
              <w:rPr>
                <w:rFonts w:ascii="Arial Narrow" w:hAnsi="Arial Narrow"/>
                <w:b/>
                <w:sz w:val="18"/>
                <w:szCs w:val="18"/>
              </w:rPr>
            </w:pPr>
            <w:r w:rsidRPr="00A953F5">
              <w:rPr>
                <w:rFonts w:ascii="Arial Narrow" w:hAnsi="Arial Narrow"/>
                <w:b/>
                <w:sz w:val="18"/>
                <w:szCs w:val="18"/>
              </w:rPr>
              <w:t>Category/Program:</w:t>
            </w:r>
          </w:p>
        </w:tc>
        <w:tc>
          <w:tcPr>
            <w:tcW w:w="4234" w:type="pct"/>
            <w:tcBorders>
              <w:top w:val="single" w:sz="4" w:space="0" w:color="auto"/>
              <w:left w:val="single" w:sz="4" w:space="0" w:color="auto"/>
              <w:bottom w:val="single" w:sz="4" w:space="0" w:color="auto"/>
              <w:right w:val="single" w:sz="4" w:space="0" w:color="auto"/>
            </w:tcBorders>
          </w:tcPr>
          <w:p w:rsidR="006F45EA" w:rsidRPr="00A953F5" w:rsidRDefault="006F45EA" w:rsidP="00217A3E">
            <w:pPr>
              <w:jc w:val="left"/>
              <w:rPr>
                <w:rFonts w:ascii="Arial Narrow" w:hAnsi="Arial Narrow"/>
                <w:sz w:val="18"/>
                <w:szCs w:val="18"/>
              </w:rPr>
            </w:pPr>
            <w:r w:rsidRPr="00A953F5">
              <w:rPr>
                <w:rFonts w:ascii="Arial Narrow" w:hAnsi="Arial Narrow"/>
                <w:sz w:val="18"/>
                <w:szCs w:val="18"/>
              </w:rPr>
              <w:t xml:space="preserve">GENERAL – General Schedule (Code GE) </w:t>
            </w:r>
          </w:p>
        </w:tc>
      </w:tr>
      <w:tr w:rsidR="006F45EA" w:rsidRPr="00A953F5" w:rsidTr="00217A3E">
        <w:trPr>
          <w:trHeight w:val="163"/>
        </w:trPr>
        <w:tc>
          <w:tcPr>
            <w:tcW w:w="766" w:type="pct"/>
            <w:tcBorders>
              <w:top w:val="single" w:sz="4" w:space="0" w:color="auto"/>
              <w:left w:val="single" w:sz="4" w:space="0" w:color="auto"/>
              <w:bottom w:val="single" w:sz="4" w:space="0" w:color="auto"/>
              <w:right w:val="single" w:sz="4" w:space="0" w:color="auto"/>
            </w:tcBorders>
          </w:tcPr>
          <w:p w:rsidR="006F45EA" w:rsidRPr="00A953F5" w:rsidRDefault="00955A7B" w:rsidP="00217A3E">
            <w:pPr>
              <w:jc w:val="left"/>
              <w:rPr>
                <w:rFonts w:ascii="Arial Narrow" w:hAnsi="Arial Narrow"/>
                <w:sz w:val="18"/>
                <w:szCs w:val="18"/>
              </w:rPr>
            </w:pPr>
            <w:r w:rsidRPr="00A953F5">
              <w:rPr>
                <w:rFonts w:ascii="Arial Narrow" w:hAnsi="Arial Narrow"/>
                <w:b/>
                <w:sz w:val="18"/>
                <w:szCs w:val="18"/>
              </w:rPr>
              <w:t xml:space="preserve">Prescriber type:  </w:t>
            </w:r>
          </w:p>
        </w:tc>
        <w:tc>
          <w:tcPr>
            <w:tcW w:w="4234" w:type="pct"/>
            <w:tcBorders>
              <w:top w:val="single" w:sz="4" w:space="0" w:color="auto"/>
              <w:left w:val="single" w:sz="4" w:space="0" w:color="auto"/>
              <w:bottom w:val="single" w:sz="4" w:space="0" w:color="auto"/>
              <w:right w:val="single" w:sz="4" w:space="0" w:color="auto"/>
            </w:tcBorders>
          </w:tcPr>
          <w:p w:rsidR="006F45EA" w:rsidRPr="00A953F5" w:rsidRDefault="006F45EA" w:rsidP="00217A3E">
            <w:pPr>
              <w:jc w:val="left"/>
              <w:rPr>
                <w:rFonts w:ascii="Arial Narrow" w:hAnsi="Arial Narrow"/>
                <w:sz w:val="18"/>
                <w:szCs w:val="18"/>
              </w:rPr>
            </w:pPr>
            <w:r w:rsidRPr="00A953F5">
              <w:rPr>
                <w:rFonts w:ascii="Arial Narrow" w:hAnsi="Arial Narrow"/>
                <w:sz w:val="18"/>
                <w:szCs w:val="18"/>
              </w:rPr>
              <w:fldChar w:fldCharType="begin">
                <w:ffData>
                  <w:name w:val="Check1"/>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 xml:space="preserve">Dental  </w:t>
            </w:r>
            <w:r w:rsidRPr="00A953F5">
              <w:rPr>
                <w:rFonts w:ascii="Arial Narrow" w:hAnsi="Arial Narrow"/>
                <w:sz w:val="18"/>
                <w:szCs w:val="18"/>
              </w:rPr>
              <w:fldChar w:fldCharType="begin">
                <w:ffData>
                  <w:name w:val=""/>
                  <w:enabled/>
                  <w:calcOnExit w:val="0"/>
                  <w:checkBox>
                    <w:sizeAuto/>
                    <w:default w:val="1"/>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 xml:space="preserve">Medical Practitioners  </w:t>
            </w:r>
            <w:r w:rsidRPr="00A953F5">
              <w:rPr>
                <w:rFonts w:ascii="Arial Narrow" w:hAnsi="Arial Narrow"/>
                <w:sz w:val="18"/>
                <w:szCs w:val="18"/>
              </w:rPr>
              <w:fldChar w:fldCharType="begin">
                <w:ffData>
                  <w:name w:val="Check3"/>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 xml:space="preserve">Nurse practitioners  </w:t>
            </w:r>
            <w:r w:rsidRPr="00A953F5">
              <w:rPr>
                <w:rFonts w:ascii="Arial Narrow" w:hAnsi="Arial Narrow"/>
                <w:sz w:val="18"/>
                <w:szCs w:val="18"/>
              </w:rPr>
              <w:fldChar w:fldCharType="begin">
                <w:ffData>
                  <w:name w:val=""/>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 xml:space="preserve">Optometrists    </w:t>
            </w:r>
            <w:r w:rsidRPr="00A953F5">
              <w:rPr>
                <w:rFonts w:ascii="Arial Narrow" w:hAnsi="Arial Narrow"/>
                <w:sz w:val="18"/>
                <w:szCs w:val="18"/>
              </w:rPr>
              <w:fldChar w:fldCharType="begin">
                <w:ffData>
                  <w:name w:val="Check5"/>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Midwives</w:t>
            </w:r>
          </w:p>
        </w:tc>
      </w:tr>
      <w:tr w:rsidR="006F45EA" w:rsidRPr="00A953F5" w:rsidTr="00217A3E">
        <w:tc>
          <w:tcPr>
            <w:tcW w:w="766" w:type="pct"/>
            <w:tcBorders>
              <w:top w:val="single" w:sz="4" w:space="0" w:color="auto"/>
              <w:left w:val="single" w:sz="4" w:space="0" w:color="auto"/>
              <w:bottom w:val="single" w:sz="4" w:space="0" w:color="auto"/>
              <w:right w:val="single" w:sz="4" w:space="0" w:color="auto"/>
            </w:tcBorders>
          </w:tcPr>
          <w:p w:rsidR="00955A7B" w:rsidRPr="00A953F5" w:rsidRDefault="00955A7B" w:rsidP="00217A3E">
            <w:pPr>
              <w:jc w:val="left"/>
              <w:rPr>
                <w:rFonts w:ascii="Arial Narrow" w:hAnsi="Arial Narrow"/>
                <w:b/>
                <w:sz w:val="18"/>
                <w:szCs w:val="18"/>
              </w:rPr>
            </w:pPr>
            <w:r>
              <w:rPr>
                <w:rFonts w:ascii="Arial Narrow" w:hAnsi="Arial Narrow"/>
                <w:b/>
                <w:sz w:val="18"/>
                <w:szCs w:val="18"/>
              </w:rPr>
              <w:t>Restriction l</w:t>
            </w:r>
            <w:r w:rsidRPr="00A953F5">
              <w:rPr>
                <w:rFonts w:ascii="Arial Narrow" w:hAnsi="Arial Narrow"/>
                <w:b/>
                <w:sz w:val="18"/>
                <w:szCs w:val="18"/>
              </w:rPr>
              <w:t>evel</w:t>
            </w:r>
            <w:r>
              <w:rPr>
                <w:rFonts w:ascii="Arial Narrow" w:hAnsi="Arial Narrow"/>
                <w:b/>
                <w:sz w:val="18"/>
                <w:szCs w:val="18"/>
              </w:rPr>
              <w:t>/</w:t>
            </w:r>
            <w:r w:rsidRPr="00A953F5">
              <w:rPr>
                <w:rFonts w:ascii="Arial Narrow" w:hAnsi="Arial Narrow"/>
                <w:b/>
                <w:sz w:val="18"/>
                <w:szCs w:val="18"/>
              </w:rPr>
              <w:t xml:space="preserve"> Method:</w:t>
            </w:r>
          </w:p>
          <w:p w:rsidR="006F45EA" w:rsidRPr="00A953F5" w:rsidRDefault="006F45EA" w:rsidP="00217A3E">
            <w:pPr>
              <w:jc w:val="left"/>
              <w:rPr>
                <w:rFonts w:ascii="Arial Narrow" w:hAnsi="Arial Narrow"/>
                <w:i/>
                <w:sz w:val="18"/>
                <w:szCs w:val="18"/>
              </w:rPr>
            </w:pPr>
          </w:p>
          <w:p w:rsidR="006F45EA" w:rsidRPr="00A953F5" w:rsidRDefault="006F45EA" w:rsidP="00217A3E">
            <w:pPr>
              <w:jc w:val="left"/>
              <w:rPr>
                <w:rFonts w:ascii="Arial Narrow" w:hAnsi="Arial Narrow"/>
                <w:sz w:val="18"/>
                <w:szCs w:val="18"/>
              </w:rPr>
            </w:pPr>
          </w:p>
        </w:tc>
        <w:tc>
          <w:tcPr>
            <w:tcW w:w="4234" w:type="pct"/>
            <w:tcBorders>
              <w:top w:val="single" w:sz="4" w:space="0" w:color="auto"/>
              <w:left w:val="single" w:sz="4" w:space="0" w:color="auto"/>
              <w:bottom w:val="single" w:sz="4" w:space="0" w:color="auto"/>
              <w:right w:val="single" w:sz="4" w:space="0" w:color="auto"/>
            </w:tcBorders>
          </w:tcPr>
          <w:p w:rsidR="006F45EA" w:rsidRPr="00A953F5" w:rsidRDefault="006F45EA" w:rsidP="00217A3E">
            <w:pPr>
              <w:jc w:val="left"/>
              <w:rPr>
                <w:rFonts w:ascii="Arial Narrow" w:hAnsi="Arial Narrow"/>
                <w:sz w:val="18"/>
                <w:szCs w:val="18"/>
              </w:rPr>
            </w:pPr>
            <w:r w:rsidRPr="00A953F5">
              <w:rPr>
                <w:rFonts w:ascii="Arial Narrow" w:hAnsi="Arial Narrow"/>
                <w:sz w:val="18"/>
                <w:szCs w:val="18"/>
              </w:rPr>
              <w:fldChar w:fldCharType="begin">
                <w:ffData>
                  <w:name w:val="Check1"/>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Unrestricted benefit</w:t>
            </w:r>
          </w:p>
          <w:p w:rsidR="006F45EA" w:rsidRPr="00A953F5" w:rsidRDefault="006F45EA" w:rsidP="00217A3E">
            <w:pPr>
              <w:jc w:val="left"/>
              <w:rPr>
                <w:rFonts w:ascii="Arial Narrow" w:hAnsi="Arial Narrow"/>
                <w:sz w:val="18"/>
                <w:szCs w:val="18"/>
              </w:rPr>
            </w:pPr>
            <w:r w:rsidRPr="00A953F5">
              <w:rPr>
                <w:rFonts w:ascii="Arial Narrow" w:hAnsi="Arial Narrow"/>
                <w:sz w:val="18"/>
                <w:szCs w:val="18"/>
              </w:rPr>
              <w:fldChar w:fldCharType="begin">
                <w:ffData>
                  <w:name w:val="Check1"/>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Restricted benefit</w:t>
            </w:r>
          </w:p>
          <w:p w:rsidR="006F45EA" w:rsidRPr="00A953F5" w:rsidRDefault="006F45EA" w:rsidP="00217A3E">
            <w:pPr>
              <w:jc w:val="left"/>
              <w:rPr>
                <w:rFonts w:ascii="Arial Narrow" w:hAnsi="Arial Narrow"/>
                <w:sz w:val="18"/>
                <w:szCs w:val="18"/>
              </w:rPr>
            </w:pPr>
            <w:r w:rsidRPr="00A953F5">
              <w:rPr>
                <w:rFonts w:ascii="Arial Narrow" w:hAnsi="Arial Narrow"/>
                <w:sz w:val="18"/>
                <w:szCs w:val="18"/>
              </w:rPr>
              <w:fldChar w:fldCharType="begin">
                <w:ffData>
                  <w:name w:val=""/>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Authority Required – In Writing</w:t>
            </w:r>
          </w:p>
          <w:p w:rsidR="006F45EA" w:rsidRPr="00A953F5" w:rsidRDefault="006F45EA" w:rsidP="00217A3E">
            <w:pPr>
              <w:jc w:val="left"/>
              <w:rPr>
                <w:rFonts w:ascii="Arial Narrow" w:hAnsi="Arial Narrow"/>
                <w:i/>
                <w:sz w:val="18"/>
                <w:szCs w:val="18"/>
              </w:rPr>
            </w:pPr>
            <w:r w:rsidRPr="00A953F5">
              <w:rPr>
                <w:rFonts w:ascii="Arial Narrow" w:hAnsi="Arial Narrow"/>
                <w:i/>
                <w:sz w:val="18"/>
                <w:szCs w:val="18"/>
              </w:rPr>
              <w:fldChar w:fldCharType="begin">
                <w:ffData>
                  <w:name w:val=""/>
                  <w:enabled/>
                  <w:calcOnExit w:val="0"/>
                  <w:checkBox>
                    <w:sizeAuto/>
                    <w:default w:val="1"/>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Authority Required – Telephone/Electronic/Emergency</w:t>
            </w:r>
          </w:p>
          <w:p w:rsidR="006F45EA" w:rsidRPr="00A953F5" w:rsidRDefault="006F45EA" w:rsidP="00217A3E">
            <w:pPr>
              <w:jc w:val="left"/>
              <w:rPr>
                <w:rFonts w:ascii="Arial Narrow" w:hAnsi="Arial Narrow"/>
                <w:strike/>
                <w:sz w:val="18"/>
                <w:szCs w:val="18"/>
              </w:rPr>
            </w:pPr>
            <w:r w:rsidRPr="00A953F5">
              <w:rPr>
                <w:rFonts w:ascii="Arial Narrow" w:hAnsi="Arial Narrow"/>
                <w:strike/>
                <w:sz w:val="18"/>
                <w:szCs w:val="18"/>
              </w:rPr>
              <w:fldChar w:fldCharType="begin">
                <w:ffData>
                  <w:name w:val=""/>
                  <w:enabled/>
                  <w:calcOnExit w:val="0"/>
                  <w:checkBox>
                    <w:sizeAuto/>
                    <w:default w:val="1"/>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Authority Required - Streamlined</w:t>
            </w:r>
          </w:p>
        </w:tc>
      </w:tr>
      <w:tr w:rsidR="006F45EA" w:rsidRPr="00A953F5" w:rsidTr="00217A3E">
        <w:tc>
          <w:tcPr>
            <w:tcW w:w="766" w:type="pct"/>
          </w:tcPr>
          <w:p w:rsidR="006F45EA" w:rsidRPr="00A953F5" w:rsidRDefault="00955A7B" w:rsidP="00217A3E">
            <w:pPr>
              <w:jc w:val="left"/>
              <w:rPr>
                <w:rFonts w:ascii="Arial Narrow" w:hAnsi="Arial Narrow"/>
                <w:color w:val="333333"/>
                <w:sz w:val="18"/>
                <w:szCs w:val="18"/>
              </w:rPr>
            </w:pPr>
            <w:r w:rsidRPr="00A953F5">
              <w:rPr>
                <w:rFonts w:ascii="Arial Narrow" w:hAnsi="Arial Narrow"/>
                <w:b/>
                <w:bCs/>
                <w:color w:val="333333"/>
                <w:sz w:val="18"/>
                <w:szCs w:val="18"/>
              </w:rPr>
              <w:t>Episodicity:</w:t>
            </w:r>
          </w:p>
        </w:tc>
        <w:tc>
          <w:tcPr>
            <w:tcW w:w="4234" w:type="pct"/>
          </w:tcPr>
          <w:p w:rsidR="006F45EA" w:rsidRPr="00A953F5" w:rsidRDefault="006F45EA" w:rsidP="00217A3E">
            <w:pPr>
              <w:jc w:val="left"/>
              <w:rPr>
                <w:rFonts w:ascii="Arial Narrow" w:hAnsi="Arial Narrow"/>
                <w:b/>
                <w:bCs/>
                <w:i/>
                <w:color w:val="333333"/>
                <w:sz w:val="18"/>
                <w:szCs w:val="18"/>
              </w:rPr>
            </w:pPr>
            <w:r w:rsidRPr="00A953F5">
              <w:rPr>
                <w:rFonts w:ascii="Arial Narrow" w:hAnsi="Arial Narrow"/>
                <w:b/>
                <w:bCs/>
                <w:color w:val="333333"/>
                <w:sz w:val="18"/>
                <w:szCs w:val="18"/>
              </w:rPr>
              <w:t xml:space="preserve"> </w:t>
            </w:r>
            <w:r w:rsidRPr="00A953F5">
              <w:rPr>
                <w:rFonts w:ascii="Arial Narrow" w:hAnsi="Arial Narrow"/>
                <w:strike/>
                <w:color w:val="333333"/>
                <w:sz w:val="18"/>
                <w:szCs w:val="18"/>
              </w:rPr>
              <w:t>[nil]</w:t>
            </w:r>
            <w:r w:rsidRPr="00A953F5">
              <w:rPr>
                <w:rFonts w:ascii="Arial Narrow" w:hAnsi="Arial Narrow"/>
                <w:i/>
                <w:color w:val="333333"/>
                <w:sz w:val="18"/>
                <w:szCs w:val="18"/>
              </w:rPr>
              <w:t xml:space="preserve"> Untreated</w:t>
            </w:r>
          </w:p>
        </w:tc>
      </w:tr>
      <w:tr w:rsidR="006F45EA" w:rsidRPr="00A953F5" w:rsidTr="00217A3E">
        <w:tc>
          <w:tcPr>
            <w:tcW w:w="766" w:type="pct"/>
          </w:tcPr>
          <w:p w:rsidR="006F45EA" w:rsidRPr="00A953F5" w:rsidRDefault="00955A7B" w:rsidP="00217A3E">
            <w:pPr>
              <w:jc w:val="left"/>
              <w:rPr>
                <w:rFonts w:ascii="Arial Narrow" w:hAnsi="Arial Narrow"/>
                <w:color w:val="333333"/>
                <w:sz w:val="18"/>
                <w:szCs w:val="18"/>
              </w:rPr>
            </w:pPr>
            <w:r w:rsidRPr="00A953F5">
              <w:rPr>
                <w:rFonts w:ascii="Arial Narrow" w:hAnsi="Arial Narrow"/>
                <w:b/>
                <w:bCs/>
                <w:color w:val="333333"/>
                <w:sz w:val="18"/>
                <w:szCs w:val="18"/>
              </w:rPr>
              <w:t>Severity:</w:t>
            </w:r>
          </w:p>
        </w:tc>
        <w:tc>
          <w:tcPr>
            <w:tcW w:w="4234" w:type="pct"/>
          </w:tcPr>
          <w:p w:rsidR="006F45EA" w:rsidRPr="00A953F5" w:rsidRDefault="006F45EA" w:rsidP="00217A3E">
            <w:pPr>
              <w:jc w:val="left"/>
              <w:rPr>
                <w:rFonts w:ascii="Arial Narrow" w:hAnsi="Arial Narrow"/>
                <w:bCs/>
                <w:color w:val="333333"/>
                <w:sz w:val="18"/>
                <w:szCs w:val="18"/>
              </w:rPr>
            </w:pPr>
            <w:r w:rsidRPr="00A953F5">
              <w:rPr>
                <w:rFonts w:ascii="Arial Narrow" w:hAnsi="Arial Narrow"/>
                <w:bCs/>
                <w:strike/>
                <w:color w:val="333333"/>
                <w:sz w:val="18"/>
                <w:szCs w:val="18"/>
              </w:rPr>
              <w:t>Previously untreated</w:t>
            </w:r>
          </w:p>
        </w:tc>
      </w:tr>
      <w:tr w:rsidR="006F45EA" w:rsidRPr="00A953F5" w:rsidTr="00217A3E">
        <w:tc>
          <w:tcPr>
            <w:tcW w:w="766" w:type="pct"/>
          </w:tcPr>
          <w:p w:rsidR="006F45EA" w:rsidRPr="00A953F5" w:rsidRDefault="00955A7B" w:rsidP="00217A3E">
            <w:pPr>
              <w:jc w:val="left"/>
              <w:rPr>
                <w:rFonts w:ascii="Arial Narrow" w:hAnsi="Arial Narrow"/>
                <w:color w:val="333333"/>
                <w:sz w:val="18"/>
                <w:szCs w:val="18"/>
              </w:rPr>
            </w:pPr>
            <w:r w:rsidRPr="00A953F5">
              <w:rPr>
                <w:rFonts w:ascii="Arial Narrow" w:hAnsi="Arial Narrow"/>
                <w:b/>
                <w:bCs/>
                <w:color w:val="333333"/>
                <w:sz w:val="18"/>
                <w:szCs w:val="18"/>
              </w:rPr>
              <w:t>Condition:</w:t>
            </w:r>
          </w:p>
        </w:tc>
        <w:tc>
          <w:tcPr>
            <w:tcW w:w="4234" w:type="pct"/>
          </w:tcPr>
          <w:p w:rsidR="006F45EA" w:rsidRPr="00A953F5" w:rsidRDefault="006F45EA" w:rsidP="00217A3E">
            <w:pPr>
              <w:jc w:val="left"/>
              <w:rPr>
                <w:rFonts w:ascii="Arial Narrow" w:hAnsi="Arial Narrow"/>
                <w:b/>
                <w:bCs/>
                <w:i/>
                <w:color w:val="333333"/>
                <w:sz w:val="18"/>
                <w:szCs w:val="18"/>
              </w:rPr>
            </w:pPr>
            <w:r w:rsidRPr="00A953F5">
              <w:rPr>
                <w:rFonts w:ascii="Arial Narrow" w:hAnsi="Arial Narrow"/>
                <w:i/>
                <w:strike/>
                <w:color w:val="333333"/>
                <w:sz w:val="18"/>
                <w:szCs w:val="18"/>
              </w:rPr>
              <w:t>C</w:t>
            </w:r>
            <w:r w:rsidRPr="00A953F5">
              <w:rPr>
                <w:rFonts w:ascii="Arial Narrow" w:hAnsi="Arial Narrow"/>
                <w:i/>
                <w:color w:val="333333"/>
                <w:sz w:val="18"/>
                <w:szCs w:val="18"/>
              </w:rPr>
              <w:t>chronic</w:t>
            </w:r>
            <w:r w:rsidRPr="00A953F5">
              <w:rPr>
                <w:rFonts w:ascii="Arial Narrow" w:hAnsi="Arial Narrow"/>
                <w:color w:val="333333"/>
                <w:sz w:val="18"/>
                <w:szCs w:val="18"/>
              </w:rPr>
              <w:t xml:space="preserve"> lymphocytic leukaemia </w:t>
            </w:r>
            <w:r w:rsidRPr="00A953F5">
              <w:rPr>
                <w:rFonts w:ascii="Arial Narrow" w:hAnsi="Arial Narrow"/>
                <w:i/>
                <w:color w:val="333333"/>
                <w:sz w:val="18"/>
                <w:szCs w:val="18"/>
              </w:rPr>
              <w:t>(CLL)</w:t>
            </w:r>
            <w:r w:rsidRPr="00A953F5">
              <w:rPr>
                <w:rFonts w:ascii="Arial Narrow" w:hAnsi="Arial Narrow"/>
                <w:color w:val="333333"/>
                <w:sz w:val="18"/>
                <w:szCs w:val="18"/>
              </w:rPr>
              <w:t xml:space="preserve"> </w:t>
            </w:r>
            <w:r w:rsidRPr="00A953F5">
              <w:rPr>
                <w:rFonts w:ascii="Arial Narrow" w:hAnsi="Arial Narrow"/>
                <w:i/>
                <w:color w:val="333333"/>
                <w:sz w:val="18"/>
                <w:szCs w:val="18"/>
              </w:rPr>
              <w:t>or small lymphocytic lymphoma (SLL)</w:t>
            </w:r>
          </w:p>
        </w:tc>
      </w:tr>
      <w:tr w:rsidR="006F45EA" w:rsidRPr="00A953F5" w:rsidTr="00217A3E">
        <w:tc>
          <w:tcPr>
            <w:tcW w:w="766" w:type="pct"/>
            <w:hideMark/>
          </w:tcPr>
          <w:p w:rsidR="006F45EA" w:rsidRPr="00A953F5" w:rsidRDefault="00955A7B" w:rsidP="00217A3E">
            <w:pPr>
              <w:jc w:val="left"/>
              <w:rPr>
                <w:rFonts w:ascii="Arial Narrow" w:hAnsi="Arial Narrow"/>
                <w:color w:val="333333"/>
                <w:sz w:val="18"/>
                <w:szCs w:val="18"/>
              </w:rPr>
            </w:pPr>
            <w:r w:rsidRPr="00A953F5">
              <w:rPr>
                <w:rFonts w:ascii="Arial Narrow" w:hAnsi="Arial Narrow"/>
                <w:b/>
                <w:color w:val="333333"/>
                <w:sz w:val="18"/>
                <w:szCs w:val="18"/>
              </w:rPr>
              <w:t>Indication:</w:t>
            </w:r>
          </w:p>
        </w:tc>
        <w:tc>
          <w:tcPr>
            <w:tcW w:w="4234" w:type="pct"/>
            <w:hideMark/>
          </w:tcPr>
          <w:p w:rsidR="006F45EA" w:rsidRPr="00A953F5" w:rsidRDefault="006F45EA" w:rsidP="00217A3E">
            <w:pPr>
              <w:jc w:val="left"/>
              <w:rPr>
                <w:rFonts w:ascii="Arial Narrow" w:hAnsi="Arial Narrow"/>
                <w:i/>
                <w:color w:val="333333"/>
                <w:sz w:val="18"/>
                <w:szCs w:val="18"/>
              </w:rPr>
            </w:pPr>
            <w:r w:rsidRPr="00A953F5">
              <w:rPr>
                <w:rFonts w:ascii="Arial Narrow" w:hAnsi="Arial Narrow"/>
                <w:strike/>
                <w:color w:val="333333"/>
                <w:sz w:val="18"/>
                <w:szCs w:val="18"/>
              </w:rPr>
              <w:t>Previously untreated chronic lymphocytic leukaemia in patients with coexisting conditions who are inappropriate for fludarabine-based chemo-immunotherapy</w:t>
            </w:r>
            <w:r w:rsidRPr="00A953F5">
              <w:rPr>
                <w:rFonts w:ascii="Arial Narrow" w:hAnsi="Arial Narrow"/>
                <w:color w:val="333333"/>
                <w:sz w:val="18"/>
                <w:szCs w:val="18"/>
              </w:rPr>
              <w:t xml:space="preserve"> </w:t>
            </w:r>
            <w:r w:rsidRPr="00A953F5">
              <w:rPr>
                <w:rFonts w:ascii="Arial Narrow" w:hAnsi="Arial Narrow"/>
                <w:i/>
                <w:color w:val="333333"/>
                <w:sz w:val="18"/>
                <w:szCs w:val="18"/>
              </w:rPr>
              <w:t>Untreated chronic lymphocytic leukaemia (CLL) or small lymphocytic lymphoma (SLL)</w:t>
            </w:r>
          </w:p>
        </w:tc>
      </w:tr>
      <w:tr w:rsidR="006F45EA" w:rsidRPr="00A953F5" w:rsidTr="00217A3E">
        <w:tc>
          <w:tcPr>
            <w:tcW w:w="766" w:type="pct"/>
            <w:hideMark/>
          </w:tcPr>
          <w:p w:rsidR="006F45EA" w:rsidRPr="00A953F5" w:rsidRDefault="00955A7B" w:rsidP="00217A3E">
            <w:pPr>
              <w:jc w:val="left"/>
              <w:rPr>
                <w:rFonts w:ascii="Arial Narrow" w:hAnsi="Arial Narrow"/>
                <w:color w:val="333333"/>
                <w:sz w:val="18"/>
                <w:szCs w:val="18"/>
              </w:rPr>
            </w:pPr>
            <w:r w:rsidRPr="00A953F5">
              <w:rPr>
                <w:rFonts w:ascii="Arial Narrow" w:hAnsi="Arial Narrow"/>
                <w:b/>
                <w:bCs/>
                <w:color w:val="333333"/>
                <w:sz w:val="18"/>
                <w:szCs w:val="18"/>
              </w:rPr>
              <w:t>Treatment Phase:</w:t>
            </w:r>
          </w:p>
        </w:tc>
        <w:tc>
          <w:tcPr>
            <w:tcW w:w="4234" w:type="pct"/>
            <w:hideMark/>
          </w:tcPr>
          <w:p w:rsidR="006F45EA" w:rsidRPr="00A953F5" w:rsidRDefault="006F45EA" w:rsidP="00217A3E">
            <w:pPr>
              <w:jc w:val="left"/>
              <w:rPr>
                <w:rFonts w:ascii="Arial Narrow" w:hAnsi="Arial Narrow"/>
                <w:i/>
                <w:color w:val="333333"/>
                <w:sz w:val="18"/>
                <w:szCs w:val="18"/>
              </w:rPr>
            </w:pPr>
            <w:r w:rsidRPr="00A953F5">
              <w:rPr>
                <w:rFonts w:ascii="Arial Narrow" w:hAnsi="Arial Narrow"/>
                <w:color w:val="333333"/>
                <w:sz w:val="18"/>
                <w:szCs w:val="18"/>
              </w:rPr>
              <w:t xml:space="preserve">Initial treatment </w:t>
            </w:r>
            <w:r w:rsidRPr="00A953F5">
              <w:rPr>
                <w:rFonts w:ascii="Arial Narrow" w:hAnsi="Arial Narrow"/>
                <w:i/>
                <w:color w:val="333333"/>
                <w:sz w:val="18"/>
                <w:szCs w:val="18"/>
              </w:rPr>
              <w:t xml:space="preserve">in first-line therapy – Does titration </w:t>
            </w:r>
            <w:r w:rsidRPr="00A953F5">
              <w:rPr>
                <w:rFonts w:ascii="Arial Narrow" w:hAnsi="Arial Narrow"/>
                <w:strike/>
                <w:color w:val="333333"/>
                <w:sz w:val="18"/>
                <w:szCs w:val="18"/>
              </w:rPr>
              <w:t>(ramp-up)</w:t>
            </w:r>
          </w:p>
        </w:tc>
      </w:tr>
      <w:tr w:rsidR="00217A3E" w:rsidRPr="00A953F5" w:rsidTr="00217A3E">
        <w:trPr>
          <w:trHeight w:val="2945"/>
        </w:trPr>
        <w:tc>
          <w:tcPr>
            <w:tcW w:w="766" w:type="pct"/>
          </w:tcPr>
          <w:p w:rsidR="00217A3E" w:rsidRPr="00A953F5" w:rsidRDefault="00217A3E" w:rsidP="00217A3E">
            <w:pPr>
              <w:jc w:val="left"/>
              <w:rPr>
                <w:rFonts w:ascii="Arial Narrow" w:hAnsi="Arial Narrow"/>
                <w:color w:val="333333"/>
                <w:sz w:val="18"/>
                <w:szCs w:val="18"/>
              </w:rPr>
            </w:pPr>
            <w:r w:rsidRPr="00A953F5">
              <w:rPr>
                <w:rFonts w:ascii="Arial Narrow" w:hAnsi="Arial Narrow"/>
                <w:b/>
                <w:bCs/>
                <w:color w:val="333333"/>
                <w:sz w:val="18"/>
                <w:szCs w:val="18"/>
              </w:rPr>
              <w:lastRenderedPageBreak/>
              <w:t>Clinical criteria:</w:t>
            </w:r>
          </w:p>
        </w:tc>
        <w:tc>
          <w:tcPr>
            <w:tcW w:w="4234" w:type="pct"/>
          </w:tcPr>
          <w:p w:rsidR="00217A3E" w:rsidRPr="00A953F5" w:rsidRDefault="00217A3E" w:rsidP="00217A3E">
            <w:pPr>
              <w:jc w:val="left"/>
              <w:rPr>
                <w:rFonts w:ascii="Arial Narrow" w:hAnsi="Arial Narrow"/>
                <w:b/>
                <w:bCs/>
                <w:color w:val="333333"/>
                <w:sz w:val="18"/>
                <w:szCs w:val="18"/>
              </w:rPr>
            </w:pPr>
            <w:r w:rsidRPr="00A953F5">
              <w:rPr>
                <w:rFonts w:ascii="Arial Narrow" w:hAnsi="Arial Narrow"/>
                <w:color w:val="333333"/>
                <w:sz w:val="18"/>
                <w:szCs w:val="18"/>
              </w:rPr>
              <w:t>The condition must be previously untreated</w:t>
            </w:r>
          </w:p>
          <w:p w:rsidR="00217A3E" w:rsidRPr="00217A3E" w:rsidRDefault="00217A3E" w:rsidP="00217A3E">
            <w:pPr>
              <w:jc w:val="left"/>
              <w:rPr>
                <w:rFonts w:ascii="Arial Narrow" w:hAnsi="Arial Narrow"/>
                <w:color w:val="333333"/>
                <w:sz w:val="18"/>
                <w:szCs w:val="18"/>
              </w:rPr>
            </w:pPr>
            <w:r w:rsidRPr="00217A3E">
              <w:rPr>
                <w:rFonts w:ascii="Arial Narrow" w:hAnsi="Arial Narrow"/>
                <w:bCs/>
                <w:color w:val="333333"/>
                <w:sz w:val="18"/>
                <w:szCs w:val="18"/>
              </w:rPr>
              <w:t>AND</w:t>
            </w:r>
          </w:p>
          <w:p w:rsidR="00217A3E" w:rsidRPr="00217A3E" w:rsidRDefault="00217A3E" w:rsidP="00217A3E">
            <w:pPr>
              <w:jc w:val="left"/>
              <w:rPr>
                <w:rFonts w:ascii="Arial Narrow" w:hAnsi="Arial Narrow"/>
                <w:color w:val="333333"/>
                <w:sz w:val="18"/>
                <w:szCs w:val="18"/>
              </w:rPr>
            </w:pPr>
            <w:r w:rsidRPr="00217A3E">
              <w:rPr>
                <w:rFonts w:ascii="Arial Narrow" w:hAnsi="Arial Narrow"/>
                <w:color w:val="333333"/>
                <w:sz w:val="18"/>
                <w:szCs w:val="18"/>
              </w:rPr>
              <w:t>Patient must be inappropriate for fludarabine based chemo-immunotherapy</w:t>
            </w:r>
          </w:p>
          <w:p w:rsidR="00217A3E" w:rsidRPr="00217A3E" w:rsidRDefault="00217A3E" w:rsidP="00217A3E">
            <w:pPr>
              <w:jc w:val="left"/>
              <w:rPr>
                <w:rFonts w:ascii="Arial Narrow" w:hAnsi="Arial Narrow"/>
                <w:color w:val="333333"/>
                <w:sz w:val="18"/>
                <w:szCs w:val="18"/>
              </w:rPr>
            </w:pPr>
            <w:r w:rsidRPr="00217A3E">
              <w:rPr>
                <w:rFonts w:ascii="Arial Narrow" w:hAnsi="Arial Narrow"/>
                <w:bCs/>
                <w:color w:val="333333"/>
                <w:sz w:val="18"/>
                <w:szCs w:val="18"/>
              </w:rPr>
              <w:t>AND</w:t>
            </w:r>
          </w:p>
          <w:p w:rsidR="00217A3E" w:rsidRPr="00217A3E" w:rsidRDefault="00217A3E" w:rsidP="00217A3E">
            <w:pPr>
              <w:jc w:val="left"/>
              <w:rPr>
                <w:rFonts w:ascii="Arial Narrow" w:hAnsi="Arial Narrow"/>
                <w:color w:val="333333"/>
                <w:sz w:val="18"/>
                <w:szCs w:val="18"/>
              </w:rPr>
            </w:pPr>
            <w:r w:rsidRPr="00217A3E">
              <w:rPr>
                <w:rFonts w:ascii="Arial Narrow" w:hAnsi="Arial Narrow"/>
                <w:bCs/>
                <w:color w:val="333333"/>
                <w:sz w:val="18"/>
                <w:szCs w:val="18"/>
              </w:rPr>
              <w:t xml:space="preserve">The treatment must be in combination with obinutuzumab </w:t>
            </w:r>
            <w:r w:rsidRPr="00217A3E">
              <w:rPr>
                <w:rFonts w:ascii="Arial Narrow" w:hAnsi="Arial Narrow"/>
                <w:bCs/>
                <w:strike/>
                <w:color w:val="333333"/>
                <w:sz w:val="18"/>
                <w:szCs w:val="18"/>
              </w:rPr>
              <w:t>for this condition</w:t>
            </w:r>
            <w:r w:rsidRPr="00217A3E">
              <w:rPr>
                <w:rFonts w:ascii="Arial Narrow" w:hAnsi="Arial Narrow"/>
                <w:bCs/>
                <w:color w:val="333333"/>
                <w:sz w:val="18"/>
                <w:szCs w:val="18"/>
              </w:rPr>
              <w:t xml:space="preserve"> </w:t>
            </w:r>
          </w:p>
          <w:p w:rsidR="00217A3E" w:rsidRPr="00217A3E" w:rsidRDefault="00217A3E" w:rsidP="00217A3E">
            <w:pPr>
              <w:jc w:val="left"/>
              <w:rPr>
                <w:rFonts w:ascii="Arial Narrow" w:hAnsi="Arial Narrow"/>
                <w:color w:val="333333"/>
                <w:sz w:val="18"/>
                <w:szCs w:val="18"/>
              </w:rPr>
            </w:pPr>
            <w:r w:rsidRPr="00217A3E">
              <w:rPr>
                <w:rFonts w:ascii="Arial Narrow" w:hAnsi="Arial Narrow"/>
                <w:bCs/>
                <w:color w:val="333333"/>
                <w:sz w:val="18"/>
                <w:szCs w:val="18"/>
              </w:rPr>
              <w:t>AND</w:t>
            </w:r>
          </w:p>
          <w:p w:rsidR="00217A3E" w:rsidRPr="00217A3E" w:rsidRDefault="00217A3E" w:rsidP="00217A3E">
            <w:pPr>
              <w:jc w:val="left"/>
              <w:rPr>
                <w:rFonts w:ascii="Arial Narrow" w:hAnsi="Arial Narrow"/>
                <w:bCs/>
                <w:color w:val="333333"/>
                <w:sz w:val="18"/>
                <w:szCs w:val="18"/>
              </w:rPr>
            </w:pPr>
            <w:r w:rsidRPr="00217A3E">
              <w:rPr>
                <w:rFonts w:ascii="Arial Narrow" w:hAnsi="Arial Narrow"/>
                <w:bCs/>
                <w:color w:val="333333"/>
                <w:sz w:val="18"/>
                <w:szCs w:val="18"/>
              </w:rPr>
              <w:t>Patient must have a creatinine clearance 30 mL/min or greater</w:t>
            </w:r>
          </w:p>
          <w:p w:rsidR="00217A3E" w:rsidRPr="00217A3E" w:rsidRDefault="00217A3E" w:rsidP="00217A3E">
            <w:pPr>
              <w:jc w:val="left"/>
              <w:rPr>
                <w:rFonts w:ascii="Arial Narrow" w:hAnsi="Arial Narrow"/>
                <w:bCs/>
                <w:color w:val="333333"/>
                <w:sz w:val="18"/>
                <w:szCs w:val="18"/>
              </w:rPr>
            </w:pPr>
            <w:r w:rsidRPr="00217A3E">
              <w:rPr>
                <w:rFonts w:ascii="Arial Narrow" w:hAnsi="Arial Narrow"/>
                <w:bCs/>
                <w:color w:val="333333"/>
                <w:sz w:val="18"/>
                <w:szCs w:val="18"/>
              </w:rPr>
              <w:t>AND</w:t>
            </w:r>
          </w:p>
          <w:p w:rsidR="00217A3E" w:rsidRPr="00217A3E" w:rsidRDefault="00217A3E" w:rsidP="00217A3E">
            <w:pPr>
              <w:jc w:val="left"/>
              <w:rPr>
                <w:rFonts w:ascii="Arial Narrow" w:hAnsi="Arial Narrow"/>
                <w:bCs/>
                <w:color w:val="333333"/>
                <w:sz w:val="18"/>
                <w:szCs w:val="18"/>
              </w:rPr>
            </w:pPr>
            <w:r w:rsidRPr="00217A3E">
              <w:rPr>
                <w:rFonts w:ascii="Arial Narrow" w:hAnsi="Arial Narrow"/>
                <w:bCs/>
                <w:color w:val="333333"/>
                <w:sz w:val="18"/>
                <w:szCs w:val="18"/>
              </w:rPr>
              <w:t>Patient must have a total cumulative illness rating scale (CIRS) score of greater than 6 (excluding CLL-induced illness or organ damage); OR</w:t>
            </w:r>
          </w:p>
          <w:p w:rsidR="00217A3E" w:rsidRPr="00217A3E" w:rsidRDefault="00217A3E" w:rsidP="00217A3E">
            <w:pPr>
              <w:jc w:val="left"/>
              <w:rPr>
                <w:rFonts w:ascii="Arial Narrow" w:hAnsi="Arial Narrow"/>
                <w:bCs/>
                <w:color w:val="333333"/>
                <w:sz w:val="18"/>
                <w:szCs w:val="18"/>
              </w:rPr>
            </w:pPr>
            <w:r w:rsidRPr="00217A3E">
              <w:rPr>
                <w:rFonts w:ascii="Arial Narrow" w:hAnsi="Arial Narrow"/>
                <w:bCs/>
                <w:color w:val="333333"/>
                <w:sz w:val="18"/>
                <w:szCs w:val="18"/>
              </w:rPr>
              <w:t>Patient must have a creatinine clearance less than 70 mL/min.</w:t>
            </w:r>
          </w:p>
          <w:p w:rsidR="00217A3E" w:rsidRPr="00217A3E" w:rsidRDefault="00217A3E" w:rsidP="00217A3E">
            <w:pPr>
              <w:jc w:val="left"/>
              <w:rPr>
                <w:rFonts w:ascii="Arial Narrow" w:hAnsi="Arial Narrow"/>
                <w:bCs/>
                <w:color w:val="333333"/>
                <w:sz w:val="18"/>
                <w:szCs w:val="18"/>
              </w:rPr>
            </w:pPr>
            <w:r w:rsidRPr="00217A3E">
              <w:rPr>
                <w:rFonts w:ascii="Arial Narrow" w:hAnsi="Arial Narrow"/>
                <w:bCs/>
                <w:color w:val="333333"/>
                <w:sz w:val="18"/>
                <w:szCs w:val="18"/>
              </w:rPr>
              <w:t>AND</w:t>
            </w:r>
          </w:p>
          <w:p w:rsidR="00217A3E" w:rsidRPr="00217A3E" w:rsidRDefault="00217A3E" w:rsidP="00217A3E">
            <w:pPr>
              <w:jc w:val="left"/>
              <w:rPr>
                <w:rFonts w:ascii="Arial Narrow" w:hAnsi="Arial Narrow"/>
                <w:strike/>
                <w:color w:val="333333"/>
                <w:sz w:val="18"/>
                <w:szCs w:val="18"/>
              </w:rPr>
            </w:pPr>
            <w:r w:rsidRPr="00217A3E">
              <w:rPr>
                <w:rFonts w:ascii="Arial Narrow" w:hAnsi="Arial Narrow"/>
                <w:strike/>
                <w:color w:val="333333"/>
                <w:sz w:val="18"/>
                <w:szCs w:val="18"/>
              </w:rPr>
              <w:t xml:space="preserve">Treatment must be discontinued in patients who experience disease progression whilst on this treatment. </w:t>
            </w:r>
          </w:p>
          <w:p w:rsidR="00217A3E" w:rsidRPr="00A953F5" w:rsidRDefault="00217A3E" w:rsidP="00217A3E">
            <w:pPr>
              <w:jc w:val="left"/>
              <w:rPr>
                <w:rFonts w:ascii="Arial Narrow" w:hAnsi="Arial Narrow"/>
                <w:b/>
                <w:bCs/>
                <w:color w:val="333333"/>
                <w:sz w:val="18"/>
                <w:szCs w:val="18"/>
              </w:rPr>
            </w:pPr>
            <w:r w:rsidRPr="00217A3E">
              <w:rPr>
                <w:rFonts w:ascii="Arial Narrow" w:hAnsi="Arial Narrow"/>
                <w:i/>
                <w:color w:val="333333"/>
                <w:sz w:val="18"/>
                <w:szCs w:val="18"/>
              </w:rPr>
              <w:t>The treatment</w:t>
            </w:r>
            <w:r w:rsidRPr="00A953F5">
              <w:rPr>
                <w:rFonts w:ascii="Arial Narrow" w:hAnsi="Arial Narrow"/>
                <w:i/>
                <w:color w:val="333333"/>
                <w:sz w:val="18"/>
                <w:szCs w:val="18"/>
              </w:rPr>
              <w:t xml:space="preserve"> must be ceased upon disease progression or after completion of 12 cycles of PBS-subsidised treatment with this drug for this condition, whichever comes first.</w:t>
            </w:r>
          </w:p>
        </w:tc>
      </w:tr>
      <w:tr w:rsidR="00217A3E" w:rsidRPr="00A953F5" w:rsidTr="00217A3E">
        <w:trPr>
          <w:trHeight w:val="368"/>
        </w:trPr>
        <w:tc>
          <w:tcPr>
            <w:tcW w:w="766" w:type="pct"/>
            <w:hideMark/>
          </w:tcPr>
          <w:p w:rsidR="00217A3E" w:rsidRPr="00A953F5" w:rsidRDefault="00217A3E" w:rsidP="00217A3E">
            <w:pPr>
              <w:jc w:val="left"/>
              <w:rPr>
                <w:rFonts w:ascii="Arial Narrow" w:hAnsi="Arial Narrow"/>
                <w:color w:val="333333"/>
                <w:sz w:val="18"/>
                <w:szCs w:val="18"/>
              </w:rPr>
            </w:pPr>
            <w:r w:rsidRPr="00A953F5">
              <w:rPr>
                <w:rFonts w:ascii="Arial Narrow" w:hAnsi="Arial Narrow"/>
                <w:b/>
                <w:bCs/>
                <w:color w:val="333333"/>
                <w:sz w:val="18"/>
                <w:szCs w:val="18"/>
              </w:rPr>
              <w:t>Administrative Advice:</w:t>
            </w:r>
          </w:p>
        </w:tc>
        <w:tc>
          <w:tcPr>
            <w:tcW w:w="4234" w:type="pct"/>
            <w:hideMark/>
          </w:tcPr>
          <w:p w:rsidR="00217A3E" w:rsidRPr="00A953F5" w:rsidRDefault="00217A3E" w:rsidP="00217A3E">
            <w:pPr>
              <w:jc w:val="left"/>
              <w:rPr>
                <w:rFonts w:ascii="Arial Narrow" w:hAnsi="Arial Narrow"/>
                <w:color w:val="333333"/>
                <w:sz w:val="18"/>
                <w:szCs w:val="18"/>
              </w:rPr>
            </w:pPr>
            <w:r w:rsidRPr="00A953F5">
              <w:rPr>
                <w:rFonts w:ascii="Arial Narrow" w:hAnsi="Arial Narrow"/>
                <w:color w:val="333333"/>
                <w:sz w:val="18"/>
                <w:szCs w:val="18"/>
              </w:rPr>
              <w:t>No increase in the maximum quantity or number of units may be authorised.</w:t>
            </w:r>
          </w:p>
          <w:p w:rsidR="00217A3E" w:rsidRPr="00A953F5" w:rsidRDefault="00217A3E" w:rsidP="00217A3E">
            <w:pPr>
              <w:jc w:val="left"/>
              <w:rPr>
                <w:rFonts w:ascii="Arial Narrow" w:hAnsi="Arial Narrow"/>
                <w:color w:val="333333"/>
                <w:sz w:val="18"/>
                <w:szCs w:val="18"/>
              </w:rPr>
            </w:pPr>
            <w:r w:rsidRPr="00A953F5">
              <w:rPr>
                <w:rFonts w:ascii="Arial Narrow" w:hAnsi="Arial Narrow"/>
                <w:color w:val="333333"/>
                <w:sz w:val="18"/>
                <w:szCs w:val="18"/>
              </w:rPr>
              <w:t>No increase in the maximum number of repeats may be authorised.</w:t>
            </w:r>
          </w:p>
          <w:p w:rsidR="00217A3E" w:rsidRPr="00A953F5" w:rsidRDefault="00217A3E" w:rsidP="00217A3E">
            <w:pPr>
              <w:jc w:val="left"/>
              <w:rPr>
                <w:rFonts w:ascii="Arial Narrow" w:hAnsi="Arial Narrow"/>
                <w:color w:val="333333"/>
                <w:sz w:val="18"/>
                <w:szCs w:val="18"/>
              </w:rPr>
            </w:pPr>
            <w:r w:rsidRPr="00A953F5">
              <w:rPr>
                <w:rFonts w:ascii="Arial Narrow" w:hAnsi="Arial Narrow"/>
                <w:color w:val="333333"/>
                <w:sz w:val="18"/>
                <w:szCs w:val="18"/>
              </w:rPr>
              <w:t xml:space="preserve">Special Pricing Arrangements apply. </w:t>
            </w:r>
          </w:p>
        </w:tc>
      </w:tr>
    </w:tbl>
    <w:p w:rsidR="001208FC" w:rsidRDefault="001208FC" w:rsidP="001208FC"/>
    <w:p w:rsidR="006F45EA" w:rsidRDefault="006F45EA" w:rsidP="001208FC"/>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7"/>
      </w:tblGrid>
      <w:tr w:rsidR="006F45EA" w:rsidRPr="00A953F5" w:rsidTr="00AE4E34">
        <w:trPr>
          <w:cantSplit/>
          <w:trHeight w:val="471"/>
        </w:trPr>
        <w:tc>
          <w:tcPr>
            <w:tcW w:w="2689" w:type="dxa"/>
          </w:tcPr>
          <w:p w:rsidR="006F45EA" w:rsidRPr="00A953F5" w:rsidRDefault="006F45EA" w:rsidP="00AE4E34">
            <w:pPr>
              <w:keepNext/>
              <w:ind w:left="-108"/>
              <w:rPr>
                <w:rFonts w:ascii="Arial Narrow" w:hAnsi="Arial Narrow"/>
                <w:b/>
                <w:sz w:val="18"/>
                <w:szCs w:val="18"/>
              </w:rPr>
            </w:pPr>
            <w:r w:rsidRPr="00A953F5">
              <w:rPr>
                <w:rFonts w:ascii="Arial Narrow" w:hAnsi="Arial Narrow"/>
                <w:b/>
                <w:sz w:val="18"/>
                <w:szCs w:val="18"/>
              </w:rPr>
              <w:t>Name, Restriction,</w:t>
            </w:r>
          </w:p>
          <w:p w:rsidR="006F45EA" w:rsidRPr="00A953F5" w:rsidRDefault="006F45EA" w:rsidP="00AE4E34">
            <w:pPr>
              <w:keepNext/>
              <w:ind w:left="-108"/>
              <w:rPr>
                <w:rFonts w:ascii="Arial Narrow" w:hAnsi="Arial Narrow"/>
                <w:b/>
                <w:sz w:val="18"/>
                <w:szCs w:val="18"/>
              </w:rPr>
            </w:pPr>
            <w:r w:rsidRPr="00A953F5">
              <w:rPr>
                <w:rFonts w:ascii="Arial Narrow" w:hAnsi="Arial Narrow"/>
                <w:b/>
                <w:sz w:val="18"/>
                <w:szCs w:val="18"/>
              </w:rPr>
              <w:t>Manner of administration and form</w:t>
            </w:r>
          </w:p>
        </w:tc>
        <w:tc>
          <w:tcPr>
            <w:tcW w:w="1275"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PBS item code</w:t>
            </w:r>
          </w:p>
        </w:tc>
        <w:tc>
          <w:tcPr>
            <w:tcW w:w="851"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Max. qty packs</w:t>
            </w:r>
          </w:p>
        </w:tc>
        <w:tc>
          <w:tcPr>
            <w:tcW w:w="850"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Max. qty units</w:t>
            </w:r>
          </w:p>
        </w:tc>
        <w:tc>
          <w:tcPr>
            <w:tcW w:w="709"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№.of</w:t>
            </w:r>
          </w:p>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Rpts</w:t>
            </w:r>
          </w:p>
        </w:tc>
        <w:tc>
          <w:tcPr>
            <w:tcW w:w="2551" w:type="dxa"/>
            <w:gridSpan w:val="2"/>
          </w:tcPr>
          <w:p w:rsidR="006F45EA" w:rsidRPr="00A953F5" w:rsidRDefault="006F45EA" w:rsidP="00AE4E34">
            <w:pPr>
              <w:keepNext/>
              <w:rPr>
                <w:rFonts w:ascii="Arial Narrow" w:hAnsi="Arial Narrow"/>
                <w:b/>
                <w:sz w:val="18"/>
                <w:szCs w:val="18"/>
                <w:lang w:val="fr-FR"/>
              </w:rPr>
            </w:pPr>
            <w:r w:rsidRPr="00A953F5">
              <w:rPr>
                <w:rFonts w:ascii="Arial Narrow" w:hAnsi="Arial Narrow"/>
                <w:b/>
                <w:sz w:val="18"/>
                <w:szCs w:val="18"/>
              </w:rPr>
              <w:t>Proprietary Name and Manufacturer</w:t>
            </w:r>
          </w:p>
        </w:tc>
      </w:tr>
      <w:tr w:rsidR="006F45EA" w:rsidRPr="00A953F5" w:rsidTr="00AE4E34">
        <w:trPr>
          <w:cantSplit/>
          <w:trHeight w:val="664"/>
        </w:trPr>
        <w:tc>
          <w:tcPr>
            <w:tcW w:w="2689" w:type="dxa"/>
          </w:tcPr>
          <w:p w:rsidR="006F45EA" w:rsidRPr="00A953F5" w:rsidRDefault="006F45EA" w:rsidP="00AE4E34">
            <w:pPr>
              <w:keepNext/>
              <w:ind w:left="-108"/>
              <w:rPr>
                <w:rFonts w:ascii="Arial Narrow" w:hAnsi="Arial Narrow"/>
                <w:smallCaps/>
                <w:sz w:val="18"/>
                <w:szCs w:val="18"/>
              </w:rPr>
            </w:pPr>
            <w:r w:rsidRPr="00A953F5">
              <w:rPr>
                <w:rFonts w:ascii="Arial Narrow" w:hAnsi="Arial Narrow"/>
                <w:smallCaps/>
                <w:sz w:val="18"/>
                <w:szCs w:val="18"/>
              </w:rPr>
              <w:t>Venetoclax (continuing treatment)</w:t>
            </w:r>
          </w:p>
          <w:p w:rsidR="006F45EA" w:rsidRPr="00A953F5" w:rsidRDefault="006F45EA" w:rsidP="00AE4E34">
            <w:pPr>
              <w:keepNext/>
              <w:ind w:left="-108"/>
              <w:rPr>
                <w:rFonts w:ascii="Arial Narrow" w:hAnsi="Arial Narrow"/>
                <w:sz w:val="18"/>
                <w:szCs w:val="18"/>
              </w:rPr>
            </w:pPr>
          </w:p>
          <w:p w:rsidR="006F45EA" w:rsidRPr="00A953F5" w:rsidRDefault="006F45EA" w:rsidP="00AE4E34">
            <w:pPr>
              <w:keepNext/>
              <w:ind w:left="-108"/>
              <w:rPr>
                <w:rFonts w:ascii="Arial Narrow" w:hAnsi="Arial Narrow"/>
                <w:sz w:val="18"/>
                <w:szCs w:val="18"/>
              </w:rPr>
            </w:pPr>
            <w:r w:rsidRPr="00A953F5">
              <w:rPr>
                <w:rFonts w:ascii="Arial Narrow" w:hAnsi="Arial Narrow"/>
                <w:sz w:val="18"/>
                <w:szCs w:val="18"/>
              </w:rPr>
              <w:t>venetoclax 100 mg tablet, 120</w:t>
            </w:r>
          </w:p>
        </w:tc>
        <w:tc>
          <w:tcPr>
            <w:tcW w:w="1275" w:type="dxa"/>
          </w:tcPr>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r w:rsidRPr="00A953F5">
              <w:rPr>
                <w:rFonts w:ascii="Arial Narrow" w:hAnsi="Arial Narrow"/>
                <w:sz w:val="18"/>
                <w:szCs w:val="18"/>
              </w:rPr>
              <w:t>NEW</w:t>
            </w:r>
          </w:p>
        </w:tc>
        <w:tc>
          <w:tcPr>
            <w:tcW w:w="851" w:type="dxa"/>
          </w:tcPr>
          <w:p w:rsidR="006F45EA" w:rsidRPr="00A953F5" w:rsidRDefault="006F45EA" w:rsidP="00AE4E34">
            <w:pPr>
              <w:keepNext/>
              <w:jc w:val="center"/>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jc w:val="center"/>
              <w:rPr>
                <w:rFonts w:ascii="Arial Narrow" w:hAnsi="Arial Narrow"/>
                <w:sz w:val="18"/>
                <w:szCs w:val="18"/>
              </w:rPr>
            </w:pPr>
            <w:r w:rsidRPr="00A953F5">
              <w:rPr>
                <w:rFonts w:ascii="Arial Narrow" w:hAnsi="Arial Narrow"/>
                <w:sz w:val="18"/>
                <w:szCs w:val="18"/>
              </w:rPr>
              <w:t>1</w:t>
            </w:r>
          </w:p>
        </w:tc>
        <w:tc>
          <w:tcPr>
            <w:tcW w:w="850" w:type="dxa"/>
          </w:tcPr>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r w:rsidRPr="00A953F5">
              <w:rPr>
                <w:rFonts w:ascii="Arial Narrow" w:hAnsi="Arial Narrow"/>
                <w:sz w:val="18"/>
                <w:szCs w:val="18"/>
              </w:rPr>
              <w:t>120</w:t>
            </w:r>
          </w:p>
        </w:tc>
        <w:tc>
          <w:tcPr>
            <w:tcW w:w="709" w:type="dxa"/>
          </w:tcPr>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ind w:left="-108"/>
              <w:jc w:val="center"/>
              <w:rPr>
                <w:rFonts w:ascii="Arial Narrow" w:hAnsi="Arial Narrow"/>
                <w:sz w:val="18"/>
                <w:szCs w:val="18"/>
              </w:rPr>
            </w:pPr>
          </w:p>
          <w:p w:rsidR="006F45EA" w:rsidRPr="00A953F5" w:rsidRDefault="006F45EA" w:rsidP="00AE4E34">
            <w:pPr>
              <w:keepNext/>
              <w:ind w:left="-108"/>
              <w:jc w:val="center"/>
              <w:rPr>
                <w:rFonts w:ascii="Arial Narrow" w:hAnsi="Arial Narrow"/>
                <w:i/>
                <w:strike/>
                <w:sz w:val="18"/>
                <w:szCs w:val="18"/>
              </w:rPr>
            </w:pPr>
            <w:r w:rsidRPr="00A953F5">
              <w:rPr>
                <w:rFonts w:ascii="Arial Narrow" w:hAnsi="Arial Narrow"/>
                <w:strike/>
                <w:sz w:val="18"/>
                <w:szCs w:val="18"/>
              </w:rPr>
              <w:t>5</w:t>
            </w:r>
            <w:r w:rsidRPr="00A953F5">
              <w:rPr>
                <w:rFonts w:ascii="Arial Narrow" w:hAnsi="Arial Narrow"/>
                <w:sz w:val="18"/>
                <w:szCs w:val="18"/>
              </w:rPr>
              <w:t xml:space="preserve"> </w:t>
            </w:r>
            <w:r w:rsidRPr="00A953F5">
              <w:rPr>
                <w:rFonts w:ascii="Arial Narrow" w:hAnsi="Arial Narrow"/>
                <w:i/>
                <w:sz w:val="18"/>
                <w:szCs w:val="18"/>
              </w:rPr>
              <w:t>4</w:t>
            </w:r>
          </w:p>
        </w:tc>
        <w:tc>
          <w:tcPr>
            <w:tcW w:w="1134" w:type="dxa"/>
          </w:tcPr>
          <w:p w:rsidR="006F45EA" w:rsidRPr="00A953F5" w:rsidRDefault="006F45EA" w:rsidP="00AE4E34">
            <w:pPr>
              <w:keepNext/>
              <w:rPr>
                <w:rFonts w:ascii="Arial Narrow" w:hAnsi="Arial Narrow"/>
                <w:sz w:val="18"/>
                <w:szCs w:val="18"/>
              </w:rPr>
            </w:pPr>
          </w:p>
          <w:p w:rsidR="006F45EA" w:rsidRPr="00A953F5" w:rsidRDefault="006F45EA" w:rsidP="00AE4E34">
            <w:pPr>
              <w:keepNext/>
              <w:rPr>
                <w:rFonts w:ascii="Arial Narrow" w:hAnsi="Arial Narrow"/>
                <w:sz w:val="18"/>
                <w:szCs w:val="18"/>
              </w:rPr>
            </w:pPr>
          </w:p>
          <w:p w:rsidR="006F45EA" w:rsidRPr="00A953F5" w:rsidRDefault="006F45EA" w:rsidP="00AE4E34">
            <w:pPr>
              <w:keepNext/>
              <w:rPr>
                <w:rFonts w:ascii="Arial Narrow" w:hAnsi="Arial Narrow"/>
                <w:sz w:val="18"/>
                <w:szCs w:val="18"/>
              </w:rPr>
            </w:pPr>
            <w:r w:rsidRPr="00A953F5">
              <w:rPr>
                <w:rFonts w:ascii="Arial Narrow" w:hAnsi="Arial Narrow"/>
                <w:sz w:val="18"/>
                <w:szCs w:val="18"/>
              </w:rPr>
              <w:t>Venclexta®</w:t>
            </w:r>
          </w:p>
        </w:tc>
        <w:tc>
          <w:tcPr>
            <w:tcW w:w="1417" w:type="dxa"/>
          </w:tcPr>
          <w:p w:rsidR="006F45EA" w:rsidRPr="00A953F5" w:rsidRDefault="006F45EA" w:rsidP="00AE4E34">
            <w:pPr>
              <w:keepNext/>
              <w:rPr>
                <w:rFonts w:ascii="Arial Narrow" w:hAnsi="Arial Narrow"/>
                <w:sz w:val="18"/>
                <w:szCs w:val="18"/>
              </w:rPr>
            </w:pPr>
          </w:p>
          <w:p w:rsidR="006F45EA" w:rsidRPr="00A953F5" w:rsidRDefault="006F45EA" w:rsidP="00AE4E34">
            <w:pPr>
              <w:keepNext/>
              <w:rPr>
                <w:rFonts w:ascii="Arial Narrow" w:hAnsi="Arial Narrow"/>
                <w:sz w:val="18"/>
                <w:szCs w:val="18"/>
              </w:rPr>
            </w:pPr>
          </w:p>
          <w:p w:rsidR="006F45EA" w:rsidRPr="00A953F5" w:rsidRDefault="006F45EA" w:rsidP="00AE4E34">
            <w:pPr>
              <w:keepNext/>
              <w:rPr>
                <w:rFonts w:ascii="Arial Narrow" w:hAnsi="Arial Narrow"/>
                <w:sz w:val="18"/>
                <w:szCs w:val="18"/>
              </w:rPr>
            </w:pPr>
            <w:r w:rsidRPr="00A953F5">
              <w:rPr>
                <w:rFonts w:ascii="Arial Narrow" w:hAnsi="Arial Narrow"/>
                <w:sz w:val="18"/>
                <w:szCs w:val="18"/>
              </w:rPr>
              <w:t>AbbVie Pty Ltd</w:t>
            </w:r>
          </w:p>
        </w:tc>
      </w:tr>
    </w:tbl>
    <w:p w:rsidR="006F45EA" w:rsidRPr="00A953F5" w:rsidRDefault="006F45EA" w:rsidP="006F45EA">
      <w:pPr>
        <w:rPr>
          <w:rFonts w:ascii="Arial Narrow" w:hAnsi="Arial Narrow"/>
          <w:b/>
          <w:sz w:val="18"/>
          <w:szCs w:val="1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7559"/>
      </w:tblGrid>
      <w:tr w:rsidR="006F45EA" w:rsidRPr="00A953F5" w:rsidTr="00955A7B">
        <w:tc>
          <w:tcPr>
            <w:tcW w:w="766" w:type="pct"/>
            <w:tcBorders>
              <w:top w:val="single" w:sz="4" w:space="0" w:color="auto"/>
              <w:left w:val="single" w:sz="4" w:space="0" w:color="auto"/>
              <w:bottom w:val="single" w:sz="4" w:space="0" w:color="auto"/>
              <w:right w:val="single" w:sz="4" w:space="0" w:color="auto"/>
            </w:tcBorders>
          </w:tcPr>
          <w:p w:rsidR="006F45EA" w:rsidRPr="00955A7B" w:rsidRDefault="00955A7B" w:rsidP="00955A7B">
            <w:pPr>
              <w:jc w:val="left"/>
              <w:rPr>
                <w:rFonts w:ascii="Arial Narrow" w:hAnsi="Arial Narrow"/>
                <w:b/>
                <w:sz w:val="18"/>
                <w:szCs w:val="18"/>
              </w:rPr>
            </w:pPr>
            <w:r w:rsidRPr="00955A7B">
              <w:rPr>
                <w:rFonts w:ascii="Arial Narrow" w:hAnsi="Arial Narrow"/>
                <w:b/>
                <w:sz w:val="18"/>
                <w:szCs w:val="18"/>
              </w:rPr>
              <w:t>Category/Program:</w:t>
            </w:r>
          </w:p>
        </w:tc>
        <w:tc>
          <w:tcPr>
            <w:tcW w:w="4234" w:type="pct"/>
            <w:tcBorders>
              <w:top w:val="single" w:sz="4" w:space="0" w:color="auto"/>
              <w:left w:val="single" w:sz="4" w:space="0" w:color="auto"/>
              <w:bottom w:val="single" w:sz="4" w:space="0" w:color="auto"/>
              <w:right w:val="single" w:sz="4" w:space="0" w:color="auto"/>
            </w:tcBorders>
          </w:tcPr>
          <w:p w:rsidR="006F45EA" w:rsidRPr="00A953F5" w:rsidRDefault="006F45EA" w:rsidP="00955A7B">
            <w:pPr>
              <w:jc w:val="left"/>
              <w:rPr>
                <w:rFonts w:ascii="Arial Narrow" w:hAnsi="Arial Narrow"/>
                <w:sz w:val="18"/>
                <w:szCs w:val="18"/>
              </w:rPr>
            </w:pPr>
            <w:r w:rsidRPr="00A953F5">
              <w:rPr>
                <w:rFonts w:ascii="Arial Narrow" w:hAnsi="Arial Narrow"/>
                <w:sz w:val="18"/>
                <w:szCs w:val="18"/>
              </w:rPr>
              <w:t xml:space="preserve">GENERAL – General Schedule (Code GE) </w:t>
            </w:r>
          </w:p>
        </w:tc>
      </w:tr>
      <w:tr w:rsidR="006F45EA" w:rsidRPr="00A953F5" w:rsidTr="00955A7B">
        <w:trPr>
          <w:trHeight w:val="163"/>
        </w:trPr>
        <w:tc>
          <w:tcPr>
            <w:tcW w:w="766" w:type="pct"/>
            <w:tcBorders>
              <w:top w:val="single" w:sz="4" w:space="0" w:color="auto"/>
              <w:left w:val="single" w:sz="4" w:space="0" w:color="auto"/>
              <w:bottom w:val="single" w:sz="4" w:space="0" w:color="auto"/>
              <w:right w:val="single" w:sz="4" w:space="0" w:color="auto"/>
            </w:tcBorders>
          </w:tcPr>
          <w:p w:rsidR="006F45EA" w:rsidRPr="00955A7B" w:rsidRDefault="00955A7B" w:rsidP="00955A7B">
            <w:pPr>
              <w:jc w:val="left"/>
              <w:rPr>
                <w:rFonts w:ascii="Arial Narrow" w:hAnsi="Arial Narrow"/>
                <w:sz w:val="18"/>
                <w:szCs w:val="18"/>
              </w:rPr>
            </w:pPr>
            <w:r w:rsidRPr="00955A7B">
              <w:rPr>
                <w:rFonts w:ascii="Arial Narrow" w:hAnsi="Arial Narrow"/>
                <w:b/>
                <w:sz w:val="18"/>
                <w:szCs w:val="18"/>
              </w:rPr>
              <w:t>Prescriber type</w:t>
            </w:r>
          </w:p>
        </w:tc>
        <w:tc>
          <w:tcPr>
            <w:tcW w:w="4234" w:type="pct"/>
            <w:tcBorders>
              <w:top w:val="single" w:sz="4" w:space="0" w:color="auto"/>
              <w:left w:val="single" w:sz="4" w:space="0" w:color="auto"/>
              <w:bottom w:val="single" w:sz="4" w:space="0" w:color="auto"/>
              <w:right w:val="single" w:sz="4" w:space="0" w:color="auto"/>
            </w:tcBorders>
          </w:tcPr>
          <w:p w:rsidR="006F45EA" w:rsidRPr="00A953F5" w:rsidRDefault="006F45EA" w:rsidP="00955A7B">
            <w:pPr>
              <w:jc w:val="left"/>
              <w:rPr>
                <w:rFonts w:ascii="Arial Narrow" w:hAnsi="Arial Narrow"/>
                <w:sz w:val="18"/>
                <w:szCs w:val="18"/>
              </w:rPr>
            </w:pPr>
            <w:r w:rsidRPr="00A953F5">
              <w:rPr>
                <w:rFonts w:ascii="Arial Narrow" w:hAnsi="Arial Narrow"/>
                <w:sz w:val="18"/>
                <w:szCs w:val="18"/>
              </w:rPr>
              <w:fldChar w:fldCharType="begin">
                <w:ffData>
                  <w:name w:val="Check1"/>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 xml:space="preserve">Dental  </w:t>
            </w:r>
            <w:r w:rsidRPr="00A953F5">
              <w:rPr>
                <w:rFonts w:ascii="Arial Narrow" w:hAnsi="Arial Narrow"/>
                <w:sz w:val="18"/>
                <w:szCs w:val="18"/>
              </w:rPr>
              <w:fldChar w:fldCharType="begin">
                <w:ffData>
                  <w:name w:val=""/>
                  <w:enabled/>
                  <w:calcOnExit w:val="0"/>
                  <w:checkBox>
                    <w:sizeAuto/>
                    <w:default w:val="1"/>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 xml:space="preserve">Medical Practitioners  </w:t>
            </w:r>
            <w:r w:rsidRPr="00A953F5">
              <w:rPr>
                <w:rFonts w:ascii="Arial Narrow" w:hAnsi="Arial Narrow"/>
                <w:sz w:val="18"/>
                <w:szCs w:val="18"/>
              </w:rPr>
              <w:fldChar w:fldCharType="begin">
                <w:ffData>
                  <w:name w:val="Check3"/>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 xml:space="preserve">Nurse practitioners  </w:t>
            </w:r>
            <w:r w:rsidRPr="00A953F5">
              <w:rPr>
                <w:rFonts w:ascii="Arial Narrow" w:hAnsi="Arial Narrow"/>
                <w:sz w:val="18"/>
                <w:szCs w:val="18"/>
              </w:rPr>
              <w:fldChar w:fldCharType="begin">
                <w:ffData>
                  <w:name w:val=""/>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 xml:space="preserve">Optometrists    </w:t>
            </w:r>
            <w:r w:rsidRPr="00A953F5">
              <w:rPr>
                <w:rFonts w:ascii="Arial Narrow" w:hAnsi="Arial Narrow"/>
                <w:sz w:val="18"/>
                <w:szCs w:val="18"/>
              </w:rPr>
              <w:fldChar w:fldCharType="begin">
                <w:ffData>
                  <w:name w:val="Check5"/>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Midwives</w:t>
            </w:r>
          </w:p>
        </w:tc>
      </w:tr>
      <w:tr w:rsidR="006F45EA" w:rsidRPr="00A953F5" w:rsidTr="00955A7B">
        <w:tc>
          <w:tcPr>
            <w:tcW w:w="766" w:type="pct"/>
            <w:tcBorders>
              <w:top w:val="single" w:sz="4" w:space="0" w:color="auto"/>
              <w:left w:val="single" w:sz="4" w:space="0" w:color="auto"/>
              <w:bottom w:val="single" w:sz="4" w:space="0" w:color="auto"/>
              <w:right w:val="single" w:sz="4" w:space="0" w:color="auto"/>
            </w:tcBorders>
          </w:tcPr>
          <w:p w:rsidR="00955A7B" w:rsidRPr="00955A7B" w:rsidRDefault="00955A7B" w:rsidP="00955A7B">
            <w:pPr>
              <w:jc w:val="left"/>
              <w:rPr>
                <w:rFonts w:ascii="Arial Narrow" w:hAnsi="Arial Narrow"/>
                <w:b/>
                <w:sz w:val="18"/>
                <w:szCs w:val="18"/>
              </w:rPr>
            </w:pPr>
            <w:r>
              <w:rPr>
                <w:rFonts w:ascii="Arial Narrow" w:hAnsi="Arial Narrow"/>
                <w:b/>
                <w:sz w:val="18"/>
                <w:szCs w:val="18"/>
              </w:rPr>
              <w:t>Restriction l</w:t>
            </w:r>
            <w:r w:rsidRPr="00955A7B">
              <w:rPr>
                <w:rFonts w:ascii="Arial Narrow" w:hAnsi="Arial Narrow"/>
                <w:b/>
                <w:sz w:val="18"/>
                <w:szCs w:val="18"/>
              </w:rPr>
              <w:t>evel/</w:t>
            </w:r>
            <w:r>
              <w:rPr>
                <w:rFonts w:ascii="Arial Narrow" w:hAnsi="Arial Narrow"/>
                <w:b/>
                <w:sz w:val="18"/>
                <w:szCs w:val="18"/>
              </w:rPr>
              <w:t xml:space="preserve"> </w:t>
            </w:r>
            <w:r w:rsidRPr="00955A7B">
              <w:rPr>
                <w:rFonts w:ascii="Arial Narrow" w:hAnsi="Arial Narrow"/>
                <w:b/>
                <w:sz w:val="18"/>
                <w:szCs w:val="18"/>
              </w:rPr>
              <w:t>Method:</w:t>
            </w:r>
          </w:p>
          <w:p w:rsidR="006F45EA" w:rsidRPr="00955A7B" w:rsidRDefault="006F45EA" w:rsidP="00955A7B">
            <w:pPr>
              <w:jc w:val="left"/>
              <w:rPr>
                <w:rFonts w:ascii="Arial Narrow" w:hAnsi="Arial Narrow"/>
                <w:sz w:val="18"/>
                <w:szCs w:val="18"/>
              </w:rPr>
            </w:pPr>
          </w:p>
          <w:p w:rsidR="006F45EA" w:rsidRPr="00955A7B" w:rsidRDefault="006F45EA" w:rsidP="00955A7B">
            <w:pPr>
              <w:jc w:val="left"/>
              <w:rPr>
                <w:rFonts w:ascii="Arial Narrow" w:hAnsi="Arial Narrow"/>
                <w:sz w:val="18"/>
                <w:szCs w:val="18"/>
              </w:rPr>
            </w:pPr>
          </w:p>
          <w:p w:rsidR="006F45EA" w:rsidRPr="00955A7B" w:rsidRDefault="006F45EA" w:rsidP="00955A7B">
            <w:pPr>
              <w:jc w:val="left"/>
              <w:rPr>
                <w:rFonts w:ascii="Arial Narrow" w:hAnsi="Arial Narrow"/>
                <w:sz w:val="18"/>
                <w:szCs w:val="18"/>
              </w:rPr>
            </w:pPr>
          </w:p>
        </w:tc>
        <w:tc>
          <w:tcPr>
            <w:tcW w:w="4234" w:type="pct"/>
            <w:tcBorders>
              <w:top w:val="single" w:sz="4" w:space="0" w:color="auto"/>
              <w:left w:val="single" w:sz="4" w:space="0" w:color="auto"/>
              <w:bottom w:val="single" w:sz="4" w:space="0" w:color="auto"/>
              <w:right w:val="single" w:sz="4" w:space="0" w:color="auto"/>
            </w:tcBorders>
          </w:tcPr>
          <w:p w:rsidR="006F45EA" w:rsidRPr="00A953F5" w:rsidRDefault="006F45EA" w:rsidP="00955A7B">
            <w:pPr>
              <w:jc w:val="left"/>
              <w:rPr>
                <w:rFonts w:ascii="Arial Narrow" w:hAnsi="Arial Narrow"/>
                <w:sz w:val="18"/>
                <w:szCs w:val="18"/>
              </w:rPr>
            </w:pPr>
            <w:r w:rsidRPr="00A953F5">
              <w:rPr>
                <w:rFonts w:ascii="Arial Narrow" w:hAnsi="Arial Narrow"/>
                <w:sz w:val="18"/>
                <w:szCs w:val="18"/>
              </w:rPr>
              <w:fldChar w:fldCharType="begin">
                <w:ffData>
                  <w:name w:val="Check1"/>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Unrestricted benefit</w:t>
            </w:r>
          </w:p>
          <w:p w:rsidR="006F45EA" w:rsidRPr="00A953F5" w:rsidRDefault="006F45EA" w:rsidP="00955A7B">
            <w:pPr>
              <w:jc w:val="left"/>
              <w:rPr>
                <w:rFonts w:ascii="Arial Narrow" w:hAnsi="Arial Narrow"/>
                <w:sz w:val="18"/>
                <w:szCs w:val="18"/>
              </w:rPr>
            </w:pPr>
            <w:r w:rsidRPr="00A953F5">
              <w:rPr>
                <w:rFonts w:ascii="Arial Narrow" w:hAnsi="Arial Narrow"/>
                <w:sz w:val="18"/>
                <w:szCs w:val="18"/>
              </w:rPr>
              <w:fldChar w:fldCharType="begin">
                <w:ffData>
                  <w:name w:val="Check1"/>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Restricted benefit</w:t>
            </w:r>
          </w:p>
          <w:p w:rsidR="006F45EA" w:rsidRPr="00A953F5" w:rsidRDefault="006F45EA" w:rsidP="00955A7B">
            <w:pPr>
              <w:jc w:val="left"/>
              <w:rPr>
                <w:rFonts w:ascii="Arial Narrow" w:hAnsi="Arial Narrow"/>
                <w:sz w:val="18"/>
                <w:szCs w:val="18"/>
              </w:rPr>
            </w:pPr>
            <w:r w:rsidRPr="00A953F5">
              <w:rPr>
                <w:rFonts w:ascii="Arial Narrow" w:hAnsi="Arial Narrow"/>
                <w:sz w:val="18"/>
                <w:szCs w:val="18"/>
              </w:rPr>
              <w:fldChar w:fldCharType="begin">
                <w:ffData>
                  <w:name w:val=""/>
                  <w:enabled/>
                  <w:calcOnExit w:val="0"/>
                  <w:checkBox>
                    <w:sizeAuto/>
                    <w:default w:val="0"/>
                  </w:checkBox>
                </w:ffData>
              </w:fldChar>
            </w:r>
            <w:r w:rsidRPr="00A953F5">
              <w:rPr>
                <w:rFonts w:ascii="Arial Narrow" w:hAnsi="Arial Narrow"/>
                <w:sz w:val="18"/>
                <w:szCs w:val="18"/>
              </w:rPr>
              <w:instrText xml:space="preserve"> FORMCHECKBOX </w:instrText>
            </w:r>
            <w:r w:rsidR="00BA436D">
              <w:rPr>
                <w:rFonts w:ascii="Arial Narrow" w:hAnsi="Arial Narrow"/>
                <w:sz w:val="18"/>
                <w:szCs w:val="18"/>
              </w:rPr>
            </w:r>
            <w:r w:rsidR="00BA436D">
              <w:rPr>
                <w:rFonts w:ascii="Arial Narrow" w:hAnsi="Arial Narrow"/>
                <w:sz w:val="18"/>
                <w:szCs w:val="18"/>
              </w:rPr>
              <w:fldChar w:fldCharType="separate"/>
            </w:r>
            <w:r w:rsidRPr="00A953F5">
              <w:rPr>
                <w:rFonts w:ascii="Arial Narrow" w:hAnsi="Arial Narrow"/>
                <w:sz w:val="18"/>
                <w:szCs w:val="18"/>
              </w:rPr>
              <w:fldChar w:fldCharType="end"/>
            </w:r>
            <w:r w:rsidRPr="00A953F5">
              <w:rPr>
                <w:rFonts w:ascii="Arial Narrow" w:hAnsi="Arial Narrow"/>
                <w:sz w:val="18"/>
                <w:szCs w:val="18"/>
              </w:rPr>
              <w:t>Authority Required – In Writing</w:t>
            </w:r>
          </w:p>
          <w:p w:rsidR="006F45EA" w:rsidRPr="00A953F5" w:rsidRDefault="006F45EA" w:rsidP="00955A7B">
            <w:pPr>
              <w:jc w:val="left"/>
              <w:rPr>
                <w:rFonts w:ascii="Arial Narrow" w:hAnsi="Arial Narrow"/>
                <w:i/>
                <w:sz w:val="18"/>
                <w:szCs w:val="18"/>
              </w:rPr>
            </w:pPr>
            <w:r w:rsidRPr="00A953F5">
              <w:rPr>
                <w:rFonts w:ascii="Arial Narrow" w:hAnsi="Arial Narrow"/>
                <w:i/>
                <w:sz w:val="18"/>
                <w:szCs w:val="18"/>
              </w:rPr>
              <w:fldChar w:fldCharType="begin">
                <w:ffData>
                  <w:name w:val=""/>
                  <w:enabled/>
                  <w:calcOnExit w:val="0"/>
                  <w:checkBox>
                    <w:sizeAuto/>
                    <w:default w:val="1"/>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Authority Required – Telephone/Electronic/Emergency</w:t>
            </w:r>
          </w:p>
          <w:p w:rsidR="006F45EA" w:rsidRPr="00A953F5" w:rsidRDefault="006F45EA" w:rsidP="00955A7B">
            <w:pPr>
              <w:jc w:val="left"/>
              <w:rPr>
                <w:rFonts w:ascii="Arial Narrow" w:hAnsi="Arial Narrow"/>
                <w:sz w:val="18"/>
                <w:szCs w:val="18"/>
              </w:rPr>
            </w:pPr>
            <w:r w:rsidRPr="00A953F5">
              <w:rPr>
                <w:rFonts w:ascii="Arial Narrow" w:hAnsi="Arial Narrow"/>
                <w:strike/>
                <w:sz w:val="18"/>
                <w:szCs w:val="18"/>
              </w:rPr>
              <w:fldChar w:fldCharType="begin">
                <w:ffData>
                  <w:name w:val=""/>
                  <w:enabled/>
                  <w:calcOnExit w:val="0"/>
                  <w:checkBox>
                    <w:sizeAuto/>
                    <w:default w:val="1"/>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Authority Required - Streamlined</w:t>
            </w:r>
          </w:p>
        </w:tc>
      </w:tr>
      <w:tr w:rsidR="006F45EA" w:rsidRPr="00A953F5" w:rsidTr="00955A7B">
        <w:tc>
          <w:tcPr>
            <w:tcW w:w="766" w:type="pct"/>
          </w:tcPr>
          <w:p w:rsidR="006F45EA" w:rsidRPr="00955A7B" w:rsidRDefault="00955A7B" w:rsidP="00955A7B">
            <w:pPr>
              <w:jc w:val="left"/>
              <w:rPr>
                <w:rFonts w:ascii="Arial Narrow" w:hAnsi="Arial Narrow"/>
                <w:color w:val="333333"/>
                <w:sz w:val="18"/>
                <w:szCs w:val="18"/>
              </w:rPr>
            </w:pPr>
            <w:r w:rsidRPr="00955A7B">
              <w:rPr>
                <w:rFonts w:ascii="Arial Narrow" w:hAnsi="Arial Narrow"/>
                <w:b/>
                <w:bCs/>
                <w:color w:val="333333"/>
                <w:sz w:val="18"/>
                <w:szCs w:val="18"/>
              </w:rPr>
              <w:t>Episodicity:</w:t>
            </w:r>
          </w:p>
        </w:tc>
        <w:tc>
          <w:tcPr>
            <w:tcW w:w="4234" w:type="pct"/>
          </w:tcPr>
          <w:p w:rsidR="006F45EA" w:rsidRPr="00A953F5" w:rsidRDefault="006F45EA" w:rsidP="00955A7B">
            <w:pPr>
              <w:jc w:val="left"/>
              <w:rPr>
                <w:rFonts w:ascii="Arial Narrow" w:hAnsi="Arial Narrow"/>
                <w:b/>
                <w:bCs/>
                <w:i/>
                <w:color w:val="333333"/>
                <w:sz w:val="18"/>
                <w:szCs w:val="18"/>
              </w:rPr>
            </w:pPr>
            <w:r w:rsidRPr="00A953F5">
              <w:rPr>
                <w:rFonts w:ascii="Arial Narrow" w:hAnsi="Arial Narrow"/>
                <w:b/>
                <w:bCs/>
                <w:color w:val="333333"/>
                <w:sz w:val="18"/>
                <w:szCs w:val="18"/>
              </w:rPr>
              <w:t xml:space="preserve"> </w:t>
            </w:r>
            <w:r w:rsidRPr="00A953F5">
              <w:rPr>
                <w:rFonts w:ascii="Arial Narrow" w:hAnsi="Arial Narrow"/>
                <w:strike/>
                <w:color w:val="333333"/>
                <w:sz w:val="18"/>
                <w:szCs w:val="18"/>
              </w:rPr>
              <w:t>[nil]</w:t>
            </w:r>
            <w:r w:rsidRPr="00A953F5">
              <w:rPr>
                <w:rFonts w:ascii="Arial Narrow" w:hAnsi="Arial Narrow"/>
                <w:i/>
                <w:color w:val="333333"/>
                <w:sz w:val="18"/>
                <w:szCs w:val="18"/>
              </w:rPr>
              <w:t xml:space="preserve"> </w:t>
            </w:r>
          </w:p>
        </w:tc>
      </w:tr>
      <w:tr w:rsidR="006F45EA" w:rsidRPr="00A953F5" w:rsidTr="00955A7B">
        <w:tc>
          <w:tcPr>
            <w:tcW w:w="766" w:type="pct"/>
          </w:tcPr>
          <w:p w:rsidR="006F45EA" w:rsidRPr="00955A7B" w:rsidRDefault="00955A7B" w:rsidP="00955A7B">
            <w:pPr>
              <w:jc w:val="left"/>
              <w:rPr>
                <w:rFonts w:ascii="Arial Narrow" w:hAnsi="Arial Narrow"/>
                <w:color w:val="333333"/>
                <w:sz w:val="18"/>
                <w:szCs w:val="18"/>
              </w:rPr>
            </w:pPr>
            <w:r w:rsidRPr="00955A7B">
              <w:rPr>
                <w:rFonts w:ascii="Arial Narrow" w:hAnsi="Arial Narrow"/>
                <w:b/>
                <w:bCs/>
                <w:color w:val="333333"/>
                <w:sz w:val="18"/>
                <w:szCs w:val="18"/>
              </w:rPr>
              <w:t>Severity:</w:t>
            </w:r>
          </w:p>
        </w:tc>
        <w:tc>
          <w:tcPr>
            <w:tcW w:w="4234" w:type="pct"/>
          </w:tcPr>
          <w:p w:rsidR="006F45EA" w:rsidRPr="00A953F5" w:rsidRDefault="006F45EA" w:rsidP="00955A7B">
            <w:pPr>
              <w:jc w:val="left"/>
              <w:rPr>
                <w:rFonts w:ascii="Arial Narrow" w:hAnsi="Arial Narrow"/>
                <w:bCs/>
                <w:color w:val="333333"/>
                <w:sz w:val="18"/>
                <w:szCs w:val="18"/>
              </w:rPr>
            </w:pPr>
            <w:r w:rsidRPr="00A953F5">
              <w:rPr>
                <w:rFonts w:ascii="Arial Narrow" w:hAnsi="Arial Narrow"/>
                <w:bCs/>
                <w:strike/>
                <w:color w:val="333333"/>
                <w:sz w:val="18"/>
                <w:szCs w:val="18"/>
              </w:rPr>
              <w:t>Previously untreated</w:t>
            </w:r>
          </w:p>
        </w:tc>
      </w:tr>
      <w:tr w:rsidR="006F45EA" w:rsidRPr="00A953F5" w:rsidTr="00955A7B">
        <w:tc>
          <w:tcPr>
            <w:tcW w:w="766" w:type="pct"/>
          </w:tcPr>
          <w:p w:rsidR="006F45EA" w:rsidRPr="00955A7B" w:rsidRDefault="00955A7B" w:rsidP="00955A7B">
            <w:pPr>
              <w:jc w:val="left"/>
              <w:rPr>
                <w:rFonts w:ascii="Arial Narrow" w:hAnsi="Arial Narrow"/>
                <w:color w:val="333333"/>
                <w:sz w:val="18"/>
                <w:szCs w:val="18"/>
              </w:rPr>
            </w:pPr>
            <w:r w:rsidRPr="00955A7B">
              <w:rPr>
                <w:rFonts w:ascii="Arial Narrow" w:hAnsi="Arial Narrow"/>
                <w:b/>
                <w:bCs/>
                <w:color w:val="333333"/>
                <w:sz w:val="18"/>
                <w:szCs w:val="18"/>
              </w:rPr>
              <w:t>Condition:</w:t>
            </w:r>
          </w:p>
        </w:tc>
        <w:tc>
          <w:tcPr>
            <w:tcW w:w="4234" w:type="pct"/>
          </w:tcPr>
          <w:p w:rsidR="006F45EA" w:rsidRPr="00A953F5" w:rsidRDefault="006F45EA" w:rsidP="00955A7B">
            <w:pPr>
              <w:jc w:val="left"/>
              <w:rPr>
                <w:rFonts w:ascii="Arial Narrow" w:hAnsi="Arial Narrow"/>
                <w:b/>
                <w:bCs/>
                <w:i/>
                <w:color w:val="333333"/>
                <w:sz w:val="18"/>
                <w:szCs w:val="18"/>
              </w:rPr>
            </w:pPr>
            <w:r w:rsidRPr="00A953F5">
              <w:rPr>
                <w:rFonts w:ascii="Arial Narrow" w:hAnsi="Arial Narrow"/>
                <w:color w:val="333333"/>
                <w:sz w:val="18"/>
                <w:szCs w:val="18"/>
              </w:rPr>
              <w:t xml:space="preserve">Chronic lymphocytic leukaemia </w:t>
            </w:r>
            <w:r w:rsidRPr="00A953F5">
              <w:rPr>
                <w:rFonts w:ascii="Arial Narrow" w:hAnsi="Arial Narrow"/>
                <w:i/>
                <w:color w:val="333333"/>
                <w:sz w:val="18"/>
                <w:szCs w:val="18"/>
              </w:rPr>
              <w:t>(CLL)</w:t>
            </w:r>
            <w:r w:rsidRPr="00A953F5">
              <w:rPr>
                <w:rFonts w:ascii="Arial Narrow" w:hAnsi="Arial Narrow"/>
                <w:color w:val="333333"/>
                <w:sz w:val="18"/>
                <w:szCs w:val="18"/>
              </w:rPr>
              <w:t xml:space="preserve"> </w:t>
            </w:r>
            <w:r w:rsidRPr="00A953F5">
              <w:rPr>
                <w:rFonts w:ascii="Arial Narrow" w:hAnsi="Arial Narrow"/>
                <w:i/>
                <w:color w:val="333333"/>
                <w:sz w:val="18"/>
                <w:szCs w:val="18"/>
              </w:rPr>
              <w:t>or small lymphocytic lymphoma (SLL)</w:t>
            </w:r>
          </w:p>
        </w:tc>
      </w:tr>
      <w:tr w:rsidR="006F45EA" w:rsidRPr="00A953F5" w:rsidTr="00955A7B">
        <w:tc>
          <w:tcPr>
            <w:tcW w:w="766" w:type="pct"/>
            <w:hideMark/>
          </w:tcPr>
          <w:p w:rsidR="006F45EA" w:rsidRPr="00955A7B" w:rsidRDefault="00955A7B" w:rsidP="00955A7B">
            <w:pPr>
              <w:jc w:val="left"/>
              <w:rPr>
                <w:rFonts w:ascii="Arial Narrow" w:hAnsi="Arial Narrow"/>
                <w:color w:val="333333"/>
                <w:sz w:val="18"/>
                <w:szCs w:val="18"/>
              </w:rPr>
            </w:pPr>
            <w:r w:rsidRPr="00955A7B">
              <w:rPr>
                <w:rFonts w:ascii="Arial Narrow" w:hAnsi="Arial Narrow"/>
                <w:b/>
                <w:color w:val="333333"/>
                <w:sz w:val="18"/>
                <w:szCs w:val="18"/>
              </w:rPr>
              <w:t>Indication:</w:t>
            </w:r>
          </w:p>
        </w:tc>
        <w:tc>
          <w:tcPr>
            <w:tcW w:w="4234" w:type="pct"/>
            <w:hideMark/>
          </w:tcPr>
          <w:p w:rsidR="006F45EA" w:rsidRPr="00A953F5" w:rsidRDefault="006F45EA" w:rsidP="00955A7B">
            <w:pPr>
              <w:jc w:val="left"/>
              <w:rPr>
                <w:rFonts w:ascii="Arial Narrow" w:hAnsi="Arial Narrow"/>
                <w:i/>
                <w:color w:val="333333"/>
                <w:sz w:val="18"/>
                <w:szCs w:val="18"/>
              </w:rPr>
            </w:pPr>
            <w:r w:rsidRPr="00A953F5">
              <w:rPr>
                <w:rFonts w:ascii="Arial Narrow" w:hAnsi="Arial Narrow"/>
                <w:strike/>
                <w:color w:val="333333"/>
                <w:sz w:val="18"/>
                <w:szCs w:val="18"/>
              </w:rPr>
              <w:t>Previously untreated chronic lymphocytic leukaemia in patients with coexisting conditions who are inappropriate for fludarabine-based chemo-immunotherapy</w:t>
            </w:r>
            <w:r w:rsidRPr="00A953F5">
              <w:rPr>
                <w:rFonts w:ascii="Arial Narrow" w:hAnsi="Arial Narrow"/>
                <w:color w:val="333333"/>
                <w:sz w:val="18"/>
                <w:szCs w:val="18"/>
              </w:rPr>
              <w:t xml:space="preserve"> </w:t>
            </w:r>
            <w:r w:rsidRPr="00A953F5">
              <w:rPr>
                <w:rFonts w:ascii="Arial Narrow" w:hAnsi="Arial Narrow"/>
                <w:i/>
                <w:color w:val="333333"/>
                <w:sz w:val="18"/>
                <w:szCs w:val="18"/>
              </w:rPr>
              <w:t>Chronic lymphocytic leukaemia (CLL) or small lymphocytic lymphoma (SLL)</w:t>
            </w:r>
          </w:p>
        </w:tc>
      </w:tr>
      <w:tr w:rsidR="006F45EA" w:rsidRPr="00A953F5" w:rsidTr="00955A7B">
        <w:tc>
          <w:tcPr>
            <w:tcW w:w="766" w:type="pct"/>
            <w:hideMark/>
          </w:tcPr>
          <w:p w:rsidR="006F45EA" w:rsidRPr="00955A7B" w:rsidRDefault="00955A7B" w:rsidP="00955A7B">
            <w:pPr>
              <w:jc w:val="left"/>
              <w:rPr>
                <w:rFonts w:ascii="Arial Narrow" w:hAnsi="Arial Narrow"/>
                <w:color w:val="333333"/>
                <w:sz w:val="18"/>
                <w:szCs w:val="18"/>
              </w:rPr>
            </w:pPr>
            <w:r w:rsidRPr="00955A7B">
              <w:rPr>
                <w:rFonts w:ascii="Arial Narrow" w:hAnsi="Arial Narrow"/>
                <w:b/>
                <w:bCs/>
                <w:color w:val="333333"/>
                <w:sz w:val="18"/>
                <w:szCs w:val="18"/>
              </w:rPr>
              <w:t>Treatment Phase:</w:t>
            </w:r>
          </w:p>
        </w:tc>
        <w:tc>
          <w:tcPr>
            <w:tcW w:w="4234" w:type="pct"/>
            <w:hideMark/>
          </w:tcPr>
          <w:p w:rsidR="006F45EA" w:rsidRPr="00A953F5" w:rsidRDefault="006F45EA" w:rsidP="00955A7B">
            <w:pPr>
              <w:jc w:val="left"/>
              <w:rPr>
                <w:rFonts w:ascii="Arial Narrow" w:hAnsi="Arial Narrow"/>
                <w:i/>
                <w:color w:val="333333"/>
                <w:sz w:val="18"/>
                <w:szCs w:val="18"/>
              </w:rPr>
            </w:pPr>
            <w:r w:rsidRPr="00A953F5">
              <w:rPr>
                <w:rFonts w:ascii="Arial Narrow" w:hAnsi="Arial Narrow"/>
                <w:i/>
                <w:color w:val="333333"/>
                <w:sz w:val="18"/>
                <w:szCs w:val="18"/>
              </w:rPr>
              <w:t xml:space="preserve">First </w:t>
            </w:r>
            <w:r w:rsidRPr="00A953F5">
              <w:rPr>
                <w:rFonts w:ascii="Arial Narrow" w:hAnsi="Arial Narrow"/>
                <w:i/>
                <w:strike/>
                <w:color w:val="333333"/>
                <w:sz w:val="18"/>
                <w:szCs w:val="18"/>
              </w:rPr>
              <w:t>C</w:t>
            </w:r>
            <w:r w:rsidRPr="00A953F5">
              <w:rPr>
                <w:rFonts w:ascii="Arial Narrow" w:hAnsi="Arial Narrow"/>
                <w:i/>
                <w:color w:val="333333"/>
                <w:sz w:val="18"/>
                <w:szCs w:val="18"/>
              </w:rPr>
              <w:t>continuing</w:t>
            </w:r>
            <w:r w:rsidRPr="00A953F5">
              <w:rPr>
                <w:rFonts w:ascii="Arial Narrow" w:hAnsi="Arial Narrow"/>
                <w:color w:val="333333"/>
                <w:sz w:val="18"/>
                <w:szCs w:val="18"/>
              </w:rPr>
              <w:t xml:space="preserve"> treatment </w:t>
            </w:r>
            <w:r w:rsidRPr="00A953F5">
              <w:rPr>
                <w:rFonts w:ascii="Arial Narrow" w:hAnsi="Arial Narrow"/>
                <w:i/>
                <w:color w:val="333333"/>
                <w:sz w:val="18"/>
                <w:szCs w:val="18"/>
              </w:rPr>
              <w:t>(treatment cycles 2 to 6 inclusive) of first-line therapy</w:t>
            </w:r>
          </w:p>
        </w:tc>
      </w:tr>
      <w:tr w:rsidR="00955A7B" w:rsidRPr="00A953F5" w:rsidTr="00955A7B">
        <w:trPr>
          <w:trHeight w:val="609"/>
        </w:trPr>
        <w:tc>
          <w:tcPr>
            <w:tcW w:w="766" w:type="pct"/>
          </w:tcPr>
          <w:p w:rsidR="00955A7B" w:rsidRPr="00955A7B" w:rsidRDefault="00955A7B" w:rsidP="00955A7B">
            <w:pPr>
              <w:jc w:val="left"/>
              <w:rPr>
                <w:rFonts w:ascii="Arial Narrow" w:hAnsi="Arial Narrow"/>
                <w:color w:val="333333"/>
                <w:sz w:val="18"/>
                <w:szCs w:val="18"/>
              </w:rPr>
            </w:pPr>
            <w:r w:rsidRPr="00955A7B">
              <w:rPr>
                <w:rFonts w:ascii="Arial Narrow" w:hAnsi="Arial Narrow" w:cstheme="minorHAnsi"/>
                <w:b/>
                <w:bCs/>
                <w:sz w:val="18"/>
                <w:szCs w:val="18"/>
              </w:rPr>
              <w:t>Clinical criteria:</w:t>
            </w:r>
          </w:p>
          <w:p w:rsidR="00955A7B" w:rsidRPr="00955A7B" w:rsidRDefault="00955A7B" w:rsidP="00955A7B">
            <w:pPr>
              <w:jc w:val="left"/>
              <w:rPr>
                <w:rFonts w:ascii="Arial Narrow" w:hAnsi="Arial Narrow"/>
                <w:color w:val="333333"/>
                <w:sz w:val="18"/>
                <w:szCs w:val="18"/>
              </w:rPr>
            </w:pPr>
          </w:p>
        </w:tc>
        <w:tc>
          <w:tcPr>
            <w:tcW w:w="4234" w:type="pct"/>
          </w:tcPr>
          <w:p w:rsidR="00955A7B" w:rsidRPr="00955A7B" w:rsidRDefault="00955A7B" w:rsidP="00955A7B">
            <w:pPr>
              <w:jc w:val="left"/>
              <w:rPr>
                <w:rFonts w:ascii="Arial Narrow" w:hAnsi="Arial Narrow"/>
                <w:bCs/>
                <w:color w:val="333333"/>
                <w:sz w:val="18"/>
                <w:szCs w:val="18"/>
              </w:rPr>
            </w:pPr>
            <w:r w:rsidRPr="00955A7B">
              <w:rPr>
                <w:rFonts w:ascii="Arial Narrow" w:hAnsi="Arial Narrow" w:cstheme="minorHAnsi"/>
                <w:sz w:val="18"/>
                <w:szCs w:val="18"/>
              </w:rPr>
              <w:t>Patient must have previously received PBS-subsidised treatment with this drug for this condition</w:t>
            </w:r>
          </w:p>
          <w:p w:rsidR="00955A7B" w:rsidRPr="00955A7B" w:rsidRDefault="00955A7B" w:rsidP="00955A7B">
            <w:pPr>
              <w:jc w:val="left"/>
              <w:rPr>
                <w:rFonts w:ascii="Arial Narrow" w:hAnsi="Arial Narrow" w:cstheme="minorHAnsi"/>
                <w:sz w:val="18"/>
                <w:szCs w:val="18"/>
              </w:rPr>
            </w:pPr>
            <w:r w:rsidRPr="00955A7B">
              <w:rPr>
                <w:rFonts w:ascii="Arial Narrow" w:hAnsi="Arial Narrow" w:cstheme="minorHAnsi"/>
                <w:sz w:val="18"/>
                <w:szCs w:val="18"/>
              </w:rPr>
              <w:t>AND</w:t>
            </w:r>
          </w:p>
          <w:p w:rsidR="00955A7B" w:rsidRPr="00955A7B" w:rsidRDefault="00955A7B" w:rsidP="00955A7B">
            <w:pPr>
              <w:jc w:val="left"/>
              <w:rPr>
                <w:rFonts w:ascii="Arial Narrow" w:hAnsi="Arial Narrow" w:cstheme="minorHAnsi"/>
                <w:sz w:val="18"/>
                <w:szCs w:val="18"/>
              </w:rPr>
            </w:pPr>
            <w:r w:rsidRPr="00955A7B">
              <w:rPr>
                <w:rFonts w:ascii="Arial Narrow" w:hAnsi="Arial Narrow" w:cstheme="minorHAnsi"/>
                <w:sz w:val="18"/>
                <w:szCs w:val="18"/>
              </w:rPr>
              <w:t xml:space="preserve">The treatment must be in combination with obinutuzumab </w:t>
            </w:r>
            <w:r w:rsidRPr="00955A7B">
              <w:rPr>
                <w:rFonts w:ascii="Arial Narrow" w:hAnsi="Arial Narrow" w:cstheme="minorHAnsi"/>
                <w:i/>
                <w:sz w:val="18"/>
                <w:szCs w:val="18"/>
              </w:rPr>
              <w:t>(refer to Product Information for timing of obinutuzumab)</w:t>
            </w:r>
            <w:r w:rsidRPr="00955A7B">
              <w:rPr>
                <w:rFonts w:ascii="Arial Narrow" w:hAnsi="Arial Narrow" w:cstheme="minorHAnsi"/>
                <w:sz w:val="18"/>
                <w:szCs w:val="18"/>
              </w:rPr>
              <w:t xml:space="preserve"> </w:t>
            </w:r>
            <w:r w:rsidRPr="00955A7B">
              <w:rPr>
                <w:rFonts w:ascii="Arial Narrow" w:hAnsi="Arial Narrow" w:cstheme="minorHAnsi"/>
                <w:strike/>
                <w:sz w:val="18"/>
                <w:szCs w:val="18"/>
              </w:rPr>
              <w:t>for the first six cycles, followed by venetoclax monotherapy.</w:t>
            </w:r>
            <w:r w:rsidRPr="00955A7B">
              <w:rPr>
                <w:rFonts w:ascii="Arial Narrow" w:hAnsi="Arial Narrow" w:cstheme="minorHAnsi"/>
                <w:sz w:val="18"/>
                <w:szCs w:val="18"/>
              </w:rPr>
              <w:t xml:space="preserve"> </w:t>
            </w:r>
          </w:p>
        </w:tc>
      </w:tr>
      <w:tr w:rsidR="00955A7B" w:rsidRPr="00A953F5" w:rsidTr="00955A7B">
        <w:trPr>
          <w:trHeight w:val="168"/>
        </w:trPr>
        <w:tc>
          <w:tcPr>
            <w:tcW w:w="766" w:type="pct"/>
          </w:tcPr>
          <w:p w:rsidR="00955A7B" w:rsidRPr="00955A7B" w:rsidRDefault="00955A7B" w:rsidP="00955A7B">
            <w:pPr>
              <w:jc w:val="left"/>
              <w:rPr>
                <w:rFonts w:ascii="Arial Narrow" w:hAnsi="Arial Narrow"/>
                <w:color w:val="333333"/>
                <w:sz w:val="18"/>
                <w:szCs w:val="18"/>
              </w:rPr>
            </w:pPr>
            <w:r w:rsidRPr="00955A7B">
              <w:rPr>
                <w:rFonts w:ascii="Arial Narrow" w:hAnsi="Arial Narrow"/>
                <w:b/>
                <w:bCs/>
                <w:color w:val="333333"/>
                <w:sz w:val="18"/>
                <w:szCs w:val="18"/>
              </w:rPr>
              <w:t>Prescriber instructions:</w:t>
            </w:r>
          </w:p>
        </w:tc>
        <w:tc>
          <w:tcPr>
            <w:tcW w:w="4234" w:type="pct"/>
          </w:tcPr>
          <w:p w:rsidR="00955A7B" w:rsidRPr="00A953F5" w:rsidRDefault="00955A7B" w:rsidP="00955A7B">
            <w:pPr>
              <w:jc w:val="left"/>
              <w:rPr>
                <w:rFonts w:ascii="Arial Narrow" w:hAnsi="Arial Narrow"/>
                <w:strike/>
                <w:color w:val="333333"/>
                <w:sz w:val="18"/>
                <w:szCs w:val="18"/>
              </w:rPr>
            </w:pPr>
            <w:r w:rsidRPr="00A953F5">
              <w:rPr>
                <w:rFonts w:ascii="Arial Narrow" w:hAnsi="Arial Narrow"/>
                <w:strike/>
                <w:color w:val="333333"/>
                <w:sz w:val="18"/>
                <w:szCs w:val="18"/>
              </w:rPr>
              <w:t xml:space="preserve">Treatment must be ceased in patients who experience disease progression while on this treatment. </w:t>
            </w:r>
          </w:p>
          <w:p w:rsidR="00955A7B" w:rsidRPr="00A953F5" w:rsidRDefault="00955A7B" w:rsidP="00955A7B">
            <w:pPr>
              <w:jc w:val="left"/>
              <w:rPr>
                <w:rFonts w:ascii="Arial Narrow" w:hAnsi="Arial Narrow"/>
                <w:i/>
                <w:color w:val="333333"/>
                <w:sz w:val="18"/>
                <w:szCs w:val="18"/>
              </w:rPr>
            </w:pPr>
            <w:r w:rsidRPr="00A953F5">
              <w:rPr>
                <w:rFonts w:ascii="Arial Narrow" w:hAnsi="Arial Narrow"/>
                <w:i/>
                <w:color w:val="333333"/>
                <w:sz w:val="18"/>
                <w:szCs w:val="18"/>
              </w:rPr>
              <w:t xml:space="preserve">The treatment must be ceased upon disease progression. </w:t>
            </w:r>
          </w:p>
        </w:tc>
      </w:tr>
      <w:tr w:rsidR="00955A7B" w:rsidRPr="00A953F5" w:rsidTr="00955A7B">
        <w:trPr>
          <w:trHeight w:val="274"/>
        </w:trPr>
        <w:tc>
          <w:tcPr>
            <w:tcW w:w="766" w:type="pct"/>
            <w:hideMark/>
          </w:tcPr>
          <w:p w:rsidR="00955A7B" w:rsidRPr="00955A7B" w:rsidRDefault="00955A7B" w:rsidP="00955A7B">
            <w:pPr>
              <w:jc w:val="left"/>
              <w:rPr>
                <w:rFonts w:ascii="Arial Narrow" w:hAnsi="Arial Narrow"/>
                <w:color w:val="333333"/>
                <w:sz w:val="18"/>
                <w:szCs w:val="18"/>
              </w:rPr>
            </w:pPr>
            <w:r w:rsidRPr="00955A7B">
              <w:rPr>
                <w:rFonts w:ascii="Arial Narrow" w:hAnsi="Arial Narrow"/>
                <w:b/>
                <w:bCs/>
                <w:color w:val="333333"/>
                <w:sz w:val="18"/>
                <w:szCs w:val="18"/>
              </w:rPr>
              <w:t>Administrative Advice:</w:t>
            </w:r>
          </w:p>
        </w:tc>
        <w:tc>
          <w:tcPr>
            <w:tcW w:w="4234" w:type="pct"/>
            <w:hideMark/>
          </w:tcPr>
          <w:p w:rsidR="00955A7B" w:rsidRPr="00A953F5" w:rsidRDefault="00955A7B" w:rsidP="00955A7B">
            <w:pPr>
              <w:jc w:val="left"/>
              <w:rPr>
                <w:rFonts w:ascii="Arial Narrow" w:hAnsi="Arial Narrow"/>
                <w:color w:val="333333"/>
                <w:sz w:val="18"/>
                <w:szCs w:val="18"/>
              </w:rPr>
            </w:pPr>
            <w:r w:rsidRPr="00A953F5">
              <w:rPr>
                <w:rFonts w:ascii="Arial Narrow" w:hAnsi="Arial Narrow"/>
                <w:color w:val="333333"/>
                <w:sz w:val="18"/>
                <w:szCs w:val="18"/>
              </w:rPr>
              <w:t>No increase in the maximum quantity or number of units may be authorised.</w:t>
            </w:r>
          </w:p>
          <w:p w:rsidR="00955A7B" w:rsidRPr="00A953F5" w:rsidRDefault="00955A7B" w:rsidP="00955A7B">
            <w:pPr>
              <w:jc w:val="left"/>
              <w:rPr>
                <w:rFonts w:ascii="Arial Narrow" w:hAnsi="Arial Narrow"/>
                <w:color w:val="333333"/>
                <w:sz w:val="18"/>
                <w:szCs w:val="18"/>
              </w:rPr>
            </w:pPr>
            <w:r w:rsidRPr="00A953F5">
              <w:rPr>
                <w:rFonts w:ascii="Arial Narrow" w:hAnsi="Arial Narrow"/>
                <w:color w:val="333333"/>
                <w:sz w:val="18"/>
                <w:szCs w:val="18"/>
              </w:rPr>
              <w:t>No increase in the maximum number of repeats may be authorised.</w:t>
            </w:r>
          </w:p>
          <w:p w:rsidR="00955A7B" w:rsidRPr="00A953F5" w:rsidRDefault="00955A7B" w:rsidP="00955A7B">
            <w:pPr>
              <w:jc w:val="left"/>
              <w:rPr>
                <w:rFonts w:ascii="Arial Narrow" w:hAnsi="Arial Narrow"/>
                <w:color w:val="333333"/>
                <w:sz w:val="18"/>
                <w:szCs w:val="18"/>
              </w:rPr>
            </w:pPr>
            <w:r w:rsidRPr="00A953F5">
              <w:rPr>
                <w:rFonts w:ascii="Arial Narrow" w:hAnsi="Arial Narrow"/>
                <w:color w:val="333333"/>
                <w:sz w:val="18"/>
                <w:szCs w:val="18"/>
              </w:rPr>
              <w:t xml:space="preserve">Special Pricing Arrangements apply. </w:t>
            </w:r>
          </w:p>
        </w:tc>
      </w:tr>
    </w:tbl>
    <w:p w:rsidR="006F45EA" w:rsidRDefault="006F45EA" w:rsidP="006F45EA">
      <w:pPr>
        <w:spacing w:after="120"/>
        <w:rPr>
          <w:rFonts w:ascii="Arial Narrow" w:hAnsi="Arial Narrow"/>
          <w:b/>
          <w:sz w:val="18"/>
          <w:szCs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418"/>
      </w:tblGrid>
      <w:tr w:rsidR="006F45EA" w:rsidRPr="00A953F5" w:rsidTr="002B7AB2">
        <w:trPr>
          <w:cantSplit/>
          <w:trHeight w:val="471"/>
        </w:trPr>
        <w:tc>
          <w:tcPr>
            <w:tcW w:w="2689" w:type="dxa"/>
          </w:tcPr>
          <w:p w:rsidR="006F45EA" w:rsidRPr="00A953F5" w:rsidRDefault="006F45EA" w:rsidP="00AE4E34">
            <w:pPr>
              <w:keepNext/>
              <w:ind w:left="-108"/>
              <w:rPr>
                <w:rFonts w:ascii="Arial Narrow" w:hAnsi="Arial Narrow"/>
                <w:b/>
                <w:sz w:val="18"/>
                <w:szCs w:val="18"/>
              </w:rPr>
            </w:pPr>
            <w:r w:rsidRPr="00A953F5">
              <w:rPr>
                <w:rFonts w:ascii="Arial Narrow" w:hAnsi="Arial Narrow"/>
                <w:b/>
                <w:sz w:val="18"/>
                <w:szCs w:val="18"/>
              </w:rPr>
              <w:t>Name, Restriction,</w:t>
            </w:r>
          </w:p>
          <w:p w:rsidR="006F45EA" w:rsidRPr="00A953F5" w:rsidRDefault="006F45EA" w:rsidP="00AE4E34">
            <w:pPr>
              <w:keepNext/>
              <w:ind w:left="-108"/>
              <w:rPr>
                <w:rFonts w:ascii="Arial Narrow" w:hAnsi="Arial Narrow"/>
                <w:b/>
                <w:sz w:val="18"/>
                <w:szCs w:val="18"/>
              </w:rPr>
            </w:pPr>
            <w:r w:rsidRPr="00A953F5">
              <w:rPr>
                <w:rFonts w:ascii="Arial Narrow" w:hAnsi="Arial Narrow"/>
                <w:b/>
                <w:sz w:val="18"/>
                <w:szCs w:val="18"/>
              </w:rPr>
              <w:t>Manner of administration and form</w:t>
            </w:r>
          </w:p>
        </w:tc>
        <w:tc>
          <w:tcPr>
            <w:tcW w:w="1275"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PBS item code</w:t>
            </w:r>
          </w:p>
        </w:tc>
        <w:tc>
          <w:tcPr>
            <w:tcW w:w="851"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Max. qty packs</w:t>
            </w:r>
          </w:p>
        </w:tc>
        <w:tc>
          <w:tcPr>
            <w:tcW w:w="850"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Max. qty units</w:t>
            </w:r>
          </w:p>
        </w:tc>
        <w:tc>
          <w:tcPr>
            <w:tcW w:w="709"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№.of</w:t>
            </w:r>
          </w:p>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Rpts</w:t>
            </w:r>
          </w:p>
        </w:tc>
        <w:tc>
          <w:tcPr>
            <w:tcW w:w="2552" w:type="dxa"/>
            <w:gridSpan w:val="2"/>
          </w:tcPr>
          <w:p w:rsidR="006F45EA" w:rsidRPr="00A953F5" w:rsidRDefault="006F45EA" w:rsidP="00A711BA">
            <w:pPr>
              <w:keepNext/>
              <w:jc w:val="left"/>
              <w:rPr>
                <w:rFonts w:ascii="Arial Narrow" w:hAnsi="Arial Narrow"/>
                <w:b/>
                <w:sz w:val="18"/>
                <w:szCs w:val="18"/>
                <w:lang w:val="fr-FR"/>
              </w:rPr>
            </w:pPr>
            <w:r w:rsidRPr="00A953F5">
              <w:rPr>
                <w:rFonts w:ascii="Arial Narrow" w:hAnsi="Arial Narrow"/>
                <w:b/>
                <w:sz w:val="18"/>
                <w:szCs w:val="18"/>
              </w:rPr>
              <w:t>Proprietary Name and Manufacturer</w:t>
            </w:r>
          </w:p>
        </w:tc>
      </w:tr>
      <w:tr w:rsidR="006F45EA" w:rsidRPr="00A953F5" w:rsidTr="002B7AB2">
        <w:trPr>
          <w:cantSplit/>
          <w:trHeight w:val="664"/>
        </w:trPr>
        <w:tc>
          <w:tcPr>
            <w:tcW w:w="2689" w:type="dxa"/>
          </w:tcPr>
          <w:p w:rsidR="006F45EA" w:rsidRPr="00A953F5" w:rsidRDefault="006F45EA" w:rsidP="00AE4E34">
            <w:pPr>
              <w:keepNext/>
              <w:ind w:left="-108"/>
              <w:rPr>
                <w:rFonts w:ascii="Arial Narrow" w:hAnsi="Arial Narrow"/>
                <w:i/>
                <w:smallCaps/>
                <w:sz w:val="18"/>
                <w:szCs w:val="18"/>
              </w:rPr>
            </w:pPr>
            <w:r w:rsidRPr="00A953F5">
              <w:rPr>
                <w:rFonts w:ascii="Arial Narrow" w:hAnsi="Arial Narrow"/>
                <w:i/>
                <w:smallCaps/>
                <w:sz w:val="18"/>
                <w:szCs w:val="18"/>
              </w:rPr>
              <w:t xml:space="preserve">Venetoclax </w:t>
            </w:r>
          </w:p>
          <w:p w:rsidR="006F45EA" w:rsidRPr="00A953F5" w:rsidRDefault="006F45EA" w:rsidP="00AE4E34">
            <w:pPr>
              <w:keepNext/>
              <w:ind w:left="-108"/>
              <w:rPr>
                <w:rFonts w:ascii="Arial Narrow" w:hAnsi="Arial Narrow"/>
                <w:i/>
                <w:sz w:val="18"/>
                <w:szCs w:val="18"/>
              </w:rPr>
            </w:pPr>
          </w:p>
          <w:p w:rsidR="006F45EA" w:rsidRPr="00A953F5" w:rsidRDefault="006F45EA" w:rsidP="00AE4E34">
            <w:pPr>
              <w:keepNext/>
              <w:ind w:left="-108"/>
              <w:rPr>
                <w:rFonts w:ascii="Arial Narrow" w:hAnsi="Arial Narrow"/>
                <w:i/>
                <w:sz w:val="18"/>
                <w:szCs w:val="18"/>
              </w:rPr>
            </w:pPr>
            <w:r w:rsidRPr="00A953F5">
              <w:rPr>
                <w:rFonts w:ascii="Arial Narrow" w:hAnsi="Arial Narrow"/>
                <w:i/>
                <w:sz w:val="18"/>
                <w:szCs w:val="18"/>
              </w:rPr>
              <w:t>venetoclax 100 mg tablet, 120</w:t>
            </w:r>
          </w:p>
        </w:tc>
        <w:tc>
          <w:tcPr>
            <w:tcW w:w="1275" w:type="dxa"/>
          </w:tcPr>
          <w:p w:rsidR="006F45EA" w:rsidRPr="00A953F5" w:rsidRDefault="006F45EA" w:rsidP="00AE4E34">
            <w:pPr>
              <w:keepNext/>
              <w:ind w:left="-108"/>
              <w:jc w:val="center"/>
              <w:rPr>
                <w:rFonts w:ascii="Arial Narrow" w:hAnsi="Arial Narrow"/>
                <w:i/>
                <w:sz w:val="18"/>
                <w:szCs w:val="18"/>
              </w:rPr>
            </w:pPr>
          </w:p>
          <w:p w:rsidR="006F45EA" w:rsidRPr="00A953F5" w:rsidRDefault="006F45EA" w:rsidP="00AE4E34">
            <w:pPr>
              <w:keepNext/>
              <w:ind w:left="-108"/>
              <w:jc w:val="center"/>
              <w:rPr>
                <w:rFonts w:ascii="Arial Narrow" w:hAnsi="Arial Narrow"/>
                <w:i/>
                <w:sz w:val="18"/>
                <w:szCs w:val="18"/>
              </w:rPr>
            </w:pPr>
          </w:p>
          <w:p w:rsidR="006F45EA" w:rsidRPr="00A953F5" w:rsidRDefault="006F45EA" w:rsidP="00AE4E34">
            <w:pPr>
              <w:keepNext/>
              <w:ind w:left="-108"/>
              <w:jc w:val="center"/>
              <w:rPr>
                <w:rFonts w:ascii="Arial Narrow" w:hAnsi="Arial Narrow"/>
                <w:i/>
                <w:sz w:val="18"/>
                <w:szCs w:val="18"/>
              </w:rPr>
            </w:pPr>
            <w:r w:rsidRPr="00A953F5">
              <w:rPr>
                <w:rFonts w:ascii="Arial Narrow" w:hAnsi="Arial Narrow"/>
                <w:i/>
                <w:sz w:val="18"/>
                <w:szCs w:val="18"/>
              </w:rPr>
              <w:t>NEW</w:t>
            </w:r>
          </w:p>
        </w:tc>
        <w:tc>
          <w:tcPr>
            <w:tcW w:w="851" w:type="dxa"/>
          </w:tcPr>
          <w:p w:rsidR="006F45EA" w:rsidRPr="00A953F5" w:rsidRDefault="006F45EA" w:rsidP="00AE4E34">
            <w:pPr>
              <w:keepNext/>
              <w:jc w:val="center"/>
              <w:rPr>
                <w:rFonts w:ascii="Arial Narrow" w:hAnsi="Arial Narrow"/>
                <w:i/>
                <w:sz w:val="18"/>
                <w:szCs w:val="18"/>
              </w:rPr>
            </w:pPr>
          </w:p>
          <w:p w:rsidR="006F45EA" w:rsidRPr="00A953F5" w:rsidRDefault="006F45EA" w:rsidP="00AE4E34">
            <w:pPr>
              <w:keepNext/>
              <w:ind w:left="-108"/>
              <w:jc w:val="center"/>
              <w:rPr>
                <w:rFonts w:ascii="Arial Narrow" w:hAnsi="Arial Narrow"/>
                <w:i/>
                <w:sz w:val="18"/>
                <w:szCs w:val="18"/>
              </w:rPr>
            </w:pPr>
          </w:p>
          <w:p w:rsidR="006F45EA" w:rsidRPr="00A953F5" w:rsidRDefault="006F45EA" w:rsidP="00AE4E34">
            <w:pPr>
              <w:keepNext/>
              <w:jc w:val="center"/>
              <w:rPr>
                <w:rFonts w:ascii="Arial Narrow" w:hAnsi="Arial Narrow"/>
                <w:i/>
                <w:sz w:val="18"/>
                <w:szCs w:val="18"/>
              </w:rPr>
            </w:pPr>
            <w:r w:rsidRPr="00A953F5">
              <w:rPr>
                <w:rFonts w:ascii="Arial Narrow" w:hAnsi="Arial Narrow"/>
                <w:i/>
                <w:sz w:val="18"/>
                <w:szCs w:val="18"/>
              </w:rPr>
              <w:t>1</w:t>
            </w:r>
          </w:p>
        </w:tc>
        <w:tc>
          <w:tcPr>
            <w:tcW w:w="850" w:type="dxa"/>
          </w:tcPr>
          <w:p w:rsidR="006F45EA" w:rsidRPr="00A953F5" w:rsidRDefault="006F45EA" w:rsidP="00AE4E34">
            <w:pPr>
              <w:keepNext/>
              <w:ind w:left="-108"/>
              <w:jc w:val="center"/>
              <w:rPr>
                <w:rFonts w:ascii="Arial Narrow" w:hAnsi="Arial Narrow"/>
                <w:i/>
                <w:sz w:val="18"/>
                <w:szCs w:val="18"/>
              </w:rPr>
            </w:pPr>
          </w:p>
          <w:p w:rsidR="006F45EA" w:rsidRPr="00A953F5" w:rsidRDefault="006F45EA" w:rsidP="00AE4E34">
            <w:pPr>
              <w:keepNext/>
              <w:rPr>
                <w:rFonts w:ascii="Arial Narrow" w:hAnsi="Arial Narrow"/>
                <w:i/>
                <w:sz w:val="18"/>
                <w:szCs w:val="18"/>
              </w:rPr>
            </w:pPr>
          </w:p>
          <w:p w:rsidR="006F45EA" w:rsidRPr="00A953F5" w:rsidRDefault="006F45EA" w:rsidP="00AE4E34">
            <w:pPr>
              <w:keepNext/>
              <w:ind w:left="-108"/>
              <w:jc w:val="center"/>
              <w:rPr>
                <w:rFonts w:ascii="Arial Narrow" w:hAnsi="Arial Narrow"/>
                <w:i/>
                <w:sz w:val="18"/>
                <w:szCs w:val="18"/>
              </w:rPr>
            </w:pPr>
            <w:r w:rsidRPr="00A953F5">
              <w:rPr>
                <w:rFonts w:ascii="Arial Narrow" w:hAnsi="Arial Narrow"/>
                <w:i/>
                <w:sz w:val="18"/>
                <w:szCs w:val="18"/>
              </w:rPr>
              <w:t>120</w:t>
            </w:r>
          </w:p>
        </w:tc>
        <w:tc>
          <w:tcPr>
            <w:tcW w:w="709" w:type="dxa"/>
          </w:tcPr>
          <w:p w:rsidR="006F45EA" w:rsidRPr="00A953F5" w:rsidRDefault="006F45EA" w:rsidP="00AE4E34">
            <w:pPr>
              <w:keepNext/>
              <w:ind w:left="-108"/>
              <w:jc w:val="center"/>
              <w:rPr>
                <w:rFonts w:ascii="Arial Narrow" w:hAnsi="Arial Narrow"/>
                <w:i/>
                <w:sz w:val="18"/>
                <w:szCs w:val="18"/>
              </w:rPr>
            </w:pPr>
          </w:p>
          <w:p w:rsidR="006F45EA" w:rsidRPr="00A953F5" w:rsidRDefault="006F45EA" w:rsidP="00AE4E34">
            <w:pPr>
              <w:keepNext/>
              <w:ind w:left="-108"/>
              <w:jc w:val="center"/>
              <w:rPr>
                <w:rFonts w:ascii="Arial Narrow" w:hAnsi="Arial Narrow"/>
                <w:i/>
                <w:sz w:val="18"/>
                <w:szCs w:val="18"/>
              </w:rPr>
            </w:pPr>
          </w:p>
          <w:p w:rsidR="006F45EA" w:rsidRPr="00A953F5" w:rsidRDefault="006F45EA" w:rsidP="00AE4E34">
            <w:pPr>
              <w:keepNext/>
              <w:ind w:left="-108"/>
              <w:jc w:val="center"/>
              <w:rPr>
                <w:rFonts w:ascii="Arial Narrow" w:hAnsi="Arial Narrow"/>
                <w:i/>
                <w:strike/>
                <w:sz w:val="18"/>
                <w:szCs w:val="18"/>
              </w:rPr>
            </w:pPr>
            <w:r w:rsidRPr="00A953F5">
              <w:rPr>
                <w:rFonts w:ascii="Arial Narrow" w:hAnsi="Arial Narrow"/>
                <w:i/>
                <w:sz w:val="18"/>
                <w:szCs w:val="18"/>
              </w:rPr>
              <w:t>5</w:t>
            </w:r>
          </w:p>
        </w:tc>
        <w:tc>
          <w:tcPr>
            <w:tcW w:w="1134" w:type="dxa"/>
          </w:tcPr>
          <w:p w:rsidR="006F45EA" w:rsidRPr="00A953F5" w:rsidRDefault="006F45EA" w:rsidP="00AE4E34">
            <w:pPr>
              <w:keepNext/>
              <w:rPr>
                <w:rFonts w:ascii="Arial Narrow" w:hAnsi="Arial Narrow"/>
                <w:i/>
                <w:sz w:val="18"/>
                <w:szCs w:val="18"/>
              </w:rPr>
            </w:pPr>
          </w:p>
          <w:p w:rsidR="006F45EA" w:rsidRPr="00A953F5" w:rsidRDefault="006F45EA" w:rsidP="00AE4E34">
            <w:pPr>
              <w:keepNext/>
              <w:rPr>
                <w:rFonts w:ascii="Arial Narrow" w:hAnsi="Arial Narrow"/>
                <w:i/>
                <w:sz w:val="18"/>
                <w:szCs w:val="18"/>
              </w:rPr>
            </w:pPr>
          </w:p>
          <w:p w:rsidR="006F45EA" w:rsidRPr="00A953F5" w:rsidRDefault="006F45EA" w:rsidP="00AE4E34">
            <w:pPr>
              <w:keepNext/>
              <w:rPr>
                <w:rFonts w:ascii="Arial Narrow" w:hAnsi="Arial Narrow"/>
                <w:i/>
                <w:sz w:val="18"/>
                <w:szCs w:val="18"/>
              </w:rPr>
            </w:pPr>
            <w:r w:rsidRPr="00A953F5">
              <w:rPr>
                <w:rFonts w:ascii="Arial Narrow" w:hAnsi="Arial Narrow"/>
                <w:i/>
                <w:sz w:val="18"/>
                <w:szCs w:val="18"/>
              </w:rPr>
              <w:t>Venclexta</w:t>
            </w:r>
            <w:r w:rsidRPr="00A953F5">
              <w:rPr>
                <w:rFonts w:ascii="Arial Narrow" w:hAnsi="Arial Narrow"/>
                <w:i/>
                <w:sz w:val="18"/>
                <w:szCs w:val="18"/>
                <w:vertAlign w:val="superscript"/>
              </w:rPr>
              <w:t>®</w:t>
            </w:r>
          </w:p>
        </w:tc>
        <w:tc>
          <w:tcPr>
            <w:tcW w:w="1418" w:type="dxa"/>
          </w:tcPr>
          <w:p w:rsidR="006F45EA" w:rsidRPr="00A953F5" w:rsidRDefault="006F45EA" w:rsidP="00AE4E34">
            <w:pPr>
              <w:keepNext/>
              <w:rPr>
                <w:rFonts w:ascii="Arial Narrow" w:hAnsi="Arial Narrow"/>
                <w:i/>
                <w:sz w:val="18"/>
                <w:szCs w:val="18"/>
              </w:rPr>
            </w:pPr>
          </w:p>
          <w:p w:rsidR="006F45EA" w:rsidRPr="00A953F5" w:rsidRDefault="006F45EA" w:rsidP="00AE4E34">
            <w:pPr>
              <w:keepNext/>
              <w:rPr>
                <w:rFonts w:ascii="Arial Narrow" w:hAnsi="Arial Narrow"/>
                <w:i/>
                <w:sz w:val="18"/>
                <w:szCs w:val="18"/>
              </w:rPr>
            </w:pPr>
          </w:p>
          <w:p w:rsidR="006F45EA" w:rsidRPr="00A953F5" w:rsidRDefault="006F45EA" w:rsidP="00AE4E34">
            <w:pPr>
              <w:keepNext/>
              <w:rPr>
                <w:rFonts w:ascii="Arial Narrow" w:hAnsi="Arial Narrow"/>
                <w:i/>
                <w:sz w:val="18"/>
                <w:szCs w:val="18"/>
              </w:rPr>
            </w:pPr>
            <w:r w:rsidRPr="00A953F5">
              <w:rPr>
                <w:rFonts w:ascii="Arial Narrow" w:hAnsi="Arial Narrow"/>
                <w:i/>
                <w:sz w:val="18"/>
                <w:szCs w:val="18"/>
              </w:rPr>
              <w:t>AbbVie Pty Ltd</w:t>
            </w:r>
          </w:p>
        </w:tc>
      </w:tr>
    </w:tbl>
    <w:p w:rsidR="006F45EA" w:rsidRPr="00A953F5" w:rsidRDefault="006F45EA" w:rsidP="006F45EA">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7"/>
        <w:gridCol w:w="7650"/>
      </w:tblGrid>
      <w:tr w:rsidR="006F45EA" w:rsidRPr="00A953F5" w:rsidTr="00A711BA">
        <w:tc>
          <w:tcPr>
            <w:tcW w:w="754" w:type="pct"/>
            <w:tcBorders>
              <w:top w:val="single" w:sz="4" w:space="0" w:color="auto"/>
              <w:left w:val="single" w:sz="4" w:space="0" w:color="auto"/>
              <w:bottom w:val="single" w:sz="4" w:space="0" w:color="auto"/>
              <w:right w:val="single" w:sz="4" w:space="0" w:color="auto"/>
            </w:tcBorders>
          </w:tcPr>
          <w:p w:rsidR="006F45EA" w:rsidRPr="00A953F5" w:rsidRDefault="00217A3E" w:rsidP="00217A3E">
            <w:pPr>
              <w:jc w:val="left"/>
              <w:rPr>
                <w:rFonts w:ascii="Arial Narrow" w:hAnsi="Arial Narrow"/>
                <w:b/>
                <w:i/>
                <w:sz w:val="18"/>
                <w:szCs w:val="18"/>
              </w:rPr>
            </w:pPr>
            <w:r w:rsidRPr="00A953F5">
              <w:rPr>
                <w:rFonts w:ascii="Arial Narrow" w:hAnsi="Arial Narrow"/>
                <w:b/>
                <w:i/>
                <w:sz w:val="18"/>
                <w:szCs w:val="18"/>
              </w:rPr>
              <w:lastRenderedPageBreak/>
              <w:t>Category/Program:</w:t>
            </w:r>
          </w:p>
        </w:tc>
        <w:tc>
          <w:tcPr>
            <w:tcW w:w="4246" w:type="pct"/>
            <w:tcBorders>
              <w:top w:val="single" w:sz="4" w:space="0" w:color="auto"/>
              <w:left w:val="single" w:sz="4" w:space="0" w:color="auto"/>
              <w:bottom w:val="single" w:sz="4" w:space="0" w:color="auto"/>
              <w:right w:val="single" w:sz="4" w:space="0" w:color="auto"/>
            </w:tcBorders>
          </w:tcPr>
          <w:p w:rsidR="006F45EA" w:rsidRPr="00A953F5" w:rsidRDefault="006F45EA" w:rsidP="00AE4E34">
            <w:pPr>
              <w:rPr>
                <w:rFonts w:ascii="Arial Narrow" w:hAnsi="Arial Narrow"/>
                <w:i/>
                <w:sz w:val="18"/>
                <w:szCs w:val="18"/>
              </w:rPr>
            </w:pPr>
            <w:r w:rsidRPr="00A953F5">
              <w:rPr>
                <w:rFonts w:ascii="Arial Narrow" w:hAnsi="Arial Narrow"/>
                <w:i/>
                <w:sz w:val="18"/>
                <w:szCs w:val="18"/>
              </w:rPr>
              <w:t xml:space="preserve">GENERAL – General Schedule (Code GE) </w:t>
            </w:r>
          </w:p>
        </w:tc>
      </w:tr>
      <w:tr w:rsidR="006F45EA" w:rsidRPr="00A953F5" w:rsidTr="00A711BA">
        <w:trPr>
          <w:trHeight w:val="163"/>
        </w:trPr>
        <w:tc>
          <w:tcPr>
            <w:tcW w:w="754" w:type="pct"/>
            <w:tcBorders>
              <w:top w:val="single" w:sz="4" w:space="0" w:color="auto"/>
              <w:left w:val="single" w:sz="4" w:space="0" w:color="auto"/>
              <w:bottom w:val="single" w:sz="4" w:space="0" w:color="auto"/>
              <w:right w:val="single" w:sz="4" w:space="0" w:color="auto"/>
            </w:tcBorders>
          </w:tcPr>
          <w:p w:rsidR="006F45EA" w:rsidRPr="00A953F5" w:rsidRDefault="00217A3E" w:rsidP="00217A3E">
            <w:pPr>
              <w:jc w:val="left"/>
              <w:rPr>
                <w:rFonts w:ascii="Arial Narrow" w:hAnsi="Arial Narrow"/>
                <w:i/>
                <w:sz w:val="18"/>
                <w:szCs w:val="18"/>
              </w:rPr>
            </w:pPr>
            <w:r w:rsidRPr="00A953F5">
              <w:rPr>
                <w:rFonts w:ascii="Arial Narrow" w:hAnsi="Arial Narrow"/>
                <w:b/>
                <w:i/>
                <w:sz w:val="18"/>
                <w:szCs w:val="18"/>
              </w:rPr>
              <w:t xml:space="preserve">Prescriber type:  </w:t>
            </w:r>
          </w:p>
        </w:tc>
        <w:tc>
          <w:tcPr>
            <w:tcW w:w="4246" w:type="pct"/>
            <w:tcBorders>
              <w:top w:val="single" w:sz="4" w:space="0" w:color="auto"/>
              <w:left w:val="single" w:sz="4" w:space="0" w:color="auto"/>
              <w:bottom w:val="single" w:sz="4" w:space="0" w:color="auto"/>
              <w:right w:val="single" w:sz="4" w:space="0" w:color="auto"/>
            </w:tcBorders>
          </w:tcPr>
          <w:p w:rsidR="006F45EA" w:rsidRPr="00A953F5" w:rsidRDefault="006F45EA" w:rsidP="00AE4E34">
            <w:pPr>
              <w:rPr>
                <w:rFonts w:ascii="Arial Narrow" w:hAnsi="Arial Narrow"/>
                <w:i/>
                <w:sz w:val="18"/>
                <w:szCs w:val="18"/>
              </w:rPr>
            </w:pPr>
            <w:r w:rsidRPr="00A953F5">
              <w:rPr>
                <w:rFonts w:ascii="Arial Narrow" w:hAnsi="Arial Narrow"/>
                <w:i/>
                <w:sz w:val="18"/>
                <w:szCs w:val="18"/>
              </w:rPr>
              <w:fldChar w:fldCharType="begin">
                <w:ffData>
                  <w:name w:val="Check1"/>
                  <w:enabled/>
                  <w:calcOnExit w:val="0"/>
                  <w:checkBox>
                    <w:sizeAuto/>
                    <w:default w:val="0"/>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 xml:space="preserve">Dental  </w:t>
            </w:r>
            <w:r w:rsidRPr="00A953F5">
              <w:rPr>
                <w:rFonts w:ascii="Arial Narrow" w:hAnsi="Arial Narrow"/>
                <w:i/>
                <w:sz w:val="18"/>
                <w:szCs w:val="18"/>
              </w:rPr>
              <w:fldChar w:fldCharType="begin">
                <w:ffData>
                  <w:name w:val=""/>
                  <w:enabled/>
                  <w:calcOnExit w:val="0"/>
                  <w:checkBox>
                    <w:sizeAuto/>
                    <w:default w:val="1"/>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 xml:space="preserve">Medical Practitioners  </w:t>
            </w:r>
            <w:r w:rsidRPr="00A953F5">
              <w:rPr>
                <w:rFonts w:ascii="Arial Narrow" w:hAnsi="Arial Narrow"/>
                <w:i/>
                <w:sz w:val="18"/>
                <w:szCs w:val="18"/>
              </w:rPr>
              <w:fldChar w:fldCharType="begin">
                <w:ffData>
                  <w:name w:val="Check3"/>
                  <w:enabled/>
                  <w:calcOnExit w:val="0"/>
                  <w:checkBox>
                    <w:sizeAuto/>
                    <w:default w:val="0"/>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 xml:space="preserve">Nurse practitioners  </w:t>
            </w:r>
            <w:r w:rsidRPr="00A953F5">
              <w:rPr>
                <w:rFonts w:ascii="Arial Narrow" w:hAnsi="Arial Narrow"/>
                <w:i/>
                <w:sz w:val="18"/>
                <w:szCs w:val="18"/>
              </w:rPr>
              <w:fldChar w:fldCharType="begin">
                <w:ffData>
                  <w:name w:val=""/>
                  <w:enabled/>
                  <w:calcOnExit w:val="0"/>
                  <w:checkBox>
                    <w:sizeAuto/>
                    <w:default w:val="0"/>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 xml:space="preserve">Optometrists    </w:t>
            </w:r>
            <w:r w:rsidRPr="00A953F5">
              <w:rPr>
                <w:rFonts w:ascii="Arial Narrow" w:hAnsi="Arial Narrow"/>
                <w:i/>
                <w:sz w:val="18"/>
                <w:szCs w:val="18"/>
              </w:rPr>
              <w:fldChar w:fldCharType="begin">
                <w:ffData>
                  <w:name w:val="Check5"/>
                  <w:enabled/>
                  <w:calcOnExit w:val="0"/>
                  <w:checkBox>
                    <w:sizeAuto/>
                    <w:default w:val="0"/>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Midwives</w:t>
            </w:r>
          </w:p>
        </w:tc>
      </w:tr>
      <w:tr w:rsidR="006F45EA" w:rsidRPr="00A953F5" w:rsidTr="00A711BA">
        <w:tc>
          <w:tcPr>
            <w:tcW w:w="754" w:type="pct"/>
            <w:tcBorders>
              <w:top w:val="single" w:sz="4" w:space="0" w:color="auto"/>
              <w:left w:val="single" w:sz="4" w:space="0" w:color="auto"/>
              <w:bottom w:val="single" w:sz="4" w:space="0" w:color="auto"/>
              <w:right w:val="single" w:sz="4" w:space="0" w:color="auto"/>
            </w:tcBorders>
          </w:tcPr>
          <w:p w:rsidR="00217A3E" w:rsidRPr="00A953F5" w:rsidRDefault="00217A3E" w:rsidP="00217A3E">
            <w:pPr>
              <w:jc w:val="left"/>
              <w:rPr>
                <w:rFonts w:ascii="Arial Narrow" w:hAnsi="Arial Narrow"/>
                <w:b/>
                <w:i/>
                <w:sz w:val="18"/>
                <w:szCs w:val="18"/>
              </w:rPr>
            </w:pPr>
            <w:r>
              <w:rPr>
                <w:rFonts w:ascii="Arial Narrow" w:hAnsi="Arial Narrow"/>
                <w:b/>
                <w:i/>
                <w:sz w:val="18"/>
                <w:szCs w:val="18"/>
              </w:rPr>
              <w:t>Restriction l</w:t>
            </w:r>
            <w:r w:rsidRPr="00A953F5">
              <w:rPr>
                <w:rFonts w:ascii="Arial Narrow" w:hAnsi="Arial Narrow"/>
                <w:b/>
                <w:i/>
                <w:sz w:val="18"/>
                <w:szCs w:val="18"/>
              </w:rPr>
              <w:t>evel/ Method:</w:t>
            </w:r>
          </w:p>
          <w:p w:rsidR="006F45EA" w:rsidRPr="00A953F5" w:rsidRDefault="006F45EA" w:rsidP="00217A3E">
            <w:pPr>
              <w:jc w:val="left"/>
              <w:rPr>
                <w:rFonts w:ascii="Arial Narrow" w:hAnsi="Arial Narrow"/>
                <w:i/>
                <w:sz w:val="18"/>
                <w:szCs w:val="18"/>
              </w:rPr>
            </w:pPr>
          </w:p>
          <w:p w:rsidR="006F45EA" w:rsidRPr="00A953F5" w:rsidRDefault="006F45EA" w:rsidP="00217A3E">
            <w:pPr>
              <w:jc w:val="left"/>
              <w:rPr>
                <w:rFonts w:ascii="Arial Narrow" w:hAnsi="Arial Narrow"/>
                <w:i/>
                <w:sz w:val="18"/>
                <w:szCs w:val="18"/>
              </w:rPr>
            </w:pPr>
          </w:p>
          <w:p w:rsidR="006F45EA" w:rsidRPr="00A953F5" w:rsidRDefault="006F45EA" w:rsidP="00217A3E">
            <w:pPr>
              <w:jc w:val="left"/>
              <w:rPr>
                <w:rFonts w:ascii="Arial Narrow" w:hAnsi="Arial Narrow"/>
                <w:i/>
                <w:sz w:val="18"/>
                <w:szCs w:val="18"/>
              </w:rPr>
            </w:pPr>
          </w:p>
        </w:tc>
        <w:tc>
          <w:tcPr>
            <w:tcW w:w="4246" w:type="pct"/>
            <w:tcBorders>
              <w:top w:val="single" w:sz="4" w:space="0" w:color="auto"/>
              <w:left w:val="single" w:sz="4" w:space="0" w:color="auto"/>
              <w:bottom w:val="single" w:sz="4" w:space="0" w:color="auto"/>
              <w:right w:val="single" w:sz="4" w:space="0" w:color="auto"/>
            </w:tcBorders>
          </w:tcPr>
          <w:p w:rsidR="006F45EA" w:rsidRPr="00A953F5" w:rsidRDefault="006F45EA" w:rsidP="00AE4E34">
            <w:pPr>
              <w:rPr>
                <w:rFonts w:ascii="Arial Narrow" w:hAnsi="Arial Narrow"/>
                <w:i/>
                <w:sz w:val="18"/>
                <w:szCs w:val="18"/>
              </w:rPr>
            </w:pPr>
            <w:r w:rsidRPr="00A953F5">
              <w:rPr>
                <w:rFonts w:ascii="Arial Narrow" w:hAnsi="Arial Narrow"/>
                <w:i/>
                <w:sz w:val="18"/>
                <w:szCs w:val="18"/>
              </w:rPr>
              <w:fldChar w:fldCharType="begin">
                <w:ffData>
                  <w:name w:val="Check1"/>
                  <w:enabled/>
                  <w:calcOnExit w:val="0"/>
                  <w:checkBox>
                    <w:sizeAuto/>
                    <w:default w:val="0"/>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Unrestricted benefit</w:t>
            </w:r>
          </w:p>
          <w:p w:rsidR="006F45EA" w:rsidRPr="00A953F5" w:rsidRDefault="006F45EA" w:rsidP="00AE4E34">
            <w:pPr>
              <w:rPr>
                <w:rFonts w:ascii="Arial Narrow" w:hAnsi="Arial Narrow"/>
                <w:i/>
                <w:sz w:val="18"/>
                <w:szCs w:val="18"/>
              </w:rPr>
            </w:pPr>
            <w:r w:rsidRPr="00A953F5">
              <w:rPr>
                <w:rFonts w:ascii="Arial Narrow" w:hAnsi="Arial Narrow"/>
                <w:i/>
                <w:sz w:val="18"/>
                <w:szCs w:val="18"/>
              </w:rPr>
              <w:fldChar w:fldCharType="begin">
                <w:ffData>
                  <w:name w:val="Check1"/>
                  <w:enabled/>
                  <w:calcOnExit w:val="0"/>
                  <w:checkBox>
                    <w:sizeAuto/>
                    <w:default w:val="0"/>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Restricted benefit</w:t>
            </w:r>
          </w:p>
          <w:p w:rsidR="006F45EA" w:rsidRPr="00A953F5" w:rsidRDefault="006F45EA" w:rsidP="00AE4E34">
            <w:pPr>
              <w:rPr>
                <w:rFonts w:ascii="Arial Narrow" w:hAnsi="Arial Narrow"/>
                <w:i/>
                <w:sz w:val="18"/>
                <w:szCs w:val="18"/>
              </w:rPr>
            </w:pPr>
            <w:r w:rsidRPr="00A953F5">
              <w:rPr>
                <w:rFonts w:ascii="Arial Narrow" w:hAnsi="Arial Narrow"/>
                <w:i/>
                <w:sz w:val="18"/>
                <w:szCs w:val="18"/>
              </w:rPr>
              <w:fldChar w:fldCharType="begin">
                <w:ffData>
                  <w:name w:val=""/>
                  <w:enabled/>
                  <w:calcOnExit w:val="0"/>
                  <w:checkBox>
                    <w:sizeAuto/>
                    <w:default w:val="0"/>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Authority Required – In Writing</w:t>
            </w:r>
          </w:p>
          <w:p w:rsidR="006F45EA" w:rsidRPr="00A953F5" w:rsidRDefault="006F45EA" w:rsidP="00AE4E34">
            <w:pPr>
              <w:rPr>
                <w:rFonts w:ascii="Arial Narrow" w:hAnsi="Arial Narrow"/>
                <w:i/>
                <w:sz w:val="18"/>
                <w:szCs w:val="18"/>
              </w:rPr>
            </w:pPr>
            <w:r w:rsidRPr="00A953F5">
              <w:rPr>
                <w:rFonts w:ascii="Arial Narrow" w:hAnsi="Arial Narrow"/>
                <w:i/>
                <w:sz w:val="18"/>
                <w:szCs w:val="18"/>
              </w:rPr>
              <w:fldChar w:fldCharType="begin">
                <w:ffData>
                  <w:name w:val=""/>
                  <w:enabled/>
                  <w:calcOnExit w:val="0"/>
                  <w:checkBox>
                    <w:sizeAuto/>
                    <w:default w:val="1"/>
                  </w:checkBox>
                </w:ffData>
              </w:fldChar>
            </w:r>
            <w:r w:rsidRPr="00A953F5">
              <w:rPr>
                <w:rFonts w:ascii="Arial Narrow" w:hAnsi="Arial Narrow"/>
                <w:i/>
                <w:sz w:val="18"/>
                <w:szCs w:val="18"/>
              </w:rPr>
              <w:instrText xml:space="preserve"> FORMCHECKBOX </w:instrText>
            </w:r>
            <w:r w:rsidR="00BA436D">
              <w:rPr>
                <w:rFonts w:ascii="Arial Narrow" w:hAnsi="Arial Narrow"/>
                <w:i/>
                <w:sz w:val="18"/>
                <w:szCs w:val="18"/>
              </w:rPr>
            </w:r>
            <w:r w:rsidR="00BA436D">
              <w:rPr>
                <w:rFonts w:ascii="Arial Narrow" w:hAnsi="Arial Narrow"/>
                <w:i/>
                <w:sz w:val="18"/>
                <w:szCs w:val="18"/>
              </w:rPr>
              <w:fldChar w:fldCharType="separate"/>
            </w:r>
            <w:r w:rsidRPr="00A953F5">
              <w:rPr>
                <w:rFonts w:ascii="Arial Narrow" w:hAnsi="Arial Narrow"/>
                <w:i/>
                <w:sz w:val="18"/>
                <w:szCs w:val="18"/>
              </w:rPr>
              <w:fldChar w:fldCharType="end"/>
            </w:r>
            <w:r w:rsidRPr="00A953F5">
              <w:rPr>
                <w:rFonts w:ascii="Arial Narrow" w:hAnsi="Arial Narrow"/>
                <w:i/>
                <w:sz w:val="18"/>
                <w:szCs w:val="18"/>
              </w:rPr>
              <w:t>Authority Required – Telephone/Electronic/Emergency</w:t>
            </w:r>
          </w:p>
          <w:p w:rsidR="006F45EA" w:rsidRPr="00A953F5" w:rsidRDefault="006F45EA" w:rsidP="00AE4E34">
            <w:pPr>
              <w:rPr>
                <w:rFonts w:ascii="Arial Narrow" w:hAnsi="Arial Narrow"/>
                <w:i/>
                <w:sz w:val="18"/>
                <w:szCs w:val="18"/>
              </w:rPr>
            </w:pPr>
            <w:r w:rsidRPr="00A953F5">
              <w:rPr>
                <w:rFonts w:ascii="Arial Narrow" w:hAnsi="Arial Narrow"/>
                <w:i/>
                <w:strike/>
                <w:sz w:val="18"/>
                <w:szCs w:val="18"/>
              </w:rPr>
              <w:fldChar w:fldCharType="begin">
                <w:ffData>
                  <w:name w:val=""/>
                  <w:enabled/>
                  <w:calcOnExit w:val="0"/>
                  <w:checkBox>
                    <w:sizeAuto/>
                    <w:default w:val="1"/>
                  </w:checkBox>
                </w:ffData>
              </w:fldChar>
            </w:r>
            <w:r w:rsidRPr="00A953F5">
              <w:rPr>
                <w:rFonts w:ascii="Arial Narrow" w:hAnsi="Arial Narrow"/>
                <w:i/>
                <w:strike/>
                <w:sz w:val="18"/>
                <w:szCs w:val="18"/>
              </w:rPr>
              <w:instrText xml:space="preserve"> FORMCHECKBOX </w:instrText>
            </w:r>
            <w:r w:rsidR="00BA436D">
              <w:rPr>
                <w:rFonts w:ascii="Arial Narrow" w:hAnsi="Arial Narrow"/>
                <w:i/>
                <w:strike/>
                <w:sz w:val="18"/>
                <w:szCs w:val="18"/>
              </w:rPr>
            </w:r>
            <w:r w:rsidR="00BA436D">
              <w:rPr>
                <w:rFonts w:ascii="Arial Narrow" w:hAnsi="Arial Narrow"/>
                <w:i/>
                <w:strike/>
                <w:sz w:val="18"/>
                <w:szCs w:val="18"/>
              </w:rPr>
              <w:fldChar w:fldCharType="separate"/>
            </w:r>
            <w:r w:rsidRPr="00A953F5">
              <w:rPr>
                <w:rFonts w:ascii="Arial Narrow" w:hAnsi="Arial Narrow"/>
                <w:i/>
                <w:strike/>
                <w:sz w:val="18"/>
                <w:szCs w:val="18"/>
              </w:rPr>
              <w:fldChar w:fldCharType="end"/>
            </w:r>
            <w:r w:rsidRPr="00A953F5">
              <w:rPr>
                <w:rFonts w:ascii="Arial Narrow" w:hAnsi="Arial Narrow"/>
                <w:i/>
                <w:strike/>
                <w:sz w:val="18"/>
                <w:szCs w:val="18"/>
              </w:rPr>
              <w:t>Authority Required - Streamlined</w:t>
            </w:r>
          </w:p>
        </w:tc>
      </w:tr>
      <w:tr w:rsidR="006F45EA" w:rsidRPr="00A953F5" w:rsidTr="00A711BA">
        <w:tc>
          <w:tcPr>
            <w:tcW w:w="754" w:type="pct"/>
          </w:tcPr>
          <w:p w:rsidR="006F45EA" w:rsidRPr="00A953F5" w:rsidRDefault="00217A3E" w:rsidP="00217A3E">
            <w:pPr>
              <w:jc w:val="left"/>
              <w:rPr>
                <w:rFonts w:ascii="Arial Narrow" w:hAnsi="Arial Narrow"/>
                <w:i/>
                <w:color w:val="333333"/>
                <w:sz w:val="18"/>
                <w:szCs w:val="18"/>
              </w:rPr>
            </w:pPr>
            <w:r w:rsidRPr="00A953F5">
              <w:rPr>
                <w:rFonts w:ascii="Arial Narrow" w:hAnsi="Arial Narrow"/>
                <w:b/>
                <w:bCs/>
                <w:i/>
                <w:color w:val="333333"/>
                <w:sz w:val="18"/>
                <w:szCs w:val="18"/>
              </w:rPr>
              <w:t>Episodicity:</w:t>
            </w:r>
          </w:p>
        </w:tc>
        <w:tc>
          <w:tcPr>
            <w:tcW w:w="4246" w:type="pct"/>
            <w:vAlign w:val="center"/>
          </w:tcPr>
          <w:p w:rsidR="006F45EA" w:rsidRPr="00A953F5" w:rsidRDefault="006F45EA" w:rsidP="00AE4E34">
            <w:pPr>
              <w:rPr>
                <w:rFonts w:ascii="Arial Narrow" w:hAnsi="Arial Narrow"/>
                <w:b/>
                <w:bCs/>
                <w:i/>
                <w:color w:val="333333"/>
                <w:sz w:val="18"/>
                <w:szCs w:val="18"/>
              </w:rPr>
            </w:pPr>
            <w:r w:rsidRPr="00A953F5">
              <w:rPr>
                <w:rFonts w:ascii="Arial Narrow" w:hAnsi="Arial Narrow"/>
                <w:b/>
                <w:bCs/>
                <w:i/>
                <w:color w:val="333333"/>
                <w:sz w:val="18"/>
                <w:szCs w:val="18"/>
              </w:rPr>
              <w:t xml:space="preserve"> </w:t>
            </w:r>
            <w:r w:rsidRPr="00A953F5">
              <w:rPr>
                <w:rFonts w:ascii="Arial Narrow" w:hAnsi="Arial Narrow"/>
                <w:i/>
                <w:color w:val="333333"/>
                <w:sz w:val="18"/>
                <w:szCs w:val="18"/>
              </w:rPr>
              <w:t>[nil]</w:t>
            </w:r>
          </w:p>
        </w:tc>
      </w:tr>
      <w:tr w:rsidR="006F45EA" w:rsidRPr="00A953F5" w:rsidTr="00A711BA">
        <w:tc>
          <w:tcPr>
            <w:tcW w:w="754" w:type="pct"/>
          </w:tcPr>
          <w:p w:rsidR="006F45EA" w:rsidRPr="00A953F5" w:rsidRDefault="00217A3E" w:rsidP="00217A3E">
            <w:pPr>
              <w:jc w:val="left"/>
              <w:rPr>
                <w:rFonts w:ascii="Arial Narrow" w:hAnsi="Arial Narrow"/>
                <w:i/>
                <w:color w:val="333333"/>
                <w:sz w:val="18"/>
                <w:szCs w:val="18"/>
              </w:rPr>
            </w:pPr>
            <w:r w:rsidRPr="00A953F5">
              <w:rPr>
                <w:rFonts w:ascii="Arial Narrow" w:hAnsi="Arial Narrow"/>
                <w:b/>
                <w:bCs/>
                <w:i/>
                <w:color w:val="333333"/>
                <w:sz w:val="18"/>
                <w:szCs w:val="18"/>
              </w:rPr>
              <w:t>Severity:</w:t>
            </w:r>
          </w:p>
        </w:tc>
        <w:tc>
          <w:tcPr>
            <w:tcW w:w="4246" w:type="pct"/>
            <w:vAlign w:val="center"/>
          </w:tcPr>
          <w:p w:rsidR="006F45EA" w:rsidRPr="00A953F5" w:rsidRDefault="006F45EA" w:rsidP="00AE4E34">
            <w:pPr>
              <w:rPr>
                <w:rFonts w:ascii="Arial Narrow" w:hAnsi="Arial Narrow"/>
                <w:bCs/>
                <w:i/>
                <w:color w:val="333333"/>
                <w:sz w:val="18"/>
                <w:szCs w:val="18"/>
              </w:rPr>
            </w:pPr>
            <w:r w:rsidRPr="00A953F5">
              <w:rPr>
                <w:rFonts w:ascii="Arial Narrow" w:hAnsi="Arial Narrow"/>
                <w:b/>
                <w:bCs/>
                <w:i/>
                <w:color w:val="333333"/>
                <w:sz w:val="18"/>
                <w:szCs w:val="18"/>
              </w:rPr>
              <w:t xml:space="preserve"> </w:t>
            </w:r>
            <w:r w:rsidRPr="00A953F5">
              <w:rPr>
                <w:rFonts w:ascii="Arial Narrow" w:hAnsi="Arial Narrow"/>
                <w:bCs/>
                <w:i/>
                <w:color w:val="333333"/>
                <w:sz w:val="18"/>
                <w:szCs w:val="18"/>
              </w:rPr>
              <w:t>[nil]</w:t>
            </w:r>
          </w:p>
        </w:tc>
      </w:tr>
      <w:tr w:rsidR="006F45EA" w:rsidRPr="00A953F5" w:rsidTr="00A711BA">
        <w:tc>
          <w:tcPr>
            <w:tcW w:w="754" w:type="pct"/>
          </w:tcPr>
          <w:p w:rsidR="006F45EA" w:rsidRPr="00A953F5" w:rsidRDefault="00217A3E" w:rsidP="00217A3E">
            <w:pPr>
              <w:jc w:val="left"/>
              <w:rPr>
                <w:rFonts w:ascii="Arial Narrow" w:hAnsi="Arial Narrow"/>
                <w:i/>
                <w:color w:val="333333"/>
                <w:sz w:val="18"/>
                <w:szCs w:val="18"/>
              </w:rPr>
            </w:pPr>
            <w:r w:rsidRPr="00A953F5">
              <w:rPr>
                <w:rFonts w:ascii="Arial Narrow" w:hAnsi="Arial Narrow"/>
                <w:b/>
                <w:bCs/>
                <w:i/>
                <w:color w:val="333333"/>
                <w:sz w:val="18"/>
                <w:szCs w:val="18"/>
              </w:rPr>
              <w:t>Condition:</w:t>
            </w:r>
          </w:p>
        </w:tc>
        <w:tc>
          <w:tcPr>
            <w:tcW w:w="4246" w:type="pct"/>
            <w:vAlign w:val="center"/>
          </w:tcPr>
          <w:p w:rsidR="006F45EA" w:rsidRPr="00A953F5" w:rsidRDefault="006F45EA" w:rsidP="00AE4E34">
            <w:pPr>
              <w:rPr>
                <w:rFonts w:ascii="Arial Narrow" w:hAnsi="Arial Narrow"/>
                <w:b/>
                <w:bCs/>
                <w:i/>
                <w:color w:val="333333"/>
                <w:sz w:val="18"/>
                <w:szCs w:val="18"/>
              </w:rPr>
            </w:pPr>
            <w:r w:rsidRPr="00A953F5">
              <w:rPr>
                <w:rFonts w:ascii="Arial Narrow" w:hAnsi="Arial Narrow"/>
                <w:i/>
                <w:color w:val="333333"/>
                <w:sz w:val="18"/>
                <w:szCs w:val="18"/>
              </w:rPr>
              <w:t>Chronic lymphocytic leukaemia (CLL) or small lymphocytic lymphoma (SLL)</w:t>
            </w:r>
          </w:p>
        </w:tc>
      </w:tr>
      <w:tr w:rsidR="006F45EA" w:rsidRPr="00A953F5" w:rsidTr="00A711BA">
        <w:tc>
          <w:tcPr>
            <w:tcW w:w="754" w:type="pct"/>
            <w:hideMark/>
          </w:tcPr>
          <w:p w:rsidR="006F45EA" w:rsidRPr="00A953F5" w:rsidRDefault="00217A3E" w:rsidP="00217A3E">
            <w:pPr>
              <w:jc w:val="left"/>
              <w:rPr>
                <w:rFonts w:ascii="Arial Narrow" w:hAnsi="Arial Narrow"/>
                <w:i/>
                <w:color w:val="333333"/>
                <w:sz w:val="18"/>
                <w:szCs w:val="18"/>
              </w:rPr>
            </w:pPr>
            <w:r w:rsidRPr="00A953F5">
              <w:rPr>
                <w:rFonts w:ascii="Arial Narrow" w:hAnsi="Arial Narrow"/>
                <w:b/>
                <w:i/>
                <w:color w:val="333333"/>
                <w:sz w:val="18"/>
                <w:szCs w:val="18"/>
              </w:rPr>
              <w:t>Indication:</w:t>
            </w:r>
          </w:p>
        </w:tc>
        <w:tc>
          <w:tcPr>
            <w:tcW w:w="4246" w:type="pct"/>
            <w:vAlign w:val="center"/>
            <w:hideMark/>
          </w:tcPr>
          <w:p w:rsidR="006F45EA" w:rsidRPr="00A953F5" w:rsidRDefault="006F45EA" w:rsidP="00AE4E34">
            <w:pPr>
              <w:jc w:val="left"/>
              <w:rPr>
                <w:rFonts w:ascii="Arial Narrow" w:hAnsi="Arial Narrow"/>
                <w:i/>
                <w:color w:val="333333"/>
                <w:sz w:val="18"/>
                <w:szCs w:val="18"/>
              </w:rPr>
            </w:pPr>
            <w:r w:rsidRPr="00A953F5">
              <w:rPr>
                <w:rFonts w:ascii="Arial Narrow" w:hAnsi="Arial Narrow"/>
                <w:i/>
                <w:color w:val="333333"/>
                <w:sz w:val="18"/>
                <w:szCs w:val="18"/>
              </w:rPr>
              <w:t>Chronic lymphocytic leukaemia (CLL) or small lymphocytic lymphoma (SLL)</w:t>
            </w:r>
          </w:p>
        </w:tc>
      </w:tr>
      <w:tr w:rsidR="006F45EA" w:rsidRPr="00A953F5" w:rsidTr="00A711BA">
        <w:tc>
          <w:tcPr>
            <w:tcW w:w="754" w:type="pct"/>
            <w:hideMark/>
          </w:tcPr>
          <w:p w:rsidR="006F45EA" w:rsidRPr="00A953F5" w:rsidRDefault="00217A3E" w:rsidP="00217A3E">
            <w:pPr>
              <w:jc w:val="left"/>
              <w:rPr>
                <w:rFonts w:ascii="Arial Narrow" w:hAnsi="Arial Narrow"/>
                <w:i/>
                <w:color w:val="333333"/>
                <w:sz w:val="18"/>
                <w:szCs w:val="18"/>
              </w:rPr>
            </w:pPr>
            <w:r w:rsidRPr="00A953F5">
              <w:rPr>
                <w:rFonts w:ascii="Arial Narrow" w:hAnsi="Arial Narrow"/>
                <w:b/>
                <w:bCs/>
                <w:i/>
                <w:color w:val="333333"/>
                <w:sz w:val="18"/>
                <w:szCs w:val="18"/>
              </w:rPr>
              <w:t>Treatment Phase:</w:t>
            </w:r>
          </w:p>
        </w:tc>
        <w:tc>
          <w:tcPr>
            <w:tcW w:w="4246" w:type="pct"/>
            <w:vAlign w:val="center"/>
            <w:hideMark/>
          </w:tcPr>
          <w:p w:rsidR="006F45EA" w:rsidRPr="00A953F5" w:rsidRDefault="006F45EA" w:rsidP="00AE4E34">
            <w:pPr>
              <w:rPr>
                <w:rFonts w:ascii="Arial Narrow" w:hAnsi="Arial Narrow"/>
                <w:i/>
                <w:color w:val="333333"/>
                <w:sz w:val="18"/>
                <w:szCs w:val="18"/>
              </w:rPr>
            </w:pPr>
            <w:r w:rsidRPr="00A953F5">
              <w:rPr>
                <w:rFonts w:ascii="Arial Narrow" w:hAnsi="Arial Narrow"/>
                <w:i/>
                <w:color w:val="333333"/>
                <w:sz w:val="18"/>
                <w:szCs w:val="18"/>
              </w:rPr>
              <w:t>Second continuing treatment (treatment cycles 7 to 12 inclusive) of first-line therapy</w:t>
            </w:r>
          </w:p>
        </w:tc>
      </w:tr>
      <w:tr w:rsidR="00217A3E" w:rsidRPr="00A953F5" w:rsidTr="00A711BA">
        <w:trPr>
          <w:trHeight w:val="84"/>
        </w:trPr>
        <w:tc>
          <w:tcPr>
            <w:tcW w:w="754" w:type="pct"/>
          </w:tcPr>
          <w:p w:rsidR="00217A3E" w:rsidRPr="00A953F5" w:rsidRDefault="00217A3E" w:rsidP="00217A3E">
            <w:pPr>
              <w:jc w:val="left"/>
              <w:rPr>
                <w:rFonts w:ascii="Arial Narrow" w:hAnsi="Arial Narrow"/>
                <w:i/>
                <w:color w:val="333333"/>
                <w:sz w:val="18"/>
                <w:szCs w:val="18"/>
              </w:rPr>
            </w:pPr>
            <w:r w:rsidRPr="00A953F5">
              <w:rPr>
                <w:rFonts w:ascii="Arial Narrow" w:hAnsi="Arial Narrow" w:cstheme="minorHAnsi"/>
                <w:b/>
                <w:bCs/>
                <w:i/>
                <w:sz w:val="18"/>
                <w:szCs w:val="18"/>
              </w:rPr>
              <w:t>Clinical criteria:</w:t>
            </w:r>
          </w:p>
        </w:tc>
        <w:tc>
          <w:tcPr>
            <w:tcW w:w="4246" w:type="pct"/>
            <w:vAlign w:val="center"/>
          </w:tcPr>
          <w:p w:rsidR="00217A3E" w:rsidRPr="00A953F5" w:rsidRDefault="00217A3E" w:rsidP="00AE4E34">
            <w:pPr>
              <w:rPr>
                <w:rFonts w:ascii="Arial Narrow" w:hAnsi="Arial Narrow"/>
                <w:b/>
                <w:bCs/>
                <w:i/>
                <w:color w:val="333333"/>
                <w:sz w:val="18"/>
                <w:szCs w:val="18"/>
              </w:rPr>
            </w:pPr>
            <w:r w:rsidRPr="00A953F5">
              <w:rPr>
                <w:rFonts w:ascii="Arial Narrow" w:hAnsi="Arial Narrow" w:cstheme="minorHAnsi"/>
                <w:i/>
                <w:sz w:val="18"/>
                <w:szCs w:val="18"/>
              </w:rPr>
              <w:t>Patient must have previously received PBS-subsidised treatment with this drug for this condition</w:t>
            </w:r>
          </w:p>
        </w:tc>
      </w:tr>
      <w:tr w:rsidR="00217A3E" w:rsidRPr="00A953F5" w:rsidTr="00A711BA">
        <w:trPr>
          <w:trHeight w:val="162"/>
        </w:trPr>
        <w:tc>
          <w:tcPr>
            <w:tcW w:w="754" w:type="pct"/>
          </w:tcPr>
          <w:p w:rsidR="00217A3E" w:rsidRPr="00A953F5" w:rsidRDefault="00217A3E" w:rsidP="00217A3E">
            <w:pPr>
              <w:jc w:val="left"/>
              <w:rPr>
                <w:rFonts w:ascii="Arial Narrow" w:hAnsi="Arial Narrow"/>
                <w:i/>
                <w:color w:val="333333"/>
                <w:sz w:val="18"/>
                <w:szCs w:val="18"/>
              </w:rPr>
            </w:pPr>
            <w:r w:rsidRPr="00A953F5">
              <w:rPr>
                <w:rFonts w:ascii="Arial Narrow" w:hAnsi="Arial Narrow"/>
                <w:b/>
                <w:bCs/>
                <w:i/>
                <w:color w:val="333333"/>
                <w:sz w:val="18"/>
                <w:szCs w:val="18"/>
              </w:rPr>
              <w:t>Prescriber instruction:</w:t>
            </w:r>
          </w:p>
        </w:tc>
        <w:tc>
          <w:tcPr>
            <w:tcW w:w="4246" w:type="pct"/>
            <w:vAlign w:val="center"/>
          </w:tcPr>
          <w:p w:rsidR="00217A3E" w:rsidRPr="00A953F5" w:rsidRDefault="00217A3E" w:rsidP="00AE4E34">
            <w:pPr>
              <w:jc w:val="left"/>
              <w:rPr>
                <w:rFonts w:ascii="Arial Narrow" w:hAnsi="Arial Narrow"/>
                <w:i/>
                <w:color w:val="333333"/>
                <w:sz w:val="18"/>
                <w:szCs w:val="18"/>
              </w:rPr>
            </w:pPr>
            <w:r w:rsidRPr="00A953F5">
              <w:rPr>
                <w:rFonts w:ascii="Arial Narrow" w:hAnsi="Arial Narrow"/>
                <w:i/>
                <w:color w:val="333333"/>
                <w:sz w:val="18"/>
                <w:szCs w:val="18"/>
              </w:rPr>
              <w:t xml:space="preserve">The treatment must be ceased upon disease progression or after completion of 12 cycles of PBS-subsidised treatment with this drug for this condition, whichever comes first. </w:t>
            </w:r>
          </w:p>
        </w:tc>
      </w:tr>
      <w:tr w:rsidR="00217A3E" w:rsidRPr="00A953F5" w:rsidTr="00A711BA">
        <w:trPr>
          <w:trHeight w:val="410"/>
        </w:trPr>
        <w:tc>
          <w:tcPr>
            <w:tcW w:w="754" w:type="pct"/>
            <w:hideMark/>
          </w:tcPr>
          <w:p w:rsidR="00217A3E" w:rsidRPr="00A953F5" w:rsidRDefault="00217A3E" w:rsidP="00217A3E">
            <w:pPr>
              <w:jc w:val="left"/>
              <w:rPr>
                <w:rFonts w:ascii="Arial Narrow" w:hAnsi="Arial Narrow"/>
                <w:i/>
                <w:color w:val="333333"/>
                <w:sz w:val="18"/>
                <w:szCs w:val="18"/>
              </w:rPr>
            </w:pPr>
            <w:r w:rsidRPr="00A953F5">
              <w:rPr>
                <w:rFonts w:ascii="Arial Narrow" w:hAnsi="Arial Narrow"/>
                <w:b/>
                <w:bCs/>
                <w:i/>
                <w:color w:val="333333"/>
                <w:sz w:val="18"/>
                <w:szCs w:val="18"/>
              </w:rPr>
              <w:t>Administrative Advice:</w:t>
            </w:r>
          </w:p>
        </w:tc>
        <w:tc>
          <w:tcPr>
            <w:tcW w:w="4246" w:type="pct"/>
            <w:vAlign w:val="center"/>
            <w:hideMark/>
          </w:tcPr>
          <w:p w:rsidR="00217A3E" w:rsidRPr="00A953F5" w:rsidRDefault="00217A3E" w:rsidP="00AE4E34">
            <w:pPr>
              <w:rPr>
                <w:rFonts w:ascii="Arial Narrow" w:hAnsi="Arial Narrow"/>
                <w:i/>
                <w:color w:val="333333"/>
                <w:sz w:val="18"/>
                <w:szCs w:val="18"/>
              </w:rPr>
            </w:pPr>
            <w:r w:rsidRPr="00A953F5">
              <w:rPr>
                <w:rFonts w:ascii="Arial Narrow" w:hAnsi="Arial Narrow"/>
                <w:i/>
                <w:color w:val="333333"/>
                <w:sz w:val="18"/>
                <w:szCs w:val="18"/>
              </w:rPr>
              <w:t>No increase in the maximum quantity or number of units may be authorised.</w:t>
            </w:r>
          </w:p>
          <w:p w:rsidR="00217A3E" w:rsidRPr="00A953F5" w:rsidRDefault="00217A3E" w:rsidP="00AE4E34">
            <w:pPr>
              <w:rPr>
                <w:rFonts w:ascii="Arial Narrow" w:hAnsi="Arial Narrow"/>
                <w:i/>
                <w:color w:val="333333"/>
                <w:sz w:val="18"/>
                <w:szCs w:val="18"/>
              </w:rPr>
            </w:pPr>
            <w:r w:rsidRPr="00A953F5">
              <w:rPr>
                <w:rFonts w:ascii="Arial Narrow" w:hAnsi="Arial Narrow"/>
                <w:i/>
                <w:color w:val="333333"/>
                <w:sz w:val="18"/>
                <w:szCs w:val="18"/>
              </w:rPr>
              <w:t>No increase in the maximum number of repeats may be authorised.</w:t>
            </w:r>
          </w:p>
          <w:p w:rsidR="00217A3E" w:rsidRPr="00A953F5" w:rsidRDefault="00217A3E" w:rsidP="00AE4E34">
            <w:pPr>
              <w:rPr>
                <w:rFonts w:ascii="Arial Narrow" w:hAnsi="Arial Narrow"/>
                <w:i/>
                <w:color w:val="333333"/>
                <w:sz w:val="18"/>
                <w:szCs w:val="18"/>
              </w:rPr>
            </w:pPr>
            <w:r w:rsidRPr="00A953F5">
              <w:rPr>
                <w:rFonts w:ascii="Arial Narrow" w:hAnsi="Arial Narrow"/>
                <w:i/>
                <w:color w:val="333333"/>
                <w:sz w:val="18"/>
                <w:szCs w:val="18"/>
              </w:rPr>
              <w:t xml:space="preserve">Special Pricing Arrangements apply. </w:t>
            </w:r>
          </w:p>
        </w:tc>
      </w:tr>
    </w:tbl>
    <w:p w:rsidR="00FC19AD" w:rsidRDefault="00FC19AD" w:rsidP="00E53650">
      <w:pPr>
        <w:pStyle w:val="ExecSumBodyText"/>
        <w:numPr>
          <w:ilvl w:val="0"/>
          <w:numId w:val="0"/>
        </w:numPr>
      </w:pPr>
    </w:p>
    <w:p w:rsidR="003762F9" w:rsidRPr="003762F9" w:rsidRDefault="003762F9" w:rsidP="003762F9">
      <w:pPr>
        <w:pStyle w:val="ExecSumBodyText"/>
        <w:rPr>
          <w:color w:val="0066FF"/>
        </w:rPr>
      </w:pPr>
      <w:r>
        <w:t xml:space="preserve">Instead of having a new, separate ‘extension of dose titration’ restriction, the </w:t>
      </w:r>
      <w:r w:rsidR="00AA117A">
        <w:t xml:space="preserve">Secretariat </w:t>
      </w:r>
      <w:r>
        <w:t xml:space="preserve">proposed </w:t>
      </w:r>
      <w:r w:rsidRPr="00A953F5">
        <w:t xml:space="preserve">modifying the existing venetoclax extension of dose titration listing. The amended restriction will allow use as monotherapy or in combination with chlorambucil.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67"/>
        <w:gridCol w:w="7650"/>
      </w:tblGrid>
      <w:tr w:rsidR="00FC19AD" w:rsidRPr="00A953F5" w:rsidTr="00A711BA">
        <w:tc>
          <w:tcPr>
            <w:tcW w:w="754" w:type="pct"/>
            <w:tcBorders>
              <w:top w:val="single" w:sz="4" w:space="0" w:color="auto"/>
              <w:left w:val="single" w:sz="4" w:space="0" w:color="auto"/>
              <w:bottom w:val="single" w:sz="4" w:space="0" w:color="auto"/>
              <w:right w:val="single" w:sz="4" w:space="0" w:color="auto"/>
            </w:tcBorders>
          </w:tcPr>
          <w:p w:rsidR="00FC19AD" w:rsidRPr="00A953F5" w:rsidRDefault="00217A3E" w:rsidP="00217A3E">
            <w:pPr>
              <w:jc w:val="left"/>
              <w:rPr>
                <w:rFonts w:ascii="Arial Narrow" w:hAnsi="Arial Narrow"/>
                <w:b/>
                <w:strike/>
                <w:sz w:val="18"/>
                <w:szCs w:val="18"/>
              </w:rPr>
            </w:pPr>
            <w:r w:rsidRPr="00A953F5">
              <w:rPr>
                <w:rFonts w:ascii="Arial Narrow" w:hAnsi="Arial Narrow"/>
                <w:b/>
                <w:strike/>
                <w:sz w:val="18"/>
                <w:szCs w:val="18"/>
              </w:rPr>
              <w:t>Category/Program:</w:t>
            </w:r>
          </w:p>
        </w:tc>
        <w:tc>
          <w:tcPr>
            <w:tcW w:w="4246" w:type="pct"/>
            <w:tcBorders>
              <w:top w:val="single" w:sz="4" w:space="0" w:color="auto"/>
              <w:left w:val="single" w:sz="4" w:space="0" w:color="auto"/>
              <w:bottom w:val="single" w:sz="4" w:space="0" w:color="auto"/>
              <w:right w:val="single" w:sz="4" w:space="0" w:color="auto"/>
            </w:tcBorders>
          </w:tcPr>
          <w:p w:rsidR="00FC19AD" w:rsidRPr="00A953F5" w:rsidRDefault="00FC19AD" w:rsidP="00AE4E34">
            <w:pPr>
              <w:rPr>
                <w:rFonts w:ascii="Arial Narrow" w:hAnsi="Arial Narrow"/>
                <w:strike/>
                <w:sz w:val="18"/>
                <w:szCs w:val="18"/>
              </w:rPr>
            </w:pPr>
            <w:r w:rsidRPr="00A953F5">
              <w:rPr>
                <w:rFonts w:ascii="Arial Narrow" w:hAnsi="Arial Narrow"/>
                <w:strike/>
                <w:sz w:val="18"/>
                <w:szCs w:val="18"/>
              </w:rPr>
              <w:t xml:space="preserve">GENERAL – General Schedule (Code GE) </w:t>
            </w:r>
          </w:p>
        </w:tc>
      </w:tr>
      <w:tr w:rsidR="00FC19AD" w:rsidRPr="00A953F5" w:rsidTr="00A711BA">
        <w:trPr>
          <w:trHeight w:val="163"/>
        </w:trPr>
        <w:tc>
          <w:tcPr>
            <w:tcW w:w="754" w:type="pct"/>
            <w:tcBorders>
              <w:top w:val="single" w:sz="4" w:space="0" w:color="auto"/>
              <w:left w:val="single" w:sz="4" w:space="0" w:color="auto"/>
              <w:bottom w:val="single" w:sz="4" w:space="0" w:color="auto"/>
              <w:right w:val="single" w:sz="4" w:space="0" w:color="auto"/>
            </w:tcBorders>
          </w:tcPr>
          <w:p w:rsidR="00FC19AD" w:rsidRPr="00A953F5" w:rsidRDefault="00217A3E" w:rsidP="00217A3E">
            <w:pPr>
              <w:jc w:val="left"/>
              <w:rPr>
                <w:rFonts w:ascii="Arial Narrow" w:hAnsi="Arial Narrow"/>
                <w:strike/>
                <w:sz w:val="18"/>
                <w:szCs w:val="18"/>
              </w:rPr>
            </w:pPr>
            <w:r w:rsidRPr="00A953F5">
              <w:rPr>
                <w:rFonts w:ascii="Arial Narrow" w:hAnsi="Arial Narrow"/>
                <w:b/>
                <w:strike/>
                <w:sz w:val="18"/>
                <w:szCs w:val="18"/>
              </w:rPr>
              <w:t xml:space="preserve">Prescriber type:  </w:t>
            </w:r>
          </w:p>
        </w:tc>
        <w:tc>
          <w:tcPr>
            <w:tcW w:w="4246" w:type="pct"/>
            <w:tcBorders>
              <w:top w:val="single" w:sz="4" w:space="0" w:color="auto"/>
              <w:left w:val="single" w:sz="4" w:space="0" w:color="auto"/>
              <w:bottom w:val="single" w:sz="4" w:space="0" w:color="auto"/>
              <w:right w:val="single" w:sz="4" w:space="0" w:color="auto"/>
            </w:tcBorders>
          </w:tcPr>
          <w:p w:rsidR="00FC19AD" w:rsidRPr="00A953F5" w:rsidRDefault="00FC19AD" w:rsidP="00AE4E34">
            <w:pPr>
              <w:rPr>
                <w:rFonts w:ascii="Arial Narrow" w:hAnsi="Arial Narrow"/>
                <w:strike/>
                <w:sz w:val="18"/>
                <w:szCs w:val="18"/>
              </w:rPr>
            </w:pPr>
            <w:r w:rsidRPr="00A953F5">
              <w:rPr>
                <w:rFonts w:ascii="Arial Narrow" w:hAnsi="Arial Narrow"/>
                <w:strike/>
                <w:sz w:val="18"/>
                <w:szCs w:val="18"/>
              </w:rPr>
              <w:fldChar w:fldCharType="begin">
                <w:ffData>
                  <w:name w:val="Check1"/>
                  <w:enabled/>
                  <w:calcOnExit w:val="0"/>
                  <w:checkBox>
                    <w:sizeAuto/>
                    <w:default w:val="0"/>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 xml:space="preserve">Dental  </w:t>
            </w:r>
            <w:r w:rsidRPr="00A953F5">
              <w:rPr>
                <w:rFonts w:ascii="Arial Narrow" w:hAnsi="Arial Narrow"/>
                <w:strike/>
                <w:sz w:val="18"/>
                <w:szCs w:val="18"/>
              </w:rPr>
              <w:fldChar w:fldCharType="begin">
                <w:ffData>
                  <w:name w:val=""/>
                  <w:enabled/>
                  <w:calcOnExit w:val="0"/>
                  <w:checkBox>
                    <w:sizeAuto/>
                    <w:default w:val="1"/>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 xml:space="preserve">Medical Practitioners  </w:t>
            </w:r>
            <w:r w:rsidRPr="00A953F5">
              <w:rPr>
                <w:rFonts w:ascii="Arial Narrow" w:hAnsi="Arial Narrow"/>
                <w:strike/>
                <w:sz w:val="18"/>
                <w:szCs w:val="18"/>
              </w:rPr>
              <w:fldChar w:fldCharType="begin">
                <w:ffData>
                  <w:name w:val="Check3"/>
                  <w:enabled/>
                  <w:calcOnExit w:val="0"/>
                  <w:checkBox>
                    <w:sizeAuto/>
                    <w:default w:val="0"/>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 xml:space="preserve">Nurse practitioners  </w:t>
            </w:r>
            <w:r w:rsidRPr="00A953F5">
              <w:rPr>
                <w:rFonts w:ascii="Arial Narrow" w:hAnsi="Arial Narrow"/>
                <w:strike/>
                <w:sz w:val="18"/>
                <w:szCs w:val="18"/>
              </w:rPr>
              <w:fldChar w:fldCharType="begin">
                <w:ffData>
                  <w:name w:val=""/>
                  <w:enabled/>
                  <w:calcOnExit w:val="0"/>
                  <w:checkBox>
                    <w:sizeAuto/>
                    <w:default w:val="0"/>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 xml:space="preserve">Optometrists    </w:t>
            </w:r>
            <w:r w:rsidRPr="00A953F5">
              <w:rPr>
                <w:rFonts w:ascii="Arial Narrow" w:hAnsi="Arial Narrow"/>
                <w:strike/>
                <w:sz w:val="18"/>
                <w:szCs w:val="18"/>
              </w:rPr>
              <w:fldChar w:fldCharType="begin">
                <w:ffData>
                  <w:name w:val="Check5"/>
                  <w:enabled/>
                  <w:calcOnExit w:val="0"/>
                  <w:checkBox>
                    <w:sizeAuto/>
                    <w:default w:val="0"/>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Midwives</w:t>
            </w:r>
          </w:p>
        </w:tc>
      </w:tr>
      <w:tr w:rsidR="00FC19AD" w:rsidRPr="00A953F5" w:rsidTr="00A711BA">
        <w:tc>
          <w:tcPr>
            <w:tcW w:w="754" w:type="pct"/>
            <w:tcBorders>
              <w:top w:val="single" w:sz="4" w:space="0" w:color="auto"/>
              <w:left w:val="single" w:sz="4" w:space="0" w:color="auto"/>
              <w:bottom w:val="single" w:sz="4" w:space="0" w:color="auto"/>
              <w:right w:val="single" w:sz="4" w:space="0" w:color="auto"/>
            </w:tcBorders>
          </w:tcPr>
          <w:p w:rsidR="00FC19AD" w:rsidRPr="00A953F5" w:rsidRDefault="00FC19AD" w:rsidP="00217A3E">
            <w:pPr>
              <w:jc w:val="left"/>
              <w:rPr>
                <w:rFonts w:ascii="Arial Narrow" w:hAnsi="Arial Narrow"/>
                <w:i/>
                <w:strike/>
                <w:sz w:val="18"/>
                <w:szCs w:val="18"/>
              </w:rPr>
            </w:pPr>
          </w:p>
          <w:p w:rsidR="00217A3E" w:rsidRPr="00A953F5" w:rsidRDefault="00217A3E" w:rsidP="00217A3E">
            <w:pPr>
              <w:jc w:val="left"/>
              <w:rPr>
                <w:rFonts w:ascii="Arial Narrow" w:hAnsi="Arial Narrow"/>
                <w:b/>
                <w:strike/>
                <w:sz w:val="18"/>
                <w:szCs w:val="18"/>
              </w:rPr>
            </w:pPr>
            <w:r>
              <w:rPr>
                <w:rFonts w:ascii="Arial Narrow" w:hAnsi="Arial Narrow"/>
                <w:b/>
                <w:strike/>
                <w:sz w:val="18"/>
                <w:szCs w:val="18"/>
              </w:rPr>
              <w:t>Restriction l</w:t>
            </w:r>
            <w:r w:rsidRPr="00A953F5">
              <w:rPr>
                <w:rFonts w:ascii="Arial Narrow" w:hAnsi="Arial Narrow"/>
                <w:b/>
                <w:strike/>
                <w:sz w:val="18"/>
                <w:szCs w:val="18"/>
              </w:rPr>
              <w:t>evel/ Method:</w:t>
            </w:r>
          </w:p>
          <w:p w:rsidR="00FC19AD" w:rsidRPr="00A953F5" w:rsidRDefault="00FC19AD" w:rsidP="00217A3E">
            <w:pPr>
              <w:jc w:val="left"/>
              <w:rPr>
                <w:rFonts w:ascii="Arial Narrow" w:hAnsi="Arial Narrow"/>
                <w:i/>
                <w:strike/>
                <w:sz w:val="18"/>
                <w:szCs w:val="18"/>
              </w:rPr>
            </w:pPr>
          </w:p>
          <w:p w:rsidR="00FC19AD" w:rsidRPr="00A953F5" w:rsidRDefault="00FC19AD" w:rsidP="00217A3E">
            <w:pPr>
              <w:jc w:val="left"/>
              <w:rPr>
                <w:rFonts w:ascii="Arial Narrow" w:hAnsi="Arial Narrow"/>
                <w:strike/>
                <w:sz w:val="18"/>
                <w:szCs w:val="18"/>
              </w:rPr>
            </w:pPr>
          </w:p>
        </w:tc>
        <w:tc>
          <w:tcPr>
            <w:tcW w:w="4246" w:type="pct"/>
            <w:tcBorders>
              <w:top w:val="single" w:sz="4" w:space="0" w:color="auto"/>
              <w:left w:val="single" w:sz="4" w:space="0" w:color="auto"/>
              <w:bottom w:val="single" w:sz="4" w:space="0" w:color="auto"/>
              <w:right w:val="single" w:sz="4" w:space="0" w:color="auto"/>
            </w:tcBorders>
          </w:tcPr>
          <w:p w:rsidR="00FC19AD" w:rsidRPr="00A953F5" w:rsidRDefault="00FC19AD" w:rsidP="00AE4E34">
            <w:pPr>
              <w:rPr>
                <w:rFonts w:ascii="Arial Narrow" w:hAnsi="Arial Narrow"/>
                <w:strike/>
                <w:sz w:val="18"/>
                <w:szCs w:val="18"/>
              </w:rPr>
            </w:pPr>
            <w:r w:rsidRPr="00A953F5">
              <w:rPr>
                <w:rFonts w:ascii="Arial Narrow" w:hAnsi="Arial Narrow"/>
                <w:strike/>
                <w:sz w:val="18"/>
                <w:szCs w:val="18"/>
              </w:rPr>
              <w:fldChar w:fldCharType="begin">
                <w:ffData>
                  <w:name w:val="Check1"/>
                  <w:enabled/>
                  <w:calcOnExit w:val="0"/>
                  <w:checkBox>
                    <w:sizeAuto/>
                    <w:default w:val="0"/>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Unrestricted benefit</w:t>
            </w:r>
          </w:p>
          <w:p w:rsidR="00FC19AD" w:rsidRPr="00A953F5" w:rsidRDefault="00FC19AD" w:rsidP="00AE4E34">
            <w:pPr>
              <w:rPr>
                <w:rFonts w:ascii="Arial Narrow" w:hAnsi="Arial Narrow"/>
                <w:strike/>
                <w:sz w:val="18"/>
                <w:szCs w:val="18"/>
              </w:rPr>
            </w:pPr>
            <w:r w:rsidRPr="00A953F5">
              <w:rPr>
                <w:rFonts w:ascii="Arial Narrow" w:hAnsi="Arial Narrow"/>
                <w:strike/>
                <w:sz w:val="18"/>
                <w:szCs w:val="18"/>
              </w:rPr>
              <w:fldChar w:fldCharType="begin">
                <w:ffData>
                  <w:name w:val="Check1"/>
                  <w:enabled/>
                  <w:calcOnExit w:val="0"/>
                  <w:checkBox>
                    <w:sizeAuto/>
                    <w:default w:val="0"/>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Restricted benefit</w:t>
            </w:r>
          </w:p>
          <w:p w:rsidR="00FC19AD" w:rsidRPr="00A953F5" w:rsidRDefault="00FC19AD" w:rsidP="00AE4E34">
            <w:pPr>
              <w:rPr>
                <w:rFonts w:ascii="Arial Narrow" w:hAnsi="Arial Narrow"/>
                <w:strike/>
                <w:sz w:val="18"/>
                <w:szCs w:val="18"/>
              </w:rPr>
            </w:pPr>
            <w:r w:rsidRPr="00A953F5">
              <w:rPr>
                <w:rFonts w:ascii="Arial Narrow" w:hAnsi="Arial Narrow"/>
                <w:strike/>
                <w:sz w:val="18"/>
                <w:szCs w:val="18"/>
              </w:rPr>
              <w:fldChar w:fldCharType="begin">
                <w:ffData>
                  <w:name w:val=""/>
                  <w:enabled/>
                  <w:calcOnExit w:val="0"/>
                  <w:checkBox>
                    <w:sizeAuto/>
                    <w:default w:val="0"/>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Authority Required – In Writing</w:t>
            </w:r>
          </w:p>
          <w:p w:rsidR="00FC19AD" w:rsidRPr="00A953F5" w:rsidRDefault="00FC19AD" w:rsidP="00AE4E34">
            <w:pPr>
              <w:rPr>
                <w:rFonts w:ascii="Arial Narrow" w:hAnsi="Arial Narrow"/>
                <w:strike/>
                <w:sz w:val="18"/>
                <w:szCs w:val="18"/>
              </w:rPr>
            </w:pPr>
            <w:r w:rsidRPr="00A953F5">
              <w:rPr>
                <w:rFonts w:ascii="Arial Narrow" w:hAnsi="Arial Narrow"/>
                <w:strike/>
                <w:sz w:val="18"/>
                <w:szCs w:val="18"/>
              </w:rPr>
              <w:fldChar w:fldCharType="begin">
                <w:ffData>
                  <w:name w:val=""/>
                  <w:enabled/>
                  <w:calcOnExit w:val="0"/>
                  <w:checkBox>
                    <w:sizeAuto/>
                    <w:default w:val="0"/>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Authority Required – Telephone/Electronic/Emergency</w:t>
            </w:r>
          </w:p>
          <w:p w:rsidR="00FC19AD" w:rsidRPr="00A953F5" w:rsidRDefault="00FC19AD" w:rsidP="00AE4E34">
            <w:pPr>
              <w:rPr>
                <w:rFonts w:ascii="Arial Narrow" w:hAnsi="Arial Narrow"/>
                <w:strike/>
                <w:sz w:val="18"/>
                <w:szCs w:val="18"/>
              </w:rPr>
            </w:pPr>
            <w:r w:rsidRPr="00A953F5">
              <w:rPr>
                <w:rFonts w:ascii="Arial Narrow" w:hAnsi="Arial Narrow"/>
                <w:strike/>
                <w:sz w:val="18"/>
                <w:szCs w:val="18"/>
              </w:rPr>
              <w:fldChar w:fldCharType="begin">
                <w:ffData>
                  <w:name w:val=""/>
                  <w:enabled/>
                  <w:calcOnExit w:val="0"/>
                  <w:checkBox>
                    <w:sizeAuto/>
                    <w:default w:val="1"/>
                  </w:checkBox>
                </w:ffData>
              </w:fldChar>
            </w:r>
            <w:r w:rsidRPr="00A953F5">
              <w:rPr>
                <w:rFonts w:ascii="Arial Narrow" w:hAnsi="Arial Narrow"/>
                <w:strike/>
                <w:sz w:val="18"/>
                <w:szCs w:val="18"/>
              </w:rPr>
              <w:instrText xml:space="preserve"> FORMCHECKBOX </w:instrText>
            </w:r>
            <w:r w:rsidR="00BA436D">
              <w:rPr>
                <w:rFonts w:ascii="Arial Narrow" w:hAnsi="Arial Narrow"/>
                <w:strike/>
                <w:sz w:val="18"/>
                <w:szCs w:val="18"/>
              </w:rPr>
            </w:r>
            <w:r w:rsidR="00BA436D">
              <w:rPr>
                <w:rFonts w:ascii="Arial Narrow" w:hAnsi="Arial Narrow"/>
                <w:strike/>
                <w:sz w:val="18"/>
                <w:szCs w:val="18"/>
              </w:rPr>
              <w:fldChar w:fldCharType="separate"/>
            </w:r>
            <w:r w:rsidRPr="00A953F5">
              <w:rPr>
                <w:rFonts w:ascii="Arial Narrow" w:hAnsi="Arial Narrow"/>
                <w:strike/>
                <w:sz w:val="18"/>
                <w:szCs w:val="18"/>
              </w:rPr>
              <w:fldChar w:fldCharType="end"/>
            </w:r>
            <w:r w:rsidRPr="00A953F5">
              <w:rPr>
                <w:rFonts w:ascii="Arial Narrow" w:hAnsi="Arial Narrow"/>
                <w:strike/>
                <w:sz w:val="18"/>
                <w:szCs w:val="18"/>
              </w:rPr>
              <w:t>Authority Required - Streamlined</w:t>
            </w:r>
          </w:p>
        </w:tc>
      </w:tr>
      <w:tr w:rsidR="00FC19AD" w:rsidRPr="00A953F5" w:rsidTr="00A711BA">
        <w:tc>
          <w:tcPr>
            <w:tcW w:w="754" w:type="pct"/>
          </w:tcPr>
          <w:p w:rsidR="00FC19AD" w:rsidRPr="00A953F5" w:rsidRDefault="00217A3E" w:rsidP="00217A3E">
            <w:pPr>
              <w:jc w:val="left"/>
              <w:rPr>
                <w:rFonts w:ascii="Arial Narrow" w:hAnsi="Arial Narrow"/>
                <w:strike/>
                <w:color w:val="333333"/>
                <w:sz w:val="18"/>
                <w:szCs w:val="18"/>
              </w:rPr>
            </w:pPr>
            <w:r w:rsidRPr="00A953F5">
              <w:rPr>
                <w:rFonts w:ascii="Arial Narrow" w:hAnsi="Arial Narrow"/>
                <w:b/>
                <w:bCs/>
                <w:strike/>
                <w:color w:val="333333"/>
                <w:sz w:val="18"/>
                <w:szCs w:val="18"/>
              </w:rPr>
              <w:t>Episodicity:</w:t>
            </w:r>
          </w:p>
        </w:tc>
        <w:tc>
          <w:tcPr>
            <w:tcW w:w="4246" w:type="pct"/>
            <w:vAlign w:val="center"/>
          </w:tcPr>
          <w:p w:rsidR="00FC19AD" w:rsidRPr="00A953F5" w:rsidRDefault="00FC19AD" w:rsidP="00AE4E34">
            <w:pPr>
              <w:rPr>
                <w:rFonts w:ascii="Arial Narrow" w:hAnsi="Arial Narrow"/>
                <w:b/>
                <w:bCs/>
                <w:i/>
                <w:strike/>
                <w:color w:val="333333"/>
                <w:sz w:val="18"/>
                <w:szCs w:val="18"/>
              </w:rPr>
            </w:pPr>
            <w:r w:rsidRPr="00A953F5">
              <w:rPr>
                <w:rFonts w:ascii="Arial Narrow" w:hAnsi="Arial Narrow"/>
                <w:b/>
                <w:bCs/>
                <w:strike/>
                <w:color w:val="333333"/>
                <w:sz w:val="18"/>
                <w:szCs w:val="18"/>
              </w:rPr>
              <w:t xml:space="preserve"> </w:t>
            </w:r>
            <w:r w:rsidRPr="00A953F5">
              <w:rPr>
                <w:rFonts w:ascii="Arial Narrow" w:hAnsi="Arial Narrow"/>
                <w:strike/>
                <w:color w:val="333333"/>
                <w:sz w:val="18"/>
                <w:szCs w:val="18"/>
              </w:rPr>
              <w:t>[nil]</w:t>
            </w:r>
            <w:r w:rsidRPr="00A953F5">
              <w:rPr>
                <w:rFonts w:ascii="Arial Narrow" w:hAnsi="Arial Narrow"/>
                <w:i/>
                <w:strike/>
                <w:color w:val="333333"/>
                <w:sz w:val="18"/>
                <w:szCs w:val="18"/>
              </w:rPr>
              <w:t xml:space="preserve"> </w:t>
            </w:r>
          </w:p>
        </w:tc>
      </w:tr>
      <w:tr w:rsidR="00FC19AD" w:rsidRPr="00A953F5" w:rsidTr="00A711BA">
        <w:tc>
          <w:tcPr>
            <w:tcW w:w="754" w:type="pct"/>
          </w:tcPr>
          <w:p w:rsidR="00FC19AD" w:rsidRPr="00A953F5" w:rsidRDefault="00217A3E" w:rsidP="00217A3E">
            <w:pPr>
              <w:jc w:val="left"/>
              <w:rPr>
                <w:rFonts w:ascii="Arial Narrow" w:hAnsi="Arial Narrow"/>
                <w:strike/>
                <w:color w:val="333333"/>
                <w:sz w:val="18"/>
                <w:szCs w:val="18"/>
              </w:rPr>
            </w:pPr>
            <w:r w:rsidRPr="00A953F5">
              <w:rPr>
                <w:rFonts w:ascii="Arial Narrow" w:hAnsi="Arial Narrow"/>
                <w:b/>
                <w:bCs/>
                <w:strike/>
                <w:color w:val="333333"/>
                <w:sz w:val="18"/>
                <w:szCs w:val="18"/>
              </w:rPr>
              <w:t>Severity:</w:t>
            </w:r>
          </w:p>
        </w:tc>
        <w:tc>
          <w:tcPr>
            <w:tcW w:w="4246" w:type="pct"/>
            <w:vAlign w:val="center"/>
          </w:tcPr>
          <w:p w:rsidR="00FC19AD" w:rsidRPr="00A953F5" w:rsidRDefault="00FC19AD" w:rsidP="00AE4E34">
            <w:pPr>
              <w:rPr>
                <w:rFonts w:ascii="Arial Narrow" w:hAnsi="Arial Narrow"/>
                <w:bCs/>
                <w:strike/>
                <w:color w:val="333333"/>
                <w:sz w:val="18"/>
                <w:szCs w:val="18"/>
              </w:rPr>
            </w:pPr>
            <w:r w:rsidRPr="00A953F5">
              <w:rPr>
                <w:rFonts w:ascii="Arial Narrow" w:hAnsi="Arial Narrow"/>
                <w:bCs/>
                <w:strike/>
                <w:color w:val="333333"/>
                <w:sz w:val="18"/>
                <w:szCs w:val="18"/>
              </w:rPr>
              <w:t>Previously untreated</w:t>
            </w:r>
          </w:p>
        </w:tc>
      </w:tr>
      <w:tr w:rsidR="00FC19AD" w:rsidRPr="00A953F5" w:rsidTr="00A711BA">
        <w:tc>
          <w:tcPr>
            <w:tcW w:w="754" w:type="pct"/>
          </w:tcPr>
          <w:p w:rsidR="00FC19AD" w:rsidRPr="00A953F5" w:rsidRDefault="00217A3E" w:rsidP="00217A3E">
            <w:pPr>
              <w:jc w:val="left"/>
              <w:rPr>
                <w:rFonts w:ascii="Arial Narrow" w:hAnsi="Arial Narrow"/>
                <w:strike/>
                <w:color w:val="333333"/>
                <w:sz w:val="18"/>
                <w:szCs w:val="18"/>
              </w:rPr>
            </w:pPr>
            <w:r w:rsidRPr="00A953F5">
              <w:rPr>
                <w:rFonts w:ascii="Arial Narrow" w:hAnsi="Arial Narrow"/>
                <w:b/>
                <w:bCs/>
                <w:strike/>
                <w:color w:val="333333"/>
                <w:sz w:val="18"/>
                <w:szCs w:val="18"/>
              </w:rPr>
              <w:t>Condition:</w:t>
            </w:r>
          </w:p>
        </w:tc>
        <w:tc>
          <w:tcPr>
            <w:tcW w:w="4246" w:type="pct"/>
            <w:vAlign w:val="center"/>
          </w:tcPr>
          <w:p w:rsidR="00FC19AD" w:rsidRPr="00A953F5" w:rsidRDefault="00FC19AD" w:rsidP="00AE4E34">
            <w:pPr>
              <w:rPr>
                <w:rFonts w:ascii="Arial Narrow" w:hAnsi="Arial Narrow"/>
                <w:b/>
                <w:bCs/>
                <w:strike/>
                <w:color w:val="333333"/>
                <w:sz w:val="18"/>
                <w:szCs w:val="18"/>
              </w:rPr>
            </w:pPr>
            <w:r w:rsidRPr="00A953F5">
              <w:rPr>
                <w:rFonts w:ascii="Arial Narrow" w:hAnsi="Arial Narrow"/>
                <w:strike/>
                <w:color w:val="333333"/>
                <w:sz w:val="18"/>
                <w:szCs w:val="18"/>
              </w:rPr>
              <w:t xml:space="preserve">Chronic lymphocytic leukaemia </w:t>
            </w:r>
          </w:p>
        </w:tc>
      </w:tr>
      <w:tr w:rsidR="00FC19AD" w:rsidRPr="00A953F5" w:rsidTr="00A711BA">
        <w:tc>
          <w:tcPr>
            <w:tcW w:w="754" w:type="pct"/>
            <w:hideMark/>
          </w:tcPr>
          <w:p w:rsidR="00FC19AD" w:rsidRPr="00A953F5" w:rsidRDefault="00217A3E" w:rsidP="00217A3E">
            <w:pPr>
              <w:jc w:val="left"/>
              <w:rPr>
                <w:rFonts w:ascii="Arial Narrow" w:hAnsi="Arial Narrow"/>
                <w:strike/>
                <w:color w:val="333333"/>
                <w:sz w:val="18"/>
                <w:szCs w:val="18"/>
              </w:rPr>
            </w:pPr>
            <w:r w:rsidRPr="00A953F5">
              <w:rPr>
                <w:rFonts w:ascii="Arial Narrow" w:hAnsi="Arial Narrow"/>
                <w:b/>
                <w:strike/>
                <w:color w:val="333333"/>
                <w:sz w:val="18"/>
                <w:szCs w:val="18"/>
              </w:rPr>
              <w:t>Indication:</w:t>
            </w:r>
          </w:p>
        </w:tc>
        <w:tc>
          <w:tcPr>
            <w:tcW w:w="4246" w:type="pct"/>
            <w:vAlign w:val="center"/>
            <w:hideMark/>
          </w:tcPr>
          <w:p w:rsidR="00FC19AD" w:rsidRPr="00A953F5" w:rsidRDefault="00FC19AD" w:rsidP="00AE4E34">
            <w:pPr>
              <w:jc w:val="left"/>
              <w:rPr>
                <w:rFonts w:ascii="Arial Narrow" w:hAnsi="Arial Narrow"/>
                <w:i/>
                <w:strike/>
                <w:color w:val="333333"/>
                <w:sz w:val="18"/>
                <w:szCs w:val="18"/>
              </w:rPr>
            </w:pPr>
            <w:r w:rsidRPr="00A953F5">
              <w:rPr>
                <w:rFonts w:ascii="Arial Narrow" w:hAnsi="Arial Narrow"/>
                <w:strike/>
                <w:color w:val="333333"/>
                <w:sz w:val="18"/>
                <w:szCs w:val="18"/>
              </w:rPr>
              <w:t xml:space="preserve">Previously untreated chronic lymphocytic leukaemia in patients with coexisting conditions who are inappropriate for fludarabine-based chemo-immunotherapy </w:t>
            </w:r>
          </w:p>
        </w:tc>
      </w:tr>
      <w:tr w:rsidR="00FC19AD" w:rsidRPr="00A953F5" w:rsidTr="00A711BA">
        <w:tc>
          <w:tcPr>
            <w:tcW w:w="754" w:type="pct"/>
            <w:hideMark/>
          </w:tcPr>
          <w:p w:rsidR="00FC19AD" w:rsidRPr="00A953F5" w:rsidRDefault="00217A3E" w:rsidP="00217A3E">
            <w:pPr>
              <w:jc w:val="left"/>
              <w:rPr>
                <w:rFonts w:ascii="Arial Narrow" w:hAnsi="Arial Narrow"/>
                <w:strike/>
                <w:color w:val="333333"/>
                <w:sz w:val="18"/>
                <w:szCs w:val="18"/>
              </w:rPr>
            </w:pPr>
            <w:r w:rsidRPr="00A953F5">
              <w:rPr>
                <w:rFonts w:ascii="Arial Narrow" w:hAnsi="Arial Narrow"/>
                <w:b/>
                <w:bCs/>
                <w:strike/>
                <w:color w:val="333333"/>
                <w:sz w:val="18"/>
                <w:szCs w:val="18"/>
              </w:rPr>
              <w:t>Treatment Phase:</w:t>
            </w:r>
          </w:p>
        </w:tc>
        <w:tc>
          <w:tcPr>
            <w:tcW w:w="4246" w:type="pct"/>
            <w:vAlign w:val="center"/>
            <w:hideMark/>
          </w:tcPr>
          <w:p w:rsidR="00FC19AD" w:rsidRPr="00A953F5" w:rsidRDefault="00FC19AD" w:rsidP="00AE4E34">
            <w:pPr>
              <w:rPr>
                <w:rFonts w:ascii="Arial Narrow" w:hAnsi="Arial Narrow"/>
                <w:i/>
                <w:strike/>
                <w:color w:val="333333"/>
                <w:sz w:val="18"/>
                <w:szCs w:val="18"/>
              </w:rPr>
            </w:pPr>
            <w:r w:rsidRPr="00A953F5">
              <w:rPr>
                <w:rFonts w:ascii="Arial Narrow" w:hAnsi="Arial Narrow"/>
                <w:strike/>
                <w:color w:val="333333"/>
                <w:sz w:val="18"/>
                <w:szCs w:val="18"/>
              </w:rPr>
              <w:t xml:space="preserve">Initial treatment – extension dose ramp-up </w:t>
            </w:r>
          </w:p>
        </w:tc>
      </w:tr>
      <w:tr w:rsidR="00217A3E" w:rsidRPr="00A953F5" w:rsidTr="00A711BA">
        <w:trPr>
          <w:trHeight w:val="484"/>
        </w:trPr>
        <w:tc>
          <w:tcPr>
            <w:tcW w:w="754" w:type="pct"/>
          </w:tcPr>
          <w:p w:rsidR="00217A3E" w:rsidRPr="00A953F5" w:rsidRDefault="00217A3E" w:rsidP="00217A3E">
            <w:pPr>
              <w:jc w:val="left"/>
              <w:rPr>
                <w:rFonts w:ascii="Arial Narrow" w:hAnsi="Arial Narrow"/>
                <w:strike/>
                <w:color w:val="333333"/>
                <w:sz w:val="18"/>
                <w:szCs w:val="18"/>
              </w:rPr>
            </w:pPr>
            <w:r w:rsidRPr="00A953F5">
              <w:rPr>
                <w:rFonts w:ascii="Arial Narrow" w:hAnsi="Arial Narrow" w:cstheme="minorHAnsi"/>
                <w:b/>
                <w:bCs/>
                <w:strike/>
                <w:sz w:val="18"/>
                <w:szCs w:val="18"/>
              </w:rPr>
              <w:t>Clinical criteria:</w:t>
            </w:r>
          </w:p>
        </w:tc>
        <w:tc>
          <w:tcPr>
            <w:tcW w:w="4246" w:type="pct"/>
            <w:vAlign w:val="center"/>
          </w:tcPr>
          <w:p w:rsidR="00217A3E" w:rsidRPr="00217A3E" w:rsidRDefault="00217A3E" w:rsidP="00AE4E34">
            <w:pPr>
              <w:rPr>
                <w:rFonts w:ascii="Arial Narrow" w:hAnsi="Arial Narrow"/>
                <w:bCs/>
                <w:strike/>
                <w:color w:val="333333"/>
                <w:sz w:val="18"/>
                <w:szCs w:val="18"/>
              </w:rPr>
            </w:pPr>
            <w:r w:rsidRPr="00217A3E">
              <w:rPr>
                <w:rFonts w:ascii="Arial Narrow" w:hAnsi="Arial Narrow" w:cstheme="minorHAnsi"/>
                <w:strike/>
                <w:sz w:val="18"/>
                <w:szCs w:val="18"/>
              </w:rPr>
              <w:t>Patient must have experienced a treatment interruption during PBS-subsidised dose ramp-up with this drug for this condition</w:t>
            </w:r>
          </w:p>
          <w:p w:rsidR="00217A3E" w:rsidRPr="00217A3E" w:rsidRDefault="00217A3E" w:rsidP="00AE4E34">
            <w:pPr>
              <w:rPr>
                <w:rFonts w:ascii="Arial Narrow" w:hAnsi="Arial Narrow" w:cstheme="minorHAnsi"/>
                <w:strike/>
                <w:sz w:val="18"/>
                <w:szCs w:val="18"/>
              </w:rPr>
            </w:pPr>
            <w:r w:rsidRPr="00217A3E">
              <w:rPr>
                <w:rFonts w:ascii="Arial Narrow" w:hAnsi="Arial Narrow" w:cstheme="minorHAnsi"/>
                <w:strike/>
                <w:sz w:val="18"/>
                <w:szCs w:val="18"/>
              </w:rPr>
              <w:t>AND</w:t>
            </w:r>
          </w:p>
          <w:p w:rsidR="00217A3E" w:rsidRPr="00217A3E" w:rsidRDefault="00217A3E" w:rsidP="00AE4E34">
            <w:pPr>
              <w:rPr>
                <w:rFonts w:ascii="Arial Narrow" w:hAnsi="Arial Narrow" w:cstheme="minorHAnsi"/>
                <w:strike/>
                <w:sz w:val="18"/>
                <w:szCs w:val="18"/>
              </w:rPr>
            </w:pPr>
            <w:r w:rsidRPr="00217A3E">
              <w:rPr>
                <w:rFonts w:ascii="Arial Narrow" w:hAnsi="Arial Narrow" w:cstheme="minorHAnsi"/>
                <w:strike/>
                <w:sz w:val="18"/>
                <w:szCs w:val="18"/>
              </w:rPr>
              <w:t>Patient must not develop disease progression while being treated with PBS-subsidised treatment with this drug for this condition</w:t>
            </w:r>
          </w:p>
          <w:p w:rsidR="00217A3E" w:rsidRPr="00217A3E" w:rsidRDefault="00217A3E" w:rsidP="00AE4E34">
            <w:pPr>
              <w:rPr>
                <w:rFonts w:ascii="Arial Narrow" w:hAnsi="Arial Narrow" w:cstheme="minorHAnsi"/>
                <w:strike/>
                <w:sz w:val="18"/>
                <w:szCs w:val="18"/>
              </w:rPr>
            </w:pPr>
            <w:r w:rsidRPr="00217A3E">
              <w:rPr>
                <w:rFonts w:ascii="Arial Narrow" w:hAnsi="Arial Narrow" w:cstheme="minorHAnsi"/>
                <w:strike/>
                <w:sz w:val="18"/>
                <w:szCs w:val="18"/>
              </w:rPr>
              <w:t>AND</w:t>
            </w:r>
          </w:p>
          <w:p w:rsidR="00217A3E" w:rsidRPr="00217A3E" w:rsidRDefault="00217A3E" w:rsidP="00AE4E34">
            <w:pPr>
              <w:rPr>
                <w:rFonts w:ascii="Arial Narrow" w:hAnsi="Arial Narrow"/>
                <w:bCs/>
                <w:strike/>
                <w:color w:val="333333"/>
                <w:sz w:val="18"/>
                <w:szCs w:val="18"/>
              </w:rPr>
            </w:pPr>
            <w:r w:rsidRPr="00217A3E">
              <w:rPr>
                <w:rFonts w:ascii="Arial Narrow" w:hAnsi="Arial Narrow"/>
                <w:bCs/>
                <w:strike/>
                <w:color w:val="333333"/>
                <w:sz w:val="18"/>
                <w:szCs w:val="18"/>
              </w:rPr>
              <w:t xml:space="preserve">The treatment must be in combination with obinutuzumab for this condition </w:t>
            </w:r>
          </w:p>
        </w:tc>
      </w:tr>
      <w:tr w:rsidR="00217A3E" w:rsidRPr="00A953F5" w:rsidTr="00A711BA">
        <w:trPr>
          <w:trHeight w:val="264"/>
        </w:trPr>
        <w:tc>
          <w:tcPr>
            <w:tcW w:w="754" w:type="pct"/>
            <w:hideMark/>
          </w:tcPr>
          <w:p w:rsidR="00217A3E" w:rsidRPr="00A953F5" w:rsidRDefault="00217A3E" w:rsidP="00217A3E">
            <w:pPr>
              <w:jc w:val="left"/>
              <w:rPr>
                <w:rFonts w:ascii="Arial Narrow" w:hAnsi="Arial Narrow"/>
                <w:strike/>
                <w:color w:val="333333"/>
                <w:sz w:val="18"/>
                <w:szCs w:val="18"/>
              </w:rPr>
            </w:pPr>
            <w:r w:rsidRPr="00A953F5">
              <w:rPr>
                <w:rFonts w:ascii="Arial Narrow" w:hAnsi="Arial Narrow"/>
                <w:b/>
                <w:bCs/>
                <w:strike/>
                <w:color w:val="333333"/>
                <w:sz w:val="18"/>
                <w:szCs w:val="18"/>
              </w:rPr>
              <w:t>Administrative Advice:</w:t>
            </w:r>
          </w:p>
          <w:p w:rsidR="00217A3E" w:rsidRPr="00A953F5" w:rsidRDefault="00217A3E" w:rsidP="00217A3E">
            <w:pPr>
              <w:jc w:val="left"/>
              <w:rPr>
                <w:rFonts w:ascii="Arial Narrow" w:hAnsi="Arial Narrow"/>
                <w:strike/>
                <w:color w:val="333333"/>
                <w:sz w:val="18"/>
                <w:szCs w:val="18"/>
              </w:rPr>
            </w:pPr>
          </w:p>
        </w:tc>
        <w:tc>
          <w:tcPr>
            <w:tcW w:w="4246" w:type="pct"/>
            <w:vAlign w:val="center"/>
            <w:hideMark/>
          </w:tcPr>
          <w:p w:rsidR="00217A3E" w:rsidRPr="00A953F5" w:rsidRDefault="00217A3E" w:rsidP="00AE4E34">
            <w:pPr>
              <w:rPr>
                <w:rFonts w:ascii="Arial Narrow" w:hAnsi="Arial Narrow"/>
                <w:strike/>
                <w:color w:val="333333"/>
                <w:sz w:val="18"/>
                <w:szCs w:val="18"/>
              </w:rPr>
            </w:pPr>
            <w:r w:rsidRPr="00A953F5">
              <w:rPr>
                <w:rFonts w:ascii="Arial Narrow" w:hAnsi="Arial Narrow"/>
                <w:strike/>
                <w:color w:val="333333"/>
                <w:sz w:val="18"/>
                <w:szCs w:val="18"/>
              </w:rPr>
              <w:t>No increase in the maximum quantity or number of units may be authorised.</w:t>
            </w:r>
          </w:p>
          <w:p w:rsidR="00217A3E" w:rsidRPr="00A953F5" w:rsidRDefault="00217A3E" w:rsidP="00AE4E34">
            <w:pPr>
              <w:rPr>
                <w:rFonts w:ascii="Arial Narrow" w:hAnsi="Arial Narrow"/>
                <w:strike/>
                <w:color w:val="333333"/>
                <w:sz w:val="18"/>
                <w:szCs w:val="18"/>
              </w:rPr>
            </w:pPr>
            <w:r w:rsidRPr="00A953F5">
              <w:rPr>
                <w:rFonts w:ascii="Arial Narrow" w:hAnsi="Arial Narrow"/>
                <w:strike/>
                <w:color w:val="333333"/>
                <w:sz w:val="18"/>
                <w:szCs w:val="18"/>
              </w:rPr>
              <w:t>No increase in the maximum number of repeats may be authorised.</w:t>
            </w:r>
          </w:p>
          <w:p w:rsidR="00217A3E" w:rsidRPr="00A953F5" w:rsidRDefault="00217A3E" w:rsidP="00AE4E34">
            <w:pPr>
              <w:rPr>
                <w:rFonts w:ascii="Arial Narrow" w:hAnsi="Arial Narrow"/>
                <w:strike/>
                <w:color w:val="333333"/>
                <w:sz w:val="18"/>
                <w:szCs w:val="18"/>
              </w:rPr>
            </w:pPr>
            <w:r w:rsidRPr="00A953F5">
              <w:rPr>
                <w:rFonts w:ascii="Arial Narrow" w:hAnsi="Arial Narrow"/>
                <w:strike/>
                <w:color w:val="333333"/>
                <w:sz w:val="18"/>
                <w:szCs w:val="18"/>
              </w:rPr>
              <w:t xml:space="preserve">Special Pricing Arrangements apply. </w:t>
            </w:r>
          </w:p>
        </w:tc>
      </w:tr>
    </w:tbl>
    <w:p w:rsidR="006F45EA" w:rsidRPr="00FC19AD" w:rsidRDefault="006F45EA" w:rsidP="006F45EA">
      <w:pPr>
        <w:spacing w:after="120"/>
        <w:rPr>
          <w:rFonts w:asciiTheme="minorHAnsi" w:hAnsiTheme="minorHAnsi" w:cstheme="minorHAnsi"/>
          <w: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1275"/>
        <w:gridCol w:w="851"/>
        <w:gridCol w:w="850"/>
        <w:gridCol w:w="709"/>
        <w:gridCol w:w="1134"/>
        <w:gridCol w:w="1559"/>
      </w:tblGrid>
      <w:tr w:rsidR="006F45EA" w:rsidRPr="00A953F5" w:rsidTr="00A711BA">
        <w:trPr>
          <w:cantSplit/>
          <w:trHeight w:val="471"/>
        </w:trPr>
        <w:tc>
          <w:tcPr>
            <w:tcW w:w="2689" w:type="dxa"/>
          </w:tcPr>
          <w:p w:rsidR="006F45EA" w:rsidRPr="00A953F5" w:rsidRDefault="006F45EA" w:rsidP="00AE4E34">
            <w:pPr>
              <w:keepNext/>
              <w:ind w:left="-108"/>
              <w:rPr>
                <w:rFonts w:ascii="Arial Narrow" w:hAnsi="Arial Narrow"/>
                <w:b/>
                <w:sz w:val="18"/>
                <w:szCs w:val="18"/>
              </w:rPr>
            </w:pPr>
            <w:r w:rsidRPr="00A953F5">
              <w:rPr>
                <w:rFonts w:ascii="Arial Narrow" w:hAnsi="Arial Narrow"/>
                <w:b/>
                <w:sz w:val="18"/>
                <w:szCs w:val="18"/>
              </w:rPr>
              <w:lastRenderedPageBreak/>
              <w:t>Name, Restriction,</w:t>
            </w:r>
          </w:p>
          <w:p w:rsidR="006F45EA" w:rsidRPr="00A953F5" w:rsidRDefault="006F45EA" w:rsidP="00AE4E34">
            <w:pPr>
              <w:keepNext/>
              <w:ind w:left="-108"/>
              <w:rPr>
                <w:rFonts w:ascii="Arial Narrow" w:hAnsi="Arial Narrow"/>
                <w:b/>
                <w:sz w:val="18"/>
                <w:szCs w:val="18"/>
              </w:rPr>
            </w:pPr>
            <w:r w:rsidRPr="00A953F5">
              <w:rPr>
                <w:rFonts w:ascii="Arial Narrow" w:hAnsi="Arial Narrow"/>
                <w:b/>
                <w:sz w:val="18"/>
                <w:szCs w:val="18"/>
              </w:rPr>
              <w:t>Manner of administration and form</w:t>
            </w:r>
          </w:p>
        </w:tc>
        <w:tc>
          <w:tcPr>
            <w:tcW w:w="1275"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PBS item code</w:t>
            </w:r>
          </w:p>
        </w:tc>
        <w:tc>
          <w:tcPr>
            <w:tcW w:w="851"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Max. qty packs</w:t>
            </w:r>
          </w:p>
        </w:tc>
        <w:tc>
          <w:tcPr>
            <w:tcW w:w="850"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Max. qty units</w:t>
            </w:r>
          </w:p>
        </w:tc>
        <w:tc>
          <w:tcPr>
            <w:tcW w:w="709" w:type="dxa"/>
          </w:tcPr>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№.of</w:t>
            </w:r>
          </w:p>
          <w:p w:rsidR="006F45EA" w:rsidRPr="00A953F5" w:rsidRDefault="006F45EA" w:rsidP="00AE4E34">
            <w:pPr>
              <w:keepNext/>
              <w:ind w:left="-108"/>
              <w:jc w:val="center"/>
              <w:rPr>
                <w:rFonts w:ascii="Arial Narrow" w:hAnsi="Arial Narrow"/>
                <w:b/>
                <w:sz w:val="18"/>
                <w:szCs w:val="18"/>
              </w:rPr>
            </w:pPr>
            <w:r w:rsidRPr="00A953F5">
              <w:rPr>
                <w:rFonts w:ascii="Arial Narrow" w:hAnsi="Arial Narrow"/>
                <w:b/>
                <w:sz w:val="18"/>
                <w:szCs w:val="18"/>
              </w:rPr>
              <w:t>Rpts</w:t>
            </w:r>
          </w:p>
        </w:tc>
        <w:tc>
          <w:tcPr>
            <w:tcW w:w="2693" w:type="dxa"/>
            <w:gridSpan w:val="2"/>
          </w:tcPr>
          <w:p w:rsidR="006F45EA" w:rsidRPr="00A953F5" w:rsidRDefault="006F45EA" w:rsidP="00A711BA">
            <w:pPr>
              <w:keepNext/>
              <w:jc w:val="left"/>
              <w:rPr>
                <w:rFonts w:ascii="Arial Narrow" w:hAnsi="Arial Narrow"/>
                <w:b/>
                <w:sz w:val="18"/>
                <w:szCs w:val="18"/>
                <w:lang w:val="fr-FR"/>
              </w:rPr>
            </w:pPr>
            <w:r w:rsidRPr="00A953F5">
              <w:rPr>
                <w:rFonts w:ascii="Arial Narrow" w:hAnsi="Arial Narrow"/>
                <w:b/>
                <w:sz w:val="18"/>
                <w:szCs w:val="18"/>
              </w:rPr>
              <w:t>Proprietary Name and Manufacturer</w:t>
            </w:r>
          </w:p>
        </w:tc>
      </w:tr>
      <w:tr w:rsidR="00DD4B2D" w:rsidRPr="00A953F5" w:rsidTr="00A711BA">
        <w:trPr>
          <w:cantSplit/>
          <w:trHeight w:val="664"/>
        </w:trPr>
        <w:tc>
          <w:tcPr>
            <w:tcW w:w="2689" w:type="dxa"/>
          </w:tcPr>
          <w:p w:rsidR="00DD4B2D" w:rsidRPr="00A953F5" w:rsidRDefault="00DD4B2D" w:rsidP="00AE4E34">
            <w:pPr>
              <w:keepNext/>
              <w:ind w:left="-108"/>
              <w:rPr>
                <w:rFonts w:ascii="Arial Narrow" w:hAnsi="Arial Narrow"/>
                <w:smallCaps/>
                <w:sz w:val="18"/>
                <w:szCs w:val="18"/>
              </w:rPr>
            </w:pPr>
            <w:r w:rsidRPr="00A953F5">
              <w:rPr>
                <w:rFonts w:ascii="Arial Narrow" w:hAnsi="Arial Narrow"/>
                <w:smallCaps/>
                <w:sz w:val="18"/>
                <w:szCs w:val="18"/>
              </w:rPr>
              <w:t>Venetoclax (dose hold pack)</w:t>
            </w:r>
          </w:p>
          <w:p w:rsidR="00DD4B2D" w:rsidRPr="00A953F5" w:rsidRDefault="00DD4B2D" w:rsidP="00AE4E34">
            <w:pPr>
              <w:keepNext/>
              <w:ind w:left="-108"/>
              <w:rPr>
                <w:rFonts w:ascii="Arial Narrow" w:hAnsi="Arial Narrow"/>
                <w:sz w:val="18"/>
                <w:szCs w:val="18"/>
              </w:rPr>
            </w:pPr>
          </w:p>
          <w:p w:rsidR="00DD4B2D" w:rsidRPr="00A953F5" w:rsidRDefault="00DD4B2D" w:rsidP="00AE4E34">
            <w:pPr>
              <w:keepNext/>
              <w:ind w:left="-108"/>
              <w:rPr>
                <w:rFonts w:ascii="Arial Narrow" w:hAnsi="Arial Narrow"/>
                <w:sz w:val="18"/>
                <w:szCs w:val="18"/>
              </w:rPr>
            </w:pPr>
            <w:r w:rsidRPr="00A953F5">
              <w:rPr>
                <w:rFonts w:ascii="Arial Narrow" w:hAnsi="Arial Narrow"/>
                <w:sz w:val="18"/>
                <w:szCs w:val="18"/>
              </w:rPr>
              <w:t>venetoclax 10 mg tablet, 14</w:t>
            </w:r>
          </w:p>
        </w:tc>
        <w:tc>
          <w:tcPr>
            <w:tcW w:w="1275" w:type="dxa"/>
          </w:tcPr>
          <w:p w:rsidR="00DD4B2D" w:rsidRPr="00A953F5" w:rsidRDefault="00DD4B2D" w:rsidP="00AE4E34">
            <w:pPr>
              <w:keepNext/>
              <w:ind w:left="-108"/>
              <w:jc w:val="center"/>
              <w:rPr>
                <w:rFonts w:ascii="Arial Narrow" w:hAnsi="Arial Narrow"/>
                <w:sz w:val="18"/>
                <w:szCs w:val="18"/>
              </w:rPr>
            </w:pPr>
          </w:p>
          <w:p w:rsidR="00DD4B2D" w:rsidRPr="00A953F5" w:rsidRDefault="00DD4B2D" w:rsidP="00AE4E34">
            <w:pPr>
              <w:keepNext/>
              <w:ind w:left="-108"/>
              <w:jc w:val="center"/>
              <w:rPr>
                <w:rFonts w:ascii="Arial Narrow" w:hAnsi="Arial Narrow"/>
                <w:sz w:val="18"/>
                <w:szCs w:val="18"/>
              </w:rPr>
            </w:pPr>
          </w:p>
          <w:p w:rsidR="00DD4B2D" w:rsidRPr="00A953F5" w:rsidRDefault="00DD4B2D" w:rsidP="00AE4E34">
            <w:pPr>
              <w:keepNext/>
              <w:ind w:left="-108"/>
              <w:jc w:val="center"/>
              <w:rPr>
                <w:rFonts w:ascii="Arial Narrow" w:hAnsi="Arial Narrow"/>
                <w:strike/>
                <w:sz w:val="18"/>
                <w:szCs w:val="18"/>
              </w:rPr>
            </w:pPr>
            <w:r w:rsidRPr="00A953F5">
              <w:rPr>
                <w:rFonts w:ascii="Arial Narrow" w:hAnsi="Arial Narrow"/>
                <w:sz w:val="18"/>
                <w:szCs w:val="18"/>
              </w:rPr>
              <w:t>11624T</w:t>
            </w:r>
          </w:p>
        </w:tc>
        <w:tc>
          <w:tcPr>
            <w:tcW w:w="851" w:type="dxa"/>
          </w:tcPr>
          <w:p w:rsidR="00DD4B2D" w:rsidRPr="00A953F5" w:rsidRDefault="00DD4B2D" w:rsidP="00AE4E34">
            <w:pPr>
              <w:keepNext/>
              <w:jc w:val="center"/>
              <w:rPr>
                <w:rFonts w:ascii="Arial Narrow" w:hAnsi="Arial Narrow"/>
                <w:sz w:val="18"/>
                <w:szCs w:val="18"/>
              </w:rPr>
            </w:pPr>
          </w:p>
          <w:p w:rsidR="00DD4B2D" w:rsidRPr="00A953F5" w:rsidRDefault="00DD4B2D" w:rsidP="00AE4E34">
            <w:pPr>
              <w:keepNext/>
              <w:ind w:left="-108"/>
              <w:jc w:val="center"/>
              <w:rPr>
                <w:rFonts w:ascii="Arial Narrow" w:hAnsi="Arial Narrow"/>
                <w:sz w:val="18"/>
                <w:szCs w:val="18"/>
              </w:rPr>
            </w:pPr>
          </w:p>
          <w:p w:rsidR="00DD4B2D" w:rsidRPr="00A953F5" w:rsidRDefault="00DD4B2D" w:rsidP="00AE4E34">
            <w:pPr>
              <w:keepNext/>
              <w:jc w:val="center"/>
              <w:rPr>
                <w:rFonts w:ascii="Arial Narrow" w:hAnsi="Arial Narrow"/>
                <w:sz w:val="18"/>
                <w:szCs w:val="18"/>
              </w:rPr>
            </w:pPr>
            <w:r w:rsidRPr="00A953F5">
              <w:rPr>
                <w:rFonts w:ascii="Arial Narrow" w:hAnsi="Arial Narrow"/>
                <w:sz w:val="18"/>
                <w:szCs w:val="18"/>
              </w:rPr>
              <w:t>1</w:t>
            </w:r>
          </w:p>
        </w:tc>
        <w:tc>
          <w:tcPr>
            <w:tcW w:w="850" w:type="dxa"/>
          </w:tcPr>
          <w:p w:rsidR="00DD4B2D" w:rsidRPr="00A953F5" w:rsidRDefault="00DD4B2D" w:rsidP="00AE4E34">
            <w:pPr>
              <w:keepNext/>
              <w:ind w:left="-108"/>
              <w:jc w:val="center"/>
              <w:rPr>
                <w:rFonts w:ascii="Arial Narrow" w:hAnsi="Arial Narrow"/>
                <w:sz w:val="18"/>
                <w:szCs w:val="18"/>
              </w:rPr>
            </w:pPr>
          </w:p>
          <w:p w:rsidR="00DD4B2D" w:rsidRPr="00A953F5" w:rsidRDefault="00DD4B2D" w:rsidP="00AE4E34">
            <w:pPr>
              <w:keepNext/>
              <w:rPr>
                <w:rFonts w:ascii="Arial Narrow" w:hAnsi="Arial Narrow"/>
                <w:sz w:val="18"/>
                <w:szCs w:val="18"/>
              </w:rPr>
            </w:pPr>
          </w:p>
          <w:p w:rsidR="00DD4B2D" w:rsidRPr="00A953F5" w:rsidRDefault="00DD4B2D" w:rsidP="00AE4E34">
            <w:pPr>
              <w:keepNext/>
              <w:ind w:left="-108"/>
              <w:jc w:val="center"/>
              <w:rPr>
                <w:rFonts w:ascii="Arial Narrow" w:hAnsi="Arial Narrow"/>
                <w:sz w:val="18"/>
                <w:szCs w:val="18"/>
              </w:rPr>
            </w:pPr>
            <w:r w:rsidRPr="00A953F5">
              <w:rPr>
                <w:rFonts w:ascii="Arial Narrow" w:hAnsi="Arial Narrow"/>
                <w:sz w:val="18"/>
                <w:szCs w:val="18"/>
              </w:rPr>
              <w:t>14</w:t>
            </w:r>
          </w:p>
        </w:tc>
        <w:tc>
          <w:tcPr>
            <w:tcW w:w="709" w:type="dxa"/>
          </w:tcPr>
          <w:p w:rsidR="00DD4B2D" w:rsidRPr="00A953F5" w:rsidRDefault="00DD4B2D" w:rsidP="00AE4E34">
            <w:pPr>
              <w:keepNext/>
              <w:ind w:left="-108"/>
              <w:jc w:val="center"/>
              <w:rPr>
                <w:rFonts w:ascii="Arial Narrow" w:hAnsi="Arial Narrow"/>
                <w:sz w:val="18"/>
                <w:szCs w:val="18"/>
              </w:rPr>
            </w:pPr>
          </w:p>
          <w:p w:rsidR="00DD4B2D" w:rsidRPr="00A953F5" w:rsidRDefault="00DD4B2D" w:rsidP="00AE4E34">
            <w:pPr>
              <w:keepNext/>
              <w:ind w:left="-108"/>
              <w:jc w:val="center"/>
              <w:rPr>
                <w:rFonts w:ascii="Arial Narrow" w:hAnsi="Arial Narrow"/>
                <w:sz w:val="18"/>
                <w:szCs w:val="18"/>
              </w:rPr>
            </w:pPr>
          </w:p>
          <w:p w:rsidR="00DD4B2D" w:rsidRPr="00A953F5" w:rsidRDefault="00DD4B2D" w:rsidP="00AE4E34">
            <w:pPr>
              <w:keepNext/>
              <w:ind w:left="-108"/>
              <w:jc w:val="center"/>
              <w:rPr>
                <w:rFonts w:ascii="Arial Narrow" w:hAnsi="Arial Narrow"/>
                <w:sz w:val="18"/>
                <w:szCs w:val="18"/>
              </w:rPr>
            </w:pPr>
            <w:r w:rsidRPr="00A953F5">
              <w:rPr>
                <w:rFonts w:ascii="Arial Narrow" w:hAnsi="Arial Narrow"/>
                <w:sz w:val="18"/>
                <w:szCs w:val="18"/>
              </w:rPr>
              <w:t>0</w:t>
            </w:r>
          </w:p>
        </w:tc>
        <w:tc>
          <w:tcPr>
            <w:tcW w:w="1134" w:type="dxa"/>
            <w:vMerge w:val="restart"/>
          </w:tcPr>
          <w:p w:rsidR="00DD4B2D" w:rsidRPr="00A953F5" w:rsidRDefault="00DD4B2D" w:rsidP="00AE4E34">
            <w:pPr>
              <w:keepNext/>
              <w:rPr>
                <w:rFonts w:ascii="Arial Narrow" w:hAnsi="Arial Narrow"/>
                <w:sz w:val="18"/>
                <w:szCs w:val="18"/>
              </w:rPr>
            </w:pPr>
          </w:p>
          <w:p w:rsidR="00DD4B2D" w:rsidRPr="00A953F5" w:rsidRDefault="00DD4B2D" w:rsidP="00AE4E34">
            <w:pPr>
              <w:keepNext/>
              <w:rPr>
                <w:rFonts w:ascii="Arial Narrow" w:hAnsi="Arial Narrow"/>
                <w:sz w:val="18"/>
                <w:szCs w:val="18"/>
              </w:rPr>
            </w:pPr>
          </w:p>
          <w:p w:rsidR="00DD4B2D" w:rsidRPr="00A953F5" w:rsidRDefault="00DD4B2D" w:rsidP="00AE4E34">
            <w:pPr>
              <w:keepNext/>
              <w:rPr>
                <w:rFonts w:ascii="Arial Narrow" w:hAnsi="Arial Narrow"/>
                <w:sz w:val="18"/>
                <w:szCs w:val="18"/>
              </w:rPr>
            </w:pPr>
            <w:r w:rsidRPr="00A953F5">
              <w:rPr>
                <w:rFonts w:ascii="Arial Narrow" w:hAnsi="Arial Narrow"/>
                <w:sz w:val="18"/>
                <w:szCs w:val="18"/>
              </w:rPr>
              <w:t>Venclexta®</w:t>
            </w:r>
          </w:p>
        </w:tc>
        <w:tc>
          <w:tcPr>
            <w:tcW w:w="1559" w:type="dxa"/>
            <w:vMerge w:val="restart"/>
          </w:tcPr>
          <w:p w:rsidR="00DD4B2D" w:rsidRPr="00A953F5" w:rsidRDefault="00DD4B2D" w:rsidP="00AE4E34">
            <w:pPr>
              <w:keepNext/>
              <w:rPr>
                <w:rFonts w:ascii="Arial Narrow" w:hAnsi="Arial Narrow"/>
                <w:sz w:val="18"/>
                <w:szCs w:val="18"/>
              </w:rPr>
            </w:pPr>
          </w:p>
          <w:p w:rsidR="00DD4B2D" w:rsidRPr="00A953F5" w:rsidRDefault="00DD4B2D" w:rsidP="00AE4E34">
            <w:pPr>
              <w:keepNext/>
              <w:rPr>
                <w:rFonts w:ascii="Arial Narrow" w:hAnsi="Arial Narrow"/>
                <w:sz w:val="18"/>
                <w:szCs w:val="18"/>
              </w:rPr>
            </w:pPr>
          </w:p>
          <w:p w:rsidR="00DD4B2D" w:rsidRPr="00A953F5" w:rsidRDefault="00DD4B2D" w:rsidP="00AE4E34">
            <w:pPr>
              <w:keepNext/>
              <w:rPr>
                <w:rFonts w:ascii="Arial Narrow" w:hAnsi="Arial Narrow"/>
                <w:sz w:val="18"/>
                <w:szCs w:val="18"/>
              </w:rPr>
            </w:pPr>
            <w:r w:rsidRPr="00A953F5">
              <w:rPr>
                <w:rFonts w:ascii="Arial Narrow" w:hAnsi="Arial Narrow"/>
                <w:sz w:val="18"/>
                <w:szCs w:val="18"/>
              </w:rPr>
              <w:t>AbbVie Pty Ltd</w:t>
            </w:r>
          </w:p>
        </w:tc>
      </w:tr>
      <w:tr w:rsidR="00DD4B2D" w:rsidRPr="00A953F5" w:rsidTr="00A711BA">
        <w:trPr>
          <w:cantSplit/>
          <w:trHeight w:val="262"/>
        </w:trPr>
        <w:tc>
          <w:tcPr>
            <w:tcW w:w="2689" w:type="dxa"/>
          </w:tcPr>
          <w:p w:rsidR="00DD4B2D" w:rsidRPr="00A953F5" w:rsidRDefault="00DD4B2D" w:rsidP="00AE4E34">
            <w:pPr>
              <w:keepNext/>
              <w:ind w:left="-108"/>
              <w:rPr>
                <w:rFonts w:ascii="Arial Narrow" w:hAnsi="Arial Narrow"/>
                <w:smallCaps/>
                <w:sz w:val="18"/>
                <w:szCs w:val="18"/>
              </w:rPr>
            </w:pPr>
            <w:r w:rsidRPr="00A953F5">
              <w:rPr>
                <w:rFonts w:ascii="Arial Narrow" w:hAnsi="Arial Narrow"/>
                <w:sz w:val="18"/>
                <w:szCs w:val="18"/>
              </w:rPr>
              <w:t>venetoclax 50 mg tablet, 7</w:t>
            </w:r>
          </w:p>
        </w:tc>
        <w:tc>
          <w:tcPr>
            <w:tcW w:w="1275" w:type="dxa"/>
          </w:tcPr>
          <w:p w:rsidR="00DD4B2D" w:rsidRPr="00A953F5" w:rsidRDefault="00DD4B2D" w:rsidP="00AE4E34">
            <w:pPr>
              <w:keepNext/>
              <w:ind w:left="-108"/>
              <w:jc w:val="center"/>
              <w:rPr>
                <w:rFonts w:ascii="Arial Narrow" w:hAnsi="Arial Narrow"/>
                <w:strike/>
                <w:sz w:val="18"/>
                <w:szCs w:val="18"/>
              </w:rPr>
            </w:pPr>
            <w:r w:rsidRPr="00A953F5">
              <w:rPr>
                <w:rFonts w:ascii="Arial Narrow" w:hAnsi="Arial Narrow"/>
                <w:sz w:val="18"/>
                <w:szCs w:val="18"/>
              </w:rPr>
              <w:t>11648C</w:t>
            </w:r>
          </w:p>
        </w:tc>
        <w:tc>
          <w:tcPr>
            <w:tcW w:w="851" w:type="dxa"/>
          </w:tcPr>
          <w:p w:rsidR="00DD4B2D" w:rsidRPr="00A953F5" w:rsidRDefault="00DD4B2D" w:rsidP="00AE4E34">
            <w:pPr>
              <w:keepNext/>
              <w:jc w:val="center"/>
              <w:rPr>
                <w:rFonts w:ascii="Arial Narrow" w:hAnsi="Arial Narrow"/>
                <w:sz w:val="18"/>
                <w:szCs w:val="18"/>
              </w:rPr>
            </w:pPr>
            <w:r w:rsidRPr="00A953F5">
              <w:rPr>
                <w:rFonts w:ascii="Arial Narrow" w:hAnsi="Arial Narrow"/>
                <w:sz w:val="18"/>
                <w:szCs w:val="18"/>
              </w:rPr>
              <w:t>1</w:t>
            </w:r>
          </w:p>
        </w:tc>
        <w:tc>
          <w:tcPr>
            <w:tcW w:w="850" w:type="dxa"/>
          </w:tcPr>
          <w:p w:rsidR="00DD4B2D" w:rsidRPr="00A953F5" w:rsidRDefault="00DD4B2D" w:rsidP="00AE4E34">
            <w:pPr>
              <w:keepNext/>
              <w:ind w:left="-108"/>
              <w:jc w:val="center"/>
              <w:rPr>
                <w:rFonts w:ascii="Arial Narrow" w:hAnsi="Arial Narrow"/>
                <w:sz w:val="18"/>
                <w:szCs w:val="18"/>
              </w:rPr>
            </w:pPr>
            <w:r w:rsidRPr="00A953F5">
              <w:rPr>
                <w:rFonts w:ascii="Arial Narrow" w:hAnsi="Arial Narrow"/>
                <w:sz w:val="18"/>
                <w:szCs w:val="18"/>
              </w:rPr>
              <w:t>7</w:t>
            </w:r>
          </w:p>
        </w:tc>
        <w:tc>
          <w:tcPr>
            <w:tcW w:w="709" w:type="dxa"/>
          </w:tcPr>
          <w:p w:rsidR="00DD4B2D" w:rsidRPr="00A953F5" w:rsidRDefault="00DD4B2D" w:rsidP="00AE4E34">
            <w:pPr>
              <w:keepNext/>
              <w:ind w:left="-108"/>
              <w:jc w:val="center"/>
              <w:rPr>
                <w:rFonts w:ascii="Arial Narrow" w:hAnsi="Arial Narrow"/>
                <w:sz w:val="18"/>
                <w:szCs w:val="18"/>
              </w:rPr>
            </w:pPr>
            <w:r w:rsidRPr="00A953F5">
              <w:rPr>
                <w:rFonts w:ascii="Arial Narrow" w:hAnsi="Arial Narrow"/>
                <w:sz w:val="18"/>
                <w:szCs w:val="18"/>
              </w:rPr>
              <w:t>0</w:t>
            </w:r>
          </w:p>
        </w:tc>
        <w:tc>
          <w:tcPr>
            <w:tcW w:w="1134" w:type="dxa"/>
            <w:vMerge/>
          </w:tcPr>
          <w:p w:rsidR="00DD4B2D" w:rsidRPr="00A953F5" w:rsidRDefault="00DD4B2D" w:rsidP="00AE4E34">
            <w:pPr>
              <w:keepNext/>
              <w:rPr>
                <w:rFonts w:ascii="Arial Narrow" w:hAnsi="Arial Narrow"/>
                <w:sz w:val="18"/>
                <w:szCs w:val="18"/>
              </w:rPr>
            </w:pPr>
          </w:p>
        </w:tc>
        <w:tc>
          <w:tcPr>
            <w:tcW w:w="1559" w:type="dxa"/>
            <w:vMerge/>
          </w:tcPr>
          <w:p w:rsidR="00DD4B2D" w:rsidRPr="00A953F5" w:rsidRDefault="00DD4B2D" w:rsidP="00AE4E34">
            <w:pPr>
              <w:keepNext/>
              <w:rPr>
                <w:rFonts w:ascii="Arial Narrow" w:hAnsi="Arial Narrow"/>
                <w:sz w:val="18"/>
                <w:szCs w:val="18"/>
              </w:rPr>
            </w:pPr>
          </w:p>
        </w:tc>
      </w:tr>
    </w:tbl>
    <w:p w:rsidR="006F45EA" w:rsidRPr="00A953F5" w:rsidRDefault="006F45EA" w:rsidP="006F45EA">
      <w:pPr>
        <w:rPr>
          <w:rFonts w:ascii="Arial Narrow" w:hAnsi="Arial Narrow"/>
          <w:b/>
          <w:sz w:val="18"/>
          <w:szCs w:val="18"/>
        </w:rPr>
      </w:pPr>
    </w:p>
    <w:p w:rsidR="006F45EA" w:rsidRPr="00A953F5" w:rsidRDefault="006F45EA" w:rsidP="006F45EA">
      <w:pPr>
        <w:rPr>
          <w:rFonts w:ascii="Arial Narrow" w:hAnsi="Arial Narrow"/>
          <w:b/>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64"/>
        <w:gridCol w:w="7753"/>
      </w:tblGrid>
      <w:tr w:rsidR="00217A3E" w:rsidRPr="00A953F5" w:rsidTr="00A711BA">
        <w:trPr>
          <w:trHeight w:val="49"/>
        </w:trPr>
        <w:tc>
          <w:tcPr>
            <w:tcW w:w="701" w:type="pct"/>
            <w:hideMark/>
          </w:tcPr>
          <w:p w:rsidR="00217A3E" w:rsidRPr="00217A3E" w:rsidRDefault="00217A3E" w:rsidP="00217A3E">
            <w:pPr>
              <w:jc w:val="left"/>
              <w:rPr>
                <w:rFonts w:ascii="Arial Narrow" w:hAnsi="Arial Narrow"/>
                <w:color w:val="333333"/>
                <w:sz w:val="18"/>
                <w:szCs w:val="18"/>
              </w:rPr>
            </w:pPr>
            <w:r w:rsidRPr="00217A3E">
              <w:rPr>
                <w:rFonts w:ascii="Arial Narrow" w:hAnsi="Arial Narrow"/>
                <w:b/>
                <w:bCs/>
                <w:color w:val="333333"/>
                <w:sz w:val="18"/>
                <w:szCs w:val="18"/>
              </w:rPr>
              <w:t>Indication:</w:t>
            </w:r>
          </w:p>
        </w:tc>
        <w:tc>
          <w:tcPr>
            <w:tcW w:w="4299" w:type="pct"/>
            <w:vAlign w:val="center"/>
            <w:hideMark/>
          </w:tcPr>
          <w:p w:rsidR="00217A3E" w:rsidRPr="00A953F5" w:rsidRDefault="00217A3E" w:rsidP="00217A3E">
            <w:pPr>
              <w:jc w:val="left"/>
              <w:rPr>
                <w:rFonts w:ascii="Arial Narrow" w:hAnsi="Arial Narrow"/>
                <w:i/>
                <w:strike/>
                <w:color w:val="333333"/>
                <w:sz w:val="18"/>
                <w:szCs w:val="18"/>
              </w:rPr>
            </w:pPr>
            <w:r w:rsidRPr="00217A3E">
              <w:rPr>
                <w:rFonts w:ascii="Arial Narrow" w:hAnsi="Arial Narrow"/>
                <w:color w:val="333333"/>
                <w:sz w:val="18"/>
                <w:szCs w:val="18"/>
              </w:rPr>
              <w:t>Chronic lymphocytic leukaemia (CLL)</w:t>
            </w:r>
            <w:r w:rsidRPr="00A953F5">
              <w:rPr>
                <w:rFonts w:ascii="Arial Narrow" w:hAnsi="Arial Narrow"/>
                <w:i/>
                <w:color w:val="333333"/>
                <w:sz w:val="18"/>
                <w:szCs w:val="18"/>
              </w:rPr>
              <w:t xml:space="preserve"> or small lymphocytic lymphoma (SLL)</w:t>
            </w:r>
          </w:p>
        </w:tc>
      </w:tr>
      <w:tr w:rsidR="006F45EA" w:rsidRPr="00A953F5" w:rsidTr="00A711BA">
        <w:tc>
          <w:tcPr>
            <w:tcW w:w="701" w:type="pct"/>
            <w:hideMark/>
          </w:tcPr>
          <w:p w:rsidR="006F45EA" w:rsidRPr="00A953F5" w:rsidRDefault="00217A3E" w:rsidP="00217A3E">
            <w:pPr>
              <w:jc w:val="left"/>
              <w:rPr>
                <w:rFonts w:ascii="Arial Narrow" w:hAnsi="Arial Narrow"/>
                <w:color w:val="333333"/>
                <w:sz w:val="18"/>
                <w:szCs w:val="18"/>
              </w:rPr>
            </w:pPr>
            <w:r>
              <w:rPr>
                <w:rFonts w:ascii="Arial Narrow" w:hAnsi="Arial Narrow"/>
                <w:b/>
                <w:bCs/>
                <w:color w:val="333333"/>
                <w:sz w:val="18"/>
                <w:szCs w:val="18"/>
              </w:rPr>
              <w:t>Treatment p</w:t>
            </w:r>
            <w:r w:rsidRPr="00A953F5">
              <w:rPr>
                <w:rFonts w:ascii="Arial Narrow" w:hAnsi="Arial Narrow"/>
                <w:b/>
                <w:bCs/>
                <w:color w:val="333333"/>
                <w:sz w:val="18"/>
                <w:szCs w:val="18"/>
              </w:rPr>
              <w:t>hase:</w:t>
            </w:r>
          </w:p>
        </w:tc>
        <w:tc>
          <w:tcPr>
            <w:tcW w:w="4299" w:type="pct"/>
            <w:vAlign w:val="center"/>
            <w:hideMark/>
          </w:tcPr>
          <w:p w:rsidR="006F45EA" w:rsidRPr="00A953F5" w:rsidRDefault="006F45EA" w:rsidP="00AE4E34">
            <w:pPr>
              <w:jc w:val="left"/>
              <w:rPr>
                <w:rFonts w:ascii="Arial Narrow" w:hAnsi="Arial Narrow"/>
                <w:i/>
                <w:color w:val="333333"/>
                <w:sz w:val="18"/>
                <w:szCs w:val="18"/>
              </w:rPr>
            </w:pPr>
            <w:r w:rsidRPr="00A953F5">
              <w:rPr>
                <w:rFonts w:ascii="Arial Narrow" w:hAnsi="Arial Narrow"/>
                <w:strike/>
                <w:color w:val="333333"/>
                <w:sz w:val="18"/>
                <w:szCs w:val="18"/>
              </w:rPr>
              <w:t xml:space="preserve">Initial treatment - Extension of dose titration </w:t>
            </w:r>
            <w:r w:rsidRPr="00A953F5">
              <w:rPr>
                <w:rFonts w:ascii="Arial Narrow" w:hAnsi="Arial Narrow"/>
                <w:i/>
                <w:color w:val="333333"/>
                <w:sz w:val="18"/>
                <w:szCs w:val="18"/>
              </w:rPr>
              <w:t>Dose modification requirement</w:t>
            </w:r>
          </w:p>
        </w:tc>
      </w:tr>
      <w:tr w:rsidR="00217A3E" w:rsidRPr="00A953F5" w:rsidTr="00A711BA">
        <w:trPr>
          <w:trHeight w:val="822"/>
        </w:trPr>
        <w:tc>
          <w:tcPr>
            <w:tcW w:w="701" w:type="pct"/>
            <w:hideMark/>
          </w:tcPr>
          <w:p w:rsidR="00217A3E" w:rsidRPr="00A953F5" w:rsidRDefault="00217A3E" w:rsidP="00217A3E">
            <w:pPr>
              <w:jc w:val="left"/>
              <w:rPr>
                <w:rFonts w:ascii="Arial Narrow" w:hAnsi="Arial Narrow"/>
                <w:strike/>
                <w:color w:val="333333"/>
                <w:sz w:val="18"/>
                <w:szCs w:val="18"/>
              </w:rPr>
            </w:pPr>
            <w:r w:rsidRPr="00A953F5">
              <w:rPr>
                <w:rFonts w:ascii="Arial Narrow" w:hAnsi="Arial Narrow"/>
                <w:b/>
                <w:bCs/>
                <w:color w:val="333333"/>
                <w:sz w:val="18"/>
                <w:szCs w:val="18"/>
              </w:rPr>
              <w:t>Clinical criteria:</w:t>
            </w:r>
          </w:p>
        </w:tc>
        <w:tc>
          <w:tcPr>
            <w:tcW w:w="4299" w:type="pct"/>
            <w:vAlign w:val="center"/>
            <w:hideMark/>
          </w:tcPr>
          <w:p w:rsidR="00217A3E" w:rsidRPr="00A953F5" w:rsidRDefault="00217A3E" w:rsidP="00AE4E34">
            <w:pPr>
              <w:jc w:val="left"/>
              <w:rPr>
                <w:rFonts w:ascii="Arial Narrow" w:hAnsi="Arial Narrow"/>
                <w:i/>
                <w:strike/>
                <w:color w:val="333333"/>
                <w:sz w:val="18"/>
                <w:szCs w:val="18"/>
              </w:rPr>
            </w:pPr>
            <w:r w:rsidRPr="00A953F5">
              <w:rPr>
                <w:rFonts w:ascii="Arial Narrow" w:hAnsi="Arial Narrow"/>
                <w:strike/>
                <w:color w:val="333333"/>
                <w:sz w:val="18"/>
                <w:szCs w:val="18"/>
              </w:rPr>
              <w:t>Patient must have experienced a treatment interruption during the PBS-subsidised dose titration with this drug for this condition</w:t>
            </w:r>
          </w:p>
          <w:p w:rsidR="00217A3E" w:rsidRPr="00A953F5" w:rsidRDefault="00217A3E" w:rsidP="00AE4E34">
            <w:pPr>
              <w:jc w:val="left"/>
              <w:rPr>
                <w:rFonts w:ascii="Arial Narrow" w:hAnsi="Arial Narrow"/>
                <w:i/>
                <w:color w:val="333333"/>
                <w:sz w:val="18"/>
                <w:szCs w:val="18"/>
              </w:rPr>
            </w:pPr>
            <w:r w:rsidRPr="00A953F5">
              <w:rPr>
                <w:rFonts w:ascii="Arial Narrow" w:hAnsi="Arial Narrow"/>
                <w:i/>
                <w:color w:val="333333"/>
                <w:sz w:val="18"/>
                <w:szCs w:val="18"/>
              </w:rPr>
              <w:t>The treatment must be for dose titration purposes</w:t>
            </w:r>
          </w:p>
          <w:p w:rsidR="00217A3E" w:rsidRPr="00217A3E" w:rsidRDefault="00217A3E" w:rsidP="00AE4E34">
            <w:pPr>
              <w:jc w:val="left"/>
              <w:rPr>
                <w:rFonts w:ascii="Arial Narrow" w:hAnsi="Arial Narrow"/>
                <w:color w:val="333333"/>
                <w:sz w:val="18"/>
                <w:szCs w:val="18"/>
              </w:rPr>
            </w:pPr>
            <w:r w:rsidRPr="00217A3E">
              <w:rPr>
                <w:rFonts w:ascii="Arial Narrow" w:hAnsi="Arial Narrow"/>
                <w:bCs/>
                <w:color w:val="333333"/>
                <w:sz w:val="18"/>
                <w:szCs w:val="18"/>
              </w:rPr>
              <w:t>AND</w:t>
            </w:r>
          </w:p>
          <w:p w:rsidR="00217A3E" w:rsidRPr="00217A3E" w:rsidRDefault="00217A3E" w:rsidP="00AE4E34">
            <w:pPr>
              <w:jc w:val="left"/>
              <w:rPr>
                <w:rFonts w:ascii="Arial Narrow" w:hAnsi="Arial Narrow"/>
                <w:color w:val="333333"/>
                <w:sz w:val="18"/>
                <w:szCs w:val="18"/>
              </w:rPr>
            </w:pPr>
            <w:r w:rsidRPr="00217A3E">
              <w:rPr>
                <w:rFonts w:ascii="Arial Narrow" w:hAnsi="Arial Narrow"/>
                <w:color w:val="333333"/>
                <w:sz w:val="18"/>
                <w:szCs w:val="18"/>
              </w:rPr>
              <w:t>Patient must not develop disease progression while receiving PBS-subsidised treatment with this drug for this condition</w:t>
            </w:r>
          </w:p>
          <w:p w:rsidR="00217A3E" w:rsidRPr="00217A3E" w:rsidRDefault="00217A3E" w:rsidP="00AE4E34">
            <w:pPr>
              <w:jc w:val="left"/>
              <w:rPr>
                <w:rFonts w:ascii="Arial Narrow" w:hAnsi="Arial Narrow"/>
                <w:strike/>
                <w:color w:val="333333"/>
                <w:sz w:val="18"/>
                <w:szCs w:val="18"/>
              </w:rPr>
            </w:pPr>
            <w:r w:rsidRPr="00217A3E">
              <w:rPr>
                <w:rFonts w:ascii="Arial Narrow" w:hAnsi="Arial Narrow"/>
                <w:bCs/>
                <w:strike/>
                <w:color w:val="333333"/>
                <w:sz w:val="18"/>
                <w:szCs w:val="18"/>
              </w:rPr>
              <w:t>AND</w:t>
            </w:r>
          </w:p>
          <w:p w:rsidR="00217A3E" w:rsidRPr="00A953F5" w:rsidRDefault="00217A3E" w:rsidP="00AE4E34">
            <w:pPr>
              <w:jc w:val="left"/>
              <w:rPr>
                <w:rFonts w:ascii="Arial Narrow" w:hAnsi="Arial Narrow"/>
                <w:color w:val="333333"/>
                <w:sz w:val="18"/>
                <w:szCs w:val="18"/>
              </w:rPr>
            </w:pPr>
            <w:r w:rsidRPr="00217A3E">
              <w:rPr>
                <w:rFonts w:ascii="Arial Narrow" w:hAnsi="Arial Narrow"/>
                <w:strike/>
                <w:color w:val="333333"/>
                <w:sz w:val="18"/>
                <w:szCs w:val="18"/>
              </w:rPr>
              <w:t>The</w:t>
            </w:r>
            <w:r w:rsidRPr="00A953F5">
              <w:rPr>
                <w:rFonts w:ascii="Arial Narrow" w:hAnsi="Arial Narrow"/>
                <w:strike/>
                <w:color w:val="333333"/>
                <w:sz w:val="18"/>
                <w:szCs w:val="18"/>
              </w:rPr>
              <w:t xml:space="preserve"> treatment must be used as monotherapy for this condition under this restriction</w:t>
            </w:r>
          </w:p>
        </w:tc>
      </w:tr>
      <w:tr w:rsidR="00217A3E" w:rsidRPr="00A953F5" w:rsidTr="00A711BA">
        <w:trPr>
          <w:trHeight w:val="407"/>
        </w:trPr>
        <w:tc>
          <w:tcPr>
            <w:tcW w:w="701" w:type="pct"/>
          </w:tcPr>
          <w:p w:rsidR="00217A3E" w:rsidRPr="00A953F5" w:rsidRDefault="00217A3E" w:rsidP="00217A3E">
            <w:pPr>
              <w:jc w:val="left"/>
              <w:rPr>
                <w:rFonts w:ascii="Arial Narrow" w:hAnsi="Arial Narrow"/>
                <w:color w:val="333333"/>
                <w:sz w:val="18"/>
                <w:szCs w:val="18"/>
              </w:rPr>
            </w:pPr>
            <w:r w:rsidRPr="00A953F5">
              <w:rPr>
                <w:rFonts w:ascii="Arial Narrow" w:hAnsi="Arial Narrow"/>
                <w:b/>
                <w:bCs/>
                <w:color w:val="333333"/>
                <w:sz w:val="18"/>
                <w:szCs w:val="18"/>
              </w:rPr>
              <w:t>Administrative Advice:</w:t>
            </w:r>
          </w:p>
        </w:tc>
        <w:tc>
          <w:tcPr>
            <w:tcW w:w="4299" w:type="pct"/>
            <w:vAlign w:val="center"/>
          </w:tcPr>
          <w:p w:rsidR="00217A3E" w:rsidRPr="00A953F5" w:rsidRDefault="00217A3E" w:rsidP="00AE4E34">
            <w:pPr>
              <w:jc w:val="left"/>
              <w:rPr>
                <w:rFonts w:ascii="Arial Narrow" w:hAnsi="Arial Narrow"/>
                <w:strike/>
                <w:color w:val="333333"/>
                <w:sz w:val="18"/>
                <w:szCs w:val="18"/>
              </w:rPr>
            </w:pPr>
            <w:r w:rsidRPr="00A953F5">
              <w:rPr>
                <w:rFonts w:ascii="Arial Narrow" w:hAnsi="Arial Narrow"/>
                <w:color w:val="333333"/>
                <w:sz w:val="18"/>
                <w:szCs w:val="18"/>
              </w:rPr>
              <w:t>No increase in the maximum quantity or number of units may be authorised.</w:t>
            </w:r>
          </w:p>
          <w:p w:rsidR="00217A3E" w:rsidRDefault="00217A3E" w:rsidP="00AE4E34">
            <w:pPr>
              <w:jc w:val="left"/>
              <w:rPr>
                <w:rFonts w:ascii="Arial Narrow" w:hAnsi="Arial Narrow"/>
                <w:color w:val="333333"/>
                <w:sz w:val="18"/>
                <w:szCs w:val="18"/>
              </w:rPr>
            </w:pPr>
            <w:r w:rsidRPr="00A953F5">
              <w:rPr>
                <w:rFonts w:ascii="Arial Narrow" w:hAnsi="Arial Narrow"/>
                <w:color w:val="333333"/>
                <w:sz w:val="18"/>
                <w:szCs w:val="18"/>
              </w:rPr>
              <w:t>No increase in the maximum number of repeats may be authorised.</w:t>
            </w:r>
          </w:p>
          <w:p w:rsidR="00217A3E" w:rsidRPr="00A953F5" w:rsidRDefault="00217A3E" w:rsidP="00AE4E34">
            <w:pPr>
              <w:jc w:val="left"/>
              <w:rPr>
                <w:rFonts w:ascii="Arial Narrow" w:hAnsi="Arial Narrow"/>
                <w:strike/>
                <w:color w:val="333333"/>
                <w:sz w:val="18"/>
                <w:szCs w:val="18"/>
              </w:rPr>
            </w:pPr>
            <w:r>
              <w:rPr>
                <w:rFonts w:ascii="Arial Narrow" w:hAnsi="Arial Narrow"/>
                <w:color w:val="333333"/>
                <w:sz w:val="18"/>
                <w:szCs w:val="18"/>
              </w:rPr>
              <w:t>Special Pricing Arrangements apply.</w:t>
            </w:r>
          </w:p>
        </w:tc>
      </w:tr>
    </w:tbl>
    <w:p w:rsidR="006F45EA" w:rsidRDefault="006F45EA" w:rsidP="006F45EA">
      <w:pPr>
        <w:rPr>
          <w:rFonts w:ascii="Arial Narrow" w:hAnsi="Arial Narrow"/>
          <w:b/>
          <w:sz w:val="18"/>
          <w:szCs w:val="18"/>
        </w:rPr>
      </w:pPr>
    </w:p>
    <w:p w:rsidR="006F45EA" w:rsidRDefault="006F45EA" w:rsidP="006F45EA">
      <w:pPr>
        <w:rPr>
          <w:rFonts w:ascii="Arial Narrow" w:hAnsi="Arial Narrow"/>
          <w:b/>
          <w:sz w:val="18"/>
          <w:szCs w:val="18"/>
        </w:rPr>
      </w:pPr>
    </w:p>
    <w:p w:rsidR="003762F9" w:rsidRPr="003124D8" w:rsidRDefault="00DD4B2D" w:rsidP="003762F9">
      <w:pPr>
        <w:pStyle w:val="ExecSumBodyText"/>
        <w:rPr>
          <w:color w:val="0066FF"/>
        </w:rPr>
      </w:pPr>
      <w:r>
        <w:t>The submission requested a Special Pricing A</w:t>
      </w:r>
      <w:r w:rsidR="003762F9" w:rsidRPr="003124D8">
        <w:t xml:space="preserve">rrangement </w:t>
      </w:r>
      <w:r>
        <w:t xml:space="preserve">(SPA) </w:t>
      </w:r>
      <w:r w:rsidR="003762F9" w:rsidRPr="003124D8">
        <w:t xml:space="preserve">as there are </w:t>
      </w:r>
      <w:r>
        <w:t>SPA</w:t>
      </w:r>
      <w:r w:rsidR="003762F9" w:rsidRPr="003124D8">
        <w:t xml:space="preserve">s currently in place for PBS listed venetoclax in relapsed/refractory CLL and obinutuzumab in the first line treatment of CLL. </w:t>
      </w:r>
    </w:p>
    <w:p w:rsidR="003762F9" w:rsidRPr="003762F9" w:rsidRDefault="003762F9" w:rsidP="003762F9">
      <w:pPr>
        <w:pStyle w:val="ExecSumBodyText"/>
        <w:rPr>
          <w:color w:val="0066FF"/>
        </w:rPr>
      </w:pPr>
      <w:r w:rsidRPr="003124D8">
        <w:t xml:space="preserve">The requested published and effective prices for venetoclax are </w:t>
      </w:r>
      <w:r w:rsidR="00DD40E7">
        <w:rPr>
          <w:noProof/>
          <w:color w:val="000000"/>
          <w:highlight w:val="black"/>
        </w:rPr>
        <w:t>''''''' ''''''''''' '''' '''''''''' '''''''''''''''' '''' ''''''''''' '''''' ''''''''''''''''''''' ''' '''''''''''''''''''''''''''''''''''''' '''''''</w:t>
      </w:r>
      <w:r>
        <w:t>.</w:t>
      </w:r>
    </w:p>
    <w:p w:rsidR="006E5F29" w:rsidRPr="00E53650" w:rsidRDefault="006E5F29" w:rsidP="006E5F29">
      <w:pPr>
        <w:pStyle w:val="ExecSumBodyText"/>
        <w:rPr>
          <w:color w:val="0066FF"/>
        </w:rPr>
      </w:pPr>
      <w:r w:rsidRPr="003124D8">
        <w:t>The requested restriction is narrower than the proposed TGA indication, and restricts subsidised venetoclax use in first</w:t>
      </w:r>
      <w:r w:rsidR="00B44A08" w:rsidRPr="003124D8">
        <w:t>-</w:t>
      </w:r>
      <w:r w:rsidRPr="003124D8">
        <w:t>line treatment of CLL to combination therapy with obinutuzumab in patients inappropriate for fludarabine</w:t>
      </w:r>
      <w:r w:rsidR="0090146E" w:rsidRPr="003124D8">
        <w:t xml:space="preserve"> </w:t>
      </w:r>
      <w:r w:rsidRPr="003124D8">
        <w:t>based chemo</w:t>
      </w:r>
      <w:r w:rsidR="0090146E" w:rsidRPr="003124D8">
        <w:t>-</w:t>
      </w:r>
      <w:r w:rsidRPr="003124D8">
        <w:t xml:space="preserve">immunotherapy, with a creatinine clearance of </w:t>
      </w:r>
      <w:r w:rsidRPr="003124D8">
        <w:rPr>
          <w:rFonts w:cs="Calibri"/>
        </w:rPr>
        <w:t>≥</w:t>
      </w:r>
      <w:r w:rsidRPr="003124D8">
        <w:t xml:space="preserve"> 30 mL/min, and a total cumulative illness rating scale (CIRS) score of &gt; 6 or a creatinine clearance &lt; 70 mL/min. Although the proposed TGA indication includes CLL and SLL, the proposed PBS listing specifies CLL only.</w:t>
      </w:r>
      <w:r w:rsidR="00290CDE">
        <w:t xml:space="preserve"> The PBAC </w:t>
      </w:r>
      <w:r w:rsidR="00027A1E">
        <w:t>noted that CLL and SLL are essentially the same disease, and therefore considered that</w:t>
      </w:r>
      <w:r w:rsidR="00290CDE">
        <w:t xml:space="preserve"> the indication should be amended to include SLL. </w:t>
      </w:r>
    </w:p>
    <w:p w:rsidR="00E53650" w:rsidRPr="00E53650" w:rsidRDefault="00E53650" w:rsidP="00E53650">
      <w:pPr>
        <w:pStyle w:val="ExecSumBodyText"/>
        <w:rPr>
          <w:color w:val="0066FF"/>
        </w:rPr>
      </w:pPr>
      <w:r w:rsidRPr="003124D8">
        <w:t xml:space="preserve">The requested restriction describes a different but overlapping population to the ibrutinib restriction recommended by the PBAC at the November 2019 meeting (i.e. treatment naïve CLL/SLL patients with del(17p); </w:t>
      </w:r>
      <w:r w:rsidR="00A21484">
        <w:t xml:space="preserve">Ibrutinib PSD, </w:t>
      </w:r>
      <w:r w:rsidRPr="003124D8">
        <w:t>November 2019), as it includes, but is not limited to, patients with the del(17p) cytogenetic aberration, requires coexisting conditions, and excludes patients with SLL.</w:t>
      </w:r>
      <w:r w:rsidRPr="003124D8" w:rsidDel="00741123">
        <w:t xml:space="preserve"> </w:t>
      </w:r>
    </w:p>
    <w:p w:rsidR="006E5F29" w:rsidRPr="003124D8" w:rsidRDefault="006E5F29" w:rsidP="006E5F29">
      <w:pPr>
        <w:pStyle w:val="ExecSumBodyText"/>
        <w:rPr>
          <w:color w:val="0066FF"/>
        </w:rPr>
      </w:pPr>
      <w:r w:rsidRPr="003124D8">
        <w:t>The requested restriction is based on the current obinutuzumab PBS listing for previously untreated CD20 positive CLL (PBS item 10407R) in combination with chlorambucil, but includes a broader population not limited to CD20 positive patients. As venetoclax is used in combination with obinutuzumab and the obinutuzumab restriction limits use to CD20 positive patients, it is expected that venetoclax + obinutuzumab use will be restricted to patients who are CD20 positive.</w:t>
      </w:r>
      <w:r w:rsidR="00D02709" w:rsidRPr="003124D8">
        <w:t xml:space="preserve"> </w:t>
      </w:r>
      <w:r w:rsidR="00D02709" w:rsidRPr="00CF44E3">
        <w:t xml:space="preserve">The ESC </w:t>
      </w:r>
      <w:r w:rsidR="00D02709" w:rsidRPr="00CF44E3">
        <w:lastRenderedPageBreak/>
        <w:t xml:space="preserve">considered this to </w:t>
      </w:r>
      <w:r w:rsidR="00381FF1" w:rsidRPr="00CF44E3">
        <w:t>be appropriate</w:t>
      </w:r>
      <w:r w:rsidR="00D7351F" w:rsidRPr="00CF44E3">
        <w:t>, noting</w:t>
      </w:r>
      <w:r w:rsidR="00381FF1" w:rsidRPr="00CF44E3">
        <w:t xml:space="preserve"> </w:t>
      </w:r>
      <w:r w:rsidR="00CF7A9B" w:rsidRPr="00CF44E3">
        <w:t>the majority of</w:t>
      </w:r>
      <w:r w:rsidR="00381FF1" w:rsidRPr="00CF44E3">
        <w:t xml:space="preserve"> patients with CLL are CD20 positive.</w:t>
      </w:r>
      <w:r w:rsidRPr="00CF44E3">
        <w:t xml:space="preserve"> The submission requested amendment of the current PBS listing for obinutuzumab to allow use in combination with venetoclax.</w:t>
      </w:r>
      <w:r w:rsidR="00CF44E3">
        <w:t xml:space="preserve"> The </w:t>
      </w:r>
      <w:r w:rsidR="00AA117A">
        <w:t xml:space="preserve">PBAC </w:t>
      </w:r>
      <w:r w:rsidR="00CF44E3">
        <w:t>considered that</w:t>
      </w:r>
      <w:r w:rsidR="007B455A">
        <w:t>, if recommended,</w:t>
      </w:r>
      <w:r w:rsidR="00CF44E3">
        <w:t xml:space="preserve"> flow-on changes to</w:t>
      </w:r>
      <w:r w:rsidR="002F3491">
        <w:t xml:space="preserve"> the current listings for</w:t>
      </w:r>
      <w:r w:rsidR="00CF44E3">
        <w:t xml:space="preserve"> </w:t>
      </w:r>
      <w:r w:rsidR="002F3491" w:rsidRPr="00A953F5">
        <w:t>obinutuzumab to allow use with venetoclax</w:t>
      </w:r>
      <w:r w:rsidR="002F3491">
        <w:t xml:space="preserve"> would be required</w:t>
      </w:r>
      <w:r w:rsidR="002F3491" w:rsidRPr="00A953F5">
        <w:t>.</w:t>
      </w:r>
      <w:r w:rsidR="002F3491">
        <w:t xml:space="preserve"> </w:t>
      </w:r>
      <w:r w:rsidR="007B455A">
        <w:t>The PBAC also advised that flow on changes would be required for the venetoclax listings in the relapsed or refractory setting to restrict use of venetoclax to one course per lifetime.</w:t>
      </w:r>
    </w:p>
    <w:p w:rsidR="00CF44E3" w:rsidRDefault="006E5F29" w:rsidP="00CF44E3">
      <w:pPr>
        <w:pStyle w:val="ExecSumBodyText"/>
      </w:pPr>
      <w:r w:rsidRPr="003124D8">
        <w:t xml:space="preserve">The clinical criterion “patient must be </w:t>
      </w:r>
      <w:r w:rsidR="0090146E" w:rsidRPr="003124D8">
        <w:t xml:space="preserve">inappropriate for fludarabine </w:t>
      </w:r>
      <w:r w:rsidRPr="003124D8">
        <w:t>based chemo</w:t>
      </w:r>
      <w:r w:rsidR="0090146E" w:rsidRPr="003124D8">
        <w:t>-</w:t>
      </w:r>
      <w:r w:rsidRPr="003124D8">
        <w:t>immunotherapy” is consistent with the PBS restriction for obinutuzumab in first line CLL, but is not explicitly defined in the restriction. It is unclear how the population considere</w:t>
      </w:r>
      <w:r w:rsidR="00E82ABF" w:rsidRPr="003124D8">
        <w:t xml:space="preserve">d inappropriate for fludarabine </w:t>
      </w:r>
      <w:r w:rsidRPr="003124D8">
        <w:t>based chemo</w:t>
      </w:r>
      <w:r w:rsidR="0090146E" w:rsidRPr="003124D8">
        <w:t>-</w:t>
      </w:r>
      <w:r w:rsidRPr="003124D8">
        <w:t>immunotherapy will be identified in clinical practice.</w:t>
      </w:r>
      <w:r w:rsidR="003762F9">
        <w:t xml:space="preserve"> </w:t>
      </w:r>
      <w:r w:rsidR="00AA117A">
        <w:t xml:space="preserve">Consistent with previous considerations to list ofatumumab and obinutuzumab for </w:t>
      </w:r>
      <w:r w:rsidR="004F454D">
        <w:t xml:space="preserve">first-line </w:t>
      </w:r>
      <w:r w:rsidR="00AA117A">
        <w:t>CLL, the P</w:t>
      </w:r>
      <w:r w:rsidR="0054530B">
        <w:t xml:space="preserve">BAC did not propose </w:t>
      </w:r>
      <w:r w:rsidR="00AA117A">
        <w:t xml:space="preserve">a definition. </w:t>
      </w:r>
    </w:p>
    <w:p w:rsidR="00EE397C" w:rsidRDefault="003762F9" w:rsidP="00EE397C">
      <w:pPr>
        <w:pStyle w:val="ExecSumBodyText"/>
      </w:pPr>
      <w:r w:rsidRPr="00CF44E3">
        <w:rPr>
          <w:rFonts w:cstheme="minorHAnsi"/>
        </w:rPr>
        <w:t>The draft Product Information recommends that venetoclax + obinutuzumab</w:t>
      </w:r>
      <w:r w:rsidRPr="00A953F5">
        <w:t xml:space="preserve"> is administered for a finite duration (12 cycles/months) or ceased upon dise</w:t>
      </w:r>
      <w:r>
        <w:t xml:space="preserve">ase progression. The </w:t>
      </w:r>
      <w:r w:rsidR="00AA117A">
        <w:t>PBAC</w:t>
      </w:r>
      <w:r>
        <w:t xml:space="preserve"> </w:t>
      </w:r>
      <w:r w:rsidRPr="00A953F5">
        <w:t>therefore</w:t>
      </w:r>
      <w:r w:rsidR="00AA117A">
        <w:t xml:space="preserve"> considered that </w:t>
      </w:r>
      <w:r w:rsidRPr="00A953F5">
        <w:t>limiting treatment to 12 months treatment or cessation of treatment upon disease progression</w:t>
      </w:r>
      <w:r w:rsidR="00FA55CA">
        <w:t xml:space="preserve"> (</w:t>
      </w:r>
      <w:r w:rsidRPr="00A953F5">
        <w:t>whichever comes first</w:t>
      </w:r>
      <w:r w:rsidR="00FA55CA">
        <w:t>)</w:t>
      </w:r>
      <w:r w:rsidRPr="00A953F5">
        <w:t xml:space="preserve"> in the second continuing restriction</w:t>
      </w:r>
      <w:r w:rsidR="00AA117A">
        <w:t xml:space="preserve"> would be appropriate</w:t>
      </w:r>
      <w:r w:rsidRPr="00A953F5">
        <w:t xml:space="preserve">. </w:t>
      </w:r>
    </w:p>
    <w:p w:rsidR="00BB6136" w:rsidRPr="00BB6136" w:rsidRDefault="00BB6136" w:rsidP="00FA55CA">
      <w:pPr>
        <w:pStyle w:val="ExecSumBodyText"/>
        <w:numPr>
          <w:ilvl w:val="0"/>
          <w:numId w:val="0"/>
        </w:numPr>
        <w:ind w:left="720"/>
        <w:rPr>
          <w:i/>
        </w:rPr>
      </w:pPr>
      <w:r>
        <w:br/>
      </w:r>
      <w:r>
        <w:rPr>
          <w:i/>
          <w:snapToGrid/>
          <w:lang w:val="en-US"/>
        </w:rPr>
        <w:t xml:space="preserve">For more detail on PBAC’s view, see section 7 PBAC outcome. </w:t>
      </w:r>
    </w:p>
    <w:p w:rsidR="00B50DB8" w:rsidRPr="00407F2D" w:rsidRDefault="00203181" w:rsidP="004E18E9">
      <w:pPr>
        <w:pStyle w:val="2-SectionHeading"/>
      </w:pPr>
      <w:bookmarkStart w:id="8" w:name="_Toc30502538"/>
      <w:r>
        <w:t xml:space="preserve">Population and </w:t>
      </w:r>
      <w:r w:rsidR="008E0D3C">
        <w:t>d</w:t>
      </w:r>
      <w:r>
        <w:t>isease</w:t>
      </w:r>
      <w:bookmarkEnd w:id="8"/>
    </w:p>
    <w:p w:rsidR="00C16EFA" w:rsidRDefault="00C16EFA" w:rsidP="00C16EFA">
      <w:pPr>
        <w:pStyle w:val="ExecSumBodyText"/>
        <w:rPr>
          <w:color w:val="0066FF"/>
        </w:rPr>
      </w:pPr>
      <w:r>
        <w:t>Chronic lymphocytic leukaemia</w:t>
      </w:r>
      <w:r w:rsidRPr="00D32A30">
        <w:t xml:space="preserve"> is </w:t>
      </w:r>
      <w:r>
        <w:t>a slow</w:t>
      </w:r>
      <w:r w:rsidRPr="00D32A30">
        <w:t xml:space="preserve"> progressing </w:t>
      </w:r>
      <w:r>
        <w:t xml:space="preserve">blood </w:t>
      </w:r>
      <w:r w:rsidRPr="00D32A30">
        <w:t>cancer</w:t>
      </w:r>
      <w:r>
        <w:t xml:space="preserve"> (five </w:t>
      </w:r>
      <w:r w:rsidRPr="00FE7610">
        <w:t>year relative survival from diagnosis 77.9%</w:t>
      </w:r>
      <w:r>
        <w:t>) characterised by the proliferation</w:t>
      </w:r>
      <w:r w:rsidRPr="00D32A30">
        <w:t xml:space="preserve"> of functionally incompetent B-lymphocytes in the blood, bone marrow</w:t>
      </w:r>
      <w:r>
        <w:t>, lymph nodes, spleen and liver</w:t>
      </w:r>
      <w:r w:rsidRPr="00D32A30">
        <w:t xml:space="preserve">. </w:t>
      </w:r>
      <w:r>
        <w:t>CLL</w:t>
      </w:r>
      <w:r w:rsidRPr="00D32A30">
        <w:t xml:space="preserve"> is more common in </w:t>
      </w:r>
      <w:r>
        <w:t>males</w:t>
      </w:r>
      <w:r w:rsidRPr="00D32A30">
        <w:t xml:space="preserve"> </w:t>
      </w:r>
      <w:r>
        <w:t>(65%)</w:t>
      </w:r>
      <w:r w:rsidRPr="00D32A30">
        <w:t xml:space="preserve"> </w:t>
      </w:r>
      <w:r>
        <w:t>and the elderly (m</w:t>
      </w:r>
      <w:r w:rsidRPr="00D32A30">
        <w:t xml:space="preserve">ean age at diagnosis in Australia </w:t>
      </w:r>
      <w:r>
        <w:t>is</w:t>
      </w:r>
      <w:r w:rsidRPr="00D32A30">
        <w:t xml:space="preserve"> </w:t>
      </w:r>
      <w:r>
        <w:t>70</w:t>
      </w:r>
      <w:r w:rsidRPr="00D32A30">
        <w:t xml:space="preserve"> years</w:t>
      </w:r>
      <w:r>
        <w:t>; Cancer in Australia 2017, Australian Institute of Health and Welfare</w:t>
      </w:r>
      <w:r w:rsidRPr="00D32A30">
        <w:t>).</w:t>
      </w:r>
      <w:r w:rsidRPr="002E4F02">
        <w:rPr>
          <w:color w:val="0066FF"/>
        </w:rPr>
        <w:t xml:space="preserve"> </w:t>
      </w:r>
    </w:p>
    <w:p w:rsidR="00C16EFA" w:rsidRDefault="00C16EFA" w:rsidP="00C16EFA">
      <w:pPr>
        <w:pStyle w:val="ExecSumBodyText"/>
      </w:pPr>
      <w:r>
        <w:t xml:space="preserve">The </w:t>
      </w:r>
      <w:r w:rsidRPr="00D32A30">
        <w:t xml:space="preserve">CLL </w:t>
      </w:r>
      <w:r>
        <w:t>disease trajectory is highly heterogeneous and p</w:t>
      </w:r>
      <w:r w:rsidRPr="00FE7610">
        <w:t xml:space="preserve">rognosis </w:t>
      </w:r>
      <w:r>
        <w:t>depends on</w:t>
      </w:r>
      <w:r w:rsidRPr="00FE7610">
        <w:t xml:space="preserve"> </w:t>
      </w:r>
      <w:r>
        <w:t>disease characteristics (</w:t>
      </w:r>
      <w:r w:rsidRPr="00FE7610">
        <w:t>staging</w:t>
      </w:r>
      <w:r>
        <w:t xml:space="preserve"> at diagnosis</w:t>
      </w:r>
      <w:r w:rsidRPr="00FE7610">
        <w:t>, cytogenetics, complications), treatment</w:t>
      </w:r>
      <w:r>
        <w:t xml:space="preserve"> response (tolerance, relapse</w:t>
      </w:r>
      <w:r w:rsidRPr="00FE7610">
        <w:t>) and patient</w:t>
      </w:r>
      <w:r>
        <w:t xml:space="preserve"> characteristics (</w:t>
      </w:r>
      <w:r w:rsidRPr="00FE7610">
        <w:t>age</w:t>
      </w:r>
      <w:r>
        <w:t xml:space="preserve"> at diagnosis, comorbidities). Patients with</w:t>
      </w:r>
      <w:r w:rsidRPr="002E233F">
        <w:t xml:space="preserve"> </w:t>
      </w:r>
      <w:r>
        <w:t xml:space="preserve">the genetic aberrations </w:t>
      </w:r>
      <w:r w:rsidRPr="002E233F">
        <w:t xml:space="preserve">TP53 </w:t>
      </w:r>
      <w:r>
        <w:t>mutation, del(17p) and</w:t>
      </w:r>
      <w:r w:rsidRPr="002E233F">
        <w:t xml:space="preserve"> </w:t>
      </w:r>
      <w:r>
        <w:t>unmutated IGVH</w:t>
      </w:r>
      <w:r w:rsidRPr="002E233F">
        <w:t xml:space="preserve"> </w:t>
      </w:r>
      <w:r>
        <w:t>status generally exhibit</w:t>
      </w:r>
      <w:r w:rsidRPr="00FE7610">
        <w:t xml:space="preserve"> </w:t>
      </w:r>
      <w:r>
        <w:t>poor prognosis and are more likely to require targeted treatment.</w:t>
      </w:r>
    </w:p>
    <w:p w:rsidR="00C16EFA" w:rsidRDefault="00C16EFA" w:rsidP="00C16EFA">
      <w:pPr>
        <w:pStyle w:val="ExecSumBodyText"/>
      </w:pPr>
      <w:r w:rsidRPr="003124D8">
        <w:t xml:space="preserve">The clinical management algorithm positions venetoclax + obinutuzumab as an alternative to chlorambucil + obinutuzumab, rituximab + chlorambucil and chlorambucil for previously untreated CLL in patients inappropriate for purine </w:t>
      </w:r>
      <w:r w:rsidRPr="003124D8">
        <w:lastRenderedPageBreak/>
        <w:t xml:space="preserve">analogue chemotherapies. </w:t>
      </w:r>
      <w:r w:rsidR="0017190E" w:rsidRPr="003124D8">
        <w:t>The ESC noted recent clinical management guidelines</w:t>
      </w:r>
      <w:r w:rsidR="00AB4B47" w:rsidRPr="003124D8">
        <w:rPr>
          <w:rStyle w:val="FootnoteReference"/>
        </w:rPr>
        <w:footnoteReference w:id="1"/>
      </w:r>
      <w:r w:rsidR="0017190E" w:rsidRPr="003124D8">
        <w:t xml:space="preserve"> </w:t>
      </w:r>
      <w:r w:rsidR="00AB4B47" w:rsidRPr="003124D8">
        <w:t>recommend first-line ibrutinib in patients with del</w:t>
      </w:r>
      <w:r w:rsidR="0027591B" w:rsidRPr="003124D8">
        <w:t>(17p)</w:t>
      </w:r>
      <w:r w:rsidR="00AB4B47" w:rsidRPr="003124D8">
        <w:t xml:space="preserve"> or TP53 mutation</w:t>
      </w:r>
      <w:r w:rsidR="0027591B" w:rsidRPr="003124D8">
        <w:t>, which was</w:t>
      </w:r>
      <w:r w:rsidR="00AB4B47" w:rsidRPr="003124D8">
        <w:t xml:space="preserve"> </w:t>
      </w:r>
      <w:r w:rsidR="00C5154A" w:rsidRPr="003124D8">
        <w:t xml:space="preserve">recommended by the PBAC in November 2019. </w:t>
      </w:r>
    </w:p>
    <w:p w:rsidR="00BB6136" w:rsidRPr="00BB6136" w:rsidRDefault="00BB6136" w:rsidP="00BB6136">
      <w:pPr>
        <w:pStyle w:val="ExecSumBodyText"/>
        <w:numPr>
          <w:ilvl w:val="0"/>
          <w:numId w:val="0"/>
        </w:numPr>
        <w:ind w:left="720"/>
        <w:rPr>
          <w:i/>
        </w:rPr>
      </w:pPr>
      <w:r>
        <w:br/>
      </w:r>
      <w:r>
        <w:rPr>
          <w:i/>
          <w:snapToGrid/>
          <w:lang w:val="en-US"/>
        </w:rPr>
        <w:t xml:space="preserve">For more detail on PBAC’s view, see section 7 PBAC outcome. </w:t>
      </w:r>
    </w:p>
    <w:p w:rsidR="00B50DB8" w:rsidRPr="00D273EB" w:rsidRDefault="00B50DB8" w:rsidP="004E18E9">
      <w:pPr>
        <w:pStyle w:val="2-SectionHeading"/>
      </w:pPr>
      <w:bookmarkStart w:id="9" w:name="_Toc30502539"/>
      <w:r w:rsidRPr="00D273EB">
        <w:t>Comparator</w:t>
      </w:r>
      <w:bookmarkEnd w:id="9"/>
    </w:p>
    <w:p w:rsidR="00C16EFA" w:rsidRPr="006656E8" w:rsidRDefault="00C16EFA" w:rsidP="00C16EFA">
      <w:pPr>
        <w:pStyle w:val="ExecSumBodyText"/>
        <w:rPr>
          <w:i/>
        </w:rPr>
      </w:pPr>
      <w:r>
        <w:t xml:space="preserve">The submission nominated chlorambucil + obinutuzumab as the main comparator. Obinutuzumab is </w:t>
      </w:r>
      <w:r w:rsidR="00334491">
        <w:t xml:space="preserve">listed on the PBS </w:t>
      </w:r>
      <w:r w:rsidR="00DA79FD">
        <w:t xml:space="preserve">as a </w:t>
      </w:r>
      <w:r w:rsidR="00334491">
        <w:t>first-</w:t>
      </w:r>
      <w:r>
        <w:t xml:space="preserve">line treatment in combination </w:t>
      </w:r>
      <w:r w:rsidRPr="006656E8">
        <w:t xml:space="preserve">with chlorambucil </w:t>
      </w:r>
      <w:r w:rsidR="00DA79FD" w:rsidRPr="006656E8">
        <w:t xml:space="preserve">for </w:t>
      </w:r>
      <w:r w:rsidRPr="006656E8">
        <w:t>CLL patients with comorbidities who are inappropriate for fludarabine</w:t>
      </w:r>
      <w:r w:rsidR="00334491" w:rsidRPr="006656E8">
        <w:t xml:space="preserve"> </w:t>
      </w:r>
      <w:r w:rsidRPr="006656E8">
        <w:t>based chemo</w:t>
      </w:r>
      <w:r w:rsidR="00334491" w:rsidRPr="006656E8">
        <w:t>-</w:t>
      </w:r>
      <w:r w:rsidRPr="006656E8">
        <w:t xml:space="preserve">immunotherapy, and </w:t>
      </w:r>
      <w:r w:rsidR="00826B53">
        <w:t>wa</w:t>
      </w:r>
      <w:r w:rsidRPr="006656E8">
        <w:t>s the preferr</w:t>
      </w:r>
      <w:r w:rsidR="00334491" w:rsidRPr="006656E8">
        <w:t>ed subsidised therapy for first-</w:t>
      </w:r>
      <w:r w:rsidRPr="006656E8">
        <w:t>line treatment of CLL in unfit patients (para 5.1, Ibrutinib P</w:t>
      </w:r>
      <w:r w:rsidR="001D2DC1">
        <w:t>SD</w:t>
      </w:r>
      <w:r w:rsidRPr="003124D8">
        <w:t xml:space="preserve">, November 2017). The PBAC </w:t>
      </w:r>
      <w:r w:rsidR="00826B53">
        <w:t xml:space="preserve">previously </w:t>
      </w:r>
      <w:r w:rsidRPr="003124D8">
        <w:t>considered chlorambucil + obinutuzumab to be the appropriate main comparator for this population</w:t>
      </w:r>
      <w:r w:rsidR="00826B53">
        <w:t xml:space="preserve"> when considering first-line therapy with ibrutinib in November 2017</w:t>
      </w:r>
      <w:r w:rsidRPr="003124D8">
        <w:t xml:space="preserve"> (para 5.2, Ibrutinib P</w:t>
      </w:r>
      <w:r w:rsidR="001D2DC1">
        <w:t>SD</w:t>
      </w:r>
      <w:r w:rsidRPr="003124D8">
        <w:t xml:space="preserve">, November 2017). </w:t>
      </w:r>
    </w:p>
    <w:p w:rsidR="00C16EFA" w:rsidRPr="00F414D3" w:rsidRDefault="00C16EFA" w:rsidP="00C16EFA">
      <w:pPr>
        <w:pStyle w:val="ExecSumBodyText"/>
      </w:pPr>
      <w:r w:rsidRPr="00681E38">
        <w:t>The submission identified ibrutinib in combination with obinutuzumab as a potential n</w:t>
      </w:r>
      <w:r w:rsidR="00334491" w:rsidRPr="00681E38">
        <w:t>ear market comparator for first-</w:t>
      </w:r>
      <w:r w:rsidRPr="00681E38">
        <w:t>line treatment of CLL. The PBAC recommended ibrutinib (monotherapy) for patients with previously untreated CLL/SLL with evidence of one or more 17p deletions at the November 2019 meeting</w:t>
      </w:r>
      <w:r w:rsidR="00AF4A20" w:rsidRPr="00681E38">
        <w:t xml:space="preserve"> on the </w:t>
      </w:r>
      <w:r w:rsidR="00AF4A20" w:rsidRPr="003124D8">
        <w:t xml:space="preserve">basis of the results of the iLLUMINATE trial (ibrutinib + obinutuzumab versus </w:t>
      </w:r>
      <w:r w:rsidR="00C15AE1" w:rsidRPr="003124D8">
        <w:t>chlorambucil + obinutuzumab)</w:t>
      </w:r>
      <w:r w:rsidRPr="003124D8">
        <w:t xml:space="preserve">, recognising the high clinical need for effective treatments in the 17p deletion population (PBAC Outcomes, November 2019). </w:t>
      </w:r>
      <w:r w:rsidR="0017190E" w:rsidRPr="003124D8">
        <w:t>The evaluation considered i</w:t>
      </w:r>
      <w:r w:rsidRPr="003124D8">
        <w:t xml:space="preserve">brutinib (monotherapy) </w:t>
      </w:r>
      <w:r w:rsidR="0017190E" w:rsidRPr="003124D8">
        <w:t>to be</w:t>
      </w:r>
      <w:r w:rsidRPr="003124D8">
        <w:t xml:space="preserve"> an appropriate comparator in patients with del(17p).  </w:t>
      </w:r>
      <w:r w:rsidR="00681E38" w:rsidRPr="003124D8">
        <w:t>Given that ibrutinib + obinutuzumab is not available in Australia for first-line treatment of CLL, the</w:t>
      </w:r>
      <w:r w:rsidR="0050751D" w:rsidRPr="003124D8">
        <w:t xml:space="preserve"> ESC agreed with the</w:t>
      </w:r>
      <w:r w:rsidR="00681E38" w:rsidRPr="003124D8">
        <w:t xml:space="preserve"> </w:t>
      </w:r>
      <w:r w:rsidR="00642010">
        <w:t>Pre-Sub-Committee Response</w:t>
      </w:r>
      <w:r w:rsidR="00AB30E4">
        <w:t xml:space="preserve"> </w:t>
      </w:r>
      <w:r w:rsidR="00C11327">
        <w:t>(</w:t>
      </w:r>
      <w:r w:rsidR="00681E38" w:rsidRPr="003124D8">
        <w:t>PSCR</w:t>
      </w:r>
      <w:r w:rsidR="005A4508">
        <w:t>)</w:t>
      </w:r>
      <w:r w:rsidR="005A4508" w:rsidRPr="003124D8">
        <w:t xml:space="preserve"> that</w:t>
      </w:r>
      <w:r w:rsidR="00681E38" w:rsidRPr="003124D8">
        <w:t xml:space="preserve"> the near market comparison was</w:t>
      </w:r>
      <w:r w:rsidR="00E91899" w:rsidRPr="003124D8">
        <w:t xml:space="preserve"> not</w:t>
      </w:r>
      <w:r w:rsidR="0017190E" w:rsidRPr="003124D8">
        <w:t xml:space="preserve"> </w:t>
      </w:r>
      <w:r w:rsidR="00E91899" w:rsidRPr="003124D8">
        <w:t>relevant</w:t>
      </w:r>
      <w:r w:rsidR="0017190E" w:rsidRPr="003124D8">
        <w:t xml:space="preserve"> for this submission</w:t>
      </w:r>
      <w:r w:rsidR="00681E38" w:rsidRPr="003124D8">
        <w:t xml:space="preserve">. </w:t>
      </w:r>
    </w:p>
    <w:p w:rsidR="00BB6136" w:rsidRPr="00BB6136" w:rsidRDefault="00BB6136" w:rsidP="00BB6136">
      <w:pPr>
        <w:pStyle w:val="ExecSumBodyText"/>
        <w:numPr>
          <w:ilvl w:val="0"/>
          <w:numId w:val="0"/>
        </w:numPr>
        <w:ind w:left="720"/>
        <w:rPr>
          <w:i/>
        </w:rPr>
      </w:pPr>
      <w:r w:rsidRPr="00F414D3">
        <w:br/>
      </w:r>
      <w:r>
        <w:rPr>
          <w:i/>
          <w:snapToGrid/>
          <w:lang w:val="en-US"/>
        </w:rPr>
        <w:t xml:space="preserve">For more detail on PBAC’s view, see section 7 PBAC outcome. </w:t>
      </w:r>
    </w:p>
    <w:p w:rsidR="00223D5A" w:rsidRPr="00026F68" w:rsidRDefault="00223D5A" w:rsidP="00223D5A">
      <w:pPr>
        <w:pStyle w:val="2-SectionHeading"/>
        <w:numPr>
          <w:ilvl w:val="0"/>
          <w:numId w:val="1"/>
        </w:numPr>
      </w:pPr>
      <w:bookmarkStart w:id="10" w:name="_Toc30502540"/>
      <w:bookmarkStart w:id="11" w:name="_Toc22897640"/>
      <w:r w:rsidRPr="00026F68">
        <w:t>Consideration of the evidence</w:t>
      </w:r>
      <w:bookmarkEnd w:id="10"/>
    </w:p>
    <w:p w:rsidR="00BB6136" w:rsidRPr="00BB6136" w:rsidRDefault="00BB6136" w:rsidP="00BB6136">
      <w:pPr>
        <w:pStyle w:val="3-SubsectionHeading"/>
      </w:pPr>
      <w:bookmarkStart w:id="12" w:name="_Toc30502541"/>
      <w:r w:rsidRPr="00BB6136">
        <w:t>Sponsor hearing</w:t>
      </w:r>
    </w:p>
    <w:p w:rsidR="0008127A" w:rsidRPr="0008127A" w:rsidRDefault="0008127A" w:rsidP="0008127A">
      <w:pPr>
        <w:widowControl w:val="0"/>
        <w:numPr>
          <w:ilvl w:val="1"/>
          <w:numId w:val="1"/>
        </w:numPr>
        <w:spacing w:after="120"/>
        <w:rPr>
          <w:rFonts w:asciiTheme="minorHAnsi" w:hAnsiTheme="minorHAnsi"/>
          <w:bCs/>
          <w:snapToGrid w:val="0"/>
        </w:rPr>
      </w:pPr>
      <w:r w:rsidRPr="005F2796">
        <w:t xml:space="preserve">The sponsor requested a hearing for this item. The clinician </w:t>
      </w:r>
      <w:r w:rsidR="00F414D3">
        <w:t xml:space="preserve">discussed the progression of CLL/SLL and informed the PBAC that </w:t>
      </w:r>
      <w:r>
        <w:t>earlier use of targeted agents is preferable</w:t>
      </w:r>
      <w:r w:rsidR="00F414D3">
        <w:t xml:space="preserve"> as depth of remission </w:t>
      </w:r>
      <w:r w:rsidR="00BE74CE">
        <w:t xml:space="preserve">is considered a predictor </w:t>
      </w:r>
      <w:r w:rsidR="00826B53">
        <w:t xml:space="preserve">of </w:t>
      </w:r>
      <w:r w:rsidR="00BE74CE">
        <w:t>survival</w:t>
      </w:r>
      <w:r>
        <w:t xml:space="preserve">. </w:t>
      </w:r>
      <w:r w:rsidR="00BE74CE">
        <w:t xml:space="preserve">The clinician responded to the Committee’s questions regarding the key trial, CLL-14 and the differences in post-progression treatment patterns. </w:t>
      </w:r>
      <w:r w:rsidR="00826B53">
        <w:t xml:space="preserve">The clinician speculated that the differences in </w:t>
      </w:r>
      <w:r w:rsidR="00826B53" w:rsidRPr="00A21484">
        <w:t>time to next treatment</w:t>
      </w:r>
      <w:r w:rsidR="00826B53">
        <w:t xml:space="preserve"> </w:t>
      </w:r>
      <w:r w:rsidR="001D2DC1">
        <w:t xml:space="preserve">(TTNT) </w:t>
      </w:r>
      <w:r w:rsidR="00826B53">
        <w:t xml:space="preserve">observed across treatment arms in the key trial may have </w:t>
      </w:r>
      <w:r w:rsidR="00826B53">
        <w:lastRenderedPageBreak/>
        <w:t xml:space="preserve">been due to the small number of </w:t>
      </w:r>
      <w:r w:rsidR="009A4C6E">
        <w:t xml:space="preserve">early </w:t>
      </w:r>
      <w:r w:rsidR="00826B53">
        <w:t>progression event in the venetoclax + obinutuzumab arm being shallow remissions and hence</w:t>
      </w:r>
      <w:r w:rsidR="00A711BA">
        <w:t>,</w:t>
      </w:r>
      <w:r w:rsidR="00826B53">
        <w:t xml:space="preserve"> next treatments were administered earlier than was seen in the chlorambucil + obinut</w:t>
      </w:r>
      <w:r w:rsidR="0034656E">
        <w:t>u</w:t>
      </w:r>
      <w:r w:rsidR="00826B53">
        <w:t>zumab arm.</w:t>
      </w:r>
    </w:p>
    <w:p w:rsidR="0008127A" w:rsidRDefault="0008127A" w:rsidP="0008127A">
      <w:pPr>
        <w:widowControl w:val="0"/>
        <w:numPr>
          <w:ilvl w:val="1"/>
          <w:numId w:val="1"/>
        </w:numPr>
        <w:spacing w:after="120"/>
        <w:rPr>
          <w:rFonts w:asciiTheme="minorHAnsi" w:hAnsiTheme="minorHAnsi"/>
          <w:bCs/>
          <w:snapToGrid w:val="0"/>
        </w:rPr>
      </w:pPr>
      <w:r w:rsidRPr="005F2796">
        <w:t xml:space="preserve">The PBAC considered the hearing was informative for providing context about the </w:t>
      </w:r>
      <w:r>
        <w:t xml:space="preserve">post-progression treatment patterns observed in the CLL-14 trial. </w:t>
      </w:r>
    </w:p>
    <w:p w:rsidR="00BB6136" w:rsidRPr="00BB6136" w:rsidRDefault="00BB6136" w:rsidP="00BB6136">
      <w:pPr>
        <w:pStyle w:val="3-SubsectionHeading"/>
      </w:pPr>
      <w:r w:rsidRPr="00BB6136">
        <w:t>Consumer comments</w:t>
      </w:r>
    </w:p>
    <w:p w:rsidR="006B148E" w:rsidRPr="00836F75" w:rsidRDefault="006B148E" w:rsidP="006B148E">
      <w:pPr>
        <w:widowControl w:val="0"/>
        <w:numPr>
          <w:ilvl w:val="1"/>
          <w:numId w:val="1"/>
        </w:numPr>
        <w:spacing w:after="120"/>
        <w:rPr>
          <w:rFonts w:asciiTheme="minorHAnsi" w:hAnsiTheme="minorHAnsi"/>
          <w:bCs/>
          <w:snapToGrid w:val="0"/>
        </w:rPr>
      </w:pPr>
      <w:r w:rsidRPr="00836F75">
        <w:rPr>
          <w:rFonts w:asciiTheme="minorHAnsi" w:hAnsiTheme="minorHAnsi"/>
          <w:bCs/>
          <w:snapToGrid w:val="0"/>
        </w:rPr>
        <w:t>The PBAC noted and welcomed the input from indi</w:t>
      </w:r>
      <w:r>
        <w:rPr>
          <w:rFonts w:asciiTheme="minorHAnsi" w:hAnsiTheme="minorHAnsi"/>
          <w:bCs/>
          <w:snapToGrid w:val="0"/>
        </w:rPr>
        <w:t>viduals (8) and organisations (3</w:t>
      </w:r>
      <w:r w:rsidRPr="00836F75">
        <w:rPr>
          <w:rFonts w:asciiTheme="minorHAnsi" w:hAnsiTheme="minorHAnsi"/>
          <w:bCs/>
          <w:snapToGrid w:val="0"/>
        </w:rPr>
        <w:t xml:space="preserve">) via the Consumer Comments facility on the PBS website.  The comments described </w:t>
      </w:r>
      <w:r>
        <w:rPr>
          <w:rFonts w:asciiTheme="minorHAnsi" w:hAnsiTheme="minorHAnsi"/>
          <w:bCs/>
          <w:snapToGrid w:val="0"/>
        </w:rPr>
        <w:t xml:space="preserve">benefits of treatment with the targeted combination therapy of venetoclax </w:t>
      </w:r>
      <w:r w:rsidR="00DF3323">
        <w:rPr>
          <w:rFonts w:asciiTheme="minorHAnsi" w:hAnsiTheme="minorHAnsi"/>
          <w:bCs/>
          <w:snapToGrid w:val="0"/>
        </w:rPr>
        <w:t>+</w:t>
      </w:r>
      <w:r>
        <w:rPr>
          <w:rFonts w:asciiTheme="minorHAnsi" w:hAnsiTheme="minorHAnsi"/>
          <w:bCs/>
          <w:snapToGrid w:val="0"/>
        </w:rPr>
        <w:t xml:space="preserve"> obinutuzumab, </w:t>
      </w:r>
      <w:r>
        <w:rPr>
          <w:bCs/>
          <w:snapToGrid w:val="0"/>
        </w:rPr>
        <w:t>including</w:t>
      </w:r>
      <w:r w:rsidR="00216EFA">
        <w:rPr>
          <w:bCs/>
          <w:snapToGrid w:val="0"/>
        </w:rPr>
        <w:t xml:space="preserve"> </w:t>
      </w:r>
      <w:r>
        <w:rPr>
          <w:bCs/>
          <w:snapToGrid w:val="0"/>
        </w:rPr>
        <w:t>the option of avoiding treatment</w:t>
      </w:r>
      <w:r w:rsidR="001276DA">
        <w:rPr>
          <w:bCs/>
          <w:snapToGrid w:val="0"/>
        </w:rPr>
        <w:t>/re-treatment</w:t>
      </w:r>
      <w:r>
        <w:rPr>
          <w:bCs/>
          <w:snapToGrid w:val="0"/>
        </w:rPr>
        <w:t xml:space="preserve"> with </w:t>
      </w:r>
      <w:r w:rsidRPr="005F2796">
        <w:rPr>
          <w:bCs/>
          <w:snapToGrid w:val="0"/>
        </w:rPr>
        <w:t>fludarabine</w:t>
      </w:r>
      <w:r>
        <w:rPr>
          <w:bCs/>
          <w:snapToGrid w:val="0"/>
        </w:rPr>
        <w:t xml:space="preserve"> based chemotherapy when not clinically appropriate</w:t>
      </w:r>
      <w:r w:rsidR="00216EFA">
        <w:rPr>
          <w:bCs/>
          <w:snapToGrid w:val="0"/>
        </w:rPr>
        <w:t>, as well as improved quality of life, higher rates of remission, and a superior side effect profile versus the alternative initial therapies</w:t>
      </w:r>
      <w:r w:rsidR="001F7960">
        <w:rPr>
          <w:bCs/>
          <w:snapToGrid w:val="0"/>
        </w:rPr>
        <w:t xml:space="preserve"> (i.e. fludarabine based chemotherapy and chlorambucil </w:t>
      </w:r>
      <w:r w:rsidR="00DF3323">
        <w:rPr>
          <w:bCs/>
          <w:snapToGrid w:val="0"/>
        </w:rPr>
        <w:t>+</w:t>
      </w:r>
      <w:r w:rsidR="001F7960">
        <w:rPr>
          <w:bCs/>
          <w:snapToGrid w:val="0"/>
        </w:rPr>
        <w:t xml:space="preserve"> obinutuzumab)</w:t>
      </w:r>
      <w:r w:rsidR="00216EFA">
        <w:rPr>
          <w:bCs/>
          <w:snapToGrid w:val="0"/>
        </w:rPr>
        <w:t>.</w:t>
      </w:r>
      <w:r w:rsidR="001C46CE">
        <w:rPr>
          <w:bCs/>
          <w:snapToGrid w:val="0"/>
        </w:rPr>
        <w:t xml:space="preserve"> The PBAC </w:t>
      </w:r>
      <w:r w:rsidR="00A14421">
        <w:rPr>
          <w:bCs/>
          <w:snapToGrid w:val="0"/>
        </w:rPr>
        <w:t>did not consider</w:t>
      </w:r>
      <w:r w:rsidR="001C46CE">
        <w:rPr>
          <w:bCs/>
          <w:snapToGrid w:val="0"/>
        </w:rPr>
        <w:t xml:space="preserve"> superior safety to chlorambucil + obinutuzumab was demonstrated in the CLL-14 trial.</w:t>
      </w:r>
      <w:r w:rsidR="00216EFA">
        <w:rPr>
          <w:bCs/>
          <w:snapToGrid w:val="0"/>
        </w:rPr>
        <w:t xml:space="preserve"> </w:t>
      </w:r>
      <w:r w:rsidR="00EB3E75">
        <w:rPr>
          <w:bCs/>
          <w:snapToGrid w:val="0"/>
        </w:rPr>
        <w:t xml:space="preserve"> </w:t>
      </w:r>
      <w:r>
        <w:rPr>
          <w:bCs/>
          <w:snapToGrid w:val="0"/>
        </w:rPr>
        <w:t xml:space="preserve"> </w:t>
      </w:r>
      <w:r w:rsidRPr="005F2796">
        <w:rPr>
          <w:bCs/>
          <w:snapToGrid w:val="0"/>
        </w:rPr>
        <w:t xml:space="preserve"> </w:t>
      </w:r>
    </w:p>
    <w:p w:rsidR="006B148E" w:rsidRPr="00F84FD3" w:rsidRDefault="006B148E" w:rsidP="006B148E">
      <w:pPr>
        <w:widowControl w:val="0"/>
        <w:numPr>
          <w:ilvl w:val="1"/>
          <w:numId w:val="1"/>
        </w:numPr>
        <w:spacing w:after="120"/>
        <w:rPr>
          <w:rFonts w:asciiTheme="minorHAnsi" w:hAnsiTheme="minorHAnsi"/>
          <w:bCs/>
          <w:snapToGrid w:val="0"/>
        </w:rPr>
      </w:pPr>
      <w:r w:rsidRPr="005F2796">
        <w:rPr>
          <w:bCs/>
          <w:snapToGrid w:val="0"/>
        </w:rPr>
        <w:t xml:space="preserve">The PBAC noted the support received from </w:t>
      </w:r>
      <w:r>
        <w:rPr>
          <w:bCs/>
          <w:snapToGrid w:val="0"/>
        </w:rPr>
        <w:t xml:space="preserve">the Leukaemia Foundation, </w:t>
      </w:r>
      <w:r w:rsidRPr="005F2796">
        <w:rPr>
          <w:bCs/>
          <w:snapToGrid w:val="0"/>
        </w:rPr>
        <w:t>Lymphoma Australia</w:t>
      </w:r>
      <w:r>
        <w:rPr>
          <w:bCs/>
          <w:snapToGrid w:val="0"/>
        </w:rPr>
        <w:t xml:space="preserve">, and Rare Cancers Australia </w:t>
      </w:r>
      <w:r w:rsidRPr="005F2796">
        <w:rPr>
          <w:bCs/>
          <w:snapToGrid w:val="0"/>
        </w:rPr>
        <w:t xml:space="preserve">detailing </w:t>
      </w:r>
      <w:r>
        <w:rPr>
          <w:bCs/>
          <w:snapToGrid w:val="0"/>
        </w:rPr>
        <w:t xml:space="preserve">the superior progression free survival </w:t>
      </w:r>
      <w:r w:rsidR="001D2DC1">
        <w:rPr>
          <w:bCs/>
          <w:snapToGrid w:val="0"/>
        </w:rPr>
        <w:t xml:space="preserve">(PFS) </w:t>
      </w:r>
      <w:r>
        <w:rPr>
          <w:bCs/>
          <w:snapToGrid w:val="0"/>
        </w:rPr>
        <w:t>time for venetoclax</w:t>
      </w:r>
      <w:r w:rsidR="00DF3323">
        <w:rPr>
          <w:bCs/>
          <w:snapToGrid w:val="0"/>
        </w:rPr>
        <w:t xml:space="preserve"> +</w:t>
      </w:r>
      <w:r w:rsidR="00353937">
        <w:rPr>
          <w:bCs/>
          <w:snapToGrid w:val="0"/>
        </w:rPr>
        <w:t xml:space="preserve"> </w:t>
      </w:r>
      <w:r>
        <w:rPr>
          <w:bCs/>
          <w:snapToGrid w:val="0"/>
        </w:rPr>
        <w:t xml:space="preserve">obinutuzumab (versus chlorambucil </w:t>
      </w:r>
      <w:r w:rsidR="00DF3323">
        <w:rPr>
          <w:bCs/>
          <w:snapToGrid w:val="0"/>
        </w:rPr>
        <w:t xml:space="preserve">+ </w:t>
      </w:r>
      <w:r>
        <w:rPr>
          <w:bCs/>
          <w:snapToGrid w:val="0"/>
        </w:rPr>
        <w:t>obinutuzumab) in the first-line setting, with the benefit of a fixed treatment duration</w:t>
      </w:r>
      <w:r w:rsidR="00BD4B65">
        <w:rPr>
          <w:bCs/>
          <w:snapToGrid w:val="0"/>
        </w:rPr>
        <w:t>, as well as the unmet need</w:t>
      </w:r>
      <w:r w:rsidR="00DA2A0E">
        <w:rPr>
          <w:bCs/>
          <w:snapToGrid w:val="0"/>
        </w:rPr>
        <w:t xml:space="preserve"> for treatment options in </w:t>
      </w:r>
      <w:r w:rsidR="00BD4B65">
        <w:rPr>
          <w:bCs/>
          <w:snapToGrid w:val="0"/>
        </w:rPr>
        <w:t xml:space="preserve">CLL patients who are unable to tolerate </w:t>
      </w:r>
      <w:r w:rsidR="00DF3323">
        <w:rPr>
          <w:bCs/>
          <w:snapToGrid w:val="0"/>
        </w:rPr>
        <w:t>the current standard of care.</w:t>
      </w:r>
      <w:r w:rsidR="00BE2135">
        <w:rPr>
          <w:bCs/>
          <w:snapToGrid w:val="0"/>
        </w:rPr>
        <w:t xml:space="preserve"> </w:t>
      </w:r>
    </w:p>
    <w:p w:rsidR="00B60939" w:rsidRPr="00C9624D" w:rsidRDefault="00B60939" w:rsidP="002E4F02">
      <w:pPr>
        <w:pStyle w:val="3-SubsectionHeading"/>
      </w:pPr>
      <w:r w:rsidRPr="00C9624D">
        <w:t>Clinical trials</w:t>
      </w:r>
      <w:bookmarkEnd w:id="11"/>
      <w:bookmarkEnd w:id="12"/>
    </w:p>
    <w:p w:rsidR="00C16EFA" w:rsidRPr="00441795" w:rsidRDefault="00C16EFA" w:rsidP="00C16EFA">
      <w:pPr>
        <w:pStyle w:val="ExecSumBodyText"/>
        <w:rPr>
          <w:color w:val="0066FF"/>
        </w:rPr>
      </w:pPr>
      <w:r>
        <w:rPr>
          <w:snapToGrid/>
          <w:lang w:val="en-US"/>
        </w:rPr>
        <w:t xml:space="preserve">The submission was based on one head-to-head </w:t>
      </w:r>
      <w:r>
        <w:t xml:space="preserve">randomised open label trial comparing venetoclax + obinutuzumab </w:t>
      </w:r>
      <w:r w:rsidR="00660A23">
        <w:t xml:space="preserve">to </w:t>
      </w:r>
      <w:r>
        <w:t>chlorambucil + obinutuzumab (Trial CLL-14).</w:t>
      </w:r>
      <w:r w:rsidR="00681E38">
        <w:t xml:space="preserve"> </w:t>
      </w:r>
      <w:r>
        <w:t xml:space="preserve"> </w:t>
      </w:r>
    </w:p>
    <w:p w:rsidR="00C16EFA" w:rsidRPr="00B50DB8" w:rsidRDefault="00C16EFA" w:rsidP="00C16EFA">
      <w:pPr>
        <w:pStyle w:val="ExecSumBodyText"/>
      </w:pPr>
      <w:r>
        <w:rPr>
          <w:snapToGrid/>
          <w:lang w:val="en-US"/>
        </w:rPr>
        <w:t xml:space="preserve">Details of the </w:t>
      </w:r>
      <w:r w:rsidR="00A6393E">
        <w:rPr>
          <w:snapToGrid/>
          <w:lang w:val="en-US"/>
        </w:rPr>
        <w:t xml:space="preserve">CLL-14 </w:t>
      </w:r>
      <w:r>
        <w:rPr>
          <w:snapToGrid/>
          <w:lang w:val="en-US"/>
        </w:rPr>
        <w:t xml:space="preserve">trial are provided in the table below. </w:t>
      </w:r>
    </w:p>
    <w:p w:rsidR="00C42FEB" w:rsidRDefault="00C42FEB">
      <w:pPr>
        <w:jc w:val="left"/>
        <w:rPr>
          <w:rFonts w:ascii="Arial Narrow" w:eastAsiaTheme="majorEastAsia" w:hAnsi="Arial Narrow" w:cstheme="majorBidi"/>
          <w:b/>
          <w:bCs/>
          <w:sz w:val="20"/>
        </w:rPr>
      </w:pPr>
      <w:r>
        <w:br w:type="page"/>
      </w:r>
    </w:p>
    <w:p w:rsidR="00C16EFA" w:rsidRPr="002E4F02" w:rsidRDefault="00C16EFA" w:rsidP="00C16EFA">
      <w:pPr>
        <w:pStyle w:val="TableFigureCaption"/>
      </w:pPr>
      <w:r>
        <w:lastRenderedPageBreak/>
        <w:t>Table 2</w:t>
      </w:r>
      <w:r w:rsidRPr="002E4F02">
        <w:t xml:space="preserve">: </w:t>
      </w:r>
      <w:r>
        <w:t>Studies</w:t>
      </w:r>
      <w:r w:rsidRPr="002E4F02">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C16EFA" w:rsidRPr="00B41614" w:rsidTr="00DB37E6">
        <w:trPr>
          <w:cantSplit/>
          <w:tblHeader/>
        </w:trPr>
        <w:tc>
          <w:tcPr>
            <w:tcW w:w="795" w:type="pct"/>
            <w:vAlign w:val="center"/>
          </w:tcPr>
          <w:p w:rsidR="00C16EFA" w:rsidRPr="00B41614" w:rsidRDefault="00C16EFA" w:rsidP="00DB37E6">
            <w:pPr>
              <w:pStyle w:val="Tableheadingrow"/>
            </w:pPr>
            <w:r w:rsidRPr="00B41614">
              <w:t>Trial ID</w:t>
            </w:r>
          </w:p>
        </w:tc>
        <w:tc>
          <w:tcPr>
            <w:tcW w:w="2803" w:type="pct"/>
            <w:vAlign w:val="center"/>
          </w:tcPr>
          <w:p w:rsidR="00C16EFA" w:rsidRPr="00B41614" w:rsidRDefault="00C16EFA" w:rsidP="00DB37E6">
            <w:pPr>
              <w:pStyle w:val="Tableheadingrow"/>
            </w:pPr>
            <w:r w:rsidRPr="00B41614">
              <w:t>Protocol title/ Publication title</w:t>
            </w:r>
          </w:p>
        </w:tc>
        <w:tc>
          <w:tcPr>
            <w:tcW w:w="1402" w:type="pct"/>
          </w:tcPr>
          <w:p w:rsidR="00C16EFA" w:rsidRPr="00B41614" w:rsidRDefault="00C16EFA" w:rsidP="00DB37E6">
            <w:pPr>
              <w:pStyle w:val="Tableheadingrow"/>
            </w:pPr>
            <w:r w:rsidRPr="00B41614">
              <w:t>Publication citation</w:t>
            </w:r>
          </w:p>
        </w:tc>
      </w:tr>
      <w:tr w:rsidR="00C16EFA" w:rsidRPr="00D540D9" w:rsidTr="006006C3">
        <w:trPr>
          <w:cantSplit/>
        </w:trPr>
        <w:tc>
          <w:tcPr>
            <w:tcW w:w="5000" w:type="pct"/>
            <w:gridSpan w:val="3"/>
            <w:tcBorders>
              <w:bottom w:val="single" w:sz="4" w:space="0" w:color="auto"/>
            </w:tcBorders>
          </w:tcPr>
          <w:p w:rsidR="00C16EFA" w:rsidRPr="00D540D9" w:rsidRDefault="00C16EFA" w:rsidP="00DB37E6">
            <w:pPr>
              <w:pStyle w:val="TableText"/>
              <w:rPr>
                <w:b/>
              </w:rPr>
            </w:pPr>
            <w:r w:rsidRPr="00D540D9">
              <w:rPr>
                <w:b/>
              </w:rPr>
              <w:t xml:space="preserve">Venetoclax </w:t>
            </w:r>
          </w:p>
        </w:tc>
      </w:tr>
      <w:tr w:rsidR="00C16EFA" w:rsidRPr="00CB38A8" w:rsidTr="00DB37E6">
        <w:trPr>
          <w:cantSplit/>
        </w:trPr>
        <w:tc>
          <w:tcPr>
            <w:tcW w:w="795" w:type="pct"/>
            <w:vMerge w:val="restart"/>
          </w:tcPr>
          <w:p w:rsidR="00C16EFA" w:rsidRDefault="00C16EFA" w:rsidP="00DB37E6">
            <w:pPr>
              <w:pStyle w:val="TableText"/>
            </w:pPr>
            <w:r>
              <w:t>CLL-14</w:t>
            </w:r>
          </w:p>
          <w:p w:rsidR="00C16EFA" w:rsidRPr="00CB38A8" w:rsidRDefault="00C16EFA" w:rsidP="00DB37E6">
            <w:pPr>
              <w:pStyle w:val="TableText"/>
              <w:rPr>
                <w:rFonts w:ascii="Times" w:hAnsi="Times"/>
              </w:rPr>
            </w:pPr>
            <w:r>
              <w:t>(</w:t>
            </w:r>
            <w:r w:rsidRPr="00895C4D">
              <w:rPr>
                <w:rFonts w:eastAsia="TimesNewRoman" w:cstheme="minorHAnsi"/>
                <w:color w:val="000000"/>
                <w:szCs w:val="20"/>
              </w:rPr>
              <w:t>NCT02242942</w:t>
            </w:r>
            <w:r>
              <w:rPr>
                <w:rFonts w:eastAsia="TimesNewRoman" w:cstheme="minorHAnsi"/>
                <w:color w:val="000000"/>
                <w:szCs w:val="20"/>
              </w:rPr>
              <w:t>)</w:t>
            </w:r>
          </w:p>
        </w:tc>
        <w:tc>
          <w:tcPr>
            <w:tcW w:w="2803" w:type="pct"/>
            <w:tcBorders>
              <w:bottom w:val="nil"/>
            </w:tcBorders>
          </w:tcPr>
          <w:p w:rsidR="00C16EFA" w:rsidRPr="00381C6C" w:rsidRDefault="00C16EFA" w:rsidP="00DB37E6">
            <w:pPr>
              <w:keepNext/>
              <w:keepLines/>
              <w:widowControl w:val="0"/>
              <w:rPr>
                <w:rFonts w:ascii="Arial Narrow" w:eastAsia="TimesNewRoman" w:hAnsi="Arial Narrow" w:cstheme="minorHAnsi"/>
                <w:color w:val="000000"/>
                <w:sz w:val="20"/>
                <w:szCs w:val="20"/>
              </w:rPr>
            </w:pPr>
            <w:r w:rsidRPr="004663E6">
              <w:rPr>
                <w:rFonts w:ascii="Arial Narrow" w:eastAsia="TimesNewRoman" w:hAnsi="Arial Narrow" w:cstheme="minorHAnsi"/>
                <w:color w:val="000000"/>
                <w:sz w:val="20"/>
                <w:szCs w:val="20"/>
              </w:rPr>
              <w:t xml:space="preserve">A </w:t>
            </w:r>
            <w:r>
              <w:rPr>
                <w:rFonts w:ascii="Arial Narrow" w:eastAsia="TimesNewRoman" w:hAnsi="Arial Narrow" w:cstheme="minorHAnsi"/>
                <w:color w:val="000000"/>
                <w:sz w:val="20"/>
                <w:szCs w:val="20"/>
              </w:rPr>
              <w:t>p</w:t>
            </w:r>
            <w:r w:rsidRPr="004663E6">
              <w:rPr>
                <w:rFonts w:ascii="Arial Narrow" w:eastAsia="TimesNewRoman" w:hAnsi="Arial Narrow" w:cstheme="minorHAnsi"/>
                <w:color w:val="000000"/>
                <w:sz w:val="20"/>
                <w:szCs w:val="20"/>
              </w:rPr>
              <w:t>rospective, open-label, multicenter randomized Phase III trial to compare the ef</w:t>
            </w:r>
            <w:r>
              <w:rPr>
                <w:rFonts w:ascii="Arial Narrow" w:eastAsia="TimesNewRoman" w:hAnsi="Arial Narrow" w:cstheme="minorHAnsi"/>
                <w:color w:val="000000"/>
                <w:sz w:val="20"/>
                <w:szCs w:val="20"/>
              </w:rPr>
              <w:t xml:space="preserve">ficacy and safety of a combined </w:t>
            </w:r>
            <w:r w:rsidRPr="00381C6C">
              <w:rPr>
                <w:rFonts w:ascii="Arial Narrow" w:eastAsia="TimesNewRoman" w:hAnsi="Arial Narrow" w:cstheme="minorHAnsi"/>
                <w:color w:val="000000"/>
                <w:sz w:val="20"/>
                <w:szCs w:val="20"/>
              </w:rPr>
              <w:t>regimen of obinutuzumab and venetoclax (GDC-0199/ABT 199) versus obinutuzumab and chlorambucil in previously untreated patients with CLL and coexisting medical conditions</w:t>
            </w:r>
          </w:p>
        </w:tc>
        <w:tc>
          <w:tcPr>
            <w:tcW w:w="1402" w:type="pct"/>
            <w:tcBorders>
              <w:bottom w:val="nil"/>
            </w:tcBorders>
          </w:tcPr>
          <w:p w:rsidR="00C16EFA" w:rsidRPr="004663E6" w:rsidRDefault="00C16EFA" w:rsidP="00DB37E6">
            <w:pPr>
              <w:pStyle w:val="TableText"/>
            </w:pPr>
            <w:r w:rsidRPr="004663E6">
              <w:t>February 2019</w:t>
            </w:r>
          </w:p>
        </w:tc>
      </w:tr>
      <w:tr w:rsidR="00C16EFA" w:rsidRPr="00CB38A8" w:rsidTr="00DB37E6">
        <w:trPr>
          <w:cantSplit/>
        </w:trPr>
        <w:tc>
          <w:tcPr>
            <w:tcW w:w="795" w:type="pct"/>
            <w:vMerge/>
          </w:tcPr>
          <w:p w:rsidR="00C16EFA" w:rsidRPr="00CB38A8" w:rsidRDefault="00C16EFA" w:rsidP="00DB37E6">
            <w:pPr>
              <w:pStyle w:val="TableText"/>
            </w:pPr>
          </w:p>
        </w:tc>
        <w:tc>
          <w:tcPr>
            <w:tcW w:w="2803" w:type="pct"/>
            <w:tcBorders>
              <w:top w:val="nil"/>
              <w:bottom w:val="nil"/>
            </w:tcBorders>
          </w:tcPr>
          <w:p w:rsidR="00C16EFA" w:rsidRPr="004663E6" w:rsidRDefault="00C16EFA" w:rsidP="00DB37E6">
            <w:pPr>
              <w:pStyle w:val="TableText"/>
              <w:rPr>
                <w:rFonts w:eastAsia="TimesNewRoman" w:cstheme="minorHAnsi"/>
                <w:color w:val="000000"/>
                <w:szCs w:val="20"/>
              </w:rPr>
            </w:pPr>
            <w:r w:rsidRPr="004663E6">
              <w:rPr>
                <w:rFonts w:eastAsia="TimesNewRoman" w:cstheme="minorHAnsi"/>
                <w:color w:val="000000"/>
                <w:szCs w:val="20"/>
              </w:rPr>
              <w:t>Fischer K, Al-Sawaf O, Bahlo J, et al. Venetoclax and obinutuzumab in patients with CLL and coexisting conditions</w:t>
            </w:r>
          </w:p>
        </w:tc>
        <w:tc>
          <w:tcPr>
            <w:tcW w:w="1402" w:type="pct"/>
            <w:tcBorders>
              <w:top w:val="nil"/>
              <w:bottom w:val="nil"/>
            </w:tcBorders>
          </w:tcPr>
          <w:p w:rsidR="00C16EFA" w:rsidRPr="004663E6" w:rsidRDefault="00C16EFA" w:rsidP="00DB37E6">
            <w:pPr>
              <w:pStyle w:val="TableText"/>
            </w:pPr>
            <w:r w:rsidRPr="004663E6">
              <w:rPr>
                <w:i/>
              </w:rPr>
              <w:t>New England Journal of Medicine</w:t>
            </w:r>
            <w:r w:rsidRPr="004663E6">
              <w:t xml:space="preserve"> 2019; 380(23): 2225-2236 </w:t>
            </w:r>
          </w:p>
        </w:tc>
      </w:tr>
      <w:tr w:rsidR="00C16EFA" w:rsidRPr="00CB38A8" w:rsidTr="006006C3">
        <w:trPr>
          <w:cantSplit/>
        </w:trPr>
        <w:tc>
          <w:tcPr>
            <w:tcW w:w="795" w:type="pct"/>
            <w:vMerge/>
            <w:tcBorders>
              <w:bottom w:val="single" w:sz="4" w:space="0" w:color="auto"/>
            </w:tcBorders>
          </w:tcPr>
          <w:p w:rsidR="00C16EFA" w:rsidRPr="00CB38A8" w:rsidRDefault="00C16EFA" w:rsidP="00DB37E6">
            <w:pPr>
              <w:pStyle w:val="TableText"/>
            </w:pPr>
          </w:p>
        </w:tc>
        <w:tc>
          <w:tcPr>
            <w:tcW w:w="2803" w:type="pct"/>
            <w:tcBorders>
              <w:top w:val="nil"/>
              <w:bottom w:val="single" w:sz="4" w:space="0" w:color="auto"/>
            </w:tcBorders>
          </w:tcPr>
          <w:p w:rsidR="00C16EFA" w:rsidRPr="004663E6" w:rsidRDefault="00C16EFA" w:rsidP="00DB37E6">
            <w:pPr>
              <w:pStyle w:val="TableText"/>
              <w:rPr>
                <w:rFonts w:eastAsia="TimesNewRoman" w:cstheme="minorHAnsi"/>
                <w:color w:val="000000"/>
                <w:szCs w:val="20"/>
              </w:rPr>
            </w:pPr>
            <w:r w:rsidRPr="004663E6">
              <w:rPr>
                <w:rFonts w:eastAsia="TimesNewRoman" w:cstheme="minorHAnsi"/>
                <w:color w:val="000000"/>
                <w:szCs w:val="20"/>
              </w:rPr>
              <w:t>Fischer K, Al-Sawaf O, Bahlo J, et al</w:t>
            </w:r>
            <w:r>
              <w:rPr>
                <w:rFonts w:eastAsia="TimesNewRoman" w:cstheme="minorHAnsi"/>
                <w:color w:val="000000"/>
                <w:szCs w:val="20"/>
              </w:rPr>
              <w:t>.</w:t>
            </w:r>
            <w:r w:rsidRPr="004663E6">
              <w:rPr>
                <w:rFonts w:eastAsia="TimesNewRoman"/>
                <w:color w:val="000000"/>
                <w:szCs w:val="20"/>
              </w:rPr>
              <w:t xml:space="preserve"> </w:t>
            </w:r>
            <w:r w:rsidRPr="004663E6">
              <w:rPr>
                <w:rFonts w:eastAsia="TimesNewRoman" w:cstheme="minorHAnsi"/>
                <w:color w:val="000000"/>
                <w:szCs w:val="20"/>
              </w:rPr>
              <w:t xml:space="preserve">Effect of fixed-duration venetoclax plus obinutuzumab (VTX+Obi) on </w:t>
            </w:r>
            <w:r w:rsidR="00875115">
              <w:rPr>
                <w:rFonts w:eastAsia="TimesNewRoman" w:cstheme="minorHAnsi"/>
                <w:color w:val="000000"/>
                <w:szCs w:val="20"/>
              </w:rPr>
              <w:t>progression free</w:t>
            </w:r>
            <w:r w:rsidRPr="004663E6">
              <w:rPr>
                <w:rFonts w:eastAsia="TimesNewRoman" w:cstheme="minorHAnsi"/>
                <w:color w:val="000000"/>
                <w:szCs w:val="20"/>
              </w:rPr>
              <w:t xml:space="preserve"> survival (PFS), and rates and duration of minimal residual disease negativity (MRD–) in previously untreated patients (pts) with chronic lymphocytic le</w:t>
            </w:r>
            <w:r>
              <w:rPr>
                <w:rFonts w:eastAsia="TimesNewRoman" w:cstheme="minorHAnsi"/>
                <w:color w:val="000000"/>
                <w:szCs w:val="20"/>
              </w:rPr>
              <w:t>ukemia (CLL) and comorbidities</w:t>
            </w:r>
          </w:p>
        </w:tc>
        <w:tc>
          <w:tcPr>
            <w:tcW w:w="1402" w:type="pct"/>
            <w:tcBorders>
              <w:top w:val="nil"/>
              <w:bottom w:val="single" w:sz="4" w:space="0" w:color="auto"/>
            </w:tcBorders>
          </w:tcPr>
          <w:p w:rsidR="00C16EFA" w:rsidRPr="004663E6" w:rsidRDefault="00C16EFA" w:rsidP="00DB37E6">
            <w:pPr>
              <w:pStyle w:val="TableText"/>
              <w:rPr>
                <w:i/>
                <w:lang w:val="en-US"/>
              </w:rPr>
            </w:pPr>
            <w:r w:rsidRPr="004663E6">
              <w:rPr>
                <w:i/>
              </w:rPr>
              <w:t>Journal of Clinical Oncology</w:t>
            </w:r>
            <w:r w:rsidRPr="004663E6">
              <w:t xml:space="preserve"> 2019; 37:abstract 7502</w:t>
            </w:r>
          </w:p>
        </w:tc>
      </w:tr>
    </w:tbl>
    <w:p w:rsidR="00C16EFA" w:rsidRPr="00B1011F" w:rsidRDefault="00C16EFA" w:rsidP="00C16EFA">
      <w:pPr>
        <w:pStyle w:val="TableFigureFooter"/>
        <w:rPr>
          <w:sz w:val="20"/>
        </w:rPr>
      </w:pPr>
      <w:r>
        <w:t>Source: Table 17, pp.27-28 of the submission</w:t>
      </w:r>
    </w:p>
    <w:p w:rsidR="00C16EFA" w:rsidRPr="006C046A" w:rsidRDefault="00C16EFA" w:rsidP="00C16EFA">
      <w:pPr>
        <w:pStyle w:val="ExecSumBodyText"/>
        <w:rPr>
          <w:color w:val="0066FF"/>
        </w:rPr>
      </w:pPr>
      <w:r w:rsidRPr="00B50DB8">
        <w:t xml:space="preserve">The key features of the </w:t>
      </w:r>
      <w:r w:rsidR="00A6393E">
        <w:t xml:space="preserve">CLL-14 </w:t>
      </w:r>
      <w:r>
        <w:t>randomised trial</w:t>
      </w:r>
      <w:r w:rsidRPr="00B50DB8">
        <w:t xml:space="preserve"> are summarised in the table below.</w:t>
      </w:r>
      <w:r>
        <w:t xml:space="preserve"> </w:t>
      </w:r>
    </w:p>
    <w:p w:rsidR="00C16EFA" w:rsidRPr="00EC5836" w:rsidRDefault="00C16EFA" w:rsidP="00C16EFA">
      <w:pPr>
        <w:pStyle w:val="TableFigureCaption"/>
      </w:pPr>
      <w:r>
        <w:t>Table 3</w:t>
      </w:r>
      <w:r w:rsidRPr="00EC583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66"/>
        <w:gridCol w:w="1702"/>
        <w:gridCol w:w="851"/>
        <w:gridCol w:w="1984"/>
        <w:gridCol w:w="1701"/>
        <w:gridCol w:w="1084"/>
      </w:tblGrid>
      <w:tr w:rsidR="00C16EFA" w:rsidRPr="00B41614" w:rsidTr="00DB37E6">
        <w:trPr>
          <w:cantSplit/>
          <w:tblHeader/>
        </w:trPr>
        <w:tc>
          <w:tcPr>
            <w:tcW w:w="626" w:type="pct"/>
            <w:shd w:val="clear" w:color="auto" w:fill="auto"/>
            <w:vAlign w:val="center"/>
          </w:tcPr>
          <w:p w:rsidR="00C16EFA" w:rsidRPr="00B41614" w:rsidRDefault="00C16EFA" w:rsidP="00DB37E6">
            <w:pPr>
              <w:pStyle w:val="Tableheadingrow"/>
            </w:pPr>
            <w:r w:rsidRPr="00B41614">
              <w:t>Trial</w:t>
            </w:r>
          </w:p>
        </w:tc>
        <w:tc>
          <w:tcPr>
            <w:tcW w:w="314" w:type="pct"/>
            <w:shd w:val="clear" w:color="auto" w:fill="auto"/>
            <w:vAlign w:val="center"/>
          </w:tcPr>
          <w:p w:rsidR="00C16EFA" w:rsidRPr="00B41614" w:rsidRDefault="00C16EFA" w:rsidP="00DB37E6">
            <w:pPr>
              <w:pStyle w:val="Tableheadingrow"/>
              <w:ind w:left="15" w:right="29"/>
              <w:jc w:val="center"/>
            </w:pPr>
            <w:r w:rsidRPr="00B41614">
              <w:t>N</w:t>
            </w:r>
          </w:p>
        </w:tc>
        <w:tc>
          <w:tcPr>
            <w:tcW w:w="944" w:type="pct"/>
            <w:shd w:val="clear" w:color="auto" w:fill="auto"/>
            <w:vAlign w:val="center"/>
          </w:tcPr>
          <w:p w:rsidR="00C16EFA" w:rsidRPr="00B41614" w:rsidRDefault="00C16EFA" w:rsidP="00DB37E6">
            <w:pPr>
              <w:pStyle w:val="Tableheadingrow"/>
              <w:jc w:val="center"/>
            </w:pPr>
            <w:r w:rsidRPr="00B41614">
              <w:t>Design/ duration</w:t>
            </w:r>
          </w:p>
        </w:tc>
        <w:tc>
          <w:tcPr>
            <w:tcW w:w="472" w:type="pct"/>
            <w:shd w:val="clear" w:color="auto" w:fill="auto"/>
            <w:vAlign w:val="center"/>
          </w:tcPr>
          <w:p w:rsidR="00C16EFA" w:rsidRPr="00B41614" w:rsidRDefault="00C16EFA" w:rsidP="00DB37E6">
            <w:pPr>
              <w:pStyle w:val="Tableheadingrow"/>
              <w:jc w:val="center"/>
            </w:pPr>
            <w:r w:rsidRPr="00B41614">
              <w:t>Risk of bias</w:t>
            </w:r>
          </w:p>
        </w:tc>
        <w:tc>
          <w:tcPr>
            <w:tcW w:w="1100" w:type="pct"/>
            <w:shd w:val="clear" w:color="auto" w:fill="auto"/>
            <w:vAlign w:val="center"/>
          </w:tcPr>
          <w:p w:rsidR="00C16EFA" w:rsidRPr="00B41614" w:rsidRDefault="00C16EFA" w:rsidP="00DB37E6">
            <w:pPr>
              <w:pStyle w:val="Tableheadingrow"/>
              <w:jc w:val="center"/>
            </w:pPr>
            <w:r w:rsidRPr="00B41614">
              <w:t>Patient population</w:t>
            </w:r>
          </w:p>
        </w:tc>
        <w:tc>
          <w:tcPr>
            <w:tcW w:w="943" w:type="pct"/>
            <w:shd w:val="clear" w:color="auto" w:fill="auto"/>
            <w:vAlign w:val="center"/>
          </w:tcPr>
          <w:p w:rsidR="00C16EFA" w:rsidRPr="00B41614" w:rsidRDefault="00C16EFA" w:rsidP="00DB37E6">
            <w:pPr>
              <w:pStyle w:val="Tableheadingrow"/>
              <w:jc w:val="center"/>
            </w:pPr>
            <w:r>
              <w:t>Outcomes</w:t>
            </w:r>
          </w:p>
        </w:tc>
        <w:tc>
          <w:tcPr>
            <w:tcW w:w="601" w:type="pct"/>
            <w:shd w:val="clear" w:color="auto" w:fill="auto"/>
            <w:vAlign w:val="center"/>
          </w:tcPr>
          <w:p w:rsidR="00C16EFA" w:rsidRPr="00B41614" w:rsidRDefault="00C16EFA" w:rsidP="00DB37E6">
            <w:pPr>
              <w:pStyle w:val="Tableheadingrow"/>
              <w:jc w:val="center"/>
            </w:pPr>
            <w:r w:rsidRPr="00B41614">
              <w:t>Use in modelled evaluation</w:t>
            </w:r>
          </w:p>
        </w:tc>
      </w:tr>
      <w:tr w:rsidR="00C16EFA" w:rsidRPr="00E2771E" w:rsidTr="00DB37E6">
        <w:trPr>
          <w:cantSplit/>
        </w:trPr>
        <w:tc>
          <w:tcPr>
            <w:tcW w:w="5000" w:type="pct"/>
            <w:gridSpan w:val="7"/>
            <w:shd w:val="clear" w:color="auto" w:fill="auto"/>
            <w:vAlign w:val="center"/>
          </w:tcPr>
          <w:p w:rsidR="00C16EFA" w:rsidRPr="00EC5836" w:rsidRDefault="00C16EFA" w:rsidP="00DB37E6">
            <w:pPr>
              <w:pStyle w:val="Tableheadingrow"/>
              <w:ind w:left="15" w:right="29"/>
            </w:pPr>
            <w:r>
              <w:t>Venetoclax + obinutuzumab versus chlorambucil + obinutuzumab</w:t>
            </w:r>
          </w:p>
        </w:tc>
      </w:tr>
      <w:tr w:rsidR="00C16EFA" w:rsidRPr="00E2771E" w:rsidTr="00DB37E6">
        <w:trPr>
          <w:cantSplit/>
          <w:trHeight w:val="912"/>
        </w:trPr>
        <w:tc>
          <w:tcPr>
            <w:tcW w:w="626" w:type="pct"/>
            <w:shd w:val="clear" w:color="auto" w:fill="auto"/>
            <w:vAlign w:val="center"/>
          </w:tcPr>
          <w:p w:rsidR="00C16EFA" w:rsidRPr="00E2771E" w:rsidRDefault="00C16EFA" w:rsidP="00DB37E6">
            <w:pPr>
              <w:pStyle w:val="TableText"/>
              <w:rPr>
                <w:lang w:val="en-US"/>
              </w:rPr>
            </w:pPr>
            <w:r>
              <w:rPr>
                <w:lang w:val="en-US"/>
              </w:rPr>
              <w:t>CLL-14</w:t>
            </w:r>
          </w:p>
        </w:tc>
        <w:tc>
          <w:tcPr>
            <w:tcW w:w="314" w:type="pct"/>
            <w:shd w:val="clear" w:color="auto" w:fill="auto"/>
            <w:vAlign w:val="center"/>
          </w:tcPr>
          <w:p w:rsidR="00C16EFA" w:rsidRPr="00E2771E" w:rsidRDefault="00C16EFA" w:rsidP="00DB37E6">
            <w:pPr>
              <w:pStyle w:val="TableText"/>
              <w:ind w:right="29"/>
              <w:jc w:val="center"/>
              <w:rPr>
                <w:lang w:val="en-US"/>
              </w:rPr>
            </w:pPr>
            <w:r>
              <w:rPr>
                <w:lang w:val="en-US"/>
              </w:rPr>
              <w:t>432</w:t>
            </w:r>
          </w:p>
        </w:tc>
        <w:tc>
          <w:tcPr>
            <w:tcW w:w="944" w:type="pct"/>
            <w:shd w:val="clear" w:color="auto" w:fill="auto"/>
            <w:vAlign w:val="center"/>
          </w:tcPr>
          <w:p w:rsidR="00C16EFA" w:rsidRDefault="00C16EFA" w:rsidP="00DB37E6">
            <w:pPr>
              <w:pStyle w:val="TableText"/>
              <w:jc w:val="center"/>
              <w:rPr>
                <w:lang w:val="en-US"/>
              </w:rPr>
            </w:pPr>
            <w:r>
              <w:rPr>
                <w:lang w:val="en-US"/>
              </w:rPr>
              <w:t xml:space="preserve">R, OL, MC, </w:t>
            </w:r>
          </w:p>
          <w:p w:rsidR="00C16EFA" w:rsidRDefault="00C16EFA" w:rsidP="00DB37E6">
            <w:pPr>
              <w:pStyle w:val="TableText"/>
              <w:jc w:val="center"/>
              <w:rPr>
                <w:lang w:val="en-US"/>
              </w:rPr>
            </w:pPr>
            <w:r>
              <w:rPr>
                <w:lang w:val="en-US"/>
              </w:rPr>
              <w:t xml:space="preserve">Phase III </w:t>
            </w:r>
          </w:p>
          <w:p w:rsidR="00C16EFA" w:rsidRPr="00E2771E" w:rsidRDefault="00C16EFA" w:rsidP="0031477B">
            <w:pPr>
              <w:pStyle w:val="TableText"/>
              <w:jc w:val="center"/>
              <w:rPr>
                <w:lang w:val="en-US"/>
              </w:rPr>
            </w:pPr>
            <w:r>
              <w:rPr>
                <w:lang w:val="en-US"/>
              </w:rPr>
              <w:t xml:space="preserve">(median  follow-up </w:t>
            </w:r>
            <w:r w:rsidR="0031477B">
              <w:rPr>
                <w:lang w:val="en-US"/>
              </w:rPr>
              <w:t>29.06</w:t>
            </w:r>
            <w:r w:rsidR="00C23EF9">
              <w:rPr>
                <w:lang w:val="en-US"/>
              </w:rPr>
              <w:t xml:space="preserve"> </w:t>
            </w:r>
            <w:r>
              <w:rPr>
                <w:lang w:val="en-US"/>
              </w:rPr>
              <w:t>months</w:t>
            </w:r>
            <w:r w:rsidR="000F56E5" w:rsidRPr="000F56E5">
              <w:rPr>
                <w:vertAlign w:val="superscript"/>
                <w:lang w:val="en-US"/>
              </w:rPr>
              <w:t>a</w:t>
            </w:r>
            <w:r>
              <w:rPr>
                <w:lang w:val="en-US"/>
              </w:rPr>
              <w:t>)</w:t>
            </w:r>
          </w:p>
        </w:tc>
        <w:tc>
          <w:tcPr>
            <w:tcW w:w="472" w:type="pct"/>
            <w:shd w:val="clear" w:color="auto" w:fill="auto"/>
            <w:vAlign w:val="center"/>
          </w:tcPr>
          <w:p w:rsidR="00C16EFA" w:rsidRPr="00F81EC0" w:rsidRDefault="00C16EFA" w:rsidP="00DB37E6">
            <w:pPr>
              <w:pStyle w:val="TableText"/>
              <w:jc w:val="center"/>
              <w:rPr>
                <w:lang w:val="en-US"/>
              </w:rPr>
            </w:pPr>
            <w:r w:rsidRPr="00F81EC0">
              <w:rPr>
                <w:lang w:val="en-US"/>
              </w:rPr>
              <w:t>Unclear</w:t>
            </w:r>
          </w:p>
        </w:tc>
        <w:tc>
          <w:tcPr>
            <w:tcW w:w="1100" w:type="pct"/>
            <w:shd w:val="clear" w:color="auto" w:fill="auto"/>
            <w:vAlign w:val="center"/>
          </w:tcPr>
          <w:p w:rsidR="00C16EFA" w:rsidRDefault="00C16EFA" w:rsidP="00DB37E6">
            <w:pPr>
              <w:pStyle w:val="TableText"/>
              <w:jc w:val="center"/>
              <w:rPr>
                <w:lang w:val="en-US"/>
              </w:rPr>
            </w:pPr>
            <w:r w:rsidRPr="00432101">
              <w:rPr>
                <w:lang w:val="en-US"/>
              </w:rPr>
              <w:t xml:space="preserve">Previously untreated </w:t>
            </w:r>
            <w:r>
              <w:rPr>
                <w:lang w:val="en-US"/>
              </w:rPr>
              <w:t xml:space="preserve">adults with </w:t>
            </w:r>
            <w:r w:rsidRPr="00432101">
              <w:rPr>
                <w:lang w:val="en-US"/>
              </w:rPr>
              <w:t>CLL</w:t>
            </w:r>
            <w:r>
              <w:rPr>
                <w:lang w:val="en-US"/>
              </w:rPr>
              <w:t>;</w:t>
            </w:r>
            <w:r w:rsidRPr="00432101">
              <w:rPr>
                <w:lang w:val="en-US"/>
              </w:rPr>
              <w:t xml:space="preserve"> </w:t>
            </w:r>
            <w:r>
              <w:rPr>
                <w:lang w:val="en-US"/>
              </w:rPr>
              <w:t xml:space="preserve">and </w:t>
            </w:r>
          </w:p>
          <w:p w:rsidR="00C16EFA" w:rsidRDefault="00C16EFA" w:rsidP="00DB37E6">
            <w:pPr>
              <w:pStyle w:val="TableText"/>
              <w:jc w:val="center"/>
              <w:rPr>
                <w:lang w:val="en-US"/>
              </w:rPr>
            </w:pPr>
            <w:r w:rsidRPr="00432101">
              <w:rPr>
                <w:lang w:val="en-US"/>
              </w:rPr>
              <w:t xml:space="preserve">CIRS score </w:t>
            </w:r>
            <w:r>
              <w:rPr>
                <w:lang w:val="en-US"/>
              </w:rPr>
              <w:t xml:space="preserve"> </w:t>
            </w:r>
            <w:r w:rsidRPr="00432101">
              <w:rPr>
                <w:lang w:val="en-US"/>
              </w:rPr>
              <w:t>&gt;</w:t>
            </w:r>
            <w:r>
              <w:rPr>
                <w:lang w:val="en-US"/>
              </w:rPr>
              <w:t> </w:t>
            </w:r>
            <w:r w:rsidRPr="00432101">
              <w:rPr>
                <w:lang w:val="en-US"/>
              </w:rPr>
              <w:t xml:space="preserve">6 or </w:t>
            </w:r>
          </w:p>
          <w:p w:rsidR="00C16EFA" w:rsidRPr="00E2771E" w:rsidRDefault="00C16EFA" w:rsidP="00DB37E6">
            <w:pPr>
              <w:pStyle w:val="TableText"/>
              <w:jc w:val="center"/>
              <w:rPr>
                <w:lang w:val="en-US"/>
              </w:rPr>
            </w:pPr>
            <w:r w:rsidRPr="00432101">
              <w:rPr>
                <w:lang w:val="en-US"/>
              </w:rPr>
              <w:t>CrCL &lt;</w:t>
            </w:r>
            <w:r>
              <w:rPr>
                <w:lang w:val="en-US"/>
              </w:rPr>
              <w:t> </w:t>
            </w:r>
            <w:r w:rsidRPr="00432101">
              <w:rPr>
                <w:lang w:val="en-US"/>
              </w:rPr>
              <w:t>70</w:t>
            </w:r>
            <w:r w:rsidR="00581E67">
              <w:rPr>
                <w:lang w:val="en-US"/>
              </w:rPr>
              <w:t xml:space="preserve"> </w:t>
            </w:r>
            <w:r w:rsidRPr="00432101">
              <w:rPr>
                <w:lang w:val="en-US"/>
              </w:rPr>
              <w:t>mL/min</w:t>
            </w:r>
          </w:p>
        </w:tc>
        <w:tc>
          <w:tcPr>
            <w:tcW w:w="943" w:type="pct"/>
            <w:shd w:val="clear" w:color="auto" w:fill="auto"/>
            <w:vAlign w:val="center"/>
          </w:tcPr>
          <w:p w:rsidR="00C16EFA" w:rsidRDefault="00C16EFA" w:rsidP="00DB37E6">
            <w:pPr>
              <w:pStyle w:val="Tabletext0"/>
              <w:jc w:val="center"/>
              <w:rPr>
                <w:lang w:val="en-US"/>
              </w:rPr>
            </w:pPr>
            <w:r>
              <w:rPr>
                <w:lang w:val="en-US"/>
              </w:rPr>
              <w:t>Primary</w:t>
            </w:r>
          </w:p>
          <w:p w:rsidR="00C16EFA" w:rsidRPr="006C046A" w:rsidRDefault="00C16EFA" w:rsidP="00DB37E6">
            <w:pPr>
              <w:pStyle w:val="Tabletext0"/>
              <w:jc w:val="center"/>
              <w:rPr>
                <w:vertAlign w:val="superscript"/>
                <w:lang w:val="en-US"/>
              </w:rPr>
            </w:pPr>
            <w:r>
              <w:rPr>
                <w:lang w:val="en-US"/>
              </w:rPr>
              <w:t>PFS (INV),</w:t>
            </w:r>
            <w:r w:rsidR="000F56E5">
              <w:rPr>
                <w:vertAlign w:val="superscript"/>
                <w:lang w:val="en-US"/>
              </w:rPr>
              <w:t>b</w:t>
            </w:r>
          </w:p>
          <w:p w:rsidR="00C16EFA" w:rsidRDefault="00C16EFA" w:rsidP="00DB37E6">
            <w:pPr>
              <w:pStyle w:val="TableText"/>
              <w:jc w:val="center"/>
              <w:rPr>
                <w:lang w:val="en-US"/>
              </w:rPr>
            </w:pPr>
            <w:r>
              <w:rPr>
                <w:lang w:val="en-US"/>
              </w:rPr>
              <w:t xml:space="preserve">Secondary </w:t>
            </w:r>
          </w:p>
          <w:p w:rsidR="00C16EFA" w:rsidRPr="00E2771E" w:rsidRDefault="00C16EFA" w:rsidP="00DB37E6">
            <w:pPr>
              <w:pStyle w:val="TableText"/>
              <w:jc w:val="center"/>
              <w:rPr>
                <w:lang w:val="en-US"/>
              </w:rPr>
            </w:pPr>
            <w:r>
              <w:rPr>
                <w:lang w:val="en-US"/>
              </w:rPr>
              <w:t xml:space="preserve">PFS (IRC), OS, TTNT, MRD negativity, ORR, CR, QoL, </w:t>
            </w:r>
          </w:p>
        </w:tc>
        <w:tc>
          <w:tcPr>
            <w:tcW w:w="601" w:type="pct"/>
            <w:shd w:val="clear" w:color="auto" w:fill="auto"/>
            <w:vAlign w:val="center"/>
          </w:tcPr>
          <w:p w:rsidR="00C16EFA" w:rsidRPr="00E2771E" w:rsidRDefault="00C16EFA" w:rsidP="00DB37E6">
            <w:pPr>
              <w:pStyle w:val="TableText"/>
              <w:jc w:val="center"/>
              <w:rPr>
                <w:lang w:val="en-US"/>
              </w:rPr>
            </w:pPr>
            <w:r>
              <w:rPr>
                <w:lang w:val="en-US"/>
              </w:rPr>
              <w:t>INV assessed PFS, OS, TTNT</w:t>
            </w:r>
          </w:p>
        </w:tc>
      </w:tr>
    </w:tbl>
    <w:p w:rsidR="00C16EFA" w:rsidRDefault="00C16EFA" w:rsidP="00C16EFA">
      <w:pPr>
        <w:pStyle w:val="TableFigureFooter"/>
      </w:pPr>
      <w:r>
        <w:t xml:space="preserve">Source: Table 19, p.31 of the submission; Table 4, Attachment 4 to the submission </w:t>
      </w:r>
    </w:p>
    <w:p w:rsidR="00C16EFA" w:rsidRDefault="00C16EFA" w:rsidP="00C16EFA">
      <w:pPr>
        <w:pStyle w:val="TableFigureFooter"/>
      </w:pPr>
      <w:r>
        <w:t xml:space="preserve">Abbreviations: CCL, chronic lymphocytic leukaemia; </w:t>
      </w:r>
      <w:r>
        <w:rPr>
          <w:szCs w:val="18"/>
        </w:rPr>
        <w:t xml:space="preserve">CIRS, </w:t>
      </w:r>
      <w:r w:rsidRPr="009C69EB">
        <w:rPr>
          <w:szCs w:val="18"/>
        </w:rPr>
        <w:t>cumulative illness rating scale</w:t>
      </w:r>
      <w:r>
        <w:rPr>
          <w:szCs w:val="18"/>
        </w:rPr>
        <w:t>;</w:t>
      </w:r>
      <w:r>
        <w:t xml:space="preserve"> CR, complete response; CrCl, creatinine clearance; INV, investigator; IRC, independent review committee; </w:t>
      </w:r>
      <w:r w:rsidRPr="0072416F">
        <w:t>MC</w:t>
      </w:r>
      <w:r>
        <w:t xml:space="preserve">, </w:t>
      </w:r>
      <w:r w:rsidRPr="0072416F">
        <w:t xml:space="preserve">multi-centre; </w:t>
      </w:r>
      <w:r>
        <w:t xml:space="preserve">MRD, minimal residual disease; </w:t>
      </w:r>
      <w:r w:rsidRPr="0072416F">
        <w:t>OL</w:t>
      </w:r>
      <w:r>
        <w:t xml:space="preserve">, </w:t>
      </w:r>
      <w:r w:rsidRPr="0072416F">
        <w:t xml:space="preserve">open label; </w:t>
      </w:r>
      <w:r>
        <w:t xml:space="preserve">ORR, overall response rate; </w:t>
      </w:r>
      <w:r w:rsidRPr="0072416F">
        <w:t>OS</w:t>
      </w:r>
      <w:r>
        <w:t xml:space="preserve">, </w:t>
      </w:r>
      <w:r w:rsidRPr="0072416F">
        <w:t>overall survival; PFS</w:t>
      </w:r>
      <w:r>
        <w:t xml:space="preserve">, </w:t>
      </w:r>
      <w:r w:rsidR="00875115">
        <w:t>progression free</w:t>
      </w:r>
      <w:r w:rsidRPr="0072416F">
        <w:t xml:space="preserve"> survival; </w:t>
      </w:r>
      <w:r>
        <w:t xml:space="preserve">QoL, quality of life; </w:t>
      </w:r>
      <w:r w:rsidRPr="0072416F">
        <w:t>R</w:t>
      </w:r>
      <w:r>
        <w:t>, randomised; SLL, small lymphocytic lymphoma; TTNT, time to next anti-CLL treatment</w:t>
      </w:r>
    </w:p>
    <w:p w:rsidR="000F56E5" w:rsidRDefault="00C16EFA" w:rsidP="00C16EFA">
      <w:pPr>
        <w:pStyle w:val="TableFigureFooter"/>
      </w:pPr>
      <w:r>
        <w:rPr>
          <w:vertAlign w:val="superscript"/>
        </w:rPr>
        <w:t>a</w:t>
      </w:r>
      <w:r>
        <w:t xml:space="preserve"> </w:t>
      </w:r>
      <w:r w:rsidR="000F56E5">
        <w:t>Median follow-up ITT population = 29.06 months; venetoclax + obinutuzumab = 28.79 months; chlorambucil + obinutuzumab = 29.24 months</w:t>
      </w:r>
    </w:p>
    <w:p w:rsidR="00C16EFA" w:rsidRPr="006C046A" w:rsidRDefault="000F56E5" w:rsidP="00C16EFA">
      <w:pPr>
        <w:pStyle w:val="TableFigureFooter"/>
        <w:rPr>
          <w:sz w:val="20"/>
        </w:rPr>
      </w:pPr>
      <w:r w:rsidRPr="000F56E5">
        <w:rPr>
          <w:vertAlign w:val="superscript"/>
        </w:rPr>
        <w:t>b</w:t>
      </w:r>
      <w:r>
        <w:t xml:space="preserve"> </w:t>
      </w:r>
      <w:r w:rsidR="00C16EFA">
        <w:t>Investigator assessed PFS (unblinded) was the pre-specified primary outcome of CLL-14, but IRC assessed PFS was nominated as the primary outcome for the US Federal and Drug Administration regulatory review</w:t>
      </w:r>
    </w:p>
    <w:p w:rsidR="00C16EFA" w:rsidRPr="003124D8" w:rsidRDefault="00943437" w:rsidP="00C16EFA">
      <w:pPr>
        <w:pStyle w:val="ExecSumBodyText"/>
        <w:rPr>
          <w:color w:val="0066FF"/>
        </w:rPr>
      </w:pPr>
      <w:r>
        <w:t>The PBAC agreed with t</w:t>
      </w:r>
      <w:r w:rsidR="003A6093" w:rsidRPr="003124D8">
        <w:t>he ESC</w:t>
      </w:r>
      <w:r>
        <w:t xml:space="preserve"> and</w:t>
      </w:r>
      <w:r w:rsidR="003A6093" w:rsidRPr="003124D8">
        <w:t xml:space="preserve"> </w:t>
      </w:r>
      <w:r w:rsidR="00930F73" w:rsidRPr="003124D8">
        <w:t>considered</w:t>
      </w:r>
      <w:r w:rsidR="003A6093" w:rsidRPr="003124D8">
        <w:t xml:space="preserve"> that </w:t>
      </w:r>
      <w:r w:rsidR="00F81EC0" w:rsidRPr="003124D8">
        <w:t xml:space="preserve">the </w:t>
      </w:r>
      <w:r w:rsidR="003A6093" w:rsidRPr="003124D8">
        <w:t>u</w:t>
      </w:r>
      <w:r w:rsidR="00C16EFA" w:rsidRPr="003124D8">
        <w:t xml:space="preserve">se of unblinded investigator assessed outcomes in the CLL-14 trial was associated with a high risk of bias </w:t>
      </w:r>
      <w:r w:rsidR="00C15AE1" w:rsidRPr="003124D8">
        <w:t xml:space="preserve">in the primary and key secondary outcomes </w:t>
      </w:r>
      <w:r w:rsidR="00C16EFA" w:rsidRPr="003124D8">
        <w:t>(</w:t>
      </w:r>
      <w:r w:rsidR="001D2DC1">
        <w:t>PFS</w:t>
      </w:r>
      <w:r w:rsidR="00C16EFA" w:rsidRPr="003124D8">
        <w:t xml:space="preserve">, </w:t>
      </w:r>
      <w:r w:rsidR="001D2DC1">
        <w:t>TTNT</w:t>
      </w:r>
      <w:r w:rsidR="00C16EFA" w:rsidRPr="003124D8">
        <w:t xml:space="preserve">, response to treatment). </w:t>
      </w:r>
      <w:r>
        <w:t>However, the PBAC noted that although o</w:t>
      </w:r>
      <w:r w:rsidR="00C16EFA" w:rsidRPr="003124D8">
        <w:t>utcomes assessed by an independent review committee</w:t>
      </w:r>
      <w:r w:rsidR="007C05DC" w:rsidRPr="003124D8">
        <w:t xml:space="preserve"> (IRC)</w:t>
      </w:r>
      <w:r w:rsidR="00C16EFA" w:rsidRPr="003124D8">
        <w:t xml:space="preserve"> may be preferred</w:t>
      </w:r>
      <w:r w:rsidR="00C15AE1" w:rsidRPr="003124D8">
        <w:t xml:space="preserve">, </w:t>
      </w:r>
      <w:r>
        <w:t>they</w:t>
      </w:r>
      <w:r w:rsidR="00C15AE1" w:rsidRPr="003124D8">
        <w:t xml:space="preserve"> demonstrated </w:t>
      </w:r>
      <w:r w:rsidR="00E86484" w:rsidRPr="003124D8">
        <w:t xml:space="preserve">similar results </w:t>
      </w:r>
      <w:r w:rsidR="00C15AE1" w:rsidRPr="003124D8">
        <w:t xml:space="preserve">to investigator assessed </w:t>
      </w:r>
      <w:r w:rsidR="001D2DC1">
        <w:t>PFS</w:t>
      </w:r>
      <w:r w:rsidR="00C16EFA" w:rsidRPr="003124D8">
        <w:t xml:space="preserve">. In both </w:t>
      </w:r>
      <w:r w:rsidR="003217DC" w:rsidRPr="003124D8">
        <w:t>assessments</w:t>
      </w:r>
      <w:r w:rsidR="00C16EFA" w:rsidRPr="003124D8">
        <w:t xml:space="preserve">, knowledge of treatment allocation may have led to differences in management between treatment arms, </w:t>
      </w:r>
      <w:r w:rsidR="003217DC" w:rsidRPr="003124D8">
        <w:t xml:space="preserve">as well as </w:t>
      </w:r>
      <w:r w:rsidR="00C16EFA" w:rsidRPr="003124D8">
        <w:t>biased reporting of adverse events.</w:t>
      </w:r>
    </w:p>
    <w:p w:rsidR="00C16EFA" w:rsidRPr="003124D8" w:rsidRDefault="00D63DB3" w:rsidP="00C16EFA">
      <w:pPr>
        <w:pStyle w:val="ExecSumBodyText"/>
        <w:rPr>
          <w:color w:val="0066FF"/>
        </w:rPr>
      </w:pPr>
      <w:r w:rsidRPr="003124D8">
        <w:t>The ESC noted that i</w:t>
      </w:r>
      <w:r w:rsidR="00C16EFA" w:rsidRPr="003124D8">
        <w:t xml:space="preserve">n the CLL-14 trial, baseline characteristics were generally similar between treatment arms, except for the proportion of patients with a CIRS score </w:t>
      </w:r>
      <w:r w:rsidR="00C16EFA" w:rsidRPr="003124D8">
        <w:rPr>
          <w:rFonts w:cstheme="minorHAnsi"/>
        </w:rPr>
        <w:t>≤</w:t>
      </w:r>
      <w:r w:rsidR="00624E53" w:rsidRPr="003124D8">
        <w:rPr>
          <w:rFonts w:cstheme="minorHAnsi"/>
        </w:rPr>
        <w:t xml:space="preserve"> </w:t>
      </w:r>
      <w:r w:rsidR="00C16EFA" w:rsidRPr="003124D8">
        <w:t>6 at baseline (venetoclax  + obinutuzumab 13.9%; chlorambucil + obinutuzumab 18.1%)</w:t>
      </w:r>
      <w:r w:rsidRPr="003124D8">
        <w:t xml:space="preserve">, which suggested that </w:t>
      </w:r>
      <w:r w:rsidR="004D436E" w:rsidRPr="003124D8">
        <w:t xml:space="preserve">there were more </w:t>
      </w:r>
      <w:r w:rsidRPr="003124D8">
        <w:t xml:space="preserve">patients in the venetoclax + obinutuzumab arm </w:t>
      </w:r>
      <w:r w:rsidR="004D436E" w:rsidRPr="003124D8">
        <w:t>with a high number of</w:t>
      </w:r>
      <w:r w:rsidRPr="003124D8">
        <w:t xml:space="preserve"> comorbidities</w:t>
      </w:r>
      <w:r w:rsidR="00C16EFA" w:rsidRPr="003124D8">
        <w:t>.</w:t>
      </w:r>
    </w:p>
    <w:p w:rsidR="00B60939" w:rsidRPr="00C9624D" w:rsidRDefault="00B60939" w:rsidP="00EC5836">
      <w:pPr>
        <w:pStyle w:val="3-SubsectionHeading"/>
      </w:pPr>
      <w:bookmarkStart w:id="13" w:name="_Toc22897641"/>
      <w:bookmarkStart w:id="14" w:name="_Toc30502542"/>
      <w:r w:rsidRPr="00C9624D">
        <w:lastRenderedPageBreak/>
        <w:t>Comparative effectiveness</w:t>
      </w:r>
      <w:bookmarkEnd w:id="13"/>
      <w:bookmarkEnd w:id="14"/>
    </w:p>
    <w:p w:rsidR="00DB37E6" w:rsidRPr="000649A4" w:rsidRDefault="00DB37E6" w:rsidP="00DB37E6">
      <w:pPr>
        <w:pStyle w:val="4-SubsectSubhead"/>
        <w:rPr>
          <w:sz w:val="24"/>
        </w:rPr>
      </w:pPr>
      <w:r w:rsidRPr="000649A4">
        <w:rPr>
          <w:sz w:val="24"/>
        </w:rPr>
        <w:t>Direct comparison (venetoclax + obinutuzumab vs chlorambucil + obinutuzumab)</w:t>
      </w:r>
    </w:p>
    <w:p w:rsidR="00DB37E6" w:rsidRPr="007F7EA8" w:rsidRDefault="00DB37E6" w:rsidP="00DB37E6">
      <w:pPr>
        <w:pStyle w:val="ExecSumBodyText"/>
        <w:rPr>
          <w:snapToGrid/>
          <w:lang w:val="en-US"/>
        </w:rPr>
      </w:pPr>
      <w:r w:rsidRPr="007F7EA8">
        <w:rPr>
          <w:snapToGrid/>
          <w:lang w:val="en-US"/>
        </w:rPr>
        <w:t xml:space="preserve">The submission was based on CLL-14 trial data with a data cut-off date of </w:t>
      </w:r>
      <w:r>
        <w:rPr>
          <w:snapToGrid/>
          <w:lang w:val="en-US"/>
        </w:rPr>
        <w:t xml:space="preserve">17 </w:t>
      </w:r>
      <w:r w:rsidRPr="007F7EA8">
        <w:rPr>
          <w:snapToGrid/>
          <w:lang w:val="en-US"/>
        </w:rPr>
        <w:t>August 2018</w:t>
      </w:r>
      <w:r w:rsidR="00B6033C">
        <w:rPr>
          <w:snapToGrid/>
          <w:lang w:val="en-US"/>
        </w:rPr>
        <w:t xml:space="preserve"> (median follow-up of </w:t>
      </w:r>
      <w:r w:rsidR="000F56E5">
        <w:rPr>
          <w:snapToGrid/>
          <w:lang w:val="en-US"/>
        </w:rPr>
        <w:t>29.06</w:t>
      </w:r>
      <w:r w:rsidR="00B6033C">
        <w:rPr>
          <w:snapToGrid/>
          <w:lang w:val="en-US"/>
        </w:rPr>
        <w:t xml:space="preserve"> months)</w:t>
      </w:r>
      <w:r w:rsidRPr="007F7EA8">
        <w:rPr>
          <w:snapToGrid/>
          <w:lang w:val="en-US"/>
        </w:rPr>
        <w:t xml:space="preserve">. </w:t>
      </w:r>
      <w:r w:rsidRPr="009930A5">
        <w:rPr>
          <w:snapToGrid/>
          <w:lang w:val="en-US"/>
        </w:rPr>
        <w:t xml:space="preserve">The sponsor subsequently provided updated data for the CLL-14 trial </w:t>
      </w:r>
      <w:r w:rsidRPr="00047BF5">
        <w:rPr>
          <w:snapToGrid/>
          <w:lang w:val="en-US"/>
        </w:rPr>
        <w:t>with a later data cut-off of 23 August 2019</w:t>
      </w:r>
      <w:r w:rsidR="005E66DE" w:rsidRPr="00047BF5">
        <w:rPr>
          <w:snapToGrid/>
          <w:lang w:val="en-US"/>
        </w:rPr>
        <w:t xml:space="preserve"> (me</w:t>
      </w:r>
      <w:r w:rsidR="004247B6" w:rsidRPr="00047BF5">
        <w:rPr>
          <w:snapToGrid/>
          <w:lang w:val="en-US"/>
        </w:rPr>
        <w:t xml:space="preserve">dian follow-up </w:t>
      </w:r>
      <w:r w:rsidR="00FA05B9" w:rsidRPr="00047BF5">
        <w:rPr>
          <w:snapToGrid/>
          <w:lang w:val="en-US"/>
        </w:rPr>
        <w:t>not reported</w:t>
      </w:r>
      <w:r w:rsidR="004247B6" w:rsidRPr="00047BF5">
        <w:rPr>
          <w:snapToGrid/>
          <w:lang w:val="en-US"/>
        </w:rPr>
        <w:t>)</w:t>
      </w:r>
      <w:r w:rsidRPr="00047BF5">
        <w:rPr>
          <w:snapToGrid/>
          <w:lang w:val="en-US"/>
        </w:rPr>
        <w:t xml:space="preserve">. Results for both data cut-offs are presented </w:t>
      </w:r>
      <w:r w:rsidR="009A4C6E">
        <w:rPr>
          <w:snapToGrid/>
          <w:lang w:val="en-US"/>
        </w:rPr>
        <w:t>where</w:t>
      </w:r>
      <w:r w:rsidR="009A4C6E" w:rsidRPr="00047BF5">
        <w:rPr>
          <w:snapToGrid/>
          <w:lang w:val="en-US"/>
        </w:rPr>
        <w:t xml:space="preserve"> </w:t>
      </w:r>
      <w:r w:rsidRPr="00047BF5">
        <w:rPr>
          <w:snapToGrid/>
          <w:lang w:val="en-US"/>
        </w:rPr>
        <w:t>available</w:t>
      </w:r>
      <w:r>
        <w:rPr>
          <w:snapToGrid/>
          <w:lang w:val="en-US"/>
        </w:rPr>
        <w:t>.</w:t>
      </w:r>
      <w:r w:rsidR="00047BF5">
        <w:rPr>
          <w:snapToGrid/>
          <w:lang w:val="en-US"/>
        </w:rPr>
        <w:t xml:space="preserve"> </w:t>
      </w:r>
    </w:p>
    <w:p w:rsidR="00DB37E6" w:rsidRPr="00842469" w:rsidRDefault="00DB37E6" w:rsidP="00DB37E6">
      <w:pPr>
        <w:pStyle w:val="ExecSumBodyText"/>
      </w:pPr>
      <w:r>
        <w:rPr>
          <w:snapToGrid/>
          <w:lang w:val="en-US"/>
        </w:rPr>
        <w:t xml:space="preserve">Results of the direct comparison between venetoclax + obinutuzumab versus chlorambucil + obinutuzumab for PFS are presented in Table </w:t>
      </w:r>
      <w:r w:rsidR="006C16A0">
        <w:rPr>
          <w:snapToGrid/>
          <w:lang w:val="en-US"/>
        </w:rPr>
        <w:t>4</w:t>
      </w:r>
      <w:r>
        <w:rPr>
          <w:snapToGrid/>
          <w:lang w:val="en-US"/>
        </w:rPr>
        <w:t xml:space="preserve">, with Kaplan-Meier plots for investigator assessed </w:t>
      </w:r>
      <w:r w:rsidR="009A4C6E">
        <w:rPr>
          <w:snapToGrid/>
          <w:lang w:val="en-US"/>
        </w:rPr>
        <w:t>PFS</w:t>
      </w:r>
      <w:r>
        <w:rPr>
          <w:snapToGrid/>
          <w:lang w:val="en-US"/>
        </w:rPr>
        <w:t xml:space="preserve"> for the August 2018 cut-off presented in Figure 1.</w:t>
      </w:r>
    </w:p>
    <w:p w:rsidR="00DB37E6" w:rsidRPr="0042047F" w:rsidRDefault="00DB37E6" w:rsidP="00DB37E6">
      <w:pPr>
        <w:pStyle w:val="TableHeading"/>
        <w:spacing w:after="0"/>
      </w:pPr>
      <w:r>
        <w:t xml:space="preserve">Table </w:t>
      </w:r>
      <w:r w:rsidR="006C16A0">
        <w:t>4</w:t>
      </w:r>
      <w:r w:rsidRPr="0042047F">
        <w:t xml:space="preserve">: Results of </w:t>
      </w:r>
      <w:r>
        <w:t>PFS</w:t>
      </w:r>
      <w:r w:rsidRPr="0042047F">
        <w:t xml:space="preserve"> </w:t>
      </w:r>
      <w:r>
        <w:t>for CLL-14 (ITT)</w:t>
      </w:r>
      <w:r w:rsidRPr="0042047F">
        <w:t xml:space="preserve"> </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7"/>
        <w:gridCol w:w="1512"/>
        <w:gridCol w:w="1469"/>
        <w:gridCol w:w="1497"/>
        <w:gridCol w:w="1485"/>
      </w:tblGrid>
      <w:tr w:rsidR="00DB37E6" w:rsidRPr="00B84117" w:rsidTr="00052399">
        <w:trPr>
          <w:tblHeader/>
        </w:trPr>
        <w:tc>
          <w:tcPr>
            <w:tcW w:w="1691" w:type="pct"/>
            <w:vMerge w:val="restart"/>
            <w:tcMar>
              <w:left w:w="28" w:type="dxa"/>
              <w:right w:w="28" w:type="dxa"/>
            </w:tcMar>
            <w:vAlign w:val="center"/>
          </w:tcPr>
          <w:p w:rsidR="00DB37E6" w:rsidRPr="00B84117" w:rsidRDefault="00DB37E6" w:rsidP="00DB37E6">
            <w:pPr>
              <w:pStyle w:val="Tableheadingrow"/>
              <w:keepNext w:val="0"/>
              <w:ind w:right="-63"/>
            </w:pPr>
          </w:p>
        </w:tc>
        <w:tc>
          <w:tcPr>
            <w:tcW w:w="1654" w:type="pct"/>
            <w:gridSpan w:val="2"/>
            <w:tcMar>
              <w:left w:w="28" w:type="dxa"/>
              <w:right w:w="28" w:type="dxa"/>
            </w:tcMar>
            <w:vAlign w:val="center"/>
          </w:tcPr>
          <w:p w:rsidR="00DB37E6" w:rsidRPr="00B84117" w:rsidRDefault="00DB37E6" w:rsidP="00DB37E6">
            <w:pPr>
              <w:pStyle w:val="Tableheadingrow"/>
              <w:keepNext w:val="0"/>
              <w:jc w:val="center"/>
            </w:pPr>
            <w:r>
              <w:t>INV assessed PFS</w:t>
            </w:r>
          </w:p>
        </w:tc>
        <w:tc>
          <w:tcPr>
            <w:tcW w:w="1655" w:type="pct"/>
            <w:gridSpan w:val="2"/>
            <w:tcMar>
              <w:left w:w="28" w:type="dxa"/>
              <w:right w:w="28" w:type="dxa"/>
            </w:tcMar>
            <w:vAlign w:val="center"/>
          </w:tcPr>
          <w:p w:rsidR="00DB37E6" w:rsidRPr="00B84117" w:rsidRDefault="00DB37E6" w:rsidP="00DB37E6">
            <w:pPr>
              <w:pStyle w:val="Tableheadingrow"/>
              <w:keepNext w:val="0"/>
              <w:jc w:val="center"/>
            </w:pPr>
            <w:r>
              <w:t>IRC assessed PFS</w:t>
            </w:r>
          </w:p>
        </w:tc>
      </w:tr>
      <w:tr w:rsidR="00DB37E6" w:rsidRPr="00B1011F" w:rsidTr="00052399">
        <w:tc>
          <w:tcPr>
            <w:tcW w:w="1691" w:type="pct"/>
            <w:vMerge/>
            <w:tcMar>
              <w:left w:w="28" w:type="dxa"/>
              <w:right w:w="28" w:type="dxa"/>
            </w:tcMar>
            <w:vAlign w:val="center"/>
          </w:tcPr>
          <w:p w:rsidR="00DB37E6" w:rsidRPr="00B1011F" w:rsidRDefault="00DB37E6" w:rsidP="00DB37E6">
            <w:pPr>
              <w:pStyle w:val="TableText"/>
              <w:keepNext w:val="0"/>
              <w:ind w:right="-63"/>
            </w:pPr>
          </w:p>
        </w:tc>
        <w:tc>
          <w:tcPr>
            <w:tcW w:w="839" w:type="pct"/>
            <w:tcMar>
              <w:left w:w="28" w:type="dxa"/>
              <w:right w:w="28" w:type="dxa"/>
            </w:tcMar>
            <w:vAlign w:val="center"/>
          </w:tcPr>
          <w:p w:rsidR="00DB37E6" w:rsidRPr="00F2548F" w:rsidRDefault="00DB37E6" w:rsidP="00DB37E6">
            <w:pPr>
              <w:pStyle w:val="TableText"/>
              <w:keepNext w:val="0"/>
              <w:jc w:val="center"/>
              <w:rPr>
                <w:b/>
              </w:rPr>
            </w:pPr>
            <w:r w:rsidRPr="00F2548F">
              <w:rPr>
                <w:b/>
              </w:rPr>
              <w:t>Venetoclax + obinutuzumab</w:t>
            </w:r>
          </w:p>
        </w:tc>
        <w:tc>
          <w:tcPr>
            <w:tcW w:w="815" w:type="pct"/>
            <w:tcMar>
              <w:left w:w="28" w:type="dxa"/>
              <w:right w:w="28" w:type="dxa"/>
            </w:tcMar>
            <w:vAlign w:val="center"/>
          </w:tcPr>
          <w:p w:rsidR="00DB37E6" w:rsidRPr="00F2548F" w:rsidRDefault="00DB37E6" w:rsidP="00DB37E6">
            <w:pPr>
              <w:pStyle w:val="TableText"/>
              <w:keepNext w:val="0"/>
              <w:jc w:val="center"/>
              <w:rPr>
                <w:b/>
              </w:rPr>
            </w:pPr>
            <w:r>
              <w:rPr>
                <w:b/>
              </w:rPr>
              <w:t>Chlorambucil + obinutuzumab</w:t>
            </w:r>
          </w:p>
        </w:tc>
        <w:tc>
          <w:tcPr>
            <w:tcW w:w="831" w:type="pct"/>
            <w:tcMar>
              <w:left w:w="28" w:type="dxa"/>
              <w:right w:w="28" w:type="dxa"/>
            </w:tcMar>
            <w:vAlign w:val="center"/>
          </w:tcPr>
          <w:p w:rsidR="00DB37E6" w:rsidRPr="00F2548F" w:rsidRDefault="00DB37E6" w:rsidP="00DB37E6">
            <w:pPr>
              <w:pStyle w:val="TableText"/>
              <w:keepNext w:val="0"/>
              <w:jc w:val="center"/>
              <w:rPr>
                <w:b/>
              </w:rPr>
            </w:pPr>
            <w:r w:rsidRPr="00F2548F">
              <w:rPr>
                <w:b/>
              </w:rPr>
              <w:t>Venetoclax + obinutuzumab</w:t>
            </w:r>
          </w:p>
        </w:tc>
        <w:tc>
          <w:tcPr>
            <w:tcW w:w="824" w:type="pct"/>
            <w:tcMar>
              <w:left w:w="28" w:type="dxa"/>
              <w:right w:w="28" w:type="dxa"/>
            </w:tcMar>
            <w:vAlign w:val="center"/>
          </w:tcPr>
          <w:p w:rsidR="00DB37E6" w:rsidRPr="00F2548F" w:rsidRDefault="00DB37E6" w:rsidP="00DB37E6">
            <w:pPr>
              <w:pStyle w:val="TableText"/>
              <w:keepNext w:val="0"/>
              <w:jc w:val="center"/>
              <w:rPr>
                <w:b/>
              </w:rPr>
            </w:pPr>
            <w:r>
              <w:rPr>
                <w:b/>
              </w:rPr>
              <w:t>Chlorambucil + obinutuzumab</w:t>
            </w:r>
          </w:p>
        </w:tc>
      </w:tr>
      <w:tr w:rsidR="00DB37E6" w:rsidRPr="00B1011F" w:rsidTr="00052399">
        <w:tc>
          <w:tcPr>
            <w:tcW w:w="1691" w:type="pct"/>
            <w:tcMar>
              <w:left w:w="28" w:type="dxa"/>
              <w:right w:w="28" w:type="dxa"/>
            </w:tcMar>
            <w:vAlign w:val="center"/>
          </w:tcPr>
          <w:p w:rsidR="00DB37E6" w:rsidRPr="00B1011F" w:rsidRDefault="00DB37E6" w:rsidP="00DB37E6">
            <w:pPr>
              <w:pStyle w:val="TableText"/>
              <w:keepNext w:val="0"/>
              <w:ind w:right="-63"/>
            </w:pPr>
            <w:r>
              <w:t>N</w:t>
            </w:r>
          </w:p>
        </w:tc>
        <w:tc>
          <w:tcPr>
            <w:tcW w:w="839" w:type="pct"/>
            <w:tcMar>
              <w:left w:w="28" w:type="dxa"/>
              <w:right w:w="28" w:type="dxa"/>
            </w:tcMar>
            <w:vAlign w:val="center"/>
          </w:tcPr>
          <w:p w:rsidR="00DB37E6" w:rsidRPr="00B1011F" w:rsidRDefault="00DB37E6" w:rsidP="00DB37E6">
            <w:pPr>
              <w:pStyle w:val="TableText"/>
              <w:keepNext w:val="0"/>
              <w:jc w:val="center"/>
            </w:pPr>
            <w:r>
              <w:t>216</w:t>
            </w:r>
          </w:p>
        </w:tc>
        <w:tc>
          <w:tcPr>
            <w:tcW w:w="815" w:type="pct"/>
            <w:tcMar>
              <w:left w:w="28" w:type="dxa"/>
              <w:right w:w="28" w:type="dxa"/>
            </w:tcMar>
            <w:vAlign w:val="center"/>
          </w:tcPr>
          <w:p w:rsidR="00DB37E6" w:rsidRPr="00B1011F" w:rsidRDefault="00DB37E6" w:rsidP="00DB37E6">
            <w:pPr>
              <w:pStyle w:val="TableText"/>
              <w:keepNext w:val="0"/>
              <w:jc w:val="center"/>
            </w:pPr>
            <w:r>
              <w:t>216</w:t>
            </w:r>
          </w:p>
        </w:tc>
        <w:tc>
          <w:tcPr>
            <w:tcW w:w="831" w:type="pct"/>
            <w:tcMar>
              <w:left w:w="28" w:type="dxa"/>
              <w:right w:w="28" w:type="dxa"/>
            </w:tcMar>
            <w:vAlign w:val="center"/>
          </w:tcPr>
          <w:p w:rsidR="00DB37E6" w:rsidRPr="00B1011F" w:rsidRDefault="00DB37E6" w:rsidP="00DB37E6">
            <w:pPr>
              <w:pStyle w:val="TableText"/>
              <w:keepNext w:val="0"/>
              <w:jc w:val="center"/>
            </w:pPr>
            <w:r>
              <w:t>216</w:t>
            </w:r>
          </w:p>
        </w:tc>
        <w:tc>
          <w:tcPr>
            <w:tcW w:w="824" w:type="pct"/>
            <w:tcMar>
              <w:left w:w="28" w:type="dxa"/>
              <w:right w:w="28" w:type="dxa"/>
            </w:tcMar>
            <w:vAlign w:val="center"/>
          </w:tcPr>
          <w:p w:rsidR="00DB37E6" w:rsidRPr="00B1011F" w:rsidRDefault="00DB37E6" w:rsidP="00DB37E6">
            <w:pPr>
              <w:pStyle w:val="TableText"/>
              <w:keepNext w:val="0"/>
              <w:jc w:val="center"/>
            </w:pPr>
            <w:r>
              <w:t>216</w:t>
            </w:r>
          </w:p>
        </w:tc>
      </w:tr>
      <w:tr w:rsidR="00DB37E6" w:rsidRPr="00E92C52" w:rsidTr="00052399">
        <w:tc>
          <w:tcPr>
            <w:tcW w:w="5000" w:type="pct"/>
            <w:gridSpan w:val="5"/>
            <w:tcMar>
              <w:left w:w="28" w:type="dxa"/>
              <w:right w:w="28" w:type="dxa"/>
            </w:tcMar>
            <w:vAlign w:val="center"/>
          </w:tcPr>
          <w:p w:rsidR="00DB37E6" w:rsidRPr="00E92C52" w:rsidRDefault="00DB37E6" w:rsidP="00DB37E6">
            <w:pPr>
              <w:pStyle w:val="TableText"/>
              <w:keepNext w:val="0"/>
              <w:rPr>
                <w:b/>
              </w:rPr>
            </w:pPr>
            <w:r w:rsidRPr="00E92C52">
              <w:rPr>
                <w:b/>
              </w:rPr>
              <w:t>PFS; data cut-off 17 August 2018</w:t>
            </w:r>
          </w:p>
        </w:tc>
      </w:tr>
      <w:tr w:rsidR="00DB37E6" w:rsidRPr="00B1011F" w:rsidTr="00052399">
        <w:tc>
          <w:tcPr>
            <w:tcW w:w="1691" w:type="pct"/>
            <w:tcMar>
              <w:left w:w="28" w:type="dxa"/>
              <w:right w:w="28" w:type="dxa"/>
            </w:tcMar>
            <w:vAlign w:val="center"/>
          </w:tcPr>
          <w:p w:rsidR="00DB37E6" w:rsidRPr="00B1011F" w:rsidRDefault="00DB37E6" w:rsidP="00DB37E6">
            <w:pPr>
              <w:pStyle w:val="TableText"/>
              <w:keepNext w:val="0"/>
              <w:ind w:right="-63"/>
            </w:pPr>
            <w:r>
              <w:t>Patients with events, n (%)</w:t>
            </w:r>
          </w:p>
        </w:tc>
        <w:tc>
          <w:tcPr>
            <w:tcW w:w="839" w:type="pct"/>
            <w:tcMar>
              <w:left w:w="28" w:type="dxa"/>
              <w:right w:w="28" w:type="dxa"/>
            </w:tcMar>
            <w:vAlign w:val="center"/>
          </w:tcPr>
          <w:p w:rsidR="00DB37E6" w:rsidRPr="00E74B0C" w:rsidRDefault="00DB37E6" w:rsidP="00DB37E6">
            <w:pPr>
              <w:pStyle w:val="TableText"/>
              <w:keepNext w:val="0"/>
              <w:jc w:val="center"/>
            </w:pPr>
            <w:r w:rsidRPr="00E74B0C">
              <w:t>30 (13.9%)</w:t>
            </w:r>
          </w:p>
        </w:tc>
        <w:tc>
          <w:tcPr>
            <w:tcW w:w="815" w:type="pct"/>
            <w:tcMar>
              <w:left w:w="28" w:type="dxa"/>
              <w:right w:w="28" w:type="dxa"/>
            </w:tcMar>
            <w:vAlign w:val="center"/>
          </w:tcPr>
          <w:p w:rsidR="00DB37E6" w:rsidRPr="00E74B0C" w:rsidRDefault="00DB37E6" w:rsidP="00DB37E6">
            <w:pPr>
              <w:pStyle w:val="TableText"/>
              <w:keepNext w:val="0"/>
              <w:jc w:val="center"/>
            </w:pPr>
            <w:r w:rsidRPr="00E74B0C">
              <w:t>77 (35.6%)</w:t>
            </w:r>
          </w:p>
        </w:tc>
        <w:tc>
          <w:tcPr>
            <w:tcW w:w="831" w:type="pct"/>
            <w:tcMar>
              <w:left w:w="28" w:type="dxa"/>
              <w:right w:w="28" w:type="dxa"/>
            </w:tcMar>
            <w:vAlign w:val="center"/>
          </w:tcPr>
          <w:p w:rsidR="00DB37E6" w:rsidRPr="00E74B0C" w:rsidRDefault="00DB37E6" w:rsidP="00DB37E6">
            <w:pPr>
              <w:pStyle w:val="TableText"/>
              <w:keepNext w:val="0"/>
              <w:jc w:val="center"/>
            </w:pPr>
            <w:r w:rsidRPr="00E74B0C">
              <w:t>29 (13.4%)</w:t>
            </w:r>
          </w:p>
        </w:tc>
        <w:tc>
          <w:tcPr>
            <w:tcW w:w="824" w:type="pct"/>
            <w:tcMar>
              <w:left w:w="28" w:type="dxa"/>
              <w:right w:w="28" w:type="dxa"/>
            </w:tcMar>
            <w:vAlign w:val="center"/>
          </w:tcPr>
          <w:p w:rsidR="00DB37E6" w:rsidRPr="00E74B0C" w:rsidRDefault="00DB37E6" w:rsidP="00DB37E6">
            <w:pPr>
              <w:pStyle w:val="TableText"/>
              <w:keepNext w:val="0"/>
              <w:jc w:val="center"/>
            </w:pPr>
            <w:r w:rsidRPr="00E74B0C">
              <w:t>79 (36.6%)</w:t>
            </w:r>
          </w:p>
        </w:tc>
      </w:tr>
      <w:tr w:rsidR="00DB37E6" w:rsidRPr="00B1011F" w:rsidTr="00052399">
        <w:tc>
          <w:tcPr>
            <w:tcW w:w="1691" w:type="pct"/>
            <w:tcMar>
              <w:left w:w="28" w:type="dxa"/>
              <w:right w:w="28" w:type="dxa"/>
            </w:tcMar>
          </w:tcPr>
          <w:p w:rsidR="00DB37E6" w:rsidRDefault="00DB37E6" w:rsidP="00DB37E6">
            <w:pPr>
              <w:pStyle w:val="TableText"/>
              <w:keepNext w:val="0"/>
              <w:ind w:right="-63"/>
            </w:pPr>
            <w:r>
              <w:t xml:space="preserve">  Disease progression, n (%)</w:t>
            </w:r>
          </w:p>
        </w:tc>
        <w:tc>
          <w:tcPr>
            <w:tcW w:w="839" w:type="pct"/>
            <w:tcMar>
              <w:left w:w="28" w:type="dxa"/>
              <w:right w:w="28" w:type="dxa"/>
            </w:tcMar>
            <w:vAlign w:val="center"/>
          </w:tcPr>
          <w:p w:rsidR="00DB37E6" w:rsidRPr="00E74B0C" w:rsidRDefault="00DB37E6" w:rsidP="00DB37E6">
            <w:pPr>
              <w:pStyle w:val="TableText"/>
              <w:keepNext w:val="0"/>
              <w:jc w:val="center"/>
            </w:pPr>
            <w:r w:rsidRPr="00E74B0C">
              <w:t>14 (6.5%)</w:t>
            </w:r>
          </w:p>
        </w:tc>
        <w:tc>
          <w:tcPr>
            <w:tcW w:w="815" w:type="pct"/>
            <w:tcMar>
              <w:left w:w="28" w:type="dxa"/>
              <w:right w:w="28" w:type="dxa"/>
            </w:tcMar>
            <w:vAlign w:val="center"/>
          </w:tcPr>
          <w:p w:rsidR="00DB37E6" w:rsidRPr="00E74B0C" w:rsidRDefault="00DB37E6" w:rsidP="00DB37E6">
            <w:pPr>
              <w:pStyle w:val="TableText"/>
              <w:keepNext w:val="0"/>
              <w:jc w:val="center"/>
            </w:pPr>
            <w:r w:rsidRPr="00E74B0C">
              <w:t>69 (31.9%)</w:t>
            </w:r>
          </w:p>
        </w:tc>
        <w:tc>
          <w:tcPr>
            <w:tcW w:w="831" w:type="pct"/>
            <w:tcMar>
              <w:left w:w="28" w:type="dxa"/>
              <w:right w:w="28" w:type="dxa"/>
            </w:tcMar>
            <w:vAlign w:val="center"/>
          </w:tcPr>
          <w:p w:rsidR="00DB37E6" w:rsidRPr="00E74B0C" w:rsidRDefault="00DB37E6" w:rsidP="00DB37E6">
            <w:pPr>
              <w:pStyle w:val="TableText"/>
              <w:keepNext w:val="0"/>
              <w:jc w:val="center"/>
            </w:pPr>
            <w:r w:rsidRPr="00E74B0C">
              <w:t>14 (6.5%)</w:t>
            </w:r>
          </w:p>
        </w:tc>
        <w:tc>
          <w:tcPr>
            <w:tcW w:w="824" w:type="pct"/>
            <w:tcMar>
              <w:left w:w="28" w:type="dxa"/>
              <w:right w:w="28" w:type="dxa"/>
            </w:tcMar>
            <w:vAlign w:val="center"/>
          </w:tcPr>
          <w:p w:rsidR="00DB37E6" w:rsidRPr="00E74B0C" w:rsidRDefault="00DB37E6" w:rsidP="00DB37E6">
            <w:pPr>
              <w:pStyle w:val="TableText"/>
              <w:keepNext w:val="0"/>
              <w:jc w:val="center"/>
            </w:pPr>
            <w:r w:rsidRPr="00E74B0C">
              <w:t>71 (32.9%)</w:t>
            </w:r>
          </w:p>
        </w:tc>
      </w:tr>
      <w:tr w:rsidR="00DB37E6" w:rsidRPr="00B1011F" w:rsidTr="00052399">
        <w:tc>
          <w:tcPr>
            <w:tcW w:w="1691" w:type="pct"/>
            <w:tcMar>
              <w:left w:w="28" w:type="dxa"/>
              <w:right w:w="28" w:type="dxa"/>
            </w:tcMar>
          </w:tcPr>
          <w:p w:rsidR="00DB37E6" w:rsidRDefault="00DB37E6" w:rsidP="00DB37E6">
            <w:pPr>
              <w:pStyle w:val="TableText"/>
              <w:keepNext w:val="0"/>
              <w:ind w:right="-63"/>
            </w:pPr>
            <w:r>
              <w:t xml:space="preserve">  Death any cause, n (%)</w:t>
            </w:r>
          </w:p>
        </w:tc>
        <w:tc>
          <w:tcPr>
            <w:tcW w:w="839" w:type="pct"/>
            <w:tcMar>
              <w:left w:w="28" w:type="dxa"/>
              <w:right w:w="28" w:type="dxa"/>
            </w:tcMar>
            <w:vAlign w:val="center"/>
          </w:tcPr>
          <w:p w:rsidR="00DB37E6" w:rsidRPr="00E74B0C" w:rsidRDefault="00DB37E6" w:rsidP="00DB37E6">
            <w:pPr>
              <w:pStyle w:val="TableText"/>
              <w:keepNext w:val="0"/>
              <w:jc w:val="center"/>
            </w:pPr>
            <w:r w:rsidRPr="00E74B0C">
              <w:t>16 (7.4%)</w:t>
            </w:r>
          </w:p>
        </w:tc>
        <w:tc>
          <w:tcPr>
            <w:tcW w:w="815" w:type="pct"/>
            <w:tcMar>
              <w:left w:w="28" w:type="dxa"/>
              <w:right w:w="28" w:type="dxa"/>
            </w:tcMar>
            <w:vAlign w:val="center"/>
          </w:tcPr>
          <w:p w:rsidR="00DB37E6" w:rsidRPr="00E74B0C" w:rsidRDefault="00DB37E6" w:rsidP="00DB37E6">
            <w:pPr>
              <w:pStyle w:val="TableText"/>
              <w:keepNext w:val="0"/>
              <w:jc w:val="center"/>
            </w:pPr>
            <w:r w:rsidRPr="00E74B0C">
              <w:t>8 (3.7%)</w:t>
            </w:r>
          </w:p>
        </w:tc>
        <w:tc>
          <w:tcPr>
            <w:tcW w:w="831" w:type="pct"/>
            <w:tcMar>
              <w:left w:w="28" w:type="dxa"/>
              <w:right w:w="28" w:type="dxa"/>
            </w:tcMar>
            <w:vAlign w:val="center"/>
          </w:tcPr>
          <w:p w:rsidR="00DB37E6" w:rsidRPr="00E74B0C" w:rsidRDefault="00DB37E6" w:rsidP="00DB37E6">
            <w:pPr>
              <w:pStyle w:val="TableText"/>
              <w:keepNext w:val="0"/>
              <w:jc w:val="center"/>
            </w:pPr>
            <w:r w:rsidRPr="00E74B0C">
              <w:t>15 (6.9%)</w:t>
            </w:r>
          </w:p>
        </w:tc>
        <w:tc>
          <w:tcPr>
            <w:tcW w:w="824" w:type="pct"/>
            <w:tcMar>
              <w:left w:w="28" w:type="dxa"/>
              <w:right w:w="28" w:type="dxa"/>
            </w:tcMar>
            <w:vAlign w:val="center"/>
          </w:tcPr>
          <w:p w:rsidR="00DB37E6" w:rsidRPr="00E74B0C" w:rsidRDefault="00DB37E6" w:rsidP="00DB37E6">
            <w:pPr>
              <w:pStyle w:val="TableText"/>
              <w:keepNext w:val="0"/>
              <w:jc w:val="center"/>
            </w:pPr>
            <w:r w:rsidRPr="00E74B0C">
              <w:t>8 (3.7%)</w:t>
            </w:r>
          </w:p>
        </w:tc>
      </w:tr>
      <w:tr w:rsidR="00DB37E6" w:rsidRPr="00B1011F" w:rsidTr="00052399">
        <w:tc>
          <w:tcPr>
            <w:tcW w:w="1691" w:type="pct"/>
            <w:tcMar>
              <w:left w:w="28" w:type="dxa"/>
              <w:right w:w="28" w:type="dxa"/>
            </w:tcMar>
            <w:vAlign w:val="center"/>
          </w:tcPr>
          <w:p w:rsidR="00DB37E6" w:rsidRPr="00B1011F" w:rsidRDefault="00DB37E6" w:rsidP="00DB37E6">
            <w:pPr>
              <w:pStyle w:val="TableText"/>
              <w:keepNext w:val="0"/>
              <w:ind w:right="-63"/>
            </w:pPr>
            <w:r>
              <w:t>Median time to event, months (95% CI)</w:t>
            </w:r>
          </w:p>
        </w:tc>
        <w:tc>
          <w:tcPr>
            <w:tcW w:w="839" w:type="pct"/>
            <w:tcMar>
              <w:left w:w="28" w:type="dxa"/>
              <w:right w:w="28" w:type="dxa"/>
            </w:tcMar>
            <w:vAlign w:val="center"/>
          </w:tcPr>
          <w:p w:rsidR="00DB37E6" w:rsidRPr="00E74B0C" w:rsidRDefault="00DB37E6" w:rsidP="00DB37E6">
            <w:pPr>
              <w:pStyle w:val="TableText"/>
              <w:keepNext w:val="0"/>
              <w:jc w:val="center"/>
            </w:pPr>
            <w:r w:rsidRPr="00E74B0C">
              <w:t>NE (NE)</w:t>
            </w:r>
          </w:p>
        </w:tc>
        <w:tc>
          <w:tcPr>
            <w:tcW w:w="815" w:type="pct"/>
            <w:tcMar>
              <w:left w:w="28" w:type="dxa"/>
              <w:right w:w="28" w:type="dxa"/>
            </w:tcMar>
            <w:vAlign w:val="center"/>
          </w:tcPr>
          <w:p w:rsidR="00DB37E6" w:rsidRPr="00E74B0C" w:rsidRDefault="00DB37E6" w:rsidP="00DB37E6">
            <w:pPr>
              <w:pStyle w:val="TableText"/>
              <w:keepNext w:val="0"/>
              <w:jc w:val="center"/>
            </w:pPr>
            <w:r w:rsidRPr="00E74B0C">
              <w:t>NE (31.1, NE)</w:t>
            </w:r>
          </w:p>
        </w:tc>
        <w:tc>
          <w:tcPr>
            <w:tcW w:w="831" w:type="pct"/>
            <w:tcMar>
              <w:left w:w="28" w:type="dxa"/>
              <w:right w:w="28" w:type="dxa"/>
            </w:tcMar>
            <w:vAlign w:val="center"/>
          </w:tcPr>
          <w:p w:rsidR="00DB37E6" w:rsidRPr="00E74B0C" w:rsidRDefault="00DB37E6" w:rsidP="00DB37E6">
            <w:pPr>
              <w:pStyle w:val="TableText"/>
              <w:keepNext w:val="0"/>
              <w:jc w:val="center"/>
            </w:pPr>
            <w:r w:rsidRPr="00E74B0C">
              <w:t>NE (NE)</w:t>
            </w:r>
          </w:p>
        </w:tc>
        <w:tc>
          <w:tcPr>
            <w:tcW w:w="824" w:type="pct"/>
            <w:tcMar>
              <w:left w:w="28" w:type="dxa"/>
              <w:right w:w="28" w:type="dxa"/>
            </w:tcMar>
            <w:vAlign w:val="center"/>
          </w:tcPr>
          <w:p w:rsidR="00DB37E6" w:rsidRPr="00E74B0C" w:rsidRDefault="00DB37E6" w:rsidP="00DB37E6">
            <w:pPr>
              <w:pStyle w:val="TableText"/>
              <w:keepNext w:val="0"/>
              <w:jc w:val="center"/>
            </w:pPr>
            <w:r w:rsidRPr="00E74B0C">
              <w:t>NE (31.1, NE)</w:t>
            </w:r>
          </w:p>
        </w:tc>
      </w:tr>
      <w:tr w:rsidR="00DB37E6" w:rsidRPr="00B1011F" w:rsidTr="00052399">
        <w:tc>
          <w:tcPr>
            <w:tcW w:w="1691" w:type="pct"/>
            <w:tcMar>
              <w:left w:w="28" w:type="dxa"/>
              <w:right w:w="28" w:type="dxa"/>
            </w:tcMar>
            <w:vAlign w:val="center"/>
          </w:tcPr>
          <w:p w:rsidR="00DB37E6" w:rsidRPr="00C45A65" w:rsidRDefault="00DB37E6" w:rsidP="00DB37E6">
            <w:pPr>
              <w:pStyle w:val="TableText"/>
              <w:keepNext w:val="0"/>
              <w:ind w:right="-63"/>
              <w:rPr>
                <w:vertAlign w:val="superscript"/>
              </w:rPr>
            </w:pPr>
            <w:r>
              <w:t>Stratified HR (95% CI)</w:t>
            </w:r>
            <w:r>
              <w:rPr>
                <w:vertAlign w:val="superscript"/>
              </w:rPr>
              <w:t>a</w:t>
            </w:r>
          </w:p>
        </w:tc>
        <w:tc>
          <w:tcPr>
            <w:tcW w:w="1654" w:type="pct"/>
            <w:gridSpan w:val="2"/>
            <w:tcMar>
              <w:left w:w="28" w:type="dxa"/>
              <w:right w:w="28" w:type="dxa"/>
            </w:tcMar>
            <w:vAlign w:val="center"/>
          </w:tcPr>
          <w:p w:rsidR="00DB37E6" w:rsidRPr="00E74B0C" w:rsidRDefault="00DB37E6" w:rsidP="00DB37E6">
            <w:pPr>
              <w:pStyle w:val="TableText"/>
              <w:keepNext w:val="0"/>
              <w:jc w:val="center"/>
              <w:rPr>
                <w:b/>
              </w:rPr>
            </w:pPr>
            <w:r w:rsidRPr="00E74B0C">
              <w:rPr>
                <w:b/>
              </w:rPr>
              <w:t>0.35 (0.23, 0.53)</w:t>
            </w:r>
          </w:p>
        </w:tc>
        <w:tc>
          <w:tcPr>
            <w:tcW w:w="1655" w:type="pct"/>
            <w:gridSpan w:val="2"/>
            <w:tcMar>
              <w:left w:w="28" w:type="dxa"/>
              <w:right w:w="28" w:type="dxa"/>
            </w:tcMar>
            <w:vAlign w:val="center"/>
          </w:tcPr>
          <w:p w:rsidR="00DB37E6" w:rsidRPr="00E74B0C" w:rsidRDefault="00DB37E6" w:rsidP="00DB37E6">
            <w:pPr>
              <w:pStyle w:val="TableText"/>
              <w:keepNext w:val="0"/>
              <w:jc w:val="center"/>
              <w:rPr>
                <w:b/>
              </w:rPr>
            </w:pPr>
            <w:r w:rsidRPr="00E74B0C">
              <w:rPr>
                <w:b/>
              </w:rPr>
              <w:t>0.33 (0.22, 0.51)</w:t>
            </w:r>
          </w:p>
        </w:tc>
      </w:tr>
      <w:tr w:rsidR="00DB37E6" w:rsidRPr="00B1011F" w:rsidTr="00052399">
        <w:trPr>
          <w:trHeight w:val="70"/>
        </w:trPr>
        <w:tc>
          <w:tcPr>
            <w:tcW w:w="1691" w:type="pct"/>
            <w:tcMar>
              <w:left w:w="28" w:type="dxa"/>
              <w:right w:w="28" w:type="dxa"/>
            </w:tcMar>
            <w:vAlign w:val="center"/>
          </w:tcPr>
          <w:p w:rsidR="00DB37E6" w:rsidRPr="00B1011F" w:rsidRDefault="00DB37E6" w:rsidP="00DB37E6">
            <w:pPr>
              <w:pStyle w:val="TableText"/>
              <w:keepNext w:val="0"/>
              <w:ind w:right="-63"/>
            </w:pPr>
            <w:r>
              <w:t>Estimated 1 year PFS rate, % (95% CI)</w:t>
            </w:r>
          </w:p>
        </w:tc>
        <w:tc>
          <w:tcPr>
            <w:tcW w:w="839" w:type="pct"/>
            <w:tcMar>
              <w:left w:w="28" w:type="dxa"/>
              <w:right w:w="28" w:type="dxa"/>
            </w:tcMar>
            <w:vAlign w:val="center"/>
          </w:tcPr>
          <w:p w:rsidR="00DB37E6" w:rsidRPr="00E74B0C" w:rsidRDefault="00DB37E6" w:rsidP="00DB37E6">
            <w:pPr>
              <w:pStyle w:val="TableText"/>
              <w:keepNext w:val="0"/>
              <w:jc w:val="center"/>
            </w:pPr>
            <w:r w:rsidRPr="00E74B0C">
              <w:t>n=192</w:t>
            </w:r>
          </w:p>
          <w:p w:rsidR="00DB37E6" w:rsidRPr="00E74B0C" w:rsidRDefault="00DB37E6" w:rsidP="00DB37E6">
            <w:pPr>
              <w:pStyle w:val="TableText"/>
              <w:keepNext w:val="0"/>
              <w:jc w:val="center"/>
            </w:pPr>
            <w:r w:rsidRPr="00E74B0C">
              <w:t>94.6</w:t>
            </w:r>
            <w:r w:rsidR="00052399">
              <w:t>%</w:t>
            </w:r>
            <w:r w:rsidRPr="00E74B0C">
              <w:t xml:space="preserve"> (91.5, 97.7)</w:t>
            </w:r>
          </w:p>
        </w:tc>
        <w:tc>
          <w:tcPr>
            <w:tcW w:w="815" w:type="pct"/>
            <w:tcMar>
              <w:left w:w="28" w:type="dxa"/>
              <w:right w:w="28" w:type="dxa"/>
            </w:tcMar>
            <w:vAlign w:val="center"/>
          </w:tcPr>
          <w:p w:rsidR="00DB37E6" w:rsidRPr="00E74B0C" w:rsidRDefault="00DB37E6" w:rsidP="00DB37E6">
            <w:pPr>
              <w:pStyle w:val="TableText"/>
              <w:keepNext w:val="0"/>
              <w:jc w:val="center"/>
            </w:pPr>
            <w:r w:rsidRPr="00E74B0C">
              <w:t xml:space="preserve">n=184 </w:t>
            </w:r>
          </w:p>
          <w:p w:rsidR="00DB37E6" w:rsidRPr="00E74B0C" w:rsidRDefault="00DB37E6" w:rsidP="00DB37E6">
            <w:pPr>
              <w:pStyle w:val="TableText"/>
              <w:keepNext w:val="0"/>
              <w:jc w:val="center"/>
            </w:pPr>
            <w:r w:rsidRPr="00E74B0C">
              <w:t>92.1</w:t>
            </w:r>
            <w:r w:rsidR="00052399">
              <w:t>%</w:t>
            </w:r>
            <w:r w:rsidRPr="00E74B0C">
              <w:t xml:space="preserve"> (88.4, 95.8)</w:t>
            </w:r>
          </w:p>
        </w:tc>
        <w:tc>
          <w:tcPr>
            <w:tcW w:w="831" w:type="pct"/>
            <w:tcMar>
              <w:left w:w="28" w:type="dxa"/>
              <w:right w:w="28" w:type="dxa"/>
            </w:tcMar>
            <w:vAlign w:val="center"/>
          </w:tcPr>
          <w:p w:rsidR="00DB37E6" w:rsidRPr="00E74B0C" w:rsidRDefault="00DB37E6" w:rsidP="00DB37E6">
            <w:pPr>
              <w:pStyle w:val="TableText"/>
              <w:keepNext w:val="0"/>
              <w:jc w:val="center"/>
            </w:pPr>
            <w:r w:rsidRPr="00E74B0C">
              <w:t xml:space="preserve">n=192 </w:t>
            </w:r>
          </w:p>
          <w:p w:rsidR="00DB37E6" w:rsidRPr="00E74B0C" w:rsidRDefault="00DB37E6" w:rsidP="00DB37E6">
            <w:pPr>
              <w:pStyle w:val="TableText"/>
              <w:keepNext w:val="0"/>
              <w:jc w:val="center"/>
            </w:pPr>
            <w:r w:rsidRPr="00E74B0C">
              <w:t>94.6</w:t>
            </w:r>
            <w:r w:rsidR="00052399">
              <w:t>%</w:t>
            </w:r>
            <w:r w:rsidRPr="00E74B0C">
              <w:t xml:space="preserve"> (91.5, 97.7)</w:t>
            </w:r>
          </w:p>
        </w:tc>
        <w:tc>
          <w:tcPr>
            <w:tcW w:w="824" w:type="pct"/>
            <w:tcMar>
              <w:left w:w="28" w:type="dxa"/>
              <w:right w:w="28" w:type="dxa"/>
            </w:tcMar>
            <w:vAlign w:val="center"/>
          </w:tcPr>
          <w:p w:rsidR="00DB37E6" w:rsidRPr="00E74B0C" w:rsidRDefault="00DB37E6" w:rsidP="00DB37E6">
            <w:pPr>
              <w:pStyle w:val="TableText"/>
              <w:keepNext w:val="0"/>
              <w:jc w:val="center"/>
            </w:pPr>
            <w:r w:rsidRPr="00E74B0C">
              <w:t xml:space="preserve">n=183 </w:t>
            </w:r>
          </w:p>
          <w:p w:rsidR="00DB37E6" w:rsidRPr="00E74B0C" w:rsidRDefault="00DB37E6" w:rsidP="00DB37E6">
            <w:pPr>
              <w:pStyle w:val="TableText"/>
              <w:keepNext w:val="0"/>
              <w:jc w:val="center"/>
            </w:pPr>
            <w:r w:rsidRPr="00E74B0C">
              <w:t>91.2</w:t>
            </w:r>
            <w:r w:rsidR="00052399">
              <w:t>%</w:t>
            </w:r>
            <w:r w:rsidRPr="00E74B0C">
              <w:t xml:space="preserve"> (87.3, 95.1)</w:t>
            </w:r>
          </w:p>
        </w:tc>
      </w:tr>
      <w:tr w:rsidR="00DB37E6" w:rsidRPr="00B1011F" w:rsidTr="00052399">
        <w:trPr>
          <w:trHeight w:val="167"/>
        </w:trPr>
        <w:tc>
          <w:tcPr>
            <w:tcW w:w="1691" w:type="pct"/>
            <w:tcMar>
              <w:left w:w="28" w:type="dxa"/>
              <w:right w:w="28" w:type="dxa"/>
            </w:tcMar>
            <w:vAlign w:val="center"/>
          </w:tcPr>
          <w:p w:rsidR="00DB37E6" w:rsidRPr="00B1011F" w:rsidRDefault="00DB37E6" w:rsidP="00DB37E6">
            <w:pPr>
              <w:pStyle w:val="TableText"/>
              <w:keepNext w:val="0"/>
              <w:ind w:right="-63"/>
            </w:pPr>
            <w:r>
              <w:t>Estimated 2 year PFS rate, % (95% CI)</w:t>
            </w:r>
          </w:p>
        </w:tc>
        <w:tc>
          <w:tcPr>
            <w:tcW w:w="839" w:type="pct"/>
            <w:tcMar>
              <w:left w:w="28" w:type="dxa"/>
              <w:right w:w="28" w:type="dxa"/>
            </w:tcMar>
            <w:vAlign w:val="center"/>
          </w:tcPr>
          <w:p w:rsidR="00DB37E6" w:rsidRPr="00E74B0C" w:rsidRDefault="00DB37E6" w:rsidP="00DB37E6">
            <w:pPr>
              <w:pStyle w:val="TableText"/>
              <w:keepNext w:val="0"/>
              <w:jc w:val="center"/>
            </w:pPr>
            <w:r w:rsidRPr="00E74B0C">
              <w:t xml:space="preserve">n=153 </w:t>
            </w:r>
          </w:p>
          <w:p w:rsidR="00DB37E6" w:rsidRPr="00E74B0C" w:rsidRDefault="00DB37E6" w:rsidP="00DB37E6">
            <w:pPr>
              <w:pStyle w:val="TableText"/>
              <w:keepNext w:val="0"/>
              <w:jc w:val="center"/>
            </w:pPr>
            <w:r w:rsidRPr="00E74B0C">
              <w:t>88.2</w:t>
            </w:r>
            <w:r w:rsidR="00052399">
              <w:t>%</w:t>
            </w:r>
            <w:r w:rsidRPr="00E74B0C">
              <w:t xml:space="preserve">  (83.7, 92.6)</w:t>
            </w:r>
          </w:p>
        </w:tc>
        <w:tc>
          <w:tcPr>
            <w:tcW w:w="815" w:type="pct"/>
            <w:tcMar>
              <w:left w:w="28" w:type="dxa"/>
              <w:right w:w="28" w:type="dxa"/>
            </w:tcMar>
            <w:vAlign w:val="center"/>
          </w:tcPr>
          <w:p w:rsidR="00DB37E6" w:rsidRPr="00E74B0C" w:rsidRDefault="00DB37E6" w:rsidP="00DB37E6">
            <w:pPr>
              <w:pStyle w:val="TableText"/>
              <w:keepNext w:val="0"/>
              <w:jc w:val="center"/>
            </w:pPr>
            <w:r w:rsidRPr="00E74B0C">
              <w:t xml:space="preserve">n=110 </w:t>
            </w:r>
          </w:p>
          <w:p w:rsidR="00DB37E6" w:rsidRPr="00E74B0C" w:rsidRDefault="00DB37E6" w:rsidP="00052399">
            <w:pPr>
              <w:pStyle w:val="TableText"/>
              <w:keepNext w:val="0"/>
              <w:jc w:val="center"/>
            </w:pPr>
            <w:r w:rsidRPr="00E74B0C">
              <w:t>64.1</w:t>
            </w:r>
            <w:r w:rsidR="00052399">
              <w:t>%</w:t>
            </w:r>
            <w:r w:rsidRPr="00E74B0C">
              <w:t xml:space="preserve"> (57.4, 70.8)</w:t>
            </w:r>
          </w:p>
        </w:tc>
        <w:tc>
          <w:tcPr>
            <w:tcW w:w="831" w:type="pct"/>
            <w:tcMar>
              <w:left w:w="28" w:type="dxa"/>
              <w:right w:w="28" w:type="dxa"/>
            </w:tcMar>
            <w:vAlign w:val="center"/>
          </w:tcPr>
          <w:p w:rsidR="00DB37E6" w:rsidRPr="00E74B0C" w:rsidRDefault="00DB37E6" w:rsidP="00DB37E6">
            <w:pPr>
              <w:pStyle w:val="TableText"/>
              <w:keepNext w:val="0"/>
              <w:jc w:val="center"/>
            </w:pPr>
            <w:r w:rsidRPr="00E74B0C">
              <w:t xml:space="preserve">n=148 </w:t>
            </w:r>
          </w:p>
          <w:p w:rsidR="00DB37E6" w:rsidRPr="00E74B0C" w:rsidRDefault="00DB37E6" w:rsidP="00DB37E6">
            <w:pPr>
              <w:pStyle w:val="TableText"/>
              <w:keepNext w:val="0"/>
              <w:jc w:val="center"/>
            </w:pPr>
            <w:r w:rsidRPr="00E74B0C">
              <w:t>88.6</w:t>
            </w:r>
            <w:r w:rsidR="00052399">
              <w:t>%</w:t>
            </w:r>
            <w:r w:rsidRPr="00E74B0C">
              <w:t xml:space="preserve"> (94.2, 93.0)</w:t>
            </w:r>
          </w:p>
        </w:tc>
        <w:tc>
          <w:tcPr>
            <w:tcW w:w="824" w:type="pct"/>
            <w:tcMar>
              <w:left w:w="28" w:type="dxa"/>
              <w:right w:w="28" w:type="dxa"/>
            </w:tcMar>
            <w:vAlign w:val="center"/>
          </w:tcPr>
          <w:p w:rsidR="00DB37E6" w:rsidRPr="00E74B0C" w:rsidRDefault="00DB37E6" w:rsidP="00DB37E6">
            <w:pPr>
              <w:pStyle w:val="TableText"/>
              <w:keepNext w:val="0"/>
              <w:jc w:val="center"/>
            </w:pPr>
            <w:r w:rsidRPr="00E74B0C">
              <w:t xml:space="preserve">n=108 </w:t>
            </w:r>
          </w:p>
          <w:p w:rsidR="00DB37E6" w:rsidRPr="00E74B0C" w:rsidRDefault="00DB37E6" w:rsidP="00DB37E6">
            <w:pPr>
              <w:pStyle w:val="TableText"/>
              <w:keepNext w:val="0"/>
              <w:jc w:val="center"/>
            </w:pPr>
            <w:r w:rsidRPr="00E74B0C">
              <w:t>63.7</w:t>
            </w:r>
            <w:r w:rsidR="00052399">
              <w:t>%</w:t>
            </w:r>
            <w:r w:rsidRPr="00E74B0C">
              <w:t xml:space="preserve"> (57.0, 70.4)</w:t>
            </w:r>
          </w:p>
        </w:tc>
      </w:tr>
      <w:tr w:rsidR="00DB37E6" w:rsidRPr="00E92C52" w:rsidTr="00052399">
        <w:tc>
          <w:tcPr>
            <w:tcW w:w="5000" w:type="pct"/>
            <w:gridSpan w:val="5"/>
            <w:tcMar>
              <w:left w:w="28" w:type="dxa"/>
              <w:right w:w="28" w:type="dxa"/>
            </w:tcMar>
            <w:vAlign w:val="center"/>
          </w:tcPr>
          <w:p w:rsidR="00DB37E6" w:rsidRPr="00E74B0C" w:rsidRDefault="00DB37E6" w:rsidP="00DB37E6">
            <w:pPr>
              <w:pStyle w:val="TableText"/>
              <w:keepNext w:val="0"/>
              <w:rPr>
                <w:b/>
              </w:rPr>
            </w:pPr>
            <w:r w:rsidRPr="00E74B0C">
              <w:rPr>
                <w:b/>
              </w:rPr>
              <w:t>Updated PFS; data cut-off 23 August 2019</w:t>
            </w:r>
          </w:p>
        </w:tc>
      </w:tr>
      <w:tr w:rsidR="00DB37E6" w:rsidRPr="00B1011F" w:rsidTr="00052399">
        <w:trPr>
          <w:trHeight w:val="70"/>
        </w:trPr>
        <w:tc>
          <w:tcPr>
            <w:tcW w:w="1691" w:type="pct"/>
            <w:tcBorders>
              <w:top w:val="single" w:sz="4" w:space="0" w:color="auto"/>
              <w:left w:val="single" w:sz="4" w:space="0" w:color="auto"/>
              <w:right w:val="single" w:sz="4" w:space="0" w:color="auto"/>
            </w:tcBorders>
            <w:tcMar>
              <w:left w:w="28" w:type="dxa"/>
              <w:right w:w="28" w:type="dxa"/>
            </w:tcMar>
            <w:vAlign w:val="center"/>
          </w:tcPr>
          <w:p w:rsidR="00DB37E6" w:rsidRPr="00B1011F" w:rsidRDefault="00DB37E6" w:rsidP="00DB37E6">
            <w:pPr>
              <w:pStyle w:val="TableText"/>
              <w:keepNext w:val="0"/>
              <w:ind w:right="-63"/>
            </w:pPr>
            <w:r>
              <w:t>Patients with events, n (%)</w:t>
            </w:r>
          </w:p>
        </w:tc>
        <w:tc>
          <w:tcPr>
            <w:tcW w:w="83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DB37E6" w:rsidRPr="00E74B0C" w:rsidRDefault="00DB37E6" w:rsidP="00DB37E6">
            <w:pPr>
              <w:pStyle w:val="TableText"/>
              <w:keepNext w:val="0"/>
              <w:jc w:val="center"/>
            </w:pPr>
            <w:r w:rsidRPr="00E74B0C">
              <w:t>42 (19.4%)</w:t>
            </w:r>
          </w:p>
        </w:tc>
        <w:tc>
          <w:tcPr>
            <w:tcW w:w="81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DB37E6" w:rsidRPr="00E74B0C" w:rsidRDefault="00DB37E6" w:rsidP="00DB37E6">
            <w:pPr>
              <w:pStyle w:val="TableText"/>
              <w:keepNext w:val="0"/>
              <w:jc w:val="center"/>
            </w:pPr>
            <w:r w:rsidRPr="00E74B0C">
              <w:t>113 (52.3%)</w:t>
            </w:r>
          </w:p>
        </w:tc>
        <w:tc>
          <w:tcPr>
            <w:tcW w:w="1655" w:type="pct"/>
            <w:gridSpan w:val="2"/>
            <w:vMerge w:val="restart"/>
            <w:tcBorders>
              <w:top w:val="single" w:sz="4" w:space="0" w:color="auto"/>
              <w:left w:val="single" w:sz="4" w:space="0" w:color="auto"/>
              <w:right w:val="single" w:sz="4" w:space="0" w:color="auto"/>
            </w:tcBorders>
            <w:tcMar>
              <w:left w:w="28" w:type="dxa"/>
              <w:right w:w="28" w:type="dxa"/>
            </w:tcMar>
            <w:vAlign w:val="center"/>
          </w:tcPr>
          <w:p w:rsidR="00DB37E6" w:rsidRPr="00E74B0C" w:rsidRDefault="00DB37E6" w:rsidP="00DB37E6">
            <w:pPr>
              <w:pStyle w:val="TableText"/>
              <w:keepNext w:val="0"/>
              <w:jc w:val="center"/>
            </w:pPr>
            <w:r w:rsidRPr="00E74B0C">
              <w:t>NR</w:t>
            </w:r>
          </w:p>
        </w:tc>
      </w:tr>
      <w:tr w:rsidR="00DB37E6" w:rsidRPr="00B1011F" w:rsidTr="00052399">
        <w:trPr>
          <w:trHeight w:val="70"/>
        </w:trPr>
        <w:tc>
          <w:tcPr>
            <w:tcW w:w="1691" w:type="pct"/>
            <w:tcBorders>
              <w:top w:val="single" w:sz="4" w:space="0" w:color="auto"/>
              <w:left w:val="single" w:sz="4" w:space="0" w:color="auto"/>
              <w:right w:val="single" w:sz="4" w:space="0" w:color="auto"/>
            </w:tcBorders>
            <w:tcMar>
              <w:left w:w="28" w:type="dxa"/>
              <w:right w:w="28" w:type="dxa"/>
            </w:tcMar>
          </w:tcPr>
          <w:p w:rsidR="00DB37E6" w:rsidRDefault="00DB37E6" w:rsidP="00DB37E6">
            <w:pPr>
              <w:pStyle w:val="TableText"/>
              <w:keepNext w:val="0"/>
              <w:ind w:right="-63"/>
            </w:pPr>
            <w:r>
              <w:t xml:space="preserve">  Disease progression, n (%)</w:t>
            </w:r>
          </w:p>
        </w:tc>
        <w:tc>
          <w:tcPr>
            <w:tcW w:w="83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DB37E6" w:rsidRPr="00E74B0C" w:rsidRDefault="00DB37E6" w:rsidP="00DB37E6">
            <w:pPr>
              <w:pStyle w:val="TableText"/>
              <w:keepNext w:val="0"/>
              <w:jc w:val="center"/>
            </w:pPr>
            <w:r w:rsidRPr="00E74B0C">
              <w:t>21 (9.7%)</w:t>
            </w:r>
          </w:p>
        </w:tc>
        <w:tc>
          <w:tcPr>
            <w:tcW w:w="81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DB37E6" w:rsidRPr="00E74B0C" w:rsidRDefault="00DB37E6" w:rsidP="00DB37E6">
            <w:pPr>
              <w:pStyle w:val="TableText"/>
              <w:keepNext w:val="0"/>
              <w:jc w:val="center"/>
            </w:pPr>
            <w:r w:rsidRPr="00E74B0C">
              <w:t>102 (47.2%)</w:t>
            </w:r>
          </w:p>
        </w:tc>
        <w:tc>
          <w:tcPr>
            <w:tcW w:w="1655" w:type="pct"/>
            <w:gridSpan w:val="2"/>
            <w:vMerge/>
            <w:tcBorders>
              <w:left w:val="single" w:sz="4" w:space="0" w:color="auto"/>
              <w:right w:val="single" w:sz="4" w:space="0" w:color="auto"/>
            </w:tcBorders>
            <w:tcMar>
              <w:left w:w="28" w:type="dxa"/>
              <w:right w:w="28" w:type="dxa"/>
            </w:tcMar>
            <w:vAlign w:val="center"/>
          </w:tcPr>
          <w:p w:rsidR="00DB37E6" w:rsidRPr="00E74B0C" w:rsidRDefault="00DB37E6" w:rsidP="00DB37E6">
            <w:pPr>
              <w:pStyle w:val="TableText"/>
              <w:keepNext w:val="0"/>
              <w:jc w:val="center"/>
            </w:pPr>
          </w:p>
        </w:tc>
      </w:tr>
      <w:tr w:rsidR="00DB37E6" w:rsidRPr="00B1011F" w:rsidTr="00052399">
        <w:trPr>
          <w:trHeight w:val="70"/>
        </w:trPr>
        <w:tc>
          <w:tcPr>
            <w:tcW w:w="1691" w:type="pct"/>
            <w:tcBorders>
              <w:top w:val="single" w:sz="4" w:space="0" w:color="auto"/>
              <w:left w:val="single" w:sz="4" w:space="0" w:color="auto"/>
              <w:right w:val="single" w:sz="4" w:space="0" w:color="auto"/>
            </w:tcBorders>
            <w:tcMar>
              <w:left w:w="28" w:type="dxa"/>
              <w:right w:w="28" w:type="dxa"/>
            </w:tcMar>
          </w:tcPr>
          <w:p w:rsidR="00DB37E6" w:rsidRDefault="00DB37E6" w:rsidP="00DB37E6">
            <w:pPr>
              <w:pStyle w:val="TableText"/>
              <w:keepNext w:val="0"/>
              <w:ind w:right="-63"/>
            </w:pPr>
            <w:r>
              <w:t xml:space="preserve">  Death any cause, n (%)</w:t>
            </w:r>
          </w:p>
        </w:tc>
        <w:tc>
          <w:tcPr>
            <w:tcW w:w="839"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DB37E6" w:rsidRPr="00E74B0C" w:rsidRDefault="00DB37E6" w:rsidP="00DB37E6">
            <w:pPr>
              <w:pStyle w:val="TableText"/>
              <w:keepNext w:val="0"/>
              <w:jc w:val="center"/>
            </w:pPr>
            <w:r w:rsidRPr="00E74B0C">
              <w:t>21 (9.7%)</w:t>
            </w:r>
          </w:p>
        </w:tc>
        <w:tc>
          <w:tcPr>
            <w:tcW w:w="815" w:type="pct"/>
            <w:tcBorders>
              <w:top w:val="single" w:sz="4" w:space="0" w:color="auto"/>
              <w:left w:val="single" w:sz="4" w:space="0" w:color="auto"/>
              <w:right w:val="single" w:sz="4" w:space="0" w:color="auto"/>
            </w:tcBorders>
            <w:shd w:val="clear" w:color="auto" w:fill="auto"/>
            <w:tcMar>
              <w:left w:w="28" w:type="dxa"/>
              <w:right w:w="28" w:type="dxa"/>
            </w:tcMar>
            <w:vAlign w:val="center"/>
          </w:tcPr>
          <w:p w:rsidR="00DB37E6" w:rsidRPr="00E74B0C" w:rsidRDefault="00DB37E6" w:rsidP="00DB37E6">
            <w:pPr>
              <w:pStyle w:val="TableText"/>
              <w:keepNext w:val="0"/>
              <w:jc w:val="center"/>
            </w:pPr>
            <w:r w:rsidRPr="00E74B0C">
              <w:t>11 (5.1%)</w:t>
            </w:r>
          </w:p>
        </w:tc>
        <w:tc>
          <w:tcPr>
            <w:tcW w:w="1655" w:type="pct"/>
            <w:gridSpan w:val="2"/>
            <w:vMerge/>
            <w:tcBorders>
              <w:left w:val="single" w:sz="4" w:space="0" w:color="auto"/>
              <w:right w:val="single" w:sz="4" w:space="0" w:color="auto"/>
            </w:tcBorders>
            <w:tcMar>
              <w:left w:w="28" w:type="dxa"/>
              <w:right w:w="28" w:type="dxa"/>
            </w:tcMar>
            <w:vAlign w:val="center"/>
          </w:tcPr>
          <w:p w:rsidR="00DB37E6" w:rsidRPr="00E74B0C" w:rsidRDefault="00DB37E6" w:rsidP="00DB37E6">
            <w:pPr>
              <w:pStyle w:val="TableText"/>
              <w:keepNext w:val="0"/>
              <w:jc w:val="center"/>
            </w:pPr>
          </w:p>
        </w:tc>
      </w:tr>
      <w:tr w:rsidR="00DB37E6" w:rsidRPr="00B1011F" w:rsidTr="00052399">
        <w:tc>
          <w:tcPr>
            <w:tcW w:w="169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B37E6" w:rsidRPr="00B1011F" w:rsidRDefault="00DB37E6" w:rsidP="00DB37E6">
            <w:pPr>
              <w:pStyle w:val="TableText"/>
              <w:keepNext w:val="0"/>
              <w:ind w:right="-63"/>
            </w:pPr>
            <w:r>
              <w:t>Median time to event, months (95% CI)</w:t>
            </w:r>
          </w:p>
        </w:tc>
        <w:tc>
          <w:tcPr>
            <w:tcW w:w="839"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B37E6" w:rsidRPr="00E74B0C" w:rsidRDefault="00DB37E6" w:rsidP="00DB37E6">
            <w:pPr>
              <w:pStyle w:val="TableText"/>
              <w:keepNext w:val="0"/>
              <w:jc w:val="center"/>
            </w:pPr>
            <w:r w:rsidRPr="00E74B0C">
              <w:t>NR</w:t>
            </w:r>
          </w:p>
        </w:tc>
        <w:tc>
          <w:tcPr>
            <w:tcW w:w="81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DB37E6" w:rsidRPr="00E74B0C" w:rsidRDefault="00DB37E6" w:rsidP="00DB37E6">
            <w:pPr>
              <w:pStyle w:val="TableText"/>
              <w:keepNext w:val="0"/>
              <w:jc w:val="center"/>
            </w:pPr>
            <w:r w:rsidRPr="00E74B0C">
              <w:t>35.6 (33.7, 40.7)</w:t>
            </w:r>
          </w:p>
        </w:tc>
        <w:tc>
          <w:tcPr>
            <w:tcW w:w="1655" w:type="pct"/>
            <w:gridSpan w:val="2"/>
            <w:vMerge/>
            <w:tcBorders>
              <w:left w:val="single" w:sz="4" w:space="0" w:color="auto"/>
              <w:right w:val="single" w:sz="4" w:space="0" w:color="auto"/>
            </w:tcBorders>
            <w:tcMar>
              <w:left w:w="28" w:type="dxa"/>
              <w:right w:w="28" w:type="dxa"/>
            </w:tcMar>
            <w:vAlign w:val="center"/>
          </w:tcPr>
          <w:p w:rsidR="00DB37E6" w:rsidRPr="00E74B0C" w:rsidRDefault="00DB37E6" w:rsidP="00DB37E6">
            <w:pPr>
              <w:pStyle w:val="TableText"/>
              <w:keepNext w:val="0"/>
              <w:jc w:val="center"/>
            </w:pPr>
          </w:p>
        </w:tc>
      </w:tr>
      <w:tr w:rsidR="00DB37E6" w:rsidRPr="00B1011F" w:rsidTr="00052399">
        <w:tc>
          <w:tcPr>
            <w:tcW w:w="1691" w:type="pct"/>
            <w:tcMar>
              <w:left w:w="28" w:type="dxa"/>
              <w:right w:w="28" w:type="dxa"/>
            </w:tcMar>
            <w:vAlign w:val="center"/>
          </w:tcPr>
          <w:p w:rsidR="00DB37E6" w:rsidRPr="00C45A65" w:rsidRDefault="00DB37E6" w:rsidP="00DB37E6">
            <w:pPr>
              <w:pStyle w:val="TableText"/>
              <w:keepNext w:val="0"/>
              <w:ind w:right="-63"/>
              <w:rPr>
                <w:vertAlign w:val="superscript"/>
              </w:rPr>
            </w:pPr>
            <w:r>
              <w:t>Stratified HR (95% CI)</w:t>
            </w:r>
            <w:r>
              <w:rPr>
                <w:vertAlign w:val="superscript"/>
              </w:rPr>
              <w:t>a</w:t>
            </w:r>
          </w:p>
        </w:tc>
        <w:tc>
          <w:tcPr>
            <w:tcW w:w="1654" w:type="pct"/>
            <w:gridSpan w:val="2"/>
            <w:tcBorders>
              <w:right w:val="single" w:sz="4" w:space="0" w:color="auto"/>
            </w:tcBorders>
            <w:shd w:val="clear" w:color="auto" w:fill="auto"/>
            <w:tcMar>
              <w:left w:w="28" w:type="dxa"/>
              <w:right w:w="28" w:type="dxa"/>
            </w:tcMar>
            <w:vAlign w:val="center"/>
          </w:tcPr>
          <w:p w:rsidR="00DB37E6" w:rsidRPr="00E74B0C" w:rsidRDefault="00DB37E6" w:rsidP="00DB37E6">
            <w:pPr>
              <w:pStyle w:val="TableText"/>
              <w:keepNext w:val="0"/>
              <w:jc w:val="center"/>
              <w:rPr>
                <w:b/>
              </w:rPr>
            </w:pPr>
            <w:r w:rsidRPr="00E74B0C">
              <w:rPr>
                <w:b/>
              </w:rPr>
              <w:t>0.31 (0.22, 0.44)</w:t>
            </w:r>
          </w:p>
        </w:tc>
        <w:tc>
          <w:tcPr>
            <w:tcW w:w="1655" w:type="pct"/>
            <w:gridSpan w:val="2"/>
            <w:vMerge/>
            <w:tcBorders>
              <w:left w:val="single" w:sz="4" w:space="0" w:color="auto"/>
              <w:right w:val="single" w:sz="4" w:space="0" w:color="auto"/>
            </w:tcBorders>
            <w:tcMar>
              <w:left w:w="28" w:type="dxa"/>
              <w:right w:w="28" w:type="dxa"/>
            </w:tcMar>
            <w:vAlign w:val="center"/>
          </w:tcPr>
          <w:p w:rsidR="00DB37E6" w:rsidRPr="00E74B0C" w:rsidRDefault="00DB37E6" w:rsidP="00DB37E6">
            <w:pPr>
              <w:pStyle w:val="TableText"/>
              <w:keepNext w:val="0"/>
              <w:jc w:val="center"/>
            </w:pPr>
          </w:p>
        </w:tc>
      </w:tr>
      <w:tr w:rsidR="00DB37E6" w:rsidRPr="00B1011F" w:rsidTr="00052399">
        <w:tc>
          <w:tcPr>
            <w:tcW w:w="1691" w:type="pct"/>
            <w:tcMar>
              <w:left w:w="28" w:type="dxa"/>
              <w:right w:w="28" w:type="dxa"/>
            </w:tcMar>
            <w:vAlign w:val="center"/>
          </w:tcPr>
          <w:p w:rsidR="00DB37E6" w:rsidRPr="00B1011F" w:rsidRDefault="00DB37E6" w:rsidP="00DB37E6">
            <w:pPr>
              <w:pStyle w:val="TableText"/>
              <w:keepNext w:val="0"/>
              <w:ind w:right="-63"/>
            </w:pPr>
            <w:r>
              <w:t>Estimated 1 year PFS rate, % (95% CI)</w:t>
            </w:r>
          </w:p>
        </w:tc>
        <w:tc>
          <w:tcPr>
            <w:tcW w:w="839" w:type="pct"/>
            <w:tcMar>
              <w:left w:w="28" w:type="dxa"/>
              <w:right w:w="28" w:type="dxa"/>
            </w:tcMar>
            <w:vAlign w:val="center"/>
          </w:tcPr>
          <w:p w:rsidR="00DB37E6" w:rsidRPr="00E74B0C" w:rsidRDefault="00DB37E6" w:rsidP="00DB37E6">
            <w:pPr>
              <w:pStyle w:val="TableText"/>
              <w:keepNext w:val="0"/>
              <w:jc w:val="center"/>
            </w:pPr>
            <w:r w:rsidRPr="00E74B0C">
              <w:t xml:space="preserve">n=192 </w:t>
            </w:r>
          </w:p>
          <w:p w:rsidR="00DB37E6" w:rsidRPr="00E74B0C" w:rsidRDefault="00DB37E6" w:rsidP="00DB37E6">
            <w:pPr>
              <w:pStyle w:val="TableText"/>
              <w:keepNext w:val="0"/>
              <w:jc w:val="center"/>
            </w:pPr>
            <w:r w:rsidRPr="00E74B0C">
              <w:t>94.6</w:t>
            </w:r>
            <w:r w:rsidR="00052399">
              <w:t>%</w:t>
            </w:r>
            <w:r w:rsidRPr="00E74B0C">
              <w:t xml:space="preserve"> (91.5, 97.7)</w:t>
            </w:r>
          </w:p>
        </w:tc>
        <w:tc>
          <w:tcPr>
            <w:tcW w:w="815" w:type="pct"/>
            <w:tcBorders>
              <w:right w:val="single" w:sz="4" w:space="0" w:color="auto"/>
            </w:tcBorders>
            <w:tcMar>
              <w:left w:w="28" w:type="dxa"/>
              <w:right w:w="28" w:type="dxa"/>
            </w:tcMar>
            <w:vAlign w:val="center"/>
          </w:tcPr>
          <w:p w:rsidR="00DB37E6" w:rsidRPr="00E74B0C" w:rsidRDefault="00DB37E6" w:rsidP="00DB37E6">
            <w:pPr>
              <w:pStyle w:val="TableText"/>
              <w:keepNext w:val="0"/>
              <w:jc w:val="center"/>
            </w:pPr>
            <w:r w:rsidRPr="00E74B0C">
              <w:t xml:space="preserve">n=184 </w:t>
            </w:r>
          </w:p>
          <w:p w:rsidR="00DB37E6" w:rsidRPr="00E74B0C" w:rsidRDefault="00DB37E6" w:rsidP="00DB37E6">
            <w:pPr>
              <w:pStyle w:val="TableText"/>
              <w:keepNext w:val="0"/>
              <w:jc w:val="center"/>
            </w:pPr>
            <w:r w:rsidRPr="00E74B0C">
              <w:t>92.1</w:t>
            </w:r>
            <w:r w:rsidR="00052399">
              <w:t>%</w:t>
            </w:r>
            <w:r w:rsidRPr="00E74B0C">
              <w:t xml:space="preserve"> (88.4, 95.8)</w:t>
            </w:r>
          </w:p>
        </w:tc>
        <w:tc>
          <w:tcPr>
            <w:tcW w:w="1655" w:type="pct"/>
            <w:gridSpan w:val="2"/>
            <w:vMerge w:val="restart"/>
            <w:tcBorders>
              <w:left w:val="single" w:sz="4" w:space="0" w:color="auto"/>
              <w:right w:val="single" w:sz="4" w:space="0" w:color="auto"/>
            </w:tcBorders>
            <w:tcMar>
              <w:left w:w="28" w:type="dxa"/>
              <w:right w:w="28" w:type="dxa"/>
            </w:tcMar>
            <w:vAlign w:val="center"/>
          </w:tcPr>
          <w:p w:rsidR="00DB37E6" w:rsidRPr="00E74B0C" w:rsidRDefault="00DB37E6" w:rsidP="00DB37E6">
            <w:pPr>
              <w:pStyle w:val="TableText"/>
              <w:keepNext w:val="0"/>
              <w:jc w:val="center"/>
            </w:pPr>
            <w:r w:rsidRPr="00E74B0C">
              <w:t>NR</w:t>
            </w:r>
          </w:p>
        </w:tc>
      </w:tr>
      <w:tr w:rsidR="00DB37E6" w:rsidRPr="00B1011F" w:rsidTr="00052399">
        <w:tc>
          <w:tcPr>
            <w:tcW w:w="1691" w:type="pct"/>
            <w:tcMar>
              <w:left w:w="28" w:type="dxa"/>
              <w:right w:w="28" w:type="dxa"/>
            </w:tcMar>
            <w:vAlign w:val="center"/>
          </w:tcPr>
          <w:p w:rsidR="00DB37E6" w:rsidRPr="00B1011F" w:rsidRDefault="00DB37E6" w:rsidP="00DB37E6">
            <w:pPr>
              <w:pStyle w:val="TableText"/>
              <w:keepNext w:val="0"/>
              <w:ind w:right="-63"/>
            </w:pPr>
            <w:r>
              <w:t>Estimated 2 year PFS rate, % (95% CI)</w:t>
            </w:r>
          </w:p>
        </w:tc>
        <w:tc>
          <w:tcPr>
            <w:tcW w:w="839" w:type="pct"/>
            <w:tcMar>
              <w:left w:w="28" w:type="dxa"/>
              <w:right w:w="28" w:type="dxa"/>
            </w:tcMar>
            <w:vAlign w:val="center"/>
          </w:tcPr>
          <w:p w:rsidR="00DB37E6" w:rsidRPr="00BB7161" w:rsidRDefault="00DB37E6" w:rsidP="00DB37E6">
            <w:pPr>
              <w:pStyle w:val="TableText"/>
              <w:keepNext w:val="0"/>
              <w:jc w:val="center"/>
            </w:pPr>
            <w:r w:rsidRPr="00BB7161">
              <w:t xml:space="preserve">n=176 </w:t>
            </w:r>
          </w:p>
          <w:p w:rsidR="00DB37E6" w:rsidRPr="00BB7161" w:rsidRDefault="00DB37E6" w:rsidP="00DB37E6">
            <w:pPr>
              <w:pStyle w:val="TableText"/>
              <w:keepNext w:val="0"/>
              <w:jc w:val="center"/>
            </w:pPr>
            <w:r w:rsidRPr="00BB7161">
              <w:t>88.2</w:t>
            </w:r>
            <w:r w:rsidR="00052399">
              <w:t>%</w:t>
            </w:r>
            <w:r w:rsidRPr="00BB7161">
              <w:t xml:space="preserve"> (83.7, 92.6)</w:t>
            </w:r>
          </w:p>
        </w:tc>
        <w:tc>
          <w:tcPr>
            <w:tcW w:w="815" w:type="pct"/>
            <w:tcBorders>
              <w:right w:val="single" w:sz="4" w:space="0" w:color="auto"/>
            </w:tcBorders>
            <w:tcMar>
              <w:left w:w="28" w:type="dxa"/>
              <w:right w:w="28" w:type="dxa"/>
            </w:tcMar>
            <w:vAlign w:val="center"/>
          </w:tcPr>
          <w:p w:rsidR="00DB37E6" w:rsidRPr="00BB7161" w:rsidRDefault="00DB37E6" w:rsidP="00DB37E6">
            <w:pPr>
              <w:pStyle w:val="TableText"/>
              <w:keepNext w:val="0"/>
              <w:jc w:val="center"/>
            </w:pPr>
            <w:r w:rsidRPr="00BB7161">
              <w:t xml:space="preserve">n=129 </w:t>
            </w:r>
          </w:p>
          <w:p w:rsidR="00DB37E6" w:rsidRPr="00BB7161" w:rsidRDefault="00DB37E6" w:rsidP="00DB37E6">
            <w:pPr>
              <w:pStyle w:val="TableText"/>
              <w:keepNext w:val="0"/>
              <w:jc w:val="center"/>
            </w:pPr>
            <w:r w:rsidRPr="00BB7161">
              <w:t>64.6</w:t>
            </w:r>
            <w:r w:rsidR="00052399">
              <w:t>%</w:t>
            </w:r>
            <w:r w:rsidRPr="00BB7161">
              <w:t xml:space="preserve"> (58.0, 71.2)</w:t>
            </w:r>
          </w:p>
        </w:tc>
        <w:tc>
          <w:tcPr>
            <w:tcW w:w="1655" w:type="pct"/>
            <w:gridSpan w:val="2"/>
            <w:vMerge/>
            <w:tcBorders>
              <w:left w:val="single" w:sz="4" w:space="0" w:color="auto"/>
              <w:right w:val="single" w:sz="4" w:space="0" w:color="auto"/>
            </w:tcBorders>
            <w:tcMar>
              <w:left w:w="28" w:type="dxa"/>
              <w:right w:w="28" w:type="dxa"/>
            </w:tcMar>
            <w:vAlign w:val="center"/>
          </w:tcPr>
          <w:p w:rsidR="00DB37E6" w:rsidRPr="00B1011F" w:rsidRDefault="00DB37E6" w:rsidP="00DB37E6">
            <w:pPr>
              <w:pStyle w:val="TableText"/>
              <w:keepNext w:val="0"/>
              <w:jc w:val="center"/>
            </w:pPr>
          </w:p>
        </w:tc>
      </w:tr>
      <w:tr w:rsidR="00DB37E6" w:rsidRPr="00B1011F" w:rsidTr="00052399">
        <w:tc>
          <w:tcPr>
            <w:tcW w:w="169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B37E6" w:rsidRPr="00B1011F" w:rsidRDefault="00DB37E6" w:rsidP="00DB37E6">
            <w:pPr>
              <w:pStyle w:val="TableText"/>
              <w:keepNext w:val="0"/>
              <w:ind w:right="-63"/>
            </w:pPr>
            <w:r>
              <w:t>Estimated 3 year PFS rate, % (95% CI)</w:t>
            </w:r>
          </w:p>
        </w:tc>
        <w:tc>
          <w:tcPr>
            <w:tcW w:w="83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B37E6" w:rsidRDefault="00DB37E6" w:rsidP="00DB37E6">
            <w:pPr>
              <w:pStyle w:val="TableText"/>
              <w:keepNext w:val="0"/>
              <w:jc w:val="center"/>
            </w:pPr>
            <w:r>
              <w:t xml:space="preserve">n=97 </w:t>
            </w:r>
          </w:p>
          <w:p w:rsidR="00DB37E6" w:rsidRPr="00B1011F" w:rsidRDefault="00DB37E6" w:rsidP="00DB37E6">
            <w:pPr>
              <w:pStyle w:val="TableText"/>
              <w:keepNext w:val="0"/>
              <w:jc w:val="center"/>
            </w:pPr>
            <w:r>
              <w:t>81</w:t>
            </w:r>
            <w:r w:rsidRPr="00895C4D">
              <w:t>.</w:t>
            </w:r>
            <w:r>
              <w:t>9</w:t>
            </w:r>
            <w:r w:rsidR="00052399">
              <w:t>%</w:t>
            </w:r>
            <w:r>
              <w:t xml:space="preserve"> (76.5,</w:t>
            </w:r>
            <w:r w:rsidRPr="00895C4D">
              <w:t xml:space="preserve"> </w:t>
            </w:r>
            <w:r>
              <w:t>87.3</w:t>
            </w:r>
            <w:r w:rsidRPr="00895C4D">
              <w:t>)</w:t>
            </w:r>
          </w:p>
        </w:tc>
        <w:tc>
          <w:tcPr>
            <w:tcW w:w="81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DB37E6" w:rsidRDefault="00DB37E6" w:rsidP="00DB37E6">
            <w:pPr>
              <w:pStyle w:val="TableText"/>
              <w:keepNext w:val="0"/>
              <w:jc w:val="center"/>
            </w:pPr>
            <w:r>
              <w:t xml:space="preserve">n=69 </w:t>
            </w:r>
          </w:p>
          <w:p w:rsidR="00DB37E6" w:rsidRPr="00B1011F" w:rsidRDefault="00DB37E6" w:rsidP="00DB37E6">
            <w:pPr>
              <w:pStyle w:val="TableText"/>
              <w:keepNext w:val="0"/>
              <w:jc w:val="center"/>
            </w:pPr>
            <w:r>
              <w:t>49.5</w:t>
            </w:r>
            <w:r w:rsidR="00052399">
              <w:t>%</w:t>
            </w:r>
            <w:r w:rsidRPr="00895C4D">
              <w:t xml:space="preserve"> </w:t>
            </w:r>
            <w:r>
              <w:t>(42.4,</w:t>
            </w:r>
            <w:r w:rsidRPr="00895C4D">
              <w:t xml:space="preserve"> </w:t>
            </w:r>
            <w:r>
              <w:t>56.6</w:t>
            </w:r>
            <w:r w:rsidRPr="00895C4D">
              <w:t>)</w:t>
            </w:r>
          </w:p>
        </w:tc>
        <w:tc>
          <w:tcPr>
            <w:tcW w:w="1655" w:type="pct"/>
            <w:gridSpan w:val="2"/>
            <w:vMerge/>
            <w:tcBorders>
              <w:left w:val="single" w:sz="4" w:space="0" w:color="auto"/>
              <w:bottom w:val="single" w:sz="4" w:space="0" w:color="auto"/>
              <w:right w:val="single" w:sz="4" w:space="0" w:color="auto"/>
            </w:tcBorders>
            <w:tcMar>
              <w:left w:w="28" w:type="dxa"/>
              <w:right w:w="28" w:type="dxa"/>
            </w:tcMar>
            <w:vAlign w:val="center"/>
          </w:tcPr>
          <w:p w:rsidR="00DB37E6" w:rsidRPr="00B1011F" w:rsidRDefault="00DB37E6" w:rsidP="00DB37E6">
            <w:pPr>
              <w:pStyle w:val="TableText"/>
              <w:keepNext w:val="0"/>
              <w:jc w:val="center"/>
            </w:pPr>
          </w:p>
        </w:tc>
      </w:tr>
    </w:tbl>
    <w:p w:rsidR="00E74B0C" w:rsidRDefault="00DB37E6" w:rsidP="00E74B0C">
      <w:pPr>
        <w:pStyle w:val="TableNotes"/>
        <w:spacing w:before="0"/>
        <w:rPr>
          <w:rFonts w:ascii="Arial Narrow" w:hAnsi="Arial Narrow"/>
          <w:sz w:val="18"/>
          <w:szCs w:val="18"/>
        </w:rPr>
      </w:pPr>
      <w:r w:rsidRPr="00984790">
        <w:rPr>
          <w:rFonts w:ascii="Arial Narrow" w:hAnsi="Arial Narrow"/>
          <w:sz w:val="18"/>
          <w:szCs w:val="18"/>
        </w:rPr>
        <w:t xml:space="preserve">Source: Table 31, p.59 of the submission; Tables 20 and 21, p.106-108 of the CLL-14 Clinical Study Report; Table 1, p.2 of VTX_PBAC </w:t>
      </w:r>
      <w:r w:rsidR="00D53AC5">
        <w:rPr>
          <w:rFonts w:ascii="Arial Narrow" w:hAnsi="Arial Narrow"/>
          <w:sz w:val="18"/>
          <w:szCs w:val="18"/>
        </w:rPr>
        <w:t>submission_</w:t>
      </w:r>
      <w:r w:rsidR="005A4508" w:rsidRPr="00984790">
        <w:rPr>
          <w:rFonts w:ascii="Arial Narrow" w:hAnsi="Arial Narrow"/>
          <w:sz w:val="18"/>
          <w:szCs w:val="18"/>
        </w:rPr>
        <w:t>updated</w:t>
      </w:r>
      <w:r w:rsidRPr="00984790">
        <w:rPr>
          <w:rFonts w:ascii="Arial Narrow" w:hAnsi="Arial Narrow"/>
          <w:sz w:val="18"/>
          <w:szCs w:val="18"/>
        </w:rPr>
        <w:t xml:space="preserve"> data.docx</w:t>
      </w:r>
    </w:p>
    <w:p w:rsidR="00F5003F" w:rsidRPr="00F5003F" w:rsidRDefault="00DB37E6" w:rsidP="00E74B0C">
      <w:pPr>
        <w:pStyle w:val="TableNotes"/>
        <w:spacing w:before="0"/>
        <w:rPr>
          <w:rFonts w:eastAsia="Calibri"/>
        </w:rPr>
      </w:pPr>
      <w:r w:rsidRPr="00984790">
        <w:rPr>
          <w:rFonts w:ascii="Arial Narrow" w:eastAsia="Calibri" w:hAnsi="Arial Narrow"/>
          <w:sz w:val="18"/>
          <w:szCs w:val="18"/>
        </w:rPr>
        <w:t>Abbreviations: CI, confidence interval; HR, hazard ratio; INV, investigator assessed result; IRC, independent review committee; ITT, intention-to-treat; NE, not estimable; NR, not reported; PFS, progression free survival</w:t>
      </w:r>
    </w:p>
    <w:p w:rsidR="00E66A02" w:rsidRPr="00F5003F" w:rsidRDefault="00DB37E6" w:rsidP="00F5003F">
      <w:pPr>
        <w:pStyle w:val="TableNotes"/>
        <w:spacing w:before="0"/>
        <w:rPr>
          <w:rFonts w:ascii="Arial Narrow" w:eastAsia="Calibri" w:hAnsi="Arial Narrow"/>
          <w:sz w:val="18"/>
          <w:szCs w:val="18"/>
        </w:rPr>
      </w:pPr>
      <w:r w:rsidRPr="00F5003F">
        <w:rPr>
          <w:rFonts w:ascii="Arial Narrow" w:eastAsia="Calibri" w:hAnsi="Arial Narrow"/>
          <w:sz w:val="18"/>
          <w:szCs w:val="18"/>
          <w:vertAlign w:val="superscript"/>
        </w:rPr>
        <w:t>a</w:t>
      </w:r>
      <w:r w:rsidRPr="00F5003F">
        <w:rPr>
          <w:rFonts w:ascii="Arial Narrow" w:eastAsia="Calibri" w:hAnsi="Arial Narrow"/>
          <w:sz w:val="18"/>
          <w:szCs w:val="18"/>
        </w:rPr>
        <w:t xml:space="preserve"> Hazard ratio &lt; 1 favours venetoclax + obinutuzumab</w:t>
      </w:r>
      <w:r w:rsidR="00E66A02" w:rsidRPr="00F5003F">
        <w:rPr>
          <w:rFonts w:ascii="Arial Narrow" w:eastAsia="Calibri" w:hAnsi="Arial Narrow"/>
          <w:sz w:val="18"/>
          <w:szCs w:val="18"/>
        </w:rPr>
        <w:t>; statistically significant results in bold</w:t>
      </w:r>
    </w:p>
    <w:p w:rsidR="00DE4F40" w:rsidRDefault="00DE4F40">
      <w:pPr>
        <w:jc w:val="left"/>
        <w:rPr>
          <w:rFonts w:ascii="Arial Narrow" w:eastAsiaTheme="minorHAnsi" w:hAnsi="Arial Narrow" w:cstheme="minorBidi"/>
          <w:b/>
          <w:sz w:val="20"/>
          <w:szCs w:val="22"/>
          <w:lang w:eastAsia="en-US"/>
        </w:rPr>
      </w:pPr>
      <w:r>
        <w:br w:type="page"/>
      </w:r>
    </w:p>
    <w:p w:rsidR="00DB37E6" w:rsidRDefault="00DB37E6" w:rsidP="00DB37E6">
      <w:pPr>
        <w:pStyle w:val="TableHeading"/>
      </w:pPr>
      <w:r>
        <w:lastRenderedPageBreak/>
        <w:t xml:space="preserve">Figure 1: Kaplan-Meier plots for INV assessed PFS at a </w:t>
      </w:r>
      <w:r w:rsidRPr="000E00BA">
        <w:t>me</w:t>
      </w:r>
      <w:r>
        <w:t xml:space="preserve">dian follow-up of </w:t>
      </w:r>
      <w:r w:rsidR="000F56E5">
        <w:t>29.06</w:t>
      </w:r>
      <w:r>
        <w:t xml:space="preserve"> months (</w:t>
      </w:r>
      <w:r w:rsidRPr="000E00BA">
        <w:t>ITT</w:t>
      </w:r>
      <w:r>
        <w:t>; 17 August 2018)</w:t>
      </w:r>
    </w:p>
    <w:p w:rsidR="00DB37E6" w:rsidRDefault="00DB37E6" w:rsidP="00DB37E6">
      <w:r w:rsidRPr="004B7BA2">
        <w:rPr>
          <w:noProof/>
        </w:rPr>
        <w:drawing>
          <wp:inline distT="0" distB="0" distL="0" distR="0" wp14:anchorId="683704C0" wp14:editId="21BE20B4">
            <wp:extent cx="5859455" cy="2838203"/>
            <wp:effectExtent l="0" t="0" r="8255" b="635"/>
            <wp:docPr id="18" name="Picture 18" title="Figure 1: Kaplan-Meier plots for INV assessed PFS at a median follow-up of 29.06 months (ITT; 17 August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lum bright="-20000" contrast="40000"/>
                      <a:extLst>
                        <a:ext uri="{28A0092B-C50C-407E-A947-70E740481C1C}">
                          <a14:useLocalDpi xmlns:a14="http://schemas.microsoft.com/office/drawing/2010/main" val="0"/>
                        </a:ext>
                      </a:extLst>
                    </a:blip>
                    <a:srcRect r="5832"/>
                    <a:stretch/>
                  </pic:blipFill>
                  <pic:spPr bwMode="auto">
                    <a:xfrm>
                      <a:off x="0" y="0"/>
                      <a:ext cx="5868309" cy="2842492"/>
                    </a:xfrm>
                    <a:prstGeom prst="rect">
                      <a:avLst/>
                    </a:prstGeom>
                    <a:noFill/>
                    <a:ln>
                      <a:noFill/>
                    </a:ln>
                    <a:extLst>
                      <a:ext uri="{53640926-AAD7-44D8-BBD7-CCE9431645EC}">
                        <a14:shadowObscured xmlns:a14="http://schemas.microsoft.com/office/drawing/2010/main"/>
                      </a:ext>
                    </a:extLst>
                  </pic:spPr>
                </pic:pic>
              </a:graphicData>
            </a:graphic>
          </wp:inline>
        </w:drawing>
      </w:r>
    </w:p>
    <w:p w:rsidR="00DB37E6" w:rsidRPr="00E859DC" w:rsidRDefault="00DB37E6" w:rsidP="000649A4">
      <w:pPr>
        <w:pStyle w:val="TableNotes"/>
        <w:spacing w:before="0"/>
        <w:rPr>
          <w:rFonts w:ascii="Arial Narrow" w:hAnsi="Arial Narrow"/>
          <w:sz w:val="18"/>
          <w:szCs w:val="18"/>
        </w:rPr>
      </w:pPr>
      <w:r w:rsidRPr="00E859DC">
        <w:rPr>
          <w:rFonts w:ascii="Arial Narrow" w:hAnsi="Arial Narrow"/>
          <w:sz w:val="18"/>
          <w:szCs w:val="18"/>
        </w:rPr>
        <w:t>Source: Figure 4, p.109 of the CLL-14 Clinical Study Report</w:t>
      </w:r>
    </w:p>
    <w:p w:rsidR="00DB37E6" w:rsidRPr="00E859DC" w:rsidRDefault="00DB37E6" w:rsidP="00DB37E6">
      <w:pPr>
        <w:pStyle w:val="TableNotes"/>
        <w:rPr>
          <w:rFonts w:ascii="Arial Narrow" w:hAnsi="Arial Narrow"/>
          <w:sz w:val="18"/>
          <w:szCs w:val="18"/>
        </w:rPr>
      </w:pPr>
      <w:r w:rsidRPr="00E859DC">
        <w:rPr>
          <w:rFonts w:ascii="Arial Narrow" w:hAnsi="Arial Narrow"/>
          <w:sz w:val="18"/>
          <w:szCs w:val="18"/>
        </w:rPr>
        <w:t xml:space="preserve">Abbreviations: CI, confidence interval; </w:t>
      </w:r>
      <w:r>
        <w:rPr>
          <w:rFonts w:ascii="Arial Narrow" w:hAnsi="Arial Narrow"/>
          <w:sz w:val="18"/>
          <w:szCs w:val="18"/>
        </w:rPr>
        <w:t>INV</w:t>
      </w:r>
      <w:r w:rsidRPr="00E859DC">
        <w:rPr>
          <w:rFonts w:ascii="Arial Narrow" w:hAnsi="Arial Narrow"/>
          <w:sz w:val="18"/>
          <w:szCs w:val="18"/>
        </w:rPr>
        <w:t xml:space="preserve">, </w:t>
      </w:r>
      <w:r>
        <w:rPr>
          <w:rFonts w:ascii="Arial Narrow" w:hAnsi="Arial Narrow"/>
          <w:sz w:val="18"/>
          <w:szCs w:val="18"/>
        </w:rPr>
        <w:t>investigator</w:t>
      </w:r>
      <w:r w:rsidRPr="00E859DC">
        <w:rPr>
          <w:rFonts w:ascii="Arial Narrow" w:hAnsi="Arial Narrow"/>
          <w:sz w:val="18"/>
          <w:szCs w:val="18"/>
        </w:rPr>
        <w:t>; GClb, chlorambucil + obinutuzumab; ITT, intention-to-treat; PFS, progression free survival; VEN+G, venetoclax + obinutuzumab</w:t>
      </w:r>
    </w:p>
    <w:p w:rsidR="00DB37E6" w:rsidRPr="00E859DC" w:rsidRDefault="00DB37E6" w:rsidP="00DB37E6">
      <w:pPr>
        <w:pStyle w:val="TableNotes"/>
        <w:rPr>
          <w:rFonts w:ascii="Arial Narrow" w:hAnsi="Arial Narrow"/>
          <w:sz w:val="18"/>
          <w:szCs w:val="18"/>
        </w:rPr>
      </w:pPr>
      <w:r w:rsidRPr="00E859DC">
        <w:rPr>
          <w:rFonts w:ascii="Arial Narrow" w:hAnsi="Arial Narrow"/>
          <w:sz w:val="18"/>
          <w:szCs w:val="18"/>
        </w:rPr>
        <w:t>Note: Patients without event or death at time of analysis censored at last disease assessment</w:t>
      </w:r>
    </w:p>
    <w:p w:rsidR="00DB37E6" w:rsidRDefault="00B6033C" w:rsidP="00DB37E6">
      <w:pPr>
        <w:pStyle w:val="ExecSumBodyText"/>
      </w:pPr>
      <w:r>
        <w:t>At the August 2018 cut-</w:t>
      </w:r>
      <w:r w:rsidRPr="00910DC5">
        <w:t>off s</w:t>
      </w:r>
      <w:r w:rsidR="00DB37E6" w:rsidRPr="00910DC5">
        <w:t>tatistically significantly fewer patients treated with venetoclax + obinutuzumab experienced disease progression or death</w:t>
      </w:r>
      <w:r w:rsidR="00DB37E6">
        <w:t xml:space="preserve"> at a median follow up of </w:t>
      </w:r>
      <w:r w:rsidR="000F56E5">
        <w:t>29.06</w:t>
      </w:r>
      <w:r w:rsidR="00DB37E6">
        <w:t xml:space="preserve"> months, in both investigator and IRC assessed </w:t>
      </w:r>
      <w:r w:rsidR="001D2DC1">
        <w:t>PFS</w:t>
      </w:r>
      <w:r w:rsidR="00DB37E6">
        <w:t>.</w:t>
      </w:r>
      <w:r w:rsidR="00047BF5">
        <w:t xml:space="preserve"> </w:t>
      </w:r>
      <w:r w:rsidR="00DB37E6" w:rsidRPr="00C97668">
        <w:t xml:space="preserve">Median </w:t>
      </w:r>
      <w:r w:rsidR="001D2DC1">
        <w:t>PFS</w:t>
      </w:r>
      <w:r w:rsidR="00DB37E6" w:rsidRPr="00C97668">
        <w:t xml:space="preserve"> was not reached in </w:t>
      </w:r>
      <w:r w:rsidR="00DB37E6">
        <w:t>either treatment arm</w:t>
      </w:r>
      <w:r w:rsidR="00DB37E6" w:rsidRPr="00C97668">
        <w:t>.</w:t>
      </w:r>
      <w:r w:rsidR="00047BF5">
        <w:t xml:space="preserve"> </w:t>
      </w:r>
      <w:r w:rsidR="00DB37E6">
        <w:t xml:space="preserve"> </w:t>
      </w:r>
    </w:p>
    <w:p w:rsidR="00DB37E6" w:rsidRPr="00047BF5" w:rsidRDefault="00DB37E6" w:rsidP="00DB37E6">
      <w:pPr>
        <w:pStyle w:val="ExecSumBodyText"/>
      </w:pPr>
      <w:r w:rsidRPr="00047BF5">
        <w:t xml:space="preserve">The updated CLL-14 data from the August 2019 cut-off showed similar investigator assessed </w:t>
      </w:r>
      <w:r w:rsidR="001D2DC1">
        <w:t>PFS</w:t>
      </w:r>
      <w:r w:rsidRPr="00047BF5">
        <w:t xml:space="preserve">, favouring venetoclax + obinutuzumab. Median </w:t>
      </w:r>
      <w:r w:rsidR="001D2DC1">
        <w:t>PFS</w:t>
      </w:r>
      <w:r w:rsidRPr="00047BF5">
        <w:t xml:space="preserve"> was not reached in the venetoclax + obinutuzumab arm, and was 35.6 months in the chlorambucil + obinutuzumab arm. </w:t>
      </w:r>
    </w:p>
    <w:p w:rsidR="00DB37E6" w:rsidRPr="006175E4" w:rsidRDefault="00DB37E6" w:rsidP="00DB37E6">
      <w:pPr>
        <w:pStyle w:val="ExecSumBodyText"/>
      </w:pPr>
      <w:r w:rsidRPr="005921FA">
        <w:t xml:space="preserve">Larger proportions of patients in the venetoclax + obinutuzumab treatment arm experienced death by any cause at both the August 2018 (7.4%) and August 2019 (9.7%) cut-offs compared to </w:t>
      </w:r>
      <w:r>
        <w:t>chlorambucil + obinutuzumab</w:t>
      </w:r>
      <w:r w:rsidRPr="005921FA">
        <w:t xml:space="preserve"> (3.7% and 5.1%)</w:t>
      </w:r>
      <w:r w:rsidRPr="006175E4">
        <w:t>.</w:t>
      </w:r>
      <w:r w:rsidR="00FD0672">
        <w:rPr>
          <w:i/>
        </w:rPr>
        <w:t xml:space="preserve">  </w:t>
      </w:r>
    </w:p>
    <w:p w:rsidR="00DB37E6" w:rsidRPr="00842469" w:rsidRDefault="00DB37E6" w:rsidP="00DB37E6">
      <w:pPr>
        <w:pStyle w:val="ExecSumBodyText"/>
      </w:pPr>
      <w:r>
        <w:rPr>
          <w:snapToGrid/>
          <w:lang w:val="en-US"/>
        </w:rPr>
        <w:t xml:space="preserve">Results of the direct comparison for overall survival (OS) are presented in Table </w:t>
      </w:r>
      <w:r w:rsidR="006C16A0">
        <w:rPr>
          <w:snapToGrid/>
          <w:lang w:val="en-US"/>
        </w:rPr>
        <w:t>5</w:t>
      </w:r>
      <w:r>
        <w:rPr>
          <w:snapToGrid/>
          <w:lang w:val="en-US"/>
        </w:rPr>
        <w:t>, with Kaplan-Meier plots for the 17 August 2018 cut-off presented in Figure 2.</w:t>
      </w:r>
    </w:p>
    <w:p w:rsidR="00DB37E6" w:rsidRPr="0042047F" w:rsidRDefault="00DB37E6" w:rsidP="000649A4">
      <w:pPr>
        <w:pStyle w:val="TableHeading"/>
        <w:spacing w:after="0"/>
      </w:pPr>
      <w:r>
        <w:lastRenderedPageBreak/>
        <w:t xml:space="preserve">Table </w:t>
      </w:r>
      <w:r w:rsidR="006C16A0">
        <w:t>5</w:t>
      </w:r>
      <w:r w:rsidRPr="0042047F">
        <w:t xml:space="preserve">: Results of </w:t>
      </w:r>
      <w:r w:rsidR="001D2DC1">
        <w:t>OS</w:t>
      </w:r>
      <w:r w:rsidRPr="0042047F">
        <w:t xml:space="preserve"> </w:t>
      </w:r>
      <w:r>
        <w:t>f</w:t>
      </w:r>
      <w:r w:rsidR="001D2DC1">
        <w:t>rom</w:t>
      </w:r>
      <w:r>
        <w:t xml:space="preserve"> CLL-14 (ITT)</w:t>
      </w:r>
      <w:r w:rsidRPr="0042047F">
        <w:t xml:space="preserve"> </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869"/>
        <w:gridCol w:w="9"/>
        <w:gridCol w:w="2876"/>
      </w:tblGrid>
      <w:tr w:rsidR="00DB37E6" w:rsidRPr="00B1011F" w:rsidTr="00DB37E6">
        <w:tc>
          <w:tcPr>
            <w:tcW w:w="1807" w:type="pct"/>
            <w:vAlign w:val="center"/>
          </w:tcPr>
          <w:p w:rsidR="00DB37E6" w:rsidRPr="00B1011F" w:rsidRDefault="00DB37E6" w:rsidP="00DB37E6">
            <w:pPr>
              <w:pStyle w:val="TableText"/>
              <w:ind w:right="-63"/>
            </w:pPr>
          </w:p>
        </w:tc>
        <w:tc>
          <w:tcPr>
            <w:tcW w:w="1597" w:type="pct"/>
            <w:gridSpan w:val="2"/>
            <w:vAlign w:val="center"/>
          </w:tcPr>
          <w:p w:rsidR="00DB37E6" w:rsidRPr="00F2548F" w:rsidRDefault="00DB37E6" w:rsidP="00DB37E6">
            <w:pPr>
              <w:pStyle w:val="TableText"/>
              <w:jc w:val="center"/>
              <w:rPr>
                <w:b/>
              </w:rPr>
            </w:pPr>
            <w:r w:rsidRPr="00F2548F">
              <w:rPr>
                <w:b/>
              </w:rPr>
              <w:t>Venetoclax + obinutuzumab</w:t>
            </w:r>
          </w:p>
        </w:tc>
        <w:tc>
          <w:tcPr>
            <w:tcW w:w="1596" w:type="pct"/>
            <w:vAlign w:val="center"/>
          </w:tcPr>
          <w:p w:rsidR="00DB37E6" w:rsidRPr="00F2548F" w:rsidRDefault="00DB37E6" w:rsidP="00DB37E6">
            <w:pPr>
              <w:pStyle w:val="TableText"/>
              <w:jc w:val="center"/>
              <w:rPr>
                <w:b/>
              </w:rPr>
            </w:pPr>
            <w:r>
              <w:rPr>
                <w:b/>
              </w:rPr>
              <w:t>Chlorambucil + obinutuzumab</w:t>
            </w:r>
          </w:p>
        </w:tc>
      </w:tr>
      <w:tr w:rsidR="00DB37E6" w:rsidRPr="00B1011F" w:rsidTr="00DB37E6">
        <w:tc>
          <w:tcPr>
            <w:tcW w:w="1807" w:type="pct"/>
            <w:vAlign w:val="center"/>
          </w:tcPr>
          <w:p w:rsidR="00DB37E6" w:rsidRPr="00B1011F" w:rsidRDefault="00DB37E6" w:rsidP="00DB37E6">
            <w:pPr>
              <w:pStyle w:val="TableText"/>
              <w:ind w:right="-63"/>
            </w:pPr>
            <w:r>
              <w:t>N</w:t>
            </w:r>
          </w:p>
        </w:tc>
        <w:tc>
          <w:tcPr>
            <w:tcW w:w="1597" w:type="pct"/>
            <w:gridSpan w:val="2"/>
            <w:vAlign w:val="center"/>
          </w:tcPr>
          <w:p w:rsidR="00DB37E6" w:rsidRPr="00B1011F" w:rsidRDefault="00DB37E6" w:rsidP="00DB37E6">
            <w:pPr>
              <w:pStyle w:val="TableText"/>
              <w:jc w:val="center"/>
            </w:pPr>
            <w:r>
              <w:t>216</w:t>
            </w:r>
          </w:p>
        </w:tc>
        <w:tc>
          <w:tcPr>
            <w:tcW w:w="1596" w:type="pct"/>
            <w:vAlign w:val="center"/>
          </w:tcPr>
          <w:p w:rsidR="00DB37E6" w:rsidRPr="00B1011F" w:rsidRDefault="00DB37E6" w:rsidP="00DB37E6">
            <w:pPr>
              <w:pStyle w:val="TableText"/>
              <w:jc w:val="center"/>
            </w:pPr>
            <w:r>
              <w:t>216</w:t>
            </w:r>
          </w:p>
        </w:tc>
      </w:tr>
      <w:tr w:rsidR="00DB37E6" w:rsidRPr="00E92C52" w:rsidTr="00DB37E6">
        <w:tc>
          <w:tcPr>
            <w:tcW w:w="5000" w:type="pct"/>
            <w:gridSpan w:val="4"/>
            <w:vAlign w:val="center"/>
          </w:tcPr>
          <w:p w:rsidR="00DB37E6" w:rsidRPr="00E92C52" w:rsidRDefault="00DB37E6" w:rsidP="00DB37E6">
            <w:pPr>
              <w:pStyle w:val="TableText"/>
              <w:rPr>
                <w:b/>
              </w:rPr>
            </w:pPr>
            <w:r>
              <w:rPr>
                <w:b/>
              </w:rPr>
              <w:t>Overall survival</w:t>
            </w:r>
            <w:r w:rsidRPr="00E92C52">
              <w:rPr>
                <w:b/>
              </w:rPr>
              <w:t xml:space="preserve">; data cut-off </w:t>
            </w:r>
            <w:r>
              <w:rPr>
                <w:b/>
              </w:rPr>
              <w:t>17</w:t>
            </w:r>
            <w:r w:rsidRPr="00E92C52">
              <w:rPr>
                <w:b/>
              </w:rPr>
              <w:t xml:space="preserve"> </w:t>
            </w:r>
            <w:r>
              <w:rPr>
                <w:b/>
              </w:rPr>
              <w:t>August 2018</w:t>
            </w:r>
          </w:p>
        </w:tc>
      </w:tr>
      <w:tr w:rsidR="00DB37E6" w:rsidRPr="00B1011F" w:rsidTr="00DB37E6">
        <w:tc>
          <w:tcPr>
            <w:tcW w:w="1807" w:type="pct"/>
            <w:vAlign w:val="center"/>
          </w:tcPr>
          <w:p w:rsidR="00DB37E6" w:rsidRPr="00B1011F" w:rsidRDefault="00DB37E6" w:rsidP="00DB37E6">
            <w:pPr>
              <w:pStyle w:val="TableText"/>
              <w:ind w:right="-63"/>
            </w:pPr>
            <w:r>
              <w:t>Patients with events, n (%)</w:t>
            </w:r>
          </w:p>
        </w:tc>
        <w:tc>
          <w:tcPr>
            <w:tcW w:w="1597" w:type="pct"/>
            <w:gridSpan w:val="2"/>
            <w:vAlign w:val="center"/>
          </w:tcPr>
          <w:p w:rsidR="00DB37E6" w:rsidRPr="00B1011F" w:rsidRDefault="00DB37E6" w:rsidP="00DB37E6">
            <w:pPr>
              <w:pStyle w:val="TableText"/>
              <w:jc w:val="center"/>
            </w:pPr>
            <w:r>
              <w:t>20</w:t>
            </w:r>
            <w:r w:rsidRPr="00895C4D">
              <w:t xml:space="preserve"> (</w:t>
            </w:r>
            <w:r>
              <w:t>9.3%</w:t>
            </w:r>
            <w:r w:rsidRPr="00895C4D">
              <w:t>)</w:t>
            </w:r>
          </w:p>
        </w:tc>
        <w:tc>
          <w:tcPr>
            <w:tcW w:w="1596" w:type="pct"/>
            <w:vAlign w:val="center"/>
          </w:tcPr>
          <w:p w:rsidR="00DB37E6" w:rsidRPr="00B1011F" w:rsidRDefault="00DB37E6" w:rsidP="00DB37E6">
            <w:pPr>
              <w:pStyle w:val="TableText"/>
              <w:jc w:val="center"/>
            </w:pPr>
            <w:r>
              <w:t>17</w:t>
            </w:r>
            <w:r w:rsidRPr="00895C4D">
              <w:t xml:space="preserve"> (</w:t>
            </w:r>
            <w:r>
              <w:t>7.9%</w:t>
            </w:r>
            <w:r w:rsidRPr="00895C4D">
              <w:t>)</w:t>
            </w:r>
          </w:p>
        </w:tc>
      </w:tr>
      <w:tr w:rsidR="00DB37E6" w:rsidRPr="00B1011F" w:rsidTr="00DB37E6">
        <w:tc>
          <w:tcPr>
            <w:tcW w:w="1807" w:type="pct"/>
            <w:vAlign w:val="center"/>
          </w:tcPr>
          <w:p w:rsidR="00DB37E6" w:rsidRPr="00B1011F" w:rsidRDefault="00DB37E6" w:rsidP="00DB37E6">
            <w:pPr>
              <w:pStyle w:val="TableText"/>
              <w:ind w:right="-63"/>
            </w:pPr>
            <w:r>
              <w:t>Median time to event, months (95% CI)</w:t>
            </w:r>
          </w:p>
        </w:tc>
        <w:tc>
          <w:tcPr>
            <w:tcW w:w="1597" w:type="pct"/>
            <w:gridSpan w:val="2"/>
            <w:vAlign w:val="center"/>
          </w:tcPr>
          <w:p w:rsidR="00DB37E6" w:rsidRPr="00B1011F" w:rsidRDefault="00DB37E6" w:rsidP="00DB37E6">
            <w:pPr>
              <w:pStyle w:val="TableText"/>
              <w:jc w:val="center"/>
            </w:pPr>
            <w:r>
              <w:t>NE (0, 35.4)</w:t>
            </w:r>
          </w:p>
        </w:tc>
        <w:tc>
          <w:tcPr>
            <w:tcW w:w="1596" w:type="pct"/>
            <w:vAlign w:val="center"/>
          </w:tcPr>
          <w:p w:rsidR="00DB37E6" w:rsidRPr="00B1011F" w:rsidRDefault="00DB37E6" w:rsidP="00DB37E6">
            <w:pPr>
              <w:pStyle w:val="TableText"/>
              <w:jc w:val="center"/>
            </w:pPr>
            <w:r>
              <w:t>NE (0, 35.4)</w:t>
            </w:r>
          </w:p>
        </w:tc>
      </w:tr>
      <w:tr w:rsidR="00DB37E6" w:rsidRPr="00B1011F" w:rsidTr="00DB37E6">
        <w:tc>
          <w:tcPr>
            <w:tcW w:w="1807" w:type="pct"/>
            <w:vAlign w:val="center"/>
          </w:tcPr>
          <w:p w:rsidR="00DB37E6" w:rsidRPr="00C45A65" w:rsidRDefault="00DB37E6" w:rsidP="00DB37E6">
            <w:pPr>
              <w:pStyle w:val="TableText"/>
              <w:ind w:right="-63"/>
              <w:rPr>
                <w:vertAlign w:val="superscript"/>
              </w:rPr>
            </w:pPr>
            <w:r>
              <w:t>Stratified HR (95% CI)</w:t>
            </w:r>
            <w:r>
              <w:rPr>
                <w:vertAlign w:val="superscript"/>
              </w:rPr>
              <w:t>a</w:t>
            </w:r>
          </w:p>
        </w:tc>
        <w:tc>
          <w:tcPr>
            <w:tcW w:w="3193" w:type="pct"/>
            <w:gridSpan w:val="3"/>
            <w:vAlign w:val="center"/>
          </w:tcPr>
          <w:p w:rsidR="00DB37E6" w:rsidRPr="00B1011F" w:rsidRDefault="00DB37E6" w:rsidP="00DB37E6">
            <w:pPr>
              <w:pStyle w:val="TableText"/>
              <w:jc w:val="center"/>
            </w:pPr>
            <w:r>
              <w:t>1.24 (0.64, 2.40</w:t>
            </w:r>
            <w:r w:rsidRPr="00895C4D">
              <w:t>)</w:t>
            </w:r>
          </w:p>
        </w:tc>
      </w:tr>
      <w:tr w:rsidR="00DB37E6" w:rsidRPr="00B1011F" w:rsidTr="00DB37E6">
        <w:tc>
          <w:tcPr>
            <w:tcW w:w="1807" w:type="pct"/>
            <w:vAlign w:val="center"/>
          </w:tcPr>
          <w:p w:rsidR="00DB37E6" w:rsidRPr="00B1011F" w:rsidRDefault="00DB37E6" w:rsidP="00DB37E6">
            <w:pPr>
              <w:pStyle w:val="TableText"/>
              <w:ind w:right="-63"/>
            </w:pPr>
            <w:r>
              <w:t>Estimated 1 year OS rate, % (95% CI)</w:t>
            </w:r>
          </w:p>
        </w:tc>
        <w:tc>
          <w:tcPr>
            <w:tcW w:w="1597" w:type="pct"/>
            <w:gridSpan w:val="2"/>
            <w:vAlign w:val="center"/>
          </w:tcPr>
          <w:p w:rsidR="00DB37E6" w:rsidRPr="00B1011F" w:rsidRDefault="00DB37E6" w:rsidP="00052399">
            <w:pPr>
              <w:pStyle w:val="TableText"/>
              <w:jc w:val="center"/>
            </w:pPr>
            <w:r>
              <w:t>93</w:t>
            </w:r>
            <w:r w:rsidRPr="00895C4D">
              <w:t>.</w:t>
            </w:r>
            <w:r>
              <w:t>3</w:t>
            </w:r>
            <w:r w:rsidR="00052399">
              <w:t>%</w:t>
            </w:r>
            <w:r>
              <w:t xml:space="preserve"> (89.8,</w:t>
            </w:r>
            <w:r w:rsidRPr="00895C4D">
              <w:t xml:space="preserve"> </w:t>
            </w:r>
            <w:r>
              <w:t>96.7</w:t>
            </w:r>
            <w:r w:rsidRPr="00895C4D">
              <w:t>)</w:t>
            </w:r>
          </w:p>
        </w:tc>
        <w:tc>
          <w:tcPr>
            <w:tcW w:w="1596" w:type="pct"/>
            <w:vAlign w:val="center"/>
          </w:tcPr>
          <w:p w:rsidR="00DB37E6" w:rsidRPr="00B1011F" w:rsidRDefault="00DB37E6" w:rsidP="00052399">
            <w:pPr>
              <w:pStyle w:val="TableText"/>
              <w:jc w:val="center"/>
            </w:pPr>
            <w:r>
              <w:t>95.3</w:t>
            </w:r>
            <w:r w:rsidR="00052399">
              <w:t>%</w:t>
            </w:r>
            <w:r w:rsidRPr="00895C4D">
              <w:t xml:space="preserve"> </w:t>
            </w:r>
            <w:r>
              <w:t>(92.4,</w:t>
            </w:r>
            <w:r w:rsidRPr="00895C4D">
              <w:t xml:space="preserve"> </w:t>
            </w:r>
            <w:r>
              <w:t>98.1</w:t>
            </w:r>
            <w:r w:rsidRPr="00895C4D">
              <w:t>)</w:t>
            </w:r>
          </w:p>
        </w:tc>
      </w:tr>
      <w:tr w:rsidR="00DB37E6" w:rsidRPr="00B1011F" w:rsidTr="00DB37E6">
        <w:tc>
          <w:tcPr>
            <w:tcW w:w="1807" w:type="pct"/>
            <w:vAlign w:val="center"/>
          </w:tcPr>
          <w:p w:rsidR="00DB37E6" w:rsidRPr="00B1011F" w:rsidRDefault="00DB37E6" w:rsidP="00DB37E6">
            <w:pPr>
              <w:pStyle w:val="TableText"/>
              <w:ind w:right="-63"/>
            </w:pPr>
            <w:r>
              <w:t>Estimated 2 year OS rate, % (95% CI)</w:t>
            </w:r>
          </w:p>
        </w:tc>
        <w:tc>
          <w:tcPr>
            <w:tcW w:w="1597" w:type="pct"/>
            <w:gridSpan w:val="2"/>
            <w:vAlign w:val="center"/>
          </w:tcPr>
          <w:p w:rsidR="00DB37E6" w:rsidRPr="00B1011F" w:rsidRDefault="00DB37E6" w:rsidP="00DB37E6">
            <w:pPr>
              <w:pStyle w:val="TableText"/>
              <w:jc w:val="center"/>
            </w:pPr>
            <w:r>
              <w:t>91.8</w:t>
            </w:r>
            <w:r w:rsidR="00052399">
              <w:t>%</w:t>
            </w:r>
            <w:r>
              <w:t xml:space="preserve"> (88.1,</w:t>
            </w:r>
            <w:r w:rsidRPr="00895C4D">
              <w:t xml:space="preserve"> </w:t>
            </w:r>
            <w:r>
              <w:t>95.5</w:t>
            </w:r>
            <w:r w:rsidRPr="00895C4D">
              <w:t>)</w:t>
            </w:r>
          </w:p>
        </w:tc>
        <w:tc>
          <w:tcPr>
            <w:tcW w:w="1596" w:type="pct"/>
            <w:vAlign w:val="center"/>
          </w:tcPr>
          <w:p w:rsidR="00DB37E6" w:rsidRPr="00B1011F" w:rsidRDefault="00DB37E6" w:rsidP="00DB37E6">
            <w:pPr>
              <w:pStyle w:val="TableText"/>
              <w:jc w:val="center"/>
            </w:pPr>
            <w:r>
              <w:t>93.3</w:t>
            </w:r>
            <w:r w:rsidR="00052399">
              <w:t>%</w:t>
            </w:r>
            <w:r>
              <w:t xml:space="preserve"> (90.0,</w:t>
            </w:r>
            <w:r w:rsidRPr="00895C4D">
              <w:t xml:space="preserve"> </w:t>
            </w:r>
            <w:r>
              <w:t>96.7</w:t>
            </w:r>
            <w:r w:rsidRPr="00895C4D">
              <w:t>)</w:t>
            </w:r>
          </w:p>
        </w:tc>
      </w:tr>
      <w:tr w:rsidR="00DB37E6" w:rsidRPr="00E92C52" w:rsidTr="00DB37E6">
        <w:tc>
          <w:tcPr>
            <w:tcW w:w="5000" w:type="pct"/>
            <w:gridSpan w:val="4"/>
            <w:vAlign w:val="center"/>
          </w:tcPr>
          <w:p w:rsidR="00DB37E6" w:rsidRPr="00E92C52" w:rsidRDefault="00DB37E6" w:rsidP="00DB37E6">
            <w:pPr>
              <w:pStyle w:val="TableText"/>
              <w:rPr>
                <w:b/>
              </w:rPr>
            </w:pPr>
            <w:r>
              <w:rPr>
                <w:b/>
              </w:rPr>
              <w:t>Updated overall survival</w:t>
            </w:r>
            <w:r w:rsidRPr="00E92C52">
              <w:rPr>
                <w:b/>
              </w:rPr>
              <w:t xml:space="preserve">; data cut-off </w:t>
            </w:r>
            <w:r>
              <w:rPr>
                <w:b/>
              </w:rPr>
              <w:t>23</w:t>
            </w:r>
            <w:r w:rsidRPr="00E92C52">
              <w:rPr>
                <w:b/>
              </w:rPr>
              <w:t xml:space="preserve"> </w:t>
            </w:r>
            <w:r>
              <w:rPr>
                <w:b/>
              </w:rPr>
              <w:t>August 2019</w:t>
            </w:r>
          </w:p>
        </w:tc>
      </w:tr>
      <w:tr w:rsidR="00DB37E6" w:rsidRPr="00B1011F" w:rsidTr="00DB37E6">
        <w:trPr>
          <w:trHeight w:val="70"/>
        </w:trPr>
        <w:tc>
          <w:tcPr>
            <w:tcW w:w="1807" w:type="pct"/>
            <w:tcBorders>
              <w:top w:val="single" w:sz="4" w:space="0" w:color="auto"/>
              <w:left w:val="single" w:sz="4" w:space="0" w:color="auto"/>
              <w:right w:val="single" w:sz="4" w:space="0" w:color="auto"/>
            </w:tcBorders>
            <w:vAlign w:val="center"/>
          </w:tcPr>
          <w:p w:rsidR="00DB37E6" w:rsidRPr="00B1011F" w:rsidRDefault="00DB37E6" w:rsidP="00DB37E6">
            <w:pPr>
              <w:pStyle w:val="TableText"/>
              <w:ind w:right="-63"/>
            </w:pPr>
            <w:r>
              <w:t>Patients with events, n (%)</w:t>
            </w:r>
          </w:p>
        </w:tc>
        <w:tc>
          <w:tcPr>
            <w:tcW w:w="1592" w:type="pct"/>
            <w:tcBorders>
              <w:top w:val="single" w:sz="4" w:space="0" w:color="auto"/>
              <w:left w:val="single" w:sz="4" w:space="0" w:color="auto"/>
              <w:right w:val="single" w:sz="4" w:space="0" w:color="auto"/>
            </w:tcBorders>
            <w:shd w:val="clear" w:color="auto" w:fill="auto"/>
            <w:vAlign w:val="center"/>
          </w:tcPr>
          <w:p w:rsidR="00DB37E6" w:rsidRPr="00B1011F" w:rsidRDefault="00DB37E6" w:rsidP="00DB37E6">
            <w:pPr>
              <w:pStyle w:val="TableText"/>
              <w:jc w:val="center"/>
            </w:pPr>
            <w:r>
              <w:t>27</w:t>
            </w:r>
            <w:r w:rsidRPr="00B5348B">
              <w:t xml:space="preserve"> (</w:t>
            </w:r>
            <w:r>
              <w:t>12.5%</w:t>
            </w:r>
            <w:r w:rsidRPr="00B5348B">
              <w:t>)</w:t>
            </w:r>
          </w:p>
        </w:tc>
        <w:tc>
          <w:tcPr>
            <w:tcW w:w="1601" w:type="pct"/>
            <w:gridSpan w:val="2"/>
            <w:tcBorders>
              <w:top w:val="single" w:sz="4" w:space="0" w:color="auto"/>
              <w:left w:val="single" w:sz="4" w:space="0" w:color="auto"/>
              <w:right w:val="single" w:sz="4" w:space="0" w:color="auto"/>
            </w:tcBorders>
            <w:shd w:val="clear" w:color="auto" w:fill="auto"/>
            <w:vAlign w:val="center"/>
          </w:tcPr>
          <w:p w:rsidR="00DB37E6" w:rsidRPr="00B1011F" w:rsidRDefault="00DB37E6" w:rsidP="00DB37E6">
            <w:pPr>
              <w:pStyle w:val="TableText"/>
              <w:jc w:val="center"/>
            </w:pPr>
            <w:r>
              <w:t>27</w:t>
            </w:r>
            <w:r w:rsidRPr="00B5348B">
              <w:t xml:space="preserve"> (</w:t>
            </w:r>
            <w:r>
              <w:t>12.5%</w:t>
            </w:r>
            <w:r w:rsidRPr="00B5348B">
              <w:t>)</w:t>
            </w:r>
          </w:p>
        </w:tc>
      </w:tr>
      <w:tr w:rsidR="00DB37E6" w:rsidRPr="00B1011F" w:rsidTr="00DB37E6">
        <w:tc>
          <w:tcPr>
            <w:tcW w:w="1807" w:type="pct"/>
            <w:tcBorders>
              <w:top w:val="single" w:sz="4" w:space="0" w:color="auto"/>
              <w:left w:val="single" w:sz="4" w:space="0" w:color="auto"/>
              <w:bottom w:val="single" w:sz="4" w:space="0" w:color="auto"/>
              <w:right w:val="single" w:sz="4" w:space="0" w:color="auto"/>
            </w:tcBorders>
            <w:vAlign w:val="center"/>
          </w:tcPr>
          <w:p w:rsidR="00DB37E6" w:rsidRPr="00B1011F" w:rsidRDefault="00DB37E6" w:rsidP="00DB37E6">
            <w:pPr>
              <w:pStyle w:val="TableText"/>
              <w:ind w:right="-63"/>
            </w:pPr>
            <w:r>
              <w:t>Median time to event, months (95% CI)</w:t>
            </w:r>
          </w:p>
        </w:tc>
        <w:tc>
          <w:tcPr>
            <w:tcW w:w="1592" w:type="pct"/>
            <w:tcBorders>
              <w:top w:val="single" w:sz="4" w:space="0" w:color="auto"/>
              <w:left w:val="single" w:sz="4" w:space="0" w:color="auto"/>
              <w:bottom w:val="single" w:sz="4" w:space="0" w:color="auto"/>
              <w:right w:val="single" w:sz="4" w:space="0" w:color="auto"/>
            </w:tcBorders>
            <w:shd w:val="clear" w:color="auto" w:fill="auto"/>
            <w:vAlign w:val="center"/>
          </w:tcPr>
          <w:p w:rsidR="00DB37E6" w:rsidRPr="00B1011F" w:rsidRDefault="00DB37E6" w:rsidP="00DB37E6">
            <w:pPr>
              <w:pStyle w:val="TableText"/>
              <w:jc w:val="center"/>
            </w:pPr>
            <w:r>
              <w:t>NE</w:t>
            </w:r>
          </w:p>
        </w:tc>
        <w:tc>
          <w:tcPr>
            <w:tcW w:w="160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DB37E6" w:rsidRPr="00B1011F" w:rsidRDefault="00DB37E6" w:rsidP="00DB37E6">
            <w:pPr>
              <w:pStyle w:val="TableText"/>
              <w:jc w:val="center"/>
            </w:pPr>
            <w:r>
              <w:t>NE</w:t>
            </w:r>
          </w:p>
        </w:tc>
      </w:tr>
      <w:tr w:rsidR="00DB37E6" w:rsidRPr="00B1011F" w:rsidTr="00DB37E6">
        <w:tc>
          <w:tcPr>
            <w:tcW w:w="1807" w:type="pct"/>
            <w:vAlign w:val="center"/>
          </w:tcPr>
          <w:p w:rsidR="00DB37E6" w:rsidRPr="00C45A65" w:rsidRDefault="00DB37E6" w:rsidP="00DB37E6">
            <w:pPr>
              <w:pStyle w:val="TableText"/>
              <w:ind w:right="-63"/>
              <w:rPr>
                <w:vertAlign w:val="superscript"/>
              </w:rPr>
            </w:pPr>
            <w:r>
              <w:t>Stratified HR (95% CI)</w:t>
            </w:r>
            <w:r>
              <w:rPr>
                <w:vertAlign w:val="superscript"/>
              </w:rPr>
              <w:t>a</w:t>
            </w:r>
          </w:p>
        </w:tc>
        <w:tc>
          <w:tcPr>
            <w:tcW w:w="3193" w:type="pct"/>
            <w:gridSpan w:val="3"/>
            <w:tcBorders>
              <w:right w:val="single" w:sz="4" w:space="0" w:color="auto"/>
            </w:tcBorders>
            <w:shd w:val="clear" w:color="auto" w:fill="auto"/>
            <w:vAlign w:val="center"/>
          </w:tcPr>
          <w:p w:rsidR="00DB37E6" w:rsidRPr="00B1011F" w:rsidRDefault="00DB37E6" w:rsidP="00DB37E6">
            <w:pPr>
              <w:pStyle w:val="TableText"/>
              <w:jc w:val="center"/>
            </w:pPr>
            <w:r>
              <w:t>1.03 (0.60, 1.75</w:t>
            </w:r>
            <w:r w:rsidRPr="00B5348B">
              <w:t>)</w:t>
            </w:r>
          </w:p>
        </w:tc>
      </w:tr>
      <w:tr w:rsidR="00DB37E6" w:rsidRPr="00B1011F" w:rsidTr="00DB37E6">
        <w:tc>
          <w:tcPr>
            <w:tcW w:w="1807" w:type="pct"/>
            <w:vAlign w:val="center"/>
          </w:tcPr>
          <w:p w:rsidR="00DB37E6" w:rsidRPr="00B1011F" w:rsidRDefault="00DB37E6" w:rsidP="00DB37E6">
            <w:pPr>
              <w:pStyle w:val="TableText"/>
              <w:ind w:right="-63"/>
            </w:pPr>
            <w:r>
              <w:t>Estimated 2 year OS rate, % (95% CI)</w:t>
            </w:r>
          </w:p>
        </w:tc>
        <w:tc>
          <w:tcPr>
            <w:tcW w:w="1597" w:type="pct"/>
            <w:gridSpan w:val="2"/>
            <w:vAlign w:val="center"/>
          </w:tcPr>
          <w:p w:rsidR="00DB37E6" w:rsidRPr="00B1011F" w:rsidRDefault="00DB37E6" w:rsidP="00DB37E6">
            <w:pPr>
              <w:pStyle w:val="TableText"/>
              <w:jc w:val="center"/>
            </w:pPr>
            <w:r>
              <w:t>91.8</w:t>
            </w:r>
            <w:r w:rsidR="00052399">
              <w:t>%</w:t>
            </w:r>
            <w:r>
              <w:t xml:space="preserve"> (88.1,</w:t>
            </w:r>
            <w:r w:rsidRPr="00895C4D">
              <w:t xml:space="preserve"> </w:t>
            </w:r>
            <w:r>
              <w:t>95.5</w:t>
            </w:r>
            <w:r w:rsidRPr="00895C4D">
              <w:t>)</w:t>
            </w:r>
          </w:p>
        </w:tc>
        <w:tc>
          <w:tcPr>
            <w:tcW w:w="1596" w:type="pct"/>
            <w:vAlign w:val="center"/>
          </w:tcPr>
          <w:p w:rsidR="00DB37E6" w:rsidRPr="00B1011F" w:rsidRDefault="00DB37E6" w:rsidP="00052399">
            <w:pPr>
              <w:pStyle w:val="TableText"/>
              <w:jc w:val="center"/>
            </w:pPr>
            <w:r>
              <w:t>93.3</w:t>
            </w:r>
            <w:r w:rsidR="00052399">
              <w:t>%</w:t>
            </w:r>
            <w:r w:rsidRPr="00895C4D">
              <w:t xml:space="preserve"> </w:t>
            </w:r>
            <w:r>
              <w:t>(90.0,</w:t>
            </w:r>
            <w:r w:rsidRPr="00895C4D">
              <w:t xml:space="preserve"> </w:t>
            </w:r>
            <w:r>
              <w:t>96.7</w:t>
            </w:r>
            <w:r w:rsidRPr="00895C4D">
              <w:t>)</w:t>
            </w:r>
          </w:p>
        </w:tc>
      </w:tr>
      <w:tr w:rsidR="00DB37E6" w:rsidRPr="00B1011F" w:rsidTr="00DB37E6">
        <w:tc>
          <w:tcPr>
            <w:tcW w:w="1807" w:type="pct"/>
            <w:tcBorders>
              <w:top w:val="single" w:sz="4" w:space="0" w:color="auto"/>
              <w:left w:val="single" w:sz="4" w:space="0" w:color="auto"/>
              <w:bottom w:val="single" w:sz="4" w:space="0" w:color="auto"/>
              <w:right w:val="single" w:sz="4" w:space="0" w:color="auto"/>
            </w:tcBorders>
            <w:vAlign w:val="center"/>
          </w:tcPr>
          <w:p w:rsidR="00DB37E6" w:rsidRPr="00B1011F" w:rsidRDefault="00DB37E6" w:rsidP="00DB37E6">
            <w:pPr>
              <w:pStyle w:val="TableText"/>
              <w:ind w:right="-63"/>
            </w:pPr>
            <w:r>
              <w:t>Estimated 3 year OS rate, % (95% CI)</w:t>
            </w:r>
          </w:p>
        </w:tc>
        <w:tc>
          <w:tcPr>
            <w:tcW w:w="1597" w:type="pct"/>
            <w:gridSpan w:val="2"/>
            <w:tcBorders>
              <w:top w:val="single" w:sz="4" w:space="0" w:color="auto"/>
              <w:left w:val="single" w:sz="4" w:space="0" w:color="auto"/>
              <w:bottom w:val="single" w:sz="4" w:space="0" w:color="auto"/>
              <w:right w:val="single" w:sz="4" w:space="0" w:color="auto"/>
            </w:tcBorders>
            <w:vAlign w:val="center"/>
          </w:tcPr>
          <w:p w:rsidR="00DB37E6" w:rsidRPr="00B1011F" w:rsidRDefault="00DB37E6" w:rsidP="00DB37E6">
            <w:pPr>
              <w:pStyle w:val="TableText"/>
              <w:jc w:val="center"/>
            </w:pPr>
            <w:r>
              <w:t>88.9</w:t>
            </w:r>
            <w:r w:rsidR="00052399">
              <w:t>%</w:t>
            </w:r>
            <w:r>
              <w:t xml:space="preserve"> (84.6,</w:t>
            </w:r>
            <w:r w:rsidRPr="00895C4D">
              <w:t xml:space="preserve"> </w:t>
            </w:r>
            <w:r>
              <w:t>93.1</w:t>
            </w:r>
            <w:r w:rsidRPr="00895C4D">
              <w:t>)</w:t>
            </w:r>
          </w:p>
        </w:tc>
        <w:tc>
          <w:tcPr>
            <w:tcW w:w="1596" w:type="pct"/>
            <w:tcBorders>
              <w:top w:val="single" w:sz="4" w:space="0" w:color="auto"/>
              <w:left w:val="single" w:sz="4" w:space="0" w:color="auto"/>
              <w:bottom w:val="single" w:sz="4" w:space="0" w:color="auto"/>
              <w:right w:val="single" w:sz="4" w:space="0" w:color="auto"/>
            </w:tcBorders>
            <w:vAlign w:val="center"/>
          </w:tcPr>
          <w:p w:rsidR="00DB37E6" w:rsidRPr="00B1011F" w:rsidRDefault="00DB37E6" w:rsidP="00052399">
            <w:pPr>
              <w:pStyle w:val="TableText"/>
              <w:jc w:val="center"/>
            </w:pPr>
            <w:r>
              <w:t>88.0</w:t>
            </w:r>
            <w:r w:rsidR="00052399">
              <w:t>%</w:t>
            </w:r>
            <w:r w:rsidRPr="00895C4D">
              <w:t xml:space="preserve"> </w:t>
            </w:r>
            <w:r>
              <w:t>(83.6,</w:t>
            </w:r>
            <w:r w:rsidRPr="00895C4D">
              <w:t xml:space="preserve"> </w:t>
            </w:r>
            <w:r>
              <w:t>92.4</w:t>
            </w:r>
            <w:r w:rsidRPr="00895C4D">
              <w:t>)</w:t>
            </w:r>
          </w:p>
        </w:tc>
      </w:tr>
    </w:tbl>
    <w:p w:rsidR="00DB37E6" w:rsidRPr="00E859DC" w:rsidRDefault="00DB37E6" w:rsidP="000649A4">
      <w:pPr>
        <w:pStyle w:val="TableNotes"/>
        <w:spacing w:before="0"/>
        <w:rPr>
          <w:rFonts w:ascii="Arial Narrow" w:hAnsi="Arial Narrow"/>
          <w:sz w:val="18"/>
          <w:szCs w:val="18"/>
        </w:rPr>
      </w:pPr>
      <w:r w:rsidRPr="00E859DC">
        <w:rPr>
          <w:rFonts w:ascii="Arial Narrow" w:hAnsi="Arial Narrow"/>
          <w:sz w:val="18"/>
          <w:szCs w:val="18"/>
        </w:rPr>
        <w:t xml:space="preserve">Source: Table 33, p.63 of the submission; Table 4, p.5 of VTX_PBAC </w:t>
      </w:r>
      <w:r w:rsidR="00D53AC5">
        <w:rPr>
          <w:rFonts w:ascii="Arial Narrow" w:hAnsi="Arial Narrow"/>
          <w:sz w:val="18"/>
          <w:szCs w:val="18"/>
        </w:rPr>
        <w:t>submission_</w:t>
      </w:r>
      <w:r w:rsidR="005A4508" w:rsidRPr="00E859DC">
        <w:rPr>
          <w:rFonts w:ascii="Arial Narrow" w:hAnsi="Arial Narrow"/>
          <w:sz w:val="18"/>
          <w:szCs w:val="18"/>
        </w:rPr>
        <w:t>updated</w:t>
      </w:r>
      <w:r w:rsidRPr="00E859DC">
        <w:rPr>
          <w:rFonts w:ascii="Arial Narrow" w:hAnsi="Arial Narrow"/>
          <w:sz w:val="18"/>
          <w:szCs w:val="18"/>
        </w:rPr>
        <w:t xml:space="preserve"> data.docx; Table, p.1 of response-s31-qu8-efficacy.pdf</w:t>
      </w:r>
    </w:p>
    <w:p w:rsidR="00DB37E6" w:rsidRPr="00E859DC" w:rsidRDefault="00DB37E6" w:rsidP="000649A4">
      <w:pPr>
        <w:pStyle w:val="TableNotes"/>
        <w:spacing w:before="0"/>
        <w:rPr>
          <w:rFonts w:ascii="Arial Narrow" w:hAnsi="Arial Narrow"/>
          <w:sz w:val="18"/>
          <w:szCs w:val="18"/>
        </w:rPr>
      </w:pPr>
      <w:r w:rsidRPr="00E859DC">
        <w:rPr>
          <w:rFonts w:ascii="Arial Narrow" w:hAnsi="Arial Narrow"/>
          <w:sz w:val="18"/>
          <w:szCs w:val="18"/>
        </w:rPr>
        <w:t>Abbreviations: CI, confidence interval; HR, hazard ratio; ITT, intention-to-treat; NE, not estimable; OS, overall survival</w:t>
      </w:r>
    </w:p>
    <w:p w:rsidR="00DB37E6" w:rsidRPr="00E859DC" w:rsidRDefault="00DB37E6" w:rsidP="000649A4">
      <w:pPr>
        <w:pStyle w:val="TableNotes"/>
        <w:spacing w:before="0"/>
        <w:rPr>
          <w:rFonts w:ascii="Arial Narrow" w:eastAsia="Calibri" w:hAnsi="Arial Narrow"/>
          <w:sz w:val="18"/>
          <w:szCs w:val="18"/>
        </w:rPr>
      </w:pPr>
      <w:r w:rsidRPr="00E859DC">
        <w:rPr>
          <w:rFonts w:ascii="Arial Narrow" w:eastAsia="Calibri" w:hAnsi="Arial Narrow"/>
          <w:sz w:val="18"/>
          <w:szCs w:val="18"/>
          <w:vertAlign w:val="superscript"/>
        </w:rPr>
        <w:t>a</w:t>
      </w:r>
      <w:r w:rsidRPr="00E859DC">
        <w:rPr>
          <w:rFonts w:ascii="Arial Narrow" w:eastAsia="Calibri" w:hAnsi="Arial Narrow"/>
          <w:sz w:val="18"/>
          <w:szCs w:val="18"/>
        </w:rPr>
        <w:t xml:space="preserve"> Hazard ratio &lt; 1 favours venetoclax + obinutuzumab</w:t>
      </w:r>
    </w:p>
    <w:p w:rsidR="00DB37E6" w:rsidRPr="00901DC9" w:rsidRDefault="00DB37E6" w:rsidP="00DB37E6">
      <w:pPr>
        <w:pStyle w:val="TableFigureCaption"/>
      </w:pPr>
      <w:r>
        <w:t xml:space="preserve">Figure 2: Kaplan-Meier plot for OS at a </w:t>
      </w:r>
      <w:r w:rsidRPr="000E00BA">
        <w:t>me</w:t>
      </w:r>
      <w:r>
        <w:t>dian follow-up of</w:t>
      </w:r>
      <w:r w:rsidR="000F56E5">
        <w:t xml:space="preserve"> 29.06</w:t>
      </w:r>
      <w:r>
        <w:t xml:space="preserve"> months (</w:t>
      </w:r>
      <w:r w:rsidRPr="000E00BA">
        <w:t>ITT</w:t>
      </w:r>
      <w:r>
        <w:t>; 17 August 2018)</w:t>
      </w:r>
    </w:p>
    <w:p w:rsidR="00DB37E6" w:rsidRPr="00B1011F" w:rsidRDefault="00DB37E6" w:rsidP="00DB37E6">
      <w:pPr>
        <w:pStyle w:val="TableFigureFooter"/>
        <w:rPr>
          <w:sz w:val="20"/>
        </w:rPr>
      </w:pPr>
      <w:r>
        <w:rPr>
          <w:noProof/>
        </w:rPr>
        <w:drawing>
          <wp:inline distT="0" distB="0" distL="0" distR="0" wp14:anchorId="15F962E6" wp14:editId="1B53CC4D">
            <wp:extent cx="5687521" cy="2952750"/>
            <wp:effectExtent l="0" t="0" r="8890" b="0"/>
            <wp:docPr id="14" name="Picture 14" title="Figure 2: Kaplan-Meier plot for OS at a median follow-up of 29.06 months (ITT; 17 August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20000" contrast="60000"/>
                              </a14:imgEffect>
                            </a14:imgLayer>
                          </a14:imgProps>
                        </a:ext>
                        <a:ext uri="{28A0092B-C50C-407E-A947-70E740481C1C}">
                          <a14:useLocalDpi xmlns:a14="http://schemas.microsoft.com/office/drawing/2010/main" val="0"/>
                        </a:ext>
                      </a:extLst>
                    </a:blip>
                    <a:srcRect/>
                    <a:stretch>
                      <a:fillRect/>
                    </a:stretch>
                  </pic:blipFill>
                  <pic:spPr bwMode="auto">
                    <a:xfrm>
                      <a:off x="0" y="0"/>
                      <a:ext cx="5692356" cy="2955260"/>
                    </a:xfrm>
                    <a:prstGeom prst="rect">
                      <a:avLst/>
                    </a:prstGeom>
                    <a:noFill/>
                  </pic:spPr>
                </pic:pic>
              </a:graphicData>
            </a:graphic>
          </wp:inline>
        </w:drawing>
      </w:r>
      <w:r>
        <w:t>Source: Figure 11, p.136 of the CLL-14 Clinical Study Report</w:t>
      </w:r>
    </w:p>
    <w:p w:rsidR="00DB37E6" w:rsidRDefault="00DB37E6" w:rsidP="00DB37E6">
      <w:pPr>
        <w:pStyle w:val="TableFigureFooter"/>
      </w:pPr>
      <w:r>
        <w:t>Abbreviations: CI, confidence interval; IRC, independent review committee; ITT, intention-to-treat; GClb, chlorambucil + obinutuzumab; PFS, progression free survival; VEN+G, venetoclax + obinutuzumab</w:t>
      </w:r>
    </w:p>
    <w:p w:rsidR="00DB37E6" w:rsidRDefault="00DB37E6" w:rsidP="00DB37E6">
      <w:pPr>
        <w:pStyle w:val="TableFigureFooter"/>
        <w:keepNext/>
        <w:keepLines/>
      </w:pPr>
      <w:r>
        <w:t>Note: Censored for surviving patients at last disease assessment</w:t>
      </w:r>
    </w:p>
    <w:p w:rsidR="00B6033C" w:rsidRDefault="00DB37E6" w:rsidP="00DB37E6">
      <w:pPr>
        <w:pStyle w:val="ExecSumBodyText"/>
      </w:pPr>
      <w:r w:rsidRPr="00910DC5">
        <w:rPr>
          <w:rFonts w:eastAsia="Calibri"/>
        </w:rPr>
        <w:t xml:space="preserve">There was no statistically significant difference in </w:t>
      </w:r>
      <w:r w:rsidR="001D2DC1">
        <w:rPr>
          <w:rFonts w:eastAsia="Calibri"/>
        </w:rPr>
        <w:t>OS</w:t>
      </w:r>
      <w:r w:rsidRPr="00FD0672">
        <w:rPr>
          <w:rFonts w:eastAsia="Calibri"/>
        </w:rPr>
        <w:t xml:space="preserve"> between patients treated with </w:t>
      </w:r>
      <w:r w:rsidRPr="00FD0672">
        <w:t xml:space="preserve">venetoclax + obinutuzumab versus chlorambucil + obinutuzumab, at a median follow up of </w:t>
      </w:r>
      <w:r w:rsidR="000F56E5">
        <w:t>29.06</w:t>
      </w:r>
      <w:r w:rsidRPr="00FD0672">
        <w:t xml:space="preserve"> months. Median </w:t>
      </w:r>
      <w:r w:rsidR="001D2DC1">
        <w:t>OS</w:t>
      </w:r>
      <w:r w:rsidRPr="00FD0672">
        <w:t xml:space="preserve"> was not reached in either treatment arm.</w:t>
      </w:r>
      <w:r w:rsidRPr="001E550B">
        <w:t xml:space="preserve"> </w:t>
      </w:r>
    </w:p>
    <w:p w:rsidR="00DB37E6" w:rsidRPr="006656E8" w:rsidRDefault="00DB37E6" w:rsidP="00DB37E6">
      <w:pPr>
        <w:pStyle w:val="ExecSumBodyText"/>
      </w:pPr>
      <w:r w:rsidRPr="006656E8">
        <w:t xml:space="preserve">Updated CLL-14 </w:t>
      </w:r>
      <w:r w:rsidRPr="00FD0672">
        <w:t xml:space="preserve">data from the August 2019 cut-off showed no statistically significant difference in </w:t>
      </w:r>
      <w:r w:rsidR="001D2DC1">
        <w:t>OS</w:t>
      </w:r>
      <w:r w:rsidRPr="00FD0672">
        <w:t xml:space="preserve"> between treatments.</w:t>
      </w:r>
      <w:r w:rsidR="00FD0672">
        <w:t xml:space="preserve"> </w:t>
      </w:r>
      <w:r w:rsidR="00A2172F" w:rsidRPr="00A2172F">
        <w:rPr>
          <w:rStyle w:val="FootnoteReference"/>
          <w:vertAlign w:val="baseline"/>
        </w:rPr>
        <w:t>V</w:t>
      </w:r>
      <w:r w:rsidRPr="00FD0672">
        <w:t xml:space="preserve">enetoclax + obinutuzumab showed no additional benefit in terms of </w:t>
      </w:r>
      <w:r w:rsidR="001D2DC1">
        <w:t>OS</w:t>
      </w:r>
      <w:r w:rsidRPr="00FD0672">
        <w:t xml:space="preserve"> compared to chlorambucil + </w:t>
      </w:r>
      <w:r w:rsidRPr="003124D8">
        <w:t>obinutuzumab.</w:t>
      </w:r>
      <w:r w:rsidR="00F5003F" w:rsidRPr="003124D8">
        <w:t xml:space="preserve"> </w:t>
      </w:r>
      <w:r w:rsidR="00A2172F" w:rsidRPr="003124D8">
        <w:t xml:space="preserve">The </w:t>
      </w:r>
      <w:r w:rsidR="005403E1">
        <w:t xml:space="preserve">PBAC agreed with the </w:t>
      </w:r>
      <w:r w:rsidR="00A2172F" w:rsidRPr="003124D8">
        <w:t xml:space="preserve">ESC that </w:t>
      </w:r>
      <w:r w:rsidR="001D2DC1">
        <w:t>OS</w:t>
      </w:r>
      <w:r w:rsidR="00F5003F" w:rsidRPr="003124D8">
        <w:t xml:space="preserve"> </w:t>
      </w:r>
      <w:r w:rsidR="00A2172F" w:rsidRPr="003124D8">
        <w:t>wa</w:t>
      </w:r>
      <w:r w:rsidR="00F5003F" w:rsidRPr="003124D8">
        <w:t xml:space="preserve">s not an informative outcome due to </w:t>
      </w:r>
      <w:r w:rsidR="00F5003F" w:rsidRPr="003124D8">
        <w:lastRenderedPageBreak/>
        <w:t>downstream effective treatments and the older mean age at diagnosis (70 years), i.e. patients may die of other causes.</w:t>
      </w:r>
    </w:p>
    <w:p w:rsidR="00DB37E6" w:rsidRPr="006656E8" w:rsidRDefault="00DB37E6" w:rsidP="00DB37E6">
      <w:pPr>
        <w:pStyle w:val="ExecSumBodyText"/>
      </w:pPr>
      <w:r w:rsidRPr="005403E1">
        <w:rPr>
          <w:snapToGrid/>
          <w:lang w:val="en-US"/>
        </w:rPr>
        <w:t>Results of the direct comparison</w:t>
      </w:r>
      <w:r w:rsidRPr="006656E8">
        <w:rPr>
          <w:snapToGrid/>
          <w:lang w:val="en-US"/>
        </w:rPr>
        <w:t xml:space="preserve"> for time to next anti-CLL treatment (TTNT) are presented in Table </w:t>
      </w:r>
      <w:r w:rsidR="006C16A0" w:rsidRPr="006656E8">
        <w:rPr>
          <w:snapToGrid/>
          <w:lang w:val="en-US"/>
        </w:rPr>
        <w:t>6</w:t>
      </w:r>
      <w:r w:rsidRPr="006656E8">
        <w:rPr>
          <w:snapToGrid/>
          <w:lang w:val="en-US"/>
        </w:rPr>
        <w:t>, with Kaplan-Meier plots f</w:t>
      </w:r>
      <w:r w:rsidR="000649A4" w:rsidRPr="006656E8">
        <w:rPr>
          <w:snapToGrid/>
          <w:lang w:val="en-US"/>
        </w:rPr>
        <w:t xml:space="preserve">or the August 2019 cut-off </w:t>
      </w:r>
      <w:r w:rsidRPr="006656E8">
        <w:rPr>
          <w:snapToGrid/>
          <w:lang w:val="en-US"/>
        </w:rPr>
        <w:t>presented in Figure 3.</w:t>
      </w:r>
    </w:p>
    <w:p w:rsidR="00DB37E6" w:rsidRPr="0042047F" w:rsidRDefault="00DB37E6" w:rsidP="00DB37E6">
      <w:pPr>
        <w:pStyle w:val="TableFigureCaption"/>
        <w:keepNext w:val="0"/>
        <w:jc w:val="both"/>
      </w:pPr>
      <w:r>
        <w:t xml:space="preserve">Table </w:t>
      </w:r>
      <w:r w:rsidR="006C16A0">
        <w:t>6</w:t>
      </w:r>
      <w:r w:rsidRPr="0042047F">
        <w:t xml:space="preserve">: </w:t>
      </w:r>
      <w:r w:rsidRPr="00895C4D">
        <w:rPr>
          <w:rFonts w:eastAsia="Calibri"/>
        </w:rPr>
        <w:t xml:space="preserve">Time to </w:t>
      </w:r>
      <w:r>
        <w:rPr>
          <w:rFonts w:eastAsia="Calibri"/>
        </w:rPr>
        <w:t>next anti-CLL t</w:t>
      </w:r>
      <w:r w:rsidRPr="00895C4D">
        <w:rPr>
          <w:rFonts w:eastAsia="Calibri"/>
        </w:rPr>
        <w:t>reatment</w:t>
      </w:r>
      <w:r>
        <w:t xml:space="preserve"> for CLL-14 (ITT)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4"/>
        <w:gridCol w:w="2593"/>
        <w:gridCol w:w="2593"/>
      </w:tblGrid>
      <w:tr w:rsidR="00DB37E6" w:rsidRPr="00B1011F" w:rsidTr="00DB37E6">
        <w:trPr>
          <w:cantSplit/>
          <w:tblHeader/>
        </w:trPr>
        <w:tc>
          <w:tcPr>
            <w:tcW w:w="2122" w:type="pct"/>
            <w:vAlign w:val="center"/>
          </w:tcPr>
          <w:p w:rsidR="00DB37E6" w:rsidRPr="00B1011F" w:rsidRDefault="00DB37E6" w:rsidP="00DB37E6">
            <w:pPr>
              <w:pStyle w:val="TableText"/>
              <w:keepNext w:val="0"/>
              <w:tabs>
                <w:tab w:val="left" w:pos="306"/>
              </w:tabs>
              <w:ind w:left="-50" w:right="-63"/>
            </w:pPr>
          </w:p>
        </w:tc>
        <w:tc>
          <w:tcPr>
            <w:tcW w:w="1439" w:type="pct"/>
            <w:vAlign w:val="center"/>
          </w:tcPr>
          <w:p w:rsidR="00DB37E6" w:rsidRPr="00F2548F" w:rsidRDefault="00DB37E6" w:rsidP="00DB37E6">
            <w:pPr>
              <w:pStyle w:val="TableText"/>
              <w:keepNext w:val="0"/>
              <w:jc w:val="center"/>
              <w:rPr>
                <w:b/>
              </w:rPr>
            </w:pPr>
            <w:r w:rsidRPr="00F2548F">
              <w:rPr>
                <w:b/>
              </w:rPr>
              <w:t>Venetoclax + obinutuzumab</w:t>
            </w:r>
          </w:p>
        </w:tc>
        <w:tc>
          <w:tcPr>
            <w:tcW w:w="1439" w:type="pct"/>
            <w:vAlign w:val="center"/>
          </w:tcPr>
          <w:p w:rsidR="00DB37E6" w:rsidRPr="00F2548F" w:rsidRDefault="00DB37E6" w:rsidP="00DB37E6">
            <w:pPr>
              <w:pStyle w:val="TableText"/>
              <w:keepNext w:val="0"/>
              <w:jc w:val="center"/>
              <w:rPr>
                <w:b/>
              </w:rPr>
            </w:pPr>
            <w:r>
              <w:rPr>
                <w:b/>
              </w:rPr>
              <w:t>Chlorambucil + obinutuzumab</w:t>
            </w:r>
          </w:p>
        </w:tc>
      </w:tr>
      <w:tr w:rsidR="00DB37E6" w:rsidRPr="00B1011F" w:rsidTr="00DB37E6">
        <w:tc>
          <w:tcPr>
            <w:tcW w:w="2122" w:type="pct"/>
            <w:vAlign w:val="center"/>
          </w:tcPr>
          <w:p w:rsidR="00DB37E6" w:rsidRPr="00B1011F" w:rsidRDefault="00DB37E6" w:rsidP="00DB37E6">
            <w:pPr>
              <w:pStyle w:val="TableText"/>
              <w:keepNext w:val="0"/>
              <w:tabs>
                <w:tab w:val="left" w:pos="306"/>
              </w:tabs>
              <w:ind w:right="-63"/>
            </w:pPr>
            <w:r>
              <w:t>N</w:t>
            </w:r>
          </w:p>
        </w:tc>
        <w:tc>
          <w:tcPr>
            <w:tcW w:w="1439" w:type="pct"/>
            <w:vAlign w:val="center"/>
          </w:tcPr>
          <w:p w:rsidR="00DB37E6" w:rsidRPr="00DD40E7" w:rsidRDefault="00DD40E7" w:rsidP="00DB37E6">
            <w:pPr>
              <w:pStyle w:val="TableText"/>
              <w:keepNext w:val="0"/>
              <w:jc w:val="center"/>
              <w:rPr>
                <w:highlight w:val="black"/>
              </w:rPr>
            </w:pPr>
            <w:r>
              <w:rPr>
                <w:noProof/>
                <w:color w:val="000000"/>
                <w:highlight w:val="black"/>
              </w:rPr>
              <w:t>'''''''''</w:t>
            </w:r>
          </w:p>
        </w:tc>
        <w:tc>
          <w:tcPr>
            <w:tcW w:w="1439" w:type="pct"/>
            <w:vAlign w:val="center"/>
          </w:tcPr>
          <w:p w:rsidR="00DB37E6" w:rsidRPr="00DD40E7" w:rsidRDefault="00DD40E7" w:rsidP="00DB37E6">
            <w:pPr>
              <w:pStyle w:val="TableText"/>
              <w:keepNext w:val="0"/>
              <w:jc w:val="center"/>
              <w:rPr>
                <w:highlight w:val="black"/>
              </w:rPr>
            </w:pPr>
            <w:r>
              <w:rPr>
                <w:noProof/>
                <w:color w:val="000000"/>
                <w:highlight w:val="black"/>
              </w:rPr>
              <w:t>'''''''''</w:t>
            </w:r>
          </w:p>
        </w:tc>
      </w:tr>
      <w:tr w:rsidR="00DB37E6" w:rsidRPr="00A134E4" w:rsidTr="00DB37E6">
        <w:tc>
          <w:tcPr>
            <w:tcW w:w="5000" w:type="pct"/>
            <w:gridSpan w:val="3"/>
          </w:tcPr>
          <w:p w:rsidR="00DB37E6" w:rsidRPr="00A134E4" w:rsidRDefault="00DB37E6" w:rsidP="00DB37E6">
            <w:pPr>
              <w:pStyle w:val="TableText"/>
              <w:keepNext w:val="0"/>
              <w:ind w:left="-50"/>
              <w:rPr>
                <w:b/>
              </w:rPr>
            </w:pPr>
            <w:r>
              <w:rPr>
                <w:b/>
              </w:rPr>
              <w:t>T</w:t>
            </w:r>
            <w:r w:rsidRPr="00A134E4">
              <w:rPr>
                <w:b/>
              </w:rPr>
              <w:t>ime to next anti-CLL treatment</w:t>
            </w:r>
            <w:r>
              <w:rPr>
                <w:b/>
              </w:rPr>
              <w:t xml:space="preserve"> (17 August 2018)</w:t>
            </w:r>
          </w:p>
        </w:tc>
      </w:tr>
      <w:tr w:rsidR="00DB37E6" w:rsidRPr="00B1011F" w:rsidTr="00DB37E6">
        <w:tc>
          <w:tcPr>
            <w:tcW w:w="2122" w:type="pct"/>
          </w:tcPr>
          <w:p w:rsidR="00DB37E6" w:rsidRPr="00E46CAC" w:rsidRDefault="00DB37E6" w:rsidP="00DB37E6">
            <w:pPr>
              <w:pStyle w:val="TableText"/>
              <w:keepNext w:val="0"/>
              <w:tabs>
                <w:tab w:val="left" w:pos="306"/>
              </w:tabs>
              <w:ind w:left="-50" w:right="-63"/>
            </w:pPr>
            <w:r w:rsidRPr="00B0576A">
              <w:t>Patients with event</w:t>
            </w:r>
            <w:r w:rsidR="00F5003F" w:rsidRPr="00F5003F">
              <w:rPr>
                <w:vertAlign w:val="superscript"/>
              </w:rPr>
              <w:t>a</w:t>
            </w:r>
            <w:r w:rsidRPr="00B0576A">
              <w:t>, n (%)</w:t>
            </w:r>
          </w:p>
        </w:tc>
        <w:tc>
          <w:tcPr>
            <w:tcW w:w="1439" w:type="pct"/>
            <w:vAlign w:val="center"/>
          </w:tcPr>
          <w:p w:rsidR="00DB37E6" w:rsidRPr="00F5003F" w:rsidRDefault="00DD40E7" w:rsidP="00DB37E6">
            <w:pPr>
              <w:pStyle w:val="TableText"/>
              <w:keepNext w:val="0"/>
              <w:jc w:val="center"/>
            </w:pPr>
            <w:r>
              <w:rPr>
                <w:noProof/>
                <w:color w:val="000000"/>
                <w:highlight w:val="black"/>
              </w:rPr>
              <w:t>''''''</w:t>
            </w:r>
            <w:r w:rsidR="00DB37E6" w:rsidRPr="00F5003F">
              <w:t xml:space="preserve"> (</w:t>
            </w:r>
            <w:r>
              <w:rPr>
                <w:noProof/>
                <w:color w:val="000000"/>
                <w:highlight w:val="black"/>
              </w:rPr>
              <w:t>'''''''''''</w:t>
            </w:r>
            <w:r w:rsidR="00DB37E6" w:rsidRPr="00F5003F">
              <w:t>%)</w:t>
            </w:r>
          </w:p>
        </w:tc>
        <w:tc>
          <w:tcPr>
            <w:tcW w:w="1439" w:type="pct"/>
            <w:vAlign w:val="center"/>
          </w:tcPr>
          <w:p w:rsidR="00DB37E6" w:rsidRPr="00F5003F" w:rsidRDefault="00DD40E7" w:rsidP="00DB37E6">
            <w:pPr>
              <w:pStyle w:val="TableText"/>
              <w:keepNext w:val="0"/>
              <w:jc w:val="center"/>
            </w:pPr>
            <w:r>
              <w:rPr>
                <w:noProof/>
                <w:color w:val="000000"/>
                <w:highlight w:val="black"/>
              </w:rPr>
              <w:t>'''''</w:t>
            </w:r>
            <w:r w:rsidR="00DB37E6" w:rsidRPr="00F5003F">
              <w:t xml:space="preserve"> (</w:t>
            </w:r>
            <w:r>
              <w:rPr>
                <w:noProof/>
                <w:color w:val="000000"/>
                <w:highlight w:val="black"/>
              </w:rPr>
              <w:t>'''''''''''</w:t>
            </w:r>
            <w:r w:rsidR="00DB37E6" w:rsidRPr="00F5003F">
              <w:t>%)</w:t>
            </w:r>
          </w:p>
        </w:tc>
      </w:tr>
      <w:tr w:rsidR="00DB37E6" w:rsidRPr="00B1011F" w:rsidTr="00DB37E6">
        <w:tc>
          <w:tcPr>
            <w:tcW w:w="2122" w:type="pct"/>
          </w:tcPr>
          <w:p w:rsidR="00DB37E6" w:rsidRPr="00E46CAC" w:rsidRDefault="00DB37E6" w:rsidP="00DB37E6">
            <w:pPr>
              <w:pStyle w:val="TableText"/>
              <w:keepNext w:val="0"/>
              <w:tabs>
                <w:tab w:val="left" w:pos="306"/>
              </w:tabs>
              <w:ind w:left="-50" w:right="-63"/>
            </w:pPr>
            <w:r>
              <w:t xml:space="preserve">  </w:t>
            </w:r>
            <w:r w:rsidRPr="00B0576A">
              <w:t>New anti-leukemic treatment</w:t>
            </w:r>
            <w:r>
              <w:t>, n (%)</w:t>
            </w:r>
          </w:p>
        </w:tc>
        <w:tc>
          <w:tcPr>
            <w:tcW w:w="1439" w:type="pct"/>
            <w:vAlign w:val="center"/>
          </w:tcPr>
          <w:p w:rsidR="00DB37E6" w:rsidRPr="00F5003F" w:rsidRDefault="00DD40E7" w:rsidP="00DB37E6">
            <w:pPr>
              <w:pStyle w:val="TableText"/>
              <w:keepNext w:val="0"/>
              <w:jc w:val="center"/>
            </w:pPr>
            <w:r>
              <w:rPr>
                <w:noProof/>
                <w:color w:val="000000"/>
                <w:highlight w:val="black"/>
              </w:rPr>
              <w:t>'''''</w:t>
            </w:r>
            <w:r w:rsidR="00DB37E6" w:rsidRPr="00F5003F">
              <w:t xml:space="preserve"> (</w:t>
            </w:r>
            <w:r>
              <w:rPr>
                <w:noProof/>
                <w:color w:val="000000"/>
                <w:highlight w:val="black"/>
              </w:rPr>
              <w:t>''''''''</w:t>
            </w:r>
            <w:r w:rsidR="00DB37E6" w:rsidRPr="00F5003F">
              <w:t>%)</w:t>
            </w:r>
          </w:p>
        </w:tc>
        <w:tc>
          <w:tcPr>
            <w:tcW w:w="1439" w:type="pct"/>
            <w:vAlign w:val="center"/>
          </w:tcPr>
          <w:p w:rsidR="00DB37E6" w:rsidRPr="00F5003F" w:rsidRDefault="00DD40E7" w:rsidP="00DB37E6">
            <w:pPr>
              <w:pStyle w:val="TableText"/>
              <w:keepNext w:val="0"/>
              <w:jc w:val="center"/>
            </w:pPr>
            <w:r>
              <w:rPr>
                <w:noProof/>
                <w:color w:val="000000"/>
                <w:highlight w:val="black"/>
              </w:rPr>
              <w:t>''''''</w:t>
            </w:r>
            <w:r w:rsidR="00DB37E6" w:rsidRPr="00F5003F">
              <w:t xml:space="preserve"> (</w:t>
            </w:r>
            <w:r>
              <w:rPr>
                <w:noProof/>
                <w:color w:val="000000"/>
                <w:highlight w:val="black"/>
              </w:rPr>
              <w:t>''''''''''</w:t>
            </w:r>
            <w:r w:rsidR="00DB37E6" w:rsidRPr="00F5003F">
              <w:t>%)</w:t>
            </w:r>
          </w:p>
        </w:tc>
      </w:tr>
      <w:tr w:rsidR="00DB37E6" w:rsidRPr="00B1011F" w:rsidTr="00DB37E6">
        <w:tc>
          <w:tcPr>
            <w:tcW w:w="2122" w:type="pct"/>
          </w:tcPr>
          <w:p w:rsidR="00DB37E6" w:rsidRPr="00E46CAC" w:rsidRDefault="00DB37E6" w:rsidP="00DB37E6">
            <w:pPr>
              <w:pStyle w:val="TableText"/>
              <w:keepNext w:val="0"/>
              <w:tabs>
                <w:tab w:val="left" w:pos="306"/>
              </w:tabs>
              <w:ind w:left="-50" w:right="-63"/>
            </w:pPr>
            <w:r>
              <w:t xml:space="preserve">  Death, n (%)</w:t>
            </w:r>
          </w:p>
        </w:tc>
        <w:tc>
          <w:tcPr>
            <w:tcW w:w="1439" w:type="pct"/>
          </w:tcPr>
          <w:p w:rsidR="00DB37E6" w:rsidRPr="00B1011F" w:rsidRDefault="00DD40E7" w:rsidP="00DB37E6">
            <w:pPr>
              <w:pStyle w:val="TableText"/>
              <w:keepNext w:val="0"/>
              <w:jc w:val="center"/>
            </w:pPr>
            <w:r>
              <w:rPr>
                <w:noProof/>
                <w:color w:val="000000"/>
                <w:highlight w:val="black"/>
              </w:rPr>
              <w:t>''''''</w:t>
            </w:r>
            <w:r w:rsidR="00DB37E6">
              <w:t xml:space="preserve"> (</w:t>
            </w:r>
            <w:r>
              <w:rPr>
                <w:noProof/>
                <w:color w:val="000000"/>
                <w:highlight w:val="black"/>
              </w:rPr>
              <w:t>'''''''</w:t>
            </w:r>
            <w:r w:rsidR="00DB37E6">
              <w:t>%)</w:t>
            </w:r>
          </w:p>
        </w:tc>
        <w:tc>
          <w:tcPr>
            <w:tcW w:w="1439" w:type="pct"/>
          </w:tcPr>
          <w:p w:rsidR="00DB37E6" w:rsidRPr="00B1011F" w:rsidRDefault="00DD40E7" w:rsidP="00DB37E6">
            <w:pPr>
              <w:pStyle w:val="TableText"/>
              <w:keepNext w:val="0"/>
              <w:jc w:val="center"/>
            </w:pPr>
            <w:r>
              <w:rPr>
                <w:noProof/>
                <w:color w:val="000000"/>
                <w:highlight w:val="black"/>
              </w:rPr>
              <w:t>''''''</w:t>
            </w:r>
            <w:r w:rsidR="00DB37E6">
              <w:t xml:space="preserve"> (</w:t>
            </w:r>
            <w:r>
              <w:rPr>
                <w:noProof/>
                <w:color w:val="000000"/>
                <w:highlight w:val="black"/>
              </w:rPr>
              <w:t>''''''''</w:t>
            </w:r>
            <w:r w:rsidR="00DB37E6">
              <w:t>%)</w:t>
            </w:r>
          </w:p>
        </w:tc>
      </w:tr>
      <w:tr w:rsidR="00DB37E6" w:rsidRPr="00B1011F" w:rsidTr="00DB37E6">
        <w:tc>
          <w:tcPr>
            <w:tcW w:w="2122" w:type="pct"/>
          </w:tcPr>
          <w:p w:rsidR="00DB37E6" w:rsidRPr="00E46CAC" w:rsidRDefault="00DB37E6" w:rsidP="00F5003F">
            <w:pPr>
              <w:pStyle w:val="TableText"/>
              <w:keepNext w:val="0"/>
              <w:tabs>
                <w:tab w:val="left" w:pos="306"/>
              </w:tabs>
              <w:ind w:left="-50" w:right="-63"/>
            </w:pPr>
            <w:r>
              <w:t xml:space="preserve">Median time to </w:t>
            </w:r>
            <w:r w:rsidRPr="00B0576A">
              <w:t>treatment</w:t>
            </w:r>
            <w:r>
              <w:t xml:space="preserve"> event, months (95% CI)</w:t>
            </w:r>
          </w:p>
        </w:tc>
        <w:tc>
          <w:tcPr>
            <w:tcW w:w="1439" w:type="pct"/>
          </w:tcPr>
          <w:p w:rsidR="00DB37E6" w:rsidRDefault="00DB37E6" w:rsidP="00DB37E6">
            <w:pPr>
              <w:pStyle w:val="TableText"/>
              <w:keepNext w:val="0"/>
              <w:jc w:val="center"/>
            </w:pPr>
            <w:r>
              <w:t>NE (NE)</w:t>
            </w:r>
          </w:p>
        </w:tc>
        <w:tc>
          <w:tcPr>
            <w:tcW w:w="1439" w:type="pct"/>
          </w:tcPr>
          <w:p w:rsidR="00DB37E6" w:rsidRDefault="00DB37E6" w:rsidP="00DB37E6">
            <w:pPr>
              <w:pStyle w:val="TableText"/>
              <w:keepNext w:val="0"/>
              <w:jc w:val="center"/>
            </w:pPr>
            <w:r>
              <w:t>NE (</w:t>
            </w:r>
            <w:r w:rsidR="00DD40E7">
              <w:rPr>
                <w:noProof/>
                <w:color w:val="000000"/>
                <w:highlight w:val="black"/>
              </w:rPr>
              <w:t>''''''''''</w:t>
            </w:r>
            <w:r>
              <w:t>, NE)</w:t>
            </w:r>
          </w:p>
        </w:tc>
      </w:tr>
      <w:tr w:rsidR="00DB37E6" w:rsidRPr="00B1011F" w:rsidTr="00DB37E6">
        <w:tc>
          <w:tcPr>
            <w:tcW w:w="2122" w:type="pct"/>
          </w:tcPr>
          <w:p w:rsidR="00DB37E6" w:rsidRPr="00C45A65" w:rsidRDefault="00DB37E6" w:rsidP="00DB37E6">
            <w:pPr>
              <w:pStyle w:val="TableText"/>
              <w:keepNext w:val="0"/>
              <w:tabs>
                <w:tab w:val="left" w:pos="306"/>
              </w:tabs>
              <w:ind w:left="-50" w:right="-63"/>
              <w:rPr>
                <w:rFonts w:eastAsia="Calibri" w:cs="Calibri"/>
                <w:szCs w:val="20"/>
                <w:vertAlign w:val="superscript"/>
              </w:rPr>
            </w:pPr>
            <w:r>
              <w:rPr>
                <w:rFonts w:eastAsia="Calibri" w:cs="Calibri"/>
                <w:szCs w:val="20"/>
              </w:rPr>
              <w:t>Stratified hazard ratio, (95% CI)</w:t>
            </w:r>
            <w:r>
              <w:rPr>
                <w:rFonts w:eastAsia="Calibri" w:cs="Calibri"/>
                <w:szCs w:val="20"/>
                <w:vertAlign w:val="superscript"/>
              </w:rPr>
              <w:t>a</w:t>
            </w:r>
          </w:p>
        </w:tc>
        <w:tc>
          <w:tcPr>
            <w:tcW w:w="2878" w:type="pct"/>
            <w:gridSpan w:val="2"/>
          </w:tcPr>
          <w:p w:rsidR="00DB37E6" w:rsidRPr="00895C4D" w:rsidRDefault="00DD40E7" w:rsidP="00DB37E6">
            <w:pPr>
              <w:pStyle w:val="TableText"/>
              <w:keepNext w:val="0"/>
              <w:jc w:val="center"/>
              <w:rPr>
                <w:rFonts w:eastAsia="Calibri" w:cs="Calibri"/>
                <w:szCs w:val="20"/>
              </w:rPr>
            </w:pPr>
            <w:r>
              <w:rPr>
                <w:rFonts w:eastAsia="Calibri" w:cs="Calibri"/>
                <w:noProof/>
                <w:color w:val="000000"/>
                <w:szCs w:val="20"/>
                <w:highlight w:val="black"/>
              </w:rPr>
              <w:t>'''''''''''</w:t>
            </w:r>
            <w:r w:rsidR="00DB37E6" w:rsidRPr="00895C4D">
              <w:rPr>
                <w:rFonts w:eastAsia="Calibri" w:cs="Calibri"/>
                <w:szCs w:val="20"/>
              </w:rPr>
              <w:t xml:space="preserve"> (</w:t>
            </w:r>
            <w:r>
              <w:rPr>
                <w:rFonts w:eastAsia="Calibri" w:cs="Calibri"/>
                <w:noProof/>
                <w:color w:val="000000"/>
                <w:szCs w:val="20"/>
                <w:highlight w:val="black"/>
              </w:rPr>
              <w:t>''''''''''</w:t>
            </w:r>
            <w:r w:rsidR="00DB37E6" w:rsidRPr="00895C4D">
              <w:rPr>
                <w:rFonts w:eastAsia="Calibri" w:cs="Calibri"/>
                <w:szCs w:val="20"/>
              </w:rPr>
              <w:t xml:space="preserve">, </w:t>
            </w:r>
            <w:r>
              <w:rPr>
                <w:rFonts w:eastAsia="Calibri" w:cs="Calibri"/>
                <w:noProof/>
                <w:color w:val="000000"/>
                <w:szCs w:val="20"/>
                <w:highlight w:val="black"/>
              </w:rPr>
              <w:t>''''''''''</w:t>
            </w:r>
            <w:r w:rsidR="00DB37E6" w:rsidRPr="00895C4D">
              <w:rPr>
                <w:rFonts w:eastAsia="Calibri" w:cs="Calibri"/>
                <w:szCs w:val="20"/>
              </w:rPr>
              <w:t>)</w:t>
            </w:r>
          </w:p>
        </w:tc>
      </w:tr>
      <w:tr w:rsidR="00DB37E6" w:rsidRPr="00B1011F" w:rsidTr="00DB37E6">
        <w:tc>
          <w:tcPr>
            <w:tcW w:w="2122" w:type="pct"/>
            <w:vAlign w:val="center"/>
          </w:tcPr>
          <w:p w:rsidR="00DB37E6" w:rsidRPr="00E46CAC" w:rsidRDefault="00DB37E6" w:rsidP="00DB37E6">
            <w:pPr>
              <w:pStyle w:val="TableText"/>
              <w:keepNext w:val="0"/>
              <w:tabs>
                <w:tab w:val="left" w:pos="306"/>
              </w:tabs>
              <w:ind w:left="-50" w:right="-63"/>
            </w:pPr>
            <w:r>
              <w:t>TTNT event free rate at 1 year</w:t>
            </w:r>
            <w:r w:rsidRPr="00B0576A">
              <w:t xml:space="preserve">, </w:t>
            </w:r>
            <w:r>
              <w:t>%</w:t>
            </w:r>
            <w:r w:rsidRPr="00027F0A">
              <w:t xml:space="preserve"> (95% CI)</w:t>
            </w:r>
          </w:p>
        </w:tc>
        <w:tc>
          <w:tcPr>
            <w:tcW w:w="1439" w:type="pct"/>
            <w:vAlign w:val="center"/>
          </w:tcPr>
          <w:p w:rsidR="00DB37E6" w:rsidRDefault="00DB37E6" w:rsidP="00DB37E6">
            <w:pPr>
              <w:pStyle w:val="TableText"/>
              <w:keepNext w:val="0"/>
              <w:jc w:val="center"/>
            </w:pPr>
            <w:r>
              <w:t>n=</w:t>
            </w:r>
            <w:r w:rsidR="00DD40E7">
              <w:rPr>
                <w:noProof/>
                <w:color w:val="000000"/>
                <w:highlight w:val="black"/>
              </w:rPr>
              <w:t>'''''''''</w:t>
            </w:r>
          </w:p>
          <w:p w:rsidR="00DB37E6" w:rsidRPr="00B1011F" w:rsidRDefault="00DD40E7" w:rsidP="00DB37E6">
            <w:pPr>
              <w:pStyle w:val="TableText"/>
              <w:keepNext w:val="0"/>
              <w:jc w:val="center"/>
            </w:pPr>
            <w:r>
              <w:rPr>
                <w:noProof/>
                <w:color w:val="000000"/>
                <w:highlight w:val="black"/>
              </w:rPr>
              <w:t>''''''''''</w:t>
            </w:r>
            <w:r w:rsidR="00052399">
              <w:t>%</w:t>
            </w:r>
            <w:r w:rsidR="00DB37E6">
              <w:t xml:space="preserve"> (</w:t>
            </w:r>
            <w:r>
              <w:rPr>
                <w:noProof/>
                <w:color w:val="000000"/>
                <w:highlight w:val="black"/>
              </w:rPr>
              <w:t>'''''''''''</w:t>
            </w:r>
            <w:r w:rsidR="00DB37E6">
              <w:t xml:space="preserve">, </w:t>
            </w:r>
            <w:r>
              <w:rPr>
                <w:noProof/>
                <w:color w:val="000000"/>
                <w:highlight w:val="black"/>
              </w:rPr>
              <w:t>''''''''''''</w:t>
            </w:r>
            <w:r w:rsidR="00DB37E6">
              <w:t>)</w:t>
            </w:r>
          </w:p>
        </w:tc>
        <w:tc>
          <w:tcPr>
            <w:tcW w:w="1439" w:type="pct"/>
            <w:vAlign w:val="center"/>
          </w:tcPr>
          <w:p w:rsidR="00DB37E6" w:rsidRDefault="00DB37E6" w:rsidP="00DB37E6">
            <w:pPr>
              <w:pStyle w:val="TableText"/>
              <w:keepNext w:val="0"/>
              <w:jc w:val="center"/>
            </w:pPr>
            <w:r>
              <w:t>n=</w:t>
            </w:r>
            <w:r w:rsidR="00DD40E7">
              <w:rPr>
                <w:noProof/>
                <w:color w:val="000000"/>
                <w:highlight w:val="black"/>
              </w:rPr>
              <w:t xml:space="preserve">''''''''' </w:t>
            </w:r>
          </w:p>
          <w:p w:rsidR="00DB37E6" w:rsidRPr="00B1011F" w:rsidRDefault="00DD40E7" w:rsidP="00DB37E6">
            <w:pPr>
              <w:pStyle w:val="TableText"/>
              <w:keepNext w:val="0"/>
              <w:jc w:val="center"/>
            </w:pPr>
            <w:r>
              <w:rPr>
                <w:noProof/>
                <w:color w:val="000000"/>
                <w:highlight w:val="black"/>
              </w:rPr>
              <w:t>''''''''''''</w:t>
            </w:r>
            <w:r w:rsidR="00052399">
              <w:t>%</w:t>
            </w:r>
            <w:r w:rsidR="00DB37E6">
              <w:t xml:space="preserve"> (</w:t>
            </w:r>
            <w:r>
              <w:rPr>
                <w:noProof/>
                <w:color w:val="000000"/>
                <w:highlight w:val="black"/>
              </w:rPr>
              <w:t>'''''''''''''</w:t>
            </w:r>
            <w:r w:rsidR="00DB37E6">
              <w:t xml:space="preserve"> </w:t>
            </w:r>
            <w:r>
              <w:rPr>
                <w:noProof/>
                <w:color w:val="000000"/>
                <w:highlight w:val="black"/>
              </w:rPr>
              <w:t>'''''''''''</w:t>
            </w:r>
            <w:r w:rsidR="00DB37E6">
              <w:t>)</w:t>
            </w:r>
          </w:p>
        </w:tc>
      </w:tr>
      <w:tr w:rsidR="00DB37E6" w:rsidRPr="00B1011F" w:rsidTr="00DB37E6">
        <w:tc>
          <w:tcPr>
            <w:tcW w:w="2122" w:type="pct"/>
            <w:vAlign w:val="center"/>
          </w:tcPr>
          <w:p w:rsidR="00DB37E6" w:rsidRPr="00E46CAC" w:rsidRDefault="00DB37E6" w:rsidP="00DB37E6">
            <w:pPr>
              <w:pStyle w:val="TableText"/>
              <w:keepNext w:val="0"/>
              <w:tabs>
                <w:tab w:val="left" w:pos="306"/>
              </w:tabs>
              <w:ind w:left="-50" w:right="-63"/>
            </w:pPr>
            <w:r>
              <w:t>TTNT event free rate at 2 years</w:t>
            </w:r>
            <w:r w:rsidRPr="00B0576A">
              <w:t xml:space="preserve">, </w:t>
            </w:r>
            <w:r>
              <w:t>%</w:t>
            </w:r>
            <w:r w:rsidRPr="00027F0A">
              <w:t xml:space="preserve"> (95% CI)</w:t>
            </w:r>
          </w:p>
        </w:tc>
        <w:tc>
          <w:tcPr>
            <w:tcW w:w="1439" w:type="pct"/>
            <w:vAlign w:val="center"/>
          </w:tcPr>
          <w:p w:rsidR="00DB37E6" w:rsidRDefault="00DB37E6" w:rsidP="00DB37E6">
            <w:pPr>
              <w:pStyle w:val="TableText"/>
              <w:keepNext w:val="0"/>
              <w:jc w:val="center"/>
            </w:pPr>
            <w:r>
              <w:t>n=</w:t>
            </w:r>
            <w:r w:rsidR="00DD40E7">
              <w:rPr>
                <w:noProof/>
                <w:color w:val="000000"/>
                <w:highlight w:val="black"/>
              </w:rPr>
              <w:t>''''''''''</w:t>
            </w:r>
            <w:r>
              <w:t xml:space="preserve"> </w:t>
            </w:r>
          </w:p>
          <w:p w:rsidR="00DB37E6" w:rsidRPr="00B1011F" w:rsidRDefault="00DD40E7" w:rsidP="00DB37E6">
            <w:pPr>
              <w:pStyle w:val="TableText"/>
              <w:keepNext w:val="0"/>
              <w:jc w:val="center"/>
            </w:pPr>
            <w:r>
              <w:rPr>
                <w:noProof/>
                <w:color w:val="000000"/>
                <w:highlight w:val="black"/>
              </w:rPr>
              <w:t>'''''''''''</w:t>
            </w:r>
            <w:r w:rsidR="00052399">
              <w:t>%</w:t>
            </w:r>
            <w:r w:rsidR="00DB37E6">
              <w:t xml:space="preserve"> (</w:t>
            </w:r>
            <w:r>
              <w:rPr>
                <w:noProof/>
                <w:color w:val="000000"/>
                <w:highlight w:val="black"/>
              </w:rPr>
              <w:t>''''''''''</w:t>
            </w:r>
            <w:r w:rsidR="00DB37E6">
              <w:t xml:space="preserve">, </w:t>
            </w:r>
            <w:r>
              <w:rPr>
                <w:noProof/>
                <w:color w:val="000000"/>
                <w:highlight w:val="black"/>
              </w:rPr>
              <w:t>''''''''''</w:t>
            </w:r>
            <w:r w:rsidR="00DB37E6">
              <w:t>)</w:t>
            </w:r>
          </w:p>
        </w:tc>
        <w:tc>
          <w:tcPr>
            <w:tcW w:w="1439" w:type="pct"/>
            <w:vAlign w:val="center"/>
          </w:tcPr>
          <w:p w:rsidR="00DB37E6" w:rsidRDefault="00DB37E6" w:rsidP="00DB37E6">
            <w:pPr>
              <w:pStyle w:val="TableText"/>
              <w:keepNext w:val="0"/>
              <w:jc w:val="center"/>
            </w:pPr>
            <w:r>
              <w:t>n=</w:t>
            </w:r>
            <w:r w:rsidR="00DD40E7">
              <w:rPr>
                <w:noProof/>
                <w:color w:val="000000"/>
                <w:highlight w:val="black"/>
              </w:rPr>
              <w:t>'''''''''</w:t>
            </w:r>
            <w:r>
              <w:t xml:space="preserve"> </w:t>
            </w:r>
          </w:p>
          <w:p w:rsidR="00DB37E6" w:rsidRPr="00B1011F" w:rsidRDefault="00DD40E7" w:rsidP="00DB37E6">
            <w:pPr>
              <w:pStyle w:val="TableText"/>
              <w:keepNext w:val="0"/>
              <w:jc w:val="center"/>
            </w:pPr>
            <w:r>
              <w:rPr>
                <w:noProof/>
                <w:color w:val="000000"/>
                <w:highlight w:val="black"/>
              </w:rPr>
              <w:t>''''''''''</w:t>
            </w:r>
            <w:r w:rsidR="00052399">
              <w:t>%</w:t>
            </w:r>
            <w:r w:rsidR="00DB37E6">
              <w:t xml:space="preserve"> (</w:t>
            </w:r>
            <w:r>
              <w:rPr>
                <w:noProof/>
                <w:color w:val="000000"/>
                <w:highlight w:val="black"/>
              </w:rPr>
              <w:t>''''''''''</w:t>
            </w:r>
            <w:r w:rsidR="00DB37E6">
              <w:t xml:space="preserve">, </w:t>
            </w:r>
            <w:r>
              <w:rPr>
                <w:noProof/>
                <w:color w:val="000000"/>
                <w:highlight w:val="black"/>
              </w:rPr>
              <w:t>''''''''''</w:t>
            </w:r>
            <w:r w:rsidR="00DB37E6">
              <w:t>)</w:t>
            </w:r>
          </w:p>
        </w:tc>
      </w:tr>
      <w:tr w:rsidR="00DB37E6" w:rsidRPr="00A134E4" w:rsidTr="00DB37E6">
        <w:tc>
          <w:tcPr>
            <w:tcW w:w="5000" w:type="pct"/>
            <w:gridSpan w:val="3"/>
          </w:tcPr>
          <w:p w:rsidR="00DB37E6" w:rsidRPr="00A134E4" w:rsidRDefault="00DB37E6" w:rsidP="00DB37E6">
            <w:pPr>
              <w:pStyle w:val="TableText"/>
              <w:ind w:left="-50"/>
              <w:rPr>
                <w:b/>
              </w:rPr>
            </w:pPr>
            <w:r>
              <w:rPr>
                <w:b/>
              </w:rPr>
              <w:t>Updated t</w:t>
            </w:r>
            <w:r w:rsidRPr="00A134E4">
              <w:rPr>
                <w:b/>
              </w:rPr>
              <w:t>ime to next anti-CLL treatment</w:t>
            </w:r>
            <w:r>
              <w:rPr>
                <w:b/>
              </w:rPr>
              <w:t xml:space="preserve"> (23 August 2019)</w:t>
            </w:r>
          </w:p>
        </w:tc>
      </w:tr>
      <w:tr w:rsidR="00DB37E6" w:rsidRPr="00B1011F" w:rsidTr="00DB37E6">
        <w:tc>
          <w:tcPr>
            <w:tcW w:w="2122" w:type="pct"/>
            <w:tcBorders>
              <w:top w:val="single" w:sz="4" w:space="0" w:color="auto"/>
              <w:left w:val="single" w:sz="4" w:space="0" w:color="auto"/>
              <w:bottom w:val="single" w:sz="4" w:space="0" w:color="auto"/>
              <w:right w:val="single" w:sz="4" w:space="0" w:color="auto"/>
            </w:tcBorders>
          </w:tcPr>
          <w:p w:rsidR="00DB37E6" w:rsidRPr="00E46CAC" w:rsidRDefault="00DB37E6" w:rsidP="00DB37E6">
            <w:pPr>
              <w:pStyle w:val="TableText"/>
              <w:tabs>
                <w:tab w:val="left" w:pos="306"/>
              </w:tabs>
              <w:ind w:left="-50" w:right="-63"/>
            </w:pPr>
            <w:r w:rsidRPr="00B0576A">
              <w:t>Patients with event</w:t>
            </w:r>
            <w:r w:rsidR="00F5003F" w:rsidRPr="00F5003F">
              <w:rPr>
                <w:vertAlign w:val="superscript"/>
              </w:rPr>
              <w:t>a</w:t>
            </w:r>
            <w:r w:rsidRPr="00B0576A">
              <w:t>, n (%)</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B37E6" w:rsidRPr="00B1011F" w:rsidRDefault="00DD40E7" w:rsidP="00DB37E6">
            <w:pPr>
              <w:pStyle w:val="TableText"/>
              <w:jc w:val="center"/>
            </w:pPr>
            <w:r>
              <w:rPr>
                <w:noProof/>
                <w:color w:val="000000"/>
                <w:highlight w:val="black"/>
              </w:rPr>
              <w:t>'''''''</w:t>
            </w:r>
            <w:r w:rsidR="00DB37E6">
              <w:t xml:space="preserve"> (</w:t>
            </w:r>
            <w:r>
              <w:rPr>
                <w:noProof/>
                <w:color w:val="000000"/>
                <w:highlight w:val="black"/>
              </w:rPr>
              <w:t>''''''''''</w:t>
            </w:r>
            <w:r w:rsidR="00DB37E6">
              <w:t>%)</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B37E6" w:rsidRPr="00B1011F" w:rsidRDefault="00DD40E7" w:rsidP="00DB37E6">
            <w:pPr>
              <w:pStyle w:val="TableText"/>
              <w:jc w:val="center"/>
            </w:pPr>
            <w:r>
              <w:rPr>
                <w:noProof/>
                <w:color w:val="000000"/>
                <w:highlight w:val="black"/>
              </w:rPr>
              <w:t>''''''</w:t>
            </w:r>
            <w:r w:rsidR="00DB37E6">
              <w:t xml:space="preserve"> (</w:t>
            </w:r>
            <w:r>
              <w:rPr>
                <w:noProof/>
                <w:color w:val="000000"/>
                <w:highlight w:val="black"/>
              </w:rPr>
              <w:t>''''''''''</w:t>
            </w:r>
            <w:r w:rsidR="00DB37E6">
              <w:t>%)</w:t>
            </w:r>
          </w:p>
        </w:tc>
      </w:tr>
      <w:tr w:rsidR="00DB37E6" w:rsidRPr="00B1011F" w:rsidTr="00DB37E6">
        <w:tc>
          <w:tcPr>
            <w:tcW w:w="2122" w:type="pct"/>
            <w:tcBorders>
              <w:top w:val="single" w:sz="4" w:space="0" w:color="auto"/>
              <w:left w:val="single" w:sz="4" w:space="0" w:color="auto"/>
              <w:bottom w:val="single" w:sz="4" w:space="0" w:color="auto"/>
              <w:right w:val="single" w:sz="4" w:space="0" w:color="auto"/>
            </w:tcBorders>
          </w:tcPr>
          <w:p w:rsidR="00DB37E6" w:rsidRPr="00E46CAC" w:rsidRDefault="00DB37E6" w:rsidP="00DB37E6">
            <w:pPr>
              <w:pStyle w:val="TableText"/>
              <w:tabs>
                <w:tab w:val="left" w:pos="306"/>
              </w:tabs>
              <w:ind w:left="-50" w:right="-63"/>
            </w:pPr>
            <w:r>
              <w:t xml:space="preserve">  </w:t>
            </w:r>
            <w:r w:rsidRPr="00B0576A">
              <w:t>New anti-leukemic treatment</w:t>
            </w:r>
            <w:r>
              <w:t>, n (%)</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B37E6" w:rsidRPr="00B1011F" w:rsidRDefault="00DD40E7" w:rsidP="00DB37E6">
            <w:pPr>
              <w:pStyle w:val="TableText"/>
              <w:jc w:val="center"/>
            </w:pPr>
            <w:r>
              <w:rPr>
                <w:noProof/>
                <w:color w:val="000000"/>
                <w:highlight w:val="black"/>
              </w:rPr>
              <w:t>'''''</w:t>
            </w:r>
            <w:r w:rsidR="00DB37E6">
              <w:t xml:space="preserve"> (</w:t>
            </w:r>
            <w:r>
              <w:rPr>
                <w:noProof/>
                <w:color w:val="000000"/>
                <w:highlight w:val="black"/>
              </w:rPr>
              <w:t>''''''''</w:t>
            </w:r>
            <w:r w:rsidR="00DB37E6">
              <w:t>%)</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B37E6" w:rsidRPr="00B1011F" w:rsidRDefault="00DD40E7" w:rsidP="00DB37E6">
            <w:pPr>
              <w:pStyle w:val="TableText"/>
              <w:jc w:val="center"/>
            </w:pPr>
            <w:r>
              <w:rPr>
                <w:noProof/>
                <w:color w:val="000000"/>
                <w:highlight w:val="black"/>
              </w:rPr>
              <w:t>'''''''</w:t>
            </w:r>
            <w:r w:rsidR="00DB37E6">
              <w:t xml:space="preserve"> (</w:t>
            </w:r>
            <w:r>
              <w:rPr>
                <w:noProof/>
                <w:color w:val="000000"/>
                <w:highlight w:val="black"/>
              </w:rPr>
              <w:t>'''''''''''</w:t>
            </w:r>
            <w:r w:rsidR="00DB37E6">
              <w:t>%)</w:t>
            </w:r>
          </w:p>
        </w:tc>
      </w:tr>
      <w:tr w:rsidR="00DB37E6" w:rsidRPr="00B1011F" w:rsidTr="00DB37E6">
        <w:tc>
          <w:tcPr>
            <w:tcW w:w="2122" w:type="pct"/>
            <w:tcBorders>
              <w:top w:val="single" w:sz="4" w:space="0" w:color="auto"/>
              <w:left w:val="single" w:sz="4" w:space="0" w:color="auto"/>
              <w:bottom w:val="single" w:sz="4" w:space="0" w:color="auto"/>
              <w:right w:val="single" w:sz="4" w:space="0" w:color="auto"/>
            </w:tcBorders>
          </w:tcPr>
          <w:p w:rsidR="00DB37E6" w:rsidRPr="00E46CAC" w:rsidRDefault="00DB37E6" w:rsidP="00DB37E6">
            <w:pPr>
              <w:pStyle w:val="TableText"/>
              <w:tabs>
                <w:tab w:val="left" w:pos="306"/>
              </w:tabs>
              <w:ind w:left="-50" w:right="-63"/>
            </w:pPr>
            <w:r>
              <w:t xml:space="preserve">  Death any cause, n (%)</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B37E6" w:rsidRPr="00B1011F" w:rsidRDefault="00DD40E7" w:rsidP="00DB37E6">
            <w:pPr>
              <w:pStyle w:val="TableText"/>
              <w:jc w:val="center"/>
            </w:pPr>
            <w:r>
              <w:rPr>
                <w:noProof/>
                <w:color w:val="000000"/>
                <w:highlight w:val="black"/>
              </w:rPr>
              <w:t>'''''</w:t>
            </w:r>
            <w:r w:rsidR="00DB37E6">
              <w:t xml:space="preserve"> (</w:t>
            </w:r>
            <w:r>
              <w:rPr>
                <w:noProof/>
                <w:color w:val="000000"/>
                <w:highlight w:val="black"/>
              </w:rPr>
              <w:t>'''''''''''</w:t>
            </w:r>
            <w:r w:rsidR="00DB37E6">
              <w:t>%)</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B37E6" w:rsidRPr="00B1011F" w:rsidRDefault="00DD40E7" w:rsidP="00DB37E6">
            <w:pPr>
              <w:pStyle w:val="TableText"/>
              <w:jc w:val="center"/>
            </w:pPr>
            <w:r>
              <w:rPr>
                <w:noProof/>
                <w:color w:val="000000"/>
                <w:highlight w:val="black"/>
              </w:rPr>
              <w:t>'''''''</w:t>
            </w:r>
            <w:r w:rsidR="00DB37E6">
              <w:t xml:space="preserve"> (</w:t>
            </w:r>
            <w:r>
              <w:rPr>
                <w:noProof/>
                <w:color w:val="000000"/>
                <w:highlight w:val="black"/>
              </w:rPr>
              <w:t>''''''''</w:t>
            </w:r>
            <w:r w:rsidR="00DB37E6">
              <w:t>%)</w:t>
            </w:r>
          </w:p>
        </w:tc>
      </w:tr>
      <w:tr w:rsidR="00DB37E6" w:rsidRPr="00B1011F" w:rsidTr="00DB37E6">
        <w:tc>
          <w:tcPr>
            <w:tcW w:w="2122" w:type="pct"/>
            <w:tcBorders>
              <w:top w:val="single" w:sz="4" w:space="0" w:color="auto"/>
              <w:left w:val="single" w:sz="4" w:space="0" w:color="auto"/>
              <w:bottom w:val="single" w:sz="4" w:space="0" w:color="auto"/>
              <w:right w:val="single" w:sz="4" w:space="0" w:color="auto"/>
            </w:tcBorders>
          </w:tcPr>
          <w:p w:rsidR="00DB37E6" w:rsidRPr="00E46CAC" w:rsidRDefault="00DB37E6" w:rsidP="00F5003F">
            <w:pPr>
              <w:pStyle w:val="TableText"/>
              <w:tabs>
                <w:tab w:val="left" w:pos="306"/>
              </w:tabs>
              <w:ind w:left="-50" w:right="-63"/>
            </w:pPr>
            <w:r>
              <w:t xml:space="preserve">Median time to </w:t>
            </w:r>
            <w:r w:rsidRPr="00B0576A">
              <w:t>treatment</w:t>
            </w:r>
            <w:r>
              <w:t xml:space="preserve"> even</w:t>
            </w:r>
            <w:r w:rsidR="00F5003F">
              <w:t>t</w:t>
            </w:r>
            <w:r>
              <w:t>, months (95% CI)</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B37E6" w:rsidRDefault="00DB37E6" w:rsidP="00DB37E6">
            <w:pPr>
              <w:pStyle w:val="TableText"/>
              <w:jc w:val="center"/>
            </w:pPr>
            <w:r>
              <w:t>NR</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DB37E6" w:rsidRDefault="00DB37E6" w:rsidP="00DB37E6">
            <w:pPr>
              <w:pStyle w:val="TableText"/>
              <w:jc w:val="center"/>
            </w:pPr>
            <w:r>
              <w:t>NR</w:t>
            </w:r>
          </w:p>
        </w:tc>
      </w:tr>
      <w:tr w:rsidR="00DB37E6" w:rsidRPr="00B1011F" w:rsidTr="00DB37E6">
        <w:tc>
          <w:tcPr>
            <w:tcW w:w="2122" w:type="pct"/>
          </w:tcPr>
          <w:p w:rsidR="00DB37E6" w:rsidRPr="00C45A65" w:rsidRDefault="00DB37E6" w:rsidP="00DB37E6">
            <w:pPr>
              <w:pStyle w:val="TableText"/>
              <w:tabs>
                <w:tab w:val="left" w:pos="306"/>
              </w:tabs>
              <w:ind w:left="-50" w:right="-63"/>
              <w:rPr>
                <w:rFonts w:eastAsia="Calibri" w:cs="Calibri"/>
                <w:szCs w:val="20"/>
                <w:vertAlign w:val="superscript"/>
              </w:rPr>
            </w:pPr>
            <w:r>
              <w:rPr>
                <w:rFonts w:eastAsia="Calibri" w:cs="Calibri"/>
                <w:szCs w:val="20"/>
              </w:rPr>
              <w:t>Stratified hazard ratio, (95% CI)</w:t>
            </w:r>
            <w:r w:rsidR="00F5003F">
              <w:rPr>
                <w:rFonts w:eastAsia="Calibri" w:cs="Calibri"/>
                <w:szCs w:val="20"/>
                <w:vertAlign w:val="superscript"/>
              </w:rPr>
              <w:t>b</w:t>
            </w:r>
          </w:p>
        </w:tc>
        <w:tc>
          <w:tcPr>
            <w:tcW w:w="2878" w:type="pct"/>
            <w:gridSpan w:val="2"/>
            <w:shd w:val="clear" w:color="auto" w:fill="auto"/>
          </w:tcPr>
          <w:p w:rsidR="00DB37E6" w:rsidRPr="00895C4D" w:rsidRDefault="00DD40E7" w:rsidP="00DB37E6">
            <w:pPr>
              <w:pStyle w:val="TableText"/>
              <w:jc w:val="center"/>
              <w:rPr>
                <w:rFonts w:eastAsia="Calibri" w:cs="Calibri"/>
                <w:szCs w:val="20"/>
              </w:rPr>
            </w:pPr>
            <w:r>
              <w:rPr>
                <w:rFonts w:eastAsia="Calibri" w:cs="Calibri"/>
                <w:noProof/>
                <w:color w:val="000000"/>
                <w:szCs w:val="20"/>
                <w:highlight w:val="black"/>
              </w:rPr>
              <w:t>'''''''''''</w:t>
            </w:r>
            <w:r w:rsidR="00DB37E6" w:rsidRPr="00895C4D">
              <w:rPr>
                <w:rFonts w:eastAsia="Calibri" w:cs="Calibri"/>
                <w:szCs w:val="20"/>
              </w:rPr>
              <w:t xml:space="preserve"> (</w:t>
            </w:r>
            <w:r>
              <w:rPr>
                <w:rFonts w:eastAsia="Calibri" w:cs="Calibri"/>
                <w:noProof/>
                <w:color w:val="000000"/>
                <w:szCs w:val="20"/>
                <w:highlight w:val="black"/>
              </w:rPr>
              <w:t>''''''''''''</w:t>
            </w:r>
            <w:r w:rsidR="00DB37E6" w:rsidRPr="00895C4D">
              <w:rPr>
                <w:rFonts w:eastAsia="Calibri" w:cs="Calibri"/>
                <w:szCs w:val="20"/>
              </w:rPr>
              <w:t xml:space="preserve">, </w:t>
            </w:r>
            <w:r>
              <w:rPr>
                <w:rFonts w:eastAsia="Calibri" w:cs="Calibri"/>
                <w:noProof/>
                <w:color w:val="000000"/>
                <w:szCs w:val="20"/>
                <w:highlight w:val="black"/>
              </w:rPr>
              <w:t>'''''''''''</w:t>
            </w:r>
            <w:r w:rsidR="00DB37E6" w:rsidRPr="00895C4D">
              <w:rPr>
                <w:rFonts w:eastAsia="Calibri" w:cs="Calibri"/>
                <w:szCs w:val="20"/>
              </w:rPr>
              <w:t>)</w:t>
            </w:r>
          </w:p>
        </w:tc>
      </w:tr>
      <w:tr w:rsidR="00DB37E6" w:rsidRPr="00B1011F" w:rsidTr="00DB37E6">
        <w:tc>
          <w:tcPr>
            <w:tcW w:w="2122" w:type="pct"/>
            <w:vAlign w:val="center"/>
          </w:tcPr>
          <w:p w:rsidR="00DB37E6" w:rsidRPr="00E46CAC" w:rsidRDefault="00DB37E6" w:rsidP="00DB37E6">
            <w:pPr>
              <w:pStyle w:val="TableText"/>
              <w:tabs>
                <w:tab w:val="left" w:pos="306"/>
              </w:tabs>
              <w:ind w:left="-50" w:right="-63"/>
            </w:pPr>
            <w:r>
              <w:t>TTNT event free rate at 1 year</w:t>
            </w:r>
            <w:r w:rsidRPr="00B0576A">
              <w:t xml:space="preserve">, </w:t>
            </w:r>
            <w:r>
              <w:t>%</w:t>
            </w:r>
            <w:r w:rsidRPr="00027F0A">
              <w:t xml:space="preserve"> (95% CI)</w:t>
            </w:r>
          </w:p>
        </w:tc>
        <w:tc>
          <w:tcPr>
            <w:tcW w:w="1439" w:type="pct"/>
            <w:vAlign w:val="center"/>
          </w:tcPr>
          <w:p w:rsidR="00DB37E6" w:rsidRDefault="00DB37E6" w:rsidP="00DB37E6">
            <w:pPr>
              <w:pStyle w:val="TableText"/>
              <w:jc w:val="center"/>
            </w:pPr>
            <w:r>
              <w:t>n=</w:t>
            </w:r>
            <w:r w:rsidR="00DD40E7">
              <w:rPr>
                <w:noProof/>
                <w:color w:val="000000"/>
                <w:highlight w:val="black"/>
              </w:rPr>
              <w:t xml:space="preserve">'''''''''' </w:t>
            </w:r>
          </w:p>
          <w:p w:rsidR="00DB37E6" w:rsidRPr="00B1011F" w:rsidRDefault="00DD40E7" w:rsidP="00DB37E6">
            <w:pPr>
              <w:pStyle w:val="TableText"/>
              <w:jc w:val="center"/>
            </w:pPr>
            <w:r>
              <w:rPr>
                <w:noProof/>
                <w:color w:val="000000"/>
                <w:highlight w:val="black"/>
              </w:rPr>
              <w:t>''''''''''</w:t>
            </w:r>
            <w:r w:rsidR="00052399">
              <w:t>%</w:t>
            </w:r>
            <w:r w:rsidR="00DB37E6">
              <w:t xml:space="preserve"> (</w:t>
            </w:r>
            <w:r>
              <w:rPr>
                <w:noProof/>
                <w:color w:val="000000"/>
                <w:highlight w:val="black"/>
              </w:rPr>
              <w:t>''''''''''</w:t>
            </w:r>
            <w:r w:rsidR="00DB37E6" w:rsidRPr="00027F0A">
              <w:t xml:space="preserve">, </w:t>
            </w:r>
            <w:r>
              <w:rPr>
                <w:noProof/>
                <w:color w:val="000000"/>
                <w:highlight w:val="black"/>
              </w:rPr>
              <w:t>'''''''''''''</w:t>
            </w:r>
            <w:r w:rsidR="00DB37E6">
              <w:t>)</w:t>
            </w:r>
          </w:p>
        </w:tc>
        <w:tc>
          <w:tcPr>
            <w:tcW w:w="1439" w:type="pct"/>
            <w:vAlign w:val="center"/>
          </w:tcPr>
          <w:p w:rsidR="00DB37E6" w:rsidRDefault="00DB37E6" w:rsidP="00DB37E6">
            <w:pPr>
              <w:pStyle w:val="TableText"/>
              <w:jc w:val="center"/>
            </w:pPr>
            <w:r>
              <w:t>n=</w:t>
            </w:r>
            <w:r w:rsidR="00DD40E7">
              <w:rPr>
                <w:noProof/>
                <w:color w:val="000000"/>
                <w:highlight w:val="black"/>
              </w:rPr>
              <w:t xml:space="preserve">'''''''''' </w:t>
            </w:r>
          </w:p>
          <w:p w:rsidR="00DB37E6" w:rsidRPr="00B1011F" w:rsidRDefault="00DD40E7" w:rsidP="00DB37E6">
            <w:pPr>
              <w:pStyle w:val="TableText"/>
              <w:jc w:val="center"/>
            </w:pPr>
            <w:r>
              <w:rPr>
                <w:noProof/>
                <w:color w:val="000000"/>
                <w:highlight w:val="black"/>
              </w:rPr>
              <w:t>''''''''''</w:t>
            </w:r>
            <w:r w:rsidR="00052399">
              <w:t>%</w:t>
            </w:r>
            <w:r w:rsidR="00DB37E6">
              <w:t xml:space="preserve"> (</w:t>
            </w:r>
            <w:r>
              <w:rPr>
                <w:noProof/>
                <w:color w:val="000000"/>
                <w:highlight w:val="black"/>
              </w:rPr>
              <w:t>'''''''''''</w:t>
            </w:r>
            <w:r w:rsidR="00DB37E6">
              <w:t xml:space="preserve">, </w:t>
            </w:r>
            <w:r>
              <w:rPr>
                <w:noProof/>
                <w:color w:val="000000"/>
                <w:highlight w:val="black"/>
              </w:rPr>
              <w:t>'''''''''''</w:t>
            </w:r>
            <w:r w:rsidR="00DB37E6">
              <w:t>)</w:t>
            </w:r>
          </w:p>
        </w:tc>
      </w:tr>
      <w:tr w:rsidR="00DB37E6" w:rsidRPr="00B1011F" w:rsidTr="00DB37E6">
        <w:tc>
          <w:tcPr>
            <w:tcW w:w="2122" w:type="pct"/>
            <w:vAlign w:val="center"/>
          </w:tcPr>
          <w:p w:rsidR="00DB37E6" w:rsidRPr="00E46CAC" w:rsidRDefault="00DB37E6" w:rsidP="00DB37E6">
            <w:pPr>
              <w:pStyle w:val="TableText"/>
              <w:tabs>
                <w:tab w:val="left" w:pos="306"/>
              </w:tabs>
              <w:ind w:left="-50" w:right="-63"/>
            </w:pPr>
            <w:r>
              <w:t>TTNT event free rate at 2 years</w:t>
            </w:r>
            <w:r w:rsidRPr="00B0576A">
              <w:t xml:space="preserve">, </w:t>
            </w:r>
            <w:r>
              <w:t>%</w:t>
            </w:r>
            <w:r w:rsidRPr="00027F0A">
              <w:t xml:space="preserve"> (95% CI)</w:t>
            </w:r>
          </w:p>
        </w:tc>
        <w:tc>
          <w:tcPr>
            <w:tcW w:w="1439" w:type="pct"/>
            <w:vAlign w:val="center"/>
          </w:tcPr>
          <w:p w:rsidR="00DB37E6" w:rsidRDefault="00DB37E6" w:rsidP="00DB37E6">
            <w:pPr>
              <w:pStyle w:val="TableText"/>
              <w:jc w:val="center"/>
            </w:pPr>
            <w:r>
              <w:t>n=</w:t>
            </w:r>
            <w:r w:rsidR="00DD40E7">
              <w:rPr>
                <w:noProof/>
                <w:color w:val="000000"/>
                <w:highlight w:val="black"/>
              </w:rPr>
              <w:t>''''''''''</w:t>
            </w:r>
            <w:r>
              <w:t xml:space="preserve"> </w:t>
            </w:r>
          </w:p>
          <w:p w:rsidR="00DB37E6" w:rsidRPr="00B1011F" w:rsidRDefault="00DD40E7" w:rsidP="00DB37E6">
            <w:pPr>
              <w:pStyle w:val="TableText"/>
              <w:jc w:val="center"/>
            </w:pPr>
            <w:r>
              <w:rPr>
                <w:noProof/>
                <w:color w:val="000000"/>
                <w:highlight w:val="black"/>
              </w:rPr>
              <w:t>''''''''''</w:t>
            </w:r>
            <w:r w:rsidR="00052399">
              <w:t>%</w:t>
            </w:r>
            <w:r w:rsidR="00DB37E6">
              <w:t xml:space="preserve"> (</w:t>
            </w:r>
            <w:r>
              <w:rPr>
                <w:noProof/>
                <w:color w:val="000000"/>
                <w:highlight w:val="black"/>
              </w:rPr>
              <w:t>''''''''''''</w:t>
            </w:r>
            <w:r w:rsidR="00DB37E6" w:rsidRPr="00027F0A">
              <w:t xml:space="preserve">, </w:t>
            </w:r>
            <w:r>
              <w:rPr>
                <w:noProof/>
                <w:color w:val="000000"/>
                <w:highlight w:val="black"/>
              </w:rPr>
              <w:t>''''''''''''''</w:t>
            </w:r>
            <w:r w:rsidR="00DB37E6">
              <w:t>)</w:t>
            </w:r>
          </w:p>
        </w:tc>
        <w:tc>
          <w:tcPr>
            <w:tcW w:w="1439" w:type="pct"/>
            <w:vAlign w:val="center"/>
          </w:tcPr>
          <w:p w:rsidR="00DB37E6" w:rsidRDefault="00DB37E6" w:rsidP="00DB37E6">
            <w:pPr>
              <w:pStyle w:val="TableText"/>
              <w:jc w:val="center"/>
            </w:pPr>
            <w:r>
              <w:t>n=</w:t>
            </w:r>
            <w:r w:rsidR="00DD40E7">
              <w:rPr>
                <w:noProof/>
                <w:color w:val="000000"/>
                <w:highlight w:val="black"/>
              </w:rPr>
              <w:t xml:space="preserve">''''''''' </w:t>
            </w:r>
          </w:p>
          <w:p w:rsidR="00DB37E6" w:rsidRPr="00B1011F" w:rsidRDefault="00DD40E7" w:rsidP="00DB37E6">
            <w:pPr>
              <w:pStyle w:val="TableText"/>
              <w:jc w:val="center"/>
            </w:pPr>
            <w:r>
              <w:rPr>
                <w:noProof/>
                <w:color w:val="000000"/>
                <w:highlight w:val="black"/>
              </w:rPr>
              <w:t>'''''''''''</w:t>
            </w:r>
            <w:r w:rsidR="00052399">
              <w:t>%</w:t>
            </w:r>
            <w:r w:rsidR="00DB37E6">
              <w:t xml:space="preserve"> (</w:t>
            </w:r>
            <w:r>
              <w:rPr>
                <w:noProof/>
                <w:color w:val="000000"/>
                <w:highlight w:val="black"/>
              </w:rPr>
              <w:t>'''''''''''</w:t>
            </w:r>
            <w:r w:rsidR="00DB37E6">
              <w:t xml:space="preserve">, </w:t>
            </w:r>
            <w:r>
              <w:rPr>
                <w:noProof/>
                <w:color w:val="000000"/>
                <w:highlight w:val="black"/>
              </w:rPr>
              <w:t>''''''''''</w:t>
            </w:r>
            <w:r w:rsidR="00DB37E6">
              <w:t>)</w:t>
            </w:r>
          </w:p>
        </w:tc>
      </w:tr>
      <w:tr w:rsidR="00DB37E6" w:rsidRPr="00B1011F" w:rsidTr="00DB37E6">
        <w:tc>
          <w:tcPr>
            <w:tcW w:w="2122" w:type="pct"/>
            <w:vAlign w:val="center"/>
          </w:tcPr>
          <w:p w:rsidR="00DB37E6" w:rsidRPr="00B0576A" w:rsidRDefault="00DB37E6" w:rsidP="00DB37E6">
            <w:pPr>
              <w:pStyle w:val="TableText"/>
              <w:tabs>
                <w:tab w:val="left" w:pos="306"/>
              </w:tabs>
              <w:ind w:left="-50" w:right="-63"/>
            </w:pPr>
            <w:r>
              <w:t>TTNT event free rate at 3 years</w:t>
            </w:r>
            <w:r w:rsidRPr="00B0576A">
              <w:t xml:space="preserve">, </w:t>
            </w:r>
            <w:r>
              <w:t>%</w:t>
            </w:r>
            <w:r w:rsidRPr="00027F0A">
              <w:t xml:space="preserve"> (95% CI)</w:t>
            </w:r>
          </w:p>
        </w:tc>
        <w:tc>
          <w:tcPr>
            <w:tcW w:w="1439" w:type="pct"/>
            <w:vAlign w:val="center"/>
          </w:tcPr>
          <w:p w:rsidR="00DB37E6" w:rsidRDefault="00DB37E6" w:rsidP="00DB37E6">
            <w:pPr>
              <w:pStyle w:val="TableText"/>
              <w:jc w:val="center"/>
            </w:pPr>
            <w:r>
              <w:t>n=</w:t>
            </w:r>
            <w:r w:rsidR="00DD40E7">
              <w:rPr>
                <w:noProof/>
                <w:color w:val="000000"/>
                <w:highlight w:val="black"/>
              </w:rPr>
              <w:t>'''''''''</w:t>
            </w:r>
            <w:r>
              <w:t xml:space="preserve"> </w:t>
            </w:r>
          </w:p>
          <w:p w:rsidR="00DB37E6" w:rsidRDefault="00DD40E7" w:rsidP="00DB37E6">
            <w:pPr>
              <w:pStyle w:val="TableText"/>
              <w:jc w:val="center"/>
            </w:pPr>
            <w:r>
              <w:rPr>
                <w:noProof/>
                <w:color w:val="000000"/>
                <w:highlight w:val="black"/>
              </w:rPr>
              <w:t>''''''''''</w:t>
            </w:r>
            <w:r w:rsidR="00052399">
              <w:t>%</w:t>
            </w:r>
            <w:r w:rsidR="00DB37E6">
              <w:t xml:space="preserve"> (</w:t>
            </w:r>
            <w:r>
              <w:rPr>
                <w:noProof/>
                <w:color w:val="000000"/>
                <w:highlight w:val="black"/>
              </w:rPr>
              <w:t>''''''''''</w:t>
            </w:r>
            <w:r w:rsidR="00DB37E6" w:rsidRPr="00027F0A">
              <w:t xml:space="preserve">, </w:t>
            </w:r>
            <w:r>
              <w:rPr>
                <w:noProof/>
                <w:color w:val="000000"/>
                <w:highlight w:val="black"/>
              </w:rPr>
              <w:t>'''''''''''''</w:t>
            </w:r>
            <w:r w:rsidR="00DB37E6">
              <w:t>)</w:t>
            </w:r>
          </w:p>
        </w:tc>
        <w:tc>
          <w:tcPr>
            <w:tcW w:w="1439" w:type="pct"/>
            <w:vAlign w:val="center"/>
          </w:tcPr>
          <w:p w:rsidR="00DB37E6" w:rsidRDefault="00DB37E6" w:rsidP="00DB37E6">
            <w:pPr>
              <w:pStyle w:val="TableText"/>
              <w:jc w:val="center"/>
            </w:pPr>
            <w:r>
              <w:t>n=</w:t>
            </w:r>
            <w:r w:rsidR="00DD40E7">
              <w:rPr>
                <w:noProof/>
                <w:color w:val="000000"/>
                <w:highlight w:val="black"/>
              </w:rPr>
              <w:t xml:space="preserve">'''''''''' </w:t>
            </w:r>
          </w:p>
          <w:p w:rsidR="00DB37E6" w:rsidRDefault="00DD40E7" w:rsidP="00DB37E6">
            <w:pPr>
              <w:pStyle w:val="TableText"/>
              <w:jc w:val="center"/>
            </w:pPr>
            <w:r>
              <w:rPr>
                <w:noProof/>
                <w:color w:val="000000"/>
                <w:highlight w:val="black"/>
              </w:rPr>
              <w:t>''''''''''</w:t>
            </w:r>
            <w:r w:rsidR="00052399">
              <w:t>%</w:t>
            </w:r>
            <w:r w:rsidR="00DB37E6">
              <w:t xml:space="preserve"> (</w:t>
            </w:r>
            <w:r>
              <w:rPr>
                <w:noProof/>
                <w:color w:val="000000"/>
                <w:highlight w:val="black"/>
              </w:rPr>
              <w:t>''''''''''</w:t>
            </w:r>
            <w:r w:rsidR="00DB37E6">
              <w:t xml:space="preserve">, </w:t>
            </w:r>
            <w:r>
              <w:rPr>
                <w:noProof/>
                <w:color w:val="000000"/>
                <w:highlight w:val="black"/>
              </w:rPr>
              <w:t>''''''''''</w:t>
            </w:r>
            <w:r w:rsidR="00DB37E6">
              <w:t>)</w:t>
            </w:r>
          </w:p>
        </w:tc>
      </w:tr>
    </w:tbl>
    <w:p w:rsidR="00DB37E6" w:rsidRPr="00F62D26" w:rsidRDefault="00DB37E6" w:rsidP="00DB37E6">
      <w:pPr>
        <w:pStyle w:val="TableFigureFooter"/>
      </w:pPr>
      <w:r>
        <w:t xml:space="preserve">Source: Table 38, p.72 of the submission; Table 3, p.3 of </w:t>
      </w:r>
      <w:r w:rsidRPr="003E26CC">
        <w:t>VTX_PBAC submission_updated data.docx</w:t>
      </w:r>
      <w:r>
        <w:t xml:space="preserve">; p.2 of </w:t>
      </w:r>
      <w:r w:rsidRPr="00027F0A">
        <w:t>t_ef_tte_TTNTINV_NSFRFL_323_IT.pdf</w:t>
      </w:r>
    </w:p>
    <w:p w:rsidR="00DB37E6" w:rsidRPr="002A1359" w:rsidRDefault="00DB37E6" w:rsidP="00DB37E6">
      <w:pPr>
        <w:pStyle w:val="TableFigureFooter"/>
      </w:pPr>
      <w:r w:rsidRPr="00F62D26">
        <w:t xml:space="preserve">Abbreviations: CI, confidence interval; CLL, chronic lymphocytic leukaemia; </w:t>
      </w:r>
      <w:r>
        <w:rPr>
          <w:rFonts w:eastAsia="Calibri"/>
        </w:rPr>
        <w:t>ITT, intention-to-treat; NE, not estimable; NR, not reported</w:t>
      </w:r>
    </w:p>
    <w:p w:rsidR="00F5003F" w:rsidRDefault="00DB37E6" w:rsidP="00DB37E6">
      <w:pPr>
        <w:pStyle w:val="TableFigureFooter"/>
        <w:rPr>
          <w:rFonts w:eastAsia="Calibri"/>
        </w:rPr>
      </w:pPr>
      <w:r>
        <w:rPr>
          <w:rFonts w:eastAsia="Calibri"/>
          <w:vertAlign w:val="superscript"/>
        </w:rPr>
        <w:t>a</w:t>
      </w:r>
      <w:r>
        <w:rPr>
          <w:rFonts w:eastAsia="Calibri"/>
        </w:rPr>
        <w:t xml:space="preserve"> </w:t>
      </w:r>
      <w:r w:rsidR="00F5003F">
        <w:rPr>
          <w:rFonts w:eastAsia="Calibri"/>
        </w:rPr>
        <w:t>Event = initiation of next anti-CLL treatment or death</w:t>
      </w:r>
    </w:p>
    <w:p w:rsidR="00DB37E6" w:rsidRDefault="00F5003F" w:rsidP="00DB37E6">
      <w:pPr>
        <w:pStyle w:val="TableFigureFooter"/>
        <w:rPr>
          <w:rFonts w:eastAsia="Calibri"/>
        </w:rPr>
      </w:pPr>
      <w:r w:rsidRPr="00F5003F">
        <w:rPr>
          <w:rFonts w:eastAsia="Calibri"/>
          <w:vertAlign w:val="superscript"/>
        </w:rPr>
        <w:t>b</w:t>
      </w:r>
      <w:r>
        <w:rPr>
          <w:rFonts w:eastAsia="Calibri"/>
        </w:rPr>
        <w:t xml:space="preserve"> </w:t>
      </w:r>
      <w:r w:rsidR="00DB37E6">
        <w:rPr>
          <w:rFonts w:eastAsia="Calibri"/>
        </w:rPr>
        <w:t xml:space="preserve">Hazard ratio &lt; 1 favours venetoclax </w:t>
      </w:r>
    </w:p>
    <w:p w:rsidR="00DB37E6" w:rsidRDefault="00DB37E6" w:rsidP="00DB37E6">
      <w:pPr>
        <w:rPr>
          <w:rFonts w:eastAsia="Calibri"/>
        </w:rPr>
      </w:pPr>
    </w:p>
    <w:p w:rsidR="00DB37E6" w:rsidRPr="00014BCE" w:rsidRDefault="00DB37E6" w:rsidP="00DB37E6">
      <w:pPr>
        <w:keepNext/>
        <w:keepLines/>
        <w:rPr>
          <w:rFonts w:ascii="Arial Narrow" w:hAnsi="Arial Narrow"/>
          <w:b/>
          <w:sz w:val="20"/>
          <w:szCs w:val="20"/>
        </w:rPr>
      </w:pPr>
      <w:r w:rsidRPr="008F57EA">
        <w:rPr>
          <w:rFonts w:ascii="Arial Narrow" w:hAnsi="Arial Narrow"/>
          <w:b/>
          <w:sz w:val="20"/>
          <w:szCs w:val="20"/>
        </w:rPr>
        <w:lastRenderedPageBreak/>
        <w:t xml:space="preserve">Figure </w:t>
      </w:r>
      <w:r>
        <w:rPr>
          <w:rFonts w:ascii="Arial Narrow" w:hAnsi="Arial Narrow"/>
          <w:b/>
          <w:sz w:val="20"/>
          <w:szCs w:val="20"/>
        </w:rPr>
        <w:t>3</w:t>
      </w:r>
      <w:r w:rsidRPr="008F57EA">
        <w:rPr>
          <w:rFonts w:ascii="Arial Narrow" w:hAnsi="Arial Narrow"/>
          <w:b/>
          <w:sz w:val="20"/>
          <w:szCs w:val="20"/>
        </w:rPr>
        <w:t xml:space="preserve">: Kaplan-Meier plot of </w:t>
      </w:r>
      <w:r>
        <w:rPr>
          <w:rFonts w:ascii="Arial Narrow" w:hAnsi="Arial Narrow"/>
          <w:b/>
          <w:sz w:val="20"/>
          <w:szCs w:val="20"/>
        </w:rPr>
        <w:t xml:space="preserve">time to next anti-CLL </w:t>
      </w:r>
      <w:r w:rsidRPr="008F57EA">
        <w:rPr>
          <w:rFonts w:ascii="Arial Narrow" w:hAnsi="Arial Narrow"/>
          <w:b/>
          <w:sz w:val="20"/>
          <w:szCs w:val="20"/>
        </w:rPr>
        <w:t>treatment for CLL-14 (ITT</w:t>
      </w:r>
      <w:r>
        <w:rPr>
          <w:rFonts w:ascii="Arial Narrow" w:hAnsi="Arial Narrow"/>
          <w:b/>
          <w:sz w:val="20"/>
          <w:szCs w:val="20"/>
        </w:rPr>
        <w:t>; 23 August 2019</w:t>
      </w:r>
      <w:r w:rsidRPr="008F57EA">
        <w:rPr>
          <w:rFonts w:ascii="Arial Narrow" w:hAnsi="Arial Narrow"/>
          <w:b/>
          <w:sz w:val="20"/>
          <w:szCs w:val="20"/>
        </w:rPr>
        <w:t>)</w:t>
      </w:r>
    </w:p>
    <w:p w:rsidR="00DB37E6" w:rsidRDefault="00DD40E7" w:rsidP="00DB37E6">
      <w:pPr>
        <w:keepNext/>
        <w:keepLines/>
      </w:pPr>
      <w:r>
        <w:rPr>
          <w:noProof/>
        </w:rPr>
        <w:drawing>
          <wp:inline distT="0" distB="0" distL="0" distR="0">
            <wp:extent cx="5724525" cy="3034030"/>
            <wp:effectExtent l="0" t="0" r="9525" b="0"/>
            <wp:docPr id="2" name="Picture 2" title="Figure 3: Kaplan-Meier plot of time to next anti-CLL treatment for CLL-14 (ITT; 23 August 2019) redacted"/>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a:extLst>
                        <a:ext uri="{28A0092B-C50C-407E-A947-70E740481C1C}">
                          <a14:useLocalDpi xmlns:a14="http://schemas.microsoft.com/office/drawing/2010/main" val="0"/>
                        </a:ext>
                      </a:extLst>
                    </a:blip>
                    <a:stretch>
                      <a:fillRect/>
                    </a:stretch>
                  </pic:blipFill>
                  <pic:spPr>
                    <a:xfrm>
                      <a:off x="0" y="0"/>
                      <a:ext cx="5724525" cy="3034030"/>
                    </a:xfrm>
                    <a:prstGeom prst="rect">
                      <a:avLst/>
                    </a:prstGeom>
                  </pic:spPr>
                </pic:pic>
              </a:graphicData>
            </a:graphic>
          </wp:inline>
        </w:drawing>
      </w:r>
    </w:p>
    <w:p w:rsidR="00DB37E6" w:rsidRDefault="00DB37E6" w:rsidP="00DB37E6">
      <w:pPr>
        <w:pStyle w:val="TableFigureFooter"/>
      </w:pPr>
      <w:r>
        <w:t xml:space="preserve">Source: Figure 3, p.3 of </w:t>
      </w:r>
      <w:r w:rsidRPr="003E26CC">
        <w:t>VTX_PBAC submission_updated data.docx</w:t>
      </w:r>
      <w:r w:rsidRPr="00F62D26">
        <w:t xml:space="preserve"> </w:t>
      </w:r>
    </w:p>
    <w:p w:rsidR="00DB37E6" w:rsidRDefault="00DB37E6" w:rsidP="00DB37E6">
      <w:pPr>
        <w:pStyle w:val="TableFigureFooter"/>
      </w:pPr>
      <w:r w:rsidRPr="00F62D26">
        <w:t xml:space="preserve">Abbreviations: </w:t>
      </w:r>
      <w:r>
        <w:t>CLL, chronic lymphocytic leukaemia; ITT, intention-to-treat; GClb, chlorambucil + obinutuzumab; VEN+G, venetoclax + obinutuzumab</w:t>
      </w:r>
    </w:p>
    <w:p w:rsidR="00DB37E6" w:rsidRPr="00815956" w:rsidRDefault="00DB37E6" w:rsidP="00DB37E6">
      <w:pPr>
        <w:pStyle w:val="TableFigureFooter"/>
        <w:keepNext/>
        <w:keepLines/>
      </w:pPr>
      <w:r>
        <w:t>Note: Censored, criteria not defined</w:t>
      </w:r>
    </w:p>
    <w:p w:rsidR="00DB37E6" w:rsidRDefault="00DB37E6" w:rsidP="00DB37E6">
      <w:pPr>
        <w:pStyle w:val="ExecSumBodyText"/>
      </w:pPr>
      <w:r w:rsidRPr="00910DC5">
        <w:t xml:space="preserve">The risk of starting a new anti-CLL treatment was statistically significantly lower for patients treated with venetoclax + obinutuzumab compared to chlorambucil + obinutuzumab (stratified HR 0.60, 95% CI: 0.37, 0.97), based on a median follow up of </w:t>
      </w:r>
      <w:r w:rsidR="000F56E5" w:rsidRPr="00910DC5">
        <w:t>29.06</w:t>
      </w:r>
      <w:r w:rsidRPr="00910DC5">
        <w:t xml:space="preserve"> months</w:t>
      </w:r>
      <w:r>
        <w:t xml:space="preserve">. </w:t>
      </w:r>
      <w:r w:rsidRPr="006246EB">
        <w:t xml:space="preserve">The median </w:t>
      </w:r>
      <w:r w:rsidR="00DE2CAC">
        <w:t>TTNT</w:t>
      </w:r>
      <w:r w:rsidRPr="006246EB">
        <w:t xml:space="preserve"> was not reached in either treatment arm.</w:t>
      </w:r>
    </w:p>
    <w:p w:rsidR="00417F9C" w:rsidRPr="00FA471B" w:rsidRDefault="00DE2CAC" w:rsidP="00417F9C">
      <w:pPr>
        <w:pStyle w:val="ExecSumBodyText"/>
        <w:rPr>
          <w:rFonts w:ascii="Calibri" w:hAnsi="Calibri" w:cs="Calibri"/>
          <w:i/>
          <w:sz w:val="20"/>
          <w:szCs w:val="20"/>
        </w:rPr>
      </w:pPr>
      <w:r>
        <w:t>TTNT</w:t>
      </w:r>
      <w:r w:rsidR="00417F9C">
        <w:t xml:space="preserve"> was defined as the time from randomisation to initiation of a new anti-CLL treatment or death. Patients could initiate subsequent therapy before or after disease progression (three patients in each treatment arm received new treatments prior to disease progression). There was no criteria in the </w:t>
      </w:r>
      <w:r w:rsidR="00417F9C" w:rsidRPr="003124D8">
        <w:t>CLL-14 study protocol for the management of post-progression treatments.</w:t>
      </w:r>
      <w:r w:rsidR="00FA471B" w:rsidRPr="003124D8">
        <w:t xml:space="preserve"> The </w:t>
      </w:r>
      <w:r w:rsidR="005A4508" w:rsidRPr="003124D8">
        <w:t>PSCR stated</w:t>
      </w:r>
      <w:r w:rsidR="00FA471B" w:rsidRPr="003124D8">
        <w:t xml:space="preserve"> that the absence of such protocols meant that patients were only initiated on subsequent therapy when it was clinically meaningful and clinically appropriate to do so.</w:t>
      </w:r>
      <w:r w:rsidR="003217DC">
        <w:rPr>
          <w:i/>
        </w:rPr>
        <w:t xml:space="preserve"> </w:t>
      </w:r>
    </w:p>
    <w:p w:rsidR="00581E67" w:rsidRDefault="00C55981" w:rsidP="00FE1E3D">
      <w:pPr>
        <w:pStyle w:val="ExecSumBodyText"/>
      </w:pPr>
      <w:r>
        <w:t>Figure 4 shows s</w:t>
      </w:r>
      <w:r w:rsidRPr="00FE1E3D">
        <w:t xml:space="preserve">uperimposed Kaplan-Meier plots for </w:t>
      </w:r>
      <w:r w:rsidR="00A21484">
        <w:t>PFS</w:t>
      </w:r>
      <w:r w:rsidRPr="00FE1E3D">
        <w:t xml:space="preserve"> over TTNT from CLL-14</w:t>
      </w:r>
      <w:r w:rsidR="00FE1E3D">
        <w:t xml:space="preserve">. </w:t>
      </w:r>
    </w:p>
    <w:p w:rsidR="00FE1E3D" w:rsidRPr="00A81FA0" w:rsidRDefault="00FE1E3D" w:rsidP="00FE1E3D">
      <w:pPr>
        <w:pStyle w:val="TableFigureFooter"/>
        <w:keepNext/>
        <w:keepLines/>
        <w:rPr>
          <w:rFonts w:eastAsia="Calibri"/>
          <w:b/>
          <w:sz w:val="20"/>
          <w:szCs w:val="20"/>
        </w:rPr>
      </w:pPr>
      <w:r>
        <w:rPr>
          <w:rFonts w:eastAsia="Calibri"/>
          <w:b/>
          <w:sz w:val="20"/>
          <w:szCs w:val="20"/>
        </w:rPr>
        <w:lastRenderedPageBreak/>
        <w:t>Figure 4: Superimposed Kaplan-Meier plots for PFS over TTNT from CLL-14 (ITT; 17 August 2018)</w:t>
      </w:r>
    </w:p>
    <w:p w:rsidR="00FE1E3D" w:rsidRDefault="00FE1E3D" w:rsidP="00FE1E3D">
      <w:pPr>
        <w:keepNext/>
        <w:keepLines/>
      </w:pPr>
      <w:r>
        <w:rPr>
          <w:noProof/>
        </w:rPr>
        <w:drawing>
          <wp:inline distT="0" distB="0" distL="0" distR="0" wp14:anchorId="27F064C0" wp14:editId="4C55D7A4">
            <wp:extent cx="5724000" cy="3747600"/>
            <wp:effectExtent l="0" t="0" r="0" b="5715"/>
            <wp:docPr id="240" name="Picture 240" title="Figure 4: Superimposed Kaplan-Meier plots for PFS over TTNT from CLL-14 (ITT; 17 August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000" cy="3747600"/>
                    </a:xfrm>
                    <a:prstGeom prst="rect">
                      <a:avLst/>
                    </a:prstGeom>
                    <a:noFill/>
                  </pic:spPr>
                </pic:pic>
              </a:graphicData>
            </a:graphic>
          </wp:inline>
        </w:drawing>
      </w:r>
    </w:p>
    <w:p w:rsidR="00FE1E3D" w:rsidRDefault="00FE1E3D" w:rsidP="00FE1E3D">
      <w:pPr>
        <w:rPr>
          <w:rFonts w:ascii="Arial Narrow" w:hAnsi="Arial Narrow"/>
          <w:sz w:val="18"/>
        </w:rPr>
      </w:pPr>
      <w:r w:rsidRPr="00EB1FC7">
        <w:rPr>
          <w:rFonts w:ascii="Arial Narrow" w:hAnsi="Arial Narrow"/>
          <w:sz w:val="18"/>
        </w:rPr>
        <w:t>Source: Kaplan Meier data included in PBAC_Section 3_CUA_VTX+Obi_Final spreadsheet provided with the submission</w:t>
      </w:r>
    </w:p>
    <w:p w:rsidR="00FE1E3D" w:rsidRPr="00EB1FC7" w:rsidRDefault="00FE1E3D" w:rsidP="00FE1E3D">
      <w:pPr>
        <w:rPr>
          <w:rFonts w:ascii="Arial Narrow" w:hAnsi="Arial Narrow"/>
          <w:sz w:val="18"/>
        </w:rPr>
      </w:pPr>
      <w:r>
        <w:rPr>
          <w:rFonts w:ascii="Arial Narrow" w:hAnsi="Arial Narrow"/>
          <w:sz w:val="18"/>
        </w:rPr>
        <w:t>Abbreviations: Obi, obinutuzumab; Clb, chlorambucil; ITT, intention-to-treat; PFS, progression free survival; TTNT, time to next anti-CLL treatment; VTX, venetoclax</w:t>
      </w:r>
    </w:p>
    <w:p w:rsidR="00FE1E3D" w:rsidRDefault="00FE1E3D" w:rsidP="00487BD3"/>
    <w:p w:rsidR="00DB37E6" w:rsidRPr="009425BA" w:rsidRDefault="00FD0672" w:rsidP="00DB37E6">
      <w:pPr>
        <w:pStyle w:val="ExecSumBodyText"/>
      </w:pPr>
      <w:r>
        <w:t xml:space="preserve">The </w:t>
      </w:r>
      <w:r w:rsidRPr="0018692E">
        <w:t>ESC noted that</w:t>
      </w:r>
      <w:r>
        <w:t xml:space="preserve"> d</w:t>
      </w:r>
      <w:r w:rsidR="004D09AA" w:rsidRPr="006656E8">
        <w:t xml:space="preserve">ifferences between </w:t>
      </w:r>
      <w:r w:rsidR="00DE2CAC">
        <w:t>PFS</w:t>
      </w:r>
      <w:r w:rsidR="004D09AA" w:rsidRPr="006656E8">
        <w:t xml:space="preserve"> and TTNT were not consistent between treatment arms. For patients treated with chlorambucil + obinutuzumab</w:t>
      </w:r>
      <w:r w:rsidR="008E6021" w:rsidRPr="006656E8">
        <w:t>,</w:t>
      </w:r>
      <w:r w:rsidR="004D09AA" w:rsidRPr="006656E8">
        <w:t xml:space="preserve"> the Kaplan Meier curves for </w:t>
      </w:r>
      <w:r w:rsidR="00DE2CAC">
        <w:t>PFS</w:t>
      </w:r>
      <w:r w:rsidR="004D09AA" w:rsidRPr="006656E8">
        <w:t xml:space="preserve"> and TTNT diverged from end-of-treatment, while for patients treated with venetoclax + obinutuzumab</w:t>
      </w:r>
      <w:r w:rsidR="008E6021" w:rsidRPr="006656E8">
        <w:t>,</w:t>
      </w:r>
      <w:r w:rsidR="004D09AA" w:rsidRPr="006656E8">
        <w:t xml:space="preserve"> </w:t>
      </w:r>
      <w:r w:rsidR="00DE2CAC">
        <w:t>PFS</w:t>
      </w:r>
      <w:r w:rsidR="004D09AA" w:rsidRPr="006656E8">
        <w:t xml:space="preserve"> and TTNT showed no divergence until </w:t>
      </w:r>
      <w:r w:rsidR="004D09AA" w:rsidRPr="00FD0672">
        <w:t>the tail of survivors, where small patient numbers impacted the reliability of the data. The data suggest that larger proportions of patients treated with chlorambucil + obinutuzumab experienced delayed or no new anti-CLL treatment after disease progression, while patients treated with venetoclax + obinutuzumab experienced little or no delay.</w:t>
      </w:r>
      <w:r>
        <w:t xml:space="preserve"> </w:t>
      </w:r>
    </w:p>
    <w:p w:rsidR="004D09AA" w:rsidRPr="003124D8" w:rsidRDefault="004D09AA" w:rsidP="00DB37E6">
      <w:pPr>
        <w:pStyle w:val="ExecSumBodyText"/>
      </w:pPr>
      <w:r w:rsidRPr="003124D8">
        <w:t xml:space="preserve">Differences between treatment arms in </w:t>
      </w:r>
      <w:r w:rsidRPr="00C92CB4">
        <w:t xml:space="preserve">time from disease progression to initiation of new anti-CLL treatments were not </w:t>
      </w:r>
      <w:r w:rsidR="0002364F" w:rsidRPr="00C92CB4">
        <w:t xml:space="preserve">adequately </w:t>
      </w:r>
      <w:r w:rsidRPr="00C92CB4">
        <w:t>explained</w:t>
      </w:r>
      <w:r w:rsidR="00FA471B" w:rsidRPr="00C92CB4">
        <w:t xml:space="preserve"> in the submission</w:t>
      </w:r>
      <w:r w:rsidRPr="00C92CB4">
        <w:t>.</w:t>
      </w:r>
      <w:r w:rsidR="00FA471B" w:rsidRPr="00C92CB4">
        <w:t xml:space="preserve"> The </w:t>
      </w:r>
      <w:r w:rsidR="005A4508" w:rsidRPr="00C92CB4">
        <w:t>PSCR stated</w:t>
      </w:r>
      <w:r w:rsidR="00FA471B" w:rsidRPr="00C92CB4">
        <w:t xml:space="preserve"> that the post-progression treatment patterns between the treatment arms “could not be easily interpreted”.</w:t>
      </w:r>
      <w:r w:rsidR="00160C7E" w:rsidRPr="00C92CB4">
        <w:t xml:space="preserve"> </w:t>
      </w:r>
      <w:r w:rsidR="00FA471B" w:rsidRPr="00C92CB4">
        <w:t>The ESC not</w:t>
      </w:r>
      <w:r w:rsidR="003E16EB" w:rsidRPr="00C92CB4">
        <w:t>ed</w:t>
      </w:r>
      <w:r w:rsidR="00FA471B" w:rsidRPr="00C92CB4">
        <w:t xml:space="preserve"> that </w:t>
      </w:r>
      <w:r w:rsidR="00A865C0">
        <w:t xml:space="preserve">in the economic model </w:t>
      </w:r>
      <w:r w:rsidR="00FA471B" w:rsidRPr="00C92CB4">
        <w:t xml:space="preserve">the </w:t>
      </w:r>
      <w:r w:rsidR="00731EAD" w:rsidRPr="00C92CB4">
        <w:t xml:space="preserve">utility decrement applied to the </w:t>
      </w:r>
      <w:r w:rsidR="00FA471B" w:rsidRPr="00C92CB4">
        <w:t xml:space="preserve">time in the progressed but well health state (i.e. the time between progression and retreatment) had an </w:t>
      </w:r>
      <w:r w:rsidR="00731EAD" w:rsidRPr="00C92CB4">
        <w:t>effect on the ICER,</w:t>
      </w:r>
      <w:r w:rsidR="00FA471B" w:rsidRPr="00C92CB4">
        <w:t xml:space="preserve"> </w:t>
      </w:r>
      <w:r w:rsidR="003E16EB" w:rsidRPr="00C92CB4">
        <w:t>but</w:t>
      </w:r>
      <w:r w:rsidR="00FC66BF" w:rsidRPr="00C92CB4">
        <w:t xml:space="preserve"> agree</w:t>
      </w:r>
      <w:r w:rsidR="00731EAD" w:rsidRPr="00C92CB4">
        <w:t>d with the PSCR that the</w:t>
      </w:r>
      <w:r w:rsidR="00181D53" w:rsidRPr="00C92CB4">
        <w:t xml:space="preserve"> differences</w:t>
      </w:r>
      <w:r w:rsidR="00731EAD" w:rsidRPr="00C92CB4">
        <w:t xml:space="preserve"> could not be easily </w:t>
      </w:r>
      <w:r w:rsidR="005843B6" w:rsidRPr="00C92CB4">
        <w:t>explained</w:t>
      </w:r>
      <w:r w:rsidR="00731EAD" w:rsidRPr="00C92CB4">
        <w:t>.</w:t>
      </w:r>
      <w:r w:rsidR="00FA471B" w:rsidRPr="00C92CB4">
        <w:t xml:space="preserve"> </w:t>
      </w:r>
      <w:r w:rsidR="003E16EB" w:rsidRPr="00C92CB4">
        <w:t>O</w:t>
      </w:r>
      <w:r w:rsidR="005843B6" w:rsidRPr="00C92CB4">
        <w:t>verall t</w:t>
      </w:r>
      <w:r w:rsidR="00160C7E" w:rsidRPr="00C92CB4">
        <w:t xml:space="preserve">he ESC considered TTNT </w:t>
      </w:r>
      <w:r w:rsidR="002A204E" w:rsidRPr="00C92CB4">
        <w:t>was</w:t>
      </w:r>
      <w:r w:rsidR="003E16EB" w:rsidRPr="00C92CB4">
        <w:t xml:space="preserve"> likely</w:t>
      </w:r>
      <w:r w:rsidR="005843B6" w:rsidRPr="00C92CB4">
        <w:t xml:space="preserve"> a</w:t>
      </w:r>
      <w:r w:rsidR="00160C7E" w:rsidRPr="00C92CB4">
        <w:t xml:space="preserve"> more rel</w:t>
      </w:r>
      <w:r w:rsidR="002A204E" w:rsidRPr="00C92CB4">
        <w:t>evant</w:t>
      </w:r>
      <w:r w:rsidR="00160C7E" w:rsidRPr="00C92CB4">
        <w:t xml:space="preserve"> indicator of treatment effect (compared to PFS</w:t>
      </w:r>
      <w:r w:rsidR="005843B6" w:rsidRPr="00C92CB4">
        <w:t>)</w:t>
      </w:r>
      <w:r w:rsidR="00181D53" w:rsidRPr="00C92CB4">
        <w:t xml:space="preserve"> and </w:t>
      </w:r>
      <w:r w:rsidR="00181D53" w:rsidRPr="00C92CB4">
        <w:lastRenderedPageBreak/>
        <w:t>that in clinical practice TTNT following progression would be more similar to that see</w:t>
      </w:r>
      <w:r w:rsidR="004A7967">
        <w:t>n</w:t>
      </w:r>
      <w:r w:rsidR="00181D53" w:rsidRPr="00C92CB4">
        <w:t xml:space="preserve"> in the chlorambucil + obinutuzumab arm</w:t>
      </w:r>
      <w:r w:rsidR="005843B6" w:rsidRPr="00C92CB4">
        <w:t>.</w:t>
      </w:r>
    </w:p>
    <w:p w:rsidR="00DB37E6" w:rsidRPr="00A61FD0" w:rsidRDefault="00DB37E6" w:rsidP="00DB37E6">
      <w:pPr>
        <w:pStyle w:val="ExecSumBodyText"/>
      </w:pPr>
      <w:r w:rsidRPr="00FD0672">
        <w:t xml:space="preserve">Results for overall response (rate difference </w:t>
      </w:r>
      <w:r w:rsidR="00DE2CAC">
        <w:t xml:space="preserve">= </w:t>
      </w:r>
      <w:r w:rsidRPr="00FD0672">
        <w:t xml:space="preserve">13.4%, 95% CI: 5.5, 21.4) and complete response to treatment (rate difference </w:t>
      </w:r>
      <w:r w:rsidR="00DE2CAC">
        <w:t xml:space="preserve">= </w:t>
      </w:r>
      <w:r w:rsidRPr="00FD0672">
        <w:t>26.4%, 95% CI: 17.4, 35.7), duration of response (stratified HR</w:t>
      </w:r>
      <w:r w:rsidR="00DE2CAC">
        <w:t xml:space="preserve"> =</w:t>
      </w:r>
      <w:r w:rsidRPr="00FD0672">
        <w:t xml:space="preserve"> 0.31, 95% CI: 0.20, 0.50), MRD negativity (</w:t>
      </w:r>
      <w:r w:rsidR="00EE7C9F">
        <w:t xml:space="preserve">MRD assessed in the </w:t>
      </w:r>
      <w:r w:rsidRPr="00FD0672">
        <w:t xml:space="preserve">bone marrow odds ratio </w:t>
      </w:r>
      <w:r w:rsidR="00DE2CAC">
        <w:t xml:space="preserve">= </w:t>
      </w:r>
      <w:r w:rsidRPr="00FD0672">
        <w:rPr>
          <w:rFonts w:eastAsia="Calibri" w:cs="Calibri"/>
          <w:szCs w:val="20"/>
        </w:rPr>
        <w:t xml:space="preserve">6.40, 95% CI: 4.10, 9.98) and MRD negativity in patients achieving complete response </w:t>
      </w:r>
      <w:r w:rsidRPr="00FD0672">
        <w:t xml:space="preserve">(CR/CRi; </w:t>
      </w:r>
      <w:r w:rsidR="00EE7C9F">
        <w:t xml:space="preserve">MRD assessed in the </w:t>
      </w:r>
      <w:r w:rsidRPr="00FD0672">
        <w:t xml:space="preserve">bone marrow odds ratio </w:t>
      </w:r>
      <w:r w:rsidR="00DE2CAC">
        <w:t xml:space="preserve">= </w:t>
      </w:r>
      <w:r w:rsidRPr="00FD0672">
        <w:t>4.28, 95% CI: 2.56, 7.18), favoured venetoclax + obinutuzumab compared to chlorambucil + obinutuzumab</w:t>
      </w:r>
      <w:r w:rsidRPr="00A61FD0">
        <w:t>.</w:t>
      </w:r>
    </w:p>
    <w:p w:rsidR="00DB37E6" w:rsidRDefault="000649A4" w:rsidP="00DB37E6">
      <w:pPr>
        <w:pStyle w:val="ExecSumBodyText"/>
      </w:pPr>
      <w:r>
        <w:t>In CLL-14, m</w:t>
      </w:r>
      <w:r w:rsidR="00DB37E6">
        <w:t xml:space="preserve">ean utilities, measured using the </w:t>
      </w:r>
      <w:r w:rsidR="00DB37E6" w:rsidRPr="00895C4D">
        <w:t>EQ-5D-3L</w:t>
      </w:r>
      <w:r w:rsidR="00DB37E6">
        <w:t xml:space="preserve"> were high at baseline and comparable between treatment arms (</w:t>
      </w:r>
      <w:r w:rsidR="00DD40E7">
        <w:rPr>
          <w:noProof/>
          <w:color w:val="000000"/>
          <w:highlight w:val="black"/>
        </w:rPr>
        <w:t>''''''''</w:t>
      </w:r>
      <w:r w:rsidR="00DB37E6">
        <w:t xml:space="preserve"> for venetoclax + obinutuzumab and </w:t>
      </w:r>
      <w:r w:rsidR="00DD40E7">
        <w:rPr>
          <w:noProof/>
          <w:color w:val="000000"/>
          <w:highlight w:val="black"/>
        </w:rPr>
        <w:t>'''''''''</w:t>
      </w:r>
      <w:r w:rsidR="00DB37E6">
        <w:t xml:space="preserve"> for chlorambucil + obinutuzumab). Mean utility scores remained stable throughout treatment and follow-up in both treatment arms.</w:t>
      </w:r>
    </w:p>
    <w:p w:rsidR="000649A4" w:rsidRPr="000649A4" w:rsidRDefault="000649A4" w:rsidP="000649A4">
      <w:pPr>
        <w:pStyle w:val="4-SubsectSubhead"/>
        <w:rPr>
          <w:sz w:val="24"/>
        </w:rPr>
      </w:pPr>
      <w:r w:rsidRPr="00FB74F2">
        <w:rPr>
          <w:sz w:val="24"/>
        </w:rPr>
        <w:t>Subgroup analyses</w:t>
      </w:r>
    </w:p>
    <w:p w:rsidR="000649A4" w:rsidRPr="006656E8" w:rsidRDefault="000649A4" w:rsidP="000649A4">
      <w:pPr>
        <w:pStyle w:val="ExecSumBodyText"/>
      </w:pPr>
      <w:r w:rsidRPr="006656E8">
        <w:t xml:space="preserve">Pre-specified subgroup analyses conducted for investigator assessed </w:t>
      </w:r>
      <w:r w:rsidR="00DE2CAC">
        <w:t>PFS</w:t>
      </w:r>
      <w:r w:rsidRPr="006656E8">
        <w:t xml:space="preserve"> showed substantial variation in the estimated treatment effect across subgroups (particularly for IGVH mutational status, cytogenetic hierarchical type and Binet stage at screening). However, results should be interpreted with caution, given the small sample size/small numbers of events and wide confidence intervals for several subgroups</w:t>
      </w:r>
      <w:r w:rsidRPr="00A61FD0">
        <w:t>.</w:t>
      </w:r>
      <w:r w:rsidRPr="006656E8">
        <w:t xml:space="preserve"> Analyses of treatment effect interaction between subgroups were not reported.</w:t>
      </w:r>
    </w:p>
    <w:p w:rsidR="000649A4" w:rsidRDefault="000649A4" w:rsidP="000649A4">
      <w:pPr>
        <w:pStyle w:val="ExecSumBodyText"/>
      </w:pPr>
      <w:r w:rsidRPr="006656E8">
        <w:t xml:space="preserve">However, during the evaluation, an abstract </w:t>
      </w:r>
      <w:r w:rsidR="008C1A45" w:rsidRPr="006656E8">
        <w:t xml:space="preserve">was </w:t>
      </w:r>
      <w:r w:rsidRPr="006656E8">
        <w:t>identified</w:t>
      </w:r>
      <w:r w:rsidR="008C1A45" w:rsidRPr="006656E8">
        <w:t xml:space="preserve"> that</w:t>
      </w:r>
      <w:r w:rsidRPr="006656E8">
        <w:t xml:space="preserve"> present</w:t>
      </w:r>
      <w:r w:rsidR="008C1A45" w:rsidRPr="006656E8">
        <w:t>ed</w:t>
      </w:r>
      <w:r w:rsidRPr="006656E8">
        <w:t xml:space="preserve"> results of subgroup analyses of genetic markers from Trial CLL-14 (Tausch 2019)</w:t>
      </w:r>
      <w:r w:rsidR="008C1A45" w:rsidRPr="006656E8">
        <w:t>.</w:t>
      </w:r>
      <w:r w:rsidRPr="006656E8">
        <w:t xml:space="preserve"> </w:t>
      </w:r>
      <w:r w:rsidR="008C1A45" w:rsidRPr="006656E8">
        <w:t xml:space="preserve">It </w:t>
      </w:r>
      <w:r w:rsidRPr="006656E8">
        <w:t>stated that there was a statistically significant treatment interaction for IGVH status</w:t>
      </w:r>
      <w:r w:rsidR="004D09AA" w:rsidRPr="006656E8">
        <w:t xml:space="preserve"> (</w:t>
      </w:r>
      <w:r w:rsidR="00B237E8" w:rsidRPr="006656E8">
        <w:t>p=0.03)</w:t>
      </w:r>
      <w:r w:rsidRPr="006656E8">
        <w:t>, indicating an improved treatment effect for venetoclax + obinutuzumab compared with chlorambucil + obinutuzumab in patients with unmutated IGVH. Treatment effect interactions between other subgroups were not reported.</w:t>
      </w:r>
      <w:r w:rsidR="00160C7E">
        <w:t xml:space="preserve"> </w:t>
      </w:r>
    </w:p>
    <w:p w:rsidR="00731EAD" w:rsidRPr="003124D8" w:rsidRDefault="00731EAD" w:rsidP="000649A4">
      <w:pPr>
        <w:pStyle w:val="ExecSumBodyText"/>
      </w:pPr>
      <w:r w:rsidRPr="003124D8">
        <w:t xml:space="preserve">The PSCR </w:t>
      </w:r>
      <w:r w:rsidR="00BF1EA1" w:rsidRPr="003124D8">
        <w:t xml:space="preserve"> stated that at the updated August 2019 data-cut, there was no evidence of treatment effect modification by IGHV mutation status. The risk of disease progression or death was reduced by 77% (unstratified HR = 0.23; 95% CI: 0.15, 0.35) in the unmutated IGHV subgroup and by 67% (unstratified H</w:t>
      </w:r>
      <w:r w:rsidR="00BB3436">
        <w:t>R</w:t>
      </w:r>
      <w:r w:rsidR="00BF1EA1" w:rsidRPr="003124D8">
        <w:t xml:space="preserve"> = 0.33; 95% CI: 0.16, 0.70) in the mutated IGHV subgroup in the venetoclax + obinutuzumab arm of CLL-14 (test for subgroup differences, p=0.40). There were similar results for patients with</w:t>
      </w:r>
      <w:r w:rsidR="006A5476">
        <w:t xml:space="preserve"> </w:t>
      </w:r>
      <w:r w:rsidR="00BF1EA1" w:rsidRPr="003124D8">
        <w:t>TP35 mutation/del(17p).</w:t>
      </w:r>
      <w:r w:rsidR="00843EDE" w:rsidRPr="003124D8">
        <w:t xml:space="preserve"> The ESC </w:t>
      </w:r>
      <w:r w:rsidR="006A5476">
        <w:t xml:space="preserve">noted that the number of patients with </w:t>
      </w:r>
      <w:r w:rsidR="006A5476" w:rsidRPr="003124D8">
        <w:t>TP35 mutation/del(17p)</w:t>
      </w:r>
      <w:r w:rsidR="006A5476">
        <w:t xml:space="preserve"> were small and therefore </w:t>
      </w:r>
      <w:r w:rsidR="00843EDE" w:rsidRPr="003124D8">
        <w:t>considered that any differences with respect to cytogenetic type would not be strong treatment effect modifiers.</w:t>
      </w:r>
    </w:p>
    <w:p w:rsidR="00B60939" w:rsidRPr="00C9624D" w:rsidRDefault="00B60939" w:rsidP="00D86231">
      <w:pPr>
        <w:pStyle w:val="3-SubsectionHeading"/>
      </w:pPr>
      <w:bookmarkStart w:id="15" w:name="_Toc22897642"/>
      <w:bookmarkStart w:id="16" w:name="_Toc30502543"/>
      <w:r w:rsidRPr="00C9624D">
        <w:t>Comparative harms</w:t>
      </w:r>
      <w:bookmarkEnd w:id="15"/>
      <w:bookmarkEnd w:id="16"/>
    </w:p>
    <w:p w:rsidR="00025766" w:rsidRPr="006656E8" w:rsidRDefault="00025766" w:rsidP="00025766">
      <w:pPr>
        <w:pStyle w:val="ExecSumBodyText"/>
        <w:rPr>
          <w:color w:val="0066FF"/>
        </w:rPr>
      </w:pPr>
      <w:r w:rsidRPr="006656E8">
        <w:t xml:space="preserve">Table </w:t>
      </w:r>
      <w:r w:rsidR="005C720C">
        <w:t>7</w:t>
      </w:r>
      <w:r w:rsidRPr="006656E8">
        <w:t xml:space="preserve"> summarises the proportions of patients reporting adverse events for the CLL-14</w:t>
      </w:r>
      <w:r w:rsidR="005272F4">
        <w:t xml:space="preserve"> trial</w:t>
      </w:r>
      <w:r w:rsidRPr="006656E8">
        <w:t>, and numbers of events reported in CLL-14. No updated CLL-14 safety data were provided.</w:t>
      </w:r>
    </w:p>
    <w:p w:rsidR="00025766" w:rsidRPr="00FE0A3E" w:rsidRDefault="00025766" w:rsidP="00052399">
      <w:pPr>
        <w:pStyle w:val="TableFigureCaption"/>
        <w:jc w:val="both"/>
      </w:pPr>
      <w:r>
        <w:lastRenderedPageBreak/>
        <w:t xml:space="preserve">Table </w:t>
      </w:r>
      <w:r w:rsidR="005C720C">
        <w:t>7</w:t>
      </w:r>
      <w:r w:rsidRPr="00FE0A3E">
        <w:t>: Summary of key adverse events in CLL-14 (safety population</w:t>
      </w:r>
      <w:r>
        <w:t>; 17 August 2018</w:t>
      </w:r>
      <w:r w:rsidRPr="00FE0A3E">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5"/>
        <w:gridCol w:w="1601"/>
        <w:gridCol w:w="1476"/>
        <w:gridCol w:w="1474"/>
        <w:gridCol w:w="1476"/>
      </w:tblGrid>
      <w:tr w:rsidR="00025766" w:rsidRPr="00FA2E7D" w:rsidTr="00775E67">
        <w:trPr>
          <w:trHeight w:val="444"/>
          <w:tblHeader/>
        </w:trPr>
        <w:tc>
          <w:tcPr>
            <w:tcW w:w="1660" w:type="pct"/>
            <w:shd w:val="clear" w:color="auto" w:fill="auto"/>
            <w:vAlign w:val="center"/>
          </w:tcPr>
          <w:p w:rsidR="00025766" w:rsidRPr="00FA2E7D" w:rsidRDefault="00BF1EA1" w:rsidP="00052399">
            <w:pPr>
              <w:keepNext/>
              <w:keepLines/>
              <w:widowControl w:val="0"/>
              <w:ind w:right="-63"/>
              <w:rPr>
                <w:rFonts w:ascii="Arial Narrow" w:hAnsi="Arial Narrow" w:cs="Calibri"/>
                <w:b/>
                <w:bCs/>
                <w:color w:val="000000"/>
                <w:sz w:val="20"/>
                <w:szCs w:val="20"/>
              </w:rPr>
            </w:pPr>
            <w:r>
              <w:rPr>
                <w:rFonts w:ascii="Arial Narrow" w:hAnsi="Arial Narrow" w:cs="Calibri"/>
                <w:b/>
                <w:bCs/>
                <w:color w:val="000000"/>
                <w:sz w:val="20"/>
                <w:szCs w:val="20"/>
              </w:rPr>
              <w:t xml:space="preserve">  </w:t>
            </w:r>
            <w:r w:rsidRPr="00FA2E7D">
              <w:rPr>
                <w:rFonts w:ascii="Arial Narrow" w:hAnsi="Arial Narrow" w:cs="Calibri"/>
                <w:b/>
                <w:bCs/>
                <w:color w:val="000000"/>
                <w:sz w:val="20"/>
                <w:szCs w:val="20"/>
              </w:rPr>
              <w:t>Adverse events n (%)</w:t>
            </w:r>
            <w:r>
              <w:rPr>
                <w:rFonts w:ascii="Arial Narrow" w:hAnsi="Arial Narrow" w:cs="Calibri"/>
                <w:b/>
                <w:bCs/>
                <w:color w:val="000000"/>
                <w:sz w:val="20"/>
                <w:szCs w:val="20"/>
              </w:rPr>
              <w:t xml:space="preserve"> [# events]</w:t>
            </w:r>
          </w:p>
        </w:tc>
        <w:tc>
          <w:tcPr>
            <w:tcW w:w="88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ind w:left="-81" w:right="-81"/>
              <w:jc w:val="center"/>
              <w:rPr>
                <w:rFonts w:ascii="Arial Narrow" w:eastAsia="TimesNewRoman" w:hAnsi="Arial Narrow" w:cs="Calibri"/>
                <w:b/>
                <w:bCs/>
                <w:color w:val="000000"/>
                <w:sz w:val="20"/>
                <w:szCs w:val="20"/>
              </w:rPr>
            </w:pPr>
            <w:r>
              <w:rPr>
                <w:rFonts w:ascii="Arial Narrow" w:eastAsia="TimesNewRoman" w:hAnsi="Arial Narrow" w:cs="Calibri"/>
                <w:b/>
                <w:bCs/>
                <w:color w:val="000000"/>
                <w:sz w:val="20"/>
                <w:szCs w:val="20"/>
              </w:rPr>
              <w:t>Venetoclax + obinutuzumab</w:t>
            </w:r>
          </w:p>
          <w:p w:rsidR="00025766" w:rsidRDefault="00025766" w:rsidP="00052399">
            <w:pPr>
              <w:keepNext/>
              <w:keepLines/>
              <w:widowControl w:val="0"/>
              <w:ind w:left="-81" w:right="-81"/>
              <w:jc w:val="center"/>
              <w:rPr>
                <w:rFonts w:ascii="Arial Narrow" w:eastAsia="TimesNewRoman" w:hAnsi="Arial Narrow" w:cs="Calibri"/>
                <w:b/>
                <w:bCs/>
                <w:color w:val="000000"/>
                <w:sz w:val="20"/>
                <w:szCs w:val="20"/>
              </w:rPr>
            </w:pPr>
            <w:r w:rsidRPr="00FA2E7D">
              <w:rPr>
                <w:rFonts w:ascii="Arial Narrow" w:eastAsia="TimesNewRoman" w:hAnsi="Arial Narrow" w:cs="Calibri"/>
                <w:b/>
                <w:bCs/>
                <w:color w:val="000000"/>
                <w:sz w:val="20"/>
                <w:szCs w:val="20"/>
              </w:rPr>
              <w:t>(N=212)</w:t>
            </w:r>
          </w:p>
        </w:tc>
        <w:tc>
          <w:tcPr>
            <w:tcW w:w="818" w:type="pct"/>
            <w:tcBorders>
              <w:right w:val="single" w:sz="4" w:space="0" w:color="auto"/>
            </w:tcBorders>
            <w:shd w:val="clear" w:color="auto" w:fill="auto"/>
            <w:vAlign w:val="center"/>
          </w:tcPr>
          <w:p w:rsidR="00025766" w:rsidRPr="00FA2E7D" w:rsidRDefault="00025766" w:rsidP="00052399">
            <w:pPr>
              <w:keepNext/>
              <w:keepLines/>
              <w:widowControl w:val="0"/>
              <w:ind w:left="-81" w:right="-81"/>
              <w:jc w:val="center"/>
              <w:rPr>
                <w:rFonts w:ascii="Arial Narrow" w:eastAsia="TimesNewRoman" w:hAnsi="Arial Narrow" w:cs="Calibri"/>
                <w:b/>
                <w:bCs/>
                <w:color w:val="000000"/>
                <w:sz w:val="20"/>
                <w:szCs w:val="20"/>
              </w:rPr>
            </w:pPr>
            <w:r>
              <w:rPr>
                <w:rFonts w:ascii="Arial Narrow" w:eastAsia="TimesNewRoman" w:hAnsi="Arial Narrow" w:cs="Calibri"/>
                <w:b/>
                <w:bCs/>
                <w:color w:val="000000"/>
                <w:sz w:val="20"/>
                <w:szCs w:val="20"/>
              </w:rPr>
              <w:t>Chlorambucil + obinutuzumab</w:t>
            </w:r>
          </w:p>
          <w:p w:rsidR="00025766" w:rsidRDefault="00025766" w:rsidP="00052399">
            <w:pPr>
              <w:keepNext/>
              <w:keepLines/>
              <w:widowControl w:val="0"/>
              <w:ind w:left="-81" w:right="-81"/>
              <w:jc w:val="center"/>
              <w:rPr>
                <w:rFonts w:ascii="Arial Narrow" w:eastAsia="TimesNewRoman" w:hAnsi="Arial Narrow" w:cs="Calibri"/>
                <w:b/>
                <w:bCs/>
                <w:color w:val="000000"/>
                <w:sz w:val="20"/>
                <w:szCs w:val="20"/>
              </w:rPr>
            </w:pPr>
            <w:r w:rsidRPr="00FA2E7D">
              <w:rPr>
                <w:rFonts w:ascii="Arial Narrow" w:eastAsia="TimesNewRoman" w:hAnsi="Arial Narrow" w:cs="Calibri"/>
                <w:b/>
                <w:bCs/>
                <w:color w:val="000000"/>
                <w:sz w:val="20"/>
                <w:szCs w:val="20"/>
              </w:rPr>
              <w:t>(N=214)</w:t>
            </w:r>
          </w:p>
        </w:tc>
        <w:tc>
          <w:tcPr>
            <w:tcW w:w="817" w:type="pct"/>
            <w:tcBorders>
              <w:left w:val="sing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b/>
                <w:bCs/>
                <w:color w:val="000000"/>
                <w:sz w:val="20"/>
                <w:szCs w:val="20"/>
              </w:rPr>
            </w:pPr>
            <w:r w:rsidRPr="000C3278">
              <w:rPr>
                <w:rFonts w:ascii="Arial Narrow" w:eastAsia="TimesNewRoman" w:hAnsi="Arial Narrow" w:cs="Calibri"/>
                <w:b/>
                <w:bCs/>
                <w:color w:val="000000"/>
                <w:sz w:val="20"/>
                <w:szCs w:val="20"/>
              </w:rPr>
              <w:t>RR</w:t>
            </w:r>
          </w:p>
          <w:p w:rsidR="00775E67" w:rsidRPr="000C3278" w:rsidRDefault="00775E67" w:rsidP="00052399">
            <w:pPr>
              <w:keepNext/>
              <w:keepLines/>
              <w:widowControl w:val="0"/>
              <w:ind w:left="-81" w:right="-81"/>
              <w:jc w:val="center"/>
              <w:rPr>
                <w:rFonts w:ascii="Arial Narrow" w:eastAsia="TimesNewRoman" w:hAnsi="Arial Narrow" w:cs="Calibri"/>
                <w:b/>
                <w:bCs/>
                <w:color w:val="000000"/>
                <w:sz w:val="20"/>
                <w:szCs w:val="20"/>
              </w:rPr>
            </w:pPr>
            <w:r w:rsidRPr="000C3278">
              <w:rPr>
                <w:rFonts w:ascii="Arial Narrow" w:eastAsia="TimesNewRoman" w:hAnsi="Arial Narrow" w:cs="Calibri"/>
                <w:b/>
                <w:bCs/>
                <w:color w:val="000000"/>
                <w:sz w:val="20"/>
                <w:szCs w:val="20"/>
              </w:rPr>
              <w:t>(95% CI)</w:t>
            </w:r>
          </w:p>
        </w:tc>
        <w:tc>
          <w:tcPr>
            <w:tcW w:w="818"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b/>
                <w:bCs/>
                <w:color w:val="000000"/>
                <w:sz w:val="20"/>
                <w:szCs w:val="20"/>
              </w:rPr>
            </w:pPr>
            <w:r w:rsidRPr="000C3278">
              <w:rPr>
                <w:rFonts w:ascii="Arial Narrow" w:eastAsia="TimesNewRoman" w:hAnsi="Arial Narrow" w:cs="Calibri"/>
                <w:b/>
                <w:bCs/>
                <w:color w:val="000000"/>
                <w:sz w:val="20"/>
                <w:szCs w:val="20"/>
              </w:rPr>
              <w:t>RD</w:t>
            </w:r>
          </w:p>
          <w:p w:rsidR="00775E67" w:rsidRPr="000C3278" w:rsidRDefault="00775E67" w:rsidP="00052399">
            <w:pPr>
              <w:keepNext/>
              <w:keepLines/>
              <w:widowControl w:val="0"/>
              <w:ind w:left="-81" w:right="-81"/>
              <w:jc w:val="center"/>
              <w:rPr>
                <w:rFonts w:ascii="Arial Narrow" w:eastAsia="TimesNewRoman" w:hAnsi="Arial Narrow" w:cs="Calibri"/>
                <w:b/>
                <w:bCs/>
                <w:color w:val="000000"/>
                <w:sz w:val="20"/>
                <w:szCs w:val="20"/>
              </w:rPr>
            </w:pPr>
            <w:r w:rsidRPr="000C3278">
              <w:rPr>
                <w:rFonts w:ascii="Arial Narrow" w:eastAsia="TimesNewRoman" w:hAnsi="Arial Narrow" w:cs="Calibri"/>
                <w:b/>
                <w:bCs/>
                <w:color w:val="000000"/>
                <w:sz w:val="20"/>
                <w:szCs w:val="20"/>
              </w:rPr>
              <w:t>(95% CI)</w:t>
            </w:r>
          </w:p>
        </w:tc>
      </w:tr>
      <w:tr w:rsidR="00025766" w:rsidRPr="00FA2E7D" w:rsidTr="00775E67">
        <w:trPr>
          <w:trHeight w:val="75"/>
        </w:trPr>
        <w:tc>
          <w:tcPr>
            <w:tcW w:w="1660" w:type="pct"/>
            <w:shd w:val="clear" w:color="auto" w:fill="auto"/>
            <w:tcMar>
              <w:top w:w="0" w:type="dxa"/>
              <w:left w:w="108" w:type="dxa"/>
              <w:bottom w:w="0" w:type="dxa"/>
              <w:right w:w="108" w:type="dxa"/>
            </w:tcMar>
            <w:vAlign w:val="center"/>
            <w:hideMark/>
          </w:tcPr>
          <w:p w:rsidR="00025766" w:rsidRPr="00FA2E7D" w:rsidRDefault="00025766" w:rsidP="00052399">
            <w:pPr>
              <w:keepNext/>
              <w:keepLines/>
              <w:widowControl w:val="0"/>
              <w:ind w:right="-63"/>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 xml:space="preserve">Patients with </w:t>
            </w:r>
            <w:r>
              <w:rPr>
                <w:rFonts w:ascii="Arial Narrow" w:eastAsia="TimesNewRoman" w:hAnsi="Arial Narrow" w:cs="Calibri"/>
                <w:color w:val="000000"/>
                <w:sz w:val="20"/>
                <w:szCs w:val="20"/>
              </w:rPr>
              <w:t>≥ 1 adverse event</w:t>
            </w:r>
          </w:p>
        </w:tc>
        <w:tc>
          <w:tcPr>
            <w:tcW w:w="887" w:type="pct"/>
            <w:shd w:val="clear" w:color="auto" w:fill="auto"/>
            <w:tcMar>
              <w:top w:w="0" w:type="dxa"/>
              <w:left w:w="108" w:type="dxa"/>
              <w:bottom w:w="0" w:type="dxa"/>
              <w:right w:w="108" w:type="dxa"/>
            </w:tcMar>
            <w:vAlign w:val="center"/>
          </w:tcPr>
          <w:p w:rsidR="003377FF"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200 (94.3</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[2</w:t>
            </w:r>
            <w:r w:rsidR="00EC518F">
              <w:rPr>
                <w:rFonts w:ascii="Arial Narrow" w:eastAsia="TimesNewRoman" w:hAnsi="Arial Narrow" w:cs="Calibri"/>
                <w:color w:val="000000"/>
                <w:sz w:val="20"/>
                <w:szCs w:val="20"/>
              </w:rPr>
              <w:t>,</w:t>
            </w:r>
            <w:r>
              <w:rPr>
                <w:rFonts w:ascii="Arial Narrow" w:eastAsia="TimesNewRoman" w:hAnsi="Arial Narrow" w:cs="Calibri"/>
                <w:color w:val="000000"/>
                <w:sz w:val="20"/>
                <w:szCs w:val="20"/>
              </w:rPr>
              <w:t>448</w:t>
            </w:r>
            <w:r w:rsidR="003377FF">
              <w:rPr>
                <w:rFonts w:ascii="Arial Narrow" w:eastAsia="TimesNewRoman" w:hAnsi="Arial Narrow" w:cs="Calibri"/>
                <w:color w:val="000000"/>
                <w:sz w:val="20"/>
                <w:szCs w:val="20"/>
              </w:rPr>
              <w:t xml:space="preserve"> events]</w:t>
            </w:r>
          </w:p>
        </w:tc>
        <w:tc>
          <w:tcPr>
            <w:tcW w:w="818" w:type="pct"/>
            <w:tcBorders>
              <w:right w:val="single" w:sz="4" w:space="0" w:color="auto"/>
            </w:tcBorders>
            <w:shd w:val="clear" w:color="auto" w:fill="auto"/>
            <w:vAlign w:val="center"/>
          </w:tcPr>
          <w:p w:rsidR="003377FF"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213 (99.5</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[2</w:t>
            </w:r>
            <w:r w:rsidR="00EC518F">
              <w:rPr>
                <w:rFonts w:ascii="Arial Narrow" w:eastAsia="TimesNewRoman" w:hAnsi="Arial Narrow" w:cs="Calibri"/>
                <w:color w:val="000000"/>
                <w:sz w:val="20"/>
                <w:szCs w:val="20"/>
              </w:rPr>
              <w:t>,</w:t>
            </w:r>
            <w:r>
              <w:rPr>
                <w:rFonts w:ascii="Arial Narrow" w:eastAsia="TimesNewRoman" w:hAnsi="Arial Narrow" w:cs="Calibri"/>
                <w:color w:val="000000"/>
                <w:sz w:val="20"/>
                <w:szCs w:val="20"/>
              </w:rPr>
              <w:t>074</w:t>
            </w:r>
            <w:r w:rsidR="003377FF">
              <w:rPr>
                <w:rFonts w:ascii="Arial Narrow" w:eastAsia="TimesNewRoman" w:hAnsi="Arial Narrow" w:cs="Calibri"/>
                <w:color w:val="000000"/>
                <w:sz w:val="20"/>
                <w:szCs w:val="20"/>
              </w:rPr>
              <w:t xml:space="preserve"> events]</w:t>
            </w:r>
          </w:p>
        </w:tc>
        <w:tc>
          <w:tcPr>
            <w:tcW w:w="817" w:type="pct"/>
            <w:tcBorders>
              <w:left w:val="sing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b/>
                <w:color w:val="000000"/>
                <w:sz w:val="20"/>
                <w:szCs w:val="20"/>
              </w:rPr>
            </w:pPr>
            <w:r w:rsidRPr="000C3278">
              <w:rPr>
                <w:rFonts w:ascii="Arial Narrow" w:eastAsia="TimesNewRoman" w:hAnsi="Arial Narrow" w:cs="Calibri"/>
                <w:b/>
                <w:color w:val="000000"/>
                <w:sz w:val="20"/>
                <w:szCs w:val="20"/>
              </w:rPr>
              <w:t>0.95 (0.92, 0.98)</w:t>
            </w:r>
          </w:p>
        </w:tc>
        <w:tc>
          <w:tcPr>
            <w:tcW w:w="818"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b/>
                <w:color w:val="000000"/>
                <w:sz w:val="20"/>
                <w:szCs w:val="20"/>
              </w:rPr>
            </w:pPr>
            <w:r w:rsidRPr="000C3278">
              <w:rPr>
                <w:rFonts w:ascii="Arial Narrow" w:eastAsia="TimesNewRoman" w:hAnsi="Arial Narrow" w:cs="Calibri"/>
                <w:b/>
                <w:color w:val="000000"/>
                <w:sz w:val="20"/>
                <w:szCs w:val="20"/>
              </w:rPr>
              <w:t>-0.5 (-0.08, -0.02)</w:t>
            </w:r>
          </w:p>
        </w:tc>
      </w:tr>
      <w:tr w:rsidR="00025766" w:rsidRPr="00FA2E7D" w:rsidTr="00775E67">
        <w:trPr>
          <w:trHeight w:val="75"/>
        </w:trPr>
        <w:tc>
          <w:tcPr>
            <w:tcW w:w="1660" w:type="pct"/>
            <w:shd w:val="clear" w:color="auto" w:fill="auto"/>
            <w:tcMar>
              <w:top w:w="0" w:type="dxa"/>
              <w:left w:w="108" w:type="dxa"/>
              <w:bottom w:w="0" w:type="dxa"/>
              <w:right w:w="108" w:type="dxa"/>
            </w:tcMar>
            <w:vAlign w:val="center"/>
            <w:hideMark/>
          </w:tcPr>
          <w:p w:rsidR="00025766" w:rsidRPr="00FA2E7D" w:rsidRDefault="00025766" w:rsidP="00052399">
            <w:pPr>
              <w:keepNext/>
              <w:keepLines/>
              <w:widowControl w:val="0"/>
              <w:ind w:right="-63"/>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 xml:space="preserve">Discontinuations due to </w:t>
            </w:r>
            <w:r>
              <w:rPr>
                <w:rFonts w:ascii="Arial Narrow" w:eastAsia="TimesNewRoman" w:hAnsi="Arial Narrow" w:cs="Calibri"/>
                <w:color w:val="000000"/>
                <w:sz w:val="20"/>
                <w:szCs w:val="20"/>
              </w:rPr>
              <w:t>adverse events</w:t>
            </w:r>
          </w:p>
        </w:tc>
        <w:tc>
          <w:tcPr>
            <w:tcW w:w="88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4 (1.9</w:t>
            </w:r>
            <w:r>
              <w:rPr>
                <w:rFonts w:ascii="Arial Narrow" w:eastAsia="TimesNewRoman" w:hAnsi="Arial Narrow" w:cs="Calibri"/>
                <w:color w:val="000000"/>
                <w:sz w:val="20"/>
                <w:szCs w:val="20"/>
              </w:rPr>
              <w:t>%)</w:t>
            </w:r>
          </w:p>
        </w:tc>
        <w:tc>
          <w:tcPr>
            <w:tcW w:w="818" w:type="pct"/>
            <w:tcBorders>
              <w:right w:val="single" w:sz="4" w:space="0" w:color="auto"/>
            </w:tcBorders>
            <w:shd w:val="clear" w:color="auto" w:fill="auto"/>
            <w:vAlign w:val="center"/>
          </w:tcPr>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1 (0.5</w:t>
            </w:r>
            <w:r>
              <w:rPr>
                <w:rFonts w:ascii="Arial Narrow" w:eastAsia="TimesNewRoman" w:hAnsi="Arial Narrow" w:cs="Calibri"/>
                <w:color w:val="000000"/>
                <w:sz w:val="20"/>
                <w:szCs w:val="20"/>
              </w:rPr>
              <w:t>%)</w:t>
            </w:r>
          </w:p>
        </w:tc>
        <w:tc>
          <w:tcPr>
            <w:tcW w:w="817" w:type="pct"/>
            <w:tcBorders>
              <w:left w:val="sing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4.04 (0.46, 35.8)</w:t>
            </w:r>
          </w:p>
        </w:tc>
        <w:tc>
          <w:tcPr>
            <w:tcW w:w="818"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0.01 (-0.01, 0.04)</w:t>
            </w:r>
          </w:p>
        </w:tc>
      </w:tr>
      <w:tr w:rsidR="00025766" w:rsidRPr="00FA2E7D" w:rsidTr="00775E67">
        <w:trPr>
          <w:trHeight w:val="75"/>
        </w:trPr>
        <w:tc>
          <w:tcPr>
            <w:tcW w:w="1660" w:type="pct"/>
            <w:shd w:val="clear" w:color="auto" w:fill="auto"/>
            <w:tcMar>
              <w:top w:w="0" w:type="dxa"/>
              <w:left w:w="108" w:type="dxa"/>
              <w:bottom w:w="0" w:type="dxa"/>
              <w:right w:w="108" w:type="dxa"/>
            </w:tcMar>
            <w:vAlign w:val="center"/>
            <w:hideMark/>
          </w:tcPr>
          <w:p w:rsidR="00025766" w:rsidRPr="00FA2E7D" w:rsidRDefault="00025766" w:rsidP="00052399">
            <w:pPr>
              <w:keepNext/>
              <w:keepLines/>
              <w:widowControl w:val="0"/>
              <w:ind w:right="-63"/>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 xml:space="preserve">Serious </w:t>
            </w:r>
            <w:r>
              <w:rPr>
                <w:rFonts w:ascii="Arial Narrow" w:eastAsia="TimesNewRoman" w:hAnsi="Arial Narrow" w:cs="Calibri"/>
                <w:color w:val="000000"/>
                <w:sz w:val="20"/>
                <w:szCs w:val="20"/>
              </w:rPr>
              <w:t>adverse event</w:t>
            </w:r>
            <w:r w:rsidRPr="00FA2E7D">
              <w:rPr>
                <w:rFonts w:ascii="Arial Narrow" w:eastAsia="TimesNewRoman" w:hAnsi="Arial Narrow" w:cs="Calibri"/>
                <w:color w:val="000000"/>
                <w:sz w:val="20"/>
                <w:szCs w:val="20"/>
              </w:rPr>
              <w:t>s</w:t>
            </w:r>
            <w:r>
              <w:rPr>
                <w:rFonts w:ascii="Arial Narrow" w:eastAsia="TimesNewRoman" w:hAnsi="Arial Narrow" w:cs="Calibri"/>
                <w:color w:val="000000"/>
                <w:sz w:val="20"/>
                <w:szCs w:val="20"/>
              </w:rPr>
              <w:t xml:space="preserve"> in &gt;1 patient</w:t>
            </w:r>
          </w:p>
        </w:tc>
        <w:tc>
          <w:tcPr>
            <w:tcW w:w="887" w:type="pct"/>
            <w:shd w:val="clear" w:color="auto" w:fill="auto"/>
            <w:tcMar>
              <w:top w:w="0" w:type="dxa"/>
              <w:left w:w="108" w:type="dxa"/>
              <w:bottom w:w="0" w:type="dxa"/>
              <w:right w:w="108" w:type="dxa"/>
            </w:tcMar>
            <w:vAlign w:val="center"/>
          </w:tcPr>
          <w:p w:rsidR="003377FF"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104 (49.1</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[202</w:t>
            </w:r>
            <w:r w:rsidR="003377FF">
              <w:rPr>
                <w:rFonts w:ascii="Arial Narrow" w:eastAsia="TimesNewRoman" w:hAnsi="Arial Narrow" w:cs="Calibri"/>
                <w:color w:val="000000"/>
                <w:sz w:val="20"/>
                <w:szCs w:val="20"/>
              </w:rPr>
              <w:t xml:space="preserve"> events]</w:t>
            </w:r>
          </w:p>
        </w:tc>
        <w:tc>
          <w:tcPr>
            <w:tcW w:w="818" w:type="pct"/>
            <w:tcBorders>
              <w:right w:val="single" w:sz="4" w:space="0" w:color="auto"/>
            </w:tcBorders>
            <w:shd w:val="clear" w:color="auto" w:fill="auto"/>
            <w:vAlign w:val="center"/>
          </w:tcPr>
          <w:p w:rsidR="003377FF"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90 (42.1</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[179</w:t>
            </w:r>
            <w:r w:rsidR="003377FF">
              <w:rPr>
                <w:rFonts w:ascii="Arial Narrow" w:eastAsia="TimesNewRoman" w:hAnsi="Arial Narrow" w:cs="Calibri"/>
                <w:color w:val="000000"/>
                <w:sz w:val="20"/>
                <w:szCs w:val="20"/>
              </w:rPr>
              <w:t xml:space="preserve"> events]</w:t>
            </w:r>
          </w:p>
        </w:tc>
        <w:tc>
          <w:tcPr>
            <w:tcW w:w="817" w:type="pct"/>
            <w:tcBorders>
              <w:left w:val="sing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1.17 (0.95, 1.44)</w:t>
            </w:r>
          </w:p>
        </w:tc>
        <w:tc>
          <w:tcPr>
            <w:tcW w:w="818"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0.07 (-0.02, 0.16)</w:t>
            </w:r>
          </w:p>
        </w:tc>
      </w:tr>
      <w:tr w:rsidR="00025766" w:rsidRPr="00FA2E7D" w:rsidTr="00775E67">
        <w:trPr>
          <w:trHeight w:val="75"/>
        </w:trPr>
        <w:tc>
          <w:tcPr>
            <w:tcW w:w="1660"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ind w:right="-63"/>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 xml:space="preserve">Grade 3 or 4 </w:t>
            </w:r>
            <w:r>
              <w:rPr>
                <w:rFonts w:ascii="Arial Narrow" w:eastAsia="TimesNewRoman" w:hAnsi="Arial Narrow" w:cs="Calibri"/>
                <w:color w:val="000000"/>
                <w:sz w:val="20"/>
                <w:szCs w:val="20"/>
              </w:rPr>
              <w:t>adverse event</w:t>
            </w:r>
            <w:r w:rsidRPr="00FA2E7D">
              <w:rPr>
                <w:rFonts w:ascii="Arial Narrow" w:eastAsia="TimesNewRoman" w:hAnsi="Arial Narrow" w:cs="Calibri"/>
                <w:color w:val="000000"/>
                <w:sz w:val="20"/>
                <w:szCs w:val="20"/>
              </w:rPr>
              <w:t>s</w:t>
            </w:r>
          </w:p>
        </w:tc>
        <w:tc>
          <w:tcPr>
            <w:tcW w:w="887" w:type="pct"/>
            <w:shd w:val="clear" w:color="auto" w:fill="auto"/>
            <w:tcMar>
              <w:top w:w="0" w:type="dxa"/>
              <w:left w:w="108" w:type="dxa"/>
              <w:bottom w:w="0" w:type="dxa"/>
              <w:right w:w="108" w:type="dxa"/>
            </w:tcMar>
            <w:vAlign w:val="center"/>
          </w:tcPr>
          <w:p w:rsidR="003377FF"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167 (78.8</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[344</w:t>
            </w:r>
            <w:r w:rsidR="003377FF">
              <w:rPr>
                <w:rFonts w:ascii="Arial Narrow" w:eastAsia="TimesNewRoman" w:hAnsi="Arial Narrow" w:cs="Calibri"/>
                <w:color w:val="000000"/>
                <w:sz w:val="20"/>
                <w:szCs w:val="20"/>
              </w:rPr>
              <w:t xml:space="preserve"> events]</w:t>
            </w:r>
          </w:p>
        </w:tc>
        <w:tc>
          <w:tcPr>
            <w:tcW w:w="818" w:type="pct"/>
            <w:tcBorders>
              <w:right w:val="single" w:sz="4" w:space="0" w:color="auto"/>
            </w:tcBorders>
            <w:shd w:val="clear" w:color="auto" w:fill="auto"/>
            <w:vAlign w:val="center"/>
          </w:tcPr>
          <w:p w:rsidR="003377FF"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164 (76.6</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[239</w:t>
            </w:r>
            <w:r w:rsidR="003377FF">
              <w:rPr>
                <w:rFonts w:ascii="Arial Narrow" w:eastAsia="TimesNewRoman" w:hAnsi="Arial Narrow" w:cs="Calibri"/>
                <w:color w:val="000000"/>
                <w:sz w:val="20"/>
                <w:szCs w:val="20"/>
              </w:rPr>
              <w:t xml:space="preserve"> events]</w:t>
            </w:r>
          </w:p>
        </w:tc>
        <w:tc>
          <w:tcPr>
            <w:tcW w:w="817" w:type="pct"/>
            <w:tcBorders>
              <w:left w:val="sing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1.03 (0.93, 1.14)</w:t>
            </w:r>
          </w:p>
        </w:tc>
        <w:tc>
          <w:tcPr>
            <w:tcW w:w="818"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0.02 (-0.06, 0.10)</w:t>
            </w:r>
          </w:p>
        </w:tc>
      </w:tr>
      <w:tr w:rsidR="00025766" w:rsidRPr="00FA2E7D" w:rsidTr="00775E67">
        <w:trPr>
          <w:trHeight w:val="197"/>
        </w:trPr>
        <w:tc>
          <w:tcPr>
            <w:tcW w:w="1660" w:type="pct"/>
            <w:shd w:val="clear" w:color="auto" w:fill="auto"/>
            <w:tcMar>
              <w:top w:w="0" w:type="dxa"/>
              <w:left w:w="108" w:type="dxa"/>
              <w:bottom w:w="0" w:type="dxa"/>
              <w:right w:w="108" w:type="dxa"/>
            </w:tcMar>
            <w:vAlign w:val="center"/>
            <w:hideMark/>
          </w:tcPr>
          <w:p w:rsidR="00025766" w:rsidRPr="00FA2E7D" w:rsidRDefault="00025766" w:rsidP="00052399">
            <w:pPr>
              <w:keepNext/>
              <w:keepLines/>
              <w:widowControl w:val="0"/>
              <w:ind w:right="-63"/>
              <w:rPr>
                <w:rFonts w:ascii="Arial Narrow" w:eastAsia="TimesNewRoman" w:hAnsi="Arial Narrow" w:cs="Calibri"/>
                <w:color w:val="000000"/>
                <w:sz w:val="20"/>
                <w:szCs w:val="20"/>
              </w:rPr>
            </w:pPr>
            <w:r>
              <w:rPr>
                <w:rFonts w:ascii="Arial Narrow" w:eastAsia="TimesNewRoman" w:hAnsi="Arial Narrow" w:cs="Calibri"/>
                <w:color w:val="000000"/>
                <w:sz w:val="20"/>
                <w:szCs w:val="20"/>
              </w:rPr>
              <w:t>Adverse event</w:t>
            </w:r>
            <w:r w:rsidRPr="00FA2E7D">
              <w:rPr>
                <w:rFonts w:ascii="Arial Narrow" w:eastAsia="TimesNewRoman" w:hAnsi="Arial Narrow" w:cs="Calibri"/>
                <w:color w:val="000000"/>
                <w:sz w:val="20"/>
                <w:szCs w:val="20"/>
              </w:rPr>
              <w:t>s resulting in death</w:t>
            </w:r>
          </w:p>
        </w:tc>
        <w:tc>
          <w:tcPr>
            <w:tcW w:w="88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16 (7.5</w:t>
            </w:r>
            <w:r>
              <w:rPr>
                <w:rFonts w:ascii="Arial Narrow" w:eastAsia="TimesNewRoman" w:hAnsi="Arial Narrow" w:cs="Calibri"/>
                <w:color w:val="000000"/>
                <w:sz w:val="20"/>
                <w:szCs w:val="20"/>
              </w:rPr>
              <w:t>%)</w:t>
            </w:r>
          </w:p>
        </w:tc>
        <w:tc>
          <w:tcPr>
            <w:tcW w:w="818" w:type="pct"/>
            <w:tcBorders>
              <w:right w:val="single" w:sz="4" w:space="0" w:color="auto"/>
            </w:tcBorders>
            <w:shd w:val="clear" w:color="auto" w:fill="auto"/>
            <w:vAlign w:val="center"/>
          </w:tcPr>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8 (3.7</w:t>
            </w:r>
            <w:r>
              <w:rPr>
                <w:rFonts w:ascii="Arial Narrow" w:eastAsia="TimesNewRoman" w:hAnsi="Arial Narrow" w:cs="Calibri"/>
                <w:color w:val="000000"/>
                <w:sz w:val="20"/>
                <w:szCs w:val="20"/>
              </w:rPr>
              <w:t>%)</w:t>
            </w:r>
          </w:p>
        </w:tc>
        <w:tc>
          <w:tcPr>
            <w:tcW w:w="817" w:type="pct"/>
            <w:tcBorders>
              <w:left w:val="sing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2.02 (0.88, 4.62)</w:t>
            </w:r>
          </w:p>
        </w:tc>
        <w:tc>
          <w:tcPr>
            <w:tcW w:w="818"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0.04 (-0.01, 0.08)</w:t>
            </w:r>
          </w:p>
        </w:tc>
      </w:tr>
      <w:tr w:rsidR="00025766" w:rsidRPr="00FA2E7D" w:rsidTr="00775E67">
        <w:trPr>
          <w:trHeight w:val="75"/>
        </w:trPr>
        <w:tc>
          <w:tcPr>
            <w:tcW w:w="1660"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ind w:right="-63"/>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Deaths (due to any cause)</w:t>
            </w:r>
          </w:p>
        </w:tc>
        <w:tc>
          <w:tcPr>
            <w:tcW w:w="88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20 (9.3</w:t>
            </w:r>
            <w:r>
              <w:rPr>
                <w:rFonts w:ascii="Arial Narrow" w:eastAsia="TimesNewRoman" w:hAnsi="Arial Narrow" w:cs="Calibri"/>
                <w:color w:val="000000"/>
                <w:sz w:val="20"/>
                <w:szCs w:val="20"/>
              </w:rPr>
              <w:t>%)</w:t>
            </w:r>
          </w:p>
        </w:tc>
        <w:tc>
          <w:tcPr>
            <w:tcW w:w="818" w:type="pct"/>
            <w:tcBorders>
              <w:right w:val="single" w:sz="4" w:space="0" w:color="auto"/>
            </w:tcBorders>
            <w:shd w:val="clear" w:color="auto" w:fill="auto"/>
            <w:vAlign w:val="center"/>
          </w:tcPr>
          <w:p w:rsidR="00025766" w:rsidRPr="00FA2E7D" w:rsidRDefault="00025766" w:rsidP="00052399">
            <w:pPr>
              <w:keepNext/>
              <w:keepLines/>
              <w:widowControl w:val="0"/>
              <w:ind w:left="-81" w:right="-81"/>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16 (7.5</w:t>
            </w:r>
            <w:r>
              <w:rPr>
                <w:rFonts w:ascii="Arial Narrow" w:eastAsia="TimesNewRoman" w:hAnsi="Arial Narrow" w:cs="Calibri"/>
                <w:color w:val="000000"/>
                <w:sz w:val="20"/>
                <w:szCs w:val="20"/>
              </w:rPr>
              <w:t>%)</w:t>
            </w:r>
          </w:p>
        </w:tc>
        <w:tc>
          <w:tcPr>
            <w:tcW w:w="817" w:type="pct"/>
            <w:tcBorders>
              <w:left w:val="sing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1.26 (0.67, 2.37)</w:t>
            </w:r>
          </w:p>
        </w:tc>
        <w:tc>
          <w:tcPr>
            <w:tcW w:w="818"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ind w:left="-81" w:right="-81"/>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0.02 (-0.03, 0.07)</w:t>
            </w:r>
          </w:p>
        </w:tc>
      </w:tr>
    </w:tbl>
    <w:p w:rsidR="00025766" w:rsidRPr="00CD0BAC" w:rsidRDefault="00025766" w:rsidP="00025766">
      <w:pPr>
        <w:pStyle w:val="TableFigureFooter"/>
      </w:pPr>
      <w:r w:rsidRPr="000240AB">
        <w:t>Source: Table 41, p.80 of the submission; Table 48, p.163, Table 51, p.168, Table 62, p.185 of the CLL-14 Clinical Study Report</w:t>
      </w:r>
      <w:r w:rsidRPr="005272F4">
        <w:t>,</w:t>
      </w:r>
      <w:r w:rsidRPr="00CD0BAC">
        <w:t xml:space="preserve"> Attachment 4 to the submission; </w:t>
      </w:r>
      <w:r w:rsidR="00775E67" w:rsidRPr="00D51800">
        <w:rPr>
          <w:i/>
        </w:rPr>
        <w:t>and Table 2 of the PSCR</w:t>
      </w:r>
    </w:p>
    <w:p w:rsidR="00025766" w:rsidRPr="00025766" w:rsidRDefault="00025766" w:rsidP="00025766">
      <w:pPr>
        <w:pStyle w:val="TableFigureFooter"/>
      </w:pPr>
      <w:r w:rsidRPr="00CD0BAC">
        <w:t>Abbreviations: CI, confidence interval; CLL</w:t>
      </w:r>
      <w:r>
        <w:t>, chronic lymphocytic leukaemia</w:t>
      </w:r>
      <w:r w:rsidR="00775E67" w:rsidRPr="000C3278">
        <w:t>; RD, risk difference; RR, relative risk</w:t>
      </w:r>
    </w:p>
    <w:p w:rsidR="00025766" w:rsidRDefault="00025766" w:rsidP="00025766">
      <w:pPr>
        <w:pStyle w:val="ExecSumBodyText"/>
      </w:pPr>
      <w:r w:rsidDel="00545734">
        <w:t xml:space="preserve">In Trial CLL-14, a larger proportion of patients treated with chlorambucil + obinutuzumab reported at least one adverse event </w:t>
      </w:r>
      <w:r w:rsidR="00DE2CAC">
        <w:t xml:space="preserve">(AE) </w:t>
      </w:r>
      <w:r w:rsidDel="00545734">
        <w:t xml:space="preserve">compared to patients treated with venetoclax + chlorambucil, however patients treated with venetoclax + obinutuzumab experienced more </w:t>
      </w:r>
      <w:r w:rsidR="00DE2CAC">
        <w:t>AEs</w:t>
      </w:r>
      <w:r w:rsidDel="00545734">
        <w:t xml:space="preserve"> compared with chlorambucil + obinutuzumab. Treatment with venetoclax + obinutuzumab was also associated with larger numbers of serious </w:t>
      </w:r>
      <w:r w:rsidR="00DE2CAC">
        <w:t>AEs</w:t>
      </w:r>
      <w:r w:rsidDel="00545734">
        <w:t xml:space="preserve"> and grade 3 or 4 </w:t>
      </w:r>
      <w:r w:rsidR="00DE2CAC">
        <w:t>AEs</w:t>
      </w:r>
      <w:r w:rsidDel="00545734">
        <w:t xml:space="preserve"> compared with chlorambucil + obinutuzumab, and  venetoclax + obinutuzumab was associated with a larger proportion of </w:t>
      </w:r>
      <w:r w:rsidR="00DE2CAC">
        <w:t>AEs</w:t>
      </w:r>
      <w:r w:rsidDel="00545734">
        <w:t xml:space="preserve"> resulting in death.</w:t>
      </w:r>
    </w:p>
    <w:p w:rsidR="00545734" w:rsidRPr="003124D8" w:rsidRDefault="00545734" w:rsidP="00545734">
      <w:pPr>
        <w:pStyle w:val="ExecSumBodyText"/>
      </w:pPr>
      <w:r w:rsidRPr="003124D8">
        <w:t xml:space="preserve">The PSCR noted that the differences in serious </w:t>
      </w:r>
      <w:r w:rsidR="00DE2CAC">
        <w:t>AEs</w:t>
      </w:r>
      <w:r w:rsidRPr="003124D8">
        <w:t xml:space="preserve">, grade 3 or 4 </w:t>
      </w:r>
      <w:r w:rsidR="00DE2CAC">
        <w:t>AEs</w:t>
      </w:r>
      <w:r w:rsidRPr="003124D8">
        <w:t xml:space="preserve"> and </w:t>
      </w:r>
      <w:r w:rsidR="00DE2CAC">
        <w:t>AEs</w:t>
      </w:r>
      <w:r w:rsidRPr="003124D8">
        <w:t xml:space="preserve"> resulting in death were not statistically significant. In addition, the PSCR stated that the rate of </w:t>
      </w:r>
      <w:r w:rsidR="00DE2CAC">
        <w:t>AEs</w:t>
      </w:r>
      <w:r w:rsidRPr="003124D8">
        <w:t xml:space="preserve"> resulting in death during the treatment period was comparable in both arms, with a higher rate of fatal </w:t>
      </w:r>
      <w:r w:rsidR="00DE2CAC">
        <w:t>AEs</w:t>
      </w:r>
      <w:r w:rsidRPr="003124D8">
        <w:t xml:space="preserve"> in the venetoclax + </w:t>
      </w:r>
      <w:r w:rsidR="003713C1" w:rsidRPr="003124D8">
        <w:t xml:space="preserve">obinutuzumab arm post-treatment; however, that due to the long latency period from last dose of study drug and the potential for confounding, a causal association with venetoclax treatment and fatal </w:t>
      </w:r>
      <w:r w:rsidR="00DE2CAC">
        <w:t>AEs</w:t>
      </w:r>
      <w:r w:rsidR="003713C1" w:rsidRPr="003124D8">
        <w:t xml:space="preserve"> post-treatment was considered unlikely.</w:t>
      </w:r>
      <w:r w:rsidR="000D5AB5" w:rsidRPr="003124D8">
        <w:t xml:space="preserve"> </w:t>
      </w:r>
    </w:p>
    <w:p w:rsidR="00545734" w:rsidRPr="003124D8" w:rsidRDefault="003713C1" w:rsidP="00025766">
      <w:pPr>
        <w:pStyle w:val="ExecSumBodyText"/>
      </w:pPr>
      <w:r w:rsidRPr="003124D8">
        <w:t xml:space="preserve">The ESC expressed concerns over the safety profile of venetoclax with respect to the higher point estimates for serious </w:t>
      </w:r>
      <w:r w:rsidR="00DE2CAC">
        <w:t>AEs</w:t>
      </w:r>
      <w:r w:rsidRPr="003124D8">
        <w:t xml:space="preserve"> </w:t>
      </w:r>
      <w:r w:rsidR="00BE44D4" w:rsidRPr="003124D8">
        <w:t xml:space="preserve">and </w:t>
      </w:r>
      <w:r w:rsidR="00DE2CAC">
        <w:t>AEs</w:t>
      </w:r>
      <w:r w:rsidR="00BE44D4" w:rsidRPr="003124D8">
        <w:t xml:space="preserve"> resulting in death </w:t>
      </w:r>
      <w:r w:rsidRPr="003124D8">
        <w:t>in the venetoclax + obinutuzumab arm of CLL-14.</w:t>
      </w:r>
      <w:r w:rsidR="00AF6650" w:rsidRPr="003124D8">
        <w:t xml:space="preserve"> </w:t>
      </w:r>
      <w:r w:rsidR="00AF6650" w:rsidRPr="003124D8">
        <w:rPr>
          <w:szCs w:val="22"/>
          <w:lang w:eastAsia="en-US"/>
        </w:rPr>
        <w:t xml:space="preserve">The ESC considered that the lack of a statistically significant difference </w:t>
      </w:r>
      <w:r w:rsidR="00A14421">
        <w:rPr>
          <w:szCs w:val="22"/>
          <w:lang w:eastAsia="en-US"/>
        </w:rPr>
        <w:t>may not be</w:t>
      </w:r>
      <w:r w:rsidR="00AF6650" w:rsidRPr="003124D8">
        <w:rPr>
          <w:szCs w:val="22"/>
          <w:lang w:eastAsia="en-US"/>
        </w:rPr>
        <w:t xml:space="preserve"> sufficient to establish non-inferiority, particularly in light of the high upper 95% confidence interval for adverse events resulting in death.</w:t>
      </w:r>
    </w:p>
    <w:p w:rsidR="00025766" w:rsidRDefault="00025766" w:rsidP="00025766">
      <w:pPr>
        <w:pStyle w:val="ExecSumBodyText"/>
      </w:pPr>
      <w:r>
        <w:t xml:space="preserve">Table </w:t>
      </w:r>
      <w:r w:rsidR="005C720C">
        <w:t>8</w:t>
      </w:r>
      <w:r>
        <w:t xml:space="preserve"> summarises the treatment emergent </w:t>
      </w:r>
      <w:r w:rsidR="00DE2CAC">
        <w:t>AEs</w:t>
      </w:r>
      <w:r>
        <w:t xml:space="preserve"> of interest and the most frequently reported serious </w:t>
      </w:r>
      <w:r w:rsidR="00DE2CAC">
        <w:t>AEs</w:t>
      </w:r>
      <w:r>
        <w:t xml:space="preserve"> for the CLL-14 trial.</w:t>
      </w:r>
    </w:p>
    <w:p w:rsidR="00025766" w:rsidRPr="00FE0A3E" w:rsidRDefault="00025766" w:rsidP="00052399">
      <w:pPr>
        <w:pStyle w:val="TableFigureCaption"/>
        <w:jc w:val="both"/>
      </w:pPr>
      <w:r>
        <w:lastRenderedPageBreak/>
        <w:t xml:space="preserve">Table </w:t>
      </w:r>
      <w:r w:rsidR="005C720C">
        <w:t>8</w:t>
      </w:r>
      <w:r w:rsidRPr="00FE0A3E">
        <w:t xml:space="preserve">: Summary of treatment emergent adverse events </w:t>
      </w:r>
      <w:r>
        <w:t xml:space="preserve">of special interest and serious adverse events reported </w:t>
      </w:r>
      <w:r w:rsidR="005272F4">
        <w:t xml:space="preserve">in CLL-14 </w:t>
      </w:r>
      <w:r w:rsidRPr="00FE0A3E">
        <w:t>(safety population</w:t>
      </w:r>
      <w:r>
        <w:t>; 17 August 2018</w:t>
      </w:r>
      <w:r w:rsidRPr="00FE0A3E">
        <w:t>)</w:t>
      </w:r>
      <w:r>
        <w:t xml:space="preserve">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28"/>
        <w:gridCol w:w="1548"/>
        <w:gridCol w:w="1548"/>
        <w:gridCol w:w="1548"/>
        <w:gridCol w:w="1550"/>
      </w:tblGrid>
      <w:tr w:rsidR="00025766" w:rsidRPr="00FA2E7D" w:rsidTr="00177D98">
        <w:trPr>
          <w:trHeight w:val="444"/>
          <w:tblHeader/>
        </w:trPr>
        <w:tc>
          <w:tcPr>
            <w:tcW w:w="1567" w:type="pct"/>
            <w:shd w:val="clear" w:color="auto" w:fill="auto"/>
            <w:vAlign w:val="center"/>
          </w:tcPr>
          <w:p w:rsidR="00025766" w:rsidRPr="00FA2E7D" w:rsidRDefault="00775E67" w:rsidP="00052399">
            <w:pPr>
              <w:keepNext/>
              <w:keepLines/>
              <w:widowControl w:val="0"/>
              <w:rPr>
                <w:rFonts w:ascii="Arial Narrow" w:hAnsi="Arial Narrow" w:cs="Calibri"/>
                <w:b/>
                <w:bCs/>
                <w:color w:val="000000"/>
                <w:sz w:val="20"/>
                <w:szCs w:val="20"/>
              </w:rPr>
            </w:pPr>
            <w:r>
              <w:rPr>
                <w:rFonts w:ascii="Arial Narrow" w:hAnsi="Arial Narrow" w:cs="Calibri"/>
                <w:b/>
                <w:bCs/>
                <w:color w:val="000000"/>
                <w:sz w:val="20"/>
                <w:szCs w:val="20"/>
              </w:rPr>
              <w:t xml:space="preserve">  </w:t>
            </w:r>
            <w:r w:rsidRPr="00FA2E7D">
              <w:rPr>
                <w:rFonts w:ascii="Arial Narrow" w:hAnsi="Arial Narrow" w:cs="Calibri"/>
                <w:b/>
                <w:bCs/>
                <w:color w:val="000000"/>
                <w:sz w:val="20"/>
                <w:szCs w:val="20"/>
              </w:rPr>
              <w:t>Adverse events n (%)</w:t>
            </w:r>
            <w:r>
              <w:rPr>
                <w:rFonts w:ascii="Arial Narrow" w:hAnsi="Arial Narrow" w:cs="Calibri"/>
                <w:b/>
                <w:bCs/>
                <w:color w:val="000000"/>
                <w:sz w:val="20"/>
                <w:szCs w:val="20"/>
              </w:rPr>
              <w:t xml:space="preserve"> [# events]</w:t>
            </w:r>
          </w:p>
        </w:tc>
        <w:tc>
          <w:tcPr>
            <w:tcW w:w="858"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jc w:val="center"/>
              <w:rPr>
                <w:rFonts w:ascii="Arial Narrow" w:eastAsia="TimesNewRoman" w:hAnsi="Arial Narrow" w:cs="Calibri"/>
                <w:b/>
                <w:bCs/>
                <w:color w:val="000000"/>
                <w:sz w:val="20"/>
                <w:szCs w:val="20"/>
              </w:rPr>
            </w:pPr>
            <w:r>
              <w:rPr>
                <w:rFonts w:ascii="Arial Narrow" w:eastAsia="TimesNewRoman" w:hAnsi="Arial Narrow" w:cs="Calibri"/>
                <w:b/>
                <w:bCs/>
                <w:color w:val="000000"/>
                <w:sz w:val="20"/>
                <w:szCs w:val="20"/>
              </w:rPr>
              <w:t>Venetoclax + obinutuzumab</w:t>
            </w:r>
          </w:p>
          <w:p w:rsidR="00025766" w:rsidRDefault="00025766" w:rsidP="00052399">
            <w:pPr>
              <w:keepNext/>
              <w:keepLines/>
              <w:widowControl w:val="0"/>
              <w:jc w:val="center"/>
              <w:rPr>
                <w:rFonts w:ascii="Arial Narrow" w:eastAsia="TimesNewRoman" w:hAnsi="Arial Narrow" w:cs="Calibri"/>
                <w:b/>
                <w:bCs/>
                <w:color w:val="000000"/>
                <w:sz w:val="20"/>
                <w:szCs w:val="20"/>
              </w:rPr>
            </w:pPr>
            <w:r w:rsidRPr="00FA2E7D">
              <w:rPr>
                <w:rFonts w:ascii="Arial Narrow" w:eastAsia="TimesNewRoman" w:hAnsi="Arial Narrow" w:cs="Calibri"/>
                <w:b/>
                <w:bCs/>
                <w:color w:val="000000"/>
                <w:sz w:val="20"/>
                <w:szCs w:val="20"/>
              </w:rPr>
              <w:t>(N=212)</w:t>
            </w:r>
          </w:p>
        </w:tc>
        <w:tc>
          <w:tcPr>
            <w:tcW w:w="858" w:type="pct"/>
            <w:tcBorders>
              <w:right w:val="double" w:sz="4" w:space="0" w:color="auto"/>
            </w:tcBorders>
            <w:shd w:val="clear" w:color="auto" w:fill="auto"/>
            <w:vAlign w:val="center"/>
          </w:tcPr>
          <w:p w:rsidR="00025766" w:rsidRPr="00FA2E7D" w:rsidRDefault="00025766" w:rsidP="00052399">
            <w:pPr>
              <w:keepNext/>
              <w:keepLines/>
              <w:widowControl w:val="0"/>
              <w:jc w:val="center"/>
              <w:rPr>
                <w:rFonts w:ascii="Arial Narrow" w:eastAsia="TimesNewRoman" w:hAnsi="Arial Narrow" w:cs="Calibri"/>
                <w:b/>
                <w:bCs/>
                <w:color w:val="000000"/>
                <w:sz w:val="20"/>
                <w:szCs w:val="20"/>
              </w:rPr>
            </w:pPr>
            <w:r>
              <w:rPr>
                <w:rFonts w:ascii="Arial Narrow" w:eastAsia="TimesNewRoman" w:hAnsi="Arial Narrow" w:cs="Calibri"/>
                <w:b/>
                <w:bCs/>
                <w:color w:val="000000"/>
                <w:sz w:val="20"/>
                <w:szCs w:val="20"/>
              </w:rPr>
              <w:t>Chlorambucil + obinutuzumab</w:t>
            </w:r>
          </w:p>
          <w:p w:rsidR="00025766" w:rsidRDefault="00025766" w:rsidP="00052399">
            <w:pPr>
              <w:keepNext/>
              <w:keepLines/>
              <w:widowControl w:val="0"/>
              <w:jc w:val="center"/>
              <w:rPr>
                <w:rFonts w:ascii="Arial Narrow" w:eastAsia="TimesNewRoman" w:hAnsi="Arial Narrow" w:cs="Calibri"/>
                <w:b/>
                <w:bCs/>
                <w:color w:val="000000"/>
                <w:sz w:val="20"/>
                <w:szCs w:val="20"/>
              </w:rPr>
            </w:pPr>
            <w:r w:rsidRPr="00FA2E7D">
              <w:rPr>
                <w:rFonts w:ascii="Arial Narrow" w:eastAsia="TimesNewRoman" w:hAnsi="Arial Narrow" w:cs="Calibri"/>
                <w:b/>
                <w:bCs/>
                <w:color w:val="000000"/>
                <w:sz w:val="20"/>
                <w:szCs w:val="20"/>
              </w:rPr>
              <w:t>(N=214)</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b/>
                <w:bCs/>
                <w:color w:val="000000"/>
                <w:sz w:val="20"/>
                <w:szCs w:val="20"/>
              </w:rPr>
            </w:pPr>
            <w:r w:rsidRPr="000C3278">
              <w:rPr>
                <w:rFonts w:ascii="Arial Narrow" w:eastAsia="TimesNewRoman" w:hAnsi="Arial Narrow" w:cs="Calibri"/>
                <w:b/>
                <w:bCs/>
                <w:color w:val="000000"/>
                <w:sz w:val="20"/>
                <w:szCs w:val="20"/>
              </w:rPr>
              <w:t>RR</w:t>
            </w:r>
          </w:p>
          <w:p w:rsidR="00775E67" w:rsidRPr="000C3278" w:rsidRDefault="00775E67" w:rsidP="00052399">
            <w:pPr>
              <w:keepNext/>
              <w:keepLines/>
              <w:widowControl w:val="0"/>
              <w:jc w:val="center"/>
              <w:rPr>
                <w:rFonts w:ascii="Arial Narrow" w:eastAsia="TimesNewRoman" w:hAnsi="Arial Narrow" w:cs="Calibri"/>
                <w:b/>
                <w:bCs/>
                <w:color w:val="000000"/>
                <w:sz w:val="20"/>
                <w:szCs w:val="20"/>
              </w:rPr>
            </w:pPr>
            <w:r w:rsidRPr="000C3278">
              <w:rPr>
                <w:rFonts w:ascii="Arial Narrow" w:eastAsia="TimesNewRoman" w:hAnsi="Arial Narrow" w:cs="Calibri"/>
                <w:b/>
                <w:bCs/>
                <w:color w:val="000000"/>
                <w:sz w:val="20"/>
                <w:szCs w:val="20"/>
              </w:rPr>
              <w:t>(95% CI)</w:t>
            </w:r>
          </w:p>
        </w:tc>
        <w:tc>
          <w:tcPr>
            <w:tcW w:w="859"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b/>
                <w:bCs/>
                <w:color w:val="000000"/>
                <w:sz w:val="20"/>
                <w:szCs w:val="20"/>
              </w:rPr>
            </w:pPr>
            <w:r w:rsidRPr="000C3278">
              <w:rPr>
                <w:rFonts w:ascii="Arial Narrow" w:eastAsia="TimesNewRoman" w:hAnsi="Arial Narrow" w:cs="Calibri"/>
                <w:b/>
                <w:bCs/>
                <w:color w:val="000000"/>
                <w:sz w:val="20"/>
                <w:szCs w:val="20"/>
              </w:rPr>
              <w:t xml:space="preserve">RD </w:t>
            </w:r>
          </w:p>
          <w:p w:rsidR="00775E67" w:rsidRPr="000C3278" w:rsidRDefault="00775E67" w:rsidP="00052399">
            <w:pPr>
              <w:keepNext/>
              <w:keepLines/>
              <w:widowControl w:val="0"/>
              <w:jc w:val="center"/>
              <w:rPr>
                <w:rFonts w:ascii="Arial Narrow" w:eastAsia="TimesNewRoman" w:hAnsi="Arial Narrow" w:cs="Calibri"/>
                <w:b/>
                <w:bCs/>
                <w:color w:val="000000"/>
                <w:sz w:val="20"/>
                <w:szCs w:val="20"/>
              </w:rPr>
            </w:pPr>
            <w:r w:rsidRPr="000C3278">
              <w:rPr>
                <w:rFonts w:ascii="Arial Narrow" w:eastAsia="TimesNewRoman" w:hAnsi="Arial Narrow" w:cs="Calibri"/>
                <w:b/>
                <w:bCs/>
                <w:color w:val="000000"/>
                <w:sz w:val="20"/>
                <w:szCs w:val="20"/>
              </w:rPr>
              <w:t>(95% CI)</w:t>
            </w:r>
          </w:p>
        </w:tc>
      </w:tr>
      <w:tr w:rsidR="00025766" w:rsidRPr="00FA2E7D" w:rsidTr="00177D98">
        <w:trPr>
          <w:trHeight w:val="75"/>
        </w:trPr>
        <w:tc>
          <w:tcPr>
            <w:tcW w:w="5000" w:type="pct"/>
            <w:gridSpan w:val="5"/>
            <w:shd w:val="clear" w:color="auto" w:fill="auto"/>
            <w:tcMar>
              <w:top w:w="0" w:type="dxa"/>
              <w:left w:w="108" w:type="dxa"/>
              <w:bottom w:w="0" w:type="dxa"/>
              <w:right w:w="108" w:type="dxa"/>
            </w:tcMar>
            <w:vAlign w:val="center"/>
            <w:hideMark/>
          </w:tcPr>
          <w:p w:rsidR="00025766" w:rsidRPr="00FA2E7D" w:rsidRDefault="00025766" w:rsidP="00052399">
            <w:pPr>
              <w:keepNext/>
              <w:keepLines/>
              <w:widowControl w:val="0"/>
              <w:rPr>
                <w:rFonts w:ascii="Arial Narrow" w:eastAsia="TimesNewRoman" w:hAnsi="Arial Narrow" w:cs="Calibri"/>
                <w:b/>
                <w:color w:val="000000"/>
                <w:sz w:val="20"/>
                <w:szCs w:val="20"/>
              </w:rPr>
            </w:pPr>
            <w:r w:rsidRPr="00FA2E7D">
              <w:rPr>
                <w:rFonts w:ascii="Arial Narrow" w:eastAsia="TimesNewRoman" w:hAnsi="Arial Narrow" w:cs="Calibri"/>
                <w:b/>
                <w:color w:val="000000"/>
                <w:sz w:val="20"/>
                <w:szCs w:val="20"/>
              </w:rPr>
              <w:t xml:space="preserve">Treatment emergent </w:t>
            </w:r>
            <w:r>
              <w:rPr>
                <w:rFonts w:ascii="Arial Narrow" w:eastAsia="TimesNewRoman" w:hAnsi="Arial Narrow" w:cs="Calibri"/>
                <w:b/>
                <w:color w:val="000000"/>
                <w:sz w:val="20"/>
                <w:szCs w:val="20"/>
              </w:rPr>
              <w:t>adverse events</w:t>
            </w:r>
            <w:r w:rsidRPr="00FA2E7D">
              <w:rPr>
                <w:rFonts w:ascii="Arial Narrow" w:eastAsia="TimesNewRoman" w:hAnsi="Arial Narrow" w:cs="Calibri"/>
                <w:b/>
                <w:color w:val="000000"/>
                <w:sz w:val="20"/>
                <w:szCs w:val="20"/>
              </w:rPr>
              <w:t xml:space="preserve"> of special interest</w:t>
            </w:r>
            <w:r>
              <w:rPr>
                <w:rFonts w:ascii="Arial Narrow" w:eastAsia="TimesNewRoman" w:hAnsi="Arial Narrow" w:cs="Calibri"/>
                <w:b/>
                <w:color w:val="000000"/>
                <w:sz w:val="20"/>
                <w:szCs w:val="20"/>
              </w:rPr>
              <w:t xml:space="preserve"> reported by more than 1 patient</w:t>
            </w:r>
          </w:p>
        </w:tc>
      </w:tr>
      <w:tr w:rsidR="00025766" w:rsidRPr="00FA2E7D" w:rsidTr="00177D98">
        <w:trPr>
          <w:trHeight w:val="75"/>
        </w:trPr>
        <w:tc>
          <w:tcPr>
            <w:tcW w:w="1567" w:type="pct"/>
            <w:shd w:val="clear" w:color="auto" w:fill="auto"/>
            <w:tcMar>
              <w:top w:w="0" w:type="dxa"/>
              <w:left w:w="108" w:type="dxa"/>
              <w:bottom w:w="0" w:type="dxa"/>
              <w:right w:w="108" w:type="dxa"/>
            </w:tcMar>
            <w:vAlign w:val="center"/>
            <w:hideMark/>
          </w:tcPr>
          <w:p w:rsidR="00025766" w:rsidRPr="00FA2E7D" w:rsidRDefault="00025766" w:rsidP="00052399">
            <w:pPr>
              <w:keepNext/>
              <w:keepLines/>
              <w:widowControl w:val="0"/>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Neutropenia Grade 3 or 4</w:t>
            </w:r>
          </w:p>
        </w:tc>
        <w:tc>
          <w:tcPr>
            <w:tcW w:w="858" w:type="pct"/>
            <w:shd w:val="clear" w:color="auto" w:fill="auto"/>
            <w:tcMar>
              <w:top w:w="0" w:type="dxa"/>
              <w:left w:w="108" w:type="dxa"/>
              <w:bottom w:w="0" w:type="dxa"/>
              <w:right w:w="108" w:type="dxa"/>
            </w:tcMar>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119 (56.1</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[327</w:t>
            </w:r>
            <w:r w:rsidR="003377FF">
              <w:rPr>
                <w:rFonts w:ascii="Arial Narrow" w:eastAsia="TimesNewRoman" w:hAnsi="Arial Narrow" w:cs="Calibri"/>
                <w:color w:val="000000"/>
                <w:sz w:val="20"/>
                <w:szCs w:val="20"/>
              </w:rPr>
              <w:t xml:space="preserve"> events]</w:t>
            </w:r>
          </w:p>
        </w:tc>
        <w:tc>
          <w:tcPr>
            <w:tcW w:w="858" w:type="pct"/>
            <w:tcBorders>
              <w:right w:val="double" w:sz="4" w:space="0" w:color="auto"/>
            </w:tcBorders>
            <w:shd w:val="clear" w:color="auto" w:fill="auto"/>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112 (52.3</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[250</w:t>
            </w:r>
            <w:r w:rsidR="003377FF">
              <w:rPr>
                <w:rFonts w:ascii="Arial Narrow" w:eastAsia="TimesNewRoman" w:hAnsi="Arial Narrow" w:cs="Calibri"/>
                <w:color w:val="000000"/>
                <w:sz w:val="20"/>
                <w:szCs w:val="20"/>
              </w:rPr>
              <w:t xml:space="preserve"> events]</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1.07 (0.90, 1.28)</w:t>
            </w:r>
          </w:p>
        </w:tc>
        <w:tc>
          <w:tcPr>
            <w:tcW w:w="859"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0.04 (-0.06, 0.13)</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Thrombocytopenia Grade 3 or 4</w:t>
            </w:r>
          </w:p>
        </w:tc>
        <w:tc>
          <w:tcPr>
            <w:tcW w:w="858" w:type="pct"/>
            <w:shd w:val="clear" w:color="auto" w:fill="auto"/>
            <w:tcMar>
              <w:top w:w="0" w:type="dxa"/>
              <w:left w:w="108" w:type="dxa"/>
              <w:bottom w:w="0" w:type="dxa"/>
              <w:right w:w="108" w:type="dxa"/>
            </w:tcMar>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32 (15.1</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[51</w:t>
            </w:r>
            <w:r w:rsidR="003377FF">
              <w:rPr>
                <w:rFonts w:ascii="Arial Narrow" w:eastAsia="TimesNewRoman" w:hAnsi="Arial Narrow" w:cs="Calibri"/>
                <w:color w:val="000000"/>
                <w:sz w:val="20"/>
                <w:szCs w:val="20"/>
              </w:rPr>
              <w:t xml:space="preserve"> events]</w:t>
            </w:r>
          </w:p>
        </w:tc>
        <w:tc>
          <w:tcPr>
            <w:tcW w:w="858" w:type="pct"/>
            <w:tcBorders>
              <w:right w:val="double" w:sz="4" w:space="0" w:color="auto"/>
            </w:tcBorders>
            <w:shd w:val="clear" w:color="auto" w:fill="auto"/>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33 (15.4</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[43</w:t>
            </w:r>
            <w:r w:rsidR="003377FF">
              <w:rPr>
                <w:rFonts w:ascii="Arial Narrow" w:eastAsia="TimesNewRoman" w:hAnsi="Arial Narrow" w:cs="Calibri"/>
                <w:color w:val="000000"/>
                <w:sz w:val="20"/>
                <w:szCs w:val="20"/>
              </w:rPr>
              <w:t xml:space="preserve"> events]</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0.98 (0.63, 1.53)</w:t>
            </w:r>
          </w:p>
        </w:tc>
        <w:tc>
          <w:tcPr>
            <w:tcW w:w="859" w:type="pct"/>
            <w:shd w:val="clear" w:color="auto" w:fill="auto"/>
            <w:tcMar>
              <w:top w:w="0" w:type="dxa"/>
              <w:left w:w="108" w:type="dxa"/>
              <w:bottom w:w="0" w:type="dxa"/>
              <w:right w:w="108" w:type="dxa"/>
            </w:tcMar>
            <w:vAlign w:val="center"/>
          </w:tcPr>
          <w:p w:rsidR="00025766" w:rsidRPr="000C3278" w:rsidRDefault="00775E67" w:rsidP="00775E67">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-0.00 (-0.07, 0.07)</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Infections</w:t>
            </w:r>
            <w:r>
              <w:rPr>
                <w:rFonts w:ascii="Arial Narrow" w:eastAsia="TimesNewRoman" w:hAnsi="Arial Narrow" w:cs="Calibri"/>
                <w:color w:val="000000"/>
                <w:sz w:val="20"/>
                <w:szCs w:val="20"/>
              </w:rPr>
              <w:t>/infestations</w:t>
            </w:r>
            <w:r w:rsidRPr="00FA2E7D">
              <w:rPr>
                <w:rFonts w:ascii="Arial Narrow" w:eastAsia="TimesNewRoman" w:hAnsi="Arial Narrow" w:cs="Calibri"/>
                <w:color w:val="000000"/>
                <w:sz w:val="20"/>
                <w:szCs w:val="20"/>
              </w:rPr>
              <w:t xml:space="preserve"> Grade ≥ 3</w:t>
            </w:r>
          </w:p>
        </w:tc>
        <w:tc>
          <w:tcPr>
            <w:tcW w:w="858" w:type="pct"/>
            <w:shd w:val="clear" w:color="auto" w:fill="auto"/>
            <w:tcMar>
              <w:top w:w="0" w:type="dxa"/>
              <w:left w:w="108" w:type="dxa"/>
              <w:bottom w:w="0" w:type="dxa"/>
              <w:right w:w="108" w:type="dxa"/>
            </w:tcMar>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41 (19.3</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[58</w:t>
            </w:r>
            <w:r w:rsidR="003377FF">
              <w:rPr>
                <w:rFonts w:ascii="Arial Narrow" w:eastAsia="TimesNewRoman" w:hAnsi="Arial Narrow" w:cs="Calibri"/>
                <w:color w:val="000000"/>
                <w:sz w:val="20"/>
                <w:szCs w:val="20"/>
              </w:rPr>
              <w:t xml:space="preserve"> events]</w:t>
            </w:r>
          </w:p>
        </w:tc>
        <w:tc>
          <w:tcPr>
            <w:tcW w:w="858" w:type="pct"/>
            <w:tcBorders>
              <w:right w:val="double" w:sz="4" w:space="0" w:color="auto"/>
            </w:tcBorders>
            <w:shd w:val="clear" w:color="auto" w:fill="auto"/>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35 (16.4</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[51</w:t>
            </w:r>
            <w:r w:rsidR="003377FF">
              <w:rPr>
                <w:rFonts w:ascii="Arial Narrow" w:eastAsia="TimesNewRoman" w:hAnsi="Arial Narrow" w:cs="Calibri"/>
                <w:color w:val="000000"/>
                <w:sz w:val="20"/>
                <w:szCs w:val="20"/>
              </w:rPr>
              <w:t xml:space="preserve"> events]</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1.18 (0.79, 1.78)</w:t>
            </w:r>
          </w:p>
        </w:tc>
        <w:tc>
          <w:tcPr>
            <w:tcW w:w="859" w:type="pct"/>
            <w:shd w:val="clear" w:color="auto" w:fill="auto"/>
            <w:tcMar>
              <w:top w:w="0" w:type="dxa"/>
              <w:left w:w="108" w:type="dxa"/>
              <w:bottom w:w="0" w:type="dxa"/>
              <w:right w:w="108" w:type="dxa"/>
            </w:tcMar>
            <w:vAlign w:val="center"/>
          </w:tcPr>
          <w:p w:rsidR="00025766" w:rsidRPr="000C3278" w:rsidRDefault="00775E67" w:rsidP="00775E67">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0.03 (-0.04, 0.10)</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Second primary malignancies</w:t>
            </w:r>
          </w:p>
        </w:tc>
        <w:tc>
          <w:tcPr>
            <w:tcW w:w="858" w:type="pct"/>
            <w:shd w:val="clear" w:color="auto" w:fill="auto"/>
            <w:tcMar>
              <w:top w:w="0" w:type="dxa"/>
              <w:left w:w="108" w:type="dxa"/>
              <w:bottom w:w="0" w:type="dxa"/>
              <w:right w:w="108" w:type="dxa"/>
            </w:tcMar>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29 (13.7</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[35</w:t>
            </w:r>
            <w:r w:rsidR="003377FF">
              <w:rPr>
                <w:rFonts w:ascii="Arial Narrow" w:eastAsia="TimesNewRoman" w:hAnsi="Arial Narrow" w:cs="Calibri"/>
                <w:color w:val="000000"/>
                <w:sz w:val="20"/>
                <w:szCs w:val="20"/>
              </w:rPr>
              <w:t xml:space="preserve"> events]</w:t>
            </w:r>
          </w:p>
        </w:tc>
        <w:tc>
          <w:tcPr>
            <w:tcW w:w="858" w:type="pct"/>
            <w:tcBorders>
              <w:right w:val="double" w:sz="4" w:space="0" w:color="auto"/>
            </w:tcBorders>
            <w:shd w:val="clear" w:color="auto" w:fill="auto"/>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22 (10.3</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[29</w:t>
            </w:r>
            <w:r w:rsidR="003377FF">
              <w:rPr>
                <w:rFonts w:ascii="Arial Narrow" w:eastAsia="TimesNewRoman" w:hAnsi="Arial Narrow" w:cs="Calibri"/>
                <w:color w:val="000000"/>
                <w:sz w:val="20"/>
                <w:szCs w:val="20"/>
              </w:rPr>
              <w:t xml:space="preserve"> events]</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1.33 (0.79, 2.24)</w:t>
            </w:r>
          </w:p>
        </w:tc>
        <w:tc>
          <w:tcPr>
            <w:tcW w:w="859"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0.03 (-0.03, 0.10)</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rPr>
                <w:rFonts w:ascii="Arial Narrow" w:eastAsia="TimesNewRoman" w:hAnsi="Arial Narrow" w:cs="Calibri"/>
                <w:color w:val="000000"/>
                <w:sz w:val="20"/>
                <w:szCs w:val="20"/>
              </w:rPr>
            </w:pPr>
            <w:r>
              <w:rPr>
                <w:rFonts w:ascii="Arial Narrow" w:eastAsia="TimesNewRoman" w:hAnsi="Arial Narrow" w:cs="Calibri"/>
                <w:color w:val="000000"/>
                <w:sz w:val="20"/>
                <w:szCs w:val="20"/>
              </w:rPr>
              <w:t>Tumour lysis syndrome</w:t>
            </w:r>
          </w:p>
        </w:tc>
        <w:tc>
          <w:tcPr>
            <w:tcW w:w="858" w:type="pct"/>
            <w:shd w:val="clear" w:color="auto" w:fill="auto"/>
            <w:tcMar>
              <w:top w:w="0" w:type="dxa"/>
              <w:left w:w="108" w:type="dxa"/>
              <w:bottom w:w="0" w:type="dxa"/>
              <w:right w:w="108" w:type="dxa"/>
            </w:tcMar>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3 (1.4</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[3</w:t>
            </w:r>
            <w:r w:rsidR="003377FF">
              <w:rPr>
                <w:rFonts w:ascii="Arial Narrow" w:eastAsia="TimesNewRoman" w:hAnsi="Arial Narrow" w:cs="Calibri"/>
                <w:color w:val="000000"/>
                <w:sz w:val="20"/>
                <w:szCs w:val="20"/>
              </w:rPr>
              <w:t xml:space="preserve"> events]</w:t>
            </w:r>
          </w:p>
        </w:tc>
        <w:tc>
          <w:tcPr>
            <w:tcW w:w="858" w:type="pct"/>
            <w:tcBorders>
              <w:right w:val="double" w:sz="4" w:space="0" w:color="auto"/>
            </w:tcBorders>
            <w:shd w:val="clear" w:color="auto" w:fill="auto"/>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5 (2.3</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[5</w:t>
            </w:r>
            <w:r w:rsidR="003377FF">
              <w:rPr>
                <w:rFonts w:ascii="Arial Narrow" w:eastAsia="TimesNewRoman" w:hAnsi="Arial Narrow" w:cs="Calibri"/>
                <w:color w:val="000000"/>
                <w:sz w:val="20"/>
                <w:szCs w:val="20"/>
              </w:rPr>
              <w:t xml:space="preserve"> events]</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0.61 (0.15, 2.50)</w:t>
            </w:r>
          </w:p>
        </w:tc>
        <w:tc>
          <w:tcPr>
            <w:tcW w:w="859"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-0.01 (-0.04, 0.02)</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Infusion relate</w:t>
            </w:r>
            <w:r>
              <w:rPr>
                <w:rFonts w:ascii="Arial Narrow" w:eastAsia="TimesNewRoman" w:hAnsi="Arial Narrow" w:cs="Calibri"/>
                <w:color w:val="000000"/>
                <w:sz w:val="20"/>
                <w:szCs w:val="20"/>
              </w:rPr>
              <w:t xml:space="preserve">d reactions </w:t>
            </w:r>
            <w:r w:rsidRPr="00FA2E7D">
              <w:rPr>
                <w:rFonts w:ascii="Arial Narrow" w:eastAsia="TimesNewRoman" w:hAnsi="Arial Narrow" w:cs="Calibri"/>
                <w:color w:val="000000"/>
                <w:sz w:val="20"/>
                <w:szCs w:val="20"/>
              </w:rPr>
              <w:t>Grade ≥ 3</w:t>
            </w:r>
          </w:p>
        </w:tc>
        <w:tc>
          <w:tcPr>
            <w:tcW w:w="858" w:type="pct"/>
            <w:shd w:val="clear" w:color="auto" w:fill="auto"/>
            <w:tcMar>
              <w:top w:w="0" w:type="dxa"/>
              <w:left w:w="108" w:type="dxa"/>
              <w:bottom w:w="0" w:type="dxa"/>
              <w:right w:w="108" w:type="dxa"/>
            </w:tcMar>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25 (11.8</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[36</w:t>
            </w:r>
            <w:r w:rsidR="003377FF">
              <w:rPr>
                <w:rFonts w:ascii="Arial Narrow" w:eastAsia="TimesNewRoman" w:hAnsi="Arial Narrow" w:cs="Calibri"/>
                <w:color w:val="000000"/>
                <w:sz w:val="20"/>
                <w:szCs w:val="20"/>
              </w:rPr>
              <w:t xml:space="preserve"> events]</w:t>
            </w:r>
          </w:p>
        </w:tc>
        <w:tc>
          <w:tcPr>
            <w:tcW w:w="858" w:type="pct"/>
            <w:tcBorders>
              <w:right w:val="double" w:sz="4" w:space="0" w:color="auto"/>
            </w:tcBorders>
            <w:shd w:val="clear" w:color="auto" w:fill="auto"/>
            <w:vAlign w:val="center"/>
          </w:tcPr>
          <w:p w:rsidR="003377FF" w:rsidRDefault="00025766" w:rsidP="00052399">
            <w:pPr>
              <w:keepNext/>
              <w:keepLines/>
              <w:widowControl w:val="0"/>
              <w:jc w:val="center"/>
              <w:rPr>
                <w:rFonts w:ascii="Arial Narrow" w:eastAsia="TimesNewRoman" w:hAnsi="Arial Narrow" w:cs="Calibri"/>
                <w:color w:val="000000"/>
                <w:sz w:val="20"/>
                <w:szCs w:val="20"/>
              </w:rPr>
            </w:pPr>
            <w:r w:rsidRPr="00FA2E7D">
              <w:rPr>
                <w:rFonts w:ascii="Arial Narrow" w:eastAsia="TimesNewRoman" w:hAnsi="Arial Narrow" w:cs="Calibri"/>
                <w:color w:val="000000"/>
                <w:sz w:val="20"/>
                <w:szCs w:val="20"/>
              </w:rPr>
              <w:t>23 (10.7</w:t>
            </w:r>
            <w:r>
              <w:rPr>
                <w:rFonts w:ascii="Arial Narrow" w:eastAsia="TimesNewRoman" w:hAnsi="Arial Narrow" w:cs="Calibri"/>
                <w:color w:val="000000"/>
                <w:sz w:val="20"/>
                <w:szCs w:val="20"/>
              </w:rPr>
              <w:t xml:space="preserve">%) </w:t>
            </w:r>
          </w:p>
          <w:p w:rsidR="00025766" w:rsidRPr="00FA2E7D" w:rsidRDefault="00025766"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[33</w:t>
            </w:r>
            <w:r w:rsidR="003377FF">
              <w:rPr>
                <w:rFonts w:ascii="Arial Narrow" w:eastAsia="TimesNewRoman" w:hAnsi="Arial Narrow" w:cs="Calibri"/>
                <w:color w:val="000000"/>
                <w:sz w:val="20"/>
                <w:szCs w:val="20"/>
              </w:rPr>
              <w:t xml:space="preserve"> events]</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1.10 (0.64, 1.87)</w:t>
            </w:r>
          </w:p>
        </w:tc>
        <w:tc>
          <w:tcPr>
            <w:tcW w:w="859" w:type="pct"/>
            <w:shd w:val="clear" w:color="auto" w:fill="auto"/>
            <w:tcMar>
              <w:top w:w="0" w:type="dxa"/>
              <w:left w:w="108" w:type="dxa"/>
              <w:bottom w:w="0" w:type="dxa"/>
              <w:right w:w="108" w:type="dxa"/>
            </w:tcMar>
            <w:vAlign w:val="center"/>
          </w:tcPr>
          <w:p w:rsidR="00025766" w:rsidRPr="000C3278" w:rsidRDefault="00775E67" w:rsidP="00052399">
            <w:pPr>
              <w:keepNext/>
              <w:keepLines/>
              <w:widowControl w:val="0"/>
              <w:jc w:val="center"/>
              <w:rPr>
                <w:rFonts w:ascii="Arial Narrow" w:eastAsia="TimesNewRoman" w:hAnsi="Arial Narrow" w:cs="Calibri"/>
                <w:color w:val="000000"/>
                <w:sz w:val="20"/>
                <w:szCs w:val="20"/>
              </w:rPr>
            </w:pPr>
            <w:r w:rsidRPr="000C3278">
              <w:rPr>
                <w:rFonts w:ascii="Arial Narrow" w:eastAsia="TimesNewRoman" w:hAnsi="Arial Narrow" w:cs="Calibri"/>
                <w:color w:val="000000"/>
                <w:sz w:val="20"/>
                <w:szCs w:val="20"/>
              </w:rPr>
              <w:t>0.01 (-0.05, 0.07)</w:t>
            </w:r>
          </w:p>
        </w:tc>
      </w:tr>
      <w:tr w:rsidR="00025766" w:rsidRPr="00FA2E7D" w:rsidTr="00177D98">
        <w:trPr>
          <w:trHeight w:val="75"/>
        </w:trPr>
        <w:tc>
          <w:tcPr>
            <w:tcW w:w="5000" w:type="pct"/>
            <w:gridSpan w:val="5"/>
            <w:shd w:val="clear" w:color="auto" w:fill="auto"/>
            <w:tcMar>
              <w:top w:w="0" w:type="dxa"/>
              <w:left w:w="108" w:type="dxa"/>
              <w:bottom w:w="0" w:type="dxa"/>
              <w:right w:w="108" w:type="dxa"/>
            </w:tcMar>
            <w:vAlign w:val="center"/>
            <w:hideMark/>
          </w:tcPr>
          <w:p w:rsidR="00025766" w:rsidRPr="000C3278" w:rsidRDefault="00025766" w:rsidP="00052399">
            <w:pPr>
              <w:keepNext/>
              <w:keepLines/>
              <w:widowControl w:val="0"/>
              <w:rPr>
                <w:rFonts w:ascii="Arial Narrow" w:eastAsia="TimesNewRoman" w:hAnsi="Arial Narrow" w:cs="Calibri"/>
                <w:b/>
                <w:color w:val="000000"/>
                <w:sz w:val="20"/>
                <w:szCs w:val="20"/>
              </w:rPr>
            </w:pPr>
            <w:r w:rsidRPr="000C3278">
              <w:rPr>
                <w:rFonts w:ascii="Arial Narrow" w:eastAsia="TimesNewRoman" w:hAnsi="Arial Narrow" w:cs="Calibri"/>
                <w:b/>
                <w:color w:val="000000"/>
                <w:sz w:val="20"/>
                <w:szCs w:val="20"/>
              </w:rPr>
              <w:t>Serious adverse events reported by more than 1 patient  (≥ 2% in any treatment arm)</w:t>
            </w:r>
          </w:p>
        </w:tc>
      </w:tr>
      <w:tr w:rsidR="00025766" w:rsidRPr="00FA2E7D" w:rsidTr="00177D98">
        <w:trPr>
          <w:trHeight w:val="75"/>
        </w:trPr>
        <w:tc>
          <w:tcPr>
            <w:tcW w:w="156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Febrile neutropenia</w:t>
            </w:r>
          </w:p>
        </w:tc>
        <w:tc>
          <w:tcPr>
            <w:tcW w:w="858"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11 (5.2</w:t>
            </w:r>
            <w:r>
              <w:rPr>
                <w:rFonts w:ascii="Arial Narrow" w:eastAsia="TimesNewRoman" w:hAnsi="Arial Narrow" w:cs="Calibri"/>
                <w:color w:val="000000"/>
                <w:sz w:val="20"/>
                <w:szCs w:val="20"/>
              </w:rPr>
              <w:t>%)</w:t>
            </w:r>
          </w:p>
        </w:tc>
        <w:tc>
          <w:tcPr>
            <w:tcW w:w="858" w:type="pct"/>
            <w:tcBorders>
              <w:right w:val="double" w:sz="4" w:space="0" w:color="auto"/>
            </w:tcBorders>
            <w:shd w:val="clear" w:color="auto" w:fill="auto"/>
            <w:vAlign w:val="center"/>
          </w:tcPr>
          <w:p w:rsidR="00025766" w:rsidRPr="00FA2E7D"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8 (3.7</w:t>
            </w:r>
            <w:r>
              <w:rPr>
                <w:rFonts w:ascii="Arial Narrow" w:eastAsia="TimesNewRoman" w:hAnsi="Arial Narrow" w:cs="Calibri"/>
                <w:color w:val="000000"/>
                <w:sz w:val="20"/>
                <w:szCs w:val="20"/>
              </w:rPr>
              <w:t>%)</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c>
          <w:tcPr>
            <w:tcW w:w="859" w:type="pct"/>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Pneumonia</w:t>
            </w:r>
          </w:p>
        </w:tc>
        <w:tc>
          <w:tcPr>
            <w:tcW w:w="858"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10 (4.7</w:t>
            </w:r>
            <w:r>
              <w:rPr>
                <w:rFonts w:ascii="Arial Narrow" w:eastAsia="TimesNewRoman" w:hAnsi="Arial Narrow" w:cs="Calibri"/>
                <w:color w:val="000000"/>
                <w:sz w:val="20"/>
                <w:szCs w:val="20"/>
              </w:rPr>
              <w:t>%)</w:t>
            </w:r>
          </w:p>
        </w:tc>
        <w:tc>
          <w:tcPr>
            <w:tcW w:w="858" w:type="pct"/>
            <w:tcBorders>
              <w:right w:val="double" w:sz="4" w:space="0" w:color="auto"/>
            </w:tcBorders>
            <w:shd w:val="clear" w:color="auto" w:fill="auto"/>
            <w:vAlign w:val="center"/>
          </w:tcPr>
          <w:p w:rsidR="00025766" w:rsidRPr="00FA2E7D"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9 (4.2</w:t>
            </w:r>
            <w:r>
              <w:rPr>
                <w:rFonts w:ascii="Arial Narrow" w:eastAsia="TimesNewRoman" w:hAnsi="Arial Narrow" w:cs="Calibri"/>
                <w:color w:val="000000"/>
                <w:sz w:val="20"/>
                <w:szCs w:val="20"/>
              </w:rPr>
              <w:t>%)</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c>
          <w:tcPr>
            <w:tcW w:w="859" w:type="pct"/>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Infusion-related reaction</w:t>
            </w:r>
          </w:p>
        </w:tc>
        <w:tc>
          <w:tcPr>
            <w:tcW w:w="858"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9 (4.2</w:t>
            </w:r>
            <w:r>
              <w:rPr>
                <w:rFonts w:ascii="Arial Narrow" w:eastAsia="TimesNewRoman" w:hAnsi="Arial Narrow" w:cs="Calibri"/>
                <w:color w:val="000000"/>
                <w:sz w:val="20"/>
                <w:szCs w:val="20"/>
              </w:rPr>
              <w:t>%)</w:t>
            </w:r>
          </w:p>
        </w:tc>
        <w:tc>
          <w:tcPr>
            <w:tcW w:w="858" w:type="pct"/>
            <w:tcBorders>
              <w:right w:val="double" w:sz="4" w:space="0" w:color="auto"/>
            </w:tcBorders>
            <w:shd w:val="clear" w:color="auto" w:fill="auto"/>
            <w:vAlign w:val="center"/>
          </w:tcPr>
          <w:p w:rsidR="00025766" w:rsidRPr="00FA2E7D"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13 (6.1</w:t>
            </w:r>
            <w:r>
              <w:rPr>
                <w:rFonts w:ascii="Arial Narrow" w:eastAsia="TimesNewRoman" w:hAnsi="Arial Narrow" w:cs="Calibri"/>
                <w:color w:val="000000"/>
                <w:sz w:val="20"/>
                <w:szCs w:val="20"/>
              </w:rPr>
              <w:t>%)</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c>
          <w:tcPr>
            <w:tcW w:w="859" w:type="pct"/>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Pyrexia</w:t>
            </w:r>
          </w:p>
        </w:tc>
        <w:tc>
          <w:tcPr>
            <w:tcW w:w="858"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8 (3.8</w:t>
            </w:r>
            <w:r>
              <w:rPr>
                <w:rFonts w:ascii="Arial Narrow" w:eastAsia="TimesNewRoman" w:hAnsi="Arial Narrow" w:cs="Calibri"/>
                <w:color w:val="000000"/>
                <w:sz w:val="20"/>
                <w:szCs w:val="20"/>
              </w:rPr>
              <w:t>%)</w:t>
            </w:r>
          </w:p>
        </w:tc>
        <w:tc>
          <w:tcPr>
            <w:tcW w:w="858" w:type="pct"/>
            <w:tcBorders>
              <w:right w:val="double" w:sz="4" w:space="0" w:color="auto"/>
            </w:tcBorders>
            <w:shd w:val="clear" w:color="auto" w:fill="auto"/>
            <w:vAlign w:val="center"/>
          </w:tcPr>
          <w:p w:rsidR="00025766" w:rsidRPr="00FA2E7D"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7 (3.3</w:t>
            </w:r>
            <w:r>
              <w:rPr>
                <w:rFonts w:ascii="Arial Narrow" w:eastAsia="TimesNewRoman" w:hAnsi="Arial Narrow" w:cs="Calibri"/>
                <w:color w:val="000000"/>
                <w:sz w:val="20"/>
                <w:szCs w:val="20"/>
              </w:rPr>
              <w:t>%)</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c>
          <w:tcPr>
            <w:tcW w:w="859" w:type="pct"/>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Sepsis</w:t>
            </w:r>
          </w:p>
        </w:tc>
        <w:tc>
          <w:tcPr>
            <w:tcW w:w="858" w:type="pct"/>
            <w:shd w:val="clear" w:color="auto" w:fill="auto"/>
            <w:tcMar>
              <w:top w:w="0" w:type="dxa"/>
              <w:left w:w="108" w:type="dxa"/>
              <w:bottom w:w="0" w:type="dxa"/>
              <w:right w:w="108" w:type="dxa"/>
            </w:tcMar>
            <w:vAlign w:val="center"/>
          </w:tcPr>
          <w:p w:rsidR="00025766" w:rsidRPr="00FA2E7D"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6 (2.8</w:t>
            </w:r>
            <w:r>
              <w:rPr>
                <w:rFonts w:ascii="Arial Narrow" w:eastAsia="TimesNewRoman" w:hAnsi="Arial Narrow" w:cs="Calibri"/>
                <w:color w:val="000000"/>
                <w:sz w:val="20"/>
                <w:szCs w:val="20"/>
              </w:rPr>
              <w:t>%)</w:t>
            </w:r>
          </w:p>
        </w:tc>
        <w:tc>
          <w:tcPr>
            <w:tcW w:w="858" w:type="pct"/>
            <w:tcBorders>
              <w:right w:val="double" w:sz="4" w:space="0" w:color="auto"/>
            </w:tcBorders>
            <w:shd w:val="clear" w:color="auto" w:fill="auto"/>
            <w:vAlign w:val="center"/>
          </w:tcPr>
          <w:p w:rsidR="00025766" w:rsidRPr="00FA2E7D"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2 (0.9</w:t>
            </w:r>
            <w:r>
              <w:rPr>
                <w:rFonts w:ascii="Arial Narrow" w:eastAsia="TimesNewRoman" w:hAnsi="Arial Narrow" w:cs="Calibri"/>
                <w:color w:val="000000"/>
                <w:sz w:val="20"/>
                <w:szCs w:val="20"/>
              </w:rPr>
              <w:t>%)</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c>
          <w:tcPr>
            <w:tcW w:w="859" w:type="pct"/>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Default="00025766" w:rsidP="00052399">
            <w:pPr>
              <w:keepNext/>
              <w:keepLines/>
              <w:widowControl w:val="0"/>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Thrombocytopenia</w:t>
            </w:r>
          </w:p>
        </w:tc>
        <w:tc>
          <w:tcPr>
            <w:tcW w:w="858" w:type="pct"/>
            <w:shd w:val="clear" w:color="auto" w:fill="auto"/>
            <w:tcMar>
              <w:top w:w="0" w:type="dxa"/>
              <w:left w:w="108" w:type="dxa"/>
              <w:bottom w:w="0" w:type="dxa"/>
              <w:right w:w="108" w:type="dxa"/>
            </w:tcMar>
            <w:vAlign w:val="center"/>
          </w:tcPr>
          <w:p w:rsidR="00025766" w:rsidRPr="0088746F"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2 (0.9</w:t>
            </w:r>
            <w:r>
              <w:rPr>
                <w:rFonts w:ascii="Arial Narrow" w:eastAsia="TimesNewRoman" w:hAnsi="Arial Narrow" w:cs="Calibri"/>
                <w:color w:val="000000"/>
                <w:sz w:val="20"/>
                <w:szCs w:val="20"/>
              </w:rPr>
              <w:t>%)</w:t>
            </w:r>
          </w:p>
        </w:tc>
        <w:tc>
          <w:tcPr>
            <w:tcW w:w="858" w:type="pct"/>
            <w:tcBorders>
              <w:right w:val="double" w:sz="4" w:space="0" w:color="auto"/>
            </w:tcBorders>
            <w:shd w:val="clear" w:color="auto" w:fill="auto"/>
            <w:vAlign w:val="center"/>
          </w:tcPr>
          <w:p w:rsidR="00025766" w:rsidRPr="0088746F"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5 (2.3</w:t>
            </w:r>
            <w:r>
              <w:rPr>
                <w:rFonts w:ascii="Arial Narrow" w:eastAsia="TimesNewRoman" w:hAnsi="Arial Narrow" w:cs="Calibri"/>
                <w:color w:val="000000"/>
                <w:sz w:val="20"/>
                <w:szCs w:val="20"/>
              </w:rPr>
              <w:t>%)</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c>
          <w:tcPr>
            <w:tcW w:w="859" w:type="pct"/>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Default="00025766" w:rsidP="00052399">
            <w:pPr>
              <w:keepNext/>
              <w:keepLines/>
              <w:widowControl w:val="0"/>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Atrial fibrillation</w:t>
            </w:r>
          </w:p>
        </w:tc>
        <w:tc>
          <w:tcPr>
            <w:tcW w:w="858" w:type="pct"/>
            <w:shd w:val="clear" w:color="auto" w:fill="auto"/>
            <w:tcMar>
              <w:top w:w="0" w:type="dxa"/>
              <w:left w:w="108" w:type="dxa"/>
              <w:bottom w:w="0" w:type="dxa"/>
              <w:right w:w="108" w:type="dxa"/>
            </w:tcMar>
            <w:vAlign w:val="center"/>
          </w:tcPr>
          <w:p w:rsidR="00025766" w:rsidRPr="0088746F"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1 (0.5</w:t>
            </w:r>
            <w:r>
              <w:rPr>
                <w:rFonts w:ascii="Arial Narrow" w:eastAsia="TimesNewRoman" w:hAnsi="Arial Narrow" w:cs="Calibri"/>
                <w:color w:val="000000"/>
                <w:sz w:val="20"/>
                <w:szCs w:val="20"/>
              </w:rPr>
              <w:t>%)</w:t>
            </w:r>
          </w:p>
        </w:tc>
        <w:tc>
          <w:tcPr>
            <w:tcW w:w="858" w:type="pct"/>
            <w:tcBorders>
              <w:right w:val="double" w:sz="4" w:space="0" w:color="auto"/>
            </w:tcBorders>
            <w:shd w:val="clear" w:color="auto" w:fill="auto"/>
            <w:vAlign w:val="center"/>
          </w:tcPr>
          <w:p w:rsidR="00025766" w:rsidRPr="0088746F"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3 (1.4</w:t>
            </w:r>
            <w:r>
              <w:rPr>
                <w:rFonts w:ascii="Arial Narrow" w:eastAsia="TimesNewRoman" w:hAnsi="Arial Narrow" w:cs="Calibri"/>
                <w:color w:val="000000"/>
                <w:sz w:val="20"/>
                <w:szCs w:val="20"/>
              </w:rPr>
              <w:t>%)</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c>
          <w:tcPr>
            <w:tcW w:w="859" w:type="pct"/>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Default="00025766" w:rsidP="00052399">
            <w:pPr>
              <w:keepNext/>
              <w:keepLines/>
              <w:widowControl w:val="0"/>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 xml:space="preserve">Acute coronary syndrome </w:t>
            </w:r>
          </w:p>
        </w:tc>
        <w:tc>
          <w:tcPr>
            <w:tcW w:w="858" w:type="pct"/>
            <w:shd w:val="clear" w:color="auto" w:fill="auto"/>
            <w:tcMar>
              <w:top w:w="0" w:type="dxa"/>
              <w:left w:w="108" w:type="dxa"/>
              <w:bottom w:w="0" w:type="dxa"/>
              <w:right w:w="108" w:type="dxa"/>
            </w:tcMar>
            <w:vAlign w:val="center"/>
          </w:tcPr>
          <w:p w:rsidR="00025766" w:rsidRPr="0088746F"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0</w:t>
            </w:r>
          </w:p>
        </w:tc>
        <w:tc>
          <w:tcPr>
            <w:tcW w:w="858" w:type="pct"/>
            <w:tcBorders>
              <w:right w:val="double" w:sz="4" w:space="0" w:color="auto"/>
            </w:tcBorders>
            <w:shd w:val="clear" w:color="auto" w:fill="auto"/>
            <w:vAlign w:val="center"/>
          </w:tcPr>
          <w:p w:rsidR="00025766" w:rsidRPr="0088746F"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0</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c>
          <w:tcPr>
            <w:tcW w:w="859" w:type="pct"/>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r>
      <w:tr w:rsidR="00025766" w:rsidRPr="00FA2E7D" w:rsidTr="00177D98">
        <w:trPr>
          <w:trHeight w:val="47"/>
        </w:trPr>
        <w:tc>
          <w:tcPr>
            <w:tcW w:w="1567" w:type="pct"/>
            <w:shd w:val="clear" w:color="auto" w:fill="auto"/>
            <w:tcMar>
              <w:top w:w="0" w:type="dxa"/>
              <w:left w:w="108" w:type="dxa"/>
              <w:bottom w:w="0" w:type="dxa"/>
              <w:right w:w="108" w:type="dxa"/>
            </w:tcMar>
            <w:vAlign w:val="center"/>
          </w:tcPr>
          <w:p w:rsidR="00025766" w:rsidRDefault="00025766" w:rsidP="00052399">
            <w:pPr>
              <w:keepNext/>
              <w:keepLines/>
              <w:widowControl w:val="0"/>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Tumour lysis syndrome</w:t>
            </w:r>
          </w:p>
        </w:tc>
        <w:tc>
          <w:tcPr>
            <w:tcW w:w="858" w:type="pct"/>
            <w:shd w:val="clear" w:color="auto" w:fill="auto"/>
            <w:tcMar>
              <w:top w:w="0" w:type="dxa"/>
              <w:left w:w="108" w:type="dxa"/>
              <w:bottom w:w="0" w:type="dxa"/>
              <w:right w:w="108" w:type="dxa"/>
            </w:tcMar>
            <w:vAlign w:val="center"/>
          </w:tcPr>
          <w:p w:rsidR="00025766" w:rsidRPr="0088746F"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1 (0.5</w:t>
            </w:r>
            <w:r>
              <w:rPr>
                <w:rFonts w:ascii="Arial Narrow" w:eastAsia="TimesNewRoman" w:hAnsi="Arial Narrow" w:cs="Calibri"/>
                <w:color w:val="000000"/>
                <w:sz w:val="20"/>
                <w:szCs w:val="20"/>
              </w:rPr>
              <w:t>%)</w:t>
            </w:r>
          </w:p>
        </w:tc>
        <w:tc>
          <w:tcPr>
            <w:tcW w:w="858" w:type="pct"/>
            <w:tcBorders>
              <w:right w:val="double" w:sz="4" w:space="0" w:color="auto"/>
            </w:tcBorders>
            <w:shd w:val="clear" w:color="auto" w:fill="auto"/>
            <w:vAlign w:val="center"/>
          </w:tcPr>
          <w:p w:rsidR="00025766" w:rsidRPr="0088746F" w:rsidRDefault="00025766" w:rsidP="00052399">
            <w:pPr>
              <w:keepNext/>
              <w:keepLines/>
              <w:widowControl w:val="0"/>
              <w:jc w:val="center"/>
              <w:rPr>
                <w:rFonts w:ascii="Arial Narrow" w:eastAsia="TimesNewRoman" w:hAnsi="Arial Narrow" w:cs="Calibri"/>
                <w:color w:val="000000"/>
                <w:sz w:val="20"/>
                <w:szCs w:val="20"/>
              </w:rPr>
            </w:pPr>
            <w:r w:rsidRPr="007E7948">
              <w:rPr>
                <w:rFonts w:ascii="Arial Narrow" w:eastAsia="TimesNewRoman" w:hAnsi="Arial Narrow" w:cs="Calibri"/>
                <w:color w:val="000000"/>
                <w:sz w:val="20"/>
                <w:szCs w:val="20"/>
              </w:rPr>
              <w:t>4 (1.9</w:t>
            </w:r>
            <w:r>
              <w:rPr>
                <w:rFonts w:ascii="Arial Narrow" w:eastAsia="TimesNewRoman" w:hAnsi="Arial Narrow" w:cs="Calibri"/>
                <w:color w:val="000000"/>
                <w:sz w:val="20"/>
                <w:szCs w:val="20"/>
              </w:rPr>
              <w:t>%)</w:t>
            </w:r>
          </w:p>
        </w:tc>
        <w:tc>
          <w:tcPr>
            <w:tcW w:w="858" w:type="pct"/>
            <w:tcBorders>
              <w:left w:val="double" w:sz="4" w:space="0" w:color="auto"/>
            </w:tcBorders>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c>
          <w:tcPr>
            <w:tcW w:w="859" w:type="pct"/>
            <w:shd w:val="clear" w:color="auto" w:fill="auto"/>
            <w:tcMar>
              <w:top w:w="0" w:type="dxa"/>
              <w:left w:w="108" w:type="dxa"/>
              <w:bottom w:w="0" w:type="dxa"/>
              <w:right w:w="108" w:type="dxa"/>
            </w:tcMar>
            <w:vAlign w:val="center"/>
          </w:tcPr>
          <w:p w:rsidR="00025766" w:rsidRPr="005810A4" w:rsidRDefault="00297B6C" w:rsidP="00052399">
            <w:pPr>
              <w:keepNext/>
              <w:keepLines/>
              <w:widowControl w:val="0"/>
              <w:jc w:val="center"/>
              <w:rPr>
                <w:rFonts w:ascii="Arial Narrow" w:eastAsia="TimesNewRoman" w:hAnsi="Arial Narrow" w:cs="Calibri"/>
                <w:color w:val="000000"/>
                <w:sz w:val="20"/>
                <w:szCs w:val="20"/>
              </w:rPr>
            </w:pPr>
            <w:r>
              <w:rPr>
                <w:rFonts w:ascii="Arial Narrow" w:eastAsia="TimesNewRoman" w:hAnsi="Arial Narrow" w:cs="Calibri"/>
                <w:color w:val="000000"/>
                <w:sz w:val="20"/>
                <w:szCs w:val="20"/>
              </w:rPr>
              <w:t>-</w:t>
            </w:r>
          </w:p>
        </w:tc>
      </w:tr>
    </w:tbl>
    <w:p w:rsidR="00025766" w:rsidRPr="00CD0BAC" w:rsidRDefault="00025766" w:rsidP="00025766">
      <w:pPr>
        <w:pStyle w:val="TableFigureFooter"/>
      </w:pPr>
      <w:r w:rsidRPr="00CD0BAC">
        <w:t xml:space="preserve">Source: Table 41, p.80 of the submission; </w:t>
      </w:r>
      <w:r>
        <w:t>Table 68, p.199; Table 70, p.201, Table 71, p.203, Table 72, p.205, tables on pp.2122-2123 of CLL-14 CSR;</w:t>
      </w:r>
      <w:r w:rsidRPr="00CD0BAC">
        <w:t xml:space="preserve">, </w:t>
      </w:r>
      <w:r>
        <w:t>Attachment 4 to the submission</w:t>
      </w:r>
      <w:r w:rsidR="00775E67">
        <w:t>;</w:t>
      </w:r>
      <w:r w:rsidR="00775E67" w:rsidRPr="00D51800">
        <w:rPr>
          <w:i/>
        </w:rPr>
        <w:t xml:space="preserve"> and Table 2of the PSCR</w:t>
      </w:r>
    </w:p>
    <w:p w:rsidR="00025766" w:rsidRPr="000C3278" w:rsidRDefault="00025766" w:rsidP="00025766">
      <w:pPr>
        <w:pStyle w:val="TableFigureFooter"/>
      </w:pPr>
      <w:r w:rsidRPr="00CD0BAC">
        <w:t>Abbreviations: CI, confidence interval; CLL</w:t>
      </w:r>
      <w:r>
        <w:t>, chronic lymphocytic leukaemia</w:t>
      </w:r>
      <w:r w:rsidR="00775E67">
        <w:t xml:space="preserve">; </w:t>
      </w:r>
      <w:r w:rsidR="00775E67" w:rsidRPr="000C3278">
        <w:t>RD, risk difference; RR, relative risk</w:t>
      </w:r>
    </w:p>
    <w:p w:rsidR="006006C3" w:rsidRPr="006006C3" w:rsidRDefault="00025766" w:rsidP="00025766">
      <w:pPr>
        <w:pStyle w:val="ExecSumBodyText"/>
        <w:rPr>
          <w:i/>
        </w:rPr>
      </w:pPr>
      <w:r>
        <w:t>In Trial CLL-14, larger proportions of patients treated with venetoclax + obinutuzumab reported grade 3 or 4 neutropenia, grade 3 or higher infections</w:t>
      </w:r>
      <w:r w:rsidR="00D423F3">
        <w:t>/infestations</w:t>
      </w:r>
      <w:r>
        <w:t xml:space="preserve"> and second primary malignancies, compared with patients treated with chlorambucil + obinutuzumab. </w:t>
      </w:r>
    </w:p>
    <w:p w:rsidR="00CA4F57" w:rsidRPr="008156E5" w:rsidRDefault="00105CC6" w:rsidP="006006C3">
      <w:pPr>
        <w:pStyle w:val="ExecSumBodyText"/>
      </w:pPr>
      <w:r w:rsidRPr="003124D8">
        <w:rPr>
          <w:szCs w:val="22"/>
          <w:lang w:eastAsia="en-US"/>
        </w:rPr>
        <w:t xml:space="preserve">The ESC noted that although the </w:t>
      </w:r>
      <w:r w:rsidR="003E16EB" w:rsidRPr="003124D8">
        <w:rPr>
          <w:szCs w:val="22"/>
          <w:lang w:eastAsia="en-US"/>
        </w:rPr>
        <w:t>rates</w:t>
      </w:r>
      <w:r w:rsidRPr="003124D8">
        <w:rPr>
          <w:szCs w:val="22"/>
          <w:lang w:eastAsia="en-US"/>
        </w:rPr>
        <w:t xml:space="preserve"> of the </w:t>
      </w:r>
      <w:r w:rsidR="00DE2CAC">
        <w:rPr>
          <w:szCs w:val="22"/>
          <w:lang w:eastAsia="en-US"/>
        </w:rPr>
        <w:t>AEs</w:t>
      </w:r>
      <w:r w:rsidRPr="003124D8">
        <w:rPr>
          <w:szCs w:val="22"/>
          <w:lang w:eastAsia="en-US"/>
        </w:rPr>
        <w:t xml:space="preserve"> were not statistically significantly different, </w:t>
      </w:r>
      <w:r w:rsidR="001210A2" w:rsidRPr="003124D8">
        <w:rPr>
          <w:szCs w:val="22"/>
          <w:lang w:eastAsia="en-US"/>
        </w:rPr>
        <w:t>they were likely to be clinically meaningful. Th</w:t>
      </w:r>
      <w:r w:rsidRPr="003124D8">
        <w:rPr>
          <w:szCs w:val="22"/>
          <w:lang w:eastAsia="en-US"/>
        </w:rPr>
        <w:t>e</w:t>
      </w:r>
      <w:r w:rsidR="00297B6C" w:rsidRPr="003124D8">
        <w:rPr>
          <w:szCs w:val="22"/>
          <w:lang w:eastAsia="en-US"/>
        </w:rPr>
        <w:t xml:space="preserve"> point estimates</w:t>
      </w:r>
      <w:r w:rsidRPr="003124D8">
        <w:rPr>
          <w:szCs w:val="22"/>
          <w:lang w:eastAsia="en-US"/>
        </w:rPr>
        <w:t xml:space="preserve"> were numerically higher for neutropenia, infections/infestations, second primary malignancies and infusion related reactions. The ESC considered that the lack of a statistically significant difference </w:t>
      </w:r>
      <w:r w:rsidR="00A14421">
        <w:rPr>
          <w:szCs w:val="22"/>
          <w:lang w:eastAsia="en-US"/>
        </w:rPr>
        <w:t>may not be</w:t>
      </w:r>
      <w:r w:rsidRPr="003124D8">
        <w:rPr>
          <w:szCs w:val="22"/>
          <w:lang w:eastAsia="en-US"/>
        </w:rPr>
        <w:t xml:space="preserve"> sufficient to establish non-inferiority, particularly in light of the high upper 95% confidence intervals.  </w:t>
      </w:r>
    </w:p>
    <w:p w:rsidR="008156E5" w:rsidRPr="003124D8" w:rsidRDefault="008156E5" w:rsidP="006006C3">
      <w:pPr>
        <w:pStyle w:val="ExecSumBodyText"/>
      </w:pPr>
      <w:r>
        <w:t xml:space="preserve">The pre-PBAC response  noted that, although the incidence of fatal </w:t>
      </w:r>
      <w:r w:rsidR="00DE2CAC">
        <w:t>AEs</w:t>
      </w:r>
      <w:r>
        <w:t xml:space="preserve"> was numerically higher in the venetoclax + obinutuzumab arm of CLL-14, </w:t>
      </w:r>
      <w:r w:rsidRPr="007D5999">
        <w:t xml:space="preserve">the rate of fatal </w:t>
      </w:r>
      <w:r w:rsidR="00DE2CAC">
        <w:t>AEs</w:t>
      </w:r>
      <w:r w:rsidRPr="007D5999">
        <w:t xml:space="preserve"> during the treatment period </w:t>
      </w:r>
      <w:r>
        <w:t xml:space="preserve">(12 months) </w:t>
      </w:r>
      <w:r w:rsidRPr="007D5999">
        <w:t xml:space="preserve">was comparable </w:t>
      </w:r>
      <w:r>
        <w:t xml:space="preserve">between </w:t>
      </w:r>
      <w:r w:rsidRPr="007D5999">
        <w:t>arms</w:t>
      </w:r>
      <w:r>
        <w:t xml:space="preserve"> (2.3% vs 1.9%, respectively)</w:t>
      </w:r>
      <w:r w:rsidRPr="007D5999">
        <w:t xml:space="preserve">, with </w:t>
      </w:r>
      <w:r>
        <w:t xml:space="preserve">a </w:t>
      </w:r>
      <w:r w:rsidRPr="007D5999">
        <w:t>higher rate</w:t>
      </w:r>
      <w:r>
        <w:t xml:space="preserve"> observed</w:t>
      </w:r>
      <w:r w:rsidRPr="007D5999">
        <w:t xml:space="preserve"> post-treatment</w:t>
      </w:r>
      <w:r>
        <w:t xml:space="preserve"> </w:t>
      </w:r>
      <w:r w:rsidR="00DD7D42">
        <w:t>in the venetoclax + obinutuzumab</w:t>
      </w:r>
      <w:r>
        <w:t xml:space="preserve"> arm (5.1% vs. 1.9%)</w:t>
      </w:r>
      <w:r w:rsidRPr="007D5999">
        <w:t>.</w:t>
      </w:r>
      <w:r>
        <w:t xml:space="preserve"> </w:t>
      </w:r>
      <w:r w:rsidRPr="00A20E57">
        <w:rPr>
          <w:color w:val="000000" w:themeColor="text1"/>
        </w:rPr>
        <w:t xml:space="preserve">Of the 11 fatal </w:t>
      </w:r>
      <w:r w:rsidR="00DE2CAC">
        <w:rPr>
          <w:color w:val="000000" w:themeColor="text1"/>
        </w:rPr>
        <w:t>AEs</w:t>
      </w:r>
      <w:r w:rsidRPr="00A20E57">
        <w:rPr>
          <w:color w:val="000000" w:themeColor="text1"/>
        </w:rPr>
        <w:t xml:space="preserve"> occurri</w:t>
      </w:r>
      <w:r w:rsidR="00DD7D42">
        <w:rPr>
          <w:color w:val="000000" w:themeColor="text1"/>
        </w:rPr>
        <w:t>ng post-treatment in the venetoclax + obinutuzumab</w:t>
      </w:r>
      <w:r w:rsidRPr="00A20E57">
        <w:rPr>
          <w:color w:val="000000" w:themeColor="text1"/>
        </w:rPr>
        <w:t xml:space="preserve"> arm, only one was assigned by the Investigator as treatment related.</w:t>
      </w:r>
    </w:p>
    <w:p w:rsidR="007F1017" w:rsidRPr="00C9624D" w:rsidRDefault="007F1017" w:rsidP="00D86231">
      <w:pPr>
        <w:pStyle w:val="3-SubsectionHeading"/>
      </w:pPr>
      <w:bookmarkStart w:id="17" w:name="_Toc22897643"/>
      <w:bookmarkStart w:id="18" w:name="_Toc30502544"/>
      <w:r w:rsidRPr="00C9624D">
        <w:lastRenderedPageBreak/>
        <w:t>Benefits/harms</w:t>
      </w:r>
      <w:bookmarkEnd w:id="17"/>
      <w:bookmarkEnd w:id="18"/>
    </w:p>
    <w:p w:rsidR="00025766" w:rsidRPr="003124D8" w:rsidRDefault="00025766" w:rsidP="00025766">
      <w:pPr>
        <w:pStyle w:val="ExecSumBodyText"/>
        <w:numPr>
          <w:ilvl w:val="1"/>
          <w:numId w:val="1"/>
        </w:numPr>
      </w:pPr>
      <w:r w:rsidRPr="003124D8">
        <w:t>On the basis of direct comparison evidence presented in the submission, for every 100 patients treated for 12 months with venetoclax + obinutuzumab in comparison with chlorambucil + obinutuzumab:</w:t>
      </w:r>
    </w:p>
    <w:p w:rsidR="00025766" w:rsidRPr="003124D8" w:rsidRDefault="00025766" w:rsidP="00A350B2">
      <w:pPr>
        <w:pStyle w:val="Bulletpoints"/>
        <w:ind w:left="1208" w:hanging="357"/>
      </w:pPr>
      <w:r w:rsidRPr="003124D8">
        <w:t xml:space="preserve">Approximately </w:t>
      </w:r>
      <w:r w:rsidR="003E16EB" w:rsidRPr="003124D8">
        <w:t xml:space="preserve">3 additional patients will remain progression free at one year, approximately </w:t>
      </w:r>
      <w:r w:rsidR="00EC518F" w:rsidRPr="003124D8">
        <w:t xml:space="preserve">24 </w:t>
      </w:r>
      <w:r w:rsidRPr="003124D8">
        <w:t>additional patients will remain progression free</w:t>
      </w:r>
      <w:r w:rsidR="00EC518F" w:rsidRPr="003124D8">
        <w:t xml:space="preserve"> at two years</w:t>
      </w:r>
      <w:r w:rsidR="00BF181F" w:rsidRPr="003124D8">
        <w:t xml:space="preserve">, </w:t>
      </w:r>
      <w:r w:rsidR="0075571E" w:rsidRPr="003124D8">
        <w:t>and</w:t>
      </w:r>
      <w:r w:rsidR="0010263F" w:rsidRPr="003124D8">
        <w:t xml:space="preserve"> a</w:t>
      </w:r>
      <w:r w:rsidR="00BF181F" w:rsidRPr="003124D8">
        <w:t>pproximately 32</w:t>
      </w:r>
      <w:r w:rsidR="0010263F" w:rsidRPr="003124D8">
        <w:t xml:space="preserve"> </w:t>
      </w:r>
      <w:r w:rsidR="005843B6" w:rsidRPr="003124D8">
        <w:t xml:space="preserve">additional </w:t>
      </w:r>
      <w:r w:rsidR="0010263F" w:rsidRPr="003124D8">
        <w:t xml:space="preserve">patients </w:t>
      </w:r>
      <w:r w:rsidR="005843B6" w:rsidRPr="003124D8">
        <w:t xml:space="preserve">will remain </w:t>
      </w:r>
      <w:r w:rsidR="0010263F" w:rsidRPr="003124D8">
        <w:t>progression free</w:t>
      </w:r>
      <w:r w:rsidR="00BF181F" w:rsidRPr="003124D8">
        <w:t xml:space="preserve"> at </w:t>
      </w:r>
      <w:r w:rsidR="003713C1" w:rsidRPr="003124D8">
        <w:t>three</w:t>
      </w:r>
      <w:r w:rsidR="00BF181F" w:rsidRPr="003124D8">
        <w:t xml:space="preserve"> years</w:t>
      </w:r>
      <w:r w:rsidRPr="003124D8">
        <w:t>.</w:t>
      </w:r>
    </w:p>
    <w:p w:rsidR="000D5AB5" w:rsidRPr="003124D8" w:rsidRDefault="000D5AB5" w:rsidP="00A350B2">
      <w:pPr>
        <w:pStyle w:val="Bulletpoints"/>
        <w:ind w:left="1208" w:hanging="357"/>
      </w:pPr>
      <w:r w:rsidRPr="003124D8">
        <w:t xml:space="preserve">Approximately </w:t>
      </w:r>
      <w:r w:rsidR="003E16EB" w:rsidRPr="003124D8">
        <w:t xml:space="preserve">1 additional patient will not have initiated the next line of treatment at one year, approximately </w:t>
      </w:r>
      <w:r w:rsidRPr="003124D8">
        <w:t xml:space="preserve">8 additional patients will </w:t>
      </w:r>
      <w:r w:rsidR="00D51800" w:rsidRPr="003124D8">
        <w:t xml:space="preserve">not </w:t>
      </w:r>
      <w:r w:rsidRPr="003124D8">
        <w:t xml:space="preserve">have initiated the next line of treatment at two years and approximately 12 </w:t>
      </w:r>
      <w:r w:rsidR="005843B6" w:rsidRPr="003124D8">
        <w:t xml:space="preserve">additional </w:t>
      </w:r>
      <w:r w:rsidRPr="003124D8">
        <w:t>patients will not have initiated the next line of treatment at three years.</w:t>
      </w:r>
    </w:p>
    <w:p w:rsidR="00025766" w:rsidRPr="003124D8" w:rsidRDefault="00025766" w:rsidP="00A350B2">
      <w:pPr>
        <w:pStyle w:val="Bulletpoints"/>
        <w:ind w:left="1208" w:hanging="357"/>
      </w:pPr>
      <w:r w:rsidRPr="003124D8">
        <w:rPr>
          <w:snapToGrid/>
          <w:lang w:val="en-US"/>
        </w:rPr>
        <w:t xml:space="preserve">Approximately 4 </w:t>
      </w:r>
      <w:r w:rsidR="006A2E45" w:rsidRPr="003124D8">
        <w:rPr>
          <w:snapToGrid/>
          <w:lang w:val="en-US"/>
        </w:rPr>
        <w:t xml:space="preserve">additional </w:t>
      </w:r>
      <w:r w:rsidRPr="003124D8">
        <w:rPr>
          <w:snapToGrid/>
          <w:lang w:val="en-US"/>
        </w:rPr>
        <w:t xml:space="preserve">patients </w:t>
      </w:r>
      <w:r w:rsidR="00D51800" w:rsidRPr="003124D8">
        <w:rPr>
          <w:snapToGrid/>
          <w:lang w:val="en-US"/>
        </w:rPr>
        <w:t>may</w:t>
      </w:r>
      <w:r w:rsidR="005843B6" w:rsidRPr="003124D8">
        <w:rPr>
          <w:snapToGrid/>
          <w:lang w:val="en-US"/>
        </w:rPr>
        <w:t xml:space="preserve"> </w:t>
      </w:r>
      <w:r w:rsidRPr="003124D8">
        <w:rPr>
          <w:snapToGrid/>
          <w:lang w:val="en-US"/>
        </w:rPr>
        <w:t xml:space="preserve">experience an </w:t>
      </w:r>
      <w:r w:rsidR="00DE2CAC">
        <w:rPr>
          <w:snapToGrid/>
          <w:lang w:val="en-US"/>
        </w:rPr>
        <w:t>AE</w:t>
      </w:r>
      <w:r w:rsidRPr="003124D8">
        <w:rPr>
          <w:snapToGrid/>
          <w:lang w:val="en-US"/>
        </w:rPr>
        <w:t xml:space="preserve"> resulting in death</w:t>
      </w:r>
      <w:r w:rsidR="00EC518F" w:rsidRPr="003124D8">
        <w:rPr>
          <w:snapToGrid/>
          <w:lang w:val="en-US"/>
        </w:rPr>
        <w:t xml:space="preserve"> after a median follow-up of 2</w:t>
      </w:r>
      <w:r w:rsidR="000F56E5" w:rsidRPr="003124D8">
        <w:rPr>
          <w:snapToGrid/>
          <w:lang w:val="en-US"/>
        </w:rPr>
        <w:t>9</w:t>
      </w:r>
      <w:r w:rsidR="00EC518F" w:rsidRPr="003124D8">
        <w:rPr>
          <w:snapToGrid/>
          <w:lang w:val="en-US"/>
        </w:rPr>
        <w:t xml:space="preserve"> months</w:t>
      </w:r>
      <w:r w:rsidRPr="003124D8">
        <w:rPr>
          <w:snapToGrid/>
          <w:lang w:val="en-US"/>
        </w:rPr>
        <w:t>.</w:t>
      </w:r>
    </w:p>
    <w:p w:rsidR="00025766" w:rsidRPr="003124D8" w:rsidRDefault="00025766" w:rsidP="00A350B2">
      <w:pPr>
        <w:pStyle w:val="Bulletpoints"/>
        <w:ind w:left="1208" w:hanging="357"/>
      </w:pPr>
      <w:r w:rsidRPr="003124D8">
        <w:rPr>
          <w:snapToGrid/>
          <w:lang w:val="en-US"/>
        </w:rPr>
        <w:t xml:space="preserve">Approximately 4 </w:t>
      </w:r>
      <w:r w:rsidR="006A2E45" w:rsidRPr="003124D8">
        <w:rPr>
          <w:snapToGrid/>
          <w:lang w:val="en-US"/>
        </w:rPr>
        <w:t xml:space="preserve">additional </w:t>
      </w:r>
      <w:r w:rsidRPr="003124D8">
        <w:rPr>
          <w:snapToGrid/>
          <w:lang w:val="en-US"/>
        </w:rPr>
        <w:t xml:space="preserve">patients </w:t>
      </w:r>
      <w:r w:rsidR="001210A2" w:rsidRPr="003124D8">
        <w:rPr>
          <w:snapToGrid/>
          <w:lang w:val="en-US"/>
        </w:rPr>
        <w:t>may</w:t>
      </w:r>
      <w:r w:rsidR="005843B6" w:rsidRPr="003124D8">
        <w:rPr>
          <w:snapToGrid/>
          <w:lang w:val="en-US"/>
        </w:rPr>
        <w:t xml:space="preserve"> </w:t>
      </w:r>
      <w:r w:rsidRPr="003124D8">
        <w:rPr>
          <w:snapToGrid/>
          <w:lang w:val="en-US"/>
        </w:rPr>
        <w:t>experience life threatening or severe neutropenia</w:t>
      </w:r>
      <w:r w:rsidR="00E74B0C" w:rsidRPr="003124D8">
        <w:rPr>
          <w:snapToGrid/>
          <w:lang w:val="en-US"/>
        </w:rPr>
        <w:t xml:space="preserve"> after a median follow-up of 2</w:t>
      </w:r>
      <w:r w:rsidR="000F56E5" w:rsidRPr="003124D8">
        <w:rPr>
          <w:snapToGrid/>
          <w:lang w:val="en-US"/>
        </w:rPr>
        <w:t>9</w:t>
      </w:r>
      <w:r w:rsidR="00E74B0C" w:rsidRPr="003124D8">
        <w:rPr>
          <w:snapToGrid/>
          <w:lang w:val="en-US"/>
        </w:rPr>
        <w:t xml:space="preserve"> months</w:t>
      </w:r>
      <w:r w:rsidRPr="003124D8">
        <w:rPr>
          <w:snapToGrid/>
          <w:lang w:val="en-US"/>
        </w:rPr>
        <w:t>.</w:t>
      </w:r>
    </w:p>
    <w:p w:rsidR="00025766" w:rsidRPr="003124D8" w:rsidRDefault="00025766" w:rsidP="00A350B2">
      <w:pPr>
        <w:pStyle w:val="Bulletpoints"/>
        <w:ind w:left="1208" w:hanging="357"/>
      </w:pPr>
      <w:r w:rsidRPr="003124D8">
        <w:rPr>
          <w:snapToGrid/>
          <w:lang w:val="en-US"/>
        </w:rPr>
        <w:t xml:space="preserve">Approximately 3 </w:t>
      </w:r>
      <w:r w:rsidR="006A2E45" w:rsidRPr="003124D8">
        <w:rPr>
          <w:snapToGrid/>
          <w:lang w:val="en-US"/>
        </w:rPr>
        <w:t xml:space="preserve">additional </w:t>
      </w:r>
      <w:r w:rsidRPr="003124D8">
        <w:rPr>
          <w:snapToGrid/>
          <w:lang w:val="en-US"/>
        </w:rPr>
        <w:t xml:space="preserve">patients </w:t>
      </w:r>
      <w:r w:rsidR="001210A2" w:rsidRPr="003124D8">
        <w:rPr>
          <w:snapToGrid/>
          <w:lang w:val="en-US"/>
        </w:rPr>
        <w:t xml:space="preserve">may </w:t>
      </w:r>
      <w:r w:rsidRPr="003124D8">
        <w:rPr>
          <w:snapToGrid/>
          <w:lang w:val="en-US"/>
        </w:rPr>
        <w:t>experience life threatening or severe infection or infestation</w:t>
      </w:r>
      <w:r w:rsidR="00E74B0C" w:rsidRPr="003124D8">
        <w:rPr>
          <w:snapToGrid/>
          <w:lang w:val="en-US"/>
        </w:rPr>
        <w:t xml:space="preserve"> after a median follow-up of 2</w:t>
      </w:r>
      <w:r w:rsidR="000F56E5" w:rsidRPr="003124D8">
        <w:rPr>
          <w:snapToGrid/>
          <w:lang w:val="en-US"/>
        </w:rPr>
        <w:t>9</w:t>
      </w:r>
      <w:r w:rsidR="00E74B0C" w:rsidRPr="003124D8">
        <w:rPr>
          <w:snapToGrid/>
          <w:lang w:val="en-US"/>
        </w:rPr>
        <w:t xml:space="preserve"> months</w:t>
      </w:r>
      <w:r w:rsidRPr="003124D8">
        <w:rPr>
          <w:snapToGrid/>
          <w:lang w:val="en-US"/>
        </w:rPr>
        <w:t>.</w:t>
      </w:r>
    </w:p>
    <w:p w:rsidR="00796F47" w:rsidRPr="003124D8" w:rsidRDefault="00796F47" w:rsidP="00A350B2">
      <w:pPr>
        <w:pStyle w:val="Bulletpoints"/>
        <w:ind w:left="1208" w:hanging="357"/>
      </w:pPr>
      <w:r w:rsidRPr="003124D8">
        <w:rPr>
          <w:snapToGrid/>
          <w:lang w:val="en-US"/>
        </w:rPr>
        <w:t xml:space="preserve">Approximately </w:t>
      </w:r>
      <w:r w:rsidR="00BF181F" w:rsidRPr="003124D8">
        <w:rPr>
          <w:snapToGrid/>
          <w:lang w:val="en-US"/>
        </w:rPr>
        <w:t>3</w:t>
      </w:r>
      <w:r w:rsidRPr="003124D8">
        <w:rPr>
          <w:snapToGrid/>
          <w:lang w:val="en-US"/>
        </w:rPr>
        <w:t xml:space="preserve"> additional patients </w:t>
      </w:r>
      <w:r w:rsidR="001210A2" w:rsidRPr="003124D8">
        <w:rPr>
          <w:snapToGrid/>
          <w:lang w:val="en-US"/>
        </w:rPr>
        <w:t xml:space="preserve">may </w:t>
      </w:r>
      <w:r w:rsidRPr="003124D8">
        <w:rPr>
          <w:snapToGrid/>
          <w:lang w:val="en-US"/>
        </w:rPr>
        <w:t xml:space="preserve">experience a second primary </w:t>
      </w:r>
      <w:r w:rsidR="00E74B0C" w:rsidRPr="003124D8">
        <w:rPr>
          <w:snapToGrid/>
          <w:lang w:val="en-US"/>
        </w:rPr>
        <w:t>malignancy after a median follow-up of 2</w:t>
      </w:r>
      <w:r w:rsidR="000F56E5" w:rsidRPr="003124D8">
        <w:rPr>
          <w:snapToGrid/>
          <w:lang w:val="en-US"/>
        </w:rPr>
        <w:t>9</w:t>
      </w:r>
      <w:r w:rsidR="00E74B0C" w:rsidRPr="003124D8">
        <w:rPr>
          <w:snapToGrid/>
          <w:lang w:val="en-US"/>
        </w:rPr>
        <w:t xml:space="preserve"> months</w:t>
      </w:r>
      <w:r w:rsidRPr="003124D8">
        <w:rPr>
          <w:snapToGrid/>
          <w:lang w:val="en-US"/>
        </w:rPr>
        <w:t>.</w:t>
      </w:r>
    </w:p>
    <w:p w:rsidR="00B60939" w:rsidRPr="00C9624D" w:rsidRDefault="00B60939" w:rsidP="00E9094A">
      <w:pPr>
        <w:pStyle w:val="3-SubsectionHeading"/>
      </w:pPr>
      <w:bookmarkStart w:id="19" w:name="_Toc22897644"/>
      <w:bookmarkStart w:id="20" w:name="_Toc30502545"/>
      <w:r w:rsidRPr="00C9624D">
        <w:t>Clinical claim</w:t>
      </w:r>
      <w:bookmarkEnd w:id="19"/>
      <w:bookmarkEnd w:id="20"/>
    </w:p>
    <w:p w:rsidR="00094225" w:rsidRPr="003124D8" w:rsidRDefault="00025766" w:rsidP="00025766">
      <w:pPr>
        <w:pStyle w:val="ExecSumBodyText"/>
        <w:numPr>
          <w:ilvl w:val="1"/>
          <w:numId w:val="1"/>
        </w:numPr>
      </w:pPr>
      <w:r w:rsidRPr="003124D8">
        <w:t xml:space="preserve">Based on the direct comparison of venetoclax + obinutuzumab versus chlorambucil + obinutuzumab, in previously untreated CLL patients with coexisting conditions, the submission described venetoclax + obinutuzumab as superior in terms of effectiveness and non-inferior in terms of safety compared to chlorambucil + obinutuzumab. </w:t>
      </w:r>
    </w:p>
    <w:p w:rsidR="00025766" w:rsidRPr="003124D8" w:rsidRDefault="00926A1D" w:rsidP="00025766">
      <w:pPr>
        <w:pStyle w:val="ExecSumBodyText"/>
        <w:numPr>
          <w:ilvl w:val="1"/>
          <w:numId w:val="1"/>
        </w:numPr>
      </w:pPr>
      <w:r w:rsidRPr="003124D8">
        <w:t>The ESC considered t</w:t>
      </w:r>
      <w:r w:rsidR="00025766" w:rsidRPr="003124D8">
        <w:t xml:space="preserve">his claim was supported </w:t>
      </w:r>
      <w:r w:rsidR="00E74B0C" w:rsidRPr="003124D8">
        <w:t xml:space="preserve">in terms of effectiveness </w:t>
      </w:r>
      <w:r w:rsidR="00025766" w:rsidRPr="003124D8">
        <w:t xml:space="preserve">by </w:t>
      </w:r>
      <w:r w:rsidR="00E74B0C" w:rsidRPr="003124D8">
        <w:t xml:space="preserve">statistically significant outcomes in </w:t>
      </w:r>
      <w:r w:rsidR="00DE2CAC">
        <w:t>PFS</w:t>
      </w:r>
      <w:r w:rsidR="00E74B0C" w:rsidRPr="003124D8">
        <w:t xml:space="preserve"> and TTNT</w:t>
      </w:r>
      <w:r w:rsidR="00025766" w:rsidRPr="003124D8">
        <w:t xml:space="preserve">, </w:t>
      </w:r>
      <w:r w:rsidR="00DD76CF" w:rsidRPr="003124D8">
        <w:t xml:space="preserve">in addition to results for complete response and MRD negativity. </w:t>
      </w:r>
      <w:r w:rsidR="00094225" w:rsidRPr="003124D8">
        <w:t xml:space="preserve">However, </w:t>
      </w:r>
      <w:r w:rsidR="00297B6C" w:rsidRPr="003124D8">
        <w:t>t</w:t>
      </w:r>
      <w:r w:rsidR="00025766" w:rsidRPr="003124D8">
        <w:t>he following issues should be considered:</w:t>
      </w:r>
    </w:p>
    <w:p w:rsidR="00094225" w:rsidRPr="003124D8" w:rsidRDefault="00094225" w:rsidP="00094225">
      <w:pPr>
        <w:pStyle w:val="Bulletpoints"/>
        <w:ind w:left="1077" w:hanging="357"/>
      </w:pPr>
      <w:r w:rsidRPr="003124D8">
        <w:t xml:space="preserve">While venetoclax + obinutuzumab demonstrated an improvement in </w:t>
      </w:r>
      <w:r w:rsidR="00DE2CAC">
        <w:t>PFS</w:t>
      </w:r>
      <w:r w:rsidRPr="003124D8">
        <w:t xml:space="preserve"> compared with chlorambucil + obinutuzumab, the clinical importance of this difference was unclear </w:t>
      </w:r>
      <w:r w:rsidR="00E03C5D">
        <w:t xml:space="preserve">given the lack of clinically important </w:t>
      </w:r>
      <w:r w:rsidR="00DE2CAC">
        <w:t>OS</w:t>
      </w:r>
      <w:r w:rsidR="00E03C5D">
        <w:t xml:space="preserve"> data. </w:t>
      </w:r>
      <w:r w:rsidR="00170C2B">
        <w:t>Further, m</w:t>
      </w:r>
      <w:r w:rsidRPr="003124D8">
        <w:t>any patients treated with chlorambucil + obinutuzumab do not appear to require treatment immediately following progression (i.e. progressed but well) and patient reported outcomes did not suggest any substantial decrements to quality of life associated with progression.</w:t>
      </w:r>
      <w:r w:rsidR="00DD7D42">
        <w:t xml:space="preserve"> The pre-PBAC response claimed that </w:t>
      </w:r>
      <w:r w:rsidR="00DE2CAC">
        <w:t>PFS</w:t>
      </w:r>
      <w:r w:rsidR="00DD7D42">
        <w:t xml:space="preserve"> has been shown to be a surrogate for </w:t>
      </w:r>
      <w:r w:rsidR="00DE2CAC">
        <w:t>OS</w:t>
      </w:r>
      <w:r w:rsidR="00DD7D42">
        <w:t xml:space="preserve"> with other </w:t>
      </w:r>
      <w:r w:rsidR="00655F71">
        <w:t>anti-</w:t>
      </w:r>
      <w:r w:rsidR="00DD7D42">
        <w:t xml:space="preserve">CLL agents. </w:t>
      </w:r>
      <w:r w:rsidR="00BB36CC">
        <w:t>The PBA</w:t>
      </w:r>
      <w:r w:rsidR="00E374EA">
        <w:t>C</w:t>
      </w:r>
      <w:r w:rsidR="00BB36CC">
        <w:t xml:space="preserve"> noted this was supported by the clinician during the sponsor hearing.</w:t>
      </w:r>
    </w:p>
    <w:p w:rsidR="00094225" w:rsidRDefault="00094225" w:rsidP="001210A2">
      <w:pPr>
        <w:pStyle w:val="Bulletpoints"/>
        <w:ind w:left="1077" w:hanging="357"/>
      </w:pPr>
      <w:r w:rsidRPr="003124D8">
        <w:t xml:space="preserve">The robustness of reported TTNT results is uncertain given the lack of protocols for initiating subsequent therapy and the potential for bias due to the open label </w:t>
      </w:r>
      <w:r w:rsidRPr="003124D8">
        <w:lastRenderedPageBreak/>
        <w:t xml:space="preserve">nature of the trial. Overall, there appeared to be different post-progression treatment patterns between treatment arms, which could not be easily </w:t>
      </w:r>
      <w:r w:rsidR="005843B6" w:rsidRPr="003124D8">
        <w:t>explained</w:t>
      </w:r>
      <w:r w:rsidRPr="003124D8">
        <w:t>.</w:t>
      </w:r>
    </w:p>
    <w:p w:rsidR="00997CC1" w:rsidRPr="003124D8" w:rsidRDefault="00997CC1" w:rsidP="00997CC1">
      <w:pPr>
        <w:pStyle w:val="ExecSumBodyText"/>
        <w:numPr>
          <w:ilvl w:val="1"/>
          <w:numId w:val="1"/>
        </w:numPr>
      </w:pPr>
      <w:r>
        <w:t>Overall, the PBAC accepted the claim of superior clinical effectiveness.</w:t>
      </w:r>
    </w:p>
    <w:p w:rsidR="00122A5C" w:rsidRPr="003124D8" w:rsidRDefault="00122A5C" w:rsidP="00122A5C">
      <w:pPr>
        <w:pStyle w:val="ExecSumBodyText"/>
        <w:numPr>
          <w:ilvl w:val="1"/>
          <w:numId w:val="1"/>
        </w:numPr>
      </w:pPr>
      <w:r w:rsidRPr="003124D8">
        <w:t xml:space="preserve">The ESC considered that the claim of non-inferior safety was </w:t>
      </w:r>
      <w:r w:rsidR="00E5640A">
        <w:t xml:space="preserve">uncertain </w:t>
      </w:r>
      <w:r w:rsidRPr="003124D8">
        <w:t>as:</w:t>
      </w:r>
    </w:p>
    <w:p w:rsidR="00122A5C" w:rsidRPr="00122A5C" w:rsidRDefault="00122A5C" w:rsidP="00122A5C">
      <w:pPr>
        <w:pStyle w:val="ListParagraph"/>
        <w:numPr>
          <w:ilvl w:val="0"/>
          <w:numId w:val="7"/>
        </w:numPr>
        <w:spacing w:after="120" w:line="240" w:lineRule="auto"/>
        <w:ind w:left="1208" w:hanging="357"/>
        <w:jc w:val="both"/>
        <w:rPr>
          <w:sz w:val="24"/>
        </w:rPr>
      </w:pPr>
      <w:r w:rsidRPr="003124D8">
        <w:rPr>
          <w:sz w:val="24"/>
        </w:rPr>
        <w:t xml:space="preserve">Venetoclax + obinutuzumab was associated with higher point estimates for serious and grade 3/4 </w:t>
      </w:r>
      <w:r w:rsidR="00DE2CAC">
        <w:rPr>
          <w:sz w:val="24"/>
        </w:rPr>
        <w:t>AE</w:t>
      </w:r>
      <w:r w:rsidRPr="003124D8">
        <w:rPr>
          <w:sz w:val="24"/>
        </w:rPr>
        <w:t xml:space="preserve"> rates (primarily neutropenia, infections/infestations and secondary primary malignancies), compared to chlorambucil + obinutuzumab. Venetoclax + obinutuzumab was also associated with a higher point incidence of deaths due to </w:t>
      </w:r>
      <w:r w:rsidR="00DE2CAC">
        <w:rPr>
          <w:sz w:val="24"/>
        </w:rPr>
        <w:t>AEs</w:t>
      </w:r>
      <w:r w:rsidRPr="003124D8">
        <w:rPr>
          <w:sz w:val="24"/>
        </w:rPr>
        <w:t xml:space="preserve"> compared with chlorambucil + obinutuzumab. The </w:t>
      </w:r>
      <w:r w:rsidR="005A4508" w:rsidRPr="003124D8">
        <w:rPr>
          <w:sz w:val="24"/>
        </w:rPr>
        <w:t>PSCR argued</w:t>
      </w:r>
      <w:r w:rsidRPr="003124D8">
        <w:rPr>
          <w:sz w:val="24"/>
        </w:rPr>
        <w:t xml:space="preserve"> that there were no statistically significant differences in the proportion of subjects experiencing key safety events. The ESC considered that the lack of a statistically significant difference was not sufficient to establish non-inferiority, particularly in light of the high upper 95% confidence intervals, and that the differences were likely to be clinically meaningful.</w:t>
      </w:r>
      <w:r w:rsidRPr="00DD76CF">
        <w:rPr>
          <w:i/>
          <w:sz w:val="24"/>
        </w:rPr>
        <w:t xml:space="preserve"> </w:t>
      </w:r>
    </w:p>
    <w:p w:rsidR="00D85725" w:rsidRDefault="009E6E1F" w:rsidP="00025766">
      <w:pPr>
        <w:pStyle w:val="ExecSumBodyText"/>
        <w:numPr>
          <w:ilvl w:val="1"/>
          <w:numId w:val="1"/>
        </w:numPr>
      </w:pPr>
      <w:r>
        <w:t xml:space="preserve">Overall, </w:t>
      </w:r>
      <w:r w:rsidR="00997CC1">
        <w:t xml:space="preserve">the </w:t>
      </w:r>
      <w:r>
        <w:t>PBAC considered it was uncertain whether venetoclax</w:t>
      </w:r>
      <w:r w:rsidR="00A711BA">
        <w:t xml:space="preserve"> </w:t>
      </w:r>
      <w:r>
        <w:t>+</w:t>
      </w:r>
      <w:r w:rsidR="00A711BA">
        <w:t xml:space="preserve"> </w:t>
      </w:r>
      <w:r>
        <w:t>obinutuz</w:t>
      </w:r>
      <w:r w:rsidR="0034656E">
        <w:t>u</w:t>
      </w:r>
      <w:r>
        <w:t>mab was non-inferior to chlorambucil</w:t>
      </w:r>
      <w:r w:rsidR="00A711BA">
        <w:t xml:space="preserve"> </w:t>
      </w:r>
      <w:r>
        <w:t>+</w:t>
      </w:r>
      <w:r w:rsidR="00A711BA">
        <w:t xml:space="preserve"> </w:t>
      </w:r>
      <w:r>
        <w:t xml:space="preserve">obinutuzumab. </w:t>
      </w:r>
      <w:r w:rsidR="00997CC1">
        <w:t xml:space="preserve">The impact of higher </w:t>
      </w:r>
      <w:r w:rsidR="00DE2CAC">
        <w:t>AEs</w:t>
      </w:r>
      <w:r w:rsidR="00997CC1">
        <w:t xml:space="preserve"> could be further explored in the economic evaluation. </w:t>
      </w:r>
    </w:p>
    <w:p w:rsidR="00B60939" w:rsidRPr="00C9624D" w:rsidRDefault="00B60939" w:rsidP="00E9094A">
      <w:pPr>
        <w:pStyle w:val="3-SubsectionHeading"/>
      </w:pPr>
      <w:bookmarkStart w:id="21" w:name="_Toc22897645"/>
      <w:bookmarkStart w:id="22" w:name="_Toc30502546"/>
      <w:r w:rsidRPr="00C9624D">
        <w:t>Economic analysis</w:t>
      </w:r>
      <w:bookmarkEnd w:id="21"/>
      <w:bookmarkEnd w:id="22"/>
      <w:r w:rsidR="00491B3A" w:rsidRPr="00C9624D">
        <w:t xml:space="preserve"> </w:t>
      </w:r>
    </w:p>
    <w:p w:rsidR="006C16A0" w:rsidRPr="00A6393E" w:rsidRDefault="006C16A0" w:rsidP="006C16A0">
      <w:pPr>
        <w:pStyle w:val="ExecSumBodyText"/>
        <w:numPr>
          <w:ilvl w:val="1"/>
          <w:numId w:val="1"/>
        </w:numPr>
      </w:pPr>
      <w:r w:rsidRPr="00A6393E">
        <w:t>The submission presented a cost-effectiveness analysis comparing venetoclax + obinutuzumab with chlorambucil + obinutuzumab</w:t>
      </w:r>
      <w:r w:rsidR="00BE44D4">
        <w:t>.</w:t>
      </w:r>
      <w:r w:rsidR="00C10980">
        <w:t xml:space="preserve"> </w:t>
      </w:r>
    </w:p>
    <w:p w:rsidR="006C16A0" w:rsidRPr="00AC7ED5" w:rsidRDefault="006C16A0" w:rsidP="00AC7ED5">
      <w:pPr>
        <w:pStyle w:val="ExecSumBodyText"/>
        <w:numPr>
          <w:ilvl w:val="1"/>
          <w:numId w:val="1"/>
        </w:numPr>
      </w:pPr>
      <w:r w:rsidRPr="006656E8">
        <w:t>The submission presented a stepped economic evaluation of venetoclax + obinutuzumab compared to chlorambucil + obinutuzumab as first-line treatment for CLL patients with coexisting conditions who ar</w:t>
      </w:r>
      <w:r w:rsidR="00A527DC" w:rsidRPr="006656E8">
        <w:t xml:space="preserve">e inappropriate for fludarabine </w:t>
      </w:r>
      <w:r w:rsidRPr="006656E8">
        <w:t xml:space="preserve">based chemo-immunotherapy, based on extrapolated </w:t>
      </w:r>
      <w:r w:rsidR="0021500D" w:rsidRPr="006656E8">
        <w:t xml:space="preserve">differences in </w:t>
      </w:r>
      <w:r w:rsidR="00DE2CAC">
        <w:t>PFS</w:t>
      </w:r>
      <w:r w:rsidR="0021500D">
        <w:t xml:space="preserve"> and</w:t>
      </w:r>
      <w:r w:rsidR="00537079">
        <w:t xml:space="preserve"> TTNT</w:t>
      </w:r>
      <w:r w:rsidR="0021500D">
        <w:t xml:space="preserve"> </w:t>
      </w:r>
      <w:r w:rsidRPr="00A538DF">
        <w:t>curves from the CLL-14 trial and other modelled variables. The economic evaluation was presented as a cost-effec</w:t>
      </w:r>
      <w:r w:rsidR="00AC7ED5">
        <w:t>tiveness/cost-utility analysis.</w:t>
      </w:r>
    </w:p>
    <w:p w:rsidR="006C16A0" w:rsidRPr="00641FB3" w:rsidRDefault="006C16A0" w:rsidP="00AC7ED5">
      <w:pPr>
        <w:pStyle w:val="TableFigureCaption"/>
        <w:keepNext w:val="0"/>
      </w:pPr>
      <w:r w:rsidRPr="00641FB3">
        <w:t xml:space="preserve">Table </w:t>
      </w:r>
      <w:r w:rsidR="005C720C">
        <w:t>9</w:t>
      </w:r>
      <w:r w:rsidRPr="00641FB3">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14"/>
        <w:gridCol w:w="7603"/>
      </w:tblGrid>
      <w:tr w:rsidR="006C16A0" w:rsidRPr="003D1DE4" w:rsidTr="006C16A0">
        <w:trPr>
          <w:tblHeader/>
        </w:trPr>
        <w:tc>
          <w:tcPr>
            <w:tcW w:w="784" w:type="pct"/>
            <w:shd w:val="clear" w:color="auto" w:fill="auto"/>
            <w:vAlign w:val="center"/>
          </w:tcPr>
          <w:p w:rsidR="006C16A0" w:rsidRPr="00641FB3" w:rsidRDefault="006C16A0" w:rsidP="00AC7ED5">
            <w:pPr>
              <w:pStyle w:val="Tableheadingrow"/>
              <w:keepNext w:val="0"/>
            </w:pPr>
            <w:r w:rsidRPr="00641FB3">
              <w:t>Component</w:t>
            </w:r>
          </w:p>
        </w:tc>
        <w:tc>
          <w:tcPr>
            <w:tcW w:w="4216" w:type="pct"/>
            <w:shd w:val="clear" w:color="auto" w:fill="auto"/>
            <w:vAlign w:val="center"/>
          </w:tcPr>
          <w:p w:rsidR="006C16A0" w:rsidRPr="00641FB3" w:rsidRDefault="006C16A0" w:rsidP="00AC7ED5">
            <w:pPr>
              <w:pStyle w:val="Tableheadingrow"/>
              <w:keepNext w:val="0"/>
            </w:pPr>
            <w:r w:rsidRPr="00641FB3">
              <w:t>Summary</w:t>
            </w:r>
          </w:p>
        </w:tc>
      </w:tr>
      <w:tr w:rsidR="006C16A0" w:rsidRPr="00E2771E" w:rsidTr="006C16A0">
        <w:tc>
          <w:tcPr>
            <w:tcW w:w="784" w:type="pct"/>
            <w:shd w:val="clear" w:color="auto" w:fill="auto"/>
            <w:vAlign w:val="center"/>
          </w:tcPr>
          <w:p w:rsidR="006C16A0" w:rsidRPr="003124D8" w:rsidRDefault="006C16A0" w:rsidP="00AC7ED5">
            <w:pPr>
              <w:pStyle w:val="TableText"/>
              <w:keepNext w:val="0"/>
            </w:pPr>
            <w:r w:rsidRPr="003124D8">
              <w:t>Treatments</w:t>
            </w:r>
          </w:p>
        </w:tc>
        <w:tc>
          <w:tcPr>
            <w:tcW w:w="4216" w:type="pct"/>
            <w:shd w:val="clear" w:color="auto" w:fill="auto"/>
            <w:vAlign w:val="center"/>
          </w:tcPr>
          <w:p w:rsidR="006C16A0" w:rsidRPr="003124D8" w:rsidRDefault="006C16A0" w:rsidP="00AC7ED5">
            <w:pPr>
              <w:pStyle w:val="TableText"/>
              <w:keepNext w:val="0"/>
            </w:pPr>
            <w:r w:rsidRPr="003124D8">
              <w:t>venetoclax + obinutuzumab, chlorambucil + obinutuzumab</w:t>
            </w:r>
          </w:p>
        </w:tc>
      </w:tr>
      <w:tr w:rsidR="007C1284" w:rsidRPr="00E2771E" w:rsidTr="006C16A0">
        <w:tc>
          <w:tcPr>
            <w:tcW w:w="784" w:type="pct"/>
            <w:shd w:val="clear" w:color="auto" w:fill="auto"/>
            <w:vAlign w:val="center"/>
          </w:tcPr>
          <w:p w:rsidR="007C1284" w:rsidRPr="003124D8" w:rsidRDefault="007C1284" w:rsidP="007C1284">
            <w:pPr>
              <w:pStyle w:val="TableText"/>
              <w:keepNext w:val="0"/>
            </w:pPr>
            <w:r w:rsidRPr="003124D8">
              <w:t>Time horizon</w:t>
            </w:r>
          </w:p>
        </w:tc>
        <w:tc>
          <w:tcPr>
            <w:tcW w:w="4216" w:type="pct"/>
            <w:shd w:val="clear" w:color="auto" w:fill="auto"/>
            <w:vAlign w:val="center"/>
          </w:tcPr>
          <w:p w:rsidR="007C1284" w:rsidRPr="003124D8" w:rsidRDefault="007C1284" w:rsidP="000F56E5">
            <w:pPr>
              <w:pStyle w:val="TableText"/>
              <w:keepNext w:val="0"/>
            </w:pPr>
            <w:r w:rsidRPr="003124D8">
              <w:t>10 years in the model base case versus mean duration of follow-up of 2</w:t>
            </w:r>
            <w:r w:rsidR="000F56E5" w:rsidRPr="003124D8">
              <w:t>9.06</w:t>
            </w:r>
            <w:r w:rsidRPr="003124D8">
              <w:t xml:space="preserve"> months in the trial </w:t>
            </w:r>
          </w:p>
        </w:tc>
      </w:tr>
      <w:tr w:rsidR="006C16A0" w:rsidRPr="00E2771E" w:rsidTr="006C16A0">
        <w:tc>
          <w:tcPr>
            <w:tcW w:w="784" w:type="pct"/>
            <w:shd w:val="clear" w:color="auto" w:fill="auto"/>
            <w:vAlign w:val="center"/>
          </w:tcPr>
          <w:p w:rsidR="006C16A0" w:rsidRPr="003124D8" w:rsidRDefault="006C16A0" w:rsidP="00AC7ED5">
            <w:pPr>
              <w:pStyle w:val="TableText"/>
              <w:keepNext w:val="0"/>
            </w:pPr>
            <w:r w:rsidRPr="003124D8">
              <w:t>Outcomes</w:t>
            </w:r>
          </w:p>
        </w:tc>
        <w:tc>
          <w:tcPr>
            <w:tcW w:w="4216" w:type="pct"/>
            <w:shd w:val="clear" w:color="auto" w:fill="auto"/>
            <w:vAlign w:val="center"/>
          </w:tcPr>
          <w:p w:rsidR="006C16A0" w:rsidRPr="003124D8" w:rsidRDefault="006C16A0" w:rsidP="00AC7ED5">
            <w:pPr>
              <w:pStyle w:val="TableText"/>
              <w:keepNext w:val="0"/>
            </w:pPr>
            <w:r w:rsidRPr="003124D8">
              <w:t>Progress</w:t>
            </w:r>
            <w:r w:rsidR="00C04CB0" w:rsidRPr="003124D8">
              <w:t xml:space="preserve">ion </w:t>
            </w:r>
            <w:r w:rsidRPr="003124D8">
              <w:t>free life years; life years free from relapsed/refractory disease; quality adjusted life years</w:t>
            </w:r>
          </w:p>
        </w:tc>
      </w:tr>
      <w:tr w:rsidR="006C16A0" w:rsidRPr="00E2771E" w:rsidTr="006C16A0">
        <w:tc>
          <w:tcPr>
            <w:tcW w:w="784" w:type="pct"/>
            <w:shd w:val="clear" w:color="auto" w:fill="auto"/>
            <w:vAlign w:val="center"/>
          </w:tcPr>
          <w:p w:rsidR="006C16A0" w:rsidRPr="003124D8" w:rsidRDefault="006C16A0" w:rsidP="00AC7ED5">
            <w:pPr>
              <w:pStyle w:val="TableText"/>
              <w:keepNext w:val="0"/>
            </w:pPr>
            <w:r w:rsidRPr="003124D8">
              <w:t>Methods used to generate results</w:t>
            </w:r>
          </w:p>
        </w:tc>
        <w:tc>
          <w:tcPr>
            <w:tcW w:w="4216" w:type="pct"/>
            <w:shd w:val="clear" w:color="auto" w:fill="auto"/>
            <w:vAlign w:val="center"/>
          </w:tcPr>
          <w:p w:rsidR="006C16A0" w:rsidRPr="003124D8" w:rsidRDefault="006C16A0" w:rsidP="00AC7ED5">
            <w:pPr>
              <w:pStyle w:val="TableText"/>
              <w:keepNext w:val="0"/>
            </w:pPr>
            <w:r w:rsidRPr="003124D8">
              <w:t>Partitioned survival analysis</w:t>
            </w:r>
          </w:p>
        </w:tc>
      </w:tr>
      <w:tr w:rsidR="006C16A0" w:rsidRPr="00E2771E" w:rsidTr="006C16A0">
        <w:tc>
          <w:tcPr>
            <w:tcW w:w="784" w:type="pct"/>
            <w:shd w:val="clear" w:color="auto" w:fill="auto"/>
            <w:vAlign w:val="center"/>
          </w:tcPr>
          <w:p w:rsidR="006C16A0" w:rsidRPr="003124D8" w:rsidRDefault="006C16A0" w:rsidP="00AC7ED5">
            <w:pPr>
              <w:pStyle w:val="TableText"/>
              <w:keepNext w:val="0"/>
            </w:pPr>
            <w:r w:rsidRPr="003124D8">
              <w:t>Health states</w:t>
            </w:r>
          </w:p>
        </w:tc>
        <w:tc>
          <w:tcPr>
            <w:tcW w:w="4216" w:type="pct"/>
            <w:shd w:val="clear" w:color="auto" w:fill="auto"/>
            <w:vAlign w:val="center"/>
          </w:tcPr>
          <w:p w:rsidR="006C16A0" w:rsidRPr="003124D8" w:rsidRDefault="00C04CB0" w:rsidP="00AC7ED5">
            <w:pPr>
              <w:pStyle w:val="TableText"/>
              <w:keepNext w:val="0"/>
            </w:pPr>
            <w:r w:rsidRPr="003124D8">
              <w:t xml:space="preserve">First-line progression </w:t>
            </w:r>
            <w:r w:rsidR="006C16A0" w:rsidRPr="003124D8">
              <w:t>free, first-line progressed disease, relapsed/refractory disease, dead</w:t>
            </w:r>
          </w:p>
        </w:tc>
      </w:tr>
      <w:tr w:rsidR="006C16A0" w:rsidRPr="00E2771E" w:rsidTr="006C16A0">
        <w:tc>
          <w:tcPr>
            <w:tcW w:w="784" w:type="pct"/>
            <w:shd w:val="clear" w:color="auto" w:fill="auto"/>
            <w:vAlign w:val="center"/>
          </w:tcPr>
          <w:p w:rsidR="006C16A0" w:rsidRPr="003124D8" w:rsidRDefault="006C16A0" w:rsidP="00AC7ED5">
            <w:pPr>
              <w:pStyle w:val="TableText"/>
              <w:keepNext w:val="0"/>
            </w:pPr>
            <w:r w:rsidRPr="003124D8">
              <w:t>Cycle length</w:t>
            </w:r>
          </w:p>
        </w:tc>
        <w:tc>
          <w:tcPr>
            <w:tcW w:w="4216" w:type="pct"/>
            <w:shd w:val="clear" w:color="auto" w:fill="auto"/>
            <w:vAlign w:val="center"/>
          </w:tcPr>
          <w:p w:rsidR="006C16A0" w:rsidRPr="003124D8" w:rsidRDefault="006C16A0" w:rsidP="00AC7ED5">
            <w:pPr>
              <w:pStyle w:val="TableText"/>
              <w:keepNext w:val="0"/>
            </w:pPr>
            <w:r w:rsidRPr="003124D8">
              <w:t>1 month</w:t>
            </w:r>
          </w:p>
        </w:tc>
      </w:tr>
      <w:tr w:rsidR="006C16A0" w:rsidRPr="00E2771E" w:rsidTr="006C16A0">
        <w:tc>
          <w:tcPr>
            <w:tcW w:w="784" w:type="pct"/>
            <w:shd w:val="clear" w:color="auto" w:fill="auto"/>
            <w:vAlign w:val="center"/>
          </w:tcPr>
          <w:p w:rsidR="006C16A0" w:rsidRPr="003124D8" w:rsidRDefault="006C16A0" w:rsidP="00AC7ED5">
            <w:pPr>
              <w:pStyle w:val="TableText"/>
              <w:keepNext w:val="0"/>
            </w:pPr>
            <w:r w:rsidRPr="003124D8">
              <w:t xml:space="preserve">Transition probabilities </w:t>
            </w:r>
          </w:p>
        </w:tc>
        <w:tc>
          <w:tcPr>
            <w:tcW w:w="4216" w:type="pct"/>
            <w:shd w:val="clear" w:color="auto" w:fill="auto"/>
            <w:vAlign w:val="center"/>
          </w:tcPr>
          <w:p w:rsidR="006C16A0" w:rsidRPr="003124D8" w:rsidRDefault="006C16A0" w:rsidP="00DE2CAC">
            <w:pPr>
              <w:pStyle w:val="TableText"/>
              <w:keepNext w:val="0"/>
            </w:pPr>
            <w:r w:rsidRPr="003124D8">
              <w:t xml:space="preserve">Extrapolated </w:t>
            </w:r>
            <w:r w:rsidR="00DE2CAC">
              <w:t>OS</w:t>
            </w:r>
            <w:r w:rsidRPr="003124D8">
              <w:t xml:space="preserve">, </w:t>
            </w:r>
            <w:r w:rsidR="00DE2CAC">
              <w:t xml:space="preserve">PFS </w:t>
            </w:r>
            <w:r w:rsidR="00AC7ED5" w:rsidRPr="003124D8">
              <w:t xml:space="preserve">and </w:t>
            </w:r>
            <w:r w:rsidR="00DE2CAC">
              <w:t>TTNT</w:t>
            </w:r>
            <w:r w:rsidRPr="003124D8">
              <w:t xml:space="preserve"> (includes death events) </w:t>
            </w:r>
            <w:r w:rsidR="00AC7ED5" w:rsidRPr="003124D8">
              <w:t xml:space="preserve">survival </w:t>
            </w:r>
            <w:r w:rsidRPr="003124D8">
              <w:t>curves based on data from the CLL-14 trial</w:t>
            </w:r>
          </w:p>
        </w:tc>
      </w:tr>
      <w:tr w:rsidR="006C16A0" w:rsidRPr="00E2771E" w:rsidTr="006C16A0">
        <w:tc>
          <w:tcPr>
            <w:tcW w:w="784" w:type="pct"/>
            <w:shd w:val="clear" w:color="auto" w:fill="auto"/>
            <w:vAlign w:val="center"/>
          </w:tcPr>
          <w:p w:rsidR="006C16A0" w:rsidRPr="003124D8" w:rsidRDefault="006C16A0" w:rsidP="00AC7ED5">
            <w:pPr>
              <w:pStyle w:val="TableText"/>
              <w:keepNext w:val="0"/>
            </w:pPr>
            <w:r w:rsidRPr="003124D8">
              <w:t>Extrapolation method</w:t>
            </w:r>
            <w:r w:rsidR="00243482" w:rsidRPr="003124D8">
              <w:rPr>
                <w:vertAlign w:val="superscript"/>
              </w:rPr>
              <w:t>a</w:t>
            </w:r>
          </w:p>
        </w:tc>
        <w:tc>
          <w:tcPr>
            <w:tcW w:w="4216" w:type="pct"/>
            <w:shd w:val="clear" w:color="auto" w:fill="auto"/>
            <w:vAlign w:val="center"/>
          </w:tcPr>
          <w:p w:rsidR="006C16A0" w:rsidRPr="003124D8" w:rsidRDefault="006C16A0" w:rsidP="00AC7ED5">
            <w:pPr>
              <w:pStyle w:val="TableText"/>
              <w:keepNext w:val="0"/>
            </w:pPr>
            <w:r w:rsidRPr="003124D8">
              <w:t>O</w:t>
            </w:r>
            <w:r w:rsidR="00DE2CAC">
              <w:t>S</w:t>
            </w:r>
            <w:r w:rsidRPr="003124D8">
              <w:t xml:space="preserve"> was assumed to be the same between treatment arms. Modelled </w:t>
            </w:r>
            <w:r w:rsidR="00DE2CAC">
              <w:t>OS</w:t>
            </w:r>
            <w:r w:rsidRPr="003124D8">
              <w:t xml:space="preserve"> was based on the chlorambucil + obinutuzumab </w:t>
            </w:r>
            <w:r w:rsidR="00AC7ED5" w:rsidRPr="003124D8">
              <w:t xml:space="preserve">arm, </w:t>
            </w:r>
            <w:r w:rsidRPr="003124D8">
              <w:t xml:space="preserve">extrapolated using an exponential function with adjustments to ensure that </w:t>
            </w:r>
            <w:r w:rsidR="00DE2CAC">
              <w:t>OS</w:t>
            </w:r>
            <w:r w:rsidRPr="003124D8">
              <w:t xml:space="preserve"> did not exceed general population survival</w:t>
            </w:r>
            <w:r w:rsidR="00C04CB0" w:rsidRPr="003124D8">
              <w:t>.</w:t>
            </w:r>
          </w:p>
          <w:p w:rsidR="006C16A0" w:rsidRPr="003124D8" w:rsidRDefault="006C16A0" w:rsidP="00AC7ED5">
            <w:pPr>
              <w:pStyle w:val="TableText"/>
              <w:keepNext w:val="0"/>
            </w:pPr>
          </w:p>
          <w:p w:rsidR="006C16A0" w:rsidRPr="003124D8" w:rsidRDefault="006C16A0" w:rsidP="00AC7ED5">
            <w:pPr>
              <w:pStyle w:val="TableText"/>
              <w:keepNext w:val="0"/>
            </w:pPr>
            <w:r w:rsidRPr="003124D8">
              <w:t>P</w:t>
            </w:r>
            <w:r w:rsidR="00DE2CAC">
              <w:t>FS</w:t>
            </w:r>
            <w:r w:rsidRPr="003124D8">
              <w:t xml:space="preserve"> was independently extrapolated for each treatment arm using exponential functions. A two-phase extrapolation was used for the chlorambucil + obinutuzumab arm to account for differences in </w:t>
            </w:r>
            <w:r w:rsidR="00DE2CAC">
              <w:t>PFS</w:t>
            </w:r>
            <w:r w:rsidRPr="003124D8">
              <w:t xml:space="preserve"> while </w:t>
            </w:r>
            <w:r w:rsidRPr="003124D8">
              <w:lastRenderedPageBreak/>
              <w:t>on and off treatment. The same hazards were assumed for both treatment arms based on chlorambucil + obinutuzumab after 5 years (risk convergence)</w:t>
            </w:r>
            <w:r w:rsidR="00C04CB0" w:rsidRPr="003124D8">
              <w:t>.</w:t>
            </w:r>
            <w:r w:rsidRPr="003124D8">
              <w:t xml:space="preserve"> </w:t>
            </w:r>
          </w:p>
          <w:p w:rsidR="006C16A0" w:rsidRPr="003124D8" w:rsidRDefault="006C16A0" w:rsidP="00AC7ED5">
            <w:pPr>
              <w:pStyle w:val="TableText"/>
              <w:keepNext w:val="0"/>
            </w:pPr>
          </w:p>
          <w:p w:rsidR="006C16A0" w:rsidRPr="003124D8" w:rsidRDefault="00DE2CAC" w:rsidP="00AC7ED5">
            <w:pPr>
              <w:pStyle w:val="TableText"/>
              <w:keepNext w:val="0"/>
            </w:pPr>
            <w:r>
              <w:t>TTNT</w:t>
            </w:r>
            <w:r w:rsidR="006C16A0" w:rsidRPr="003124D8">
              <w:t xml:space="preserve"> survival was independently extrapolated for each treatment arm using exponential functions. A two-phase extrapolation was used for the chlorambucil + obinutuzumab arm to account for differences in </w:t>
            </w:r>
            <w:r>
              <w:t>TTNT</w:t>
            </w:r>
            <w:r w:rsidR="006C16A0" w:rsidRPr="003124D8">
              <w:t xml:space="preserve"> survival while on and off treatment. The same hazards were assumed for both treatment arms based on chlorambucil + obinutuzumab a</w:t>
            </w:r>
            <w:r w:rsidR="00C04CB0" w:rsidRPr="003124D8">
              <w:t>fter 5 years (risk convergence).</w:t>
            </w:r>
            <w:r w:rsidR="00846929" w:rsidRPr="003124D8">
              <w:t xml:space="preserve"> The ESC</w:t>
            </w:r>
            <w:r w:rsidR="00B77FE7" w:rsidRPr="003124D8">
              <w:t>, noting that TTNT was associated with a utility decrement and cost in the model,</w:t>
            </w:r>
            <w:r w:rsidR="00846929" w:rsidRPr="003124D8">
              <w:t xml:space="preserve"> had concerns with the reliability of this measure, given th</w:t>
            </w:r>
            <w:r w:rsidR="00D349C0" w:rsidRPr="003124D8">
              <w:t xml:space="preserve">at the differences between the treatment arms </w:t>
            </w:r>
            <w:r w:rsidR="00AE5E9C" w:rsidRPr="003124D8">
              <w:t xml:space="preserve">in time from disease progression to initiation of new anti-CLL treatments </w:t>
            </w:r>
            <w:r w:rsidR="00D349C0" w:rsidRPr="003124D8">
              <w:t>could not be explained</w:t>
            </w:r>
            <w:r w:rsidR="00B77FE7" w:rsidRPr="003124D8">
              <w:t>.</w:t>
            </w:r>
            <w:r w:rsidR="00846929" w:rsidRPr="003124D8">
              <w:t xml:space="preserve"> </w:t>
            </w:r>
          </w:p>
          <w:p w:rsidR="009A6072" w:rsidRPr="003124D8" w:rsidRDefault="009A6072" w:rsidP="00583B86">
            <w:pPr>
              <w:pStyle w:val="TableText"/>
              <w:keepNext w:val="0"/>
            </w:pPr>
          </w:p>
          <w:p w:rsidR="006C16A0" w:rsidRPr="003124D8" w:rsidRDefault="00583B86" w:rsidP="00190027">
            <w:pPr>
              <w:pStyle w:val="TableText"/>
              <w:keepNext w:val="0"/>
            </w:pPr>
            <w:r w:rsidRPr="003124D8">
              <w:t xml:space="preserve">The ESC noted that </w:t>
            </w:r>
            <w:r w:rsidR="006C16A0" w:rsidRPr="003124D8">
              <w:t xml:space="preserve">89% of incremental progression-free life years, </w:t>
            </w:r>
            <w:r w:rsidR="007C1284" w:rsidRPr="003124D8">
              <w:t xml:space="preserve">93% of incremental life years free of relapsed/refractory disease, </w:t>
            </w:r>
            <w:r w:rsidR="006C16A0" w:rsidRPr="003124D8">
              <w:t>91% of incremental QALYs and -251% of incr</w:t>
            </w:r>
            <w:r w:rsidR="00691B02" w:rsidRPr="003124D8">
              <w:t>emental costs are accrued in</w:t>
            </w:r>
            <w:r w:rsidR="00190027" w:rsidRPr="003124D8">
              <w:t xml:space="preserve"> </w:t>
            </w:r>
            <w:r w:rsidR="00EB153E" w:rsidRPr="003124D8">
              <w:t>the extrapolated period.</w:t>
            </w:r>
          </w:p>
        </w:tc>
      </w:tr>
      <w:tr w:rsidR="007C1284" w:rsidRPr="00E2771E" w:rsidTr="006C16A0">
        <w:tc>
          <w:tcPr>
            <w:tcW w:w="784" w:type="pct"/>
            <w:shd w:val="clear" w:color="auto" w:fill="auto"/>
            <w:vAlign w:val="center"/>
          </w:tcPr>
          <w:p w:rsidR="007C1284" w:rsidRPr="003124D8" w:rsidRDefault="007C1284" w:rsidP="007C1284">
            <w:pPr>
              <w:pStyle w:val="TableText"/>
              <w:keepNext w:val="0"/>
            </w:pPr>
            <w:r w:rsidRPr="003124D8">
              <w:lastRenderedPageBreak/>
              <w:t>Health related quality of life</w:t>
            </w:r>
          </w:p>
        </w:tc>
        <w:tc>
          <w:tcPr>
            <w:tcW w:w="4216" w:type="pct"/>
            <w:shd w:val="clear" w:color="auto" w:fill="auto"/>
            <w:vAlign w:val="center"/>
          </w:tcPr>
          <w:p w:rsidR="007C1284" w:rsidRPr="003124D8" w:rsidRDefault="00583B86" w:rsidP="001C2234">
            <w:pPr>
              <w:pStyle w:val="TableText"/>
              <w:keepNext w:val="0"/>
            </w:pPr>
            <w:r w:rsidRPr="003124D8">
              <w:t>Despite trial data being available, u</w:t>
            </w:r>
            <w:r w:rsidR="007C1284" w:rsidRPr="003124D8">
              <w:t xml:space="preserve">tility values were derived from published sources (Kosmas 2015) with additional assumptions. </w:t>
            </w:r>
            <w:r w:rsidRPr="003124D8">
              <w:t xml:space="preserve">The ESC considered that </w:t>
            </w:r>
            <w:r w:rsidR="00AE5E9C" w:rsidRPr="003124D8">
              <w:t xml:space="preserve">applying </w:t>
            </w:r>
            <w:r w:rsidRPr="003124D8">
              <w:t xml:space="preserve">Kosmas 2015 </w:t>
            </w:r>
            <w:r w:rsidR="00AE5E9C" w:rsidRPr="003124D8">
              <w:t xml:space="preserve">utility weights </w:t>
            </w:r>
            <w:r w:rsidRPr="003124D8">
              <w:t xml:space="preserve">overestimated the utility decrements versus the CLL-14 trial </w:t>
            </w:r>
            <w:r w:rsidR="00EB153E" w:rsidRPr="003124D8">
              <w:t>for patients on treatment (IV and oral)</w:t>
            </w:r>
            <w:r w:rsidRPr="003124D8">
              <w:t xml:space="preserve">. </w:t>
            </w:r>
          </w:p>
        </w:tc>
      </w:tr>
      <w:tr w:rsidR="006C16A0" w:rsidRPr="00E2771E" w:rsidTr="006C16A0">
        <w:tc>
          <w:tcPr>
            <w:tcW w:w="784" w:type="pct"/>
            <w:shd w:val="clear" w:color="auto" w:fill="auto"/>
            <w:vAlign w:val="center"/>
          </w:tcPr>
          <w:p w:rsidR="006C16A0" w:rsidRPr="003124D8" w:rsidRDefault="006C16A0" w:rsidP="00AC7ED5">
            <w:pPr>
              <w:pStyle w:val="TableText"/>
              <w:keepNext w:val="0"/>
            </w:pPr>
            <w:r w:rsidRPr="003124D8">
              <w:t>Health resource use and costs</w:t>
            </w:r>
          </w:p>
        </w:tc>
        <w:tc>
          <w:tcPr>
            <w:tcW w:w="4216" w:type="pct"/>
            <w:shd w:val="clear" w:color="auto" w:fill="auto"/>
            <w:vAlign w:val="center"/>
          </w:tcPr>
          <w:p w:rsidR="006C16A0" w:rsidRPr="003124D8" w:rsidRDefault="006C16A0" w:rsidP="00AC7ED5">
            <w:pPr>
              <w:pStyle w:val="TableText"/>
              <w:keepNext w:val="0"/>
            </w:pPr>
            <w:r w:rsidRPr="003124D8">
              <w:t xml:space="preserve">First line drug and administration costs </w:t>
            </w:r>
            <w:r w:rsidR="00816EBF" w:rsidRPr="003124D8">
              <w:t xml:space="preserve">were </w:t>
            </w:r>
            <w:r w:rsidRPr="003124D8">
              <w:t>based on drug exposure reported in the CLL-14 trial with costings based on PBS prices</w:t>
            </w:r>
            <w:r w:rsidRPr="003124D8">
              <w:rPr>
                <w:vertAlign w:val="superscript"/>
              </w:rPr>
              <w:t>a</w:t>
            </w:r>
            <w:r w:rsidRPr="003124D8">
              <w:t xml:space="preserve"> (venetoclax + obinutuzumab: $</w:t>
            </w:r>
            <w:r w:rsidR="00DD40E7">
              <w:rPr>
                <w:noProof/>
                <w:color w:val="000000"/>
                <w:highlight w:val="black"/>
              </w:rPr>
              <w:t>''''''''''''''''''</w:t>
            </w:r>
            <w:r w:rsidRPr="003124D8">
              <w:t>, chlorambucil + obinutuzumab</w:t>
            </w:r>
            <w:r w:rsidR="00C04CB0" w:rsidRPr="003124D8">
              <w:t>: $41,996).</w:t>
            </w:r>
          </w:p>
          <w:p w:rsidR="006C16A0" w:rsidRPr="003124D8" w:rsidRDefault="006C16A0" w:rsidP="00AC7ED5">
            <w:pPr>
              <w:pStyle w:val="TableText"/>
              <w:keepNext w:val="0"/>
            </w:pPr>
          </w:p>
          <w:p w:rsidR="006C16A0" w:rsidRPr="003124D8" w:rsidRDefault="006C16A0" w:rsidP="00AC7ED5">
            <w:pPr>
              <w:pStyle w:val="TableText"/>
              <w:keepNext w:val="0"/>
            </w:pPr>
            <w:r w:rsidRPr="003124D8">
              <w:t>Relapse</w:t>
            </w:r>
            <w:r w:rsidR="00816EBF" w:rsidRPr="003124D8">
              <w:t>d/</w:t>
            </w:r>
            <w:r w:rsidRPr="003124D8">
              <w:t xml:space="preserve">refractory drug costs </w:t>
            </w:r>
            <w:r w:rsidR="00816EBF" w:rsidRPr="003124D8">
              <w:t xml:space="preserve">were </w:t>
            </w:r>
            <w:r w:rsidRPr="003124D8">
              <w:t>estimated from a post</w:t>
            </w:r>
            <w:r w:rsidR="00816EBF" w:rsidRPr="003124D8">
              <w:t xml:space="preserve"> </w:t>
            </w:r>
            <w:r w:rsidRPr="003124D8">
              <w:t>hoc analys</w:t>
            </w:r>
            <w:r w:rsidR="00816EBF" w:rsidRPr="003124D8">
              <w:t>i</w:t>
            </w:r>
            <w:r w:rsidRPr="003124D8">
              <w:t xml:space="preserve">s of the time to initiation </w:t>
            </w:r>
            <w:r w:rsidR="00816EBF" w:rsidRPr="003124D8">
              <w:t xml:space="preserve">of subsequent treatment </w:t>
            </w:r>
            <w:r w:rsidR="0025020E" w:rsidRPr="003124D8">
              <w:t xml:space="preserve">censoring death events) </w:t>
            </w:r>
            <w:r w:rsidRPr="003124D8">
              <w:t>in the CLL-14 trial with costings for based on the post-PBAC cost</w:t>
            </w:r>
            <w:r w:rsidR="00816EBF" w:rsidRPr="003124D8">
              <w:t xml:space="preserve"> </w:t>
            </w:r>
            <w:r w:rsidRPr="003124D8">
              <w:t>minimisation analysis for the November 2018 venetoclax submission (</w:t>
            </w:r>
            <w:r w:rsidRPr="006B4B87">
              <w:t>ibrutinib monotherapy: $</w:t>
            </w:r>
            <w:r w:rsidR="00BA436D">
              <w:rPr>
                <w:noProof/>
                <w:color w:val="000000"/>
                <w:highlight w:val="black"/>
              </w:rPr>
              <w:t>''''''''''''''''</w:t>
            </w:r>
            <w:r w:rsidRPr="006B4B87">
              <w:t>)</w:t>
            </w:r>
            <w:r w:rsidR="00C04CB0" w:rsidRPr="006B4B87">
              <w:t>.</w:t>
            </w:r>
          </w:p>
          <w:p w:rsidR="006C16A0" w:rsidRPr="003124D8" w:rsidRDefault="006C16A0" w:rsidP="00AC7ED5">
            <w:pPr>
              <w:pStyle w:val="TableText"/>
              <w:keepNext w:val="0"/>
            </w:pPr>
          </w:p>
          <w:p w:rsidR="006C16A0" w:rsidRPr="003124D8" w:rsidRDefault="006C16A0" w:rsidP="00816EBF">
            <w:pPr>
              <w:pStyle w:val="TableText"/>
              <w:keepNext w:val="0"/>
            </w:pPr>
            <w:r w:rsidRPr="003124D8">
              <w:t xml:space="preserve">Health state costs </w:t>
            </w:r>
            <w:r w:rsidR="00816EBF" w:rsidRPr="003124D8">
              <w:t xml:space="preserve">were </w:t>
            </w:r>
            <w:r w:rsidRPr="003124D8">
              <w:t>derived</w:t>
            </w:r>
            <w:r w:rsidR="00816EBF" w:rsidRPr="003124D8">
              <w:t xml:space="preserve"> using </w:t>
            </w:r>
            <w:r w:rsidRPr="003124D8">
              <w:t xml:space="preserve">health resource use from </w:t>
            </w:r>
            <w:r w:rsidR="00816EBF" w:rsidRPr="003124D8">
              <w:t xml:space="preserve">a </w:t>
            </w:r>
            <w:r w:rsidRPr="003124D8">
              <w:t>published source (Paquete 2017)</w:t>
            </w:r>
            <w:r w:rsidR="00816EBF" w:rsidRPr="003124D8">
              <w:t>,</w:t>
            </w:r>
            <w:r w:rsidRPr="003124D8">
              <w:t xml:space="preserve"> with mapping to Australian cost items. Costs for first</w:t>
            </w:r>
            <w:r w:rsidR="00816EBF" w:rsidRPr="003124D8">
              <w:t xml:space="preserve"> </w:t>
            </w:r>
            <w:r w:rsidRPr="003124D8">
              <w:t>line progression</w:t>
            </w:r>
            <w:r w:rsidR="00816EBF" w:rsidRPr="003124D8">
              <w:t xml:space="preserve"> </w:t>
            </w:r>
            <w:r w:rsidRPr="003124D8">
              <w:t>free and progressed disease were $</w:t>
            </w:r>
            <w:r w:rsidR="00DD40E7">
              <w:rPr>
                <w:noProof/>
                <w:color w:val="000000"/>
                <w:highlight w:val="black"/>
              </w:rPr>
              <w:t>'''''''''''''''''</w:t>
            </w:r>
            <w:r w:rsidRPr="003124D8">
              <w:t xml:space="preserve"> per monthly cycle; relapsed/refractory health state costs were $</w:t>
            </w:r>
            <w:r w:rsidR="00DD40E7">
              <w:rPr>
                <w:noProof/>
                <w:color w:val="000000"/>
                <w:highlight w:val="black"/>
              </w:rPr>
              <w:t>''''''''''''''''''''</w:t>
            </w:r>
            <w:r w:rsidRPr="003124D8">
              <w:t xml:space="preserve"> per cycle</w:t>
            </w:r>
            <w:r w:rsidR="00C04CB0" w:rsidRPr="003124D8">
              <w:t>.</w:t>
            </w:r>
            <w:r w:rsidR="00583B86" w:rsidRPr="003124D8">
              <w:t xml:space="preserve"> The ESC considered that Paquete 2017 significantly overestima</w:t>
            </w:r>
            <w:r w:rsidR="00725F10" w:rsidRPr="003124D8">
              <w:t>ted</w:t>
            </w:r>
            <w:r w:rsidR="00583B86" w:rsidRPr="003124D8">
              <w:t xml:space="preserve"> these costs. </w:t>
            </w:r>
          </w:p>
        </w:tc>
      </w:tr>
    </w:tbl>
    <w:p w:rsidR="006C16A0" w:rsidRDefault="006C16A0" w:rsidP="00AC7ED5">
      <w:pPr>
        <w:pStyle w:val="TableFigureFooter"/>
      </w:pPr>
      <w:r w:rsidRPr="009215D4">
        <w:t>Source: Table 47, p97 of the submission</w:t>
      </w:r>
    </w:p>
    <w:p w:rsidR="00DE2CAC" w:rsidRDefault="00EE7C9F" w:rsidP="00AC7ED5">
      <w:pPr>
        <w:pStyle w:val="TableFigureFooter"/>
      </w:pPr>
      <w:r>
        <w:t xml:space="preserve">IV = intravenous; </w:t>
      </w:r>
      <w:r w:rsidR="00DE2CAC">
        <w:t>OS = overall survival; PFS = progression free survival; TTNT = time to next treatment</w:t>
      </w:r>
    </w:p>
    <w:p w:rsidR="006C16A0" w:rsidRDefault="008D15BA" w:rsidP="00AC7ED5">
      <w:pPr>
        <w:pStyle w:val="TableFigureFooter"/>
      </w:pPr>
      <w:r>
        <w:t xml:space="preserve">Note: </w:t>
      </w:r>
      <w:r w:rsidR="006C16A0">
        <w:t>The estimates presented in the submission were based on the published price of obinutuzumab as the sponsor was unaware of the effective price</w:t>
      </w:r>
    </w:p>
    <w:p w:rsidR="00C83790" w:rsidRPr="003124D8" w:rsidRDefault="009E4CAA" w:rsidP="00AC7ED5">
      <w:pPr>
        <w:pStyle w:val="TableFigureFooter"/>
      </w:pPr>
      <w:r w:rsidRPr="003124D8">
        <w:rPr>
          <w:vertAlign w:val="superscript"/>
        </w:rPr>
        <w:t>a</w:t>
      </w:r>
      <w:r w:rsidRPr="003124D8">
        <w:t xml:space="preserve"> </w:t>
      </w:r>
      <w:r w:rsidR="00C83790" w:rsidRPr="003124D8">
        <w:t>Risk convergence is applied as an adjustment to the venetoclax + obinutuzumab progression free survival, time to next treatment and time to initiation of subsequent treatment curves, applying survival based on the hazards in the chlorambucil + obinutuzumab arm after a predetermined duration. Curve convergence is applied as an adjustment to the venetoclax + obinutuzumab progression free survival, time to next treatment and time to initiation of subsequent treatment curves by forcing convergence equivalent to the chlorambucil + obinutuzumab curves between two predetermined time points.</w:t>
      </w:r>
    </w:p>
    <w:p w:rsidR="00D94F10" w:rsidRPr="006656E8" w:rsidRDefault="00274E13" w:rsidP="00274E13">
      <w:pPr>
        <w:pStyle w:val="ExecSumBodyText"/>
        <w:numPr>
          <w:ilvl w:val="1"/>
          <w:numId w:val="1"/>
        </w:numPr>
      </w:pPr>
      <w:r w:rsidRPr="006656E8">
        <w:rPr>
          <w:lang w:val="en-US"/>
        </w:rPr>
        <w:t xml:space="preserve">The submission stated that </w:t>
      </w:r>
      <w:r w:rsidRPr="00725F10">
        <w:rPr>
          <w:lang w:val="en-US"/>
        </w:rPr>
        <w:t>a 10-year time horizon</w:t>
      </w:r>
      <w:r w:rsidRPr="006656E8">
        <w:rPr>
          <w:lang w:val="en-US"/>
        </w:rPr>
        <w:t xml:space="preserve"> has previously been considered appropriate by the PBAC for older, previously untreated CLL patients with multiple comorbidities (paragraph 7.17, Obinutuzumab Public Summary Document, July 2014 PBAC meeting). </w:t>
      </w:r>
      <w:r w:rsidR="00DE54DE">
        <w:rPr>
          <w:lang w:val="en-US"/>
        </w:rPr>
        <w:t xml:space="preserve">A </w:t>
      </w:r>
      <w:r w:rsidRPr="006656E8">
        <w:rPr>
          <w:bCs/>
          <w:lang w:val="en-US"/>
        </w:rPr>
        <w:t xml:space="preserve">10-year time </w:t>
      </w:r>
      <w:r w:rsidRPr="003124D8">
        <w:rPr>
          <w:bCs/>
          <w:lang w:val="en-US"/>
        </w:rPr>
        <w:t>horizon may not be sufficient to capture the costs and consequences of the introduction of venetoclax + obinutuzumab on the management of previously untreated CLL patients. However, given the limited follow-up of Trial CLL-14 (estimates included in the model based on 2</w:t>
      </w:r>
      <w:r w:rsidR="000F56E5" w:rsidRPr="003124D8">
        <w:rPr>
          <w:bCs/>
          <w:lang w:val="en-US"/>
        </w:rPr>
        <w:t>9</w:t>
      </w:r>
      <w:r w:rsidRPr="003124D8">
        <w:rPr>
          <w:bCs/>
          <w:lang w:val="en-US"/>
        </w:rPr>
        <w:t xml:space="preserve"> months), </w:t>
      </w:r>
      <w:r w:rsidR="00DE54DE" w:rsidRPr="003124D8">
        <w:rPr>
          <w:bCs/>
          <w:lang w:val="en-US"/>
        </w:rPr>
        <w:t xml:space="preserve">the ESC considered that </w:t>
      </w:r>
      <w:r w:rsidRPr="003124D8">
        <w:rPr>
          <w:bCs/>
          <w:lang w:val="en-US"/>
        </w:rPr>
        <w:t>extrapolation over a long</w:t>
      </w:r>
      <w:r w:rsidR="00190027" w:rsidRPr="003124D8">
        <w:rPr>
          <w:bCs/>
          <w:lang w:val="en-US"/>
        </w:rPr>
        <w:t>er</w:t>
      </w:r>
      <w:r w:rsidRPr="003124D8">
        <w:rPr>
          <w:bCs/>
          <w:lang w:val="en-US"/>
        </w:rPr>
        <w:t xml:space="preserve"> period </w:t>
      </w:r>
      <w:r w:rsidR="006D0EFA" w:rsidRPr="003124D8">
        <w:rPr>
          <w:bCs/>
          <w:lang w:val="en-US"/>
        </w:rPr>
        <w:t xml:space="preserve">would be </w:t>
      </w:r>
      <w:r w:rsidRPr="003124D8">
        <w:rPr>
          <w:bCs/>
          <w:lang w:val="en-US"/>
        </w:rPr>
        <w:t>subject to considerable uncertainty.</w:t>
      </w:r>
      <w:r w:rsidR="000A51CC">
        <w:rPr>
          <w:bCs/>
          <w:lang w:val="en-US"/>
        </w:rPr>
        <w:t xml:space="preserve"> The PBAC considered a 10 year time horizon appropriate.</w:t>
      </w:r>
    </w:p>
    <w:p w:rsidR="006C16A0" w:rsidRPr="00AF22C1" w:rsidRDefault="006C16A0" w:rsidP="006C16A0">
      <w:pPr>
        <w:pStyle w:val="ExecSumBodyText"/>
        <w:numPr>
          <w:ilvl w:val="1"/>
          <w:numId w:val="1"/>
        </w:numPr>
        <w:rPr>
          <w:bCs/>
          <w:lang w:val="en-US"/>
        </w:rPr>
      </w:pPr>
      <w:r>
        <w:rPr>
          <w:bCs/>
          <w:lang w:val="en-US"/>
        </w:rPr>
        <w:t xml:space="preserve">A partitioned survival </w:t>
      </w:r>
      <w:r w:rsidR="00816EBF">
        <w:rPr>
          <w:bCs/>
          <w:lang w:val="en-US"/>
        </w:rPr>
        <w:t xml:space="preserve">analysis </w:t>
      </w:r>
      <w:r>
        <w:rPr>
          <w:bCs/>
          <w:lang w:val="en-US"/>
        </w:rPr>
        <w:t>design was</w:t>
      </w:r>
      <w:r w:rsidRPr="00AF22C1">
        <w:rPr>
          <w:bCs/>
          <w:lang w:val="en-US"/>
        </w:rPr>
        <w:t xml:space="preserve"> implemented to distribute patients between model health states. The </w:t>
      </w:r>
      <w:r w:rsidR="00EE7C9F">
        <w:rPr>
          <w:bCs/>
          <w:lang w:val="en-US"/>
        </w:rPr>
        <w:t>PFS</w:t>
      </w:r>
      <w:r w:rsidRPr="00AF22C1">
        <w:rPr>
          <w:bCs/>
          <w:lang w:val="en-US"/>
        </w:rPr>
        <w:t xml:space="preserve">, </w:t>
      </w:r>
      <w:r w:rsidR="00EE7C9F">
        <w:rPr>
          <w:bCs/>
          <w:lang w:val="en-US"/>
        </w:rPr>
        <w:t>TTNT</w:t>
      </w:r>
      <w:r w:rsidRPr="00AF22C1">
        <w:rPr>
          <w:bCs/>
          <w:lang w:val="en-US"/>
        </w:rPr>
        <w:t xml:space="preserve"> and </w:t>
      </w:r>
      <w:r w:rsidR="00EE7C9F">
        <w:rPr>
          <w:bCs/>
          <w:lang w:val="en-US"/>
        </w:rPr>
        <w:t>OS</w:t>
      </w:r>
      <w:r w:rsidRPr="00AF22C1">
        <w:rPr>
          <w:bCs/>
          <w:lang w:val="en-US"/>
        </w:rPr>
        <w:t xml:space="preserve"> curves, derived from Trial CLL-14, </w:t>
      </w:r>
      <w:r w:rsidR="00816EBF">
        <w:rPr>
          <w:bCs/>
          <w:lang w:val="en-US"/>
        </w:rPr>
        <w:t>we</w:t>
      </w:r>
      <w:r w:rsidRPr="00AF22C1">
        <w:rPr>
          <w:bCs/>
          <w:lang w:val="en-US"/>
        </w:rPr>
        <w:t>re used to distribute patients between the model health states:</w:t>
      </w:r>
    </w:p>
    <w:p w:rsidR="006C16A0" w:rsidRPr="005843B6" w:rsidRDefault="006C16A0" w:rsidP="00C84878">
      <w:pPr>
        <w:pStyle w:val="ExecSumBodyText"/>
        <w:numPr>
          <w:ilvl w:val="0"/>
          <w:numId w:val="9"/>
        </w:numPr>
        <w:ind w:left="1077" w:hanging="357"/>
        <w:contextualSpacing/>
        <w:rPr>
          <w:bCs/>
          <w:lang w:val="en-US"/>
        </w:rPr>
      </w:pPr>
      <w:r w:rsidRPr="005843B6">
        <w:rPr>
          <w:bCs/>
          <w:lang w:val="en-US"/>
        </w:rPr>
        <w:lastRenderedPageBreak/>
        <w:t xml:space="preserve">The area below the </w:t>
      </w:r>
      <w:r w:rsidR="00EE7C9F">
        <w:rPr>
          <w:bCs/>
          <w:lang w:val="en-US"/>
        </w:rPr>
        <w:t>PFS</w:t>
      </w:r>
      <w:r w:rsidRPr="005843B6">
        <w:rPr>
          <w:bCs/>
          <w:lang w:val="en-US"/>
        </w:rPr>
        <w:t xml:space="preserve"> curve relates to patients in the first-line progression free health state;</w:t>
      </w:r>
    </w:p>
    <w:p w:rsidR="006C16A0" w:rsidRPr="005843B6" w:rsidRDefault="006C16A0" w:rsidP="00C84878">
      <w:pPr>
        <w:pStyle w:val="ExecSumBodyText"/>
        <w:numPr>
          <w:ilvl w:val="0"/>
          <w:numId w:val="9"/>
        </w:numPr>
        <w:ind w:left="1077" w:hanging="357"/>
        <w:contextualSpacing/>
        <w:rPr>
          <w:bCs/>
          <w:lang w:val="en-US"/>
        </w:rPr>
      </w:pPr>
      <w:r w:rsidRPr="005843B6">
        <w:rPr>
          <w:bCs/>
          <w:lang w:val="en-US"/>
        </w:rPr>
        <w:t xml:space="preserve">The area between the </w:t>
      </w:r>
      <w:r w:rsidR="00EE7C9F">
        <w:rPr>
          <w:bCs/>
          <w:lang w:val="en-US"/>
        </w:rPr>
        <w:t>PFS</w:t>
      </w:r>
      <w:r w:rsidRPr="005843B6">
        <w:rPr>
          <w:bCs/>
          <w:lang w:val="en-US"/>
        </w:rPr>
        <w:t xml:space="preserve"> and TTNT curves relates to patients in the first-line progressed disease (progressed but well) health state;</w:t>
      </w:r>
    </w:p>
    <w:p w:rsidR="006C16A0" w:rsidRPr="005843B6" w:rsidRDefault="006C16A0" w:rsidP="00C84878">
      <w:pPr>
        <w:pStyle w:val="ExecSumBodyText"/>
        <w:numPr>
          <w:ilvl w:val="0"/>
          <w:numId w:val="9"/>
        </w:numPr>
        <w:ind w:left="1077" w:hanging="357"/>
        <w:contextualSpacing/>
        <w:rPr>
          <w:bCs/>
          <w:lang w:val="en-US"/>
        </w:rPr>
      </w:pPr>
      <w:r w:rsidRPr="005843B6">
        <w:rPr>
          <w:bCs/>
          <w:lang w:val="en-US"/>
        </w:rPr>
        <w:t xml:space="preserve">The area between the TTNT and </w:t>
      </w:r>
      <w:r w:rsidR="00EE7C9F">
        <w:rPr>
          <w:bCs/>
          <w:lang w:val="en-US"/>
        </w:rPr>
        <w:t>OS</w:t>
      </w:r>
      <w:r w:rsidRPr="005843B6">
        <w:rPr>
          <w:bCs/>
          <w:lang w:val="en-US"/>
        </w:rPr>
        <w:t xml:space="preserve"> curves relates to patients in the relapsed/refractory disease health state; and</w:t>
      </w:r>
    </w:p>
    <w:p w:rsidR="00816EBF" w:rsidRDefault="006C16A0" w:rsidP="00C84878">
      <w:pPr>
        <w:pStyle w:val="ExecSumBodyText"/>
        <w:numPr>
          <w:ilvl w:val="0"/>
          <w:numId w:val="9"/>
        </w:numPr>
        <w:ind w:left="1077" w:hanging="357"/>
        <w:contextualSpacing/>
        <w:rPr>
          <w:bCs/>
          <w:lang w:val="en-US"/>
        </w:rPr>
      </w:pPr>
      <w:r w:rsidRPr="005843B6">
        <w:rPr>
          <w:bCs/>
          <w:lang w:val="en-US"/>
        </w:rPr>
        <w:t xml:space="preserve">The area above the </w:t>
      </w:r>
      <w:r w:rsidR="00EE7C9F">
        <w:rPr>
          <w:bCs/>
          <w:lang w:val="en-US"/>
        </w:rPr>
        <w:t>OS</w:t>
      </w:r>
      <w:r w:rsidRPr="005843B6">
        <w:rPr>
          <w:bCs/>
          <w:lang w:val="en-US"/>
        </w:rPr>
        <w:t xml:space="preserve"> curve relates to patients in the dead state.</w:t>
      </w:r>
    </w:p>
    <w:p w:rsidR="00816EBF" w:rsidRPr="00816EBF" w:rsidRDefault="00816EBF" w:rsidP="00816EBF">
      <w:pPr>
        <w:pStyle w:val="ExecSumBodyText"/>
        <w:numPr>
          <w:ilvl w:val="0"/>
          <w:numId w:val="0"/>
        </w:numPr>
        <w:ind w:left="720" w:hanging="720"/>
        <w:contextualSpacing/>
        <w:rPr>
          <w:bCs/>
          <w:lang w:val="en-US"/>
        </w:rPr>
      </w:pPr>
    </w:p>
    <w:p w:rsidR="006C16A0" w:rsidRPr="00AF22C1" w:rsidRDefault="006C16A0" w:rsidP="006C16A0">
      <w:pPr>
        <w:pStyle w:val="ExecSumBodyText"/>
        <w:numPr>
          <w:ilvl w:val="1"/>
          <w:numId w:val="1"/>
        </w:numPr>
        <w:rPr>
          <w:bCs/>
          <w:lang w:val="en-US"/>
        </w:rPr>
      </w:pPr>
      <w:r w:rsidRPr="00AF22C1">
        <w:rPr>
          <w:bCs/>
          <w:lang w:val="en-US"/>
        </w:rPr>
        <w:t>The relationship between survival curves and health states in the economic model is illustrated in the figure below</w:t>
      </w:r>
      <w:r w:rsidR="00816EBF">
        <w:rPr>
          <w:bCs/>
          <w:lang w:val="en-US"/>
        </w:rPr>
        <w:t>.</w:t>
      </w:r>
    </w:p>
    <w:p w:rsidR="006C16A0" w:rsidRPr="00895C4D" w:rsidRDefault="006C16A0" w:rsidP="006C16A0">
      <w:pPr>
        <w:pStyle w:val="TableHeading"/>
        <w:spacing w:after="0"/>
      </w:pPr>
      <w:r>
        <w:t xml:space="preserve">Figure </w:t>
      </w:r>
      <w:r w:rsidR="005C720C">
        <w:t>5</w:t>
      </w:r>
      <w:r>
        <w:t xml:space="preserve">: </w:t>
      </w:r>
      <w:r w:rsidRPr="00895C4D">
        <w:t>Partitioned survival health states</w:t>
      </w:r>
    </w:p>
    <w:p w:rsidR="006C16A0" w:rsidRPr="00895C4D" w:rsidRDefault="006C16A0" w:rsidP="006C16A0">
      <w:pPr>
        <w:pStyle w:val="TableFooter"/>
      </w:pPr>
      <w:r w:rsidRPr="00895C4D">
        <w:rPr>
          <w:noProof/>
          <w:lang w:eastAsia="en-AU"/>
        </w:rPr>
        <mc:AlternateContent>
          <mc:Choice Requires="wps">
            <w:drawing>
              <wp:anchor distT="0" distB="0" distL="114300" distR="114300" simplePos="0" relativeHeight="251685888" behindDoc="0" locked="0" layoutInCell="1" allowOverlap="1" wp14:anchorId="56A159FF" wp14:editId="07067E6E">
                <wp:simplePos x="0" y="0"/>
                <wp:positionH relativeFrom="margin">
                  <wp:posOffset>4961255</wp:posOffset>
                </wp:positionH>
                <wp:positionV relativeFrom="paragraph">
                  <wp:posOffset>2211705</wp:posOffset>
                </wp:positionV>
                <wp:extent cx="913765" cy="361315"/>
                <wp:effectExtent l="0" t="19050" r="0" b="19685"/>
                <wp:wrapNone/>
                <wp:docPr id="231" name="Rectangle 231"/>
                <wp:cNvGraphicFramePr/>
                <a:graphic xmlns:a="http://schemas.openxmlformats.org/drawingml/2006/main">
                  <a:graphicData uri="http://schemas.microsoft.com/office/word/2010/wordprocessingShape">
                    <wps:wsp>
                      <wps:cNvSpPr/>
                      <wps:spPr>
                        <a:xfrm rot="379287">
                          <a:off x="0" y="0"/>
                          <a:ext cx="913765" cy="361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4508" w:rsidRPr="001A70BE" w:rsidRDefault="005A4508" w:rsidP="006C16A0">
                            <w:r>
                              <w:t>PFS curve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159FF" id="Rectangle 231" o:spid="_x0000_s1026" style="position:absolute;left:0;text-align:left;margin-left:390.65pt;margin-top:174.15pt;width:71.95pt;height:28.45pt;rotation:414283fd;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" filled="f" stroked="f" strokeweight="2pt">
                <v:textbox>
                  <w:txbxContent>
                    <w:p w:rsidR="005A4508" w:rsidRPr="001A70BE" w:rsidRDefault="005A4508" w:rsidP="006C16A0">
                      <w:r>
                        <w:t>PFS curve</w:t>
                      </w:r>
                    </w:p>
                  </w:txbxContent>
                </v:textbox>
                <w10:wrap anchorx="margin"/>
              </v:rect>
            </w:pict>
          </mc:Fallback>
        </mc:AlternateContent>
      </w:r>
      <w:r w:rsidRPr="00895C4D">
        <w:rPr>
          <w:noProof/>
          <w:lang w:eastAsia="en-AU"/>
        </w:rPr>
        <mc:AlternateContent>
          <mc:Choice Requires="wps">
            <w:drawing>
              <wp:anchor distT="0" distB="0" distL="114300" distR="114300" simplePos="0" relativeHeight="251679744" behindDoc="0" locked="0" layoutInCell="1" allowOverlap="1" wp14:anchorId="1F2CFFEE" wp14:editId="1C630942">
                <wp:simplePos x="0" y="0"/>
                <wp:positionH relativeFrom="margin">
                  <wp:posOffset>4856480</wp:posOffset>
                </wp:positionH>
                <wp:positionV relativeFrom="paragraph">
                  <wp:posOffset>1461135</wp:posOffset>
                </wp:positionV>
                <wp:extent cx="913765" cy="361315"/>
                <wp:effectExtent l="0" t="38100" r="0" b="57785"/>
                <wp:wrapNone/>
                <wp:docPr id="232" name="Rectangle 232"/>
                <wp:cNvGraphicFramePr/>
                <a:graphic xmlns:a="http://schemas.openxmlformats.org/drawingml/2006/main">
                  <a:graphicData uri="http://schemas.microsoft.com/office/word/2010/wordprocessingShape">
                    <wps:wsp>
                      <wps:cNvSpPr/>
                      <wps:spPr>
                        <a:xfrm rot="625196">
                          <a:off x="0" y="0"/>
                          <a:ext cx="913765" cy="361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4508" w:rsidRPr="001A70BE" w:rsidRDefault="005A4508" w:rsidP="006C16A0">
                            <w:r>
                              <w:t>TTNT curve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CFFEE" id="Rectangle 232" o:spid="_x0000_s1027" style="position:absolute;left:0;text-align:left;margin-left:382.4pt;margin-top:115.05pt;width:71.95pt;height:28.45pt;rotation:682881fd;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" filled="f" stroked="f" strokeweight="2pt">
                <v:textbox>
                  <w:txbxContent>
                    <w:p w:rsidR="005A4508" w:rsidRPr="001A70BE" w:rsidRDefault="005A4508" w:rsidP="006C16A0">
                      <w:r>
                        <w:t>TTNT curve</w:t>
                      </w:r>
                    </w:p>
                  </w:txbxContent>
                </v:textbox>
                <w10:wrap anchorx="margin"/>
              </v:rect>
            </w:pict>
          </mc:Fallback>
        </mc:AlternateContent>
      </w:r>
      <w:r w:rsidRPr="00895C4D">
        <w:rPr>
          <w:noProof/>
          <w:lang w:eastAsia="en-AU"/>
        </w:rPr>
        <mc:AlternateContent>
          <mc:Choice Requires="wps">
            <w:drawing>
              <wp:anchor distT="0" distB="0" distL="114300" distR="114300" simplePos="0" relativeHeight="251673600" behindDoc="0" locked="0" layoutInCell="1" allowOverlap="1" wp14:anchorId="1E66DA82" wp14:editId="6AD9632C">
                <wp:simplePos x="0" y="0"/>
                <wp:positionH relativeFrom="margin">
                  <wp:posOffset>5018404</wp:posOffset>
                </wp:positionH>
                <wp:positionV relativeFrom="paragraph">
                  <wp:posOffset>551815</wp:posOffset>
                </wp:positionV>
                <wp:extent cx="913765" cy="361315"/>
                <wp:effectExtent l="0" t="38100" r="0" b="38735"/>
                <wp:wrapNone/>
                <wp:docPr id="233" name="Rectangle 233"/>
                <wp:cNvGraphicFramePr/>
                <a:graphic xmlns:a="http://schemas.openxmlformats.org/drawingml/2006/main">
                  <a:graphicData uri="http://schemas.microsoft.com/office/word/2010/wordprocessingShape">
                    <wps:wsp>
                      <wps:cNvSpPr/>
                      <wps:spPr>
                        <a:xfrm rot="468851">
                          <a:off x="0" y="0"/>
                          <a:ext cx="913765" cy="361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4508" w:rsidRPr="00F64D2B" w:rsidRDefault="005A4508" w:rsidP="006C16A0">
                            <w:pPr>
                              <w:rPr>
                                <w:color w:val="FFFFFF" w:themeColor="background1"/>
                              </w:rPr>
                            </w:pPr>
                            <w:r w:rsidRPr="00F64D2B">
                              <w:rPr>
                                <w:color w:val="FFFFFF" w:themeColor="background1"/>
                              </w:rPr>
                              <w:t>OS curve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6DA82" id="Rectangle 233" o:spid="_x0000_s1028" style="position:absolute;left:0;text-align:left;margin-left:395.15pt;margin-top:43.45pt;width:71.95pt;height:28.45pt;rotation:512110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" filled="f" stroked="f" strokeweight="2pt">
                <v:textbox>
                  <w:txbxContent>
                    <w:p w:rsidR="005A4508" w:rsidRPr="00F64D2B" w:rsidRDefault="005A4508" w:rsidP="006C16A0">
                      <w:pPr>
                        <w:rPr>
                          <w:color w:val="FFFFFF" w:themeColor="background1"/>
                        </w:rPr>
                      </w:pPr>
                      <w:r w:rsidRPr="00F64D2B">
                        <w:rPr>
                          <w:color w:val="FFFFFF" w:themeColor="background1"/>
                        </w:rPr>
                        <w:t>OS curve</w:t>
                      </w:r>
                    </w:p>
                  </w:txbxContent>
                </v:textbox>
                <w10:wrap anchorx="margin"/>
              </v:rect>
            </w:pict>
          </mc:Fallback>
        </mc:AlternateContent>
      </w:r>
      <w:r w:rsidRPr="00895C4D">
        <w:rPr>
          <w:noProof/>
          <w:lang w:eastAsia="en-AU"/>
        </w:rPr>
        <mc:AlternateContent>
          <mc:Choice Requires="wps">
            <w:drawing>
              <wp:anchor distT="0" distB="0" distL="114300" distR="114300" simplePos="0" relativeHeight="251655168" behindDoc="0" locked="0" layoutInCell="1" allowOverlap="1" wp14:anchorId="30BE86CC" wp14:editId="184604AC">
                <wp:simplePos x="0" y="0"/>
                <wp:positionH relativeFrom="column">
                  <wp:posOffset>3442970</wp:posOffset>
                </wp:positionH>
                <wp:positionV relativeFrom="paragraph">
                  <wp:posOffset>755015</wp:posOffset>
                </wp:positionV>
                <wp:extent cx="1019810" cy="361315"/>
                <wp:effectExtent l="0" t="0" r="0" b="0"/>
                <wp:wrapNone/>
                <wp:docPr id="234" name="Rectangle 234"/>
                <wp:cNvGraphicFramePr/>
                <a:graphic xmlns:a="http://schemas.openxmlformats.org/drawingml/2006/main">
                  <a:graphicData uri="http://schemas.microsoft.com/office/word/2010/wordprocessingShape">
                    <wps:wsp>
                      <wps:cNvSpPr/>
                      <wps:spPr>
                        <a:xfrm>
                          <a:off x="0" y="0"/>
                          <a:ext cx="1019810" cy="361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4508" w:rsidRPr="001A70BE" w:rsidRDefault="005A4508" w:rsidP="006C16A0">
                            <w:r>
                              <w:t>R/R disease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E86CC" id="Rectangle 234" o:spid="_x0000_s1029" style="position:absolute;left:0;text-align:left;margin-left:271.1pt;margin-top:59.45pt;width:80.3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" filled="f" stroked="f" strokeweight="2pt">
                <v:textbox>
                  <w:txbxContent>
                    <w:p w:rsidR="005A4508" w:rsidRPr="001A70BE" w:rsidRDefault="005A4508" w:rsidP="006C16A0">
                      <w:r>
                        <w:t>R/R disease</w:t>
                      </w:r>
                    </w:p>
                  </w:txbxContent>
                </v:textbox>
              </v:rect>
            </w:pict>
          </mc:Fallback>
        </mc:AlternateContent>
      </w:r>
      <w:r w:rsidRPr="00895C4D">
        <w:rPr>
          <w:noProof/>
          <w:lang w:eastAsia="en-AU"/>
        </w:rPr>
        <mc:AlternateContent>
          <mc:Choice Requires="wps">
            <w:drawing>
              <wp:anchor distT="0" distB="0" distL="114300" distR="114300" simplePos="0" relativeHeight="251649024" behindDoc="0" locked="0" layoutInCell="1" allowOverlap="1" wp14:anchorId="512DF5AD" wp14:editId="6B36DAB7">
                <wp:simplePos x="0" y="0"/>
                <wp:positionH relativeFrom="column">
                  <wp:posOffset>4004310</wp:posOffset>
                </wp:positionH>
                <wp:positionV relativeFrom="paragraph">
                  <wp:posOffset>165100</wp:posOffset>
                </wp:positionV>
                <wp:extent cx="913765" cy="361315"/>
                <wp:effectExtent l="0" t="0" r="0" b="0"/>
                <wp:wrapNone/>
                <wp:docPr id="235" name="Rectangle 235"/>
                <wp:cNvGraphicFramePr/>
                <a:graphic xmlns:a="http://schemas.openxmlformats.org/drawingml/2006/main">
                  <a:graphicData uri="http://schemas.microsoft.com/office/word/2010/wordprocessingShape">
                    <wps:wsp>
                      <wps:cNvSpPr/>
                      <wps:spPr>
                        <a:xfrm>
                          <a:off x="0" y="0"/>
                          <a:ext cx="913765" cy="361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4508" w:rsidRPr="001A70BE" w:rsidRDefault="005A4508" w:rsidP="006C16A0">
                            <w:r w:rsidRPr="001A70BE">
                              <w:t>Dead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DF5AD" id="Rectangle 235" o:spid="_x0000_s1030" style="position:absolute;left:0;text-align:left;margin-left:315.3pt;margin-top:13pt;width:71.95pt;height:28.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" filled="f" stroked="f" strokeweight="2pt">
                <v:textbox>
                  <w:txbxContent>
                    <w:p w:rsidR="005A4508" w:rsidRPr="001A70BE" w:rsidRDefault="005A4508" w:rsidP="006C16A0">
                      <w:r w:rsidRPr="001A70BE">
                        <w:t>Dead</w:t>
                      </w:r>
                    </w:p>
                  </w:txbxContent>
                </v:textbox>
              </v:rect>
            </w:pict>
          </mc:Fallback>
        </mc:AlternateContent>
      </w:r>
      <w:r w:rsidRPr="00895C4D">
        <w:rPr>
          <w:noProof/>
          <w:lang w:eastAsia="en-AU"/>
        </w:rPr>
        <mc:AlternateContent>
          <mc:Choice Requires="wps">
            <w:drawing>
              <wp:anchor distT="0" distB="0" distL="114300" distR="114300" simplePos="0" relativeHeight="251667456" behindDoc="0" locked="0" layoutInCell="1" allowOverlap="1" wp14:anchorId="32719BC3" wp14:editId="4B71564A">
                <wp:simplePos x="0" y="0"/>
                <wp:positionH relativeFrom="column">
                  <wp:posOffset>2486025</wp:posOffset>
                </wp:positionH>
                <wp:positionV relativeFrom="paragraph">
                  <wp:posOffset>2190115</wp:posOffset>
                </wp:positionV>
                <wp:extent cx="913765" cy="361315"/>
                <wp:effectExtent l="0" t="0" r="0" b="0"/>
                <wp:wrapNone/>
                <wp:docPr id="236" name="Rectangle 236"/>
                <wp:cNvGraphicFramePr/>
                <a:graphic xmlns:a="http://schemas.openxmlformats.org/drawingml/2006/main">
                  <a:graphicData uri="http://schemas.microsoft.com/office/word/2010/wordprocessingShape">
                    <wps:wsp>
                      <wps:cNvSpPr/>
                      <wps:spPr>
                        <a:xfrm>
                          <a:off x="0" y="0"/>
                          <a:ext cx="913765" cy="361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4508" w:rsidRPr="001A70BE" w:rsidRDefault="005A4508" w:rsidP="006C16A0">
                            <w:r>
                              <w:t>1L PF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19BC3" id="Rectangle 236" o:spid="_x0000_s1031" style="position:absolute;left:0;text-align:left;margin-left:195.75pt;margin-top:172.45pt;width:71.95pt;height:28.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" filled="f" stroked="f" strokeweight="2pt">
                <v:textbox>
                  <w:txbxContent>
                    <w:p w:rsidR="005A4508" w:rsidRPr="001A70BE" w:rsidRDefault="005A4508" w:rsidP="006C16A0">
                      <w:r>
                        <w:t>1L PF</w:t>
                      </w:r>
                    </w:p>
                  </w:txbxContent>
                </v:textbox>
              </v:rect>
            </w:pict>
          </mc:Fallback>
        </mc:AlternateContent>
      </w:r>
      <w:r w:rsidRPr="00895C4D">
        <w:rPr>
          <w:noProof/>
          <w:lang w:eastAsia="en-AU"/>
        </w:rPr>
        <mc:AlternateContent>
          <mc:Choice Requires="wps">
            <w:drawing>
              <wp:anchor distT="0" distB="0" distL="114300" distR="114300" simplePos="0" relativeHeight="251661312" behindDoc="0" locked="0" layoutInCell="1" allowOverlap="1" wp14:anchorId="5608358A" wp14:editId="13FAD51D">
                <wp:simplePos x="0" y="0"/>
                <wp:positionH relativeFrom="column">
                  <wp:posOffset>3044825</wp:posOffset>
                </wp:positionH>
                <wp:positionV relativeFrom="paragraph">
                  <wp:posOffset>1501140</wp:posOffset>
                </wp:positionV>
                <wp:extent cx="913765" cy="361315"/>
                <wp:effectExtent l="0" t="0" r="0" b="0"/>
                <wp:wrapNone/>
                <wp:docPr id="237" name="Rectangle 237"/>
                <wp:cNvGraphicFramePr/>
                <a:graphic xmlns:a="http://schemas.openxmlformats.org/drawingml/2006/main">
                  <a:graphicData uri="http://schemas.microsoft.com/office/word/2010/wordprocessingShape">
                    <wps:wsp>
                      <wps:cNvSpPr/>
                      <wps:spPr>
                        <a:xfrm>
                          <a:off x="0" y="0"/>
                          <a:ext cx="913765" cy="361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4508" w:rsidRPr="001A70BE" w:rsidRDefault="005A4508" w:rsidP="006C16A0">
                            <w:r>
                              <w:t>1L 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8358A" id="Rectangle 237" o:spid="_x0000_s1032" style="position:absolute;left:0;text-align:left;margin-left:239.75pt;margin-top:118.2pt;width:71.9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" filled="f" stroked="f" strokeweight="2pt">
                <v:textbox>
                  <w:txbxContent>
                    <w:p w:rsidR="005A4508" w:rsidRPr="001A70BE" w:rsidRDefault="005A4508" w:rsidP="006C16A0">
                      <w:r>
                        <w:t>1L PD</w:t>
                      </w:r>
                    </w:p>
                  </w:txbxContent>
                </v:textbox>
              </v:rect>
            </w:pict>
          </mc:Fallback>
        </mc:AlternateContent>
      </w:r>
      <w:r w:rsidRPr="00895C4D">
        <w:rPr>
          <w:noProof/>
          <w:lang w:eastAsia="en-AU"/>
        </w:rPr>
        <w:drawing>
          <wp:inline distT="0" distB="0" distL="0" distR="0" wp14:anchorId="18CE752E" wp14:editId="43722FAA">
            <wp:extent cx="5823585" cy="3146200"/>
            <wp:effectExtent l="0" t="0" r="5715" b="0"/>
            <wp:docPr id="238" name="Picture 238" title="Figure 5: Partitioned survival health st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742" r="1260" b="4451"/>
                    <a:stretch/>
                  </pic:blipFill>
                  <pic:spPr bwMode="auto">
                    <a:xfrm>
                      <a:off x="0" y="0"/>
                      <a:ext cx="5829213" cy="3149240"/>
                    </a:xfrm>
                    <a:prstGeom prst="rect">
                      <a:avLst/>
                    </a:prstGeom>
                    <a:noFill/>
                    <a:ln>
                      <a:noFill/>
                    </a:ln>
                    <a:extLst>
                      <a:ext uri="{53640926-AAD7-44D8-BBD7-CCE9431645EC}">
                        <a14:shadowObscured xmlns:a14="http://schemas.microsoft.com/office/drawing/2010/main"/>
                      </a:ext>
                    </a:extLst>
                  </pic:spPr>
                </pic:pic>
              </a:graphicData>
            </a:graphic>
          </wp:inline>
        </w:drawing>
      </w:r>
    </w:p>
    <w:p w:rsidR="006C16A0" w:rsidRPr="001914FA" w:rsidRDefault="006C16A0" w:rsidP="006C16A0">
      <w:pPr>
        <w:pStyle w:val="TableFooter"/>
      </w:pPr>
      <w:r w:rsidRPr="001914FA">
        <w:t>Source: Figure 29, p108 of the submission</w:t>
      </w:r>
    </w:p>
    <w:p w:rsidR="006C16A0" w:rsidRDefault="006C16A0" w:rsidP="006C16A0">
      <w:pPr>
        <w:pStyle w:val="TableFooter"/>
      </w:pPr>
      <w:r w:rsidRPr="001914FA">
        <w:t>Abbreviations: 1L PD, first-line progressed disease; 1L PF, first-line progression free; OS, overall survival; PFS, progression free survival; R/R, relapsed/refractory</w:t>
      </w:r>
      <w:r>
        <w:t>; TTNT, time to next treatment.</w:t>
      </w:r>
    </w:p>
    <w:p w:rsidR="006C16A0" w:rsidRDefault="006C16A0" w:rsidP="006C16A0">
      <w:pPr>
        <w:pStyle w:val="TableFooter"/>
      </w:pPr>
    </w:p>
    <w:p w:rsidR="00274E13" w:rsidRPr="00AF22C1" w:rsidRDefault="00274E13" w:rsidP="00274E13">
      <w:pPr>
        <w:pStyle w:val="TableFooter"/>
      </w:pPr>
    </w:p>
    <w:p w:rsidR="00243E14" w:rsidRDefault="00243E14" w:rsidP="00274E13">
      <w:pPr>
        <w:pStyle w:val="ExecSumBodyText"/>
        <w:numPr>
          <w:ilvl w:val="1"/>
          <w:numId w:val="1"/>
        </w:numPr>
      </w:pPr>
      <w:r w:rsidRPr="003124D8">
        <w:t xml:space="preserve">The ESC were concerned about the </w:t>
      </w:r>
      <w:r w:rsidR="00D96096" w:rsidRPr="003124D8">
        <w:t>inconsistencies between the PFS and</w:t>
      </w:r>
      <w:r w:rsidRPr="003124D8">
        <w:t xml:space="preserve"> TTNT curves</w:t>
      </w:r>
      <w:r w:rsidR="00D96096" w:rsidRPr="003124D8">
        <w:t xml:space="preserve"> which were incorporated into</w:t>
      </w:r>
      <w:r w:rsidRPr="003124D8">
        <w:t xml:space="preserve"> the model, as the difference </w:t>
      </w:r>
      <w:r w:rsidR="00AE5E9C" w:rsidRPr="003124D8">
        <w:t xml:space="preserve">in time from disease progression to initiation of new anti-CLL treatments between </w:t>
      </w:r>
      <w:r w:rsidR="00D61815" w:rsidRPr="003124D8">
        <w:t>treatment</w:t>
      </w:r>
      <w:r w:rsidRPr="003124D8">
        <w:t xml:space="preserve"> arms could not be explained</w:t>
      </w:r>
      <w:r w:rsidR="00D349C0" w:rsidRPr="003124D8">
        <w:t xml:space="preserve">. </w:t>
      </w:r>
      <w:r w:rsidR="00D96096" w:rsidRPr="003124D8">
        <w:t xml:space="preserve">A number of patients from the chlorambucil + obinutuzumab arm did not require treatment immediately following progression, instead entering the ‘progressed but well’ health state. </w:t>
      </w:r>
      <w:r w:rsidR="00D349C0" w:rsidRPr="003124D8">
        <w:t xml:space="preserve">The ESC noted that time in the </w:t>
      </w:r>
      <w:r w:rsidR="00FE56C2" w:rsidRPr="003124D8">
        <w:t>‘</w:t>
      </w:r>
      <w:r w:rsidR="00D349C0" w:rsidRPr="003124D8">
        <w:t>progressed but well</w:t>
      </w:r>
      <w:r w:rsidR="00FE56C2" w:rsidRPr="003124D8">
        <w:t>’</w:t>
      </w:r>
      <w:r w:rsidR="00D349C0" w:rsidRPr="003124D8">
        <w:t xml:space="preserve"> health state was</w:t>
      </w:r>
      <w:r w:rsidRPr="003124D8">
        <w:t xml:space="preserve"> associated with a</w:t>
      </w:r>
      <w:r w:rsidR="00D96096" w:rsidRPr="003124D8">
        <w:t>n assumed</w:t>
      </w:r>
      <w:r w:rsidRPr="003124D8">
        <w:t xml:space="preserve"> </w:t>
      </w:r>
      <w:r w:rsidR="00D96096" w:rsidRPr="003124D8">
        <w:t>utility decrement</w:t>
      </w:r>
      <w:r w:rsidR="006D0EFA" w:rsidRPr="003124D8">
        <w:t xml:space="preserve"> and costs.</w:t>
      </w:r>
      <w:r w:rsidR="00D96096" w:rsidRPr="003124D8">
        <w:t xml:space="preserve"> </w:t>
      </w:r>
    </w:p>
    <w:p w:rsidR="00274E13" w:rsidRDefault="00274E13" w:rsidP="00274E13">
      <w:pPr>
        <w:pStyle w:val="ExecSumBodyText"/>
        <w:numPr>
          <w:ilvl w:val="1"/>
          <w:numId w:val="1"/>
        </w:numPr>
      </w:pPr>
      <w:r>
        <w:t>Health state utility values used in the economic model are summarised in the table below.</w:t>
      </w:r>
      <w:r w:rsidR="00583B86">
        <w:t xml:space="preserve"> </w:t>
      </w:r>
    </w:p>
    <w:p w:rsidR="00274E13" w:rsidRPr="00CB322B" w:rsidRDefault="005C720C" w:rsidP="00947E9D">
      <w:pPr>
        <w:pStyle w:val="TableHeading"/>
        <w:keepLines/>
        <w:spacing w:after="0"/>
        <w:rPr>
          <w:rStyle w:val="CommentReference"/>
          <w:sz w:val="20"/>
          <w:szCs w:val="20"/>
        </w:rPr>
      </w:pPr>
      <w:r>
        <w:rPr>
          <w:rStyle w:val="CommentReference"/>
          <w:sz w:val="20"/>
          <w:szCs w:val="20"/>
        </w:rPr>
        <w:lastRenderedPageBreak/>
        <w:t>Table 10</w:t>
      </w:r>
      <w:r w:rsidR="00274E13" w:rsidRPr="00CB322B">
        <w:rPr>
          <w:rStyle w:val="CommentReference"/>
          <w:sz w:val="20"/>
          <w:szCs w:val="20"/>
        </w:rPr>
        <w:t xml:space="preserve">: </w:t>
      </w:r>
      <w:r w:rsidR="00274E13">
        <w:rPr>
          <w:rStyle w:val="CommentReference"/>
          <w:sz w:val="20"/>
          <w:szCs w:val="20"/>
        </w:rPr>
        <w:t>Health state utility values</w:t>
      </w:r>
    </w:p>
    <w:tbl>
      <w:tblPr>
        <w:tblStyle w:val="TableGrid"/>
        <w:tblW w:w="0" w:type="auto"/>
        <w:tblLook w:val="04A0" w:firstRow="1" w:lastRow="0" w:firstColumn="1" w:lastColumn="0" w:noHBand="0" w:noVBand="1"/>
        <w:tblCaption w:val="Table 10: Health state utility values"/>
      </w:tblPr>
      <w:tblGrid>
        <w:gridCol w:w="2405"/>
        <w:gridCol w:w="992"/>
        <w:gridCol w:w="5620"/>
      </w:tblGrid>
      <w:tr w:rsidR="00274E13" w:rsidRPr="00B1534B" w:rsidTr="00043540">
        <w:trPr>
          <w:trHeight w:val="40"/>
          <w:tblHeader/>
        </w:trPr>
        <w:tc>
          <w:tcPr>
            <w:tcW w:w="2405" w:type="dxa"/>
            <w:vAlign w:val="center"/>
          </w:tcPr>
          <w:p w:rsidR="00274E13" w:rsidRDefault="00274E13" w:rsidP="00947E9D">
            <w:pPr>
              <w:pStyle w:val="Tabletext0"/>
              <w:keepNext/>
              <w:keepLines/>
              <w:rPr>
                <w:b/>
              </w:rPr>
            </w:pPr>
            <w:r>
              <w:rPr>
                <w:b/>
              </w:rPr>
              <w:t>Health state</w:t>
            </w:r>
          </w:p>
        </w:tc>
        <w:tc>
          <w:tcPr>
            <w:tcW w:w="992" w:type="dxa"/>
            <w:vAlign w:val="center"/>
          </w:tcPr>
          <w:p w:rsidR="00274E13" w:rsidRDefault="00274E13" w:rsidP="00947E9D">
            <w:pPr>
              <w:pStyle w:val="Tabletext0"/>
              <w:keepNext/>
              <w:keepLines/>
              <w:jc w:val="center"/>
              <w:rPr>
                <w:b/>
              </w:rPr>
            </w:pPr>
            <w:r>
              <w:rPr>
                <w:b/>
              </w:rPr>
              <w:t>Value</w:t>
            </w:r>
          </w:p>
        </w:tc>
        <w:tc>
          <w:tcPr>
            <w:tcW w:w="5620" w:type="dxa"/>
            <w:vAlign w:val="center"/>
          </w:tcPr>
          <w:p w:rsidR="00274E13" w:rsidRDefault="00274E13" w:rsidP="00947E9D">
            <w:pPr>
              <w:pStyle w:val="Tabletext0"/>
              <w:keepNext/>
              <w:keepLines/>
              <w:jc w:val="center"/>
              <w:rPr>
                <w:b/>
              </w:rPr>
            </w:pPr>
            <w:r>
              <w:rPr>
                <w:b/>
              </w:rPr>
              <w:t>Source</w:t>
            </w:r>
          </w:p>
        </w:tc>
      </w:tr>
      <w:tr w:rsidR="00705D19" w:rsidTr="000D5AB5">
        <w:tc>
          <w:tcPr>
            <w:tcW w:w="9017" w:type="dxa"/>
            <w:gridSpan w:val="3"/>
            <w:vAlign w:val="center"/>
          </w:tcPr>
          <w:p w:rsidR="00705D19" w:rsidRPr="006656E8" w:rsidRDefault="00705D19" w:rsidP="00947E9D">
            <w:pPr>
              <w:pStyle w:val="Tabletext0"/>
              <w:keepNext/>
              <w:keepLines/>
            </w:pPr>
            <w:r w:rsidRPr="006656E8">
              <w:t>First line progression free</w:t>
            </w:r>
          </w:p>
        </w:tc>
      </w:tr>
      <w:tr w:rsidR="00274E13" w:rsidTr="00043540">
        <w:tc>
          <w:tcPr>
            <w:tcW w:w="2405" w:type="dxa"/>
            <w:vAlign w:val="center"/>
          </w:tcPr>
          <w:p w:rsidR="00274E13" w:rsidRPr="006656E8" w:rsidRDefault="00274E13" w:rsidP="00947E9D">
            <w:pPr>
              <w:pStyle w:val="Tabletext0"/>
              <w:keepNext/>
              <w:keepLines/>
            </w:pPr>
            <w:r w:rsidRPr="006656E8">
              <w:t>- On IV treatment (cycles 1-6)</w:t>
            </w:r>
          </w:p>
        </w:tc>
        <w:tc>
          <w:tcPr>
            <w:tcW w:w="992" w:type="dxa"/>
            <w:vAlign w:val="center"/>
          </w:tcPr>
          <w:p w:rsidR="00274E13" w:rsidRPr="006656E8" w:rsidRDefault="00274E13" w:rsidP="00947E9D">
            <w:pPr>
              <w:pStyle w:val="Tabletext0"/>
              <w:keepNext/>
              <w:keepLines/>
              <w:jc w:val="center"/>
            </w:pPr>
            <w:r w:rsidRPr="006656E8">
              <w:t>0.67</w:t>
            </w:r>
          </w:p>
        </w:tc>
        <w:tc>
          <w:tcPr>
            <w:tcW w:w="5620" w:type="dxa"/>
            <w:vAlign w:val="center"/>
          </w:tcPr>
          <w:p w:rsidR="00274E13" w:rsidRPr="006656E8" w:rsidRDefault="00274E13" w:rsidP="00947E9D">
            <w:pPr>
              <w:pStyle w:val="Tabletext0"/>
              <w:keepNext/>
              <w:keepLines/>
            </w:pPr>
            <w:r w:rsidRPr="006656E8">
              <w:t>Based on utility values reported for PFS on initial therapy, IV treatment in the Kosmas 2015 publication. This contrasts with a mean utility score of 0.83-0.86 in Cycles 1-6 of the CLL-14 trial when patients received combination therapy with IV obinutuzumab</w:t>
            </w:r>
          </w:p>
        </w:tc>
      </w:tr>
      <w:tr w:rsidR="00274E13" w:rsidTr="00043540">
        <w:tc>
          <w:tcPr>
            <w:tcW w:w="2405" w:type="dxa"/>
            <w:vAlign w:val="center"/>
          </w:tcPr>
          <w:p w:rsidR="00274E13" w:rsidRPr="006656E8" w:rsidRDefault="00274E13" w:rsidP="00947E9D">
            <w:pPr>
              <w:pStyle w:val="Tabletext0"/>
              <w:keepNext/>
              <w:keepLines/>
            </w:pPr>
            <w:r w:rsidRPr="006656E8">
              <w:t>- On oral treatment (cycles 7-12)</w:t>
            </w:r>
          </w:p>
        </w:tc>
        <w:tc>
          <w:tcPr>
            <w:tcW w:w="992" w:type="dxa"/>
            <w:vAlign w:val="center"/>
          </w:tcPr>
          <w:p w:rsidR="00274E13" w:rsidRPr="006656E8" w:rsidRDefault="00274E13" w:rsidP="00947E9D">
            <w:pPr>
              <w:pStyle w:val="Tabletext0"/>
              <w:keepNext/>
              <w:keepLines/>
              <w:jc w:val="center"/>
            </w:pPr>
            <w:r w:rsidRPr="006656E8">
              <w:t>0.71</w:t>
            </w:r>
          </w:p>
        </w:tc>
        <w:tc>
          <w:tcPr>
            <w:tcW w:w="5620" w:type="dxa"/>
          </w:tcPr>
          <w:p w:rsidR="00274E13" w:rsidRPr="006656E8" w:rsidRDefault="00274E13" w:rsidP="00947E9D">
            <w:pPr>
              <w:pStyle w:val="Tabletext0"/>
              <w:keepNext/>
              <w:keepLines/>
            </w:pPr>
            <w:r w:rsidRPr="006656E8">
              <w:t>Based on utility values reported for PFS on initial therapy, oral treatment in the Kosmas 2015 publication. This contrasts with a mean utility score of 0.83-0.86 in Cycles 7-12 of the CLL-14 trial when patients received single agent oral therapy</w:t>
            </w:r>
          </w:p>
        </w:tc>
      </w:tr>
      <w:tr w:rsidR="00274E13" w:rsidTr="00043540">
        <w:tc>
          <w:tcPr>
            <w:tcW w:w="2405" w:type="dxa"/>
            <w:vAlign w:val="center"/>
          </w:tcPr>
          <w:p w:rsidR="00274E13" w:rsidRPr="006656E8" w:rsidRDefault="00274E13" w:rsidP="00947E9D">
            <w:pPr>
              <w:pStyle w:val="Tabletext0"/>
              <w:keepNext/>
              <w:keepLines/>
            </w:pPr>
            <w:r w:rsidRPr="006656E8">
              <w:t>- Off treatment</w:t>
            </w:r>
          </w:p>
        </w:tc>
        <w:tc>
          <w:tcPr>
            <w:tcW w:w="992" w:type="dxa"/>
            <w:vAlign w:val="center"/>
          </w:tcPr>
          <w:p w:rsidR="00274E13" w:rsidRPr="006656E8" w:rsidRDefault="00274E13" w:rsidP="00947E9D">
            <w:pPr>
              <w:pStyle w:val="Tabletext0"/>
              <w:keepNext/>
              <w:keepLines/>
              <w:jc w:val="center"/>
            </w:pPr>
            <w:r w:rsidRPr="006656E8">
              <w:t>0.82</w:t>
            </w:r>
          </w:p>
        </w:tc>
        <w:tc>
          <w:tcPr>
            <w:tcW w:w="5620" w:type="dxa"/>
          </w:tcPr>
          <w:p w:rsidR="00274E13" w:rsidRPr="006656E8" w:rsidRDefault="00274E13" w:rsidP="00947E9D">
            <w:pPr>
              <w:pStyle w:val="Tabletext0"/>
              <w:keepNext/>
              <w:keepLines/>
            </w:pPr>
            <w:r w:rsidRPr="006656E8">
              <w:t xml:space="preserve">Based on utility values reported for PFS after receiving an initial course of treatment in the Kosmas 2015 publication. </w:t>
            </w:r>
          </w:p>
        </w:tc>
      </w:tr>
      <w:tr w:rsidR="00274E13" w:rsidTr="00043540">
        <w:tc>
          <w:tcPr>
            <w:tcW w:w="2405" w:type="dxa"/>
            <w:vAlign w:val="center"/>
          </w:tcPr>
          <w:p w:rsidR="00274E13" w:rsidRPr="006656E8" w:rsidRDefault="00274E13" w:rsidP="00947E9D">
            <w:pPr>
              <w:pStyle w:val="Tabletext0"/>
              <w:keepNext/>
              <w:keepLines/>
            </w:pPr>
            <w:r w:rsidRPr="006656E8">
              <w:t>First line progressive disease “progressed but well”</w:t>
            </w:r>
          </w:p>
        </w:tc>
        <w:tc>
          <w:tcPr>
            <w:tcW w:w="992" w:type="dxa"/>
            <w:vAlign w:val="center"/>
          </w:tcPr>
          <w:p w:rsidR="00274E13" w:rsidRPr="006656E8" w:rsidRDefault="00274E13" w:rsidP="00947E9D">
            <w:pPr>
              <w:pStyle w:val="Tabletext0"/>
              <w:keepNext/>
              <w:keepLines/>
              <w:jc w:val="center"/>
            </w:pPr>
            <w:r w:rsidRPr="006656E8">
              <w:t>0.74</w:t>
            </w:r>
          </w:p>
        </w:tc>
        <w:tc>
          <w:tcPr>
            <w:tcW w:w="5620" w:type="dxa"/>
          </w:tcPr>
          <w:p w:rsidR="00274E13" w:rsidRPr="006656E8" w:rsidRDefault="00274E13" w:rsidP="00947E9D">
            <w:pPr>
              <w:pStyle w:val="Tabletext0"/>
              <w:keepNext/>
              <w:keepLines/>
            </w:pPr>
            <w:r w:rsidRPr="006656E8">
              <w:t xml:space="preserve">Assumption. Based </w:t>
            </w:r>
            <w:r w:rsidRPr="00725F10">
              <w:t>on midpoint between the off-treatment progression free utility (0.82) and the</w:t>
            </w:r>
            <w:r w:rsidRPr="006656E8">
              <w:t xml:space="preserve"> untreated progression after first line treatment utility (0.66)</w:t>
            </w:r>
          </w:p>
        </w:tc>
      </w:tr>
      <w:tr w:rsidR="00274E13" w:rsidTr="00043540">
        <w:tc>
          <w:tcPr>
            <w:tcW w:w="2405" w:type="dxa"/>
            <w:vAlign w:val="center"/>
          </w:tcPr>
          <w:p w:rsidR="00274E13" w:rsidRPr="006656E8" w:rsidRDefault="00274E13" w:rsidP="00947E9D">
            <w:pPr>
              <w:pStyle w:val="Tabletext0"/>
              <w:keepNext/>
              <w:keepLines/>
            </w:pPr>
            <w:r w:rsidRPr="006656E8">
              <w:t>Relapsed/refractory disease</w:t>
            </w:r>
          </w:p>
        </w:tc>
        <w:tc>
          <w:tcPr>
            <w:tcW w:w="992" w:type="dxa"/>
            <w:vAlign w:val="center"/>
          </w:tcPr>
          <w:p w:rsidR="00274E13" w:rsidRPr="006656E8" w:rsidRDefault="00274E13" w:rsidP="00947E9D">
            <w:pPr>
              <w:pStyle w:val="Tabletext0"/>
              <w:keepNext/>
              <w:keepLines/>
              <w:jc w:val="center"/>
            </w:pPr>
            <w:r w:rsidRPr="006656E8">
              <w:t>0.66</w:t>
            </w:r>
          </w:p>
        </w:tc>
        <w:tc>
          <w:tcPr>
            <w:tcW w:w="5620" w:type="dxa"/>
          </w:tcPr>
          <w:p w:rsidR="00274E13" w:rsidRPr="006656E8" w:rsidRDefault="00274E13" w:rsidP="00947E9D">
            <w:pPr>
              <w:pStyle w:val="Tabletext0"/>
              <w:keepNext/>
              <w:keepLines/>
            </w:pPr>
            <w:r w:rsidRPr="006656E8">
              <w:t>Based on utility valued reported for CLL progressing following receiving first line treatment and not currently receiving any therapy in the Kosmas 2015 publication</w:t>
            </w:r>
          </w:p>
        </w:tc>
      </w:tr>
    </w:tbl>
    <w:p w:rsidR="00274E13" w:rsidRPr="00743978" w:rsidRDefault="00274E13" w:rsidP="00274E13">
      <w:pPr>
        <w:pStyle w:val="TableFooter"/>
      </w:pPr>
      <w:r>
        <w:t>Source: Table 80, p.143 of the submission</w:t>
      </w:r>
    </w:p>
    <w:p w:rsidR="00274E13" w:rsidRDefault="00274E13" w:rsidP="00274E13">
      <w:pPr>
        <w:pStyle w:val="TableFooter"/>
      </w:pPr>
      <w:r>
        <w:t xml:space="preserve">Abbreviations: </w:t>
      </w:r>
      <w:r w:rsidRPr="009C69EB">
        <w:rPr>
          <w:szCs w:val="18"/>
        </w:rPr>
        <w:t>CLL, chronic lymphocytic leukaemia</w:t>
      </w:r>
      <w:r>
        <w:rPr>
          <w:szCs w:val="18"/>
        </w:rPr>
        <w:t>;</w:t>
      </w:r>
      <w:r>
        <w:t xml:space="preserve"> IV, intravenous; PFS, progression-free survival</w:t>
      </w:r>
    </w:p>
    <w:p w:rsidR="00274E13" w:rsidRDefault="00274E13" w:rsidP="00274E13">
      <w:pPr>
        <w:pStyle w:val="TableFooter"/>
      </w:pPr>
    </w:p>
    <w:p w:rsidR="007577C4" w:rsidRPr="003124D8" w:rsidRDefault="00C87FBF" w:rsidP="00A92077">
      <w:pPr>
        <w:pStyle w:val="ExecSumBodyText"/>
        <w:numPr>
          <w:ilvl w:val="1"/>
          <w:numId w:val="1"/>
        </w:numPr>
      </w:pPr>
      <w:r w:rsidRPr="003124D8">
        <w:t xml:space="preserve">The ESC noted that within trial quality of life data were collected in CLL-14 </w:t>
      </w:r>
      <w:r w:rsidR="006D0EFA" w:rsidRPr="003124D8">
        <w:t xml:space="preserve">for </w:t>
      </w:r>
      <w:r w:rsidR="003E6C96" w:rsidRPr="003124D8">
        <w:t xml:space="preserve">the 12 month period following initial treatment and </w:t>
      </w:r>
      <w:r w:rsidRPr="003124D8">
        <w:t xml:space="preserve">prior to </w:t>
      </w:r>
      <w:r w:rsidR="004524C4">
        <w:t>subsequent treatment</w:t>
      </w:r>
      <w:r w:rsidR="005C720C" w:rsidRPr="003124D8">
        <w:t xml:space="preserve"> (see Table 11 and Figure 6</w:t>
      </w:r>
      <w:r w:rsidRPr="003124D8">
        <w:t xml:space="preserve">). The ESC considered that the on treatment utility values applied in the model from Kosmas were low (0.67 and 0.71) compared to the mean utility scores of </w:t>
      </w:r>
      <w:r w:rsidR="00DD40E7">
        <w:rPr>
          <w:noProof/>
          <w:color w:val="000000"/>
          <w:highlight w:val="black"/>
        </w:rPr>
        <w:t>'''''''''</w:t>
      </w:r>
      <w:r w:rsidRPr="003124D8">
        <w:t xml:space="preserve"> to </w:t>
      </w:r>
      <w:r w:rsidR="00DD40E7">
        <w:rPr>
          <w:noProof/>
          <w:color w:val="000000"/>
          <w:highlight w:val="black"/>
        </w:rPr>
        <w:t>''''''''</w:t>
      </w:r>
      <w:r w:rsidRPr="003124D8">
        <w:t xml:space="preserve"> observed in both treatment arms </w:t>
      </w:r>
      <w:r w:rsidR="003E6C96" w:rsidRPr="003124D8">
        <w:t>of</w:t>
      </w:r>
      <w:r w:rsidR="007F44DB" w:rsidRPr="003124D8">
        <w:t xml:space="preserve"> CLL-14</w:t>
      </w:r>
      <w:r w:rsidR="003E6C96" w:rsidRPr="003124D8">
        <w:t>, which suggested that treatment exposure was not associated with a utility loss</w:t>
      </w:r>
      <w:r w:rsidRPr="003124D8">
        <w:t xml:space="preserve">. </w:t>
      </w:r>
      <w:r w:rsidR="00FB0969" w:rsidRPr="003124D8">
        <w:t>The ESC considered that the utilities applied in the model were underestimated, i.e. the numbers overestimated the decrement to quality of life.</w:t>
      </w:r>
    </w:p>
    <w:p w:rsidR="00D42E92" w:rsidRPr="003124D8" w:rsidRDefault="00C87FBF" w:rsidP="00A92077">
      <w:pPr>
        <w:pStyle w:val="ExecSumBodyText"/>
        <w:numPr>
          <w:ilvl w:val="1"/>
          <w:numId w:val="1"/>
        </w:numPr>
      </w:pPr>
      <w:r w:rsidRPr="003124D8">
        <w:t>Acknowledging that the Kosmas data were generated using the time-trade off method and the trial quality of life data were generated using the EQ-5D, the ESC noted that the PBAC Guidelines</w:t>
      </w:r>
      <w:r w:rsidR="002174B0" w:rsidRPr="003124D8">
        <w:t xml:space="preserve"> (version 5.0, 2016) </w:t>
      </w:r>
      <w:r w:rsidRPr="003124D8">
        <w:t xml:space="preserve">indicate a preference for trial based </w:t>
      </w:r>
      <w:r w:rsidR="007F44DB" w:rsidRPr="003124D8">
        <w:t xml:space="preserve">utility </w:t>
      </w:r>
      <w:r w:rsidR="00190027" w:rsidRPr="003124D8">
        <w:t xml:space="preserve"> </w:t>
      </w:r>
      <w:r w:rsidRPr="003124D8">
        <w:t>data when available</w:t>
      </w:r>
      <w:r w:rsidR="002174B0" w:rsidRPr="003124D8">
        <w:t>, unless there are significant concerns about the reliability or relevance of the trial-based utilities</w:t>
      </w:r>
      <w:r w:rsidRPr="003124D8">
        <w:t xml:space="preserve">. </w:t>
      </w:r>
      <w:r w:rsidR="00FB0969" w:rsidRPr="003124D8">
        <w:t xml:space="preserve">The submission claimed that the trial-based utility estimates were not used as they only reflected PFS and did not capture the utility loss associated with progression or subsequent therapy. However, the </w:t>
      </w:r>
      <w:r w:rsidR="002174B0" w:rsidRPr="003124D8">
        <w:t>ESC considered the use of the Kosmas utili</w:t>
      </w:r>
      <w:r w:rsidR="003740B5" w:rsidRPr="003124D8">
        <w:t>ti</w:t>
      </w:r>
      <w:r w:rsidR="002174B0" w:rsidRPr="003124D8">
        <w:t xml:space="preserve">es in the </w:t>
      </w:r>
      <w:r w:rsidR="003124D8">
        <w:t xml:space="preserve">base case was not adequately </w:t>
      </w:r>
      <w:r w:rsidR="002174B0" w:rsidRPr="003124D8">
        <w:t>justified</w:t>
      </w:r>
      <w:r w:rsidR="00FB0969" w:rsidRPr="003124D8">
        <w:t xml:space="preserve"> as, to capture post progression utility values, CLL-14 assessed patients at the time of the subsequent treatment visit, but before any procedures or drug infusions had been performed</w:t>
      </w:r>
      <w:r w:rsidR="002174B0" w:rsidRPr="003124D8">
        <w:t>.</w:t>
      </w:r>
      <w:r w:rsidRPr="003124D8">
        <w:t xml:space="preserve"> </w:t>
      </w:r>
    </w:p>
    <w:p w:rsidR="00A744A3" w:rsidRPr="003124D8" w:rsidRDefault="005C720C" w:rsidP="003E6C96">
      <w:pPr>
        <w:pStyle w:val="ExecSumBodyText"/>
        <w:keepNext/>
        <w:numPr>
          <w:ilvl w:val="0"/>
          <w:numId w:val="0"/>
        </w:numPr>
        <w:spacing w:after="0"/>
        <w:rPr>
          <w:rFonts w:ascii="Arial Narrow" w:hAnsi="Arial Narrow"/>
          <w:b/>
          <w:sz w:val="20"/>
          <w:szCs w:val="20"/>
        </w:rPr>
      </w:pPr>
      <w:r w:rsidRPr="003124D8">
        <w:rPr>
          <w:rFonts w:ascii="Arial Narrow" w:hAnsi="Arial Narrow"/>
          <w:b/>
          <w:sz w:val="20"/>
          <w:szCs w:val="20"/>
        </w:rPr>
        <w:t>Table 11</w:t>
      </w:r>
      <w:r w:rsidR="00A744A3" w:rsidRPr="003124D8">
        <w:rPr>
          <w:rFonts w:ascii="Arial Narrow" w:hAnsi="Arial Narrow"/>
          <w:b/>
          <w:sz w:val="20"/>
          <w:szCs w:val="20"/>
        </w:rPr>
        <w:t>: Baseline quality of life of patients in CLL-14: EQ-5D</w:t>
      </w:r>
    </w:p>
    <w:tbl>
      <w:tblPr>
        <w:tblStyle w:val="TableGrid1"/>
        <w:tblW w:w="5000" w:type="pct"/>
        <w:tblLook w:val="04A0" w:firstRow="1" w:lastRow="0" w:firstColumn="1" w:lastColumn="0" w:noHBand="0" w:noVBand="1"/>
        <w:tblCaption w:val="Table 11: Baseline quality of life of patients in CLL-14: EQ-5D"/>
      </w:tblPr>
      <w:tblGrid>
        <w:gridCol w:w="3010"/>
        <w:gridCol w:w="3004"/>
        <w:gridCol w:w="3003"/>
      </w:tblGrid>
      <w:tr w:rsidR="00A744A3" w:rsidRPr="003124D8" w:rsidTr="00B00147">
        <w:trPr>
          <w:cnfStyle w:val="100000000000" w:firstRow="1" w:lastRow="0" w:firstColumn="0" w:lastColumn="0" w:oddVBand="0" w:evenVBand="0" w:oddHBand="0" w:evenHBand="0" w:firstRowFirstColumn="0" w:firstRowLastColumn="0" w:lastRowFirstColumn="0" w:lastRowLastColumn="0"/>
          <w:tblHeader/>
        </w:trPr>
        <w:tc>
          <w:tcPr>
            <w:tcW w:w="1669" w:type="pct"/>
            <w:tcBorders>
              <w:bottom w:val="single" w:sz="4" w:space="0" w:color="auto"/>
            </w:tcBorders>
            <w:shd w:val="clear" w:color="auto" w:fill="auto"/>
          </w:tcPr>
          <w:p w:rsidR="00A744A3" w:rsidRPr="003124D8" w:rsidRDefault="00A744A3" w:rsidP="003E6C96">
            <w:pPr>
              <w:pStyle w:val="TableText"/>
              <w:spacing w:before="0" w:after="0"/>
              <w:jc w:val="both"/>
              <w:rPr>
                <w:b/>
                <w:bCs w:val="0"/>
              </w:rPr>
            </w:pPr>
            <w:r w:rsidRPr="003124D8">
              <w:rPr>
                <w:b/>
              </w:rPr>
              <w:t>Parameter</w:t>
            </w:r>
          </w:p>
        </w:tc>
        <w:tc>
          <w:tcPr>
            <w:tcW w:w="1666" w:type="pct"/>
            <w:tcBorders>
              <w:bottom w:val="single" w:sz="4" w:space="0" w:color="auto"/>
            </w:tcBorders>
            <w:shd w:val="clear" w:color="auto" w:fill="auto"/>
          </w:tcPr>
          <w:p w:rsidR="00A744A3" w:rsidRPr="003124D8" w:rsidRDefault="00C033EA" w:rsidP="003E6C96">
            <w:pPr>
              <w:pStyle w:val="TableText"/>
              <w:spacing w:before="0" w:after="0"/>
              <w:jc w:val="center"/>
              <w:rPr>
                <w:b/>
                <w:bCs w:val="0"/>
              </w:rPr>
            </w:pPr>
            <w:r w:rsidRPr="003124D8">
              <w:rPr>
                <w:b/>
              </w:rPr>
              <w:t>Venetoclax + obinutuzumab</w:t>
            </w:r>
          </w:p>
        </w:tc>
        <w:tc>
          <w:tcPr>
            <w:tcW w:w="1665" w:type="pct"/>
            <w:tcBorders>
              <w:bottom w:val="single" w:sz="4" w:space="0" w:color="auto"/>
            </w:tcBorders>
            <w:shd w:val="clear" w:color="auto" w:fill="auto"/>
          </w:tcPr>
          <w:p w:rsidR="00A744A3" w:rsidRPr="003124D8" w:rsidRDefault="00C033EA" w:rsidP="003E6C96">
            <w:pPr>
              <w:pStyle w:val="TableText"/>
              <w:spacing w:before="0" w:after="0"/>
              <w:jc w:val="center"/>
              <w:rPr>
                <w:b/>
                <w:bCs w:val="0"/>
              </w:rPr>
            </w:pPr>
            <w:r w:rsidRPr="003124D8">
              <w:rPr>
                <w:b/>
              </w:rPr>
              <w:t>Obinutuzumab +</w:t>
            </w:r>
            <w:r w:rsidR="00C87FBF" w:rsidRPr="003124D8">
              <w:rPr>
                <w:b/>
              </w:rPr>
              <w:t xml:space="preserve"> </w:t>
            </w:r>
            <w:r w:rsidRPr="003124D8">
              <w:rPr>
                <w:b/>
              </w:rPr>
              <w:t>chlorambucil</w:t>
            </w:r>
          </w:p>
        </w:tc>
      </w:tr>
      <w:tr w:rsidR="00A744A3" w:rsidRPr="003124D8" w:rsidTr="00A744A3">
        <w:tc>
          <w:tcPr>
            <w:tcW w:w="1669" w:type="pct"/>
          </w:tcPr>
          <w:p w:rsidR="00A744A3" w:rsidRPr="003124D8" w:rsidRDefault="00A744A3" w:rsidP="003E6C96">
            <w:pPr>
              <w:pStyle w:val="TableText"/>
              <w:spacing w:before="0" w:after="0"/>
              <w:jc w:val="both"/>
            </w:pPr>
            <w:r w:rsidRPr="003124D8">
              <w:t>N</w:t>
            </w:r>
          </w:p>
        </w:tc>
        <w:tc>
          <w:tcPr>
            <w:tcW w:w="1666" w:type="pct"/>
          </w:tcPr>
          <w:p w:rsidR="00A744A3" w:rsidRPr="00DD40E7" w:rsidRDefault="00DD40E7" w:rsidP="003E6C96">
            <w:pPr>
              <w:pStyle w:val="TableText"/>
              <w:spacing w:before="0" w:after="0"/>
              <w:jc w:val="center"/>
              <w:rPr>
                <w:highlight w:val="black"/>
              </w:rPr>
            </w:pPr>
            <w:r>
              <w:rPr>
                <w:noProof/>
                <w:color w:val="000000"/>
                <w:highlight w:val="black"/>
              </w:rPr>
              <w:t>''''''''''</w:t>
            </w:r>
          </w:p>
        </w:tc>
        <w:tc>
          <w:tcPr>
            <w:tcW w:w="1665" w:type="pct"/>
          </w:tcPr>
          <w:p w:rsidR="00A744A3" w:rsidRPr="00DD40E7" w:rsidRDefault="00DD40E7" w:rsidP="003E6C96">
            <w:pPr>
              <w:pStyle w:val="TableText"/>
              <w:spacing w:before="0" w:after="0"/>
              <w:jc w:val="center"/>
              <w:rPr>
                <w:highlight w:val="black"/>
              </w:rPr>
            </w:pPr>
            <w:r>
              <w:rPr>
                <w:noProof/>
                <w:color w:val="000000"/>
                <w:highlight w:val="black"/>
              </w:rPr>
              <w:t>'''''''''</w:t>
            </w:r>
          </w:p>
        </w:tc>
      </w:tr>
      <w:tr w:rsidR="00A744A3" w:rsidRPr="003124D8" w:rsidTr="00A744A3">
        <w:tc>
          <w:tcPr>
            <w:tcW w:w="1669" w:type="pct"/>
            <w:tcBorders>
              <w:bottom w:val="single" w:sz="4" w:space="0" w:color="auto"/>
            </w:tcBorders>
          </w:tcPr>
          <w:p w:rsidR="00A744A3" w:rsidRPr="003124D8" w:rsidRDefault="00A744A3" w:rsidP="003E6C96">
            <w:pPr>
              <w:pStyle w:val="TableText"/>
              <w:spacing w:before="0" w:after="0"/>
              <w:jc w:val="both"/>
            </w:pPr>
            <w:r w:rsidRPr="003124D8">
              <w:t>Mean (SD)</w:t>
            </w:r>
          </w:p>
        </w:tc>
        <w:tc>
          <w:tcPr>
            <w:tcW w:w="1666" w:type="pct"/>
            <w:tcBorders>
              <w:bottom w:val="single" w:sz="4" w:space="0" w:color="auto"/>
            </w:tcBorders>
          </w:tcPr>
          <w:p w:rsidR="00A744A3" w:rsidRPr="003124D8" w:rsidRDefault="00DD40E7" w:rsidP="003E6C96">
            <w:pPr>
              <w:pStyle w:val="TableText"/>
              <w:spacing w:before="0" w:after="0"/>
              <w:jc w:val="center"/>
            </w:pPr>
            <w:r>
              <w:rPr>
                <w:noProof/>
                <w:color w:val="000000"/>
                <w:highlight w:val="black"/>
              </w:rPr>
              <w:t>'''''''''''</w:t>
            </w:r>
            <w:r w:rsidR="00A744A3" w:rsidRPr="003124D8">
              <w:t xml:space="preserve"> (</w:t>
            </w:r>
            <w:r>
              <w:rPr>
                <w:noProof/>
                <w:color w:val="000000"/>
                <w:highlight w:val="black"/>
              </w:rPr>
              <w:t>''''''''''</w:t>
            </w:r>
            <w:r w:rsidR="00A744A3" w:rsidRPr="003124D8">
              <w:t>)</w:t>
            </w:r>
          </w:p>
        </w:tc>
        <w:tc>
          <w:tcPr>
            <w:tcW w:w="1665" w:type="pct"/>
            <w:tcBorders>
              <w:bottom w:val="single" w:sz="4" w:space="0" w:color="auto"/>
            </w:tcBorders>
          </w:tcPr>
          <w:p w:rsidR="00A744A3" w:rsidRPr="003124D8" w:rsidRDefault="00DD40E7" w:rsidP="003E6C96">
            <w:pPr>
              <w:pStyle w:val="TableText"/>
              <w:spacing w:before="0" w:after="0"/>
              <w:jc w:val="center"/>
            </w:pPr>
            <w:r>
              <w:rPr>
                <w:noProof/>
                <w:color w:val="000000"/>
                <w:highlight w:val="black"/>
              </w:rPr>
              <w:t>''''''''''</w:t>
            </w:r>
            <w:r w:rsidR="00A744A3" w:rsidRPr="003124D8">
              <w:t xml:space="preserve"> (</w:t>
            </w:r>
            <w:r>
              <w:rPr>
                <w:noProof/>
                <w:color w:val="000000"/>
                <w:highlight w:val="black"/>
              </w:rPr>
              <w:t>'''''''''''</w:t>
            </w:r>
            <w:r w:rsidR="00A744A3" w:rsidRPr="003124D8">
              <w:t>)</w:t>
            </w:r>
          </w:p>
        </w:tc>
      </w:tr>
      <w:tr w:rsidR="00A744A3" w:rsidRPr="003124D8" w:rsidTr="00A744A3">
        <w:tc>
          <w:tcPr>
            <w:tcW w:w="1669" w:type="pct"/>
          </w:tcPr>
          <w:p w:rsidR="00A744A3" w:rsidRPr="003124D8" w:rsidRDefault="00A744A3" w:rsidP="003E6C96">
            <w:pPr>
              <w:pStyle w:val="TableText"/>
              <w:spacing w:before="0" w:after="0"/>
              <w:jc w:val="both"/>
            </w:pPr>
            <w:r w:rsidRPr="003124D8">
              <w:t>Median [IQR</w:t>
            </w:r>
            <w:r w:rsidR="005D3C79">
              <w:t>]</w:t>
            </w:r>
          </w:p>
        </w:tc>
        <w:tc>
          <w:tcPr>
            <w:tcW w:w="1666" w:type="pct"/>
          </w:tcPr>
          <w:p w:rsidR="00A744A3" w:rsidRPr="003124D8" w:rsidRDefault="00DD40E7" w:rsidP="003E6C96">
            <w:pPr>
              <w:pStyle w:val="TableText"/>
              <w:spacing w:before="0" w:after="0"/>
              <w:jc w:val="center"/>
            </w:pPr>
            <w:r>
              <w:rPr>
                <w:noProof/>
                <w:color w:val="000000"/>
                <w:highlight w:val="black"/>
              </w:rPr>
              <w:t>'''''''''''</w:t>
            </w:r>
            <w:r w:rsidR="00A744A3" w:rsidRPr="003124D8">
              <w:t xml:space="preserve"> [</w:t>
            </w:r>
            <w:r>
              <w:rPr>
                <w:noProof/>
                <w:color w:val="000000"/>
                <w:highlight w:val="black"/>
              </w:rPr>
              <w:t>'''''''''''</w:t>
            </w:r>
            <w:r w:rsidR="00A744A3" w:rsidRPr="003124D8">
              <w:t>-</w:t>
            </w:r>
            <w:r>
              <w:rPr>
                <w:noProof/>
                <w:color w:val="000000"/>
                <w:highlight w:val="black"/>
              </w:rPr>
              <w:t>''''''''''</w:t>
            </w:r>
            <w:r w:rsidR="00A744A3" w:rsidRPr="003124D8">
              <w:t>]</w:t>
            </w:r>
          </w:p>
        </w:tc>
        <w:tc>
          <w:tcPr>
            <w:tcW w:w="1665" w:type="pct"/>
          </w:tcPr>
          <w:p w:rsidR="00A744A3" w:rsidRPr="003124D8" w:rsidRDefault="00DD40E7" w:rsidP="003E6C96">
            <w:pPr>
              <w:pStyle w:val="TableText"/>
              <w:spacing w:before="0" w:after="0"/>
              <w:jc w:val="center"/>
            </w:pPr>
            <w:r>
              <w:rPr>
                <w:noProof/>
                <w:color w:val="000000"/>
                <w:highlight w:val="black"/>
              </w:rPr>
              <w:t>''''''''''</w:t>
            </w:r>
            <w:r w:rsidR="00A744A3" w:rsidRPr="003124D8">
              <w:t xml:space="preserve"> [</w:t>
            </w:r>
            <w:r>
              <w:rPr>
                <w:noProof/>
                <w:color w:val="000000"/>
                <w:highlight w:val="black"/>
              </w:rPr>
              <w:t>'''''''''''</w:t>
            </w:r>
            <w:r w:rsidR="00A744A3" w:rsidRPr="003124D8">
              <w:t>-</w:t>
            </w:r>
            <w:r>
              <w:rPr>
                <w:noProof/>
                <w:color w:val="000000"/>
                <w:highlight w:val="black"/>
              </w:rPr>
              <w:t>''''''''''''</w:t>
            </w:r>
            <w:r w:rsidR="00A744A3" w:rsidRPr="003124D8">
              <w:t>]</w:t>
            </w:r>
          </w:p>
        </w:tc>
      </w:tr>
      <w:tr w:rsidR="00A744A3" w:rsidRPr="003124D8" w:rsidTr="00A744A3">
        <w:tc>
          <w:tcPr>
            <w:tcW w:w="1669" w:type="pct"/>
          </w:tcPr>
          <w:p w:rsidR="00A744A3" w:rsidRPr="003124D8" w:rsidRDefault="00A744A3" w:rsidP="003E6C96">
            <w:pPr>
              <w:pStyle w:val="TableText"/>
              <w:spacing w:before="0" w:after="0"/>
              <w:jc w:val="both"/>
            </w:pPr>
            <w:r w:rsidRPr="003124D8">
              <w:t>Range (min – max)</w:t>
            </w:r>
          </w:p>
        </w:tc>
        <w:tc>
          <w:tcPr>
            <w:tcW w:w="1666" w:type="pct"/>
          </w:tcPr>
          <w:p w:rsidR="00A744A3" w:rsidRPr="003124D8" w:rsidRDefault="00DD40E7" w:rsidP="003E6C96">
            <w:pPr>
              <w:pStyle w:val="TableText"/>
              <w:spacing w:before="0" w:after="0"/>
              <w:jc w:val="center"/>
            </w:pPr>
            <w:r>
              <w:rPr>
                <w:noProof/>
                <w:color w:val="000000"/>
                <w:highlight w:val="black"/>
              </w:rPr>
              <w:t>'''''''''</w:t>
            </w:r>
            <w:r w:rsidR="00A744A3" w:rsidRPr="003124D8">
              <w:t xml:space="preserve"> – </w:t>
            </w:r>
            <w:r>
              <w:rPr>
                <w:noProof/>
                <w:color w:val="000000"/>
                <w:highlight w:val="black"/>
              </w:rPr>
              <w:t>'''''''</w:t>
            </w:r>
          </w:p>
        </w:tc>
        <w:tc>
          <w:tcPr>
            <w:tcW w:w="1665" w:type="pct"/>
          </w:tcPr>
          <w:p w:rsidR="00A744A3" w:rsidRPr="003124D8" w:rsidRDefault="00DD40E7" w:rsidP="003E6C96">
            <w:pPr>
              <w:pStyle w:val="TableText"/>
              <w:spacing w:before="0" w:after="0"/>
              <w:jc w:val="center"/>
            </w:pPr>
            <w:r>
              <w:rPr>
                <w:noProof/>
                <w:color w:val="000000"/>
                <w:highlight w:val="black"/>
              </w:rPr>
              <w:t>'''''''''</w:t>
            </w:r>
            <w:r w:rsidR="00A744A3" w:rsidRPr="003124D8">
              <w:t xml:space="preserve"> – </w:t>
            </w:r>
            <w:r>
              <w:rPr>
                <w:noProof/>
                <w:color w:val="000000"/>
                <w:highlight w:val="black"/>
              </w:rPr>
              <w:t>'''''''</w:t>
            </w:r>
          </w:p>
        </w:tc>
      </w:tr>
    </w:tbl>
    <w:p w:rsidR="00A744A3" w:rsidRPr="003124D8" w:rsidRDefault="00A744A3" w:rsidP="00A744A3">
      <w:pPr>
        <w:pStyle w:val="TableFooter"/>
      </w:pPr>
      <w:r w:rsidRPr="003124D8">
        <w:t>Source: Table 75, p.138 of the submission</w:t>
      </w:r>
    </w:p>
    <w:p w:rsidR="00A744A3" w:rsidRPr="003124D8" w:rsidRDefault="00A744A3" w:rsidP="00A744A3">
      <w:pPr>
        <w:pStyle w:val="TableNotes"/>
        <w:spacing w:before="0" w:after="0"/>
        <w:jc w:val="both"/>
        <w:rPr>
          <w:rFonts w:ascii="Arial Narrow" w:hAnsi="Arial Narrow"/>
          <w:b/>
          <w:sz w:val="18"/>
          <w:szCs w:val="18"/>
        </w:rPr>
      </w:pPr>
      <w:r w:rsidRPr="003124D8">
        <w:rPr>
          <w:rFonts w:ascii="Arial Narrow" w:hAnsi="Arial Narrow"/>
          <w:sz w:val="18"/>
          <w:szCs w:val="18"/>
        </w:rPr>
        <w:t>Abbreviations: IQR, interquartile range; SD, standard deviation; EQ-5D, EuroQol 5 dimension questionnaire</w:t>
      </w:r>
    </w:p>
    <w:p w:rsidR="00D42E92" w:rsidRDefault="00D42E92" w:rsidP="003E6C96"/>
    <w:p w:rsidR="001477F3" w:rsidRPr="003124D8" w:rsidRDefault="005C720C" w:rsidP="00A92077">
      <w:pPr>
        <w:pStyle w:val="ExecSumBodyText"/>
        <w:keepNext/>
        <w:numPr>
          <w:ilvl w:val="0"/>
          <w:numId w:val="0"/>
        </w:numPr>
        <w:rPr>
          <w:rFonts w:ascii="Arial Narrow" w:hAnsi="Arial Narrow"/>
          <w:b/>
          <w:sz w:val="20"/>
          <w:szCs w:val="20"/>
        </w:rPr>
      </w:pPr>
      <w:r w:rsidRPr="003124D8">
        <w:rPr>
          <w:rFonts w:ascii="Arial Narrow" w:hAnsi="Arial Narrow"/>
          <w:b/>
          <w:sz w:val="20"/>
          <w:szCs w:val="20"/>
        </w:rPr>
        <w:lastRenderedPageBreak/>
        <w:t>Figure 6</w:t>
      </w:r>
      <w:r w:rsidR="001477F3" w:rsidRPr="003124D8">
        <w:rPr>
          <w:rFonts w:ascii="Arial Narrow" w:hAnsi="Arial Narrow"/>
          <w:b/>
          <w:sz w:val="20"/>
          <w:szCs w:val="20"/>
        </w:rPr>
        <w:t xml:space="preserve">: Change from baseline EQ-5D utility value in CLL-14 ITT population </w:t>
      </w:r>
    </w:p>
    <w:p w:rsidR="001477F3" w:rsidRPr="003124D8" w:rsidRDefault="00DD40E7" w:rsidP="00A92077">
      <w:pPr>
        <w:pStyle w:val="ExecSumBodyText"/>
        <w:keepNext/>
        <w:numPr>
          <w:ilvl w:val="0"/>
          <w:numId w:val="0"/>
        </w:numPr>
      </w:pPr>
      <w:r>
        <w:rPr>
          <w:noProof/>
          <w:snapToGrid/>
        </w:rPr>
        <w:drawing>
          <wp:inline distT="0" distB="0" distL="0" distR="0">
            <wp:extent cx="5732145" cy="2564765"/>
            <wp:effectExtent l="0" t="0" r="1905" b="6985"/>
            <wp:docPr id="1" name="Picture 1" title="Figure 6: Change from baseline EQ-5D utility value in CLL-14 ITT population redacted"/>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32145" cy="2564765"/>
                    </a:xfrm>
                    <a:prstGeom prst="rect">
                      <a:avLst/>
                    </a:prstGeom>
                  </pic:spPr>
                </pic:pic>
              </a:graphicData>
            </a:graphic>
          </wp:inline>
        </w:drawing>
      </w:r>
    </w:p>
    <w:p w:rsidR="001477F3" w:rsidRPr="003124D8" w:rsidRDefault="001477F3" w:rsidP="00A92077">
      <w:pPr>
        <w:pStyle w:val="TableFooter"/>
        <w:keepNext/>
      </w:pPr>
      <w:r w:rsidRPr="003124D8">
        <w:t>Source: Figure 61, p.139 of the submission</w:t>
      </w:r>
    </w:p>
    <w:p w:rsidR="001477F3" w:rsidRPr="0068613D" w:rsidRDefault="001477F3" w:rsidP="001477F3">
      <w:pPr>
        <w:pStyle w:val="ExecSumBodyText"/>
        <w:numPr>
          <w:ilvl w:val="0"/>
          <w:numId w:val="0"/>
        </w:numPr>
        <w:rPr>
          <w:i/>
        </w:rPr>
      </w:pPr>
    </w:p>
    <w:p w:rsidR="00E05479" w:rsidRDefault="00E05479" w:rsidP="006C16A0">
      <w:pPr>
        <w:pStyle w:val="ExecSumBodyText"/>
        <w:numPr>
          <w:ilvl w:val="1"/>
          <w:numId w:val="1"/>
        </w:numPr>
      </w:pPr>
      <w:r>
        <w:t xml:space="preserve">The PBAC noted that utility values from the Kosmos (2015) were used when obinutuzumab was considered in March 2015. </w:t>
      </w:r>
      <w:r w:rsidR="008C4537">
        <w:t xml:space="preserve">In addition, the PBAC noted that it had previously accepted a lower utility value for patients who were in the ‘asymptomatic progression’ health state. However, the PBAC </w:t>
      </w:r>
      <w:r w:rsidR="00A61708">
        <w:t>noted the trial-based utilities in CLL-14 were inconsistent with the Kosmos utilities. The PBAC also not</w:t>
      </w:r>
      <w:r w:rsidR="008C4537">
        <w:t>ed that the CLL treatment landscape had changed significantly since the recommendation of obinutuzumab + chlorambucil in the first-line setting, with numerous efficacious treatments now available in the relapsed or refractory setting.</w:t>
      </w:r>
    </w:p>
    <w:p w:rsidR="006C16A0" w:rsidRPr="006656E8" w:rsidRDefault="006C16A0" w:rsidP="006C16A0">
      <w:pPr>
        <w:pStyle w:val="ExecSumBodyText"/>
        <w:numPr>
          <w:ilvl w:val="1"/>
          <w:numId w:val="1"/>
        </w:numPr>
      </w:pPr>
      <w:r w:rsidRPr="006656E8">
        <w:t>Key drivers of the economic model are summarised in the table below</w:t>
      </w:r>
      <w:r w:rsidR="00816EBF" w:rsidRPr="006656E8">
        <w:t>.</w:t>
      </w:r>
    </w:p>
    <w:p w:rsidR="006C16A0" w:rsidRPr="00BB00B3" w:rsidRDefault="006C16A0" w:rsidP="006C16A0">
      <w:pPr>
        <w:pStyle w:val="TableHeading"/>
        <w:spacing w:after="0"/>
      </w:pPr>
      <w:r w:rsidRPr="00BB00B3">
        <w:t xml:space="preserve">Table </w:t>
      </w:r>
      <w:r w:rsidR="00816EBF">
        <w:t>1</w:t>
      </w:r>
      <w:r w:rsidR="005C720C">
        <w:t>2</w:t>
      </w:r>
      <w:r w:rsidRPr="00BB00B3">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0"/>
        <w:gridCol w:w="5958"/>
        <w:gridCol w:w="1509"/>
      </w:tblGrid>
      <w:tr w:rsidR="006C16A0" w:rsidRPr="003D1DE4" w:rsidTr="00C26CBB">
        <w:trPr>
          <w:cantSplit/>
          <w:tblHeader/>
        </w:trPr>
        <w:tc>
          <w:tcPr>
            <w:tcW w:w="859" w:type="pct"/>
            <w:shd w:val="clear" w:color="auto" w:fill="auto"/>
            <w:vAlign w:val="center"/>
          </w:tcPr>
          <w:p w:rsidR="006C16A0" w:rsidRPr="003D1DE4" w:rsidRDefault="006C16A0" w:rsidP="006C16A0">
            <w:pPr>
              <w:pStyle w:val="Tableheadingrow"/>
              <w:keepNext w:val="0"/>
              <w:widowControl w:val="0"/>
              <w:jc w:val="center"/>
            </w:pPr>
            <w:r w:rsidRPr="003D1DE4">
              <w:t>Description</w:t>
            </w:r>
          </w:p>
        </w:tc>
        <w:tc>
          <w:tcPr>
            <w:tcW w:w="3304" w:type="pct"/>
            <w:shd w:val="clear" w:color="auto" w:fill="auto"/>
            <w:vAlign w:val="center"/>
          </w:tcPr>
          <w:p w:rsidR="006C16A0" w:rsidRPr="003D1DE4" w:rsidRDefault="006C16A0" w:rsidP="006C16A0">
            <w:pPr>
              <w:pStyle w:val="Tableheadingrow"/>
              <w:keepNext w:val="0"/>
              <w:widowControl w:val="0"/>
              <w:jc w:val="center"/>
            </w:pPr>
            <w:r w:rsidRPr="003D1DE4">
              <w:t>Method/Value</w:t>
            </w:r>
          </w:p>
        </w:tc>
        <w:tc>
          <w:tcPr>
            <w:tcW w:w="837" w:type="pct"/>
            <w:shd w:val="clear" w:color="auto" w:fill="auto"/>
            <w:vAlign w:val="center"/>
          </w:tcPr>
          <w:p w:rsidR="006C16A0" w:rsidRPr="003D1DE4" w:rsidRDefault="006C16A0" w:rsidP="006C16A0">
            <w:pPr>
              <w:pStyle w:val="Tableheadingrow"/>
              <w:keepNext w:val="0"/>
              <w:widowControl w:val="0"/>
              <w:jc w:val="center"/>
            </w:pPr>
            <w:r w:rsidRPr="003D1DE4">
              <w:t>Impact</w:t>
            </w:r>
          </w:p>
        </w:tc>
      </w:tr>
      <w:tr w:rsidR="00274E13" w:rsidRPr="00E2771E" w:rsidTr="00C26CBB">
        <w:trPr>
          <w:cantSplit/>
        </w:trPr>
        <w:tc>
          <w:tcPr>
            <w:tcW w:w="859" w:type="pct"/>
            <w:shd w:val="clear" w:color="auto" w:fill="auto"/>
            <w:vAlign w:val="center"/>
          </w:tcPr>
          <w:p w:rsidR="00274E13" w:rsidRPr="003124D8" w:rsidRDefault="00274E13" w:rsidP="00274E13">
            <w:pPr>
              <w:pStyle w:val="TableText"/>
              <w:keepNext w:val="0"/>
              <w:widowControl w:val="0"/>
              <w:jc w:val="center"/>
              <w:rPr>
                <w:lang w:val="en-US"/>
              </w:rPr>
            </w:pPr>
            <w:r w:rsidRPr="003124D8">
              <w:rPr>
                <w:lang w:val="en-US"/>
              </w:rPr>
              <w:t>Duration of treatment effect</w:t>
            </w:r>
          </w:p>
        </w:tc>
        <w:tc>
          <w:tcPr>
            <w:tcW w:w="3304" w:type="pct"/>
            <w:shd w:val="clear" w:color="auto" w:fill="auto"/>
            <w:vAlign w:val="center"/>
          </w:tcPr>
          <w:p w:rsidR="00274E13" w:rsidRPr="003124D8" w:rsidRDefault="00274E13" w:rsidP="00274E13">
            <w:pPr>
              <w:pStyle w:val="TableText"/>
              <w:keepNext w:val="0"/>
              <w:widowControl w:val="0"/>
              <w:rPr>
                <w:lang w:val="en-US"/>
              </w:rPr>
            </w:pPr>
            <w:r w:rsidRPr="003124D8">
              <w:rPr>
                <w:lang w:val="en-US"/>
              </w:rPr>
              <w:t>OS, PFS and TTNT survival curves were extrapolated from 2.33 years in the CLL-14 trial to 10 years in the economic model based on exponential survival functions. Risk convergence between treatment arms was assumed to occur after 5 years</w:t>
            </w:r>
            <w:r w:rsidR="009A6072" w:rsidRPr="003124D8">
              <w:rPr>
                <w:lang w:val="en-US"/>
              </w:rPr>
              <w:t>. T</w:t>
            </w:r>
            <w:r w:rsidR="00162D17" w:rsidRPr="003124D8">
              <w:rPr>
                <w:lang w:val="en-US"/>
              </w:rPr>
              <w:t>h</w:t>
            </w:r>
            <w:r w:rsidR="00CE425A" w:rsidRPr="003124D8">
              <w:rPr>
                <w:lang w:val="en-US"/>
              </w:rPr>
              <w:t xml:space="preserve">e </w:t>
            </w:r>
            <w:r w:rsidR="005A4508" w:rsidRPr="003124D8">
              <w:rPr>
                <w:lang w:val="en-US"/>
              </w:rPr>
              <w:t>PSCR stated</w:t>
            </w:r>
            <w:r w:rsidR="00B37324" w:rsidRPr="003124D8">
              <w:rPr>
                <w:lang w:val="en-US"/>
              </w:rPr>
              <w:t xml:space="preserve"> that the model was conservative as </w:t>
            </w:r>
            <w:r w:rsidR="00243482" w:rsidRPr="003124D8">
              <w:rPr>
                <w:lang w:val="en-US"/>
              </w:rPr>
              <w:t xml:space="preserve">these curves </w:t>
            </w:r>
            <w:r w:rsidR="008979E8" w:rsidRPr="003124D8">
              <w:rPr>
                <w:lang w:val="en-US"/>
              </w:rPr>
              <w:t xml:space="preserve">were extrapolated </w:t>
            </w:r>
            <w:r w:rsidR="00243482" w:rsidRPr="003124D8">
              <w:rPr>
                <w:lang w:val="en-US"/>
              </w:rPr>
              <w:t>for only 20 months (</w:t>
            </w:r>
            <w:r w:rsidR="008979E8" w:rsidRPr="003124D8">
              <w:rPr>
                <w:lang w:val="en-US"/>
              </w:rPr>
              <w:t xml:space="preserve">i.e. from 2.33 to </w:t>
            </w:r>
            <w:r w:rsidR="00243482" w:rsidRPr="003124D8">
              <w:rPr>
                <w:lang w:val="en-US"/>
              </w:rPr>
              <w:t>five years)</w:t>
            </w:r>
            <w:r w:rsidR="008979E8" w:rsidRPr="003124D8">
              <w:rPr>
                <w:lang w:val="en-US"/>
              </w:rPr>
              <w:t>,</w:t>
            </w:r>
            <w:r w:rsidR="00243482" w:rsidRPr="003124D8">
              <w:rPr>
                <w:lang w:val="en-US"/>
              </w:rPr>
              <w:t xml:space="preserve"> after which no treatment effect </w:t>
            </w:r>
            <w:r w:rsidR="008979E8" w:rsidRPr="003124D8">
              <w:rPr>
                <w:lang w:val="en-US"/>
              </w:rPr>
              <w:t>was assumed</w:t>
            </w:r>
            <w:r w:rsidR="00345DBC" w:rsidRPr="003124D8">
              <w:rPr>
                <w:lang w:val="en-US"/>
              </w:rPr>
              <w:t>. The ESC considered that</w:t>
            </w:r>
            <w:r w:rsidR="00243482" w:rsidRPr="003124D8">
              <w:rPr>
                <w:lang w:val="en-US"/>
              </w:rPr>
              <w:t xml:space="preserve"> </w:t>
            </w:r>
            <w:r w:rsidR="00345DBC" w:rsidRPr="003124D8">
              <w:rPr>
                <w:lang w:val="en-US"/>
              </w:rPr>
              <w:t>curve convergence from 5 years rather than risk convergence would be more conservative and a more informative base case.</w:t>
            </w:r>
            <w:r w:rsidR="00B37324" w:rsidRPr="003124D8">
              <w:rPr>
                <w:lang w:val="en-US"/>
              </w:rPr>
              <w:t xml:space="preserve"> </w:t>
            </w:r>
            <w:r w:rsidR="00CE425A" w:rsidRPr="003124D8">
              <w:rPr>
                <w:lang w:val="en-US"/>
              </w:rPr>
              <w:t xml:space="preserve"> </w:t>
            </w:r>
            <w:r w:rsidR="00162D17" w:rsidRPr="003124D8">
              <w:rPr>
                <w:lang w:val="en-US"/>
              </w:rPr>
              <w:t xml:space="preserve"> </w:t>
            </w:r>
          </w:p>
          <w:p w:rsidR="00274E13" w:rsidRPr="003124D8" w:rsidRDefault="00274E13" w:rsidP="00274E13">
            <w:pPr>
              <w:pStyle w:val="TableText"/>
              <w:keepNext w:val="0"/>
              <w:widowControl w:val="0"/>
              <w:rPr>
                <w:lang w:val="en-US"/>
              </w:rPr>
            </w:pPr>
          </w:p>
          <w:p w:rsidR="00274E13" w:rsidRPr="003124D8" w:rsidRDefault="00274E13" w:rsidP="00162D17">
            <w:pPr>
              <w:pStyle w:val="TableText"/>
              <w:keepNext w:val="0"/>
              <w:widowControl w:val="0"/>
              <w:rPr>
                <w:lang w:val="en-US"/>
              </w:rPr>
            </w:pPr>
            <w:r w:rsidRPr="003124D8">
              <w:rPr>
                <w:lang w:val="en-US"/>
              </w:rPr>
              <w:t xml:space="preserve">The risk convergence time point </w:t>
            </w:r>
            <w:r w:rsidR="00C746AF" w:rsidRPr="003124D8">
              <w:rPr>
                <w:lang w:val="en-US"/>
              </w:rPr>
              <w:t xml:space="preserve">(5 years) </w:t>
            </w:r>
            <w:r w:rsidRPr="003124D8">
              <w:rPr>
                <w:lang w:val="en-US"/>
              </w:rPr>
              <w:t>was based on an arbitrary assumption.</w:t>
            </w:r>
            <w:r w:rsidR="00162D17" w:rsidRPr="003124D8">
              <w:rPr>
                <w:lang w:val="en-US"/>
              </w:rPr>
              <w:t xml:space="preserve"> </w:t>
            </w:r>
            <w:r w:rsidR="008E657C" w:rsidRPr="003124D8">
              <w:rPr>
                <w:lang w:val="en-US"/>
              </w:rPr>
              <w:t>The ESC considered t</w:t>
            </w:r>
            <w:r w:rsidRPr="003124D8">
              <w:rPr>
                <w:lang w:val="en-US"/>
              </w:rPr>
              <w:t>here are insufficient clinical data available to reliably estimate the duration of effect for venetoclax + obinutuzumab.</w:t>
            </w:r>
          </w:p>
        </w:tc>
        <w:tc>
          <w:tcPr>
            <w:tcW w:w="837" w:type="pct"/>
            <w:shd w:val="clear" w:color="auto" w:fill="auto"/>
            <w:vAlign w:val="center"/>
          </w:tcPr>
          <w:p w:rsidR="00274E13" w:rsidRPr="006656E8" w:rsidRDefault="00274E13" w:rsidP="00274E13">
            <w:pPr>
              <w:pStyle w:val="TableText"/>
              <w:keepNext w:val="0"/>
              <w:widowControl w:val="0"/>
              <w:jc w:val="center"/>
              <w:rPr>
                <w:lang w:val="en-US"/>
              </w:rPr>
            </w:pPr>
            <w:r w:rsidRPr="006656E8">
              <w:rPr>
                <w:lang w:val="en-US"/>
              </w:rPr>
              <w:t>High, direction unclear</w:t>
            </w:r>
          </w:p>
          <w:p w:rsidR="00274E13" w:rsidRPr="006656E8" w:rsidRDefault="00274E13" w:rsidP="00274E13">
            <w:pPr>
              <w:pStyle w:val="TableText"/>
              <w:keepNext w:val="0"/>
              <w:widowControl w:val="0"/>
              <w:rPr>
                <w:lang w:val="en-US"/>
              </w:rPr>
            </w:pPr>
          </w:p>
        </w:tc>
      </w:tr>
      <w:tr w:rsidR="006C16A0" w:rsidRPr="00E2771E" w:rsidTr="00C26CBB">
        <w:trPr>
          <w:cantSplit/>
        </w:trPr>
        <w:tc>
          <w:tcPr>
            <w:tcW w:w="859" w:type="pct"/>
            <w:shd w:val="clear" w:color="auto" w:fill="auto"/>
            <w:vAlign w:val="center"/>
          </w:tcPr>
          <w:p w:rsidR="006C16A0" w:rsidRPr="003124D8" w:rsidRDefault="006C16A0" w:rsidP="006C16A0">
            <w:pPr>
              <w:pStyle w:val="TableText"/>
              <w:keepNext w:val="0"/>
              <w:widowControl w:val="0"/>
              <w:jc w:val="center"/>
              <w:rPr>
                <w:lang w:val="en-US"/>
              </w:rPr>
            </w:pPr>
            <w:r w:rsidRPr="003124D8">
              <w:rPr>
                <w:lang w:val="en-US"/>
              </w:rPr>
              <w:lastRenderedPageBreak/>
              <w:t>Utility values</w:t>
            </w:r>
          </w:p>
        </w:tc>
        <w:tc>
          <w:tcPr>
            <w:tcW w:w="3304" w:type="pct"/>
            <w:shd w:val="clear" w:color="auto" w:fill="auto"/>
            <w:vAlign w:val="center"/>
          </w:tcPr>
          <w:p w:rsidR="006C16A0" w:rsidRPr="003124D8" w:rsidRDefault="006C16A0" w:rsidP="006C16A0">
            <w:pPr>
              <w:pStyle w:val="TableText"/>
              <w:keepNext w:val="0"/>
              <w:widowControl w:val="0"/>
              <w:rPr>
                <w:lang w:val="en-US"/>
              </w:rPr>
            </w:pPr>
            <w:r w:rsidRPr="003124D8">
              <w:rPr>
                <w:lang w:val="en-US"/>
              </w:rPr>
              <w:t>Utilities</w:t>
            </w:r>
            <w:r w:rsidR="00816EBF" w:rsidRPr="003124D8">
              <w:rPr>
                <w:lang w:val="en-US"/>
              </w:rPr>
              <w:t xml:space="preserve"> were</w:t>
            </w:r>
            <w:r w:rsidRPr="003124D8">
              <w:rPr>
                <w:lang w:val="en-US"/>
              </w:rPr>
              <w:t xml:space="preserve"> based on a published study </w:t>
            </w:r>
            <w:r w:rsidR="00816EBF" w:rsidRPr="003124D8">
              <w:rPr>
                <w:lang w:val="en-US"/>
              </w:rPr>
              <w:t xml:space="preserve">(Kosmas </w:t>
            </w:r>
            <w:r w:rsidRPr="003124D8">
              <w:rPr>
                <w:lang w:val="en-US"/>
              </w:rPr>
              <w:t xml:space="preserve">2015), which reported time trade-off valuation of CLL health state vignettes by a UK general population sample (100 individuals; conducted in 2014 or earlier). </w:t>
            </w:r>
          </w:p>
          <w:p w:rsidR="006C16A0" w:rsidRPr="003124D8" w:rsidRDefault="006C16A0" w:rsidP="006C16A0">
            <w:pPr>
              <w:pStyle w:val="TableText"/>
              <w:keepNext w:val="0"/>
              <w:widowControl w:val="0"/>
              <w:rPr>
                <w:lang w:val="en-US"/>
              </w:rPr>
            </w:pPr>
          </w:p>
          <w:p w:rsidR="006C16A0" w:rsidRPr="003124D8" w:rsidRDefault="006C16A0" w:rsidP="006C16A0">
            <w:pPr>
              <w:pStyle w:val="TableText"/>
              <w:keepNext w:val="0"/>
              <w:widowControl w:val="0"/>
              <w:rPr>
                <w:lang w:val="en-US"/>
              </w:rPr>
            </w:pPr>
            <w:r w:rsidRPr="003124D8">
              <w:rPr>
                <w:lang w:val="en-US"/>
              </w:rPr>
              <w:t>The applicability of the Kosmas 2015 study was uncertain as the health state vignettes were not included in the publication. In particular, it was unclear whether the health state vignettes were representative of the current clinical management of CLL patients given the substantial changes in available treatment options over time.</w:t>
            </w:r>
          </w:p>
          <w:p w:rsidR="006C16A0" w:rsidRPr="003124D8" w:rsidRDefault="006C16A0" w:rsidP="006C16A0">
            <w:pPr>
              <w:pStyle w:val="TableText"/>
              <w:keepNext w:val="0"/>
              <w:widowControl w:val="0"/>
              <w:rPr>
                <w:lang w:val="en-US"/>
              </w:rPr>
            </w:pPr>
          </w:p>
          <w:p w:rsidR="006C16A0" w:rsidRPr="003124D8" w:rsidRDefault="006C16A0" w:rsidP="00B37324">
            <w:pPr>
              <w:pStyle w:val="TableText"/>
              <w:keepNext w:val="0"/>
              <w:widowControl w:val="0"/>
              <w:rPr>
                <w:lang w:val="en-US"/>
              </w:rPr>
            </w:pPr>
            <w:r w:rsidRPr="003124D8">
              <w:rPr>
                <w:lang w:val="en-US"/>
              </w:rPr>
              <w:t>Utility values derived from the Kosmas 2015 publication did not appear consistent with the reported utility values from the CLL-14 trial. The trial data suggest that treatment exposure was</w:t>
            </w:r>
            <w:r w:rsidR="00B37324" w:rsidRPr="003124D8">
              <w:rPr>
                <w:lang w:val="en-US"/>
              </w:rPr>
              <w:t xml:space="preserve"> not</w:t>
            </w:r>
            <w:r w:rsidRPr="003124D8">
              <w:rPr>
                <w:lang w:val="en-US"/>
              </w:rPr>
              <w:t xml:space="preserve"> associated with a substantial utility loss.</w:t>
            </w:r>
            <w:r w:rsidR="000929E9" w:rsidRPr="003124D8">
              <w:rPr>
                <w:lang w:val="en-US"/>
              </w:rPr>
              <w:t xml:space="preserve"> </w:t>
            </w:r>
            <w:r w:rsidR="000929E9" w:rsidRPr="003124D8">
              <w:t>The ESC considered that the utilities used</w:t>
            </w:r>
            <w:r w:rsidR="00B37324" w:rsidRPr="003124D8">
              <w:t xml:space="preserve"> in the on treatment period</w:t>
            </w:r>
            <w:r w:rsidR="000929E9" w:rsidRPr="003124D8">
              <w:t xml:space="preserve"> overestimated the decrement to quality of life. </w:t>
            </w:r>
          </w:p>
        </w:tc>
        <w:tc>
          <w:tcPr>
            <w:tcW w:w="837" w:type="pct"/>
            <w:shd w:val="clear" w:color="auto" w:fill="auto"/>
            <w:vAlign w:val="center"/>
          </w:tcPr>
          <w:p w:rsidR="006C16A0" w:rsidRPr="006656E8" w:rsidRDefault="006C16A0" w:rsidP="006C16A0">
            <w:pPr>
              <w:pStyle w:val="TableText"/>
              <w:keepNext w:val="0"/>
              <w:widowControl w:val="0"/>
              <w:jc w:val="center"/>
              <w:rPr>
                <w:lang w:val="en-US"/>
              </w:rPr>
            </w:pPr>
            <w:r w:rsidRPr="006656E8">
              <w:rPr>
                <w:lang w:val="en-US"/>
              </w:rPr>
              <w:t>High, favours venetoclax</w:t>
            </w:r>
          </w:p>
        </w:tc>
      </w:tr>
      <w:tr w:rsidR="006C16A0" w:rsidRPr="00E2771E" w:rsidTr="00C26CBB">
        <w:trPr>
          <w:cantSplit/>
        </w:trPr>
        <w:tc>
          <w:tcPr>
            <w:tcW w:w="859" w:type="pct"/>
            <w:shd w:val="clear" w:color="auto" w:fill="auto"/>
            <w:vAlign w:val="center"/>
          </w:tcPr>
          <w:p w:rsidR="006C16A0" w:rsidRPr="003124D8" w:rsidRDefault="006C16A0" w:rsidP="006C16A0">
            <w:pPr>
              <w:pStyle w:val="TableText"/>
              <w:keepNext w:val="0"/>
              <w:widowControl w:val="0"/>
              <w:jc w:val="center"/>
              <w:rPr>
                <w:lang w:val="en-US"/>
              </w:rPr>
            </w:pPr>
            <w:r w:rsidRPr="003124D8">
              <w:rPr>
                <w:lang w:val="en-US"/>
              </w:rPr>
              <w:t>Relapsed/refractory drug costs</w:t>
            </w:r>
          </w:p>
        </w:tc>
        <w:tc>
          <w:tcPr>
            <w:tcW w:w="3304" w:type="pct"/>
            <w:shd w:val="clear" w:color="auto" w:fill="auto"/>
            <w:vAlign w:val="center"/>
          </w:tcPr>
          <w:p w:rsidR="006C16A0" w:rsidRPr="003124D8" w:rsidRDefault="006C16A0" w:rsidP="006C16A0">
            <w:pPr>
              <w:pStyle w:val="TableText"/>
              <w:keepNext w:val="0"/>
              <w:widowControl w:val="0"/>
              <w:rPr>
                <w:lang w:val="en-US"/>
              </w:rPr>
            </w:pPr>
            <w:r w:rsidRPr="003124D8">
              <w:rPr>
                <w:lang w:val="en-US"/>
              </w:rPr>
              <w:t xml:space="preserve">Proportions of patients eligible for relapsed/refractory treatment </w:t>
            </w:r>
            <w:r w:rsidR="00A7425D" w:rsidRPr="003124D8">
              <w:rPr>
                <w:lang w:val="en-US"/>
              </w:rPr>
              <w:t xml:space="preserve">were </w:t>
            </w:r>
            <w:r w:rsidRPr="003124D8">
              <w:rPr>
                <w:lang w:val="en-US"/>
              </w:rPr>
              <w:t>based on an exponential extrapolation of TTNT data from Trial CLL-14, censored for death (post hoc analysis), applied to the proportions of patients in the PFS and first</w:t>
            </w:r>
            <w:r w:rsidR="00A7425D" w:rsidRPr="003124D8">
              <w:rPr>
                <w:lang w:val="en-US"/>
              </w:rPr>
              <w:t xml:space="preserve"> </w:t>
            </w:r>
            <w:r w:rsidRPr="003124D8">
              <w:rPr>
                <w:lang w:val="en-US"/>
              </w:rPr>
              <w:t xml:space="preserve">line progressed disease states. Unit cost of relapsed/refractory treatment </w:t>
            </w:r>
            <w:r w:rsidR="00A7425D" w:rsidRPr="003124D8">
              <w:rPr>
                <w:lang w:val="en-US"/>
              </w:rPr>
              <w:t xml:space="preserve">were </w:t>
            </w:r>
            <w:r w:rsidRPr="003124D8">
              <w:rPr>
                <w:lang w:val="en-US"/>
              </w:rPr>
              <w:t>based on the cost of ibrutinib included in the post-PBAC cost-minimisation analysis for the November 2018 venetoclax submission</w:t>
            </w:r>
            <w:r w:rsidR="00C04CB0" w:rsidRPr="003124D8">
              <w:rPr>
                <w:lang w:val="en-US"/>
              </w:rPr>
              <w:t>.</w:t>
            </w:r>
          </w:p>
          <w:p w:rsidR="006C16A0" w:rsidRPr="003124D8" w:rsidRDefault="006C16A0" w:rsidP="006C16A0">
            <w:pPr>
              <w:pStyle w:val="TableText"/>
              <w:keepNext w:val="0"/>
              <w:widowControl w:val="0"/>
              <w:rPr>
                <w:lang w:val="en-US"/>
              </w:rPr>
            </w:pPr>
          </w:p>
          <w:p w:rsidR="006C16A0" w:rsidRPr="003124D8" w:rsidRDefault="006C16A0" w:rsidP="00A7425D">
            <w:pPr>
              <w:pStyle w:val="TableText"/>
              <w:keepNext w:val="0"/>
              <w:widowControl w:val="0"/>
              <w:rPr>
                <w:lang w:val="en-US"/>
              </w:rPr>
            </w:pPr>
            <w:r w:rsidRPr="003124D8">
              <w:rPr>
                <w:lang w:val="en-US"/>
              </w:rPr>
              <w:t>The assumption that all patients receive ibrutinib monotherapy as second</w:t>
            </w:r>
            <w:r w:rsidR="00C04CB0" w:rsidRPr="003124D8">
              <w:rPr>
                <w:lang w:val="en-US"/>
              </w:rPr>
              <w:t>-</w:t>
            </w:r>
            <w:r w:rsidRPr="003124D8">
              <w:rPr>
                <w:lang w:val="en-US"/>
              </w:rPr>
              <w:t>line treatment was inconsistent with expert advice that indicated that the choice of subsequent therapy will depend on</w:t>
            </w:r>
            <w:r w:rsidR="00A7425D" w:rsidRPr="003124D8">
              <w:rPr>
                <w:lang w:val="en-US"/>
              </w:rPr>
              <w:t xml:space="preserve"> the </w:t>
            </w:r>
            <w:r w:rsidRPr="003124D8">
              <w:rPr>
                <w:lang w:val="en-US"/>
              </w:rPr>
              <w:t>first</w:t>
            </w:r>
            <w:r w:rsidR="00C04CB0" w:rsidRPr="003124D8">
              <w:rPr>
                <w:lang w:val="en-US"/>
              </w:rPr>
              <w:t>-</w:t>
            </w:r>
            <w:r w:rsidRPr="003124D8">
              <w:rPr>
                <w:lang w:val="en-US"/>
              </w:rPr>
              <w:t>line treatment regimen as well as the duration of progression</w:t>
            </w:r>
            <w:r w:rsidR="00A7425D" w:rsidRPr="003124D8">
              <w:rPr>
                <w:lang w:val="en-US"/>
              </w:rPr>
              <w:t xml:space="preserve"> </w:t>
            </w:r>
            <w:r w:rsidRPr="003124D8">
              <w:rPr>
                <w:lang w:val="en-US"/>
              </w:rPr>
              <w:t>free survival</w:t>
            </w:r>
            <w:r w:rsidR="00C746AF" w:rsidRPr="003124D8">
              <w:rPr>
                <w:lang w:val="en-US"/>
              </w:rPr>
              <w:t xml:space="preserve"> and resulted in substantial cost-offsets over the extrapolated time period.</w:t>
            </w:r>
            <w:r w:rsidR="005843B6" w:rsidRPr="003124D8">
              <w:rPr>
                <w:lang w:val="en-US"/>
              </w:rPr>
              <w:t xml:space="preserve"> </w:t>
            </w:r>
            <w:r w:rsidRPr="003124D8">
              <w:rPr>
                <w:lang w:val="en-US"/>
              </w:rPr>
              <w:t>The economic evaluation only considered second</w:t>
            </w:r>
            <w:r w:rsidR="00C04CB0" w:rsidRPr="003124D8">
              <w:rPr>
                <w:lang w:val="en-US"/>
              </w:rPr>
              <w:t>-</w:t>
            </w:r>
            <w:r w:rsidRPr="003124D8">
              <w:rPr>
                <w:lang w:val="en-US"/>
              </w:rPr>
              <w:t>line treatment costs</w:t>
            </w:r>
            <w:r w:rsidR="00A7425D" w:rsidRPr="003124D8">
              <w:rPr>
                <w:lang w:val="en-US"/>
              </w:rPr>
              <w:t>,</w:t>
            </w:r>
            <w:r w:rsidRPr="003124D8">
              <w:rPr>
                <w:lang w:val="en-US"/>
              </w:rPr>
              <w:t xml:space="preserve"> while in clinical practice patients may receive multiple lines of therapy.</w:t>
            </w:r>
          </w:p>
        </w:tc>
        <w:tc>
          <w:tcPr>
            <w:tcW w:w="837" w:type="pct"/>
            <w:shd w:val="clear" w:color="auto" w:fill="auto"/>
            <w:vAlign w:val="center"/>
          </w:tcPr>
          <w:p w:rsidR="006C16A0" w:rsidRPr="006656E8" w:rsidRDefault="006C16A0" w:rsidP="006C16A0">
            <w:pPr>
              <w:pStyle w:val="TableText"/>
              <w:keepNext w:val="0"/>
              <w:widowControl w:val="0"/>
              <w:jc w:val="center"/>
              <w:rPr>
                <w:lang w:val="en-US"/>
              </w:rPr>
            </w:pPr>
            <w:r w:rsidRPr="006656E8">
              <w:rPr>
                <w:lang w:val="en-US"/>
              </w:rPr>
              <w:t>High, direction unclear</w:t>
            </w:r>
          </w:p>
        </w:tc>
      </w:tr>
      <w:tr w:rsidR="006C16A0" w:rsidRPr="00E2771E" w:rsidTr="00C26CBB">
        <w:trPr>
          <w:cantSplit/>
        </w:trPr>
        <w:tc>
          <w:tcPr>
            <w:tcW w:w="859" w:type="pct"/>
            <w:shd w:val="clear" w:color="auto" w:fill="auto"/>
            <w:vAlign w:val="center"/>
          </w:tcPr>
          <w:p w:rsidR="006C16A0" w:rsidRPr="003124D8" w:rsidRDefault="006C16A0" w:rsidP="006C16A0">
            <w:pPr>
              <w:pStyle w:val="TableText"/>
              <w:keepNext w:val="0"/>
              <w:widowControl w:val="0"/>
              <w:jc w:val="center"/>
              <w:rPr>
                <w:lang w:val="en-US"/>
              </w:rPr>
            </w:pPr>
            <w:r w:rsidRPr="003124D8">
              <w:rPr>
                <w:lang w:val="en-US"/>
              </w:rPr>
              <w:t>Health state costs</w:t>
            </w:r>
          </w:p>
        </w:tc>
        <w:tc>
          <w:tcPr>
            <w:tcW w:w="3304" w:type="pct"/>
            <w:shd w:val="clear" w:color="auto" w:fill="auto"/>
            <w:vAlign w:val="center"/>
          </w:tcPr>
          <w:p w:rsidR="006C16A0" w:rsidRPr="003124D8" w:rsidRDefault="006C16A0" w:rsidP="006C16A0">
            <w:pPr>
              <w:pStyle w:val="TableText"/>
              <w:keepNext w:val="0"/>
              <w:widowControl w:val="0"/>
              <w:rPr>
                <w:lang w:val="en-US"/>
              </w:rPr>
            </w:pPr>
            <w:r w:rsidRPr="003124D8">
              <w:rPr>
                <w:lang w:val="en-US"/>
              </w:rPr>
              <w:t>Resource use in progression</w:t>
            </w:r>
            <w:r w:rsidR="00A7425D" w:rsidRPr="003124D8">
              <w:rPr>
                <w:lang w:val="en-US"/>
              </w:rPr>
              <w:t xml:space="preserve"> </w:t>
            </w:r>
            <w:r w:rsidRPr="003124D8">
              <w:rPr>
                <w:lang w:val="en-US"/>
              </w:rPr>
              <w:t>free and relapsed/refractory disease</w:t>
            </w:r>
            <w:r w:rsidR="00A7425D" w:rsidRPr="003124D8">
              <w:rPr>
                <w:lang w:val="en-US"/>
              </w:rPr>
              <w:t xml:space="preserve"> were</w:t>
            </w:r>
            <w:r w:rsidRPr="003124D8">
              <w:rPr>
                <w:lang w:val="en-US"/>
              </w:rPr>
              <w:t xml:space="preserve"> based on resource use from Paquete 2017 (derived from a panel of Portuguese experts in 2014), mapped to Australian PBS, MBS and hospitalisation items. </w:t>
            </w:r>
          </w:p>
          <w:p w:rsidR="006C16A0" w:rsidRPr="003124D8" w:rsidRDefault="006C16A0" w:rsidP="006C16A0">
            <w:pPr>
              <w:pStyle w:val="TableText"/>
              <w:keepNext w:val="0"/>
              <w:widowControl w:val="0"/>
              <w:rPr>
                <w:lang w:val="en-US"/>
              </w:rPr>
            </w:pPr>
          </w:p>
          <w:p w:rsidR="006C16A0" w:rsidRPr="003124D8" w:rsidRDefault="0037447C" w:rsidP="006C16A0">
            <w:pPr>
              <w:pStyle w:val="TableText"/>
              <w:keepNext w:val="0"/>
              <w:widowControl w:val="0"/>
              <w:rPr>
                <w:lang w:val="en-US"/>
              </w:rPr>
            </w:pPr>
            <w:r w:rsidRPr="003124D8">
              <w:rPr>
                <w:lang w:val="en-US"/>
              </w:rPr>
              <w:t>The ESC considered t</w:t>
            </w:r>
            <w:r w:rsidR="006C16A0" w:rsidRPr="003124D8">
              <w:rPr>
                <w:lang w:val="en-US"/>
              </w:rPr>
              <w:t>he applicability of health resource use from Portugal in 2014 to current clinical practice was unclear given potential differences in healthcare systems and rapidly changing treatment pathways for CLL patients.</w:t>
            </w:r>
          </w:p>
          <w:p w:rsidR="006C16A0" w:rsidRPr="003124D8" w:rsidRDefault="006C16A0" w:rsidP="006C16A0">
            <w:pPr>
              <w:pStyle w:val="TableText"/>
              <w:keepNext w:val="0"/>
              <w:widowControl w:val="0"/>
              <w:rPr>
                <w:lang w:val="en-US"/>
              </w:rPr>
            </w:pPr>
          </w:p>
          <w:p w:rsidR="006C16A0" w:rsidRPr="003124D8" w:rsidRDefault="006C16A0" w:rsidP="006C16A0">
            <w:pPr>
              <w:pStyle w:val="TableText"/>
              <w:keepNext w:val="0"/>
              <w:widowControl w:val="0"/>
              <w:rPr>
                <w:lang w:val="en-US"/>
              </w:rPr>
            </w:pPr>
            <w:r w:rsidRPr="003124D8">
              <w:rPr>
                <w:lang w:val="en-US"/>
              </w:rPr>
              <w:t>The submission poorly justified the mapping of health resource items to Australian costs</w:t>
            </w:r>
            <w:r w:rsidR="00A7425D" w:rsidRPr="003124D8">
              <w:rPr>
                <w:lang w:val="en-US"/>
              </w:rPr>
              <w:t>,</w:t>
            </w:r>
            <w:r w:rsidRPr="003124D8">
              <w:rPr>
                <w:lang w:val="en-US"/>
              </w:rPr>
              <w:t xml:space="preserve"> with substantial issues regarding ambiguous descriptions, additional assumptions and coding errors</w:t>
            </w:r>
            <w:r w:rsidR="00C04CB0" w:rsidRPr="003124D8">
              <w:rPr>
                <w:lang w:val="en-US"/>
              </w:rPr>
              <w:t>.</w:t>
            </w:r>
            <w:r w:rsidRPr="003124D8">
              <w:rPr>
                <w:lang w:val="en-US"/>
              </w:rPr>
              <w:t xml:space="preserve"> </w:t>
            </w:r>
          </w:p>
          <w:p w:rsidR="006C16A0" w:rsidRPr="003124D8" w:rsidRDefault="006C16A0" w:rsidP="006C16A0">
            <w:pPr>
              <w:pStyle w:val="TableText"/>
              <w:keepNext w:val="0"/>
              <w:widowControl w:val="0"/>
              <w:rPr>
                <w:lang w:val="en-US"/>
              </w:rPr>
            </w:pPr>
          </w:p>
          <w:p w:rsidR="006C16A0" w:rsidRPr="003124D8" w:rsidRDefault="006C16A0" w:rsidP="00B37324">
            <w:pPr>
              <w:pStyle w:val="TableText"/>
              <w:keepNext w:val="0"/>
              <w:widowControl w:val="0"/>
              <w:rPr>
                <w:lang w:val="en-US"/>
              </w:rPr>
            </w:pPr>
            <w:r w:rsidRPr="003124D8">
              <w:rPr>
                <w:lang w:val="en-US"/>
              </w:rPr>
              <w:t>The</w:t>
            </w:r>
            <w:r w:rsidR="00C746AF" w:rsidRPr="003124D8">
              <w:rPr>
                <w:lang w:val="en-US"/>
              </w:rPr>
              <w:t xml:space="preserve"> ESC noted that the</w:t>
            </w:r>
            <w:r w:rsidRPr="003124D8">
              <w:rPr>
                <w:lang w:val="en-US"/>
              </w:rPr>
              <w:t xml:space="preserve"> health state costs estimated in the submission were 2-5 times higher than other published estimates and were approximately 4 times higher than previously estimated for relapsed/refractory disease in the March 2017 venetoclax submission.</w:t>
            </w:r>
            <w:r w:rsidR="00162D17" w:rsidRPr="003124D8">
              <w:rPr>
                <w:lang w:val="en-US"/>
              </w:rPr>
              <w:t xml:space="preserve"> </w:t>
            </w:r>
            <w:r w:rsidR="00F77A2B" w:rsidRPr="003124D8">
              <w:rPr>
                <w:lang w:val="en-US"/>
              </w:rPr>
              <w:t xml:space="preserve">As proposed by </w:t>
            </w:r>
            <w:r w:rsidR="00162D17" w:rsidRPr="003124D8">
              <w:rPr>
                <w:lang w:val="en-US"/>
              </w:rPr>
              <w:t>the evaluation</w:t>
            </w:r>
            <w:r w:rsidR="0022545F" w:rsidRPr="003124D8">
              <w:rPr>
                <w:lang w:val="en-US"/>
              </w:rPr>
              <w:t>’s</w:t>
            </w:r>
            <w:r w:rsidR="00162D17" w:rsidRPr="003124D8">
              <w:rPr>
                <w:lang w:val="en-US"/>
              </w:rPr>
              <w:t xml:space="preserve"> </w:t>
            </w:r>
            <w:r w:rsidR="0022545F" w:rsidRPr="003124D8">
              <w:rPr>
                <w:lang w:val="en-US"/>
              </w:rPr>
              <w:t xml:space="preserve">alternative </w:t>
            </w:r>
            <w:r w:rsidR="00162D17" w:rsidRPr="003124D8">
              <w:rPr>
                <w:lang w:val="en-US"/>
              </w:rPr>
              <w:t xml:space="preserve">base case, the </w:t>
            </w:r>
            <w:r w:rsidR="005A4508" w:rsidRPr="003124D8">
              <w:rPr>
                <w:lang w:val="en-US"/>
              </w:rPr>
              <w:t>PSCR agreed</w:t>
            </w:r>
            <w:r w:rsidR="00162D17" w:rsidRPr="003124D8">
              <w:rPr>
                <w:lang w:val="en-US"/>
              </w:rPr>
              <w:t xml:space="preserve"> to halving these costs</w:t>
            </w:r>
            <w:r w:rsidR="00B37324" w:rsidRPr="003124D8">
              <w:rPr>
                <w:lang w:val="en-US"/>
              </w:rPr>
              <w:t>.</w:t>
            </w:r>
            <w:r w:rsidR="00F77A2B" w:rsidRPr="003124D8">
              <w:rPr>
                <w:lang w:val="en-US"/>
              </w:rPr>
              <w:t xml:space="preserve"> </w:t>
            </w:r>
          </w:p>
        </w:tc>
        <w:tc>
          <w:tcPr>
            <w:tcW w:w="837" w:type="pct"/>
            <w:shd w:val="clear" w:color="auto" w:fill="auto"/>
            <w:vAlign w:val="center"/>
          </w:tcPr>
          <w:p w:rsidR="006C16A0" w:rsidRPr="006656E8" w:rsidRDefault="006C16A0" w:rsidP="006C16A0">
            <w:pPr>
              <w:pStyle w:val="TableText"/>
              <w:keepNext w:val="0"/>
              <w:widowControl w:val="0"/>
              <w:jc w:val="center"/>
              <w:rPr>
                <w:lang w:val="en-US"/>
              </w:rPr>
            </w:pPr>
            <w:r w:rsidRPr="006656E8">
              <w:rPr>
                <w:lang w:val="en-US"/>
              </w:rPr>
              <w:t>High, favours venetoclax</w:t>
            </w:r>
          </w:p>
        </w:tc>
      </w:tr>
    </w:tbl>
    <w:p w:rsidR="006C16A0" w:rsidRPr="007C5ABE" w:rsidRDefault="006C16A0" w:rsidP="006C16A0">
      <w:pPr>
        <w:pStyle w:val="TableFooter"/>
        <w:keepNext/>
        <w:widowControl/>
      </w:pPr>
      <w:r>
        <w:t>Source: Constructed during the evaluation</w:t>
      </w:r>
    </w:p>
    <w:p w:rsidR="000F3897" w:rsidRPr="007C5ABE" w:rsidRDefault="000F3897" w:rsidP="000F3897">
      <w:pPr>
        <w:pStyle w:val="TableFooter"/>
        <w:keepNext/>
        <w:widowControl/>
      </w:pPr>
      <w:r>
        <w:t>Abbreviations: OS, overall survival; PFS, progression-free survival; TTNT, time to next treatment survival</w:t>
      </w:r>
    </w:p>
    <w:p w:rsidR="006C16A0" w:rsidRPr="00A538DF" w:rsidRDefault="006C16A0" w:rsidP="006C16A0">
      <w:pPr>
        <w:pStyle w:val="ExecSumBodyText"/>
        <w:numPr>
          <w:ilvl w:val="0"/>
          <w:numId w:val="0"/>
        </w:numPr>
        <w:rPr>
          <w:color w:val="0066FF"/>
        </w:rPr>
      </w:pPr>
    </w:p>
    <w:p w:rsidR="006C16A0" w:rsidRPr="003124D8" w:rsidRDefault="006C16A0" w:rsidP="006C16A0">
      <w:pPr>
        <w:pStyle w:val="ExecSumBodyText"/>
        <w:numPr>
          <w:ilvl w:val="1"/>
          <w:numId w:val="1"/>
        </w:numPr>
      </w:pPr>
      <w:r w:rsidRPr="003124D8">
        <w:t>The submission claimed that venetoclax + obinutuzumab is non</w:t>
      </w:r>
      <w:r w:rsidR="00205D0B" w:rsidRPr="003124D8">
        <w:t>-</w:t>
      </w:r>
      <w:r w:rsidRPr="003124D8">
        <w:t xml:space="preserve">inferior in terms of safety compared to chlorambucil + obinutuzumab and therefore excluded the costs of adverse events from the base case analysis. </w:t>
      </w:r>
      <w:r w:rsidR="0037447C" w:rsidRPr="003124D8">
        <w:t xml:space="preserve">The </w:t>
      </w:r>
      <w:r w:rsidR="00C746AF" w:rsidRPr="003124D8">
        <w:t>evaluation</w:t>
      </w:r>
      <w:r w:rsidR="0037447C" w:rsidRPr="003124D8">
        <w:t xml:space="preserve"> </w:t>
      </w:r>
      <w:r w:rsidR="009F1328" w:rsidRPr="003124D8">
        <w:t>considered</w:t>
      </w:r>
      <w:r w:rsidR="0037447C" w:rsidRPr="003124D8">
        <w:t xml:space="preserve"> that t</w:t>
      </w:r>
      <w:r w:rsidRPr="003124D8">
        <w:t xml:space="preserve">his was </w:t>
      </w:r>
      <w:r w:rsidRPr="003124D8">
        <w:lastRenderedPageBreak/>
        <w:t>not appropriate given the higher event rates for serious and grade 3/4 adverse events in CLL-14</w:t>
      </w:r>
      <w:r w:rsidR="00162D17" w:rsidRPr="003124D8">
        <w:t xml:space="preserve"> and the concerns </w:t>
      </w:r>
      <w:r w:rsidR="00C746AF" w:rsidRPr="003124D8">
        <w:t xml:space="preserve">regarding </w:t>
      </w:r>
      <w:r w:rsidR="00162D17" w:rsidRPr="003124D8">
        <w:t xml:space="preserve">the claim of non-inferior safety. The </w:t>
      </w:r>
      <w:r w:rsidR="005A4508" w:rsidRPr="003124D8">
        <w:t>PSCR argued</w:t>
      </w:r>
      <w:r w:rsidR="00162D17" w:rsidRPr="003124D8">
        <w:t xml:space="preserve"> that </w:t>
      </w:r>
      <w:r w:rsidR="009F1328" w:rsidRPr="003124D8">
        <w:t>adverse event</w:t>
      </w:r>
      <w:r w:rsidR="00162D17" w:rsidRPr="003124D8">
        <w:t xml:space="preserve"> costs should not be included due to </w:t>
      </w:r>
      <w:r w:rsidR="009F1328" w:rsidRPr="003124D8">
        <w:t xml:space="preserve">the </w:t>
      </w:r>
      <w:r w:rsidR="00162D17" w:rsidRPr="003124D8">
        <w:t>differences not being statist</w:t>
      </w:r>
      <w:r w:rsidR="00F77A2B" w:rsidRPr="003124D8">
        <w:t>ically significant (despite being</w:t>
      </w:r>
      <w:r w:rsidR="00162D17" w:rsidRPr="003124D8">
        <w:t xml:space="preserve"> numerically higher). The ESC considered it was inappropriate to include differential health state and treatment specific uti</w:t>
      </w:r>
      <w:r w:rsidR="00077333" w:rsidRPr="003124D8">
        <w:t>lities</w:t>
      </w:r>
      <w:r w:rsidR="00162D17" w:rsidRPr="003124D8">
        <w:t xml:space="preserve"> despite no (numerical) differences</w:t>
      </w:r>
      <w:r w:rsidR="00B77FE7" w:rsidRPr="003124D8">
        <w:t>,</w:t>
      </w:r>
      <w:r w:rsidR="00F77A2B" w:rsidRPr="003124D8">
        <w:t xml:space="preserve"> whilst excluding</w:t>
      </w:r>
      <w:r w:rsidR="00162D17" w:rsidRPr="003124D8">
        <w:t xml:space="preserve"> costs for numerically higher </w:t>
      </w:r>
      <w:r w:rsidR="009F1328" w:rsidRPr="003124D8">
        <w:t>adverse event</w:t>
      </w:r>
      <w:r w:rsidR="00162D17" w:rsidRPr="003124D8">
        <w:t>s.</w:t>
      </w:r>
    </w:p>
    <w:p w:rsidR="000F3897" w:rsidRPr="006656E8" w:rsidRDefault="003B60B0" w:rsidP="000F3897">
      <w:pPr>
        <w:pStyle w:val="ExecSumBodyText"/>
        <w:numPr>
          <w:ilvl w:val="1"/>
          <w:numId w:val="1"/>
        </w:numPr>
      </w:pPr>
      <w:r w:rsidRPr="003124D8">
        <w:t xml:space="preserve">Although a detailed costing of tumour lysis syndrome (TLS) was reported as an Attachment to the submission, the economic evaluation </w:t>
      </w:r>
      <w:r w:rsidR="006C16A0" w:rsidRPr="003124D8">
        <w:t xml:space="preserve">did not include the costs associated with the prophylactic management of </w:t>
      </w:r>
      <w:r w:rsidRPr="003124D8">
        <w:t>TLS</w:t>
      </w:r>
      <w:r w:rsidR="006C16A0" w:rsidRPr="003124D8">
        <w:t xml:space="preserve"> with venetoclax. </w:t>
      </w:r>
      <w:r w:rsidR="0037447C" w:rsidRPr="003124D8">
        <w:t xml:space="preserve">The evaluation </w:t>
      </w:r>
      <w:r w:rsidR="009F1328" w:rsidRPr="003124D8">
        <w:t xml:space="preserve">considered </w:t>
      </w:r>
      <w:r w:rsidR="0037447C" w:rsidRPr="003124D8">
        <w:t>that t</w:t>
      </w:r>
      <w:r w:rsidR="000F3897" w:rsidRPr="003124D8">
        <w:t>his was inappropriate as TLS prophylaxis is associated with substantial hospitalisation costs</w:t>
      </w:r>
      <w:r w:rsidR="009F1328" w:rsidRPr="003124D8">
        <w:t xml:space="preserve"> and the costs were included in the cost-minimisation analysis considered by the PBAC in November 2018 between venetoclax + rituximab and ibrutinib for the treatment of relapsed or refractory CLL.</w:t>
      </w:r>
      <w:r w:rsidRPr="003124D8">
        <w:t xml:space="preserve"> </w:t>
      </w:r>
      <w:r w:rsidR="00F77A2B" w:rsidRPr="003124D8">
        <w:t xml:space="preserve">The </w:t>
      </w:r>
      <w:r w:rsidR="005A4508" w:rsidRPr="003124D8">
        <w:t>PSCR agreed</w:t>
      </w:r>
      <w:r w:rsidR="00F77A2B" w:rsidRPr="003124D8">
        <w:t xml:space="preserve"> to the inclusion of these costs.</w:t>
      </w:r>
      <w:r w:rsidR="00F77A2B">
        <w:rPr>
          <w:i/>
        </w:rPr>
        <w:t xml:space="preserve"> </w:t>
      </w:r>
    </w:p>
    <w:p w:rsidR="006C16A0" w:rsidRPr="006656E8" w:rsidRDefault="006C16A0" w:rsidP="00CF0C47">
      <w:pPr>
        <w:pStyle w:val="ExecSumBodyText"/>
        <w:numPr>
          <w:ilvl w:val="1"/>
          <w:numId w:val="1"/>
        </w:numPr>
      </w:pPr>
      <w:r w:rsidRPr="006656E8">
        <w:t>The results of the modelled economic evaluation</w:t>
      </w:r>
      <w:r w:rsidR="00E5640A">
        <w:t>, based on published prices,</w:t>
      </w:r>
      <w:r w:rsidRPr="006656E8">
        <w:t xml:space="preserve"> are summarised below</w:t>
      </w:r>
      <w:r w:rsidR="00A7425D" w:rsidRPr="006656E8">
        <w:t>.</w:t>
      </w:r>
    </w:p>
    <w:p w:rsidR="006C16A0" w:rsidRDefault="006C16A0" w:rsidP="00C26CBB">
      <w:pPr>
        <w:pStyle w:val="Tableheadingrow"/>
        <w:jc w:val="both"/>
      </w:pPr>
      <w:r>
        <w:t xml:space="preserve">Table </w:t>
      </w:r>
      <w:r w:rsidR="00A7425D">
        <w:t>1</w:t>
      </w:r>
      <w:r w:rsidR="005C720C">
        <w:t>3</w:t>
      </w:r>
      <w:r>
        <w:t>: Stepped economic evaluation of venetoclax + obinutuzumab compared with chlorambucil + obinutuzumab</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7"/>
        <w:gridCol w:w="2158"/>
        <w:gridCol w:w="2220"/>
        <w:gridCol w:w="2093"/>
      </w:tblGrid>
      <w:tr w:rsidR="006C16A0" w:rsidTr="006C16A0">
        <w:trPr>
          <w:trHeight w:val="469"/>
        </w:trPr>
        <w:tc>
          <w:tcPr>
            <w:tcW w:w="1408" w:type="pct"/>
            <w:tcBorders>
              <w:top w:val="single" w:sz="4" w:space="0" w:color="auto"/>
              <w:left w:val="single" w:sz="4" w:space="0" w:color="auto"/>
              <w:bottom w:val="single" w:sz="4" w:space="0" w:color="auto"/>
              <w:right w:val="single" w:sz="4" w:space="0" w:color="auto"/>
            </w:tcBorders>
            <w:vAlign w:val="center"/>
            <w:hideMark/>
          </w:tcPr>
          <w:p w:rsidR="006C16A0" w:rsidRDefault="006C16A0" w:rsidP="00C26CBB">
            <w:pPr>
              <w:pStyle w:val="TableText"/>
              <w:widowControl w:val="0"/>
              <w:rPr>
                <w:b/>
              </w:rPr>
            </w:pPr>
            <w:r>
              <w:rPr>
                <w:b/>
              </w:rPr>
              <w:t>Type of resource item</w:t>
            </w:r>
          </w:p>
        </w:tc>
        <w:tc>
          <w:tcPr>
            <w:tcW w:w="1198" w:type="pct"/>
            <w:tcBorders>
              <w:top w:val="single" w:sz="4" w:space="0" w:color="auto"/>
              <w:left w:val="single" w:sz="4" w:space="0" w:color="auto"/>
              <w:bottom w:val="single" w:sz="4" w:space="0" w:color="auto"/>
              <w:right w:val="single" w:sz="4" w:space="0" w:color="auto"/>
            </w:tcBorders>
          </w:tcPr>
          <w:p w:rsidR="006C16A0" w:rsidRPr="000704B6" w:rsidRDefault="006C16A0" w:rsidP="00C26CBB">
            <w:pPr>
              <w:pStyle w:val="TableText"/>
              <w:widowControl w:val="0"/>
              <w:jc w:val="center"/>
              <w:rPr>
                <w:b/>
              </w:rPr>
            </w:pPr>
            <w:r w:rsidRPr="000704B6">
              <w:rPr>
                <w:b/>
              </w:rPr>
              <w:t xml:space="preserve">Venetoclax </w:t>
            </w:r>
            <w:r>
              <w:rPr>
                <w:b/>
              </w:rPr>
              <w:t>+</w:t>
            </w:r>
            <w:r w:rsidRPr="000704B6">
              <w:rPr>
                <w:b/>
              </w:rPr>
              <w:t xml:space="preserve"> obinutuzumab</w:t>
            </w:r>
          </w:p>
        </w:tc>
        <w:tc>
          <w:tcPr>
            <w:tcW w:w="1232" w:type="pct"/>
            <w:tcBorders>
              <w:top w:val="single" w:sz="4" w:space="0" w:color="auto"/>
              <w:left w:val="single" w:sz="4" w:space="0" w:color="auto"/>
              <w:bottom w:val="single" w:sz="4" w:space="0" w:color="auto"/>
              <w:right w:val="single" w:sz="4" w:space="0" w:color="auto"/>
            </w:tcBorders>
          </w:tcPr>
          <w:p w:rsidR="006C16A0" w:rsidRPr="000704B6" w:rsidRDefault="006C16A0" w:rsidP="00C26CBB">
            <w:pPr>
              <w:pStyle w:val="TableText"/>
              <w:widowControl w:val="0"/>
              <w:jc w:val="center"/>
              <w:rPr>
                <w:b/>
              </w:rPr>
            </w:pPr>
            <w:r>
              <w:rPr>
                <w:b/>
              </w:rPr>
              <w:t>Chlorambucil + obinutuzumab</w:t>
            </w:r>
          </w:p>
        </w:tc>
        <w:tc>
          <w:tcPr>
            <w:tcW w:w="1163" w:type="pct"/>
            <w:tcBorders>
              <w:top w:val="single" w:sz="4" w:space="0" w:color="auto"/>
              <w:left w:val="single" w:sz="4" w:space="0" w:color="auto"/>
              <w:bottom w:val="single" w:sz="4" w:space="0" w:color="auto"/>
              <w:right w:val="single" w:sz="4" w:space="0" w:color="auto"/>
            </w:tcBorders>
            <w:vAlign w:val="center"/>
            <w:hideMark/>
          </w:tcPr>
          <w:p w:rsidR="006C16A0" w:rsidRDefault="006C16A0" w:rsidP="00C26CBB">
            <w:pPr>
              <w:pStyle w:val="TableText"/>
              <w:widowControl w:val="0"/>
              <w:jc w:val="center"/>
              <w:rPr>
                <w:b/>
              </w:rPr>
            </w:pPr>
            <w:r>
              <w:rPr>
                <w:b/>
              </w:rPr>
              <w:t>Increment</w:t>
            </w:r>
          </w:p>
        </w:tc>
      </w:tr>
      <w:tr w:rsidR="006C16A0" w:rsidTr="006C16A0">
        <w:tc>
          <w:tcPr>
            <w:tcW w:w="5000" w:type="pct"/>
            <w:gridSpan w:val="4"/>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jc w:val="both"/>
              <w:rPr>
                <w:b/>
              </w:rPr>
            </w:pPr>
            <w:r>
              <w:rPr>
                <w:b/>
              </w:rPr>
              <w:t>Step 1a: Outcome progression free survival, based on mean trial follow-up of 2</w:t>
            </w:r>
            <w:r w:rsidR="000F56E5">
              <w:rPr>
                <w:b/>
              </w:rPr>
              <w:t>9</w:t>
            </w:r>
            <w:r>
              <w:rPr>
                <w:b/>
              </w:rPr>
              <w:t xml:space="preserve"> months; first-line drug and administration costs only</w:t>
            </w:r>
          </w:p>
        </w:tc>
      </w:tr>
      <w:tr w:rsidR="006C16A0" w:rsidTr="006C16A0">
        <w:tc>
          <w:tcPr>
            <w:tcW w:w="1408" w:type="pct"/>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pPr>
            <w:r>
              <w:t>Costs</w:t>
            </w:r>
          </w:p>
        </w:tc>
        <w:tc>
          <w:tcPr>
            <w:tcW w:w="1198" w:type="pct"/>
            <w:tcBorders>
              <w:top w:val="single" w:sz="4" w:space="0" w:color="auto"/>
              <w:left w:val="single" w:sz="4" w:space="0" w:color="auto"/>
              <w:bottom w:val="single" w:sz="4" w:space="0" w:color="auto"/>
              <w:right w:val="single" w:sz="4" w:space="0" w:color="auto"/>
            </w:tcBorders>
            <w:vAlign w:val="bottom"/>
          </w:tcPr>
          <w:p w:rsidR="006C16A0" w:rsidRDefault="006C16A0" w:rsidP="00C26CBB">
            <w:pPr>
              <w:pStyle w:val="TableText"/>
              <w:widowControl w:val="0"/>
              <w:jc w:val="center"/>
            </w:pPr>
            <w:r>
              <w:t>$</w:t>
            </w:r>
            <w:r w:rsidR="00DD40E7">
              <w:rPr>
                <w:noProof/>
                <w:color w:val="000000"/>
                <w:highlight w:val="black"/>
              </w:rPr>
              <w:t>''''''''''''''''</w:t>
            </w:r>
          </w:p>
        </w:tc>
        <w:tc>
          <w:tcPr>
            <w:tcW w:w="1232" w:type="pct"/>
            <w:tcBorders>
              <w:top w:val="single" w:sz="4" w:space="0" w:color="auto"/>
              <w:left w:val="single" w:sz="4" w:space="0" w:color="auto"/>
              <w:bottom w:val="single" w:sz="4" w:space="0" w:color="auto"/>
              <w:right w:val="single" w:sz="4" w:space="0" w:color="auto"/>
            </w:tcBorders>
            <w:vAlign w:val="bottom"/>
          </w:tcPr>
          <w:p w:rsidR="006C16A0" w:rsidRDefault="006C16A0" w:rsidP="00C26CBB">
            <w:pPr>
              <w:pStyle w:val="TableText"/>
              <w:widowControl w:val="0"/>
              <w:jc w:val="center"/>
            </w:pPr>
            <w:r>
              <w:t>$</w:t>
            </w:r>
            <w:r w:rsidR="00DD40E7">
              <w:rPr>
                <w:noProof/>
                <w:color w:val="000000"/>
                <w:highlight w:val="black"/>
              </w:rPr>
              <w:t>''''''''''''''''</w:t>
            </w:r>
          </w:p>
        </w:tc>
        <w:tc>
          <w:tcPr>
            <w:tcW w:w="1163" w:type="pct"/>
            <w:tcBorders>
              <w:top w:val="single" w:sz="4" w:space="0" w:color="auto"/>
              <w:left w:val="single" w:sz="4" w:space="0" w:color="auto"/>
              <w:bottom w:val="single" w:sz="4" w:space="0" w:color="auto"/>
              <w:right w:val="single" w:sz="4" w:space="0" w:color="auto"/>
            </w:tcBorders>
            <w:vAlign w:val="center"/>
          </w:tcPr>
          <w:p w:rsidR="006C16A0" w:rsidRDefault="006C16A0" w:rsidP="00C26CBB">
            <w:pPr>
              <w:pStyle w:val="TableText"/>
              <w:widowControl w:val="0"/>
              <w:jc w:val="center"/>
            </w:pPr>
            <w:r>
              <w:t>$</w:t>
            </w:r>
            <w:r w:rsidR="00DD40E7">
              <w:rPr>
                <w:noProof/>
                <w:color w:val="000000"/>
                <w:highlight w:val="black"/>
              </w:rPr>
              <w:t>'''''''''''''''</w:t>
            </w:r>
          </w:p>
        </w:tc>
      </w:tr>
      <w:tr w:rsidR="006C16A0" w:rsidTr="006C16A0">
        <w:tc>
          <w:tcPr>
            <w:tcW w:w="1408" w:type="pct"/>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pPr>
            <w:r>
              <w:t>Progression free life years</w:t>
            </w:r>
          </w:p>
        </w:tc>
        <w:tc>
          <w:tcPr>
            <w:tcW w:w="1198" w:type="pct"/>
            <w:tcBorders>
              <w:top w:val="single" w:sz="4" w:space="0" w:color="auto"/>
              <w:left w:val="single" w:sz="4" w:space="0" w:color="auto"/>
              <w:bottom w:val="single" w:sz="4" w:space="0" w:color="auto"/>
              <w:right w:val="single" w:sz="4" w:space="0" w:color="auto"/>
            </w:tcBorders>
            <w:vAlign w:val="center"/>
          </w:tcPr>
          <w:p w:rsidR="006C16A0" w:rsidRPr="00DD40E7" w:rsidRDefault="00DD40E7" w:rsidP="00C26CBB">
            <w:pPr>
              <w:pStyle w:val="TableText"/>
              <w:widowControl w:val="0"/>
              <w:jc w:val="center"/>
              <w:rPr>
                <w:highlight w:val="black"/>
              </w:rPr>
            </w:pPr>
            <w:r>
              <w:rPr>
                <w:noProof/>
                <w:color w:val="000000"/>
                <w:highlight w:val="black"/>
              </w:rPr>
              <w:t>'''''''''''''''</w:t>
            </w:r>
          </w:p>
        </w:tc>
        <w:tc>
          <w:tcPr>
            <w:tcW w:w="1232" w:type="pct"/>
            <w:tcBorders>
              <w:top w:val="single" w:sz="4" w:space="0" w:color="auto"/>
              <w:left w:val="single" w:sz="4" w:space="0" w:color="auto"/>
              <w:bottom w:val="single" w:sz="4" w:space="0" w:color="auto"/>
              <w:right w:val="single" w:sz="4" w:space="0" w:color="auto"/>
            </w:tcBorders>
            <w:vAlign w:val="center"/>
          </w:tcPr>
          <w:p w:rsidR="006C16A0" w:rsidRPr="00DD40E7" w:rsidRDefault="00DD40E7" w:rsidP="00C26CBB">
            <w:pPr>
              <w:pStyle w:val="TableText"/>
              <w:widowControl w:val="0"/>
              <w:jc w:val="center"/>
              <w:rPr>
                <w:highlight w:val="black"/>
              </w:rPr>
            </w:pPr>
            <w:r>
              <w:rPr>
                <w:noProof/>
                <w:color w:val="000000"/>
                <w:highlight w:val="black"/>
              </w:rPr>
              <w:t>''''''''''''''''</w:t>
            </w:r>
          </w:p>
        </w:tc>
        <w:tc>
          <w:tcPr>
            <w:tcW w:w="1163" w:type="pct"/>
            <w:tcBorders>
              <w:top w:val="single" w:sz="4" w:space="0" w:color="auto"/>
              <w:left w:val="single" w:sz="4" w:space="0" w:color="auto"/>
              <w:bottom w:val="single" w:sz="4" w:space="0" w:color="auto"/>
              <w:right w:val="single" w:sz="4" w:space="0" w:color="auto"/>
            </w:tcBorders>
            <w:vAlign w:val="center"/>
          </w:tcPr>
          <w:p w:rsidR="006C16A0" w:rsidRPr="00DD40E7" w:rsidRDefault="00DD40E7" w:rsidP="00C26CBB">
            <w:pPr>
              <w:pStyle w:val="TableText"/>
              <w:widowControl w:val="0"/>
              <w:jc w:val="center"/>
              <w:rPr>
                <w:highlight w:val="black"/>
              </w:rPr>
            </w:pPr>
            <w:r>
              <w:rPr>
                <w:noProof/>
                <w:color w:val="000000"/>
                <w:highlight w:val="black"/>
              </w:rPr>
              <w:t>'''''''''''''''''</w:t>
            </w:r>
          </w:p>
        </w:tc>
      </w:tr>
      <w:tr w:rsidR="006C16A0" w:rsidTr="006C16A0">
        <w:tc>
          <w:tcPr>
            <w:tcW w:w="3837" w:type="pct"/>
            <w:gridSpan w:val="3"/>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jc w:val="right"/>
              <w:rPr>
                <w:b/>
              </w:rPr>
            </w:pPr>
            <w:r>
              <w:rPr>
                <w:b/>
              </w:rPr>
              <w:t>Incremental cost per progression free life year gained</w:t>
            </w:r>
          </w:p>
        </w:tc>
        <w:tc>
          <w:tcPr>
            <w:tcW w:w="1163" w:type="pct"/>
            <w:tcBorders>
              <w:top w:val="single" w:sz="4" w:space="0" w:color="auto"/>
              <w:left w:val="single" w:sz="4" w:space="0" w:color="auto"/>
              <w:bottom w:val="single" w:sz="4" w:space="0" w:color="auto"/>
              <w:right w:val="single" w:sz="4" w:space="0" w:color="auto"/>
            </w:tcBorders>
            <w:vAlign w:val="center"/>
            <w:hideMark/>
          </w:tcPr>
          <w:p w:rsidR="006C16A0" w:rsidRPr="00382288" w:rsidRDefault="006C16A0" w:rsidP="00C26CBB">
            <w:pPr>
              <w:pStyle w:val="TableText"/>
              <w:widowControl w:val="0"/>
              <w:jc w:val="center"/>
              <w:rPr>
                <w:b/>
              </w:rPr>
            </w:pPr>
            <w:r w:rsidRPr="00382288">
              <w:rPr>
                <w:b/>
              </w:rPr>
              <w:t>$</w:t>
            </w:r>
            <w:r w:rsidR="00DD40E7">
              <w:rPr>
                <w:b/>
                <w:noProof/>
                <w:color w:val="000000"/>
                <w:highlight w:val="black"/>
              </w:rPr>
              <w:t>''''''''''''''''</w:t>
            </w:r>
          </w:p>
        </w:tc>
      </w:tr>
      <w:tr w:rsidR="006C16A0" w:rsidTr="006C16A0">
        <w:tc>
          <w:tcPr>
            <w:tcW w:w="5000" w:type="pct"/>
            <w:gridSpan w:val="4"/>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jc w:val="both"/>
              <w:rPr>
                <w:b/>
              </w:rPr>
            </w:pPr>
            <w:r>
              <w:rPr>
                <w:b/>
              </w:rPr>
              <w:t>Step 1b: Outcome time to next treatment, based on mean trial follow-up of 2</w:t>
            </w:r>
            <w:r w:rsidR="000F56E5">
              <w:rPr>
                <w:b/>
              </w:rPr>
              <w:t>9</w:t>
            </w:r>
            <w:r>
              <w:rPr>
                <w:b/>
              </w:rPr>
              <w:t xml:space="preserve"> months; first-line drug and administration costs only</w:t>
            </w:r>
          </w:p>
        </w:tc>
      </w:tr>
      <w:tr w:rsidR="006C16A0" w:rsidTr="006C16A0">
        <w:tc>
          <w:tcPr>
            <w:tcW w:w="1408" w:type="pct"/>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pPr>
            <w:r>
              <w:t>Costs</w:t>
            </w:r>
          </w:p>
        </w:tc>
        <w:tc>
          <w:tcPr>
            <w:tcW w:w="1198" w:type="pct"/>
            <w:tcBorders>
              <w:top w:val="single" w:sz="4" w:space="0" w:color="auto"/>
              <w:left w:val="single" w:sz="4" w:space="0" w:color="auto"/>
              <w:bottom w:val="single" w:sz="4" w:space="0" w:color="auto"/>
              <w:right w:val="single" w:sz="4" w:space="0" w:color="auto"/>
            </w:tcBorders>
          </w:tcPr>
          <w:p w:rsidR="006C16A0" w:rsidRDefault="006C16A0" w:rsidP="00C26CBB">
            <w:pPr>
              <w:pStyle w:val="TableText"/>
              <w:widowControl w:val="0"/>
              <w:jc w:val="center"/>
            </w:pPr>
            <w:r w:rsidRPr="00CA299A">
              <w:t>$</w:t>
            </w:r>
            <w:r w:rsidR="00DD40E7">
              <w:rPr>
                <w:noProof/>
                <w:color w:val="000000"/>
                <w:highlight w:val="black"/>
              </w:rPr>
              <w:t>'''''''''''''''''</w:t>
            </w:r>
          </w:p>
        </w:tc>
        <w:tc>
          <w:tcPr>
            <w:tcW w:w="1232" w:type="pct"/>
            <w:tcBorders>
              <w:top w:val="single" w:sz="4" w:space="0" w:color="auto"/>
              <w:left w:val="single" w:sz="4" w:space="0" w:color="auto"/>
              <w:bottom w:val="single" w:sz="4" w:space="0" w:color="auto"/>
              <w:right w:val="single" w:sz="4" w:space="0" w:color="auto"/>
            </w:tcBorders>
          </w:tcPr>
          <w:p w:rsidR="006C16A0" w:rsidRDefault="006C16A0" w:rsidP="00C26CBB">
            <w:pPr>
              <w:pStyle w:val="TableText"/>
              <w:widowControl w:val="0"/>
              <w:jc w:val="center"/>
            </w:pPr>
            <w:r w:rsidRPr="00CA299A">
              <w:t>$</w:t>
            </w:r>
            <w:r w:rsidR="00DD40E7">
              <w:rPr>
                <w:noProof/>
                <w:color w:val="000000"/>
                <w:highlight w:val="black"/>
              </w:rPr>
              <w:t>'''''''''''''''''</w:t>
            </w:r>
          </w:p>
        </w:tc>
        <w:tc>
          <w:tcPr>
            <w:tcW w:w="1163" w:type="pct"/>
            <w:tcBorders>
              <w:top w:val="single" w:sz="4" w:space="0" w:color="auto"/>
              <w:left w:val="single" w:sz="4" w:space="0" w:color="auto"/>
              <w:bottom w:val="single" w:sz="4" w:space="0" w:color="auto"/>
              <w:right w:val="single" w:sz="4" w:space="0" w:color="auto"/>
            </w:tcBorders>
          </w:tcPr>
          <w:p w:rsidR="006C16A0" w:rsidRDefault="006C16A0" w:rsidP="00C26CBB">
            <w:pPr>
              <w:pStyle w:val="TableText"/>
              <w:widowControl w:val="0"/>
              <w:jc w:val="center"/>
            </w:pPr>
            <w:r w:rsidRPr="00CA299A">
              <w:t>$</w:t>
            </w:r>
            <w:r w:rsidR="00DD40E7">
              <w:rPr>
                <w:noProof/>
                <w:color w:val="000000"/>
                <w:highlight w:val="black"/>
              </w:rPr>
              <w:t>''''''''''''''''''</w:t>
            </w:r>
          </w:p>
        </w:tc>
      </w:tr>
      <w:tr w:rsidR="006C16A0" w:rsidTr="006C16A0">
        <w:tc>
          <w:tcPr>
            <w:tcW w:w="1408" w:type="pct"/>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pPr>
            <w:r>
              <w:t>Time to next treatment (years)</w:t>
            </w:r>
          </w:p>
        </w:tc>
        <w:tc>
          <w:tcPr>
            <w:tcW w:w="1198" w:type="pct"/>
            <w:tcBorders>
              <w:top w:val="single" w:sz="4" w:space="0" w:color="auto"/>
              <w:left w:val="single" w:sz="4" w:space="0" w:color="auto"/>
              <w:bottom w:val="single" w:sz="4" w:space="0" w:color="auto"/>
              <w:right w:val="single" w:sz="4" w:space="0" w:color="auto"/>
            </w:tcBorders>
            <w:vAlign w:val="bottom"/>
          </w:tcPr>
          <w:p w:rsidR="006C16A0" w:rsidRPr="00DD40E7" w:rsidRDefault="00DD40E7" w:rsidP="00C26CBB">
            <w:pPr>
              <w:pStyle w:val="TableText"/>
              <w:widowControl w:val="0"/>
              <w:jc w:val="center"/>
              <w:rPr>
                <w:highlight w:val="black"/>
              </w:rPr>
            </w:pPr>
            <w:r>
              <w:rPr>
                <w:noProof/>
                <w:color w:val="000000"/>
                <w:highlight w:val="black"/>
              </w:rPr>
              <w:t>''''''''''''''''</w:t>
            </w:r>
          </w:p>
        </w:tc>
        <w:tc>
          <w:tcPr>
            <w:tcW w:w="1232" w:type="pct"/>
            <w:tcBorders>
              <w:top w:val="single" w:sz="4" w:space="0" w:color="auto"/>
              <w:left w:val="single" w:sz="4" w:space="0" w:color="auto"/>
              <w:bottom w:val="single" w:sz="4" w:space="0" w:color="auto"/>
              <w:right w:val="single" w:sz="4" w:space="0" w:color="auto"/>
            </w:tcBorders>
            <w:vAlign w:val="bottom"/>
          </w:tcPr>
          <w:p w:rsidR="006C16A0" w:rsidRPr="00DD40E7" w:rsidRDefault="00DD40E7" w:rsidP="00C26CBB">
            <w:pPr>
              <w:pStyle w:val="TableText"/>
              <w:widowControl w:val="0"/>
              <w:jc w:val="center"/>
              <w:rPr>
                <w:highlight w:val="black"/>
              </w:rPr>
            </w:pPr>
            <w:r>
              <w:rPr>
                <w:noProof/>
                <w:color w:val="000000"/>
                <w:highlight w:val="black"/>
              </w:rPr>
              <w:t>''''''''''''''''</w:t>
            </w:r>
          </w:p>
        </w:tc>
        <w:tc>
          <w:tcPr>
            <w:tcW w:w="1163" w:type="pct"/>
            <w:tcBorders>
              <w:top w:val="single" w:sz="4" w:space="0" w:color="auto"/>
              <w:left w:val="single" w:sz="4" w:space="0" w:color="auto"/>
              <w:bottom w:val="single" w:sz="4" w:space="0" w:color="auto"/>
              <w:right w:val="single" w:sz="4" w:space="0" w:color="auto"/>
            </w:tcBorders>
            <w:vAlign w:val="center"/>
          </w:tcPr>
          <w:p w:rsidR="006C16A0" w:rsidRPr="00DD40E7" w:rsidRDefault="00DD40E7" w:rsidP="00C26CBB">
            <w:pPr>
              <w:pStyle w:val="TableText"/>
              <w:widowControl w:val="0"/>
              <w:jc w:val="center"/>
              <w:rPr>
                <w:highlight w:val="black"/>
              </w:rPr>
            </w:pPr>
            <w:r>
              <w:rPr>
                <w:noProof/>
                <w:color w:val="000000"/>
                <w:highlight w:val="black"/>
              </w:rPr>
              <w:t>'''''''''''''''''</w:t>
            </w:r>
          </w:p>
        </w:tc>
      </w:tr>
      <w:tr w:rsidR="006C16A0" w:rsidTr="006C16A0">
        <w:tc>
          <w:tcPr>
            <w:tcW w:w="3837" w:type="pct"/>
            <w:gridSpan w:val="3"/>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jc w:val="right"/>
              <w:rPr>
                <w:b/>
              </w:rPr>
            </w:pPr>
            <w:r>
              <w:rPr>
                <w:b/>
              </w:rPr>
              <w:t>Incremental cost per additional year free from relapsed/refractory disease</w:t>
            </w:r>
          </w:p>
        </w:tc>
        <w:tc>
          <w:tcPr>
            <w:tcW w:w="1163" w:type="pct"/>
            <w:tcBorders>
              <w:top w:val="single" w:sz="4" w:space="0" w:color="auto"/>
              <w:left w:val="single" w:sz="4" w:space="0" w:color="auto"/>
              <w:bottom w:val="single" w:sz="4" w:space="0" w:color="auto"/>
              <w:right w:val="single" w:sz="4" w:space="0" w:color="auto"/>
            </w:tcBorders>
            <w:vAlign w:val="center"/>
          </w:tcPr>
          <w:p w:rsidR="006C16A0" w:rsidRPr="00382288" w:rsidRDefault="006C16A0" w:rsidP="00C26CBB">
            <w:pPr>
              <w:pStyle w:val="TableText"/>
              <w:widowControl w:val="0"/>
              <w:jc w:val="center"/>
              <w:rPr>
                <w:b/>
              </w:rPr>
            </w:pPr>
            <w:r w:rsidRPr="00382288">
              <w:rPr>
                <w:b/>
              </w:rPr>
              <w:t>$</w:t>
            </w:r>
            <w:r w:rsidR="00DD40E7">
              <w:rPr>
                <w:b/>
                <w:noProof/>
                <w:color w:val="000000"/>
                <w:highlight w:val="black"/>
              </w:rPr>
              <w:t>''''''''''''''''</w:t>
            </w:r>
          </w:p>
        </w:tc>
      </w:tr>
      <w:tr w:rsidR="006C16A0" w:rsidTr="006C16A0">
        <w:tc>
          <w:tcPr>
            <w:tcW w:w="5000" w:type="pct"/>
            <w:gridSpan w:val="4"/>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jc w:val="both"/>
              <w:rPr>
                <w:b/>
              </w:rPr>
            </w:pPr>
            <w:r>
              <w:rPr>
                <w:b/>
              </w:rPr>
              <w:t>Step 2: Outcome QALYs (utilities applied to health states), based on mean trial follow-up of 2</w:t>
            </w:r>
            <w:r w:rsidR="000F56E5">
              <w:rPr>
                <w:b/>
              </w:rPr>
              <w:t>9</w:t>
            </w:r>
            <w:r>
              <w:rPr>
                <w:b/>
              </w:rPr>
              <w:t xml:space="preserve"> months; first-line drug and administration costs only</w:t>
            </w:r>
          </w:p>
        </w:tc>
      </w:tr>
      <w:tr w:rsidR="006C16A0" w:rsidTr="006C16A0">
        <w:tc>
          <w:tcPr>
            <w:tcW w:w="1408" w:type="pct"/>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pPr>
            <w:r>
              <w:t>Costs</w:t>
            </w:r>
          </w:p>
        </w:tc>
        <w:tc>
          <w:tcPr>
            <w:tcW w:w="1198" w:type="pct"/>
            <w:tcBorders>
              <w:top w:val="single" w:sz="4" w:space="0" w:color="auto"/>
              <w:left w:val="single" w:sz="4" w:space="0" w:color="auto"/>
              <w:bottom w:val="single" w:sz="4" w:space="0" w:color="auto"/>
              <w:right w:val="single" w:sz="4" w:space="0" w:color="auto"/>
            </w:tcBorders>
          </w:tcPr>
          <w:p w:rsidR="006C16A0" w:rsidRDefault="006C16A0" w:rsidP="00C26CBB">
            <w:pPr>
              <w:pStyle w:val="TableText"/>
              <w:widowControl w:val="0"/>
              <w:jc w:val="center"/>
            </w:pPr>
            <w:r w:rsidRPr="00410D71">
              <w:t>$</w:t>
            </w:r>
            <w:r w:rsidR="00DD40E7">
              <w:rPr>
                <w:noProof/>
                <w:color w:val="000000"/>
                <w:highlight w:val="black"/>
              </w:rPr>
              <w:t>''''''''''''''''</w:t>
            </w:r>
          </w:p>
        </w:tc>
        <w:tc>
          <w:tcPr>
            <w:tcW w:w="1232" w:type="pct"/>
            <w:tcBorders>
              <w:top w:val="single" w:sz="4" w:space="0" w:color="auto"/>
              <w:left w:val="single" w:sz="4" w:space="0" w:color="auto"/>
              <w:bottom w:val="single" w:sz="4" w:space="0" w:color="auto"/>
              <w:right w:val="single" w:sz="4" w:space="0" w:color="auto"/>
            </w:tcBorders>
          </w:tcPr>
          <w:p w:rsidR="006C16A0" w:rsidRDefault="006C16A0" w:rsidP="00C26CBB">
            <w:pPr>
              <w:pStyle w:val="TableText"/>
              <w:widowControl w:val="0"/>
              <w:jc w:val="center"/>
            </w:pPr>
            <w:r w:rsidRPr="00410D71">
              <w:t>$</w:t>
            </w:r>
            <w:r w:rsidR="00DD40E7">
              <w:rPr>
                <w:noProof/>
                <w:color w:val="000000"/>
                <w:highlight w:val="black"/>
              </w:rPr>
              <w:t>''''''''''''''''</w:t>
            </w:r>
          </w:p>
        </w:tc>
        <w:tc>
          <w:tcPr>
            <w:tcW w:w="1163" w:type="pct"/>
            <w:tcBorders>
              <w:top w:val="single" w:sz="4" w:space="0" w:color="auto"/>
              <w:left w:val="single" w:sz="4" w:space="0" w:color="auto"/>
              <w:bottom w:val="single" w:sz="4" w:space="0" w:color="auto"/>
              <w:right w:val="single" w:sz="4" w:space="0" w:color="auto"/>
            </w:tcBorders>
          </w:tcPr>
          <w:p w:rsidR="006C16A0" w:rsidRDefault="006C16A0" w:rsidP="00C26CBB">
            <w:pPr>
              <w:pStyle w:val="TableText"/>
              <w:widowControl w:val="0"/>
              <w:jc w:val="center"/>
            </w:pPr>
            <w:r w:rsidRPr="00410D71">
              <w:t>$</w:t>
            </w:r>
            <w:r w:rsidR="00DD40E7">
              <w:rPr>
                <w:noProof/>
                <w:color w:val="000000"/>
                <w:highlight w:val="black"/>
              </w:rPr>
              <w:t>'''''''''''''''''</w:t>
            </w:r>
          </w:p>
        </w:tc>
      </w:tr>
      <w:tr w:rsidR="006C16A0" w:rsidTr="006C16A0">
        <w:tc>
          <w:tcPr>
            <w:tcW w:w="1408" w:type="pct"/>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pPr>
            <w:r>
              <w:t>QALYs</w:t>
            </w:r>
          </w:p>
        </w:tc>
        <w:tc>
          <w:tcPr>
            <w:tcW w:w="1198" w:type="pct"/>
            <w:tcBorders>
              <w:top w:val="single" w:sz="4" w:space="0" w:color="auto"/>
              <w:left w:val="single" w:sz="4" w:space="0" w:color="auto"/>
              <w:bottom w:val="single" w:sz="4" w:space="0" w:color="auto"/>
              <w:right w:val="single" w:sz="4" w:space="0" w:color="auto"/>
            </w:tcBorders>
            <w:vAlign w:val="center"/>
          </w:tcPr>
          <w:p w:rsidR="006C16A0" w:rsidRPr="00DD40E7" w:rsidRDefault="00DD40E7" w:rsidP="00C26CBB">
            <w:pPr>
              <w:pStyle w:val="TableText"/>
              <w:widowControl w:val="0"/>
              <w:jc w:val="center"/>
              <w:rPr>
                <w:highlight w:val="black"/>
              </w:rPr>
            </w:pPr>
            <w:r>
              <w:rPr>
                <w:noProof/>
                <w:color w:val="000000"/>
                <w:highlight w:val="black"/>
              </w:rPr>
              <w:t>''''''''''''''''</w:t>
            </w:r>
          </w:p>
        </w:tc>
        <w:tc>
          <w:tcPr>
            <w:tcW w:w="1232" w:type="pct"/>
            <w:tcBorders>
              <w:top w:val="single" w:sz="4" w:space="0" w:color="auto"/>
              <w:left w:val="single" w:sz="4" w:space="0" w:color="auto"/>
              <w:bottom w:val="single" w:sz="4" w:space="0" w:color="auto"/>
              <w:right w:val="single" w:sz="4" w:space="0" w:color="auto"/>
            </w:tcBorders>
            <w:vAlign w:val="center"/>
          </w:tcPr>
          <w:p w:rsidR="006C16A0" w:rsidRPr="00DD40E7" w:rsidRDefault="00DD40E7" w:rsidP="00C26CBB">
            <w:pPr>
              <w:pStyle w:val="TableText"/>
              <w:widowControl w:val="0"/>
              <w:jc w:val="center"/>
              <w:rPr>
                <w:highlight w:val="black"/>
              </w:rPr>
            </w:pPr>
            <w:r>
              <w:rPr>
                <w:noProof/>
                <w:color w:val="000000"/>
                <w:highlight w:val="black"/>
              </w:rPr>
              <w:t>''''''''''''''''''</w:t>
            </w:r>
          </w:p>
        </w:tc>
        <w:tc>
          <w:tcPr>
            <w:tcW w:w="1163" w:type="pct"/>
            <w:tcBorders>
              <w:top w:val="single" w:sz="4" w:space="0" w:color="auto"/>
              <w:left w:val="single" w:sz="4" w:space="0" w:color="auto"/>
              <w:bottom w:val="single" w:sz="4" w:space="0" w:color="auto"/>
              <w:right w:val="single" w:sz="4" w:space="0" w:color="auto"/>
            </w:tcBorders>
            <w:vAlign w:val="center"/>
          </w:tcPr>
          <w:p w:rsidR="006C16A0" w:rsidRPr="00DD40E7" w:rsidRDefault="00DD40E7" w:rsidP="00C26CBB">
            <w:pPr>
              <w:pStyle w:val="TableText"/>
              <w:widowControl w:val="0"/>
              <w:jc w:val="center"/>
              <w:rPr>
                <w:highlight w:val="black"/>
              </w:rPr>
            </w:pPr>
            <w:r>
              <w:rPr>
                <w:noProof/>
                <w:color w:val="000000"/>
                <w:highlight w:val="black"/>
              </w:rPr>
              <w:t>'''''''''''''''</w:t>
            </w:r>
          </w:p>
        </w:tc>
      </w:tr>
      <w:tr w:rsidR="006C16A0" w:rsidTr="006C16A0">
        <w:tc>
          <w:tcPr>
            <w:tcW w:w="3837" w:type="pct"/>
            <w:gridSpan w:val="3"/>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jc w:val="right"/>
              <w:rPr>
                <w:b/>
              </w:rPr>
            </w:pPr>
            <w:r>
              <w:rPr>
                <w:b/>
              </w:rPr>
              <w:t>Incremental cost per QALY gained</w:t>
            </w:r>
          </w:p>
        </w:tc>
        <w:tc>
          <w:tcPr>
            <w:tcW w:w="1163" w:type="pct"/>
            <w:tcBorders>
              <w:top w:val="single" w:sz="4" w:space="0" w:color="auto"/>
              <w:left w:val="single" w:sz="4" w:space="0" w:color="auto"/>
              <w:bottom w:val="single" w:sz="4" w:space="0" w:color="auto"/>
              <w:right w:val="single" w:sz="4" w:space="0" w:color="auto"/>
            </w:tcBorders>
            <w:vAlign w:val="center"/>
          </w:tcPr>
          <w:p w:rsidR="006C16A0" w:rsidRPr="00382288" w:rsidRDefault="006C16A0" w:rsidP="00C26CBB">
            <w:pPr>
              <w:pStyle w:val="TableText"/>
              <w:widowControl w:val="0"/>
              <w:jc w:val="center"/>
              <w:rPr>
                <w:b/>
              </w:rPr>
            </w:pPr>
            <w:r w:rsidRPr="00382288">
              <w:rPr>
                <w:b/>
              </w:rPr>
              <w:t>$</w:t>
            </w:r>
            <w:r w:rsidR="00DD40E7">
              <w:rPr>
                <w:b/>
                <w:noProof/>
                <w:color w:val="000000"/>
                <w:highlight w:val="black"/>
              </w:rPr>
              <w:t>'''''''''''''''''''''</w:t>
            </w:r>
          </w:p>
        </w:tc>
      </w:tr>
      <w:tr w:rsidR="006C16A0" w:rsidTr="006C16A0">
        <w:tc>
          <w:tcPr>
            <w:tcW w:w="5000" w:type="pct"/>
            <w:gridSpan w:val="4"/>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jc w:val="both"/>
              <w:rPr>
                <w:b/>
              </w:rPr>
            </w:pPr>
            <w:r>
              <w:rPr>
                <w:b/>
              </w:rPr>
              <w:t>Step 3: Outcome QALYs, based on mean trial follow-up of 2</w:t>
            </w:r>
            <w:r w:rsidR="000F56E5">
              <w:rPr>
                <w:b/>
              </w:rPr>
              <w:t>9</w:t>
            </w:r>
            <w:r>
              <w:rPr>
                <w:b/>
              </w:rPr>
              <w:t xml:space="preserve"> months; health state costs and relapsed/refractory disease treatment costs included with first-line drug and administration costs</w:t>
            </w:r>
          </w:p>
        </w:tc>
      </w:tr>
      <w:tr w:rsidR="006C16A0" w:rsidTr="006C16A0">
        <w:tc>
          <w:tcPr>
            <w:tcW w:w="1408" w:type="pct"/>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pPr>
            <w:r>
              <w:t>Costs</w:t>
            </w:r>
          </w:p>
        </w:tc>
        <w:tc>
          <w:tcPr>
            <w:tcW w:w="1198" w:type="pct"/>
            <w:tcBorders>
              <w:top w:val="single" w:sz="4" w:space="0" w:color="auto"/>
              <w:left w:val="single" w:sz="4" w:space="0" w:color="auto"/>
              <w:bottom w:val="single" w:sz="4" w:space="0" w:color="auto"/>
              <w:right w:val="single" w:sz="4" w:space="0" w:color="auto"/>
            </w:tcBorders>
            <w:vAlign w:val="bottom"/>
          </w:tcPr>
          <w:p w:rsidR="006C16A0" w:rsidRDefault="006C16A0" w:rsidP="00C26CBB">
            <w:pPr>
              <w:pStyle w:val="TableText"/>
              <w:widowControl w:val="0"/>
              <w:jc w:val="center"/>
            </w:pPr>
            <w:r>
              <w:t>$</w:t>
            </w:r>
            <w:r w:rsidR="00DD40E7">
              <w:rPr>
                <w:noProof/>
                <w:color w:val="000000"/>
                <w:highlight w:val="black"/>
              </w:rPr>
              <w:t>'''''''''''''''''</w:t>
            </w:r>
          </w:p>
        </w:tc>
        <w:tc>
          <w:tcPr>
            <w:tcW w:w="1232" w:type="pct"/>
            <w:tcBorders>
              <w:top w:val="single" w:sz="4" w:space="0" w:color="auto"/>
              <w:left w:val="single" w:sz="4" w:space="0" w:color="auto"/>
              <w:bottom w:val="single" w:sz="4" w:space="0" w:color="auto"/>
              <w:right w:val="single" w:sz="4" w:space="0" w:color="auto"/>
            </w:tcBorders>
            <w:vAlign w:val="bottom"/>
          </w:tcPr>
          <w:p w:rsidR="006C16A0" w:rsidRDefault="006C16A0" w:rsidP="00C26CBB">
            <w:pPr>
              <w:pStyle w:val="TableText"/>
              <w:widowControl w:val="0"/>
              <w:jc w:val="center"/>
            </w:pPr>
            <w:r>
              <w:t>$</w:t>
            </w:r>
            <w:r w:rsidR="00DD40E7">
              <w:rPr>
                <w:noProof/>
                <w:color w:val="000000"/>
                <w:highlight w:val="black"/>
              </w:rPr>
              <w:t>'''''''''''''''</w:t>
            </w:r>
          </w:p>
        </w:tc>
        <w:tc>
          <w:tcPr>
            <w:tcW w:w="1163" w:type="pct"/>
            <w:tcBorders>
              <w:top w:val="single" w:sz="4" w:space="0" w:color="auto"/>
              <w:left w:val="single" w:sz="4" w:space="0" w:color="auto"/>
              <w:bottom w:val="single" w:sz="4" w:space="0" w:color="auto"/>
              <w:right w:val="single" w:sz="4" w:space="0" w:color="auto"/>
            </w:tcBorders>
            <w:vAlign w:val="center"/>
          </w:tcPr>
          <w:p w:rsidR="006C16A0" w:rsidRDefault="006C16A0" w:rsidP="00C26CBB">
            <w:pPr>
              <w:pStyle w:val="TableText"/>
              <w:widowControl w:val="0"/>
              <w:jc w:val="center"/>
            </w:pPr>
            <w:r>
              <w:t>$</w:t>
            </w:r>
            <w:r w:rsidR="00DD40E7">
              <w:rPr>
                <w:noProof/>
                <w:color w:val="000000"/>
                <w:highlight w:val="black"/>
              </w:rPr>
              <w:t>'''''''''''''''''</w:t>
            </w:r>
          </w:p>
        </w:tc>
      </w:tr>
      <w:tr w:rsidR="006C16A0" w:rsidTr="006C16A0">
        <w:tc>
          <w:tcPr>
            <w:tcW w:w="1408" w:type="pct"/>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pPr>
            <w:r>
              <w:t>QALYs</w:t>
            </w:r>
          </w:p>
        </w:tc>
        <w:tc>
          <w:tcPr>
            <w:tcW w:w="1198" w:type="pct"/>
            <w:tcBorders>
              <w:top w:val="single" w:sz="4" w:space="0" w:color="auto"/>
              <w:left w:val="single" w:sz="4" w:space="0" w:color="auto"/>
              <w:bottom w:val="single" w:sz="4" w:space="0" w:color="auto"/>
              <w:right w:val="single" w:sz="4" w:space="0" w:color="auto"/>
            </w:tcBorders>
          </w:tcPr>
          <w:p w:rsidR="006C16A0" w:rsidRPr="00DD40E7" w:rsidRDefault="00DD40E7" w:rsidP="00C26CBB">
            <w:pPr>
              <w:pStyle w:val="TableText"/>
              <w:widowControl w:val="0"/>
              <w:jc w:val="center"/>
              <w:rPr>
                <w:highlight w:val="black"/>
              </w:rPr>
            </w:pPr>
            <w:r>
              <w:rPr>
                <w:noProof/>
                <w:color w:val="000000"/>
                <w:highlight w:val="black"/>
              </w:rPr>
              <w:t>''''''''''''''''</w:t>
            </w:r>
          </w:p>
        </w:tc>
        <w:tc>
          <w:tcPr>
            <w:tcW w:w="1232" w:type="pct"/>
            <w:tcBorders>
              <w:top w:val="single" w:sz="4" w:space="0" w:color="auto"/>
              <w:left w:val="single" w:sz="4" w:space="0" w:color="auto"/>
              <w:bottom w:val="single" w:sz="4" w:space="0" w:color="auto"/>
              <w:right w:val="single" w:sz="4" w:space="0" w:color="auto"/>
            </w:tcBorders>
          </w:tcPr>
          <w:p w:rsidR="006C16A0" w:rsidRPr="00DD40E7" w:rsidRDefault="00DD40E7" w:rsidP="00C26CBB">
            <w:pPr>
              <w:pStyle w:val="TableText"/>
              <w:widowControl w:val="0"/>
              <w:jc w:val="center"/>
              <w:rPr>
                <w:highlight w:val="black"/>
              </w:rPr>
            </w:pPr>
            <w:r>
              <w:rPr>
                <w:noProof/>
                <w:color w:val="000000"/>
                <w:highlight w:val="black"/>
              </w:rPr>
              <w:t>''''''''''''''''</w:t>
            </w:r>
          </w:p>
        </w:tc>
        <w:tc>
          <w:tcPr>
            <w:tcW w:w="1163" w:type="pct"/>
            <w:tcBorders>
              <w:top w:val="single" w:sz="4" w:space="0" w:color="auto"/>
              <w:left w:val="single" w:sz="4" w:space="0" w:color="auto"/>
              <w:bottom w:val="single" w:sz="4" w:space="0" w:color="auto"/>
              <w:right w:val="single" w:sz="4" w:space="0" w:color="auto"/>
            </w:tcBorders>
          </w:tcPr>
          <w:p w:rsidR="006C16A0" w:rsidRPr="00DD40E7" w:rsidRDefault="00DD40E7" w:rsidP="00C26CBB">
            <w:pPr>
              <w:pStyle w:val="TableText"/>
              <w:widowControl w:val="0"/>
              <w:jc w:val="center"/>
              <w:rPr>
                <w:highlight w:val="black"/>
              </w:rPr>
            </w:pPr>
            <w:r>
              <w:rPr>
                <w:noProof/>
                <w:color w:val="000000"/>
                <w:highlight w:val="black"/>
              </w:rPr>
              <w:t>''''''''''''''''</w:t>
            </w:r>
          </w:p>
        </w:tc>
      </w:tr>
      <w:tr w:rsidR="006C16A0" w:rsidTr="006C16A0">
        <w:tc>
          <w:tcPr>
            <w:tcW w:w="3837" w:type="pct"/>
            <w:gridSpan w:val="3"/>
            <w:tcBorders>
              <w:top w:val="single" w:sz="4" w:space="0" w:color="auto"/>
              <w:left w:val="single" w:sz="4" w:space="0" w:color="auto"/>
              <w:bottom w:val="single" w:sz="4" w:space="0" w:color="auto"/>
              <w:right w:val="single" w:sz="4" w:space="0" w:color="auto"/>
            </w:tcBorders>
            <w:hideMark/>
          </w:tcPr>
          <w:p w:rsidR="006C16A0" w:rsidRDefault="006C16A0" w:rsidP="00C26CBB">
            <w:pPr>
              <w:pStyle w:val="TableText"/>
              <w:widowControl w:val="0"/>
              <w:jc w:val="right"/>
              <w:rPr>
                <w:b/>
              </w:rPr>
            </w:pPr>
            <w:r>
              <w:rPr>
                <w:b/>
              </w:rPr>
              <w:t>Incremental cost per QALY gained</w:t>
            </w:r>
          </w:p>
        </w:tc>
        <w:tc>
          <w:tcPr>
            <w:tcW w:w="1163" w:type="pct"/>
            <w:tcBorders>
              <w:top w:val="single" w:sz="4" w:space="0" w:color="auto"/>
              <w:left w:val="single" w:sz="4" w:space="0" w:color="auto"/>
              <w:bottom w:val="single" w:sz="4" w:space="0" w:color="auto"/>
              <w:right w:val="single" w:sz="4" w:space="0" w:color="auto"/>
            </w:tcBorders>
            <w:vAlign w:val="center"/>
            <w:hideMark/>
          </w:tcPr>
          <w:p w:rsidR="006C16A0" w:rsidRPr="00382288" w:rsidRDefault="006C16A0" w:rsidP="00C26CBB">
            <w:pPr>
              <w:pStyle w:val="TableText"/>
              <w:widowControl w:val="0"/>
              <w:jc w:val="center"/>
              <w:rPr>
                <w:b/>
              </w:rPr>
            </w:pPr>
            <w:r w:rsidRPr="00382288">
              <w:rPr>
                <w:b/>
              </w:rPr>
              <w:t>$</w:t>
            </w:r>
            <w:r w:rsidR="00DD40E7">
              <w:rPr>
                <w:b/>
                <w:noProof/>
                <w:color w:val="000000"/>
                <w:highlight w:val="black"/>
              </w:rPr>
              <w:t>'''''''''''''''''''</w:t>
            </w:r>
          </w:p>
        </w:tc>
      </w:tr>
      <w:tr w:rsidR="006C16A0" w:rsidTr="006C16A0">
        <w:tc>
          <w:tcPr>
            <w:tcW w:w="5000" w:type="pct"/>
            <w:gridSpan w:val="4"/>
            <w:tcBorders>
              <w:top w:val="single" w:sz="4" w:space="0" w:color="auto"/>
              <w:left w:val="single" w:sz="4" w:space="0" w:color="auto"/>
              <w:bottom w:val="single" w:sz="4" w:space="0" w:color="auto"/>
              <w:right w:val="single" w:sz="4" w:space="0" w:color="auto"/>
            </w:tcBorders>
            <w:hideMark/>
          </w:tcPr>
          <w:p w:rsidR="006C16A0" w:rsidRPr="00885331" w:rsidRDefault="006C16A0" w:rsidP="00C26CBB">
            <w:pPr>
              <w:pStyle w:val="TableText"/>
              <w:widowControl w:val="0"/>
              <w:jc w:val="both"/>
              <w:rPr>
                <w:b/>
              </w:rPr>
            </w:pPr>
            <w:r w:rsidRPr="00885331">
              <w:rPr>
                <w:b/>
              </w:rPr>
              <w:t xml:space="preserve">Step 4: Extrapolated </w:t>
            </w:r>
            <w:r>
              <w:rPr>
                <w:b/>
              </w:rPr>
              <w:t>costs and outcomes to 10 years; outcome QALYs; first- and subsequent-line drug and administration costs and health state costs included</w:t>
            </w:r>
          </w:p>
        </w:tc>
      </w:tr>
      <w:tr w:rsidR="006C16A0" w:rsidTr="006C16A0">
        <w:tc>
          <w:tcPr>
            <w:tcW w:w="1408" w:type="pct"/>
            <w:tcBorders>
              <w:top w:val="single" w:sz="4" w:space="0" w:color="auto"/>
              <w:left w:val="single" w:sz="4" w:space="0" w:color="auto"/>
              <w:bottom w:val="single" w:sz="4" w:space="0" w:color="auto"/>
              <w:right w:val="single" w:sz="4" w:space="0" w:color="auto"/>
            </w:tcBorders>
            <w:hideMark/>
          </w:tcPr>
          <w:p w:rsidR="006C16A0" w:rsidRPr="00885331" w:rsidRDefault="006C16A0" w:rsidP="00C26CBB">
            <w:pPr>
              <w:pStyle w:val="TableText"/>
              <w:widowControl w:val="0"/>
            </w:pPr>
            <w:r w:rsidRPr="00885331">
              <w:t>Costs</w:t>
            </w:r>
          </w:p>
        </w:tc>
        <w:tc>
          <w:tcPr>
            <w:tcW w:w="1198" w:type="pct"/>
            <w:tcBorders>
              <w:top w:val="single" w:sz="4" w:space="0" w:color="auto"/>
              <w:left w:val="single" w:sz="4" w:space="0" w:color="auto"/>
              <w:bottom w:val="single" w:sz="4" w:space="0" w:color="auto"/>
              <w:right w:val="single" w:sz="4" w:space="0" w:color="auto"/>
            </w:tcBorders>
            <w:vAlign w:val="bottom"/>
          </w:tcPr>
          <w:p w:rsidR="006C16A0" w:rsidRPr="00885331" w:rsidRDefault="006C16A0" w:rsidP="00C26CBB">
            <w:pPr>
              <w:pStyle w:val="TableText"/>
              <w:widowControl w:val="0"/>
              <w:jc w:val="center"/>
            </w:pPr>
            <w:r>
              <w:t>$</w:t>
            </w:r>
            <w:r w:rsidR="00DD40E7">
              <w:rPr>
                <w:noProof/>
                <w:color w:val="000000"/>
                <w:highlight w:val="black"/>
              </w:rPr>
              <w:t>'''''''''''''''''''</w:t>
            </w:r>
          </w:p>
        </w:tc>
        <w:tc>
          <w:tcPr>
            <w:tcW w:w="1232" w:type="pct"/>
            <w:tcBorders>
              <w:top w:val="single" w:sz="4" w:space="0" w:color="auto"/>
              <w:left w:val="single" w:sz="4" w:space="0" w:color="auto"/>
              <w:bottom w:val="single" w:sz="4" w:space="0" w:color="auto"/>
              <w:right w:val="single" w:sz="4" w:space="0" w:color="auto"/>
            </w:tcBorders>
            <w:vAlign w:val="bottom"/>
          </w:tcPr>
          <w:p w:rsidR="006C16A0" w:rsidRPr="00885331" w:rsidRDefault="006C16A0" w:rsidP="00C26CBB">
            <w:pPr>
              <w:pStyle w:val="TableText"/>
              <w:widowControl w:val="0"/>
              <w:jc w:val="center"/>
            </w:pPr>
            <w:r>
              <w:t>$</w:t>
            </w:r>
            <w:r w:rsidR="00DD40E7">
              <w:rPr>
                <w:noProof/>
                <w:color w:val="000000"/>
                <w:highlight w:val="black"/>
              </w:rPr>
              <w:t>'''''''''''''''''''''</w:t>
            </w:r>
          </w:p>
        </w:tc>
        <w:tc>
          <w:tcPr>
            <w:tcW w:w="1163" w:type="pct"/>
            <w:tcBorders>
              <w:top w:val="single" w:sz="4" w:space="0" w:color="auto"/>
              <w:left w:val="single" w:sz="4" w:space="0" w:color="auto"/>
              <w:bottom w:val="single" w:sz="4" w:space="0" w:color="auto"/>
              <w:right w:val="single" w:sz="4" w:space="0" w:color="auto"/>
            </w:tcBorders>
            <w:vAlign w:val="center"/>
          </w:tcPr>
          <w:p w:rsidR="006C16A0" w:rsidRPr="00885331" w:rsidRDefault="006C16A0" w:rsidP="00C26CBB">
            <w:pPr>
              <w:pStyle w:val="TableText"/>
              <w:widowControl w:val="0"/>
              <w:jc w:val="center"/>
            </w:pPr>
            <w:r>
              <w:t>$</w:t>
            </w:r>
            <w:r w:rsidR="00DD40E7">
              <w:rPr>
                <w:noProof/>
                <w:color w:val="000000"/>
                <w:highlight w:val="black"/>
              </w:rPr>
              <w:t>'''''''''''''''</w:t>
            </w:r>
          </w:p>
        </w:tc>
      </w:tr>
      <w:tr w:rsidR="006C16A0" w:rsidTr="006C16A0">
        <w:tc>
          <w:tcPr>
            <w:tcW w:w="1408" w:type="pct"/>
            <w:tcBorders>
              <w:top w:val="single" w:sz="4" w:space="0" w:color="auto"/>
              <w:left w:val="single" w:sz="4" w:space="0" w:color="auto"/>
              <w:bottom w:val="single" w:sz="4" w:space="0" w:color="auto"/>
              <w:right w:val="single" w:sz="4" w:space="0" w:color="auto"/>
            </w:tcBorders>
            <w:hideMark/>
          </w:tcPr>
          <w:p w:rsidR="006C16A0" w:rsidRPr="00885331" w:rsidRDefault="006C16A0" w:rsidP="00C26CBB">
            <w:pPr>
              <w:pStyle w:val="TableText"/>
              <w:widowControl w:val="0"/>
              <w:rPr>
                <w:vertAlign w:val="superscript"/>
              </w:rPr>
            </w:pPr>
            <w:r w:rsidRPr="00885331">
              <w:t>QALYs</w:t>
            </w:r>
          </w:p>
        </w:tc>
        <w:tc>
          <w:tcPr>
            <w:tcW w:w="1198" w:type="pct"/>
            <w:tcBorders>
              <w:top w:val="single" w:sz="4" w:space="0" w:color="auto"/>
              <w:left w:val="single" w:sz="4" w:space="0" w:color="auto"/>
              <w:bottom w:val="single" w:sz="4" w:space="0" w:color="auto"/>
              <w:right w:val="single" w:sz="4" w:space="0" w:color="auto"/>
            </w:tcBorders>
            <w:vAlign w:val="bottom"/>
          </w:tcPr>
          <w:p w:rsidR="006C16A0" w:rsidRPr="00DD40E7" w:rsidRDefault="00DD40E7" w:rsidP="00C26CBB">
            <w:pPr>
              <w:pStyle w:val="TableText"/>
              <w:widowControl w:val="0"/>
              <w:jc w:val="center"/>
              <w:rPr>
                <w:highlight w:val="black"/>
              </w:rPr>
            </w:pPr>
            <w:r>
              <w:rPr>
                <w:noProof/>
                <w:color w:val="000000"/>
                <w:highlight w:val="black"/>
              </w:rPr>
              <w:t>''''''''''''''''</w:t>
            </w:r>
          </w:p>
        </w:tc>
        <w:tc>
          <w:tcPr>
            <w:tcW w:w="1232" w:type="pct"/>
            <w:tcBorders>
              <w:top w:val="single" w:sz="4" w:space="0" w:color="auto"/>
              <w:left w:val="single" w:sz="4" w:space="0" w:color="auto"/>
              <w:bottom w:val="single" w:sz="4" w:space="0" w:color="auto"/>
              <w:right w:val="single" w:sz="4" w:space="0" w:color="auto"/>
            </w:tcBorders>
            <w:vAlign w:val="bottom"/>
          </w:tcPr>
          <w:p w:rsidR="006C16A0" w:rsidRPr="00DD40E7" w:rsidRDefault="00DD40E7" w:rsidP="00C26CBB">
            <w:pPr>
              <w:pStyle w:val="TableText"/>
              <w:widowControl w:val="0"/>
              <w:jc w:val="center"/>
              <w:rPr>
                <w:highlight w:val="black"/>
              </w:rPr>
            </w:pPr>
            <w:r>
              <w:rPr>
                <w:noProof/>
                <w:color w:val="000000"/>
                <w:highlight w:val="black"/>
              </w:rPr>
              <w:t>''''''''''''''''</w:t>
            </w:r>
          </w:p>
        </w:tc>
        <w:tc>
          <w:tcPr>
            <w:tcW w:w="1163" w:type="pct"/>
            <w:tcBorders>
              <w:top w:val="single" w:sz="4" w:space="0" w:color="auto"/>
              <w:left w:val="single" w:sz="4" w:space="0" w:color="auto"/>
              <w:bottom w:val="single" w:sz="4" w:space="0" w:color="auto"/>
              <w:right w:val="single" w:sz="4" w:space="0" w:color="auto"/>
            </w:tcBorders>
            <w:vAlign w:val="center"/>
          </w:tcPr>
          <w:p w:rsidR="006C16A0" w:rsidRPr="00DD40E7" w:rsidRDefault="00DD40E7" w:rsidP="00C26CBB">
            <w:pPr>
              <w:pStyle w:val="TableText"/>
              <w:widowControl w:val="0"/>
              <w:jc w:val="center"/>
              <w:rPr>
                <w:highlight w:val="black"/>
              </w:rPr>
            </w:pPr>
            <w:r>
              <w:rPr>
                <w:noProof/>
                <w:color w:val="000000"/>
                <w:highlight w:val="black"/>
              </w:rPr>
              <w:t>''''''''''''''''</w:t>
            </w:r>
          </w:p>
        </w:tc>
      </w:tr>
      <w:tr w:rsidR="006C16A0" w:rsidTr="006C16A0">
        <w:tc>
          <w:tcPr>
            <w:tcW w:w="3837" w:type="pct"/>
            <w:gridSpan w:val="3"/>
            <w:tcBorders>
              <w:top w:val="single" w:sz="4" w:space="0" w:color="auto"/>
              <w:left w:val="single" w:sz="4" w:space="0" w:color="auto"/>
              <w:bottom w:val="single" w:sz="4" w:space="0" w:color="auto"/>
              <w:right w:val="single" w:sz="4" w:space="0" w:color="auto"/>
            </w:tcBorders>
            <w:hideMark/>
          </w:tcPr>
          <w:p w:rsidR="006C16A0" w:rsidRPr="00885331" w:rsidRDefault="006C16A0" w:rsidP="00C26CBB">
            <w:pPr>
              <w:pStyle w:val="TableText"/>
              <w:widowControl w:val="0"/>
              <w:jc w:val="right"/>
              <w:rPr>
                <w:b/>
              </w:rPr>
            </w:pPr>
            <w:r w:rsidRPr="00885331">
              <w:rPr>
                <w:b/>
              </w:rPr>
              <w:t>Incremental cost per QALY gained</w:t>
            </w:r>
          </w:p>
        </w:tc>
        <w:tc>
          <w:tcPr>
            <w:tcW w:w="1163" w:type="pct"/>
            <w:tcBorders>
              <w:top w:val="single" w:sz="4" w:space="0" w:color="auto"/>
              <w:left w:val="single" w:sz="4" w:space="0" w:color="auto"/>
              <w:bottom w:val="single" w:sz="4" w:space="0" w:color="auto"/>
              <w:right w:val="single" w:sz="4" w:space="0" w:color="auto"/>
            </w:tcBorders>
            <w:vAlign w:val="center"/>
          </w:tcPr>
          <w:p w:rsidR="006C16A0" w:rsidRPr="00382288" w:rsidRDefault="006C16A0" w:rsidP="00C26CBB">
            <w:pPr>
              <w:pStyle w:val="TableText"/>
              <w:widowControl w:val="0"/>
              <w:jc w:val="center"/>
              <w:rPr>
                <w:b/>
              </w:rPr>
            </w:pPr>
            <w:r w:rsidRPr="00382288">
              <w:rPr>
                <w:b/>
              </w:rPr>
              <w:t>$</w:t>
            </w:r>
            <w:r w:rsidR="00DD40E7">
              <w:rPr>
                <w:b/>
                <w:noProof/>
                <w:color w:val="000000"/>
                <w:highlight w:val="black"/>
              </w:rPr>
              <w:t>''''''''''''</w:t>
            </w:r>
          </w:p>
        </w:tc>
      </w:tr>
    </w:tbl>
    <w:p w:rsidR="006C16A0" w:rsidRDefault="006C16A0" w:rsidP="006C16A0">
      <w:pPr>
        <w:pStyle w:val="TableFooter"/>
      </w:pPr>
      <w:r>
        <w:t>Source: Table 107, p162 of the submission and PBAC_Section 3_CUA_VTX+Obi_final spreadsheet provided with the submission</w:t>
      </w:r>
    </w:p>
    <w:p w:rsidR="006C16A0" w:rsidRDefault="006C16A0" w:rsidP="006C16A0">
      <w:pPr>
        <w:pStyle w:val="TableFooter"/>
      </w:pPr>
      <w:r>
        <w:t>Abbreviations: QALY, quality adjusted life year</w:t>
      </w:r>
    </w:p>
    <w:p w:rsidR="006C16A0" w:rsidRPr="00B119F1" w:rsidRDefault="006C16A0" w:rsidP="009F1328"/>
    <w:p w:rsidR="006C16A0" w:rsidRPr="006656E8" w:rsidRDefault="006C16A0" w:rsidP="006C16A0">
      <w:pPr>
        <w:pStyle w:val="ExecSumBodyText"/>
        <w:numPr>
          <w:ilvl w:val="1"/>
          <w:numId w:val="1"/>
        </w:numPr>
      </w:pPr>
      <w:r w:rsidRPr="006656E8">
        <w:lastRenderedPageBreak/>
        <w:t xml:space="preserve">The difference in incremental cost between treatment arms was primarily driven by the cost of the venetoclax component, with cost offsets associated with relapsed/refractory treatment and health state costs. The difference in health outcomes was primarily driven by the additional time spent in the progression free </w:t>
      </w:r>
      <w:r w:rsidRPr="003124D8">
        <w:t>health state (associated with better quality of life) for patients treated with venetoclax + obinutuzumab, compared with chlorambucil + obinutuzumab. The extrapolation of treatment benefits beyond the clinical trial data had the largest impact on the stepped economic evaluation</w:t>
      </w:r>
      <w:r w:rsidR="00F4651F" w:rsidRPr="003124D8">
        <w:t xml:space="preserve"> (i.e</w:t>
      </w:r>
      <w:r w:rsidR="00122773" w:rsidRPr="003124D8">
        <w:t>.</w:t>
      </w:r>
      <w:r w:rsidR="00F4651F" w:rsidRPr="003124D8">
        <w:t xml:space="preserve"> from Step 3 to 4)</w:t>
      </w:r>
      <w:r w:rsidRPr="003124D8">
        <w:t>.</w:t>
      </w:r>
    </w:p>
    <w:p w:rsidR="006C16A0" w:rsidRPr="006656E8" w:rsidRDefault="006C16A0" w:rsidP="006C16A0">
      <w:pPr>
        <w:pStyle w:val="ExecSumBodyText"/>
        <w:numPr>
          <w:ilvl w:val="1"/>
          <w:numId w:val="1"/>
        </w:numPr>
      </w:pPr>
      <w:r w:rsidRPr="006656E8">
        <w:t xml:space="preserve">Based on the economic model presented in the submission, treatment with venetoclax + obinutuzumab was associated with a cost per QALY </w:t>
      </w:r>
      <w:r w:rsidRPr="00725F10">
        <w:t xml:space="preserve">gained of </w:t>
      </w:r>
      <w:r w:rsidR="0044314B">
        <w:t>$15,000 - $45,000</w:t>
      </w:r>
      <w:r w:rsidRPr="00725F10">
        <w:t xml:space="preserve"> compared to chlorambucil + obinutuzumab for the treatment of first-line CLL patients </w:t>
      </w:r>
      <w:r w:rsidRPr="003124D8">
        <w:t>with coexisting conditions who ar</w:t>
      </w:r>
      <w:r w:rsidR="00216B18" w:rsidRPr="003124D8">
        <w:t xml:space="preserve">e inappropriate for fludarabine </w:t>
      </w:r>
      <w:r w:rsidRPr="003124D8">
        <w:t>based chemo</w:t>
      </w:r>
      <w:r w:rsidR="00216B18" w:rsidRPr="003124D8">
        <w:t>-</w:t>
      </w:r>
      <w:r w:rsidRPr="003124D8">
        <w:t xml:space="preserve">immunotherapy. </w:t>
      </w:r>
      <w:r w:rsidR="008A76C3" w:rsidRPr="003124D8">
        <w:t>The ESC considered that t</w:t>
      </w:r>
      <w:r w:rsidRPr="003124D8">
        <w:t>he cost-effectiveness estimate should not be considered reliable given the unknown duration of effect associated with venetoclax + obinutuzumab treatment versus chlorambucil + obinutuzumab, the inconsistency between modelled and reported utility values and the magnitude of health state costs compared to other sources.</w:t>
      </w:r>
    </w:p>
    <w:p w:rsidR="00430656" w:rsidRDefault="006C16A0" w:rsidP="00430656">
      <w:pPr>
        <w:pStyle w:val="ExecSumBodyText"/>
        <w:numPr>
          <w:ilvl w:val="1"/>
          <w:numId w:val="1"/>
        </w:numPr>
      </w:pPr>
      <w:r w:rsidRPr="006656E8">
        <w:t>The results of sensitivity analyses indicate that the model is most sensitive to time horizon, the utility associated with first</w:t>
      </w:r>
      <w:r w:rsidR="00205D0B" w:rsidRPr="006656E8">
        <w:t>-</w:t>
      </w:r>
      <w:r w:rsidRPr="006656E8">
        <w:t>line disease progression (progressed but well) and relapsed/refractory disease, health state costs, the costs of relapsed/refractory treatment and the onset of convergence between treatment arms.</w:t>
      </w:r>
    </w:p>
    <w:p w:rsidR="00A92077" w:rsidRDefault="00430656" w:rsidP="00A92077">
      <w:pPr>
        <w:pStyle w:val="ExecSumBodyText"/>
        <w:numPr>
          <w:ilvl w:val="1"/>
          <w:numId w:val="1"/>
        </w:numPr>
      </w:pPr>
      <w:r w:rsidRPr="003124D8">
        <w:t xml:space="preserve">The ESC </w:t>
      </w:r>
      <w:r w:rsidRPr="003E42BD">
        <w:t>noted that the submission explored the use of two forms of convergence</w:t>
      </w:r>
      <w:r w:rsidR="00A05F34" w:rsidRPr="003E42BD">
        <w:t>:</w:t>
      </w:r>
      <w:r w:rsidRPr="003E42BD">
        <w:t xml:space="preserve"> risk convergence and curve convergence. Risk convergence </w:t>
      </w:r>
      <w:r w:rsidR="009F1328" w:rsidRPr="003E42BD">
        <w:t>wa</w:t>
      </w:r>
      <w:r w:rsidRPr="003E42BD">
        <w:t xml:space="preserve">s applied as an adjustment to the venetoclax + obinutuzumab progression free survival, time to next treatment and time to initiation of subsequent treatment curves, </w:t>
      </w:r>
      <w:r w:rsidR="009F1328" w:rsidRPr="003E42BD">
        <w:t xml:space="preserve">by </w:t>
      </w:r>
      <w:r w:rsidRPr="003E42BD">
        <w:t>applying survival based on the hazards in the chlorambucil + obinutuzumab arm after a predetermined duration</w:t>
      </w:r>
      <w:r w:rsidR="00F4651F" w:rsidRPr="003E42BD">
        <w:t xml:space="preserve"> (base case: HR = 1 from 5 years)</w:t>
      </w:r>
      <w:r w:rsidRPr="003E42BD">
        <w:t xml:space="preserve">. Curve convergence </w:t>
      </w:r>
      <w:r w:rsidR="009F1328" w:rsidRPr="003E42BD">
        <w:t>w</w:t>
      </w:r>
      <w:r w:rsidR="00F4651F" w:rsidRPr="003E42BD">
        <w:t>a</w:t>
      </w:r>
      <w:r w:rsidRPr="003E42BD">
        <w:t>s applied as an adjustment to the venetoclax + obinutuzumab progression free survival, time to next treatment and time to initiation of subsequent treatment curves by forcing convergence equivalent to the chlorambucil + obinutuzumab curves between two predetermined time points</w:t>
      </w:r>
      <w:r w:rsidR="00F4651F" w:rsidRPr="003E42BD">
        <w:t xml:space="preserve"> (base case: no curve convergence)</w:t>
      </w:r>
      <w:r w:rsidRPr="003E42BD">
        <w:t>.</w:t>
      </w:r>
    </w:p>
    <w:p w:rsidR="006C16A0" w:rsidRPr="00B1011F" w:rsidRDefault="006C16A0" w:rsidP="00FC53C6">
      <w:pPr>
        <w:pStyle w:val="TableFigureCaption"/>
        <w:keepLines/>
      </w:pPr>
      <w:r>
        <w:lastRenderedPageBreak/>
        <w:t xml:space="preserve">Table </w:t>
      </w:r>
      <w:r w:rsidR="00A7425D">
        <w:t>1</w:t>
      </w:r>
      <w:r w:rsidR="005C720C">
        <w:t>4</w:t>
      </w:r>
      <w:r w:rsidRPr="00656188">
        <w:t xml:space="preserve">: Results of </w:t>
      </w:r>
      <w:r>
        <w:t xml:space="preserve">key </w:t>
      </w:r>
      <w:r w:rsidRPr="00656188">
        <w:t>sensitivity analyses</w:t>
      </w:r>
    </w:p>
    <w:tbl>
      <w:tblPr>
        <w:tblStyle w:val="TableGrid"/>
        <w:tblW w:w="5000" w:type="pct"/>
        <w:tblLook w:val="04A0" w:firstRow="1" w:lastRow="0" w:firstColumn="1" w:lastColumn="0" w:noHBand="0" w:noVBand="1"/>
        <w:tblCaption w:val="Table 14: Results of key sensitivity analyses"/>
      </w:tblPr>
      <w:tblGrid>
        <w:gridCol w:w="4531"/>
        <w:gridCol w:w="1495"/>
        <w:gridCol w:w="1495"/>
        <w:gridCol w:w="1496"/>
      </w:tblGrid>
      <w:tr w:rsidR="006C16A0" w:rsidTr="00B00147">
        <w:trPr>
          <w:tblHeader/>
        </w:trPr>
        <w:tc>
          <w:tcPr>
            <w:tcW w:w="4531" w:type="dxa"/>
            <w:tcBorders>
              <w:bottom w:val="single" w:sz="4" w:space="0" w:color="auto"/>
            </w:tcBorders>
            <w:vAlign w:val="center"/>
          </w:tcPr>
          <w:p w:rsidR="006C16A0" w:rsidRPr="006656E8" w:rsidRDefault="006C16A0" w:rsidP="00FC53C6">
            <w:pPr>
              <w:pStyle w:val="Tableheadingrow"/>
              <w:keepLines/>
            </w:pPr>
            <w:r w:rsidRPr="006656E8">
              <w:t>Analysis</w:t>
            </w:r>
          </w:p>
        </w:tc>
        <w:tc>
          <w:tcPr>
            <w:tcW w:w="1495" w:type="dxa"/>
            <w:tcBorders>
              <w:bottom w:val="single" w:sz="4" w:space="0" w:color="auto"/>
            </w:tcBorders>
            <w:vAlign w:val="center"/>
          </w:tcPr>
          <w:p w:rsidR="006C16A0" w:rsidRPr="006656E8" w:rsidRDefault="006C16A0" w:rsidP="00FC53C6">
            <w:pPr>
              <w:pStyle w:val="Tableheadingrow"/>
              <w:keepLines/>
              <w:jc w:val="center"/>
            </w:pPr>
            <w:r w:rsidRPr="006656E8">
              <w:t>Incremental cost</w:t>
            </w:r>
          </w:p>
        </w:tc>
        <w:tc>
          <w:tcPr>
            <w:tcW w:w="1495" w:type="dxa"/>
            <w:tcBorders>
              <w:bottom w:val="single" w:sz="4" w:space="0" w:color="auto"/>
            </w:tcBorders>
            <w:vAlign w:val="center"/>
          </w:tcPr>
          <w:p w:rsidR="006C16A0" w:rsidRPr="006656E8" w:rsidRDefault="006C16A0" w:rsidP="00FC53C6">
            <w:pPr>
              <w:pStyle w:val="Tableheadingrow"/>
              <w:keepLines/>
              <w:jc w:val="center"/>
            </w:pPr>
            <w:r w:rsidRPr="006656E8">
              <w:t>Incremental QALYs</w:t>
            </w:r>
          </w:p>
        </w:tc>
        <w:tc>
          <w:tcPr>
            <w:tcW w:w="1496" w:type="dxa"/>
            <w:tcBorders>
              <w:bottom w:val="single" w:sz="4" w:space="0" w:color="auto"/>
            </w:tcBorders>
            <w:vAlign w:val="center"/>
          </w:tcPr>
          <w:p w:rsidR="006C16A0" w:rsidRPr="006656E8" w:rsidRDefault="006C16A0" w:rsidP="00FC53C6">
            <w:pPr>
              <w:pStyle w:val="Tableheadingrow"/>
              <w:keepLines/>
              <w:jc w:val="center"/>
            </w:pPr>
            <w:r w:rsidRPr="006656E8">
              <w:t>Incremental cost per QALY gained</w:t>
            </w:r>
          </w:p>
        </w:tc>
      </w:tr>
      <w:tr w:rsidR="006C16A0" w:rsidTr="006C16A0">
        <w:tc>
          <w:tcPr>
            <w:tcW w:w="4531" w:type="dxa"/>
            <w:tcBorders>
              <w:bottom w:val="single" w:sz="4" w:space="0" w:color="auto"/>
            </w:tcBorders>
          </w:tcPr>
          <w:p w:rsidR="006C16A0" w:rsidRPr="006656E8" w:rsidRDefault="006C16A0" w:rsidP="00FC53C6">
            <w:pPr>
              <w:pStyle w:val="TableText"/>
              <w:keepLines/>
              <w:rPr>
                <w:b/>
              </w:rPr>
            </w:pPr>
            <w:r w:rsidRPr="006656E8">
              <w:rPr>
                <w:b/>
              </w:rPr>
              <w:t>Base case</w:t>
            </w:r>
          </w:p>
        </w:tc>
        <w:tc>
          <w:tcPr>
            <w:tcW w:w="1495" w:type="dxa"/>
            <w:tcBorders>
              <w:bottom w:val="single" w:sz="4" w:space="0" w:color="auto"/>
            </w:tcBorders>
          </w:tcPr>
          <w:p w:rsidR="006C16A0" w:rsidRPr="006656E8" w:rsidRDefault="006C16A0" w:rsidP="00FC53C6">
            <w:pPr>
              <w:pStyle w:val="TableText"/>
              <w:keepLines/>
              <w:jc w:val="center"/>
              <w:rPr>
                <w:b/>
              </w:rPr>
            </w:pPr>
            <w:r w:rsidRPr="006656E8">
              <w:rPr>
                <w:b/>
              </w:rPr>
              <w:t>$</w:t>
            </w:r>
            <w:r w:rsidR="00DD40E7">
              <w:rPr>
                <w:b/>
                <w:noProof/>
                <w:color w:val="000000"/>
                <w:highlight w:val="black"/>
              </w:rPr>
              <w:t>''''''''''</w:t>
            </w:r>
          </w:p>
        </w:tc>
        <w:tc>
          <w:tcPr>
            <w:tcW w:w="1495" w:type="dxa"/>
            <w:tcBorders>
              <w:bottom w:val="single" w:sz="4" w:space="0" w:color="auto"/>
            </w:tcBorders>
          </w:tcPr>
          <w:p w:rsidR="006C16A0" w:rsidRPr="00DD40E7" w:rsidRDefault="00DD40E7" w:rsidP="00FC53C6">
            <w:pPr>
              <w:pStyle w:val="TableText"/>
              <w:keepLines/>
              <w:jc w:val="center"/>
              <w:rPr>
                <w:b/>
                <w:highlight w:val="black"/>
              </w:rPr>
            </w:pPr>
            <w:r>
              <w:rPr>
                <w:b/>
                <w:noProof/>
                <w:color w:val="000000"/>
                <w:highlight w:val="black"/>
              </w:rPr>
              <w:t>''''''''''''''</w:t>
            </w:r>
          </w:p>
        </w:tc>
        <w:tc>
          <w:tcPr>
            <w:tcW w:w="1496" w:type="dxa"/>
            <w:tcBorders>
              <w:bottom w:val="single" w:sz="4" w:space="0" w:color="auto"/>
            </w:tcBorders>
          </w:tcPr>
          <w:p w:rsidR="006C16A0" w:rsidRPr="006656E8" w:rsidRDefault="006C16A0" w:rsidP="00FC53C6">
            <w:pPr>
              <w:pStyle w:val="TableText"/>
              <w:keepLines/>
              <w:jc w:val="center"/>
              <w:rPr>
                <w:b/>
              </w:rPr>
            </w:pPr>
            <w:r w:rsidRPr="006656E8">
              <w:rPr>
                <w:b/>
              </w:rPr>
              <w:t>$</w:t>
            </w:r>
            <w:r w:rsidR="00DD40E7">
              <w:rPr>
                <w:b/>
                <w:noProof/>
                <w:color w:val="000000"/>
                <w:highlight w:val="black"/>
              </w:rPr>
              <w:t>''''''''''''''</w:t>
            </w:r>
          </w:p>
        </w:tc>
      </w:tr>
      <w:tr w:rsidR="006C16A0" w:rsidTr="006C16A0">
        <w:tc>
          <w:tcPr>
            <w:tcW w:w="9017" w:type="dxa"/>
            <w:gridSpan w:val="4"/>
            <w:tcBorders>
              <w:bottom w:val="single" w:sz="4" w:space="0" w:color="auto"/>
            </w:tcBorders>
          </w:tcPr>
          <w:p w:rsidR="006C16A0" w:rsidRPr="006656E8" w:rsidRDefault="006C16A0" w:rsidP="00FC53C6">
            <w:pPr>
              <w:pStyle w:val="TableText"/>
              <w:keepLines/>
              <w:rPr>
                <w:b/>
              </w:rPr>
            </w:pPr>
            <w:r w:rsidRPr="006656E8">
              <w:rPr>
                <w:b/>
              </w:rPr>
              <w:t>Time horizon (base case 10 years)</w:t>
            </w:r>
          </w:p>
        </w:tc>
      </w:tr>
      <w:tr w:rsidR="006C16A0" w:rsidTr="006C16A0">
        <w:tc>
          <w:tcPr>
            <w:tcW w:w="4531" w:type="dxa"/>
            <w:tcBorders>
              <w:top w:val="single" w:sz="4" w:space="0" w:color="auto"/>
              <w:bottom w:val="single" w:sz="4" w:space="0" w:color="auto"/>
            </w:tcBorders>
          </w:tcPr>
          <w:p w:rsidR="006C16A0" w:rsidRPr="006656E8" w:rsidRDefault="006C16A0" w:rsidP="00FC53C6">
            <w:pPr>
              <w:pStyle w:val="TableText"/>
              <w:keepLines/>
            </w:pPr>
            <w:r w:rsidRPr="006656E8">
              <w:t>5 years</w:t>
            </w:r>
          </w:p>
        </w:tc>
        <w:tc>
          <w:tcPr>
            <w:tcW w:w="1495" w:type="dxa"/>
            <w:tcBorders>
              <w:top w:val="single" w:sz="4" w:space="0" w:color="auto"/>
              <w:bottom w:val="single" w:sz="4" w:space="0" w:color="auto"/>
            </w:tcBorders>
          </w:tcPr>
          <w:p w:rsidR="006C16A0" w:rsidRPr="00DD40E7" w:rsidRDefault="006C16A0" w:rsidP="00FC53C6">
            <w:pPr>
              <w:pStyle w:val="TableText"/>
              <w:keepLines/>
              <w:jc w:val="center"/>
            </w:pPr>
            <w:r w:rsidRPr="0044314B">
              <w:t>$</w:t>
            </w:r>
            <w:r w:rsidR="00DD40E7">
              <w:rPr>
                <w:noProof/>
                <w:color w:val="000000"/>
                <w:highlight w:val="black"/>
              </w:rPr>
              <w:t>''''''''''''''''</w:t>
            </w:r>
          </w:p>
        </w:tc>
        <w:tc>
          <w:tcPr>
            <w:tcW w:w="1495" w:type="dxa"/>
            <w:tcBorders>
              <w:top w:val="single" w:sz="4" w:space="0" w:color="auto"/>
              <w:bottom w:val="single" w:sz="4" w:space="0" w:color="auto"/>
            </w:tcBorders>
          </w:tcPr>
          <w:p w:rsidR="006C16A0" w:rsidRPr="00DD40E7" w:rsidRDefault="00DD40E7" w:rsidP="00FC53C6">
            <w:pPr>
              <w:pStyle w:val="TableText"/>
              <w:keepLines/>
              <w:jc w:val="center"/>
              <w:rPr>
                <w:highlight w:val="black"/>
              </w:rPr>
            </w:pPr>
            <w:r>
              <w:rPr>
                <w:noProof/>
                <w:color w:val="000000"/>
                <w:highlight w:val="black"/>
              </w:rPr>
              <w:t>'''''''''''''''''</w:t>
            </w:r>
          </w:p>
        </w:tc>
        <w:tc>
          <w:tcPr>
            <w:tcW w:w="1496" w:type="dxa"/>
            <w:tcBorders>
              <w:top w:val="single" w:sz="4" w:space="0" w:color="auto"/>
              <w:bottom w:val="single" w:sz="4" w:space="0" w:color="auto"/>
            </w:tcBorders>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Borders>
              <w:top w:val="single" w:sz="4" w:space="0" w:color="auto"/>
              <w:bottom w:val="single" w:sz="4" w:space="0" w:color="auto"/>
            </w:tcBorders>
          </w:tcPr>
          <w:p w:rsidR="006C16A0" w:rsidRPr="006656E8" w:rsidRDefault="006C16A0" w:rsidP="00FC53C6">
            <w:pPr>
              <w:pStyle w:val="TableText"/>
              <w:keepLines/>
            </w:pPr>
            <w:r w:rsidRPr="006656E8">
              <w:t>8 years</w:t>
            </w:r>
          </w:p>
        </w:tc>
        <w:tc>
          <w:tcPr>
            <w:tcW w:w="1495" w:type="dxa"/>
            <w:tcBorders>
              <w:top w:val="single" w:sz="4" w:space="0" w:color="auto"/>
              <w:bottom w:val="single" w:sz="4" w:space="0" w:color="auto"/>
            </w:tcBorders>
          </w:tcPr>
          <w:p w:rsidR="006C16A0" w:rsidRPr="00DD40E7" w:rsidRDefault="006C16A0" w:rsidP="00FC53C6">
            <w:pPr>
              <w:pStyle w:val="TableText"/>
              <w:keepLines/>
              <w:jc w:val="center"/>
            </w:pPr>
            <w:r w:rsidRPr="0044314B">
              <w:t>$</w:t>
            </w:r>
            <w:r w:rsidR="00DD40E7">
              <w:rPr>
                <w:noProof/>
                <w:color w:val="000000"/>
                <w:highlight w:val="black"/>
              </w:rPr>
              <w:t>''''''''''''</w:t>
            </w:r>
          </w:p>
        </w:tc>
        <w:tc>
          <w:tcPr>
            <w:tcW w:w="1495" w:type="dxa"/>
            <w:tcBorders>
              <w:top w:val="single" w:sz="4" w:space="0" w:color="auto"/>
              <w:bottom w:val="single" w:sz="4" w:space="0" w:color="auto"/>
            </w:tcBorders>
          </w:tcPr>
          <w:p w:rsidR="006C16A0" w:rsidRPr="00DD40E7" w:rsidRDefault="00DD40E7" w:rsidP="00FC53C6">
            <w:pPr>
              <w:pStyle w:val="TableText"/>
              <w:keepLines/>
              <w:jc w:val="center"/>
              <w:rPr>
                <w:highlight w:val="black"/>
              </w:rPr>
            </w:pPr>
            <w:r>
              <w:rPr>
                <w:noProof/>
                <w:color w:val="000000"/>
                <w:highlight w:val="black"/>
              </w:rPr>
              <w:t>''''''''''''''''''</w:t>
            </w:r>
          </w:p>
        </w:tc>
        <w:tc>
          <w:tcPr>
            <w:tcW w:w="1496" w:type="dxa"/>
            <w:tcBorders>
              <w:top w:val="single" w:sz="4" w:space="0" w:color="auto"/>
              <w:bottom w:val="single" w:sz="4" w:space="0" w:color="auto"/>
            </w:tcBorders>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Borders>
              <w:top w:val="single" w:sz="4" w:space="0" w:color="auto"/>
              <w:bottom w:val="single" w:sz="4" w:space="0" w:color="auto"/>
            </w:tcBorders>
          </w:tcPr>
          <w:p w:rsidR="006C16A0" w:rsidRPr="006656E8" w:rsidRDefault="006C16A0" w:rsidP="00FC53C6">
            <w:pPr>
              <w:pStyle w:val="TableText"/>
              <w:keepLines/>
            </w:pPr>
            <w:r w:rsidRPr="006656E8">
              <w:t>15 years</w:t>
            </w:r>
          </w:p>
        </w:tc>
        <w:tc>
          <w:tcPr>
            <w:tcW w:w="1495" w:type="dxa"/>
            <w:tcBorders>
              <w:top w:val="single" w:sz="4" w:space="0" w:color="auto"/>
              <w:bottom w:val="single" w:sz="4" w:space="0" w:color="auto"/>
            </w:tcBorders>
          </w:tcPr>
          <w:p w:rsidR="006C16A0" w:rsidRPr="00DD40E7" w:rsidRDefault="006C16A0" w:rsidP="00FC53C6">
            <w:pPr>
              <w:pStyle w:val="TableText"/>
              <w:keepLines/>
              <w:jc w:val="center"/>
            </w:pPr>
            <w:r w:rsidRPr="0044314B">
              <w:t>$</w:t>
            </w:r>
            <w:r w:rsidR="00DD40E7">
              <w:rPr>
                <w:noProof/>
                <w:color w:val="000000"/>
                <w:highlight w:val="black"/>
              </w:rPr>
              <w:t>'''''''''''''</w:t>
            </w:r>
          </w:p>
        </w:tc>
        <w:tc>
          <w:tcPr>
            <w:tcW w:w="1495" w:type="dxa"/>
            <w:tcBorders>
              <w:top w:val="single" w:sz="4" w:space="0" w:color="auto"/>
              <w:bottom w:val="single" w:sz="4" w:space="0" w:color="auto"/>
            </w:tcBorders>
          </w:tcPr>
          <w:p w:rsidR="006C16A0" w:rsidRPr="00DD40E7" w:rsidRDefault="00DD40E7" w:rsidP="00FC53C6">
            <w:pPr>
              <w:pStyle w:val="TableText"/>
              <w:keepLines/>
              <w:jc w:val="center"/>
              <w:rPr>
                <w:highlight w:val="black"/>
              </w:rPr>
            </w:pPr>
            <w:r>
              <w:rPr>
                <w:noProof/>
                <w:color w:val="000000"/>
                <w:highlight w:val="black"/>
              </w:rPr>
              <w:t>''''''''''''''''</w:t>
            </w:r>
          </w:p>
        </w:tc>
        <w:tc>
          <w:tcPr>
            <w:tcW w:w="1496" w:type="dxa"/>
            <w:tcBorders>
              <w:top w:val="single" w:sz="4" w:space="0" w:color="auto"/>
              <w:bottom w:val="single" w:sz="4" w:space="0" w:color="auto"/>
            </w:tcBorders>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9017" w:type="dxa"/>
            <w:gridSpan w:val="4"/>
          </w:tcPr>
          <w:p w:rsidR="006C16A0" w:rsidRPr="006656E8" w:rsidRDefault="006C16A0" w:rsidP="00FC53C6">
            <w:pPr>
              <w:pStyle w:val="TableText"/>
              <w:keepLines/>
              <w:rPr>
                <w:b/>
              </w:rPr>
            </w:pPr>
            <w:r w:rsidRPr="006656E8">
              <w:rPr>
                <w:b/>
              </w:rPr>
              <w:t>Health state utilities (base case: 1L PF=0.82; 1L PD=0.74; R/R 0.66)</w:t>
            </w:r>
          </w:p>
        </w:tc>
      </w:tr>
      <w:tr w:rsidR="006C16A0" w:rsidTr="006C16A0">
        <w:tc>
          <w:tcPr>
            <w:tcW w:w="4531" w:type="dxa"/>
          </w:tcPr>
          <w:p w:rsidR="006C16A0" w:rsidRPr="006656E8" w:rsidRDefault="006C16A0" w:rsidP="00FC53C6">
            <w:pPr>
              <w:pStyle w:val="TableText"/>
              <w:keepLines/>
            </w:pPr>
            <w:r w:rsidRPr="006656E8">
              <w:t>No utility loss until R/R treatment</w:t>
            </w:r>
          </w:p>
          <w:p w:rsidR="006C16A0" w:rsidRPr="006656E8" w:rsidRDefault="006C16A0" w:rsidP="00FC53C6">
            <w:pPr>
              <w:pStyle w:val="TableText"/>
              <w:keepLines/>
            </w:pPr>
            <w:r w:rsidRPr="006656E8">
              <w:t>(1L PF=0.82, 1L PD=0.82, R/R 0.66)</w:t>
            </w:r>
          </w:p>
        </w:tc>
        <w:tc>
          <w:tcPr>
            <w:tcW w:w="1495" w:type="dxa"/>
            <w:vAlign w:val="center"/>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vAlign w:val="center"/>
          </w:tcPr>
          <w:p w:rsidR="006C16A0" w:rsidRPr="00DD40E7" w:rsidRDefault="00DD40E7" w:rsidP="00FC53C6">
            <w:pPr>
              <w:pStyle w:val="TableText"/>
              <w:keepLines/>
              <w:jc w:val="center"/>
              <w:rPr>
                <w:highlight w:val="black"/>
              </w:rPr>
            </w:pPr>
            <w:r>
              <w:rPr>
                <w:noProof/>
                <w:color w:val="000000"/>
                <w:highlight w:val="black"/>
              </w:rPr>
              <w:t>'''''''''''''''</w:t>
            </w:r>
          </w:p>
        </w:tc>
        <w:tc>
          <w:tcPr>
            <w:tcW w:w="1496" w:type="dxa"/>
            <w:vAlign w:val="center"/>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Increased utility loss for 1L PD</w:t>
            </w:r>
          </w:p>
          <w:p w:rsidR="006C16A0" w:rsidRPr="006656E8" w:rsidRDefault="006C16A0" w:rsidP="00FC53C6">
            <w:pPr>
              <w:pStyle w:val="TableText"/>
              <w:keepLines/>
            </w:pPr>
            <w:r w:rsidRPr="006656E8">
              <w:t>(1L PF=0.82, 1L PD=0.66, R/R 0.66)</w:t>
            </w:r>
          </w:p>
        </w:tc>
        <w:tc>
          <w:tcPr>
            <w:tcW w:w="1495" w:type="dxa"/>
            <w:vAlign w:val="center"/>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vAlign w:val="center"/>
          </w:tcPr>
          <w:p w:rsidR="006C16A0" w:rsidRPr="00DD40E7" w:rsidRDefault="00DD40E7" w:rsidP="00FC53C6">
            <w:pPr>
              <w:pStyle w:val="TableText"/>
              <w:keepLines/>
              <w:jc w:val="center"/>
              <w:rPr>
                <w:highlight w:val="black"/>
              </w:rPr>
            </w:pPr>
            <w:r>
              <w:rPr>
                <w:noProof/>
                <w:color w:val="000000"/>
                <w:highlight w:val="black"/>
              </w:rPr>
              <w:t>'''''''''''''''''</w:t>
            </w:r>
          </w:p>
        </w:tc>
        <w:tc>
          <w:tcPr>
            <w:tcW w:w="1496" w:type="dxa"/>
            <w:vAlign w:val="center"/>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No utility loss until R/R treatment; halve disutility of R/R</w:t>
            </w:r>
          </w:p>
          <w:p w:rsidR="006C16A0" w:rsidRPr="006656E8" w:rsidRDefault="006C16A0" w:rsidP="00FC53C6">
            <w:pPr>
              <w:pStyle w:val="TableText"/>
              <w:keepLines/>
            </w:pPr>
            <w:r w:rsidRPr="006656E8">
              <w:t>(1L PF=0.82, 1L PD=0.82, R/R=0.74)</w:t>
            </w:r>
          </w:p>
        </w:tc>
        <w:tc>
          <w:tcPr>
            <w:tcW w:w="1495" w:type="dxa"/>
            <w:vAlign w:val="center"/>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vAlign w:val="center"/>
          </w:tcPr>
          <w:p w:rsidR="006C16A0" w:rsidRPr="00DD40E7" w:rsidRDefault="00DD40E7" w:rsidP="00FC53C6">
            <w:pPr>
              <w:pStyle w:val="TableText"/>
              <w:keepLines/>
              <w:jc w:val="center"/>
              <w:rPr>
                <w:highlight w:val="black"/>
              </w:rPr>
            </w:pPr>
            <w:r>
              <w:rPr>
                <w:noProof/>
                <w:color w:val="000000"/>
                <w:highlight w:val="black"/>
              </w:rPr>
              <w:t>'''''''''''''''''</w:t>
            </w:r>
          </w:p>
        </w:tc>
        <w:tc>
          <w:tcPr>
            <w:tcW w:w="1496" w:type="dxa"/>
            <w:vAlign w:val="center"/>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9017" w:type="dxa"/>
            <w:gridSpan w:val="4"/>
          </w:tcPr>
          <w:p w:rsidR="006C16A0" w:rsidRPr="006656E8" w:rsidRDefault="006C16A0" w:rsidP="00FC53C6">
            <w:pPr>
              <w:pStyle w:val="TableText"/>
              <w:keepLines/>
              <w:rPr>
                <w:b/>
              </w:rPr>
            </w:pPr>
            <w:r w:rsidRPr="006656E8">
              <w:rPr>
                <w:b/>
              </w:rPr>
              <w:t>Health state costs (base case: 1L PF=$218.76; 1L PD=$218.76; R/R=$1,141.78)</w:t>
            </w:r>
          </w:p>
        </w:tc>
      </w:tr>
      <w:tr w:rsidR="006C16A0" w:rsidTr="006C16A0">
        <w:tc>
          <w:tcPr>
            <w:tcW w:w="4531" w:type="dxa"/>
          </w:tcPr>
          <w:p w:rsidR="006C16A0" w:rsidRPr="006656E8" w:rsidRDefault="006C16A0" w:rsidP="00FC53C6">
            <w:pPr>
              <w:pStyle w:val="TableText"/>
              <w:keepLines/>
            </w:pPr>
            <w:r w:rsidRPr="006656E8">
              <w:t>Health state costs ×</w:t>
            </w:r>
            <w:r w:rsidR="003B60B0" w:rsidRPr="006656E8">
              <w:t xml:space="preserve"> 0</w:t>
            </w:r>
            <w:r w:rsidRPr="006656E8">
              <w:t>.5</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1L PD costs half-way between 1L PF and R/R costs ($680.27)</w:t>
            </w:r>
          </w:p>
        </w:tc>
        <w:tc>
          <w:tcPr>
            <w:tcW w:w="1495" w:type="dxa"/>
            <w:vAlign w:val="center"/>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vAlign w:val="center"/>
          </w:tcPr>
          <w:p w:rsidR="006C16A0" w:rsidRPr="00DD40E7" w:rsidRDefault="00DD40E7" w:rsidP="00FC53C6">
            <w:pPr>
              <w:pStyle w:val="TableText"/>
              <w:keepLines/>
              <w:jc w:val="center"/>
              <w:rPr>
                <w:highlight w:val="black"/>
              </w:rPr>
            </w:pPr>
            <w:r>
              <w:rPr>
                <w:noProof/>
                <w:color w:val="000000"/>
                <w:highlight w:val="black"/>
              </w:rPr>
              <w:t>'''''''''''''''</w:t>
            </w:r>
          </w:p>
        </w:tc>
        <w:tc>
          <w:tcPr>
            <w:tcW w:w="1496" w:type="dxa"/>
            <w:vAlign w:val="center"/>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Remove health state costs</w:t>
            </w:r>
          </w:p>
        </w:tc>
        <w:tc>
          <w:tcPr>
            <w:tcW w:w="1495" w:type="dxa"/>
            <w:vAlign w:val="center"/>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vAlign w:val="center"/>
          </w:tcPr>
          <w:p w:rsidR="006C16A0" w:rsidRPr="00DD40E7" w:rsidRDefault="00DD40E7" w:rsidP="00FC53C6">
            <w:pPr>
              <w:pStyle w:val="TableText"/>
              <w:keepLines/>
              <w:jc w:val="center"/>
              <w:rPr>
                <w:highlight w:val="black"/>
              </w:rPr>
            </w:pPr>
            <w:r>
              <w:rPr>
                <w:noProof/>
                <w:color w:val="000000"/>
                <w:highlight w:val="black"/>
              </w:rPr>
              <w:t>''''''''''''''''</w:t>
            </w:r>
          </w:p>
        </w:tc>
        <w:tc>
          <w:tcPr>
            <w:tcW w:w="1496" w:type="dxa"/>
            <w:vAlign w:val="center"/>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9017" w:type="dxa"/>
            <w:gridSpan w:val="4"/>
          </w:tcPr>
          <w:p w:rsidR="006C16A0" w:rsidRPr="006656E8" w:rsidRDefault="006C16A0" w:rsidP="00FC53C6">
            <w:pPr>
              <w:pStyle w:val="TableText"/>
              <w:keepLines/>
              <w:rPr>
                <w:b/>
              </w:rPr>
            </w:pPr>
            <w:r w:rsidRPr="006656E8">
              <w:rPr>
                <w:b/>
              </w:rPr>
              <w:t>Treatment costs for relapsed/refractory disease (base case $</w:t>
            </w:r>
            <w:r w:rsidR="00BA436D">
              <w:rPr>
                <w:b/>
                <w:noProof/>
                <w:color w:val="000000"/>
                <w:highlight w:val="black"/>
              </w:rPr>
              <w:t>''''''''''''''</w:t>
            </w:r>
            <w:r w:rsidRPr="006656E8">
              <w:rPr>
                <w:b/>
              </w:rPr>
              <w:t>)</w:t>
            </w:r>
          </w:p>
        </w:tc>
      </w:tr>
      <w:tr w:rsidR="006C16A0" w:rsidTr="006C16A0">
        <w:tc>
          <w:tcPr>
            <w:tcW w:w="4531" w:type="dxa"/>
          </w:tcPr>
          <w:p w:rsidR="006C16A0" w:rsidRPr="006656E8" w:rsidRDefault="006C16A0" w:rsidP="00FC53C6">
            <w:pPr>
              <w:pStyle w:val="TableText"/>
              <w:keepLines/>
            </w:pPr>
            <w:r w:rsidRPr="006656E8">
              <w:t>×</w:t>
            </w:r>
            <w:r w:rsidR="00052399" w:rsidRPr="006656E8">
              <w:t xml:space="preserve"> </w:t>
            </w:r>
            <w:r w:rsidRPr="006656E8">
              <w:t>1.5</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w:t>
            </w:r>
            <w:r w:rsidR="00052399" w:rsidRPr="006656E8">
              <w:t xml:space="preserve"> </w:t>
            </w:r>
            <w:r w:rsidRPr="006656E8">
              <w:t>0.5</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9017" w:type="dxa"/>
            <w:gridSpan w:val="4"/>
          </w:tcPr>
          <w:p w:rsidR="006C16A0" w:rsidRPr="006656E8" w:rsidRDefault="000F3897" w:rsidP="00FC53C6">
            <w:pPr>
              <w:pStyle w:val="TableText"/>
              <w:keepLines/>
              <w:rPr>
                <w:b/>
              </w:rPr>
            </w:pPr>
            <w:r w:rsidRPr="006656E8">
              <w:rPr>
                <w:b/>
              </w:rPr>
              <w:t>Risk convergence</w:t>
            </w:r>
            <w:r w:rsidRPr="006656E8" w:rsidDel="000F3897">
              <w:rPr>
                <w:b/>
              </w:rPr>
              <w:t xml:space="preserve"> </w:t>
            </w:r>
            <w:r w:rsidRPr="006656E8">
              <w:rPr>
                <w:b/>
              </w:rPr>
              <w:t xml:space="preserve"> </w:t>
            </w:r>
            <w:r w:rsidR="006C16A0" w:rsidRPr="006656E8">
              <w:rPr>
                <w:b/>
              </w:rPr>
              <w:t>(base case venetoclax + obinutuzumab PFS and TTNT curves adjusted by applying a HR=1 relative to chlorambucil + obinutuzumab from 5 years)</w:t>
            </w:r>
          </w:p>
        </w:tc>
      </w:tr>
      <w:tr w:rsidR="006C16A0" w:rsidTr="006C16A0">
        <w:tc>
          <w:tcPr>
            <w:tcW w:w="4531" w:type="dxa"/>
          </w:tcPr>
          <w:p w:rsidR="006C16A0" w:rsidRPr="006656E8" w:rsidRDefault="006C16A0" w:rsidP="00FC53C6">
            <w:pPr>
              <w:pStyle w:val="TableText"/>
              <w:keepLines/>
            </w:pPr>
            <w:r w:rsidRPr="006656E8">
              <w:t>Risk convergence from 2.33 years (mean follow-up of Trial CLL-14)</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Risk convergence from 4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Risk convergence from 6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Risk convergence from 8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Dominant</w:t>
            </w:r>
          </w:p>
        </w:tc>
      </w:tr>
      <w:tr w:rsidR="006C16A0" w:rsidTr="006C16A0">
        <w:tc>
          <w:tcPr>
            <w:tcW w:w="9017" w:type="dxa"/>
            <w:gridSpan w:val="4"/>
          </w:tcPr>
          <w:p w:rsidR="006C16A0" w:rsidRPr="006656E8" w:rsidRDefault="006C16A0" w:rsidP="00FC53C6">
            <w:pPr>
              <w:pStyle w:val="TableText"/>
              <w:keepLines/>
            </w:pPr>
            <w:r w:rsidRPr="006656E8">
              <w:rPr>
                <w:b/>
              </w:rPr>
              <w:t>Curve convergence (base case no curve convergence)</w:t>
            </w:r>
          </w:p>
        </w:tc>
      </w:tr>
      <w:tr w:rsidR="006C16A0" w:rsidTr="006C16A0">
        <w:tc>
          <w:tcPr>
            <w:tcW w:w="4531" w:type="dxa"/>
          </w:tcPr>
          <w:p w:rsidR="006C16A0" w:rsidRPr="006656E8" w:rsidRDefault="006C16A0" w:rsidP="00FC53C6">
            <w:pPr>
              <w:pStyle w:val="TableText"/>
              <w:keepLines/>
            </w:pPr>
            <w:r w:rsidRPr="006656E8">
              <w:t>Curve convergence between 2.33 years and 10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Curve convergence between 4 and 10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Curve convergence between 6 and 10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Curve convergence between 8 and 10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Curve convergence between 2.33 and 8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Curve convergence between 4 and 8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Curve convergence between 6 and 8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Curve convergence between 2.33 and 5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r w:rsidR="006C16A0" w:rsidTr="006C16A0">
        <w:tc>
          <w:tcPr>
            <w:tcW w:w="4531" w:type="dxa"/>
          </w:tcPr>
          <w:p w:rsidR="006C16A0" w:rsidRPr="006656E8" w:rsidRDefault="006C16A0" w:rsidP="00FC53C6">
            <w:pPr>
              <w:pStyle w:val="TableText"/>
              <w:keepLines/>
            </w:pPr>
            <w:r w:rsidRPr="006656E8">
              <w:t>Curve convergence between 3 and 5 years</w:t>
            </w:r>
          </w:p>
        </w:tc>
        <w:tc>
          <w:tcPr>
            <w:tcW w:w="1495" w:type="dxa"/>
          </w:tcPr>
          <w:p w:rsidR="006C16A0" w:rsidRPr="006656E8" w:rsidRDefault="006C16A0" w:rsidP="00FC53C6">
            <w:pPr>
              <w:pStyle w:val="TableText"/>
              <w:keepLines/>
              <w:jc w:val="center"/>
            </w:pPr>
            <w:r w:rsidRPr="006656E8">
              <w:t>$</w:t>
            </w:r>
            <w:r w:rsidR="00DD40E7">
              <w:rPr>
                <w:noProof/>
                <w:color w:val="000000"/>
                <w:highlight w:val="black"/>
              </w:rPr>
              <w:t>''''''''''''''''</w:t>
            </w:r>
          </w:p>
        </w:tc>
        <w:tc>
          <w:tcPr>
            <w:tcW w:w="1495" w:type="dxa"/>
          </w:tcPr>
          <w:p w:rsidR="006C16A0" w:rsidRPr="00DD40E7" w:rsidRDefault="00DD40E7" w:rsidP="00FC53C6">
            <w:pPr>
              <w:pStyle w:val="TableText"/>
              <w:keepLines/>
              <w:jc w:val="center"/>
              <w:rPr>
                <w:highlight w:val="black"/>
              </w:rPr>
            </w:pPr>
            <w:r>
              <w:rPr>
                <w:noProof/>
                <w:color w:val="000000"/>
                <w:highlight w:val="black"/>
              </w:rPr>
              <w:t>''''''''''''''''</w:t>
            </w:r>
          </w:p>
        </w:tc>
        <w:tc>
          <w:tcPr>
            <w:tcW w:w="1496" w:type="dxa"/>
          </w:tcPr>
          <w:p w:rsidR="006C16A0" w:rsidRPr="006656E8" w:rsidRDefault="006C16A0" w:rsidP="00FC53C6">
            <w:pPr>
              <w:pStyle w:val="TableText"/>
              <w:keepLines/>
              <w:jc w:val="center"/>
            </w:pPr>
            <w:r w:rsidRPr="006656E8">
              <w:t>$</w:t>
            </w:r>
            <w:r w:rsidR="00DD40E7">
              <w:rPr>
                <w:noProof/>
                <w:color w:val="000000"/>
                <w:highlight w:val="black"/>
              </w:rPr>
              <w:t>''''''''''''''''''</w:t>
            </w:r>
          </w:p>
        </w:tc>
      </w:tr>
    </w:tbl>
    <w:p w:rsidR="006C16A0" w:rsidRDefault="006C16A0" w:rsidP="00FC53C6">
      <w:pPr>
        <w:pStyle w:val="TableFooter"/>
        <w:keepNext/>
        <w:keepLines/>
      </w:pPr>
      <w:r>
        <w:t xml:space="preserve">Source: Table 112, p165 of the submission and additional analyses conducted during the evaluation using </w:t>
      </w:r>
      <w:r w:rsidRPr="008457F2">
        <w:t>PBAC_Section 3_CUA_VTX+Obi_Final spreadsheet provided with the submission</w:t>
      </w:r>
    </w:p>
    <w:p w:rsidR="006C16A0" w:rsidRDefault="006C16A0" w:rsidP="00FC53C6">
      <w:pPr>
        <w:pStyle w:val="TableFooter"/>
        <w:keepNext/>
        <w:keepLines/>
      </w:pPr>
      <w:r>
        <w:t>Abbreviations: 1L PD, first-line progressed disease; 1L PF, first-line progression free; PFS, progression free survival; QALY, quality adjusted life year; R/R, relapsed refractory; TTNT, time to next treatment</w:t>
      </w:r>
    </w:p>
    <w:p w:rsidR="006C16A0" w:rsidRDefault="006C16A0" w:rsidP="00FC53C6">
      <w:pPr>
        <w:pStyle w:val="TableFooter"/>
        <w:keepNext/>
        <w:keepLines/>
      </w:pPr>
      <w:r>
        <w:t>*Disutility of IV treatment applied in both treatment arms for 6 months of treatment with obinutuzumab; disutility of oral treatment applied in both treatment arms for the following 6 months of treatment with venetoclax or chlorambucil alone.</w:t>
      </w:r>
    </w:p>
    <w:p w:rsidR="00A7425D" w:rsidRPr="00A7425D" w:rsidRDefault="00A7425D" w:rsidP="00A7425D">
      <w:pPr>
        <w:pStyle w:val="TableFooter"/>
      </w:pPr>
    </w:p>
    <w:p w:rsidR="006C16A0" w:rsidRPr="006656E8" w:rsidRDefault="006C16A0" w:rsidP="006C16A0">
      <w:pPr>
        <w:pStyle w:val="ExecSumBodyText"/>
        <w:numPr>
          <w:ilvl w:val="1"/>
          <w:numId w:val="1"/>
        </w:numPr>
      </w:pPr>
      <w:r w:rsidRPr="006656E8">
        <w:t xml:space="preserve">Multivariate sensitivity analyses were conducted during the evaluation using </w:t>
      </w:r>
      <w:r w:rsidRPr="00F77A2B">
        <w:t>an alternative base case,</w:t>
      </w:r>
      <w:r w:rsidRPr="006656E8">
        <w:t xml:space="preserve"> which includes the costs of TLS prophylactic management (</w:t>
      </w:r>
      <w:r w:rsidR="006006C3">
        <w:t>$</w:t>
      </w:r>
      <w:r w:rsidR="00DD40E7">
        <w:rPr>
          <w:noProof/>
          <w:color w:val="000000"/>
          <w:highlight w:val="black"/>
        </w:rPr>
        <w:t>''''''''''</w:t>
      </w:r>
      <w:r w:rsidR="006006C3">
        <w:t xml:space="preserve">, </w:t>
      </w:r>
      <w:r w:rsidRPr="006656E8">
        <w:t xml:space="preserve">based on costs presented in the November 2018 venetoclax submission), the costs of </w:t>
      </w:r>
      <w:r w:rsidR="00A7425D" w:rsidRPr="006656E8">
        <w:t xml:space="preserve">serious </w:t>
      </w:r>
      <w:r w:rsidRPr="006656E8">
        <w:t>adverse events</w:t>
      </w:r>
      <w:r w:rsidR="006006C3">
        <w:t xml:space="preserve"> ($</w:t>
      </w:r>
      <w:r w:rsidR="00DD40E7">
        <w:rPr>
          <w:noProof/>
          <w:color w:val="000000"/>
          <w:highlight w:val="black"/>
        </w:rPr>
        <w:t>''''''''''</w:t>
      </w:r>
      <w:r w:rsidR="006006C3">
        <w:t>/patient in the venetoclax + obinutuzumab arm and $</w:t>
      </w:r>
      <w:r w:rsidR="00DD40E7">
        <w:rPr>
          <w:noProof/>
          <w:color w:val="000000"/>
          <w:highlight w:val="black"/>
        </w:rPr>
        <w:t>''''''''''</w:t>
      </w:r>
      <w:r w:rsidR="006006C3">
        <w:t>/patient in the chlorambucil + obinutuzumab arm)</w:t>
      </w:r>
      <w:r w:rsidRPr="006656E8">
        <w:t xml:space="preserve">, assuming no utility loss </w:t>
      </w:r>
      <w:r w:rsidRPr="003124D8">
        <w:lastRenderedPageBreak/>
        <w:t>due to treatment exposure or first-line progression</w:t>
      </w:r>
      <w:r w:rsidR="006006C3" w:rsidRPr="003124D8">
        <w:t xml:space="preserve"> (i.e. </w:t>
      </w:r>
      <w:r w:rsidR="00122773" w:rsidRPr="003124D8">
        <w:t>‘</w:t>
      </w:r>
      <w:r w:rsidR="006006C3" w:rsidRPr="003124D8">
        <w:t>on treatment</w:t>
      </w:r>
      <w:r w:rsidR="00122773" w:rsidRPr="003124D8">
        <w:t>’</w:t>
      </w:r>
      <w:r w:rsidR="006006C3" w:rsidRPr="003124D8">
        <w:t xml:space="preserve"> and </w:t>
      </w:r>
      <w:r w:rsidR="00122773" w:rsidRPr="003124D8">
        <w:t>‘</w:t>
      </w:r>
      <w:r w:rsidR="006006C3" w:rsidRPr="003124D8">
        <w:t>progressed but well</w:t>
      </w:r>
      <w:r w:rsidR="00122773" w:rsidRPr="003124D8">
        <w:t>’</w:t>
      </w:r>
      <w:r w:rsidR="006006C3" w:rsidRPr="003124D8">
        <w:t xml:space="preserve"> utility = 0.82)</w:t>
      </w:r>
      <w:r w:rsidRPr="003124D8">
        <w:t>, and halving health state costs.</w:t>
      </w:r>
      <w:r w:rsidR="00DE54DE" w:rsidRPr="003124D8">
        <w:t xml:space="preserve"> The ESC noted that th</w:t>
      </w:r>
      <w:r w:rsidR="00D22792" w:rsidRPr="003124D8">
        <w:t xml:space="preserve">e </w:t>
      </w:r>
      <w:r w:rsidR="00E57533" w:rsidRPr="003124D8">
        <w:t xml:space="preserve">evaluator proposed </w:t>
      </w:r>
      <w:r w:rsidR="00D22792" w:rsidRPr="003124D8">
        <w:t>alternative base case</w:t>
      </w:r>
      <w:r w:rsidR="00DE54DE" w:rsidRPr="003124D8">
        <w:t xml:space="preserve"> did not address the issue of </w:t>
      </w:r>
      <w:r w:rsidR="00C94DA7" w:rsidRPr="003124D8">
        <w:t xml:space="preserve">a reasonable </w:t>
      </w:r>
      <w:r w:rsidR="00DE54DE" w:rsidRPr="003124D8">
        <w:t>duration of treatment effect</w:t>
      </w:r>
      <w:r w:rsidR="00F4651F" w:rsidRPr="003124D8">
        <w:t xml:space="preserve"> or alter risk and curve convergence</w:t>
      </w:r>
      <w:r w:rsidR="00C94DA7" w:rsidRPr="003124D8">
        <w:t>.</w:t>
      </w:r>
      <w:r w:rsidR="00C94DA7">
        <w:rPr>
          <w:i/>
        </w:rPr>
        <w:t xml:space="preserve"> </w:t>
      </w:r>
    </w:p>
    <w:p w:rsidR="006C16A0" w:rsidRPr="006656E8" w:rsidRDefault="006C16A0" w:rsidP="006C16A0">
      <w:pPr>
        <w:pStyle w:val="TableHeading"/>
        <w:spacing w:after="0"/>
      </w:pPr>
      <w:r w:rsidRPr="006656E8">
        <w:t xml:space="preserve">Table </w:t>
      </w:r>
      <w:r w:rsidR="00A7425D" w:rsidRPr="006656E8">
        <w:t>1</w:t>
      </w:r>
      <w:r w:rsidR="005C720C">
        <w:t>5</w:t>
      </w:r>
      <w:r w:rsidRPr="006656E8">
        <w:t>: Results of multivariate sensitivity analyses conducted during the evaluation</w:t>
      </w:r>
    </w:p>
    <w:tbl>
      <w:tblPr>
        <w:tblStyle w:val="TableGrid"/>
        <w:tblW w:w="5000" w:type="pct"/>
        <w:tblLook w:val="04A0" w:firstRow="1" w:lastRow="0" w:firstColumn="1" w:lastColumn="0" w:noHBand="0" w:noVBand="1"/>
        <w:tblCaption w:val="Table 15: Results of multivariate sensitivity analyses conducted during the evaluation"/>
      </w:tblPr>
      <w:tblGrid>
        <w:gridCol w:w="4531"/>
        <w:gridCol w:w="1495"/>
        <w:gridCol w:w="1495"/>
        <w:gridCol w:w="1496"/>
      </w:tblGrid>
      <w:tr w:rsidR="006C16A0" w:rsidRPr="006656E8" w:rsidTr="00B00147">
        <w:trPr>
          <w:tblHeader/>
        </w:trPr>
        <w:tc>
          <w:tcPr>
            <w:tcW w:w="4531" w:type="dxa"/>
            <w:tcBorders>
              <w:bottom w:val="single" w:sz="4" w:space="0" w:color="auto"/>
            </w:tcBorders>
            <w:vAlign w:val="center"/>
          </w:tcPr>
          <w:p w:rsidR="006C16A0" w:rsidRPr="006656E8" w:rsidRDefault="006C16A0" w:rsidP="006C16A0">
            <w:pPr>
              <w:pStyle w:val="Tableheadingrow"/>
              <w:keepNext w:val="0"/>
            </w:pPr>
            <w:r w:rsidRPr="006656E8">
              <w:t>Analysis</w:t>
            </w:r>
          </w:p>
        </w:tc>
        <w:tc>
          <w:tcPr>
            <w:tcW w:w="1495" w:type="dxa"/>
            <w:tcBorders>
              <w:bottom w:val="single" w:sz="4" w:space="0" w:color="auto"/>
            </w:tcBorders>
            <w:vAlign w:val="center"/>
          </w:tcPr>
          <w:p w:rsidR="006C16A0" w:rsidRPr="006656E8" w:rsidRDefault="006C16A0" w:rsidP="006C16A0">
            <w:pPr>
              <w:pStyle w:val="Tableheadingrow"/>
              <w:keepNext w:val="0"/>
              <w:jc w:val="center"/>
            </w:pPr>
            <w:r w:rsidRPr="006656E8">
              <w:t>Incremental cost</w:t>
            </w:r>
          </w:p>
        </w:tc>
        <w:tc>
          <w:tcPr>
            <w:tcW w:w="1495" w:type="dxa"/>
            <w:tcBorders>
              <w:bottom w:val="single" w:sz="4" w:space="0" w:color="auto"/>
            </w:tcBorders>
            <w:vAlign w:val="center"/>
          </w:tcPr>
          <w:p w:rsidR="006C16A0" w:rsidRPr="006656E8" w:rsidRDefault="006C16A0" w:rsidP="006C16A0">
            <w:pPr>
              <w:pStyle w:val="Tableheadingrow"/>
              <w:keepNext w:val="0"/>
              <w:jc w:val="center"/>
            </w:pPr>
            <w:r w:rsidRPr="006656E8">
              <w:t>Incremental QALYs</w:t>
            </w:r>
          </w:p>
        </w:tc>
        <w:tc>
          <w:tcPr>
            <w:tcW w:w="1496" w:type="dxa"/>
            <w:tcBorders>
              <w:bottom w:val="single" w:sz="4" w:space="0" w:color="auto"/>
            </w:tcBorders>
            <w:vAlign w:val="center"/>
          </w:tcPr>
          <w:p w:rsidR="006C16A0" w:rsidRPr="006656E8" w:rsidRDefault="006C16A0" w:rsidP="006C16A0">
            <w:pPr>
              <w:pStyle w:val="Tableheadingrow"/>
              <w:keepNext w:val="0"/>
              <w:jc w:val="center"/>
            </w:pPr>
            <w:r w:rsidRPr="006656E8">
              <w:t>Incremental cost per QALY gained</w:t>
            </w:r>
          </w:p>
        </w:tc>
      </w:tr>
      <w:tr w:rsidR="006C16A0" w:rsidRPr="006656E8" w:rsidTr="006C16A0">
        <w:tc>
          <w:tcPr>
            <w:tcW w:w="4531" w:type="dxa"/>
            <w:tcBorders>
              <w:bottom w:val="single" w:sz="4" w:space="0" w:color="auto"/>
            </w:tcBorders>
          </w:tcPr>
          <w:p w:rsidR="006C16A0" w:rsidRPr="006656E8" w:rsidRDefault="006C16A0" w:rsidP="006C16A0">
            <w:pPr>
              <w:pStyle w:val="TableText"/>
              <w:keepNext w:val="0"/>
              <w:rPr>
                <w:b/>
              </w:rPr>
            </w:pPr>
            <w:r w:rsidRPr="006656E8">
              <w:rPr>
                <w:b/>
              </w:rPr>
              <w:t>Alternative base case (no utility loss due to treatment exposure or first-line progression; halve health state costs; include costs of adverse events; include TLS prophylactic management based on November 2018 venetoclax submission)</w:t>
            </w:r>
          </w:p>
        </w:tc>
        <w:tc>
          <w:tcPr>
            <w:tcW w:w="1495" w:type="dxa"/>
            <w:tcBorders>
              <w:bottom w:val="single" w:sz="4" w:space="0" w:color="auto"/>
            </w:tcBorders>
            <w:vAlign w:val="center"/>
          </w:tcPr>
          <w:p w:rsidR="006C16A0" w:rsidRPr="006656E8" w:rsidRDefault="006C16A0" w:rsidP="006C16A0">
            <w:pPr>
              <w:pStyle w:val="TableText"/>
              <w:keepNext w:val="0"/>
              <w:jc w:val="center"/>
              <w:rPr>
                <w:b/>
              </w:rPr>
            </w:pPr>
            <w:r w:rsidRPr="006656E8">
              <w:rPr>
                <w:b/>
              </w:rPr>
              <w:t>$</w:t>
            </w:r>
            <w:r w:rsidR="00DD40E7">
              <w:rPr>
                <w:b/>
                <w:noProof/>
                <w:color w:val="000000"/>
                <w:highlight w:val="black"/>
              </w:rPr>
              <w:t>'''''''''''''</w:t>
            </w:r>
          </w:p>
        </w:tc>
        <w:tc>
          <w:tcPr>
            <w:tcW w:w="1495" w:type="dxa"/>
            <w:tcBorders>
              <w:bottom w:val="single" w:sz="4" w:space="0" w:color="auto"/>
            </w:tcBorders>
            <w:vAlign w:val="center"/>
          </w:tcPr>
          <w:p w:rsidR="006C16A0" w:rsidRPr="00DD40E7" w:rsidRDefault="00DD40E7" w:rsidP="006C16A0">
            <w:pPr>
              <w:pStyle w:val="TableText"/>
              <w:keepNext w:val="0"/>
              <w:jc w:val="center"/>
              <w:rPr>
                <w:b/>
                <w:highlight w:val="black"/>
              </w:rPr>
            </w:pPr>
            <w:r>
              <w:rPr>
                <w:b/>
                <w:noProof/>
                <w:color w:val="000000"/>
                <w:highlight w:val="black"/>
              </w:rPr>
              <w:t>'''''''''''''</w:t>
            </w:r>
          </w:p>
        </w:tc>
        <w:tc>
          <w:tcPr>
            <w:tcW w:w="1496" w:type="dxa"/>
            <w:tcBorders>
              <w:bottom w:val="single" w:sz="4" w:space="0" w:color="auto"/>
            </w:tcBorders>
            <w:vAlign w:val="center"/>
          </w:tcPr>
          <w:p w:rsidR="006C16A0" w:rsidRPr="006656E8" w:rsidRDefault="006C16A0" w:rsidP="006C16A0">
            <w:pPr>
              <w:pStyle w:val="TableText"/>
              <w:keepNext w:val="0"/>
              <w:jc w:val="center"/>
              <w:rPr>
                <w:b/>
              </w:rPr>
            </w:pPr>
            <w:r w:rsidRPr="00F77A2B">
              <w:rPr>
                <w:b/>
              </w:rPr>
              <w:t>$</w:t>
            </w:r>
            <w:r w:rsidR="00DD40E7">
              <w:rPr>
                <w:b/>
                <w:noProof/>
                <w:color w:val="000000"/>
                <w:highlight w:val="black"/>
              </w:rPr>
              <w:t>'''''''''''''''''</w:t>
            </w:r>
          </w:p>
        </w:tc>
      </w:tr>
      <w:tr w:rsidR="006C16A0" w:rsidRPr="006656E8" w:rsidTr="006C16A0">
        <w:tc>
          <w:tcPr>
            <w:tcW w:w="9017" w:type="dxa"/>
            <w:gridSpan w:val="4"/>
            <w:tcBorders>
              <w:top w:val="single" w:sz="4" w:space="0" w:color="auto"/>
              <w:bottom w:val="single" w:sz="4" w:space="0" w:color="auto"/>
            </w:tcBorders>
          </w:tcPr>
          <w:p w:rsidR="006C16A0" w:rsidRPr="006656E8" w:rsidRDefault="006C16A0" w:rsidP="006C16A0">
            <w:pPr>
              <w:pStyle w:val="TableText"/>
              <w:keepNext w:val="0"/>
              <w:rPr>
                <w:b/>
              </w:rPr>
            </w:pPr>
            <w:r w:rsidRPr="006656E8">
              <w:rPr>
                <w:b/>
              </w:rPr>
              <w:t>Disutility associated with R/R disease (base case utility 0.66)</w:t>
            </w:r>
          </w:p>
        </w:tc>
      </w:tr>
      <w:tr w:rsidR="006C16A0" w:rsidRPr="006656E8" w:rsidTr="006C16A0">
        <w:tc>
          <w:tcPr>
            <w:tcW w:w="4531" w:type="dxa"/>
            <w:tcBorders>
              <w:top w:val="single" w:sz="4" w:space="0" w:color="auto"/>
              <w:bottom w:val="single" w:sz="4" w:space="0" w:color="auto"/>
            </w:tcBorders>
          </w:tcPr>
          <w:p w:rsidR="006C16A0" w:rsidRPr="006656E8" w:rsidRDefault="006C16A0" w:rsidP="006C16A0">
            <w:pPr>
              <w:pStyle w:val="TableText"/>
              <w:keepNext w:val="0"/>
            </w:pPr>
            <w:r w:rsidRPr="006656E8">
              <w:t>25% reduction in disutility (utility 0.70)</w:t>
            </w:r>
          </w:p>
        </w:tc>
        <w:tc>
          <w:tcPr>
            <w:tcW w:w="1495" w:type="dxa"/>
            <w:tcBorders>
              <w:top w:val="single" w:sz="4" w:space="0" w:color="auto"/>
              <w:bottom w:val="single" w:sz="4" w:space="0" w:color="auto"/>
            </w:tcBorders>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Borders>
              <w:top w:val="single" w:sz="4" w:space="0" w:color="auto"/>
              <w:bottom w:val="single" w:sz="4" w:space="0" w:color="auto"/>
            </w:tcBorders>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Borders>
              <w:top w:val="single" w:sz="4" w:space="0" w:color="auto"/>
              <w:bottom w:val="single" w:sz="4" w:space="0" w:color="auto"/>
            </w:tcBorders>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4531" w:type="dxa"/>
            <w:tcBorders>
              <w:top w:val="single" w:sz="4" w:space="0" w:color="auto"/>
              <w:bottom w:val="single" w:sz="4" w:space="0" w:color="auto"/>
            </w:tcBorders>
          </w:tcPr>
          <w:p w:rsidR="006C16A0" w:rsidRPr="006656E8" w:rsidRDefault="006C16A0" w:rsidP="00190027">
            <w:pPr>
              <w:pStyle w:val="TableText"/>
              <w:keepNext w:val="0"/>
            </w:pPr>
            <w:r w:rsidRPr="006656E8">
              <w:t>50% reduction in disutility (utility 0.74)</w:t>
            </w:r>
          </w:p>
        </w:tc>
        <w:tc>
          <w:tcPr>
            <w:tcW w:w="1495" w:type="dxa"/>
            <w:tcBorders>
              <w:top w:val="single" w:sz="4" w:space="0" w:color="auto"/>
              <w:bottom w:val="single" w:sz="4" w:space="0" w:color="auto"/>
            </w:tcBorders>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Borders>
              <w:top w:val="single" w:sz="4" w:space="0" w:color="auto"/>
              <w:bottom w:val="single" w:sz="4" w:space="0" w:color="auto"/>
            </w:tcBorders>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Borders>
              <w:top w:val="single" w:sz="4" w:space="0" w:color="auto"/>
              <w:bottom w:val="single" w:sz="4" w:space="0" w:color="auto"/>
            </w:tcBorders>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4531" w:type="dxa"/>
            <w:tcBorders>
              <w:top w:val="single" w:sz="4" w:space="0" w:color="auto"/>
              <w:bottom w:val="single" w:sz="4" w:space="0" w:color="auto"/>
            </w:tcBorders>
          </w:tcPr>
          <w:p w:rsidR="006C16A0" w:rsidRPr="006656E8" w:rsidRDefault="006C16A0" w:rsidP="006C16A0">
            <w:pPr>
              <w:pStyle w:val="TableText"/>
              <w:keepNext w:val="0"/>
            </w:pPr>
            <w:r w:rsidRPr="006656E8">
              <w:t>75% reduction in disutility (utility 0.78)</w:t>
            </w:r>
          </w:p>
        </w:tc>
        <w:tc>
          <w:tcPr>
            <w:tcW w:w="1495" w:type="dxa"/>
            <w:tcBorders>
              <w:top w:val="single" w:sz="4" w:space="0" w:color="auto"/>
              <w:bottom w:val="single" w:sz="4" w:space="0" w:color="auto"/>
            </w:tcBorders>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Borders>
              <w:top w:val="single" w:sz="4" w:space="0" w:color="auto"/>
              <w:bottom w:val="single" w:sz="4" w:space="0" w:color="auto"/>
            </w:tcBorders>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Borders>
              <w:top w:val="single" w:sz="4" w:space="0" w:color="auto"/>
              <w:bottom w:val="single" w:sz="4" w:space="0" w:color="auto"/>
            </w:tcBorders>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9017" w:type="dxa"/>
            <w:gridSpan w:val="4"/>
            <w:tcBorders>
              <w:top w:val="single" w:sz="4" w:space="0" w:color="auto"/>
              <w:bottom w:val="single" w:sz="4" w:space="0" w:color="auto"/>
            </w:tcBorders>
          </w:tcPr>
          <w:p w:rsidR="006C16A0" w:rsidRPr="006656E8" w:rsidRDefault="006C16A0" w:rsidP="006C16A0">
            <w:pPr>
              <w:pStyle w:val="TableText"/>
              <w:keepNext w:val="0"/>
            </w:pPr>
            <w:r w:rsidRPr="006656E8">
              <w:rPr>
                <w:b/>
              </w:rPr>
              <w:t>Treatment costs for relapsed/refractory disease (base case $</w:t>
            </w:r>
            <w:r w:rsidR="00BA436D">
              <w:rPr>
                <w:b/>
                <w:noProof/>
                <w:color w:val="000000"/>
                <w:highlight w:val="black"/>
              </w:rPr>
              <w:t>''''''''''''</w:t>
            </w:r>
            <w:r w:rsidRPr="006656E8">
              <w:rPr>
                <w:b/>
              </w:rPr>
              <w:t>)</w:t>
            </w:r>
          </w:p>
        </w:tc>
      </w:tr>
      <w:tr w:rsidR="006C16A0" w:rsidRPr="006656E8" w:rsidTr="006C16A0">
        <w:tc>
          <w:tcPr>
            <w:tcW w:w="4531" w:type="dxa"/>
            <w:tcBorders>
              <w:top w:val="single" w:sz="4" w:space="0" w:color="auto"/>
              <w:bottom w:val="single" w:sz="4" w:space="0" w:color="auto"/>
            </w:tcBorders>
          </w:tcPr>
          <w:p w:rsidR="006C16A0" w:rsidRPr="006656E8" w:rsidRDefault="006C16A0" w:rsidP="006C16A0">
            <w:pPr>
              <w:pStyle w:val="TableText"/>
              <w:keepNext w:val="0"/>
            </w:pPr>
            <w:r w:rsidRPr="006656E8">
              <w:t>×1.5</w:t>
            </w:r>
          </w:p>
        </w:tc>
        <w:tc>
          <w:tcPr>
            <w:tcW w:w="1495" w:type="dxa"/>
            <w:tcBorders>
              <w:top w:val="single" w:sz="4" w:space="0" w:color="auto"/>
              <w:bottom w:val="single" w:sz="4" w:space="0" w:color="auto"/>
            </w:tcBorders>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Borders>
              <w:top w:val="single" w:sz="4" w:space="0" w:color="auto"/>
              <w:bottom w:val="single" w:sz="4" w:space="0" w:color="auto"/>
            </w:tcBorders>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Borders>
              <w:top w:val="single" w:sz="4" w:space="0" w:color="auto"/>
              <w:bottom w:val="single" w:sz="4" w:space="0" w:color="auto"/>
            </w:tcBorders>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4531" w:type="dxa"/>
            <w:tcBorders>
              <w:top w:val="single" w:sz="4" w:space="0" w:color="auto"/>
              <w:bottom w:val="single" w:sz="4" w:space="0" w:color="auto"/>
            </w:tcBorders>
          </w:tcPr>
          <w:p w:rsidR="006C16A0" w:rsidRPr="006656E8" w:rsidRDefault="006C16A0" w:rsidP="006C16A0">
            <w:pPr>
              <w:pStyle w:val="TableText"/>
              <w:keepNext w:val="0"/>
            </w:pPr>
            <w:r w:rsidRPr="006656E8">
              <w:t>×0.5</w:t>
            </w:r>
          </w:p>
        </w:tc>
        <w:tc>
          <w:tcPr>
            <w:tcW w:w="1495" w:type="dxa"/>
            <w:tcBorders>
              <w:top w:val="single" w:sz="4" w:space="0" w:color="auto"/>
              <w:bottom w:val="single" w:sz="4" w:space="0" w:color="auto"/>
            </w:tcBorders>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Borders>
              <w:top w:val="single" w:sz="4" w:space="0" w:color="auto"/>
              <w:bottom w:val="single" w:sz="4" w:space="0" w:color="auto"/>
            </w:tcBorders>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Borders>
              <w:top w:val="single" w:sz="4" w:space="0" w:color="auto"/>
              <w:bottom w:val="single" w:sz="4" w:space="0" w:color="auto"/>
            </w:tcBorders>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9017" w:type="dxa"/>
            <w:gridSpan w:val="4"/>
          </w:tcPr>
          <w:p w:rsidR="006C16A0" w:rsidRPr="006656E8" w:rsidRDefault="006C16A0" w:rsidP="006C16A0">
            <w:pPr>
              <w:pStyle w:val="TableText"/>
              <w:keepNext w:val="0"/>
              <w:rPr>
                <w:b/>
              </w:rPr>
            </w:pPr>
            <w:r w:rsidRPr="006656E8">
              <w:rPr>
                <w:b/>
              </w:rPr>
              <w:t>Risk convergence (base case venetoclax + obinutuzumab PFS and TTNT curves adjusted by applying survival based on a HR=1 relative to chlorambucil + obinutuzumab from 5 years)</w:t>
            </w:r>
          </w:p>
        </w:tc>
      </w:tr>
      <w:tr w:rsidR="006C16A0" w:rsidRPr="006656E8" w:rsidTr="006C16A0">
        <w:tc>
          <w:tcPr>
            <w:tcW w:w="4531" w:type="dxa"/>
          </w:tcPr>
          <w:p w:rsidR="006C16A0" w:rsidRPr="006656E8" w:rsidRDefault="006C16A0" w:rsidP="006C16A0">
            <w:pPr>
              <w:pStyle w:val="TableText"/>
              <w:keepNext w:val="0"/>
            </w:pPr>
            <w:r w:rsidRPr="006656E8">
              <w:t>Risk convergence from 2.33 years (mean follow-up of Trial CLL-14)</w:t>
            </w:r>
          </w:p>
        </w:tc>
        <w:tc>
          <w:tcPr>
            <w:tcW w:w="1495" w:type="dxa"/>
            <w:vAlign w:val="center"/>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vAlign w:val="center"/>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vAlign w:val="center"/>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4531" w:type="dxa"/>
          </w:tcPr>
          <w:p w:rsidR="006C16A0" w:rsidRPr="006656E8" w:rsidRDefault="006C16A0" w:rsidP="006C16A0">
            <w:pPr>
              <w:pStyle w:val="TableText"/>
              <w:keepNext w:val="0"/>
            </w:pPr>
            <w:r w:rsidRPr="006656E8">
              <w:t>Risk convergence from 4 years</w:t>
            </w:r>
          </w:p>
        </w:tc>
        <w:tc>
          <w:tcPr>
            <w:tcW w:w="1495" w:type="dxa"/>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4531" w:type="dxa"/>
          </w:tcPr>
          <w:p w:rsidR="006C16A0" w:rsidRPr="006656E8" w:rsidRDefault="006C16A0" w:rsidP="006C16A0">
            <w:pPr>
              <w:pStyle w:val="TableText"/>
              <w:keepNext w:val="0"/>
            </w:pPr>
            <w:r w:rsidRPr="006656E8">
              <w:t>Risk convergence from 6 years</w:t>
            </w:r>
          </w:p>
        </w:tc>
        <w:tc>
          <w:tcPr>
            <w:tcW w:w="1495" w:type="dxa"/>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4531" w:type="dxa"/>
          </w:tcPr>
          <w:p w:rsidR="006C16A0" w:rsidRPr="006656E8" w:rsidRDefault="006C16A0" w:rsidP="006C16A0">
            <w:pPr>
              <w:pStyle w:val="TableText"/>
              <w:keepNext w:val="0"/>
            </w:pPr>
            <w:r w:rsidRPr="006656E8">
              <w:t>Risk convergence from 8 years</w:t>
            </w:r>
          </w:p>
        </w:tc>
        <w:tc>
          <w:tcPr>
            <w:tcW w:w="1495" w:type="dxa"/>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9017" w:type="dxa"/>
            <w:gridSpan w:val="4"/>
          </w:tcPr>
          <w:p w:rsidR="006C16A0" w:rsidRPr="006656E8" w:rsidRDefault="006C16A0" w:rsidP="006C16A0">
            <w:pPr>
              <w:pStyle w:val="TableText"/>
              <w:keepNext w:val="0"/>
            </w:pPr>
            <w:r w:rsidRPr="006656E8">
              <w:rPr>
                <w:b/>
              </w:rPr>
              <w:t>Curve convergence (base case no curve convergence)</w:t>
            </w:r>
          </w:p>
        </w:tc>
      </w:tr>
      <w:tr w:rsidR="006C16A0" w:rsidRPr="006656E8" w:rsidTr="006C16A0">
        <w:tc>
          <w:tcPr>
            <w:tcW w:w="4531" w:type="dxa"/>
          </w:tcPr>
          <w:p w:rsidR="006C16A0" w:rsidRPr="006656E8" w:rsidRDefault="006C16A0" w:rsidP="006C16A0">
            <w:pPr>
              <w:pStyle w:val="TableText"/>
              <w:keepNext w:val="0"/>
            </w:pPr>
            <w:r w:rsidRPr="006656E8">
              <w:t>Curve convergence between 2.33 years and 10 years</w:t>
            </w:r>
          </w:p>
        </w:tc>
        <w:tc>
          <w:tcPr>
            <w:tcW w:w="1495" w:type="dxa"/>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4531" w:type="dxa"/>
          </w:tcPr>
          <w:p w:rsidR="006C16A0" w:rsidRPr="006656E8" w:rsidRDefault="006C16A0" w:rsidP="006C16A0">
            <w:pPr>
              <w:pStyle w:val="TableText"/>
              <w:keepNext w:val="0"/>
            </w:pPr>
            <w:r w:rsidRPr="006656E8">
              <w:t>Curve convergence between 4 and 10 years</w:t>
            </w:r>
          </w:p>
        </w:tc>
        <w:tc>
          <w:tcPr>
            <w:tcW w:w="1495" w:type="dxa"/>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Pr>
          <w:p w:rsidR="006C16A0" w:rsidRPr="006656E8" w:rsidRDefault="006C16A0" w:rsidP="006C16A0">
            <w:pPr>
              <w:pStyle w:val="TableText"/>
              <w:keepNext w:val="0"/>
              <w:jc w:val="center"/>
            </w:pPr>
            <w:r w:rsidRPr="006656E8">
              <w:t>$</w:t>
            </w:r>
            <w:r w:rsidR="00DD40E7">
              <w:rPr>
                <w:noProof/>
                <w:color w:val="000000"/>
                <w:highlight w:val="black"/>
              </w:rPr>
              <w:t>''''''''''''''''''''''</w:t>
            </w:r>
          </w:p>
        </w:tc>
      </w:tr>
      <w:tr w:rsidR="001D0CAB" w:rsidRPr="00E5640A" w:rsidTr="006C16A0">
        <w:tc>
          <w:tcPr>
            <w:tcW w:w="4531" w:type="dxa"/>
          </w:tcPr>
          <w:p w:rsidR="001D0CAB" w:rsidRPr="00E5640A" w:rsidRDefault="001D0CAB" w:rsidP="006C16A0">
            <w:pPr>
              <w:pStyle w:val="TableText"/>
              <w:keepNext w:val="0"/>
            </w:pPr>
            <w:r w:rsidRPr="00E5640A">
              <w:t>Curve convergence between 5 and 10 years</w:t>
            </w:r>
          </w:p>
        </w:tc>
        <w:tc>
          <w:tcPr>
            <w:tcW w:w="1495" w:type="dxa"/>
          </w:tcPr>
          <w:p w:rsidR="001D0CAB" w:rsidRPr="00E5640A" w:rsidRDefault="001D0CAB" w:rsidP="006C16A0">
            <w:pPr>
              <w:pStyle w:val="TableText"/>
              <w:keepNext w:val="0"/>
              <w:jc w:val="center"/>
            </w:pPr>
            <w:r w:rsidRPr="00E5640A">
              <w:t>$</w:t>
            </w:r>
            <w:r w:rsidR="00DD40E7">
              <w:rPr>
                <w:noProof/>
                <w:color w:val="000000"/>
                <w:highlight w:val="black"/>
              </w:rPr>
              <w:t>'''''''''''''''''</w:t>
            </w:r>
          </w:p>
        </w:tc>
        <w:tc>
          <w:tcPr>
            <w:tcW w:w="1495" w:type="dxa"/>
          </w:tcPr>
          <w:p w:rsidR="001D0CAB" w:rsidRPr="00DD40E7" w:rsidRDefault="00DD40E7" w:rsidP="006C16A0">
            <w:pPr>
              <w:pStyle w:val="TableText"/>
              <w:keepNext w:val="0"/>
              <w:jc w:val="center"/>
              <w:rPr>
                <w:highlight w:val="black"/>
              </w:rPr>
            </w:pPr>
            <w:r>
              <w:rPr>
                <w:noProof/>
                <w:color w:val="000000"/>
                <w:highlight w:val="black"/>
              </w:rPr>
              <w:t>'''''''''''''''</w:t>
            </w:r>
          </w:p>
        </w:tc>
        <w:tc>
          <w:tcPr>
            <w:tcW w:w="1496" w:type="dxa"/>
          </w:tcPr>
          <w:p w:rsidR="001D0CAB" w:rsidRPr="00E5640A" w:rsidRDefault="001D0CAB" w:rsidP="006C16A0">
            <w:pPr>
              <w:pStyle w:val="TableText"/>
              <w:keepNext w:val="0"/>
              <w:jc w:val="center"/>
            </w:pPr>
            <w:r w:rsidRPr="00E5640A">
              <w:t>$</w:t>
            </w:r>
            <w:r w:rsidR="00DD40E7">
              <w:rPr>
                <w:noProof/>
                <w:color w:val="000000"/>
                <w:highlight w:val="black"/>
              </w:rPr>
              <w:t>''''''''''''''''''</w:t>
            </w:r>
          </w:p>
        </w:tc>
      </w:tr>
      <w:tr w:rsidR="006C16A0" w:rsidRPr="006656E8" w:rsidTr="006C16A0">
        <w:tc>
          <w:tcPr>
            <w:tcW w:w="4531" w:type="dxa"/>
          </w:tcPr>
          <w:p w:rsidR="006C16A0" w:rsidRPr="006656E8" w:rsidRDefault="006C16A0" w:rsidP="006C16A0">
            <w:pPr>
              <w:pStyle w:val="TableText"/>
              <w:keepNext w:val="0"/>
            </w:pPr>
            <w:r w:rsidRPr="006656E8">
              <w:t>Curve convergence between 6 and 10 years</w:t>
            </w:r>
          </w:p>
        </w:tc>
        <w:tc>
          <w:tcPr>
            <w:tcW w:w="1495" w:type="dxa"/>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Pr>
          <w:p w:rsidR="006C16A0" w:rsidRPr="006656E8" w:rsidRDefault="006C16A0" w:rsidP="006C16A0">
            <w:pPr>
              <w:pStyle w:val="TableText"/>
              <w:keepNext w:val="0"/>
              <w:jc w:val="center"/>
            </w:pPr>
            <w:r w:rsidRPr="006656E8">
              <w:t>$</w:t>
            </w:r>
            <w:r w:rsidR="00DD40E7">
              <w:rPr>
                <w:noProof/>
                <w:color w:val="000000"/>
                <w:highlight w:val="black"/>
              </w:rPr>
              <w:t>''''''''''''''''''''''</w:t>
            </w:r>
          </w:p>
        </w:tc>
      </w:tr>
      <w:tr w:rsidR="006C16A0" w:rsidRPr="006656E8" w:rsidTr="006C16A0">
        <w:tc>
          <w:tcPr>
            <w:tcW w:w="4531" w:type="dxa"/>
          </w:tcPr>
          <w:p w:rsidR="006C16A0" w:rsidRPr="006656E8" w:rsidRDefault="006C16A0" w:rsidP="006C16A0">
            <w:pPr>
              <w:pStyle w:val="TableText"/>
              <w:keepNext w:val="0"/>
            </w:pPr>
            <w:r w:rsidRPr="006656E8">
              <w:t>Curve convergence between 8 and 10 years</w:t>
            </w:r>
          </w:p>
        </w:tc>
        <w:tc>
          <w:tcPr>
            <w:tcW w:w="1495" w:type="dxa"/>
          </w:tcPr>
          <w:p w:rsidR="006C16A0" w:rsidRPr="006656E8" w:rsidRDefault="006C16A0" w:rsidP="006C16A0">
            <w:pPr>
              <w:pStyle w:val="TableText"/>
              <w:keepNext w:val="0"/>
              <w:jc w:val="center"/>
            </w:pPr>
            <w:r w:rsidRPr="006656E8">
              <w:t>$</w:t>
            </w:r>
            <w:r w:rsidR="00DD40E7">
              <w:rPr>
                <w:noProof/>
                <w:color w:val="000000"/>
                <w:highlight w:val="black"/>
              </w:rPr>
              <w:t>'''''''''''''''</w:t>
            </w:r>
          </w:p>
        </w:tc>
        <w:tc>
          <w:tcPr>
            <w:tcW w:w="1495" w:type="dxa"/>
          </w:tcPr>
          <w:p w:rsidR="006C16A0" w:rsidRPr="00DD40E7" w:rsidRDefault="00DD40E7" w:rsidP="006C16A0">
            <w:pPr>
              <w:pStyle w:val="TableText"/>
              <w:keepNext w:val="0"/>
              <w:jc w:val="center"/>
              <w:rPr>
                <w:highlight w:val="black"/>
              </w:rPr>
            </w:pPr>
            <w:r>
              <w:rPr>
                <w:noProof/>
                <w:color w:val="000000"/>
                <w:highlight w:val="black"/>
              </w:rPr>
              <w:t>''''''''''''''''''</w:t>
            </w:r>
          </w:p>
        </w:tc>
        <w:tc>
          <w:tcPr>
            <w:tcW w:w="1496" w:type="dxa"/>
          </w:tcPr>
          <w:p w:rsidR="006C16A0" w:rsidRPr="006656E8" w:rsidRDefault="006C16A0" w:rsidP="006C16A0">
            <w:pPr>
              <w:pStyle w:val="TableText"/>
              <w:keepNext w:val="0"/>
              <w:jc w:val="center"/>
            </w:pPr>
            <w:r w:rsidRPr="006656E8">
              <w:t>$</w:t>
            </w:r>
            <w:r w:rsidR="00DD40E7">
              <w:rPr>
                <w:noProof/>
                <w:color w:val="000000"/>
                <w:highlight w:val="black"/>
              </w:rPr>
              <w:t>'''''''''''''''</w:t>
            </w:r>
          </w:p>
        </w:tc>
      </w:tr>
    </w:tbl>
    <w:p w:rsidR="006C16A0" w:rsidRPr="006656E8" w:rsidRDefault="006C16A0" w:rsidP="006C16A0">
      <w:pPr>
        <w:pStyle w:val="TableFooter"/>
      </w:pPr>
      <w:r w:rsidRPr="006656E8">
        <w:t>Source: Sensitivity analyses conducted during the evaluation using PBAC_Section 3_CUA_VTX+Obi_Final spreadsheet provided with the submission</w:t>
      </w:r>
    </w:p>
    <w:p w:rsidR="006C16A0" w:rsidRPr="006656E8" w:rsidRDefault="006C16A0" w:rsidP="00A7425D">
      <w:pPr>
        <w:pStyle w:val="TableFooter"/>
      </w:pPr>
      <w:r w:rsidRPr="006656E8">
        <w:t>Abbreviations: QALY, quality adjusted life year; R/R, relapsed refractory; TTNT, time to next treatment</w:t>
      </w:r>
    </w:p>
    <w:p w:rsidR="00A7425D" w:rsidRPr="006656E8" w:rsidRDefault="00A7425D" w:rsidP="00A7425D">
      <w:pPr>
        <w:pStyle w:val="TableFooter"/>
      </w:pPr>
    </w:p>
    <w:p w:rsidR="006C16A0" w:rsidRDefault="006C16A0" w:rsidP="006C16A0">
      <w:pPr>
        <w:pStyle w:val="ExecSumBodyText"/>
        <w:numPr>
          <w:ilvl w:val="1"/>
          <w:numId w:val="1"/>
        </w:numPr>
      </w:pPr>
      <w:r w:rsidRPr="006656E8">
        <w:t>Based on the multivariate analyses conducted during the evaluation, correcting for favourable assumptions included in the model base c</w:t>
      </w:r>
      <w:r w:rsidR="00B6539B">
        <w:t>ase resulted in ICERs exceeding</w:t>
      </w:r>
      <w:r w:rsidRPr="006656E8">
        <w:t xml:space="preserve"> </w:t>
      </w:r>
      <w:r w:rsidR="00326616">
        <w:t xml:space="preserve">$75,000 – $105,000 </w:t>
      </w:r>
      <w:r w:rsidRPr="006656E8">
        <w:t>per QALY gained. Venetoclax + obinutuzumab is unlikely to be cost-effective against chlorambucil + obinutuzumab without a further price reduction.</w:t>
      </w:r>
    </w:p>
    <w:p w:rsidR="00F77A2B" w:rsidRPr="003124D8" w:rsidRDefault="00F77A2B" w:rsidP="00CA3162">
      <w:pPr>
        <w:pStyle w:val="ExecSumBodyText"/>
      </w:pPr>
      <w:r w:rsidRPr="003124D8">
        <w:t xml:space="preserve">The </w:t>
      </w:r>
      <w:r w:rsidR="005A4508" w:rsidRPr="003124D8">
        <w:t>PSCR presented</w:t>
      </w:r>
      <w:r w:rsidRPr="003124D8">
        <w:t xml:space="preserve"> the results of a respecified base case, </w:t>
      </w:r>
      <w:r w:rsidR="00E57533" w:rsidRPr="003124D8">
        <w:t xml:space="preserve">which was </w:t>
      </w:r>
      <w:r w:rsidRPr="003124D8">
        <w:t xml:space="preserve">based on two of the four changes that were included in the </w:t>
      </w:r>
      <w:r w:rsidR="00E57533" w:rsidRPr="003124D8">
        <w:t xml:space="preserve">evaluator proposed </w:t>
      </w:r>
      <w:r w:rsidRPr="003124D8">
        <w:t xml:space="preserve">alternative base case (halving health state costs; including TLS prophylaxis costs). </w:t>
      </w:r>
      <w:r w:rsidR="00E57533" w:rsidRPr="003124D8">
        <w:t>The PSCR did not accept the changes to the utility values or the i</w:t>
      </w:r>
      <w:r w:rsidR="00B31276" w:rsidRPr="003124D8">
        <w:t xml:space="preserve">nclusion of serious adverse event costs. </w:t>
      </w:r>
      <w:r w:rsidRPr="003124D8">
        <w:t xml:space="preserve">The </w:t>
      </w:r>
      <w:r w:rsidR="00EE7C9F">
        <w:t xml:space="preserve">PSCR presented an </w:t>
      </w:r>
      <w:r w:rsidRPr="003124D8">
        <w:t xml:space="preserve">ICER of </w:t>
      </w:r>
      <w:r w:rsidR="00F010D0">
        <w:t>$45,000 - $75,000</w:t>
      </w:r>
      <w:r w:rsidR="00CA3162" w:rsidRPr="003124D8">
        <w:t xml:space="preserve"> per QALY</w:t>
      </w:r>
      <w:r w:rsidR="00EE7C9F">
        <w:rPr>
          <w:rStyle w:val="FootnoteReference"/>
        </w:rPr>
        <w:t xml:space="preserve"> </w:t>
      </w:r>
      <w:r w:rsidR="00EE7C9F">
        <w:t>for the respecified base case</w:t>
      </w:r>
      <w:r w:rsidR="008979E8" w:rsidRPr="003124D8">
        <w:t>.</w:t>
      </w:r>
      <w:r w:rsidR="00CA3162" w:rsidRPr="003124D8">
        <w:t xml:space="preserve"> </w:t>
      </w:r>
    </w:p>
    <w:p w:rsidR="000D7FEB" w:rsidRDefault="00F77A2B" w:rsidP="00CE425A">
      <w:pPr>
        <w:pStyle w:val="ExecSumBodyText"/>
        <w:numPr>
          <w:ilvl w:val="1"/>
          <w:numId w:val="1"/>
        </w:numPr>
      </w:pPr>
      <w:r w:rsidRPr="003124D8">
        <w:t xml:space="preserve">The ESC </w:t>
      </w:r>
      <w:r w:rsidR="00B31276" w:rsidRPr="003124D8">
        <w:t xml:space="preserve">considered that </w:t>
      </w:r>
      <w:r w:rsidR="00EC4701" w:rsidRPr="003124D8">
        <w:t>the</w:t>
      </w:r>
      <w:r w:rsidR="00B31276" w:rsidRPr="003124D8">
        <w:t xml:space="preserve"> re</w:t>
      </w:r>
      <w:r w:rsidR="00484EB7" w:rsidRPr="003124D8">
        <w:t xml:space="preserve">specified </w:t>
      </w:r>
      <w:r w:rsidR="00B31276" w:rsidRPr="003124D8">
        <w:t xml:space="preserve">base case should </w:t>
      </w:r>
      <w:r w:rsidR="00CA3162" w:rsidRPr="003124D8">
        <w:t xml:space="preserve">be based on the evaluation corrected assumptions which </w:t>
      </w:r>
      <w:r w:rsidR="00B31276" w:rsidRPr="003124D8">
        <w:t>incorporate the</w:t>
      </w:r>
      <w:r w:rsidR="0022545F" w:rsidRPr="003124D8">
        <w:t xml:space="preserve"> trial-based ut</w:t>
      </w:r>
      <w:r w:rsidR="00FB3DD3" w:rsidRPr="003124D8">
        <w:t xml:space="preserve">ility data </w:t>
      </w:r>
      <w:r w:rsidR="00B31276" w:rsidRPr="003124D8">
        <w:t xml:space="preserve">for the pre-progression </w:t>
      </w:r>
      <w:r w:rsidR="004524C4">
        <w:t xml:space="preserve">and post-progression </w:t>
      </w:r>
      <w:r w:rsidR="00B31276" w:rsidRPr="003124D8">
        <w:t xml:space="preserve">health states </w:t>
      </w:r>
      <w:r w:rsidR="00FB3DD3" w:rsidRPr="003124D8">
        <w:t>and inclu</w:t>
      </w:r>
      <w:r w:rsidR="00B31276" w:rsidRPr="003124D8">
        <w:t>de</w:t>
      </w:r>
      <w:r w:rsidR="00FB3DD3" w:rsidRPr="003124D8">
        <w:t xml:space="preserve"> </w:t>
      </w:r>
      <w:r w:rsidR="00B31276" w:rsidRPr="003124D8">
        <w:t xml:space="preserve">serious adverse event </w:t>
      </w:r>
      <w:r w:rsidR="00B31276" w:rsidRPr="003124D8">
        <w:lastRenderedPageBreak/>
        <w:t>cost</w:t>
      </w:r>
      <w:r w:rsidR="00A92077" w:rsidRPr="003124D8">
        <w:t>s</w:t>
      </w:r>
      <w:r w:rsidR="00484EB7" w:rsidRPr="003124D8">
        <w:t>, halve the health state costs and include costs related to TLS prophylaxis</w:t>
      </w:r>
      <w:r w:rsidR="00FB3DD3" w:rsidRPr="003124D8">
        <w:t xml:space="preserve">. The ESC </w:t>
      </w:r>
      <w:r w:rsidR="00484EB7" w:rsidRPr="003124D8">
        <w:t xml:space="preserve">also </w:t>
      </w:r>
      <w:r w:rsidR="00CA3162" w:rsidRPr="003124D8">
        <w:t xml:space="preserve">advised </w:t>
      </w:r>
      <w:r w:rsidR="00484EB7" w:rsidRPr="003124D8">
        <w:t xml:space="preserve">that </w:t>
      </w:r>
      <w:r w:rsidR="00EC4701" w:rsidRPr="003124D8">
        <w:t>the</w:t>
      </w:r>
      <w:r w:rsidR="00484EB7" w:rsidRPr="003124D8">
        <w:t xml:space="preserve"> </w:t>
      </w:r>
      <w:r w:rsidR="00CE425A" w:rsidRPr="003124D8">
        <w:t xml:space="preserve">respecified base case </w:t>
      </w:r>
      <w:r w:rsidR="00484EB7" w:rsidRPr="003124D8">
        <w:t>should</w:t>
      </w:r>
      <w:r w:rsidR="00CA3162" w:rsidRPr="003124D8">
        <w:t xml:space="preserve"> include curve convergence from </w:t>
      </w:r>
      <w:r w:rsidR="001D0CAB" w:rsidRPr="003124D8">
        <w:t>five</w:t>
      </w:r>
      <w:r w:rsidR="00CA3162" w:rsidRPr="003124D8">
        <w:t xml:space="preserve"> years.</w:t>
      </w:r>
      <w:r w:rsidR="00484EB7" w:rsidRPr="003124D8">
        <w:t xml:space="preserve"> </w:t>
      </w:r>
      <w:r w:rsidR="00CA3162" w:rsidRPr="003124D8">
        <w:t xml:space="preserve">This would result in an ICER of </w:t>
      </w:r>
      <w:r w:rsidR="00672600">
        <w:t>$105,000 - $200,000</w:t>
      </w:r>
      <w:r w:rsidR="001D0CAB" w:rsidRPr="003124D8">
        <w:t>.</w:t>
      </w:r>
      <w:r w:rsidR="006344BA" w:rsidRPr="003124D8">
        <w:t xml:space="preserve"> </w:t>
      </w:r>
    </w:p>
    <w:p w:rsidR="00E5640A" w:rsidRDefault="00E5640A" w:rsidP="00CE425A">
      <w:pPr>
        <w:pStyle w:val="ExecSumBodyText"/>
        <w:numPr>
          <w:ilvl w:val="1"/>
          <w:numId w:val="1"/>
        </w:numPr>
      </w:pPr>
      <w:r>
        <w:t xml:space="preserve">The pre-PBAC </w:t>
      </w:r>
      <w:r w:rsidR="005A4508">
        <w:t>response argued</w:t>
      </w:r>
      <w:r>
        <w:t xml:space="preserve"> that, while curve convergence may be more conservative, it is not plausible as it implies a reversal of relative treatment effect between years five and ten. By applying curve convergence from year five, it implies constant hazard ratios over this period, meaning that patients on venetoclax + are attributed approximately a 50% greater risk of TTNT and PFS events relative to patients on chlorambucil + obinutuzumab.</w:t>
      </w:r>
    </w:p>
    <w:p w:rsidR="009E4D56" w:rsidRDefault="009E4D56" w:rsidP="009E4D56">
      <w:pPr>
        <w:pStyle w:val="ExecSumBodyText"/>
        <w:numPr>
          <w:ilvl w:val="1"/>
          <w:numId w:val="1"/>
        </w:numPr>
      </w:pPr>
      <w:r>
        <w:t xml:space="preserve">The pre-PBAC response presented the results of a respecified base case, which resulted in an ICER of </w:t>
      </w:r>
      <w:r w:rsidR="00DB7795">
        <w:t>$45,000 - $75,000</w:t>
      </w:r>
      <w:r>
        <w:t xml:space="preserve"> per QALY</w:t>
      </w:r>
      <w:r w:rsidR="009627EF">
        <w:t xml:space="preserve"> (August 2018</w:t>
      </w:r>
      <w:r w:rsidR="00E5640A">
        <w:t xml:space="preserve"> data-cut)</w:t>
      </w:r>
      <w:r>
        <w:t xml:space="preserve">, and was based on: </w:t>
      </w:r>
    </w:p>
    <w:p w:rsidR="00E5640A" w:rsidRDefault="00E5640A" w:rsidP="009E4D56">
      <w:pPr>
        <w:pStyle w:val="ExecSumBodyText"/>
        <w:numPr>
          <w:ilvl w:val="0"/>
          <w:numId w:val="34"/>
        </w:numPr>
      </w:pPr>
      <w:r>
        <w:t>Utility data from Kosmos (2015). No utility loss was included due to treatment exposure (i.e. all patients in the progression free health state had a utility of 0.82); however, patients continued to receive a 0.08 utility loss in the progressed but well health state;</w:t>
      </w:r>
    </w:p>
    <w:p w:rsidR="009E4D56" w:rsidRDefault="009E4D56" w:rsidP="009E4D56">
      <w:pPr>
        <w:pStyle w:val="ExecSumBodyText"/>
        <w:numPr>
          <w:ilvl w:val="0"/>
          <w:numId w:val="34"/>
        </w:numPr>
      </w:pPr>
      <w:r>
        <w:t xml:space="preserve">Inclusion of serious </w:t>
      </w:r>
      <w:r w:rsidR="00EE7C9F">
        <w:t>AE</w:t>
      </w:r>
      <w:r>
        <w:t xml:space="preserve"> costs</w:t>
      </w:r>
      <w:r w:rsidR="00027A1E">
        <w:t xml:space="preserve">; </w:t>
      </w:r>
    </w:p>
    <w:p w:rsidR="009E4D56" w:rsidRDefault="009E4D56" w:rsidP="009E4D56">
      <w:pPr>
        <w:pStyle w:val="ExecSumBodyText"/>
        <w:numPr>
          <w:ilvl w:val="0"/>
          <w:numId w:val="34"/>
        </w:numPr>
      </w:pPr>
      <w:r>
        <w:t xml:space="preserve">Halving the health state costs; </w:t>
      </w:r>
    </w:p>
    <w:p w:rsidR="009E4D56" w:rsidRDefault="009E4D56" w:rsidP="009E4D56">
      <w:pPr>
        <w:pStyle w:val="ExecSumBodyText"/>
        <w:numPr>
          <w:ilvl w:val="0"/>
          <w:numId w:val="34"/>
        </w:numPr>
      </w:pPr>
      <w:r>
        <w:t>Inclusion of costs related to TLS prophylaxis; and</w:t>
      </w:r>
    </w:p>
    <w:p w:rsidR="009E4D56" w:rsidRPr="003124D8" w:rsidRDefault="009E4D56" w:rsidP="009E4D56">
      <w:pPr>
        <w:pStyle w:val="ExecSumBodyText"/>
        <w:numPr>
          <w:ilvl w:val="0"/>
          <w:numId w:val="34"/>
        </w:numPr>
      </w:pPr>
      <w:r>
        <w:t>Risk convergence (rather than curve convergence)</w:t>
      </w:r>
      <w:r w:rsidR="00E5640A">
        <w:t xml:space="preserve"> from year five</w:t>
      </w:r>
      <w:r>
        <w:t xml:space="preserve">. </w:t>
      </w:r>
    </w:p>
    <w:p w:rsidR="00C25D9C" w:rsidRDefault="00C25D9C" w:rsidP="00BB732D">
      <w:pPr>
        <w:pStyle w:val="3-SubsectionHeading"/>
      </w:pPr>
      <w:bookmarkStart w:id="23" w:name="_Toc22897646"/>
      <w:bookmarkStart w:id="24" w:name="_Toc30502547"/>
      <w:r w:rsidRPr="002C2775">
        <w:t>Drug cost/patient</w:t>
      </w:r>
      <w:bookmarkEnd w:id="23"/>
      <w:bookmarkEnd w:id="24"/>
    </w:p>
    <w:p w:rsidR="008344E3" w:rsidRPr="00052399" w:rsidRDefault="008344E3" w:rsidP="008344E3">
      <w:pPr>
        <w:pStyle w:val="ExecSumBodyText"/>
        <w:numPr>
          <w:ilvl w:val="1"/>
          <w:numId w:val="1"/>
        </w:numPr>
        <w:rPr>
          <w:i/>
          <w:snapToGrid/>
          <w:color w:val="0066FF"/>
          <w:lang w:val="en-US"/>
        </w:rPr>
      </w:pPr>
      <w:r>
        <w:t xml:space="preserve">Drug costs </w:t>
      </w:r>
      <w:r w:rsidR="00297805">
        <w:t xml:space="preserve">per patient </w:t>
      </w:r>
      <w:r>
        <w:t xml:space="preserve">for venetoclax + obinutuzumab </w:t>
      </w:r>
      <w:r w:rsidR="00297805">
        <w:t>versus</w:t>
      </w:r>
      <w:r>
        <w:t xml:space="preserve"> chlorambucil + obinutuzumab were estimated based on circumstances of use in the CLL-14 trial (12 months treatment duration), the proposed effective price for venetoclax and </w:t>
      </w:r>
      <w:r w:rsidRPr="006656E8">
        <w:t>published prices for obinutuzumab and chlorambucil</w:t>
      </w:r>
      <w:r w:rsidR="00297805" w:rsidRPr="006656E8">
        <w:t xml:space="preserve"> (see Table below)</w:t>
      </w:r>
      <w:r w:rsidRPr="006656E8">
        <w:t>. Th</w:t>
      </w:r>
      <w:r w:rsidR="003B60B0" w:rsidRPr="006656E8">
        <w:t>is</w:t>
      </w:r>
      <w:r w:rsidRPr="006656E8">
        <w:t xml:space="preserve"> </w:t>
      </w:r>
      <w:r w:rsidR="00052399" w:rsidRPr="006656E8">
        <w:t xml:space="preserve">approach to </w:t>
      </w:r>
      <w:r w:rsidRPr="006656E8">
        <w:t>estimat</w:t>
      </w:r>
      <w:r w:rsidR="00052399" w:rsidRPr="006656E8">
        <w:t xml:space="preserve">ing the </w:t>
      </w:r>
      <w:r w:rsidRPr="006656E8">
        <w:t xml:space="preserve">cost </w:t>
      </w:r>
      <w:r w:rsidR="003B60B0" w:rsidRPr="006656E8">
        <w:t xml:space="preserve">was consistent across the economic analysis and </w:t>
      </w:r>
      <w:r w:rsidRPr="006656E8">
        <w:t>finan</w:t>
      </w:r>
      <w:r w:rsidR="00052399" w:rsidRPr="006656E8">
        <w:t>cial estimates</w:t>
      </w:r>
      <w:r w:rsidRPr="006656E8">
        <w:t>.</w:t>
      </w:r>
      <w:r w:rsidR="00297805" w:rsidRPr="00052399">
        <w:rPr>
          <w:i/>
          <w:snapToGrid/>
          <w:color w:val="0066FF"/>
          <w:lang w:val="en-US"/>
        </w:rPr>
        <w:t xml:space="preserve"> </w:t>
      </w:r>
    </w:p>
    <w:p w:rsidR="00297805" w:rsidRDefault="000F3897" w:rsidP="00297805">
      <w:pPr>
        <w:pStyle w:val="TableFigureCaption"/>
      </w:pPr>
      <w:r w:rsidRPr="00411A25">
        <w:lastRenderedPageBreak/>
        <w:t>Table 1</w:t>
      </w:r>
      <w:r w:rsidR="005C720C" w:rsidRPr="00411A25">
        <w:t>6</w:t>
      </w:r>
      <w:r w:rsidRPr="00BB732D">
        <w:t xml:space="preserve">: Drug </w:t>
      </w:r>
      <w:r w:rsidR="00297805" w:rsidRPr="00BB732D">
        <w:t xml:space="preserve">cost per patient </w:t>
      </w:r>
      <w:r w:rsidR="00297805">
        <w:t xml:space="preserve">per course </w:t>
      </w:r>
      <w:r w:rsidR="00297805" w:rsidRPr="00BB732D">
        <w:t>f</w:t>
      </w:r>
      <w:r w:rsidR="00297805">
        <w:t>or venetoclax + obinutuzumab versus chlorambucil + obinutuzumab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05"/>
        <w:gridCol w:w="1728"/>
        <w:gridCol w:w="1728"/>
        <w:gridCol w:w="1728"/>
        <w:gridCol w:w="1728"/>
      </w:tblGrid>
      <w:tr w:rsidR="00297805" w:rsidRPr="00E2771E" w:rsidTr="00B07E09">
        <w:trPr>
          <w:cantSplit/>
          <w:trHeight w:val="162"/>
          <w:jc w:val="center"/>
        </w:trPr>
        <w:tc>
          <w:tcPr>
            <w:tcW w:w="1167" w:type="pct"/>
            <w:vMerge w:val="restart"/>
            <w:shd w:val="clear" w:color="auto" w:fill="auto"/>
            <w:vAlign w:val="center"/>
          </w:tcPr>
          <w:p w:rsidR="00297805" w:rsidRPr="001F5BDA" w:rsidRDefault="00297805" w:rsidP="00B07E09">
            <w:pPr>
              <w:pStyle w:val="TableText"/>
              <w:rPr>
                <w:lang w:val="en-US"/>
              </w:rPr>
            </w:pPr>
          </w:p>
        </w:tc>
        <w:tc>
          <w:tcPr>
            <w:tcW w:w="1916" w:type="pct"/>
            <w:gridSpan w:val="2"/>
            <w:shd w:val="clear" w:color="auto" w:fill="auto"/>
            <w:vAlign w:val="center"/>
          </w:tcPr>
          <w:p w:rsidR="00297805" w:rsidRPr="002F41F4" w:rsidRDefault="00297805" w:rsidP="00B07E09">
            <w:pPr>
              <w:pStyle w:val="TableText"/>
              <w:jc w:val="center"/>
              <w:rPr>
                <w:b/>
                <w:lang w:val="en-US"/>
              </w:rPr>
            </w:pPr>
            <w:r w:rsidRPr="002F41F4">
              <w:rPr>
                <w:b/>
                <w:lang w:val="en-US"/>
              </w:rPr>
              <w:t>Venetoclax + obinutuzumab</w:t>
            </w:r>
          </w:p>
        </w:tc>
        <w:tc>
          <w:tcPr>
            <w:tcW w:w="1916" w:type="pct"/>
            <w:gridSpan w:val="2"/>
            <w:shd w:val="clear" w:color="auto" w:fill="auto"/>
            <w:vAlign w:val="center"/>
          </w:tcPr>
          <w:p w:rsidR="00297805" w:rsidRPr="002F41F4" w:rsidRDefault="00297805" w:rsidP="00B07E09">
            <w:pPr>
              <w:pStyle w:val="TableText"/>
              <w:jc w:val="center"/>
              <w:rPr>
                <w:b/>
                <w:lang w:val="en-US"/>
              </w:rPr>
            </w:pPr>
            <w:r w:rsidRPr="002F41F4">
              <w:rPr>
                <w:b/>
                <w:lang w:val="en-US"/>
              </w:rPr>
              <w:t>Chlorambucil + obinutuzumab</w:t>
            </w:r>
          </w:p>
        </w:tc>
      </w:tr>
      <w:tr w:rsidR="00297805" w:rsidRPr="00E2771E" w:rsidTr="00B07E09">
        <w:trPr>
          <w:cantSplit/>
          <w:jc w:val="center"/>
        </w:trPr>
        <w:tc>
          <w:tcPr>
            <w:tcW w:w="1167" w:type="pct"/>
            <w:vMerge/>
            <w:shd w:val="clear" w:color="auto" w:fill="auto"/>
            <w:vAlign w:val="center"/>
          </w:tcPr>
          <w:p w:rsidR="00297805" w:rsidRPr="001F5BDA" w:rsidRDefault="00297805" w:rsidP="00B07E09">
            <w:pPr>
              <w:pStyle w:val="TableText"/>
              <w:rPr>
                <w:lang w:val="en-US"/>
              </w:rPr>
            </w:pPr>
          </w:p>
        </w:tc>
        <w:tc>
          <w:tcPr>
            <w:tcW w:w="958" w:type="pct"/>
            <w:shd w:val="clear" w:color="auto" w:fill="auto"/>
            <w:vAlign w:val="center"/>
          </w:tcPr>
          <w:p w:rsidR="00297805" w:rsidRPr="002F41F4" w:rsidRDefault="00297805" w:rsidP="00B07E09">
            <w:pPr>
              <w:pStyle w:val="TableText"/>
              <w:jc w:val="center"/>
              <w:rPr>
                <w:b/>
                <w:lang w:val="en-US"/>
              </w:rPr>
            </w:pPr>
            <w:r>
              <w:rPr>
                <w:b/>
                <w:lang w:val="en-US"/>
              </w:rPr>
              <w:t>Venetoclax</w:t>
            </w:r>
          </w:p>
        </w:tc>
        <w:tc>
          <w:tcPr>
            <w:tcW w:w="958" w:type="pct"/>
            <w:shd w:val="clear" w:color="auto" w:fill="auto"/>
            <w:vAlign w:val="center"/>
          </w:tcPr>
          <w:p w:rsidR="00297805" w:rsidRPr="002F41F4" w:rsidRDefault="00297805" w:rsidP="00B07E09">
            <w:pPr>
              <w:pStyle w:val="TableText"/>
              <w:jc w:val="center"/>
              <w:rPr>
                <w:b/>
                <w:lang w:val="en-US"/>
              </w:rPr>
            </w:pPr>
            <w:r>
              <w:rPr>
                <w:b/>
                <w:lang w:val="en-US"/>
              </w:rPr>
              <w:t>Obinutuzumab</w:t>
            </w:r>
          </w:p>
        </w:tc>
        <w:tc>
          <w:tcPr>
            <w:tcW w:w="958" w:type="pct"/>
            <w:shd w:val="clear" w:color="auto" w:fill="auto"/>
            <w:vAlign w:val="center"/>
          </w:tcPr>
          <w:p w:rsidR="00297805" w:rsidRPr="002F41F4" w:rsidRDefault="00297805" w:rsidP="00B07E09">
            <w:pPr>
              <w:pStyle w:val="TableText"/>
              <w:jc w:val="center"/>
              <w:rPr>
                <w:b/>
                <w:lang w:val="en-US"/>
              </w:rPr>
            </w:pPr>
            <w:r>
              <w:rPr>
                <w:b/>
                <w:lang w:val="en-US"/>
              </w:rPr>
              <w:t>Chlorambucil</w:t>
            </w:r>
          </w:p>
        </w:tc>
        <w:tc>
          <w:tcPr>
            <w:tcW w:w="958" w:type="pct"/>
            <w:shd w:val="clear" w:color="auto" w:fill="auto"/>
            <w:vAlign w:val="center"/>
          </w:tcPr>
          <w:p w:rsidR="00297805" w:rsidRPr="002F41F4" w:rsidRDefault="00297805" w:rsidP="00B07E09">
            <w:pPr>
              <w:pStyle w:val="TableText"/>
              <w:jc w:val="center"/>
              <w:rPr>
                <w:b/>
                <w:lang w:val="en-US"/>
              </w:rPr>
            </w:pPr>
            <w:r>
              <w:rPr>
                <w:b/>
                <w:lang w:val="en-US"/>
              </w:rPr>
              <w:t>Obinutuzumab</w:t>
            </w:r>
          </w:p>
        </w:tc>
      </w:tr>
      <w:tr w:rsidR="00297805" w:rsidRPr="00E2771E" w:rsidTr="00B07E09">
        <w:trPr>
          <w:cantSplit/>
          <w:jc w:val="center"/>
        </w:trPr>
        <w:tc>
          <w:tcPr>
            <w:tcW w:w="1168" w:type="pct"/>
            <w:shd w:val="clear" w:color="auto" w:fill="auto"/>
            <w:vAlign w:val="center"/>
          </w:tcPr>
          <w:p w:rsidR="00297805" w:rsidRPr="001F5BDA" w:rsidRDefault="00297805" w:rsidP="00B07E09">
            <w:pPr>
              <w:pStyle w:val="TableText"/>
              <w:rPr>
                <w:lang w:val="en-US"/>
              </w:rPr>
            </w:pPr>
            <w:r>
              <w:rPr>
                <w:lang w:val="en-US"/>
              </w:rPr>
              <w:t>Mean cumulative dose</w:t>
            </w:r>
          </w:p>
        </w:tc>
        <w:tc>
          <w:tcPr>
            <w:tcW w:w="958" w:type="pct"/>
            <w:shd w:val="clear" w:color="auto" w:fill="auto"/>
            <w:vAlign w:val="center"/>
          </w:tcPr>
          <w:p w:rsidR="00297805" w:rsidRPr="00644AE5" w:rsidRDefault="00297805" w:rsidP="00B07E09">
            <w:pPr>
              <w:pStyle w:val="TableText"/>
              <w:jc w:val="center"/>
              <w:rPr>
                <w:lang w:val="en-US"/>
              </w:rPr>
            </w:pPr>
            <w:r>
              <w:rPr>
                <w:lang w:val="en-US"/>
              </w:rPr>
              <w:t>-</w:t>
            </w:r>
          </w:p>
        </w:tc>
        <w:tc>
          <w:tcPr>
            <w:tcW w:w="958" w:type="pct"/>
            <w:shd w:val="clear" w:color="auto" w:fill="auto"/>
            <w:vAlign w:val="center"/>
          </w:tcPr>
          <w:p w:rsidR="00297805" w:rsidRPr="005D1BE5" w:rsidRDefault="00297805" w:rsidP="00B07E09">
            <w:pPr>
              <w:pStyle w:val="TableText"/>
              <w:jc w:val="center"/>
              <w:rPr>
                <w:vertAlign w:val="superscript"/>
                <w:lang w:val="en-US"/>
              </w:rPr>
            </w:pPr>
            <w:r>
              <w:rPr>
                <w:lang w:val="en-US"/>
              </w:rPr>
              <w:t>7,355 mg</w:t>
            </w:r>
            <w:r>
              <w:rPr>
                <w:vertAlign w:val="superscript"/>
                <w:lang w:val="en-US"/>
              </w:rPr>
              <w:t>a</w:t>
            </w:r>
          </w:p>
        </w:tc>
        <w:tc>
          <w:tcPr>
            <w:tcW w:w="958" w:type="pct"/>
            <w:shd w:val="clear" w:color="auto" w:fill="auto"/>
            <w:vAlign w:val="center"/>
          </w:tcPr>
          <w:p w:rsidR="00297805" w:rsidRPr="005D1BE5" w:rsidRDefault="00297805" w:rsidP="00B07E09">
            <w:pPr>
              <w:pStyle w:val="TableText"/>
              <w:jc w:val="center"/>
              <w:rPr>
                <w:vertAlign w:val="superscript"/>
                <w:lang w:val="en-US"/>
              </w:rPr>
            </w:pPr>
            <w:r>
              <w:rPr>
                <w:lang w:val="en-US"/>
              </w:rPr>
              <w:t>757 mg</w:t>
            </w:r>
            <w:r>
              <w:rPr>
                <w:vertAlign w:val="superscript"/>
                <w:lang w:val="en-US"/>
              </w:rPr>
              <w:t>b</w:t>
            </w:r>
          </w:p>
        </w:tc>
        <w:tc>
          <w:tcPr>
            <w:tcW w:w="957" w:type="pct"/>
            <w:shd w:val="clear" w:color="auto" w:fill="auto"/>
            <w:vAlign w:val="center"/>
          </w:tcPr>
          <w:p w:rsidR="00297805" w:rsidRPr="005D1BE5" w:rsidRDefault="00297805" w:rsidP="00B07E09">
            <w:pPr>
              <w:pStyle w:val="TableText"/>
              <w:jc w:val="center"/>
              <w:rPr>
                <w:vertAlign w:val="superscript"/>
                <w:lang w:val="en-US"/>
              </w:rPr>
            </w:pPr>
            <w:r>
              <w:rPr>
                <w:lang w:val="en-US"/>
              </w:rPr>
              <w:t>7,464 mg</w:t>
            </w:r>
            <w:r>
              <w:rPr>
                <w:vertAlign w:val="superscript"/>
                <w:lang w:val="en-US"/>
              </w:rPr>
              <w:t>b</w:t>
            </w:r>
          </w:p>
        </w:tc>
      </w:tr>
      <w:tr w:rsidR="00297805" w:rsidRPr="00E2771E" w:rsidTr="00B07E09">
        <w:trPr>
          <w:cantSplit/>
          <w:jc w:val="center"/>
        </w:trPr>
        <w:tc>
          <w:tcPr>
            <w:tcW w:w="1168" w:type="pct"/>
            <w:shd w:val="clear" w:color="auto" w:fill="auto"/>
            <w:vAlign w:val="center"/>
          </w:tcPr>
          <w:p w:rsidR="00297805" w:rsidRDefault="00297805" w:rsidP="00B07E09">
            <w:pPr>
              <w:pStyle w:val="TableText"/>
              <w:rPr>
                <w:lang w:val="en-US"/>
              </w:rPr>
            </w:pPr>
            <w:r>
              <w:rPr>
                <w:lang w:val="en-US"/>
              </w:rPr>
              <w:t>Mean treatment duration</w:t>
            </w:r>
          </w:p>
        </w:tc>
        <w:tc>
          <w:tcPr>
            <w:tcW w:w="958" w:type="pct"/>
            <w:shd w:val="clear" w:color="auto" w:fill="auto"/>
            <w:vAlign w:val="center"/>
          </w:tcPr>
          <w:p w:rsidR="00297805" w:rsidRPr="005D1BE5" w:rsidRDefault="00297805" w:rsidP="00B07E09">
            <w:pPr>
              <w:pStyle w:val="TableText"/>
              <w:jc w:val="center"/>
              <w:rPr>
                <w:lang w:val="en-US"/>
              </w:rPr>
            </w:pPr>
            <w:r>
              <w:rPr>
                <w:lang w:val="en-US"/>
              </w:rPr>
              <w:t>288.1 days</w:t>
            </w:r>
            <w:r>
              <w:rPr>
                <w:vertAlign w:val="superscript"/>
                <w:lang w:val="en-US"/>
              </w:rPr>
              <w:t>c</w:t>
            </w:r>
          </w:p>
        </w:tc>
        <w:tc>
          <w:tcPr>
            <w:tcW w:w="958" w:type="pct"/>
            <w:shd w:val="clear" w:color="auto" w:fill="auto"/>
            <w:vAlign w:val="center"/>
          </w:tcPr>
          <w:p w:rsidR="00297805" w:rsidRPr="00644AE5" w:rsidRDefault="00297805" w:rsidP="00B07E09">
            <w:pPr>
              <w:pStyle w:val="TableText"/>
              <w:jc w:val="center"/>
              <w:rPr>
                <w:lang w:val="en-US"/>
              </w:rPr>
            </w:pPr>
            <w:r>
              <w:rPr>
                <w:lang w:val="en-US"/>
              </w:rPr>
              <w:t>-</w:t>
            </w:r>
          </w:p>
        </w:tc>
        <w:tc>
          <w:tcPr>
            <w:tcW w:w="958" w:type="pct"/>
            <w:shd w:val="clear" w:color="auto" w:fill="auto"/>
            <w:vAlign w:val="center"/>
          </w:tcPr>
          <w:p w:rsidR="00297805" w:rsidRPr="00644AE5" w:rsidRDefault="00297805" w:rsidP="00B07E09">
            <w:pPr>
              <w:pStyle w:val="TableText"/>
              <w:jc w:val="center"/>
              <w:rPr>
                <w:lang w:val="en-US"/>
              </w:rPr>
            </w:pPr>
            <w:r>
              <w:rPr>
                <w:lang w:val="en-US"/>
              </w:rPr>
              <w:t>-</w:t>
            </w:r>
          </w:p>
        </w:tc>
        <w:tc>
          <w:tcPr>
            <w:tcW w:w="957" w:type="pct"/>
            <w:shd w:val="clear" w:color="auto" w:fill="auto"/>
            <w:vAlign w:val="center"/>
          </w:tcPr>
          <w:p w:rsidR="00297805" w:rsidRPr="00644AE5" w:rsidRDefault="00297805" w:rsidP="00B07E09">
            <w:pPr>
              <w:pStyle w:val="TableText"/>
              <w:jc w:val="center"/>
              <w:rPr>
                <w:lang w:val="en-US"/>
              </w:rPr>
            </w:pPr>
            <w:r>
              <w:rPr>
                <w:lang w:val="en-US"/>
              </w:rPr>
              <w:t>-</w:t>
            </w:r>
          </w:p>
        </w:tc>
      </w:tr>
      <w:tr w:rsidR="00297805" w:rsidRPr="00E2771E" w:rsidTr="00B07E09">
        <w:trPr>
          <w:cantSplit/>
          <w:jc w:val="center"/>
        </w:trPr>
        <w:tc>
          <w:tcPr>
            <w:tcW w:w="1168" w:type="pct"/>
            <w:shd w:val="clear" w:color="auto" w:fill="auto"/>
            <w:vAlign w:val="center"/>
          </w:tcPr>
          <w:p w:rsidR="00297805" w:rsidRDefault="00297805" w:rsidP="00B07E09">
            <w:pPr>
              <w:pStyle w:val="TableText"/>
              <w:rPr>
                <w:lang w:val="en-US"/>
              </w:rPr>
            </w:pPr>
            <w:r>
              <w:rPr>
                <w:lang w:val="en-US"/>
              </w:rPr>
              <w:t>Treatment days</w:t>
            </w:r>
          </w:p>
        </w:tc>
        <w:tc>
          <w:tcPr>
            <w:tcW w:w="958" w:type="pct"/>
            <w:shd w:val="clear" w:color="auto" w:fill="auto"/>
            <w:vAlign w:val="center"/>
          </w:tcPr>
          <w:p w:rsidR="00297805" w:rsidRPr="00092100" w:rsidRDefault="00297805" w:rsidP="00B07E09">
            <w:pPr>
              <w:pStyle w:val="TableText"/>
              <w:jc w:val="center"/>
              <w:rPr>
                <w:vertAlign w:val="superscript"/>
                <w:lang w:val="en-US"/>
              </w:rPr>
            </w:pPr>
            <w:r>
              <w:rPr>
                <w:lang w:val="en-US"/>
              </w:rPr>
              <w:t>Initial: 28</w:t>
            </w:r>
            <w:r>
              <w:rPr>
                <w:vertAlign w:val="superscript"/>
                <w:lang w:val="en-US"/>
              </w:rPr>
              <w:t>d</w:t>
            </w:r>
          </w:p>
          <w:p w:rsidR="00297805" w:rsidRPr="00092100" w:rsidRDefault="00297805" w:rsidP="00B07E09">
            <w:pPr>
              <w:pStyle w:val="TableText"/>
              <w:jc w:val="center"/>
              <w:rPr>
                <w:lang w:val="en-US"/>
              </w:rPr>
            </w:pPr>
            <w:r>
              <w:rPr>
                <w:lang w:val="en-US"/>
              </w:rPr>
              <w:t>Continuing: 260.1</w:t>
            </w:r>
            <w:r>
              <w:rPr>
                <w:vertAlign w:val="superscript"/>
                <w:lang w:val="en-US"/>
              </w:rPr>
              <w:t>e</w:t>
            </w:r>
          </w:p>
        </w:tc>
        <w:tc>
          <w:tcPr>
            <w:tcW w:w="958" w:type="pct"/>
            <w:shd w:val="clear" w:color="auto" w:fill="auto"/>
            <w:vAlign w:val="center"/>
          </w:tcPr>
          <w:p w:rsidR="00297805" w:rsidRPr="00644AE5" w:rsidRDefault="00297805" w:rsidP="00B07E09">
            <w:pPr>
              <w:pStyle w:val="TableText"/>
              <w:jc w:val="center"/>
              <w:rPr>
                <w:lang w:val="en-US"/>
              </w:rPr>
            </w:pPr>
            <w:r>
              <w:rPr>
                <w:lang w:val="en-US"/>
              </w:rPr>
              <w:t>-</w:t>
            </w:r>
          </w:p>
        </w:tc>
        <w:tc>
          <w:tcPr>
            <w:tcW w:w="958" w:type="pct"/>
            <w:shd w:val="clear" w:color="auto" w:fill="auto"/>
            <w:vAlign w:val="center"/>
          </w:tcPr>
          <w:p w:rsidR="00297805" w:rsidRPr="00644AE5" w:rsidRDefault="00297805" w:rsidP="00B07E09">
            <w:pPr>
              <w:pStyle w:val="TableText"/>
              <w:jc w:val="center"/>
              <w:rPr>
                <w:lang w:val="en-US"/>
              </w:rPr>
            </w:pPr>
            <w:r>
              <w:rPr>
                <w:lang w:val="en-US"/>
              </w:rPr>
              <w:t>-</w:t>
            </w:r>
          </w:p>
        </w:tc>
        <w:tc>
          <w:tcPr>
            <w:tcW w:w="957" w:type="pct"/>
            <w:shd w:val="clear" w:color="auto" w:fill="auto"/>
            <w:vAlign w:val="center"/>
          </w:tcPr>
          <w:p w:rsidR="00297805" w:rsidRPr="00644AE5" w:rsidRDefault="00297805" w:rsidP="00B07E09">
            <w:pPr>
              <w:pStyle w:val="TableText"/>
              <w:jc w:val="center"/>
              <w:rPr>
                <w:lang w:val="en-US"/>
              </w:rPr>
            </w:pPr>
            <w:r>
              <w:rPr>
                <w:lang w:val="en-US"/>
              </w:rPr>
              <w:t>-</w:t>
            </w:r>
          </w:p>
        </w:tc>
      </w:tr>
      <w:tr w:rsidR="00297805" w:rsidRPr="00E2771E" w:rsidTr="00B07E09">
        <w:trPr>
          <w:cantSplit/>
          <w:jc w:val="center"/>
        </w:trPr>
        <w:tc>
          <w:tcPr>
            <w:tcW w:w="1168" w:type="pct"/>
            <w:shd w:val="clear" w:color="auto" w:fill="auto"/>
            <w:vAlign w:val="center"/>
          </w:tcPr>
          <w:p w:rsidR="00297805" w:rsidRDefault="00297805" w:rsidP="00B07E09">
            <w:pPr>
              <w:pStyle w:val="TableText"/>
              <w:rPr>
                <w:lang w:val="en-US"/>
              </w:rPr>
            </w:pPr>
            <w:r>
              <w:rPr>
                <w:lang w:val="en-US"/>
              </w:rPr>
              <w:t>Number of scripts per course</w:t>
            </w:r>
          </w:p>
        </w:tc>
        <w:tc>
          <w:tcPr>
            <w:tcW w:w="958" w:type="pct"/>
            <w:shd w:val="clear" w:color="auto" w:fill="auto"/>
            <w:vAlign w:val="center"/>
          </w:tcPr>
          <w:p w:rsidR="00297805" w:rsidRDefault="00297805" w:rsidP="00B07E09">
            <w:pPr>
              <w:pStyle w:val="TableText"/>
              <w:jc w:val="center"/>
              <w:rPr>
                <w:lang w:val="en-US"/>
              </w:rPr>
            </w:pPr>
            <w:r>
              <w:rPr>
                <w:lang w:val="en-US"/>
              </w:rPr>
              <w:t>Initial: 1</w:t>
            </w:r>
          </w:p>
          <w:p w:rsidR="00297805" w:rsidRPr="00092100" w:rsidRDefault="00297805" w:rsidP="00B07E09">
            <w:pPr>
              <w:pStyle w:val="TableText"/>
              <w:jc w:val="center"/>
              <w:rPr>
                <w:vertAlign w:val="superscript"/>
                <w:lang w:val="en-US"/>
              </w:rPr>
            </w:pPr>
            <w:r>
              <w:rPr>
                <w:lang w:val="en-US"/>
              </w:rPr>
              <w:t>Continuing: 8.7</w:t>
            </w:r>
            <w:r>
              <w:rPr>
                <w:vertAlign w:val="superscript"/>
                <w:lang w:val="en-US"/>
              </w:rPr>
              <w:t>f</w:t>
            </w:r>
          </w:p>
        </w:tc>
        <w:tc>
          <w:tcPr>
            <w:tcW w:w="958" w:type="pct"/>
            <w:shd w:val="clear" w:color="auto" w:fill="auto"/>
            <w:vAlign w:val="center"/>
          </w:tcPr>
          <w:p w:rsidR="00297805" w:rsidRPr="00092100" w:rsidRDefault="00297805" w:rsidP="00B07E09">
            <w:pPr>
              <w:pStyle w:val="TableText"/>
              <w:jc w:val="center"/>
              <w:rPr>
                <w:vertAlign w:val="superscript"/>
                <w:lang w:val="en-US"/>
              </w:rPr>
            </w:pPr>
            <w:r>
              <w:rPr>
                <w:lang w:val="en-US"/>
              </w:rPr>
              <w:t>7.355</w:t>
            </w:r>
            <w:r>
              <w:rPr>
                <w:vertAlign w:val="superscript"/>
                <w:lang w:val="en-US"/>
              </w:rPr>
              <w:t>g</w:t>
            </w:r>
          </w:p>
        </w:tc>
        <w:tc>
          <w:tcPr>
            <w:tcW w:w="958" w:type="pct"/>
            <w:shd w:val="clear" w:color="auto" w:fill="auto"/>
            <w:vAlign w:val="center"/>
          </w:tcPr>
          <w:p w:rsidR="00297805" w:rsidRPr="00092100" w:rsidRDefault="00297805" w:rsidP="00B07E09">
            <w:pPr>
              <w:pStyle w:val="TableText"/>
              <w:jc w:val="center"/>
              <w:rPr>
                <w:vertAlign w:val="superscript"/>
                <w:lang w:val="en-US"/>
              </w:rPr>
            </w:pPr>
            <w:r>
              <w:rPr>
                <w:lang w:val="en-US"/>
              </w:rPr>
              <w:t>3.784</w:t>
            </w:r>
            <w:r>
              <w:rPr>
                <w:vertAlign w:val="superscript"/>
                <w:lang w:val="en-US"/>
              </w:rPr>
              <w:t>h</w:t>
            </w:r>
          </w:p>
        </w:tc>
        <w:tc>
          <w:tcPr>
            <w:tcW w:w="957" w:type="pct"/>
            <w:shd w:val="clear" w:color="auto" w:fill="auto"/>
            <w:vAlign w:val="center"/>
          </w:tcPr>
          <w:p w:rsidR="00297805" w:rsidRPr="00092100" w:rsidRDefault="00297805" w:rsidP="00B07E09">
            <w:pPr>
              <w:pStyle w:val="TableText"/>
              <w:jc w:val="center"/>
              <w:rPr>
                <w:vertAlign w:val="superscript"/>
                <w:lang w:val="en-US"/>
              </w:rPr>
            </w:pPr>
            <w:r>
              <w:rPr>
                <w:lang w:val="en-US"/>
              </w:rPr>
              <w:t>7.464</w:t>
            </w:r>
            <w:r>
              <w:rPr>
                <w:vertAlign w:val="superscript"/>
                <w:lang w:val="en-US"/>
              </w:rPr>
              <w:t>i</w:t>
            </w:r>
          </w:p>
        </w:tc>
      </w:tr>
      <w:tr w:rsidR="00297805" w:rsidRPr="00E2771E" w:rsidTr="00B07E09">
        <w:trPr>
          <w:cantSplit/>
          <w:jc w:val="center"/>
        </w:trPr>
        <w:tc>
          <w:tcPr>
            <w:tcW w:w="1168" w:type="pct"/>
            <w:shd w:val="clear" w:color="auto" w:fill="auto"/>
            <w:vAlign w:val="center"/>
          </w:tcPr>
          <w:p w:rsidR="00297805" w:rsidRDefault="00297805" w:rsidP="00B07E09">
            <w:pPr>
              <w:pStyle w:val="TableText"/>
              <w:rPr>
                <w:lang w:val="en-US"/>
              </w:rPr>
            </w:pPr>
            <w:r>
              <w:rPr>
                <w:lang w:val="en-US"/>
              </w:rPr>
              <w:t>Cost/script</w:t>
            </w:r>
          </w:p>
        </w:tc>
        <w:tc>
          <w:tcPr>
            <w:tcW w:w="958" w:type="pct"/>
            <w:shd w:val="clear" w:color="auto" w:fill="auto"/>
            <w:vAlign w:val="center"/>
          </w:tcPr>
          <w:p w:rsidR="00297805" w:rsidRDefault="00297805" w:rsidP="00B07E09">
            <w:pPr>
              <w:pStyle w:val="TableText"/>
              <w:jc w:val="center"/>
              <w:rPr>
                <w:lang w:val="en-US"/>
              </w:rPr>
            </w:pPr>
            <w:r>
              <w:rPr>
                <w:lang w:val="en-US"/>
              </w:rPr>
              <w:t>Initial: $</w:t>
            </w:r>
            <w:r w:rsidR="00DD40E7">
              <w:rPr>
                <w:noProof/>
                <w:color w:val="000000"/>
                <w:highlight w:val="black"/>
                <w:lang w:val="en-US"/>
              </w:rPr>
              <w:t>''''''''''</w:t>
            </w:r>
            <w:r>
              <w:rPr>
                <w:lang w:val="en-US"/>
              </w:rPr>
              <w:t xml:space="preserve"> </w:t>
            </w:r>
          </w:p>
          <w:p w:rsidR="00297805" w:rsidRDefault="00297805" w:rsidP="00B07E09">
            <w:pPr>
              <w:pStyle w:val="TableText"/>
              <w:jc w:val="center"/>
              <w:rPr>
                <w:lang w:val="en-US"/>
              </w:rPr>
            </w:pPr>
            <w:r>
              <w:rPr>
                <w:lang w:val="en-US"/>
              </w:rPr>
              <w:t>(effective DPMQ)</w:t>
            </w:r>
          </w:p>
          <w:p w:rsidR="00297805" w:rsidRPr="00644AE5" w:rsidRDefault="00297805" w:rsidP="00B07E09">
            <w:pPr>
              <w:pStyle w:val="TableText"/>
              <w:jc w:val="center"/>
              <w:rPr>
                <w:lang w:val="en-US"/>
              </w:rPr>
            </w:pPr>
            <w:r>
              <w:rPr>
                <w:lang w:val="en-US"/>
              </w:rPr>
              <w:t>Continuing: $</w:t>
            </w:r>
            <w:r w:rsidR="00DD40E7">
              <w:rPr>
                <w:noProof/>
                <w:color w:val="000000"/>
                <w:highlight w:val="black"/>
                <w:lang w:val="en-US"/>
              </w:rPr>
              <w:t>''''''''''''</w:t>
            </w:r>
            <w:r>
              <w:rPr>
                <w:lang w:val="en-US"/>
              </w:rPr>
              <w:t xml:space="preserve"> (effective DPMQ)</w:t>
            </w:r>
          </w:p>
        </w:tc>
        <w:tc>
          <w:tcPr>
            <w:tcW w:w="958" w:type="pct"/>
            <w:shd w:val="clear" w:color="auto" w:fill="auto"/>
            <w:vAlign w:val="center"/>
          </w:tcPr>
          <w:p w:rsidR="00297805" w:rsidRDefault="00297805" w:rsidP="00B07E09">
            <w:pPr>
              <w:pStyle w:val="TableText"/>
              <w:jc w:val="center"/>
              <w:rPr>
                <w:lang w:val="en-US"/>
              </w:rPr>
            </w:pPr>
            <w:r>
              <w:rPr>
                <w:lang w:val="en-US"/>
              </w:rPr>
              <w:t xml:space="preserve">$5,459 </w:t>
            </w:r>
          </w:p>
          <w:p w:rsidR="00297805" w:rsidRPr="00401849" w:rsidRDefault="00297805" w:rsidP="00B07E09">
            <w:pPr>
              <w:pStyle w:val="TableText"/>
              <w:jc w:val="center"/>
              <w:rPr>
                <w:lang w:val="en-US"/>
              </w:rPr>
            </w:pPr>
            <w:r>
              <w:rPr>
                <w:lang w:val="en-US"/>
              </w:rPr>
              <w:t>(weighted published DPMA)</w:t>
            </w:r>
            <w:r>
              <w:rPr>
                <w:vertAlign w:val="superscript"/>
                <w:lang w:val="en-US"/>
              </w:rPr>
              <w:t>j</w:t>
            </w:r>
          </w:p>
        </w:tc>
        <w:tc>
          <w:tcPr>
            <w:tcW w:w="958" w:type="pct"/>
            <w:shd w:val="clear" w:color="auto" w:fill="auto"/>
            <w:vAlign w:val="center"/>
          </w:tcPr>
          <w:p w:rsidR="00297805" w:rsidRDefault="00297805" w:rsidP="00B07E09">
            <w:pPr>
              <w:pStyle w:val="TableText"/>
              <w:jc w:val="center"/>
              <w:rPr>
                <w:lang w:val="en-US"/>
              </w:rPr>
            </w:pPr>
            <w:r>
              <w:rPr>
                <w:lang w:val="en-US"/>
              </w:rPr>
              <w:t xml:space="preserve">$133.63 </w:t>
            </w:r>
          </w:p>
          <w:p w:rsidR="00297805" w:rsidRPr="00644AE5" w:rsidRDefault="00297805" w:rsidP="00B07E09">
            <w:pPr>
              <w:pStyle w:val="TableText"/>
              <w:jc w:val="center"/>
              <w:rPr>
                <w:lang w:val="en-US"/>
              </w:rPr>
            </w:pPr>
            <w:r>
              <w:rPr>
                <w:lang w:val="en-US"/>
              </w:rPr>
              <w:t>(published DPMQ)</w:t>
            </w:r>
          </w:p>
        </w:tc>
        <w:tc>
          <w:tcPr>
            <w:tcW w:w="957" w:type="pct"/>
            <w:shd w:val="clear" w:color="auto" w:fill="auto"/>
            <w:vAlign w:val="center"/>
          </w:tcPr>
          <w:p w:rsidR="00297805" w:rsidRDefault="00297805" w:rsidP="00B07E09">
            <w:pPr>
              <w:pStyle w:val="TableText"/>
              <w:jc w:val="center"/>
              <w:rPr>
                <w:lang w:val="en-US"/>
              </w:rPr>
            </w:pPr>
            <w:r>
              <w:rPr>
                <w:lang w:val="en-US"/>
              </w:rPr>
              <w:t xml:space="preserve">$5,459 </w:t>
            </w:r>
          </w:p>
          <w:p w:rsidR="00297805" w:rsidRPr="00401849" w:rsidRDefault="00297805" w:rsidP="00B07E09">
            <w:pPr>
              <w:pStyle w:val="TableText"/>
              <w:jc w:val="center"/>
              <w:rPr>
                <w:vertAlign w:val="superscript"/>
                <w:lang w:val="en-US"/>
              </w:rPr>
            </w:pPr>
            <w:r>
              <w:rPr>
                <w:lang w:val="en-US"/>
              </w:rPr>
              <w:t>(weighted published DPMA)</w:t>
            </w:r>
            <w:r>
              <w:rPr>
                <w:vertAlign w:val="superscript"/>
                <w:lang w:val="en-US"/>
              </w:rPr>
              <w:t>j</w:t>
            </w:r>
          </w:p>
        </w:tc>
      </w:tr>
      <w:tr w:rsidR="00297805" w:rsidRPr="00E2771E" w:rsidTr="00B07E09">
        <w:trPr>
          <w:cantSplit/>
          <w:jc w:val="center"/>
        </w:trPr>
        <w:tc>
          <w:tcPr>
            <w:tcW w:w="1168" w:type="pct"/>
            <w:shd w:val="clear" w:color="auto" w:fill="auto"/>
            <w:vAlign w:val="center"/>
          </w:tcPr>
          <w:p w:rsidR="00297805" w:rsidRPr="00401849" w:rsidRDefault="00297805" w:rsidP="00B07E09">
            <w:pPr>
              <w:pStyle w:val="TableText"/>
              <w:rPr>
                <w:vertAlign w:val="superscript"/>
                <w:lang w:val="en-US"/>
              </w:rPr>
            </w:pPr>
            <w:r>
              <w:rPr>
                <w:lang w:val="en-US"/>
              </w:rPr>
              <w:t>Cost/patient/course</w:t>
            </w:r>
            <w:r>
              <w:rPr>
                <w:vertAlign w:val="superscript"/>
                <w:lang w:val="en-US"/>
              </w:rPr>
              <w:t>k</w:t>
            </w:r>
          </w:p>
        </w:tc>
        <w:tc>
          <w:tcPr>
            <w:tcW w:w="958" w:type="pct"/>
            <w:shd w:val="clear" w:color="auto" w:fill="auto"/>
            <w:vAlign w:val="center"/>
          </w:tcPr>
          <w:p w:rsidR="00297805" w:rsidRPr="00644AE5" w:rsidRDefault="00297805" w:rsidP="00B07E09">
            <w:pPr>
              <w:pStyle w:val="TableText"/>
              <w:jc w:val="center"/>
              <w:rPr>
                <w:lang w:val="en-US"/>
              </w:rPr>
            </w:pPr>
            <w:r>
              <w:rPr>
                <w:lang w:val="en-US"/>
              </w:rPr>
              <w:t>$</w:t>
            </w:r>
            <w:r w:rsidR="00DD40E7">
              <w:rPr>
                <w:noProof/>
                <w:color w:val="000000"/>
                <w:highlight w:val="black"/>
                <w:lang w:val="en-US"/>
              </w:rPr>
              <w:t>'''''''''''''''''</w:t>
            </w:r>
          </w:p>
        </w:tc>
        <w:tc>
          <w:tcPr>
            <w:tcW w:w="958" w:type="pct"/>
            <w:shd w:val="clear" w:color="auto" w:fill="auto"/>
            <w:vAlign w:val="center"/>
          </w:tcPr>
          <w:p w:rsidR="00297805" w:rsidRPr="00644AE5" w:rsidRDefault="00297805" w:rsidP="00B07E09">
            <w:pPr>
              <w:pStyle w:val="TableText"/>
              <w:jc w:val="center"/>
              <w:rPr>
                <w:lang w:val="en-US"/>
              </w:rPr>
            </w:pPr>
            <w:r>
              <w:rPr>
                <w:lang w:val="en-US"/>
              </w:rPr>
              <w:t>$40,149</w:t>
            </w:r>
          </w:p>
        </w:tc>
        <w:tc>
          <w:tcPr>
            <w:tcW w:w="958" w:type="pct"/>
            <w:shd w:val="clear" w:color="auto" w:fill="auto"/>
            <w:vAlign w:val="center"/>
          </w:tcPr>
          <w:p w:rsidR="00297805" w:rsidRPr="00644AE5" w:rsidRDefault="00297805" w:rsidP="00B07E09">
            <w:pPr>
              <w:pStyle w:val="TableText"/>
              <w:jc w:val="center"/>
              <w:rPr>
                <w:lang w:val="en-US"/>
              </w:rPr>
            </w:pPr>
            <w:r>
              <w:rPr>
                <w:lang w:val="en-US"/>
              </w:rPr>
              <w:t>$506</w:t>
            </w:r>
          </w:p>
        </w:tc>
        <w:tc>
          <w:tcPr>
            <w:tcW w:w="957" w:type="pct"/>
            <w:shd w:val="clear" w:color="auto" w:fill="auto"/>
            <w:vAlign w:val="center"/>
          </w:tcPr>
          <w:p w:rsidR="00297805" w:rsidRPr="00644AE5" w:rsidRDefault="00297805" w:rsidP="00B07E09">
            <w:pPr>
              <w:pStyle w:val="TableText"/>
              <w:jc w:val="center"/>
              <w:rPr>
                <w:lang w:val="en-US"/>
              </w:rPr>
            </w:pPr>
            <w:r>
              <w:rPr>
                <w:lang w:val="en-US"/>
              </w:rPr>
              <w:t>$40,748</w:t>
            </w:r>
          </w:p>
        </w:tc>
      </w:tr>
      <w:tr w:rsidR="00297805" w:rsidRPr="00E2771E" w:rsidTr="00B07E09">
        <w:trPr>
          <w:cantSplit/>
          <w:jc w:val="center"/>
        </w:trPr>
        <w:tc>
          <w:tcPr>
            <w:tcW w:w="1168" w:type="pct"/>
            <w:shd w:val="clear" w:color="auto" w:fill="auto"/>
            <w:vAlign w:val="center"/>
          </w:tcPr>
          <w:p w:rsidR="00297805" w:rsidRDefault="00297805" w:rsidP="00B07E09">
            <w:pPr>
              <w:pStyle w:val="TableText"/>
              <w:rPr>
                <w:lang w:val="en-US"/>
              </w:rPr>
            </w:pPr>
            <w:r>
              <w:rPr>
                <w:lang w:val="en-US"/>
              </w:rPr>
              <w:t>Total cost/patient/course</w:t>
            </w:r>
          </w:p>
        </w:tc>
        <w:tc>
          <w:tcPr>
            <w:tcW w:w="1" w:type="pct"/>
            <w:gridSpan w:val="2"/>
            <w:shd w:val="clear" w:color="auto" w:fill="auto"/>
            <w:vAlign w:val="center"/>
          </w:tcPr>
          <w:p w:rsidR="00297805" w:rsidRDefault="00297805" w:rsidP="00B07E09">
            <w:pPr>
              <w:pStyle w:val="TableText"/>
              <w:jc w:val="center"/>
              <w:rPr>
                <w:lang w:val="en-US"/>
              </w:rPr>
            </w:pPr>
            <w:r>
              <w:rPr>
                <w:lang w:val="en-US"/>
              </w:rPr>
              <w:t>$</w:t>
            </w:r>
            <w:r w:rsidR="00DD40E7">
              <w:rPr>
                <w:noProof/>
                <w:color w:val="000000"/>
                <w:highlight w:val="black"/>
                <w:lang w:val="en-US"/>
              </w:rPr>
              <w:t>''''''''''''''''''</w:t>
            </w:r>
          </w:p>
        </w:tc>
        <w:tc>
          <w:tcPr>
            <w:tcW w:w="1" w:type="pct"/>
            <w:gridSpan w:val="2"/>
            <w:shd w:val="clear" w:color="auto" w:fill="auto"/>
            <w:vAlign w:val="center"/>
          </w:tcPr>
          <w:p w:rsidR="00297805" w:rsidRPr="00644AE5" w:rsidRDefault="00297805" w:rsidP="00B07E09">
            <w:pPr>
              <w:pStyle w:val="TableText"/>
              <w:jc w:val="center"/>
              <w:rPr>
                <w:lang w:val="en-US"/>
              </w:rPr>
            </w:pPr>
            <w:r>
              <w:rPr>
                <w:lang w:val="en-US"/>
              </w:rPr>
              <w:t>$41,254</w:t>
            </w:r>
          </w:p>
        </w:tc>
      </w:tr>
    </w:tbl>
    <w:p w:rsidR="00297805" w:rsidRDefault="00297805" w:rsidP="00297805">
      <w:pPr>
        <w:pStyle w:val="TableFooter"/>
      </w:pPr>
      <w:r>
        <w:t>Source: Table 64, p 113;</w:t>
      </w:r>
      <w:r w:rsidRPr="00401849">
        <w:t xml:space="preserve"> Ta</w:t>
      </w:r>
      <w:r>
        <w:t>ble 65, p 114; Table 86, p 145; Table 89, p 146</w:t>
      </w:r>
      <w:r w:rsidRPr="00401849">
        <w:t xml:space="preserve"> of the submission</w:t>
      </w:r>
    </w:p>
    <w:p w:rsidR="00297805" w:rsidRDefault="00297805" w:rsidP="00297805">
      <w:pPr>
        <w:pStyle w:val="TableFooter"/>
      </w:pPr>
      <w:r>
        <w:rPr>
          <w:vertAlign w:val="superscript"/>
        </w:rPr>
        <w:t xml:space="preserve">a </w:t>
      </w:r>
      <w:r>
        <w:t>Mean cumulative dose reported in the venetoclax + obinutuzumab arm of the CLL-14 trial</w:t>
      </w:r>
    </w:p>
    <w:p w:rsidR="00297805" w:rsidRDefault="00297805" w:rsidP="00297805">
      <w:pPr>
        <w:pStyle w:val="TableFooter"/>
      </w:pPr>
      <w:r>
        <w:rPr>
          <w:vertAlign w:val="superscript"/>
        </w:rPr>
        <w:t>b</w:t>
      </w:r>
      <w:r>
        <w:t xml:space="preserve"> Mean cumulative dose reported in the chlorambucil + obinutuzumab arm of the CLL-14 trial</w:t>
      </w:r>
    </w:p>
    <w:p w:rsidR="00297805" w:rsidRDefault="00297805" w:rsidP="00297805">
      <w:pPr>
        <w:pStyle w:val="TableFooter"/>
      </w:pPr>
      <w:r>
        <w:rPr>
          <w:vertAlign w:val="superscript"/>
        </w:rPr>
        <w:t>c</w:t>
      </w:r>
      <w:r>
        <w:t xml:space="preserve"> Mean treatment duration reported in the venetoclax + obinutuzumab arm of the CLL-14 trial</w:t>
      </w:r>
    </w:p>
    <w:p w:rsidR="00297805" w:rsidRDefault="00297805" w:rsidP="00297805">
      <w:pPr>
        <w:pStyle w:val="TableFooter"/>
      </w:pPr>
      <w:r>
        <w:rPr>
          <w:vertAlign w:val="superscript"/>
        </w:rPr>
        <w:t>d</w:t>
      </w:r>
      <w:r>
        <w:t xml:space="preserve"> Assumption</w:t>
      </w:r>
    </w:p>
    <w:p w:rsidR="00297805" w:rsidRDefault="00297805" w:rsidP="00297805">
      <w:pPr>
        <w:pStyle w:val="TableFooter"/>
      </w:pPr>
      <w:r>
        <w:rPr>
          <w:vertAlign w:val="superscript"/>
        </w:rPr>
        <w:t>e</w:t>
      </w:r>
      <w:r>
        <w:t xml:space="preserve"> Mean duration – initial script duration</w:t>
      </w:r>
    </w:p>
    <w:p w:rsidR="00297805" w:rsidRDefault="00297805" w:rsidP="00297805">
      <w:pPr>
        <w:pStyle w:val="TableFooter"/>
      </w:pPr>
      <w:r>
        <w:rPr>
          <w:vertAlign w:val="superscript"/>
        </w:rPr>
        <w:t>f</w:t>
      </w:r>
      <w:r>
        <w:t xml:space="preserve"> </w:t>
      </w:r>
      <w:r w:rsidRPr="00092100">
        <w:t>260.1 days x 400 mg (recommended dose per day) / 12,000 mg (dose per script)</w:t>
      </w:r>
    </w:p>
    <w:p w:rsidR="00297805" w:rsidRDefault="00297805" w:rsidP="00297805">
      <w:pPr>
        <w:pStyle w:val="TableFooter"/>
      </w:pPr>
      <w:r>
        <w:rPr>
          <w:vertAlign w:val="superscript"/>
        </w:rPr>
        <w:t xml:space="preserve">g </w:t>
      </w:r>
      <w:r w:rsidRPr="00092100">
        <w:t>Mean cumulative dose / 1000 mg (recommended dose per administration)</w:t>
      </w:r>
    </w:p>
    <w:p w:rsidR="00297805" w:rsidRDefault="00297805" w:rsidP="00297805">
      <w:pPr>
        <w:pStyle w:val="TableFooter"/>
      </w:pPr>
      <w:r>
        <w:rPr>
          <w:vertAlign w:val="superscript"/>
        </w:rPr>
        <w:t>h</w:t>
      </w:r>
      <w:r>
        <w:t xml:space="preserve"> </w:t>
      </w:r>
      <w:r w:rsidRPr="00092100">
        <w:t>Mean cumulative dose</w:t>
      </w:r>
      <w:r>
        <w:t xml:space="preserve"> based on 12 month course</w:t>
      </w:r>
      <w:r w:rsidRPr="00092100">
        <w:t xml:space="preserve"> / 200 mg (dose per script)</w:t>
      </w:r>
    </w:p>
    <w:p w:rsidR="00297805" w:rsidRDefault="00297805" w:rsidP="00297805">
      <w:pPr>
        <w:pStyle w:val="TableFooter"/>
      </w:pPr>
      <w:r>
        <w:rPr>
          <w:vertAlign w:val="superscript"/>
        </w:rPr>
        <w:t>i</w:t>
      </w:r>
      <w:r>
        <w:t xml:space="preserve"> </w:t>
      </w:r>
      <w:r w:rsidRPr="00092100">
        <w:t>Mean cumulative dose / 1000 mg (recommended dose per administration)</w:t>
      </w:r>
    </w:p>
    <w:p w:rsidR="00297805" w:rsidRDefault="00297805" w:rsidP="00297805">
      <w:pPr>
        <w:pStyle w:val="TableFooter"/>
      </w:pPr>
      <w:r>
        <w:rPr>
          <w:vertAlign w:val="superscript"/>
        </w:rPr>
        <w:t>j</w:t>
      </w:r>
      <w:r>
        <w:t xml:space="preserve"> </w:t>
      </w:r>
      <w:r w:rsidRPr="00401849">
        <w:t>Published DPMA for public hospitals ($5,378.06) x use in public hospitals (0.29) + published DPMA for private hospitals ($5,491.92) x use in private hospitals (0.71)</w:t>
      </w:r>
    </w:p>
    <w:p w:rsidR="00297805" w:rsidRPr="00A7425D" w:rsidRDefault="00297805" w:rsidP="00A7425D">
      <w:pPr>
        <w:pStyle w:val="TableFooter"/>
        <w:spacing w:after="240"/>
      </w:pPr>
      <w:r>
        <w:rPr>
          <w:vertAlign w:val="superscript"/>
        </w:rPr>
        <w:t>k</w:t>
      </w:r>
      <w:r>
        <w:t xml:space="preserve"> </w:t>
      </w:r>
      <w:r w:rsidRPr="00411A25">
        <w:t>Scripts per course x cost/script</w:t>
      </w:r>
    </w:p>
    <w:p w:rsidR="00735F9E" w:rsidRPr="00C9624D" w:rsidRDefault="00735F9E" w:rsidP="00735F9E">
      <w:pPr>
        <w:pStyle w:val="3-SubsectionHeading"/>
      </w:pPr>
      <w:bookmarkStart w:id="25" w:name="_Toc30502548"/>
      <w:bookmarkStart w:id="26" w:name="_Toc22897647"/>
      <w:r w:rsidRPr="00C9624D">
        <w:t>Estimated PBS usage &amp; financial implications</w:t>
      </w:r>
      <w:bookmarkEnd w:id="25"/>
    </w:p>
    <w:p w:rsidR="00735F9E" w:rsidRPr="002B05A1" w:rsidRDefault="00582B3D" w:rsidP="00735F9E">
      <w:pPr>
        <w:pStyle w:val="ExecSumBodyText"/>
        <w:numPr>
          <w:ilvl w:val="1"/>
          <w:numId w:val="1"/>
        </w:numPr>
        <w:rPr>
          <w:color w:val="0066FF"/>
        </w:rPr>
      </w:pPr>
      <w:r>
        <w:t>This submission was not</w:t>
      </w:r>
      <w:r w:rsidR="00735F9E">
        <w:t xml:space="preserve"> considered by DUSC</w:t>
      </w:r>
      <w:r w:rsidR="00735F9E" w:rsidRPr="005B5A20">
        <w:t>.</w:t>
      </w:r>
      <w:r w:rsidR="00735F9E">
        <w:t xml:space="preserve"> The submission used a mixed epidemiological/market share approach to estimate the utilisation and financial impact of venetoclax + obinutuzumab. </w:t>
      </w:r>
    </w:p>
    <w:p w:rsidR="00735F9E" w:rsidRDefault="00735F9E" w:rsidP="00A92077">
      <w:pPr>
        <w:pStyle w:val="Tableheadingrow"/>
      </w:pPr>
      <w:r>
        <w:lastRenderedPageBreak/>
        <w:t xml:space="preserve">Table </w:t>
      </w:r>
      <w:r w:rsidR="005C720C">
        <w:t>17</w:t>
      </w:r>
      <w:r>
        <w:t>: Key inputs and methods of derivation for financial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851"/>
        <w:gridCol w:w="5335"/>
      </w:tblGrid>
      <w:tr w:rsidR="008F15AC" w:rsidRPr="000A6039" w:rsidTr="006932A0">
        <w:trPr>
          <w:trHeight w:val="20"/>
        </w:trPr>
        <w:tc>
          <w:tcPr>
            <w:tcW w:w="1555" w:type="dxa"/>
            <w:shd w:val="clear" w:color="auto" w:fill="auto"/>
            <w:tcMar>
              <w:left w:w="28" w:type="dxa"/>
              <w:right w:w="28" w:type="dxa"/>
            </w:tcMar>
            <w:vAlign w:val="center"/>
            <w:hideMark/>
          </w:tcPr>
          <w:p w:rsidR="008F15AC" w:rsidRPr="000A6039" w:rsidRDefault="008F15AC" w:rsidP="00A92077">
            <w:pPr>
              <w:pStyle w:val="Tableheadingrow"/>
              <w:widowControl w:val="0"/>
            </w:pPr>
            <w:r w:rsidRPr="000A6039">
              <w:t> </w:t>
            </w:r>
          </w:p>
        </w:tc>
        <w:tc>
          <w:tcPr>
            <w:tcW w:w="1275" w:type="dxa"/>
            <w:tcMar>
              <w:left w:w="28" w:type="dxa"/>
              <w:right w:w="28" w:type="dxa"/>
            </w:tcMar>
          </w:tcPr>
          <w:p w:rsidR="008F15AC" w:rsidRPr="000A6039" w:rsidRDefault="008F15AC" w:rsidP="00A92077">
            <w:pPr>
              <w:pStyle w:val="Tableheadingrow"/>
              <w:widowControl w:val="0"/>
              <w:jc w:val="center"/>
            </w:pPr>
            <w:r w:rsidRPr="000A6039">
              <w:t>Value</w:t>
            </w:r>
          </w:p>
        </w:tc>
        <w:tc>
          <w:tcPr>
            <w:tcW w:w="851" w:type="dxa"/>
            <w:shd w:val="clear" w:color="auto" w:fill="auto"/>
            <w:tcMar>
              <w:left w:w="28" w:type="dxa"/>
              <w:right w:w="28" w:type="dxa"/>
            </w:tcMar>
            <w:vAlign w:val="bottom"/>
            <w:hideMark/>
          </w:tcPr>
          <w:p w:rsidR="008F15AC" w:rsidRPr="000A6039" w:rsidRDefault="008F15AC" w:rsidP="00A92077">
            <w:pPr>
              <w:pStyle w:val="Tableheadingrow"/>
              <w:widowControl w:val="0"/>
              <w:jc w:val="center"/>
              <w:rPr>
                <w:bCs/>
                <w:vertAlign w:val="superscript"/>
              </w:rPr>
            </w:pPr>
            <w:r>
              <w:t>Year 6</w:t>
            </w:r>
            <w:r w:rsidRPr="000A6039">
              <w:rPr>
                <w:vertAlign w:val="superscript"/>
              </w:rPr>
              <w:t>a</w:t>
            </w:r>
          </w:p>
        </w:tc>
        <w:tc>
          <w:tcPr>
            <w:tcW w:w="5335" w:type="dxa"/>
            <w:shd w:val="clear" w:color="auto" w:fill="auto"/>
            <w:tcMar>
              <w:left w:w="28" w:type="dxa"/>
              <w:right w:w="28" w:type="dxa"/>
            </w:tcMar>
            <w:vAlign w:val="bottom"/>
            <w:hideMark/>
          </w:tcPr>
          <w:p w:rsidR="008F15AC" w:rsidRPr="000A6039" w:rsidRDefault="008F15AC" w:rsidP="00A92077">
            <w:pPr>
              <w:pStyle w:val="Tableheadingrow"/>
              <w:widowControl w:val="0"/>
              <w:rPr>
                <w:bCs/>
              </w:rPr>
            </w:pPr>
            <w:r w:rsidRPr="000A6039">
              <w:rPr>
                <w:bCs/>
              </w:rPr>
              <w:t xml:space="preserve">Source and comment </w:t>
            </w:r>
          </w:p>
        </w:tc>
      </w:tr>
      <w:tr w:rsidR="008F15AC" w:rsidRPr="000A6039" w:rsidTr="006932A0">
        <w:trPr>
          <w:trHeight w:val="20"/>
        </w:trPr>
        <w:tc>
          <w:tcPr>
            <w:tcW w:w="1555" w:type="dxa"/>
            <w:shd w:val="clear" w:color="auto" w:fill="auto"/>
            <w:tcMar>
              <w:left w:w="28" w:type="dxa"/>
              <w:right w:w="28" w:type="dxa"/>
            </w:tcMar>
            <w:vAlign w:val="center"/>
            <w:hideMark/>
          </w:tcPr>
          <w:p w:rsidR="008F15AC" w:rsidRPr="006656E8" w:rsidRDefault="008F15AC" w:rsidP="00A92077">
            <w:pPr>
              <w:pStyle w:val="TableText"/>
              <w:widowControl w:val="0"/>
            </w:pPr>
            <w:r w:rsidRPr="006656E8">
              <w:rPr>
                <w:lang w:val="en-US"/>
              </w:rPr>
              <w:t>Incident CLL population</w:t>
            </w:r>
          </w:p>
        </w:tc>
        <w:tc>
          <w:tcPr>
            <w:tcW w:w="1275" w:type="dxa"/>
            <w:tcMar>
              <w:left w:w="28" w:type="dxa"/>
              <w:right w:w="28" w:type="dxa"/>
            </w:tcMar>
            <w:vAlign w:val="center"/>
          </w:tcPr>
          <w:p w:rsidR="008F15AC" w:rsidRPr="006656E8" w:rsidRDefault="008F15AC" w:rsidP="00A92077">
            <w:pPr>
              <w:pStyle w:val="TableText"/>
              <w:widowControl w:val="0"/>
              <w:jc w:val="center"/>
            </w:pPr>
            <w:r w:rsidRPr="006656E8">
              <w:t>0.0067%</w:t>
            </w:r>
          </w:p>
          <w:p w:rsidR="008F15AC" w:rsidRPr="006656E8" w:rsidRDefault="008F15AC" w:rsidP="00A92077">
            <w:pPr>
              <w:pStyle w:val="TableText"/>
              <w:widowControl w:val="0"/>
              <w:jc w:val="center"/>
            </w:pPr>
            <w:r w:rsidRPr="006656E8">
              <w:t>of Australian population</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5AC" w:rsidRPr="00DD40E7" w:rsidRDefault="00DD40E7" w:rsidP="00A92077">
            <w:pPr>
              <w:pStyle w:val="TableText"/>
              <w:widowControl w:val="0"/>
              <w:jc w:val="center"/>
              <w:rPr>
                <w:highlight w:val="black"/>
              </w:rPr>
            </w:pPr>
            <w:r>
              <w:rPr>
                <w:noProof/>
                <w:color w:val="000000"/>
                <w:highlight w:val="black"/>
              </w:rPr>
              <w:t>''''''''''''</w:t>
            </w:r>
          </w:p>
        </w:tc>
        <w:tc>
          <w:tcPr>
            <w:tcW w:w="5335" w:type="dxa"/>
            <w:shd w:val="clear" w:color="auto" w:fill="auto"/>
            <w:tcMar>
              <w:left w:w="28" w:type="dxa"/>
              <w:right w:w="28" w:type="dxa"/>
            </w:tcMar>
            <w:vAlign w:val="center"/>
          </w:tcPr>
          <w:p w:rsidR="008F15AC" w:rsidRPr="006656E8" w:rsidRDefault="008F15AC" w:rsidP="00A92077">
            <w:pPr>
              <w:pStyle w:val="TableText"/>
              <w:widowControl w:val="0"/>
            </w:pPr>
            <w:r w:rsidRPr="006656E8">
              <w:t>2015 estimate</w:t>
            </w:r>
            <w:r w:rsidR="004E46A2" w:rsidRPr="006656E8">
              <w:t>s</w:t>
            </w:r>
            <w:r w:rsidRPr="006656E8">
              <w:t xml:space="preserve"> from Australian Cancer Incidence and Mortality (AIHW 2018). Fixed incidence rate (A</w:t>
            </w:r>
            <w:r w:rsidR="009D52B9" w:rsidRPr="006656E8">
              <w:t>BS</w:t>
            </w:r>
            <w:r w:rsidRPr="006656E8">
              <w:t xml:space="preserve"> 2017). </w:t>
            </w:r>
            <w:r w:rsidR="004E46A2" w:rsidRPr="006656E8">
              <w:t>A</w:t>
            </w:r>
            <w:r w:rsidRPr="006656E8">
              <w:t xml:space="preserve">ssumption of no growth </w:t>
            </w:r>
            <w:r w:rsidR="001C588F" w:rsidRPr="006656E8">
              <w:t xml:space="preserve">inconsistent </w:t>
            </w:r>
            <w:r w:rsidR="004E46A2" w:rsidRPr="006656E8">
              <w:t>with</w:t>
            </w:r>
            <w:r w:rsidRPr="006656E8">
              <w:t xml:space="preserve"> AIHW data suggesting increasing </w:t>
            </w:r>
            <w:r w:rsidR="004E46A2" w:rsidRPr="006656E8">
              <w:t>trend</w:t>
            </w:r>
          </w:p>
        </w:tc>
      </w:tr>
      <w:tr w:rsidR="008F15AC" w:rsidRPr="000A6039" w:rsidTr="006932A0">
        <w:trPr>
          <w:trHeight w:val="20"/>
        </w:trPr>
        <w:tc>
          <w:tcPr>
            <w:tcW w:w="1555" w:type="dxa"/>
            <w:shd w:val="clear" w:color="auto" w:fill="auto"/>
            <w:tcMar>
              <w:left w:w="28" w:type="dxa"/>
              <w:right w:w="28" w:type="dxa"/>
            </w:tcMar>
            <w:vAlign w:val="center"/>
          </w:tcPr>
          <w:p w:rsidR="008F15AC" w:rsidRPr="006656E8" w:rsidRDefault="008F15AC" w:rsidP="00A92077">
            <w:pPr>
              <w:pStyle w:val="TableText"/>
              <w:widowControl w:val="0"/>
            </w:pPr>
            <w:r w:rsidRPr="006656E8">
              <w:rPr>
                <w:lang w:val="en-US"/>
              </w:rPr>
              <w:t>Patients initiating first line therapy in year of diagnosis</w:t>
            </w:r>
          </w:p>
        </w:tc>
        <w:tc>
          <w:tcPr>
            <w:tcW w:w="1275" w:type="dxa"/>
            <w:tcMar>
              <w:left w:w="28" w:type="dxa"/>
              <w:right w:w="28" w:type="dxa"/>
            </w:tcMar>
            <w:vAlign w:val="center"/>
          </w:tcPr>
          <w:p w:rsidR="008F15AC" w:rsidRPr="006656E8" w:rsidRDefault="00DD40E7" w:rsidP="00A92077">
            <w:pPr>
              <w:pStyle w:val="TableText"/>
              <w:widowControl w:val="0"/>
              <w:jc w:val="center"/>
            </w:pPr>
            <w:r>
              <w:rPr>
                <w:noProof/>
                <w:color w:val="000000"/>
                <w:highlight w:val="black"/>
              </w:rPr>
              <w:t>'''''''</w:t>
            </w:r>
            <w:r w:rsidR="008F15AC" w:rsidRPr="006656E8">
              <w:t>%</w:t>
            </w:r>
          </w:p>
          <w:p w:rsidR="008F15AC" w:rsidRPr="006656E8" w:rsidRDefault="008F15AC" w:rsidP="00A92077">
            <w:pPr>
              <w:pStyle w:val="TableText"/>
              <w:widowControl w:val="0"/>
              <w:jc w:val="center"/>
            </w:pPr>
            <w:r w:rsidRPr="006656E8">
              <w:t>of incident population</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5AC" w:rsidRPr="00DD40E7" w:rsidRDefault="00DD40E7" w:rsidP="00A92077">
            <w:pPr>
              <w:pStyle w:val="TableText"/>
              <w:widowControl w:val="0"/>
              <w:jc w:val="center"/>
              <w:rPr>
                <w:highlight w:val="black"/>
              </w:rPr>
            </w:pPr>
            <w:r>
              <w:rPr>
                <w:noProof/>
                <w:color w:val="000000"/>
                <w:highlight w:val="black"/>
              </w:rPr>
              <w:t>'''''''''</w:t>
            </w:r>
          </w:p>
        </w:tc>
        <w:tc>
          <w:tcPr>
            <w:tcW w:w="5335" w:type="dxa"/>
            <w:shd w:val="clear" w:color="auto" w:fill="auto"/>
            <w:tcMar>
              <w:left w:w="28" w:type="dxa"/>
              <w:right w:w="28" w:type="dxa"/>
            </w:tcMar>
            <w:vAlign w:val="center"/>
          </w:tcPr>
          <w:p w:rsidR="008F15AC" w:rsidRPr="006656E8" w:rsidRDefault="001C588F" w:rsidP="00A92077">
            <w:pPr>
              <w:pStyle w:val="TableText"/>
              <w:widowControl w:val="0"/>
            </w:pPr>
            <w:r w:rsidRPr="006656E8">
              <w:t>Expert panel survey (</w:t>
            </w:r>
            <w:r w:rsidR="008F15AC" w:rsidRPr="006656E8">
              <w:t>8 haematologist</w:t>
            </w:r>
            <w:r w:rsidRPr="006656E8">
              <w:t>)</w:t>
            </w:r>
            <w:r w:rsidR="004E46A2" w:rsidRPr="006656E8">
              <w:t xml:space="preserve"> </w:t>
            </w:r>
            <w:r w:rsidR="008F15AC" w:rsidRPr="006656E8">
              <w:t xml:space="preserve">suggesting </w:t>
            </w:r>
            <w:r w:rsidR="00DD40E7">
              <w:rPr>
                <w:noProof/>
                <w:color w:val="000000"/>
                <w:highlight w:val="black"/>
              </w:rPr>
              <w:t>'''''</w:t>
            </w:r>
            <w:r w:rsidR="008F15AC" w:rsidRPr="006656E8">
              <w:t>% of</w:t>
            </w:r>
            <w:r w:rsidR="004E46A2" w:rsidRPr="006656E8">
              <w:t xml:space="preserve"> </w:t>
            </w:r>
            <w:r w:rsidR="008F15AC" w:rsidRPr="006656E8">
              <w:t xml:space="preserve">CLL patients will receive treatment </w:t>
            </w:r>
            <w:r w:rsidRPr="006656E8">
              <w:t>(C</w:t>
            </w:r>
            <w:r w:rsidR="008F15AC" w:rsidRPr="006656E8">
              <w:t>LL advisory board</w:t>
            </w:r>
            <w:r w:rsidRPr="006656E8">
              <w:t>,</w:t>
            </w:r>
            <w:r w:rsidR="008F15AC" w:rsidRPr="006656E8">
              <w:t xml:space="preserve"> May 2019 report). </w:t>
            </w:r>
            <w:r w:rsidRPr="006656E8">
              <w:t xml:space="preserve">Assumed </w:t>
            </w:r>
            <w:r w:rsidR="00DD40E7">
              <w:rPr>
                <w:noProof/>
                <w:color w:val="000000"/>
                <w:highlight w:val="black"/>
              </w:rPr>
              <w:t>''''''</w:t>
            </w:r>
            <w:r w:rsidRPr="006656E8">
              <w:t xml:space="preserve">% uptake in the year of diagnosis and 30% over subsequent 4 years. </w:t>
            </w:r>
            <w:r w:rsidR="008F15AC" w:rsidRPr="006656E8">
              <w:t>Uptake rates may not be reliable due to the small sample of clinicians and wide range of responses (</w:t>
            </w:r>
            <w:r w:rsidR="00DD40E7">
              <w:rPr>
                <w:noProof/>
                <w:color w:val="000000"/>
                <w:highlight w:val="black"/>
              </w:rPr>
              <w:t>''''''</w:t>
            </w:r>
            <w:r w:rsidR="008F15AC" w:rsidRPr="006656E8">
              <w:t xml:space="preserve">% to </w:t>
            </w:r>
            <w:r w:rsidR="00DD40E7">
              <w:rPr>
                <w:noProof/>
                <w:color w:val="000000"/>
                <w:highlight w:val="black"/>
              </w:rPr>
              <w:t>'''''''</w:t>
            </w:r>
            <w:r w:rsidR="008F15AC" w:rsidRPr="006656E8">
              <w:t xml:space="preserve">%).  </w:t>
            </w:r>
          </w:p>
          <w:p w:rsidR="008F15AC" w:rsidRPr="006656E8" w:rsidRDefault="004E46A2" w:rsidP="00A92077">
            <w:pPr>
              <w:pStyle w:val="TableText"/>
              <w:widowControl w:val="0"/>
            </w:pPr>
            <w:r w:rsidRPr="006656E8">
              <w:t>P</w:t>
            </w:r>
            <w:r w:rsidR="008F15AC" w:rsidRPr="006656E8">
              <w:t xml:space="preserve">revalent pool </w:t>
            </w:r>
            <w:r w:rsidRPr="006656E8">
              <w:t xml:space="preserve">of </w:t>
            </w:r>
            <w:r w:rsidR="008F15AC" w:rsidRPr="006656E8">
              <w:t xml:space="preserve">untreated </w:t>
            </w:r>
            <w:r w:rsidRPr="006656E8">
              <w:t xml:space="preserve">patients </w:t>
            </w:r>
            <w:r w:rsidR="008F15AC" w:rsidRPr="006656E8">
              <w:t xml:space="preserve">undergoing ‘watch and wait’ based on annual survival probabilities from 2007-2011 AIHW CLL mortality data applied to incident populations in each year. </w:t>
            </w:r>
            <w:r w:rsidR="001F178C" w:rsidRPr="006656E8">
              <w:t>Prevalent pool inapprop</w:t>
            </w:r>
            <w:r w:rsidR="00D75FD3" w:rsidRPr="006656E8">
              <w:t>ria</w:t>
            </w:r>
            <w:r w:rsidR="001F178C" w:rsidRPr="006656E8">
              <w:t xml:space="preserve">tely included </w:t>
            </w:r>
            <w:r w:rsidR="008F15AC" w:rsidRPr="006656E8">
              <w:t>treated and untreated patients</w:t>
            </w:r>
            <w:r w:rsidR="001F178C" w:rsidRPr="006656E8">
              <w:t xml:space="preserve"> in year of diagnosis</w:t>
            </w:r>
          </w:p>
        </w:tc>
      </w:tr>
      <w:tr w:rsidR="008F15AC" w:rsidRPr="000A6039" w:rsidTr="006932A0">
        <w:trPr>
          <w:trHeight w:val="20"/>
        </w:trPr>
        <w:tc>
          <w:tcPr>
            <w:tcW w:w="1555" w:type="dxa"/>
            <w:shd w:val="clear" w:color="auto" w:fill="auto"/>
            <w:tcMar>
              <w:left w:w="28" w:type="dxa"/>
              <w:right w:w="28" w:type="dxa"/>
            </w:tcMar>
            <w:vAlign w:val="center"/>
          </w:tcPr>
          <w:p w:rsidR="008F15AC" w:rsidRPr="006656E8" w:rsidRDefault="008F15AC" w:rsidP="00A92077">
            <w:pPr>
              <w:pStyle w:val="TableText"/>
              <w:widowControl w:val="0"/>
            </w:pPr>
            <w:r w:rsidRPr="006656E8">
              <w:rPr>
                <w:lang w:val="en-US"/>
              </w:rPr>
              <w:t>Patients from ‘watch and wait’ pool initiating first line therapy in subsequent years</w:t>
            </w:r>
          </w:p>
        </w:tc>
        <w:tc>
          <w:tcPr>
            <w:tcW w:w="1275" w:type="dxa"/>
            <w:tcMar>
              <w:left w:w="28" w:type="dxa"/>
              <w:right w:w="28" w:type="dxa"/>
            </w:tcMar>
            <w:vAlign w:val="center"/>
          </w:tcPr>
          <w:p w:rsidR="008F15AC" w:rsidRPr="006656E8" w:rsidRDefault="00DD40E7" w:rsidP="00A92077">
            <w:pPr>
              <w:pStyle w:val="TableText"/>
              <w:widowControl w:val="0"/>
              <w:jc w:val="center"/>
            </w:pPr>
            <w:r>
              <w:rPr>
                <w:noProof/>
                <w:color w:val="000000"/>
                <w:highlight w:val="black"/>
              </w:rPr>
              <w:t>''''''''</w:t>
            </w:r>
            <w:r w:rsidR="008F15AC" w:rsidRPr="006656E8">
              <w:t>% per year over 4 years</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5AC" w:rsidRPr="00DD40E7" w:rsidRDefault="00DD40E7" w:rsidP="00A92077">
            <w:pPr>
              <w:pStyle w:val="TableText"/>
              <w:widowControl w:val="0"/>
              <w:jc w:val="center"/>
              <w:rPr>
                <w:highlight w:val="black"/>
              </w:rPr>
            </w:pPr>
            <w:r>
              <w:rPr>
                <w:noProof/>
                <w:color w:val="000000"/>
                <w:highlight w:val="black"/>
              </w:rPr>
              <w:t>''''''''''</w:t>
            </w:r>
          </w:p>
        </w:tc>
        <w:tc>
          <w:tcPr>
            <w:tcW w:w="5335" w:type="dxa"/>
            <w:shd w:val="clear" w:color="auto" w:fill="auto"/>
            <w:tcMar>
              <w:left w:w="28" w:type="dxa"/>
              <w:right w:w="28" w:type="dxa"/>
            </w:tcMar>
            <w:vAlign w:val="center"/>
          </w:tcPr>
          <w:p w:rsidR="008F15AC" w:rsidRPr="006656E8" w:rsidRDefault="004E46A2" w:rsidP="00A92077">
            <w:pPr>
              <w:pStyle w:val="TableText"/>
              <w:widowControl w:val="0"/>
            </w:pPr>
            <w:r w:rsidRPr="006656E8">
              <w:t>A</w:t>
            </w:r>
            <w:r w:rsidR="008F15AC" w:rsidRPr="006656E8">
              <w:t xml:space="preserve">ssumed linear uptake of </w:t>
            </w:r>
            <w:r w:rsidR="00DD40E7">
              <w:rPr>
                <w:noProof/>
                <w:color w:val="000000"/>
                <w:highlight w:val="black"/>
              </w:rPr>
              <w:t>''''''</w:t>
            </w:r>
            <w:r w:rsidR="001C588F" w:rsidRPr="006656E8">
              <w:t xml:space="preserve">% </w:t>
            </w:r>
            <w:r w:rsidR="008F15AC" w:rsidRPr="006656E8">
              <w:t>over 4 years (</w:t>
            </w:r>
            <w:r w:rsidR="00DD40E7">
              <w:rPr>
                <w:noProof/>
                <w:color w:val="000000"/>
                <w:highlight w:val="black"/>
              </w:rPr>
              <w:t>'''''''</w:t>
            </w:r>
            <w:r w:rsidR="008F15AC" w:rsidRPr="006656E8">
              <w:t xml:space="preserve">% per year). </w:t>
            </w:r>
            <w:r w:rsidR="001C588F" w:rsidRPr="006656E8">
              <w:t>Uptake rate assumed  highly uncertain</w:t>
            </w:r>
          </w:p>
        </w:tc>
      </w:tr>
      <w:tr w:rsidR="008F15AC" w:rsidRPr="000A6039" w:rsidTr="006932A0">
        <w:trPr>
          <w:trHeight w:val="20"/>
        </w:trPr>
        <w:tc>
          <w:tcPr>
            <w:tcW w:w="1555" w:type="dxa"/>
            <w:shd w:val="clear" w:color="auto" w:fill="auto"/>
            <w:tcMar>
              <w:left w:w="28" w:type="dxa"/>
              <w:right w:w="28" w:type="dxa"/>
            </w:tcMar>
            <w:vAlign w:val="center"/>
          </w:tcPr>
          <w:p w:rsidR="008F15AC" w:rsidRPr="006656E8" w:rsidRDefault="008F15AC" w:rsidP="00A92077">
            <w:pPr>
              <w:pStyle w:val="TableText"/>
              <w:widowControl w:val="0"/>
            </w:pPr>
            <w:r w:rsidRPr="006656E8">
              <w:t>Eligible patients</w:t>
            </w:r>
          </w:p>
        </w:tc>
        <w:tc>
          <w:tcPr>
            <w:tcW w:w="1275" w:type="dxa"/>
            <w:tcMar>
              <w:left w:w="28" w:type="dxa"/>
              <w:right w:w="28" w:type="dxa"/>
            </w:tcMar>
            <w:vAlign w:val="center"/>
          </w:tcPr>
          <w:p w:rsidR="008F15AC" w:rsidRPr="006656E8" w:rsidRDefault="00DD40E7" w:rsidP="00A92077">
            <w:pPr>
              <w:pStyle w:val="TableText"/>
              <w:widowControl w:val="0"/>
              <w:jc w:val="center"/>
            </w:pPr>
            <w:r>
              <w:rPr>
                <w:noProof/>
                <w:color w:val="000000"/>
                <w:highlight w:val="black"/>
              </w:rPr>
              <w:t>''''''</w:t>
            </w:r>
            <w:r w:rsidR="008F15AC" w:rsidRPr="006656E8">
              <w:t>%</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5AC" w:rsidRPr="00DD40E7" w:rsidRDefault="00DD40E7" w:rsidP="00A92077">
            <w:pPr>
              <w:pStyle w:val="TableText"/>
              <w:widowControl w:val="0"/>
              <w:jc w:val="center"/>
              <w:rPr>
                <w:highlight w:val="black"/>
              </w:rPr>
            </w:pPr>
            <w:r>
              <w:rPr>
                <w:noProof/>
                <w:color w:val="000000"/>
                <w:highlight w:val="black"/>
              </w:rPr>
              <w:t>'''''''''</w:t>
            </w:r>
          </w:p>
        </w:tc>
        <w:tc>
          <w:tcPr>
            <w:tcW w:w="5335" w:type="dxa"/>
            <w:shd w:val="clear" w:color="auto" w:fill="auto"/>
            <w:tcMar>
              <w:left w:w="28" w:type="dxa"/>
              <w:right w:w="28" w:type="dxa"/>
            </w:tcMar>
            <w:vAlign w:val="center"/>
          </w:tcPr>
          <w:p w:rsidR="008F15AC" w:rsidRPr="006656E8" w:rsidRDefault="008F15AC" w:rsidP="00A92077">
            <w:pPr>
              <w:pStyle w:val="TableText"/>
              <w:widowControl w:val="0"/>
            </w:pPr>
            <w:r w:rsidRPr="006656E8">
              <w:t>Assumption</w:t>
            </w:r>
            <w:r w:rsidR="001F178C" w:rsidRPr="006656E8">
              <w:t xml:space="preserve"> b</w:t>
            </w:r>
            <w:r w:rsidR="001C588F" w:rsidRPr="006656E8">
              <w:t xml:space="preserve">ased on </w:t>
            </w:r>
            <w:r w:rsidRPr="006656E8">
              <w:t xml:space="preserve">expert panel survey </w:t>
            </w:r>
            <w:r w:rsidR="001C588F" w:rsidRPr="006656E8">
              <w:t xml:space="preserve">estimates of </w:t>
            </w:r>
            <w:r w:rsidRPr="006656E8">
              <w:t>patients physically unfit for chemo</w:t>
            </w:r>
            <w:r w:rsidR="009D52B9" w:rsidRPr="006656E8">
              <w:t>-</w:t>
            </w:r>
            <w:r w:rsidRPr="006656E8">
              <w:t xml:space="preserve">immunotherapy, and additional patients likely to have cytogenetic aberrations/mutations. </w:t>
            </w:r>
            <w:r w:rsidR="001F178C" w:rsidRPr="006656E8">
              <w:t>Assumption is uncertain</w:t>
            </w:r>
            <w:r w:rsidR="00AF37B2" w:rsidRPr="006656E8">
              <w:t>;</w:t>
            </w:r>
            <w:r w:rsidR="001F178C" w:rsidRPr="006656E8">
              <w:t xml:space="preserve"> </w:t>
            </w:r>
            <w:r w:rsidRPr="006656E8">
              <w:t>size of this population in clinical practice is unclear</w:t>
            </w:r>
          </w:p>
        </w:tc>
      </w:tr>
      <w:tr w:rsidR="008F15AC" w:rsidRPr="000A6039" w:rsidTr="006932A0">
        <w:trPr>
          <w:trHeight w:val="20"/>
        </w:trPr>
        <w:tc>
          <w:tcPr>
            <w:tcW w:w="1555" w:type="dxa"/>
            <w:shd w:val="clear" w:color="auto" w:fill="auto"/>
            <w:tcMar>
              <w:left w:w="28" w:type="dxa"/>
              <w:right w:w="28" w:type="dxa"/>
            </w:tcMar>
            <w:vAlign w:val="center"/>
          </w:tcPr>
          <w:p w:rsidR="008F15AC" w:rsidRPr="006656E8" w:rsidRDefault="008F15AC" w:rsidP="00A92077">
            <w:pPr>
              <w:pStyle w:val="TableText"/>
              <w:widowControl w:val="0"/>
            </w:pPr>
            <w:r w:rsidRPr="006656E8">
              <w:t>Patients treated with venetoclax + obinutuzumab</w:t>
            </w:r>
          </w:p>
        </w:tc>
        <w:tc>
          <w:tcPr>
            <w:tcW w:w="1275" w:type="dxa"/>
            <w:tcMar>
              <w:left w:w="28" w:type="dxa"/>
              <w:right w:w="28" w:type="dxa"/>
            </w:tcMar>
            <w:vAlign w:val="center"/>
          </w:tcPr>
          <w:p w:rsidR="008F15AC" w:rsidRPr="006656E8" w:rsidRDefault="008F15AC" w:rsidP="00A92077">
            <w:pPr>
              <w:pStyle w:val="TableText"/>
              <w:widowControl w:val="0"/>
              <w:jc w:val="center"/>
            </w:pPr>
            <w:r w:rsidRPr="006656E8">
              <w:t xml:space="preserve">Year 1: </w:t>
            </w:r>
            <w:r w:rsidR="00DD40E7">
              <w:rPr>
                <w:noProof/>
                <w:color w:val="000000"/>
                <w:highlight w:val="black"/>
              </w:rPr>
              <w:t>''''''</w:t>
            </w:r>
            <w:r w:rsidRPr="006656E8">
              <w:t>%</w:t>
            </w:r>
          </w:p>
          <w:p w:rsidR="008F15AC" w:rsidRPr="006656E8" w:rsidRDefault="008F15AC" w:rsidP="00A92077">
            <w:pPr>
              <w:pStyle w:val="TableText"/>
              <w:widowControl w:val="0"/>
              <w:jc w:val="center"/>
            </w:pPr>
            <w:r w:rsidRPr="006656E8">
              <w:t xml:space="preserve">Year 2-6: </w:t>
            </w:r>
            <w:r w:rsidR="00DD40E7">
              <w:rPr>
                <w:noProof/>
                <w:color w:val="000000"/>
                <w:highlight w:val="black"/>
              </w:rPr>
              <w:t>''''''</w:t>
            </w:r>
            <w:r w:rsidRPr="006656E8">
              <w:t>%</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5AC" w:rsidRPr="00DD40E7" w:rsidRDefault="00DD40E7" w:rsidP="00A92077">
            <w:pPr>
              <w:pStyle w:val="TableText"/>
              <w:widowControl w:val="0"/>
              <w:jc w:val="center"/>
              <w:rPr>
                <w:highlight w:val="black"/>
              </w:rPr>
            </w:pPr>
            <w:r>
              <w:rPr>
                <w:noProof/>
                <w:color w:val="000000"/>
                <w:highlight w:val="black"/>
              </w:rPr>
              <w:t>''''''''''</w:t>
            </w:r>
          </w:p>
        </w:tc>
        <w:tc>
          <w:tcPr>
            <w:tcW w:w="5335" w:type="dxa"/>
            <w:shd w:val="clear" w:color="auto" w:fill="auto"/>
            <w:tcMar>
              <w:left w:w="28" w:type="dxa"/>
              <w:right w:w="28" w:type="dxa"/>
            </w:tcMar>
            <w:vAlign w:val="center"/>
          </w:tcPr>
          <w:p w:rsidR="008F15AC" w:rsidRPr="006656E8" w:rsidRDefault="001C588F" w:rsidP="00A92077">
            <w:pPr>
              <w:pStyle w:val="TableText"/>
              <w:widowControl w:val="0"/>
            </w:pPr>
            <w:r w:rsidRPr="006656E8">
              <w:t>A</w:t>
            </w:r>
            <w:r w:rsidR="008F15AC" w:rsidRPr="006656E8">
              <w:t>ssumed</w:t>
            </w:r>
            <w:r w:rsidRPr="006656E8">
              <w:t xml:space="preserve">. </w:t>
            </w:r>
            <w:r w:rsidR="00AF37B2" w:rsidRPr="006656E8">
              <w:t>U</w:t>
            </w:r>
            <w:r w:rsidRPr="006656E8">
              <w:t>ncertain</w:t>
            </w:r>
          </w:p>
        </w:tc>
      </w:tr>
      <w:tr w:rsidR="008F15AC" w:rsidRPr="000A6039" w:rsidTr="006932A0">
        <w:trPr>
          <w:trHeight w:val="20"/>
        </w:trPr>
        <w:tc>
          <w:tcPr>
            <w:tcW w:w="1555" w:type="dxa"/>
            <w:shd w:val="clear" w:color="auto" w:fill="auto"/>
            <w:tcMar>
              <w:left w:w="28" w:type="dxa"/>
              <w:right w:w="28" w:type="dxa"/>
            </w:tcMar>
            <w:vAlign w:val="center"/>
          </w:tcPr>
          <w:p w:rsidR="008F15AC" w:rsidRPr="006656E8" w:rsidRDefault="008F15AC" w:rsidP="00A92077">
            <w:pPr>
              <w:pStyle w:val="TableText"/>
              <w:widowControl w:val="0"/>
            </w:pPr>
            <w:r w:rsidRPr="006656E8">
              <w:t>Patients substituting from chlorambucil + obinutuzumab</w:t>
            </w:r>
          </w:p>
        </w:tc>
        <w:tc>
          <w:tcPr>
            <w:tcW w:w="1275" w:type="dxa"/>
            <w:tcMar>
              <w:left w:w="28" w:type="dxa"/>
              <w:right w:w="28" w:type="dxa"/>
            </w:tcMar>
            <w:vAlign w:val="center"/>
          </w:tcPr>
          <w:p w:rsidR="008F15AC" w:rsidRPr="006656E8" w:rsidRDefault="008F15AC" w:rsidP="00A92077">
            <w:pPr>
              <w:pStyle w:val="TableText"/>
              <w:widowControl w:val="0"/>
              <w:jc w:val="center"/>
            </w:pPr>
            <w:r w:rsidRPr="006656E8">
              <w:t>100%</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5AC" w:rsidRPr="00DD40E7" w:rsidRDefault="00DD40E7" w:rsidP="00A92077">
            <w:pPr>
              <w:pStyle w:val="TableText"/>
              <w:widowControl w:val="0"/>
              <w:jc w:val="center"/>
              <w:rPr>
                <w:highlight w:val="black"/>
              </w:rPr>
            </w:pPr>
            <w:r>
              <w:rPr>
                <w:noProof/>
                <w:color w:val="000000"/>
                <w:highlight w:val="black"/>
              </w:rPr>
              <w:t>''''''''</w:t>
            </w:r>
          </w:p>
        </w:tc>
        <w:tc>
          <w:tcPr>
            <w:tcW w:w="5335" w:type="dxa"/>
            <w:shd w:val="clear" w:color="auto" w:fill="auto"/>
            <w:tcMar>
              <w:left w:w="28" w:type="dxa"/>
              <w:right w:w="28" w:type="dxa"/>
            </w:tcMar>
            <w:vAlign w:val="center"/>
          </w:tcPr>
          <w:p w:rsidR="008F15AC" w:rsidRPr="006656E8" w:rsidRDefault="008F15AC" w:rsidP="00A92077">
            <w:pPr>
              <w:pStyle w:val="TableText"/>
              <w:widowControl w:val="0"/>
            </w:pPr>
            <w:r w:rsidRPr="006656E8">
              <w:t xml:space="preserve">Assumed based on </w:t>
            </w:r>
            <w:r w:rsidR="001F178C" w:rsidRPr="006656E8">
              <w:t>expert panel</w:t>
            </w:r>
            <w:r w:rsidRPr="006656E8">
              <w:t xml:space="preserve"> survey</w:t>
            </w:r>
            <w:r w:rsidR="001F178C" w:rsidRPr="006656E8">
              <w:t xml:space="preserve"> and comparison of </w:t>
            </w:r>
            <w:r w:rsidRPr="006656E8">
              <w:t xml:space="preserve">market shares with and without the availability of venetoclax + obinutuzumab. Survey responses suggest availability of venetoclax + obinutuzumab will affect fitness assessments, and </w:t>
            </w:r>
            <w:r w:rsidR="001F178C" w:rsidRPr="006656E8">
              <w:t xml:space="preserve">may increase </w:t>
            </w:r>
            <w:r w:rsidRPr="006656E8">
              <w:t>the number of patients receiving 1</w:t>
            </w:r>
            <w:r w:rsidRPr="006656E8">
              <w:rPr>
                <w:vertAlign w:val="superscript"/>
              </w:rPr>
              <w:t>st</w:t>
            </w:r>
            <w:r w:rsidRPr="006656E8">
              <w:t xml:space="preserve"> line therapy</w:t>
            </w:r>
            <w:r w:rsidR="00AF37B2" w:rsidRPr="006656E8">
              <w:t>. Comparison of market shares was uncertain due to potential market growth</w:t>
            </w:r>
          </w:p>
        </w:tc>
      </w:tr>
      <w:tr w:rsidR="008F15AC" w:rsidRPr="000A6039" w:rsidTr="006932A0">
        <w:trPr>
          <w:trHeight w:val="20"/>
        </w:trPr>
        <w:tc>
          <w:tcPr>
            <w:tcW w:w="1555" w:type="dxa"/>
            <w:shd w:val="clear" w:color="auto" w:fill="auto"/>
            <w:tcMar>
              <w:left w:w="28" w:type="dxa"/>
              <w:right w:w="28" w:type="dxa"/>
            </w:tcMar>
            <w:vAlign w:val="center"/>
          </w:tcPr>
          <w:p w:rsidR="008F15AC" w:rsidRPr="006656E8" w:rsidRDefault="008F15AC" w:rsidP="00A92077">
            <w:pPr>
              <w:pStyle w:val="TableText"/>
              <w:widowControl w:val="0"/>
            </w:pPr>
            <w:r w:rsidRPr="006656E8">
              <w:t>Net change in patients initiating R/R therapy</w:t>
            </w:r>
          </w:p>
        </w:tc>
        <w:tc>
          <w:tcPr>
            <w:tcW w:w="1275" w:type="dxa"/>
            <w:tcBorders>
              <w:bottom w:val="single" w:sz="4" w:space="0" w:color="auto"/>
            </w:tcBorders>
            <w:tcMar>
              <w:left w:w="28" w:type="dxa"/>
              <w:right w:w="28" w:type="dxa"/>
            </w:tcMar>
            <w:vAlign w:val="center"/>
          </w:tcPr>
          <w:p w:rsidR="008F15AC" w:rsidRPr="006656E8" w:rsidRDefault="008F15AC" w:rsidP="00A92077">
            <w:pPr>
              <w:pStyle w:val="TableText"/>
              <w:widowControl w:val="0"/>
              <w:jc w:val="center"/>
            </w:pPr>
            <w:r w:rsidRPr="006656E8">
              <w:t>Variable estimate</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8F15AC" w:rsidRPr="00DD40E7" w:rsidRDefault="008F15AC" w:rsidP="00A92077">
            <w:pPr>
              <w:pStyle w:val="TableText"/>
              <w:widowControl w:val="0"/>
              <w:jc w:val="center"/>
            </w:pPr>
            <w:r w:rsidRPr="00E040C1">
              <w:t>-</w:t>
            </w:r>
            <w:r w:rsidR="00DD40E7">
              <w:rPr>
                <w:noProof/>
                <w:color w:val="000000"/>
                <w:highlight w:val="black"/>
              </w:rPr>
              <w:t>'''''''</w:t>
            </w:r>
          </w:p>
        </w:tc>
        <w:tc>
          <w:tcPr>
            <w:tcW w:w="5335" w:type="dxa"/>
            <w:shd w:val="clear" w:color="auto" w:fill="auto"/>
            <w:tcMar>
              <w:left w:w="28" w:type="dxa"/>
              <w:right w:w="28" w:type="dxa"/>
            </w:tcMar>
            <w:vAlign w:val="center"/>
          </w:tcPr>
          <w:p w:rsidR="008F15AC" w:rsidRPr="006656E8" w:rsidRDefault="008F15AC" w:rsidP="00A92077">
            <w:pPr>
              <w:pStyle w:val="TableText"/>
              <w:widowControl w:val="0"/>
            </w:pPr>
            <w:r w:rsidRPr="006656E8">
              <w:t>Based on time to initiation of subsequent therapy (post-hoc analysis of CLL-14 trial data)</w:t>
            </w:r>
          </w:p>
        </w:tc>
      </w:tr>
      <w:tr w:rsidR="00AF37B2" w:rsidRPr="000A6039" w:rsidTr="006932A0">
        <w:trPr>
          <w:trHeight w:val="2216"/>
        </w:trPr>
        <w:tc>
          <w:tcPr>
            <w:tcW w:w="1555" w:type="dxa"/>
            <w:shd w:val="clear" w:color="auto" w:fill="auto"/>
            <w:tcMar>
              <w:left w:w="28" w:type="dxa"/>
              <w:right w:w="28" w:type="dxa"/>
            </w:tcMar>
            <w:vAlign w:val="center"/>
          </w:tcPr>
          <w:p w:rsidR="00AF37B2" w:rsidRPr="006656E8" w:rsidRDefault="00AF37B2" w:rsidP="00A92077">
            <w:pPr>
              <w:pStyle w:val="TableText"/>
              <w:widowControl w:val="0"/>
            </w:pPr>
            <w:r w:rsidRPr="006656E8">
              <w:t>Net change in patients initiating ibrutinib monotherapy</w:t>
            </w:r>
          </w:p>
        </w:tc>
        <w:tc>
          <w:tcPr>
            <w:tcW w:w="1275" w:type="dxa"/>
            <w:tcBorders>
              <w:bottom w:val="nil"/>
            </w:tcBorders>
            <w:tcMar>
              <w:left w:w="28" w:type="dxa"/>
              <w:right w:w="28" w:type="dxa"/>
            </w:tcMar>
            <w:vAlign w:val="center"/>
          </w:tcPr>
          <w:p w:rsidR="00AF37B2" w:rsidRPr="006656E8" w:rsidRDefault="00AF37B2" w:rsidP="00A92077">
            <w:pPr>
              <w:pStyle w:val="TableText"/>
              <w:jc w:val="center"/>
              <w:rPr>
                <w:u w:val="single"/>
              </w:rPr>
            </w:pPr>
            <w:r w:rsidRPr="006656E8">
              <w:rPr>
                <w:u w:val="single"/>
              </w:rPr>
              <w:t>Treated with venetoclax + obinutuzumab</w:t>
            </w:r>
          </w:p>
          <w:p w:rsidR="00AF37B2" w:rsidRPr="006656E8" w:rsidRDefault="00AF37B2" w:rsidP="00A92077">
            <w:pPr>
              <w:pStyle w:val="TableText"/>
              <w:jc w:val="center"/>
            </w:pPr>
            <w:r w:rsidRPr="006656E8">
              <w:t xml:space="preserve">Yr 1-2: </w:t>
            </w:r>
            <w:r w:rsidR="00DD40E7">
              <w:rPr>
                <w:noProof/>
                <w:color w:val="000000"/>
                <w:highlight w:val="black"/>
              </w:rPr>
              <w:t>'''''''''</w:t>
            </w:r>
            <w:r w:rsidRPr="006656E8">
              <w:t>% ibrutinib</w:t>
            </w:r>
          </w:p>
          <w:p w:rsidR="00AF37B2" w:rsidRPr="006656E8" w:rsidRDefault="00AF37B2" w:rsidP="00A92077">
            <w:pPr>
              <w:pStyle w:val="TableText"/>
              <w:widowControl w:val="0"/>
              <w:jc w:val="center"/>
            </w:pPr>
            <w:r w:rsidRPr="006656E8">
              <w:t xml:space="preserve">Yr 3-6: </w:t>
            </w:r>
            <w:r w:rsidR="00DD40E7">
              <w:rPr>
                <w:noProof/>
                <w:color w:val="000000"/>
                <w:highlight w:val="black"/>
              </w:rPr>
              <w:t>''''''</w:t>
            </w:r>
            <w:r w:rsidRPr="006656E8">
              <w:t>% ibrutinib, 50% venetoclax + rituximab</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37B2" w:rsidRPr="00DD40E7" w:rsidRDefault="00AF37B2" w:rsidP="00A92077">
            <w:pPr>
              <w:pStyle w:val="TableText"/>
              <w:widowControl w:val="0"/>
              <w:jc w:val="center"/>
            </w:pPr>
            <w:r w:rsidRPr="00E040C1">
              <w:t>-</w:t>
            </w:r>
            <w:r w:rsidR="00DD40E7">
              <w:rPr>
                <w:noProof/>
                <w:color w:val="000000"/>
                <w:highlight w:val="black"/>
              </w:rPr>
              <w:t>'''''''</w:t>
            </w:r>
          </w:p>
        </w:tc>
        <w:tc>
          <w:tcPr>
            <w:tcW w:w="5335" w:type="dxa"/>
            <w:vMerge w:val="restart"/>
            <w:shd w:val="clear" w:color="auto" w:fill="auto"/>
            <w:tcMar>
              <w:left w:w="28" w:type="dxa"/>
              <w:right w:w="28" w:type="dxa"/>
            </w:tcMar>
            <w:vAlign w:val="center"/>
          </w:tcPr>
          <w:p w:rsidR="00AF37B2" w:rsidRPr="006656E8" w:rsidRDefault="00AF37B2" w:rsidP="00A92077">
            <w:pPr>
              <w:pStyle w:val="TableText"/>
              <w:widowControl w:val="0"/>
            </w:pPr>
            <w:r w:rsidRPr="006656E8">
              <w:t xml:space="preserve">Estimated the total size of R/R market based on total scripts of ibrutinib each month from March 2019 to August 2019 (1000-1200 patients). Assumed a </w:t>
            </w:r>
            <w:r w:rsidR="00DD40E7">
              <w:rPr>
                <w:noProof/>
                <w:color w:val="000000"/>
                <w:highlight w:val="black"/>
              </w:rPr>
              <w:t>''''''</w:t>
            </w:r>
            <w:r w:rsidRPr="006656E8">
              <w:t>:</w:t>
            </w:r>
            <w:r w:rsidR="00DD40E7">
              <w:rPr>
                <w:noProof/>
                <w:color w:val="000000"/>
                <w:highlight w:val="black"/>
              </w:rPr>
              <w:t>'''''''</w:t>
            </w:r>
            <w:r w:rsidRPr="006656E8">
              <w:t xml:space="preserve"> split in market share between ibrutinib monotherapy and venetoclax + rituximab in all patients previously treated with chlorambucil + obinutuzumab. </w:t>
            </w:r>
            <w:r w:rsidR="00652BCE" w:rsidRPr="006656E8">
              <w:t>A</w:t>
            </w:r>
            <w:r w:rsidRPr="006656E8">
              <w:t xml:space="preserve">ssumption </w:t>
            </w:r>
            <w:r w:rsidR="00652BCE" w:rsidRPr="006656E8">
              <w:t xml:space="preserve">that </w:t>
            </w:r>
            <w:r w:rsidRPr="006656E8">
              <w:t>ibrutinib monotherapy represent</w:t>
            </w:r>
            <w:r w:rsidR="00652BCE" w:rsidRPr="006656E8">
              <w:t>s</w:t>
            </w:r>
            <w:r w:rsidRPr="006656E8">
              <w:t xml:space="preserve"> total relapsed/refractory market was inadequately justified</w:t>
            </w:r>
            <w:r w:rsidR="00652BCE" w:rsidRPr="006656E8">
              <w:t>,</w:t>
            </w:r>
            <w:r w:rsidRPr="006656E8">
              <w:t xml:space="preserve"> given use of venetoclax + rituximab is relatively immature and likely to continue growing.</w:t>
            </w:r>
          </w:p>
          <w:p w:rsidR="00AF37B2" w:rsidRPr="006656E8" w:rsidRDefault="00652BCE" w:rsidP="00A92077">
            <w:pPr>
              <w:pStyle w:val="TableText"/>
              <w:widowControl w:val="0"/>
            </w:pPr>
            <w:r w:rsidRPr="006656E8">
              <w:t>A</w:t>
            </w:r>
            <w:r w:rsidR="00AF37B2" w:rsidRPr="006656E8">
              <w:t xml:space="preserve">ssumed patients treated with venetoclax + obinutuzumab who relapse within 2 years can only receive ibrutinib monotherapy as subsequent therapy. </w:t>
            </w:r>
            <w:r w:rsidRPr="006656E8">
              <w:t xml:space="preserve">Assumed after </w:t>
            </w:r>
            <w:r w:rsidR="00AF37B2" w:rsidRPr="006656E8">
              <w:t xml:space="preserve">2 years a </w:t>
            </w:r>
            <w:r w:rsidR="00DD40E7">
              <w:rPr>
                <w:noProof/>
                <w:color w:val="000000"/>
                <w:highlight w:val="black"/>
              </w:rPr>
              <w:t>''''''</w:t>
            </w:r>
            <w:r w:rsidR="00AF37B2" w:rsidRPr="006656E8">
              <w:t>:</w:t>
            </w:r>
            <w:r w:rsidR="00DD40E7">
              <w:rPr>
                <w:noProof/>
                <w:color w:val="000000"/>
                <w:highlight w:val="black"/>
              </w:rPr>
              <w:t>''''''</w:t>
            </w:r>
            <w:r w:rsidR="00AF37B2" w:rsidRPr="006656E8">
              <w:t xml:space="preserve"> split between ibrutinib monotherapy and venetoclax + rituximab. </w:t>
            </w:r>
            <w:r w:rsidRPr="006656E8">
              <w:t>Assumed use</w:t>
            </w:r>
            <w:r w:rsidR="00AF37B2" w:rsidRPr="006656E8">
              <w:t xml:space="preserve"> of venetoclax + obinutuzumab </w:t>
            </w:r>
            <w:r w:rsidRPr="006656E8">
              <w:t xml:space="preserve">in </w:t>
            </w:r>
            <w:r w:rsidR="00AF37B2" w:rsidRPr="006656E8">
              <w:t xml:space="preserve">first line </w:t>
            </w:r>
            <w:r w:rsidRPr="006656E8">
              <w:t xml:space="preserve">setting </w:t>
            </w:r>
            <w:r w:rsidR="00AF37B2" w:rsidRPr="006656E8">
              <w:t xml:space="preserve">will reduce the use of venetoclax + rituximab </w:t>
            </w:r>
            <w:r w:rsidRPr="006656E8">
              <w:t>in R/R setting and increase use of ibrutinib monotherapy</w:t>
            </w:r>
            <w:r w:rsidR="00AF37B2" w:rsidRPr="006656E8">
              <w:t xml:space="preserve">. </w:t>
            </w:r>
          </w:p>
          <w:p w:rsidR="00AF37B2" w:rsidRPr="006656E8" w:rsidRDefault="00AF37B2" w:rsidP="00A92077">
            <w:pPr>
              <w:pStyle w:val="TableText"/>
              <w:widowControl w:val="0"/>
            </w:pPr>
            <w:r w:rsidRPr="006656E8">
              <w:t>The use of relapsed/refractory therapies in the budget impact analysis was inconsistent with the approach used in the economic model (assumed all relapsed/refractory patients receive ibrutinib monotherapy)</w:t>
            </w:r>
          </w:p>
        </w:tc>
      </w:tr>
      <w:tr w:rsidR="00AF37B2" w:rsidRPr="000A6039" w:rsidTr="006932A0">
        <w:trPr>
          <w:trHeight w:val="1840"/>
        </w:trPr>
        <w:tc>
          <w:tcPr>
            <w:tcW w:w="1555" w:type="dxa"/>
            <w:shd w:val="clear" w:color="auto" w:fill="auto"/>
            <w:tcMar>
              <w:left w:w="28" w:type="dxa"/>
              <w:right w:w="28" w:type="dxa"/>
            </w:tcMar>
            <w:vAlign w:val="center"/>
          </w:tcPr>
          <w:p w:rsidR="00AF37B2" w:rsidRDefault="00AF37B2" w:rsidP="00AF37B2">
            <w:pPr>
              <w:pStyle w:val="TableText"/>
              <w:keepNext w:val="0"/>
              <w:widowControl w:val="0"/>
            </w:pPr>
            <w:r>
              <w:t>Net change in patients initiating venetoclax + rituximab</w:t>
            </w:r>
          </w:p>
        </w:tc>
        <w:tc>
          <w:tcPr>
            <w:tcW w:w="1275" w:type="dxa"/>
            <w:tcBorders>
              <w:top w:val="nil"/>
            </w:tcBorders>
            <w:tcMar>
              <w:left w:w="28" w:type="dxa"/>
              <w:right w:w="28" w:type="dxa"/>
            </w:tcMar>
            <w:vAlign w:val="center"/>
          </w:tcPr>
          <w:p w:rsidR="00AF37B2" w:rsidRPr="00AE218E" w:rsidRDefault="00AF37B2" w:rsidP="00AF37B2">
            <w:pPr>
              <w:pStyle w:val="TableText"/>
              <w:jc w:val="center"/>
            </w:pPr>
          </w:p>
          <w:p w:rsidR="00AF37B2" w:rsidRPr="00AE218E" w:rsidRDefault="00AF37B2" w:rsidP="00AF37B2">
            <w:pPr>
              <w:pStyle w:val="TableText"/>
              <w:jc w:val="center"/>
              <w:rPr>
                <w:u w:val="single"/>
              </w:rPr>
            </w:pPr>
            <w:r w:rsidRPr="00AE218E">
              <w:rPr>
                <w:u w:val="single"/>
              </w:rPr>
              <w:t>Treated with chlorambucil + obinutuzumab</w:t>
            </w:r>
          </w:p>
          <w:p w:rsidR="00AF37B2" w:rsidRDefault="00DD40E7" w:rsidP="00AF37B2">
            <w:pPr>
              <w:pStyle w:val="TableText"/>
              <w:keepNext w:val="0"/>
              <w:widowControl w:val="0"/>
              <w:jc w:val="center"/>
            </w:pPr>
            <w:r>
              <w:rPr>
                <w:noProof/>
                <w:color w:val="000000"/>
                <w:highlight w:val="black"/>
              </w:rPr>
              <w:t>'''''</w:t>
            </w:r>
            <w:r w:rsidR="00AF37B2" w:rsidRPr="00AE218E">
              <w:t xml:space="preserve">% ibrutinib, </w:t>
            </w:r>
            <w:r>
              <w:rPr>
                <w:noProof/>
                <w:color w:val="000000"/>
                <w:highlight w:val="black"/>
              </w:rPr>
              <w:t>''''''</w:t>
            </w:r>
            <w:r w:rsidR="00AF37B2" w:rsidRPr="00AE218E">
              <w:t>% venetoclax + rituximab</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F37B2" w:rsidRPr="00DD40E7" w:rsidRDefault="00AF37B2" w:rsidP="00AF37B2">
            <w:pPr>
              <w:pStyle w:val="TableText"/>
              <w:keepNext w:val="0"/>
              <w:widowControl w:val="0"/>
              <w:jc w:val="center"/>
            </w:pPr>
            <w:r w:rsidRPr="00E040C1">
              <w:t>-</w:t>
            </w:r>
            <w:r w:rsidR="00DD40E7">
              <w:rPr>
                <w:noProof/>
                <w:color w:val="000000"/>
                <w:highlight w:val="black"/>
              </w:rPr>
              <w:t>''''''</w:t>
            </w:r>
          </w:p>
        </w:tc>
        <w:tc>
          <w:tcPr>
            <w:tcW w:w="5335" w:type="dxa"/>
            <w:vMerge/>
            <w:shd w:val="clear" w:color="auto" w:fill="auto"/>
            <w:tcMar>
              <w:left w:w="28" w:type="dxa"/>
              <w:right w:w="28" w:type="dxa"/>
            </w:tcMar>
            <w:vAlign w:val="center"/>
          </w:tcPr>
          <w:p w:rsidR="00AF37B2" w:rsidRDefault="00AF37B2" w:rsidP="00AF37B2">
            <w:pPr>
              <w:pStyle w:val="TableText"/>
              <w:keepNext w:val="0"/>
              <w:widowControl w:val="0"/>
            </w:pPr>
          </w:p>
        </w:tc>
      </w:tr>
    </w:tbl>
    <w:p w:rsidR="00735F9E" w:rsidRDefault="00735F9E" w:rsidP="00735F9E">
      <w:pPr>
        <w:pStyle w:val="TableFigureFooter"/>
      </w:pPr>
      <w:r>
        <w:t>Source: Table 120, p</w:t>
      </w:r>
      <w:r w:rsidR="00180AF2">
        <w:t>.</w:t>
      </w:r>
      <w:r>
        <w:t xml:space="preserve">175 and the ‘PBAC_Section 4_BIM_VTX+Obi_Final’ Excel workbook of the submission  </w:t>
      </w:r>
    </w:p>
    <w:p w:rsidR="00735F9E" w:rsidRDefault="00735F9E" w:rsidP="00735F9E">
      <w:pPr>
        <w:pStyle w:val="TableFigureFooter"/>
      </w:pPr>
      <w:r>
        <w:lastRenderedPageBreak/>
        <w:t xml:space="preserve">Abbreviations: </w:t>
      </w:r>
      <w:r w:rsidR="00BB376A">
        <w:t xml:space="preserve">ABS, Australian Bureau of Statistics; </w:t>
      </w:r>
      <w:r>
        <w:t>CLL, chronic lymphocytic leukaemia; R/R, relapsed/refractory</w:t>
      </w:r>
    </w:p>
    <w:p w:rsidR="00735F9E" w:rsidRPr="00D06374" w:rsidRDefault="00735F9E" w:rsidP="00735F9E">
      <w:pPr>
        <w:pStyle w:val="TableFigureFooter"/>
      </w:pPr>
      <w:r w:rsidRPr="000A6039">
        <w:rPr>
          <w:vertAlign w:val="superscript"/>
        </w:rPr>
        <w:t>a</w:t>
      </w:r>
      <w:r w:rsidRPr="000A6039">
        <w:t xml:space="preserve"> </w:t>
      </w:r>
      <w:r>
        <w:t>Value</w:t>
      </w:r>
      <w:r w:rsidRPr="000A6039">
        <w:t xml:space="preserve"> esti</w:t>
      </w:r>
      <w:r>
        <w:t>mated at each step in Year 6</w:t>
      </w:r>
      <w:r w:rsidRPr="000A6039">
        <w:t xml:space="preserve"> of the financial estimates.  </w:t>
      </w:r>
    </w:p>
    <w:p w:rsidR="00735F9E" w:rsidRPr="00B505C8" w:rsidRDefault="00735F9E" w:rsidP="00735F9E">
      <w:pPr>
        <w:pStyle w:val="ExecSumBodyText"/>
        <w:numPr>
          <w:ilvl w:val="1"/>
          <w:numId w:val="1"/>
        </w:numPr>
        <w:rPr>
          <w:color w:val="0066FF"/>
        </w:rPr>
      </w:pPr>
      <w:r w:rsidRPr="005B5A20">
        <w:t>Th</w:t>
      </w:r>
      <w:r>
        <w:t xml:space="preserve">e submission presented the estimated use and cost of venetoclax (proposed effective price) + obinutuzumab (published price) for previously untreated CLL patients. Cost offsets were based on chlorambucil (published price) + obinutuzumab (published price), ibrutinib (effective price) and venetoclax (effective price) + </w:t>
      </w:r>
      <w:r w:rsidRPr="006656E8">
        <w:t xml:space="preserve">rituximab (published price). </w:t>
      </w:r>
    </w:p>
    <w:p w:rsidR="00735F9E" w:rsidRPr="00606FBA" w:rsidRDefault="00735F9E" w:rsidP="00735F9E">
      <w:pPr>
        <w:pStyle w:val="TableFigureCaption"/>
      </w:pPr>
      <w:r w:rsidRPr="00606FBA">
        <w:t>Table</w:t>
      </w:r>
      <w:r w:rsidR="005C720C">
        <w:t xml:space="preserve"> 18</w:t>
      </w:r>
      <w:r w:rsidRPr="00606FBA">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1"/>
        <w:gridCol w:w="1172"/>
        <w:gridCol w:w="1172"/>
        <w:gridCol w:w="1172"/>
        <w:gridCol w:w="1172"/>
        <w:gridCol w:w="1172"/>
        <w:gridCol w:w="1176"/>
      </w:tblGrid>
      <w:tr w:rsidR="00735F9E" w:rsidRPr="00CF227F" w:rsidTr="00742456">
        <w:trPr>
          <w:tblHeader/>
        </w:trPr>
        <w:tc>
          <w:tcPr>
            <w:tcW w:w="1098" w:type="pct"/>
            <w:tcBorders>
              <w:left w:val="single" w:sz="4" w:space="0" w:color="auto"/>
              <w:bottom w:val="single" w:sz="4" w:space="0" w:color="auto"/>
            </w:tcBorders>
            <w:shd w:val="clear" w:color="auto" w:fill="auto"/>
            <w:vAlign w:val="center"/>
            <w:hideMark/>
          </w:tcPr>
          <w:p w:rsidR="00735F9E" w:rsidRPr="00CF227F" w:rsidRDefault="00735F9E" w:rsidP="00742456">
            <w:pPr>
              <w:rPr>
                <w:rFonts w:ascii="Arial Narrow" w:hAnsi="Arial Narrow"/>
                <w:snapToGrid w:val="0"/>
                <w:sz w:val="20"/>
                <w:szCs w:val="20"/>
              </w:rPr>
            </w:pPr>
          </w:p>
        </w:tc>
        <w:tc>
          <w:tcPr>
            <w:tcW w:w="650" w:type="pct"/>
            <w:tcBorders>
              <w:bottom w:val="single" w:sz="4" w:space="0" w:color="auto"/>
            </w:tcBorders>
            <w:shd w:val="clear" w:color="auto" w:fill="auto"/>
            <w:vAlign w:val="center"/>
            <w:hideMark/>
          </w:tcPr>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Year 1</w:t>
            </w:r>
          </w:p>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(2020)</w:t>
            </w:r>
          </w:p>
        </w:tc>
        <w:tc>
          <w:tcPr>
            <w:tcW w:w="650" w:type="pct"/>
            <w:tcBorders>
              <w:bottom w:val="single" w:sz="4" w:space="0" w:color="auto"/>
            </w:tcBorders>
            <w:shd w:val="clear" w:color="auto" w:fill="auto"/>
            <w:vAlign w:val="center"/>
            <w:hideMark/>
          </w:tcPr>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Year 2</w:t>
            </w:r>
          </w:p>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(2021)</w:t>
            </w:r>
          </w:p>
        </w:tc>
        <w:tc>
          <w:tcPr>
            <w:tcW w:w="650" w:type="pct"/>
            <w:tcBorders>
              <w:bottom w:val="single" w:sz="4" w:space="0" w:color="auto"/>
            </w:tcBorders>
            <w:shd w:val="clear" w:color="auto" w:fill="auto"/>
            <w:vAlign w:val="center"/>
            <w:hideMark/>
          </w:tcPr>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Year 3</w:t>
            </w:r>
            <w:r w:rsidRPr="00CF227F">
              <w:rPr>
                <w:rFonts w:ascii="Arial Narrow" w:hAnsi="Arial Narrow"/>
                <w:b/>
                <w:bCs/>
                <w:snapToGrid w:val="0"/>
                <w:sz w:val="20"/>
                <w:szCs w:val="20"/>
              </w:rPr>
              <w:br/>
              <w:t>(2022)</w:t>
            </w:r>
          </w:p>
        </w:tc>
        <w:tc>
          <w:tcPr>
            <w:tcW w:w="650" w:type="pct"/>
            <w:tcBorders>
              <w:bottom w:val="single" w:sz="4" w:space="0" w:color="auto"/>
            </w:tcBorders>
            <w:shd w:val="clear" w:color="auto" w:fill="auto"/>
            <w:vAlign w:val="center"/>
            <w:hideMark/>
          </w:tcPr>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Year 4</w:t>
            </w:r>
          </w:p>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(2023)</w:t>
            </w:r>
          </w:p>
        </w:tc>
        <w:tc>
          <w:tcPr>
            <w:tcW w:w="650" w:type="pct"/>
            <w:tcBorders>
              <w:bottom w:val="single" w:sz="4" w:space="0" w:color="auto"/>
              <w:right w:val="single" w:sz="4" w:space="0" w:color="auto"/>
            </w:tcBorders>
            <w:shd w:val="clear" w:color="auto" w:fill="auto"/>
            <w:vAlign w:val="center"/>
            <w:hideMark/>
          </w:tcPr>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Year 5</w:t>
            </w:r>
          </w:p>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(2024)</w:t>
            </w:r>
          </w:p>
        </w:tc>
        <w:tc>
          <w:tcPr>
            <w:tcW w:w="652" w:type="pct"/>
            <w:tcBorders>
              <w:bottom w:val="single" w:sz="4" w:space="0" w:color="auto"/>
              <w:right w:val="single" w:sz="4" w:space="0" w:color="auto"/>
            </w:tcBorders>
            <w:vAlign w:val="center"/>
          </w:tcPr>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Year 6</w:t>
            </w:r>
          </w:p>
          <w:p w:rsidR="00735F9E" w:rsidRPr="00CF227F" w:rsidRDefault="00735F9E" w:rsidP="00742456">
            <w:pPr>
              <w:jc w:val="center"/>
              <w:rPr>
                <w:rFonts w:ascii="Arial Narrow" w:hAnsi="Arial Narrow"/>
                <w:b/>
                <w:bCs/>
                <w:snapToGrid w:val="0"/>
                <w:sz w:val="20"/>
                <w:szCs w:val="20"/>
              </w:rPr>
            </w:pPr>
            <w:r w:rsidRPr="00CF227F">
              <w:rPr>
                <w:rFonts w:ascii="Arial Narrow" w:hAnsi="Arial Narrow"/>
                <w:b/>
                <w:bCs/>
                <w:snapToGrid w:val="0"/>
                <w:sz w:val="20"/>
                <w:szCs w:val="20"/>
              </w:rPr>
              <w:t>(2025)</w:t>
            </w:r>
          </w:p>
        </w:tc>
      </w:tr>
      <w:tr w:rsidR="00735F9E" w:rsidRPr="00CF227F" w:rsidTr="00742456">
        <w:tc>
          <w:tcPr>
            <w:tcW w:w="5000" w:type="pct"/>
            <w:gridSpan w:val="7"/>
            <w:tcBorders>
              <w:left w:val="single" w:sz="4" w:space="0" w:color="auto"/>
              <w:bottom w:val="single" w:sz="4" w:space="0" w:color="auto"/>
              <w:right w:val="single" w:sz="4" w:space="0" w:color="auto"/>
            </w:tcBorders>
            <w:shd w:val="clear" w:color="auto" w:fill="auto"/>
            <w:vAlign w:val="center"/>
          </w:tcPr>
          <w:p w:rsidR="00735F9E" w:rsidRPr="00CF227F" w:rsidRDefault="00735F9E" w:rsidP="00742456">
            <w:pPr>
              <w:rPr>
                <w:rFonts w:ascii="Arial Narrow" w:hAnsi="Arial Narrow"/>
                <w:b/>
                <w:snapToGrid w:val="0"/>
                <w:sz w:val="20"/>
                <w:szCs w:val="20"/>
              </w:rPr>
            </w:pPr>
            <w:r w:rsidRPr="00CF227F">
              <w:rPr>
                <w:rFonts w:ascii="Arial Narrow" w:hAnsi="Arial Narrow"/>
                <w:b/>
                <w:snapToGrid w:val="0"/>
                <w:sz w:val="20"/>
                <w:szCs w:val="20"/>
              </w:rPr>
              <w:t>Incident CLL patients</w:t>
            </w:r>
          </w:p>
        </w:tc>
      </w:tr>
      <w:tr w:rsidR="00735F9E" w:rsidRPr="00CF227F" w:rsidTr="00742456">
        <w:tc>
          <w:tcPr>
            <w:tcW w:w="1098" w:type="pct"/>
            <w:tcBorders>
              <w:left w:val="single" w:sz="4" w:space="0" w:color="auto"/>
              <w:bottom w:val="single" w:sz="4" w:space="0" w:color="auto"/>
            </w:tcBorders>
            <w:shd w:val="clear" w:color="auto" w:fill="auto"/>
            <w:vAlign w:val="center"/>
            <w:hideMark/>
          </w:tcPr>
          <w:p w:rsidR="00735F9E" w:rsidRPr="00CF227F" w:rsidRDefault="00735F9E" w:rsidP="00742456">
            <w:pPr>
              <w:jc w:val="left"/>
              <w:rPr>
                <w:rFonts w:ascii="Arial Narrow" w:hAnsi="Arial Narrow"/>
                <w:snapToGrid w:val="0"/>
                <w:sz w:val="20"/>
                <w:szCs w:val="20"/>
              </w:rPr>
            </w:pPr>
            <w:r w:rsidRPr="00CF227F">
              <w:rPr>
                <w:rFonts w:ascii="Arial Narrow" w:hAnsi="Arial Narrow"/>
                <w:snapToGrid w:val="0"/>
                <w:sz w:val="20"/>
                <w:szCs w:val="20"/>
              </w:rPr>
              <w:t>Australian population</w:t>
            </w:r>
          </w:p>
        </w:tc>
        <w:tc>
          <w:tcPr>
            <w:tcW w:w="650" w:type="pct"/>
            <w:shd w:val="clear" w:color="auto" w:fill="auto"/>
            <w:vAlign w:val="center"/>
          </w:tcPr>
          <w:p w:rsidR="00735F9E" w:rsidRPr="00CF227F" w:rsidRDefault="00735F9E" w:rsidP="00742456">
            <w:pPr>
              <w:jc w:val="center"/>
              <w:rPr>
                <w:rFonts w:ascii="Arial Narrow" w:hAnsi="Arial Narrow"/>
                <w:sz w:val="20"/>
                <w:szCs w:val="20"/>
              </w:rPr>
            </w:pPr>
            <w:r w:rsidRPr="00CF227F">
              <w:rPr>
                <w:rFonts w:ascii="Arial Narrow" w:hAnsi="Arial Narrow"/>
                <w:sz w:val="20"/>
                <w:szCs w:val="20"/>
              </w:rPr>
              <w:t>25,873,480</w:t>
            </w:r>
          </w:p>
        </w:tc>
        <w:tc>
          <w:tcPr>
            <w:tcW w:w="650" w:type="pct"/>
            <w:shd w:val="clear" w:color="auto" w:fill="auto"/>
            <w:vAlign w:val="center"/>
          </w:tcPr>
          <w:p w:rsidR="00735F9E" w:rsidRPr="00CF227F" w:rsidRDefault="00735F9E" w:rsidP="00742456">
            <w:pPr>
              <w:jc w:val="center"/>
              <w:rPr>
                <w:rFonts w:ascii="Arial Narrow" w:hAnsi="Arial Narrow"/>
                <w:sz w:val="20"/>
                <w:szCs w:val="20"/>
              </w:rPr>
            </w:pPr>
            <w:r w:rsidRPr="00CF227F">
              <w:rPr>
                <w:rFonts w:ascii="Arial Narrow" w:hAnsi="Arial Narrow"/>
                <w:sz w:val="20"/>
                <w:szCs w:val="20"/>
              </w:rPr>
              <w:t>26,301,274</w:t>
            </w:r>
          </w:p>
        </w:tc>
        <w:tc>
          <w:tcPr>
            <w:tcW w:w="650" w:type="pct"/>
            <w:shd w:val="clear" w:color="auto" w:fill="auto"/>
            <w:vAlign w:val="center"/>
          </w:tcPr>
          <w:p w:rsidR="00735F9E" w:rsidRPr="00CF227F" w:rsidRDefault="00735F9E" w:rsidP="00742456">
            <w:pPr>
              <w:jc w:val="center"/>
              <w:rPr>
                <w:rFonts w:ascii="Arial Narrow" w:hAnsi="Arial Narrow"/>
                <w:sz w:val="20"/>
                <w:szCs w:val="20"/>
              </w:rPr>
            </w:pPr>
            <w:r w:rsidRPr="00CF227F">
              <w:rPr>
                <w:rFonts w:ascii="Arial Narrow" w:hAnsi="Arial Narrow"/>
                <w:sz w:val="20"/>
                <w:szCs w:val="20"/>
              </w:rPr>
              <w:t>26,727,025</w:t>
            </w:r>
          </w:p>
        </w:tc>
        <w:tc>
          <w:tcPr>
            <w:tcW w:w="650" w:type="pct"/>
            <w:shd w:val="clear" w:color="auto" w:fill="auto"/>
            <w:vAlign w:val="center"/>
          </w:tcPr>
          <w:p w:rsidR="00735F9E" w:rsidRPr="00CF227F" w:rsidRDefault="00735F9E" w:rsidP="00742456">
            <w:pPr>
              <w:jc w:val="center"/>
              <w:rPr>
                <w:rFonts w:ascii="Arial Narrow" w:hAnsi="Arial Narrow"/>
                <w:sz w:val="20"/>
                <w:szCs w:val="20"/>
              </w:rPr>
            </w:pPr>
            <w:r w:rsidRPr="00CF227F">
              <w:rPr>
                <w:rFonts w:ascii="Arial Narrow" w:hAnsi="Arial Narrow"/>
                <w:sz w:val="20"/>
                <w:szCs w:val="20"/>
              </w:rPr>
              <w:t>27,147,199</w:t>
            </w:r>
          </w:p>
        </w:tc>
        <w:tc>
          <w:tcPr>
            <w:tcW w:w="650" w:type="pct"/>
            <w:tcBorders>
              <w:right w:val="single" w:sz="4" w:space="0" w:color="auto"/>
            </w:tcBorders>
            <w:shd w:val="clear" w:color="auto" w:fill="auto"/>
            <w:vAlign w:val="center"/>
          </w:tcPr>
          <w:p w:rsidR="00735F9E" w:rsidRPr="00CF227F" w:rsidRDefault="00735F9E" w:rsidP="00742456">
            <w:pPr>
              <w:jc w:val="center"/>
              <w:rPr>
                <w:rFonts w:ascii="Arial Narrow" w:hAnsi="Arial Narrow"/>
                <w:sz w:val="20"/>
                <w:szCs w:val="20"/>
              </w:rPr>
            </w:pPr>
            <w:r w:rsidRPr="00CF227F">
              <w:rPr>
                <w:rFonts w:ascii="Arial Narrow" w:hAnsi="Arial Narrow"/>
                <w:sz w:val="20"/>
                <w:szCs w:val="20"/>
              </w:rPr>
              <w:t>27,562,195</w:t>
            </w:r>
          </w:p>
        </w:tc>
        <w:tc>
          <w:tcPr>
            <w:tcW w:w="652" w:type="pct"/>
            <w:tcBorders>
              <w:right w:val="single" w:sz="4" w:space="0" w:color="auto"/>
            </w:tcBorders>
            <w:vAlign w:val="center"/>
          </w:tcPr>
          <w:p w:rsidR="00735F9E" w:rsidRPr="00CF227F" w:rsidRDefault="00735F9E" w:rsidP="00742456">
            <w:pPr>
              <w:jc w:val="center"/>
              <w:rPr>
                <w:rFonts w:ascii="Arial Narrow" w:hAnsi="Arial Narrow"/>
                <w:sz w:val="20"/>
                <w:szCs w:val="20"/>
              </w:rPr>
            </w:pPr>
            <w:r w:rsidRPr="00CF227F">
              <w:rPr>
                <w:rFonts w:ascii="Arial Narrow" w:hAnsi="Arial Narrow"/>
                <w:sz w:val="20"/>
                <w:szCs w:val="20"/>
              </w:rPr>
              <w:t>27,970,435</w:t>
            </w:r>
          </w:p>
        </w:tc>
      </w:tr>
      <w:tr w:rsidR="00735F9E" w:rsidRPr="00CF227F" w:rsidTr="00742456">
        <w:tc>
          <w:tcPr>
            <w:tcW w:w="1098" w:type="pct"/>
            <w:tcBorders>
              <w:left w:val="single" w:sz="4" w:space="0" w:color="auto"/>
              <w:bottom w:val="single" w:sz="4" w:space="0" w:color="auto"/>
            </w:tcBorders>
            <w:shd w:val="clear" w:color="auto" w:fill="auto"/>
            <w:noWrap/>
            <w:vAlign w:val="center"/>
          </w:tcPr>
          <w:p w:rsidR="00735F9E" w:rsidRPr="00CF227F" w:rsidRDefault="00735F9E" w:rsidP="00742456">
            <w:pPr>
              <w:jc w:val="left"/>
              <w:rPr>
                <w:rFonts w:ascii="Arial Narrow" w:hAnsi="Arial Narrow"/>
                <w:snapToGrid w:val="0"/>
                <w:sz w:val="20"/>
                <w:szCs w:val="20"/>
              </w:rPr>
            </w:pPr>
            <w:r w:rsidRPr="00CF227F">
              <w:rPr>
                <w:rFonts w:ascii="Arial Narrow" w:hAnsi="Arial Narrow"/>
                <w:snapToGrid w:val="0"/>
                <w:sz w:val="20"/>
                <w:szCs w:val="20"/>
              </w:rPr>
              <w:t>Incidence of CLL (0.0067%)</w:t>
            </w:r>
          </w:p>
        </w:tc>
        <w:tc>
          <w:tcPr>
            <w:tcW w:w="650" w:type="pct"/>
            <w:tcBorders>
              <w:bottom w:val="single" w:sz="4" w:space="0" w:color="auto"/>
            </w:tcBorders>
            <w:shd w:val="clear" w:color="auto" w:fill="auto"/>
            <w:vAlign w:val="center"/>
          </w:tcPr>
          <w:p w:rsidR="00735F9E" w:rsidRPr="00CF227F" w:rsidRDefault="00735F9E" w:rsidP="00742456">
            <w:pPr>
              <w:jc w:val="center"/>
              <w:rPr>
                <w:rFonts w:ascii="Arial Narrow" w:hAnsi="Arial Narrow"/>
                <w:iCs/>
                <w:snapToGrid w:val="0"/>
                <w:sz w:val="20"/>
                <w:szCs w:val="20"/>
              </w:rPr>
            </w:pPr>
            <w:r w:rsidRPr="00CF227F">
              <w:rPr>
                <w:rFonts w:ascii="Arial Narrow" w:hAnsi="Arial Narrow"/>
                <w:sz w:val="20"/>
                <w:szCs w:val="20"/>
              </w:rPr>
              <w:t>1,734</w:t>
            </w:r>
          </w:p>
        </w:tc>
        <w:tc>
          <w:tcPr>
            <w:tcW w:w="650" w:type="pct"/>
            <w:tcBorders>
              <w:bottom w:val="single" w:sz="4" w:space="0" w:color="auto"/>
            </w:tcBorders>
            <w:shd w:val="clear" w:color="auto" w:fill="auto"/>
            <w:vAlign w:val="center"/>
          </w:tcPr>
          <w:p w:rsidR="00735F9E" w:rsidRPr="00CF227F" w:rsidRDefault="00735F9E" w:rsidP="00742456">
            <w:pPr>
              <w:jc w:val="center"/>
              <w:rPr>
                <w:rFonts w:ascii="Arial Narrow" w:hAnsi="Arial Narrow"/>
                <w:iCs/>
                <w:snapToGrid w:val="0"/>
                <w:sz w:val="20"/>
                <w:szCs w:val="20"/>
              </w:rPr>
            </w:pPr>
            <w:r w:rsidRPr="00CF227F">
              <w:rPr>
                <w:rFonts w:ascii="Arial Narrow" w:hAnsi="Arial Narrow"/>
                <w:sz w:val="20"/>
                <w:szCs w:val="20"/>
              </w:rPr>
              <w:t>1,762</w:t>
            </w:r>
          </w:p>
        </w:tc>
        <w:tc>
          <w:tcPr>
            <w:tcW w:w="650" w:type="pct"/>
            <w:tcBorders>
              <w:bottom w:val="single" w:sz="4" w:space="0" w:color="auto"/>
            </w:tcBorders>
            <w:shd w:val="clear" w:color="auto" w:fill="auto"/>
            <w:vAlign w:val="center"/>
          </w:tcPr>
          <w:p w:rsidR="00735F9E" w:rsidRPr="00CF227F" w:rsidRDefault="00735F9E" w:rsidP="00742456">
            <w:pPr>
              <w:jc w:val="center"/>
              <w:rPr>
                <w:rFonts w:ascii="Arial Narrow" w:hAnsi="Arial Narrow"/>
                <w:iCs/>
                <w:snapToGrid w:val="0"/>
                <w:sz w:val="20"/>
                <w:szCs w:val="20"/>
              </w:rPr>
            </w:pPr>
            <w:r w:rsidRPr="00CF227F">
              <w:rPr>
                <w:rFonts w:ascii="Arial Narrow" w:hAnsi="Arial Narrow"/>
                <w:sz w:val="20"/>
                <w:szCs w:val="20"/>
              </w:rPr>
              <w:t>1,791</w:t>
            </w:r>
          </w:p>
        </w:tc>
        <w:tc>
          <w:tcPr>
            <w:tcW w:w="650" w:type="pct"/>
            <w:tcBorders>
              <w:bottom w:val="single" w:sz="4" w:space="0" w:color="auto"/>
            </w:tcBorders>
            <w:shd w:val="clear" w:color="auto" w:fill="auto"/>
            <w:vAlign w:val="center"/>
          </w:tcPr>
          <w:p w:rsidR="00735F9E" w:rsidRPr="00CF227F" w:rsidRDefault="00735F9E" w:rsidP="00742456">
            <w:pPr>
              <w:jc w:val="center"/>
              <w:rPr>
                <w:rFonts w:ascii="Arial Narrow" w:hAnsi="Arial Narrow"/>
                <w:iCs/>
                <w:snapToGrid w:val="0"/>
                <w:sz w:val="20"/>
                <w:szCs w:val="20"/>
              </w:rPr>
            </w:pPr>
            <w:r w:rsidRPr="00CF227F">
              <w:rPr>
                <w:rFonts w:ascii="Arial Narrow" w:hAnsi="Arial Narrow"/>
                <w:sz w:val="20"/>
                <w:szCs w:val="20"/>
              </w:rPr>
              <w:t>1,819</w:t>
            </w:r>
          </w:p>
        </w:tc>
        <w:tc>
          <w:tcPr>
            <w:tcW w:w="650" w:type="pct"/>
            <w:tcBorders>
              <w:bottom w:val="single" w:sz="4" w:space="0" w:color="auto"/>
              <w:right w:val="single" w:sz="4" w:space="0" w:color="auto"/>
            </w:tcBorders>
            <w:shd w:val="clear" w:color="auto" w:fill="auto"/>
            <w:vAlign w:val="center"/>
          </w:tcPr>
          <w:p w:rsidR="00735F9E" w:rsidRPr="00CF227F" w:rsidRDefault="00735F9E" w:rsidP="00742456">
            <w:pPr>
              <w:jc w:val="center"/>
              <w:rPr>
                <w:rFonts w:ascii="Arial Narrow" w:hAnsi="Arial Narrow"/>
                <w:iCs/>
                <w:snapToGrid w:val="0"/>
                <w:sz w:val="20"/>
                <w:szCs w:val="20"/>
              </w:rPr>
            </w:pPr>
            <w:r w:rsidRPr="00CF227F">
              <w:rPr>
                <w:rFonts w:ascii="Arial Narrow" w:hAnsi="Arial Narrow"/>
                <w:sz w:val="20"/>
                <w:szCs w:val="20"/>
              </w:rPr>
              <w:t>1,847</w:t>
            </w:r>
          </w:p>
        </w:tc>
        <w:tc>
          <w:tcPr>
            <w:tcW w:w="652" w:type="pct"/>
            <w:tcBorders>
              <w:bottom w:val="single" w:sz="4" w:space="0" w:color="auto"/>
              <w:right w:val="single" w:sz="4" w:space="0" w:color="auto"/>
            </w:tcBorders>
            <w:vAlign w:val="center"/>
          </w:tcPr>
          <w:p w:rsidR="00735F9E" w:rsidRPr="00CF227F" w:rsidRDefault="00735F9E" w:rsidP="00742456">
            <w:pPr>
              <w:jc w:val="center"/>
              <w:rPr>
                <w:rFonts w:ascii="Arial Narrow" w:hAnsi="Arial Narrow"/>
                <w:snapToGrid w:val="0"/>
                <w:sz w:val="20"/>
                <w:szCs w:val="20"/>
              </w:rPr>
            </w:pPr>
            <w:r w:rsidRPr="00CF227F">
              <w:rPr>
                <w:rFonts w:ascii="Arial Narrow" w:hAnsi="Arial Narrow"/>
                <w:sz w:val="20"/>
                <w:szCs w:val="20"/>
              </w:rPr>
              <w:t>1,874</w:t>
            </w:r>
          </w:p>
        </w:tc>
      </w:tr>
      <w:tr w:rsidR="00735F9E" w:rsidRPr="00CF227F" w:rsidTr="00742456">
        <w:tc>
          <w:tcPr>
            <w:tcW w:w="5000" w:type="pct"/>
            <w:gridSpan w:val="7"/>
            <w:tcBorders>
              <w:left w:val="single" w:sz="4" w:space="0" w:color="auto"/>
              <w:bottom w:val="single" w:sz="4" w:space="0" w:color="auto"/>
              <w:right w:val="single" w:sz="4" w:space="0" w:color="auto"/>
            </w:tcBorders>
            <w:shd w:val="clear" w:color="auto" w:fill="auto"/>
            <w:noWrap/>
            <w:vAlign w:val="center"/>
          </w:tcPr>
          <w:p w:rsidR="00735F9E" w:rsidRPr="00CF227F" w:rsidRDefault="00735F9E" w:rsidP="00742456">
            <w:pPr>
              <w:jc w:val="left"/>
              <w:rPr>
                <w:rFonts w:ascii="Arial Narrow" w:hAnsi="Arial Narrow"/>
                <w:b/>
                <w:sz w:val="20"/>
                <w:szCs w:val="20"/>
              </w:rPr>
            </w:pPr>
            <w:r w:rsidRPr="00CF227F">
              <w:rPr>
                <w:rFonts w:ascii="Arial Narrow" w:hAnsi="Arial Narrow"/>
                <w:b/>
                <w:sz w:val="20"/>
                <w:szCs w:val="20"/>
              </w:rPr>
              <w:t xml:space="preserve">Patients commencing </w:t>
            </w:r>
            <w:r w:rsidR="00153838">
              <w:rPr>
                <w:rFonts w:ascii="Arial Narrow" w:hAnsi="Arial Narrow"/>
                <w:b/>
                <w:sz w:val="20"/>
                <w:szCs w:val="20"/>
              </w:rPr>
              <w:t>first line</w:t>
            </w:r>
            <w:r w:rsidRPr="00CF227F">
              <w:rPr>
                <w:rFonts w:ascii="Arial Narrow" w:hAnsi="Arial Narrow"/>
                <w:b/>
                <w:sz w:val="20"/>
                <w:szCs w:val="20"/>
              </w:rPr>
              <w:t xml:space="preserve"> treatment</w:t>
            </w:r>
          </w:p>
        </w:tc>
      </w:tr>
      <w:tr w:rsidR="00735F9E" w:rsidRPr="00CF227F" w:rsidTr="00742456">
        <w:tc>
          <w:tcPr>
            <w:tcW w:w="1098" w:type="pct"/>
            <w:tcBorders>
              <w:left w:val="single" w:sz="4" w:space="0" w:color="auto"/>
              <w:bottom w:val="single" w:sz="4" w:space="0" w:color="auto"/>
            </w:tcBorders>
            <w:shd w:val="clear" w:color="auto" w:fill="auto"/>
            <w:noWrap/>
            <w:vAlign w:val="center"/>
          </w:tcPr>
          <w:p w:rsidR="00735F9E" w:rsidRPr="00CF227F" w:rsidRDefault="00735F9E" w:rsidP="00742456">
            <w:pPr>
              <w:jc w:val="left"/>
              <w:rPr>
                <w:rFonts w:ascii="Arial Narrow" w:hAnsi="Arial Narrow"/>
                <w:snapToGrid w:val="0"/>
                <w:sz w:val="20"/>
                <w:szCs w:val="20"/>
              </w:rPr>
            </w:pPr>
            <w:r w:rsidRPr="00CF227F">
              <w:rPr>
                <w:rFonts w:ascii="Arial Narrow" w:hAnsi="Arial Narrow"/>
                <w:snapToGrid w:val="0"/>
                <w:sz w:val="20"/>
                <w:szCs w:val="20"/>
              </w:rPr>
              <w:t>During year of diagnosis (</w:t>
            </w:r>
            <w:r w:rsidR="00DD40E7">
              <w:rPr>
                <w:rFonts w:ascii="Arial Narrow" w:hAnsi="Arial Narrow"/>
                <w:noProof/>
                <w:snapToGrid w:val="0"/>
                <w:color w:val="000000"/>
                <w:sz w:val="20"/>
                <w:szCs w:val="20"/>
                <w:highlight w:val="black"/>
              </w:rPr>
              <w:t>'''''</w:t>
            </w:r>
            <w:r w:rsidRPr="00CF227F">
              <w:rPr>
                <w:rFonts w:ascii="Arial Narrow" w:hAnsi="Arial Narrow"/>
                <w:snapToGrid w:val="0"/>
                <w:sz w:val="20"/>
                <w:szCs w:val="20"/>
              </w:rPr>
              <w:t>%)</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right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2" w:type="pct"/>
            <w:tcBorders>
              <w:bottom w:val="single" w:sz="4" w:space="0" w:color="auto"/>
              <w:right w:val="single" w:sz="4" w:space="0" w:color="auto"/>
            </w:tcBorders>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5F9E" w:rsidRPr="00CF227F" w:rsidTr="00742456">
        <w:tc>
          <w:tcPr>
            <w:tcW w:w="1098" w:type="pct"/>
            <w:tcBorders>
              <w:top w:val="single" w:sz="4" w:space="0" w:color="auto"/>
              <w:left w:val="single" w:sz="4" w:space="0" w:color="auto"/>
              <w:bottom w:val="single" w:sz="4" w:space="0" w:color="auto"/>
            </w:tcBorders>
            <w:shd w:val="clear" w:color="auto" w:fill="auto"/>
            <w:noWrap/>
            <w:vAlign w:val="center"/>
          </w:tcPr>
          <w:p w:rsidR="00735F9E" w:rsidRPr="00DB4540" w:rsidRDefault="00735F9E" w:rsidP="00742456">
            <w:pPr>
              <w:jc w:val="left"/>
              <w:rPr>
                <w:rFonts w:ascii="Arial Narrow" w:hAnsi="Arial Narrow"/>
                <w:snapToGrid w:val="0"/>
                <w:sz w:val="20"/>
                <w:szCs w:val="20"/>
              </w:rPr>
            </w:pPr>
            <w:r w:rsidRPr="00CF227F">
              <w:rPr>
                <w:rFonts w:ascii="Arial Narrow" w:hAnsi="Arial Narrow"/>
                <w:snapToGrid w:val="0"/>
                <w:sz w:val="20"/>
                <w:szCs w:val="20"/>
              </w:rPr>
              <w:t>1</w:t>
            </w:r>
            <w:r>
              <w:rPr>
                <w:rFonts w:ascii="Arial Narrow" w:hAnsi="Arial Narrow"/>
                <w:snapToGrid w:val="0"/>
                <w:sz w:val="20"/>
                <w:szCs w:val="20"/>
              </w:rPr>
              <w:t>-4</w:t>
            </w:r>
            <w:r w:rsidRPr="00CF227F">
              <w:rPr>
                <w:rFonts w:ascii="Arial Narrow" w:hAnsi="Arial Narrow"/>
                <w:snapToGrid w:val="0"/>
                <w:sz w:val="20"/>
                <w:szCs w:val="20"/>
              </w:rPr>
              <w:t xml:space="preserve"> year</w:t>
            </w:r>
            <w:r>
              <w:rPr>
                <w:rFonts w:ascii="Arial Narrow" w:hAnsi="Arial Narrow"/>
                <w:snapToGrid w:val="0"/>
                <w:sz w:val="20"/>
                <w:szCs w:val="20"/>
              </w:rPr>
              <w:t>s</w:t>
            </w:r>
            <w:r w:rsidRPr="00CF227F">
              <w:rPr>
                <w:rFonts w:ascii="Arial Narrow" w:hAnsi="Arial Narrow"/>
                <w:snapToGrid w:val="0"/>
                <w:sz w:val="20"/>
                <w:szCs w:val="20"/>
              </w:rPr>
              <w:t xml:space="preserve"> after diagnosis</w:t>
            </w:r>
            <w:r>
              <w:rPr>
                <w:rFonts w:ascii="Arial Narrow" w:hAnsi="Arial Narrow"/>
                <w:snapToGrid w:val="0"/>
                <w:sz w:val="20"/>
                <w:szCs w:val="20"/>
              </w:rPr>
              <w:t>, from ‘watch &amp; wait’ pool</w:t>
            </w:r>
            <w:r w:rsidRPr="00CF227F">
              <w:rPr>
                <w:rFonts w:ascii="Arial Narrow" w:hAnsi="Arial Narrow"/>
                <w:snapToGrid w:val="0"/>
                <w:sz w:val="20"/>
                <w:szCs w:val="20"/>
              </w:rPr>
              <w:t xml:space="preserve"> (</w:t>
            </w:r>
            <w:r w:rsidR="00DD40E7">
              <w:rPr>
                <w:rFonts w:ascii="Arial Narrow" w:hAnsi="Arial Narrow"/>
                <w:noProof/>
                <w:snapToGrid w:val="0"/>
                <w:color w:val="000000"/>
                <w:sz w:val="20"/>
                <w:szCs w:val="20"/>
                <w:highlight w:val="black"/>
              </w:rPr>
              <w:t>''''''''</w:t>
            </w:r>
            <w:r w:rsidRPr="00CF227F">
              <w:rPr>
                <w:rFonts w:ascii="Arial Narrow" w:hAnsi="Arial Narrow"/>
                <w:snapToGrid w:val="0"/>
                <w:sz w:val="20"/>
                <w:szCs w:val="20"/>
              </w:rPr>
              <w:t>%</w:t>
            </w:r>
            <w:r>
              <w:rPr>
                <w:rFonts w:ascii="Arial Narrow" w:hAnsi="Arial Narrow"/>
                <w:snapToGrid w:val="0"/>
                <w:sz w:val="20"/>
                <w:szCs w:val="20"/>
              </w:rPr>
              <w:t xml:space="preserve"> per year</w:t>
            </w:r>
            <w:r w:rsidRPr="00CF227F">
              <w:rPr>
                <w:rFonts w:ascii="Arial Narrow" w:hAnsi="Arial Narrow"/>
                <w:snapToGrid w:val="0"/>
                <w:sz w:val="20"/>
                <w:szCs w:val="20"/>
              </w:rPr>
              <w:t>)</w:t>
            </w:r>
            <w:r>
              <w:rPr>
                <w:rFonts w:ascii="Arial Narrow" w:hAnsi="Arial Narrow"/>
                <w:snapToGrid w:val="0"/>
                <w:sz w:val="20"/>
                <w:szCs w:val="20"/>
                <w:vertAlign w:val="superscript"/>
              </w:rPr>
              <w:t>a</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highlight w:val="black"/>
              </w:rPr>
              <w:t>''''''''''</w:t>
            </w:r>
          </w:p>
        </w:tc>
        <w:tc>
          <w:tcPr>
            <w:tcW w:w="650" w:type="pct"/>
            <w:tcBorders>
              <w:top w:val="single" w:sz="4" w:space="0" w:color="auto"/>
              <w:bottom w:val="single" w:sz="4" w:space="0" w:color="auto"/>
              <w:right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highlight w:val="black"/>
              </w:rPr>
              <w:t>''''''''''</w:t>
            </w:r>
          </w:p>
        </w:tc>
        <w:tc>
          <w:tcPr>
            <w:tcW w:w="652" w:type="pct"/>
            <w:tcBorders>
              <w:top w:val="single" w:sz="4" w:space="0" w:color="auto"/>
              <w:bottom w:val="single" w:sz="4" w:space="0" w:color="auto"/>
              <w:right w:val="single" w:sz="4" w:space="0" w:color="auto"/>
            </w:tcBorders>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highlight w:val="black"/>
              </w:rPr>
              <w:t>''''''''''</w:t>
            </w:r>
          </w:p>
        </w:tc>
      </w:tr>
      <w:tr w:rsidR="00735F9E" w:rsidRPr="00CF227F" w:rsidTr="00742456">
        <w:tc>
          <w:tcPr>
            <w:tcW w:w="1098" w:type="pct"/>
            <w:tcBorders>
              <w:top w:val="single" w:sz="4" w:space="0" w:color="auto"/>
              <w:left w:val="single" w:sz="4" w:space="0" w:color="auto"/>
              <w:bottom w:val="single" w:sz="4" w:space="0" w:color="auto"/>
            </w:tcBorders>
            <w:shd w:val="clear" w:color="auto" w:fill="auto"/>
            <w:noWrap/>
            <w:vAlign w:val="center"/>
          </w:tcPr>
          <w:p w:rsidR="00735F9E" w:rsidRPr="00CF227F" w:rsidRDefault="00735F9E" w:rsidP="00742456">
            <w:pPr>
              <w:jc w:val="left"/>
              <w:rPr>
                <w:rFonts w:ascii="Arial Narrow" w:hAnsi="Arial Narrow"/>
                <w:snapToGrid w:val="0"/>
                <w:sz w:val="20"/>
                <w:szCs w:val="20"/>
              </w:rPr>
            </w:pPr>
            <w:r w:rsidRPr="00CF227F">
              <w:rPr>
                <w:rFonts w:ascii="Arial Narrow" w:hAnsi="Arial Narrow"/>
                <w:snapToGrid w:val="0"/>
                <w:sz w:val="20"/>
                <w:szCs w:val="20"/>
              </w:rPr>
              <w:t xml:space="preserve">Total </w:t>
            </w:r>
            <w:r w:rsidR="00153838">
              <w:rPr>
                <w:rFonts w:ascii="Arial Narrow" w:hAnsi="Arial Narrow"/>
                <w:snapToGrid w:val="0"/>
                <w:sz w:val="20"/>
                <w:szCs w:val="20"/>
              </w:rPr>
              <w:t>first line</w:t>
            </w:r>
            <w:r w:rsidRPr="00CF227F">
              <w:rPr>
                <w:rFonts w:ascii="Arial Narrow" w:hAnsi="Arial Narrow"/>
                <w:snapToGrid w:val="0"/>
                <w:sz w:val="20"/>
                <w:szCs w:val="20"/>
              </w:rPr>
              <w:t xml:space="preserve"> patients</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right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2" w:type="pct"/>
            <w:tcBorders>
              <w:top w:val="single" w:sz="4" w:space="0" w:color="auto"/>
              <w:bottom w:val="single" w:sz="4" w:space="0" w:color="auto"/>
              <w:right w:val="single" w:sz="4" w:space="0" w:color="auto"/>
            </w:tcBorders>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5F9E" w:rsidRPr="00CF227F" w:rsidTr="00742456">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735F9E" w:rsidRPr="00CF227F" w:rsidRDefault="00735F9E" w:rsidP="00742456">
            <w:pPr>
              <w:rPr>
                <w:rFonts w:ascii="Arial Narrow" w:hAnsi="Arial Narrow"/>
                <w:b/>
                <w:snapToGrid w:val="0"/>
                <w:sz w:val="20"/>
                <w:szCs w:val="20"/>
              </w:rPr>
            </w:pPr>
            <w:r>
              <w:rPr>
                <w:rFonts w:ascii="Arial Narrow" w:hAnsi="Arial Narrow"/>
                <w:b/>
                <w:snapToGrid w:val="0"/>
                <w:sz w:val="20"/>
                <w:szCs w:val="20"/>
              </w:rPr>
              <w:t>Estimated use of venetoclax + obinutuzumab</w:t>
            </w:r>
          </w:p>
        </w:tc>
      </w:tr>
      <w:tr w:rsidR="00735F9E" w:rsidRPr="00CF227F" w:rsidTr="00742456">
        <w:tc>
          <w:tcPr>
            <w:tcW w:w="1098" w:type="pct"/>
            <w:tcBorders>
              <w:top w:val="single" w:sz="4" w:space="0" w:color="auto"/>
              <w:left w:val="single" w:sz="4" w:space="0" w:color="auto"/>
              <w:bottom w:val="single" w:sz="4" w:space="0" w:color="auto"/>
            </w:tcBorders>
            <w:shd w:val="clear" w:color="auto" w:fill="auto"/>
            <w:noWrap/>
            <w:vAlign w:val="center"/>
          </w:tcPr>
          <w:p w:rsidR="00735F9E" w:rsidRPr="00CF227F" w:rsidRDefault="00A527DC" w:rsidP="00742456">
            <w:pPr>
              <w:jc w:val="left"/>
              <w:rPr>
                <w:rFonts w:ascii="Arial Narrow" w:hAnsi="Arial Narrow"/>
                <w:snapToGrid w:val="0"/>
                <w:sz w:val="20"/>
                <w:szCs w:val="20"/>
              </w:rPr>
            </w:pPr>
            <w:r>
              <w:rPr>
                <w:rFonts w:ascii="Arial Narrow" w:hAnsi="Arial Narrow"/>
                <w:snapToGrid w:val="0"/>
                <w:sz w:val="20"/>
                <w:szCs w:val="20"/>
              </w:rPr>
              <w:t>Patients with co</w:t>
            </w:r>
            <w:r w:rsidR="00735F9E">
              <w:rPr>
                <w:rFonts w:ascii="Arial Narrow" w:hAnsi="Arial Narrow"/>
                <w:snapToGrid w:val="0"/>
                <w:sz w:val="20"/>
                <w:szCs w:val="20"/>
              </w:rPr>
              <w:t>existing conditi</w:t>
            </w:r>
            <w:r>
              <w:rPr>
                <w:rFonts w:ascii="Arial Narrow" w:hAnsi="Arial Narrow"/>
                <w:snapToGrid w:val="0"/>
                <w:sz w:val="20"/>
                <w:szCs w:val="20"/>
              </w:rPr>
              <w:t xml:space="preserve">ons, unsuitable for fludarabine </w:t>
            </w:r>
            <w:r w:rsidR="00735F9E">
              <w:rPr>
                <w:rFonts w:ascii="Arial Narrow" w:hAnsi="Arial Narrow"/>
                <w:snapToGrid w:val="0"/>
                <w:sz w:val="20"/>
                <w:szCs w:val="20"/>
              </w:rPr>
              <w:t>based chemo</w:t>
            </w:r>
            <w:r>
              <w:rPr>
                <w:rFonts w:ascii="Arial Narrow" w:hAnsi="Arial Narrow"/>
                <w:snapToGrid w:val="0"/>
                <w:sz w:val="20"/>
                <w:szCs w:val="20"/>
              </w:rPr>
              <w:t>-</w:t>
            </w:r>
            <w:r w:rsidR="00735F9E">
              <w:rPr>
                <w:rFonts w:ascii="Arial Narrow" w:hAnsi="Arial Narrow"/>
                <w:snapToGrid w:val="0"/>
                <w:sz w:val="20"/>
                <w:szCs w:val="20"/>
              </w:rPr>
              <w:t>immunotherapy (</w:t>
            </w:r>
            <w:r w:rsidR="00DD40E7">
              <w:rPr>
                <w:rFonts w:ascii="Arial Narrow" w:hAnsi="Arial Narrow"/>
                <w:noProof/>
                <w:snapToGrid w:val="0"/>
                <w:color w:val="000000"/>
                <w:sz w:val="20"/>
                <w:szCs w:val="20"/>
                <w:highlight w:val="black"/>
              </w:rPr>
              <w:t>''''''</w:t>
            </w:r>
            <w:r w:rsidR="00735F9E" w:rsidRPr="00CF227F">
              <w:rPr>
                <w:rFonts w:ascii="Arial Narrow" w:hAnsi="Arial Narrow"/>
                <w:snapToGrid w:val="0"/>
                <w:sz w:val="20"/>
                <w:szCs w:val="20"/>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right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2" w:type="pct"/>
            <w:tcBorders>
              <w:top w:val="single" w:sz="4" w:space="0" w:color="auto"/>
              <w:bottom w:val="single" w:sz="4" w:space="0" w:color="auto"/>
              <w:right w:val="single" w:sz="4" w:space="0" w:color="auto"/>
            </w:tcBorders>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5F9E" w:rsidRPr="00CF227F" w:rsidTr="00742456">
        <w:tc>
          <w:tcPr>
            <w:tcW w:w="1098" w:type="pct"/>
            <w:tcBorders>
              <w:top w:val="single" w:sz="4" w:space="0" w:color="auto"/>
              <w:left w:val="single" w:sz="4" w:space="0" w:color="auto"/>
              <w:bottom w:val="single" w:sz="4" w:space="0" w:color="auto"/>
            </w:tcBorders>
            <w:shd w:val="clear" w:color="auto" w:fill="auto"/>
            <w:noWrap/>
            <w:vAlign w:val="center"/>
          </w:tcPr>
          <w:p w:rsidR="00735F9E" w:rsidRPr="00CF227F" w:rsidRDefault="00735F9E" w:rsidP="00742456">
            <w:pPr>
              <w:jc w:val="left"/>
              <w:rPr>
                <w:rFonts w:ascii="Arial Narrow" w:hAnsi="Arial Narrow"/>
                <w:snapToGrid w:val="0"/>
                <w:sz w:val="20"/>
                <w:szCs w:val="20"/>
              </w:rPr>
            </w:pPr>
            <w:r>
              <w:rPr>
                <w:rFonts w:ascii="Arial Narrow" w:hAnsi="Arial Narrow"/>
                <w:sz w:val="20"/>
                <w:szCs w:val="20"/>
              </w:rPr>
              <w:t>Uptake rates</w:t>
            </w:r>
          </w:p>
        </w:tc>
        <w:tc>
          <w:tcPr>
            <w:tcW w:w="650" w:type="pct"/>
            <w:tcBorders>
              <w:top w:val="single" w:sz="4" w:space="0" w:color="auto"/>
              <w:bottom w:val="single" w:sz="4" w:space="0" w:color="auto"/>
            </w:tcBorders>
            <w:shd w:val="clear" w:color="auto" w:fill="auto"/>
            <w:vAlign w:val="center"/>
          </w:tcPr>
          <w:p w:rsidR="00735F9E" w:rsidRPr="00D02952" w:rsidRDefault="00DD40E7" w:rsidP="00742456">
            <w:pPr>
              <w:jc w:val="center"/>
              <w:rPr>
                <w:rFonts w:ascii="Arial Narrow" w:hAnsi="Arial Narrow"/>
                <w:sz w:val="20"/>
                <w:szCs w:val="20"/>
              </w:rPr>
            </w:pPr>
            <w:r>
              <w:rPr>
                <w:rFonts w:ascii="Arial Narrow" w:hAnsi="Arial Narrow"/>
                <w:noProof/>
                <w:color w:val="000000"/>
                <w:sz w:val="20"/>
                <w:szCs w:val="20"/>
                <w:highlight w:val="black"/>
              </w:rPr>
              <w:t>''''''</w:t>
            </w:r>
            <w:r w:rsidR="00735F9E" w:rsidRPr="00D02952">
              <w:rPr>
                <w:rFonts w:ascii="Arial Narrow" w:hAnsi="Arial Narrow"/>
                <w:sz w:val="20"/>
                <w:szCs w:val="20"/>
              </w:rPr>
              <w:t>%</w:t>
            </w:r>
          </w:p>
        </w:tc>
        <w:tc>
          <w:tcPr>
            <w:tcW w:w="650" w:type="pct"/>
            <w:tcBorders>
              <w:top w:val="single" w:sz="4" w:space="0" w:color="auto"/>
              <w:bottom w:val="single" w:sz="4" w:space="0" w:color="auto"/>
            </w:tcBorders>
            <w:shd w:val="clear" w:color="auto" w:fill="auto"/>
            <w:vAlign w:val="center"/>
          </w:tcPr>
          <w:p w:rsidR="00735F9E" w:rsidRPr="00D02952" w:rsidRDefault="00DD40E7" w:rsidP="00742456">
            <w:pPr>
              <w:jc w:val="center"/>
              <w:rPr>
                <w:rFonts w:ascii="Arial Narrow" w:hAnsi="Arial Narrow"/>
                <w:sz w:val="20"/>
                <w:szCs w:val="20"/>
              </w:rPr>
            </w:pPr>
            <w:r>
              <w:rPr>
                <w:rFonts w:ascii="Arial Narrow" w:hAnsi="Arial Narrow"/>
                <w:noProof/>
                <w:color w:val="000000"/>
                <w:sz w:val="20"/>
                <w:szCs w:val="20"/>
                <w:highlight w:val="black"/>
              </w:rPr>
              <w:t>'''''''</w:t>
            </w:r>
            <w:r w:rsidR="00735F9E" w:rsidRPr="00D02952">
              <w:rPr>
                <w:rFonts w:ascii="Arial Narrow" w:hAnsi="Arial Narrow"/>
                <w:sz w:val="20"/>
                <w:szCs w:val="20"/>
              </w:rPr>
              <w:t>%</w:t>
            </w:r>
          </w:p>
        </w:tc>
        <w:tc>
          <w:tcPr>
            <w:tcW w:w="650" w:type="pct"/>
            <w:tcBorders>
              <w:top w:val="single" w:sz="4" w:space="0" w:color="auto"/>
              <w:bottom w:val="single" w:sz="4" w:space="0" w:color="auto"/>
            </w:tcBorders>
            <w:shd w:val="clear" w:color="auto" w:fill="auto"/>
            <w:vAlign w:val="center"/>
          </w:tcPr>
          <w:p w:rsidR="00735F9E" w:rsidRPr="00D02952" w:rsidRDefault="00DD40E7" w:rsidP="00742456">
            <w:pPr>
              <w:jc w:val="center"/>
              <w:rPr>
                <w:rFonts w:ascii="Arial Narrow" w:hAnsi="Arial Narrow"/>
                <w:sz w:val="20"/>
                <w:szCs w:val="20"/>
              </w:rPr>
            </w:pPr>
            <w:r>
              <w:rPr>
                <w:rFonts w:ascii="Arial Narrow" w:hAnsi="Arial Narrow"/>
                <w:noProof/>
                <w:color w:val="000000"/>
                <w:sz w:val="20"/>
                <w:szCs w:val="20"/>
                <w:highlight w:val="black"/>
              </w:rPr>
              <w:t>''''''</w:t>
            </w:r>
            <w:r w:rsidR="00735F9E" w:rsidRPr="00D02952">
              <w:rPr>
                <w:rFonts w:ascii="Arial Narrow" w:hAnsi="Arial Narrow"/>
                <w:sz w:val="20"/>
                <w:szCs w:val="20"/>
              </w:rPr>
              <w:t>%</w:t>
            </w:r>
          </w:p>
        </w:tc>
        <w:tc>
          <w:tcPr>
            <w:tcW w:w="650" w:type="pct"/>
            <w:tcBorders>
              <w:top w:val="single" w:sz="4" w:space="0" w:color="auto"/>
              <w:bottom w:val="single" w:sz="4" w:space="0" w:color="auto"/>
            </w:tcBorders>
            <w:shd w:val="clear" w:color="auto" w:fill="auto"/>
            <w:vAlign w:val="center"/>
          </w:tcPr>
          <w:p w:rsidR="00735F9E" w:rsidRPr="00D02952" w:rsidRDefault="00DD40E7" w:rsidP="00742456">
            <w:pPr>
              <w:jc w:val="center"/>
              <w:rPr>
                <w:rFonts w:ascii="Arial Narrow" w:hAnsi="Arial Narrow"/>
                <w:sz w:val="20"/>
                <w:szCs w:val="20"/>
              </w:rPr>
            </w:pPr>
            <w:r>
              <w:rPr>
                <w:rFonts w:ascii="Arial Narrow" w:hAnsi="Arial Narrow"/>
                <w:noProof/>
                <w:color w:val="000000"/>
                <w:sz w:val="20"/>
                <w:szCs w:val="20"/>
                <w:highlight w:val="black"/>
              </w:rPr>
              <w:t>''''''</w:t>
            </w:r>
            <w:r w:rsidR="00735F9E" w:rsidRPr="00D02952">
              <w:rPr>
                <w:rFonts w:ascii="Arial Narrow" w:hAnsi="Arial Narrow"/>
                <w:sz w:val="20"/>
                <w:szCs w:val="20"/>
              </w:rPr>
              <w:t>%</w:t>
            </w:r>
          </w:p>
        </w:tc>
        <w:tc>
          <w:tcPr>
            <w:tcW w:w="650" w:type="pct"/>
            <w:tcBorders>
              <w:top w:val="single" w:sz="4" w:space="0" w:color="auto"/>
              <w:bottom w:val="single" w:sz="4" w:space="0" w:color="auto"/>
              <w:right w:val="single" w:sz="4" w:space="0" w:color="auto"/>
            </w:tcBorders>
            <w:shd w:val="clear" w:color="auto" w:fill="auto"/>
            <w:vAlign w:val="center"/>
          </w:tcPr>
          <w:p w:rsidR="00735F9E" w:rsidRPr="00D02952" w:rsidRDefault="00DD40E7" w:rsidP="00742456">
            <w:pPr>
              <w:jc w:val="center"/>
              <w:rPr>
                <w:rFonts w:ascii="Arial Narrow" w:hAnsi="Arial Narrow"/>
                <w:sz w:val="20"/>
                <w:szCs w:val="20"/>
              </w:rPr>
            </w:pPr>
            <w:r>
              <w:rPr>
                <w:rFonts w:ascii="Arial Narrow" w:hAnsi="Arial Narrow"/>
                <w:noProof/>
                <w:color w:val="000000"/>
                <w:sz w:val="20"/>
                <w:szCs w:val="20"/>
                <w:highlight w:val="black"/>
              </w:rPr>
              <w:t>''''''</w:t>
            </w:r>
            <w:r w:rsidR="00735F9E" w:rsidRPr="00D02952">
              <w:rPr>
                <w:rFonts w:ascii="Arial Narrow" w:hAnsi="Arial Narrow"/>
                <w:sz w:val="20"/>
                <w:szCs w:val="20"/>
              </w:rPr>
              <w:t>%</w:t>
            </w:r>
          </w:p>
        </w:tc>
        <w:tc>
          <w:tcPr>
            <w:tcW w:w="652" w:type="pct"/>
            <w:tcBorders>
              <w:top w:val="single" w:sz="4" w:space="0" w:color="auto"/>
              <w:bottom w:val="single" w:sz="4" w:space="0" w:color="auto"/>
              <w:right w:val="single" w:sz="4" w:space="0" w:color="auto"/>
            </w:tcBorders>
            <w:vAlign w:val="center"/>
          </w:tcPr>
          <w:p w:rsidR="00735F9E" w:rsidRPr="00D02952" w:rsidRDefault="00DD40E7" w:rsidP="00742456">
            <w:pPr>
              <w:jc w:val="center"/>
              <w:rPr>
                <w:rFonts w:ascii="Arial Narrow" w:hAnsi="Arial Narrow"/>
                <w:sz w:val="20"/>
                <w:szCs w:val="20"/>
              </w:rPr>
            </w:pPr>
            <w:r>
              <w:rPr>
                <w:rFonts w:ascii="Arial Narrow" w:hAnsi="Arial Narrow"/>
                <w:noProof/>
                <w:color w:val="000000"/>
                <w:sz w:val="20"/>
                <w:szCs w:val="20"/>
                <w:highlight w:val="black"/>
              </w:rPr>
              <w:t>''''''</w:t>
            </w:r>
            <w:r w:rsidR="00735F9E" w:rsidRPr="00D02952">
              <w:rPr>
                <w:rFonts w:ascii="Arial Narrow" w:hAnsi="Arial Narrow"/>
                <w:sz w:val="20"/>
                <w:szCs w:val="20"/>
              </w:rPr>
              <w:t>%</w:t>
            </w:r>
          </w:p>
        </w:tc>
      </w:tr>
      <w:tr w:rsidR="00735F9E" w:rsidRPr="00CF227F" w:rsidTr="00742456">
        <w:tc>
          <w:tcPr>
            <w:tcW w:w="1098" w:type="pct"/>
            <w:tcBorders>
              <w:top w:val="single" w:sz="4" w:space="0" w:color="auto"/>
              <w:left w:val="single" w:sz="4" w:space="0" w:color="auto"/>
              <w:bottom w:val="single" w:sz="4" w:space="0" w:color="auto"/>
            </w:tcBorders>
            <w:shd w:val="clear" w:color="auto" w:fill="auto"/>
            <w:noWrap/>
            <w:vAlign w:val="center"/>
          </w:tcPr>
          <w:p w:rsidR="00735F9E" w:rsidRPr="00CF227F" w:rsidRDefault="00735F9E" w:rsidP="00742456">
            <w:pPr>
              <w:jc w:val="left"/>
              <w:rPr>
                <w:rFonts w:ascii="Arial Narrow" w:hAnsi="Arial Narrow"/>
                <w:snapToGrid w:val="0"/>
                <w:sz w:val="20"/>
                <w:szCs w:val="20"/>
              </w:rPr>
            </w:pPr>
            <w:r>
              <w:rPr>
                <w:rFonts w:ascii="Arial Narrow" w:hAnsi="Arial Narrow"/>
                <w:sz w:val="20"/>
                <w:szCs w:val="20"/>
              </w:rPr>
              <w:t>Total patients</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right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2" w:type="pct"/>
            <w:tcBorders>
              <w:top w:val="single" w:sz="4" w:space="0" w:color="auto"/>
              <w:bottom w:val="single" w:sz="4" w:space="0" w:color="auto"/>
              <w:right w:val="single" w:sz="4" w:space="0" w:color="auto"/>
            </w:tcBorders>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5F9E" w:rsidRPr="00CF227F" w:rsidTr="00742456">
        <w:tc>
          <w:tcPr>
            <w:tcW w:w="1098" w:type="pct"/>
            <w:tcBorders>
              <w:top w:val="single" w:sz="4" w:space="0" w:color="auto"/>
              <w:left w:val="single" w:sz="4" w:space="0" w:color="auto"/>
              <w:bottom w:val="single" w:sz="4" w:space="0" w:color="auto"/>
            </w:tcBorders>
            <w:shd w:val="clear" w:color="auto" w:fill="auto"/>
            <w:noWrap/>
            <w:vAlign w:val="center"/>
          </w:tcPr>
          <w:p w:rsidR="00735F9E" w:rsidRPr="00CF227F" w:rsidRDefault="00735F9E" w:rsidP="00742456">
            <w:pPr>
              <w:jc w:val="left"/>
              <w:rPr>
                <w:rFonts w:ascii="Arial Narrow" w:hAnsi="Arial Narrow"/>
                <w:sz w:val="20"/>
                <w:szCs w:val="20"/>
              </w:rPr>
            </w:pPr>
            <w:r>
              <w:rPr>
                <w:rFonts w:ascii="Arial Narrow" w:hAnsi="Arial Narrow"/>
                <w:sz w:val="20"/>
                <w:szCs w:val="20"/>
              </w:rPr>
              <w:t>Venetoclax initial scripts (1 per course)</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vertAlign w:val="superscript"/>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top w:val="single" w:sz="4" w:space="0" w:color="auto"/>
              <w:bottom w:val="single" w:sz="4" w:space="0" w:color="auto"/>
              <w:right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2" w:type="pct"/>
            <w:tcBorders>
              <w:top w:val="single" w:sz="4" w:space="0" w:color="auto"/>
              <w:bottom w:val="single" w:sz="4" w:space="0" w:color="auto"/>
              <w:right w:val="single" w:sz="4" w:space="0" w:color="auto"/>
            </w:tcBorders>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5F9E" w:rsidRPr="00CF227F" w:rsidTr="00742456">
        <w:tc>
          <w:tcPr>
            <w:tcW w:w="1098" w:type="pct"/>
            <w:tcBorders>
              <w:left w:val="single" w:sz="4" w:space="0" w:color="auto"/>
              <w:bottom w:val="single" w:sz="4" w:space="0" w:color="auto"/>
            </w:tcBorders>
            <w:shd w:val="clear" w:color="auto" w:fill="auto"/>
            <w:noWrap/>
            <w:vAlign w:val="center"/>
          </w:tcPr>
          <w:p w:rsidR="00735F9E" w:rsidRPr="00CF227F" w:rsidRDefault="00735F9E" w:rsidP="00742456">
            <w:pPr>
              <w:jc w:val="left"/>
              <w:rPr>
                <w:rFonts w:ascii="Arial Narrow" w:hAnsi="Arial Narrow"/>
                <w:sz w:val="20"/>
                <w:szCs w:val="20"/>
              </w:rPr>
            </w:pPr>
            <w:r>
              <w:rPr>
                <w:rFonts w:ascii="Arial Narrow" w:hAnsi="Arial Narrow"/>
                <w:sz w:val="20"/>
                <w:szCs w:val="20"/>
              </w:rPr>
              <w:t>Venetoclax continuing scripts (8.7 per course)</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right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2" w:type="pct"/>
            <w:tcBorders>
              <w:bottom w:val="single" w:sz="4" w:space="0" w:color="auto"/>
              <w:right w:val="single" w:sz="4" w:space="0" w:color="auto"/>
            </w:tcBorders>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5F9E" w:rsidRPr="00CF227F" w:rsidTr="00742456">
        <w:tc>
          <w:tcPr>
            <w:tcW w:w="1098" w:type="pct"/>
            <w:tcBorders>
              <w:left w:val="single" w:sz="4" w:space="0" w:color="auto"/>
              <w:bottom w:val="single" w:sz="4" w:space="0" w:color="auto"/>
            </w:tcBorders>
            <w:shd w:val="clear" w:color="auto" w:fill="auto"/>
            <w:noWrap/>
            <w:vAlign w:val="center"/>
          </w:tcPr>
          <w:p w:rsidR="00735F9E" w:rsidRPr="00CF227F" w:rsidRDefault="00735F9E" w:rsidP="00742456">
            <w:pPr>
              <w:jc w:val="left"/>
              <w:rPr>
                <w:rFonts w:ascii="Arial Narrow" w:hAnsi="Arial Narrow"/>
                <w:b/>
                <w:sz w:val="20"/>
                <w:szCs w:val="20"/>
              </w:rPr>
            </w:pPr>
            <w:r>
              <w:rPr>
                <w:rFonts w:ascii="Arial Narrow" w:hAnsi="Arial Narrow"/>
                <w:sz w:val="20"/>
                <w:szCs w:val="20"/>
              </w:rPr>
              <w:t>Total venetoclax</w:t>
            </w:r>
            <w:r w:rsidRPr="00CF227F">
              <w:rPr>
                <w:rFonts w:ascii="Arial Narrow" w:hAnsi="Arial Narrow"/>
                <w:sz w:val="20"/>
                <w:szCs w:val="20"/>
              </w:rPr>
              <w:t xml:space="preserve"> </w:t>
            </w:r>
            <w:r>
              <w:rPr>
                <w:rFonts w:ascii="Arial Narrow" w:hAnsi="Arial Narrow"/>
                <w:sz w:val="20"/>
                <w:szCs w:val="20"/>
              </w:rPr>
              <w:t>cost (DPMQ)</w:t>
            </w:r>
          </w:p>
        </w:tc>
        <w:tc>
          <w:tcPr>
            <w:tcW w:w="650" w:type="pct"/>
            <w:tcBorders>
              <w:bottom w:val="single" w:sz="4" w:space="0" w:color="auto"/>
            </w:tcBorders>
            <w:shd w:val="clear" w:color="auto" w:fill="auto"/>
            <w:vAlign w:val="center"/>
          </w:tcPr>
          <w:p w:rsidR="00735F9E" w:rsidRPr="00CF227F" w:rsidRDefault="00735F9E" w:rsidP="00742456">
            <w:pPr>
              <w:jc w:val="center"/>
              <w:rPr>
                <w:rFonts w:ascii="Arial Narrow" w:hAnsi="Arial Narrow"/>
                <w:sz w:val="20"/>
                <w:szCs w:val="20"/>
              </w:rPr>
            </w:pPr>
            <w:r w:rsidRPr="00736DD9">
              <w:rPr>
                <w:rFonts w:ascii="Arial Narrow" w:hAnsi="Arial Narrow"/>
                <w:sz w:val="20"/>
                <w:szCs w:val="20"/>
              </w:rPr>
              <w:t>$</w:t>
            </w:r>
            <w:r w:rsidR="00DD40E7">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CF227F" w:rsidRDefault="00735F9E" w:rsidP="00742456">
            <w:pPr>
              <w:jc w:val="center"/>
              <w:rPr>
                <w:rFonts w:ascii="Arial Narrow" w:hAnsi="Arial Narrow"/>
                <w:sz w:val="20"/>
                <w:szCs w:val="20"/>
              </w:rPr>
            </w:pPr>
            <w:r w:rsidRPr="00736DD9">
              <w:rPr>
                <w:rFonts w:ascii="Arial Narrow" w:hAnsi="Arial Narrow"/>
                <w:sz w:val="20"/>
                <w:szCs w:val="20"/>
              </w:rPr>
              <w:t>$</w:t>
            </w:r>
            <w:r w:rsidR="00DD40E7">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CF227F" w:rsidRDefault="00735F9E" w:rsidP="00742456">
            <w:pPr>
              <w:jc w:val="center"/>
              <w:rPr>
                <w:rFonts w:ascii="Arial Narrow" w:hAnsi="Arial Narrow"/>
                <w:sz w:val="20"/>
                <w:szCs w:val="20"/>
              </w:rPr>
            </w:pPr>
            <w:r w:rsidRPr="00736DD9">
              <w:rPr>
                <w:rFonts w:ascii="Arial Narrow" w:hAnsi="Arial Narrow"/>
                <w:sz w:val="20"/>
                <w:szCs w:val="20"/>
              </w:rPr>
              <w:t>$</w:t>
            </w:r>
            <w:r w:rsidR="00DD40E7">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CF227F" w:rsidRDefault="00735F9E" w:rsidP="00742456">
            <w:pPr>
              <w:jc w:val="center"/>
              <w:rPr>
                <w:rFonts w:ascii="Arial Narrow" w:hAnsi="Arial Narrow"/>
                <w:sz w:val="20"/>
                <w:szCs w:val="20"/>
              </w:rPr>
            </w:pPr>
            <w:r w:rsidRPr="00736DD9">
              <w:rPr>
                <w:rFonts w:ascii="Arial Narrow" w:hAnsi="Arial Narrow"/>
                <w:sz w:val="20"/>
                <w:szCs w:val="20"/>
              </w:rPr>
              <w:t>$</w:t>
            </w:r>
            <w:r w:rsidR="00DD40E7">
              <w:rPr>
                <w:rFonts w:ascii="Arial Narrow" w:hAnsi="Arial Narrow"/>
                <w:noProof/>
                <w:color w:val="000000"/>
                <w:sz w:val="20"/>
                <w:szCs w:val="20"/>
                <w:highlight w:val="black"/>
              </w:rPr>
              <w:t>'''''''''''''''''''''''''</w:t>
            </w:r>
          </w:p>
        </w:tc>
        <w:tc>
          <w:tcPr>
            <w:tcW w:w="650" w:type="pct"/>
            <w:tcBorders>
              <w:bottom w:val="single" w:sz="4" w:space="0" w:color="auto"/>
              <w:right w:val="single" w:sz="4" w:space="0" w:color="auto"/>
            </w:tcBorders>
            <w:shd w:val="clear" w:color="auto" w:fill="auto"/>
            <w:vAlign w:val="center"/>
          </w:tcPr>
          <w:p w:rsidR="00735F9E" w:rsidRPr="00CF227F" w:rsidRDefault="00735F9E" w:rsidP="00742456">
            <w:pPr>
              <w:jc w:val="center"/>
              <w:rPr>
                <w:rFonts w:ascii="Arial Narrow" w:hAnsi="Arial Narrow"/>
                <w:sz w:val="20"/>
                <w:szCs w:val="20"/>
              </w:rPr>
            </w:pPr>
            <w:r w:rsidRPr="00736DD9">
              <w:rPr>
                <w:rFonts w:ascii="Arial Narrow" w:hAnsi="Arial Narrow"/>
                <w:sz w:val="20"/>
                <w:szCs w:val="20"/>
              </w:rPr>
              <w:t>$</w:t>
            </w:r>
            <w:r w:rsidR="00DD40E7">
              <w:rPr>
                <w:rFonts w:ascii="Arial Narrow" w:hAnsi="Arial Narrow"/>
                <w:noProof/>
                <w:color w:val="000000"/>
                <w:sz w:val="20"/>
                <w:szCs w:val="20"/>
                <w:highlight w:val="black"/>
              </w:rPr>
              <w:t>'''''''''''''''''''''''''''''</w:t>
            </w:r>
          </w:p>
        </w:tc>
        <w:tc>
          <w:tcPr>
            <w:tcW w:w="652" w:type="pct"/>
            <w:tcBorders>
              <w:bottom w:val="single" w:sz="4" w:space="0" w:color="auto"/>
              <w:right w:val="single" w:sz="4" w:space="0" w:color="auto"/>
            </w:tcBorders>
            <w:vAlign w:val="center"/>
          </w:tcPr>
          <w:p w:rsidR="00735F9E" w:rsidRPr="00CF227F" w:rsidRDefault="00735F9E" w:rsidP="00742456">
            <w:pPr>
              <w:jc w:val="center"/>
              <w:rPr>
                <w:rFonts w:ascii="Arial Narrow" w:hAnsi="Arial Narrow"/>
                <w:sz w:val="20"/>
                <w:szCs w:val="20"/>
              </w:rPr>
            </w:pPr>
            <w:r w:rsidRPr="00736DD9">
              <w:rPr>
                <w:rFonts w:ascii="Arial Narrow" w:hAnsi="Arial Narrow"/>
                <w:sz w:val="20"/>
                <w:szCs w:val="20"/>
              </w:rPr>
              <w:t>$</w:t>
            </w:r>
            <w:r w:rsidR="00DD40E7">
              <w:rPr>
                <w:rFonts w:ascii="Arial Narrow" w:hAnsi="Arial Narrow"/>
                <w:noProof/>
                <w:color w:val="000000"/>
                <w:sz w:val="20"/>
                <w:szCs w:val="20"/>
                <w:highlight w:val="black"/>
              </w:rPr>
              <w:t>''''''''''''''''''''''''''''</w:t>
            </w:r>
          </w:p>
        </w:tc>
      </w:tr>
      <w:tr w:rsidR="00735F9E" w:rsidRPr="00CF227F" w:rsidTr="00742456">
        <w:tc>
          <w:tcPr>
            <w:tcW w:w="1098" w:type="pct"/>
            <w:tcBorders>
              <w:left w:val="single" w:sz="4" w:space="0" w:color="auto"/>
              <w:bottom w:val="single" w:sz="4" w:space="0" w:color="auto"/>
            </w:tcBorders>
            <w:shd w:val="clear" w:color="auto" w:fill="auto"/>
            <w:noWrap/>
            <w:vAlign w:val="center"/>
          </w:tcPr>
          <w:p w:rsidR="00735F9E" w:rsidRPr="00CF227F" w:rsidRDefault="00735F9E" w:rsidP="00742456">
            <w:pPr>
              <w:jc w:val="left"/>
              <w:rPr>
                <w:rFonts w:ascii="Arial Narrow" w:hAnsi="Arial Narrow"/>
                <w:sz w:val="20"/>
                <w:szCs w:val="20"/>
              </w:rPr>
            </w:pPr>
            <w:r>
              <w:rPr>
                <w:rFonts w:ascii="Arial Narrow" w:hAnsi="Arial Narrow"/>
                <w:sz w:val="20"/>
                <w:szCs w:val="20"/>
              </w:rPr>
              <w:t>Obinutuzumab scripts (7.4 per course)</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bottom w:val="single" w:sz="4" w:space="0" w:color="auto"/>
              <w:right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2" w:type="pct"/>
            <w:tcBorders>
              <w:bottom w:val="single" w:sz="4" w:space="0" w:color="auto"/>
              <w:right w:val="single" w:sz="4" w:space="0" w:color="auto"/>
            </w:tcBorders>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5F9E" w:rsidRPr="00CF227F" w:rsidTr="00742456">
        <w:tc>
          <w:tcPr>
            <w:tcW w:w="1098" w:type="pct"/>
            <w:tcBorders>
              <w:left w:val="single" w:sz="4" w:space="0" w:color="auto"/>
              <w:bottom w:val="single" w:sz="4" w:space="0" w:color="auto"/>
            </w:tcBorders>
            <w:shd w:val="clear" w:color="auto" w:fill="auto"/>
            <w:noWrap/>
            <w:vAlign w:val="center"/>
          </w:tcPr>
          <w:p w:rsidR="00735F9E" w:rsidRPr="009646E3" w:rsidRDefault="00735F9E" w:rsidP="00742456">
            <w:pPr>
              <w:jc w:val="left"/>
              <w:rPr>
                <w:rFonts w:ascii="Arial Narrow" w:hAnsi="Arial Narrow"/>
                <w:sz w:val="20"/>
                <w:szCs w:val="20"/>
                <w:vertAlign w:val="superscript"/>
              </w:rPr>
            </w:pPr>
            <w:r>
              <w:rPr>
                <w:rFonts w:ascii="Arial Narrow" w:hAnsi="Arial Narrow"/>
                <w:sz w:val="20"/>
                <w:szCs w:val="20"/>
              </w:rPr>
              <w:t xml:space="preserve">Obinutuzumab cost (DPMA) </w:t>
            </w:r>
          </w:p>
        </w:tc>
        <w:tc>
          <w:tcPr>
            <w:tcW w:w="650" w:type="pct"/>
            <w:tcBorders>
              <w:bottom w:val="single" w:sz="4" w:space="0" w:color="auto"/>
            </w:tcBorders>
            <w:shd w:val="clear" w:color="auto" w:fill="auto"/>
            <w:vAlign w:val="center"/>
          </w:tcPr>
          <w:p w:rsidR="00735F9E" w:rsidRPr="006F4B56" w:rsidRDefault="00735F9E" w:rsidP="00742456">
            <w:pPr>
              <w:jc w:val="center"/>
              <w:rPr>
                <w:rFonts w:ascii="Arial Narrow" w:hAnsi="Arial Narrow"/>
                <w:sz w:val="20"/>
                <w:szCs w:val="20"/>
              </w:rPr>
            </w:pPr>
            <w:r w:rsidRPr="003E4D57">
              <w:rPr>
                <w:rFonts w:ascii="Arial Narrow" w:hAnsi="Arial Narrow"/>
                <w:sz w:val="20"/>
                <w:szCs w:val="20"/>
              </w:rPr>
              <w:t>$</w:t>
            </w:r>
            <w:r w:rsidR="00DD40E7">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6F4B56" w:rsidRDefault="00735F9E" w:rsidP="00742456">
            <w:pPr>
              <w:jc w:val="center"/>
              <w:rPr>
                <w:rFonts w:ascii="Arial Narrow" w:hAnsi="Arial Narrow"/>
                <w:sz w:val="20"/>
                <w:szCs w:val="20"/>
              </w:rPr>
            </w:pPr>
            <w:r w:rsidRPr="003E4D57">
              <w:rPr>
                <w:rFonts w:ascii="Arial Narrow" w:hAnsi="Arial Narrow"/>
                <w:sz w:val="20"/>
                <w:szCs w:val="20"/>
              </w:rPr>
              <w:t>$</w:t>
            </w:r>
            <w:r w:rsidR="00DD40E7">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6F4B56" w:rsidRDefault="00735F9E" w:rsidP="00742456">
            <w:pPr>
              <w:jc w:val="center"/>
              <w:rPr>
                <w:rFonts w:ascii="Arial Narrow" w:hAnsi="Arial Narrow"/>
                <w:sz w:val="20"/>
                <w:szCs w:val="20"/>
              </w:rPr>
            </w:pPr>
            <w:r w:rsidRPr="003E4D57">
              <w:rPr>
                <w:rFonts w:ascii="Arial Narrow" w:hAnsi="Arial Narrow"/>
                <w:sz w:val="20"/>
                <w:szCs w:val="20"/>
              </w:rPr>
              <w:t>$</w:t>
            </w:r>
            <w:r w:rsidR="00DD40E7">
              <w:rPr>
                <w:rFonts w:ascii="Arial Narrow" w:hAnsi="Arial Narrow"/>
                <w:noProof/>
                <w:color w:val="000000"/>
                <w:sz w:val="20"/>
                <w:szCs w:val="20"/>
                <w:highlight w:val="black"/>
              </w:rPr>
              <w:t>'''''''''''''''''''''''''</w:t>
            </w:r>
          </w:p>
        </w:tc>
        <w:tc>
          <w:tcPr>
            <w:tcW w:w="650" w:type="pct"/>
            <w:tcBorders>
              <w:bottom w:val="single" w:sz="4" w:space="0" w:color="auto"/>
            </w:tcBorders>
            <w:shd w:val="clear" w:color="auto" w:fill="auto"/>
            <w:vAlign w:val="center"/>
          </w:tcPr>
          <w:p w:rsidR="00735F9E" w:rsidRPr="006F4B56" w:rsidRDefault="00735F9E" w:rsidP="00742456">
            <w:pPr>
              <w:jc w:val="center"/>
              <w:rPr>
                <w:rFonts w:ascii="Arial Narrow" w:hAnsi="Arial Narrow"/>
                <w:sz w:val="20"/>
                <w:szCs w:val="20"/>
              </w:rPr>
            </w:pPr>
            <w:r w:rsidRPr="003E4D57">
              <w:rPr>
                <w:rFonts w:ascii="Arial Narrow" w:hAnsi="Arial Narrow"/>
                <w:sz w:val="20"/>
                <w:szCs w:val="20"/>
              </w:rPr>
              <w:t>$</w:t>
            </w:r>
            <w:r w:rsidR="00DD40E7">
              <w:rPr>
                <w:rFonts w:ascii="Arial Narrow" w:hAnsi="Arial Narrow"/>
                <w:noProof/>
                <w:color w:val="000000"/>
                <w:sz w:val="20"/>
                <w:szCs w:val="20"/>
                <w:highlight w:val="black"/>
              </w:rPr>
              <w:t>''''''''''''''''''''''''</w:t>
            </w:r>
          </w:p>
        </w:tc>
        <w:tc>
          <w:tcPr>
            <w:tcW w:w="650" w:type="pct"/>
            <w:tcBorders>
              <w:bottom w:val="single" w:sz="4" w:space="0" w:color="auto"/>
              <w:right w:val="single" w:sz="4" w:space="0" w:color="auto"/>
            </w:tcBorders>
            <w:shd w:val="clear" w:color="auto" w:fill="auto"/>
            <w:vAlign w:val="center"/>
          </w:tcPr>
          <w:p w:rsidR="00735F9E" w:rsidRPr="006F4B56" w:rsidRDefault="00735F9E" w:rsidP="00742456">
            <w:pPr>
              <w:jc w:val="center"/>
              <w:rPr>
                <w:rFonts w:ascii="Arial Narrow" w:hAnsi="Arial Narrow"/>
                <w:sz w:val="20"/>
                <w:szCs w:val="20"/>
              </w:rPr>
            </w:pPr>
            <w:r w:rsidRPr="003E4D57">
              <w:rPr>
                <w:rFonts w:ascii="Arial Narrow" w:hAnsi="Arial Narrow"/>
                <w:sz w:val="20"/>
                <w:szCs w:val="20"/>
              </w:rPr>
              <w:t>$</w:t>
            </w:r>
            <w:r w:rsidR="00DD40E7">
              <w:rPr>
                <w:rFonts w:ascii="Arial Narrow" w:hAnsi="Arial Narrow"/>
                <w:noProof/>
                <w:color w:val="000000"/>
                <w:sz w:val="20"/>
                <w:szCs w:val="20"/>
                <w:highlight w:val="black"/>
              </w:rPr>
              <w:t>''''''''''''''''''''''''''''</w:t>
            </w:r>
          </w:p>
        </w:tc>
        <w:tc>
          <w:tcPr>
            <w:tcW w:w="652" w:type="pct"/>
            <w:tcBorders>
              <w:bottom w:val="single" w:sz="4" w:space="0" w:color="auto"/>
              <w:right w:val="single" w:sz="4" w:space="0" w:color="auto"/>
            </w:tcBorders>
            <w:vAlign w:val="center"/>
          </w:tcPr>
          <w:p w:rsidR="00735F9E" w:rsidRPr="006F4B56" w:rsidRDefault="00735F9E" w:rsidP="00742456">
            <w:pPr>
              <w:jc w:val="center"/>
              <w:rPr>
                <w:rFonts w:ascii="Arial Narrow" w:hAnsi="Arial Narrow"/>
                <w:sz w:val="20"/>
                <w:szCs w:val="20"/>
              </w:rPr>
            </w:pPr>
            <w:r w:rsidRPr="003E4D57">
              <w:rPr>
                <w:rFonts w:ascii="Arial Narrow" w:hAnsi="Arial Narrow"/>
                <w:sz w:val="20"/>
                <w:szCs w:val="20"/>
              </w:rPr>
              <w:t>$</w:t>
            </w:r>
            <w:r w:rsidR="00DD40E7">
              <w:rPr>
                <w:rFonts w:ascii="Arial Narrow" w:hAnsi="Arial Narrow"/>
                <w:noProof/>
                <w:color w:val="000000"/>
                <w:sz w:val="20"/>
                <w:szCs w:val="20"/>
                <w:highlight w:val="black"/>
              </w:rPr>
              <w:t>''''''''''''''''''''''''</w:t>
            </w:r>
          </w:p>
        </w:tc>
      </w:tr>
      <w:tr w:rsidR="00735F9E" w:rsidRPr="00CF227F" w:rsidTr="00742456">
        <w:tc>
          <w:tcPr>
            <w:tcW w:w="1098" w:type="pct"/>
            <w:tcBorders>
              <w:left w:val="single" w:sz="4" w:space="0" w:color="auto"/>
              <w:bottom w:val="single" w:sz="4" w:space="0" w:color="auto"/>
            </w:tcBorders>
            <w:shd w:val="clear" w:color="auto" w:fill="auto"/>
            <w:noWrap/>
            <w:vAlign w:val="center"/>
          </w:tcPr>
          <w:p w:rsidR="00735F9E" w:rsidRPr="004F6472" w:rsidRDefault="00735F9E" w:rsidP="00742456">
            <w:pPr>
              <w:jc w:val="left"/>
              <w:rPr>
                <w:rFonts w:ascii="Arial Narrow" w:hAnsi="Arial Narrow"/>
                <w:sz w:val="20"/>
                <w:szCs w:val="20"/>
                <w:vertAlign w:val="superscript"/>
              </w:rPr>
            </w:pPr>
            <w:r w:rsidRPr="004F6472">
              <w:rPr>
                <w:rFonts w:ascii="Arial Narrow" w:hAnsi="Arial Narrow"/>
                <w:sz w:val="20"/>
                <w:szCs w:val="20"/>
              </w:rPr>
              <w:t>Patient co-pay</w:t>
            </w:r>
            <w:r>
              <w:rPr>
                <w:rFonts w:ascii="Arial Narrow" w:hAnsi="Arial Narrow"/>
                <w:sz w:val="20"/>
                <w:szCs w:val="20"/>
              </w:rPr>
              <w:t xml:space="preserve"> ($14.48)</w:t>
            </w:r>
            <w:r>
              <w:rPr>
                <w:rFonts w:ascii="Arial Narrow" w:hAnsi="Arial Narrow"/>
                <w:sz w:val="20"/>
                <w:szCs w:val="20"/>
                <w:vertAlign w:val="superscript"/>
              </w:rPr>
              <w:t>b</w:t>
            </w:r>
          </w:p>
        </w:tc>
        <w:tc>
          <w:tcPr>
            <w:tcW w:w="650" w:type="pct"/>
            <w:tcBorders>
              <w:bottom w:val="single" w:sz="4" w:space="0" w:color="auto"/>
            </w:tcBorders>
            <w:shd w:val="clear" w:color="auto" w:fill="auto"/>
          </w:tcPr>
          <w:p w:rsidR="00735F9E" w:rsidRPr="004F6472" w:rsidRDefault="00735F9E" w:rsidP="00742456">
            <w:pPr>
              <w:jc w:val="center"/>
              <w:rPr>
                <w:rFonts w:ascii="Arial Narrow" w:hAnsi="Arial Narrow"/>
                <w:sz w:val="20"/>
                <w:szCs w:val="20"/>
              </w:rPr>
            </w:pPr>
            <w:r w:rsidRPr="004F6472">
              <w:rPr>
                <w:rFonts w:ascii="Arial Narrow" w:hAnsi="Arial Narrow"/>
                <w:sz w:val="20"/>
              </w:rPr>
              <w:t>$29,556</w:t>
            </w:r>
          </w:p>
        </w:tc>
        <w:tc>
          <w:tcPr>
            <w:tcW w:w="650" w:type="pct"/>
            <w:tcBorders>
              <w:bottom w:val="single" w:sz="4" w:space="0" w:color="auto"/>
            </w:tcBorders>
            <w:shd w:val="clear" w:color="auto" w:fill="auto"/>
          </w:tcPr>
          <w:p w:rsidR="00735F9E" w:rsidRPr="004F6472" w:rsidRDefault="00735F9E" w:rsidP="00742456">
            <w:pPr>
              <w:jc w:val="center"/>
              <w:rPr>
                <w:rFonts w:ascii="Arial Narrow" w:hAnsi="Arial Narrow"/>
                <w:sz w:val="20"/>
                <w:szCs w:val="20"/>
              </w:rPr>
            </w:pPr>
            <w:r w:rsidRPr="004F6472">
              <w:rPr>
                <w:rFonts w:ascii="Arial Narrow" w:hAnsi="Arial Narrow"/>
                <w:sz w:val="20"/>
              </w:rPr>
              <w:t>$60,058</w:t>
            </w:r>
          </w:p>
        </w:tc>
        <w:tc>
          <w:tcPr>
            <w:tcW w:w="650" w:type="pct"/>
            <w:tcBorders>
              <w:bottom w:val="single" w:sz="4" w:space="0" w:color="auto"/>
            </w:tcBorders>
            <w:shd w:val="clear" w:color="auto" w:fill="auto"/>
          </w:tcPr>
          <w:p w:rsidR="00735F9E" w:rsidRPr="004F6472" w:rsidRDefault="00735F9E" w:rsidP="00742456">
            <w:pPr>
              <w:jc w:val="center"/>
              <w:rPr>
                <w:rFonts w:ascii="Arial Narrow" w:hAnsi="Arial Narrow"/>
                <w:sz w:val="20"/>
                <w:szCs w:val="20"/>
              </w:rPr>
            </w:pPr>
            <w:r w:rsidRPr="004F6472">
              <w:rPr>
                <w:rFonts w:ascii="Arial Narrow" w:hAnsi="Arial Narrow"/>
                <w:sz w:val="20"/>
              </w:rPr>
              <w:t>$61,048</w:t>
            </w:r>
          </w:p>
        </w:tc>
        <w:tc>
          <w:tcPr>
            <w:tcW w:w="650" w:type="pct"/>
            <w:tcBorders>
              <w:bottom w:val="single" w:sz="4" w:space="0" w:color="auto"/>
            </w:tcBorders>
            <w:shd w:val="clear" w:color="auto" w:fill="auto"/>
          </w:tcPr>
          <w:p w:rsidR="00735F9E" w:rsidRPr="004F6472" w:rsidRDefault="00735F9E" w:rsidP="00742456">
            <w:pPr>
              <w:jc w:val="center"/>
              <w:rPr>
                <w:rFonts w:ascii="Arial Narrow" w:hAnsi="Arial Narrow"/>
                <w:sz w:val="20"/>
                <w:szCs w:val="20"/>
              </w:rPr>
            </w:pPr>
            <w:r w:rsidRPr="004F6472">
              <w:rPr>
                <w:rFonts w:ascii="Arial Narrow" w:hAnsi="Arial Narrow"/>
                <w:sz w:val="20"/>
              </w:rPr>
              <w:t>$62,034</w:t>
            </w:r>
          </w:p>
        </w:tc>
        <w:tc>
          <w:tcPr>
            <w:tcW w:w="650" w:type="pct"/>
            <w:tcBorders>
              <w:bottom w:val="single" w:sz="4" w:space="0" w:color="auto"/>
              <w:right w:val="single" w:sz="4" w:space="0" w:color="auto"/>
            </w:tcBorders>
            <w:shd w:val="clear" w:color="auto" w:fill="auto"/>
          </w:tcPr>
          <w:p w:rsidR="00735F9E" w:rsidRPr="004F6472" w:rsidRDefault="00735F9E" w:rsidP="00742456">
            <w:pPr>
              <w:jc w:val="center"/>
              <w:rPr>
                <w:rFonts w:ascii="Arial Narrow" w:hAnsi="Arial Narrow"/>
                <w:sz w:val="20"/>
                <w:szCs w:val="20"/>
              </w:rPr>
            </w:pPr>
            <w:r w:rsidRPr="004F6472">
              <w:rPr>
                <w:rFonts w:ascii="Arial Narrow" w:hAnsi="Arial Narrow"/>
                <w:sz w:val="20"/>
              </w:rPr>
              <w:t>$63,010</w:t>
            </w:r>
          </w:p>
        </w:tc>
        <w:tc>
          <w:tcPr>
            <w:tcW w:w="652" w:type="pct"/>
            <w:tcBorders>
              <w:bottom w:val="single" w:sz="4" w:space="0" w:color="auto"/>
              <w:right w:val="single" w:sz="4" w:space="0" w:color="auto"/>
            </w:tcBorders>
          </w:tcPr>
          <w:p w:rsidR="00735F9E" w:rsidRPr="004F6472" w:rsidRDefault="00735F9E" w:rsidP="00742456">
            <w:pPr>
              <w:jc w:val="center"/>
              <w:rPr>
                <w:rFonts w:ascii="Arial Narrow" w:hAnsi="Arial Narrow"/>
                <w:sz w:val="20"/>
                <w:szCs w:val="20"/>
              </w:rPr>
            </w:pPr>
            <w:r w:rsidRPr="004F6472">
              <w:rPr>
                <w:rFonts w:ascii="Arial Narrow" w:hAnsi="Arial Narrow"/>
                <w:sz w:val="20"/>
              </w:rPr>
              <w:t>$63,975</w:t>
            </w:r>
          </w:p>
        </w:tc>
      </w:tr>
      <w:tr w:rsidR="00735F9E" w:rsidRPr="00CF227F" w:rsidTr="00742456">
        <w:tc>
          <w:tcPr>
            <w:tcW w:w="1098" w:type="pct"/>
            <w:tcBorders>
              <w:top w:val="single" w:sz="4" w:space="0" w:color="auto"/>
              <w:left w:val="single" w:sz="4" w:space="0" w:color="auto"/>
              <w:bottom w:val="double" w:sz="4" w:space="0" w:color="auto"/>
            </w:tcBorders>
            <w:shd w:val="clear" w:color="auto" w:fill="auto"/>
            <w:noWrap/>
            <w:vAlign w:val="center"/>
          </w:tcPr>
          <w:p w:rsidR="00735F9E" w:rsidRPr="003E4D57" w:rsidRDefault="00735F9E" w:rsidP="00742456">
            <w:pPr>
              <w:jc w:val="left"/>
              <w:rPr>
                <w:rFonts w:ascii="Arial Narrow" w:hAnsi="Arial Narrow"/>
                <w:b/>
                <w:sz w:val="20"/>
                <w:szCs w:val="20"/>
              </w:rPr>
            </w:pPr>
            <w:r w:rsidRPr="003E4D57">
              <w:rPr>
                <w:rFonts w:ascii="Arial Narrow" w:hAnsi="Arial Narrow"/>
                <w:b/>
                <w:sz w:val="20"/>
                <w:szCs w:val="20"/>
              </w:rPr>
              <w:t xml:space="preserve">Net cost of venetoclax </w:t>
            </w:r>
            <w:r>
              <w:rPr>
                <w:rFonts w:ascii="Arial Narrow" w:hAnsi="Arial Narrow"/>
                <w:b/>
                <w:sz w:val="20"/>
                <w:szCs w:val="20"/>
              </w:rPr>
              <w:t>+</w:t>
            </w:r>
            <w:r w:rsidRPr="003E4D57">
              <w:rPr>
                <w:rFonts w:ascii="Arial Narrow" w:hAnsi="Arial Narrow"/>
                <w:b/>
                <w:sz w:val="20"/>
                <w:szCs w:val="20"/>
              </w:rPr>
              <w:t xml:space="preserve"> obinutuzumab less copay</w:t>
            </w:r>
          </w:p>
        </w:tc>
        <w:tc>
          <w:tcPr>
            <w:tcW w:w="650" w:type="pct"/>
            <w:tcBorders>
              <w:top w:val="single" w:sz="4" w:space="0" w:color="auto"/>
              <w:left w:val="nil"/>
              <w:bottom w:val="double" w:sz="4" w:space="0" w:color="auto"/>
              <w:right w:val="single" w:sz="4" w:space="0" w:color="auto"/>
            </w:tcBorders>
            <w:shd w:val="clear" w:color="000000" w:fill="FFFFFF"/>
            <w:vAlign w:val="center"/>
          </w:tcPr>
          <w:p w:rsidR="00735F9E" w:rsidRPr="003E4D57" w:rsidRDefault="00735F9E" w:rsidP="00742456">
            <w:pPr>
              <w:jc w:val="center"/>
              <w:rPr>
                <w:rFonts w:ascii="Arial Narrow" w:hAnsi="Arial Narrow"/>
                <w:b/>
                <w:sz w:val="20"/>
                <w:szCs w:val="20"/>
              </w:rPr>
            </w:pPr>
            <w:r w:rsidRPr="003E4D57">
              <w:rPr>
                <w:rFonts w:ascii="Arial Narrow" w:hAnsi="Arial Narrow"/>
                <w:b/>
                <w:sz w:val="20"/>
                <w:szCs w:val="20"/>
              </w:rPr>
              <w:t>$</w:t>
            </w:r>
            <w:r w:rsidR="00DD40E7">
              <w:rPr>
                <w:rFonts w:ascii="Arial Narrow" w:hAnsi="Arial Narrow"/>
                <w:b/>
                <w:noProof/>
                <w:color w:val="000000"/>
                <w:sz w:val="20"/>
                <w:szCs w:val="20"/>
                <w:highlight w:val="black"/>
              </w:rPr>
              <w:t>'''''''''''''''''''''''</w:t>
            </w:r>
          </w:p>
        </w:tc>
        <w:tc>
          <w:tcPr>
            <w:tcW w:w="650" w:type="pct"/>
            <w:tcBorders>
              <w:top w:val="single" w:sz="4" w:space="0" w:color="auto"/>
              <w:left w:val="single" w:sz="4" w:space="0" w:color="auto"/>
              <w:bottom w:val="double" w:sz="4" w:space="0" w:color="auto"/>
              <w:right w:val="single" w:sz="4" w:space="0" w:color="auto"/>
            </w:tcBorders>
            <w:shd w:val="clear" w:color="000000" w:fill="FFFFFF"/>
            <w:vAlign w:val="center"/>
          </w:tcPr>
          <w:p w:rsidR="00735F9E" w:rsidRPr="003E4D57" w:rsidRDefault="00735F9E" w:rsidP="00742456">
            <w:pPr>
              <w:jc w:val="center"/>
              <w:rPr>
                <w:rFonts w:ascii="Arial Narrow" w:hAnsi="Arial Narrow"/>
                <w:b/>
                <w:sz w:val="20"/>
                <w:szCs w:val="20"/>
              </w:rPr>
            </w:pPr>
            <w:r w:rsidRPr="003E4D57">
              <w:rPr>
                <w:rFonts w:ascii="Arial Narrow" w:hAnsi="Arial Narrow"/>
                <w:b/>
                <w:sz w:val="20"/>
                <w:szCs w:val="20"/>
              </w:rPr>
              <w:t>$</w:t>
            </w:r>
            <w:r w:rsidR="00DD40E7">
              <w:rPr>
                <w:rFonts w:ascii="Arial Narrow" w:hAnsi="Arial Narrow"/>
                <w:b/>
                <w:noProof/>
                <w:color w:val="000000"/>
                <w:sz w:val="20"/>
                <w:szCs w:val="20"/>
                <w:highlight w:val="black"/>
              </w:rPr>
              <w:t>'''''''''''''''''''''''</w:t>
            </w:r>
          </w:p>
        </w:tc>
        <w:tc>
          <w:tcPr>
            <w:tcW w:w="650" w:type="pct"/>
            <w:tcBorders>
              <w:top w:val="single" w:sz="4" w:space="0" w:color="auto"/>
              <w:left w:val="single" w:sz="4" w:space="0" w:color="auto"/>
              <w:bottom w:val="double" w:sz="4" w:space="0" w:color="auto"/>
              <w:right w:val="single" w:sz="4" w:space="0" w:color="auto"/>
            </w:tcBorders>
            <w:shd w:val="clear" w:color="000000" w:fill="FFFFFF"/>
            <w:vAlign w:val="center"/>
          </w:tcPr>
          <w:p w:rsidR="00735F9E" w:rsidRPr="003E4D57" w:rsidRDefault="00735F9E" w:rsidP="00742456">
            <w:pPr>
              <w:jc w:val="center"/>
              <w:rPr>
                <w:rFonts w:ascii="Arial Narrow" w:hAnsi="Arial Narrow"/>
                <w:b/>
                <w:sz w:val="20"/>
                <w:szCs w:val="20"/>
              </w:rPr>
            </w:pPr>
            <w:r w:rsidRPr="003E4D57">
              <w:rPr>
                <w:rFonts w:ascii="Arial Narrow" w:hAnsi="Arial Narrow"/>
                <w:b/>
                <w:sz w:val="20"/>
                <w:szCs w:val="20"/>
              </w:rPr>
              <w:t>$</w:t>
            </w:r>
            <w:r w:rsidR="00DD40E7">
              <w:rPr>
                <w:rFonts w:ascii="Arial Narrow" w:hAnsi="Arial Narrow"/>
                <w:b/>
                <w:noProof/>
                <w:color w:val="000000"/>
                <w:sz w:val="20"/>
                <w:szCs w:val="20"/>
                <w:highlight w:val="black"/>
              </w:rPr>
              <w:t>''''''''''''''''''''''</w:t>
            </w:r>
          </w:p>
        </w:tc>
        <w:tc>
          <w:tcPr>
            <w:tcW w:w="650" w:type="pct"/>
            <w:tcBorders>
              <w:top w:val="single" w:sz="4" w:space="0" w:color="auto"/>
              <w:left w:val="single" w:sz="4" w:space="0" w:color="auto"/>
              <w:bottom w:val="double" w:sz="4" w:space="0" w:color="auto"/>
              <w:right w:val="single" w:sz="4" w:space="0" w:color="auto"/>
            </w:tcBorders>
            <w:shd w:val="clear" w:color="000000" w:fill="FFFFFF"/>
            <w:vAlign w:val="center"/>
          </w:tcPr>
          <w:p w:rsidR="00735F9E" w:rsidRPr="003E4D57" w:rsidRDefault="00735F9E" w:rsidP="00742456">
            <w:pPr>
              <w:jc w:val="center"/>
              <w:rPr>
                <w:rFonts w:ascii="Arial Narrow" w:hAnsi="Arial Narrow"/>
                <w:b/>
                <w:sz w:val="20"/>
                <w:szCs w:val="20"/>
              </w:rPr>
            </w:pPr>
            <w:r w:rsidRPr="003E4D57">
              <w:rPr>
                <w:rFonts w:ascii="Arial Narrow" w:hAnsi="Arial Narrow"/>
                <w:b/>
                <w:sz w:val="20"/>
                <w:szCs w:val="20"/>
              </w:rPr>
              <w:t>$</w:t>
            </w:r>
            <w:r w:rsidR="00DD40E7">
              <w:rPr>
                <w:rFonts w:ascii="Arial Narrow" w:hAnsi="Arial Narrow"/>
                <w:b/>
                <w:noProof/>
                <w:color w:val="000000"/>
                <w:sz w:val="20"/>
                <w:szCs w:val="20"/>
                <w:highlight w:val="black"/>
              </w:rPr>
              <w:t>''''''''''''''''''''''</w:t>
            </w:r>
          </w:p>
        </w:tc>
        <w:tc>
          <w:tcPr>
            <w:tcW w:w="650" w:type="pct"/>
            <w:tcBorders>
              <w:top w:val="single" w:sz="4" w:space="0" w:color="auto"/>
              <w:left w:val="single" w:sz="4" w:space="0" w:color="auto"/>
              <w:bottom w:val="double" w:sz="4" w:space="0" w:color="auto"/>
              <w:right w:val="single" w:sz="4" w:space="0" w:color="auto"/>
            </w:tcBorders>
            <w:shd w:val="clear" w:color="000000" w:fill="FFFFFF"/>
            <w:vAlign w:val="center"/>
          </w:tcPr>
          <w:p w:rsidR="00735F9E" w:rsidRPr="003E4D57" w:rsidRDefault="00735F9E" w:rsidP="00742456">
            <w:pPr>
              <w:jc w:val="center"/>
              <w:rPr>
                <w:rFonts w:ascii="Arial Narrow" w:hAnsi="Arial Narrow"/>
                <w:b/>
                <w:sz w:val="20"/>
                <w:szCs w:val="20"/>
              </w:rPr>
            </w:pPr>
            <w:r w:rsidRPr="003E4D57">
              <w:rPr>
                <w:rFonts w:ascii="Arial Narrow" w:hAnsi="Arial Narrow"/>
                <w:b/>
                <w:sz w:val="20"/>
                <w:szCs w:val="20"/>
              </w:rPr>
              <w:t>$</w:t>
            </w:r>
            <w:r w:rsidR="00DD40E7">
              <w:rPr>
                <w:rFonts w:ascii="Arial Narrow" w:hAnsi="Arial Narrow"/>
                <w:b/>
                <w:noProof/>
                <w:color w:val="000000"/>
                <w:sz w:val="20"/>
                <w:szCs w:val="20"/>
                <w:highlight w:val="black"/>
              </w:rPr>
              <w:t>''''''''''''''''''''''</w:t>
            </w:r>
          </w:p>
        </w:tc>
        <w:tc>
          <w:tcPr>
            <w:tcW w:w="652" w:type="pct"/>
            <w:tcBorders>
              <w:top w:val="single" w:sz="4" w:space="0" w:color="auto"/>
              <w:left w:val="single" w:sz="4" w:space="0" w:color="auto"/>
              <w:bottom w:val="double" w:sz="4" w:space="0" w:color="auto"/>
              <w:right w:val="single" w:sz="4" w:space="0" w:color="auto"/>
            </w:tcBorders>
            <w:shd w:val="clear" w:color="000000" w:fill="FFFFFF"/>
            <w:vAlign w:val="center"/>
          </w:tcPr>
          <w:p w:rsidR="00735F9E" w:rsidRPr="003E4D57" w:rsidRDefault="00735F9E" w:rsidP="00742456">
            <w:pPr>
              <w:jc w:val="center"/>
              <w:rPr>
                <w:rFonts w:ascii="Arial Narrow" w:hAnsi="Arial Narrow"/>
                <w:b/>
                <w:sz w:val="20"/>
                <w:szCs w:val="20"/>
              </w:rPr>
            </w:pPr>
            <w:r w:rsidRPr="003E4D57">
              <w:rPr>
                <w:rFonts w:ascii="Arial Narrow" w:hAnsi="Arial Narrow"/>
                <w:b/>
                <w:sz w:val="20"/>
                <w:szCs w:val="20"/>
              </w:rPr>
              <w:t>$</w:t>
            </w:r>
            <w:r w:rsidR="00DD40E7">
              <w:rPr>
                <w:rFonts w:ascii="Arial Narrow" w:hAnsi="Arial Narrow"/>
                <w:b/>
                <w:noProof/>
                <w:color w:val="000000"/>
                <w:sz w:val="20"/>
                <w:szCs w:val="20"/>
                <w:highlight w:val="black"/>
              </w:rPr>
              <w:t>''''''''''''''''''''</w:t>
            </w:r>
          </w:p>
        </w:tc>
      </w:tr>
      <w:tr w:rsidR="00735F9E" w:rsidRPr="00CF227F" w:rsidTr="00742456">
        <w:tc>
          <w:tcPr>
            <w:tcW w:w="5000" w:type="pct"/>
            <w:gridSpan w:val="7"/>
            <w:tcBorders>
              <w:top w:val="double" w:sz="4" w:space="0" w:color="auto"/>
              <w:left w:val="single" w:sz="4" w:space="0" w:color="auto"/>
              <w:right w:val="single" w:sz="4" w:space="0" w:color="auto"/>
            </w:tcBorders>
            <w:shd w:val="clear" w:color="auto" w:fill="auto"/>
            <w:noWrap/>
            <w:vAlign w:val="center"/>
          </w:tcPr>
          <w:p w:rsidR="00735F9E" w:rsidRPr="00CF227F" w:rsidRDefault="00735F9E" w:rsidP="00742456">
            <w:pPr>
              <w:jc w:val="left"/>
              <w:rPr>
                <w:rFonts w:ascii="Arial Narrow" w:hAnsi="Arial Narrow"/>
                <w:b/>
                <w:sz w:val="20"/>
                <w:szCs w:val="20"/>
              </w:rPr>
            </w:pPr>
            <w:r>
              <w:rPr>
                <w:rFonts w:ascii="Arial Narrow" w:hAnsi="Arial Narrow"/>
                <w:b/>
                <w:sz w:val="20"/>
                <w:szCs w:val="20"/>
              </w:rPr>
              <w:t xml:space="preserve">Cost offsets due to substitution of existing </w:t>
            </w:r>
            <w:r w:rsidR="00153838">
              <w:rPr>
                <w:rFonts w:ascii="Arial Narrow" w:hAnsi="Arial Narrow"/>
                <w:b/>
                <w:sz w:val="20"/>
                <w:szCs w:val="20"/>
              </w:rPr>
              <w:t>first line</w:t>
            </w:r>
            <w:r>
              <w:rPr>
                <w:rFonts w:ascii="Arial Narrow" w:hAnsi="Arial Narrow"/>
                <w:b/>
                <w:sz w:val="20"/>
                <w:szCs w:val="20"/>
              </w:rPr>
              <w:t xml:space="preserve"> therapies</w:t>
            </w:r>
          </w:p>
        </w:tc>
      </w:tr>
      <w:tr w:rsidR="00735F9E" w:rsidRPr="00CF227F" w:rsidTr="00742456">
        <w:tc>
          <w:tcPr>
            <w:tcW w:w="1098" w:type="pct"/>
            <w:tcBorders>
              <w:left w:val="single" w:sz="4" w:space="0" w:color="auto"/>
            </w:tcBorders>
            <w:shd w:val="clear" w:color="auto" w:fill="auto"/>
            <w:noWrap/>
            <w:vAlign w:val="center"/>
          </w:tcPr>
          <w:p w:rsidR="00735F9E" w:rsidRPr="00C461D2" w:rsidRDefault="00735F9E" w:rsidP="00742456">
            <w:pPr>
              <w:jc w:val="left"/>
              <w:rPr>
                <w:rFonts w:ascii="Arial Narrow" w:hAnsi="Arial Narrow"/>
                <w:sz w:val="20"/>
                <w:szCs w:val="20"/>
              </w:rPr>
            </w:pPr>
            <w:r>
              <w:rPr>
                <w:rFonts w:ascii="Arial Narrow" w:hAnsi="Arial Narrow"/>
                <w:sz w:val="20"/>
                <w:szCs w:val="20"/>
              </w:rPr>
              <w:t>Patients substituting from chlorambucil + obinutuzumab (100%)</w:t>
            </w:r>
          </w:p>
        </w:tc>
        <w:tc>
          <w:tcPr>
            <w:tcW w:w="650" w:type="pct"/>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0" w:type="pct"/>
            <w:tcBorders>
              <w:right w:val="single" w:sz="4" w:space="0" w:color="auto"/>
            </w:tcBorders>
            <w:shd w:val="clear" w:color="auto" w:fill="auto"/>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52" w:type="pct"/>
            <w:tcBorders>
              <w:right w:val="single" w:sz="4" w:space="0" w:color="auto"/>
            </w:tcBorders>
            <w:vAlign w:val="center"/>
          </w:tcPr>
          <w:p w:rsidR="00735F9E" w:rsidRPr="00DD40E7" w:rsidRDefault="00DD40E7" w:rsidP="00742456">
            <w:pPr>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735F9E" w:rsidRPr="00CF227F" w:rsidTr="00742456">
        <w:tc>
          <w:tcPr>
            <w:tcW w:w="1098" w:type="pct"/>
            <w:tcBorders>
              <w:left w:val="single" w:sz="4" w:space="0" w:color="auto"/>
            </w:tcBorders>
            <w:shd w:val="clear" w:color="auto" w:fill="auto"/>
            <w:noWrap/>
            <w:vAlign w:val="center"/>
          </w:tcPr>
          <w:p w:rsidR="00735F9E" w:rsidRPr="002E0086" w:rsidRDefault="00735F9E" w:rsidP="00742456">
            <w:pPr>
              <w:jc w:val="left"/>
              <w:rPr>
                <w:rFonts w:ascii="Arial Narrow" w:hAnsi="Arial Narrow"/>
                <w:sz w:val="20"/>
                <w:szCs w:val="20"/>
              </w:rPr>
            </w:pPr>
            <w:r>
              <w:rPr>
                <w:rFonts w:ascii="Arial Narrow" w:hAnsi="Arial Narrow"/>
                <w:sz w:val="20"/>
                <w:szCs w:val="20"/>
              </w:rPr>
              <w:t>Chlorambucil + obinutuzumab cost less copay</w:t>
            </w:r>
          </w:p>
        </w:tc>
        <w:tc>
          <w:tcPr>
            <w:tcW w:w="650" w:type="pct"/>
            <w:shd w:val="clear" w:color="auto" w:fill="auto"/>
            <w:vAlign w:val="center"/>
          </w:tcPr>
          <w:p w:rsidR="00735F9E" w:rsidRPr="004F6472" w:rsidRDefault="00735F9E" w:rsidP="00742456">
            <w:pPr>
              <w:jc w:val="center"/>
              <w:rPr>
                <w:rFonts w:ascii="Arial Narrow" w:hAnsi="Arial Narrow"/>
                <w:sz w:val="20"/>
                <w:szCs w:val="20"/>
              </w:rPr>
            </w:pPr>
            <w:r>
              <w:rPr>
                <w:rFonts w:ascii="Arial Narrow" w:hAnsi="Arial Narrow"/>
                <w:sz w:val="20"/>
              </w:rPr>
              <w:t>-</w:t>
            </w:r>
            <w:r w:rsidRPr="004F6472">
              <w:rPr>
                <w:rFonts w:ascii="Arial Narrow" w:hAnsi="Arial Narrow"/>
                <w:sz w:val="20"/>
              </w:rPr>
              <w:t>$</w:t>
            </w:r>
            <w:r w:rsidR="00DD40E7">
              <w:rPr>
                <w:rFonts w:ascii="Arial Narrow" w:hAnsi="Arial Narrow"/>
                <w:noProof/>
                <w:color w:val="000000"/>
                <w:sz w:val="20"/>
                <w:highlight w:val="black"/>
              </w:rPr>
              <w:t>''''''''''''''''''''''</w:t>
            </w:r>
          </w:p>
        </w:tc>
        <w:tc>
          <w:tcPr>
            <w:tcW w:w="650" w:type="pct"/>
            <w:shd w:val="clear" w:color="auto" w:fill="auto"/>
            <w:vAlign w:val="center"/>
          </w:tcPr>
          <w:p w:rsidR="00735F9E" w:rsidRPr="004F6472" w:rsidRDefault="00735F9E" w:rsidP="00742456">
            <w:pPr>
              <w:jc w:val="center"/>
              <w:rPr>
                <w:rFonts w:ascii="Arial Narrow" w:hAnsi="Arial Narrow"/>
                <w:sz w:val="20"/>
                <w:szCs w:val="20"/>
              </w:rPr>
            </w:pPr>
            <w:r>
              <w:rPr>
                <w:rFonts w:ascii="Arial Narrow" w:hAnsi="Arial Narrow"/>
                <w:sz w:val="20"/>
              </w:rPr>
              <w:t>-</w:t>
            </w:r>
            <w:r w:rsidRPr="004F6472">
              <w:rPr>
                <w:rFonts w:ascii="Arial Narrow" w:hAnsi="Arial Narrow"/>
                <w:sz w:val="20"/>
              </w:rPr>
              <w:t>$</w:t>
            </w:r>
            <w:r w:rsidR="00DD40E7">
              <w:rPr>
                <w:rFonts w:ascii="Arial Narrow" w:hAnsi="Arial Narrow"/>
                <w:noProof/>
                <w:color w:val="000000"/>
                <w:sz w:val="20"/>
                <w:highlight w:val="black"/>
              </w:rPr>
              <w:t>''''''''''''''''''''''''</w:t>
            </w:r>
          </w:p>
        </w:tc>
        <w:tc>
          <w:tcPr>
            <w:tcW w:w="650" w:type="pct"/>
            <w:shd w:val="clear" w:color="auto" w:fill="auto"/>
            <w:vAlign w:val="center"/>
          </w:tcPr>
          <w:p w:rsidR="00735F9E" w:rsidRPr="004F6472" w:rsidRDefault="00735F9E" w:rsidP="00742456">
            <w:pPr>
              <w:jc w:val="center"/>
              <w:rPr>
                <w:rFonts w:ascii="Arial Narrow" w:hAnsi="Arial Narrow"/>
                <w:sz w:val="20"/>
                <w:szCs w:val="20"/>
              </w:rPr>
            </w:pPr>
            <w:r>
              <w:rPr>
                <w:rFonts w:ascii="Arial Narrow" w:hAnsi="Arial Narrow"/>
                <w:sz w:val="20"/>
              </w:rPr>
              <w:t>-</w:t>
            </w:r>
            <w:r w:rsidRPr="004F6472">
              <w:rPr>
                <w:rFonts w:ascii="Arial Narrow" w:hAnsi="Arial Narrow"/>
                <w:sz w:val="20"/>
              </w:rPr>
              <w:t>$</w:t>
            </w:r>
            <w:r w:rsidR="00DD40E7">
              <w:rPr>
                <w:rFonts w:ascii="Arial Narrow" w:hAnsi="Arial Narrow"/>
                <w:noProof/>
                <w:color w:val="000000"/>
                <w:sz w:val="20"/>
                <w:highlight w:val="black"/>
              </w:rPr>
              <w:t>'''''''''''''''''''''''''''</w:t>
            </w:r>
          </w:p>
        </w:tc>
        <w:tc>
          <w:tcPr>
            <w:tcW w:w="650" w:type="pct"/>
            <w:shd w:val="clear" w:color="auto" w:fill="auto"/>
            <w:vAlign w:val="center"/>
          </w:tcPr>
          <w:p w:rsidR="00735F9E" w:rsidRPr="004F6472" w:rsidRDefault="00735F9E" w:rsidP="00742456">
            <w:pPr>
              <w:jc w:val="center"/>
              <w:rPr>
                <w:rFonts w:ascii="Arial Narrow" w:hAnsi="Arial Narrow"/>
                <w:sz w:val="20"/>
                <w:szCs w:val="20"/>
              </w:rPr>
            </w:pPr>
            <w:r>
              <w:rPr>
                <w:rFonts w:ascii="Arial Narrow" w:hAnsi="Arial Narrow"/>
                <w:sz w:val="20"/>
              </w:rPr>
              <w:t>-</w:t>
            </w:r>
            <w:r w:rsidRPr="004F6472">
              <w:rPr>
                <w:rFonts w:ascii="Arial Narrow" w:hAnsi="Arial Narrow"/>
                <w:sz w:val="20"/>
              </w:rPr>
              <w:t>$</w:t>
            </w:r>
            <w:r w:rsidR="00DD40E7">
              <w:rPr>
                <w:rFonts w:ascii="Arial Narrow" w:hAnsi="Arial Narrow"/>
                <w:noProof/>
                <w:color w:val="000000"/>
                <w:sz w:val="20"/>
                <w:highlight w:val="black"/>
              </w:rPr>
              <w:t>''''''''''''''''''''''''''</w:t>
            </w:r>
          </w:p>
        </w:tc>
        <w:tc>
          <w:tcPr>
            <w:tcW w:w="650" w:type="pct"/>
            <w:tcBorders>
              <w:right w:val="single" w:sz="4" w:space="0" w:color="auto"/>
            </w:tcBorders>
            <w:shd w:val="clear" w:color="auto" w:fill="auto"/>
            <w:vAlign w:val="center"/>
          </w:tcPr>
          <w:p w:rsidR="00735F9E" w:rsidRPr="004F6472" w:rsidRDefault="00735F9E" w:rsidP="00742456">
            <w:pPr>
              <w:jc w:val="center"/>
              <w:rPr>
                <w:rFonts w:ascii="Arial Narrow" w:hAnsi="Arial Narrow"/>
                <w:sz w:val="20"/>
                <w:szCs w:val="20"/>
              </w:rPr>
            </w:pPr>
            <w:r>
              <w:rPr>
                <w:rFonts w:ascii="Arial Narrow" w:hAnsi="Arial Narrow"/>
                <w:sz w:val="20"/>
              </w:rPr>
              <w:t>-</w:t>
            </w:r>
            <w:r w:rsidRPr="004F6472">
              <w:rPr>
                <w:rFonts w:ascii="Arial Narrow" w:hAnsi="Arial Narrow"/>
                <w:sz w:val="20"/>
              </w:rPr>
              <w:t>$</w:t>
            </w:r>
            <w:r w:rsidR="00DD40E7">
              <w:rPr>
                <w:rFonts w:ascii="Arial Narrow" w:hAnsi="Arial Narrow"/>
                <w:noProof/>
                <w:color w:val="000000"/>
                <w:sz w:val="20"/>
                <w:highlight w:val="black"/>
              </w:rPr>
              <w:t>''''''''''''''''''''''''''</w:t>
            </w:r>
          </w:p>
        </w:tc>
        <w:tc>
          <w:tcPr>
            <w:tcW w:w="652" w:type="pct"/>
            <w:tcBorders>
              <w:right w:val="single" w:sz="4" w:space="0" w:color="auto"/>
            </w:tcBorders>
            <w:vAlign w:val="center"/>
          </w:tcPr>
          <w:p w:rsidR="00735F9E" w:rsidRPr="004F6472" w:rsidRDefault="00735F9E" w:rsidP="00742456">
            <w:pPr>
              <w:jc w:val="center"/>
              <w:rPr>
                <w:rFonts w:ascii="Arial Narrow" w:hAnsi="Arial Narrow"/>
                <w:sz w:val="20"/>
                <w:szCs w:val="20"/>
              </w:rPr>
            </w:pPr>
            <w:r>
              <w:rPr>
                <w:rFonts w:ascii="Arial Narrow" w:hAnsi="Arial Narrow"/>
                <w:sz w:val="20"/>
              </w:rPr>
              <w:t>-</w:t>
            </w:r>
            <w:r w:rsidRPr="004F6472">
              <w:rPr>
                <w:rFonts w:ascii="Arial Narrow" w:hAnsi="Arial Narrow"/>
                <w:sz w:val="20"/>
              </w:rPr>
              <w:t>$</w:t>
            </w:r>
            <w:r w:rsidR="00DD40E7">
              <w:rPr>
                <w:rFonts w:ascii="Arial Narrow" w:hAnsi="Arial Narrow"/>
                <w:noProof/>
                <w:color w:val="000000"/>
                <w:sz w:val="20"/>
                <w:highlight w:val="black"/>
              </w:rPr>
              <w:t>''''''''''''''''''''''''''''</w:t>
            </w:r>
          </w:p>
        </w:tc>
      </w:tr>
      <w:tr w:rsidR="00735F9E" w:rsidRPr="00CF227F" w:rsidTr="00742456">
        <w:tc>
          <w:tcPr>
            <w:tcW w:w="5000" w:type="pct"/>
            <w:gridSpan w:val="7"/>
            <w:tcBorders>
              <w:left w:val="single" w:sz="4" w:space="0" w:color="auto"/>
              <w:right w:val="single" w:sz="4" w:space="0" w:color="auto"/>
            </w:tcBorders>
            <w:shd w:val="clear" w:color="auto" w:fill="auto"/>
            <w:noWrap/>
            <w:vAlign w:val="center"/>
          </w:tcPr>
          <w:p w:rsidR="00735F9E" w:rsidRPr="004F6472" w:rsidRDefault="00735F9E" w:rsidP="00742456">
            <w:pPr>
              <w:jc w:val="left"/>
              <w:rPr>
                <w:rFonts w:ascii="Arial Narrow" w:hAnsi="Arial Narrow"/>
                <w:b/>
                <w:sz w:val="20"/>
              </w:rPr>
            </w:pPr>
            <w:r>
              <w:rPr>
                <w:rFonts w:ascii="Arial Narrow" w:hAnsi="Arial Narrow"/>
                <w:b/>
                <w:sz w:val="20"/>
              </w:rPr>
              <w:t>Cost offsets due to prevention of subsequent anti-leukaemic therapies</w:t>
            </w:r>
          </w:p>
        </w:tc>
      </w:tr>
      <w:tr w:rsidR="00735F9E" w:rsidRPr="00CF227F" w:rsidTr="00742456">
        <w:tc>
          <w:tcPr>
            <w:tcW w:w="1098" w:type="pct"/>
            <w:tcBorders>
              <w:left w:val="single" w:sz="4" w:space="0" w:color="auto"/>
            </w:tcBorders>
            <w:shd w:val="clear" w:color="auto" w:fill="auto"/>
            <w:noWrap/>
            <w:vAlign w:val="center"/>
          </w:tcPr>
          <w:p w:rsidR="00735F9E" w:rsidRDefault="00735F9E" w:rsidP="00742456">
            <w:pPr>
              <w:jc w:val="left"/>
              <w:rPr>
                <w:rFonts w:ascii="Arial Narrow" w:hAnsi="Arial Narrow"/>
                <w:sz w:val="20"/>
                <w:szCs w:val="20"/>
              </w:rPr>
            </w:pPr>
            <w:r>
              <w:rPr>
                <w:rFonts w:ascii="Arial Narrow" w:hAnsi="Arial Narrow"/>
                <w:sz w:val="20"/>
                <w:szCs w:val="20"/>
              </w:rPr>
              <w:lastRenderedPageBreak/>
              <w:t>Net change in patients initiating R/R therapy</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tcBorders>
              <w:right w:val="single" w:sz="4" w:space="0" w:color="auto"/>
            </w:tcBorders>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2" w:type="pct"/>
            <w:tcBorders>
              <w:right w:val="single" w:sz="4" w:space="0" w:color="auto"/>
            </w:tcBorders>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r>
      <w:tr w:rsidR="00735F9E" w:rsidRPr="00CF227F" w:rsidTr="00742456">
        <w:tc>
          <w:tcPr>
            <w:tcW w:w="1098" w:type="pct"/>
            <w:tcBorders>
              <w:left w:val="single" w:sz="4" w:space="0" w:color="auto"/>
            </w:tcBorders>
            <w:shd w:val="clear" w:color="auto" w:fill="auto"/>
            <w:noWrap/>
            <w:vAlign w:val="center"/>
          </w:tcPr>
          <w:p w:rsidR="00735F9E" w:rsidRDefault="00735F9E" w:rsidP="00742456">
            <w:pPr>
              <w:jc w:val="left"/>
              <w:rPr>
                <w:rFonts w:ascii="Arial Narrow" w:hAnsi="Arial Narrow"/>
                <w:sz w:val="20"/>
                <w:szCs w:val="20"/>
              </w:rPr>
            </w:pPr>
            <w:r>
              <w:rPr>
                <w:rFonts w:ascii="Arial Narrow" w:hAnsi="Arial Narrow"/>
                <w:sz w:val="20"/>
                <w:szCs w:val="20"/>
              </w:rPr>
              <w:t>- Ibrutinib monotherapy</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tcBorders>
              <w:right w:val="single" w:sz="4" w:space="0" w:color="auto"/>
            </w:tcBorders>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2" w:type="pct"/>
            <w:tcBorders>
              <w:right w:val="single" w:sz="4" w:space="0" w:color="auto"/>
            </w:tcBorders>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r>
      <w:tr w:rsidR="00735F9E" w:rsidRPr="00CF227F" w:rsidTr="00742456">
        <w:tc>
          <w:tcPr>
            <w:tcW w:w="1098" w:type="pct"/>
            <w:tcBorders>
              <w:left w:val="single" w:sz="4" w:space="0" w:color="auto"/>
            </w:tcBorders>
            <w:shd w:val="clear" w:color="auto" w:fill="auto"/>
            <w:noWrap/>
            <w:vAlign w:val="center"/>
          </w:tcPr>
          <w:p w:rsidR="00735F9E" w:rsidRDefault="00735F9E" w:rsidP="00742456">
            <w:pPr>
              <w:jc w:val="left"/>
              <w:rPr>
                <w:rFonts w:ascii="Arial Narrow" w:hAnsi="Arial Narrow"/>
                <w:sz w:val="20"/>
                <w:szCs w:val="20"/>
              </w:rPr>
            </w:pPr>
            <w:r>
              <w:rPr>
                <w:rFonts w:ascii="Arial Narrow" w:hAnsi="Arial Narrow"/>
                <w:sz w:val="20"/>
                <w:szCs w:val="20"/>
              </w:rPr>
              <w:t>- Venetoclax + rituximab</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0" w:type="pct"/>
            <w:tcBorders>
              <w:right w:val="single" w:sz="4" w:space="0" w:color="auto"/>
            </w:tcBorders>
            <w:shd w:val="clear" w:color="auto" w:fill="auto"/>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c>
          <w:tcPr>
            <w:tcW w:w="652" w:type="pct"/>
            <w:tcBorders>
              <w:right w:val="single" w:sz="4" w:space="0" w:color="auto"/>
            </w:tcBorders>
            <w:vAlign w:val="center"/>
          </w:tcPr>
          <w:p w:rsidR="00735F9E" w:rsidRPr="00DD40E7" w:rsidRDefault="00DD40E7" w:rsidP="00742456">
            <w:pPr>
              <w:jc w:val="center"/>
              <w:rPr>
                <w:rFonts w:ascii="Arial Narrow" w:hAnsi="Arial Narrow"/>
                <w:sz w:val="20"/>
                <w:highlight w:val="black"/>
              </w:rPr>
            </w:pPr>
            <w:r>
              <w:rPr>
                <w:rFonts w:ascii="Arial Narrow" w:hAnsi="Arial Narrow"/>
                <w:noProof/>
                <w:color w:val="000000"/>
                <w:sz w:val="20"/>
                <w:szCs w:val="20"/>
                <w:highlight w:val="black"/>
              </w:rPr>
              <w:t>'''''''</w:t>
            </w:r>
          </w:p>
        </w:tc>
      </w:tr>
      <w:tr w:rsidR="00735F9E" w:rsidRPr="00CF227F" w:rsidTr="00742456">
        <w:tc>
          <w:tcPr>
            <w:tcW w:w="1098" w:type="pct"/>
            <w:tcBorders>
              <w:left w:val="single" w:sz="4" w:space="0" w:color="auto"/>
            </w:tcBorders>
            <w:shd w:val="clear" w:color="auto" w:fill="auto"/>
            <w:noWrap/>
            <w:vAlign w:val="center"/>
          </w:tcPr>
          <w:p w:rsidR="00735F9E" w:rsidRDefault="00735F9E" w:rsidP="00742456">
            <w:pPr>
              <w:jc w:val="left"/>
              <w:rPr>
                <w:rFonts w:ascii="Arial Narrow" w:hAnsi="Arial Narrow"/>
                <w:sz w:val="20"/>
                <w:szCs w:val="20"/>
              </w:rPr>
            </w:pPr>
            <w:r>
              <w:rPr>
                <w:rFonts w:ascii="Arial Narrow" w:hAnsi="Arial Narrow"/>
                <w:sz w:val="20"/>
                <w:szCs w:val="20"/>
              </w:rPr>
              <w:t>Ibrutinib monotherapy net cost less copay</w:t>
            </w:r>
          </w:p>
        </w:tc>
        <w:tc>
          <w:tcPr>
            <w:tcW w:w="650" w:type="pct"/>
            <w:shd w:val="clear" w:color="auto" w:fill="auto"/>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c>
          <w:tcPr>
            <w:tcW w:w="650" w:type="pct"/>
            <w:shd w:val="clear" w:color="auto" w:fill="auto"/>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c>
          <w:tcPr>
            <w:tcW w:w="650" w:type="pct"/>
            <w:shd w:val="clear" w:color="auto" w:fill="auto"/>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c>
          <w:tcPr>
            <w:tcW w:w="650" w:type="pct"/>
            <w:shd w:val="clear" w:color="auto" w:fill="auto"/>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c>
          <w:tcPr>
            <w:tcW w:w="650" w:type="pct"/>
            <w:tcBorders>
              <w:right w:val="single" w:sz="4" w:space="0" w:color="auto"/>
            </w:tcBorders>
            <w:shd w:val="clear" w:color="auto" w:fill="auto"/>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c>
          <w:tcPr>
            <w:tcW w:w="652" w:type="pct"/>
            <w:tcBorders>
              <w:right w:val="single" w:sz="4" w:space="0" w:color="auto"/>
            </w:tcBorders>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r>
      <w:tr w:rsidR="00735F9E" w:rsidRPr="00CF227F" w:rsidTr="00742456">
        <w:tc>
          <w:tcPr>
            <w:tcW w:w="1098" w:type="pct"/>
            <w:tcBorders>
              <w:left w:val="single" w:sz="4" w:space="0" w:color="auto"/>
            </w:tcBorders>
            <w:shd w:val="clear" w:color="auto" w:fill="auto"/>
            <w:noWrap/>
            <w:vAlign w:val="center"/>
          </w:tcPr>
          <w:p w:rsidR="00735F9E" w:rsidRDefault="00735F9E" w:rsidP="00742456">
            <w:pPr>
              <w:jc w:val="left"/>
              <w:rPr>
                <w:rFonts w:ascii="Arial Narrow" w:hAnsi="Arial Narrow"/>
                <w:sz w:val="20"/>
                <w:szCs w:val="20"/>
              </w:rPr>
            </w:pPr>
            <w:r>
              <w:rPr>
                <w:rFonts w:ascii="Arial Narrow" w:hAnsi="Arial Narrow"/>
                <w:sz w:val="20"/>
                <w:szCs w:val="20"/>
              </w:rPr>
              <w:t>Venetoclax + rituximab net cost less copay</w:t>
            </w:r>
          </w:p>
        </w:tc>
        <w:tc>
          <w:tcPr>
            <w:tcW w:w="650" w:type="pct"/>
            <w:shd w:val="clear" w:color="auto" w:fill="auto"/>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c>
          <w:tcPr>
            <w:tcW w:w="650" w:type="pct"/>
            <w:shd w:val="clear" w:color="auto" w:fill="auto"/>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c>
          <w:tcPr>
            <w:tcW w:w="650" w:type="pct"/>
            <w:shd w:val="clear" w:color="auto" w:fill="auto"/>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c>
          <w:tcPr>
            <w:tcW w:w="650" w:type="pct"/>
            <w:shd w:val="clear" w:color="auto" w:fill="auto"/>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c>
          <w:tcPr>
            <w:tcW w:w="650" w:type="pct"/>
            <w:tcBorders>
              <w:right w:val="single" w:sz="4" w:space="0" w:color="auto"/>
            </w:tcBorders>
            <w:shd w:val="clear" w:color="auto" w:fill="auto"/>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c>
          <w:tcPr>
            <w:tcW w:w="652" w:type="pct"/>
            <w:tcBorders>
              <w:right w:val="single" w:sz="4" w:space="0" w:color="auto"/>
            </w:tcBorders>
            <w:vAlign w:val="center"/>
          </w:tcPr>
          <w:p w:rsidR="00735F9E" w:rsidRPr="004F6472" w:rsidRDefault="00735F9E" w:rsidP="00742456">
            <w:pPr>
              <w:jc w:val="center"/>
              <w:rPr>
                <w:rFonts w:ascii="Arial Narrow" w:hAnsi="Arial Narrow"/>
                <w:sz w:val="20"/>
              </w:rPr>
            </w:pPr>
            <w:r>
              <w:rPr>
                <w:rFonts w:ascii="Arial Narrow" w:hAnsi="Arial Narrow"/>
                <w:sz w:val="20"/>
              </w:rPr>
              <w:t>-$</w:t>
            </w:r>
            <w:r w:rsidR="00DD40E7">
              <w:rPr>
                <w:rFonts w:ascii="Arial Narrow" w:hAnsi="Arial Narrow"/>
                <w:noProof/>
                <w:color w:val="000000"/>
                <w:sz w:val="20"/>
                <w:highlight w:val="black"/>
              </w:rPr>
              <w:t>'''''''''''''''''''''''</w:t>
            </w:r>
          </w:p>
        </w:tc>
      </w:tr>
      <w:tr w:rsidR="00735F9E" w:rsidRPr="00CF227F" w:rsidTr="00742456">
        <w:tc>
          <w:tcPr>
            <w:tcW w:w="1098" w:type="pct"/>
            <w:tcBorders>
              <w:left w:val="single" w:sz="4" w:space="0" w:color="auto"/>
            </w:tcBorders>
            <w:shd w:val="clear" w:color="auto" w:fill="auto"/>
            <w:noWrap/>
            <w:vAlign w:val="center"/>
          </w:tcPr>
          <w:p w:rsidR="00735F9E" w:rsidRPr="00CF227F" w:rsidRDefault="00735F9E" w:rsidP="00742456">
            <w:pPr>
              <w:jc w:val="left"/>
              <w:rPr>
                <w:rFonts w:ascii="Arial Narrow" w:hAnsi="Arial Narrow"/>
                <w:b/>
                <w:sz w:val="20"/>
                <w:szCs w:val="20"/>
              </w:rPr>
            </w:pPr>
            <w:r>
              <w:rPr>
                <w:rFonts w:ascii="Arial Narrow" w:hAnsi="Arial Narrow"/>
                <w:b/>
                <w:sz w:val="20"/>
                <w:szCs w:val="20"/>
              </w:rPr>
              <w:t xml:space="preserve">Net cost including cost offsets less copay  </w:t>
            </w:r>
          </w:p>
        </w:tc>
        <w:tc>
          <w:tcPr>
            <w:tcW w:w="650" w:type="pct"/>
            <w:shd w:val="clear" w:color="auto" w:fill="auto"/>
            <w:vAlign w:val="center"/>
          </w:tcPr>
          <w:p w:rsidR="00735F9E" w:rsidRPr="00735D34" w:rsidRDefault="00735F9E" w:rsidP="00742456">
            <w:pPr>
              <w:jc w:val="center"/>
              <w:rPr>
                <w:rFonts w:ascii="Arial Narrow" w:hAnsi="Arial Narrow"/>
                <w:b/>
                <w:sz w:val="20"/>
                <w:szCs w:val="20"/>
              </w:rPr>
            </w:pPr>
            <w:r w:rsidRPr="00735D34">
              <w:rPr>
                <w:rFonts w:ascii="Arial Narrow" w:hAnsi="Arial Narrow"/>
                <w:b/>
                <w:sz w:val="20"/>
              </w:rPr>
              <w:t>$</w:t>
            </w:r>
            <w:r w:rsidR="00DD40E7">
              <w:rPr>
                <w:rFonts w:ascii="Arial Narrow" w:hAnsi="Arial Narrow"/>
                <w:b/>
                <w:noProof/>
                <w:color w:val="000000"/>
                <w:sz w:val="20"/>
                <w:highlight w:val="black"/>
              </w:rPr>
              <w:t>''''''''''''''''''</w:t>
            </w:r>
          </w:p>
        </w:tc>
        <w:tc>
          <w:tcPr>
            <w:tcW w:w="650" w:type="pct"/>
            <w:shd w:val="clear" w:color="auto" w:fill="auto"/>
            <w:vAlign w:val="center"/>
          </w:tcPr>
          <w:p w:rsidR="00735F9E" w:rsidRPr="00735D34" w:rsidRDefault="00735F9E" w:rsidP="00742456">
            <w:pPr>
              <w:jc w:val="center"/>
              <w:rPr>
                <w:rFonts w:ascii="Arial Narrow" w:hAnsi="Arial Narrow"/>
                <w:b/>
                <w:sz w:val="20"/>
                <w:szCs w:val="20"/>
              </w:rPr>
            </w:pPr>
            <w:r w:rsidRPr="00735D34">
              <w:rPr>
                <w:rFonts w:ascii="Arial Narrow" w:hAnsi="Arial Narrow"/>
                <w:b/>
                <w:sz w:val="20"/>
              </w:rPr>
              <w:t>$</w:t>
            </w:r>
            <w:r w:rsidR="00DD40E7">
              <w:rPr>
                <w:rFonts w:ascii="Arial Narrow" w:hAnsi="Arial Narrow"/>
                <w:b/>
                <w:noProof/>
                <w:color w:val="000000"/>
                <w:sz w:val="20"/>
                <w:highlight w:val="black"/>
              </w:rPr>
              <w:t>''''''''''''''''''''''''</w:t>
            </w:r>
          </w:p>
        </w:tc>
        <w:tc>
          <w:tcPr>
            <w:tcW w:w="650" w:type="pct"/>
            <w:shd w:val="clear" w:color="auto" w:fill="auto"/>
            <w:vAlign w:val="center"/>
          </w:tcPr>
          <w:p w:rsidR="00735F9E" w:rsidRPr="00735D34" w:rsidRDefault="00735F9E" w:rsidP="00742456">
            <w:pPr>
              <w:jc w:val="center"/>
              <w:rPr>
                <w:rFonts w:ascii="Arial Narrow" w:hAnsi="Arial Narrow"/>
                <w:b/>
                <w:sz w:val="20"/>
                <w:szCs w:val="20"/>
              </w:rPr>
            </w:pPr>
            <w:r w:rsidRPr="00735D34">
              <w:rPr>
                <w:rFonts w:ascii="Arial Narrow" w:hAnsi="Arial Narrow"/>
                <w:b/>
                <w:sz w:val="20"/>
              </w:rPr>
              <w:t>$</w:t>
            </w:r>
            <w:r w:rsidR="00DD40E7">
              <w:rPr>
                <w:rFonts w:ascii="Arial Narrow" w:hAnsi="Arial Narrow"/>
                <w:b/>
                <w:noProof/>
                <w:color w:val="000000"/>
                <w:sz w:val="20"/>
                <w:highlight w:val="black"/>
              </w:rPr>
              <w:t>''''''''''''''''''''</w:t>
            </w:r>
          </w:p>
        </w:tc>
        <w:tc>
          <w:tcPr>
            <w:tcW w:w="650" w:type="pct"/>
            <w:shd w:val="clear" w:color="auto" w:fill="auto"/>
            <w:vAlign w:val="center"/>
          </w:tcPr>
          <w:p w:rsidR="00735F9E" w:rsidRPr="00735D34" w:rsidRDefault="00735F9E" w:rsidP="00742456">
            <w:pPr>
              <w:jc w:val="center"/>
              <w:rPr>
                <w:rFonts w:ascii="Arial Narrow" w:hAnsi="Arial Narrow"/>
                <w:b/>
                <w:sz w:val="20"/>
                <w:szCs w:val="20"/>
              </w:rPr>
            </w:pPr>
            <w:r w:rsidRPr="00735D34">
              <w:rPr>
                <w:rFonts w:ascii="Arial Narrow" w:hAnsi="Arial Narrow"/>
                <w:b/>
                <w:sz w:val="20"/>
              </w:rPr>
              <w:t>$</w:t>
            </w:r>
            <w:r w:rsidR="00DD40E7">
              <w:rPr>
                <w:rFonts w:ascii="Arial Narrow" w:hAnsi="Arial Narrow"/>
                <w:b/>
                <w:noProof/>
                <w:color w:val="000000"/>
                <w:sz w:val="20"/>
                <w:highlight w:val="black"/>
              </w:rPr>
              <w:t>''''''''''''''''''''</w:t>
            </w:r>
          </w:p>
        </w:tc>
        <w:tc>
          <w:tcPr>
            <w:tcW w:w="650" w:type="pct"/>
            <w:tcBorders>
              <w:right w:val="single" w:sz="4" w:space="0" w:color="auto"/>
            </w:tcBorders>
            <w:shd w:val="clear" w:color="auto" w:fill="auto"/>
            <w:vAlign w:val="center"/>
          </w:tcPr>
          <w:p w:rsidR="00735F9E" w:rsidRPr="00735D34" w:rsidRDefault="00735F9E" w:rsidP="00742456">
            <w:pPr>
              <w:jc w:val="center"/>
              <w:rPr>
                <w:rFonts w:ascii="Arial Narrow" w:hAnsi="Arial Narrow"/>
                <w:b/>
                <w:sz w:val="20"/>
                <w:szCs w:val="20"/>
              </w:rPr>
            </w:pPr>
            <w:r w:rsidRPr="00735D34">
              <w:rPr>
                <w:rFonts w:ascii="Arial Narrow" w:hAnsi="Arial Narrow"/>
                <w:b/>
                <w:sz w:val="20"/>
              </w:rPr>
              <w:t>$</w:t>
            </w:r>
            <w:r w:rsidR="00DD40E7">
              <w:rPr>
                <w:rFonts w:ascii="Arial Narrow" w:hAnsi="Arial Narrow"/>
                <w:b/>
                <w:noProof/>
                <w:color w:val="000000"/>
                <w:sz w:val="20"/>
                <w:highlight w:val="black"/>
              </w:rPr>
              <w:t>'''''''''''''''''''''</w:t>
            </w:r>
          </w:p>
        </w:tc>
        <w:tc>
          <w:tcPr>
            <w:tcW w:w="652" w:type="pct"/>
            <w:tcBorders>
              <w:right w:val="single" w:sz="4" w:space="0" w:color="auto"/>
            </w:tcBorders>
            <w:vAlign w:val="center"/>
          </w:tcPr>
          <w:p w:rsidR="00735F9E" w:rsidRPr="00735D34" w:rsidRDefault="00735F9E" w:rsidP="00742456">
            <w:pPr>
              <w:jc w:val="center"/>
              <w:rPr>
                <w:rFonts w:ascii="Arial Narrow" w:hAnsi="Arial Narrow"/>
                <w:b/>
                <w:sz w:val="20"/>
                <w:szCs w:val="20"/>
              </w:rPr>
            </w:pPr>
            <w:r w:rsidRPr="00735D34">
              <w:rPr>
                <w:rFonts w:ascii="Arial Narrow" w:hAnsi="Arial Narrow"/>
                <w:b/>
                <w:sz w:val="20"/>
              </w:rPr>
              <w:t>$</w:t>
            </w:r>
            <w:r w:rsidR="00DD40E7">
              <w:rPr>
                <w:rFonts w:ascii="Arial Narrow" w:hAnsi="Arial Narrow"/>
                <w:b/>
                <w:noProof/>
                <w:color w:val="000000"/>
                <w:sz w:val="20"/>
                <w:highlight w:val="black"/>
              </w:rPr>
              <w:t>''''''''''''''''''</w:t>
            </w:r>
          </w:p>
        </w:tc>
      </w:tr>
    </w:tbl>
    <w:p w:rsidR="00735F9E" w:rsidRDefault="00735F9E" w:rsidP="00735F9E">
      <w:pPr>
        <w:pStyle w:val="TableFooter"/>
      </w:pPr>
      <w:r w:rsidRPr="0078667E">
        <w:t>Source: Table 114, p</w:t>
      </w:r>
      <w:r w:rsidR="00180AF2">
        <w:t>.</w:t>
      </w:r>
      <w:r w:rsidRPr="0078667E">
        <w:t>168; Table 121, p</w:t>
      </w:r>
      <w:r w:rsidR="00180AF2">
        <w:t>.</w:t>
      </w:r>
      <w:r w:rsidRPr="0078667E">
        <w:t>177; Table 122, p</w:t>
      </w:r>
      <w:r w:rsidR="00180AF2">
        <w:t>.</w:t>
      </w:r>
      <w:r w:rsidRPr="0078667E">
        <w:t>177; Table 123, p</w:t>
      </w:r>
      <w:r w:rsidR="00180AF2">
        <w:t>.</w:t>
      </w:r>
      <w:r w:rsidRPr="0078667E">
        <w:t>178; Table 126, p</w:t>
      </w:r>
      <w:r w:rsidR="00180AF2">
        <w:t>.</w:t>
      </w:r>
      <w:r w:rsidRPr="0078667E">
        <w:t>179; Table 132, p</w:t>
      </w:r>
      <w:r w:rsidR="00180AF2">
        <w:t>.</w:t>
      </w:r>
      <w:r w:rsidRPr="0078667E">
        <w:t xml:space="preserve">182; </w:t>
      </w:r>
      <w:r>
        <w:t>Table 137, p</w:t>
      </w:r>
      <w:r w:rsidR="00180AF2">
        <w:t>.</w:t>
      </w:r>
      <w:r>
        <w:t>187; Table 141, p</w:t>
      </w:r>
      <w:r w:rsidR="00180AF2">
        <w:t>.</w:t>
      </w:r>
      <w:r>
        <w:t>189; Table 142, p</w:t>
      </w:r>
      <w:r w:rsidR="00180AF2">
        <w:t>.189; Table 143, p.</w:t>
      </w:r>
      <w:r>
        <w:t>190; Table 144, p</w:t>
      </w:r>
      <w:r w:rsidR="00180AF2">
        <w:t>.</w:t>
      </w:r>
      <w:r>
        <w:t xml:space="preserve">191; </w:t>
      </w:r>
      <w:r w:rsidR="00180AF2">
        <w:t>Table 147, p.</w:t>
      </w:r>
      <w:r w:rsidRPr="0078667E">
        <w:t>194</w:t>
      </w:r>
      <w:r>
        <w:t>; Table 148, p</w:t>
      </w:r>
      <w:r w:rsidR="00180AF2">
        <w:t>.</w:t>
      </w:r>
      <w:r>
        <w:t>195; Table 149, p</w:t>
      </w:r>
      <w:r w:rsidR="00180AF2">
        <w:t>.196; Table 150, p.</w:t>
      </w:r>
      <w:r>
        <w:t>198</w:t>
      </w:r>
      <w:r w:rsidRPr="0078667E">
        <w:t xml:space="preserve"> of the submission</w:t>
      </w:r>
    </w:p>
    <w:p w:rsidR="00735F9E" w:rsidRPr="00D04554" w:rsidRDefault="00735F9E" w:rsidP="00735F9E">
      <w:pPr>
        <w:pStyle w:val="TableFooter"/>
      </w:pPr>
      <w:r>
        <w:t>Abbreviations: CLL, chronic lymphocytic leukaemia; R/R, relapsed/refractory</w:t>
      </w:r>
    </w:p>
    <w:p w:rsidR="00735F9E" w:rsidRPr="00D04554" w:rsidRDefault="00735F9E" w:rsidP="00735F9E">
      <w:pPr>
        <w:pStyle w:val="TableFooter"/>
      </w:pPr>
      <w:r>
        <w:rPr>
          <w:vertAlign w:val="superscript"/>
        </w:rPr>
        <w:t xml:space="preserve">a </w:t>
      </w:r>
      <w:r>
        <w:t>Applied as linear uptake of 7.5% per year over 4 years with adjustments for mortality based on number of years from diagnosis</w:t>
      </w:r>
    </w:p>
    <w:p w:rsidR="00C57B40" w:rsidRDefault="00735F9E" w:rsidP="00735F9E">
      <w:pPr>
        <w:pStyle w:val="TableFooter"/>
      </w:pPr>
      <w:r>
        <w:rPr>
          <w:vertAlign w:val="superscript"/>
        </w:rPr>
        <w:t>b</w:t>
      </w:r>
      <w:r>
        <w:t xml:space="preserve"> Applied once per treatment course for obinutuzumab (Efficient Funding of Chemotherapy program)</w:t>
      </w:r>
    </w:p>
    <w:p w:rsidR="00C57B40" w:rsidRPr="003773C8" w:rsidRDefault="00C57B40" w:rsidP="003773C8">
      <w:pPr>
        <w:pStyle w:val="ExecSumBodyText"/>
        <w:numPr>
          <w:ilvl w:val="0"/>
          <w:numId w:val="0"/>
        </w:numPr>
        <w:ind w:left="720"/>
        <w:rPr>
          <w:i/>
        </w:rPr>
      </w:pPr>
      <w:r w:rsidRPr="003773C8">
        <w:rPr>
          <w:i/>
        </w:rPr>
        <w:t xml:space="preserve">The redacted table shows that at </w:t>
      </w:r>
      <w:r w:rsidR="00E1362A" w:rsidRPr="003773C8">
        <w:rPr>
          <w:i/>
        </w:rPr>
        <w:t>Year 6,</w:t>
      </w:r>
      <w:r w:rsidRPr="003773C8">
        <w:rPr>
          <w:i/>
        </w:rPr>
        <w:t xml:space="preserve"> the estimated number of patients was </w:t>
      </w:r>
      <w:r w:rsidR="00E1362A" w:rsidRPr="003773C8">
        <w:rPr>
          <w:i/>
        </w:rPr>
        <w:t>less than 10,000</w:t>
      </w:r>
      <w:r w:rsidRPr="003773C8">
        <w:rPr>
          <w:i/>
        </w:rPr>
        <w:t xml:space="preserve"> and the net cost to the PBS would be </w:t>
      </w:r>
      <w:r w:rsidR="00E1362A" w:rsidRPr="003773C8">
        <w:rPr>
          <w:i/>
        </w:rPr>
        <w:t>less than $10 million.</w:t>
      </w:r>
    </w:p>
    <w:p w:rsidR="00735F9E" w:rsidRPr="00155504" w:rsidRDefault="00735F9E" w:rsidP="00735F9E">
      <w:pPr>
        <w:pStyle w:val="ExecSumBodyText"/>
        <w:numPr>
          <w:ilvl w:val="1"/>
          <w:numId w:val="1"/>
        </w:numPr>
      </w:pPr>
      <w:r>
        <w:t xml:space="preserve">After cost offsets due to substitution of existing </w:t>
      </w:r>
      <w:r w:rsidR="00205D0B">
        <w:t>first-</w:t>
      </w:r>
      <w:r w:rsidR="00153838">
        <w:t>line</w:t>
      </w:r>
      <w:r>
        <w:t xml:space="preserve"> therapies and prevention of subsequent anti-leukaemic therapies, t</w:t>
      </w:r>
      <w:r w:rsidRPr="00664CD9">
        <w:t xml:space="preserve">he net cost to the PBS for listing venetoclax (proposed effective price) + obinutuzumab (published price) for previously untreated CLL patients was up to </w:t>
      </w:r>
      <w:r w:rsidR="00326616">
        <w:t xml:space="preserve"> less than $10</w:t>
      </w:r>
      <w:r w:rsidRPr="00664CD9">
        <w:t xml:space="preserve"> million in Year 6, with a cumulative total cost of  </w:t>
      </w:r>
      <w:r w:rsidR="00326616">
        <w:t xml:space="preserve">$30 - $60 </w:t>
      </w:r>
      <w:r w:rsidRPr="00155504">
        <w:t>million over 6 years.</w:t>
      </w:r>
    </w:p>
    <w:p w:rsidR="008505F1" w:rsidRPr="006656E8" w:rsidRDefault="008505F1" w:rsidP="008505F1">
      <w:pPr>
        <w:pStyle w:val="ExecSumBodyText"/>
        <w:numPr>
          <w:ilvl w:val="1"/>
          <w:numId w:val="1"/>
        </w:numPr>
        <w:rPr>
          <w:color w:val="0066FF"/>
        </w:rPr>
      </w:pPr>
      <w:r w:rsidRPr="00155504">
        <w:t>The ESC agreed with the evaluation that the</w:t>
      </w:r>
      <w:r w:rsidRPr="00155504">
        <w:rPr>
          <w:color w:val="0066FF"/>
        </w:rPr>
        <w:t xml:space="preserve"> </w:t>
      </w:r>
      <w:r w:rsidRPr="00155504">
        <w:t>estimated net cost of venetoclax + obinutuzumab is highly uncertain due to the</w:t>
      </w:r>
      <w:r w:rsidRPr="006656E8">
        <w:t xml:space="preserve"> following issues:</w:t>
      </w:r>
    </w:p>
    <w:p w:rsidR="008505F1" w:rsidRPr="006656E8" w:rsidRDefault="008505F1" w:rsidP="008505F1">
      <w:pPr>
        <w:pStyle w:val="ExecSumBodyText"/>
        <w:numPr>
          <w:ilvl w:val="0"/>
          <w:numId w:val="6"/>
        </w:numPr>
        <w:spacing w:after="0"/>
        <w:ind w:left="1208" w:hanging="357"/>
      </w:pPr>
      <w:r w:rsidRPr="006656E8">
        <w:t>The estimated population receiving first-line therapy was uncertain due to the assumption of no growth in the incident population over time, poor applicability and reliability of the clinician survey and the inclusion of treated and untreated patients in the prevalent population;</w:t>
      </w:r>
    </w:p>
    <w:p w:rsidR="008505F1" w:rsidRPr="006656E8" w:rsidRDefault="008505F1" w:rsidP="008505F1">
      <w:pPr>
        <w:pStyle w:val="ExecSumBodyText"/>
        <w:numPr>
          <w:ilvl w:val="0"/>
          <w:numId w:val="6"/>
        </w:numPr>
        <w:spacing w:after="0"/>
        <w:ind w:left="1208" w:hanging="357"/>
      </w:pPr>
      <w:r w:rsidRPr="006656E8">
        <w:t xml:space="preserve">The submission noted the proposed restriction was broad with potential overlap between the various criteria and assumed that </w:t>
      </w:r>
      <w:r w:rsidR="00DD40E7">
        <w:rPr>
          <w:noProof/>
          <w:color w:val="000000"/>
          <w:highlight w:val="black"/>
        </w:rPr>
        <w:t>'''''</w:t>
      </w:r>
      <w:r w:rsidRPr="006656E8">
        <w:t>% of patients receiving first line therapy would meet eligibility criteria. The size of this population in clinical practice is uncertain, but it is unclear whether the population is under or overestimated;</w:t>
      </w:r>
    </w:p>
    <w:p w:rsidR="008505F1" w:rsidRPr="006656E8" w:rsidRDefault="008505F1" w:rsidP="008505F1">
      <w:pPr>
        <w:pStyle w:val="ExecSumBodyText"/>
        <w:numPr>
          <w:ilvl w:val="0"/>
          <w:numId w:val="6"/>
        </w:numPr>
        <w:spacing w:after="0"/>
        <w:ind w:left="1208" w:hanging="357"/>
      </w:pPr>
      <w:r w:rsidRPr="006656E8">
        <w:t xml:space="preserve">The assumption of no market growth due to the listing of venetoclax + obinutuzumab on the PBS was inadequately justified. </w:t>
      </w:r>
      <w:r w:rsidR="00F30139">
        <w:t xml:space="preserve">The PBAC </w:t>
      </w:r>
      <w:r w:rsidR="00253715">
        <w:t xml:space="preserve">was </w:t>
      </w:r>
      <w:r w:rsidR="00F30139">
        <w:t xml:space="preserve">concerned that there was a risk of leakage and that venetoclax + obinutuzumab could be used in patients who were suitable for fludarabine based chemo-immunotherapy; </w:t>
      </w:r>
    </w:p>
    <w:p w:rsidR="008505F1" w:rsidRPr="006656E8" w:rsidRDefault="008505F1" w:rsidP="008505F1">
      <w:pPr>
        <w:pStyle w:val="ExecSumBodyText"/>
        <w:numPr>
          <w:ilvl w:val="0"/>
          <w:numId w:val="6"/>
        </w:numPr>
        <w:spacing w:after="0"/>
        <w:ind w:left="1208" w:hanging="357"/>
      </w:pPr>
      <w:r w:rsidRPr="006656E8">
        <w:t xml:space="preserve">Uptake rates of venetoclax were assumed based on a wide range of clinician survey responses, and are highly uncertain; </w:t>
      </w:r>
    </w:p>
    <w:p w:rsidR="008505F1" w:rsidRPr="006656E8" w:rsidRDefault="008505F1" w:rsidP="008505F1">
      <w:pPr>
        <w:pStyle w:val="ExecSumBodyText"/>
        <w:numPr>
          <w:ilvl w:val="0"/>
          <w:numId w:val="6"/>
        </w:numPr>
        <w:spacing w:after="0"/>
        <w:ind w:left="1208" w:hanging="357"/>
      </w:pPr>
      <w:r w:rsidRPr="006656E8">
        <w:t>The submission’s estimate of first line therapy cost offsets assumed 100% of venetoclax + obinutuzumab use would substitute chlorambucil + obinutuzumab based clinician survey responses, and is highly uncertain;</w:t>
      </w:r>
    </w:p>
    <w:p w:rsidR="008505F1" w:rsidRPr="006656E8" w:rsidRDefault="008505F1" w:rsidP="008505F1">
      <w:pPr>
        <w:pStyle w:val="ListParagraph"/>
        <w:numPr>
          <w:ilvl w:val="0"/>
          <w:numId w:val="6"/>
        </w:numPr>
        <w:spacing w:after="0" w:line="240" w:lineRule="auto"/>
        <w:ind w:left="1208" w:hanging="357"/>
        <w:jc w:val="both"/>
        <w:rPr>
          <w:sz w:val="24"/>
        </w:rPr>
      </w:pPr>
      <w:r w:rsidRPr="006656E8">
        <w:rPr>
          <w:sz w:val="24"/>
        </w:rPr>
        <w:lastRenderedPageBreak/>
        <w:t>The submission did not address the impact of availability of ibrutinib as a first line therapy for patients with 17p deletion. Given the emergence of new therapies for patients with cytogenetic aberrations/mutations, it is unclear what effect this will have on venetoclax use in the broader first line setting;</w:t>
      </w:r>
    </w:p>
    <w:p w:rsidR="008505F1" w:rsidRPr="006656E8" w:rsidRDefault="008505F1" w:rsidP="008505F1">
      <w:pPr>
        <w:pStyle w:val="ExecSumBodyText"/>
        <w:numPr>
          <w:ilvl w:val="0"/>
          <w:numId w:val="6"/>
        </w:numPr>
        <w:spacing w:after="0"/>
        <w:ind w:left="1208" w:hanging="357"/>
      </w:pPr>
      <w:r w:rsidRPr="006656E8">
        <w:t>Cost offsets due to the prevention of relapsed/refractory therapies are likely to be overestimated as it was assumed that these costs are fully avoided, while in practice, it is likely that some of these costs are delayed rather than avoided; and</w:t>
      </w:r>
    </w:p>
    <w:p w:rsidR="008505F1" w:rsidRPr="008505F1" w:rsidRDefault="008505F1" w:rsidP="009627EF">
      <w:pPr>
        <w:pStyle w:val="ExecSumBodyText"/>
        <w:numPr>
          <w:ilvl w:val="0"/>
          <w:numId w:val="6"/>
        </w:numPr>
        <w:ind w:left="1208" w:hanging="357"/>
      </w:pPr>
      <w:r w:rsidRPr="006656E8">
        <w:t xml:space="preserve">The submission did not adequately address the costs associated with the prophylactic management of tumour lysis syndrome (TLS) in patients treated with venetoclax. During the evaluation, these costs were estimated using baseline risk from the CLL-14 trial and hospitalisation costs (between </w:t>
      </w:r>
      <w:r w:rsidR="00263AAD">
        <w:t>less than $10</w:t>
      </w:r>
      <w:r w:rsidRPr="006656E8">
        <w:t xml:space="preserve"> million to </w:t>
      </w:r>
      <w:r w:rsidR="00263AAD">
        <w:t>less than $10</w:t>
      </w:r>
      <w:r w:rsidRPr="006656E8">
        <w:t xml:space="preserve"> million over 6 years).    </w:t>
      </w:r>
    </w:p>
    <w:p w:rsidR="00735F9E" w:rsidRPr="00C9624D" w:rsidRDefault="00735F9E" w:rsidP="00735F9E">
      <w:pPr>
        <w:pStyle w:val="3-SubsectionHeading"/>
      </w:pPr>
      <w:bookmarkStart w:id="27" w:name="_Toc30502550"/>
      <w:r w:rsidRPr="00C9624D">
        <w:t>Financial Management – Risk Sharing Arrangements</w:t>
      </w:r>
      <w:bookmarkEnd w:id="27"/>
    </w:p>
    <w:p w:rsidR="00532C0A" w:rsidRPr="00532C0A" w:rsidRDefault="00735F9E" w:rsidP="00225CDB">
      <w:pPr>
        <w:pStyle w:val="ExecSumBodyText"/>
        <w:numPr>
          <w:ilvl w:val="1"/>
          <w:numId w:val="1"/>
        </w:numPr>
      </w:pPr>
      <w:r w:rsidRPr="00633EE8">
        <w:t xml:space="preserve">The </w:t>
      </w:r>
      <w:r w:rsidRPr="006656E8">
        <w:t>submission did not propose a risk-sharing arrangement</w:t>
      </w:r>
      <w:r w:rsidR="00225CDB">
        <w:t xml:space="preserve"> (RSA)</w:t>
      </w:r>
      <w:r w:rsidRPr="006656E8">
        <w:t xml:space="preserve">. However, the submission acknowledged that there are uncertainties associated with the financial estimates and suggested that the sponsor is willing to enter a </w:t>
      </w:r>
      <w:r w:rsidR="00532C0A">
        <w:t>RSA</w:t>
      </w:r>
      <w:r w:rsidRPr="006656E8">
        <w:t xml:space="preserve"> that would be specific to venetoclax in </w:t>
      </w:r>
      <w:r w:rsidR="00153838" w:rsidRPr="006656E8">
        <w:t>first line</w:t>
      </w:r>
      <w:r w:rsidRPr="006656E8">
        <w:t xml:space="preserve"> CLL.</w:t>
      </w:r>
      <w:r w:rsidR="001F4B0D" w:rsidRPr="006656E8">
        <w:t xml:space="preserve"> The sponsor did not consider the impact of a first-line listing on the existing RSA for venetoclax in the relapsed/refractory</w:t>
      </w:r>
      <w:r w:rsidR="00225CDB">
        <w:t xml:space="preserve"> (R/R)</w:t>
      </w:r>
      <w:r w:rsidR="001F4B0D" w:rsidRPr="006656E8">
        <w:t xml:space="preserve"> setting</w:t>
      </w:r>
      <w:r w:rsidR="001F4B0D" w:rsidRPr="001F4B0D">
        <w:rPr>
          <w:i/>
        </w:rPr>
        <w:t>.</w:t>
      </w:r>
    </w:p>
    <w:p w:rsidR="00225CDB" w:rsidRPr="004E7489" w:rsidRDefault="005B4681" w:rsidP="00225CDB">
      <w:pPr>
        <w:pStyle w:val="ExecSumBodyText"/>
        <w:numPr>
          <w:ilvl w:val="1"/>
          <w:numId w:val="1"/>
        </w:numPr>
      </w:pPr>
      <w:r w:rsidRPr="00155504">
        <w:t xml:space="preserve">The ESC considered that </w:t>
      </w:r>
      <w:r w:rsidR="00225CDB" w:rsidRPr="00155504">
        <w:t>a combined RSA across the first-line and RR settings w</w:t>
      </w:r>
      <w:r w:rsidR="00532C0A" w:rsidRPr="00155504">
        <w:t xml:space="preserve">ould be </w:t>
      </w:r>
      <w:r w:rsidR="00225CDB" w:rsidRPr="004E7489">
        <w:t xml:space="preserve">appropriate. </w:t>
      </w:r>
      <w:bookmarkEnd w:id="26"/>
      <w:r w:rsidR="00532C0A" w:rsidRPr="004E7489">
        <w:rPr>
          <w:bCs/>
          <w:lang w:val="en-GB"/>
        </w:rPr>
        <w:t xml:space="preserve">The ESC noted that the cost-effectiveness of venetoclax in the first-line treatment of CLL relied on cost-offsets for ibrutinib and venetoclax as second and third-line treatments. For these cost-offsets to be realised </w:t>
      </w:r>
      <w:r w:rsidR="00DD40E7">
        <w:rPr>
          <w:bCs/>
          <w:noProof/>
          <w:color w:val="000000"/>
          <w:highlight w:val="black"/>
          <w:lang w:val="en-GB"/>
        </w:rPr>
        <w:t>''''''' ''''''''' '''''' '''''' '''''''''''''' '''''''' ''''' ''''''''''''''''' ''''''' '''''''''''''''''''' ''''' '''''' '''''''''''''''''''' ''''' ''''' '''''''''''''' '''''''''''' ''''''''' '''' ''''' ''''''''''''''''' '''''''' '''''''''''''''''' ''''''''''''''''' ''''''' ''''''''''''''''''''''''' '''''''' '''''' ''''''''''''''''''''' ''''''''''''''' ''''' ''''''' ''''''' '''''' ''''''''''''''''''' ''''' ''''''''' '''''''''''''''' ''''''' '''''''''''''''''''''' '''''''' ''''''''''''' '''''''''''''''''''''' ''''''''''''''''' ''' ''''''''''''''''' '''''''''''' '''' ''''''''''''''''''' '''''''' ''''' '''''''''''''''''' '''' ''''''''''''' ''''''''''' ''''''''''''</w:t>
      </w:r>
      <w:r w:rsidR="004D2446" w:rsidRPr="004E7489">
        <w:rPr>
          <w:bCs/>
          <w:lang w:val="en-GB"/>
        </w:rPr>
        <w:t xml:space="preserve"> The pre-PBAC also</w:t>
      </w:r>
      <w:r w:rsidR="003C69AD" w:rsidRPr="004E7489">
        <w:rPr>
          <w:bCs/>
          <w:lang w:val="en-GB"/>
        </w:rPr>
        <w:t xml:space="preserve"> </w:t>
      </w:r>
      <w:r w:rsidR="004D2446" w:rsidRPr="004E7489">
        <w:rPr>
          <w:bCs/>
          <w:lang w:val="en-GB"/>
        </w:rPr>
        <w:t xml:space="preserve">noted that, if recommended for listing, acalabrutinib is also likely to affect the R/R cap.  </w:t>
      </w:r>
    </w:p>
    <w:p w:rsidR="00007634" w:rsidRPr="00DD40E7" w:rsidRDefault="00DD40E7" w:rsidP="00DD40E7">
      <w:pPr>
        <w:pStyle w:val="ExecSumBodyText"/>
        <w:numPr>
          <w:ilvl w:val="0"/>
          <w:numId w:val="0"/>
        </w:numPr>
        <w:ind w:left="720" w:hanging="720"/>
        <w:rPr>
          <w:highlight w:val="black"/>
        </w:rPr>
      </w:pPr>
      <w:r>
        <w:rPr>
          <w:rFonts w:cstheme="minorHAnsi"/>
          <w:noProof/>
          <w:color w:val="000000"/>
          <w:highlight w:val="black"/>
          <w14:scene3d>
            <w14:camera w14:prst="orthographicFront"/>
            <w14:lightRig w14:rig="threePt" w14:dir="t">
              <w14:rot w14:lat="0" w14:lon="0" w14:rev="0"/>
            </w14:lightRig>
          </w14:scene3d>
        </w:rPr>
        <w:t>'''''''''''' '''''''''''''''' ''''''' ''''''' '''''''''''' '''''''' '''''' '''''''''''''''' '''''''''''''''' '''''''' ''''' ''''''''''''''''' ''''''' '''''''''''''''''''' ''''' '''''' '''''''''''''' '''''''''' '''''''' ''''''''''''''' ''' '''''''' ''' ''''''' ''''''''''''''' '''' ''''' '''''''''''''''' ''' '''''''' ''''' ''''''''''''' ''''''' '''''''''''''' ''''''''''' '''''' ''''''''''''''' '''''''' ''''''''''''''''''''' '''''' '''''' ''''''' ''' '''''''''''' '''''''' '''''''''''''''' ''''''''''' '''''' '''''''' '''''''' ''''''''''''''''''''</w:t>
      </w:r>
    </w:p>
    <w:p w:rsidR="00122A5C" w:rsidRPr="0001499D" w:rsidRDefault="00BB6136" w:rsidP="0001499D">
      <w:pPr>
        <w:pStyle w:val="ExecSumBodyText"/>
        <w:numPr>
          <w:ilvl w:val="0"/>
          <w:numId w:val="0"/>
        </w:numPr>
        <w:ind w:left="720"/>
        <w:rPr>
          <w:i/>
        </w:rPr>
      </w:pPr>
      <w:r>
        <w:rPr>
          <w:bCs/>
          <w:lang w:val="en-GB"/>
        </w:rPr>
        <w:br/>
      </w:r>
      <w:r>
        <w:rPr>
          <w:i/>
          <w:snapToGrid/>
          <w:lang w:val="en-US"/>
        </w:rPr>
        <w:t xml:space="preserve">For more detail on PBAC’s view, see section 7 PBAC outcome. </w:t>
      </w:r>
    </w:p>
    <w:p w:rsidR="00122A5C" w:rsidRPr="00122A5C" w:rsidRDefault="00122A5C" w:rsidP="00C50D2A">
      <w:pPr>
        <w:pStyle w:val="2-SectionHeading"/>
        <w:numPr>
          <w:ilvl w:val="0"/>
          <w:numId w:val="1"/>
        </w:numPr>
      </w:pPr>
      <w:r w:rsidRPr="00122A5C">
        <w:t>PBAC Outcome</w:t>
      </w:r>
    </w:p>
    <w:p w:rsidR="00103E11" w:rsidRDefault="00103E11" w:rsidP="00122A5C">
      <w:pPr>
        <w:widowControl w:val="0"/>
        <w:numPr>
          <w:ilvl w:val="1"/>
          <w:numId w:val="1"/>
        </w:numPr>
        <w:spacing w:after="120"/>
        <w:rPr>
          <w:rFonts w:asciiTheme="minorHAnsi" w:hAnsiTheme="minorHAnsi"/>
          <w:bCs/>
          <w:snapToGrid w:val="0"/>
          <w:lang w:val="en-GB"/>
        </w:rPr>
      </w:pPr>
      <w:r>
        <w:t>The PBAC did not recommend the listing of venetoclax in combina</w:t>
      </w:r>
      <w:r w:rsidR="00353937">
        <w:t>tion with obinutuzumab</w:t>
      </w:r>
      <w:r>
        <w:t xml:space="preserve"> for the first-line treatment of patients with chronic lymphocytic leukaemia (CLL) who have coexisting conditions and are unsuitable for fludarabine </w:t>
      </w:r>
      <w:r>
        <w:lastRenderedPageBreak/>
        <w:t xml:space="preserve">based chemo-immunotherapy. </w:t>
      </w:r>
      <w:r w:rsidR="00353937">
        <w:t>The</w:t>
      </w:r>
      <w:r w:rsidR="00DF3323">
        <w:t xml:space="preserve"> PBAC accepted that venetoclax +</w:t>
      </w:r>
      <w:r w:rsidR="00353937">
        <w:t xml:space="preserve"> obinutuzumab</w:t>
      </w:r>
      <w:r>
        <w:t xml:space="preserve"> was clinically superior to current first-line therapy for CLL in delaying progression</w:t>
      </w:r>
      <w:r w:rsidR="009A5AE8">
        <w:t xml:space="preserve">. However, the PBAC considered that the </w:t>
      </w:r>
      <w:r w:rsidR="00957DE9">
        <w:t>incremental</w:t>
      </w:r>
      <w:r w:rsidR="009A5AE8">
        <w:t xml:space="preserve"> cost-effectiveness ratio </w:t>
      </w:r>
      <w:r w:rsidR="00957DE9">
        <w:t xml:space="preserve">(ICER) </w:t>
      </w:r>
      <w:r w:rsidR="009A5AE8">
        <w:t xml:space="preserve">was </w:t>
      </w:r>
      <w:r w:rsidR="00AA6C0D">
        <w:t>difficult to ascertain based on the model provided and would need to be revised,</w:t>
      </w:r>
      <w:r w:rsidR="00F30139">
        <w:t xml:space="preserve"> and the financial estimates were </w:t>
      </w:r>
      <w:r w:rsidR="001C05A1">
        <w:t xml:space="preserve">highly </w:t>
      </w:r>
      <w:r w:rsidR="00F30139">
        <w:t>uncertain</w:t>
      </w:r>
      <w:r w:rsidR="009A5AE8">
        <w:t xml:space="preserve">. </w:t>
      </w:r>
    </w:p>
    <w:p w:rsidR="00353937" w:rsidRDefault="00353937" w:rsidP="00103E11">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noted that the comments from </w:t>
      </w:r>
      <w:r w:rsidR="00DA2A0E">
        <w:rPr>
          <w:rFonts w:asciiTheme="minorHAnsi" w:hAnsiTheme="minorHAnsi"/>
          <w:bCs/>
          <w:snapToGrid w:val="0"/>
          <w:lang w:val="en-GB"/>
        </w:rPr>
        <w:t xml:space="preserve">consumers and from the </w:t>
      </w:r>
      <w:r>
        <w:rPr>
          <w:rFonts w:asciiTheme="minorHAnsi" w:hAnsiTheme="minorHAnsi"/>
          <w:bCs/>
          <w:snapToGrid w:val="0"/>
          <w:lang w:val="en-GB"/>
        </w:rPr>
        <w:t>Leukaemia Foundation, Lymphoma Australia and Rare Cancers Australia were all in support of t</w:t>
      </w:r>
      <w:r w:rsidR="001F0FFE">
        <w:rPr>
          <w:rFonts w:asciiTheme="minorHAnsi" w:hAnsiTheme="minorHAnsi"/>
          <w:bCs/>
          <w:snapToGrid w:val="0"/>
          <w:lang w:val="en-GB"/>
        </w:rPr>
        <w:t>he reques</w:t>
      </w:r>
      <w:r w:rsidR="00DF3323">
        <w:rPr>
          <w:rFonts w:asciiTheme="minorHAnsi" w:hAnsiTheme="minorHAnsi"/>
          <w:bCs/>
          <w:snapToGrid w:val="0"/>
          <w:lang w:val="en-GB"/>
        </w:rPr>
        <w:t xml:space="preserve">ted listing for venetoclax + </w:t>
      </w:r>
      <w:r w:rsidR="001F0FFE">
        <w:rPr>
          <w:rFonts w:asciiTheme="minorHAnsi" w:hAnsiTheme="minorHAnsi"/>
          <w:bCs/>
          <w:snapToGrid w:val="0"/>
          <w:lang w:val="en-GB"/>
        </w:rPr>
        <w:t>obinutuzumab</w:t>
      </w:r>
      <w:r w:rsidR="00DA2A0E">
        <w:rPr>
          <w:rFonts w:asciiTheme="minorHAnsi" w:hAnsiTheme="minorHAnsi"/>
          <w:bCs/>
          <w:snapToGrid w:val="0"/>
          <w:lang w:val="en-GB"/>
        </w:rPr>
        <w:t>, describing the need for treatment options in CLL patients unable to tolerate the current standard of care</w:t>
      </w:r>
      <w:r>
        <w:rPr>
          <w:rFonts w:asciiTheme="minorHAnsi" w:hAnsiTheme="minorHAnsi"/>
          <w:bCs/>
          <w:snapToGrid w:val="0"/>
          <w:lang w:val="en-GB"/>
        </w:rPr>
        <w:t xml:space="preserve">. </w:t>
      </w:r>
    </w:p>
    <w:p w:rsidR="00DF3323" w:rsidRDefault="00DF3323" w:rsidP="001F0FFE">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accepted that chlorambucil + obinutuzumab was the appropriate comparator. </w:t>
      </w:r>
    </w:p>
    <w:p w:rsidR="008215CA" w:rsidRDefault="00E95920" w:rsidP="00910DC5">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noted that the </w:t>
      </w:r>
      <w:r w:rsidR="008215CA">
        <w:rPr>
          <w:rFonts w:asciiTheme="minorHAnsi" w:hAnsiTheme="minorHAnsi"/>
          <w:bCs/>
          <w:snapToGrid w:val="0"/>
          <w:lang w:val="en-GB"/>
        </w:rPr>
        <w:t xml:space="preserve">submission presented data from </w:t>
      </w:r>
      <w:r w:rsidR="00292C28">
        <w:rPr>
          <w:rFonts w:asciiTheme="minorHAnsi" w:hAnsiTheme="minorHAnsi"/>
          <w:bCs/>
          <w:snapToGrid w:val="0"/>
          <w:lang w:val="en-GB"/>
        </w:rPr>
        <w:t>a randomised controlled trial</w:t>
      </w:r>
      <w:r w:rsidR="008215CA">
        <w:rPr>
          <w:rFonts w:asciiTheme="minorHAnsi" w:hAnsiTheme="minorHAnsi"/>
          <w:bCs/>
          <w:snapToGrid w:val="0"/>
          <w:lang w:val="en-GB"/>
        </w:rPr>
        <w:t>, CLL-14, which compar</w:t>
      </w:r>
      <w:r w:rsidR="00292C28">
        <w:rPr>
          <w:rFonts w:asciiTheme="minorHAnsi" w:hAnsiTheme="minorHAnsi"/>
          <w:bCs/>
          <w:snapToGrid w:val="0"/>
          <w:lang w:val="en-GB"/>
        </w:rPr>
        <w:t>ed</w:t>
      </w:r>
      <w:r w:rsidR="008215CA">
        <w:rPr>
          <w:rFonts w:asciiTheme="minorHAnsi" w:hAnsiTheme="minorHAnsi"/>
          <w:bCs/>
          <w:snapToGrid w:val="0"/>
          <w:lang w:val="en-GB"/>
        </w:rPr>
        <w:t xml:space="preserve"> venetoclax + obinutuzumab with the nominated comparator, chlorambucil + obinutuzumab. </w:t>
      </w:r>
      <w:r>
        <w:rPr>
          <w:rFonts w:asciiTheme="minorHAnsi" w:hAnsiTheme="minorHAnsi"/>
          <w:bCs/>
          <w:snapToGrid w:val="0"/>
          <w:lang w:val="en-GB"/>
        </w:rPr>
        <w:t xml:space="preserve"> </w:t>
      </w:r>
      <w:r w:rsidR="008215CA">
        <w:rPr>
          <w:rFonts w:asciiTheme="minorHAnsi" w:hAnsiTheme="minorHAnsi"/>
          <w:bCs/>
          <w:snapToGrid w:val="0"/>
          <w:lang w:val="en-GB"/>
        </w:rPr>
        <w:t>The PBAC noted that efficacy data were presented for two data-cuts, August 2018 (median follow-up of 29.06 months) and August 2019 (median follow-up not reported).</w:t>
      </w:r>
    </w:p>
    <w:p w:rsidR="00292C28" w:rsidRPr="00292C28" w:rsidRDefault="008215CA" w:rsidP="00910DC5">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noted that at the August 2018 data-cut the median progression free survival (PFS) was not reached in either arm, but that </w:t>
      </w:r>
      <w:r w:rsidRPr="00910DC5">
        <w:t>statistically significantly fewer patients treated with venetoclax + obinutuzumab experienced disease progression or death</w:t>
      </w:r>
      <w:r>
        <w:t xml:space="preserve"> in the Independent Review Committee </w:t>
      </w:r>
      <w:r w:rsidR="00292C28">
        <w:t xml:space="preserve">(IRC) </w:t>
      </w:r>
      <w:r>
        <w:t>analysis (HR = 0.33; 95% CI: 0.22, 0.51). The PBAC noted that at the August 2019 data-cut the median PFS was reached in the chlorambucil + obinutuzumab arm (35.6 months) and that the investigator assessed analysis reported similar results to the earlier data-cut (HR = 0.31; 95% CI: 0.22, 0.44)</w:t>
      </w:r>
      <w:r w:rsidR="00292C28">
        <w:t>.</w:t>
      </w:r>
    </w:p>
    <w:p w:rsidR="001B3A0E" w:rsidRPr="001B3A0E" w:rsidRDefault="00292C28" w:rsidP="00910DC5">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In terms of time to next </w:t>
      </w:r>
      <w:r w:rsidR="00EE7C9F">
        <w:rPr>
          <w:rFonts w:asciiTheme="minorHAnsi" w:hAnsiTheme="minorHAnsi"/>
          <w:bCs/>
          <w:snapToGrid w:val="0"/>
          <w:lang w:val="en-GB"/>
        </w:rPr>
        <w:t xml:space="preserve">ant-CLL </w:t>
      </w:r>
      <w:r>
        <w:rPr>
          <w:rFonts w:asciiTheme="minorHAnsi" w:hAnsiTheme="minorHAnsi"/>
          <w:bCs/>
          <w:snapToGrid w:val="0"/>
          <w:lang w:val="en-GB"/>
        </w:rPr>
        <w:t xml:space="preserve">treatment (TTNT) following progression, the PBAC noted that although the results statistically significantly favoured venetoclax + obinutuzumab at both data-cuts, there were differences in the post-progression treatment patterns </w:t>
      </w:r>
      <w:r w:rsidR="00364E96">
        <w:rPr>
          <w:rFonts w:asciiTheme="minorHAnsi" w:hAnsiTheme="minorHAnsi"/>
          <w:bCs/>
          <w:snapToGrid w:val="0"/>
          <w:lang w:val="en-GB"/>
        </w:rPr>
        <w:t xml:space="preserve">across the treatment groups </w:t>
      </w:r>
      <w:r>
        <w:rPr>
          <w:rFonts w:asciiTheme="minorHAnsi" w:hAnsiTheme="minorHAnsi"/>
          <w:bCs/>
          <w:snapToGrid w:val="0"/>
          <w:lang w:val="en-GB"/>
        </w:rPr>
        <w:t xml:space="preserve">which were difficult to interpret. </w:t>
      </w:r>
      <w:r w:rsidRPr="00FD0672">
        <w:t xml:space="preserve">The </w:t>
      </w:r>
      <w:r>
        <w:t xml:space="preserve">PBAC noted Figure 4 </w:t>
      </w:r>
      <w:r w:rsidR="007C0ADA">
        <w:t xml:space="preserve">that </w:t>
      </w:r>
      <w:r w:rsidRPr="00FD0672">
        <w:t>suggest</w:t>
      </w:r>
      <w:r>
        <w:t>ed</w:t>
      </w:r>
      <w:r w:rsidRPr="00FD0672">
        <w:t xml:space="preserve"> </w:t>
      </w:r>
      <w:r>
        <w:t>a large proportion of</w:t>
      </w:r>
      <w:r w:rsidRPr="00FD0672">
        <w:t xml:space="preserve"> patients treated with chlorambucil + obinutuzumab experienced delayed or no new anti-CLL treatment after disease progression</w:t>
      </w:r>
      <w:r>
        <w:t>; whereas,</w:t>
      </w:r>
      <w:r w:rsidRPr="00FD0672">
        <w:t xml:space="preserve"> patients treated with venetoclax + obinutuzuma</w:t>
      </w:r>
      <w:r>
        <w:t xml:space="preserve">b experienced little or no delay. </w:t>
      </w:r>
      <w:r w:rsidR="00BB3436">
        <w:t>The PBAC considered that it was not unreasonable to expect that patients treated with venetoclax + obinutuzumab would experience a TTNT delay as demonstrated in the chlorambucil + obinutuzumab arm of CLL-14</w:t>
      </w:r>
      <w:r w:rsidR="000C0552">
        <w:t xml:space="preserve">. </w:t>
      </w:r>
    </w:p>
    <w:p w:rsidR="000C0552" w:rsidRPr="000C0552" w:rsidRDefault="000C0552" w:rsidP="004A7967">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noted that the trial data demonstrated no additional benefit in terms of OS for venetoclax + obinutuzumab compared to chlorambucil + obinutuzumab. The PBAC considered that OS was not an informative outcome in CLL due to </w:t>
      </w:r>
      <w:r w:rsidRPr="003124D8">
        <w:t>downstream effective treatments and the older mean age at diagnosis (70 years)</w:t>
      </w:r>
      <w:r>
        <w:t>.</w:t>
      </w:r>
    </w:p>
    <w:p w:rsidR="00910DC5" w:rsidRPr="005616D0" w:rsidRDefault="005616D0" w:rsidP="008B43FB">
      <w:pPr>
        <w:widowControl w:val="0"/>
        <w:numPr>
          <w:ilvl w:val="1"/>
          <w:numId w:val="1"/>
        </w:numPr>
        <w:spacing w:after="120"/>
        <w:rPr>
          <w:rFonts w:asciiTheme="minorHAnsi" w:hAnsiTheme="minorHAnsi"/>
          <w:bCs/>
          <w:snapToGrid w:val="0"/>
          <w:lang w:val="en-GB"/>
        </w:rPr>
      </w:pPr>
      <w:r w:rsidRPr="005616D0">
        <w:rPr>
          <w:snapToGrid w:val="0"/>
          <w:lang w:val="en-GB"/>
        </w:rPr>
        <w:t xml:space="preserve">The PBAC acknowledged that TTNT was likely a good indicator of treatment effect, however, given the uncertainties </w:t>
      </w:r>
      <w:r>
        <w:rPr>
          <w:snapToGrid w:val="0"/>
          <w:lang w:val="en-GB"/>
        </w:rPr>
        <w:t xml:space="preserve">with the interpretation of the trial results for this outcome, as </w:t>
      </w:r>
      <w:r w:rsidRPr="005616D0">
        <w:rPr>
          <w:snapToGrid w:val="0"/>
          <w:lang w:val="en-GB"/>
        </w:rPr>
        <w:t>identified in section 6 above</w:t>
      </w:r>
      <w:r>
        <w:rPr>
          <w:snapToGrid w:val="0"/>
          <w:lang w:val="en-GB"/>
        </w:rPr>
        <w:t>,</w:t>
      </w:r>
      <w:r w:rsidRPr="005616D0">
        <w:rPr>
          <w:snapToGrid w:val="0"/>
          <w:lang w:val="en-GB"/>
        </w:rPr>
        <w:t xml:space="preserve"> and that TTNT was a subjective outcome, </w:t>
      </w:r>
      <w:r w:rsidRPr="005616D0">
        <w:rPr>
          <w:snapToGrid w:val="0"/>
          <w:lang w:val="en-GB"/>
        </w:rPr>
        <w:lastRenderedPageBreak/>
        <w:t>PBAC considered the PFS outcome provide</w:t>
      </w:r>
      <w:r>
        <w:rPr>
          <w:snapToGrid w:val="0"/>
          <w:lang w:val="en-GB"/>
        </w:rPr>
        <w:t>d</w:t>
      </w:r>
      <w:r w:rsidRPr="005616D0">
        <w:rPr>
          <w:snapToGrid w:val="0"/>
          <w:lang w:val="en-GB"/>
        </w:rPr>
        <w:t xml:space="preserve"> a more robust assessment</w:t>
      </w:r>
      <w:r w:rsidR="00A14421">
        <w:rPr>
          <w:snapToGrid w:val="0"/>
          <w:lang w:val="en-GB"/>
        </w:rPr>
        <w:t>,</w:t>
      </w:r>
      <w:r w:rsidRPr="005616D0">
        <w:rPr>
          <w:snapToGrid w:val="0"/>
          <w:lang w:val="en-GB"/>
        </w:rPr>
        <w:t xml:space="preserve"> </w:t>
      </w:r>
      <w:r>
        <w:rPr>
          <w:snapToGrid w:val="0"/>
          <w:lang w:val="en-GB"/>
        </w:rPr>
        <w:t>using</w:t>
      </w:r>
      <w:r w:rsidRPr="005616D0">
        <w:rPr>
          <w:snapToGrid w:val="0"/>
          <w:lang w:val="en-GB"/>
        </w:rPr>
        <w:t xml:space="preserve"> pre-determined criteria at set time points. The PBAC noted </w:t>
      </w:r>
      <w:r w:rsidRPr="005616D0">
        <w:rPr>
          <w:bCs/>
          <w:lang w:val="en-GB"/>
        </w:rPr>
        <w:t xml:space="preserve">the patient reported outcomes did not suggest any substantial decrements to quality of life associated with progression. </w:t>
      </w:r>
      <w:r w:rsidR="000C0552" w:rsidRPr="005616D0">
        <w:rPr>
          <w:rFonts w:asciiTheme="minorHAnsi" w:hAnsiTheme="minorHAnsi"/>
          <w:bCs/>
          <w:snapToGrid w:val="0"/>
          <w:lang w:val="en-GB"/>
        </w:rPr>
        <w:t>Overall, the PBAC accepted the clinical claim that venetoclax +</w:t>
      </w:r>
      <w:r w:rsidR="00C841B3">
        <w:rPr>
          <w:rFonts w:asciiTheme="minorHAnsi" w:hAnsiTheme="minorHAnsi"/>
          <w:bCs/>
          <w:snapToGrid w:val="0"/>
          <w:lang w:val="en-GB"/>
        </w:rPr>
        <w:t xml:space="preserve"> </w:t>
      </w:r>
      <w:r w:rsidR="000C0552" w:rsidRPr="005616D0">
        <w:rPr>
          <w:rFonts w:asciiTheme="minorHAnsi" w:hAnsiTheme="minorHAnsi"/>
          <w:bCs/>
          <w:snapToGrid w:val="0"/>
          <w:lang w:val="en-GB"/>
        </w:rPr>
        <w:t>obinutuzumab demonstrated superior</w:t>
      </w:r>
      <w:r w:rsidR="00026082" w:rsidRPr="005616D0">
        <w:rPr>
          <w:rFonts w:asciiTheme="minorHAnsi" w:hAnsiTheme="minorHAnsi"/>
          <w:bCs/>
          <w:snapToGrid w:val="0"/>
          <w:lang w:val="en-GB"/>
        </w:rPr>
        <w:t xml:space="preserve"> clinical</w:t>
      </w:r>
      <w:r w:rsidR="000C0552" w:rsidRPr="005616D0">
        <w:rPr>
          <w:rFonts w:asciiTheme="minorHAnsi" w:hAnsiTheme="minorHAnsi"/>
          <w:bCs/>
          <w:snapToGrid w:val="0"/>
          <w:lang w:val="en-GB"/>
        </w:rPr>
        <w:t xml:space="preserve"> </w:t>
      </w:r>
      <w:r w:rsidR="00026082" w:rsidRPr="005616D0">
        <w:rPr>
          <w:rFonts w:asciiTheme="minorHAnsi" w:hAnsiTheme="minorHAnsi"/>
          <w:bCs/>
          <w:snapToGrid w:val="0"/>
          <w:lang w:val="en-GB"/>
        </w:rPr>
        <w:t xml:space="preserve">effectiveness </w:t>
      </w:r>
      <w:r w:rsidR="000C0552" w:rsidRPr="005616D0">
        <w:rPr>
          <w:rFonts w:asciiTheme="minorHAnsi" w:hAnsiTheme="minorHAnsi"/>
          <w:bCs/>
          <w:snapToGrid w:val="0"/>
          <w:lang w:val="en-GB"/>
        </w:rPr>
        <w:t xml:space="preserve">compared to chlorambucil + obinutuzumab in terms of PFS. </w:t>
      </w:r>
    </w:p>
    <w:p w:rsidR="003B6196" w:rsidRPr="0082458B" w:rsidRDefault="003B6196" w:rsidP="0082458B">
      <w:pPr>
        <w:widowControl w:val="0"/>
        <w:numPr>
          <w:ilvl w:val="1"/>
          <w:numId w:val="1"/>
        </w:numPr>
        <w:spacing w:after="120"/>
        <w:rPr>
          <w:rFonts w:asciiTheme="minorHAnsi" w:hAnsiTheme="minorHAnsi"/>
          <w:bCs/>
          <w:snapToGrid w:val="0"/>
          <w:lang w:val="en-GB"/>
        </w:rPr>
      </w:pPr>
      <w:r w:rsidRPr="00D2302E">
        <w:rPr>
          <w:rFonts w:asciiTheme="minorHAnsi" w:hAnsiTheme="minorHAnsi"/>
          <w:bCs/>
          <w:snapToGrid w:val="0"/>
          <w:lang w:val="en-GB"/>
        </w:rPr>
        <w:t>The PBAC noted</w:t>
      </w:r>
      <w:r>
        <w:rPr>
          <w:rFonts w:asciiTheme="minorHAnsi" w:hAnsiTheme="minorHAnsi"/>
          <w:bCs/>
          <w:snapToGrid w:val="0"/>
          <w:lang w:val="en-GB"/>
        </w:rPr>
        <w:t xml:space="preserve"> that, unlike the efficacy results, there was no </w:t>
      </w:r>
      <w:r w:rsidR="002A60EC">
        <w:rPr>
          <w:rFonts w:asciiTheme="minorHAnsi" w:hAnsiTheme="minorHAnsi"/>
          <w:bCs/>
          <w:snapToGrid w:val="0"/>
          <w:lang w:val="en-GB"/>
        </w:rPr>
        <w:t xml:space="preserve">updated </w:t>
      </w:r>
      <w:r w:rsidR="00893BC7">
        <w:rPr>
          <w:rFonts w:asciiTheme="minorHAnsi" w:hAnsiTheme="minorHAnsi"/>
          <w:bCs/>
          <w:snapToGrid w:val="0"/>
          <w:lang w:val="en-GB"/>
        </w:rPr>
        <w:t xml:space="preserve">safety data from the second data-cut </w:t>
      </w:r>
      <w:r>
        <w:rPr>
          <w:rFonts w:asciiTheme="minorHAnsi" w:hAnsiTheme="minorHAnsi"/>
          <w:bCs/>
          <w:snapToGrid w:val="0"/>
          <w:lang w:val="en-GB"/>
        </w:rPr>
        <w:t xml:space="preserve">(August 2019). Further, the PBAC noted that venetoclax + obinutuzumab was associated with </w:t>
      </w:r>
      <w:r w:rsidRPr="003124D8">
        <w:t xml:space="preserve">higher </w:t>
      </w:r>
      <w:r w:rsidR="002A60EC">
        <w:t>numbers of</w:t>
      </w:r>
      <w:r w:rsidRPr="003124D8">
        <w:t xml:space="preserve"> </w:t>
      </w:r>
      <w:r w:rsidR="002A60EC">
        <w:t xml:space="preserve">adverse events, </w:t>
      </w:r>
      <w:r w:rsidRPr="003124D8">
        <w:t xml:space="preserve">serious </w:t>
      </w:r>
      <w:r w:rsidR="00893BC7">
        <w:t xml:space="preserve">adverse events </w:t>
      </w:r>
      <w:r w:rsidRPr="003124D8">
        <w:t>and grade 3/4 adverse event rates</w:t>
      </w:r>
      <w:r w:rsidR="00290CDE">
        <w:t xml:space="preserve"> (</w:t>
      </w:r>
      <w:r w:rsidR="002A60EC">
        <w:t xml:space="preserve">particularly </w:t>
      </w:r>
      <w:r w:rsidR="00290CDE">
        <w:t>neutropenia)</w:t>
      </w:r>
      <w:r w:rsidRPr="003124D8">
        <w:t xml:space="preserve"> compared</w:t>
      </w:r>
      <w:r w:rsidR="0082458B">
        <w:t xml:space="preserve"> to chlorambucil + obinutuzumab</w:t>
      </w:r>
      <w:r w:rsidR="00DD7D42">
        <w:t xml:space="preserve">. </w:t>
      </w:r>
      <w:r w:rsidR="002A60EC">
        <w:t xml:space="preserve">The PBAC considered that overall, </w:t>
      </w:r>
      <w:r w:rsidR="00D2302E">
        <w:t xml:space="preserve">whether </w:t>
      </w:r>
      <w:r w:rsidR="002A60EC">
        <w:t>venetoclax + obinutuzumab was likely to be non-inferior to chlorambucil + obinutuzumab in terms of comparative safety</w:t>
      </w:r>
      <w:r w:rsidR="00D2302E">
        <w:t xml:space="preserve"> remained uncertain</w:t>
      </w:r>
      <w:r w:rsidR="002A60EC">
        <w:t xml:space="preserve">.  </w:t>
      </w:r>
    </w:p>
    <w:p w:rsidR="00622E7B" w:rsidRDefault="00BB5CF7" w:rsidP="008156E5">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w:t>
      </w:r>
      <w:r w:rsidR="00F00E46">
        <w:rPr>
          <w:rFonts w:asciiTheme="minorHAnsi" w:hAnsiTheme="minorHAnsi"/>
          <w:bCs/>
          <w:snapToGrid w:val="0"/>
          <w:lang w:val="en-GB"/>
        </w:rPr>
        <w:t xml:space="preserve">noted that the submission presented a four-state cost-utility model. The PBAC </w:t>
      </w:r>
      <w:r>
        <w:rPr>
          <w:rFonts w:asciiTheme="minorHAnsi" w:hAnsiTheme="minorHAnsi"/>
          <w:bCs/>
          <w:snapToGrid w:val="0"/>
          <w:lang w:val="en-GB"/>
        </w:rPr>
        <w:t>considered that</w:t>
      </w:r>
      <w:r w:rsidR="00F00E46">
        <w:rPr>
          <w:rFonts w:asciiTheme="minorHAnsi" w:hAnsiTheme="minorHAnsi"/>
          <w:bCs/>
          <w:snapToGrid w:val="0"/>
          <w:lang w:val="en-GB"/>
        </w:rPr>
        <w:t xml:space="preserve"> </w:t>
      </w:r>
      <w:r>
        <w:rPr>
          <w:rFonts w:asciiTheme="minorHAnsi" w:hAnsiTheme="minorHAnsi"/>
          <w:bCs/>
          <w:snapToGrid w:val="0"/>
          <w:lang w:val="en-GB"/>
        </w:rPr>
        <w:t xml:space="preserve">the cost-effectiveness of venetoclax + obinutuzumab </w:t>
      </w:r>
      <w:r w:rsidR="008364DC">
        <w:rPr>
          <w:rFonts w:asciiTheme="minorHAnsi" w:hAnsiTheme="minorHAnsi"/>
          <w:bCs/>
          <w:snapToGrid w:val="0"/>
          <w:lang w:val="en-GB"/>
        </w:rPr>
        <w:t xml:space="preserve">was </w:t>
      </w:r>
      <w:r>
        <w:rPr>
          <w:rFonts w:asciiTheme="minorHAnsi" w:hAnsiTheme="minorHAnsi"/>
          <w:bCs/>
          <w:snapToGrid w:val="0"/>
          <w:lang w:val="en-GB"/>
        </w:rPr>
        <w:t>difficult to ascertain</w:t>
      </w:r>
      <w:r w:rsidR="00F00E46">
        <w:rPr>
          <w:rFonts w:asciiTheme="minorHAnsi" w:hAnsiTheme="minorHAnsi"/>
          <w:bCs/>
          <w:snapToGrid w:val="0"/>
          <w:lang w:val="en-GB"/>
        </w:rPr>
        <w:t xml:space="preserve"> </w:t>
      </w:r>
      <w:r>
        <w:rPr>
          <w:rFonts w:asciiTheme="minorHAnsi" w:hAnsiTheme="minorHAnsi"/>
          <w:bCs/>
          <w:snapToGrid w:val="0"/>
          <w:lang w:val="en-GB"/>
        </w:rPr>
        <w:t>due to</w:t>
      </w:r>
      <w:r w:rsidR="00185844">
        <w:rPr>
          <w:rFonts w:asciiTheme="minorHAnsi" w:hAnsiTheme="minorHAnsi"/>
          <w:bCs/>
          <w:snapToGrid w:val="0"/>
          <w:lang w:val="en-GB"/>
        </w:rPr>
        <w:t xml:space="preserve"> uncertainties including</w:t>
      </w:r>
      <w:r w:rsidR="00622E7B">
        <w:rPr>
          <w:rFonts w:asciiTheme="minorHAnsi" w:hAnsiTheme="minorHAnsi"/>
          <w:bCs/>
          <w:snapToGrid w:val="0"/>
          <w:lang w:val="en-GB"/>
        </w:rPr>
        <w:t>:</w:t>
      </w:r>
      <w:r>
        <w:rPr>
          <w:rFonts w:asciiTheme="minorHAnsi" w:hAnsiTheme="minorHAnsi"/>
          <w:bCs/>
          <w:snapToGrid w:val="0"/>
          <w:lang w:val="en-GB"/>
        </w:rPr>
        <w:t xml:space="preserve"> </w:t>
      </w:r>
    </w:p>
    <w:p w:rsidR="00622E7B" w:rsidRDefault="00E5640A" w:rsidP="00FE4154">
      <w:pPr>
        <w:widowControl w:val="0"/>
        <w:numPr>
          <w:ilvl w:val="1"/>
          <w:numId w:val="36"/>
        </w:numPr>
        <w:spacing w:after="120"/>
        <w:ind w:left="1077" w:hanging="357"/>
        <w:rPr>
          <w:rFonts w:asciiTheme="minorHAnsi" w:hAnsiTheme="minorHAnsi"/>
          <w:bCs/>
          <w:snapToGrid w:val="0"/>
          <w:lang w:val="en-GB"/>
        </w:rPr>
      </w:pPr>
      <w:r>
        <w:rPr>
          <w:rFonts w:asciiTheme="minorHAnsi" w:hAnsiTheme="minorHAnsi"/>
          <w:bCs/>
          <w:snapToGrid w:val="0"/>
          <w:lang w:val="en-GB"/>
        </w:rPr>
        <w:t xml:space="preserve">the inconsistencies between the TTNT curves </w:t>
      </w:r>
      <w:r w:rsidR="00E87CD7">
        <w:rPr>
          <w:rFonts w:asciiTheme="minorHAnsi" w:hAnsiTheme="minorHAnsi"/>
          <w:bCs/>
          <w:snapToGrid w:val="0"/>
          <w:lang w:val="en-GB"/>
        </w:rPr>
        <w:t>in</w:t>
      </w:r>
      <w:r>
        <w:rPr>
          <w:rFonts w:asciiTheme="minorHAnsi" w:hAnsiTheme="minorHAnsi"/>
          <w:bCs/>
          <w:snapToGrid w:val="0"/>
          <w:lang w:val="en-GB"/>
        </w:rPr>
        <w:t xml:space="preserve"> the two arms of the CLL-14 trial</w:t>
      </w:r>
      <w:r w:rsidR="00F30139">
        <w:rPr>
          <w:rFonts w:asciiTheme="minorHAnsi" w:hAnsiTheme="minorHAnsi"/>
          <w:bCs/>
          <w:snapToGrid w:val="0"/>
          <w:lang w:val="en-GB"/>
        </w:rPr>
        <w:t>. The PBAC considered that, as it was unknown whether the TTNT trial results represented what would happen in clinical practice, use of the these data int</w:t>
      </w:r>
      <w:r w:rsidR="00DE268A">
        <w:rPr>
          <w:rFonts w:asciiTheme="minorHAnsi" w:hAnsiTheme="minorHAnsi"/>
          <w:bCs/>
          <w:snapToGrid w:val="0"/>
          <w:lang w:val="en-GB"/>
        </w:rPr>
        <w:t xml:space="preserve">roduced uncertainty into the model. In addition, </w:t>
      </w:r>
      <w:r>
        <w:rPr>
          <w:rFonts w:asciiTheme="minorHAnsi" w:hAnsiTheme="minorHAnsi"/>
          <w:bCs/>
          <w:snapToGrid w:val="0"/>
          <w:lang w:val="en-GB"/>
        </w:rPr>
        <w:t xml:space="preserve">the </w:t>
      </w:r>
      <w:r w:rsidR="00A61708">
        <w:rPr>
          <w:rFonts w:asciiTheme="minorHAnsi" w:hAnsiTheme="minorHAnsi"/>
          <w:bCs/>
          <w:snapToGrid w:val="0"/>
          <w:lang w:val="en-GB"/>
        </w:rPr>
        <w:t xml:space="preserve">model was sensitive to the </w:t>
      </w:r>
      <w:r>
        <w:rPr>
          <w:rFonts w:asciiTheme="minorHAnsi" w:hAnsiTheme="minorHAnsi"/>
          <w:bCs/>
          <w:snapToGrid w:val="0"/>
          <w:lang w:val="en-GB"/>
        </w:rPr>
        <w:t>extrapolation of the</w:t>
      </w:r>
      <w:r w:rsidR="00E87CD7">
        <w:rPr>
          <w:rFonts w:asciiTheme="minorHAnsi" w:hAnsiTheme="minorHAnsi"/>
          <w:bCs/>
          <w:snapToGrid w:val="0"/>
          <w:lang w:val="en-GB"/>
        </w:rPr>
        <w:t>se</w:t>
      </w:r>
      <w:r>
        <w:rPr>
          <w:rFonts w:asciiTheme="minorHAnsi" w:hAnsiTheme="minorHAnsi"/>
          <w:bCs/>
          <w:snapToGrid w:val="0"/>
          <w:lang w:val="en-GB"/>
        </w:rPr>
        <w:t xml:space="preserve"> </w:t>
      </w:r>
      <w:r w:rsidR="00A61708">
        <w:rPr>
          <w:rFonts w:asciiTheme="minorHAnsi" w:hAnsiTheme="minorHAnsi"/>
          <w:bCs/>
          <w:snapToGrid w:val="0"/>
          <w:lang w:val="en-GB"/>
        </w:rPr>
        <w:t>curves and the resulting differences in utilities based on the four health states</w:t>
      </w:r>
      <w:r>
        <w:rPr>
          <w:rFonts w:asciiTheme="minorHAnsi" w:hAnsiTheme="minorHAnsi"/>
          <w:bCs/>
          <w:snapToGrid w:val="0"/>
          <w:lang w:val="en-GB"/>
        </w:rPr>
        <w:t>;</w:t>
      </w:r>
      <w:r w:rsidR="008156E5">
        <w:rPr>
          <w:rFonts w:asciiTheme="minorHAnsi" w:hAnsiTheme="minorHAnsi"/>
          <w:bCs/>
          <w:snapToGrid w:val="0"/>
          <w:lang w:val="en-GB"/>
        </w:rPr>
        <w:t xml:space="preserve"> </w:t>
      </w:r>
      <w:r w:rsidR="007C1D34" w:rsidRPr="008156E5">
        <w:rPr>
          <w:rFonts w:asciiTheme="minorHAnsi" w:hAnsiTheme="minorHAnsi"/>
          <w:bCs/>
          <w:snapToGrid w:val="0"/>
          <w:lang w:val="en-GB"/>
        </w:rPr>
        <w:t xml:space="preserve"> </w:t>
      </w:r>
    </w:p>
    <w:p w:rsidR="00622E7B" w:rsidRDefault="008156E5" w:rsidP="00FE4154">
      <w:pPr>
        <w:widowControl w:val="0"/>
        <w:numPr>
          <w:ilvl w:val="1"/>
          <w:numId w:val="36"/>
        </w:numPr>
        <w:spacing w:after="120"/>
        <w:ind w:left="1077" w:hanging="357"/>
        <w:rPr>
          <w:rFonts w:asciiTheme="minorHAnsi" w:hAnsiTheme="minorHAnsi"/>
          <w:bCs/>
          <w:snapToGrid w:val="0"/>
          <w:lang w:val="en-GB"/>
        </w:rPr>
      </w:pPr>
      <w:r>
        <w:rPr>
          <w:rFonts w:asciiTheme="minorHAnsi" w:hAnsiTheme="minorHAnsi"/>
          <w:bCs/>
          <w:snapToGrid w:val="0"/>
          <w:lang w:val="en-GB"/>
        </w:rPr>
        <w:t>the u</w:t>
      </w:r>
      <w:r w:rsidR="007C1D34" w:rsidRPr="008156E5">
        <w:rPr>
          <w:rFonts w:asciiTheme="minorHAnsi" w:hAnsiTheme="minorHAnsi"/>
          <w:bCs/>
          <w:snapToGrid w:val="0"/>
          <w:lang w:val="en-GB"/>
        </w:rPr>
        <w:t xml:space="preserve">se of </w:t>
      </w:r>
      <w:r w:rsidR="009438C0">
        <w:rPr>
          <w:rFonts w:asciiTheme="minorHAnsi" w:hAnsiTheme="minorHAnsi"/>
          <w:bCs/>
          <w:snapToGrid w:val="0"/>
          <w:lang w:val="en-GB"/>
        </w:rPr>
        <w:t xml:space="preserve">published </w:t>
      </w:r>
      <w:r w:rsidR="007C1D34" w:rsidRPr="008156E5">
        <w:rPr>
          <w:rFonts w:asciiTheme="minorHAnsi" w:hAnsiTheme="minorHAnsi"/>
          <w:bCs/>
          <w:snapToGrid w:val="0"/>
          <w:lang w:val="en-GB"/>
        </w:rPr>
        <w:t>utility values</w:t>
      </w:r>
      <w:r w:rsidR="002B7AB2">
        <w:rPr>
          <w:rFonts w:asciiTheme="minorHAnsi" w:hAnsiTheme="minorHAnsi"/>
          <w:bCs/>
          <w:snapToGrid w:val="0"/>
          <w:lang w:val="en-GB"/>
        </w:rPr>
        <w:t>,</w:t>
      </w:r>
      <w:r w:rsidR="00A21484">
        <w:rPr>
          <w:rFonts w:asciiTheme="minorHAnsi" w:hAnsiTheme="minorHAnsi"/>
          <w:bCs/>
          <w:snapToGrid w:val="0"/>
          <w:lang w:val="en-GB"/>
        </w:rPr>
        <w:t xml:space="preserve"> rather than trial based values whe</w:t>
      </w:r>
      <w:r w:rsidR="002B7AB2">
        <w:rPr>
          <w:rFonts w:asciiTheme="minorHAnsi" w:hAnsiTheme="minorHAnsi"/>
          <w:bCs/>
          <w:snapToGrid w:val="0"/>
          <w:lang w:val="en-GB"/>
        </w:rPr>
        <w:t>re</w:t>
      </w:r>
      <w:r w:rsidR="00A21484">
        <w:rPr>
          <w:rFonts w:asciiTheme="minorHAnsi" w:hAnsiTheme="minorHAnsi"/>
          <w:bCs/>
          <w:snapToGrid w:val="0"/>
          <w:lang w:val="en-GB"/>
        </w:rPr>
        <w:t xml:space="preserve"> available</w:t>
      </w:r>
      <w:r>
        <w:rPr>
          <w:rFonts w:asciiTheme="minorHAnsi" w:hAnsiTheme="minorHAnsi"/>
          <w:bCs/>
          <w:snapToGrid w:val="0"/>
          <w:lang w:val="en-GB"/>
        </w:rPr>
        <w:t xml:space="preserve"> (</w:t>
      </w:r>
      <w:r w:rsidR="008364DC">
        <w:rPr>
          <w:rFonts w:asciiTheme="minorHAnsi" w:hAnsiTheme="minorHAnsi"/>
          <w:bCs/>
          <w:snapToGrid w:val="0"/>
          <w:lang w:val="en-GB"/>
        </w:rPr>
        <w:t>particularly</w:t>
      </w:r>
      <w:r w:rsidR="007C1D34" w:rsidRPr="008156E5">
        <w:rPr>
          <w:rFonts w:asciiTheme="minorHAnsi" w:hAnsiTheme="minorHAnsi"/>
          <w:bCs/>
          <w:snapToGrid w:val="0"/>
          <w:lang w:val="en-GB"/>
        </w:rPr>
        <w:t xml:space="preserve"> for the </w:t>
      </w:r>
      <w:r w:rsidR="00F00E46">
        <w:rPr>
          <w:rFonts w:asciiTheme="minorHAnsi" w:hAnsiTheme="minorHAnsi"/>
          <w:bCs/>
          <w:snapToGrid w:val="0"/>
          <w:lang w:val="en-GB"/>
        </w:rPr>
        <w:t xml:space="preserve">first-line progression free and the </w:t>
      </w:r>
      <w:r w:rsidR="007C1D34" w:rsidRPr="008156E5">
        <w:rPr>
          <w:rFonts w:asciiTheme="minorHAnsi" w:hAnsiTheme="minorHAnsi"/>
          <w:bCs/>
          <w:snapToGrid w:val="0"/>
          <w:lang w:val="en-GB"/>
        </w:rPr>
        <w:t>progressed but well state</w:t>
      </w:r>
      <w:r w:rsidR="00F00E46">
        <w:rPr>
          <w:rFonts w:asciiTheme="minorHAnsi" w:hAnsiTheme="minorHAnsi"/>
          <w:bCs/>
          <w:snapToGrid w:val="0"/>
          <w:lang w:val="en-GB"/>
        </w:rPr>
        <w:t>s</w:t>
      </w:r>
      <w:r>
        <w:rPr>
          <w:rFonts w:asciiTheme="minorHAnsi" w:hAnsiTheme="minorHAnsi"/>
          <w:bCs/>
          <w:snapToGrid w:val="0"/>
          <w:lang w:val="en-GB"/>
        </w:rPr>
        <w:t>)</w:t>
      </w:r>
      <w:r w:rsidR="00CA37F8">
        <w:rPr>
          <w:rFonts w:asciiTheme="minorHAnsi" w:hAnsiTheme="minorHAnsi"/>
          <w:bCs/>
          <w:snapToGrid w:val="0"/>
          <w:lang w:val="en-GB"/>
        </w:rPr>
        <w:t>;</w:t>
      </w:r>
    </w:p>
    <w:p w:rsidR="00CA37F8" w:rsidRDefault="008156E5" w:rsidP="00FE4154">
      <w:pPr>
        <w:widowControl w:val="0"/>
        <w:numPr>
          <w:ilvl w:val="1"/>
          <w:numId w:val="36"/>
        </w:numPr>
        <w:spacing w:after="120"/>
        <w:ind w:left="1077" w:hanging="357"/>
        <w:rPr>
          <w:rFonts w:asciiTheme="minorHAnsi" w:hAnsiTheme="minorHAnsi"/>
          <w:bCs/>
          <w:snapToGrid w:val="0"/>
          <w:lang w:val="en-GB"/>
        </w:rPr>
      </w:pPr>
      <w:r>
        <w:rPr>
          <w:rFonts w:asciiTheme="minorHAnsi" w:hAnsiTheme="minorHAnsi"/>
          <w:bCs/>
          <w:snapToGrid w:val="0"/>
          <w:lang w:val="en-GB"/>
        </w:rPr>
        <w:t xml:space="preserve">the </w:t>
      </w:r>
      <w:r w:rsidR="00CA37F8">
        <w:rPr>
          <w:rFonts w:asciiTheme="minorHAnsi" w:hAnsiTheme="minorHAnsi"/>
          <w:bCs/>
          <w:snapToGrid w:val="0"/>
          <w:lang w:val="en-GB"/>
        </w:rPr>
        <w:t xml:space="preserve">duration of treatment effect and the </w:t>
      </w:r>
      <w:r w:rsidR="009F412E">
        <w:rPr>
          <w:rFonts w:asciiTheme="minorHAnsi" w:hAnsiTheme="minorHAnsi"/>
          <w:bCs/>
          <w:snapToGrid w:val="0"/>
          <w:lang w:val="en-GB"/>
        </w:rPr>
        <w:t xml:space="preserve">appropriate method </w:t>
      </w:r>
      <w:r w:rsidR="00843DD4">
        <w:rPr>
          <w:rFonts w:asciiTheme="minorHAnsi" w:hAnsiTheme="minorHAnsi"/>
          <w:bCs/>
          <w:snapToGrid w:val="0"/>
          <w:lang w:val="en-GB"/>
        </w:rPr>
        <w:t>for</w:t>
      </w:r>
      <w:r w:rsidR="009F412E">
        <w:rPr>
          <w:rFonts w:asciiTheme="minorHAnsi" w:hAnsiTheme="minorHAnsi"/>
          <w:bCs/>
          <w:snapToGrid w:val="0"/>
          <w:lang w:val="en-GB"/>
        </w:rPr>
        <w:t xml:space="preserve"> reducing this over time (</w:t>
      </w:r>
      <w:r w:rsidR="00CA37F8">
        <w:rPr>
          <w:rFonts w:asciiTheme="minorHAnsi" w:hAnsiTheme="minorHAnsi"/>
          <w:bCs/>
          <w:snapToGrid w:val="0"/>
          <w:lang w:val="en-GB"/>
        </w:rPr>
        <w:t xml:space="preserve">risk </w:t>
      </w:r>
      <w:r w:rsidR="009F412E">
        <w:rPr>
          <w:rFonts w:asciiTheme="minorHAnsi" w:hAnsiTheme="minorHAnsi"/>
          <w:bCs/>
          <w:snapToGrid w:val="0"/>
          <w:lang w:val="en-GB"/>
        </w:rPr>
        <w:t xml:space="preserve">versus </w:t>
      </w:r>
      <w:r w:rsidR="00185844">
        <w:rPr>
          <w:rFonts w:asciiTheme="minorHAnsi" w:hAnsiTheme="minorHAnsi"/>
          <w:bCs/>
          <w:snapToGrid w:val="0"/>
          <w:lang w:val="en-GB"/>
        </w:rPr>
        <w:t xml:space="preserve">curve </w:t>
      </w:r>
      <w:r>
        <w:rPr>
          <w:rFonts w:asciiTheme="minorHAnsi" w:hAnsiTheme="minorHAnsi"/>
          <w:bCs/>
          <w:snapToGrid w:val="0"/>
          <w:lang w:val="en-GB"/>
        </w:rPr>
        <w:t>convergence</w:t>
      </w:r>
      <w:r w:rsidR="009F412E">
        <w:rPr>
          <w:rFonts w:asciiTheme="minorHAnsi" w:hAnsiTheme="minorHAnsi"/>
          <w:bCs/>
          <w:snapToGrid w:val="0"/>
          <w:lang w:val="en-GB"/>
        </w:rPr>
        <w:t>)</w:t>
      </w:r>
      <w:r w:rsidR="00CA37F8">
        <w:rPr>
          <w:rFonts w:asciiTheme="minorHAnsi" w:hAnsiTheme="minorHAnsi"/>
          <w:bCs/>
          <w:snapToGrid w:val="0"/>
          <w:lang w:val="en-GB"/>
        </w:rPr>
        <w:t>;</w:t>
      </w:r>
    </w:p>
    <w:p w:rsidR="00CA37F8" w:rsidRDefault="00CA37F8" w:rsidP="00FE4154">
      <w:pPr>
        <w:widowControl w:val="0"/>
        <w:numPr>
          <w:ilvl w:val="1"/>
          <w:numId w:val="36"/>
        </w:numPr>
        <w:spacing w:after="120"/>
        <w:ind w:left="1077" w:hanging="357"/>
        <w:rPr>
          <w:rFonts w:asciiTheme="minorHAnsi" w:hAnsiTheme="minorHAnsi"/>
          <w:bCs/>
          <w:snapToGrid w:val="0"/>
          <w:lang w:val="en-GB"/>
        </w:rPr>
      </w:pPr>
      <w:r>
        <w:rPr>
          <w:rFonts w:asciiTheme="minorHAnsi" w:hAnsiTheme="minorHAnsi"/>
          <w:bCs/>
          <w:snapToGrid w:val="0"/>
          <w:lang w:val="en-GB"/>
        </w:rPr>
        <w:t xml:space="preserve">the use of </w:t>
      </w:r>
      <w:r w:rsidR="009F412E">
        <w:rPr>
          <w:rFonts w:asciiTheme="minorHAnsi" w:hAnsiTheme="minorHAnsi"/>
          <w:bCs/>
          <w:snapToGrid w:val="0"/>
          <w:lang w:val="en-GB"/>
        </w:rPr>
        <w:t>the</w:t>
      </w:r>
      <w:r>
        <w:rPr>
          <w:rFonts w:asciiTheme="minorHAnsi" w:hAnsiTheme="minorHAnsi"/>
          <w:bCs/>
          <w:snapToGrid w:val="0"/>
          <w:lang w:val="en-GB"/>
        </w:rPr>
        <w:t xml:space="preserve"> Portuguese study to derive health state costs that were considerably higher than those used in previous venetoclax submissions</w:t>
      </w:r>
      <w:r w:rsidR="002B7AB2">
        <w:rPr>
          <w:rFonts w:asciiTheme="minorHAnsi" w:hAnsiTheme="minorHAnsi"/>
          <w:bCs/>
          <w:snapToGrid w:val="0"/>
          <w:lang w:val="en-GB"/>
        </w:rPr>
        <w:t xml:space="preserve"> and that did not appear to be clinically valid</w:t>
      </w:r>
      <w:r>
        <w:rPr>
          <w:rFonts w:asciiTheme="minorHAnsi" w:hAnsiTheme="minorHAnsi"/>
          <w:bCs/>
          <w:snapToGrid w:val="0"/>
          <w:lang w:val="en-GB"/>
        </w:rPr>
        <w:t>; and</w:t>
      </w:r>
    </w:p>
    <w:p w:rsidR="007C1D34" w:rsidRDefault="00CA37F8" w:rsidP="00FE4154">
      <w:pPr>
        <w:widowControl w:val="0"/>
        <w:numPr>
          <w:ilvl w:val="1"/>
          <w:numId w:val="36"/>
        </w:numPr>
        <w:spacing w:after="120"/>
        <w:ind w:left="1077" w:hanging="357"/>
        <w:rPr>
          <w:rFonts w:asciiTheme="minorHAnsi" w:hAnsiTheme="minorHAnsi"/>
          <w:bCs/>
          <w:snapToGrid w:val="0"/>
          <w:lang w:val="en-GB"/>
        </w:rPr>
      </w:pPr>
      <w:r>
        <w:rPr>
          <w:rFonts w:asciiTheme="minorHAnsi" w:hAnsiTheme="minorHAnsi"/>
          <w:bCs/>
          <w:snapToGrid w:val="0"/>
          <w:lang w:val="en-GB"/>
        </w:rPr>
        <w:t>the omission of costs related to the prevention of tumour lysis syndrome (TLS)</w:t>
      </w:r>
      <w:r w:rsidR="000A51CC">
        <w:rPr>
          <w:rFonts w:asciiTheme="minorHAnsi" w:hAnsiTheme="minorHAnsi"/>
          <w:bCs/>
          <w:snapToGrid w:val="0"/>
          <w:lang w:val="en-GB"/>
        </w:rPr>
        <w:t>.</w:t>
      </w:r>
    </w:p>
    <w:p w:rsidR="00957DE9" w:rsidRDefault="00D912A3" w:rsidP="00122A5C">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w:t>
      </w:r>
      <w:r w:rsidR="00622E7B">
        <w:rPr>
          <w:rFonts w:asciiTheme="minorHAnsi" w:hAnsiTheme="minorHAnsi"/>
          <w:bCs/>
          <w:snapToGrid w:val="0"/>
          <w:lang w:val="en-GB"/>
        </w:rPr>
        <w:t xml:space="preserve">PBAC noted that the </w:t>
      </w:r>
      <w:r w:rsidR="00981035">
        <w:rPr>
          <w:rFonts w:asciiTheme="minorHAnsi" w:hAnsiTheme="minorHAnsi"/>
          <w:bCs/>
          <w:snapToGrid w:val="0"/>
          <w:lang w:val="en-GB"/>
        </w:rPr>
        <w:t xml:space="preserve">ESC recommended a revised base-case that </w:t>
      </w:r>
      <w:r w:rsidR="00981035" w:rsidRPr="003124D8">
        <w:t>incorporate</w:t>
      </w:r>
      <w:r w:rsidR="00981035">
        <w:t>d</w:t>
      </w:r>
      <w:r w:rsidR="00981035" w:rsidRPr="003124D8">
        <w:t xml:space="preserve"> trial-based utility data for the pre-progression </w:t>
      </w:r>
      <w:r w:rsidR="00981035">
        <w:t xml:space="preserve">and post-progression </w:t>
      </w:r>
      <w:r w:rsidR="00981035" w:rsidRPr="003124D8">
        <w:t>health states</w:t>
      </w:r>
      <w:r w:rsidR="00981035">
        <w:t xml:space="preserve">, </w:t>
      </w:r>
      <w:r w:rsidR="00981035" w:rsidRPr="003124D8">
        <w:t>include</w:t>
      </w:r>
      <w:r w:rsidR="00981035">
        <w:t>d</w:t>
      </w:r>
      <w:r w:rsidR="00981035" w:rsidRPr="003124D8">
        <w:t xml:space="preserve"> serious adverse event costs, halve</w:t>
      </w:r>
      <w:r w:rsidR="00981035">
        <w:t>d</w:t>
      </w:r>
      <w:r w:rsidR="00F97D1C">
        <w:t xml:space="preserve"> the</w:t>
      </w:r>
      <w:r w:rsidR="00981035" w:rsidRPr="003124D8">
        <w:t xml:space="preserve"> health state costs</w:t>
      </w:r>
      <w:r w:rsidR="00981035">
        <w:t>, i</w:t>
      </w:r>
      <w:r w:rsidR="00981035" w:rsidRPr="003124D8">
        <w:t>nclude</w:t>
      </w:r>
      <w:r w:rsidR="00981035">
        <w:t>d</w:t>
      </w:r>
      <w:r w:rsidR="00981035" w:rsidRPr="003124D8">
        <w:t xml:space="preserve"> costs related to TLS prophylaxis</w:t>
      </w:r>
      <w:r w:rsidR="00981035">
        <w:t xml:space="preserve"> and applied</w:t>
      </w:r>
      <w:r w:rsidR="00981035" w:rsidRPr="003124D8">
        <w:t xml:space="preserve"> curve convergence from five years</w:t>
      </w:r>
      <w:r w:rsidR="00F97D1C">
        <w:t xml:space="preserve"> and which resulted in an ICER of </w:t>
      </w:r>
      <w:r w:rsidR="00AB30E4">
        <w:t>$105,000 - $200,000</w:t>
      </w:r>
      <w:r w:rsidR="00F97D1C">
        <w:t xml:space="preserve"> per QALY (August 2018 data-cut data used</w:t>
      </w:r>
      <w:r w:rsidR="00BF35A0">
        <w:t>, using published prices</w:t>
      </w:r>
      <w:r w:rsidR="00F97D1C">
        <w:t>)</w:t>
      </w:r>
      <w:r w:rsidR="00981035" w:rsidRPr="003124D8">
        <w:t>.</w:t>
      </w:r>
      <w:r w:rsidR="00981035">
        <w:t xml:space="preserve"> </w:t>
      </w:r>
      <w:r w:rsidR="00F97D1C">
        <w:t xml:space="preserve">The </w:t>
      </w:r>
      <w:r>
        <w:rPr>
          <w:rFonts w:asciiTheme="minorHAnsi" w:hAnsiTheme="minorHAnsi"/>
          <w:bCs/>
          <w:snapToGrid w:val="0"/>
          <w:lang w:val="en-GB"/>
        </w:rPr>
        <w:t xml:space="preserve">pre-PBAC response </w:t>
      </w:r>
      <w:r w:rsidR="00F97D1C">
        <w:rPr>
          <w:rFonts w:asciiTheme="minorHAnsi" w:hAnsiTheme="minorHAnsi"/>
          <w:bCs/>
          <w:snapToGrid w:val="0"/>
          <w:lang w:val="en-GB"/>
        </w:rPr>
        <w:t xml:space="preserve">accepted </w:t>
      </w:r>
      <w:r>
        <w:rPr>
          <w:rFonts w:asciiTheme="minorHAnsi" w:hAnsiTheme="minorHAnsi"/>
          <w:bCs/>
          <w:snapToGrid w:val="0"/>
          <w:lang w:val="en-GB"/>
        </w:rPr>
        <w:t>halving the health state costs,</w:t>
      </w:r>
      <w:r w:rsidR="00F92EB1">
        <w:rPr>
          <w:rFonts w:asciiTheme="minorHAnsi" w:hAnsiTheme="minorHAnsi"/>
          <w:bCs/>
          <w:snapToGrid w:val="0"/>
          <w:lang w:val="en-GB"/>
        </w:rPr>
        <w:t xml:space="preserve"> and</w:t>
      </w:r>
      <w:r>
        <w:rPr>
          <w:rFonts w:asciiTheme="minorHAnsi" w:hAnsiTheme="minorHAnsi"/>
          <w:bCs/>
          <w:snapToGrid w:val="0"/>
          <w:lang w:val="en-GB"/>
        </w:rPr>
        <w:t xml:space="preserve"> including serious adverse event costs and costs related to tumour lysis syndrome (TLS) prophylaxis</w:t>
      </w:r>
      <w:r w:rsidR="00F97D1C">
        <w:rPr>
          <w:rFonts w:asciiTheme="minorHAnsi" w:hAnsiTheme="minorHAnsi"/>
          <w:bCs/>
          <w:snapToGrid w:val="0"/>
          <w:lang w:val="en-GB"/>
        </w:rPr>
        <w:t xml:space="preserve"> and applied risk, rather than curve convergence from five years, resulting in an ICER </w:t>
      </w:r>
      <w:r w:rsidR="009627EF">
        <w:rPr>
          <w:rFonts w:asciiTheme="minorHAnsi" w:hAnsiTheme="minorHAnsi"/>
          <w:bCs/>
          <w:snapToGrid w:val="0"/>
          <w:lang w:val="en-GB"/>
        </w:rPr>
        <w:t>of</w:t>
      </w:r>
      <w:r w:rsidR="00F97D1C">
        <w:rPr>
          <w:rFonts w:asciiTheme="minorHAnsi" w:hAnsiTheme="minorHAnsi"/>
          <w:bCs/>
          <w:snapToGrid w:val="0"/>
          <w:lang w:val="en-GB"/>
        </w:rPr>
        <w:t xml:space="preserve"> </w:t>
      </w:r>
      <w:r w:rsidR="00AB30E4">
        <w:rPr>
          <w:rFonts w:asciiTheme="minorHAnsi" w:hAnsiTheme="minorHAnsi"/>
          <w:bCs/>
          <w:snapToGrid w:val="0"/>
          <w:lang w:val="en-GB"/>
        </w:rPr>
        <w:t>$45,000 - $75,000</w:t>
      </w:r>
      <w:r w:rsidR="00F97D1C">
        <w:rPr>
          <w:rFonts w:asciiTheme="minorHAnsi" w:hAnsiTheme="minorHAnsi"/>
          <w:bCs/>
          <w:snapToGrid w:val="0"/>
          <w:lang w:val="en-GB"/>
        </w:rPr>
        <w:t xml:space="preserve"> (August 2018 data-cut)</w:t>
      </w:r>
      <w:r w:rsidR="00F92EB1">
        <w:rPr>
          <w:rFonts w:asciiTheme="minorHAnsi" w:hAnsiTheme="minorHAnsi"/>
          <w:bCs/>
          <w:snapToGrid w:val="0"/>
          <w:lang w:val="en-GB"/>
        </w:rPr>
        <w:t xml:space="preserve">. </w:t>
      </w:r>
    </w:p>
    <w:p w:rsidR="00465D1E" w:rsidRPr="002620FB" w:rsidRDefault="0015144A" w:rsidP="00E061D3">
      <w:pPr>
        <w:widowControl w:val="0"/>
        <w:numPr>
          <w:ilvl w:val="1"/>
          <w:numId w:val="1"/>
        </w:numPr>
        <w:spacing w:after="120"/>
        <w:rPr>
          <w:rFonts w:asciiTheme="minorHAnsi" w:hAnsiTheme="minorHAnsi"/>
          <w:bCs/>
          <w:snapToGrid w:val="0"/>
          <w:lang w:val="en-GB"/>
        </w:rPr>
      </w:pPr>
      <w:r w:rsidRPr="002620FB">
        <w:rPr>
          <w:rFonts w:asciiTheme="minorHAnsi" w:hAnsiTheme="minorHAnsi"/>
          <w:bCs/>
          <w:snapToGrid w:val="0"/>
          <w:lang w:val="en-GB"/>
        </w:rPr>
        <w:lastRenderedPageBreak/>
        <w:t xml:space="preserve">The PBAC noted </w:t>
      </w:r>
      <w:r w:rsidR="00B84260" w:rsidRPr="002620FB">
        <w:rPr>
          <w:rFonts w:asciiTheme="minorHAnsi" w:hAnsiTheme="minorHAnsi"/>
          <w:bCs/>
          <w:snapToGrid w:val="0"/>
          <w:lang w:val="en-GB"/>
        </w:rPr>
        <w:t>that the different pattern</w:t>
      </w:r>
      <w:r w:rsidR="002F4177" w:rsidRPr="002620FB">
        <w:rPr>
          <w:rFonts w:asciiTheme="minorHAnsi" w:hAnsiTheme="minorHAnsi"/>
          <w:bCs/>
          <w:snapToGrid w:val="0"/>
          <w:lang w:val="en-GB"/>
        </w:rPr>
        <w:t>s</w:t>
      </w:r>
      <w:r w:rsidR="00B84260" w:rsidRPr="002620FB">
        <w:rPr>
          <w:rFonts w:asciiTheme="minorHAnsi" w:hAnsiTheme="minorHAnsi"/>
          <w:bCs/>
          <w:snapToGrid w:val="0"/>
          <w:lang w:val="en-GB"/>
        </w:rPr>
        <w:t xml:space="preserve"> across the treatment groups in terms of time from progression to </w:t>
      </w:r>
      <w:r w:rsidR="006644DB" w:rsidRPr="002620FB">
        <w:rPr>
          <w:rFonts w:asciiTheme="minorHAnsi" w:hAnsiTheme="minorHAnsi"/>
          <w:bCs/>
          <w:snapToGrid w:val="0"/>
          <w:lang w:val="en-GB"/>
        </w:rPr>
        <w:t xml:space="preserve">when the </w:t>
      </w:r>
      <w:r w:rsidR="00B84260" w:rsidRPr="002620FB">
        <w:rPr>
          <w:rFonts w:asciiTheme="minorHAnsi" w:hAnsiTheme="minorHAnsi"/>
          <w:bCs/>
          <w:snapToGrid w:val="0"/>
          <w:lang w:val="en-GB"/>
        </w:rPr>
        <w:t>next treatment</w:t>
      </w:r>
      <w:r w:rsidR="006644DB" w:rsidRPr="002620FB">
        <w:rPr>
          <w:rFonts w:asciiTheme="minorHAnsi" w:hAnsiTheme="minorHAnsi"/>
          <w:bCs/>
          <w:snapToGrid w:val="0"/>
          <w:lang w:val="en-GB"/>
        </w:rPr>
        <w:t xml:space="preserve"> is started</w:t>
      </w:r>
      <w:r w:rsidR="00B84260" w:rsidRPr="002620FB">
        <w:rPr>
          <w:rFonts w:asciiTheme="minorHAnsi" w:hAnsiTheme="minorHAnsi"/>
          <w:bCs/>
          <w:snapToGrid w:val="0"/>
          <w:lang w:val="en-GB"/>
        </w:rPr>
        <w:t xml:space="preserve"> (see paragraph </w:t>
      </w:r>
      <w:r w:rsidR="00B84260" w:rsidRPr="003B1189">
        <w:rPr>
          <w:rFonts w:asciiTheme="minorHAnsi" w:hAnsiTheme="minorHAnsi"/>
          <w:bCs/>
          <w:snapToGrid w:val="0"/>
          <w:lang w:val="en-GB"/>
        </w:rPr>
        <w:t>7.6</w:t>
      </w:r>
      <w:r w:rsidR="00B84260" w:rsidRPr="002620FB">
        <w:rPr>
          <w:rFonts w:asciiTheme="minorHAnsi" w:hAnsiTheme="minorHAnsi"/>
          <w:bCs/>
          <w:snapToGrid w:val="0"/>
          <w:lang w:val="en-GB"/>
        </w:rPr>
        <w:t xml:space="preserve">) were </w:t>
      </w:r>
      <w:r w:rsidR="00671143" w:rsidRPr="002620FB">
        <w:rPr>
          <w:rFonts w:asciiTheme="minorHAnsi" w:hAnsiTheme="minorHAnsi"/>
          <w:bCs/>
          <w:snapToGrid w:val="0"/>
          <w:lang w:val="en-GB"/>
        </w:rPr>
        <w:t xml:space="preserve">included in the </w:t>
      </w:r>
      <w:r w:rsidR="00B84260" w:rsidRPr="002620FB">
        <w:rPr>
          <w:rFonts w:asciiTheme="minorHAnsi" w:hAnsiTheme="minorHAnsi"/>
          <w:bCs/>
          <w:snapToGrid w:val="0"/>
          <w:lang w:val="en-GB"/>
        </w:rPr>
        <w:t xml:space="preserve">model, and the independent extrapolation of PFS and TTNT over the model time horizon further amplified this difference. The PBAC considered a model in which PFS and TTNT were linked would help to ensure the relationship of these outcomes remained clinically valid over the model time horizon, and would allow the impact of different assumptions regarding this relationship to be tested. However, the PBAC acknowledged that the relationship between PFS and TTNT is difficult to determine from the CLL-14 trial and that </w:t>
      </w:r>
      <w:r w:rsidR="002F4177" w:rsidRPr="002620FB">
        <w:rPr>
          <w:rFonts w:asciiTheme="minorHAnsi" w:hAnsiTheme="minorHAnsi"/>
          <w:bCs/>
          <w:snapToGrid w:val="0"/>
          <w:lang w:val="en-GB"/>
        </w:rPr>
        <w:t>a revised model</w:t>
      </w:r>
      <w:r w:rsidR="00B84260" w:rsidRPr="002620FB">
        <w:rPr>
          <w:rFonts w:asciiTheme="minorHAnsi" w:hAnsiTheme="minorHAnsi"/>
          <w:bCs/>
          <w:snapToGrid w:val="0"/>
          <w:lang w:val="en-GB"/>
        </w:rPr>
        <w:t xml:space="preserve"> would likely need to be informed by external data which would introduce an additional </w:t>
      </w:r>
      <w:r w:rsidR="002F4177" w:rsidRPr="002620FB">
        <w:rPr>
          <w:rFonts w:asciiTheme="minorHAnsi" w:hAnsiTheme="minorHAnsi"/>
          <w:bCs/>
          <w:snapToGrid w:val="0"/>
          <w:lang w:val="en-GB"/>
        </w:rPr>
        <w:t>level</w:t>
      </w:r>
      <w:r w:rsidR="00B84260" w:rsidRPr="002620FB">
        <w:rPr>
          <w:rFonts w:asciiTheme="minorHAnsi" w:hAnsiTheme="minorHAnsi"/>
          <w:bCs/>
          <w:snapToGrid w:val="0"/>
          <w:lang w:val="en-GB"/>
        </w:rPr>
        <w:t xml:space="preserve"> of uncertainty.</w:t>
      </w:r>
    </w:p>
    <w:p w:rsidR="00465D1E" w:rsidRDefault="00465D1E" w:rsidP="003E42BD">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considered two possible approaches for assessing the cost-effectiveness of venetoclax + obinutuzumab:</w:t>
      </w:r>
    </w:p>
    <w:p w:rsidR="00465D1E" w:rsidRPr="003B1189" w:rsidRDefault="002F4177" w:rsidP="00AC7D9E">
      <w:pPr>
        <w:pStyle w:val="ListParagraph"/>
        <w:widowControl w:val="0"/>
        <w:numPr>
          <w:ilvl w:val="0"/>
          <w:numId w:val="38"/>
        </w:numPr>
        <w:spacing w:after="120" w:line="240" w:lineRule="auto"/>
        <w:ind w:left="1077" w:hanging="357"/>
        <w:jc w:val="both"/>
        <w:rPr>
          <w:rFonts w:asciiTheme="minorHAnsi" w:hAnsiTheme="minorHAnsi"/>
          <w:bCs/>
          <w:snapToGrid w:val="0"/>
          <w:sz w:val="24"/>
          <w:lang w:val="en-GB"/>
        </w:rPr>
      </w:pPr>
      <w:r>
        <w:rPr>
          <w:rFonts w:asciiTheme="minorHAnsi" w:hAnsiTheme="minorHAnsi"/>
          <w:bCs/>
          <w:snapToGrid w:val="0"/>
          <w:sz w:val="24"/>
          <w:lang w:val="en-GB"/>
        </w:rPr>
        <w:t>Use of a</w:t>
      </w:r>
      <w:r w:rsidR="00465D1E" w:rsidRPr="00465D1E">
        <w:rPr>
          <w:rFonts w:asciiTheme="minorHAnsi" w:hAnsiTheme="minorHAnsi"/>
          <w:bCs/>
          <w:snapToGrid w:val="0"/>
          <w:sz w:val="24"/>
          <w:lang w:val="en-GB"/>
        </w:rPr>
        <w:t xml:space="preserve"> </w:t>
      </w:r>
      <w:r>
        <w:rPr>
          <w:rFonts w:asciiTheme="minorHAnsi" w:hAnsiTheme="minorHAnsi"/>
          <w:bCs/>
          <w:snapToGrid w:val="0"/>
          <w:sz w:val="24"/>
          <w:lang w:val="en-GB"/>
        </w:rPr>
        <w:t>new</w:t>
      </w:r>
      <w:r w:rsidR="00465D1E" w:rsidRPr="00465D1E">
        <w:rPr>
          <w:rFonts w:asciiTheme="minorHAnsi" w:hAnsiTheme="minorHAnsi"/>
          <w:bCs/>
          <w:snapToGrid w:val="0"/>
          <w:sz w:val="24"/>
          <w:lang w:val="en-GB"/>
        </w:rPr>
        <w:t xml:space="preserve"> economic model in which PFS and </w:t>
      </w:r>
      <w:r w:rsidR="00AE09C8">
        <w:rPr>
          <w:rFonts w:asciiTheme="minorHAnsi" w:hAnsiTheme="minorHAnsi"/>
          <w:bCs/>
          <w:snapToGrid w:val="0"/>
          <w:sz w:val="24"/>
          <w:lang w:val="en-GB"/>
        </w:rPr>
        <w:t xml:space="preserve">TTNT </w:t>
      </w:r>
      <w:r w:rsidR="00465D1E" w:rsidRPr="00465D1E">
        <w:rPr>
          <w:rFonts w:asciiTheme="minorHAnsi" w:hAnsiTheme="minorHAnsi"/>
          <w:bCs/>
          <w:snapToGrid w:val="0"/>
          <w:sz w:val="24"/>
          <w:lang w:val="en-GB"/>
        </w:rPr>
        <w:t>were linked (</w:t>
      </w:r>
      <w:r>
        <w:rPr>
          <w:rFonts w:asciiTheme="minorHAnsi" w:hAnsiTheme="minorHAnsi"/>
          <w:bCs/>
          <w:snapToGrid w:val="0"/>
          <w:sz w:val="24"/>
          <w:lang w:val="en-GB"/>
        </w:rPr>
        <w:t xml:space="preserve">as per </w:t>
      </w:r>
      <w:r w:rsidR="00465D1E" w:rsidRPr="00465D1E">
        <w:rPr>
          <w:rFonts w:asciiTheme="minorHAnsi" w:hAnsiTheme="minorHAnsi"/>
          <w:bCs/>
          <w:snapToGrid w:val="0"/>
          <w:sz w:val="24"/>
          <w:lang w:val="en-GB"/>
        </w:rPr>
        <w:t xml:space="preserve">paragraph </w:t>
      </w:r>
      <w:r w:rsidR="00465D1E" w:rsidRPr="003B1189">
        <w:rPr>
          <w:rFonts w:asciiTheme="minorHAnsi" w:hAnsiTheme="minorHAnsi"/>
          <w:bCs/>
          <w:snapToGrid w:val="0"/>
          <w:sz w:val="24"/>
          <w:lang w:val="en-GB"/>
        </w:rPr>
        <w:t>7</w:t>
      </w:r>
      <w:r w:rsidRPr="003B1189">
        <w:rPr>
          <w:rFonts w:asciiTheme="minorHAnsi" w:hAnsiTheme="minorHAnsi"/>
          <w:bCs/>
          <w:snapToGrid w:val="0"/>
          <w:sz w:val="24"/>
          <w:lang w:val="en-GB"/>
        </w:rPr>
        <w:t>.12</w:t>
      </w:r>
      <w:r w:rsidR="00465D1E" w:rsidRPr="003B1189">
        <w:rPr>
          <w:rFonts w:asciiTheme="minorHAnsi" w:hAnsiTheme="minorHAnsi"/>
          <w:bCs/>
          <w:snapToGrid w:val="0"/>
          <w:sz w:val="24"/>
          <w:lang w:val="en-GB"/>
        </w:rPr>
        <w:t>).</w:t>
      </w:r>
    </w:p>
    <w:p w:rsidR="0015144A" w:rsidRPr="00AF1AF0" w:rsidRDefault="00893DD0" w:rsidP="00AC7D9E">
      <w:pPr>
        <w:pStyle w:val="ListParagraph"/>
        <w:widowControl w:val="0"/>
        <w:numPr>
          <w:ilvl w:val="0"/>
          <w:numId w:val="38"/>
        </w:numPr>
        <w:spacing w:after="120" w:line="240" w:lineRule="auto"/>
        <w:ind w:left="1077" w:hanging="357"/>
        <w:jc w:val="both"/>
        <w:rPr>
          <w:rFonts w:asciiTheme="minorHAnsi" w:hAnsiTheme="minorHAnsi"/>
          <w:bCs/>
          <w:snapToGrid w:val="0"/>
          <w:sz w:val="24"/>
          <w:lang w:val="en-GB"/>
        </w:rPr>
      </w:pPr>
      <w:r w:rsidRPr="003B1189">
        <w:rPr>
          <w:rFonts w:asciiTheme="minorHAnsi" w:hAnsiTheme="minorHAnsi"/>
          <w:bCs/>
          <w:snapToGrid w:val="0"/>
          <w:sz w:val="24"/>
          <w:lang w:val="en-GB"/>
        </w:rPr>
        <w:t>Revision of</w:t>
      </w:r>
      <w:r w:rsidR="00465D1E" w:rsidRPr="003B1189">
        <w:rPr>
          <w:rFonts w:asciiTheme="minorHAnsi" w:hAnsiTheme="minorHAnsi"/>
          <w:bCs/>
          <w:snapToGrid w:val="0"/>
          <w:sz w:val="24"/>
          <w:lang w:val="en-GB"/>
        </w:rPr>
        <w:t xml:space="preserve"> the </w:t>
      </w:r>
      <w:r w:rsidR="00A150A5" w:rsidRPr="003B1189">
        <w:rPr>
          <w:rFonts w:asciiTheme="minorHAnsi" w:hAnsiTheme="minorHAnsi"/>
          <w:bCs/>
          <w:snapToGrid w:val="0"/>
          <w:sz w:val="24"/>
          <w:lang w:val="en-GB"/>
        </w:rPr>
        <w:t>base case</w:t>
      </w:r>
      <w:r w:rsidR="00465D1E" w:rsidRPr="003B1189">
        <w:rPr>
          <w:rFonts w:asciiTheme="minorHAnsi" w:hAnsiTheme="minorHAnsi"/>
          <w:bCs/>
          <w:snapToGrid w:val="0"/>
          <w:sz w:val="24"/>
          <w:lang w:val="en-GB"/>
        </w:rPr>
        <w:t xml:space="preserve"> model</w:t>
      </w:r>
      <w:r w:rsidR="00A150A5" w:rsidRPr="003B1189">
        <w:rPr>
          <w:rFonts w:asciiTheme="minorHAnsi" w:hAnsiTheme="minorHAnsi"/>
          <w:bCs/>
          <w:snapToGrid w:val="0"/>
          <w:sz w:val="24"/>
          <w:lang w:val="en-GB"/>
        </w:rPr>
        <w:t xml:space="preserve"> presented in the pre-PBAC response</w:t>
      </w:r>
      <w:r w:rsidR="002F4177" w:rsidRPr="003B1189">
        <w:rPr>
          <w:rFonts w:asciiTheme="minorHAnsi" w:hAnsiTheme="minorHAnsi"/>
          <w:bCs/>
          <w:snapToGrid w:val="0"/>
          <w:sz w:val="24"/>
          <w:lang w:val="en-GB"/>
        </w:rPr>
        <w:t xml:space="preserve"> (as per paragraph 7.11</w:t>
      </w:r>
      <w:r w:rsidR="002F4177">
        <w:rPr>
          <w:rFonts w:asciiTheme="minorHAnsi" w:hAnsiTheme="minorHAnsi"/>
          <w:bCs/>
          <w:snapToGrid w:val="0"/>
          <w:sz w:val="24"/>
          <w:lang w:val="en-GB"/>
        </w:rPr>
        <w:t xml:space="preserve">) </w:t>
      </w:r>
      <w:r w:rsidR="00465D1E" w:rsidRPr="00465D1E">
        <w:rPr>
          <w:rFonts w:asciiTheme="minorHAnsi" w:hAnsiTheme="minorHAnsi"/>
          <w:bCs/>
          <w:snapToGrid w:val="0"/>
          <w:sz w:val="24"/>
          <w:lang w:val="en-GB"/>
        </w:rPr>
        <w:t xml:space="preserve"> </w:t>
      </w:r>
      <w:r>
        <w:rPr>
          <w:rFonts w:asciiTheme="minorHAnsi" w:hAnsiTheme="minorHAnsi"/>
          <w:bCs/>
          <w:snapToGrid w:val="0"/>
          <w:sz w:val="24"/>
          <w:lang w:val="en-GB"/>
        </w:rPr>
        <w:t xml:space="preserve">to include </w:t>
      </w:r>
      <w:r w:rsidR="00AE09C8">
        <w:rPr>
          <w:rFonts w:asciiTheme="minorHAnsi" w:hAnsiTheme="minorHAnsi"/>
          <w:bCs/>
          <w:snapToGrid w:val="0"/>
          <w:sz w:val="24"/>
          <w:lang w:val="en-GB"/>
        </w:rPr>
        <w:t>a smaller utility decrement for the progressed but well state,</w:t>
      </w:r>
      <w:r w:rsidR="00A150A5">
        <w:rPr>
          <w:rFonts w:asciiTheme="minorHAnsi" w:hAnsiTheme="minorHAnsi"/>
          <w:bCs/>
          <w:snapToGrid w:val="0"/>
          <w:lang w:val="en-GB"/>
        </w:rPr>
        <w:t xml:space="preserve"> </w:t>
      </w:r>
      <w:r w:rsidR="00465D1E" w:rsidRPr="00465D1E">
        <w:rPr>
          <w:rFonts w:asciiTheme="minorHAnsi" w:hAnsiTheme="minorHAnsi"/>
          <w:bCs/>
          <w:snapToGrid w:val="0"/>
          <w:sz w:val="24"/>
          <w:lang w:val="en-GB"/>
        </w:rPr>
        <w:t>together with a lower ICER</w:t>
      </w:r>
      <w:r w:rsidR="00AE09C8">
        <w:rPr>
          <w:rFonts w:asciiTheme="minorHAnsi" w:hAnsiTheme="minorHAnsi"/>
          <w:bCs/>
          <w:snapToGrid w:val="0"/>
          <w:sz w:val="24"/>
          <w:lang w:val="en-GB"/>
        </w:rPr>
        <w:t>,</w:t>
      </w:r>
      <w:r w:rsidR="00465D1E" w:rsidRPr="00465D1E">
        <w:rPr>
          <w:rFonts w:asciiTheme="minorHAnsi" w:hAnsiTheme="minorHAnsi"/>
          <w:bCs/>
          <w:snapToGrid w:val="0"/>
          <w:sz w:val="24"/>
          <w:lang w:val="en-GB"/>
        </w:rPr>
        <w:t xml:space="preserve"> </w:t>
      </w:r>
      <w:r w:rsidR="00AE09C8">
        <w:rPr>
          <w:rFonts w:asciiTheme="minorHAnsi" w:hAnsiTheme="minorHAnsi"/>
          <w:bCs/>
          <w:snapToGrid w:val="0"/>
          <w:sz w:val="24"/>
          <w:lang w:val="en-GB"/>
        </w:rPr>
        <w:t xml:space="preserve">to account for the </w:t>
      </w:r>
      <w:r w:rsidR="00671143">
        <w:rPr>
          <w:rFonts w:asciiTheme="minorHAnsi" w:hAnsiTheme="minorHAnsi"/>
          <w:bCs/>
          <w:snapToGrid w:val="0"/>
          <w:sz w:val="24"/>
          <w:lang w:val="en-GB"/>
        </w:rPr>
        <w:t xml:space="preserve">duration of time in this health state being </w:t>
      </w:r>
      <w:r w:rsidR="00AE09C8">
        <w:rPr>
          <w:rFonts w:asciiTheme="minorHAnsi" w:hAnsiTheme="minorHAnsi"/>
          <w:bCs/>
          <w:snapToGrid w:val="0"/>
          <w:sz w:val="24"/>
          <w:lang w:val="en-GB"/>
        </w:rPr>
        <w:t>uncertain</w:t>
      </w:r>
      <w:r w:rsidR="00465D1E" w:rsidRPr="00465D1E">
        <w:rPr>
          <w:rFonts w:asciiTheme="minorHAnsi" w:hAnsiTheme="minorHAnsi"/>
          <w:bCs/>
          <w:snapToGrid w:val="0"/>
          <w:sz w:val="24"/>
          <w:lang w:val="en-GB"/>
        </w:rPr>
        <w:t>. The PBAC noted that it had previously accepted a utility decrement in the progressed but well state for obinutuzumab + chlorambucil (M</w:t>
      </w:r>
      <w:r w:rsidR="00A150A5">
        <w:rPr>
          <w:rFonts w:asciiTheme="minorHAnsi" w:hAnsiTheme="minorHAnsi"/>
          <w:bCs/>
          <w:snapToGrid w:val="0"/>
          <w:sz w:val="24"/>
          <w:lang w:val="en-GB"/>
        </w:rPr>
        <w:t xml:space="preserve">arch 2015), </w:t>
      </w:r>
      <w:r w:rsidR="00AE09C8">
        <w:rPr>
          <w:rFonts w:asciiTheme="minorHAnsi" w:hAnsiTheme="minorHAnsi"/>
          <w:bCs/>
          <w:snapToGrid w:val="0"/>
          <w:sz w:val="24"/>
          <w:lang w:val="en-GB"/>
        </w:rPr>
        <w:t>and</w:t>
      </w:r>
      <w:r w:rsidR="00A150A5">
        <w:rPr>
          <w:rFonts w:asciiTheme="minorHAnsi" w:hAnsiTheme="minorHAnsi"/>
          <w:bCs/>
          <w:snapToGrid w:val="0"/>
          <w:sz w:val="24"/>
          <w:lang w:val="en-GB"/>
        </w:rPr>
        <w:t xml:space="preserve"> t</w:t>
      </w:r>
      <w:r w:rsidR="00465D1E" w:rsidRPr="00A150A5">
        <w:rPr>
          <w:rFonts w:asciiTheme="minorHAnsi" w:hAnsiTheme="minorHAnsi"/>
          <w:bCs/>
          <w:snapToGrid w:val="0"/>
          <w:sz w:val="24"/>
          <w:lang w:val="en-GB"/>
        </w:rPr>
        <w:t>hat the pre-PBAC response reported a 0.044 utility decrement was observed in the CLL-14 trial between progression free and progressed but well patients</w:t>
      </w:r>
      <w:r w:rsidR="00AE09C8">
        <w:rPr>
          <w:rFonts w:asciiTheme="minorHAnsi" w:hAnsiTheme="minorHAnsi"/>
          <w:bCs/>
          <w:snapToGrid w:val="0"/>
          <w:sz w:val="24"/>
          <w:lang w:val="en-GB"/>
        </w:rPr>
        <w:t xml:space="preserve">. The PBAC considered </w:t>
      </w:r>
      <w:r w:rsidR="00A150A5">
        <w:rPr>
          <w:rFonts w:asciiTheme="minorHAnsi" w:hAnsiTheme="minorHAnsi"/>
          <w:bCs/>
          <w:snapToGrid w:val="0"/>
          <w:sz w:val="24"/>
          <w:lang w:val="en-GB"/>
        </w:rPr>
        <w:t>th</w:t>
      </w:r>
      <w:r w:rsidR="002F4177">
        <w:rPr>
          <w:rFonts w:asciiTheme="minorHAnsi" w:hAnsiTheme="minorHAnsi"/>
          <w:bCs/>
          <w:snapToGrid w:val="0"/>
          <w:sz w:val="24"/>
          <w:lang w:val="en-GB"/>
        </w:rPr>
        <w:t>e trial</w:t>
      </w:r>
      <w:r w:rsidR="00A150A5">
        <w:rPr>
          <w:rFonts w:asciiTheme="minorHAnsi" w:hAnsiTheme="minorHAnsi"/>
          <w:bCs/>
          <w:snapToGrid w:val="0"/>
          <w:sz w:val="24"/>
          <w:lang w:val="en-GB"/>
        </w:rPr>
        <w:t xml:space="preserve"> estimate, </w:t>
      </w:r>
      <w:r w:rsidR="00AE09C8">
        <w:rPr>
          <w:rFonts w:asciiTheme="minorHAnsi" w:hAnsiTheme="minorHAnsi"/>
          <w:bCs/>
          <w:snapToGrid w:val="0"/>
          <w:sz w:val="24"/>
          <w:lang w:val="en-GB"/>
        </w:rPr>
        <w:t xml:space="preserve">subject to evaluation, </w:t>
      </w:r>
      <w:r w:rsidR="00A150A5">
        <w:rPr>
          <w:rFonts w:asciiTheme="minorHAnsi" w:hAnsiTheme="minorHAnsi"/>
          <w:bCs/>
          <w:snapToGrid w:val="0"/>
          <w:sz w:val="24"/>
          <w:lang w:val="en-GB"/>
        </w:rPr>
        <w:t>may be a more appropriate input for the model</w:t>
      </w:r>
      <w:r w:rsidR="00AE09C8" w:rsidRPr="00AE09C8">
        <w:rPr>
          <w:rFonts w:asciiTheme="minorHAnsi" w:hAnsiTheme="minorHAnsi"/>
          <w:bCs/>
          <w:snapToGrid w:val="0"/>
          <w:lang w:val="en-GB"/>
        </w:rPr>
        <w:t xml:space="preserve"> </w:t>
      </w:r>
      <w:r w:rsidR="002F4177" w:rsidRPr="00AC7D9E">
        <w:rPr>
          <w:rFonts w:asciiTheme="minorHAnsi" w:hAnsiTheme="minorHAnsi"/>
          <w:bCs/>
          <w:snapToGrid w:val="0"/>
          <w:sz w:val="24"/>
          <w:lang w:val="en-GB"/>
        </w:rPr>
        <w:t>compared with</w:t>
      </w:r>
      <w:r w:rsidR="00AE09C8" w:rsidRPr="00AC7D9E">
        <w:rPr>
          <w:rFonts w:asciiTheme="minorHAnsi" w:hAnsiTheme="minorHAnsi"/>
          <w:bCs/>
          <w:snapToGrid w:val="0"/>
          <w:sz w:val="24"/>
          <w:lang w:val="en-GB"/>
        </w:rPr>
        <w:t xml:space="preserve"> the 0.08 decrement which was applied in the </w:t>
      </w:r>
      <w:r w:rsidR="002F4177" w:rsidRPr="00AC7D9E">
        <w:rPr>
          <w:rFonts w:asciiTheme="minorHAnsi" w:hAnsiTheme="minorHAnsi"/>
          <w:bCs/>
          <w:snapToGrid w:val="0"/>
          <w:sz w:val="24"/>
          <w:lang w:val="en-GB"/>
        </w:rPr>
        <w:t>base case</w:t>
      </w:r>
      <w:r w:rsidR="002620FB" w:rsidRPr="00AC7D9E">
        <w:rPr>
          <w:rFonts w:asciiTheme="minorHAnsi" w:hAnsiTheme="minorHAnsi"/>
          <w:bCs/>
          <w:snapToGrid w:val="0"/>
          <w:sz w:val="24"/>
          <w:lang w:val="en-GB"/>
        </w:rPr>
        <w:t xml:space="preserve"> presented in the pre</w:t>
      </w:r>
      <w:r w:rsidR="00AC7D9E">
        <w:rPr>
          <w:rFonts w:asciiTheme="minorHAnsi" w:hAnsiTheme="minorHAnsi"/>
          <w:bCs/>
          <w:snapToGrid w:val="0"/>
          <w:sz w:val="24"/>
          <w:lang w:val="en-GB"/>
        </w:rPr>
        <w:t>-</w:t>
      </w:r>
      <w:r w:rsidR="002620FB" w:rsidRPr="00AC7D9E">
        <w:rPr>
          <w:rFonts w:asciiTheme="minorHAnsi" w:hAnsiTheme="minorHAnsi"/>
          <w:bCs/>
          <w:snapToGrid w:val="0"/>
          <w:sz w:val="24"/>
          <w:lang w:val="en-GB"/>
        </w:rPr>
        <w:t>PBAC response</w:t>
      </w:r>
      <w:r w:rsidR="00465D1E" w:rsidRPr="00AC7D9E">
        <w:rPr>
          <w:sz w:val="24"/>
        </w:rPr>
        <w:t>.</w:t>
      </w:r>
      <w:r w:rsidR="00AE09C8" w:rsidRPr="00AC7D9E">
        <w:rPr>
          <w:rFonts w:asciiTheme="minorHAnsi" w:hAnsiTheme="minorHAnsi"/>
          <w:bCs/>
          <w:snapToGrid w:val="0"/>
          <w:sz w:val="24"/>
          <w:lang w:val="en-GB"/>
        </w:rPr>
        <w:t xml:space="preserve"> The PBAC </w:t>
      </w:r>
      <w:r w:rsidR="00AE09C8" w:rsidRPr="00AF1AF0">
        <w:rPr>
          <w:rFonts w:asciiTheme="minorHAnsi" w:hAnsiTheme="minorHAnsi"/>
          <w:bCs/>
          <w:snapToGrid w:val="0"/>
          <w:sz w:val="24"/>
          <w:lang w:val="en-GB"/>
        </w:rPr>
        <w:t xml:space="preserve">considered </w:t>
      </w:r>
      <w:r w:rsidR="002F4177" w:rsidRPr="00AF1AF0">
        <w:rPr>
          <w:rFonts w:asciiTheme="minorHAnsi" w:hAnsiTheme="minorHAnsi"/>
          <w:bCs/>
          <w:snapToGrid w:val="0"/>
          <w:sz w:val="24"/>
          <w:lang w:val="en-GB"/>
        </w:rPr>
        <w:t>for</w:t>
      </w:r>
      <w:r w:rsidR="00AE09C8" w:rsidRPr="00AF1AF0">
        <w:rPr>
          <w:rFonts w:asciiTheme="minorHAnsi" w:hAnsiTheme="minorHAnsi"/>
          <w:bCs/>
          <w:snapToGrid w:val="0"/>
          <w:sz w:val="24"/>
          <w:lang w:val="en-GB"/>
        </w:rPr>
        <w:t xml:space="preserve"> this option </w:t>
      </w:r>
      <w:r w:rsidR="002F4177" w:rsidRPr="00AF1AF0">
        <w:rPr>
          <w:rFonts w:asciiTheme="minorHAnsi" w:hAnsiTheme="minorHAnsi"/>
          <w:bCs/>
          <w:snapToGrid w:val="0"/>
          <w:sz w:val="24"/>
          <w:lang w:val="en-GB"/>
        </w:rPr>
        <w:t>an appropriate</w:t>
      </w:r>
      <w:r w:rsidR="00AE09C8" w:rsidRPr="00AF1AF0">
        <w:rPr>
          <w:rFonts w:asciiTheme="minorHAnsi" w:hAnsiTheme="minorHAnsi"/>
          <w:bCs/>
          <w:snapToGrid w:val="0"/>
          <w:sz w:val="24"/>
          <w:lang w:val="en-GB"/>
        </w:rPr>
        <w:t xml:space="preserve"> ICER </w:t>
      </w:r>
      <w:r w:rsidR="002F4177" w:rsidRPr="00AF1AF0">
        <w:rPr>
          <w:rFonts w:asciiTheme="minorHAnsi" w:hAnsiTheme="minorHAnsi"/>
          <w:bCs/>
          <w:snapToGrid w:val="0"/>
          <w:sz w:val="24"/>
          <w:lang w:val="en-GB"/>
        </w:rPr>
        <w:t>would be</w:t>
      </w:r>
      <w:r w:rsidR="00AE09C8" w:rsidRPr="00AF1AF0">
        <w:rPr>
          <w:rFonts w:asciiTheme="minorHAnsi" w:hAnsiTheme="minorHAnsi"/>
          <w:bCs/>
          <w:snapToGrid w:val="0"/>
          <w:sz w:val="24"/>
          <w:lang w:val="en-GB"/>
        </w:rPr>
        <w:t xml:space="preserve"> less than </w:t>
      </w:r>
      <w:r w:rsidR="00326616">
        <w:rPr>
          <w:rFonts w:asciiTheme="minorHAnsi" w:hAnsiTheme="minorHAnsi"/>
          <w:bCs/>
          <w:snapToGrid w:val="0"/>
          <w:sz w:val="24"/>
          <w:lang w:val="en-GB"/>
        </w:rPr>
        <w:t>$45,000 - $75,000</w:t>
      </w:r>
      <w:r w:rsidR="00AE09C8" w:rsidRPr="00AF1AF0">
        <w:rPr>
          <w:rFonts w:asciiTheme="minorHAnsi" w:hAnsiTheme="minorHAnsi"/>
          <w:bCs/>
          <w:snapToGrid w:val="0"/>
          <w:sz w:val="24"/>
          <w:lang w:val="en-GB"/>
        </w:rPr>
        <w:t xml:space="preserve"> per QALY</w:t>
      </w:r>
      <w:r w:rsidR="002F4177" w:rsidRPr="00AF1AF0">
        <w:rPr>
          <w:rFonts w:asciiTheme="minorHAnsi" w:hAnsiTheme="minorHAnsi"/>
          <w:bCs/>
          <w:snapToGrid w:val="0"/>
          <w:lang w:val="en-GB"/>
        </w:rPr>
        <w:t>.</w:t>
      </w:r>
    </w:p>
    <w:p w:rsidR="00C50D2A" w:rsidRPr="00AF1AF0" w:rsidRDefault="00C50D2A" w:rsidP="00E061D3">
      <w:pPr>
        <w:widowControl w:val="0"/>
        <w:numPr>
          <w:ilvl w:val="1"/>
          <w:numId w:val="1"/>
        </w:numPr>
        <w:spacing w:after="120"/>
        <w:rPr>
          <w:rStyle w:val="3BodytextChar"/>
          <w:rFonts w:ascii="Calibri" w:eastAsia="Times New Roman" w:hAnsi="Calibri" w:cs="Arial"/>
          <w:szCs w:val="24"/>
          <w:lang w:eastAsia="en-AU"/>
        </w:rPr>
      </w:pPr>
      <w:r w:rsidRPr="00AF1AF0">
        <w:t>The PBAC noted that the submission had estimated a net cost to the PBS for listing venetoclax (proposed effective price) + obinutuzumab (published price) for previ</w:t>
      </w:r>
      <w:r w:rsidR="003F25C5" w:rsidRPr="00AF1AF0">
        <w:t>ously untreated CLL patients of</w:t>
      </w:r>
      <w:r w:rsidRPr="00AF1AF0">
        <w:t xml:space="preserve"> </w:t>
      </w:r>
      <w:r w:rsidR="00E33C74" w:rsidRPr="00AF1AF0">
        <w:t xml:space="preserve">up to </w:t>
      </w:r>
      <w:r w:rsidR="00326616">
        <w:t xml:space="preserve"> less than $10 million</w:t>
      </w:r>
      <w:r w:rsidR="00E33C74" w:rsidRPr="00AF1AF0">
        <w:t xml:space="preserve"> in Year 6, with a cumulative total cost of </w:t>
      </w:r>
      <w:r w:rsidR="00326616">
        <w:t xml:space="preserve"> $30 - $60</w:t>
      </w:r>
      <w:r w:rsidR="00E33C74" w:rsidRPr="00AF1AF0">
        <w:t xml:space="preserve"> million over 6 years. </w:t>
      </w:r>
      <w:r w:rsidR="00585AC0" w:rsidRPr="00AF1AF0">
        <w:t>The PBAC noted there were a number of uncertainties with respect to the financial estimates as outlined in paragraph 6.</w:t>
      </w:r>
      <w:r w:rsidR="004A4D87" w:rsidRPr="00AF1AF0">
        <w:t>7</w:t>
      </w:r>
      <w:r w:rsidR="003B1189" w:rsidRPr="00AF1AF0">
        <w:t>1</w:t>
      </w:r>
      <w:r w:rsidR="00585AC0" w:rsidRPr="00AF1AF0">
        <w:t>, and considered the financial impact of the proposed listing was highly uncertain.</w:t>
      </w:r>
      <w:r w:rsidR="003F25C5" w:rsidRPr="00AF1AF0">
        <w:t xml:space="preserve"> </w:t>
      </w:r>
      <w:r w:rsidR="00AF1AF0" w:rsidRPr="00AF1AF0">
        <w:t>In addition, the PBAC were concerned that there was a risk of leakage with use in patients who were suitable for fludarabine based chemo</w:t>
      </w:r>
      <w:r w:rsidR="00AF1AF0" w:rsidRPr="00AF1AF0">
        <w:rPr>
          <w:rStyle w:val="3BodytextChar"/>
          <w:rFonts w:ascii="Calibri" w:eastAsia="Times New Roman" w:hAnsi="Calibri" w:cs="Arial"/>
          <w:szCs w:val="24"/>
          <w:lang w:eastAsia="en-AU"/>
        </w:rPr>
        <w:t xml:space="preserve">-immunotherapy. </w:t>
      </w:r>
    </w:p>
    <w:p w:rsidR="00431E82" w:rsidRPr="009E00BE" w:rsidRDefault="00AF1AF0" w:rsidP="00E061D3">
      <w:pPr>
        <w:widowControl w:val="0"/>
        <w:numPr>
          <w:ilvl w:val="1"/>
          <w:numId w:val="1"/>
        </w:numPr>
        <w:spacing w:after="120"/>
        <w:rPr>
          <w:rStyle w:val="3BodytextChar"/>
          <w:rFonts w:ascii="Calibri" w:eastAsia="Times New Roman" w:hAnsi="Calibri" w:cs="Arial"/>
          <w:szCs w:val="24"/>
          <w:lang w:eastAsia="en-AU"/>
        </w:rPr>
      </w:pPr>
      <w:r w:rsidRPr="00AF1AF0">
        <w:t>G</w:t>
      </w:r>
      <w:r w:rsidRPr="00AF1AF0">
        <w:rPr>
          <w:rStyle w:val="3BodytextChar"/>
          <w:bCs/>
          <w:snapToGrid w:val="0"/>
        </w:rPr>
        <w:t xml:space="preserve">iven the </w:t>
      </w:r>
      <w:r w:rsidRPr="00AF1AF0">
        <w:rPr>
          <w:rStyle w:val="3BodytextChar"/>
        </w:rPr>
        <w:t>high degree of uncertainty in the financial estimates, t</w:t>
      </w:r>
      <w:r w:rsidR="00431E82" w:rsidRPr="00AF1AF0">
        <w:rPr>
          <w:rStyle w:val="3BodytextChar"/>
          <w:rFonts w:ascii="Calibri" w:eastAsia="Times New Roman" w:hAnsi="Calibri" w:cs="Arial"/>
          <w:szCs w:val="24"/>
          <w:lang w:eastAsia="en-AU"/>
        </w:rPr>
        <w:t>he PBAC advised that a Risk Sharing Arrangement</w:t>
      </w:r>
      <w:r w:rsidR="00431E82" w:rsidRPr="009E00BE">
        <w:rPr>
          <w:rStyle w:val="3BodytextChar"/>
          <w:rFonts w:ascii="Calibri" w:eastAsia="Times New Roman" w:hAnsi="Calibri" w:cs="Arial"/>
          <w:szCs w:val="24"/>
          <w:lang w:eastAsia="en-AU"/>
        </w:rPr>
        <w:t xml:space="preserve"> (RSA)</w:t>
      </w:r>
      <w:r w:rsidR="00E061D3">
        <w:rPr>
          <w:rStyle w:val="3BodytextChar"/>
          <w:rFonts w:ascii="Calibri" w:eastAsia="Times New Roman" w:hAnsi="Calibri" w:cs="Arial"/>
          <w:szCs w:val="24"/>
          <w:lang w:eastAsia="en-AU"/>
        </w:rPr>
        <w:t xml:space="preserve"> consisting</w:t>
      </w:r>
      <w:r w:rsidR="00431E82" w:rsidRPr="009E00BE">
        <w:rPr>
          <w:rStyle w:val="3BodytextChar"/>
          <w:rFonts w:ascii="Calibri" w:eastAsia="Times New Roman" w:hAnsi="Calibri" w:cs="Arial"/>
          <w:szCs w:val="24"/>
          <w:lang w:eastAsia="en-AU"/>
        </w:rPr>
        <w:t xml:space="preserve"> of subsidisation caps </w:t>
      </w:r>
      <w:r w:rsidR="009764E5" w:rsidRPr="009E00BE">
        <w:rPr>
          <w:rStyle w:val="3BodytextChar"/>
          <w:rFonts w:ascii="Calibri" w:eastAsia="Times New Roman" w:hAnsi="Calibri" w:cs="Arial"/>
          <w:szCs w:val="24"/>
          <w:lang w:eastAsia="en-AU"/>
        </w:rPr>
        <w:t>would be required to ensure venetoclax + obinutuzumab use in the first-line setting remained cost effective</w:t>
      </w:r>
      <w:r w:rsidR="009E00BE">
        <w:rPr>
          <w:rStyle w:val="3BodytextChar"/>
          <w:rFonts w:ascii="Calibri" w:eastAsia="Times New Roman" w:hAnsi="Calibri" w:cs="Arial"/>
          <w:szCs w:val="24"/>
          <w:lang w:eastAsia="en-AU"/>
        </w:rPr>
        <w:t xml:space="preserve">. The PBAC further advised that </w:t>
      </w:r>
      <w:r w:rsidR="00E061D3">
        <w:rPr>
          <w:rStyle w:val="3BodytextChar"/>
          <w:rFonts w:ascii="Calibri" w:eastAsia="Times New Roman" w:hAnsi="Calibri" w:cs="Arial"/>
          <w:szCs w:val="24"/>
          <w:lang w:eastAsia="en-AU"/>
        </w:rPr>
        <w:t>the</w:t>
      </w:r>
      <w:r w:rsidR="009E00BE">
        <w:rPr>
          <w:rStyle w:val="3BodytextChar"/>
          <w:rFonts w:ascii="Calibri" w:eastAsia="Times New Roman" w:hAnsi="Calibri" w:cs="Arial"/>
          <w:szCs w:val="24"/>
          <w:lang w:eastAsia="en-AU"/>
        </w:rPr>
        <w:t xml:space="preserve"> RSA </w:t>
      </w:r>
      <w:r w:rsidR="005620AD">
        <w:rPr>
          <w:rStyle w:val="3BodytextChar"/>
          <w:rFonts w:ascii="Calibri" w:eastAsia="Times New Roman" w:hAnsi="Calibri" w:cs="Arial"/>
          <w:szCs w:val="24"/>
          <w:lang w:eastAsia="en-AU"/>
        </w:rPr>
        <w:t>include both</w:t>
      </w:r>
      <w:r w:rsidR="002620FB">
        <w:rPr>
          <w:rStyle w:val="3BodytextChar"/>
          <w:rFonts w:ascii="Calibri" w:eastAsia="Times New Roman" w:hAnsi="Calibri" w:cs="Arial"/>
          <w:szCs w:val="24"/>
          <w:lang w:eastAsia="en-AU"/>
        </w:rPr>
        <w:t xml:space="preserve"> the proposed </w:t>
      </w:r>
      <w:r w:rsidR="009E00BE">
        <w:rPr>
          <w:rStyle w:val="3BodytextChar"/>
          <w:rFonts w:ascii="Calibri" w:eastAsia="Times New Roman" w:hAnsi="Calibri" w:cs="Arial"/>
          <w:szCs w:val="24"/>
          <w:lang w:eastAsia="en-AU"/>
        </w:rPr>
        <w:t xml:space="preserve">first-line and </w:t>
      </w:r>
      <w:r w:rsidR="002620FB">
        <w:rPr>
          <w:rStyle w:val="3BodytextChar"/>
          <w:rFonts w:ascii="Calibri" w:eastAsia="Times New Roman" w:hAnsi="Calibri" w:cs="Arial"/>
          <w:szCs w:val="24"/>
          <w:lang w:eastAsia="en-AU"/>
        </w:rPr>
        <w:t xml:space="preserve">current </w:t>
      </w:r>
      <w:r w:rsidR="009E00BE">
        <w:rPr>
          <w:rStyle w:val="3BodytextChar"/>
          <w:rFonts w:ascii="Calibri" w:eastAsia="Times New Roman" w:hAnsi="Calibri" w:cs="Arial"/>
          <w:szCs w:val="24"/>
          <w:lang w:eastAsia="en-AU"/>
        </w:rPr>
        <w:t xml:space="preserve">relapsed/refractory </w:t>
      </w:r>
      <w:r w:rsidR="005620AD">
        <w:rPr>
          <w:rStyle w:val="3BodytextChar"/>
          <w:rFonts w:ascii="Calibri" w:eastAsia="Times New Roman" w:hAnsi="Calibri" w:cs="Arial"/>
          <w:szCs w:val="24"/>
          <w:lang w:eastAsia="en-AU"/>
        </w:rPr>
        <w:t>use of</w:t>
      </w:r>
      <w:r w:rsidR="002620FB">
        <w:rPr>
          <w:rStyle w:val="3BodytextChar"/>
          <w:rFonts w:ascii="Calibri" w:eastAsia="Times New Roman" w:hAnsi="Calibri" w:cs="Arial"/>
          <w:szCs w:val="24"/>
          <w:lang w:eastAsia="en-AU"/>
        </w:rPr>
        <w:t xml:space="preserve"> venetoclax and ibrutinib for CLL </w:t>
      </w:r>
      <w:r w:rsidR="009E00BE">
        <w:rPr>
          <w:rStyle w:val="3BodytextChar"/>
          <w:rFonts w:ascii="Calibri" w:eastAsia="Times New Roman" w:hAnsi="Calibri" w:cs="Arial"/>
          <w:szCs w:val="24"/>
          <w:lang w:eastAsia="en-AU"/>
        </w:rPr>
        <w:t xml:space="preserve">to ensure </w:t>
      </w:r>
      <w:r w:rsidR="002620FB">
        <w:rPr>
          <w:rStyle w:val="3BodytextChar"/>
          <w:rFonts w:ascii="Calibri" w:eastAsia="Times New Roman" w:hAnsi="Calibri" w:cs="Arial"/>
          <w:szCs w:val="24"/>
          <w:lang w:eastAsia="en-AU"/>
        </w:rPr>
        <w:t xml:space="preserve">that </w:t>
      </w:r>
      <w:r w:rsidR="009E00BE">
        <w:rPr>
          <w:rStyle w:val="3BodytextChar"/>
          <w:rFonts w:ascii="Calibri" w:eastAsia="Times New Roman" w:hAnsi="Calibri" w:cs="Arial"/>
          <w:szCs w:val="24"/>
          <w:lang w:eastAsia="en-AU"/>
        </w:rPr>
        <w:t xml:space="preserve">the </w:t>
      </w:r>
      <w:r w:rsidR="00431E82" w:rsidRPr="009E00BE">
        <w:rPr>
          <w:rStyle w:val="3BodytextChar"/>
          <w:rFonts w:ascii="Calibri" w:eastAsia="Times New Roman" w:hAnsi="Calibri" w:cs="Arial"/>
          <w:szCs w:val="24"/>
          <w:lang w:eastAsia="en-AU"/>
        </w:rPr>
        <w:t>offsets</w:t>
      </w:r>
      <w:r w:rsidR="007052DE">
        <w:rPr>
          <w:rStyle w:val="3BodytextChar"/>
          <w:rFonts w:ascii="Calibri" w:eastAsia="Times New Roman" w:hAnsi="Calibri" w:cs="Arial"/>
          <w:szCs w:val="24"/>
          <w:lang w:eastAsia="en-AU"/>
        </w:rPr>
        <w:t xml:space="preserve"> </w:t>
      </w:r>
      <w:r w:rsidR="002620FB">
        <w:rPr>
          <w:rStyle w:val="3BodytextChar"/>
          <w:rFonts w:ascii="Calibri" w:eastAsia="Times New Roman" w:hAnsi="Calibri" w:cs="Arial"/>
          <w:szCs w:val="24"/>
          <w:lang w:eastAsia="en-AU"/>
        </w:rPr>
        <w:t>in the existing later-line setting (which are required for the first-line setting to be cost-effective)</w:t>
      </w:r>
      <w:r w:rsidR="002B7AB2" w:rsidRPr="009E00BE">
        <w:rPr>
          <w:rStyle w:val="3BodytextChar"/>
          <w:rFonts w:ascii="Calibri" w:eastAsia="Times New Roman" w:hAnsi="Calibri" w:cs="Arial"/>
          <w:szCs w:val="24"/>
          <w:lang w:eastAsia="en-AU"/>
        </w:rPr>
        <w:t xml:space="preserve"> </w:t>
      </w:r>
      <w:r w:rsidR="009E00BE">
        <w:rPr>
          <w:rStyle w:val="3BodytextChar"/>
          <w:rFonts w:ascii="Calibri" w:eastAsia="Times New Roman" w:hAnsi="Calibri" w:cs="Arial"/>
          <w:szCs w:val="24"/>
          <w:lang w:eastAsia="en-AU"/>
        </w:rPr>
        <w:t>are realised</w:t>
      </w:r>
      <w:r w:rsidR="00431E82" w:rsidRPr="009E00BE">
        <w:rPr>
          <w:rStyle w:val="3BodytextChar"/>
          <w:rFonts w:ascii="Calibri" w:eastAsia="Times New Roman" w:hAnsi="Calibri" w:cs="Arial"/>
          <w:szCs w:val="24"/>
          <w:lang w:eastAsia="en-AU"/>
        </w:rPr>
        <w:t>.</w:t>
      </w:r>
    </w:p>
    <w:p w:rsidR="00DA2A0E" w:rsidRDefault="00DA2A0E" w:rsidP="00122A5C">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lastRenderedPageBreak/>
        <w:t>The PBAC considered the requested listing should be revised, consistent with the suggested amendments to the restriction</w:t>
      </w:r>
      <w:r w:rsidR="007B455A">
        <w:rPr>
          <w:rFonts w:asciiTheme="minorHAnsi" w:hAnsiTheme="minorHAnsi"/>
          <w:bCs/>
          <w:snapToGrid w:val="0"/>
          <w:lang w:val="en-GB"/>
        </w:rPr>
        <w:t>s</w:t>
      </w:r>
      <w:r>
        <w:rPr>
          <w:rFonts w:asciiTheme="minorHAnsi" w:hAnsiTheme="minorHAnsi"/>
          <w:bCs/>
          <w:snapToGrid w:val="0"/>
          <w:lang w:val="en-GB"/>
        </w:rPr>
        <w:t xml:space="preserve"> </w:t>
      </w:r>
      <w:r w:rsidR="007B455A">
        <w:rPr>
          <w:rFonts w:asciiTheme="minorHAnsi" w:hAnsiTheme="minorHAnsi"/>
          <w:bCs/>
          <w:snapToGrid w:val="0"/>
          <w:lang w:val="en-GB"/>
        </w:rPr>
        <w:t>provided in Section 3</w:t>
      </w:r>
      <w:r>
        <w:rPr>
          <w:rFonts w:asciiTheme="minorHAnsi" w:hAnsiTheme="minorHAnsi"/>
          <w:bCs/>
          <w:snapToGrid w:val="0"/>
          <w:lang w:val="en-GB"/>
        </w:rPr>
        <w:t>.</w:t>
      </w:r>
    </w:p>
    <w:p w:rsidR="007B455A" w:rsidRDefault="007B455A" w:rsidP="00122A5C">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advised that a m</w:t>
      </w:r>
      <w:r w:rsidR="00DC6EAF">
        <w:rPr>
          <w:rFonts w:asciiTheme="minorHAnsi" w:hAnsiTheme="minorHAnsi"/>
          <w:bCs/>
          <w:snapToGrid w:val="0"/>
          <w:lang w:val="en-GB"/>
        </w:rPr>
        <w:t>inor</w:t>
      </w:r>
      <w:r>
        <w:rPr>
          <w:rFonts w:asciiTheme="minorHAnsi" w:hAnsiTheme="minorHAnsi"/>
          <w:bCs/>
          <w:snapToGrid w:val="0"/>
          <w:lang w:val="en-GB"/>
        </w:rPr>
        <w:t xml:space="preserve"> resubmission would be </w:t>
      </w:r>
      <w:r w:rsidR="00AF1AF0">
        <w:rPr>
          <w:rFonts w:asciiTheme="minorHAnsi" w:hAnsiTheme="minorHAnsi"/>
          <w:bCs/>
          <w:snapToGrid w:val="0"/>
          <w:lang w:val="en-GB"/>
        </w:rPr>
        <w:t>required</w:t>
      </w:r>
      <w:r>
        <w:rPr>
          <w:rFonts w:asciiTheme="minorHAnsi" w:hAnsiTheme="minorHAnsi"/>
          <w:bCs/>
          <w:snapToGrid w:val="0"/>
          <w:lang w:val="en-GB"/>
        </w:rPr>
        <w:t xml:space="preserve"> </w:t>
      </w:r>
      <w:r w:rsidR="00AC7D9E">
        <w:rPr>
          <w:rFonts w:asciiTheme="minorHAnsi" w:hAnsiTheme="minorHAnsi"/>
          <w:bCs/>
          <w:snapToGrid w:val="0"/>
          <w:lang w:val="en-GB"/>
        </w:rPr>
        <w:t xml:space="preserve">if the option of revising the pre-PBAC model as outlined in </w:t>
      </w:r>
      <w:r w:rsidR="00AC7D9E" w:rsidRPr="00DC6EAF">
        <w:rPr>
          <w:rFonts w:asciiTheme="minorHAnsi" w:hAnsiTheme="minorHAnsi"/>
          <w:bCs/>
          <w:snapToGrid w:val="0"/>
          <w:lang w:val="en-GB"/>
        </w:rPr>
        <w:t>parag</w:t>
      </w:r>
      <w:r w:rsidR="003B1189" w:rsidRPr="00DC6EAF">
        <w:rPr>
          <w:rFonts w:asciiTheme="minorHAnsi" w:hAnsiTheme="minorHAnsi"/>
          <w:bCs/>
          <w:snapToGrid w:val="0"/>
          <w:lang w:val="en-GB"/>
        </w:rPr>
        <w:t>raph 7.13 was</w:t>
      </w:r>
      <w:r w:rsidR="003B1189">
        <w:rPr>
          <w:rFonts w:asciiTheme="minorHAnsi" w:hAnsiTheme="minorHAnsi"/>
          <w:bCs/>
          <w:snapToGrid w:val="0"/>
          <w:lang w:val="en-GB"/>
        </w:rPr>
        <w:t xml:space="preserve"> accepted, and the</w:t>
      </w:r>
      <w:r w:rsidR="00AC7D9E">
        <w:rPr>
          <w:rFonts w:asciiTheme="minorHAnsi" w:hAnsiTheme="minorHAnsi"/>
          <w:bCs/>
          <w:snapToGrid w:val="0"/>
          <w:lang w:val="en-GB"/>
        </w:rPr>
        <w:t xml:space="preserve"> </w:t>
      </w:r>
      <w:r>
        <w:rPr>
          <w:rFonts w:asciiTheme="minorHAnsi" w:hAnsiTheme="minorHAnsi"/>
          <w:bCs/>
          <w:snapToGrid w:val="0"/>
          <w:lang w:val="en-GB"/>
        </w:rPr>
        <w:t xml:space="preserve">financial implication estimates and restrictions were adjusted as recommended. </w:t>
      </w:r>
      <w:r w:rsidR="003B1189">
        <w:rPr>
          <w:rFonts w:asciiTheme="minorHAnsi" w:hAnsiTheme="minorHAnsi"/>
          <w:bCs/>
          <w:snapToGrid w:val="0"/>
          <w:lang w:val="en-GB"/>
        </w:rPr>
        <w:t xml:space="preserve">A major submission would be required if a new economic model was presented. </w:t>
      </w:r>
    </w:p>
    <w:p w:rsidR="005D6090" w:rsidRDefault="005D6090" w:rsidP="00122A5C">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 xml:space="preserve">The PBAC noted that this submission is eligible for an Independent Review. </w:t>
      </w:r>
    </w:p>
    <w:p w:rsidR="00122A5C" w:rsidRPr="00525B39" w:rsidRDefault="00122A5C" w:rsidP="00122A5C">
      <w:pPr>
        <w:spacing w:before="240"/>
        <w:rPr>
          <w:rFonts w:asciiTheme="minorHAnsi" w:hAnsiTheme="minorHAnsi"/>
          <w:b/>
          <w:bCs/>
          <w:snapToGrid w:val="0"/>
          <w:lang w:val="en-GB"/>
        </w:rPr>
      </w:pPr>
      <w:r w:rsidRPr="00525B39">
        <w:rPr>
          <w:rFonts w:asciiTheme="minorHAnsi" w:hAnsiTheme="minorHAnsi"/>
          <w:b/>
          <w:bCs/>
          <w:snapToGrid w:val="0"/>
          <w:lang w:val="en-GB"/>
        </w:rPr>
        <w:t>Outcome:</w:t>
      </w:r>
    </w:p>
    <w:p w:rsidR="00F62DEB" w:rsidRPr="00361D34" w:rsidRDefault="005D6090" w:rsidP="00361D34">
      <w:pPr>
        <w:rPr>
          <w:rFonts w:asciiTheme="minorHAnsi" w:hAnsiTheme="minorHAnsi"/>
          <w:bCs/>
          <w:snapToGrid w:val="0"/>
          <w:lang w:val="en-GB"/>
        </w:rPr>
      </w:pPr>
      <w:r>
        <w:rPr>
          <w:rFonts w:asciiTheme="minorHAnsi" w:hAnsiTheme="minorHAnsi"/>
          <w:bCs/>
          <w:snapToGrid w:val="0"/>
          <w:lang w:val="en-GB"/>
        </w:rPr>
        <w:t>Rejected</w:t>
      </w:r>
    </w:p>
    <w:p w:rsidR="003B7841" w:rsidRPr="003B7841" w:rsidRDefault="003B7841" w:rsidP="003B7841">
      <w:pPr>
        <w:keepNext/>
        <w:numPr>
          <w:ilvl w:val="0"/>
          <w:numId w:val="1"/>
        </w:numPr>
        <w:spacing w:before="240" w:after="120"/>
        <w:jc w:val="left"/>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Context for Decision</w:t>
      </w:r>
    </w:p>
    <w:p w:rsidR="003B7841" w:rsidRPr="003B7841" w:rsidRDefault="003B7841" w:rsidP="00C42FEB">
      <w:pPr>
        <w:spacing w:line="276" w:lineRule="auto"/>
        <w:ind w:left="709"/>
        <w:rPr>
          <w:rFonts w:asciiTheme="minorHAnsi" w:eastAsiaTheme="minorHAnsi" w:hAnsiTheme="minorHAnsi" w:cs="Times New Roman"/>
          <w:szCs w:val="22"/>
          <w:lang w:eastAsia="en-US"/>
        </w:rPr>
      </w:pPr>
      <w:r w:rsidRPr="003B7841">
        <w:rPr>
          <w:rFonts w:asciiTheme="minorHAnsi" w:eastAsiaTheme="minorHAnsi" w:hAnsiTheme="minorHAnsi" w:cs="Times New Roman"/>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3B7841" w:rsidRPr="003B7841" w:rsidRDefault="003B7841" w:rsidP="003B7841">
      <w:pPr>
        <w:keepNext/>
        <w:numPr>
          <w:ilvl w:val="0"/>
          <w:numId w:val="1"/>
        </w:numPr>
        <w:spacing w:before="240" w:after="120"/>
        <w:jc w:val="left"/>
        <w:outlineLvl w:val="0"/>
        <w:rPr>
          <w:rFonts w:asciiTheme="minorHAnsi" w:eastAsiaTheme="minorHAnsi" w:hAnsiTheme="minorHAnsi"/>
          <w:b/>
          <w:snapToGrid w:val="0"/>
          <w:sz w:val="32"/>
          <w:szCs w:val="22"/>
          <w:lang w:eastAsia="en-US"/>
        </w:rPr>
      </w:pPr>
      <w:r w:rsidRPr="003B7841">
        <w:rPr>
          <w:rFonts w:asciiTheme="minorHAnsi" w:eastAsiaTheme="minorHAnsi" w:hAnsiTheme="minorHAnsi"/>
          <w:b/>
          <w:snapToGrid w:val="0"/>
          <w:sz w:val="32"/>
          <w:szCs w:val="22"/>
          <w:lang w:eastAsia="en-US"/>
        </w:rPr>
        <w:t>Sponsor’s Comment</w:t>
      </w:r>
    </w:p>
    <w:p w:rsidR="003B7841" w:rsidRPr="00A67F46" w:rsidRDefault="00EC54AE" w:rsidP="00C42FEB">
      <w:pPr>
        <w:ind w:left="709"/>
      </w:pPr>
      <w:r w:rsidRPr="00EC54AE">
        <w:rPr>
          <w:rFonts w:asciiTheme="minorHAnsi" w:eastAsiaTheme="minorHAnsi" w:hAnsiTheme="minorHAnsi" w:cs="Times New Roman"/>
          <w:bCs/>
          <w:szCs w:val="22"/>
          <w:lang w:val="en-GB" w:eastAsia="en-US"/>
        </w:rPr>
        <w:t>AbbVie welcomes the PBAC’s acknowledgement that venetoclax + obinutuzumab is clinically superior to current first-line therapy for CLL however is disappointed with the recommendation to reject the submission. AbbVie will continue to work collaboratively with the PBAC to seek access for patients in need.</w:t>
      </w:r>
    </w:p>
    <w:sectPr w:rsidR="003B7841" w:rsidRPr="00A67F46" w:rsidSect="00251006">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36D" w:rsidRDefault="00BA436D" w:rsidP="00124A51">
      <w:r>
        <w:separator/>
      </w:r>
    </w:p>
    <w:p w:rsidR="00BA436D" w:rsidRDefault="00BA436D"/>
  </w:endnote>
  <w:endnote w:type="continuationSeparator" w:id="0">
    <w:p w:rsidR="00BA436D" w:rsidRDefault="00BA436D" w:rsidP="00124A51">
      <w:r>
        <w:continuationSeparator/>
      </w:r>
    </w:p>
    <w:p w:rsidR="00BA436D" w:rsidRDefault="00BA4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330" w:rsidRDefault="00036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47155"/>
      <w:docPartObj>
        <w:docPartGallery w:val="Page Numbers (Bottom of Page)"/>
        <w:docPartUnique/>
      </w:docPartObj>
    </w:sdtPr>
    <w:sdtEndPr>
      <w:rPr>
        <w:b/>
        <w:noProof/>
      </w:rPr>
    </w:sdtEndPr>
    <w:sdtContent>
      <w:p w:rsidR="005A4508" w:rsidRDefault="005A4508">
        <w:pPr>
          <w:pStyle w:val="Footer"/>
          <w:jc w:val="center"/>
        </w:pPr>
      </w:p>
      <w:p w:rsidR="005A4508" w:rsidRPr="00BB6136" w:rsidRDefault="005A4508">
        <w:pPr>
          <w:pStyle w:val="Footer"/>
          <w:jc w:val="center"/>
          <w:rPr>
            <w:b/>
          </w:rPr>
        </w:pPr>
        <w:r w:rsidRPr="00BB6136">
          <w:rPr>
            <w:b/>
          </w:rPr>
          <w:fldChar w:fldCharType="begin"/>
        </w:r>
        <w:r w:rsidRPr="00BB6136">
          <w:rPr>
            <w:b/>
          </w:rPr>
          <w:instrText xml:space="preserve"> PAGE   \* MERGEFORMAT </w:instrText>
        </w:r>
        <w:r w:rsidRPr="00BB6136">
          <w:rPr>
            <w:b/>
          </w:rPr>
          <w:fldChar w:fldCharType="separate"/>
        </w:r>
        <w:r w:rsidR="00BA436D">
          <w:rPr>
            <w:b/>
            <w:noProof/>
          </w:rPr>
          <w:t>1</w:t>
        </w:r>
        <w:r w:rsidRPr="00BB6136">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330" w:rsidRDefault="00036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36D" w:rsidRDefault="00BA436D" w:rsidP="00124A51">
      <w:r>
        <w:separator/>
      </w:r>
    </w:p>
    <w:p w:rsidR="00BA436D" w:rsidRDefault="00BA436D"/>
  </w:footnote>
  <w:footnote w:type="continuationSeparator" w:id="0">
    <w:p w:rsidR="00BA436D" w:rsidRDefault="00BA436D" w:rsidP="00124A51">
      <w:r>
        <w:continuationSeparator/>
      </w:r>
    </w:p>
    <w:p w:rsidR="00BA436D" w:rsidRDefault="00BA436D"/>
  </w:footnote>
  <w:footnote w:id="1">
    <w:p w:rsidR="005A4508" w:rsidRPr="00AB4B47" w:rsidRDefault="005A4508" w:rsidP="00AB4B47">
      <w:pPr>
        <w:pStyle w:val="FootnoteText"/>
        <w:rPr>
          <w:rFonts w:ascii="Calibri" w:hAnsi="Calibri" w:cs="Calibri"/>
        </w:rPr>
      </w:pPr>
      <w:r w:rsidRPr="00AB4B47">
        <w:rPr>
          <w:rStyle w:val="FootnoteReference"/>
          <w:rFonts w:ascii="Calibri" w:hAnsi="Calibri" w:cs="Calibri"/>
        </w:rPr>
        <w:footnoteRef/>
      </w:r>
      <w:r w:rsidRPr="00AB4B47">
        <w:rPr>
          <w:rFonts w:ascii="Calibri" w:hAnsi="Calibri" w:cs="Calibri"/>
        </w:rPr>
        <w:t xml:space="preserve"> iwCLL guidelines (Feb 2020), NCCN guidelines (2019)_and ESMO guidelines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330" w:rsidRDefault="00036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508" w:rsidRDefault="005A4508" w:rsidP="00BB6136">
    <w:pPr>
      <w:tabs>
        <w:tab w:val="left" w:pos="142"/>
        <w:tab w:val="right" w:pos="9027"/>
      </w:tabs>
      <w:jc w:val="center"/>
      <w:rPr>
        <w:i/>
      </w:rPr>
    </w:pPr>
    <w:r>
      <w:rPr>
        <w:i/>
      </w:rPr>
      <w:t>Public Summary Document – March 2020 PBAC Meeting</w:t>
    </w:r>
  </w:p>
  <w:p w:rsidR="005A4508" w:rsidRDefault="005A450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330" w:rsidRDefault="00036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49168E"/>
    <w:multiLevelType w:val="hybridMultilevel"/>
    <w:tmpl w:val="E5EA00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86419CD"/>
    <w:multiLevelType w:val="hybridMultilevel"/>
    <w:tmpl w:val="0A6C0C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AD3E31"/>
    <w:multiLevelType w:val="hybridMultilevel"/>
    <w:tmpl w:val="1E167916"/>
    <w:lvl w:ilvl="0" w:tplc="0C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97D5E"/>
    <w:multiLevelType w:val="hybridMultilevel"/>
    <w:tmpl w:val="6E4E21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8B76C3A"/>
    <w:multiLevelType w:val="hybridMultilevel"/>
    <w:tmpl w:val="5148B5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34B1E9E"/>
    <w:multiLevelType w:val="hybridMultilevel"/>
    <w:tmpl w:val="763AFA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E174C4"/>
    <w:multiLevelType w:val="hybridMultilevel"/>
    <w:tmpl w:val="9F76E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FA0833"/>
    <w:multiLevelType w:val="hybridMultilevel"/>
    <w:tmpl w:val="7F22B34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795271C"/>
    <w:multiLevelType w:val="hybridMultilevel"/>
    <w:tmpl w:val="173CC4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84E6825"/>
    <w:multiLevelType w:val="multilevel"/>
    <w:tmpl w:val="1E9CB34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B493880"/>
    <w:multiLevelType w:val="hybridMultilevel"/>
    <w:tmpl w:val="6F325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F906E9"/>
    <w:multiLevelType w:val="hybridMultilevel"/>
    <w:tmpl w:val="74CC1E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067E95"/>
    <w:multiLevelType w:val="hybridMultilevel"/>
    <w:tmpl w:val="BAB685E8"/>
    <w:lvl w:ilvl="0" w:tplc="0C090001">
      <w:start w:val="1"/>
      <w:numFmt w:val="bullet"/>
      <w:lvlText w:val=""/>
      <w:lvlJc w:val="left"/>
      <w:pPr>
        <w:ind w:left="1551" w:hanging="360"/>
      </w:pPr>
      <w:rPr>
        <w:rFonts w:ascii="Symbol" w:hAnsi="Symbol" w:hint="default"/>
      </w:rPr>
    </w:lvl>
    <w:lvl w:ilvl="1" w:tplc="0C090003" w:tentative="1">
      <w:start w:val="1"/>
      <w:numFmt w:val="bullet"/>
      <w:lvlText w:val="o"/>
      <w:lvlJc w:val="left"/>
      <w:pPr>
        <w:ind w:left="2271" w:hanging="360"/>
      </w:pPr>
      <w:rPr>
        <w:rFonts w:ascii="Courier New" w:hAnsi="Courier New" w:cs="Courier New" w:hint="default"/>
      </w:rPr>
    </w:lvl>
    <w:lvl w:ilvl="2" w:tplc="0C090005" w:tentative="1">
      <w:start w:val="1"/>
      <w:numFmt w:val="bullet"/>
      <w:lvlText w:val=""/>
      <w:lvlJc w:val="left"/>
      <w:pPr>
        <w:ind w:left="2991" w:hanging="360"/>
      </w:pPr>
      <w:rPr>
        <w:rFonts w:ascii="Wingdings" w:hAnsi="Wingdings" w:hint="default"/>
      </w:rPr>
    </w:lvl>
    <w:lvl w:ilvl="3" w:tplc="0C090001" w:tentative="1">
      <w:start w:val="1"/>
      <w:numFmt w:val="bullet"/>
      <w:lvlText w:val=""/>
      <w:lvlJc w:val="left"/>
      <w:pPr>
        <w:ind w:left="3711" w:hanging="360"/>
      </w:pPr>
      <w:rPr>
        <w:rFonts w:ascii="Symbol" w:hAnsi="Symbol" w:hint="default"/>
      </w:rPr>
    </w:lvl>
    <w:lvl w:ilvl="4" w:tplc="0C090003" w:tentative="1">
      <w:start w:val="1"/>
      <w:numFmt w:val="bullet"/>
      <w:lvlText w:val="o"/>
      <w:lvlJc w:val="left"/>
      <w:pPr>
        <w:ind w:left="4431" w:hanging="360"/>
      </w:pPr>
      <w:rPr>
        <w:rFonts w:ascii="Courier New" w:hAnsi="Courier New" w:cs="Courier New" w:hint="default"/>
      </w:rPr>
    </w:lvl>
    <w:lvl w:ilvl="5" w:tplc="0C090005" w:tentative="1">
      <w:start w:val="1"/>
      <w:numFmt w:val="bullet"/>
      <w:lvlText w:val=""/>
      <w:lvlJc w:val="left"/>
      <w:pPr>
        <w:ind w:left="5151" w:hanging="360"/>
      </w:pPr>
      <w:rPr>
        <w:rFonts w:ascii="Wingdings" w:hAnsi="Wingdings" w:hint="default"/>
      </w:rPr>
    </w:lvl>
    <w:lvl w:ilvl="6" w:tplc="0C090001" w:tentative="1">
      <w:start w:val="1"/>
      <w:numFmt w:val="bullet"/>
      <w:lvlText w:val=""/>
      <w:lvlJc w:val="left"/>
      <w:pPr>
        <w:ind w:left="5871" w:hanging="360"/>
      </w:pPr>
      <w:rPr>
        <w:rFonts w:ascii="Symbol" w:hAnsi="Symbol" w:hint="default"/>
      </w:rPr>
    </w:lvl>
    <w:lvl w:ilvl="7" w:tplc="0C090003" w:tentative="1">
      <w:start w:val="1"/>
      <w:numFmt w:val="bullet"/>
      <w:lvlText w:val="o"/>
      <w:lvlJc w:val="left"/>
      <w:pPr>
        <w:ind w:left="6591" w:hanging="360"/>
      </w:pPr>
      <w:rPr>
        <w:rFonts w:ascii="Courier New" w:hAnsi="Courier New" w:cs="Courier New" w:hint="default"/>
      </w:rPr>
    </w:lvl>
    <w:lvl w:ilvl="8" w:tplc="0C090005" w:tentative="1">
      <w:start w:val="1"/>
      <w:numFmt w:val="bullet"/>
      <w:lvlText w:val=""/>
      <w:lvlJc w:val="left"/>
      <w:pPr>
        <w:ind w:left="7311" w:hanging="360"/>
      </w:pPr>
      <w:rPr>
        <w:rFonts w:ascii="Wingdings" w:hAnsi="Wingdings" w:hint="default"/>
      </w:rPr>
    </w:lvl>
  </w:abstractNum>
  <w:abstractNum w:abstractNumId="19" w15:restartNumberingAfterBreak="0">
    <w:nsid w:val="332C6B21"/>
    <w:multiLevelType w:val="hybridMultilevel"/>
    <w:tmpl w:val="38A0CB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735252C"/>
    <w:multiLevelType w:val="hybridMultilevel"/>
    <w:tmpl w:val="4B02E2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2F57BA3"/>
    <w:multiLevelType w:val="hybridMultilevel"/>
    <w:tmpl w:val="EE803B4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434441DC"/>
    <w:multiLevelType w:val="hybridMultilevel"/>
    <w:tmpl w:val="A84CE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E76AC8"/>
    <w:multiLevelType w:val="hybridMultilevel"/>
    <w:tmpl w:val="B13E2C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4F1D638E"/>
    <w:multiLevelType w:val="multilevel"/>
    <w:tmpl w:val="2E7811DC"/>
    <w:styleLink w:val="SectionBi4"/>
    <w:lvl w:ilvl="0">
      <w:start w:val="2"/>
      <w:numFmt w:val="upperLetter"/>
      <w:lvlText w:val="%1(i)."/>
      <w:lvlJc w:val="left"/>
      <w:pPr>
        <w:ind w:left="1134" w:hanging="1134"/>
      </w:pPr>
      <w:rPr>
        <w:rFonts w:ascii="Arial" w:hAnsi="Arial" w:hint="default"/>
        <w:b/>
        <w:sz w:val="22"/>
        <w:szCs w:val="22"/>
      </w:rPr>
    </w:lvl>
    <w:lvl w:ilvl="1">
      <w:start w:val="1"/>
      <w:numFmt w:val="decimal"/>
      <w:lvlText w:val="%1(i).%2"/>
      <w:lvlJc w:val="left"/>
      <w:pPr>
        <w:ind w:left="1134" w:hanging="1134"/>
      </w:pPr>
      <w:rPr>
        <w:rFonts w:ascii="Arial" w:hAnsi="Arial" w:hint="default"/>
        <w:sz w:val="22"/>
      </w:rPr>
    </w:lvl>
    <w:lvl w:ilvl="2">
      <w:start w:val="1"/>
      <w:numFmt w:val="decimal"/>
      <w:lvlText w:val="%1(i).%2.%3"/>
      <w:lvlJc w:val="left"/>
      <w:pPr>
        <w:ind w:left="1134" w:hanging="1134"/>
      </w:pPr>
      <w:rPr>
        <w:rFonts w:ascii="Arial" w:hAnsi="Arial" w:hint="default"/>
        <w:sz w:val="22"/>
      </w:rPr>
    </w:lvl>
    <w:lvl w:ilvl="3">
      <w:start w:val="1"/>
      <w:numFmt w:val="decimal"/>
      <w:lvlText w:val="%1(i).%2.%3.%4"/>
      <w:lvlJc w:val="left"/>
      <w:pPr>
        <w:ind w:left="1134" w:hanging="1134"/>
      </w:pPr>
      <w:rPr>
        <w:rFonts w:ascii="Arial" w:hAnsi="Arial" w:hint="default"/>
        <w:sz w:val="22"/>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26" w15:restartNumberingAfterBreak="0">
    <w:nsid w:val="51D40343"/>
    <w:multiLevelType w:val="hybridMultilevel"/>
    <w:tmpl w:val="C4FA4F5E"/>
    <w:lvl w:ilvl="0" w:tplc="0C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5F2F1B"/>
    <w:multiLevelType w:val="hybridMultilevel"/>
    <w:tmpl w:val="CADCE54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DD16B4"/>
    <w:multiLevelType w:val="hybridMultilevel"/>
    <w:tmpl w:val="4D506BB4"/>
    <w:lvl w:ilvl="0" w:tplc="0C090001">
      <w:start w:val="1"/>
      <w:numFmt w:val="bullet"/>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31" w15:restartNumberingAfterBreak="0">
    <w:nsid w:val="5CB318E4"/>
    <w:multiLevelType w:val="hybridMultilevel"/>
    <w:tmpl w:val="28A6B9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8DC0196"/>
    <w:multiLevelType w:val="multilevel"/>
    <w:tmpl w:val="139EF8B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BF33F0"/>
    <w:multiLevelType w:val="hybridMultilevel"/>
    <w:tmpl w:val="7BCA5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23"/>
  </w:num>
  <w:num w:numId="3">
    <w:abstractNumId w:val="0"/>
  </w:num>
  <w:num w:numId="4">
    <w:abstractNumId w:val="35"/>
  </w:num>
  <w:num w:numId="5">
    <w:abstractNumId w:val="11"/>
  </w:num>
  <w:num w:numId="6">
    <w:abstractNumId w:val="3"/>
  </w:num>
  <w:num w:numId="7">
    <w:abstractNumId w:val="22"/>
  </w:num>
  <w:num w:numId="8">
    <w:abstractNumId w:val="25"/>
  </w:num>
  <w:num w:numId="9">
    <w:abstractNumId w:val="20"/>
  </w:num>
  <w:num w:numId="10">
    <w:abstractNumId w:val="32"/>
  </w:num>
  <w:num w:numId="11">
    <w:abstractNumId w:val="29"/>
  </w:num>
  <w:num w:numId="12">
    <w:abstractNumId w:val="6"/>
  </w:num>
  <w:num w:numId="13">
    <w:abstractNumId w:val="5"/>
  </w:num>
  <w:num w:numId="14">
    <w:abstractNumId w:val="26"/>
  </w:num>
  <w:num w:numId="15">
    <w:abstractNumId w:val="27"/>
  </w:num>
  <w:num w:numId="16">
    <w:abstractNumId w:val="28"/>
  </w:num>
  <w:num w:numId="17">
    <w:abstractNumId w:val="4"/>
  </w:num>
  <w:num w:numId="18">
    <w:abstractNumId w:val="1"/>
  </w:num>
  <w:num w:numId="19">
    <w:abstractNumId w:val="10"/>
  </w:num>
  <w:num w:numId="20">
    <w:abstractNumId w:val="16"/>
  </w:num>
  <w:num w:numId="21">
    <w:abstractNumId w:val="9"/>
  </w:num>
  <w:num w:numId="22">
    <w:abstractNumId w:val="14"/>
  </w:num>
  <w:num w:numId="23">
    <w:abstractNumId w:val="34"/>
  </w:num>
  <w:num w:numId="24">
    <w:abstractNumId w:val="2"/>
  </w:num>
  <w:num w:numId="25">
    <w:abstractNumId w:val="7"/>
  </w:num>
  <w:num w:numId="26">
    <w:abstractNumId w:val="24"/>
  </w:num>
  <w:num w:numId="27">
    <w:abstractNumId w:val="15"/>
  </w:num>
  <w:num w:numId="28">
    <w:abstractNumId w:val="12"/>
  </w:num>
  <w:num w:numId="29">
    <w:abstractNumId w:val="30"/>
  </w:num>
  <w:num w:numId="30">
    <w:abstractNumId w:val="31"/>
  </w:num>
  <w:num w:numId="31">
    <w:abstractNumId w:val="19"/>
  </w:num>
  <w:num w:numId="32">
    <w:abstractNumId w:val="13"/>
  </w:num>
  <w:num w:numId="33">
    <w:abstractNumId w:val="21"/>
  </w:num>
  <w:num w:numId="34">
    <w:abstractNumId w:val="8"/>
  </w:num>
  <w:num w:numId="35">
    <w:abstractNumId w:val="17"/>
  </w:num>
  <w:num w:numId="36">
    <w:abstractNumId w:val="33"/>
  </w:num>
  <w:num w:numId="37">
    <w:abstractNumId w:val="35"/>
  </w:num>
  <w:num w:numId="3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35B"/>
    <w:rsid w:val="00000790"/>
    <w:rsid w:val="0000110B"/>
    <w:rsid w:val="00003499"/>
    <w:rsid w:val="000039B7"/>
    <w:rsid w:val="000059A7"/>
    <w:rsid w:val="00006381"/>
    <w:rsid w:val="0000639A"/>
    <w:rsid w:val="00007634"/>
    <w:rsid w:val="0001056F"/>
    <w:rsid w:val="00013247"/>
    <w:rsid w:val="0001499D"/>
    <w:rsid w:val="000153C4"/>
    <w:rsid w:val="00015886"/>
    <w:rsid w:val="000162EF"/>
    <w:rsid w:val="0001735C"/>
    <w:rsid w:val="000204EE"/>
    <w:rsid w:val="000207C9"/>
    <w:rsid w:val="0002225F"/>
    <w:rsid w:val="0002364F"/>
    <w:rsid w:val="00023763"/>
    <w:rsid w:val="000250FA"/>
    <w:rsid w:val="00025766"/>
    <w:rsid w:val="00025AD6"/>
    <w:rsid w:val="00026082"/>
    <w:rsid w:val="00026F68"/>
    <w:rsid w:val="000274B8"/>
    <w:rsid w:val="00027A1E"/>
    <w:rsid w:val="00030E2C"/>
    <w:rsid w:val="00033863"/>
    <w:rsid w:val="00035DC0"/>
    <w:rsid w:val="00036330"/>
    <w:rsid w:val="00036829"/>
    <w:rsid w:val="00040895"/>
    <w:rsid w:val="000428F1"/>
    <w:rsid w:val="000432E6"/>
    <w:rsid w:val="00043515"/>
    <w:rsid w:val="00043540"/>
    <w:rsid w:val="000435EE"/>
    <w:rsid w:val="00043C37"/>
    <w:rsid w:val="00045017"/>
    <w:rsid w:val="00045A2B"/>
    <w:rsid w:val="0004698F"/>
    <w:rsid w:val="0004765F"/>
    <w:rsid w:val="00047BF5"/>
    <w:rsid w:val="000518B4"/>
    <w:rsid w:val="0005208B"/>
    <w:rsid w:val="0005233E"/>
    <w:rsid w:val="00052399"/>
    <w:rsid w:val="0005381F"/>
    <w:rsid w:val="000539D0"/>
    <w:rsid w:val="00054621"/>
    <w:rsid w:val="000546D7"/>
    <w:rsid w:val="00055C0D"/>
    <w:rsid w:val="00056AED"/>
    <w:rsid w:val="00056ECF"/>
    <w:rsid w:val="000604DF"/>
    <w:rsid w:val="000643C0"/>
    <w:rsid w:val="000649A4"/>
    <w:rsid w:val="000653B5"/>
    <w:rsid w:val="00066360"/>
    <w:rsid w:val="000664B5"/>
    <w:rsid w:val="00066AF8"/>
    <w:rsid w:val="00067B35"/>
    <w:rsid w:val="000704B6"/>
    <w:rsid w:val="00071248"/>
    <w:rsid w:val="000720B9"/>
    <w:rsid w:val="00072169"/>
    <w:rsid w:val="00072DB6"/>
    <w:rsid w:val="0007310F"/>
    <w:rsid w:val="000737F7"/>
    <w:rsid w:val="00073AE3"/>
    <w:rsid w:val="000742B5"/>
    <w:rsid w:val="00074753"/>
    <w:rsid w:val="0007672F"/>
    <w:rsid w:val="00076B24"/>
    <w:rsid w:val="00076B54"/>
    <w:rsid w:val="00077333"/>
    <w:rsid w:val="000774F0"/>
    <w:rsid w:val="00080909"/>
    <w:rsid w:val="0008127A"/>
    <w:rsid w:val="000812CA"/>
    <w:rsid w:val="000814F9"/>
    <w:rsid w:val="00081E63"/>
    <w:rsid w:val="0008258D"/>
    <w:rsid w:val="00083B3E"/>
    <w:rsid w:val="00083E99"/>
    <w:rsid w:val="0008486E"/>
    <w:rsid w:val="00084FA8"/>
    <w:rsid w:val="000856C5"/>
    <w:rsid w:val="000858DE"/>
    <w:rsid w:val="00085C31"/>
    <w:rsid w:val="00086127"/>
    <w:rsid w:val="00087FBD"/>
    <w:rsid w:val="000902D9"/>
    <w:rsid w:val="00090C7E"/>
    <w:rsid w:val="00092600"/>
    <w:rsid w:val="0009262B"/>
    <w:rsid w:val="000929E9"/>
    <w:rsid w:val="00093310"/>
    <w:rsid w:val="00094225"/>
    <w:rsid w:val="0009445C"/>
    <w:rsid w:val="00095200"/>
    <w:rsid w:val="00095FE5"/>
    <w:rsid w:val="00096284"/>
    <w:rsid w:val="000A0947"/>
    <w:rsid w:val="000A1BC0"/>
    <w:rsid w:val="000A25FC"/>
    <w:rsid w:val="000A51CC"/>
    <w:rsid w:val="000A5C9D"/>
    <w:rsid w:val="000A5F7E"/>
    <w:rsid w:val="000A6039"/>
    <w:rsid w:val="000A7453"/>
    <w:rsid w:val="000A7555"/>
    <w:rsid w:val="000A7D04"/>
    <w:rsid w:val="000A7D08"/>
    <w:rsid w:val="000B0121"/>
    <w:rsid w:val="000B0670"/>
    <w:rsid w:val="000B0E75"/>
    <w:rsid w:val="000B2DCB"/>
    <w:rsid w:val="000B3C26"/>
    <w:rsid w:val="000B4578"/>
    <w:rsid w:val="000B5CE0"/>
    <w:rsid w:val="000B6CAC"/>
    <w:rsid w:val="000B7612"/>
    <w:rsid w:val="000B771A"/>
    <w:rsid w:val="000B78AE"/>
    <w:rsid w:val="000C0552"/>
    <w:rsid w:val="000C1627"/>
    <w:rsid w:val="000C3278"/>
    <w:rsid w:val="000C3DF9"/>
    <w:rsid w:val="000C4E5F"/>
    <w:rsid w:val="000C5109"/>
    <w:rsid w:val="000C6713"/>
    <w:rsid w:val="000D01EA"/>
    <w:rsid w:val="000D0DA7"/>
    <w:rsid w:val="000D1BFC"/>
    <w:rsid w:val="000D1D5D"/>
    <w:rsid w:val="000D281A"/>
    <w:rsid w:val="000D2848"/>
    <w:rsid w:val="000D326A"/>
    <w:rsid w:val="000D51FB"/>
    <w:rsid w:val="000D5AB5"/>
    <w:rsid w:val="000D7FEB"/>
    <w:rsid w:val="000E0640"/>
    <w:rsid w:val="000E12CE"/>
    <w:rsid w:val="000E135D"/>
    <w:rsid w:val="000E2292"/>
    <w:rsid w:val="000E3DF7"/>
    <w:rsid w:val="000E529E"/>
    <w:rsid w:val="000E594F"/>
    <w:rsid w:val="000E6A2A"/>
    <w:rsid w:val="000E773C"/>
    <w:rsid w:val="000F00BA"/>
    <w:rsid w:val="000F17E5"/>
    <w:rsid w:val="000F316A"/>
    <w:rsid w:val="000F3897"/>
    <w:rsid w:val="000F3C74"/>
    <w:rsid w:val="000F4BB8"/>
    <w:rsid w:val="000F4C8D"/>
    <w:rsid w:val="000F4FA9"/>
    <w:rsid w:val="000F5016"/>
    <w:rsid w:val="000F5301"/>
    <w:rsid w:val="000F53FB"/>
    <w:rsid w:val="000F56E5"/>
    <w:rsid w:val="000F7127"/>
    <w:rsid w:val="000F72A6"/>
    <w:rsid w:val="000F7B54"/>
    <w:rsid w:val="00100F8A"/>
    <w:rsid w:val="0010160D"/>
    <w:rsid w:val="0010263F"/>
    <w:rsid w:val="00103E11"/>
    <w:rsid w:val="0010452E"/>
    <w:rsid w:val="00105AE2"/>
    <w:rsid w:val="00105CC6"/>
    <w:rsid w:val="001060C6"/>
    <w:rsid w:val="00106B80"/>
    <w:rsid w:val="00107B5C"/>
    <w:rsid w:val="0011032E"/>
    <w:rsid w:val="0011348B"/>
    <w:rsid w:val="001146BD"/>
    <w:rsid w:val="001158E3"/>
    <w:rsid w:val="00115982"/>
    <w:rsid w:val="001165EC"/>
    <w:rsid w:val="00116C53"/>
    <w:rsid w:val="001208FC"/>
    <w:rsid w:val="001210A2"/>
    <w:rsid w:val="00121799"/>
    <w:rsid w:val="001222FC"/>
    <w:rsid w:val="00122773"/>
    <w:rsid w:val="00122A5C"/>
    <w:rsid w:val="00123902"/>
    <w:rsid w:val="00124A51"/>
    <w:rsid w:val="00126621"/>
    <w:rsid w:val="00126B1D"/>
    <w:rsid w:val="001276DA"/>
    <w:rsid w:val="001301E9"/>
    <w:rsid w:val="00131309"/>
    <w:rsid w:val="00131D82"/>
    <w:rsid w:val="00132A05"/>
    <w:rsid w:val="00132B22"/>
    <w:rsid w:val="00133D36"/>
    <w:rsid w:val="00135767"/>
    <w:rsid w:val="00137645"/>
    <w:rsid w:val="0014001D"/>
    <w:rsid w:val="0014015A"/>
    <w:rsid w:val="00140E99"/>
    <w:rsid w:val="001437FC"/>
    <w:rsid w:val="00143F67"/>
    <w:rsid w:val="00144922"/>
    <w:rsid w:val="00145540"/>
    <w:rsid w:val="001456B0"/>
    <w:rsid w:val="00146F91"/>
    <w:rsid w:val="001477F3"/>
    <w:rsid w:val="001502FF"/>
    <w:rsid w:val="0015144A"/>
    <w:rsid w:val="00151DD6"/>
    <w:rsid w:val="00151F57"/>
    <w:rsid w:val="00153838"/>
    <w:rsid w:val="0015507D"/>
    <w:rsid w:val="00155504"/>
    <w:rsid w:val="00156F8F"/>
    <w:rsid w:val="00157130"/>
    <w:rsid w:val="001576B1"/>
    <w:rsid w:val="0016047B"/>
    <w:rsid w:val="00160597"/>
    <w:rsid w:val="00160A4C"/>
    <w:rsid w:val="00160C7E"/>
    <w:rsid w:val="0016211F"/>
    <w:rsid w:val="00162913"/>
    <w:rsid w:val="00162D17"/>
    <w:rsid w:val="00163EFF"/>
    <w:rsid w:val="00163F66"/>
    <w:rsid w:val="00165A19"/>
    <w:rsid w:val="001661FB"/>
    <w:rsid w:val="00166582"/>
    <w:rsid w:val="001671A0"/>
    <w:rsid w:val="0016767F"/>
    <w:rsid w:val="00170C2B"/>
    <w:rsid w:val="0017190E"/>
    <w:rsid w:val="00173565"/>
    <w:rsid w:val="001736E9"/>
    <w:rsid w:val="00173989"/>
    <w:rsid w:val="00173B07"/>
    <w:rsid w:val="00174128"/>
    <w:rsid w:val="001751FA"/>
    <w:rsid w:val="00177D98"/>
    <w:rsid w:val="00180657"/>
    <w:rsid w:val="00180AF2"/>
    <w:rsid w:val="00181D53"/>
    <w:rsid w:val="00181D9C"/>
    <w:rsid w:val="001837CA"/>
    <w:rsid w:val="00184B0E"/>
    <w:rsid w:val="00185844"/>
    <w:rsid w:val="0018692E"/>
    <w:rsid w:val="0018752F"/>
    <w:rsid w:val="00190027"/>
    <w:rsid w:val="001909C9"/>
    <w:rsid w:val="001914FA"/>
    <w:rsid w:val="00193838"/>
    <w:rsid w:val="00194AD8"/>
    <w:rsid w:val="00194CE8"/>
    <w:rsid w:val="00195222"/>
    <w:rsid w:val="001975D8"/>
    <w:rsid w:val="00197A28"/>
    <w:rsid w:val="001A04EC"/>
    <w:rsid w:val="001A178E"/>
    <w:rsid w:val="001A1896"/>
    <w:rsid w:val="001A2D01"/>
    <w:rsid w:val="001A43FA"/>
    <w:rsid w:val="001A47C5"/>
    <w:rsid w:val="001A48EC"/>
    <w:rsid w:val="001A59FB"/>
    <w:rsid w:val="001A5E9E"/>
    <w:rsid w:val="001A6269"/>
    <w:rsid w:val="001A630C"/>
    <w:rsid w:val="001A6354"/>
    <w:rsid w:val="001A6366"/>
    <w:rsid w:val="001A7AE8"/>
    <w:rsid w:val="001A7F1B"/>
    <w:rsid w:val="001B0325"/>
    <w:rsid w:val="001B0B4F"/>
    <w:rsid w:val="001B0C8A"/>
    <w:rsid w:val="001B1291"/>
    <w:rsid w:val="001B204E"/>
    <w:rsid w:val="001B2372"/>
    <w:rsid w:val="001B3443"/>
    <w:rsid w:val="001B3A0E"/>
    <w:rsid w:val="001B4D20"/>
    <w:rsid w:val="001C05A1"/>
    <w:rsid w:val="001C2234"/>
    <w:rsid w:val="001C2770"/>
    <w:rsid w:val="001C2A9B"/>
    <w:rsid w:val="001C4299"/>
    <w:rsid w:val="001C46CE"/>
    <w:rsid w:val="001C4874"/>
    <w:rsid w:val="001C588F"/>
    <w:rsid w:val="001C5F94"/>
    <w:rsid w:val="001C6E66"/>
    <w:rsid w:val="001C7FD2"/>
    <w:rsid w:val="001D0CAB"/>
    <w:rsid w:val="001D1100"/>
    <w:rsid w:val="001D1391"/>
    <w:rsid w:val="001D164F"/>
    <w:rsid w:val="001D25D7"/>
    <w:rsid w:val="001D2DC1"/>
    <w:rsid w:val="001D3ECC"/>
    <w:rsid w:val="001D4111"/>
    <w:rsid w:val="001D50B2"/>
    <w:rsid w:val="001D7645"/>
    <w:rsid w:val="001E1E86"/>
    <w:rsid w:val="001E238E"/>
    <w:rsid w:val="001E2483"/>
    <w:rsid w:val="001E2B1E"/>
    <w:rsid w:val="001E2C1B"/>
    <w:rsid w:val="001E2CFF"/>
    <w:rsid w:val="001E2F24"/>
    <w:rsid w:val="001E30D4"/>
    <w:rsid w:val="001E34DF"/>
    <w:rsid w:val="001E3E53"/>
    <w:rsid w:val="001E48DC"/>
    <w:rsid w:val="001E52EB"/>
    <w:rsid w:val="001E61D2"/>
    <w:rsid w:val="001E7040"/>
    <w:rsid w:val="001E740C"/>
    <w:rsid w:val="001E7BF0"/>
    <w:rsid w:val="001E7CF8"/>
    <w:rsid w:val="001F0D0D"/>
    <w:rsid w:val="001F0FFE"/>
    <w:rsid w:val="001F1235"/>
    <w:rsid w:val="001F178C"/>
    <w:rsid w:val="001F1CB3"/>
    <w:rsid w:val="001F1CDA"/>
    <w:rsid w:val="001F38B5"/>
    <w:rsid w:val="001F4081"/>
    <w:rsid w:val="001F4B0D"/>
    <w:rsid w:val="001F58DC"/>
    <w:rsid w:val="001F5F36"/>
    <w:rsid w:val="001F734A"/>
    <w:rsid w:val="001F7361"/>
    <w:rsid w:val="001F7960"/>
    <w:rsid w:val="00200156"/>
    <w:rsid w:val="00200EF8"/>
    <w:rsid w:val="002011B0"/>
    <w:rsid w:val="0020276D"/>
    <w:rsid w:val="00203181"/>
    <w:rsid w:val="00203783"/>
    <w:rsid w:val="0020385F"/>
    <w:rsid w:val="00203E2E"/>
    <w:rsid w:val="00205D0B"/>
    <w:rsid w:val="002068A0"/>
    <w:rsid w:val="00206E74"/>
    <w:rsid w:val="00207021"/>
    <w:rsid w:val="0020732F"/>
    <w:rsid w:val="00207D00"/>
    <w:rsid w:val="002105C1"/>
    <w:rsid w:val="00210D84"/>
    <w:rsid w:val="00213EF5"/>
    <w:rsid w:val="00214773"/>
    <w:rsid w:val="0021500D"/>
    <w:rsid w:val="00216B18"/>
    <w:rsid w:val="00216BF5"/>
    <w:rsid w:val="00216EFA"/>
    <w:rsid w:val="002174B0"/>
    <w:rsid w:val="00217A3E"/>
    <w:rsid w:val="002222B9"/>
    <w:rsid w:val="0022234A"/>
    <w:rsid w:val="00223B49"/>
    <w:rsid w:val="00223D5A"/>
    <w:rsid w:val="00224DD4"/>
    <w:rsid w:val="00225014"/>
    <w:rsid w:val="0022545F"/>
    <w:rsid w:val="002256ED"/>
    <w:rsid w:val="002258EE"/>
    <w:rsid w:val="00225CDB"/>
    <w:rsid w:val="002278A0"/>
    <w:rsid w:val="00227A9C"/>
    <w:rsid w:val="002309CC"/>
    <w:rsid w:val="00230DB1"/>
    <w:rsid w:val="0023209F"/>
    <w:rsid w:val="002330EA"/>
    <w:rsid w:val="00233C01"/>
    <w:rsid w:val="002340E5"/>
    <w:rsid w:val="0023413C"/>
    <w:rsid w:val="002346F0"/>
    <w:rsid w:val="002349A2"/>
    <w:rsid w:val="002356B7"/>
    <w:rsid w:val="0023629D"/>
    <w:rsid w:val="002363F4"/>
    <w:rsid w:val="00237255"/>
    <w:rsid w:val="002372B2"/>
    <w:rsid w:val="002404A7"/>
    <w:rsid w:val="002406BA"/>
    <w:rsid w:val="002409E4"/>
    <w:rsid w:val="002424AF"/>
    <w:rsid w:val="002429C5"/>
    <w:rsid w:val="00243482"/>
    <w:rsid w:val="002439DC"/>
    <w:rsid w:val="00243E14"/>
    <w:rsid w:val="002441D2"/>
    <w:rsid w:val="00244DC8"/>
    <w:rsid w:val="002458BA"/>
    <w:rsid w:val="00245CE9"/>
    <w:rsid w:val="0024636C"/>
    <w:rsid w:val="00247925"/>
    <w:rsid w:val="00247F9B"/>
    <w:rsid w:val="0025020E"/>
    <w:rsid w:val="00250324"/>
    <w:rsid w:val="00251006"/>
    <w:rsid w:val="002524D5"/>
    <w:rsid w:val="00252B2A"/>
    <w:rsid w:val="00253715"/>
    <w:rsid w:val="00253B1D"/>
    <w:rsid w:val="00254B6D"/>
    <w:rsid w:val="00254DCF"/>
    <w:rsid w:val="0025516D"/>
    <w:rsid w:val="00255216"/>
    <w:rsid w:val="0025534B"/>
    <w:rsid w:val="00255BB7"/>
    <w:rsid w:val="00257541"/>
    <w:rsid w:val="00257A39"/>
    <w:rsid w:val="00257AC4"/>
    <w:rsid w:val="00260C47"/>
    <w:rsid w:val="00261EEF"/>
    <w:rsid w:val="002620FB"/>
    <w:rsid w:val="00262A1A"/>
    <w:rsid w:val="00262A87"/>
    <w:rsid w:val="00263AAD"/>
    <w:rsid w:val="00264D26"/>
    <w:rsid w:val="00267642"/>
    <w:rsid w:val="00267AEA"/>
    <w:rsid w:val="00267DB4"/>
    <w:rsid w:val="002700E6"/>
    <w:rsid w:val="0027294B"/>
    <w:rsid w:val="00273EB4"/>
    <w:rsid w:val="00274682"/>
    <w:rsid w:val="00274E13"/>
    <w:rsid w:val="0027591B"/>
    <w:rsid w:val="00275C4D"/>
    <w:rsid w:val="00275C5A"/>
    <w:rsid w:val="00276889"/>
    <w:rsid w:val="0028097B"/>
    <w:rsid w:val="00281014"/>
    <w:rsid w:val="0028277A"/>
    <w:rsid w:val="00283759"/>
    <w:rsid w:val="0028665D"/>
    <w:rsid w:val="00286E09"/>
    <w:rsid w:val="002875D2"/>
    <w:rsid w:val="00290CDE"/>
    <w:rsid w:val="002916FB"/>
    <w:rsid w:val="00292C28"/>
    <w:rsid w:val="00297805"/>
    <w:rsid w:val="00297B6C"/>
    <w:rsid w:val="002A14AB"/>
    <w:rsid w:val="002A204E"/>
    <w:rsid w:val="002A2ADE"/>
    <w:rsid w:val="002A2F50"/>
    <w:rsid w:val="002A60EC"/>
    <w:rsid w:val="002B03B2"/>
    <w:rsid w:val="002B05A1"/>
    <w:rsid w:val="002B09A4"/>
    <w:rsid w:val="002B1C1F"/>
    <w:rsid w:val="002B2AD0"/>
    <w:rsid w:val="002B3872"/>
    <w:rsid w:val="002B432F"/>
    <w:rsid w:val="002B6238"/>
    <w:rsid w:val="002B62B3"/>
    <w:rsid w:val="002B6754"/>
    <w:rsid w:val="002B6CCE"/>
    <w:rsid w:val="002B7752"/>
    <w:rsid w:val="002B7AB2"/>
    <w:rsid w:val="002C1A14"/>
    <w:rsid w:val="002C2503"/>
    <w:rsid w:val="002C2510"/>
    <w:rsid w:val="002C2775"/>
    <w:rsid w:val="002C27C1"/>
    <w:rsid w:val="002C28FE"/>
    <w:rsid w:val="002C5099"/>
    <w:rsid w:val="002C5889"/>
    <w:rsid w:val="002C71CE"/>
    <w:rsid w:val="002C7573"/>
    <w:rsid w:val="002D08F8"/>
    <w:rsid w:val="002D3549"/>
    <w:rsid w:val="002D3CC4"/>
    <w:rsid w:val="002D577C"/>
    <w:rsid w:val="002E07FC"/>
    <w:rsid w:val="002E1010"/>
    <w:rsid w:val="002E1071"/>
    <w:rsid w:val="002E15B9"/>
    <w:rsid w:val="002E2158"/>
    <w:rsid w:val="002E4F02"/>
    <w:rsid w:val="002E7722"/>
    <w:rsid w:val="002E7F10"/>
    <w:rsid w:val="002F006B"/>
    <w:rsid w:val="002F07BA"/>
    <w:rsid w:val="002F0DA9"/>
    <w:rsid w:val="002F1014"/>
    <w:rsid w:val="002F13D0"/>
    <w:rsid w:val="002F3491"/>
    <w:rsid w:val="002F3E7A"/>
    <w:rsid w:val="002F3EF0"/>
    <w:rsid w:val="002F4177"/>
    <w:rsid w:val="002F643C"/>
    <w:rsid w:val="002F71C0"/>
    <w:rsid w:val="002F74F1"/>
    <w:rsid w:val="00301017"/>
    <w:rsid w:val="003012BF"/>
    <w:rsid w:val="0030155F"/>
    <w:rsid w:val="00301894"/>
    <w:rsid w:val="0030446A"/>
    <w:rsid w:val="0030587B"/>
    <w:rsid w:val="0030591A"/>
    <w:rsid w:val="00306BB2"/>
    <w:rsid w:val="00306D98"/>
    <w:rsid w:val="003072FF"/>
    <w:rsid w:val="0030772F"/>
    <w:rsid w:val="0030786C"/>
    <w:rsid w:val="0031031A"/>
    <w:rsid w:val="00310981"/>
    <w:rsid w:val="003124D8"/>
    <w:rsid w:val="003124D9"/>
    <w:rsid w:val="00312594"/>
    <w:rsid w:val="0031477B"/>
    <w:rsid w:val="00315498"/>
    <w:rsid w:val="00316474"/>
    <w:rsid w:val="0031739A"/>
    <w:rsid w:val="00320BF4"/>
    <w:rsid w:val="003217DC"/>
    <w:rsid w:val="00321E52"/>
    <w:rsid w:val="00322107"/>
    <w:rsid w:val="00322355"/>
    <w:rsid w:val="00322846"/>
    <w:rsid w:val="00322C1E"/>
    <w:rsid w:val="00323C71"/>
    <w:rsid w:val="00323F73"/>
    <w:rsid w:val="00326470"/>
    <w:rsid w:val="00326616"/>
    <w:rsid w:val="00326708"/>
    <w:rsid w:val="00326DA7"/>
    <w:rsid w:val="00326F32"/>
    <w:rsid w:val="003270E4"/>
    <w:rsid w:val="00330835"/>
    <w:rsid w:val="00330DAA"/>
    <w:rsid w:val="00330F5C"/>
    <w:rsid w:val="00331E0F"/>
    <w:rsid w:val="00334491"/>
    <w:rsid w:val="0033492A"/>
    <w:rsid w:val="00335B13"/>
    <w:rsid w:val="003366C9"/>
    <w:rsid w:val="00336AB0"/>
    <w:rsid w:val="00336F33"/>
    <w:rsid w:val="003371B0"/>
    <w:rsid w:val="003377FF"/>
    <w:rsid w:val="00340DF1"/>
    <w:rsid w:val="00342152"/>
    <w:rsid w:val="00342615"/>
    <w:rsid w:val="003432BB"/>
    <w:rsid w:val="0034456A"/>
    <w:rsid w:val="00345DBC"/>
    <w:rsid w:val="0034656E"/>
    <w:rsid w:val="003468F9"/>
    <w:rsid w:val="00346E35"/>
    <w:rsid w:val="0034745B"/>
    <w:rsid w:val="003517F9"/>
    <w:rsid w:val="003519AC"/>
    <w:rsid w:val="00351BA9"/>
    <w:rsid w:val="00353937"/>
    <w:rsid w:val="00354F64"/>
    <w:rsid w:val="00355DA1"/>
    <w:rsid w:val="0035620E"/>
    <w:rsid w:val="0035662D"/>
    <w:rsid w:val="0035770C"/>
    <w:rsid w:val="00360345"/>
    <w:rsid w:val="00361A05"/>
    <w:rsid w:val="00361D34"/>
    <w:rsid w:val="003624C4"/>
    <w:rsid w:val="00363B00"/>
    <w:rsid w:val="00364E96"/>
    <w:rsid w:val="003654AC"/>
    <w:rsid w:val="00365DCA"/>
    <w:rsid w:val="003660A7"/>
    <w:rsid w:val="003678D8"/>
    <w:rsid w:val="003710CF"/>
    <w:rsid w:val="003713C1"/>
    <w:rsid w:val="0037358A"/>
    <w:rsid w:val="003740B5"/>
    <w:rsid w:val="0037447C"/>
    <w:rsid w:val="003750F6"/>
    <w:rsid w:val="00375439"/>
    <w:rsid w:val="003758DE"/>
    <w:rsid w:val="003760FC"/>
    <w:rsid w:val="003762F9"/>
    <w:rsid w:val="003773C8"/>
    <w:rsid w:val="00381FF1"/>
    <w:rsid w:val="00382288"/>
    <w:rsid w:val="00382C0E"/>
    <w:rsid w:val="0038365C"/>
    <w:rsid w:val="0038369B"/>
    <w:rsid w:val="00383B78"/>
    <w:rsid w:val="00385A9D"/>
    <w:rsid w:val="00385D1E"/>
    <w:rsid w:val="00385DB6"/>
    <w:rsid w:val="0038744C"/>
    <w:rsid w:val="003902B1"/>
    <w:rsid w:val="0039179C"/>
    <w:rsid w:val="00393EB2"/>
    <w:rsid w:val="00395EF5"/>
    <w:rsid w:val="00396896"/>
    <w:rsid w:val="00396FD0"/>
    <w:rsid w:val="003A1658"/>
    <w:rsid w:val="003A1A7A"/>
    <w:rsid w:val="003A2392"/>
    <w:rsid w:val="003A2831"/>
    <w:rsid w:val="003A37DA"/>
    <w:rsid w:val="003A3C11"/>
    <w:rsid w:val="003A3CB6"/>
    <w:rsid w:val="003A3ED1"/>
    <w:rsid w:val="003A44DB"/>
    <w:rsid w:val="003A4921"/>
    <w:rsid w:val="003A6093"/>
    <w:rsid w:val="003A6FBA"/>
    <w:rsid w:val="003B01FD"/>
    <w:rsid w:val="003B0470"/>
    <w:rsid w:val="003B1189"/>
    <w:rsid w:val="003B161F"/>
    <w:rsid w:val="003B1A4C"/>
    <w:rsid w:val="003B3971"/>
    <w:rsid w:val="003B3BC5"/>
    <w:rsid w:val="003B3C25"/>
    <w:rsid w:val="003B55D1"/>
    <w:rsid w:val="003B5B61"/>
    <w:rsid w:val="003B60B0"/>
    <w:rsid w:val="003B6196"/>
    <w:rsid w:val="003B63AA"/>
    <w:rsid w:val="003B7841"/>
    <w:rsid w:val="003C1654"/>
    <w:rsid w:val="003C3CDE"/>
    <w:rsid w:val="003C4183"/>
    <w:rsid w:val="003C5542"/>
    <w:rsid w:val="003C69AD"/>
    <w:rsid w:val="003C7687"/>
    <w:rsid w:val="003C7D19"/>
    <w:rsid w:val="003C7D2F"/>
    <w:rsid w:val="003D1828"/>
    <w:rsid w:val="003D1DE4"/>
    <w:rsid w:val="003D1E9A"/>
    <w:rsid w:val="003D2422"/>
    <w:rsid w:val="003D34F4"/>
    <w:rsid w:val="003D360C"/>
    <w:rsid w:val="003D39A1"/>
    <w:rsid w:val="003D3FBF"/>
    <w:rsid w:val="003D4A30"/>
    <w:rsid w:val="003D4A54"/>
    <w:rsid w:val="003D6871"/>
    <w:rsid w:val="003D7452"/>
    <w:rsid w:val="003D79BB"/>
    <w:rsid w:val="003D7C98"/>
    <w:rsid w:val="003D7D9D"/>
    <w:rsid w:val="003E0543"/>
    <w:rsid w:val="003E16EB"/>
    <w:rsid w:val="003E34BF"/>
    <w:rsid w:val="003E42BD"/>
    <w:rsid w:val="003E6C96"/>
    <w:rsid w:val="003E749E"/>
    <w:rsid w:val="003F2129"/>
    <w:rsid w:val="003F25C5"/>
    <w:rsid w:val="003F4156"/>
    <w:rsid w:val="003F5ADF"/>
    <w:rsid w:val="00400B29"/>
    <w:rsid w:val="004014D0"/>
    <w:rsid w:val="00403514"/>
    <w:rsid w:val="0040504B"/>
    <w:rsid w:val="004059F4"/>
    <w:rsid w:val="00407FE5"/>
    <w:rsid w:val="004101B0"/>
    <w:rsid w:val="00410326"/>
    <w:rsid w:val="00410708"/>
    <w:rsid w:val="00410EC7"/>
    <w:rsid w:val="00411A25"/>
    <w:rsid w:val="00411B39"/>
    <w:rsid w:val="004127A7"/>
    <w:rsid w:val="00413A1E"/>
    <w:rsid w:val="00414476"/>
    <w:rsid w:val="00414C2E"/>
    <w:rsid w:val="004151CF"/>
    <w:rsid w:val="00416364"/>
    <w:rsid w:val="00417E23"/>
    <w:rsid w:val="00417F9C"/>
    <w:rsid w:val="0042047F"/>
    <w:rsid w:val="00420AA6"/>
    <w:rsid w:val="00420B9F"/>
    <w:rsid w:val="0042192C"/>
    <w:rsid w:val="00422260"/>
    <w:rsid w:val="00423CCE"/>
    <w:rsid w:val="0042413F"/>
    <w:rsid w:val="0042439A"/>
    <w:rsid w:val="004247B6"/>
    <w:rsid w:val="0042730D"/>
    <w:rsid w:val="00427333"/>
    <w:rsid w:val="00430656"/>
    <w:rsid w:val="00430B38"/>
    <w:rsid w:val="004319F8"/>
    <w:rsid w:val="00431E55"/>
    <w:rsid w:val="00431E82"/>
    <w:rsid w:val="00431FFA"/>
    <w:rsid w:val="004321F6"/>
    <w:rsid w:val="00433044"/>
    <w:rsid w:val="00434088"/>
    <w:rsid w:val="0043597D"/>
    <w:rsid w:val="004375B9"/>
    <w:rsid w:val="004408E5"/>
    <w:rsid w:val="0044183F"/>
    <w:rsid w:val="004428D0"/>
    <w:rsid w:val="0044314B"/>
    <w:rsid w:val="0044368F"/>
    <w:rsid w:val="00444185"/>
    <w:rsid w:val="004443A7"/>
    <w:rsid w:val="0044442C"/>
    <w:rsid w:val="00444C9F"/>
    <w:rsid w:val="00445941"/>
    <w:rsid w:val="00445BA7"/>
    <w:rsid w:val="004464EB"/>
    <w:rsid w:val="00447D26"/>
    <w:rsid w:val="00447DFC"/>
    <w:rsid w:val="004524C4"/>
    <w:rsid w:val="0045329D"/>
    <w:rsid w:val="00454F1F"/>
    <w:rsid w:val="00455AC1"/>
    <w:rsid w:val="00455D45"/>
    <w:rsid w:val="00457193"/>
    <w:rsid w:val="004627A1"/>
    <w:rsid w:val="00464595"/>
    <w:rsid w:val="004658B5"/>
    <w:rsid w:val="00465D1E"/>
    <w:rsid w:val="004666DA"/>
    <w:rsid w:val="00471EA5"/>
    <w:rsid w:val="00472A79"/>
    <w:rsid w:val="00473F19"/>
    <w:rsid w:val="00475E22"/>
    <w:rsid w:val="0048088E"/>
    <w:rsid w:val="00480CF5"/>
    <w:rsid w:val="00480F2B"/>
    <w:rsid w:val="00482720"/>
    <w:rsid w:val="004835E7"/>
    <w:rsid w:val="00484EB7"/>
    <w:rsid w:val="004867E2"/>
    <w:rsid w:val="00487BD3"/>
    <w:rsid w:val="00490659"/>
    <w:rsid w:val="00490B17"/>
    <w:rsid w:val="0049194F"/>
    <w:rsid w:val="00491B3A"/>
    <w:rsid w:val="0049221E"/>
    <w:rsid w:val="00492CDE"/>
    <w:rsid w:val="00492CFD"/>
    <w:rsid w:val="0049334A"/>
    <w:rsid w:val="00493436"/>
    <w:rsid w:val="004938E7"/>
    <w:rsid w:val="00494207"/>
    <w:rsid w:val="00494A7A"/>
    <w:rsid w:val="00494DD5"/>
    <w:rsid w:val="004962D2"/>
    <w:rsid w:val="004A0DA1"/>
    <w:rsid w:val="004A13D6"/>
    <w:rsid w:val="004A2AF2"/>
    <w:rsid w:val="004A2B3D"/>
    <w:rsid w:val="004A3088"/>
    <w:rsid w:val="004A4D87"/>
    <w:rsid w:val="004A52E9"/>
    <w:rsid w:val="004A55FC"/>
    <w:rsid w:val="004A6040"/>
    <w:rsid w:val="004A6597"/>
    <w:rsid w:val="004A75D0"/>
    <w:rsid w:val="004A7848"/>
    <w:rsid w:val="004A7967"/>
    <w:rsid w:val="004B1CB4"/>
    <w:rsid w:val="004B2F18"/>
    <w:rsid w:val="004B3998"/>
    <w:rsid w:val="004B3DDB"/>
    <w:rsid w:val="004B44FD"/>
    <w:rsid w:val="004B5B64"/>
    <w:rsid w:val="004B5CFC"/>
    <w:rsid w:val="004B6F79"/>
    <w:rsid w:val="004B74FC"/>
    <w:rsid w:val="004B774D"/>
    <w:rsid w:val="004C0F07"/>
    <w:rsid w:val="004C24DC"/>
    <w:rsid w:val="004C31AE"/>
    <w:rsid w:val="004C4AED"/>
    <w:rsid w:val="004C69A1"/>
    <w:rsid w:val="004D09AA"/>
    <w:rsid w:val="004D2446"/>
    <w:rsid w:val="004D2C2D"/>
    <w:rsid w:val="004D436E"/>
    <w:rsid w:val="004D68B9"/>
    <w:rsid w:val="004D68DE"/>
    <w:rsid w:val="004D69B5"/>
    <w:rsid w:val="004D7227"/>
    <w:rsid w:val="004E0E7F"/>
    <w:rsid w:val="004E0EB8"/>
    <w:rsid w:val="004E11C2"/>
    <w:rsid w:val="004E16F1"/>
    <w:rsid w:val="004E18E9"/>
    <w:rsid w:val="004E2ADC"/>
    <w:rsid w:val="004E43B2"/>
    <w:rsid w:val="004E46A2"/>
    <w:rsid w:val="004E7489"/>
    <w:rsid w:val="004F1D02"/>
    <w:rsid w:val="004F22BC"/>
    <w:rsid w:val="004F2679"/>
    <w:rsid w:val="004F2F21"/>
    <w:rsid w:val="004F3DE5"/>
    <w:rsid w:val="004F454D"/>
    <w:rsid w:val="004F5E56"/>
    <w:rsid w:val="004F6913"/>
    <w:rsid w:val="004F7865"/>
    <w:rsid w:val="0050174E"/>
    <w:rsid w:val="00501854"/>
    <w:rsid w:val="00501EAF"/>
    <w:rsid w:val="00502099"/>
    <w:rsid w:val="0050219B"/>
    <w:rsid w:val="00503F17"/>
    <w:rsid w:val="005043E8"/>
    <w:rsid w:val="00506928"/>
    <w:rsid w:val="0050751D"/>
    <w:rsid w:val="005077EF"/>
    <w:rsid w:val="00511AD5"/>
    <w:rsid w:val="00511DC7"/>
    <w:rsid w:val="00512E2C"/>
    <w:rsid w:val="005142C5"/>
    <w:rsid w:val="0051501B"/>
    <w:rsid w:val="005152B5"/>
    <w:rsid w:val="00520897"/>
    <w:rsid w:val="0052123C"/>
    <w:rsid w:val="00521319"/>
    <w:rsid w:val="0052231A"/>
    <w:rsid w:val="00522BC8"/>
    <w:rsid w:val="005234FD"/>
    <w:rsid w:val="00523C28"/>
    <w:rsid w:val="005272F4"/>
    <w:rsid w:val="00531588"/>
    <w:rsid w:val="0053176B"/>
    <w:rsid w:val="005317A2"/>
    <w:rsid w:val="0053248F"/>
    <w:rsid w:val="00532C0A"/>
    <w:rsid w:val="00536F42"/>
    <w:rsid w:val="00537079"/>
    <w:rsid w:val="00537182"/>
    <w:rsid w:val="005378FB"/>
    <w:rsid w:val="00540320"/>
    <w:rsid w:val="005403E1"/>
    <w:rsid w:val="0054182B"/>
    <w:rsid w:val="00541EDD"/>
    <w:rsid w:val="00542743"/>
    <w:rsid w:val="00542C2D"/>
    <w:rsid w:val="00544DE0"/>
    <w:rsid w:val="0054530B"/>
    <w:rsid w:val="00545734"/>
    <w:rsid w:val="005478BD"/>
    <w:rsid w:val="005479E3"/>
    <w:rsid w:val="00551985"/>
    <w:rsid w:val="00552BD3"/>
    <w:rsid w:val="005532A0"/>
    <w:rsid w:val="00554163"/>
    <w:rsid w:val="00555109"/>
    <w:rsid w:val="00556B35"/>
    <w:rsid w:val="0055741A"/>
    <w:rsid w:val="005611B7"/>
    <w:rsid w:val="005616D0"/>
    <w:rsid w:val="005618D4"/>
    <w:rsid w:val="005619AB"/>
    <w:rsid w:val="005620AD"/>
    <w:rsid w:val="0056479F"/>
    <w:rsid w:val="00565DF0"/>
    <w:rsid w:val="0056634A"/>
    <w:rsid w:val="0056696F"/>
    <w:rsid w:val="00572269"/>
    <w:rsid w:val="0057244A"/>
    <w:rsid w:val="00572F26"/>
    <w:rsid w:val="00574A88"/>
    <w:rsid w:val="005750C5"/>
    <w:rsid w:val="005752DE"/>
    <w:rsid w:val="00575D8D"/>
    <w:rsid w:val="005768C9"/>
    <w:rsid w:val="00576972"/>
    <w:rsid w:val="00580E16"/>
    <w:rsid w:val="005810A4"/>
    <w:rsid w:val="00581E67"/>
    <w:rsid w:val="00582B3D"/>
    <w:rsid w:val="00583699"/>
    <w:rsid w:val="00583B86"/>
    <w:rsid w:val="005843B6"/>
    <w:rsid w:val="0058481C"/>
    <w:rsid w:val="00584C20"/>
    <w:rsid w:val="005853D9"/>
    <w:rsid w:val="00585AC0"/>
    <w:rsid w:val="00585CDD"/>
    <w:rsid w:val="0058684E"/>
    <w:rsid w:val="00587058"/>
    <w:rsid w:val="00591957"/>
    <w:rsid w:val="00593534"/>
    <w:rsid w:val="00594AB8"/>
    <w:rsid w:val="00594CEF"/>
    <w:rsid w:val="00595B9E"/>
    <w:rsid w:val="00595C64"/>
    <w:rsid w:val="00595F9A"/>
    <w:rsid w:val="00596BE4"/>
    <w:rsid w:val="00597BF9"/>
    <w:rsid w:val="005A1A85"/>
    <w:rsid w:val="005A309A"/>
    <w:rsid w:val="005A373D"/>
    <w:rsid w:val="005A4508"/>
    <w:rsid w:val="005A7F32"/>
    <w:rsid w:val="005B0B58"/>
    <w:rsid w:val="005B1F77"/>
    <w:rsid w:val="005B29F3"/>
    <w:rsid w:val="005B2A8F"/>
    <w:rsid w:val="005B3E48"/>
    <w:rsid w:val="005B4681"/>
    <w:rsid w:val="005B4E53"/>
    <w:rsid w:val="005B5857"/>
    <w:rsid w:val="005B6FAE"/>
    <w:rsid w:val="005C0C4B"/>
    <w:rsid w:val="005C1B83"/>
    <w:rsid w:val="005C25FF"/>
    <w:rsid w:val="005C2BC6"/>
    <w:rsid w:val="005C2D55"/>
    <w:rsid w:val="005C346B"/>
    <w:rsid w:val="005C38EE"/>
    <w:rsid w:val="005C61B3"/>
    <w:rsid w:val="005C69D4"/>
    <w:rsid w:val="005C720C"/>
    <w:rsid w:val="005D044D"/>
    <w:rsid w:val="005D0ABD"/>
    <w:rsid w:val="005D18AD"/>
    <w:rsid w:val="005D26B4"/>
    <w:rsid w:val="005D3C79"/>
    <w:rsid w:val="005D6090"/>
    <w:rsid w:val="005E3328"/>
    <w:rsid w:val="005E3650"/>
    <w:rsid w:val="005E66DE"/>
    <w:rsid w:val="005E6BC3"/>
    <w:rsid w:val="005E6CBC"/>
    <w:rsid w:val="005E72FF"/>
    <w:rsid w:val="005E73C0"/>
    <w:rsid w:val="005F0E88"/>
    <w:rsid w:val="005F1F2E"/>
    <w:rsid w:val="005F2706"/>
    <w:rsid w:val="005F4D2E"/>
    <w:rsid w:val="005F4EC5"/>
    <w:rsid w:val="005F6515"/>
    <w:rsid w:val="005F6A8F"/>
    <w:rsid w:val="005F6BB7"/>
    <w:rsid w:val="005F7588"/>
    <w:rsid w:val="006004BE"/>
    <w:rsid w:val="006006C3"/>
    <w:rsid w:val="0060138B"/>
    <w:rsid w:val="006014C4"/>
    <w:rsid w:val="00602AFA"/>
    <w:rsid w:val="00603DB9"/>
    <w:rsid w:val="00606FBA"/>
    <w:rsid w:val="00607669"/>
    <w:rsid w:val="006076F4"/>
    <w:rsid w:val="00607AFD"/>
    <w:rsid w:val="00611B18"/>
    <w:rsid w:val="00612F97"/>
    <w:rsid w:val="0061345D"/>
    <w:rsid w:val="0061549B"/>
    <w:rsid w:val="00615940"/>
    <w:rsid w:val="006166CA"/>
    <w:rsid w:val="00616802"/>
    <w:rsid w:val="00616BAC"/>
    <w:rsid w:val="00617E12"/>
    <w:rsid w:val="00620C25"/>
    <w:rsid w:val="00621477"/>
    <w:rsid w:val="00621ADA"/>
    <w:rsid w:val="00622E7B"/>
    <w:rsid w:val="00623F7B"/>
    <w:rsid w:val="00624E53"/>
    <w:rsid w:val="0063158F"/>
    <w:rsid w:val="00631D6B"/>
    <w:rsid w:val="00632183"/>
    <w:rsid w:val="00633073"/>
    <w:rsid w:val="006330A1"/>
    <w:rsid w:val="00633C18"/>
    <w:rsid w:val="006344BA"/>
    <w:rsid w:val="0063479F"/>
    <w:rsid w:val="006353F0"/>
    <w:rsid w:val="006357B5"/>
    <w:rsid w:val="006364A1"/>
    <w:rsid w:val="0063678E"/>
    <w:rsid w:val="00637BFD"/>
    <w:rsid w:val="00641C4E"/>
    <w:rsid w:val="00641FB3"/>
    <w:rsid w:val="00642010"/>
    <w:rsid w:val="00642BFF"/>
    <w:rsid w:val="0064434C"/>
    <w:rsid w:val="00645467"/>
    <w:rsid w:val="006471CC"/>
    <w:rsid w:val="00647A29"/>
    <w:rsid w:val="0065079F"/>
    <w:rsid w:val="006509B9"/>
    <w:rsid w:val="00652A28"/>
    <w:rsid w:val="00652BCE"/>
    <w:rsid w:val="0065379F"/>
    <w:rsid w:val="00655D68"/>
    <w:rsid w:val="00655F71"/>
    <w:rsid w:val="00656188"/>
    <w:rsid w:val="0065715A"/>
    <w:rsid w:val="00660942"/>
    <w:rsid w:val="00660A23"/>
    <w:rsid w:val="006610F1"/>
    <w:rsid w:val="00661C6B"/>
    <w:rsid w:val="00663FE8"/>
    <w:rsid w:val="006644DB"/>
    <w:rsid w:val="00664D6F"/>
    <w:rsid w:val="006656E8"/>
    <w:rsid w:val="00665968"/>
    <w:rsid w:val="00667D67"/>
    <w:rsid w:val="00671004"/>
    <w:rsid w:val="00671143"/>
    <w:rsid w:val="0067154F"/>
    <w:rsid w:val="00672600"/>
    <w:rsid w:val="00672646"/>
    <w:rsid w:val="00674400"/>
    <w:rsid w:val="00674E42"/>
    <w:rsid w:val="006755EC"/>
    <w:rsid w:val="00676AB0"/>
    <w:rsid w:val="006813F8"/>
    <w:rsid w:val="006816C1"/>
    <w:rsid w:val="00681E38"/>
    <w:rsid w:val="00682112"/>
    <w:rsid w:val="00682683"/>
    <w:rsid w:val="00682BA6"/>
    <w:rsid w:val="00684509"/>
    <w:rsid w:val="00684BC2"/>
    <w:rsid w:val="0068599B"/>
    <w:rsid w:val="00685D8F"/>
    <w:rsid w:val="0068613D"/>
    <w:rsid w:val="00686957"/>
    <w:rsid w:val="006872BA"/>
    <w:rsid w:val="00690795"/>
    <w:rsid w:val="00691648"/>
    <w:rsid w:val="006917D7"/>
    <w:rsid w:val="00691B02"/>
    <w:rsid w:val="006921DB"/>
    <w:rsid w:val="006932A0"/>
    <w:rsid w:val="0069434C"/>
    <w:rsid w:val="00694352"/>
    <w:rsid w:val="00694D36"/>
    <w:rsid w:val="00694F44"/>
    <w:rsid w:val="006954D1"/>
    <w:rsid w:val="00696F51"/>
    <w:rsid w:val="006979A5"/>
    <w:rsid w:val="006A0299"/>
    <w:rsid w:val="006A24E9"/>
    <w:rsid w:val="006A2E45"/>
    <w:rsid w:val="006A5476"/>
    <w:rsid w:val="006A5854"/>
    <w:rsid w:val="006A6B99"/>
    <w:rsid w:val="006A7E5F"/>
    <w:rsid w:val="006B148E"/>
    <w:rsid w:val="006B261B"/>
    <w:rsid w:val="006B2C90"/>
    <w:rsid w:val="006B35E6"/>
    <w:rsid w:val="006B465A"/>
    <w:rsid w:val="006B4B87"/>
    <w:rsid w:val="006B5004"/>
    <w:rsid w:val="006B64BA"/>
    <w:rsid w:val="006B6DD0"/>
    <w:rsid w:val="006C0178"/>
    <w:rsid w:val="006C0399"/>
    <w:rsid w:val="006C0803"/>
    <w:rsid w:val="006C16A0"/>
    <w:rsid w:val="006C2A8E"/>
    <w:rsid w:val="006C3255"/>
    <w:rsid w:val="006C3710"/>
    <w:rsid w:val="006C3F26"/>
    <w:rsid w:val="006C6735"/>
    <w:rsid w:val="006D0D17"/>
    <w:rsid w:val="006D0EFA"/>
    <w:rsid w:val="006D3C7D"/>
    <w:rsid w:val="006D4659"/>
    <w:rsid w:val="006D4F92"/>
    <w:rsid w:val="006D5D5F"/>
    <w:rsid w:val="006D68FB"/>
    <w:rsid w:val="006D6E89"/>
    <w:rsid w:val="006E04CC"/>
    <w:rsid w:val="006E2868"/>
    <w:rsid w:val="006E35E3"/>
    <w:rsid w:val="006E5F29"/>
    <w:rsid w:val="006E65D6"/>
    <w:rsid w:val="006F0BB8"/>
    <w:rsid w:val="006F158D"/>
    <w:rsid w:val="006F306C"/>
    <w:rsid w:val="006F3B8E"/>
    <w:rsid w:val="006F45EA"/>
    <w:rsid w:val="006F63A5"/>
    <w:rsid w:val="0070142B"/>
    <w:rsid w:val="0070276E"/>
    <w:rsid w:val="00702F8F"/>
    <w:rsid w:val="00703F9A"/>
    <w:rsid w:val="007052DE"/>
    <w:rsid w:val="00705D19"/>
    <w:rsid w:val="007079FC"/>
    <w:rsid w:val="00711A36"/>
    <w:rsid w:val="00711A6F"/>
    <w:rsid w:val="00713188"/>
    <w:rsid w:val="00713476"/>
    <w:rsid w:val="00713DE4"/>
    <w:rsid w:val="00714C26"/>
    <w:rsid w:val="0071529C"/>
    <w:rsid w:val="00717029"/>
    <w:rsid w:val="007170DA"/>
    <w:rsid w:val="007172AD"/>
    <w:rsid w:val="00720801"/>
    <w:rsid w:val="00722B1B"/>
    <w:rsid w:val="007231E6"/>
    <w:rsid w:val="00723C84"/>
    <w:rsid w:val="0072416F"/>
    <w:rsid w:val="00725F10"/>
    <w:rsid w:val="0072652E"/>
    <w:rsid w:val="0072678F"/>
    <w:rsid w:val="00726B56"/>
    <w:rsid w:val="00727C94"/>
    <w:rsid w:val="00731623"/>
    <w:rsid w:val="00731B0A"/>
    <w:rsid w:val="00731EAD"/>
    <w:rsid w:val="00731EAE"/>
    <w:rsid w:val="00733073"/>
    <w:rsid w:val="00735033"/>
    <w:rsid w:val="00735328"/>
    <w:rsid w:val="00735F9E"/>
    <w:rsid w:val="0073685B"/>
    <w:rsid w:val="00740540"/>
    <w:rsid w:val="00742456"/>
    <w:rsid w:val="00742807"/>
    <w:rsid w:val="007445C3"/>
    <w:rsid w:val="007449BF"/>
    <w:rsid w:val="0074603A"/>
    <w:rsid w:val="007461E5"/>
    <w:rsid w:val="00746BC0"/>
    <w:rsid w:val="007510B4"/>
    <w:rsid w:val="0075195C"/>
    <w:rsid w:val="00751F0D"/>
    <w:rsid w:val="00752142"/>
    <w:rsid w:val="007523F9"/>
    <w:rsid w:val="00752756"/>
    <w:rsid w:val="0075357E"/>
    <w:rsid w:val="00753FC8"/>
    <w:rsid w:val="0075571E"/>
    <w:rsid w:val="007573E8"/>
    <w:rsid w:val="007577C4"/>
    <w:rsid w:val="00760C4E"/>
    <w:rsid w:val="00760F9E"/>
    <w:rsid w:val="007627BE"/>
    <w:rsid w:val="0076364D"/>
    <w:rsid w:val="00764F03"/>
    <w:rsid w:val="007652A6"/>
    <w:rsid w:val="00765B1A"/>
    <w:rsid w:val="007708CD"/>
    <w:rsid w:val="007743AD"/>
    <w:rsid w:val="00775577"/>
    <w:rsid w:val="00775E67"/>
    <w:rsid w:val="00776731"/>
    <w:rsid w:val="007769C5"/>
    <w:rsid w:val="00777335"/>
    <w:rsid w:val="007843F2"/>
    <w:rsid w:val="00784532"/>
    <w:rsid w:val="00785A9F"/>
    <w:rsid w:val="0078755A"/>
    <w:rsid w:val="007925DF"/>
    <w:rsid w:val="00793DFF"/>
    <w:rsid w:val="00793FC8"/>
    <w:rsid w:val="00795CF7"/>
    <w:rsid w:val="00796F47"/>
    <w:rsid w:val="007A08AA"/>
    <w:rsid w:val="007A0A12"/>
    <w:rsid w:val="007A132D"/>
    <w:rsid w:val="007A1345"/>
    <w:rsid w:val="007A2DDB"/>
    <w:rsid w:val="007A55DA"/>
    <w:rsid w:val="007A70BA"/>
    <w:rsid w:val="007B044A"/>
    <w:rsid w:val="007B0D68"/>
    <w:rsid w:val="007B251D"/>
    <w:rsid w:val="007B3D1C"/>
    <w:rsid w:val="007B455A"/>
    <w:rsid w:val="007B479B"/>
    <w:rsid w:val="007B4F58"/>
    <w:rsid w:val="007B528D"/>
    <w:rsid w:val="007B63CA"/>
    <w:rsid w:val="007B72B2"/>
    <w:rsid w:val="007B77D1"/>
    <w:rsid w:val="007C05DC"/>
    <w:rsid w:val="007C07C7"/>
    <w:rsid w:val="007C0ADA"/>
    <w:rsid w:val="007C1284"/>
    <w:rsid w:val="007C1CD9"/>
    <w:rsid w:val="007C1D34"/>
    <w:rsid w:val="007C32EF"/>
    <w:rsid w:val="007C361D"/>
    <w:rsid w:val="007C48B5"/>
    <w:rsid w:val="007C4B84"/>
    <w:rsid w:val="007C6E48"/>
    <w:rsid w:val="007C70FF"/>
    <w:rsid w:val="007C7143"/>
    <w:rsid w:val="007C7C25"/>
    <w:rsid w:val="007D004F"/>
    <w:rsid w:val="007D0B38"/>
    <w:rsid w:val="007D4C9A"/>
    <w:rsid w:val="007D53FC"/>
    <w:rsid w:val="007D5440"/>
    <w:rsid w:val="007D5A91"/>
    <w:rsid w:val="007D69EB"/>
    <w:rsid w:val="007D6A99"/>
    <w:rsid w:val="007D6CC6"/>
    <w:rsid w:val="007E03F7"/>
    <w:rsid w:val="007E0A60"/>
    <w:rsid w:val="007E104F"/>
    <w:rsid w:val="007E128F"/>
    <w:rsid w:val="007E4E9B"/>
    <w:rsid w:val="007E51D6"/>
    <w:rsid w:val="007E798A"/>
    <w:rsid w:val="007F08AE"/>
    <w:rsid w:val="007F1017"/>
    <w:rsid w:val="007F172A"/>
    <w:rsid w:val="007F1F55"/>
    <w:rsid w:val="007F44DB"/>
    <w:rsid w:val="007F4A3F"/>
    <w:rsid w:val="007F4A61"/>
    <w:rsid w:val="007F5255"/>
    <w:rsid w:val="007F56CC"/>
    <w:rsid w:val="007F61C2"/>
    <w:rsid w:val="00801351"/>
    <w:rsid w:val="00805142"/>
    <w:rsid w:val="00805FCE"/>
    <w:rsid w:val="00807A8B"/>
    <w:rsid w:val="00811383"/>
    <w:rsid w:val="00812149"/>
    <w:rsid w:val="00812889"/>
    <w:rsid w:val="00812CAC"/>
    <w:rsid w:val="008156E5"/>
    <w:rsid w:val="00815EA6"/>
    <w:rsid w:val="00816361"/>
    <w:rsid w:val="008166EF"/>
    <w:rsid w:val="00816EBF"/>
    <w:rsid w:val="00816FEF"/>
    <w:rsid w:val="00820A8C"/>
    <w:rsid w:val="00820F76"/>
    <w:rsid w:val="008215CA"/>
    <w:rsid w:val="008215FB"/>
    <w:rsid w:val="00823174"/>
    <w:rsid w:val="0082458B"/>
    <w:rsid w:val="00825751"/>
    <w:rsid w:val="008264EB"/>
    <w:rsid w:val="00826B53"/>
    <w:rsid w:val="00831B29"/>
    <w:rsid w:val="0083203F"/>
    <w:rsid w:val="00832C71"/>
    <w:rsid w:val="00832FDF"/>
    <w:rsid w:val="00833B05"/>
    <w:rsid w:val="008344E3"/>
    <w:rsid w:val="00835EA1"/>
    <w:rsid w:val="008362B4"/>
    <w:rsid w:val="008364DC"/>
    <w:rsid w:val="0083702C"/>
    <w:rsid w:val="00840CA2"/>
    <w:rsid w:val="00842AEB"/>
    <w:rsid w:val="00842D09"/>
    <w:rsid w:val="0084374F"/>
    <w:rsid w:val="00843DD4"/>
    <w:rsid w:val="00843EDE"/>
    <w:rsid w:val="00844A22"/>
    <w:rsid w:val="008457F2"/>
    <w:rsid w:val="00846929"/>
    <w:rsid w:val="00847703"/>
    <w:rsid w:val="00847DF5"/>
    <w:rsid w:val="008505F1"/>
    <w:rsid w:val="0085309D"/>
    <w:rsid w:val="008546D4"/>
    <w:rsid w:val="00856897"/>
    <w:rsid w:val="00856E9A"/>
    <w:rsid w:val="0086075D"/>
    <w:rsid w:val="00861035"/>
    <w:rsid w:val="0086164C"/>
    <w:rsid w:val="00862056"/>
    <w:rsid w:val="008621F4"/>
    <w:rsid w:val="00862502"/>
    <w:rsid w:val="00862CC1"/>
    <w:rsid w:val="008660D4"/>
    <w:rsid w:val="00866897"/>
    <w:rsid w:val="008669D0"/>
    <w:rsid w:val="00870FDD"/>
    <w:rsid w:val="00871FA9"/>
    <w:rsid w:val="008728E9"/>
    <w:rsid w:val="00875115"/>
    <w:rsid w:val="008767D0"/>
    <w:rsid w:val="00882874"/>
    <w:rsid w:val="00882E3C"/>
    <w:rsid w:val="00883787"/>
    <w:rsid w:val="00885331"/>
    <w:rsid w:val="008855E4"/>
    <w:rsid w:val="0088623D"/>
    <w:rsid w:val="008869F0"/>
    <w:rsid w:val="00886CD2"/>
    <w:rsid w:val="00887F8E"/>
    <w:rsid w:val="008900A9"/>
    <w:rsid w:val="00890A2F"/>
    <w:rsid w:val="00891E6F"/>
    <w:rsid w:val="0089275D"/>
    <w:rsid w:val="00892A36"/>
    <w:rsid w:val="00893239"/>
    <w:rsid w:val="00893BC7"/>
    <w:rsid w:val="00893DD0"/>
    <w:rsid w:val="00894489"/>
    <w:rsid w:val="00895546"/>
    <w:rsid w:val="00895710"/>
    <w:rsid w:val="008963A5"/>
    <w:rsid w:val="00896D5D"/>
    <w:rsid w:val="008979E8"/>
    <w:rsid w:val="008A253F"/>
    <w:rsid w:val="008A2F77"/>
    <w:rsid w:val="008A3363"/>
    <w:rsid w:val="008A3371"/>
    <w:rsid w:val="008A3C3E"/>
    <w:rsid w:val="008A76C3"/>
    <w:rsid w:val="008A79DE"/>
    <w:rsid w:val="008B1757"/>
    <w:rsid w:val="008B18D2"/>
    <w:rsid w:val="008B31F0"/>
    <w:rsid w:val="008B43FB"/>
    <w:rsid w:val="008B4D4A"/>
    <w:rsid w:val="008B4DAF"/>
    <w:rsid w:val="008B5189"/>
    <w:rsid w:val="008B68BB"/>
    <w:rsid w:val="008B7992"/>
    <w:rsid w:val="008B7D7E"/>
    <w:rsid w:val="008C1A45"/>
    <w:rsid w:val="008C4537"/>
    <w:rsid w:val="008C5610"/>
    <w:rsid w:val="008C5739"/>
    <w:rsid w:val="008C6B24"/>
    <w:rsid w:val="008C7ECB"/>
    <w:rsid w:val="008D15BA"/>
    <w:rsid w:val="008D3A0F"/>
    <w:rsid w:val="008D3B86"/>
    <w:rsid w:val="008D4755"/>
    <w:rsid w:val="008D4C3D"/>
    <w:rsid w:val="008D743C"/>
    <w:rsid w:val="008E0D3C"/>
    <w:rsid w:val="008E1B9E"/>
    <w:rsid w:val="008E1C44"/>
    <w:rsid w:val="008E2BD2"/>
    <w:rsid w:val="008E4813"/>
    <w:rsid w:val="008E55AB"/>
    <w:rsid w:val="008E5A44"/>
    <w:rsid w:val="008E5AD5"/>
    <w:rsid w:val="008E6021"/>
    <w:rsid w:val="008E657C"/>
    <w:rsid w:val="008E670D"/>
    <w:rsid w:val="008F0387"/>
    <w:rsid w:val="008F120A"/>
    <w:rsid w:val="008F15AC"/>
    <w:rsid w:val="008F27E0"/>
    <w:rsid w:val="008F3CED"/>
    <w:rsid w:val="008F3F9D"/>
    <w:rsid w:val="008F48EB"/>
    <w:rsid w:val="008F4F0B"/>
    <w:rsid w:val="008F5627"/>
    <w:rsid w:val="008F7677"/>
    <w:rsid w:val="0090146E"/>
    <w:rsid w:val="00902BBA"/>
    <w:rsid w:val="009046C4"/>
    <w:rsid w:val="0090541A"/>
    <w:rsid w:val="00905B90"/>
    <w:rsid w:val="00905EB3"/>
    <w:rsid w:val="009062A5"/>
    <w:rsid w:val="00910DC5"/>
    <w:rsid w:val="00910FA7"/>
    <w:rsid w:val="00911272"/>
    <w:rsid w:val="00911862"/>
    <w:rsid w:val="009135D6"/>
    <w:rsid w:val="00914C77"/>
    <w:rsid w:val="009163EB"/>
    <w:rsid w:val="00917B1F"/>
    <w:rsid w:val="00920CB2"/>
    <w:rsid w:val="00921ACB"/>
    <w:rsid w:val="0092369B"/>
    <w:rsid w:val="009236B4"/>
    <w:rsid w:val="00924880"/>
    <w:rsid w:val="00926A1D"/>
    <w:rsid w:val="00930F73"/>
    <w:rsid w:val="00932631"/>
    <w:rsid w:val="00934988"/>
    <w:rsid w:val="00937089"/>
    <w:rsid w:val="009425BA"/>
    <w:rsid w:val="00943437"/>
    <w:rsid w:val="009438C0"/>
    <w:rsid w:val="00944F8A"/>
    <w:rsid w:val="00945945"/>
    <w:rsid w:val="009471AE"/>
    <w:rsid w:val="00947E9D"/>
    <w:rsid w:val="009510A2"/>
    <w:rsid w:val="00953257"/>
    <w:rsid w:val="0095426A"/>
    <w:rsid w:val="0095474C"/>
    <w:rsid w:val="00955A7B"/>
    <w:rsid w:val="00957743"/>
    <w:rsid w:val="00957DE9"/>
    <w:rsid w:val="009627EF"/>
    <w:rsid w:val="00962CB9"/>
    <w:rsid w:val="00962E4D"/>
    <w:rsid w:val="00964312"/>
    <w:rsid w:val="009655A0"/>
    <w:rsid w:val="00965B8A"/>
    <w:rsid w:val="0097071F"/>
    <w:rsid w:val="009717AC"/>
    <w:rsid w:val="009751C1"/>
    <w:rsid w:val="00975656"/>
    <w:rsid w:val="009764E5"/>
    <w:rsid w:val="009773C8"/>
    <w:rsid w:val="00981035"/>
    <w:rsid w:val="009811F1"/>
    <w:rsid w:val="00983E57"/>
    <w:rsid w:val="00985DE2"/>
    <w:rsid w:val="0098675D"/>
    <w:rsid w:val="009872D0"/>
    <w:rsid w:val="0099042B"/>
    <w:rsid w:val="00991D03"/>
    <w:rsid w:val="009926E0"/>
    <w:rsid w:val="00992E17"/>
    <w:rsid w:val="0099451E"/>
    <w:rsid w:val="00995066"/>
    <w:rsid w:val="009965F1"/>
    <w:rsid w:val="00996B1A"/>
    <w:rsid w:val="00997CC1"/>
    <w:rsid w:val="009A27E8"/>
    <w:rsid w:val="009A2DCC"/>
    <w:rsid w:val="009A32E3"/>
    <w:rsid w:val="009A4090"/>
    <w:rsid w:val="009A4C6E"/>
    <w:rsid w:val="009A5082"/>
    <w:rsid w:val="009A5835"/>
    <w:rsid w:val="009A5ABC"/>
    <w:rsid w:val="009A5AE8"/>
    <w:rsid w:val="009A6072"/>
    <w:rsid w:val="009A7F10"/>
    <w:rsid w:val="009B0007"/>
    <w:rsid w:val="009B3E26"/>
    <w:rsid w:val="009B668B"/>
    <w:rsid w:val="009C3706"/>
    <w:rsid w:val="009C3A3A"/>
    <w:rsid w:val="009C6CEA"/>
    <w:rsid w:val="009C7B85"/>
    <w:rsid w:val="009D0254"/>
    <w:rsid w:val="009D165A"/>
    <w:rsid w:val="009D1A64"/>
    <w:rsid w:val="009D1FC6"/>
    <w:rsid w:val="009D40EA"/>
    <w:rsid w:val="009D43A4"/>
    <w:rsid w:val="009D52B9"/>
    <w:rsid w:val="009D5B91"/>
    <w:rsid w:val="009D792E"/>
    <w:rsid w:val="009E002B"/>
    <w:rsid w:val="009E00BE"/>
    <w:rsid w:val="009E0461"/>
    <w:rsid w:val="009E0868"/>
    <w:rsid w:val="009E0A7A"/>
    <w:rsid w:val="009E0DFE"/>
    <w:rsid w:val="009E31F6"/>
    <w:rsid w:val="009E4C07"/>
    <w:rsid w:val="009E4CAA"/>
    <w:rsid w:val="009E4D56"/>
    <w:rsid w:val="009E60BB"/>
    <w:rsid w:val="009E6E1F"/>
    <w:rsid w:val="009F1328"/>
    <w:rsid w:val="009F18C8"/>
    <w:rsid w:val="009F412E"/>
    <w:rsid w:val="009F50A3"/>
    <w:rsid w:val="009F5C7A"/>
    <w:rsid w:val="009F61A2"/>
    <w:rsid w:val="00A01184"/>
    <w:rsid w:val="00A0150C"/>
    <w:rsid w:val="00A029C4"/>
    <w:rsid w:val="00A037C2"/>
    <w:rsid w:val="00A037CD"/>
    <w:rsid w:val="00A03883"/>
    <w:rsid w:val="00A03D43"/>
    <w:rsid w:val="00A04380"/>
    <w:rsid w:val="00A0480D"/>
    <w:rsid w:val="00A04F24"/>
    <w:rsid w:val="00A05472"/>
    <w:rsid w:val="00A05C32"/>
    <w:rsid w:val="00A05F34"/>
    <w:rsid w:val="00A0653F"/>
    <w:rsid w:val="00A07124"/>
    <w:rsid w:val="00A1116E"/>
    <w:rsid w:val="00A11CD0"/>
    <w:rsid w:val="00A11EC6"/>
    <w:rsid w:val="00A12071"/>
    <w:rsid w:val="00A13948"/>
    <w:rsid w:val="00A14421"/>
    <w:rsid w:val="00A150A5"/>
    <w:rsid w:val="00A1555B"/>
    <w:rsid w:val="00A155C5"/>
    <w:rsid w:val="00A16AD8"/>
    <w:rsid w:val="00A170AE"/>
    <w:rsid w:val="00A17CA2"/>
    <w:rsid w:val="00A21484"/>
    <w:rsid w:val="00A2172F"/>
    <w:rsid w:val="00A21C95"/>
    <w:rsid w:val="00A21CF3"/>
    <w:rsid w:val="00A24813"/>
    <w:rsid w:val="00A24AAF"/>
    <w:rsid w:val="00A266FF"/>
    <w:rsid w:val="00A27AAB"/>
    <w:rsid w:val="00A27AEC"/>
    <w:rsid w:val="00A320DB"/>
    <w:rsid w:val="00A3232B"/>
    <w:rsid w:val="00A3245F"/>
    <w:rsid w:val="00A32795"/>
    <w:rsid w:val="00A32BEF"/>
    <w:rsid w:val="00A3316E"/>
    <w:rsid w:val="00A33CAF"/>
    <w:rsid w:val="00A350B2"/>
    <w:rsid w:val="00A3573A"/>
    <w:rsid w:val="00A35D16"/>
    <w:rsid w:val="00A3726D"/>
    <w:rsid w:val="00A37BCD"/>
    <w:rsid w:val="00A37DC4"/>
    <w:rsid w:val="00A40A2B"/>
    <w:rsid w:val="00A411EC"/>
    <w:rsid w:val="00A41547"/>
    <w:rsid w:val="00A41689"/>
    <w:rsid w:val="00A42592"/>
    <w:rsid w:val="00A42D42"/>
    <w:rsid w:val="00A43C59"/>
    <w:rsid w:val="00A47189"/>
    <w:rsid w:val="00A50ECD"/>
    <w:rsid w:val="00A517D4"/>
    <w:rsid w:val="00A518F3"/>
    <w:rsid w:val="00A52729"/>
    <w:rsid w:val="00A527DC"/>
    <w:rsid w:val="00A53675"/>
    <w:rsid w:val="00A564D7"/>
    <w:rsid w:val="00A564EA"/>
    <w:rsid w:val="00A56B6A"/>
    <w:rsid w:val="00A56FBE"/>
    <w:rsid w:val="00A578DC"/>
    <w:rsid w:val="00A614A0"/>
    <w:rsid w:val="00A61708"/>
    <w:rsid w:val="00A61FD0"/>
    <w:rsid w:val="00A6393E"/>
    <w:rsid w:val="00A640E2"/>
    <w:rsid w:val="00A64D65"/>
    <w:rsid w:val="00A6725B"/>
    <w:rsid w:val="00A67F46"/>
    <w:rsid w:val="00A70605"/>
    <w:rsid w:val="00A711BA"/>
    <w:rsid w:val="00A73134"/>
    <w:rsid w:val="00A7323D"/>
    <w:rsid w:val="00A7338B"/>
    <w:rsid w:val="00A7425D"/>
    <w:rsid w:val="00A744A3"/>
    <w:rsid w:val="00A75374"/>
    <w:rsid w:val="00A76001"/>
    <w:rsid w:val="00A77038"/>
    <w:rsid w:val="00A777B2"/>
    <w:rsid w:val="00A80747"/>
    <w:rsid w:val="00A82521"/>
    <w:rsid w:val="00A825D4"/>
    <w:rsid w:val="00A828F6"/>
    <w:rsid w:val="00A82B73"/>
    <w:rsid w:val="00A865C0"/>
    <w:rsid w:val="00A86BD6"/>
    <w:rsid w:val="00A86E8B"/>
    <w:rsid w:val="00A87164"/>
    <w:rsid w:val="00A92077"/>
    <w:rsid w:val="00A93072"/>
    <w:rsid w:val="00A938BD"/>
    <w:rsid w:val="00A93953"/>
    <w:rsid w:val="00A953F5"/>
    <w:rsid w:val="00A959D8"/>
    <w:rsid w:val="00AA113D"/>
    <w:rsid w:val="00AA117A"/>
    <w:rsid w:val="00AA4120"/>
    <w:rsid w:val="00AA5FDA"/>
    <w:rsid w:val="00AA684D"/>
    <w:rsid w:val="00AA6BD5"/>
    <w:rsid w:val="00AA6BD8"/>
    <w:rsid w:val="00AA6C0D"/>
    <w:rsid w:val="00AA6C7D"/>
    <w:rsid w:val="00AA7F8F"/>
    <w:rsid w:val="00AA7FD6"/>
    <w:rsid w:val="00AB042A"/>
    <w:rsid w:val="00AB0C8E"/>
    <w:rsid w:val="00AB19EF"/>
    <w:rsid w:val="00AB1AA2"/>
    <w:rsid w:val="00AB2D34"/>
    <w:rsid w:val="00AB30E4"/>
    <w:rsid w:val="00AB3430"/>
    <w:rsid w:val="00AB37B9"/>
    <w:rsid w:val="00AB4AD1"/>
    <w:rsid w:val="00AB4B47"/>
    <w:rsid w:val="00AB4D4A"/>
    <w:rsid w:val="00AB5E07"/>
    <w:rsid w:val="00AB7280"/>
    <w:rsid w:val="00AB7CFA"/>
    <w:rsid w:val="00AC1D84"/>
    <w:rsid w:val="00AC47DD"/>
    <w:rsid w:val="00AC502B"/>
    <w:rsid w:val="00AC5B48"/>
    <w:rsid w:val="00AC7D9E"/>
    <w:rsid w:val="00AC7ED5"/>
    <w:rsid w:val="00AD0A92"/>
    <w:rsid w:val="00AD1450"/>
    <w:rsid w:val="00AD2628"/>
    <w:rsid w:val="00AD271F"/>
    <w:rsid w:val="00AD3C5C"/>
    <w:rsid w:val="00AD6502"/>
    <w:rsid w:val="00AE0695"/>
    <w:rsid w:val="00AE09C8"/>
    <w:rsid w:val="00AE3E7E"/>
    <w:rsid w:val="00AE4E34"/>
    <w:rsid w:val="00AE5E9C"/>
    <w:rsid w:val="00AE6CBE"/>
    <w:rsid w:val="00AF1315"/>
    <w:rsid w:val="00AF19BF"/>
    <w:rsid w:val="00AF1AF0"/>
    <w:rsid w:val="00AF2448"/>
    <w:rsid w:val="00AF2DC3"/>
    <w:rsid w:val="00AF37B2"/>
    <w:rsid w:val="00AF4A20"/>
    <w:rsid w:val="00AF4D6D"/>
    <w:rsid w:val="00AF59A7"/>
    <w:rsid w:val="00AF6650"/>
    <w:rsid w:val="00B00147"/>
    <w:rsid w:val="00B00C80"/>
    <w:rsid w:val="00B0173E"/>
    <w:rsid w:val="00B020DD"/>
    <w:rsid w:val="00B033E5"/>
    <w:rsid w:val="00B03A63"/>
    <w:rsid w:val="00B04D95"/>
    <w:rsid w:val="00B071F8"/>
    <w:rsid w:val="00B07E09"/>
    <w:rsid w:val="00B10B85"/>
    <w:rsid w:val="00B12D40"/>
    <w:rsid w:val="00B13938"/>
    <w:rsid w:val="00B155EE"/>
    <w:rsid w:val="00B17D78"/>
    <w:rsid w:val="00B201A4"/>
    <w:rsid w:val="00B201D1"/>
    <w:rsid w:val="00B20B36"/>
    <w:rsid w:val="00B21114"/>
    <w:rsid w:val="00B213A6"/>
    <w:rsid w:val="00B222E5"/>
    <w:rsid w:val="00B235B0"/>
    <w:rsid w:val="00B237E8"/>
    <w:rsid w:val="00B23D3B"/>
    <w:rsid w:val="00B24DF6"/>
    <w:rsid w:val="00B31276"/>
    <w:rsid w:val="00B3281F"/>
    <w:rsid w:val="00B34FE2"/>
    <w:rsid w:val="00B35166"/>
    <w:rsid w:val="00B356A0"/>
    <w:rsid w:val="00B357D8"/>
    <w:rsid w:val="00B360F4"/>
    <w:rsid w:val="00B36A00"/>
    <w:rsid w:val="00B37324"/>
    <w:rsid w:val="00B37BFC"/>
    <w:rsid w:val="00B40358"/>
    <w:rsid w:val="00B41614"/>
    <w:rsid w:val="00B42851"/>
    <w:rsid w:val="00B42F80"/>
    <w:rsid w:val="00B435CB"/>
    <w:rsid w:val="00B441CA"/>
    <w:rsid w:val="00B44A08"/>
    <w:rsid w:val="00B44D59"/>
    <w:rsid w:val="00B505C8"/>
    <w:rsid w:val="00B50DB8"/>
    <w:rsid w:val="00B51826"/>
    <w:rsid w:val="00B529E6"/>
    <w:rsid w:val="00B53654"/>
    <w:rsid w:val="00B53905"/>
    <w:rsid w:val="00B54B5B"/>
    <w:rsid w:val="00B5562E"/>
    <w:rsid w:val="00B55D65"/>
    <w:rsid w:val="00B560FE"/>
    <w:rsid w:val="00B57000"/>
    <w:rsid w:val="00B57F01"/>
    <w:rsid w:val="00B60315"/>
    <w:rsid w:val="00B6033C"/>
    <w:rsid w:val="00B60939"/>
    <w:rsid w:val="00B60AFD"/>
    <w:rsid w:val="00B62715"/>
    <w:rsid w:val="00B62BEB"/>
    <w:rsid w:val="00B6539B"/>
    <w:rsid w:val="00B65611"/>
    <w:rsid w:val="00B65FD6"/>
    <w:rsid w:val="00B66799"/>
    <w:rsid w:val="00B70E8E"/>
    <w:rsid w:val="00B74C64"/>
    <w:rsid w:val="00B74EEA"/>
    <w:rsid w:val="00B76C92"/>
    <w:rsid w:val="00B77F4A"/>
    <w:rsid w:val="00B77FE7"/>
    <w:rsid w:val="00B818A4"/>
    <w:rsid w:val="00B84117"/>
    <w:rsid w:val="00B84260"/>
    <w:rsid w:val="00B858F0"/>
    <w:rsid w:val="00B85AA2"/>
    <w:rsid w:val="00B8649C"/>
    <w:rsid w:val="00B8695D"/>
    <w:rsid w:val="00B87F0A"/>
    <w:rsid w:val="00B91586"/>
    <w:rsid w:val="00B918C4"/>
    <w:rsid w:val="00B9298A"/>
    <w:rsid w:val="00B92AB7"/>
    <w:rsid w:val="00B92D0B"/>
    <w:rsid w:val="00B94945"/>
    <w:rsid w:val="00B94DD6"/>
    <w:rsid w:val="00B95FE6"/>
    <w:rsid w:val="00B961E8"/>
    <w:rsid w:val="00BA322D"/>
    <w:rsid w:val="00BA39D6"/>
    <w:rsid w:val="00BA436D"/>
    <w:rsid w:val="00BA462B"/>
    <w:rsid w:val="00BA4EB0"/>
    <w:rsid w:val="00BA63FA"/>
    <w:rsid w:val="00BA68E5"/>
    <w:rsid w:val="00BB00B3"/>
    <w:rsid w:val="00BB0BDD"/>
    <w:rsid w:val="00BB176C"/>
    <w:rsid w:val="00BB2A73"/>
    <w:rsid w:val="00BB3436"/>
    <w:rsid w:val="00BB36CC"/>
    <w:rsid w:val="00BB376A"/>
    <w:rsid w:val="00BB3A45"/>
    <w:rsid w:val="00BB3CE9"/>
    <w:rsid w:val="00BB4ACC"/>
    <w:rsid w:val="00BB593E"/>
    <w:rsid w:val="00BB5CF7"/>
    <w:rsid w:val="00BB6136"/>
    <w:rsid w:val="00BB703E"/>
    <w:rsid w:val="00BB7161"/>
    <w:rsid w:val="00BB732D"/>
    <w:rsid w:val="00BB7405"/>
    <w:rsid w:val="00BC28AB"/>
    <w:rsid w:val="00BC28CF"/>
    <w:rsid w:val="00BC3631"/>
    <w:rsid w:val="00BC39C3"/>
    <w:rsid w:val="00BC3A67"/>
    <w:rsid w:val="00BC591F"/>
    <w:rsid w:val="00BC75B5"/>
    <w:rsid w:val="00BC7700"/>
    <w:rsid w:val="00BC7D6D"/>
    <w:rsid w:val="00BD010B"/>
    <w:rsid w:val="00BD20F7"/>
    <w:rsid w:val="00BD2108"/>
    <w:rsid w:val="00BD4B65"/>
    <w:rsid w:val="00BD511D"/>
    <w:rsid w:val="00BD68A3"/>
    <w:rsid w:val="00BD6938"/>
    <w:rsid w:val="00BD6CF3"/>
    <w:rsid w:val="00BD7A4A"/>
    <w:rsid w:val="00BE0094"/>
    <w:rsid w:val="00BE0706"/>
    <w:rsid w:val="00BE0ECA"/>
    <w:rsid w:val="00BE2135"/>
    <w:rsid w:val="00BE2180"/>
    <w:rsid w:val="00BE21F2"/>
    <w:rsid w:val="00BE4275"/>
    <w:rsid w:val="00BE44D4"/>
    <w:rsid w:val="00BE451B"/>
    <w:rsid w:val="00BE74CE"/>
    <w:rsid w:val="00BF06AE"/>
    <w:rsid w:val="00BF0F95"/>
    <w:rsid w:val="00BF181F"/>
    <w:rsid w:val="00BF1EA1"/>
    <w:rsid w:val="00BF2433"/>
    <w:rsid w:val="00BF35A0"/>
    <w:rsid w:val="00BF3C9F"/>
    <w:rsid w:val="00BF61C9"/>
    <w:rsid w:val="00BF621E"/>
    <w:rsid w:val="00BF6C94"/>
    <w:rsid w:val="00C00424"/>
    <w:rsid w:val="00C00928"/>
    <w:rsid w:val="00C033EA"/>
    <w:rsid w:val="00C041DE"/>
    <w:rsid w:val="00C04CB0"/>
    <w:rsid w:val="00C04F24"/>
    <w:rsid w:val="00C065DE"/>
    <w:rsid w:val="00C10980"/>
    <w:rsid w:val="00C11327"/>
    <w:rsid w:val="00C1179F"/>
    <w:rsid w:val="00C12A80"/>
    <w:rsid w:val="00C12C14"/>
    <w:rsid w:val="00C12E86"/>
    <w:rsid w:val="00C14264"/>
    <w:rsid w:val="00C15AE1"/>
    <w:rsid w:val="00C15D19"/>
    <w:rsid w:val="00C15F04"/>
    <w:rsid w:val="00C1606F"/>
    <w:rsid w:val="00C16EFA"/>
    <w:rsid w:val="00C179B3"/>
    <w:rsid w:val="00C17E3F"/>
    <w:rsid w:val="00C200AA"/>
    <w:rsid w:val="00C237ED"/>
    <w:rsid w:val="00C23EF9"/>
    <w:rsid w:val="00C2418B"/>
    <w:rsid w:val="00C24632"/>
    <w:rsid w:val="00C24A75"/>
    <w:rsid w:val="00C25418"/>
    <w:rsid w:val="00C25D9C"/>
    <w:rsid w:val="00C26CBB"/>
    <w:rsid w:val="00C2778B"/>
    <w:rsid w:val="00C31649"/>
    <w:rsid w:val="00C32F84"/>
    <w:rsid w:val="00C3434C"/>
    <w:rsid w:val="00C34444"/>
    <w:rsid w:val="00C345D8"/>
    <w:rsid w:val="00C36992"/>
    <w:rsid w:val="00C40385"/>
    <w:rsid w:val="00C41768"/>
    <w:rsid w:val="00C41FEA"/>
    <w:rsid w:val="00C42FEB"/>
    <w:rsid w:val="00C45C4E"/>
    <w:rsid w:val="00C475AA"/>
    <w:rsid w:val="00C50D2A"/>
    <w:rsid w:val="00C5154A"/>
    <w:rsid w:val="00C53C98"/>
    <w:rsid w:val="00C543DF"/>
    <w:rsid w:val="00C55981"/>
    <w:rsid w:val="00C55B1C"/>
    <w:rsid w:val="00C55BFC"/>
    <w:rsid w:val="00C56FCF"/>
    <w:rsid w:val="00C57B40"/>
    <w:rsid w:val="00C57B6C"/>
    <w:rsid w:val="00C6015A"/>
    <w:rsid w:val="00C60569"/>
    <w:rsid w:val="00C61875"/>
    <w:rsid w:val="00C625F3"/>
    <w:rsid w:val="00C628A6"/>
    <w:rsid w:val="00C63161"/>
    <w:rsid w:val="00C64344"/>
    <w:rsid w:val="00C6434A"/>
    <w:rsid w:val="00C65108"/>
    <w:rsid w:val="00C65576"/>
    <w:rsid w:val="00C65B14"/>
    <w:rsid w:val="00C66165"/>
    <w:rsid w:val="00C666CE"/>
    <w:rsid w:val="00C7060A"/>
    <w:rsid w:val="00C7151A"/>
    <w:rsid w:val="00C717E3"/>
    <w:rsid w:val="00C71F60"/>
    <w:rsid w:val="00C72241"/>
    <w:rsid w:val="00C73530"/>
    <w:rsid w:val="00C73751"/>
    <w:rsid w:val="00C746AF"/>
    <w:rsid w:val="00C74A2B"/>
    <w:rsid w:val="00C750C8"/>
    <w:rsid w:val="00C7560F"/>
    <w:rsid w:val="00C757FE"/>
    <w:rsid w:val="00C75DCA"/>
    <w:rsid w:val="00C80A0E"/>
    <w:rsid w:val="00C81B51"/>
    <w:rsid w:val="00C8213F"/>
    <w:rsid w:val="00C83790"/>
    <w:rsid w:val="00C841B3"/>
    <w:rsid w:val="00C84878"/>
    <w:rsid w:val="00C85154"/>
    <w:rsid w:val="00C85D5B"/>
    <w:rsid w:val="00C8643E"/>
    <w:rsid w:val="00C8661B"/>
    <w:rsid w:val="00C8797A"/>
    <w:rsid w:val="00C87FBF"/>
    <w:rsid w:val="00C900B8"/>
    <w:rsid w:val="00C90C71"/>
    <w:rsid w:val="00C91FD1"/>
    <w:rsid w:val="00C927AF"/>
    <w:rsid w:val="00C92833"/>
    <w:rsid w:val="00C92CB4"/>
    <w:rsid w:val="00C931CF"/>
    <w:rsid w:val="00C938CF"/>
    <w:rsid w:val="00C94053"/>
    <w:rsid w:val="00C94DA7"/>
    <w:rsid w:val="00C95FAD"/>
    <w:rsid w:val="00C9624D"/>
    <w:rsid w:val="00C969DA"/>
    <w:rsid w:val="00C96C8F"/>
    <w:rsid w:val="00C96CCA"/>
    <w:rsid w:val="00C971F1"/>
    <w:rsid w:val="00CA1E36"/>
    <w:rsid w:val="00CA2C77"/>
    <w:rsid w:val="00CA2D3F"/>
    <w:rsid w:val="00CA3162"/>
    <w:rsid w:val="00CA377B"/>
    <w:rsid w:val="00CA37F8"/>
    <w:rsid w:val="00CA3921"/>
    <w:rsid w:val="00CA444F"/>
    <w:rsid w:val="00CA4F57"/>
    <w:rsid w:val="00CA5245"/>
    <w:rsid w:val="00CA6689"/>
    <w:rsid w:val="00CA71F4"/>
    <w:rsid w:val="00CA733C"/>
    <w:rsid w:val="00CA7B09"/>
    <w:rsid w:val="00CB12A5"/>
    <w:rsid w:val="00CB1CAC"/>
    <w:rsid w:val="00CB2F2A"/>
    <w:rsid w:val="00CB5B1A"/>
    <w:rsid w:val="00CB6B22"/>
    <w:rsid w:val="00CB7F5F"/>
    <w:rsid w:val="00CC03E1"/>
    <w:rsid w:val="00CC1B39"/>
    <w:rsid w:val="00CC2063"/>
    <w:rsid w:val="00CC3174"/>
    <w:rsid w:val="00CC35EA"/>
    <w:rsid w:val="00CC3848"/>
    <w:rsid w:val="00CC7A09"/>
    <w:rsid w:val="00CD035F"/>
    <w:rsid w:val="00CD357F"/>
    <w:rsid w:val="00CD3F77"/>
    <w:rsid w:val="00CD614F"/>
    <w:rsid w:val="00CD6ADC"/>
    <w:rsid w:val="00CD7193"/>
    <w:rsid w:val="00CE19B8"/>
    <w:rsid w:val="00CE38C8"/>
    <w:rsid w:val="00CE3CEC"/>
    <w:rsid w:val="00CE425A"/>
    <w:rsid w:val="00CE4C1F"/>
    <w:rsid w:val="00CE53B5"/>
    <w:rsid w:val="00CE53D8"/>
    <w:rsid w:val="00CE6274"/>
    <w:rsid w:val="00CE77B6"/>
    <w:rsid w:val="00CE7874"/>
    <w:rsid w:val="00CF0C47"/>
    <w:rsid w:val="00CF0E60"/>
    <w:rsid w:val="00CF0FA7"/>
    <w:rsid w:val="00CF2B8D"/>
    <w:rsid w:val="00CF3975"/>
    <w:rsid w:val="00CF44E3"/>
    <w:rsid w:val="00CF456B"/>
    <w:rsid w:val="00CF5A22"/>
    <w:rsid w:val="00CF5CE1"/>
    <w:rsid w:val="00CF6CDB"/>
    <w:rsid w:val="00CF70F7"/>
    <w:rsid w:val="00CF7A9B"/>
    <w:rsid w:val="00D005A8"/>
    <w:rsid w:val="00D0262E"/>
    <w:rsid w:val="00D02709"/>
    <w:rsid w:val="00D029F9"/>
    <w:rsid w:val="00D02DED"/>
    <w:rsid w:val="00D0459A"/>
    <w:rsid w:val="00D05E3D"/>
    <w:rsid w:val="00D06139"/>
    <w:rsid w:val="00D07419"/>
    <w:rsid w:val="00D10412"/>
    <w:rsid w:val="00D110BD"/>
    <w:rsid w:val="00D13675"/>
    <w:rsid w:val="00D141E1"/>
    <w:rsid w:val="00D14AC1"/>
    <w:rsid w:val="00D15314"/>
    <w:rsid w:val="00D17D6C"/>
    <w:rsid w:val="00D2155B"/>
    <w:rsid w:val="00D22792"/>
    <w:rsid w:val="00D22878"/>
    <w:rsid w:val="00D2302E"/>
    <w:rsid w:val="00D23D11"/>
    <w:rsid w:val="00D244B6"/>
    <w:rsid w:val="00D2665F"/>
    <w:rsid w:val="00D273EB"/>
    <w:rsid w:val="00D2754D"/>
    <w:rsid w:val="00D27B27"/>
    <w:rsid w:val="00D30435"/>
    <w:rsid w:val="00D33BE9"/>
    <w:rsid w:val="00D33F93"/>
    <w:rsid w:val="00D349C0"/>
    <w:rsid w:val="00D357FF"/>
    <w:rsid w:val="00D423F3"/>
    <w:rsid w:val="00D424C7"/>
    <w:rsid w:val="00D42E92"/>
    <w:rsid w:val="00D43415"/>
    <w:rsid w:val="00D43B2A"/>
    <w:rsid w:val="00D43D83"/>
    <w:rsid w:val="00D4521D"/>
    <w:rsid w:val="00D47065"/>
    <w:rsid w:val="00D47575"/>
    <w:rsid w:val="00D51800"/>
    <w:rsid w:val="00D5243B"/>
    <w:rsid w:val="00D533EC"/>
    <w:rsid w:val="00D53AC5"/>
    <w:rsid w:val="00D544B8"/>
    <w:rsid w:val="00D55738"/>
    <w:rsid w:val="00D55814"/>
    <w:rsid w:val="00D56A95"/>
    <w:rsid w:val="00D60AEC"/>
    <w:rsid w:val="00D60FD1"/>
    <w:rsid w:val="00D61815"/>
    <w:rsid w:val="00D62B8F"/>
    <w:rsid w:val="00D63DB3"/>
    <w:rsid w:val="00D65B13"/>
    <w:rsid w:val="00D6668E"/>
    <w:rsid w:val="00D66F8E"/>
    <w:rsid w:val="00D6717B"/>
    <w:rsid w:val="00D70F16"/>
    <w:rsid w:val="00D72F57"/>
    <w:rsid w:val="00D7351F"/>
    <w:rsid w:val="00D7501D"/>
    <w:rsid w:val="00D75FD3"/>
    <w:rsid w:val="00D76A44"/>
    <w:rsid w:val="00D815EF"/>
    <w:rsid w:val="00D81F26"/>
    <w:rsid w:val="00D83415"/>
    <w:rsid w:val="00D85725"/>
    <w:rsid w:val="00D85B59"/>
    <w:rsid w:val="00D86231"/>
    <w:rsid w:val="00D87E1E"/>
    <w:rsid w:val="00D912A3"/>
    <w:rsid w:val="00D91923"/>
    <w:rsid w:val="00D93753"/>
    <w:rsid w:val="00D94F10"/>
    <w:rsid w:val="00D96096"/>
    <w:rsid w:val="00DA2095"/>
    <w:rsid w:val="00DA2A0E"/>
    <w:rsid w:val="00DA3167"/>
    <w:rsid w:val="00DA3B1F"/>
    <w:rsid w:val="00DA3B41"/>
    <w:rsid w:val="00DA4785"/>
    <w:rsid w:val="00DA4DC3"/>
    <w:rsid w:val="00DA77A5"/>
    <w:rsid w:val="00DA7922"/>
    <w:rsid w:val="00DA79FD"/>
    <w:rsid w:val="00DB1E41"/>
    <w:rsid w:val="00DB37E6"/>
    <w:rsid w:val="00DB3DBF"/>
    <w:rsid w:val="00DB484F"/>
    <w:rsid w:val="00DB60A4"/>
    <w:rsid w:val="00DB7090"/>
    <w:rsid w:val="00DB7795"/>
    <w:rsid w:val="00DC04F6"/>
    <w:rsid w:val="00DC0690"/>
    <w:rsid w:val="00DC1D65"/>
    <w:rsid w:val="00DC342E"/>
    <w:rsid w:val="00DC3C57"/>
    <w:rsid w:val="00DC5501"/>
    <w:rsid w:val="00DC6EAF"/>
    <w:rsid w:val="00DC7154"/>
    <w:rsid w:val="00DC7860"/>
    <w:rsid w:val="00DC7E8A"/>
    <w:rsid w:val="00DD0F78"/>
    <w:rsid w:val="00DD1D7E"/>
    <w:rsid w:val="00DD1DFD"/>
    <w:rsid w:val="00DD273C"/>
    <w:rsid w:val="00DD2FFA"/>
    <w:rsid w:val="00DD3CE7"/>
    <w:rsid w:val="00DD3F28"/>
    <w:rsid w:val="00DD40E7"/>
    <w:rsid w:val="00DD4537"/>
    <w:rsid w:val="00DD46E6"/>
    <w:rsid w:val="00DD4B2D"/>
    <w:rsid w:val="00DD4E15"/>
    <w:rsid w:val="00DD5C85"/>
    <w:rsid w:val="00DD76CF"/>
    <w:rsid w:val="00DD7D42"/>
    <w:rsid w:val="00DE2304"/>
    <w:rsid w:val="00DE268A"/>
    <w:rsid w:val="00DE2CAC"/>
    <w:rsid w:val="00DE3138"/>
    <w:rsid w:val="00DE37F8"/>
    <w:rsid w:val="00DE467D"/>
    <w:rsid w:val="00DE4F40"/>
    <w:rsid w:val="00DE4FCB"/>
    <w:rsid w:val="00DE54DE"/>
    <w:rsid w:val="00DE55B9"/>
    <w:rsid w:val="00DE5D07"/>
    <w:rsid w:val="00DE72A7"/>
    <w:rsid w:val="00DE7832"/>
    <w:rsid w:val="00DF18FC"/>
    <w:rsid w:val="00DF263D"/>
    <w:rsid w:val="00DF3323"/>
    <w:rsid w:val="00DF5044"/>
    <w:rsid w:val="00DF5D2B"/>
    <w:rsid w:val="00E00E8E"/>
    <w:rsid w:val="00E03C5D"/>
    <w:rsid w:val="00E040C1"/>
    <w:rsid w:val="00E05479"/>
    <w:rsid w:val="00E05630"/>
    <w:rsid w:val="00E061D3"/>
    <w:rsid w:val="00E06DBB"/>
    <w:rsid w:val="00E10149"/>
    <w:rsid w:val="00E11340"/>
    <w:rsid w:val="00E122A1"/>
    <w:rsid w:val="00E13438"/>
    <w:rsid w:val="00E1362A"/>
    <w:rsid w:val="00E16372"/>
    <w:rsid w:val="00E16F08"/>
    <w:rsid w:val="00E17CA4"/>
    <w:rsid w:val="00E2098A"/>
    <w:rsid w:val="00E20E4D"/>
    <w:rsid w:val="00E20ED6"/>
    <w:rsid w:val="00E21358"/>
    <w:rsid w:val="00E2249B"/>
    <w:rsid w:val="00E22670"/>
    <w:rsid w:val="00E22A0D"/>
    <w:rsid w:val="00E244F6"/>
    <w:rsid w:val="00E2746F"/>
    <w:rsid w:val="00E2771E"/>
    <w:rsid w:val="00E30723"/>
    <w:rsid w:val="00E30747"/>
    <w:rsid w:val="00E311EF"/>
    <w:rsid w:val="00E32180"/>
    <w:rsid w:val="00E339C6"/>
    <w:rsid w:val="00E33C74"/>
    <w:rsid w:val="00E34948"/>
    <w:rsid w:val="00E37086"/>
    <w:rsid w:val="00E374EA"/>
    <w:rsid w:val="00E37569"/>
    <w:rsid w:val="00E401B2"/>
    <w:rsid w:val="00E406FB"/>
    <w:rsid w:val="00E40CBC"/>
    <w:rsid w:val="00E41E30"/>
    <w:rsid w:val="00E42BA9"/>
    <w:rsid w:val="00E42F73"/>
    <w:rsid w:val="00E43D70"/>
    <w:rsid w:val="00E466F3"/>
    <w:rsid w:val="00E47B2C"/>
    <w:rsid w:val="00E51560"/>
    <w:rsid w:val="00E53358"/>
    <w:rsid w:val="00E53650"/>
    <w:rsid w:val="00E53FC8"/>
    <w:rsid w:val="00E54347"/>
    <w:rsid w:val="00E547FF"/>
    <w:rsid w:val="00E55424"/>
    <w:rsid w:val="00E55915"/>
    <w:rsid w:val="00E55BB5"/>
    <w:rsid w:val="00E5640A"/>
    <w:rsid w:val="00E56EA1"/>
    <w:rsid w:val="00E57533"/>
    <w:rsid w:val="00E616C5"/>
    <w:rsid w:val="00E61D78"/>
    <w:rsid w:val="00E65E79"/>
    <w:rsid w:val="00E6653C"/>
    <w:rsid w:val="00E66A02"/>
    <w:rsid w:val="00E66BA2"/>
    <w:rsid w:val="00E67163"/>
    <w:rsid w:val="00E67416"/>
    <w:rsid w:val="00E718B6"/>
    <w:rsid w:val="00E723BA"/>
    <w:rsid w:val="00E73581"/>
    <w:rsid w:val="00E74B0C"/>
    <w:rsid w:val="00E74BD1"/>
    <w:rsid w:val="00E76C39"/>
    <w:rsid w:val="00E82ABF"/>
    <w:rsid w:val="00E833F7"/>
    <w:rsid w:val="00E83BDF"/>
    <w:rsid w:val="00E84CEA"/>
    <w:rsid w:val="00E851F5"/>
    <w:rsid w:val="00E862B5"/>
    <w:rsid w:val="00E8631E"/>
    <w:rsid w:val="00E86484"/>
    <w:rsid w:val="00E87A1D"/>
    <w:rsid w:val="00E87CD7"/>
    <w:rsid w:val="00E9094A"/>
    <w:rsid w:val="00E90B4B"/>
    <w:rsid w:val="00E91321"/>
    <w:rsid w:val="00E91899"/>
    <w:rsid w:val="00E91D35"/>
    <w:rsid w:val="00E926A5"/>
    <w:rsid w:val="00E95920"/>
    <w:rsid w:val="00EA04F7"/>
    <w:rsid w:val="00EA17C3"/>
    <w:rsid w:val="00EA2CAA"/>
    <w:rsid w:val="00EA3864"/>
    <w:rsid w:val="00EA7F1C"/>
    <w:rsid w:val="00EB02D9"/>
    <w:rsid w:val="00EB153E"/>
    <w:rsid w:val="00EB15B6"/>
    <w:rsid w:val="00EB3D06"/>
    <w:rsid w:val="00EB3E75"/>
    <w:rsid w:val="00EB4916"/>
    <w:rsid w:val="00EB5E39"/>
    <w:rsid w:val="00EC00C9"/>
    <w:rsid w:val="00EC0DD9"/>
    <w:rsid w:val="00EC2649"/>
    <w:rsid w:val="00EC31ED"/>
    <w:rsid w:val="00EC3F6F"/>
    <w:rsid w:val="00EC4701"/>
    <w:rsid w:val="00EC518F"/>
    <w:rsid w:val="00EC54AE"/>
    <w:rsid w:val="00EC5836"/>
    <w:rsid w:val="00EC688C"/>
    <w:rsid w:val="00ED4991"/>
    <w:rsid w:val="00ED57EA"/>
    <w:rsid w:val="00ED5BD4"/>
    <w:rsid w:val="00ED7F48"/>
    <w:rsid w:val="00EE07D3"/>
    <w:rsid w:val="00EE1996"/>
    <w:rsid w:val="00EE1C01"/>
    <w:rsid w:val="00EE22AF"/>
    <w:rsid w:val="00EE397C"/>
    <w:rsid w:val="00EE50C5"/>
    <w:rsid w:val="00EE6A73"/>
    <w:rsid w:val="00EE7C9F"/>
    <w:rsid w:val="00EF0171"/>
    <w:rsid w:val="00EF1B25"/>
    <w:rsid w:val="00EF1DA0"/>
    <w:rsid w:val="00EF21A8"/>
    <w:rsid w:val="00EF2FE7"/>
    <w:rsid w:val="00EF343B"/>
    <w:rsid w:val="00EF4747"/>
    <w:rsid w:val="00EF4BF8"/>
    <w:rsid w:val="00EF51E9"/>
    <w:rsid w:val="00EF533B"/>
    <w:rsid w:val="00EF57E9"/>
    <w:rsid w:val="00F0070A"/>
    <w:rsid w:val="00F00E46"/>
    <w:rsid w:val="00F010D0"/>
    <w:rsid w:val="00F012F4"/>
    <w:rsid w:val="00F02253"/>
    <w:rsid w:val="00F03351"/>
    <w:rsid w:val="00F03C2E"/>
    <w:rsid w:val="00F04A66"/>
    <w:rsid w:val="00F04B4B"/>
    <w:rsid w:val="00F0516C"/>
    <w:rsid w:val="00F067A2"/>
    <w:rsid w:val="00F06E22"/>
    <w:rsid w:val="00F07B9E"/>
    <w:rsid w:val="00F10948"/>
    <w:rsid w:val="00F1116F"/>
    <w:rsid w:val="00F112AA"/>
    <w:rsid w:val="00F11B5A"/>
    <w:rsid w:val="00F1263A"/>
    <w:rsid w:val="00F15B77"/>
    <w:rsid w:val="00F23E8C"/>
    <w:rsid w:val="00F2463E"/>
    <w:rsid w:val="00F24837"/>
    <w:rsid w:val="00F25201"/>
    <w:rsid w:val="00F2575F"/>
    <w:rsid w:val="00F26330"/>
    <w:rsid w:val="00F27565"/>
    <w:rsid w:val="00F30139"/>
    <w:rsid w:val="00F310D4"/>
    <w:rsid w:val="00F312E2"/>
    <w:rsid w:val="00F31D5A"/>
    <w:rsid w:val="00F320E6"/>
    <w:rsid w:val="00F33975"/>
    <w:rsid w:val="00F33A35"/>
    <w:rsid w:val="00F33DE9"/>
    <w:rsid w:val="00F34908"/>
    <w:rsid w:val="00F35E6D"/>
    <w:rsid w:val="00F3619A"/>
    <w:rsid w:val="00F40AAA"/>
    <w:rsid w:val="00F40BA7"/>
    <w:rsid w:val="00F40F9D"/>
    <w:rsid w:val="00F414D3"/>
    <w:rsid w:val="00F41ACD"/>
    <w:rsid w:val="00F4285C"/>
    <w:rsid w:val="00F4651F"/>
    <w:rsid w:val="00F46811"/>
    <w:rsid w:val="00F46CB6"/>
    <w:rsid w:val="00F4756D"/>
    <w:rsid w:val="00F47DE8"/>
    <w:rsid w:val="00F5003F"/>
    <w:rsid w:val="00F5070C"/>
    <w:rsid w:val="00F52705"/>
    <w:rsid w:val="00F542C1"/>
    <w:rsid w:val="00F55E73"/>
    <w:rsid w:val="00F55EDA"/>
    <w:rsid w:val="00F5684B"/>
    <w:rsid w:val="00F56877"/>
    <w:rsid w:val="00F56C80"/>
    <w:rsid w:val="00F56D35"/>
    <w:rsid w:val="00F571C7"/>
    <w:rsid w:val="00F60092"/>
    <w:rsid w:val="00F61C18"/>
    <w:rsid w:val="00F62DEB"/>
    <w:rsid w:val="00F65744"/>
    <w:rsid w:val="00F65F4B"/>
    <w:rsid w:val="00F675D9"/>
    <w:rsid w:val="00F67A69"/>
    <w:rsid w:val="00F70BFF"/>
    <w:rsid w:val="00F70C9D"/>
    <w:rsid w:val="00F72348"/>
    <w:rsid w:val="00F72F2C"/>
    <w:rsid w:val="00F72FB3"/>
    <w:rsid w:val="00F73478"/>
    <w:rsid w:val="00F74CD9"/>
    <w:rsid w:val="00F77A2B"/>
    <w:rsid w:val="00F80A7B"/>
    <w:rsid w:val="00F80E5D"/>
    <w:rsid w:val="00F81E78"/>
    <w:rsid w:val="00F81EC0"/>
    <w:rsid w:val="00F83502"/>
    <w:rsid w:val="00F84FD3"/>
    <w:rsid w:val="00F85053"/>
    <w:rsid w:val="00F851CE"/>
    <w:rsid w:val="00F8574F"/>
    <w:rsid w:val="00F870EB"/>
    <w:rsid w:val="00F877ED"/>
    <w:rsid w:val="00F91219"/>
    <w:rsid w:val="00F92444"/>
    <w:rsid w:val="00F92EB1"/>
    <w:rsid w:val="00F93569"/>
    <w:rsid w:val="00F9393E"/>
    <w:rsid w:val="00F96FD0"/>
    <w:rsid w:val="00F97A78"/>
    <w:rsid w:val="00F97D1C"/>
    <w:rsid w:val="00FA05B9"/>
    <w:rsid w:val="00FA0A03"/>
    <w:rsid w:val="00FA0B20"/>
    <w:rsid w:val="00FA24E7"/>
    <w:rsid w:val="00FA471B"/>
    <w:rsid w:val="00FA55CA"/>
    <w:rsid w:val="00FA5EE6"/>
    <w:rsid w:val="00FA6657"/>
    <w:rsid w:val="00FA7956"/>
    <w:rsid w:val="00FB0969"/>
    <w:rsid w:val="00FB2FCB"/>
    <w:rsid w:val="00FB3DD3"/>
    <w:rsid w:val="00FB433E"/>
    <w:rsid w:val="00FB4892"/>
    <w:rsid w:val="00FB5090"/>
    <w:rsid w:val="00FB6271"/>
    <w:rsid w:val="00FB74F2"/>
    <w:rsid w:val="00FB7808"/>
    <w:rsid w:val="00FB7C55"/>
    <w:rsid w:val="00FC1074"/>
    <w:rsid w:val="00FC1884"/>
    <w:rsid w:val="00FC19AD"/>
    <w:rsid w:val="00FC206C"/>
    <w:rsid w:val="00FC298F"/>
    <w:rsid w:val="00FC2AE5"/>
    <w:rsid w:val="00FC371D"/>
    <w:rsid w:val="00FC4104"/>
    <w:rsid w:val="00FC53C6"/>
    <w:rsid w:val="00FC5B16"/>
    <w:rsid w:val="00FC5F0B"/>
    <w:rsid w:val="00FC66BF"/>
    <w:rsid w:val="00FC7EE4"/>
    <w:rsid w:val="00FD0672"/>
    <w:rsid w:val="00FD2100"/>
    <w:rsid w:val="00FD436C"/>
    <w:rsid w:val="00FD446D"/>
    <w:rsid w:val="00FD4F2C"/>
    <w:rsid w:val="00FD6394"/>
    <w:rsid w:val="00FE0E6C"/>
    <w:rsid w:val="00FE1CDC"/>
    <w:rsid w:val="00FE1E3D"/>
    <w:rsid w:val="00FE26F3"/>
    <w:rsid w:val="00FE3619"/>
    <w:rsid w:val="00FE3C30"/>
    <w:rsid w:val="00FE4154"/>
    <w:rsid w:val="00FE4692"/>
    <w:rsid w:val="00FE56C2"/>
    <w:rsid w:val="00FE601A"/>
    <w:rsid w:val="00FE70C3"/>
    <w:rsid w:val="00FE7ACF"/>
    <w:rsid w:val="00FF0B77"/>
    <w:rsid w:val="00FF2AD9"/>
    <w:rsid w:val="00FF359F"/>
    <w:rsid w:val="00FF3DCF"/>
    <w:rsid w:val="00FF492C"/>
    <w:rsid w:val="00FF4A21"/>
    <w:rsid w:val="00FF5AA3"/>
    <w:rsid w:val="00FF5AD8"/>
    <w:rsid w:val="00FF64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qFormat="1"/>
    <w:lsdException w:name="heading 7" w:semiHidden="1" w:unhideWhenUsed="1"/>
    <w:lsdException w:name="heading 8" w:semiHidden="1" w:uiPriority="7"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uiPriority w:val="9"/>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qFormat/>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table" w:customStyle="1" w:styleId="TableGrid1">
    <w:name w:val="Table Grid1"/>
    <w:basedOn w:val="TableNormal"/>
    <w:next w:val="TableGrid"/>
    <w:rsid w:val="007F172A"/>
    <w:pPr>
      <w:spacing w:before="40" w:after="4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NewRoman" w:hAnsi="TimesNewRoman"/>
        <w:b w:val="0"/>
        <w:sz w:val="20"/>
      </w:rPr>
      <w:tblPr/>
      <w:tcPr>
        <w:shd w:val="clear" w:color="auto" w:fill="D9D9D9" w:themeFill="background1" w:themeFillShade="D9"/>
      </w:tcPr>
    </w:tblStylePr>
  </w:style>
  <w:style w:type="character" w:styleId="CommentReference">
    <w:name w:val="annotation reference"/>
    <w:aliases w:val="Table Title"/>
    <w:basedOn w:val="DefaultParagraphFont"/>
    <w:uiPriority w:val="99"/>
    <w:unhideWhenUsed/>
    <w:qFormat/>
    <w:rsid w:val="007F172A"/>
    <w:rPr>
      <w:sz w:val="16"/>
      <w:szCs w:val="16"/>
    </w:rPr>
  </w:style>
  <w:style w:type="paragraph" w:styleId="CommentText">
    <w:name w:val="annotation text"/>
    <w:basedOn w:val="Normal"/>
    <w:link w:val="CommentTextChar"/>
    <w:uiPriority w:val="99"/>
    <w:unhideWhenUsed/>
    <w:rsid w:val="007F172A"/>
    <w:rPr>
      <w:sz w:val="20"/>
      <w:szCs w:val="20"/>
    </w:rPr>
  </w:style>
  <w:style w:type="character" w:customStyle="1" w:styleId="CommentTextChar">
    <w:name w:val="Comment Text Char"/>
    <w:basedOn w:val="DefaultParagraphFont"/>
    <w:link w:val="CommentText"/>
    <w:uiPriority w:val="99"/>
    <w:rsid w:val="007F172A"/>
    <w:rPr>
      <w:rFonts w:ascii="Calibri" w:hAnsi="Calibri" w:cs="Arial"/>
    </w:rPr>
  </w:style>
  <w:style w:type="paragraph" w:styleId="CommentSubject">
    <w:name w:val="annotation subject"/>
    <w:basedOn w:val="CommentText"/>
    <w:next w:val="CommentText"/>
    <w:link w:val="CommentSubjectChar"/>
    <w:uiPriority w:val="99"/>
    <w:semiHidden/>
    <w:unhideWhenUsed/>
    <w:rsid w:val="007F172A"/>
    <w:rPr>
      <w:b/>
      <w:bCs/>
    </w:rPr>
  </w:style>
  <w:style w:type="character" w:customStyle="1" w:styleId="CommentSubjectChar">
    <w:name w:val="Comment Subject Char"/>
    <w:basedOn w:val="CommentTextChar"/>
    <w:link w:val="CommentSubject"/>
    <w:uiPriority w:val="99"/>
    <w:semiHidden/>
    <w:rsid w:val="007F172A"/>
    <w:rPr>
      <w:rFonts w:ascii="Calibri" w:hAnsi="Calibri" w:cs="Arial"/>
      <w:b/>
      <w:bCs/>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7F172A"/>
    <w:pPr>
      <w:keepNext/>
      <w:spacing w:after="80" w:line="276" w:lineRule="auto"/>
      <w:ind w:left="1134" w:hanging="1134"/>
      <w:mirrorIndents/>
      <w:jc w:val="left"/>
    </w:pPr>
    <w:rPr>
      <w:rFonts w:cs="Times New Roman"/>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99"/>
    <w:rsid w:val="007F172A"/>
    <w:rPr>
      <w:rFonts w:ascii="Calibri" w:hAnsi="Calibri"/>
      <w:b/>
      <w:bCs/>
      <w:szCs w:val="18"/>
    </w:rPr>
  </w:style>
  <w:style w:type="paragraph" w:styleId="ListParagraph">
    <w:name w:val="List Paragraph"/>
    <w:aliases w:val="Table Legend,Bullet1,Bullet 1,Bullet List,Section 5,Numbered para,BulletPoints,Styl moj,Akapit z listą11,List Paragraph1,Bullet point,List Paragraph11,Recommendation,L,Bullet Point,Bulletr List Paragraph,Content descriptions,FooterText"/>
    <w:basedOn w:val="Normal"/>
    <w:link w:val="ListParagraphChar"/>
    <w:uiPriority w:val="34"/>
    <w:qFormat/>
    <w:rsid w:val="00375439"/>
    <w:pPr>
      <w:spacing w:after="200" w:line="312" w:lineRule="auto"/>
      <w:ind w:left="720"/>
      <w:contextualSpacing/>
      <w:jc w:val="left"/>
    </w:pPr>
    <w:rPr>
      <w:rFonts w:cs="Times New Roman"/>
      <w:sz w:val="22"/>
    </w:rPr>
  </w:style>
  <w:style w:type="character" w:customStyle="1" w:styleId="ListParagraphChar">
    <w:name w:val="List Paragraph Char"/>
    <w:aliases w:val="Table Legend Char,Bullet1 Char,Bullet 1 Char,Bullet List Char,Section 5 Char,Numbered para Char,BulletPoints Char,Styl moj Char,Akapit z listą11 Char,List Paragraph1 Char,Bullet point Char,List Paragraph11 Char,Recommendation Char"/>
    <w:basedOn w:val="DefaultParagraphFont"/>
    <w:link w:val="ListParagraph"/>
    <w:uiPriority w:val="72"/>
    <w:qFormat/>
    <w:rsid w:val="00375439"/>
    <w:rPr>
      <w:rFonts w:ascii="Calibri" w:hAnsi="Calibri"/>
      <w:sz w:val="22"/>
      <w:szCs w:val="24"/>
    </w:rPr>
  </w:style>
  <w:style w:type="paragraph" w:customStyle="1" w:styleId="TableNotes">
    <w:name w:val="Table Notes"/>
    <w:basedOn w:val="Normal"/>
    <w:next w:val="Normal"/>
    <w:link w:val="TableNotesChar"/>
    <w:qFormat/>
    <w:rsid w:val="00375439"/>
    <w:pPr>
      <w:keepLines/>
      <w:spacing w:before="60" w:after="240"/>
      <w:contextualSpacing/>
      <w:jc w:val="left"/>
    </w:pPr>
    <w:rPr>
      <w:rFonts w:asciiTheme="minorHAnsi" w:hAnsiTheme="minorHAnsi" w:cs="Times New Roman"/>
      <w:sz w:val="16"/>
      <w:szCs w:val="16"/>
    </w:rPr>
  </w:style>
  <w:style w:type="character" w:customStyle="1" w:styleId="TableNotesChar">
    <w:name w:val="Table Notes Char"/>
    <w:basedOn w:val="DefaultParagraphFont"/>
    <w:link w:val="TableNotes"/>
    <w:locked/>
    <w:rsid w:val="00375439"/>
    <w:rPr>
      <w:rFonts w:asciiTheme="minorHAnsi" w:hAnsiTheme="minorHAnsi"/>
      <w:sz w:val="16"/>
      <w:szCs w:val="16"/>
    </w:rPr>
  </w:style>
  <w:style w:type="table" w:customStyle="1" w:styleId="TableGridbeth2">
    <w:name w:val="Table Gridbeth2"/>
    <w:basedOn w:val="TableNormal"/>
    <w:next w:val="TableGrid"/>
    <w:uiPriority w:val="59"/>
    <w:rsid w:val="00C2418B"/>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er">
    <w:name w:val="Table Footer"/>
    <w:basedOn w:val="Normal"/>
    <w:link w:val="TableFooterChar"/>
    <w:qFormat/>
    <w:rsid w:val="00107B5C"/>
    <w:pPr>
      <w:widowControl w:val="0"/>
    </w:pPr>
    <w:rPr>
      <w:rFonts w:ascii="Arial Narrow" w:hAnsi="Arial Narrow"/>
      <w:snapToGrid w:val="0"/>
      <w:sz w:val="18"/>
      <w:szCs w:val="22"/>
      <w:lang w:eastAsia="en-US"/>
    </w:rPr>
  </w:style>
  <w:style w:type="character" w:customStyle="1" w:styleId="TableFooterChar">
    <w:name w:val="Table Footer Char"/>
    <w:link w:val="TableFooter"/>
    <w:rsid w:val="00107B5C"/>
    <w:rPr>
      <w:rFonts w:ascii="Arial Narrow" w:hAnsi="Arial Narrow" w:cs="Arial"/>
      <w:snapToGrid w:val="0"/>
      <w:sz w:val="18"/>
      <w:szCs w:val="22"/>
      <w:lang w:eastAsia="en-US"/>
    </w:rPr>
  </w:style>
  <w:style w:type="paragraph" w:styleId="Header">
    <w:name w:val="header"/>
    <w:aliases w:val="Page Header,Header title,he=header,cntr/bld"/>
    <w:basedOn w:val="Normal"/>
    <w:link w:val="HeaderChar"/>
    <w:unhideWhenUsed/>
    <w:qFormat/>
    <w:rsid w:val="00C32F8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C32F84"/>
    <w:rPr>
      <w:rFonts w:ascii="Calibri" w:hAnsi="Calibri" w:cs="Arial"/>
      <w:sz w:val="24"/>
      <w:szCs w:val="24"/>
    </w:rPr>
  </w:style>
  <w:style w:type="paragraph" w:styleId="Footer">
    <w:name w:val="footer"/>
    <w:basedOn w:val="Normal"/>
    <w:link w:val="FooterChar"/>
    <w:uiPriority w:val="99"/>
    <w:unhideWhenUsed/>
    <w:rsid w:val="00C32F84"/>
    <w:pPr>
      <w:tabs>
        <w:tab w:val="center" w:pos="4513"/>
        <w:tab w:val="right" w:pos="9026"/>
      </w:tabs>
    </w:pPr>
  </w:style>
  <w:style w:type="character" w:customStyle="1" w:styleId="FooterChar">
    <w:name w:val="Footer Char"/>
    <w:basedOn w:val="DefaultParagraphFont"/>
    <w:link w:val="Footer"/>
    <w:uiPriority w:val="99"/>
    <w:rsid w:val="00C32F84"/>
    <w:rPr>
      <w:rFonts w:ascii="Calibri" w:hAnsi="Calibri" w:cs="Arial"/>
      <w:sz w:val="24"/>
      <w:szCs w:val="24"/>
    </w:rPr>
  </w:style>
  <w:style w:type="table" w:customStyle="1" w:styleId="TableGrid11">
    <w:name w:val="Table Grid11"/>
    <w:basedOn w:val="TableNormal"/>
    <w:next w:val="TableGrid"/>
    <w:rsid w:val="00B529E6"/>
    <w:pPr>
      <w:spacing w:before="40" w:after="4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NewRoman" w:hAnsi="TimesNewRoman"/>
        <w:b w:val="0"/>
        <w:sz w:val="20"/>
      </w:rPr>
      <w:tblPr/>
      <w:tcPr>
        <w:shd w:val="clear" w:color="auto" w:fill="D9D9D9" w:themeFill="background1" w:themeFillShade="D9"/>
      </w:tcPr>
    </w:tblStylePr>
  </w:style>
  <w:style w:type="table" w:customStyle="1" w:styleId="TableGrid12">
    <w:name w:val="Table Grid12"/>
    <w:basedOn w:val="TableNormal"/>
    <w:next w:val="TableGrid"/>
    <w:rsid w:val="00FE3C30"/>
    <w:pPr>
      <w:spacing w:before="40" w:after="4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NewRoman" w:hAnsi="TimesNewRoman"/>
        <w:b w:val="0"/>
        <w:sz w:val="20"/>
      </w:rPr>
      <w:tblPr/>
      <w:tcPr>
        <w:shd w:val="clear" w:color="auto" w:fill="D9D9D9" w:themeFill="background1" w:themeFillShade="D9"/>
      </w:tcPr>
    </w:tblStylePr>
  </w:style>
  <w:style w:type="paragraph" w:customStyle="1" w:styleId="Table">
    <w:name w:val="Table"/>
    <w:basedOn w:val="Normal"/>
    <w:qFormat/>
    <w:rsid w:val="00EF2FE7"/>
    <w:pPr>
      <w:keepNext/>
      <w:keepLines/>
      <w:spacing w:after="200"/>
      <w:jc w:val="left"/>
    </w:pPr>
    <w:rPr>
      <w:rFonts w:eastAsiaTheme="majorEastAsia" w:cstheme="majorBidi"/>
      <w:sz w:val="20"/>
      <w:lang w:bidi="en-US"/>
    </w:rPr>
  </w:style>
  <w:style w:type="table" w:customStyle="1" w:styleId="TableGrid13">
    <w:name w:val="Table Grid13"/>
    <w:basedOn w:val="TableNormal"/>
    <w:next w:val="TableGrid"/>
    <w:rsid w:val="00EF2FE7"/>
    <w:pPr>
      <w:spacing w:before="40" w:after="4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NewRoman" w:hAnsi="TimesNewRoman"/>
        <w:b w:val="0"/>
        <w:sz w:val="20"/>
      </w:rPr>
      <w:tblPr/>
      <w:tcPr>
        <w:shd w:val="clear" w:color="auto" w:fill="D9D9D9" w:themeFill="background1" w:themeFillShade="D9"/>
      </w:tcPr>
    </w:tblStylePr>
  </w:style>
  <w:style w:type="character" w:customStyle="1" w:styleId="TableHeadingChar">
    <w:name w:val="Table Heading Char"/>
    <w:link w:val="TableHeading"/>
    <w:locked/>
    <w:rsid w:val="000704B6"/>
    <w:rPr>
      <w:rFonts w:ascii="Arial Narrow" w:eastAsiaTheme="minorHAnsi" w:hAnsi="Arial Narrow" w:cstheme="minorBidi"/>
      <w:b/>
      <w:szCs w:val="22"/>
      <w:lang w:eastAsia="en-US"/>
    </w:rPr>
  </w:style>
  <w:style w:type="paragraph" w:customStyle="1" w:styleId="TableHeading">
    <w:name w:val="Table Heading"/>
    <w:basedOn w:val="Normal"/>
    <w:link w:val="TableHeadingChar"/>
    <w:qFormat/>
    <w:rsid w:val="000704B6"/>
    <w:pPr>
      <w:keepNext/>
      <w:spacing w:after="60"/>
      <w:jc w:val="left"/>
    </w:pPr>
    <w:rPr>
      <w:rFonts w:ascii="Arial Narrow" w:eastAsiaTheme="minorHAnsi" w:hAnsi="Arial Narrow" w:cstheme="minorBidi"/>
      <w:b/>
      <w:sz w:val="20"/>
      <w:szCs w:val="22"/>
      <w:lang w:eastAsia="en-US"/>
    </w:rPr>
  </w:style>
  <w:style w:type="paragraph" w:customStyle="1" w:styleId="Tabletext0">
    <w:name w:val="Table text"/>
    <w:basedOn w:val="Normal"/>
    <w:link w:val="TabletextChar0"/>
    <w:uiPriority w:val="99"/>
    <w:qFormat/>
    <w:rsid w:val="00D4521D"/>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D4521D"/>
    <w:rPr>
      <w:rFonts w:ascii="Arial Narrow" w:hAnsi="Arial Narrow"/>
      <w:szCs w:val="22"/>
      <w:lang w:eastAsia="en-US"/>
    </w:rPr>
  </w:style>
  <w:style w:type="paragraph" w:customStyle="1" w:styleId="Tabletextcentred">
    <w:name w:val="Table text centred"/>
    <w:basedOn w:val="Normal"/>
    <w:link w:val="TabletextcentredChar"/>
    <w:qFormat/>
    <w:rsid w:val="00735F9E"/>
    <w:pPr>
      <w:keepNext/>
      <w:jc w:val="center"/>
    </w:pPr>
    <w:rPr>
      <w:rFonts w:ascii="Arial Narrow" w:hAnsi="Arial Narrow" w:cs="Arial Narrow"/>
      <w:sz w:val="20"/>
      <w:szCs w:val="20"/>
      <w:lang w:eastAsia="en-US"/>
    </w:rPr>
  </w:style>
  <w:style w:type="character" w:customStyle="1" w:styleId="TabletextcentredChar">
    <w:name w:val="Table text centred Char"/>
    <w:link w:val="Tabletextcentred"/>
    <w:rsid w:val="00735F9E"/>
    <w:rPr>
      <w:rFonts w:ascii="Arial Narrow" w:hAnsi="Arial Narrow" w:cs="Arial Narrow"/>
      <w:lang w:eastAsia="en-US"/>
    </w:rPr>
  </w:style>
  <w:style w:type="table" w:customStyle="1" w:styleId="Summarybox8">
    <w:name w:val="Summary box8"/>
    <w:basedOn w:val="TableNormal"/>
    <w:next w:val="TableGrid"/>
    <w:uiPriority w:val="39"/>
    <w:rsid w:val="00735F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50Instructions">
    <w:name w:val="V5.0 Instructions"/>
    <w:basedOn w:val="Normal"/>
    <w:link w:val="V50InstructionsChar"/>
    <w:qFormat/>
    <w:rsid w:val="009E60BB"/>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9E60BB"/>
    <w:rPr>
      <w:rFonts w:asciiTheme="minorHAnsi" w:eastAsiaTheme="minorHAnsi" w:hAnsiTheme="minorHAnsi" w:cstheme="minorBidi"/>
      <w:color w:val="4BACC6" w:themeColor="accent5"/>
      <w:sz w:val="24"/>
      <w:szCs w:val="22"/>
      <w:lang w:eastAsia="en-US"/>
    </w:rPr>
  </w:style>
  <w:style w:type="paragraph" w:customStyle="1" w:styleId="Default">
    <w:name w:val="Default"/>
    <w:rsid w:val="007445C3"/>
    <w:pPr>
      <w:autoSpaceDE w:val="0"/>
      <w:autoSpaceDN w:val="0"/>
      <w:adjustRightInd w:val="0"/>
    </w:pPr>
    <w:rPr>
      <w:rFonts w:ascii="Arial" w:hAnsi="Arial" w:cs="Arial"/>
      <w:color w:val="000000"/>
      <w:sz w:val="24"/>
      <w:szCs w:val="24"/>
    </w:rPr>
  </w:style>
  <w:style w:type="numbering" w:customStyle="1" w:styleId="SectionBi4">
    <w:name w:val="Section Bi4"/>
    <w:uiPriority w:val="99"/>
    <w:rsid w:val="007445C3"/>
    <w:pPr>
      <w:numPr>
        <w:numId w:val="8"/>
      </w:numPr>
    </w:pPr>
  </w:style>
  <w:style w:type="character" w:customStyle="1" w:styleId="ref-journal">
    <w:name w:val="ref-journal"/>
    <w:basedOn w:val="DefaultParagraphFont"/>
    <w:rsid w:val="007445C3"/>
  </w:style>
  <w:style w:type="character" w:customStyle="1" w:styleId="ref-vol">
    <w:name w:val="ref-vol"/>
    <w:basedOn w:val="DefaultParagraphFont"/>
    <w:rsid w:val="007445C3"/>
  </w:style>
  <w:style w:type="paragraph" w:styleId="NormalWeb">
    <w:name w:val="Normal (Web)"/>
    <w:basedOn w:val="Normal"/>
    <w:uiPriority w:val="99"/>
    <w:semiHidden/>
    <w:unhideWhenUsed/>
    <w:rsid w:val="007445C3"/>
    <w:pPr>
      <w:spacing w:before="100" w:beforeAutospacing="1" w:after="100" w:afterAutospacing="1"/>
      <w:jc w:val="left"/>
    </w:pPr>
    <w:rPr>
      <w:rFonts w:ascii="Times New Roman" w:hAnsi="Times New Roman" w:cs="Times New Roman"/>
    </w:rPr>
  </w:style>
  <w:style w:type="paragraph" w:customStyle="1" w:styleId="PBACHeading1">
    <w:name w:val="PBAC Heading 1"/>
    <w:qFormat/>
    <w:rsid w:val="00423CCE"/>
    <w:pPr>
      <w:keepNext/>
      <w:spacing w:after="120"/>
      <w:ind w:left="720" w:hanging="720"/>
      <w:outlineLvl w:val="0"/>
    </w:pPr>
    <w:rPr>
      <w:rFonts w:ascii="Calibri" w:hAnsi="Calibri" w:cs="Arial"/>
      <w:b/>
      <w:snapToGrid w:val="0"/>
      <w:sz w:val="32"/>
      <w:szCs w:val="22"/>
      <w:lang w:eastAsia="en-US"/>
    </w:rPr>
  </w:style>
  <w:style w:type="paragraph" w:styleId="FootnoteText">
    <w:name w:val="footnote text"/>
    <w:basedOn w:val="Normal"/>
    <w:link w:val="FootnoteTextChar"/>
    <w:uiPriority w:val="99"/>
    <w:unhideWhenUsed/>
    <w:rsid w:val="00423CCE"/>
    <w:pPr>
      <w:adjustRightInd w:val="0"/>
      <w:snapToGrid w:val="0"/>
    </w:pPr>
    <w:rPr>
      <w:rFonts w:ascii="Cambria" w:eastAsia="MS Mincho" w:hAnsi="Cambria" w:cs="Times New Roman"/>
      <w:snapToGrid w:val="0"/>
      <w:sz w:val="20"/>
      <w:szCs w:val="20"/>
      <w:lang w:eastAsia="ja-JP"/>
    </w:rPr>
  </w:style>
  <w:style w:type="character" w:customStyle="1" w:styleId="FootnoteTextChar">
    <w:name w:val="Footnote Text Char"/>
    <w:basedOn w:val="DefaultParagraphFont"/>
    <w:link w:val="FootnoteText"/>
    <w:uiPriority w:val="99"/>
    <w:rsid w:val="00423CCE"/>
    <w:rPr>
      <w:rFonts w:ascii="Cambria" w:eastAsia="MS Mincho" w:hAnsi="Cambria"/>
      <w:snapToGrid w:val="0"/>
      <w:lang w:eastAsia="ja-JP"/>
    </w:rPr>
  </w:style>
  <w:style w:type="character" w:styleId="FootnoteReference">
    <w:name w:val="footnote reference"/>
    <w:basedOn w:val="DefaultParagraphFont"/>
    <w:uiPriority w:val="99"/>
    <w:unhideWhenUsed/>
    <w:rsid w:val="00423CCE"/>
    <w:rPr>
      <w:vertAlign w:val="superscript"/>
    </w:rPr>
  </w:style>
  <w:style w:type="paragraph" w:customStyle="1" w:styleId="PbacTableHeading">
    <w:name w:val="Pbac Table Heading"/>
    <w:basedOn w:val="Normal"/>
    <w:qFormat/>
    <w:rsid w:val="00423CCE"/>
    <w:pPr>
      <w:spacing w:after="80"/>
    </w:pPr>
    <w:rPr>
      <w:rFonts w:ascii="Arial Narrow" w:eastAsiaTheme="minorHAnsi" w:hAnsi="Arial Narrow"/>
      <w:b/>
      <w:sz w:val="20"/>
      <w:szCs w:val="20"/>
      <w:lang w:eastAsia="en-US"/>
    </w:rPr>
  </w:style>
  <w:style w:type="paragraph" w:styleId="BodyText3">
    <w:name w:val="Body Text 3"/>
    <w:basedOn w:val="Normal"/>
    <w:link w:val="BodyText3Char"/>
    <w:unhideWhenUsed/>
    <w:rsid w:val="00423CCE"/>
    <w:pPr>
      <w:spacing w:after="120"/>
    </w:pPr>
    <w:rPr>
      <w:rFonts w:cs="Times New Roman"/>
      <w:sz w:val="16"/>
      <w:szCs w:val="16"/>
      <w:lang w:eastAsia="en-US"/>
    </w:rPr>
  </w:style>
  <w:style w:type="character" w:customStyle="1" w:styleId="BodyText3Char">
    <w:name w:val="Body Text 3 Char"/>
    <w:basedOn w:val="DefaultParagraphFont"/>
    <w:link w:val="BodyText3"/>
    <w:rsid w:val="00423CCE"/>
    <w:rPr>
      <w:rFonts w:ascii="Calibri" w:hAnsi="Calibri"/>
      <w:sz w:val="16"/>
      <w:szCs w:val="16"/>
      <w:lang w:eastAsia="en-US"/>
    </w:rPr>
  </w:style>
  <w:style w:type="character" w:customStyle="1" w:styleId="Heading1Char">
    <w:name w:val="Heading 1 Char"/>
    <w:basedOn w:val="DefaultParagraphFont"/>
    <w:link w:val="Heading1"/>
    <w:uiPriority w:val="1"/>
    <w:rsid w:val="00423CCE"/>
    <w:rPr>
      <w:rFonts w:ascii="Calibri" w:hAnsi="Calibri" w:cs="Arial"/>
      <w:b/>
      <w:caps/>
      <w:sz w:val="32"/>
      <w:szCs w:val="24"/>
    </w:rPr>
  </w:style>
  <w:style w:type="paragraph" w:customStyle="1" w:styleId="bullet">
    <w:name w:val="bullet"/>
    <w:basedOn w:val="ListParagraph"/>
    <w:link w:val="bulletChar"/>
    <w:qFormat/>
    <w:rsid w:val="00423CCE"/>
    <w:pPr>
      <w:numPr>
        <w:numId w:val="10"/>
      </w:numPr>
      <w:spacing w:after="120" w:line="240" w:lineRule="auto"/>
      <w:contextualSpacing w:val="0"/>
      <w:jc w:val="both"/>
    </w:pPr>
    <w:rPr>
      <w:i/>
      <w:sz w:val="24"/>
      <w:lang w:eastAsia="en-US"/>
    </w:rPr>
  </w:style>
  <w:style w:type="character" w:customStyle="1" w:styleId="bulletChar">
    <w:name w:val="bullet Char"/>
    <w:basedOn w:val="DefaultParagraphFont"/>
    <w:link w:val="bullet"/>
    <w:rsid w:val="00423CCE"/>
    <w:rPr>
      <w:rFonts w:ascii="Calibri" w:hAnsi="Calibri"/>
      <w:i/>
      <w:sz w:val="24"/>
      <w:szCs w:val="24"/>
      <w:lang w:eastAsia="en-US"/>
    </w:rPr>
  </w:style>
  <w:style w:type="character" w:customStyle="1" w:styleId="form-strength">
    <w:name w:val="form-strength"/>
    <w:basedOn w:val="DefaultParagraphFont"/>
    <w:rsid w:val="00423CCE"/>
  </w:style>
  <w:style w:type="paragraph" w:styleId="NoSpacing">
    <w:name w:val="No Spacing"/>
    <w:uiPriority w:val="1"/>
    <w:qFormat/>
    <w:rsid w:val="00122A5C"/>
    <w:rPr>
      <w:sz w:val="24"/>
      <w:szCs w:val="24"/>
      <w:lang w:eastAsia="en-US"/>
    </w:rPr>
  </w:style>
  <w:style w:type="paragraph" w:customStyle="1" w:styleId="2Sections">
    <w:name w:val="2. Sections"/>
    <w:qFormat/>
    <w:rsid w:val="001208FC"/>
    <w:pPr>
      <w:spacing w:before="240" w:after="120"/>
      <w:ind w:left="720" w:hanging="720"/>
      <w:outlineLvl w:val="0"/>
    </w:pPr>
    <w:rPr>
      <w:rFonts w:asciiTheme="minorHAnsi" w:hAnsiTheme="minorHAnsi" w:cs="Arial"/>
      <w:b/>
      <w:snapToGrid w:val="0"/>
      <w:sz w:val="32"/>
      <w:szCs w:val="32"/>
      <w:lang w:eastAsia="en-US"/>
    </w:rPr>
  </w:style>
  <w:style w:type="paragraph" w:customStyle="1" w:styleId="Bodytextitalics">
    <w:name w:val="Body text italics"/>
    <w:basedOn w:val="BodyText"/>
    <w:qFormat/>
    <w:rsid w:val="001208FC"/>
    <w:pPr>
      <w:tabs>
        <w:tab w:val="num" w:pos="360"/>
      </w:tabs>
      <w:ind w:left="360" w:hanging="360"/>
      <w:jc w:val="left"/>
    </w:pPr>
    <w:rPr>
      <w:rFonts w:asciiTheme="minorHAnsi" w:eastAsiaTheme="minorHAnsi" w:hAnsiTheme="minorHAnsi" w:cstheme="minorBidi"/>
      <w:i/>
      <w:szCs w:val="22"/>
    </w:rPr>
  </w:style>
  <w:style w:type="paragraph" w:styleId="BodyText">
    <w:name w:val="Body Text"/>
    <w:basedOn w:val="Normal"/>
    <w:link w:val="BodyTextChar"/>
    <w:semiHidden/>
    <w:unhideWhenUsed/>
    <w:rsid w:val="001208FC"/>
    <w:pPr>
      <w:spacing w:after="120"/>
    </w:pPr>
  </w:style>
  <w:style w:type="character" w:customStyle="1" w:styleId="BodyTextChar">
    <w:name w:val="Body Text Char"/>
    <w:basedOn w:val="DefaultParagraphFont"/>
    <w:link w:val="BodyText"/>
    <w:semiHidden/>
    <w:rsid w:val="001208FC"/>
    <w:rPr>
      <w:rFonts w:ascii="Calibri" w:hAnsi="Calibri" w:cs="Arial"/>
      <w:sz w:val="24"/>
      <w:szCs w:val="24"/>
    </w:rPr>
  </w:style>
  <w:style w:type="paragraph" w:customStyle="1" w:styleId="3Bodytext">
    <w:name w:val="3. Body text"/>
    <w:basedOn w:val="ListParagraph"/>
    <w:link w:val="3BodytextChar"/>
    <w:qFormat/>
    <w:rsid w:val="00CF44E3"/>
    <w:pPr>
      <w:spacing w:after="120" w:line="240" w:lineRule="auto"/>
      <w:ind w:hanging="720"/>
      <w:contextualSpacing w:val="0"/>
      <w:jc w:val="both"/>
    </w:pPr>
    <w:rPr>
      <w:rFonts w:asciiTheme="minorHAnsi" w:eastAsiaTheme="minorHAnsi" w:hAnsiTheme="minorHAnsi" w:cstheme="minorBidi"/>
      <w:sz w:val="24"/>
      <w:szCs w:val="22"/>
      <w:lang w:eastAsia="en-US"/>
    </w:rPr>
  </w:style>
  <w:style w:type="character" w:customStyle="1" w:styleId="3BodytextChar">
    <w:name w:val="3. Body text Char"/>
    <w:basedOn w:val="DefaultParagraphFont"/>
    <w:link w:val="3Bodytext"/>
    <w:rsid w:val="00CF44E3"/>
    <w:rPr>
      <w:rFonts w:asciiTheme="minorHAnsi" w:eastAsiaTheme="minorHAnsi" w:hAnsiTheme="minorHAnsi" w:cstheme="minorBidi"/>
      <w:sz w:val="24"/>
      <w:szCs w:val="22"/>
      <w:lang w:eastAsia="en-US"/>
    </w:rPr>
  </w:style>
  <w:style w:type="paragraph" w:styleId="PlainText">
    <w:name w:val="Plain Text"/>
    <w:basedOn w:val="Normal"/>
    <w:link w:val="PlainTextChar"/>
    <w:uiPriority w:val="99"/>
    <w:semiHidden/>
    <w:unhideWhenUsed/>
    <w:rsid w:val="00AB0C8E"/>
    <w:pPr>
      <w:jc w:val="left"/>
    </w:pPr>
    <w:rPr>
      <w:rFonts w:eastAsiaTheme="minorHAnsi" w:cstheme="minorBidi"/>
      <w:sz w:val="22"/>
      <w:szCs w:val="21"/>
      <w:lang w:eastAsia="en-US"/>
    </w:rPr>
  </w:style>
  <w:style w:type="character" w:customStyle="1" w:styleId="PlainTextChar">
    <w:name w:val="Plain Text Char"/>
    <w:basedOn w:val="DefaultParagraphFont"/>
    <w:link w:val="PlainText"/>
    <w:uiPriority w:val="99"/>
    <w:semiHidden/>
    <w:rsid w:val="00AB0C8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7764">
      <w:bodyDiv w:val="1"/>
      <w:marLeft w:val="0"/>
      <w:marRight w:val="0"/>
      <w:marTop w:val="0"/>
      <w:marBottom w:val="0"/>
      <w:divBdr>
        <w:top w:val="none" w:sz="0" w:space="0" w:color="auto"/>
        <w:left w:val="none" w:sz="0" w:space="0" w:color="auto"/>
        <w:bottom w:val="none" w:sz="0" w:space="0" w:color="auto"/>
        <w:right w:val="none" w:sz="0" w:space="0" w:color="auto"/>
      </w:divBdr>
    </w:div>
    <w:div w:id="3535566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786669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84009020">
      <w:bodyDiv w:val="1"/>
      <w:marLeft w:val="0"/>
      <w:marRight w:val="0"/>
      <w:marTop w:val="0"/>
      <w:marBottom w:val="0"/>
      <w:divBdr>
        <w:top w:val="none" w:sz="0" w:space="0" w:color="auto"/>
        <w:left w:val="none" w:sz="0" w:space="0" w:color="auto"/>
        <w:bottom w:val="none" w:sz="0" w:space="0" w:color="auto"/>
        <w:right w:val="none" w:sz="0" w:space="0" w:color="auto"/>
      </w:divBdr>
    </w:div>
    <w:div w:id="585960224">
      <w:bodyDiv w:val="1"/>
      <w:marLeft w:val="0"/>
      <w:marRight w:val="0"/>
      <w:marTop w:val="0"/>
      <w:marBottom w:val="0"/>
      <w:divBdr>
        <w:top w:val="none" w:sz="0" w:space="0" w:color="auto"/>
        <w:left w:val="none" w:sz="0" w:space="0" w:color="auto"/>
        <w:bottom w:val="none" w:sz="0" w:space="0" w:color="auto"/>
        <w:right w:val="none" w:sz="0" w:space="0" w:color="auto"/>
      </w:divBdr>
      <w:divsChild>
        <w:div w:id="971443993">
          <w:marLeft w:val="806"/>
          <w:marRight w:val="0"/>
          <w:marTop w:val="75"/>
          <w:marBottom w:val="0"/>
          <w:divBdr>
            <w:top w:val="none" w:sz="0" w:space="0" w:color="auto"/>
            <w:left w:val="none" w:sz="0" w:space="0" w:color="auto"/>
            <w:bottom w:val="none" w:sz="0" w:space="0" w:color="auto"/>
            <w:right w:val="none" w:sz="0" w:space="0" w:color="auto"/>
          </w:divBdr>
        </w:div>
        <w:div w:id="1308047685">
          <w:marLeft w:val="806"/>
          <w:marRight w:val="0"/>
          <w:marTop w:val="75"/>
          <w:marBottom w:val="0"/>
          <w:divBdr>
            <w:top w:val="none" w:sz="0" w:space="0" w:color="auto"/>
            <w:left w:val="none" w:sz="0" w:space="0" w:color="auto"/>
            <w:bottom w:val="none" w:sz="0" w:space="0" w:color="auto"/>
            <w:right w:val="none" w:sz="0" w:space="0" w:color="auto"/>
          </w:divBdr>
        </w:div>
      </w:divsChild>
    </w:div>
    <w:div w:id="807360480">
      <w:bodyDiv w:val="1"/>
      <w:marLeft w:val="0"/>
      <w:marRight w:val="0"/>
      <w:marTop w:val="0"/>
      <w:marBottom w:val="0"/>
      <w:divBdr>
        <w:top w:val="none" w:sz="0" w:space="0" w:color="auto"/>
        <w:left w:val="none" w:sz="0" w:space="0" w:color="auto"/>
        <w:bottom w:val="none" w:sz="0" w:space="0" w:color="auto"/>
        <w:right w:val="none" w:sz="0" w:space="0" w:color="auto"/>
      </w:divBdr>
    </w:div>
    <w:div w:id="109046580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700425402">
      <w:bodyDiv w:val="1"/>
      <w:marLeft w:val="0"/>
      <w:marRight w:val="0"/>
      <w:marTop w:val="0"/>
      <w:marBottom w:val="0"/>
      <w:divBdr>
        <w:top w:val="none" w:sz="0" w:space="0" w:color="auto"/>
        <w:left w:val="none" w:sz="0" w:space="0" w:color="auto"/>
        <w:bottom w:val="none" w:sz="0" w:space="0" w:color="auto"/>
        <w:right w:val="none" w:sz="0" w:space="0" w:color="auto"/>
      </w:divBdr>
    </w:div>
    <w:div w:id="177917964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header" Target="header2.xml"/><Relationship Id="rId10" Type="http://schemas.microsoft.com/office/2007/relationships/hdphoto" Target="media/hdphoto1.wdp"/><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204F7-8D1C-4A08-9FDC-8ED87ACBE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14931</Words>
  <Characters>90617</Characters>
  <Application>Microsoft Office Word</Application>
  <DocSecurity>0</DocSecurity>
  <Lines>755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2020-07-30T06:14:00Z</dcterms:created>
  <dcterms:modified xsi:type="dcterms:W3CDTF">2020-07-30T06:17:00Z</dcterms:modified>
</cp:coreProperties>
</file>