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3AC" w:rsidRDefault="002F0B6C" w:rsidP="00FC3647">
      <w:pPr>
        <w:pStyle w:val="1MainTitle"/>
      </w:pPr>
      <w:r>
        <w:t>5.12</w:t>
      </w:r>
      <w:r w:rsidR="00FC3647" w:rsidRPr="002B5596">
        <w:tab/>
      </w:r>
      <w:r>
        <w:t>PROTEIN FORMULA WITH CARBOHYDRATE, FAT, VITAMINS, MINERALS AND TRANSFORMING GROWTH FACTOR BETA-2</w:t>
      </w:r>
      <w:r w:rsidR="00FC3647" w:rsidRPr="002B5596">
        <w:t xml:space="preserve"> </w:t>
      </w:r>
      <w:r w:rsidR="00FC3647" w:rsidRPr="002B5596">
        <w:br/>
      </w:r>
      <w:r w:rsidR="00C76E2A">
        <w:t>Powder</w:t>
      </w:r>
      <w:r>
        <w:t xml:space="preserve"> for oral liquid, 400 g, 12</w:t>
      </w:r>
      <w:r w:rsidR="00FC3647" w:rsidRPr="002B5596">
        <w:t xml:space="preserve"> </w:t>
      </w:r>
      <w:r w:rsidR="00FC3647" w:rsidRPr="002B5596">
        <w:br/>
      </w:r>
      <w:proofErr w:type="spellStart"/>
      <w:r>
        <w:t>Modulen</w:t>
      </w:r>
      <w:proofErr w:type="spellEnd"/>
      <w:r w:rsidR="007D7A51">
        <w:t>®</w:t>
      </w:r>
      <w:r>
        <w:t xml:space="preserve"> IBD</w:t>
      </w:r>
      <w:r w:rsidR="00FC3647">
        <w:t xml:space="preserve">, </w:t>
      </w:r>
    </w:p>
    <w:p w:rsidR="00FC3647" w:rsidRDefault="002F0B6C" w:rsidP="00A613AC">
      <w:pPr>
        <w:pStyle w:val="1MainTitle"/>
        <w:ind w:firstLine="0"/>
      </w:pPr>
      <w:r>
        <w:t>Nestle Health Science</w:t>
      </w:r>
    </w:p>
    <w:p w:rsidR="00FC3647" w:rsidRPr="00321C48" w:rsidRDefault="00FC3647" w:rsidP="00FC3647">
      <w:pPr>
        <w:pStyle w:val="2Sections"/>
      </w:pPr>
      <w:r w:rsidRPr="00321C48">
        <w:t xml:space="preserve">Purpose of Application </w:t>
      </w:r>
    </w:p>
    <w:p w:rsidR="006D1C07" w:rsidRPr="00FF3461" w:rsidRDefault="00FC3647" w:rsidP="00D4327F">
      <w:pPr>
        <w:pStyle w:val="ListParagraph"/>
        <w:widowControl/>
        <w:numPr>
          <w:ilvl w:val="1"/>
          <w:numId w:val="5"/>
        </w:numPr>
        <w:spacing w:after="120"/>
        <w:contextualSpacing w:val="0"/>
        <w:rPr>
          <w:rFonts w:asciiTheme="minorHAnsi" w:hAnsiTheme="minorHAnsi"/>
          <w:sz w:val="24"/>
          <w:szCs w:val="24"/>
        </w:rPr>
      </w:pPr>
      <w:r w:rsidRPr="00321C48">
        <w:rPr>
          <w:rFonts w:asciiTheme="minorHAnsi" w:eastAsiaTheme="minorHAnsi" w:hAnsiTheme="minorHAnsi" w:cstheme="minorBidi"/>
          <w:snapToGrid/>
          <w:sz w:val="24"/>
          <w:szCs w:val="22"/>
        </w:rPr>
        <w:t>The minor submission requested</w:t>
      </w:r>
      <w:r w:rsidR="00C76E2A" w:rsidRPr="00321C48">
        <w:rPr>
          <w:rFonts w:asciiTheme="minorHAnsi" w:eastAsiaTheme="minorHAnsi" w:hAnsiTheme="minorHAnsi" w:cstheme="minorBidi"/>
          <w:snapToGrid/>
          <w:sz w:val="24"/>
          <w:szCs w:val="22"/>
        </w:rPr>
        <w:t xml:space="preserve"> a new Restricted Benefit listing of</w:t>
      </w:r>
      <w:r w:rsidR="00D12F2E">
        <w:rPr>
          <w:rFonts w:asciiTheme="minorHAnsi" w:eastAsiaTheme="minorHAnsi" w:hAnsiTheme="minorHAnsi" w:cstheme="minorBidi"/>
          <w:snapToGrid/>
          <w:sz w:val="24"/>
          <w:szCs w:val="22"/>
        </w:rPr>
        <w:t xml:space="preserve"> the</w:t>
      </w:r>
      <w:r w:rsidR="00C76E2A" w:rsidRPr="00321C48">
        <w:rPr>
          <w:rFonts w:asciiTheme="minorHAnsi" w:eastAsiaTheme="minorHAnsi" w:hAnsiTheme="minorHAnsi" w:cstheme="minorBidi"/>
          <w:snapToGrid/>
          <w:sz w:val="24"/>
          <w:szCs w:val="22"/>
        </w:rPr>
        <w:t xml:space="preserve"> protein formulation </w:t>
      </w:r>
      <w:proofErr w:type="spellStart"/>
      <w:r w:rsidR="00C76E2A" w:rsidRPr="00321C48">
        <w:rPr>
          <w:rFonts w:asciiTheme="minorHAnsi" w:eastAsiaTheme="minorHAnsi" w:hAnsiTheme="minorHAnsi" w:cstheme="minorBidi"/>
          <w:snapToGrid/>
          <w:sz w:val="24"/>
          <w:szCs w:val="22"/>
        </w:rPr>
        <w:t>Modulen</w:t>
      </w:r>
      <w:proofErr w:type="spellEnd"/>
      <w:r w:rsidR="007D7A51" w:rsidRPr="00321C48">
        <w:rPr>
          <w:rFonts w:asciiTheme="minorHAnsi" w:eastAsiaTheme="minorHAnsi" w:hAnsiTheme="minorHAnsi" w:cstheme="minorBidi"/>
          <w:snapToGrid/>
          <w:sz w:val="24"/>
          <w:szCs w:val="22"/>
        </w:rPr>
        <w:t>®</w:t>
      </w:r>
      <w:r w:rsidR="00C76E2A" w:rsidRPr="00321C48">
        <w:rPr>
          <w:rFonts w:asciiTheme="minorHAnsi" w:eastAsiaTheme="minorHAnsi" w:hAnsiTheme="minorHAnsi" w:cstheme="minorBidi"/>
          <w:snapToGrid/>
          <w:sz w:val="24"/>
          <w:szCs w:val="22"/>
        </w:rPr>
        <w:t xml:space="preserve"> IBD</w:t>
      </w:r>
      <w:r w:rsidR="00D12F2E">
        <w:rPr>
          <w:rFonts w:asciiTheme="minorHAnsi" w:eastAsiaTheme="minorHAnsi" w:hAnsiTheme="minorHAnsi" w:cstheme="minorBidi"/>
          <w:snapToGrid/>
          <w:sz w:val="24"/>
          <w:szCs w:val="22"/>
        </w:rPr>
        <w:t>,</w:t>
      </w:r>
      <w:r w:rsidR="00C76E2A" w:rsidRPr="00321C48">
        <w:rPr>
          <w:rFonts w:asciiTheme="minorHAnsi" w:eastAsiaTheme="minorHAnsi" w:hAnsiTheme="minorHAnsi" w:cstheme="minorBidi"/>
          <w:snapToGrid/>
          <w:sz w:val="24"/>
          <w:szCs w:val="22"/>
        </w:rPr>
        <w:t xml:space="preserve"> for the</w:t>
      </w:r>
      <w:r w:rsidR="006D1C07">
        <w:rPr>
          <w:rFonts w:asciiTheme="minorHAnsi" w:eastAsiaTheme="minorHAnsi" w:hAnsiTheme="minorHAnsi" w:cstheme="minorBidi"/>
          <w:snapToGrid/>
          <w:sz w:val="24"/>
          <w:szCs w:val="22"/>
        </w:rPr>
        <w:t xml:space="preserve"> </w:t>
      </w:r>
      <w:r w:rsidR="006616EA">
        <w:rPr>
          <w:rFonts w:asciiTheme="minorHAnsi" w:eastAsiaTheme="minorHAnsi" w:hAnsiTheme="minorHAnsi" w:cstheme="minorBidi"/>
          <w:snapToGrid/>
          <w:sz w:val="24"/>
          <w:szCs w:val="22"/>
        </w:rPr>
        <w:t>d</w:t>
      </w:r>
      <w:r w:rsidR="00C76E2A" w:rsidRPr="00321C48">
        <w:rPr>
          <w:rFonts w:asciiTheme="minorHAnsi" w:eastAsiaTheme="minorHAnsi" w:hAnsiTheme="minorHAnsi" w:cstheme="minorBidi"/>
          <w:snapToGrid/>
          <w:sz w:val="24"/>
          <w:szCs w:val="22"/>
        </w:rPr>
        <w:t>ietary management of Crohn disease (CD)</w:t>
      </w:r>
      <w:r w:rsidR="00D12F2E">
        <w:rPr>
          <w:rFonts w:asciiTheme="minorHAnsi" w:eastAsiaTheme="minorHAnsi" w:hAnsiTheme="minorHAnsi" w:cstheme="minorBidi"/>
          <w:snapToGrid/>
          <w:sz w:val="24"/>
          <w:szCs w:val="22"/>
        </w:rPr>
        <w:t>.</w:t>
      </w:r>
    </w:p>
    <w:p w:rsidR="00B139D1" w:rsidRPr="00145877" w:rsidRDefault="00B139D1" w:rsidP="00B139D1">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145877">
        <w:rPr>
          <w:rFonts w:asciiTheme="minorHAnsi" w:hAnsiTheme="minorHAnsi"/>
          <w:sz w:val="32"/>
          <w:szCs w:val="32"/>
        </w:rPr>
        <w:t>Background</w:t>
      </w:r>
    </w:p>
    <w:p w:rsidR="00B139D1" w:rsidRPr="00FF3461" w:rsidRDefault="00B139D1" w:rsidP="00D4327F">
      <w:pPr>
        <w:pStyle w:val="3Bodytext"/>
      </w:pPr>
      <w:r w:rsidRPr="004F65BD">
        <w:t xml:space="preserve">The sponsor of </w:t>
      </w:r>
      <w:proofErr w:type="spellStart"/>
      <w:r>
        <w:t>Modulen</w:t>
      </w:r>
      <w:proofErr w:type="spellEnd"/>
      <w:r>
        <w:t xml:space="preserve"> IBD</w:t>
      </w:r>
      <w:r w:rsidRPr="004F65BD">
        <w:t xml:space="preserve"> confirmed it meets the requirements for foods for medical purposes as set out under The Australia New Zealand Food Standards Code — Standard 2.9.5: Food for Special Medical Purposes.</w:t>
      </w:r>
    </w:p>
    <w:p w:rsidR="00FC3647" w:rsidRPr="00321C48" w:rsidRDefault="00D3373F" w:rsidP="00FC3647">
      <w:pPr>
        <w:pStyle w:val="2Sections"/>
      </w:pPr>
      <w:r>
        <w:t>R</w:t>
      </w:r>
      <w:r w:rsidR="008556B0" w:rsidRPr="00321C48">
        <w:t>equested listing</w:t>
      </w:r>
    </w:p>
    <w:p w:rsidR="006D1C07" w:rsidRPr="005C05F7" w:rsidRDefault="00FC3647" w:rsidP="005C05F7">
      <w:pPr>
        <w:pStyle w:val="3Bodytext"/>
        <w:rPr>
          <w:i/>
          <w:szCs w:val="24"/>
        </w:rPr>
      </w:pPr>
      <w:r w:rsidRPr="00321C48">
        <w:t xml:space="preserve">The submission </w:t>
      </w:r>
      <w:r w:rsidR="00BD7998" w:rsidRPr="00321C48">
        <w:t xml:space="preserve">did not </w:t>
      </w:r>
      <w:r w:rsidR="00264E66" w:rsidRPr="00321C48">
        <w:t xml:space="preserve">propose a </w:t>
      </w:r>
      <w:r w:rsidR="00CB6CA8" w:rsidRPr="00321C48">
        <w:t>detailed restriction, however requested listing</w:t>
      </w:r>
      <w:r w:rsidR="00174452">
        <w:t xml:space="preserve"> of </w:t>
      </w:r>
      <w:proofErr w:type="spellStart"/>
      <w:r w:rsidR="00174452">
        <w:t>Modulen</w:t>
      </w:r>
      <w:proofErr w:type="spellEnd"/>
      <w:r w:rsidR="00174452">
        <w:t xml:space="preserve"> IBD as enteral nutrition in the active or remission phase</w:t>
      </w:r>
      <w:r w:rsidR="00E2549C">
        <w:t xml:space="preserve">s of CD in adults and children </w:t>
      </w:r>
      <w:r w:rsidR="00174452">
        <w:t>over th</w:t>
      </w:r>
      <w:r w:rsidR="00E2549C">
        <w:t>e age of 5 years</w:t>
      </w:r>
      <w:r w:rsidR="00174452">
        <w:t>.</w:t>
      </w:r>
      <w:r w:rsidR="006D1C07">
        <w:t xml:space="preserve"> Basic information on requested quantities and prices </w:t>
      </w:r>
      <w:proofErr w:type="gramStart"/>
      <w:r w:rsidR="006D1C07">
        <w:t>are presented</w:t>
      </w:r>
      <w:proofErr w:type="gramEnd"/>
      <w:r w:rsidR="006D1C07">
        <w:t xml:space="preserve"> below.</w:t>
      </w:r>
      <w:r w:rsidR="00706AC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8"/>
        <w:gridCol w:w="860"/>
        <w:gridCol w:w="858"/>
        <w:gridCol w:w="716"/>
        <w:gridCol w:w="1145"/>
        <w:gridCol w:w="1432"/>
      </w:tblGrid>
      <w:tr w:rsidR="006D1C07" w:rsidRPr="00FF3461" w:rsidTr="00FF3461">
        <w:trPr>
          <w:cantSplit/>
          <w:trHeight w:val="471"/>
        </w:trPr>
        <w:tc>
          <w:tcPr>
            <w:tcW w:w="1506" w:type="pct"/>
          </w:tcPr>
          <w:p w:rsidR="006D1C07" w:rsidRPr="00FF3461" w:rsidRDefault="006D1C07" w:rsidP="00B139D1">
            <w:pPr>
              <w:keepNext/>
              <w:ind w:left="-108"/>
              <w:jc w:val="both"/>
              <w:rPr>
                <w:rFonts w:ascii="Arial Narrow" w:hAnsi="Arial Narrow" w:cs="Arial"/>
                <w:b/>
                <w:sz w:val="20"/>
                <w:szCs w:val="18"/>
              </w:rPr>
            </w:pPr>
            <w:r w:rsidRPr="00FF3461">
              <w:rPr>
                <w:rFonts w:ascii="Arial Narrow" w:hAnsi="Arial Narrow" w:cs="Arial"/>
                <w:b/>
                <w:sz w:val="20"/>
                <w:szCs w:val="18"/>
              </w:rPr>
              <w:t>Name and form</w:t>
            </w:r>
          </w:p>
        </w:tc>
        <w:tc>
          <w:tcPr>
            <w:tcW w:w="714" w:type="pct"/>
          </w:tcPr>
          <w:p w:rsidR="006D1C07" w:rsidRPr="00FF3461" w:rsidRDefault="006D1C07" w:rsidP="006D1C07">
            <w:pPr>
              <w:keepNext/>
              <w:ind w:left="-108"/>
              <w:jc w:val="center"/>
              <w:rPr>
                <w:rFonts w:ascii="Arial Narrow" w:hAnsi="Arial Narrow" w:cs="Arial"/>
                <w:b/>
                <w:sz w:val="20"/>
                <w:szCs w:val="18"/>
              </w:rPr>
            </w:pPr>
            <w:r w:rsidRPr="00FF3461">
              <w:rPr>
                <w:rFonts w:ascii="Arial Narrow" w:hAnsi="Arial Narrow" w:cs="Arial"/>
                <w:b/>
                <w:sz w:val="20"/>
                <w:szCs w:val="18"/>
              </w:rPr>
              <w:t>PBS item code</w:t>
            </w:r>
          </w:p>
        </w:tc>
        <w:tc>
          <w:tcPr>
            <w:tcW w:w="477" w:type="pct"/>
          </w:tcPr>
          <w:p w:rsidR="006D1C07" w:rsidRPr="00FF3461" w:rsidRDefault="006D1C07" w:rsidP="006D1C07">
            <w:pPr>
              <w:keepNext/>
              <w:ind w:left="-108"/>
              <w:jc w:val="center"/>
              <w:rPr>
                <w:rFonts w:ascii="Arial Narrow" w:hAnsi="Arial Narrow" w:cs="Arial"/>
                <w:b/>
                <w:sz w:val="20"/>
                <w:szCs w:val="18"/>
              </w:rPr>
            </w:pPr>
            <w:r w:rsidRPr="00FF3461">
              <w:rPr>
                <w:rFonts w:ascii="Arial Narrow" w:hAnsi="Arial Narrow" w:cs="Arial"/>
                <w:b/>
                <w:sz w:val="20"/>
                <w:szCs w:val="18"/>
              </w:rPr>
              <w:t>Max. qty packs</w:t>
            </w:r>
          </w:p>
        </w:tc>
        <w:tc>
          <w:tcPr>
            <w:tcW w:w="476" w:type="pct"/>
          </w:tcPr>
          <w:p w:rsidR="006D1C07" w:rsidRPr="00FF3461" w:rsidRDefault="006D1C07" w:rsidP="006D1C07">
            <w:pPr>
              <w:keepNext/>
              <w:ind w:left="-108"/>
              <w:jc w:val="center"/>
              <w:rPr>
                <w:rFonts w:ascii="Arial Narrow" w:hAnsi="Arial Narrow" w:cs="Arial"/>
                <w:b/>
                <w:sz w:val="20"/>
                <w:szCs w:val="18"/>
              </w:rPr>
            </w:pPr>
            <w:r w:rsidRPr="00FF3461">
              <w:rPr>
                <w:rFonts w:ascii="Arial Narrow" w:hAnsi="Arial Narrow" w:cs="Arial"/>
                <w:b/>
                <w:sz w:val="20"/>
                <w:szCs w:val="18"/>
              </w:rPr>
              <w:t>Max. qty units</w:t>
            </w:r>
          </w:p>
        </w:tc>
        <w:tc>
          <w:tcPr>
            <w:tcW w:w="397" w:type="pct"/>
          </w:tcPr>
          <w:p w:rsidR="006D1C07" w:rsidRPr="00FF3461" w:rsidRDefault="006D1C07" w:rsidP="006D1C07">
            <w:pPr>
              <w:keepNext/>
              <w:ind w:left="-108"/>
              <w:jc w:val="center"/>
              <w:rPr>
                <w:rFonts w:ascii="Arial Narrow" w:hAnsi="Arial Narrow" w:cs="Arial"/>
                <w:b/>
                <w:sz w:val="20"/>
                <w:szCs w:val="18"/>
              </w:rPr>
            </w:pPr>
            <w:r w:rsidRPr="00FF3461">
              <w:rPr>
                <w:rFonts w:ascii="Arial Narrow" w:hAnsi="Arial Narrow" w:cs="Arial"/>
                <w:b/>
                <w:sz w:val="20"/>
                <w:szCs w:val="18"/>
              </w:rPr>
              <w:t>№.of</w:t>
            </w:r>
          </w:p>
          <w:p w:rsidR="006D1C07" w:rsidRPr="00FF3461" w:rsidRDefault="006D1C07" w:rsidP="006D1C07">
            <w:pPr>
              <w:keepNext/>
              <w:ind w:left="-108"/>
              <w:jc w:val="center"/>
              <w:rPr>
                <w:rFonts w:ascii="Arial Narrow" w:hAnsi="Arial Narrow" w:cs="Arial"/>
                <w:b/>
                <w:sz w:val="20"/>
                <w:szCs w:val="18"/>
              </w:rPr>
            </w:pPr>
            <w:r w:rsidRPr="00FF3461">
              <w:rPr>
                <w:rFonts w:ascii="Arial Narrow" w:hAnsi="Arial Narrow" w:cs="Arial"/>
                <w:b/>
                <w:sz w:val="20"/>
                <w:szCs w:val="18"/>
              </w:rPr>
              <w:t>Rpts</w:t>
            </w:r>
          </w:p>
        </w:tc>
        <w:tc>
          <w:tcPr>
            <w:tcW w:w="1429" w:type="pct"/>
            <w:gridSpan w:val="2"/>
          </w:tcPr>
          <w:p w:rsidR="006D1C07" w:rsidRPr="00FF3461" w:rsidRDefault="006D1C07" w:rsidP="006D1C07">
            <w:pPr>
              <w:keepNext/>
              <w:rPr>
                <w:rFonts w:ascii="Arial Narrow" w:hAnsi="Arial Narrow" w:cs="Arial"/>
                <w:b/>
                <w:sz w:val="20"/>
                <w:szCs w:val="18"/>
                <w:lang w:val="fr-FR"/>
              </w:rPr>
            </w:pPr>
            <w:r w:rsidRPr="00FF3461">
              <w:rPr>
                <w:rFonts w:ascii="Arial Narrow" w:hAnsi="Arial Narrow" w:cs="Arial"/>
                <w:b/>
                <w:sz w:val="20"/>
                <w:szCs w:val="18"/>
              </w:rPr>
              <w:t>Proprietary Name and Manufacturer</w:t>
            </w:r>
          </w:p>
        </w:tc>
      </w:tr>
      <w:tr w:rsidR="006D1C07" w:rsidRPr="00FF3461" w:rsidTr="00FF3461">
        <w:trPr>
          <w:cantSplit/>
          <w:trHeight w:val="761"/>
        </w:trPr>
        <w:tc>
          <w:tcPr>
            <w:tcW w:w="1506" w:type="pct"/>
          </w:tcPr>
          <w:p w:rsidR="006D1C07" w:rsidRPr="00FF3461" w:rsidRDefault="006D1C07" w:rsidP="00A613AC">
            <w:pPr>
              <w:keepNext/>
              <w:ind w:left="-108"/>
              <w:rPr>
                <w:rFonts w:ascii="Arial Narrow" w:hAnsi="Arial Narrow" w:cs="Arial"/>
                <w:sz w:val="20"/>
                <w:szCs w:val="18"/>
              </w:rPr>
            </w:pPr>
            <w:r w:rsidRPr="00FF3461">
              <w:rPr>
                <w:rFonts w:ascii="Arial Narrow" w:hAnsi="Arial Narrow" w:cs="Arial"/>
                <w:sz w:val="20"/>
                <w:szCs w:val="18"/>
              </w:rPr>
              <w:t xml:space="preserve">PROTEIN FORMULA WITH CARBOHYDRATE, FAT, VITAMINS, MINERALS AND TRANSFORMING GROWTH FACTOR BETA-2 </w:t>
            </w:r>
          </w:p>
          <w:p w:rsidR="006D1C07" w:rsidRPr="00FF3461" w:rsidRDefault="006D1C07" w:rsidP="006D1C07">
            <w:pPr>
              <w:keepNext/>
              <w:ind w:left="-108"/>
              <w:jc w:val="both"/>
              <w:rPr>
                <w:rFonts w:ascii="Arial Narrow" w:hAnsi="Arial Narrow" w:cs="Arial"/>
                <w:sz w:val="20"/>
                <w:szCs w:val="18"/>
              </w:rPr>
            </w:pPr>
          </w:p>
          <w:p w:rsidR="006D1C07" w:rsidRPr="00FF3461" w:rsidRDefault="006D1C07" w:rsidP="006D1C07">
            <w:pPr>
              <w:keepNext/>
              <w:ind w:left="-108"/>
              <w:jc w:val="both"/>
              <w:rPr>
                <w:rFonts w:ascii="Arial Narrow" w:hAnsi="Arial Narrow" w:cs="Arial"/>
                <w:sz w:val="20"/>
                <w:szCs w:val="18"/>
              </w:rPr>
            </w:pPr>
            <w:r w:rsidRPr="00FF3461">
              <w:rPr>
                <w:rFonts w:ascii="Arial Narrow" w:hAnsi="Arial Narrow" w:cs="Arial"/>
                <w:sz w:val="20"/>
                <w:szCs w:val="18"/>
              </w:rPr>
              <w:t>12 x 400g cans</w:t>
            </w:r>
          </w:p>
        </w:tc>
        <w:tc>
          <w:tcPr>
            <w:tcW w:w="714" w:type="pct"/>
          </w:tcPr>
          <w:p w:rsidR="006D1C07" w:rsidRPr="00FF3461" w:rsidRDefault="006D1C07" w:rsidP="006D1C07">
            <w:pPr>
              <w:keepNext/>
              <w:ind w:left="-108"/>
              <w:jc w:val="center"/>
              <w:rPr>
                <w:rFonts w:ascii="Arial Narrow" w:hAnsi="Arial Narrow" w:cs="Arial"/>
                <w:sz w:val="20"/>
                <w:szCs w:val="18"/>
              </w:rPr>
            </w:pPr>
          </w:p>
          <w:p w:rsidR="006D1C07" w:rsidRPr="00FF3461" w:rsidRDefault="006D1C07" w:rsidP="006D1C07">
            <w:pPr>
              <w:keepNext/>
              <w:ind w:left="-108"/>
              <w:jc w:val="center"/>
              <w:rPr>
                <w:rFonts w:ascii="Arial Narrow" w:hAnsi="Arial Narrow" w:cs="Arial"/>
                <w:sz w:val="20"/>
                <w:szCs w:val="18"/>
              </w:rPr>
            </w:pPr>
          </w:p>
          <w:p w:rsidR="006D1C07" w:rsidRPr="00FF3461" w:rsidRDefault="006D1C07" w:rsidP="006D1C07">
            <w:pPr>
              <w:keepNext/>
              <w:ind w:left="-108"/>
              <w:jc w:val="center"/>
              <w:rPr>
                <w:rFonts w:ascii="Arial Narrow" w:hAnsi="Arial Narrow" w:cs="Arial"/>
                <w:sz w:val="20"/>
                <w:szCs w:val="18"/>
              </w:rPr>
            </w:pPr>
            <w:r w:rsidRPr="00FF3461">
              <w:rPr>
                <w:rFonts w:ascii="Arial Narrow" w:hAnsi="Arial Narrow" w:cs="Arial"/>
                <w:sz w:val="20"/>
                <w:szCs w:val="18"/>
              </w:rPr>
              <w:t>NEW</w:t>
            </w:r>
          </w:p>
        </w:tc>
        <w:tc>
          <w:tcPr>
            <w:tcW w:w="477" w:type="pct"/>
          </w:tcPr>
          <w:p w:rsidR="006D1C07" w:rsidRPr="00FF3461" w:rsidRDefault="006D1C07" w:rsidP="006D1C07">
            <w:pPr>
              <w:keepNext/>
              <w:jc w:val="center"/>
              <w:rPr>
                <w:rFonts w:ascii="Arial Narrow" w:hAnsi="Arial Narrow" w:cs="Arial"/>
                <w:sz w:val="20"/>
                <w:szCs w:val="18"/>
              </w:rPr>
            </w:pPr>
          </w:p>
          <w:p w:rsidR="006D1C07" w:rsidRPr="00FF3461" w:rsidRDefault="006D1C07" w:rsidP="006D1C07">
            <w:pPr>
              <w:keepNext/>
              <w:ind w:left="-108"/>
              <w:jc w:val="center"/>
              <w:rPr>
                <w:rFonts w:ascii="Arial Narrow" w:hAnsi="Arial Narrow" w:cs="Arial"/>
                <w:sz w:val="20"/>
                <w:szCs w:val="18"/>
              </w:rPr>
            </w:pPr>
          </w:p>
          <w:p w:rsidR="006D1C07" w:rsidRPr="00FF3461" w:rsidRDefault="006D1C07" w:rsidP="006D1C07">
            <w:pPr>
              <w:keepNext/>
              <w:jc w:val="center"/>
              <w:rPr>
                <w:rFonts w:ascii="Arial Narrow" w:hAnsi="Arial Narrow" w:cs="Arial"/>
                <w:sz w:val="20"/>
                <w:szCs w:val="18"/>
              </w:rPr>
            </w:pPr>
            <w:r w:rsidRPr="00FF3461">
              <w:rPr>
                <w:rFonts w:ascii="Arial Narrow" w:hAnsi="Arial Narrow" w:cs="Arial"/>
                <w:sz w:val="20"/>
                <w:szCs w:val="18"/>
              </w:rPr>
              <w:t>1</w:t>
            </w:r>
          </w:p>
        </w:tc>
        <w:tc>
          <w:tcPr>
            <w:tcW w:w="476" w:type="pct"/>
          </w:tcPr>
          <w:p w:rsidR="006D1C07" w:rsidRPr="00FF3461" w:rsidRDefault="006D1C07" w:rsidP="006D1C07">
            <w:pPr>
              <w:keepNext/>
              <w:ind w:left="-108"/>
              <w:jc w:val="center"/>
              <w:rPr>
                <w:rFonts w:ascii="Arial Narrow" w:hAnsi="Arial Narrow" w:cs="Arial"/>
                <w:sz w:val="20"/>
                <w:szCs w:val="18"/>
              </w:rPr>
            </w:pPr>
          </w:p>
          <w:p w:rsidR="006D1C07" w:rsidRPr="00FF3461" w:rsidRDefault="006D1C07" w:rsidP="006D1C07">
            <w:pPr>
              <w:keepNext/>
              <w:rPr>
                <w:rFonts w:ascii="Arial Narrow" w:hAnsi="Arial Narrow" w:cs="Arial"/>
                <w:sz w:val="20"/>
                <w:szCs w:val="18"/>
              </w:rPr>
            </w:pPr>
          </w:p>
          <w:p w:rsidR="006D1C07" w:rsidRPr="00FF3461" w:rsidRDefault="006D1C07" w:rsidP="006D1C07">
            <w:pPr>
              <w:keepNext/>
              <w:ind w:left="-108"/>
              <w:jc w:val="center"/>
              <w:rPr>
                <w:rFonts w:ascii="Arial Narrow" w:hAnsi="Arial Narrow" w:cs="Arial"/>
                <w:sz w:val="20"/>
                <w:szCs w:val="18"/>
              </w:rPr>
            </w:pPr>
            <w:r w:rsidRPr="00FF3461">
              <w:rPr>
                <w:rFonts w:ascii="Arial Narrow" w:hAnsi="Arial Narrow" w:cs="Arial"/>
                <w:sz w:val="20"/>
                <w:szCs w:val="18"/>
              </w:rPr>
              <w:t>12</w:t>
            </w:r>
          </w:p>
        </w:tc>
        <w:tc>
          <w:tcPr>
            <w:tcW w:w="397" w:type="pct"/>
          </w:tcPr>
          <w:p w:rsidR="006D1C07" w:rsidRPr="00FF3461" w:rsidRDefault="006D1C07" w:rsidP="006D1C07">
            <w:pPr>
              <w:keepNext/>
              <w:ind w:left="-108"/>
              <w:jc w:val="center"/>
              <w:rPr>
                <w:rFonts w:ascii="Arial Narrow" w:hAnsi="Arial Narrow" w:cs="Arial"/>
                <w:sz w:val="20"/>
                <w:szCs w:val="18"/>
              </w:rPr>
            </w:pPr>
          </w:p>
          <w:p w:rsidR="006D1C07" w:rsidRPr="00FF3461" w:rsidRDefault="006D1C07" w:rsidP="006D1C07">
            <w:pPr>
              <w:keepNext/>
              <w:ind w:left="-108"/>
              <w:jc w:val="center"/>
              <w:rPr>
                <w:rFonts w:ascii="Arial Narrow" w:hAnsi="Arial Narrow" w:cs="Arial"/>
                <w:sz w:val="20"/>
                <w:szCs w:val="18"/>
              </w:rPr>
            </w:pPr>
          </w:p>
          <w:p w:rsidR="006D1C07" w:rsidRPr="00FF3461" w:rsidRDefault="006D1C07" w:rsidP="006D1C07">
            <w:pPr>
              <w:keepNext/>
              <w:ind w:left="-108"/>
              <w:jc w:val="center"/>
              <w:rPr>
                <w:rFonts w:ascii="Arial Narrow" w:hAnsi="Arial Narrow" w:cs="Arial"/>
                <w:sz w:val="20"/>
                <w:szCs w:val="18"/>
              </w:rPr>
            </w:pPr>
            <w:r w:rsidRPr="00FF3461">
              <w:rPr>
                <w:rFonts w:ascii="Arial Narrow" w:hAnsi="Arial Narrow" w:cs="Arial"/>
                <w:sz w:val="20"/>
                <w:szCs w:val="18"/>
              </w:rPr>
              <w:t>5</w:t>
            </w:r>
          </w:p>
          <w:p w:rsidR="006D1C07" w:rsidRPr="00FF3461" w:rsidRDefault="006D1C07" w:rsidP="006D1C07">
            <w:pPr>
              <w:keepNext/>
              <w:rPr>
                <w:rFonts w:ascii="Arial Narrow" w:hAnsi="Arial Narrow" w:cs="Arial"/>
                <w:sz w:val="20"/>
                <w:szCs w:val="18"/>
              </w:rPr>
            </w:pPr>
          </w:p>
        </w:tc>
        <w:tc>
          <w:tcPr>
            <w:tcW w:w="635" w:type="pct"/>
          </w:tcPr>
          <w:p w:rsidR="006D1C07" w:rsidRPr="00FF3461" w:rsidRDefault="006D1C07" w:rsidP="006D1C07">
            <w:pPr>
              <w:keepNext/>
              <w:jc w:val="both"/>
              <w:rPr>
                <w:rFonts w:ascii="Arial Narrow" w:hAnsi="Arial Narrow" w:cs="Arial"/>
                <w:sz w:val="20"/>
                <w:szCs w:val="18"/>
              </w:rPr>
            </w:pPr>
          </w:p>
          <w:p w:rsidR="006D1C07" w:rsidRPr="00FF3461" w:rsidRDefault="006D1C07" w:rsidP="006D1C07">
            <w:pPr>
              <w:keepNext/>
              <w:jc w:val="both"/>
              <w:rPr>
                <w:rFonts w:ascii="Arial Narrow" w:hAnsi="Arial Narrow" w:cs="Arial"/>
                <w:sz w:val="20"/>
                <w:szCs w:val="18"/>
              </w:rPr>
            </w:pPr>
          </w:p>
          <w:p w:rsidR="006D1C07" w:rsidRPr="00FF3461" w:rsidRDefault="006D1C07" w:rsidP="006D1C07">
            <w:pPr>
              <w:keepNext/>
              <w:jc w:val="both"/>
              <w:rPr>
                <w:rFonts w:ascii="Arial Narrow" w:hAnsi="Arial Narrow" w:cs="Arial"/>
                <w:sz w:val="20"/>
                <w:szCs w:val="18"/>
              </w:rPr>
            </w:pPr>
            <w:proofErr w:type="spellStart"/>
            <w:r w:rsidRPr="00FF3461">
              <w:rPr>
                <w:rFonts w:ascii="Arial Narrow" w:hAnsi="Arial Narrow" w:cs="Arial"/>
                <w:sz w:val="20"/>
                <w:szCs w:val="18"/>
              </w:rPr>
              <w:t>Modulen</w:t>
            </w:r>
            <w:proofErr w:type="spellEnd"/>
            <w:r w:rsidRPr="00FF3461">
              <w:rPr>
                <w:rFonts w:ascii="Arial Narrow" w:hAnsi="Arial Narrow" w:cs="Arial"/>
                <w:sz w:val="20"/>
                <w:szCs w:val="18"/>
                <w:vertAlign w:val="superscript"/>
              </w:rPr>
              <w:t>®</w:t>
            </w:r>
            <w:r w:rsidRPr="00FF3461">
              <w:rPr>
                <w:rFonts w:ascii="Arial Narrow" w:hAnsi="Arial Narrow" w:cs="Arial"/>
                <w:sz w:val="20"/>
                <w:szCs w:val="18"/>
              </w:rPr>
              <w:t xml:space="preserve"> IBD</w:t>
            </w:r>
          </w:p>
        </w:tc>
        <w:tc>
          <w:tcPr>
            <w:tcW w:w="794" w:type="pct"/>
          </w:tcPr>
          <w:p w:rsidR="006D1C07" w:rsidRPr="00FF3461" w:rsidRDefault="006D1C07" w:rsidP="006D1C07">
            <w:pPr>
              <w:keepNext/>
              <w:rPr>
                <w:rFonts w:ascii="Arial Narrow" w:hAnsi="Arial Narrow" w:cs="Arial"/>
                <w:sz w:val="20"/>
                <w:szCs w:val="18"/>
              </w:rPr>
            </w:pPr>
          </w:p>
          <w:p w:rsidR="006D1C07" w:rsidRPr="00FF3461" w:rsidRDefault="006D1C07" w:rsidP="006D1C07">
            <w:pPr>
              <w:keepNext/>
              <w:rPr>
                <w:rFonts w:ascii="Arial Narrow" w:hAnsi="Arial Narrow" w:cs="Arial"/>
                <w:sz w:val="20"/>
                <w:szCs w:val="18"/>
              </w:rPr>
            </w:pPr>
          </w:p>
          <w:p w:rsidR="006D1C07" w:rsidRPr="00FF3461" w:rsidRDefault="006D1C07" w:rsidP="006D1C07">
            <w:pPr>
              <w:keepNext/>
              <w:rPr>
                <w:rFonts w:ascii="Arial Narrow" w:hAnsi="Arial Narrow" w:cs="Arial"/>
                <w:sz w:val="20"/>
                <w:szCs w:val="18"/>
              </w:rPr>
            </w:pPr>
            <w:r w:rsidRPr="00FF3461">
              <w:rPr>
                <w:rFonts w:ascii="Arial Narrow" w:hAnsi="Arial Narrow" w:cs="Arial"/>
                <w:sz w:val="20"/>
                <w:szCs w:val="18"/>
              </w:rPr>
              <w:t xml:space="preserve">Nestle Health Science </w:t>
            </w:r>
          </w:p>
        </w:tc>
      </w:tr>
    </w:tbl>
    <w:p w:rsidR="0026388D" w:rsidRPr="00200BF0" w:rsidRDefault="004A6BDD" w:rsidP="00200BF0">
      <w:pPr>
        <w:pStyle w:val="3Bodytext"/>
        <w:spacing w:before="120"/>
        <w:rPr>
          <w:i/>
          <w:szCs w:val="24"/>
        </w:rPr>
      </w:pPr>
      <w:r w:rsidRPr="005C05F7">
        <w:t xml:space="preserve">The submission requested a maximum quantity of 12 x 400g </w:t>
      </w:r>
      <w:r>
        <w:t>cans</w:t>
      </w:r>
      <w:r w:rsidRPr="005C05F7">
        <w:t xml:space="preserve"> per prescripti</w:t>
      </w:r>
      <w:r w:rsidRPr="00B139D1">
        <w:t xml:space="preserve">on with </w:t>
      </w:r>
      <w:proofErr w:type="gramStart"/>
      <w:r w:rsidRPr="00B139D1">
        <w:t>5</w:t>
      </w:r>
      <w:proofErr w:type="gramEnd"/>
      <w:r w:rsidRPr="00B139D1">
        <w:t xml:space="preserve"> repeats (</w:t>
      </w:r>
      <w:r w:rsidR="00C05F78">
        <w:t>total 72</w:t>
      </w:r>
      <w:r w:rsidRPr="00B139D1">
        <w:t xml:space="preserve"> can</w:t>
      </w:r>
      <w:r>
        <w:t>s</w:t>
      </w:r>
      <w:r w:rsidRPr="005C05F7">
        <w:t xml:space="preserve">). The requested approved ex-manufacturer price (AEMP) for the maximum quantity of 12 </w:t>
      </w:r>
      <w:r>
        <w:t>cans</w:t>
      </w:r>
      <w:r w:rsidRPr="005C05F7">
        <w:t xml:space="preserve"> was $</w:t>
      </w:r>
      <w:r w:rsidRPr="006764DA">
        <w:t>361.56</w:t>
      </w:r>
      <w:r w:rsidRPr="005C05F7">
        <w:t>, with a dispensed price for maximum quantity (DPMQ) of $</w:t>
      </w:r>
      <w:r w:rsidRPr="006764DA">
        <w:t>407.59</w:t>
      </w:r>
      <w:r w:rsidRPr="005C05F7">
        <w:t>.</w:t>
      </w:r>
    </w:p>
    <w:p w:rsidR="00D3373F" w:rsidRPr="00D3373F" w:rsidRDefault="00D3373F" w:rsidP="00D3373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Place in therapy</w:t>
      </w:r>
    </w:p>
    <w:p w:rsidR="00D3373F" w:rsidRPr="00200BF0" w:rsidRDefault="00D3373F" w:rsidP="00D3373F">
      <w:pPr>
        <w:pStyle w:val="3Bodytext"/>
        <w:rPr>
          <w:szCs w:val="24"/>
        </w:rPr>
      </w:pPr>
      <w:r w:rsidRPr="00200BF0">
        <w:rPr>
          <w:szCs w:val="24"/>
        </w:rPr>
        <w:t xml:space="preserve">The submission proposed a treatment algorithm for enteral nutrition in paediatric CD and argued enteral nutrition should be the first-line preferred treatment option for </w:t>
      </w:r>
      <w:r w:rsidRPr="00200BF0">
        <w:rPr>
          <w:szCs w:val="24"/>
        </w:rPr>
        <w:lastRenderedPageBreak/>
        <w:t xml:space="preserve">paediatric CD (except in limited circumstances), with pharmacotherapy indicated for use if patients do not respond to or cannot tolerate enteral nutrition.  </w:t>
      </w:r>
    </w:p>
    <w:p w:rsidR="00D3373F" w:rsidRPr="00D3373F" w:rsidRDefault="00D3373F" w:rsidP="00D3373F">
      <w:pPr>
        <w:pStyle w:val="3Bodytext"/>
      </w:pPr>
      <w:r>
        <w:t>The Gastroenterological Society of Australia (GESA) inflammatory bowel disease 2018 clinical update</w:t>
      </w:r>
      <w:r>
        <w:rPr>
          <w:rStyle w:val="FootnoteReference"/>
          <w:i/>
          <w:szCs w:val="24"/>
        </w:rPr>
        <w:footnoteReference w:id="1"/>
      </w:r>
      <w:r>
        <w:t xml:space="preserve"> states that exclusive enteral nutrition (EEN) (i.e. total dietary replacement with nutritional formula), </w:t>
      </w:r>
      <w:proofErr w:type="gramStart"/>
      <w:r>
        <w:t>has been traditionally used</w:t>
      </w:r>
      <w:proofErr w:type="gramEnd"/>
      <w:r>
        <w:t xml:space="preserve"> for induction of remission in CD over a duration of 6-8 weeks, particularly in paediatric populations. The GESA clinical update also notes use in adults </w:t>
      </w:r>
      <w:proofErr w:type="gramStart"/>
      <w:r>
        <w:t>has been limited</w:t>
      </w:r>
      <w:proofErr w:type="gramEnd"/>
      <w:r>
        <w:t xml:space="preserve"> by poor palatability, non-adherence, cost and a greater willingness to use steroid therapy.</w:t>
      </w:r>
      <w:r w:rsidRPr="004A6BDD">
        <w:rPr>
          <w:i/>
        </w:rPr>
        <w:t xml:space="preserve"> </w:t>
      </w:r>
    </w:p>
    <w:p w:rsidR="00D3373F" w:rsidRPr="00FF3461" w:rsidRDefault="00D3373F" w:rsidP="00D3373F">
      <w:pPr>
        <w:pStyle w:val="3Bodytext"/>
        <w:rPr>
          <w:szCs w:val="24"/>
        </w:rPr>
      </w:pPr>
      <w:r w:rsidRPr="00E2549C">
        <w:rPr>
          <w:szCs w:val="24"/>
        </w:rPr>
        <w:t>Enteral nutrition is recognised as a prior treatment option for determining eligibility for</w:t>
      </w:r>
      <w:r>
        <w:rPr>
          <w:szCs w:val="24"/>
        </w:rPr>
        <w:t xml:space="preserve"> PBS-subsidised</w:t>
      </w:r>
      <w:r w:rsidRPr="00E2549C">
        <w:rPr>
          <w:szCs w:val="24"/>
        </w:rPr>
        <w:t xml:space="preserve"> biologics (infliximab) in paediatric CD, where a patient must have tried at least two of (or be contraindicated/intolerant to) prednisolone, enteral nutrition, azathioprine, </w:t>
      </w:r>
      <w:proofErr w:type="spellStart"/>
      <w:r w:rsidRPr="00E2549C">
        <w:rPr>
          <w:szCs w:val="24"/>
        </w:rPr>
        <w:t>mercaptopurine</w:t>
      </w:r>
      <w:proofErr w:type="spellEnd"/>
      <w:r w:rsidRPr="00E2549C">
        <w:rPr>
          <w:szCs w:val="24"/>
        </w:rPr>
        <w:t xml:space="preserve"> or methotrexate in moderate to severe paediatric CD prior to trialling infliximab. Enteral nutrition is not a</w:t>
      </w:r>
      <w:r>
        <w:rPr>
          <w:szCs w:val="24"/>
        </w:rPr>
        <w:t xml:space="preserve"> prior</w:t>
      </w:r>
      <w:r w:rsidRPr="00E2549C">
        <w:rPr>
          <w:szCs w:val="24"/>
        </w:rPr>
        <w:t xml:space="preserve"> treatment option for determining eligibility for</w:t>
      </w:r>
      <w:r>
        <w:rPr>
          <w:szCs w:val="24"/>
        </w:rPr>
        <w:t xml:space="preserve"> PBS-subsidised</w:t>
      </w:r>
      <w:r w:rsidRPr="00E2549C">
        <w:rPr>
          <w:szCs w:val="24"/>
        </w:rPr>
        <w:t xml:space="preserve"> biolo</w:t>
      </w:r>
      <w:r w:rsidR="00251D81">
        <w:rPr>
          <w:szCs w:val="24"/>
        </w:rPr>
        <w:t xml:space="preserve">gics (infliximab, </w:t>
      </w:r>
      <w:proofErr w:type="spellStart"/>
      <w:r w:rsidR="00251D81">
        <w:rPr>
          <w:szCs w:val="24"/>
        </w:rPr>
        <w:t>adalimumab</w:t>
      </w:r>
      <w:proofErr w:type="spellEnd"/>
      <w:r w:rsidR="00251D81">
        <w:rPr>
          <w:szCs w:val="24"/>
        </w:rPr>
        <w:t xml:space="preserve">, </w:t>
      </w:r>
      <w:proofErr w:type="spellStart"/>
      <w:r w:rsidRPr="00E2549C">
        <w:rPr>
          <w:szCs w:val="24"/>
        </w:rPr>
        <w:t>vedolizumab</w:t>
      </w:r>
      <w:proofErr w:type="spellEnd"/>
      <w:r w:rsidR="00251D81">
        <w:rPr>
          <w:szCs w:val="24"/>
        </w:rPr>
        <w:t xml:space="preserve"> or </w:t>
      </w:r>
      <w:proofErr w:type="spellStart"/>
      <w:r w:rsidR="00251D81">
        <w:rPr>
          <w:szCs w:val="24"/>
        </w:rPr>
        <w:t>ustekinumab</w:t>
      </w:r>
      <w:proofErr w:type="spellEnd"/>
      <w:r w:rsidRPr="00E2549C">
        <w:rPr>
          <w:szCs w:val="24"/>
        </w:rPr>
        <w:t>) in adult CD.</w:t>
      </w:r>
    </w:p>
    <w:p w:rsidR="00CC334E" w:rsidRDefault="00CC334E">
      <w:pPr>
        <w:rPr>
          <w:rFonts w:asciiTheme="minorHAnsi" w:hAnsiTheme="minorHAnsi"/>
          <w:b/>
          <w:i/>
        </w:rPr>
      </w:pPr>
      <w:r>
        <w:rPr>
          <w:rFonts w:asciiTheme="minorHAnsi" w:hAnsiTheme="minorHAnsi"/>
          <w:b/>
          <w:i/>
        </w:rPr>
        <w:br w:type="page"/>
      </w:r>
    </w:p>
    <w:p w:rsidR="00B139D1" w:rsidRPr="00AF3AC4" w:rsidRDefault="00B139D1" w:rsidP="00B139D1">
      <w:pPr>
        <w:spacing w:after="120"/>
        <w:ind w:left="66"/>
        <w:rPr>
          <w:rFonts w:asciiTheme="minorHAnsi" w:hAnsiTheme="minorHAnsi"/>
          <w:b/>
          <w:i/>
        </w:rPr>
      </w:pPr>
      <w:r>
        <w:rPr>
          <w:rFonts w:asciiTheme="minorHAnsi" w:hAnsiTheme="minorHAnsi"/>
          <w:b/>
          <w:i/>
        </w:rPr>
        <w:lastRenderedPageBreak/>
        <w:t>N</w:t>
      </w:r>
      <w:r w:rsidR="00CC334E">
        <w:rPr>
          <w:rFonts w:asciiTheme="minorHAnsi" w:hAnsiTheme="minorHAnsi"/>
          <w:b/>
          <w:i/>
        </w:rPr>
        <w:t xml:space="preserve">utritional </w:t>
      </w:r>
      <w:r>
        <w:rPr>
          <w:rFonts w:asciiTheme="minorHAnsi" w:hAnsiTheme="minorHAnsi"/>
          <w:b/>
          <w:i/>
        </w:rPr>
        <w:t>P</w:t>
      </w:r>
      <w:r w:rsidR="00CC334E">
        <w:rPr>
          <w:rFonts w:asciiTheme="minorHAnsi" w:hAnsiTheme="minorHAnsi"/>
          <w:b/>
          <w:i/>
        </w:rPr>
        <w:t xml:space="preserve">roducts </w:t>
      </w:r>
      <w:r>
        <w:rPr>
          <w:rFonts w:asciiTheme="minorHAnsi" w:hAnsiTheme="minorHAnsi"/>
          <w:b/>
          <w:i/>
        </w:rPr>
        <w:t>W</w:t>
      </w:r>
      <w:r w:rsidR="00CC334E">
        <w:rPr>
          <w:rFonts w:asciiTheme="minorHAnsi" w:hAnsiTheme="minorHAnsi"/>
          <w:b/>
          <w:i/>
        </w:rPr>
        <w:t xml:space="preserve">orking </w:t>
      </w:r>
      <w:r>
        <w:rPr>
          <w:rFonts w:asciiTheme="minorHAnsi" w:hAnsiTheme="minorHAnsi"/>
          <w:b/>
          <w:i/>
        </w:rPr>
        <w:t>P</w:t>
      </w:r>
      <w:r w:rsidR="00CC334E">
        <w:rPr>
          <w:rFonts w:asciiTheme="minorHAnsi" w:hAnsiTheme="minorHAnsi"/>
          <w:b/>
          <w:i/>
        </w:rPr>
        <w:t>arty (NPWP)</w:t>
      </w:r>
      <w:r>
        <w:rPr>
          <w:rFonts w:asciiTheme="minorHAnsi" w:hAnsiTheme="minorHAnsi"/>
          <w:b/>
          <w:i/>
        </w:rPr>
        <w:t xml:space="preserve"> advice on requested listing and place in therapy</w:t>
      </w:r>
    </w:p>
    <w:p w:rsidR="00B139D1" w:rsidRDefault="00B139D1" w:rsidP="00B139D1">
      <w:pPr>
        <w:pStyle w:val="3Bodytext"/>
        <w:rPr>
          <w:szCs w:val="24"/>
        </w:rPr>
      </w:pPr>
      <w:r w:rsidRPr="00E96838">
        <w:rPr>
          <w:szCs w:val="24"/>
        </w:rPr>
        <w:t xml:space="preserve">The NPWP advised that, based on the available information, it did not support the listing of </w:t>
      </w:r>
      <w:proofErr w:type="spellStart"/>
      <w:r w:rsidRPr="00E96838">
        <w:rPr>
          <w:szCs w:val="24"/>
        </w:rPr>
        <w:t>Modulen</w:t>
      </w:r>
      <w:proofErr w:type="spellEnd"/>
      <w:r w:rsidRPr="00E96838">
        <w:rPr>
          <w:szCs w:val="24"/>
        </w:rPr>
        <w:t xml:space="preserve"> IBD on the basis there is no clinical need for this product on the PBS. The NPWP noted other mechanisms already exist through hospitals which make enteral feeding formulas for patients with Crohn’s Disease (CD) available on a cost neutral basis to patients and families (i.e. at the cost of regular diet), and that these mechanisms were effective and equitable. The NPWP also noted several pharmacotherapy options were available on the PBS for induction of remission in CD.</w:t>
      </w:r>
    </w:p>
    <w:p w:rsidR="00DA67A4" w:rsidRPr="00DA67A4" w:rsidRDefault="00DA67A4" w:rsidP="00DA67A4">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 xml:space="preserve">The Pre-PBAC Response argued that hospital-based access programs are not equitable for all patients, as some patients do not have access to supply or are located in rural or remote settings where access to hospitals is difficult. Furthermore, the </w:t>
      </w:r>
      <w:r w:rsidR="00177393">
        <w:rPr>
          <w:rFonts w:asciiTheme="minorHAnsi" w:eastAsiaTheme="minorHAnsi" w:hAnsiTheme="minorHAnsi" w:cstheme="minorBidi"/>
          <w:snapToGrid/>
          <w:sz w:val="24"/>
          <w:szCs w:val="24"/>
        </w:rPr>
        <w:t xml:space="preserve">Pre-PBAC response </w:t>
      </w:r>
      <w:r>
        <w:rPr>
          <w:rFonts w:asciiTheme="minorHAnsi" w:eastAsiaTheme="minorHAnsi" w:hAnsiTheme="minorHAnsi" w:cstheme="minorBidi"/>
          <w:snapToGrid/>
          <w:sz w:val="24"/>
          <w:szCs w:val="24"/>
        </w:rPr>
        <w:t>argued that variation between States and Territories meant access was not consistent and equitable across the country.</w:t>
      </w:r>
    </w:p>
    <w:p w:rsidR="00C90517" w:rsidRDefault="00B139D1" w:rsidP="00C90517">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sidRPr="00E96838">
        <w:rPr>
          <w:rFonts w:asciiTheme="minorHAnsi" w:eastAsiaTheme="minorHAnsi" w:hAnsiTheme="minorHAnsi" w:cstheme="minorBidi"/>
          <w:snapToGrid/>
          <w:sz w:val="24"/>
          <w:szCs w:val="24"/>
        </w:rPr>
        <w:t>The NPWP considered enteral nutrition has a place in therapy as an alternative to pharmacotherapy (primarily corticosteroids) for the induction of remission in active Crohn Disease, particularly for paediatric patients where extended periods of pharmacotherapy may be less preferable and enteral nutrition is an established first-line treatment option.</w:t>
      </w:r>
    </w:p>
    <w:p w:rsidR="00E96838" w:rsidRDefault="00E96838" w:rsidP="00C90517">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The Pre-PBAC Response</w:t>
      </w:r>
      <w:r w:rsidR="00505EC2">
        <w:rPr>
          <w:rFonts w:asciiTheme="minorHAnsi" w:eastAsiaTheme="minorHAnsi" w:hAnsiTheme="minorHAnsi" w:cstheme="minorBidi"/>
          <w:snapToGrid/>
          <w:sz w:val="24"/>
          <w:szCs w:val="24"/>
        </w:rPr>
        <w:t xml:space="preserve"> </w:t>
      </w:r>
      <w:r>
        <w:rPr>
          <w:rFonts w:asciiTheme="minorHAnsi" w:eastAsiaTheme="minorHAnsi" w:hAnsiTheme="minorHAnsi" w:cstheme="minorBidi"/>
          <w:snapToGrid/>
          <w:sz w:val="24"/>
          <w:szCs w:val="24"/>
        </w:rPr>
        <w:t>noted the NPWP advice that enteral nutrition has a place in therapy as an alternative to corticosteroids and indicated a willingness to seek a PB</w:t>
      </w:r>
      <w:r w:rsidR="00177393">
        <w:rPr>
          <w:rFonts w:asciiTheme="minorHAnsi" w:eastAsiaTheme="minorHAnsi" w:hAnsiTheme="minorHAnsi" w:cstheme="minorBidi"/>
          <w:snapToGrid/>
          <w:sz w:val="24"/>
          <w:szCs w:val="24"/>
        </w:rPr>
        <w:t>S</w:t>
      </w:r>
      <w:r>
        <w:rPr>
          <w:rFonts w:asciiTheme="minorHAnsi" w:eastAsiaTheme="minorHAnsi" w:hAnsiTheme="minorHAnsi" w:cstheme="minorBidi"/>
          <w:snapToGrid/>
          <w:sz w:val="24"/>
          <w:szCs w:val="24"/>
        </w:rPr>
        <w:t xml:space="preserve"> listing restricted to patients where the need was greatest including:</w:t>
      </w:r>
    </w:p>
    <w:p w:rsidR="00B070ED" w:rsidRDefault="00E96838" w:rsidP="00E96838">
      <w:pPr>
        <w:pStyle w:val="ListParagraph"/>
        <w:numPr>
          <w:ilvl w:val="0"/>
          <w:numId w:val="43"/>
        </w:numPr>
        <w:spacing w:after="120"/>
        <w:ind w:left="993" w:hanging="284"/>
        <w:rPr>
          <w:rFonts w:asciiTheme="minorHAnsi" w:eastAsiaTheme="minorHAnsi" w:hAnsiTheme="minorHAnsi" w:cstheme="minorBidi"/>
          <w:snapToGrid/>
          <w:sz w:val="24"/>
          <w:szCs w:val="24"/>
        </w:rPr>
      </w:pPr>
      <w:r w:rsidRPr="00E96838">
        <w:rPr>
          <w:rFonts w:asciiTheme="minorHAnsi" w:eastAsiaTheme="minorHAnsi" w:hAnsiTheme="minorHAnsi" w:cstheme="minorBidi"/>
          <w:snapToGrid/>
          <w:sz w:val="24"/>
          <w:szCs w:val="24"/>
        </w:rPr>
        <w:t xml:space="preserve">for treatment between courses of pharmacotherapy (particularly corticosteroids) where </w:t>
      </w:r>
      <w:r w:rsidR="00B070ED">
        <w:rPr>
          <w:rFonts w:asciiTheme="minorHAnsi" w:eastAsiaTheme="minorHAnsi" w:hAnsiTheme="minorHAnsi" w:cstheme="minorBidi"/>
          <w:snapToGrid/>
          <w:sz w:val="24"/>
          <w:szCs w:val="24"/>
        </w:rPr>
        <w:t xml:space="preserve">the maximum number of </w:t>
      </w:r>
      <w:r w:rsidRPr="00E96838">
        <w:rPr>
          <w:rFonts w:asciiTheme="minorHAnsi" w:eastAsiaTheme="minorHAnsi" w:hAnsiTheme="minorHAnsi" w:cstheme="minorBidi"/>
          <w:snapToGrid/>
          <w:sz w:val="24"/>
          <w:szCs w:val="24"/>
        </w:rPr>
        <w:t>co</w:t>
      </w:r>
      <w:r w:rsidR="00B070ED">
        <w:rPr>
          <w:rFonts w:asciiTheme="minorHAnsi" w:eastAsiaTheme="minorHAnsi" w:hAnsiTheme="minorHAnsi" w:cstheme="minorBidi"/>
          <w:snapToGrid/>
          <w:sz w:val="24"/>
          <w:szCs w:val="24"/>
        </w:rPr>
        <w:t>urses per year recommended in clinical guidelines has been reached;</w:t>
      </w:r>
    </w:p>
    <w:p w:rsidR="00B070ED" w:rsidRDefault="00B070ED" w:rsidP="00E96838">
      <w:pPr>
        <w:pStyle w:val="ListParagraph"/>
        <w:numPr>
          <w:ilvl w:val="0"/>
          <w:numId w:val="43"/>
        </w:numPr>
        <w:spacing w:after="120"/>
        <w:ind w:left="993" w:hanging="284"/>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in</w:t>
      </w:r>
      <w:r w:rsidR="00E96838" w:rsidRPr="00E96838">
        <w:rPr>
          <w:rFonts w:asciiTheme="minorHAnsi" w:eastAsiaTheme="minorHAnsi" w:hAnsiTheme="minorHAnsi" w:cstheme="minorBidi"/>
          <w:snapToGrid/>
          <w:sz w:val="24"/>
          <w:szCs w:val="24"/>
        </w:rPr>
        <w:t xml:space="preserve"> paediatric patients for whom corticoste</w:t>
      </w:r>
      <w:r w:rsidR="00867E4B">
        <w:rPr>
          <w:rFonts w:asciiTheme="minorHAnsi" w:eastAsiaTheme="minorHAnsi" w:hAnsiTheme="minorHAnsi" w:cstheme="minorBidi"/>
          <w:snapToGrid/>
          <w:sz w:val="24"/>
          <w:szCs w:val="24"/>
        </w:rPr>
        <w:t>roids</w:t>
      </w:r>
      <w:r w:rsidR="00E96838" w:rsidRPr="00E96838">
        <w:rPr>
          <w:rFonts w:asciiTheme="minorHAnsi" w:eastAsiaTheme="minorHAnsi" w:hAnsiTheme="minorHAnsi" w:cstheme="minorBidi"/>
          <w:snapToGrid/>
          <w:sz w:val="24"/>
          <w:szCs w:val="24"/>
        </w:rPr>
        <w:t xml:space="preserve"> are</w:t>
      </w:r>
      <w:r>
        <w:rPr>
          <w:rFonts w:asciiTheme="minorHAnsi" w:eastAsiaTheme="minorHAnsi" w:hAnsiTheme="minorHAnsi" w:cstheme="minorBidi"/>
          <w:snapToGrid/>
          <w:sz w:val="24"/>
          <w:szCs w:val="24"/>
        </w:rPr>
        <w:t xml:space="preserve"> not suitable or not tolerated</w:t>
      </w:r>
      <w:r w:rsidR="00867E4B">
        <w:rPr>
          <w:rFonts w:asciiTheme="minorHAnsi" w:eastAsiaTheme="minorHAnsi" w:hAnsiTheme="minorHAnsi" w:cstheme="minorBidi"/>
          <w:snapToGrid/>
          <w:sz w:val="24"/>
          <w:szCs w:val="24"/>
        </w:rPr>
        <w:t xml:space="preserve"> (about 30% of patients)</w:t>
      </w:r>
      <w:r>
        <w:rPr>
          <w:rFonts w:asciiTheme="minorHAnsi" w:eastAsiaTheme="minorHAnsi" w:hAnsiTheme="minorHAnsi" w:cstheme="minorBidi"/>
          <w:snapToGrid/>
          <w:sz w:val="24"/>
          <w:szCs w:val="24"/>
        </w:rPr>
        <w:t>;</w:t>
      </w:r>
    </w:p>
    <w:p w:rsidR="00E96838" w:rsidRDefault="00177393" w:rsidP="00E96838">
      <w:pPr>
        <w:pStyle w:val="ListParagraph"/>
        <w:numPr>
          <w:ilvl w:val="0"/>
          <w:numId w:val="43"/>
        </w:numPr>
        <w:spacing w:after="120"/>
        <w:ind w:left="993" w:hanging="284"/>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i</w:t>
      </w:r>
      <w:r w:rsidR="00B070ED">
        <w:rPr>
          <w:rFonts w:asciiTheme="minorHAnsi" w:eastAsiaTheme="minorHAnsi" w:hAnsiTheme="minorHAnsi" w:cstheme="minorBidi"/>
          <w:snapToGrid/>
          <w:sz w:val="24"/>
          <w:szCs w:val="24"/>
        </w:rPr>
        <w:t xml:space="preserve">n </w:t>
      </w:r>
      <w:r w:rsidR="00E96838" w:rsidRPr="00E96838">
        <w:rPr>
          <w:rFonts w:asciiTheme="minorHAnsi" w:eastAsiaTheme="minorHAnsi" w:hAnsiTheme="minorHAnsi" w:cstheme="minorBidi"/>
          <w:snapToGrid/>
          <w:sz w:val="24"/>
          <w:szCs w:val="24"/>
        </w:rPr>
        <w:t>patients in whom corticosteroids are ineffective</w:t>
      </w:r>
      <w:r w:rsidR="00B070ED">
        <w:rPr>
          <w:rFonts w:asciiTheme="minorHAnsi" w:eastAsiaTheme="minorHAnsi" w:hAnsiTheme="minorHAnsi" w:cstheme="minorBidi"/>
          <w:snapToGrid/>
          <w:sz w:val="24"/>
          <w:szCs w:val="24"/>
        </w:rPr>
        <w:t>; and</w:t>
      </w:r>
    </w:p>
    <w:p w:rsidR="00B070ED" w:rsidRPr="00E96838" w:rsidRDefault="00177393" w:rsidP="00E96838">
      <w:pPr>
        <w:pStyle w:val="ListParagraph"/>
        <w:numPr>
          <w:ilvl w:val="0"/>
          <w:numId w:val="43"/>
        </w:numPr>
        <w:spacing w:after="120"/>
        <w:ind w:left="993" w:hanging="284"/>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For p</w:t>
      </w:r>
      <w:r w:rsidR="00B070ED">
        <w:rPr>
          <w:rFonts w:asciiTheme="minorHAnsi" w:eastAsiaTheme="minorHAnsi" w:hAnsiTheme="minorHAnsi" w:cstheme="minorBidi"/>
          <w:snapToGrid/>
          <w:sz w:val="24"/>
          <w:szCs w:val="24"/>
        </w:rPr>
        <w:t>atients in rural and remote areas with severe flare-ups who may not have immediate access to rescue therapies such as intravenous/rectal steroids or hospital-based enteral nutrition.</w:t>
      </w:r>
    </w:p>
    <w:p w:rsidR="00B070ED" w:rsidRPr="00E96838" w:rsidRDefault="00B070ED" w:rsidP="00B070ED">
      <w:pPr>
        <w:pStyle w:val="ListParagraph"/>
        <w:spacing w:after="120"/>
        <w:ind w:left="993"/>
        <w:rPr>
          <w:rFonts w:asciiTheme="minorHAnsi" w:eastAsiaTheme="minorHAnsi" w:hAnsiTheme="minorHAnsi" w:cstheme="minorBidi"/>
          <w:snapToGrid/>
        </w:rPr>
      </w:pPr>
    </w:p>
    <w:p w:rsidR="00C90517" w:rsidRPr="00A613AC" w:rsidRDefault="00C90517" w:rsidP="00A613AC">
      <w:pPr>
        <w:pStyle w:val="ListParagraph"/>
        <w:ind w:left="709"/>
        <w:rPr>
          <w:rFonts w:asciiTheme="minorHAnsi" w:hAnsiTheme="minorHAnsi"/>
          <w:i/>
          <w:sz w:val="24"/>
          <w:szCs w:val="24"/>
        </w:rPr>
      </w:pPr>
      <w:r w:rsidRPr="00A613AC">
        <w:rPr>
          <w:rFonts w:asciiTheme="minorHAnsi" w:hAnsiTheme="minorHAnsi"/>
          <w:i/>
          <w:sz w:val="24"/>
          <w:szCs w:val="24"/>
        </w:rPr>
        <w:t>For more deta</w:t>
      </w:r>
      <w:r w:rsidR="006C5BC4" w:rsidRPr="00A613AC">
        <w:rPr>
          <w:rFonts w:asciiTheme="minorHAnsi" w:hAnsiTheme="minorHAnsi"/>
          <w:i/>
          <w:sz w:val="24"/>
          <w:szCs w:val="24"/>
        </w:rPr>
        <w:t>il on PBAC’s view, see section 6</w:t>
      </w:r>
      <w:r w:rsidRPr="00A613AC">
        <w:rPr>
          <w:rFonts w:asciiTheme="minorHAnsi" w:hAnsiTheme="minorHAnsi"/>
          <w:i/>
          <w:sz w:val="24"/>
          <w:szCs w:val="24"/>
        </w:rPr>
        <w:t xml:space="preserve"> PBAC outcome.</w:t>
      </w:r>
    </w:p>
    <w:p w:rsidR="00E663E9" w:rsidRPr="003C2FB5" w:rsidRDefault="00E663E9" w:rsidP="00E663E9">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Pr>
          <w:rFonts w:asciiTheme="minorHAnsi" w:hAnsiTheme="minorHAnsi"/>
          <w:sz w:val="32"/>
          <w:szCs w:val="32"/>
        </w:rPr>
        <w:t>omparator</w:t>
      </w:r>
    </w:p>
    <w:p w:rsidR="00166BC1" w:rsidRDefault="00166BC1" w:rsidP="00BD7998">
      <w:pPr>
        <w:pStyle w:val="3Bodytext"/>
      </w:pPr>
      <w:r>
        <w:t>The</w:t>
      </w:r>
      <w:r w:rsidR="00A46661">
        <w:t xml:space="preserve"> submission </w:t>
      </w:r>
      <w:r w:rsidR="004552F8">
        <w:t xml:space="preserve">proposed </w:t>
      </w:r>
      <w:r w:rsidR="00A46661">
        <w:t>a mixed comparator of alternative nutritional products for adult and paediatric populations. The</w:t>
      </w:r>
      <w:r w:rsidR="00AB61AD">
        <w:t xml:space="preserve"> Sponsor proposed</w:t>
      </w:r>
      <w:r w:rsidR="00B139D1">
        <w:t xml:space="preserve"> triglyceride</w:t>
      </w:r>
      <w:r w:rsidR="004552F8">
        <w:t>s</w:t>
      </w:r>
      <w:r w:rsidR="00B139D1">
        <w:t xml:space="preserve"> medium chain formula</w:t>
      </w:r>
      <w:r w:rsidR="004552F8">
        <w:t>,</w:t>
      </w:r>
      <w:r w:rsidR="00AB61AD">
        <w:t xml:space="preserve"> </w:t>
      </w:r>
      <w:proofErr w:type="spellStart"/>
      <w:r w:rsidR="00AB61AD">
        <w:t>Peptamen</w:t>
      </w:r>
      <w:proofErr w:type="spellEnd"/>
      <w:r w:rsidR="00AB61AD">
        <w:t xml:space="preserve"> Junior</w:t>
      </w:r>
      <w:r w:rsidR="00B139D1">
        <w:rPr>
          <w:rFonts w:cstheme="minorHAnsi"/>
        </w:rPr>
        <w:t>®</w:t>
      </w:r>
      <w:r w:rsidR="00AB61AD">
        <w:t xml:space="preserve"> (PBS cod</w:t>
      </w:r>
      <w:r w:rsidR="00A46661">
        <w:t>e </w:t>
      </w:r>
      <w:r w:rsidR="00AB61AD">
        <w:t>10154K)</w:t>
      </w:r>
      <w:r w:rsidR="004552F8">
        <w:t>,</w:t>
      </w:r>
      <w:r w:rsidR="00AB61AD">
        <w:t xml:space="preserve"> as the main comparator for the paediatri</w:t>
      </w:r>
      <w:r w:rsidR="00723EB3">
        <w:t>c population</w:t>
      </w:r>
      <w:r w:rsidR="00A46661">
        <w:t>,</w:t>
      </w:r>
      <w:r w:rsidR="00723EB3">
        <w:t xml:space="preserve"> </w:t>
      </w:r>
      <w:r w:rsidR="004552F8">
        <w:t xml:space="preserve">noting that </w:t>
      </w:r>
      <w:r>
        <w:t>there are currently no nutritional products on the PBS</w:t>
      </w:r>
      <w:r w:rsidR="00B139D1">
        <w:t xml:space="preserve"> indicated</w:t>
      </w:r>
      <w:r>
        <w:t xml:space="preserve"> for</w:t>
      </w:r>
      <w:r w:rsidR="00B139D1">
        <w:t xml:space="preserve"> the</w:t>
      </w:r>
      <w:r>
        <w:t xml:space="preserve"> dietary management of CD. </w:t>
      </w:r>
      <w:proofErr w:type="spellStart"/>
      <w:r>
        <w:t>Peptamen</w:t>
      </w:r>
      <w:proofErr w:type="spellEnd"/>
      <w:r>
        <w:t xml:space="preserve"> Junior </w:t>
      </w:r>
      <w:proofErr w:type="gramStart"/>
      <w:r>
        <w:t>is currently listed</w:t>
      </w:r>
      <w:proofErr w:type="gramEnd"/>
      <w:r>
        <w:t xml:space="preserve"> as a </w:t>
      </w:r>
      <w:r w:rsidR="00723EB3">
        <w:t xml:space="preserve">Restricted Benefit listing for the dietary management of conditions requiring a </w:t>
      </w:r>
      <w:r w:rsidR="00723EB3">
        <w:lastRenderedPageBreak/>
        <w:t>source of medium chain triglycerides, for those with fat malabsorption due to liver disease, short gu</w:t>
      </w:r>
      <w:r w:rsidR="00A46661">
        <w:t>t</w:t>
      </w:r>
      <w:r w:rsidR="00723EB3">
        <w:t xml:space="preserve"> syndrome, cystic fibrosis or gastrointestinal disorder</w:t>
      </w:r>
      <w:r w:rsidR="00A46661">
        <w:t>s</w:t>
      </w:r>
      <w:r w:rsidR="00723EB3">
        <w:t xml:space="preserve">. </w:t>
      </w:r>
    </w:p>
    <w:p w:rsidR="00C96FD6" w:rsidRDefault="00A46661" w:rsidP="00C96FD6">
      <w:pPr>
        <w:pStyle w:val="3Bodytext"/>
      </w:pPr>
      <w:r>
        <w:t>For adult CD,</w:t>
      </w:r>
      <w:r w:rsidR="00C96FD6">
        <w:t xml:space="preserve"> the Sponsor </w:t>
      </w:r>
      <w:r w:rsidR="00B139D1">
        <w:t xml:space="preserve">nominated comparator was </w:t>
      </w:r>
      <w:r w:rsidR="00C96FD6">
        <w:t xml:space="preserve">private market use of the protein formula </w:t>
      </w:r>
      <w:proofErr w:type="spellStart"/>
      <w:r w:rsidR="00C96FD6">
        <w:t>Fortisip</w:t>
      </w:r>
      <w:proofErr w:type="spellEnd"/>
      <w:r w:rsidR="00C96FD6">
        <w:t xml:space="preserve">®. The proposal </w:t>
      </w:r>
      <w:proofErr w:type="gramStart"/>
      <w:r w:rsidR="00C96FD6">
        <w:t>was based</w:t>
      </w:r>
      <w:proofErr w:type="gramEnd"/>
      <w:r w:rsidR="00C96FD6">
        <w:t xml:space="preserve"> on survey result</w:t>
      </w:r>
      <w:r w:rsidR="00177393">
        <w:t>s</w:t>
      </w:r>
      <w:r w:rsidR="00C96FD6">
        <w:t xml:space="preserve"> from 29 dietitians involved in the treatment of adult patients with inflammatory bowel disease (IBD) using EEN for dietary management in Australian hospitals. The submission stated that </w:t>
      </w:r>
      <w:proofErr w:type="spellStart"/>
      <w:r w:rsidR="00C96FD6">
        <w:t>Fortisip</w:t>
      </w:r>
      <w:proofErr w:type="spellEnd"/>
      <w:r w:rsidR="00C96FD6">
        <w:t xml:space="preserve"> and other nutrient formulas (Ensure Plus and Resource) are only available on the private market and within hospital and various government funding arrangements for public health services.</w:t>
      </w:r>
    </w:p>
    <w:p w:rsidR="006A4A2D" w:rsidRPr="00E96838" w:rsidRDefault="006A4A2D" w:rsidP="00C96FD6">
      <w:pPr>
        <w:pStyle w:val="3Bodytext"/>
      </w:pPr>
      <w:r w:rsidRPr="00E96838">
        <w:t>The appropriate comparator is uncertain. A range of enteral nutrition formulas are available on the private market and are not limited or restricted to any specific use or population. Numerous pharm</w:t>
      </w:r>
      <w:r w:rsidR="00B139D1" w:rsidRPr="00E96838">
        <w:t>acotherapies are PBS subsidised</w:t>
      </w:r>
      <w:r w:rsidRPr="00E96838">
        <w:t xml:space="preserve"> and recommended in  the GESA Guidelines for CD (in certain clinical situations) including:</w:t>
      </w:r>
    </w:p>
    <w:p w:rsidR="006A4A2D" w:rsidRPr="00E96838" w:rsidRDefault="006A4A2D" w:rsidP="00A613AC">
      <w:pPr>
        <w:pStyle w:val="3Bodytext"/>
        <w:numPr>
          <w:ilvl w:val="0"/>
          <w:numId w:val="24"/>
        </w:numPr>
        <w:ind w:left="1077" w:hanging="357"/>
      </w:pPr>
      <w:r w:rsidRPr="00E96838">
        <w:t xml:space="preserve">Corticosteroids, such as </w:t>
      </w:r>
      <w:proofErr w:type="spellStart"/>
      <w:r w:rsidRPr="00E96838">
        <w:t>prednis</w:t>
      </w:r>
      <w:proofErr w:type="spellEnd"/>
      <w:r w:rsidRPr="00E96838">
        <w:t>(</w:t>
      </w:r>
      <w:proofErr w:type="spellStart"/>
      <w:r w:rsidRPr="00E96838">
        <w:t>ol</w:t>
      </w:r>
      <w:proofErr w:type="spellEnd"/>
      <w:r w:rsidRPr="00E96838">
        <w:t>)one and budesonide</w:t>
      </w:r>
    </w:p>
    <w:p w:rsidR="006A4A2D" w:rsidRPr="00E96838" w:rsidRDefault="006A4A2D" w:rsidP="00A613AC">
      <w:pPr>
        <w:pStyle w:val="3Bodytext"/>
        <w:numPr>
          <w:ilvl w:val="0"/>
          <w:numId w:val="24"/>
        </w:numPr>
        <w:ind w:left="1077" w:hanging="357"/>
      </w:pPr>
      <w:proofErr w:type="spellStart"/>
      <w:r w:rsidRPr="00E96838">
        <w:t>Aminosalicylates</w:t>
      </w:r>
      <w:proofErr w:type="spellEnd"/>
      <w:r w:rsidRPr="00E96838">
        <w:t xml:space="preserve"> (5-ASAs), such as </w:t>
      </w:r>
      <w:proofErr w:type="spellStart"/>
      <w:r w:rsidRPr="00E96838">
        <w:t>mesalazine</w:t>
      </w:r>
      <w:proofErr w:type="spellEnd"/>
    </w:p>
    <w:p w:rsidR="006A4A2D" w:rsidRPr="00E96838" w:rsidRDefault="006A4A2D" w:rsidP="00A613AC">
      <w:pPr>
        <w:pStyle w:val="3Bodytext"/>
        <w:numPr>
          <w:ilvl w:val="0"/>
          <w:numId w:val="24"/>
        </w:numPr>
        <w:ind w:left="1077" w:hanging="357"/>
      </w:pPr>
      <w:proofErr w:type="spellStart"/>
      <w:r w:rsidRPr="00E96838">
        <w:t>Immunomodulators</w:t>
      </w:r>
      <w:proofErr w:type="spellEnd"/>
      <w:r w:rsidRPr="00E96838">
        <w:t xml:space="preserve">, such as azathioprine, </w:t>
      </w:r>
      <w:proofErr w:type="spellStart"/>
      <w:r w:rsidRPr="00E96838">
        <w:t>mercaptopurine</w:t>
      </w:r>
      <w:proofErr w:type="spellEnd"/>
      <w:r w:rsidRPr="00E96838">
        <w:t xml:space="preserve"> and methotrexate</w:t>
      </w:r>
    </w:p>
    <w:p w:rsidR="006A4A2D" w:rsidRPr="00E96838" w:rsidRDefault="006A4A2D" w:rsidP="00A613AC">
      <w:pPr>
        <w:pStyle w:val="3Bodytext"/>
        <w:numPr>
          <w:ilvl w:val="0"/>
          <w:numId w:val="24"/>
        </w:numPr>
        <w:ind w:left="1077" w:hanging="357"/>
      </w:pPr>
      <w:r w:rsidRPr="00E96838">
        <w:t xml:space="preserve">Biologics, such as infliximab, </w:t>
      </w:r>
      <w:proofErr w:type="spellStart"/>
      <w:r w:rsidRPr="00E96838">
        <w:t>adalimumab</w:t>
      </w:r>
      <w:proofErr w:type="spellEnd"/>
      <w:r w:rsidRPr="00E96838">
        <w:t xml:space="preserve">, </w:t>
      </w:r>
      <w:proofErr w:type="spellStart"/>
      <w:r w:rsidRPr="00E96838">
        <w:t>vedolizumab</w:t>
      </w:r>
      <w:proofErr w:type="spellEnd"/>
      <w:r w:rsidRPr="00E96838">
        <w:t xml:space="preserve"> and </w:t>
      </w:r>
      <w:proofErr w:type="spellStart"/>
      <w:r w:rsidRPr="00E96838">
        <w:t>ustekinumab</w:t>
      </w:r>
      <w:proofErr w:type="spellEnd"/>
    </w:p>
    <w:p w:rsidR="00B139D1" w:rsidRPr="00E96838" w:rsidRDefault="006A4A2D" w:rsidP="00A613AC">
      <w:pPr>
        <w:pStyle w:val="3Bodytext"/>
        <w:numPr>
          <w:ilvl w:val="0"/>
          <w:numId w:val="24"/>
        </w:numPr>
        <w:ind w:left="1077" w:hanging="357"/>
      </w:pPr>
      <w:r w:rsidRPr="00E96838">
        <w:t>Antibiotics (for treatment of CD complications)</w:t>
      </w:r>
    </w:p>
    <w:p w:rsidR="00B139D1" w:rsidRPr="00E96838" w:rsidRDefault="00B139D1" w:rsidP="007864A4">
      <w:pPr>
        <w:pStyle w:val="Bodytextitalics"/>
        <w:numPr>
          <w:ilvl w:val="1"/>
          <w:numId w:val="5"/>
        </w:numPr>
        <w:jc w:val="both"/>
        <w:rPr>
          <w:i w:val="0"/>
        </w:rPr>
      </w:pPr>
      <w:r w:rsidRPr="00E96838">
        <w:rPr>
          <w:i w:val="0"/>
        </w:rPr>
        <w:t xml:space="preserve">Under Section 101(3B) of the </w:t>
      </w:r>
      <w:r w:rsidRPr="00177393">
        <w:t>National Health Act 1953</w:t>
      </w:r>
      <w:r w:rsidRPr="00E96838">
        <w:rPr>
          <w:i w:val="0"/>
        </w:rPr>
        <w:t xml:space="preserve">, when the proposed medicine is substantially more costly than an alternative therapy, the </w:t>
      </w:r>
      <w:r w:rsidR="00177393">
        <w:rPr>
          <w:i w:val="0"/>
        </w:rPr>
        <w:t xml:space="preserve">PBAC </w:t>
      </w:r>
      <w:r w:rsidRPr="00E96838">
        <w:rPr>
          <w:i w:val="0"/>
        </w:rPr>
        <w:t xml:space="preserve">cannot make a positive recommendation unless it is satisfied that, for some patients, the proposed medicine provides a significant improvement in efficacy and/or reduction </w:t>
      </w:r>
      <w:r w:rsidR="00177393">
        <w:rPr>
          <w:i w:val="0"/>
        </w:rPr>
        <w:t>in</w:t>
      </w:r>
      <w:r w:rsidRPr="00E96838">
        <w:rPr>
          <w:i w:val="0"/>
        </w:rPr>
        <w:t xml:space="preserve"> toxicity over the alternative therapy</w:t>
      </w:r>
      <w:r w:rsidR="00177393">
        <w:rPr>
          <w:i w:val="0"/>
        </w:rPr>
        <w:t>.</w:t>
      </w:r>
      <w:r w:rsidRPr="00E96838">
        <w:rPr>
          <w:i w:val="0"/>
        </w:rPr>
        <w:t xml:space="preserve"> In this case, </w:t>
      </w:r>
      <w:r w:rsidR="00177393">
        <w:rPr>
          <w:i w:val="0"/>
        </w:rPr>
        <w:t>alternative therapies</w:t>
      </w:r>
      <w:r w:rsidRPr="00E96838">
        <w:rPr>
          <w:i w:val="0"/>
        </w:rPr>
        <w:t xml:space="preserve"> may include alternative PBS-listed pharmacotherapies for the treatment of CD and privately or hospital </w:t>
      </w:r>
      <w:r w:rsidR="009F7FB8">
        <w:rPr>
          <w:i w:val="0"/>
        </w:rPr>
        <w:t>funded</w:t>
      </w:r>
      <w:r w:rsidRPr="00E96838">
        <w:rPr>
          <w:i w:val="0"/>
        </w:rPr>
        <w:t xml:space="preserve"> enteral nutrition formulas.</w:t>
      </w:r>
    </w:p>
    <w:p w:rsidR="004107C5" w:rsidRPr="00AF3AC4" w:rsidRDefault="004107C5" w:rsidP="004107C5">
      <w:pPr>
        <w:spacing w:after="120"/>
        <w:ind w:left="66"/>
        <w:rPr>
          <w:rFonts w:asciiTheme="minorHAnsi" w:hAnsiTheme="minorHAnsi"/>
          <w:b/>
          <w:i/>
        </w:rPr>
      </w:pPr>
      <w:r>
        <w:rPr>
          <w:rFonts w:asciiTheme="minorHAnsi" w:hAnsiTheme="minorHAnsi"/>
          <w:b/>
          <w:i/>
        </w:rPr>
        <w:t>NPWP advice on comparators</w:t>
      </w:r>
    </w:p>
    <w:p w:rsidR="00447664" w:rsidRDefault="00447664" w:rsidP="004107C5">
      <w:pPr>
        <w:pStyle w:val="3Bodytext"/>
      </w:pPr>
      <w:r w:rsidRPr="00E96838">
        <w:t xml:space="preserve">The NPWP considered the submission selected incorrect comparators for both the paediatric and adult populations. For the paediatric population, the NPWP </w:t>
      </w:r>
      <w:r w:rsidR="00857F63" w:rsidRPr="00E96838">
        <w:t xml:space="preserve">considered </w:t>
      </w:r>
      <w:r w:rsidRPr="00E96838">
        <w:t xml:space="preserve">the nominated comparator of the triglycerides medium chain formula </w:t>
      </w:r>
      <w:proofErr w:type="spellStart"/>
      <w:r w:rsidRPr="00E96838">
        <w:t>Peptamen</w:t>
      </w:r>
      <w:proofErr w:type="spellEnd"/>
      <w:r w:rsidRPr="00E96838">
        <w:t xml:space="preserve"> Junior was inappropriate as it </w:t>
      </w:r>
      <w:proofErr w:type="gramStart"/>
      <w:r w:rsidRPr="00E96838">
        <w:t>is specifically indicated</w:t>
      </w:r>
      <w:proofErr w:type="gramEnd"/>
      <w:r w:rsidRPr="00E96838">
        <w:t xml:space="preserve"> for dietary management of fat malabsorption in a number of clinical circumstances. The NPWP considered the appropriate comparator for </w:t>
      </w:r>
      <w:proofErr w:type="spellStart"/>
      <w:r w:rsidRPr="00E96838">
        <w:t>Modulen</w:t>
      </w:r>
      <w:proofErr w:type="spellEnd"/>
      <w:r w:rsidRPr="00E96838">
        <w:t xml:space="preserve"> IBD in the paediatric population was standard enteral nutrition formula (such as Ensure or Ensure Plus) provided through the private market or through hospital distribution programs. The NPWP considered prolonged use of </w:t>
      </w:r>
      <w:proofErr w:type="gramStart"/>
      <w:r w:rsidRPr="00E96838">
        <w:t xml:space="preserve">corticosteroids and other pharmacotherapies may be of inferior safety to enteral nutrition (including </w:t>
      </w:r>
      <w:proofErr w:type="spellStart"/>
      <w:r w:rsidRPr="00E96838">
        <w:t>Modulen</w:t>
      </w:r>
      <w:proofErr w:type="spellEnd"/>
      <w:r w:rsidRPr="00E96838">
        <w:t xml:space="preserve"> IBD) in the paediatric population (based on their known safety profiles)</w:t>
      </w:r>
      <w:proofErr w:type="gramEnd"/>
      <w:r w:rsidRPr="00E96838">
        <w:t xml:space="preserve"> and therefore these were not appropriate comparators.</w:t>
      </w:r>
    </w:p>
    <w:p w:rsidR="008264DB" w:rsidRPr="00E96838" w:rsidRDefault="008264DB" w:rsidP="004107C5">
      <w:pPr>
        <w:pStyle w:val="3Bodytext"/>
      </w:pPr>
      <w:r>
        <w:t xml:space="preserve">The Pre-PBAC Response argued that while alternative private market enteral nutrition formulas may be relevant comparators, Ensure and Ensure Plus </w:t>
      </w:r>
      <w:proofErr w:type="gramStart"/>
      <w:r>
        <w:t>are not marketed</w:t>
      </w:r>
      <w:proofErr w:type="gramEnd"/>
      <w:r>
        <w:t xml:space="preserve"> in </w:t>
      </w:r>
      <w:r>
        <w:lastRenderedPageBreak/>
        <w:t>children. Furthermore,</w:t>
      </w:r>
      <w:r w:rsidR="00854C30">
        <w:t xml:space="preserve"> the Sponsor also argued the included evidence indicated </w:t>
      </w:r>
      <w:proofErr w:type="spellStart"/>
      <w:r w:rsidR="00854C30">
        <w:t>Modulen</w:t>
      </w:r>
      <w:proofErr w:type="spellEnd"/>
      <w:r w:rsidR="00854C30">
        <w:t xml:space="preserve"> IBD may be superior to Ensure Plus at achieving remission, as</w:t>
      </w:r>
      <w:r>
        <w:t xml:space="preserve"> one</w:t>
      </w:r>
      <w:r w:rsidR="00854C30">
        <w:t xml:space="preserve"> of the included retrospective studies</w:t>
      </w:r>
      <w:r w:rsidR="00854C30">
        <w:rPr>
          <w:rStyle w:val="FootnoteReference"/>
        </w:rPr>
        <w:footnoteReference w:id="2"/>
      </w:r>
      <w:r w:rsidR="00854C30">
        <w:t xml:space="preserve"> found higher rates of remission in children (as defined by patients achieving</w:t>
      </w:r>
      <w:r w:rsidR="00380819">
        <w:t xml:space="preserve"> a PCDAI</w:t>
      </w:r>
      <w:r w:rsidR="00380819">
        <w:rPr>
          <w:rStyle w:val="FootnoteReference"/>
        </w:rPr>
        <w:footnoteReference w:id="3"/>
      </w:r>
      <w:r w:rsidR="00380819">
        <w:t xml:space="preserve"> score</w:t>
      </w:r>
      <w:r w:rsidR="00854C30">
        <w:t xml:space="preserve"> of &lt;15) with </w:t>
      </w:r>
      <w:proofErr w:type="spellStart"/>
      <w:r w:rsidR="00854C30">
        <w:t>Modulen</w:t>
      </w:r>
      <w:proofErr w:type="spellEnd"/>
      <w:r w:rsidR="00854C30">
        <w:t xml:space="preserve"> IBD</w:t>
      </w:r>
      <w:r w:rsidR="00380819">
        <w:t xml:space="preserve"> compared to Ensure Plus and no enteral </w:t>
      </w:r>
      <w:r w:rsidR="00177393">
        <w:t>nutrition</w:t>
      </w:r>
      <w:r w:rsidR="00380819">
        <w:t>.</w:t>
      </w:r>
      <w:r>
        <w:t xml:space="preserve"> However, the Sponsor stated it w</w:t>
      </w:r>
      <w:r w:rsidR="00380819">
        <w:t>as amenable to considering Ensure and Ensure Plus</w:t>
      </w:r>
      <w:r>
        <w:t xml:space="preserve"> as relevant comparators for a cost minimisation analysis.</w:t>
      </w:r>
    </w:p>
    <w:p w:rsidR="00C90517" w:rsidRDefault="00447664" w:rsidP="00C90517">
      <w:pPr>
        <w:pStyle w:val="3Bodytext"/>
      </w:pPr>
      <w:r w:rsidRPr="00200BF0">
        <w:t xml:space="preserve">For the adult population, the NPWP considered the nominated comparator of private market use of the protein formula </w:t>
      </w:r>
      <w:proofErr w:type="spellStart"/>
      <w:r w:rsidRPr="00200BF0">
        <w:t>Fortisip</w:t>
      </w:r>
      <w:proofErr w:type="spellEnd"/>
      <w:r w:rsidRPr="00200BF0">
        <w:t xml:space="preserve">® was also inappropriate, as corticosteroids are generally effective, inexpensive, and well-tolerated in mild-moderate CD in the adult population, and furthermore that enteral nutrition is often less acceptable to adult patients due to the level of dietary restriction required. The NPWP advised it considered the most appropriate comparator for </w:t>
      </w:r>
      <w:proofErr w:type="spellStart"/>
      <w:r w:rsidRPr="00200BF0">
        <w:t>Modulen</w:t>
      </w:r>
      <w:proofErr w:type="spellEnd"/>
      <w:r w:rsidRPr="00200BF0">
        <w:t xml:space="preserve"> IBD in the adult CD population was the least costly PBS-listed alternative corticosteroid formulation used in the treatment of CD. </w:t>
      </w:r>
    </w:p>
    <w:p w:rsidR="00380819" w:rsidRPr="00200BF0" w:rsidRDefault="00380819" w:rsidP="00C90517">
      <w:pPr>
        <w:pStyle w:val="3Bodytext"/>
      </w:pPr>
      <w:r>
        <w:t>The Pre-PBAC Response ackn</w:t>
      </w:r>
      <w:r w:rsidR="0004039E">
        <w:t xml:space="preserve">owledged EEN </w:t>
      </w:r>
      <w:proofErr w:type="gramStart"/>
      <w:r w:rsidR="0004039E">
        <w:t>is rarely used</w:t>
      </w:r>
      <w:proofErr w:type="gramEnd"/>
      <w:r w:rsidR="0004039E">
        <w:t xml:space="preserve"> in adults as the exclusion of all other diet is less acceptable and there are frequent compliance issues in this population. The </w:t>
      </w:r>
      <w:r w:rsidR="00177393">
        <w:t xml:space="preserve">Pre-PBAC response </w:t>
      </w:r>
      <w:r w:rsidR="0004039E">
        <w:t xml:space="preserve">stated </w:t>
      </w:r>
      <w:proofErr w:type="spellStart"/>
      <w:r w:rsidR="0004039E">
        <w:t>Fortisip</w:t>
      </w:r>
      <w:proofErr w:type="spellEnd"/>
      <w:r w:rsidR="0004039E">
        <w:t xml:space="preserve"> was chosen as it is on the Queensland health formulary for EEN and indicated a willingness to restrict use of </w:t>
      </w:r>
      <w:proofErr w:type="spellStart"/>
      <w:r w:rsidR="0004039E">
        <w:t>Modulen</w:t>
      </w:r>
      <w:proofErr w:type="spellEnd"/>
      <w:r w:rsidR="0004039E">
        <w:t xml:space="preserve"> IBD in adults to those are unsuitable for or have failed therapy with corticosteroids and to work with the PBAC to identify appropriate comparators for these patients.</w:t>
      </w:r>
    </w:p>
    <w:p w:rsidR="00251D81" w:rsidRPr="00A613AC" w:rsidRDefault="00C90517" w:rsidP="00A613AC">
      <w:pPr>
        <w:pStyle w:val="ListParagraph"/>
        <w:ind w:left="709"/>
        <w:rPr>
          <w:rFonts w:asciiTheme="minorHAnsi" w:hAnsiTheme="minorHAnsi"/>
          <w:i/>
          <w:sz w:val="24"/>
          <w:szCs w:val="24"/>
        </w:rPr>
      </w:pPr>
      <w:r w:rsidRPr="00C90517">
        <w:rPr>
          <w:rFonts w:asciiTheme="minorHAnsi" w:hAnsiTheme="minorHAnsi"/>
          <w:i/>
          <w:sz w:val="24"/>
          <w:szCs w:val="24"/>
        </w:rPr>
        <w:t>For more deta</w:t>
      </w:r>
      <w:r w:rsidR="006C5BC4">
        <w:rPr>
          <w:rFonts w:asciiTheme="minorHAnsi" w:hAnsiTheme="minorHAnsi"/>
          <w:i/>
          <w:sz w:val="24"/>
          <w:szCs w:val="24"/>
        </w:rPr>
        <w:t>il on PBAC’s view, see section 6</w:t>
      </w:r>
      <w:r w:rsidRPr="00C90517">
        <w:rPr>
          <w:rFonts w:asciiTheme="minorHAnsi" w:hAnsiTheme="minorHAnsi"/>
          <w:i/>
          <w:sz w:val="24"/>
          <w:szCs w:val="24"/>
        </w:rPr>
        <w:t xml:space="preserve"> PBAC outcome.</w:t>
      </w:r>
    </w:p>
    <w:p w:rsidR="00FC3647" w:rsidRPr="003C2FB5" w:rsidRDefault="00FC3647" w:rsidP="00FC364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Consideration of the evidence</w:t>
      </w:r>
    </w:p>
    <w:p w:rsidR="00C90517" w:rsidRPr="00A613AC" w:rsidRDefault="00C90517" w:rsidP="00A613AC">
      <w:pPr>
        <w:pStyle w:val="Heading2"/>
        <w:rPr>
          <w:rFonts w:asciiTheme="minorHAnsi" w:hAnsiTheme="minorHAnsi" w:cstheme="minorHAnsi"/>
          <w:snapToGrid w:val="0"/>
          <w:sz w:val="28"/>
          <w:szCs w:val="28"/>
        </w:rPr>
      </w:pPr>
      <w:r w:rsidRPr="00A613AC">
        <w:rPr>
          <w:rFonts w:asciiTheme="minorHAnsi" w:hAnsiTheme="minorHAnsi" w:cstheme="minorHAnsi"/>
          <w:snapToGrid w:val="0"/>
          <w:sz w:val="28"/>
          <w:szCs w:val="28"/>
        </w:rPr>
        <w:t>Sponsor hearing</w:t>
      </w:r>
    </w:p>
    <w:p w:rsidR="00C90517" w:rsidRPr="00836F75" w:rsidRDefault="00C90517" w:rsidP="00C90517">
      <w:pPr>
        <w:widowControl w:val="0"/>
        <w:numPr>
          <w:ilvl w:val="1"/>
          <w:numId w:val="5"/>
        </w:numPr>
        <w:spacing w:after="120"/>
        <w:jc w:val="both"/>
        <w:rPr>
          <w:rFonts w:asciiTheme="minorHAnsi" w:hAnsiTheme="minorHAnsi" w:cs="Arial"/>
          <w:bCs/>
          <w:snapToGrid w:val="0"/>
        </w:rPr>
      </w:pPr>
      <w:r w:rsidRPr="00836F75">
        <w:rPr>
          <w:rFonts w:asciiTheme="minorHAnsi" w:hAnsiTheme="minorHAnsi" w:cs="Arial"/>
          <w:bCs/>
          <w:snapToGrid w:val="0"/>
        </w:rPr>
        <w:t>There was no hearing for this ite</w:t>
      </w:r>
      <w:r>
        <w:rPr>
          <w:rFonts w:asciiTheme="minorHAnsi" w:hAnsiTheme="minorHAnsi" w:cs="Arial"/>
          <w:bCs/>
          <w:snapToGrid w:val="0"/>
        </w:rPr>
        <w:t>m as it was a minor submission.</w:t>
      </w:r>
    </w:p>
    <w:p w:rsidR="00C90517" w:rsidRPr="00A613AC" w:rsidRDefault="00C90517" w:rsidP="00A613AC">
      <w:pPr>
        <w:pStyle w:val="Heading2"/>
        <w:rPr>
          <w:rFonts w:asciiTheme="minorHAnsi" w:hAnsiTheme="minorHAnsi" w:cstheme="minorHAnsi"/>
          <w:snapToGrid w:val="0"/>
          <w:sz w:val="28"/>
          <w:szCs w:val="28"/>
        </w:rPr>
      </w:pPr>
      <w:r w:rsidRPr="00A613AC">
        <w:rPr>
          <w:rFonts w:asciiTheme="minorHAnsi" w:hAnsiTheme="minorHAnsi" w:cstheme="minorHAnsi"/>
          <w:snapToGrid w:val="0"/>
          <w:sz w:val="28"/>
          <w:szCs w:val="28"/>
        </w:rPr>
        <w:t>Consumer comments</w:t>
      </w:r>
    </w:p>
    <w:p w:rsidR="00C90517" w:rsidRPr="00836F75" w:rsidRDefault="00C90517" w:rsidP="00C90517">
      <w:pPr>
        <w:widowControl w:val="0"/>
        <w:numPr>
          <w:ilvl w:val="1"/>
          <w:numId w:val="5"/>
        </w:numPr>
        <w:spacing w:after="120"/>
        <w:jc w:val="both"/>
        <w:rPr>
          <w:rFonts w:asciiTheme="minorHAnsi" w:hAnsiTheme="minorHAnsi" w:cs="Arial"/>
          <w:bCs/>
          <w:snapToGrid w:val="0"/>
        </w:rPr>
      </w:pPr>
      <w:r w:rsidRPr="00836F75">
        <w:rPr>
          <w:rFonts w:asciiTheme="minorHAnsi" w:hAnsiTheme="minorHAnsi" w:cs="Arial"/>
          <w:bCs/>
          <w:snapToGrid w:val="0"/>
        </w:rPr>
        <w:t xml:space="preserve">The PBAC noted and welcomed the input from </w:t>
      </w:r>
      <w:r w:rsidR="00505EC2">
        <w:rPr>
          <w:rFonts w:asciiTheme="minorHAnsi" w:hAnsiTheme="minorHAnsi" w:cs="Arial"/>
          <w:bCs/>
          <w:snapToGrid w:val="0"/>
        </w:rPr>
        <w:t>Cr</w:t>
      </w:r>
      <w:r w:rsidR="00DA67A4">
        <w:rPr>
          <w:rFonts w:asciiTheme="minorHAnsi" w:hAnsiTheme="minorHAnsi" w:cs="Arial"/>
          <w:bCs/>
          <w:snapToGrid w:val="0"/>
        </w:rPr>
        <w:t xml:space="preserve">ohn’s and Colitis </w:t>
      </w:r>
      <w:r w:rsidR="006C5BC4">
        <w:rPr>
          <w:rFonts w:asciiTheme="minorHAnsi" w:hAnsiTheme="minorHAnsi" w:cs="Arial"/>
          <w:bCs/>
          <w:snapToGrid w:val="0"/>
        </w:rPr>
        <w:t>Australia that</w:t>
      </w:r>
      <w:r w:rsidR="00505EC2">
        <w:rPr>
          <w:rFonts w:asciiTheme="minorHAnsi" w:hAnsiTheme="minorHAnsi" w:cs="Arial"/>
          <w:bCs/>
          <w:snapToGrid w:val="0"/>
        </w:rPr>
        <w:t xml:space="preserve"> </w:t>
      </w:r>
      <w:r w:rsidR="00DA67A4">
        <w:rPr>
          <w:rFonts w:asciiTheme="minorHAnsi" w:hAnsiTheme="minorHAnsi" w:cs="Arial"/>
          <w:bCs/>
          <w:snapToGrid w:val="0"/>
        </w:rPr>
        <w:t>identifie</w:t>
      </w:r>
      <w:r w:rsidR="006C5BC4">
        <w:rPr>
          <w:rFonts w:asciiTheme="minorHAnsi" w:hAnsiTheme="minorHAnsi" w:cs="Arial"/>
          <w:bCs/>
          <w:snapToGrid w:val="0"/>
        </w:rPr>
        <w:t>d the cost of enteral nutrition</w:t>
      </w:r>
      <w:r w:rsidR="00DA67A4">
        <w:rPr>
          <w:rFonts w:asciiTheme="minorHAnsi" w:hAnsiTheme="minorHAnsi" w:cs="Arial"/>
          <w:bCs/>
          <w:snapToGrid w:val="0"/>
        </w:rPr>
        <w:t xml:space="preserve"> as a barrier</w:t>
      </w:r>
      <w:r w:rsidR="006C5BC4">
        <w:rPr>
          <w:rFonts w:asciiTheme="minorHAnsi" w:hAnsiTheme="minorHAnsi" w:cs="Arial"/>
          <w:bCs/>
          <w:snapToGrid w:val="0"/>
        </w:rPr>
        <w:t xml:space="preserve"> for patients, particularly for those for whom steroids are not optimal. The submission also</w:t>
      </w:r>
      <w:r w:rsidR="00DA67A4">
        <w:rPr>
          <w:rFonts w:asciiTheme="minorHAnsi" w:hAnsiTheme="minorHAnsi" w:cs="Arial"/>
          <w:bCs/>
          <w:snapToGrid w:val="0"/>
        </w:rPr>
        <w:t xml:space="preserve"> </w:t>
      </w:r>
      <w:r w:rsidR="006C5BC4">
        <w:rPr>
          <w:rFonts w:asciiTheme="minorHAnsi" w:hAnsiTheme="minorHAnsi" w:cs="Arial"/>
          <w:bCs/>
          <w:snapToGrid w:val="0"/>
        </w:rPr>
        <w:t>described patient experiences of</w:t>
      </w:r>
      <w:r w:rsidR="00505EC2">
        <w:rPr>
          <w:rFonts w:asciiTheme="minorHAnsi" w:hAnsiTheme="minorHAnsi" w:cs="Arial"/>
          <w:bCs/>
          <w:snapToGrid w:val="0"/>
        </w:rPr>
        <w:t xml:space="preserve"> improved disease remission, reduced disease flar</w:t>
      </w:r>
      <w:r w:rsidR="006C5BC4">
        <w:rPr>
          <w:rFonts w:asciiTheme="minorHAnsi" w:hAnsiTheme="minorHAnsi" w:cs="Arial"/>
          <w:bCs/>
          <w:snapToGrid w:val="0"/>
        </w:rPr>
        <w:t>es, reduced hospitalisations as well as</w:t>
      </w:r>
      <w:r w:rsidR="00505EC2">
        <w:rPr>
          <w:rFonts w:asciiTheme="minorHAnsi" w:hAnsiTheme="minorHAnsi" w:cs="Arial"/>
          <w:bCs/>
          <w:snapToGrid w:val="0"/>
        </w:rPr>
        <w:t xml:space="preserve"> improved</w:t>
      </w:r>
      <w:r w:rsidR="006C5BC4">
        <w:rPr>
          <w:rFonts w:asciiTheme="minorHAnsi" w:hAnsiTheme="minorHAnsi" w:cs="Arial"/>
          <w:bCs/>
          <w:snapToGrid w:val="0"/>
        </w:rPr>
        <w:t xml:space="preserve"> mental health and</w:t>
      </w:r>
      <w:r w:rsidR="00505EC2">
        <w:rPr>
          <w:rFonts w:asciiTheme="minorHAnsi" w:hAnsiTheme="minorHAnsi" w:cs="Arial"/>
          <w:bCs/>
          <w:snapToGrid w:val="0"/>
        </w:rPr>
        <w:t xml:space="preserve"> quality of life while on</w:t>
      </w:r>
      <w:r w:rsidR="006C5BC4">
        <w:rPr>
          <w:rFonts w:asciiTheme="minorHAnsi" w:hAnsiTheme="minorHAnsi" w:cs="Arial"/>
          <w:bCs/>
          <w:snapToGrid w:val="0"/>
        </w:rPr>
        <w:t xml:space="preserve"> and following</w:t>
      </w:r>
      <w:r w:rsidR="00505EC2">
        <w:rPr>
          <w:rFonts w:asciiTheme="minorHAnsi" w:hAnsiTheme="minorHAnsi" w:cs="Arial"/>
          <w:bCs/>
          <w:snapToGrid w:val="0"/>
        </w:rPr>
        <w:t xml:space="preserve"> treatment with </w:t>
      </w:r>
      <w:proofErr w:type="spellStart"/>
      <w:r w:rsidR="00505EC2">
        <w:rPr>
          <w:rFonts w:asciiTheme="minorHAnsi" w:hAnsiTheme="minorHAnsi" w:cs="Arial"/>
          <w:bCs/>
          <w:snapToGrid w:val="0"/>
        </w:rPr>
        <w:t>Modulen</w:t>
      </w:r>
      <w:proofErr w:type="spellEnd"/>
      <w:r w:rsidR="00505EC2">
        <w:rPr>
          <w:rFonts w:asciiTheme="minorHAnsi" w:hAnsiTheme="minorHAnsi" w:cs="Arial"/>
          <w:bCs/>
          <w:snapToGrid w:val="0"/>
        </w:rPr>
        <w:t xml:space="preserve"> IBD.</w:t>
      </w:r>
    </w:p>
    <w:p w:rsidR="00E96633" w:rsidRPr="00BC7961" w:rsidRDefault="00B224E1" w:rsidP="00BC7961">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Clinical evidence</w:t>
      </w:r>
    </w:p>
    <w:p w:rsidR="00B224E1" w:rsidRPr="00B224E1" w:rsidRDefault="00B1186B" w:rsidP="00B224E1">
      <w:pPr>
        <w:pStyle w:val="3Bodytext"/>
        <w:rPr>
          <w:i/>
          <w:color w:val="000000" w:themeColor="text1"/>
          <w:szCs w:val="24"/>
        </w:rPr>
      </w:pPr>
      <w:r w:rsidRPr="008D1EF6">
        <w:rPr>
          <w:color w:val="000000" w:themeColor="text1"/>
          <w:szCs w:val="24"/>
        </w:rPr>
        <w:t xml:space="preserve">The submission provided </w:t>
      </w:r>
      <w:r w:rsidR="00617597" w:rsidRPr="008D1EF6">
        <w:rPr>
          <w:color w:val="000000" w:themeColor="text1"/>
          <w:szCs w:val="24"/>
        </w:rPr>
        <w:t>a number of references to clinical and epidemiological studies</w:t>
      </w:r>
      <w:r w:rsidRPr="008D1EF6">
        <w:rPr>
          <w:color w:val="000000" w:themeColor="text1"/>
          <w:szCs w:val="24"/>
        </w:rPr>
        <w:t xml:space="preserve"> </w:t>
      </w:r>
      <w:r w:rsidR="0066103B" w:rsidRPr="008D1EF6">
        <w:rPr>
          <w:color w:val="000000" w:themeColor="text1"/>
          <w:szCs w:val="24"/>
        </w:rPr>
        <w:t>to support</w:t>
      </w:r>
      <w:r w:rsidR="00617597" w:rsidRPr="008D1EF6">
        <w:rPr>
          <w:color w:val="000000" w:themeColor="text1"/>
          <w:szCs w:val="24"/>
        </w:rPr>
        <w:t xml:space="preserve"> the effectiveness of enteral nutrition in CD, as </w:t>
      </w:r>
      <w:r w:rsidR="008D1EF6">
        <w:rPr>
          <w:color w:val="000000" w:themeColor="text1"/>
          <w:szCs w:val="24"/>
        </w:rPr>
        <w:t xml:space="preserve">EEN, as </w:t>
      </w:r>
      <w:r w:rsidR="00617597" w:rsidRPr="008D1EF6">
        <w:rPr>
          <w:color w:val="000000" w:themeColor="text1"/>
          <w:szCs w:val="24"/>
        </w:rPr>
        <w:t>partial enteral nutrition (PEN) in adults and paediatric patients, and for use in the perioperative setting (i.e. prior to surgery for CD).</w:t>
      </w:r>
      <w:r w:rsidR="0066103B" w:rsidRPr="008D1EF6">
        <w:rPr>
          <w:color w:val="000000" w:themeColor="text1"/>
          <w:szCs w:val="24"/>
        </w:rPr>
        <w:t xml:space="preserve"> </w:t>
      </w:r>
      <w:r w:rsidR="00A42C25" w:rsidRPr="00505EC2">
        <w:rPr>
          <w:color w:val="000000" w:themeColor="text1"/>
          <w:szCs w:val="24"/>
        </w:rPr>
        <w:t xml:space="preserve">The </w:t>
      </w:r>
      <w:r w:rsidR="00B224E1" w:rsidRPr="00505EC2">
        <w:rPr>
          <w:color w:val="000000" w:themeColor="text1"/>
          <w:szCs w:val="24"/>
        </w:rPr>
        <w:t>included evidence consisted</w:t>
      </w:r>
      <w:r w:rsidR="006A4A2D" w:rsidRPr="00505EC2">
        <w:rPr>
          <w:color w:val="000000" w:themeColor="text1"/>
          <w:szCs w:val="24"/>
        </w:rPr>
        <w:t xml:space="preserve"> mostly of non-randomised, open label or single-arm studies</w:t>
      </w:r>
      <w:r w:rsidR="00B224E1" w:rsidRPr="00505EC2">
        <w:rPr>
          <w:color w:val="000000" w:themeColor="text1"/>
          <w:szCs w:val="24"/>
        </w:rPr>
        <w:t>.</w:t>
      </w:r>
      <w:r w:rsidR="00B224E1" w:rsidRPr="00B224E1">
        <w:rPr>
          <w:i/>
          <w:color w:val="000000" w:themeColor="text1"/>
          <w:szCs w:val="24"/>
        </w:rPr>
        <w:t xml:space="preserve"> </w:t>
      </w:r>
      <w:r w:rsidR="00A42C25" w:rsidRPr="00B224E1">
        <w:rPr>
          <w:i/>
          <w:color w:val="000000" w:themeColor="text1"/>
          <w:szCs w:val="24"/>
        </w:rPr>
        <w:t xml:space="preserve"> </w:t>
      </w:r>
      <w:r w:rsidR="00505EC2">
        <w:rPr>
          <w:color w:val="000000" w:themeColor="text1"/>
          <w:szCs w:val="24"/>
        </w:rPr>
        <w:t xml:space="preserve">The Pre-PBAC Response argued the totality of evidence supported a conclusion that </w:t>
      </w:r>
      <w:proofErr w:type="spellStart"/>
      <w:r w:rsidR="00505EC2">
        <w:rPr>
          <w:color w:val="000000" w:themeColor="text1"/>
          <w:szCs w:val="24"/>
        </w:rPr>
        <w:t>Modulen</w:t>
      </w:r>
      <w:proofErr w:type="spellEnd"/>
      <w:r w:rsidR="00505EC2">
        <w:rPr>
          <w:color w:val="000000" w:themeColor="text1"/>
          <w:szCs w:val="24"/>
        </w:rPr>
        <w:t xml:space="preserve"> IBD was effective to help induce and maintain clinical remission, promote mucosal healing, decrease inflammation during the active phase of disease and improve nutritional and quality of life outcomes.</w:t>
      </w:r>
    </w:p>
    <w:p w:rsidR="00B224E1" w:rsidRPr="00B224E1" w:rsidRDefault="00B224E1" w:rsidP="00B224E1">
      <w:pPr>
        <w:spacing w:after="120"/>
        <w:ind w:left="66"/>
        <w:rPr>
          <w:rFonts w:asciiTheme="minorHAnsi" w:hAnsiTheme="minorHAnsi"/>
          <w:b/>
          <w:i/>
        </w:rPr>
      </w:pPr>
      <w:r>
        <w:rPr>
          <w:rFonts w:asciiTheme="minorHAnsi" w:hAnsiTheme="minorHAnsi"/>
          <w:b/>
          <w:i/>
        </w:rPr>
        <w:t>NPWP advice on clinical evidence</w:t>
      </w:r>
    </w:p>
    <w:p w:rsidR="00A42C25" w:rsidRPr="00505EC2" w:rsidRDefault="00A42C25" w:rsidP="00B224E1">
      <w:pPr>
        <w:pStyle w:val="3Bodytext"/>
      </w:pPr>
      <w:r w:rsidRPr="00505EC2">
        <w:t>The NPWP considered the best available evidence was a 2018 Cochrane Review of enteral nutrition for treatment of active Crohn’s disease</w:t>
      </w:r>
      <w:r w:rsidRPr="00505EC2">
        <w:rPr>
          <w:vertAlign w:val="superscript"/>
        </w:rPr>
        <w:footnoteReference w:id="4"/>
      </w:r>
      <w:r w:rsidR="002B4DCE" w:rsidRPr="00505EC2">
        <w:t xml:space="preserve">. </w:t>
      </w:r>
      <w:r w:rsidRPr="00505EC2">
        <w:t xml:space="preserve">The review concluded there was very low quality evidence to suggest enteral nutrition may be more effective than corticosteroids for the induction of remission in paediatric CD. The review also found very low quality evidence to suggest corticosteroids may be more effective than enteral nutrition for the induction of remission in adult CD. The NPWP considered the findings of the Cochrane Review supported its advice regarding the place in therapy and appropriate comparators for </w:t>
      </w:r>
      <w:proofErr w:type="spellStart"/>
      <w:r w:rsidRPr="00505EC2">
        <w:t>Modulen</w:t>
      </w:r>
      <w:proofErr w:type="spellEnd"/>
      <w:r w:rsidRPr="00505EC2">
        <w:t xml:space="preserve"> IBD.</w:t>
      </w:r>
    </w:p>
    <w:p w:rsidR="00A42C25" w:rsidRPr="00505EC2" w:rsidRDefault="00E806D7" w:rsidP="00650483">
      <w:pPr>
        <w:pStyle w:val="3Bodytext"/>
        <w:rPr>
          <w:color w:val="FF0000"/>
          <w:szCs w:val="24"/>
        </w:rPr>
      </w:pPr>
      <w:r>
        <w:t>Further, t</w:t>
      </w:r>
      <w:r w:rsidR="00A42C25" w:rsidRPr="00505EC2">
        <w:t xml:space="preserve">he NPWP considered that based on the available </w:t>
      </w:r>
      <w:proofErr w:type="gramStart"/>
      <w:r w:rsidR="00A42C25" w:rsidRPr="00505EC2">
        <w:t>evidence,</w:t>
      </w:r>
      <w:proofErr w:type="gramEnd"/>
      <w:r w:rsidR="00A42C25" w:rsidRPr="00505EC2">
        <w:t xml:space="preserve"> there was no reason to conclude the addition of transforming growth factor β-2 (TGF-β-2) in </w:t>
      </w:r>
      <w:proofErr w:type="spellStart"/>
      <w:r w:rsidR="00A42C25" w:rsidRPr="00505EC2">
        <w:t>Modulen</w:t>
      </w:r>
      <w:proofErr w:type="spellEnd"/>
      <w:r w:rsidR="00A42C25" w:rsidRPr="00505EC2">
        <w:t xml:space="preserve"> IBD provided any additional benefit over alternative enteral nutrition formulas.</w:t>
      </w:r>
    </w:p>
    <w:p w:rsidR="00FC3647" w:rsidRPr="008306F3" w:rsidRDefault="000A089C" w:rsidP="00FC364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Economic analysis</w:t>
      </w:r>
    </w:p>
    <w:p w:rsidR="0078142B" w:rsidRDefault="00ED7EFD" w:rsidP="00ED2198">
      <w:pPr>
        <w:pStyle w:val="3Bodytext"/>
      </w:pPr>
      <w:r>
        <w:t>The</w:t>
      </w:r>
      <w:r w:rsidR="0077744A">
        <w:t xml:space="preserve"> </w:t>
      </w:r>
      <w:r w:rsidR="000A089C">
        <w:t xml:space="preserve">submission requested listing on a cost minimisation basis </w:t>
      </w:r>
      <w:r w:rsidR="002F1CA8">
        <w:t>to</w:t>
      </w:r>
      <w:r w:rsidR="000A089C">
        <w:t xml:space="preserve"> </w:t>
      </w:r>
      <w:proofErr w:type="spellStart"/>
      <w:r w:rsidR="000A089C">
        <w:t>Pept</w:t>
      </w:r>
      <w:r w:rsidR="002F1CA8">
        <w:t>a</w:t>
      </w:r>
      <w:r w:rsidR="000A089C">
        <w:t>men</w:t>
      </w:r>
      <w:proofErr w:type="spellEnd"/>
      <w:r w:rsidR="000A089C">
        <w:t xml:space="preserve"> Junior and </w:t>
      </w:r>
      <w:proofErr w:type="spellStart"/>
      <w:r w:rsidR="000A089C">
        <w:t>Fortisip</w:t>
      </w:r>
      <w:proofErr w:type="spellEnd"/>
      <w:r w:rsidR="00717625">
        <w:t xml:space="preserve">, at an equivalent price </w:t>
      </w:r>
      <w:r w:rsidR="00ED3346">
        <w:t>per kcal of prepared formula</w:t>
      </w:r>
      <w:r w:rsidR="00ED2198">
        <w:t>.</w:t>
      </w:r>
    </w:p>
    <w:p w:rsidR="00F44A79" w:rsidRDefault="00ED3346" w:rsidP="00FF3461">
      <w:pPr>
        <w:pStyle w:val="3Bodytext"/>
      </w:pPr>
      <w:r>
        <w:t xml:space="preserve">The cost minimised price of </w:t>
      </w:r>
      <w:proofErr w:type="spellStart"/>
      <w:r>
        <w:t>Modulen</w:t>
      </w:r>
      <w:proofErr w:type="spellEnd"/>
      <w:r>
        <w:t xml:space="preserve"> IBD</w:t>
      </w:r>
      <w:r w:rsidR="003A3034">
        <w:t xml:space="preserve"> of $39.54 per </w:t>
      </w:r>
      <w:r w:rsidR="008D1EF6">
        <w:t>can</w:t>
      </w:r>
      <w:r w:rsidR="00D3373F">
        <w:t xml:space="preserve"> </w:t>
      </w:r>
      <w:r w:rsidR="00251D81">
        <w:t>(</w:t>
      </w:r>
      <w:r w:rsidR="00D3373F">
        <w:t xml:space="preserve">containing </w:t>
      </w:r>
      <w:r w:rsidR="00251D81">
        <w:t>2,012kcal energy)</w:t>
      </w:r>
      <w:r>
        <w:t xml:space="preserve"> in the paediatric population </w:t>
      </w:r>
      <w:r w:rsidR="00476BDF">
        <w:t xml:space="preserve">was calculated based </w:t>
      </w:r>
      <w:r w:rsidR="003A3034">
        <w:t>on a price of</w:t>
      </w:r>
      <w:r w:rsidR="00476BDF">
        <w:t xml:space="preserve"> </w:t>
      </w:r>
      <w:r w:rsidR="003A3034">
        <w:t>$0.0197/kcal, derived</w:t>
      </w:r>
      <w:r w:rsidR="00476BDF">
        <w:t xml:space="preserve"> from the </w:t>
      </w:r>
      <w:r>
        <w:t>approved ex-manufacturer price (AEMP)</w:t>
      </w:r>
      <w:r w:rsidR="00476BDF">
        <w:t xml:space="preserve"> per pack </w:t>
      </w:r>
      <w:r>
        <w:t xml:space="preserve">of </w:t>
      </w:r>
      <w:proofErr w:type="spellStart"/>
      <w:r>
        <w:t>Peptamen</w:t>
      </w:r>
      <w:proofErr w:type="spellEnd"/>
      <w:r>
        <w:t xml:space="preserve"> Junior ($36.55) and energy content </w:t>
      </w:r>
      <w:r w:rsidR="00476BDF">
        <w:t>per pack (1,860 kca</w:t>
      </w:r>
      <w:r w:rsidR="00992F47">
        <w:t>l), as shown in Table 1 below.</w:t>
      </w:r>
    </w:p>
    <w:p w:rsidR="00090BC0" w:rsidRDefault="00090BC0" w:rsidP="00A613AC">
      <w:pPr>
        <w:pStyle w:val="Caption"/>
        <w:keepNext/>
      </w:pPr>
      <w:r>
        <w:t xml:space="preserve">Table </w:t>
      </w:r>
      <w:r w:rsidR="00097684">
        <w:rPr>
          <w:noProof/>
        </w:rPr>
        <w:t>1</w:t>
      </w:r>
      <w:r>
        <w:t xml:space="preserve">: </w:t>
      </w:r>
      <w:r w:rsidRPr="00A57F66">
        <w:t>Cost minimisation analysis for paediatric patients</w:t>
      </w:r>
    </w:p>
    <w:tbl>
      <w:tblPr>
        <w:tblStyle w:val="TableGrid7"/>
        <w:tblW w:w="5000" w:type="pct"/>
        <w:tblLook w:val="04A0" w:firstRow="1" w:lastRow="0" w:firstColumn="1" w:lastColumn="0" w:noHBand="0" w:noVBand="1"/>
        <w:tblCaption w:val="Table 1: Cost minimisation analysis for paediatric patients"/>
      </w:tblPr>
      <w:tblGrid>
        <w:gridCol w:w="3181"/>
        <w:gridCol w:w="3451"/>
        <w:gridCol w:w="2384"/>
      </w:tblGrid>
      <w:tr w:rsidR="00F44A79" w:rsidRPr="007D120B" w:rsidTr="000C2683">
        <w:trPr>
          <w:tblHeader/>
        </w:trPr>
        <w:tc>
          <w:tcPr>
            <w:tcW w:w="1764" w:type="pct"/>
            <w:shd w:val="clear" w:color="auto" w:fill="auto"/>
          </w:tcPr>
          <w:p w:rsidR="00F44A79" w:rsidRPr="00090BC0" w:rsidRDefault="00F44A79" w:rsidP="00A613AC">
            <w:pPr>
              <w:pStyle w:val="TableLeft"/>
              <w:keepNext/>
              <w:rPr>
                <w:rFonts w:ascii="Arial Narrow" w:hAnsi="Arial Narrow"/>
                <w:b/>
                <w:bCs/>
                <w:sz w:val="20"/>
                <w:szCs w:val="20"/>
              </w:rPr>
            </w:pPr>
            <w:bookmarkStart w:id="0" w:name="_Hlk27039148"/>
            <w:r w:rsidRPr="00090BC0">
              <w:rPr>
                <w:rFonts w:ascii="Arial Narrow" w:hAnsi="Arial Narrow"/>
                <w:b/>
                <w:bCs/>
                <w:sz w:val="20"/>
                <w:szCs w:val="20"/>
              </w:rPr>
              <w:t>Data</w:t>
            </w:r>
          </w:p>
        </w:tc>
        <w:tc>
          <w:tcPr>
            <w:tcW w:w="1914" w:type="pct"/>
            <w:shd w:val="clear" w:color="auto" w:fill="auto"/>
            <w:vAlign w:val="bottom"/>
          </w:tcPr>
          <w:p w:rsidR="00F44A79" w:rsidRPr="00090BC0" w:rsidRDefault="00F44A79" w:rsidP="00A613AC">
            <w:pPr>
              <w:pStyle w:val="TableLeft"/>
              <w:keepNext/>
              <w:rPr>
                <w:rFonts w:ascii="Arial Narrow" w:hAnsi="Arial Narrow"/>
                <w:b/>
                <w:bCs/>
                <w:sz w:val="20"/>
                <w:szCs w:val="20"/>
              </w:rPr>
            </w:pPr>
            <w:proofErr w:type="spellStart"/>
            <w:r w:rsidRPr="00090BC0">
              <w:rPr>
                <w:rFonts w:ascii="Arial Narrow" w:hAnsi="Arial Narrow"/>
                <w:b/>
                <w:bCs/>
                <w:color w:val="000000"/>
                <w:sz w:val="20"/>
                <w:szCs w:val="20"/>
              </w:rPr>
              <w:t>Peptamen</w:t>
            </w:r>
            <w:proofErr w:type="spellEnd"/>
            <w:r w:rsidRPr="00090BC0">
              <w:rPr>
                <w:rFonts w:ascii="Arial Narrow" w:hAnsi="Arial Narrow"/>
                <w:b/>
                <w:bCs/>
                <w:color w:val="000000"/>
                <w:sz w:val="20"/>
                <w:szCs w:val="20"/>
              </w:rPr>
              <w:t xml:space="preserve"> Junior (400 g)</w:t>
            </w:r>
          </w:p>
        </w:tc>
        <w:tc>
          <w:tcPr>
            <w:tcW w:w="1322" w:type="pct"/>
            <w:shd w:val="clear" w:color="auto" w:fill="auto"/>
            <w:vAlign w:val="center"/>
          </w:tcPr>
          <w:p w:rsidR="00F44A79" w:rsidRPr="00090BC0" w:rsidRDefault="00F44A79" w:rsidP="00A613AC">
            <w:pPr>
              <w:pStyle w:val="TableLeft"/>
              <w:keepNext/>
              <w:rPr>
                <w:rFonts w:ascii="Arial Narrow" w:hAnsi="Arial Narrow"/>
                <w:b/>
                <w:bCs/>
                <w:sz w:val="20"/>
                <w:szCs w:val="20"/>
              </w:rPr>
            </w:pPr>
            <w:proofErr w:type="spellStart"/>
            <w:r w:rsidRPr="00090BC0">
              <w:rPr>
                <w:rFonts w:ascii="Arial Narrow" w:hAnsi="Arial Narrow"/>
                <w:b/>
                <w:bCs/>
                <w:color w:val="000000"/>
                <w:sz w:val="20"/>
                <w:szCs w:val="20"/>
              </w:rPr>
              <w:t>Modulen</w:t>
            </w:r>
            <w:proofErr w:type="spellEnd"/>
            <w:r w:rsidRPr="00090BC0">
              <w:rPr>
                <w:rFonts w:ascii="Arial Narrow" w:hAnsi="Arial Narrow"/>
                <w:b/>
                <w:bCs/>
                <w:color w:val="000000"/>
                <w:sz w:val="20"/>
                <w:szCs w:val="20"/>
              </w:rPr>
              <w:t xml:space="preserve"> IBD (400 g)</w:t>
            </w:r>
          </w:p>
        </w:tc>
      </w:tr>
      <w:tr w:rsidR="00F44A79" w:rsidRPr="009C7105" w:rsidTr="00D3373F">
        <w:tc>
          <w:tcPr>
            <w:tcW w:w="1764" w:type="pct"/>
            <w:vAlign w:val="center"/>
          </w:tcPr>
          <w:p w:rsidR="00F44A79" w:rsidRPr="00090BC0" w:rsidRDefault="00F44A79" w:rsidP="00A613AC">
            <w:pPr>
              <w:pStyle w:val="TableLeft"/>
              <w:keepNext/>
              <w:rPr>
                <w:rFonts w:ascii="Arial Narrow" w:hAnsi="Arial Narrow"/>
                <w:sz w:val="20"/>
                <w:szCs w:val="20"/>
              </w:rPr>
            </w:pPr>
            <w:r w:rsidRPr="00090BC0">
              <w:rPr>
                <w:rFonts w:ascii="Arial Narrow" w:hAnsi="Arial Narrow"/>
                <w:color w:val="000000"/>
                <w:sz w:val="20"/>
                <w:szCs w:val="20"/>
              </w:rPr>
              <w:t>Kcal per container</w:t>
            </w:r>
          </w:p>
        </w:tc>
        <w:tc>
          <w:tcPr>
            <w:tcW w:w="1914" w:type="pct"/>
            <w:vAlign w:val="bottom"/>
          </w:tcPr>
          <w:p w:rsidR="00F44A79" w:rsidRPr="00090BC0" w:rsidRDefault="00F44A79" w:rsidP="00A613AC">
            <w:pPr>
              <w:pStyle w:val="TableLeft"/>
              <w:keepNext/>
              <w:rPr>
                <w:rFonts w:ascii="Arial Narrow" w:hAnsi="Arial Narrow"/>
                <w:sz w:val="20"/>
                <w:szCs w:val="20"/>
              </w:rPr>
            </w:pPr>
            <w:r w:rsidRPr="00090BC0">
              <w:rPr>
                <w:rFonts w:ascii="Arial Narrow" w:hAnsi="Arial Narrow"/>
                <w:color w:val="000000"/>
                <w:sz w:val="20"/>
                <w:szCs w:val="20"/>
              </w:rPr>
              <w:t>1860</w:t>
            </w:r>
          </w:p>
        </w:tc>
        <w:tc>
          <w:tcPr>
            <w:tcW w:w="1322" w:type="pct"/>
            <w:vAlign w:val="center"/>
          </w:tcPr>
          <w:p w:rsidR="00F44A79" w:rsidRPr="00090BC0" w:rsidRDefault="00F44A79" w:rsidP="00A613AC">
            <w:pPr>
              <w:pStyle w:val="TableLeft"/>
              <w:keepNext/>
              <w:rPr>
                <w:rFonts w:ascii="Arial Narrow" w:hAnsi="Arial Narrow"/>
                <w:sz w:val="20"/>
                <w:szCs w:val="20"/>
              </w:rPr>
            </w:pPr>
            <w:r w:rsidRPr="00090BC0">
              <w:rPr>
                <w:rFonts w:ascii="Arial Narrow" w:hAnsi="Arial Narrow"/>
                <w:color w:val="000000"/>
                <w:sz w:val="20"/>
                <w:szCs w:val="20"/>
              </w:rPr>
              <w:t>2012</w:t>
            </w:r>
          </w:p>
        </w:tc>
      </w:tr>
      <w:tr w:rsidR="00F44A79" w:rsidRPr="009C7105" w:rsidTr="00D3373F">
        <w:tc>
          <w:tcPr>
            <w:tcW w:w="1764" w:type="pct"/>
            <w:vAlign w:val="center"/>
          </w:tcPr>
          <w:p w:rsidR="00F44A79" w:rsidRPr="00090BC0" w:rsidRDefault="00F44A79" w:rsidP="00A613AC">
            <w:pPr>
              <w:pStyle w:val="TableLeft"/>
              <w:keepNext/>
              <w:rPr>
                <w:rFonts w:ascii="Arial Narrow" w:hAnsi="Arial Narrow"/>
                <w:sz w:val="20"/>
                <w:szCs w:val="20"/>
              </w:rPr>
            </w:pPr>
            <w:r w:rsidRPr="00090BC0">
              <w:rPr>
                <w:rFonts w:ascii="Arial Narrow" w:hAnsi="Arial Narrow"/>
                <w:color w:val="000000"/>
                <w:sz w:val="20"/>
                <w:szCs w:val="20"/>
              </w:rPr>
              <w:t>Price per kcal</w:t>
            </w:r>
          </w:p>
        </w:tc>
        <w:tc>
          <w:tcPr>
            <w:tcW w:w="1914" w:type="pct"/>
            <w:vAlign w:val="center"/>
          </w:tcPr>
          <w:p w:rsidR="00F44A79" w:rsidRPr="00090BC0" w:rsidRDefault="00F44A79" w:rsidP="00A613AC">
            <w:pPr>
              <w:pStyle w:val="TableLeft"/>
              <w:keepNext/>
              <w:rPr>
                <w:rFonts w:ascii="Arial Narrow" w:hAnsi="Arial Narrow"/>
                <w:sz w:val="20"/>
                <w:szCs w:val="20"/>
              </w:rPr>
            </w:pPr>
            <w:r w:rsidRPr="00090BC0">
              <w:rPr>
                <w:rFonts w:ascii="Arial Narrow" w:hAnsi="Arial Narrow"/>
                <w:color w:val="000000"/>
                <w:sz w:val="20"/>
                <w:szCs w:val="20"/>
              </w:rPr>
              <w:t>$36.55</w:t>
            </w:r>
            <w:r w:rsidRPr="00090BC0">
              <w:rPr>
                <w:rFonts w:ascii="Arial Narrow" w:hAnsi="Arial Narrow"/>
                <w:sz w:val="20"/>
                <w:szCs w:val="20"/>
              </w:rPr>
              <w:t>/</w:t>
            </w:r>
            <w:r w:rsidRPr="00090BC0">
              <w:rPr>
                <w:rFonts w:ascii="Arial Narrow" w:hAnsi="Arial Narrow"/>
                <w:color w:val="000000"/>
                <w:sz w:val="20"/>
                <w:szCs w:val="20"/>
              </w:rPr>
              <w:t>1860</w:t>
            </w:r>
            <w:r w:rsidRPr="00090BC0">
              <w:rPr>
                <w:rFonts w:ascii="Arial Narrow" w:hAnsi="Arial Narrow"/>
                <w:sz w:val="20"/>
                <w:szCs w:val="20"/>
              </w:rPr>
              <w:t xml:space="preserve">= </w:t>
            </w:r>
            <w:r w:rsidRPr="00090BC0">
              <w:rPr>
                <w:rFonts w:ascii="Arial Narrow" w:hAnsi="Arial Narrow"/>
                <w:color w:val="000000"/>
                <w:sz w:val="20"/>
                <w:szCs w:val="20"/>
              </w:rPr>
              <w:t>$0.0197</w:t>
            </w:r>
            <w:r w:rsidRPr="00090BC0">
              <w:rPr>
                <w:rFonts w:ascii="Arial Narrow" w:hAnsi="Arial Narrow"/>
                <w:sz w:val="20"/>
                <w:szCs w:val="20"/>
              </w:rPr>
              <w:t xml:space="preserve"> per kcal</w:t>
            </w:r>
          </w:p>
        </w:tc>
        <w:tc>
          <w:tcPr>
            <w:tcW w:w="1322" w:type="pct"/>
            <w:vAlign w:val="center"/>
          </w:tcPr>
          <w:p w:rsidR="00F44A79" w:rsidRPr="00090BC0" w:rsidRDefault="00F44A79" w:rsidP="00A613AC">
            <w:pPr>
              <w:pStyle w:val="TableLeft"/>
              <w:keepNext/>
              <w:rPr>
                <w:rFonts w:ascii="Arial Narrow" w:hAnsi="Arial Narrow"/>
                <w:sz w:val="20"/>
                <w:szCs w:val="20"/>
              </w:rPr>
            </w:pPr>
            <w:r w:rsidRPr="00090BC0">
              <w:rPr>
                <w:rFonts w:ascii="Arial Narrow" w:hAnsi="Arial Narrow"/>
                <w:color w:val="000000"/>
                <w:sz w:val="20"/>
                <w:szCs w:val="20"/>
              </w:rPr>
              <w:t xml:space="preserve">cost </w:t>
            </w:r>
            <w:proofErr w:type="spellStart"/>
            <w:r w:rsidRPr="00090BC0">
              <w:rPr>
                <w:rFonts w:ascii="Arial Narrow" w:hAnsi="Arial Narrow"/>
                <w:color w:val="000000"/>
                <w:sz w:val="20"/>
                <w:szCs w:val="20"/>
              </w:rPr>
              <w:t>minimisation</w:t>
            </w:r>
            <w:proofErr w:type="spellEnd"/>
          </w:p>
        </w:tc>
      </w:tr>
      <w:tr w:rsidR="00F44A79" w:rsidRPr="009C7105" w:rsidTr="00D3373F">
        <w:tc>
          <w:tcPr>
            <w:tcW w:w="1764" w:type="pct"/>
          </w:tcPr>
          <w:p w:rsidR="00F44A79" w:rsidRPr="00090BC0" w:rsidRDefault="00F44A79" w:rsidP="00A613AC">
            <w:pPr>
              <w:pStyle w:val="TableLeft"/>
              <w:keepNext/>
              <w:rPr>
                <w:rFonts w:ascii="Arial Narrow" w:hAnsi="Arial Narrow"/>
                <w:sz w:val="20"/>
                <w:szCs w:val="20"/>
              </w:rPr>
            </w:pPr>
            <w:r w:rsidRPr="00090BC0">
              <w:rPr>
                <w:rFonts w:ascii="Arial Narrow" w:hAnsi="Arial Narrow"/>
                <w:sz w:val="20"/>
                <w:szCs w:val="20"/>
              </w:rPr>
              <w:t>Ex Manufacturer Price per tin</w:t>
            </w:r>
          </w:p>
        </w:tc>
        <w:tc>
          <w:tcPr>
            <w:tcW w:w="1914" w:type="pct"/>
            <w:vAlign w:val="center"/>
          </w:tcPr>
          <w:p w:rsidR="00F44A79" w:rsidRPr="00090BC0" w:rsidRDefault="00F44A79" w:rsidP="00A613AC">
            <w:pPr>
              <w:pStyle w:val="TableLeft"/>
              <w:keepNext/>
              <w:rPr>
                <w:rFonts w:ascii="Arial Narrow" w:hAnsi="Arial Narrow"/>
                <w:sz w:val="20"/>
                <w:szCs w:val="20"/>
              </w:rPr>
            </w:pPr>
            <w:r w:rsidRPr="00090BC0">
              <w:rPr>
                <w:rFonts w:ascii="Arial Narrow" w:hAnsi="Arial Narrow"/>
                <w:color w:val="000000"/>
                <w:sz w:val="20"/>
                <w:szCs w:val="20"/>
              </w:rPr>
              <w:t>$36.55</w:t>
            </w:r>
          </w:p>
        </w:tc>
        <w:tc>
          <w:tcPr>
            <w:tcW w:w="1322" w:type="pct"/>
            <w:vAlign w:val="center"/>
          </w:tcPr>
          <w:p w:rsidR="00F44A79" w:rsidRPr="00090BC0" w:rsidRDefault="00F44A79" w:rsidP="00A613AC">
            <w:pPr>
              <w:pStyle w:val="TableLeft"/>
              <w:keepNext/>
              <w:rPr>
                <w:rFonts w:ascii="Arial Narrow" w:hAnsi="Arial Narrow"/>
                <w:sz w:val="20"/>
                <w:szCs w:val="20"/>
              </w:rPr>
            </w:pPr>
            <w:r w:rsidRPr="00090BC0">
              <w:rPr>
                <w:rFonts w:ascii="Arial Narrow" w:hAnsi="Arial Narrow"/>
                <w:b/>
                <w:bCs/>
                <w:color w:val="000000"/>
                <w:sz w:val="20"/>
                <w:szCs w:val="20"/>
              </w:rPr>
              <w:t>$39.54</w:t>
            </w:r>
          </w:p>
        </w:tc>
      </w:tr>
    </w:tbl>
    <w:bookmarkEnd w:id="0"/>
    <w:p w:rsidR="00F44A79" w:rsidRPr="00FF3461" w:rsidRDefault="00F44A79" w:rsidP="00090BC0">
      <w:pPr>
        <w:pStyle w:val="ListParagraph"/>
        <w:widowControl/>
        <w:spacing w:after="120"/>
        <w:ind w:left="0" w:hanging="11"/>
        <w:contextualSpacing w:val="0"/>
        <w:rPr>
          <w:rFonts w:ascii="Arial Narrow" w:eastAsiaTheme="majorEastAsia" w:hAnsi="Arial Narrow"/>
          <w:sz w:val="18"/>
        </w:rPr>
      </w:pPr>
      <w:r w:rsidRPr="00FF3461">
        <w:rPr>
          <w:rFonts w:ascii="Arial Narrow" w:eastAsiaTheme="majorEastAsia" w:hAnsi="Arial Narrow"/>
          <w:sz w:val="18"/>
        </w:rPr>
        <w:t xml:space="preserve">Source: table 3.3, </w:t>
      </w:r>
      <w:proofErr w:type="spellStart"/>
      <w:r w:rsidRPr="00FF3461">
        <w:rPr>
          <w:rFonts w:ascii="Arial Narrow" w:eastAsiaTheme="majorEastAsia" w:hAnsi="Arial Narrow"/>
          <w:sz w:val="18"/>
        </w:rPr>
        <w:t>pg</w:t>
      </w:r>
      <w:proofErr w:type="spellEnd"/>
      <w:r w:rsidRPr="00FF3461">
        <w:rPr>
          <w:rFonts w:ascii="Arial Narrow" w:eastAsiaTheme="majorEastAsia" w:hAnsi="Arial Narrow"/>
          <w:sz w:val="18"/>
        </w:rPr>
        <w:t xml:space="preserve"> 44 of the submission</w:t>
      </w:r>
    </w:p>
    <w:p w:rsidR="003A3034" w:rsidRDefault="003A3034" w:rsidP="00363B41">
      <w:pPr>
        <w:pStyle w:val="3Bodytext"/>
      </w:pPr>
      <w:r>
        <w:lastRenderedPageBreak/>
        <w:t xml:space="preserve">The cost minimised price of </w:t>
      </w:r>
      <w:proofErr w:type="spellStart"/>
      <w:r>
        <w:t>Modulen</w:t>
      </w:r>
      <w:proofErr w:type="spellEnd"/>
      <w:r>
        <w:t xml:space="preserve"> IBD of $26.49 per </w:t>
      </w:r>
      <w:r w:rsidR="008D1EF6">
        <w:t>can</w:t>
      </w:r>
      <w:r>
        <w:t xml:space="preserve"> in the adult population was calculated based on a price of $0.01367/kcal, derived from a private market sourced price of </w:t>
      </w:r>
      <w:proofErr w:type="spellStart"/>
      <w:r>
        <w:t>Fortisip</w:t>
      </w:r>
      <w:proofErr w:type="spellEnd"/>
      <w:r>
        <w:rPr>
          <w:rStyle w:val="FootnoteReference"/>
        </w:rPr>
        <w:footnoteReference w:id="5"/>
      </w:r>
      <w:r>
        <w:t xml:space="preserve"> ($3.95/unit) and ene</w:t>
      </w:r>
      <w:r w:rsidR="00992F47">
        <w:t>rgy content per pack (300 kcal), as shown in Table 2 below.</w:t>
      </w:r>
    </w:p>
    <w:p w:rsidR="00090BC0" w:rsidRDefault="00090BC0" w:rsidP="00090BC0">
      <w:pPr>
        <w:pStyle w:val="Caption"/>
        <w:keepNext/>
      </w:pPr>
      <w:r>
        <w:t xml:space="preserve">Table </w:t>
      </w:r>
      <w:r w:rsidR="00097684">
        <w:rPr>
          <w:noProof/>
        </w:rPr>
        <w:t>2</w:t>
      </w:r>
      <w:r>
        <w:t xml:space="preserve">: </w:t>
      </w:r>
      <w:r w:rsidRPr="002E5239">
        <w:t xml:space="preserve">Cost minimisation </w:t>
      </w:r>
      <w:r>
        <w:t>analysis for adolescent/adult patients</w:t>
      </w:r>
    </w:p>
    <w:tbl>
      <w:tblPr>
        <w:tblStyle w:val="TableGrid7"/>
        <w:tblW w:w="5000" w:type="pct"/>
        <w:tblLook w:val="04A0" w:firstRow="1" w:lastRow="0" w:firstColumn="1" w:lastColumn="0" w:noHBand="0" w:noVBand="1"/>
        <w:tblCaption w:val="Table 2: Cost minimisation analysis for adolescent/adult patients"/>
      </w:tblPr>
      <w:tblGrid>
        <w:gridCol w:w="3181"/>
        <w:gridCol w:w="3451"/>
        <w:gridCol w:w="2384"/>
      </w:tblGrid>
      <w:tr w:rsidR="00090BC0" w:rsidRPr="007D120B" w:rsidTr="000C2683">
        <w:trPr>
          <w:tblHeader/>
        </w:trPr>
        <w:tc>
          <w:tcPr>
            <w:tcW w:w="1764" w:type="pct"/>
            <w:shd w:val="clear" w:color="auto" w:fill="auto"/>
          </w:tcPr>
          <w:p w:rsidR="00090BC0" w:rsidRPr="00090BC0" w:rsidRDefault="00090BC0" w:rsidP="00090BC0">
            <w:pPr>
              <w:pStyle w:val="TableLeft"/>
              <w:rPr>
                <w:rFonts w:ascii="Arial Narrow" w:hAnsi="Arial Narrow"/>
                <w:b/>
                <w:bCs/>
                <w:sz w:val="20"/>
                <w:szCs w:val="20"/>
              </w:rPr>
            </w:pPr>
            <w:r w:rsidRPr="00090BC0">
              <w:rPr>
                <w:rFonts w:ascii="Arial Narrow" w:hAnsi="Arial Narrow"/>
                <w:b/>
                <w:sz w:val="20"/>
                <w:szCs w:val="20"/>
              </w:rPr>
              <w:t xml:space="preserve">Data </w:t>
            </w:r>
          </w:p>
        </w:tc>
        <w:tc>
          <w:tcPr>
            <w:tcW w:w="1914" w:type="pct"/>
            <w:shd w:val="clear" w:color="auto" w:fill="auto"/>
          </w:tcPr>
          <w:p w:rsidR="00090BC0" w:rsidRPr="00090BC0" w:rsidRDefault="00090BC0" w:rsidP="00090BC0">
            <w:pPr>
              <w:pStyle w:val="TableLeft"/>
              <w:rPr>
                <w:rFonts w:ascii="Arial Narrow" w:hAnsi="Arial Narrow"/>
                <w:b/>
                <w:bCs/>
                <w:sz w:val="20"/>
                <w:szCs w:val="20"/>
              </w:rPr>
            </w:pPr>
            <w:proofErr w:type="spellStart"/>
            <w:r w:rsidRPr="00090BC0">
              <w:rPr>
                <w:rFonts w:ascii="Arial Narrow" w:hAnsi="Arial Narrow"/>
                <w:b/>
                <w:sz w:val="20"/>
                <w:szCs w:val="20"/>
              </w:rPr>
              <w:t>Fortisip</w:t>
            </w:r>
            <w:proofErr w:type="spellEnd"/>
            <w:r w:rsidRPr="00090BC0">
              <w:rPr>
                <w:rFonts w:ascii="Arial Narrow" w:hAnsi="Arial Narrow"/>
                <w:b/>
                <w:sz w:val="20"/>
                <w:szCs w:val="20"/>
              </w:rPr>
              <w:t xml:space="preserve"> (200 mL) </w:t>
            </w:r>
          </w:p>
        </w:tc>
        <w:tc>
          <w:tcPr>
            <w:tcW w:w="1322" w:type="pct"/>
            <w:shd w:val="clear" w:color="auto" w:fill="auto"/>
          </w:tcPr>
          <w:p w:rsidR="00090BC0" w:rsidRPr="00090BC0" w:rsidRDefault="00090BC0" w:rsidP="00090BC0">
            <w:pPr>
              <w:pStyle w:val="TableLeft"/>
              <w:rPr>
                <w:rFonts w:ascii="Arial Narrow" w:hAnsi="Arial Narrow"/>
                <w:b/>
                <w:bCs/>
                <w:sz w:val="20"/>
                <w:szCs w:val="20"/>
              </w:rPr>
            </w:pPr>
            <w:proofErr w:type="spellStart"/>
            <w:r w:rsidRPr="00090BC0">
              <w:rPr>
                <w:rFonts w:ascii="Arial Narrow" w:hAnsi="Arial Narrow"/>
                <w:b/>
                <w:sz w:val="20"/>
                <w:szCs w:val="20"/>
              </w:rPr>
              <w:t>Modulen</w:t>
            </w:r>
            <w:proofErr w:type="spellEnd"/>
            <w:r w:rsidRPr="00090BC0">
              <w:rPr>
                <w:rFonts w:ascii="Arial Narrow" w:hAnsi="Arial Narrow"/>
                <w:b/>
                <w:sz w:val="20"/>
                <w:szCs w:val="20"/>
              </w:rPr>
              <w:t xml:space="preserve"> IBD (400 g) </w:t>
            </w:r>
          </w:p>
        </w:tc>
      </w:tr>
      <w:tr w:rsidR="00090BC0" w:rsidRPr="009C7105" w:rsidTr="007303E3">
        <w:tc>
          <w:tcPr>
            <w:tcW w:w="1764" w:type="pct"/>
          </w:tcPr>
          <w:p w:rsidR="00090BC0" w:rsidRPr="00090BC0" w:rsidRDefault="00090BC0" w:rsidP="00090BC0">
            <w:pPr>
              <w:pStyle w:val="TableLeft"/>
              <w:rPr>
                <w:rFonts w:ascii="Arial Narrow" w:hAnsi="Arial Narrow"/>
                <w:sz w:val="20"/>
                <w:szCs w:val="20"/>
              </w:rPr>
            </w:pPr>
            <w:r w:rsidRPr="00090BC0">
              <w:rPr>
                <w:rFonts w:ascii="Arial Narrow" w:hAnsi="Arial Narrow"/>
                <w:sz w:val="20"/>
                <w:szCs w:val="20"/>
              </w:rPr>
              <w:t xml:space="preserve">Kcal per container </w:t>
            </w:r>
          </w:p>
        </w:tc>
        <w:tc>
          <w:tcPr>
            <w:tcW w:w="1914" w:type="pct"/>
          </w:tcPr>
          <w:p w:rsidR="00090BC0" w:rsidRPr="00090BC0" w:rsidRDefault="00090BC0" w:rsidP="00090BC0">
            <w:pPr>
              <w:pStyle w:val="TableLeft"/>
              <w:rPr>
                <w:rFonts w:ascii="Arial Narrow" w:hAnsi="Arial Narrow"/>
                <w:sz w:val="20"/>
                <w:szCs w:val="20"/>
              </w:rPr>
            </w:pPr>
            <w:r w:rsidRPr="00090BC0">
              <w:rPr>
                <w:rFonts w:ascii="Arial Narrow" w:hAnsi="Arial Narrow"/>
                <w:sz w:val="20"/>
                <w:szCs w:val="20"/>
              </w:rPr>
              <w:t xml:space="preserve">300 </w:t>
            </w:r>
          </w:p>
        </w:tc>
        <w:tc>
          <w:tcPr>
            <w:tcW w:w="1322" w:type="pct"/>
          </w:tcPr>
          <w:p w:rsidR="00090BC0" w:rsidRPr="00090BC0" w:rsidRDefault="00090BC0" w:rsidP="00090BC0">
            <w:pPr>
              <w:pStyle w:val="TableLeft"/>
              <w:rPr>
                <w:rFonts w:ascii="Arial Narrow" w:hAnsi="Arial Narrow"/>
                <w:sz w:val="20"/>
                <w:szCs w:val="20"/>
              </w:rPr>
            </w:pPr>
            <w:r w:rsidRPr="00090BC0">
              <w:rPr>
                <w:rFonts w:ascii="Arial Narrow" w:hAnsi="Arial Narrow"/>
                <w:sz w:val="20"/>
                <w:szCs w:val="20"/>
              </w:rPr>
              <w:t xml:space="preserve">2012 </w:t>
            </w:r>
          </w:p>
        </w:tc>
      </w:tr>
      <w:tr w:rsidR="00090BC0" w:rsidRPr="009C7105" w:rsidTr="007303E3">
        <w:tc>
          <w:tcPr>
            <w:tcW w:w="1764" w:type="pct"/>
          </w:tcPr>
          <w:p w:rsidR="00090BC0" w:rsidRPr="00090BC0" w:rsidRDefault="00090BC0" w:rsidP="00090BC0">
            <w:pPr>
              <w:pStyle w:val="TableLeft"/>
              <w:rPr>
                <w:rFonts w:ascii="Arial Narrow" w:hAnsi="Arial Narrow"/>
                <w:sz w:val="20"/>
                <w:szCs w:val="20"/>
              </w:rPr>
            </w:pPr>
            <w:r w:rsidRPr="00090BC0">
              <w:rPr>
                <w:rFonts w:ascii="Arial Narrow" w:hAnsi="Arial Narrow"/>
                <w:sz w:val="20"/>
                <w:szCs w:val="20"/>
              </w:rPr>
              <w:t xml:space="preserve">Price per kcal </w:t>
            </w:r>
          </w:p>
        </w:tc>
        <w:tc>
          <w:tcPr>
            <w:tcW w:w="1914" w:type="pct"/>
          </w:tcPr>
          <w:p w:rsidR="00090BC0" w:rsidRPr="00090BC0" w:rsidRDefault="00090BC0" w:rsidP="00090BC0">
            <w:pPr>
              <w:pStyle w:val="TableLeft"/>
              <w:rPr>
                <w:rFonts w:ascii="Arial Narrow" w:hAnsi="Arial Narrow"/>
                <w:sz w:val="20"/>
                <w:szCs w:val="20"/>
              </w:rPr>
            </w:pPr>
            <w:r w:rsidRPr="00090BC0">
              <w:rPr>
                <w:rFonts w:ascii="Arial Narrow" w:hAnsi="Arial Narrow"/>
                <w:sz w:val="20"/>
                <w:szCs w:val="20"/>
              </w:rPr>
              <w:t xml:space="preserve">$3.95/300 = $0.013167 per kcal </w:t>
            </w:r>
          </w:p>
        </w:tc>
        <w:tc>
          <w:tcPr>
            <w:tcW w:w="1322" w:type="pct"/>
          </w:tcPr>
          <w:p w:rsidR="00090BC0" w:rsidRPr="00090BC0" w:rsidRDefault="00090BC0" w:rsidP="00090BC0">
            <w:pPr>
              <w:pStyle w:val="TableLeft"/>
              <w:rPr>
                <w:rFonts w:ascii="Arial Narrow" w:hAnsi="Arial Narrow"/>
                <w:sz w:val="20"/>
                <w:szCs w:val="20"/>
              </w:rPr>
            </w:pPr>
            <w:r w:rsidRPr="00090BC0">
              <w:rPr>
                <w:rFonts w:ascii="Arial Narrow" w:hAnsi="Arial Narrow"/>
                <w:sz w:val="20"/>
                <w:szCs w:val="20"/>
              </w:rPr>
              <w:t xml:space="preserve">cost </w:t>
            </w:r>
            <w:proofErr w:type="spellStart"/>
            <w:r w:rsidRPr="00090BC0">
              <w:rPr>
                <w:rFonts w:ascii="Arial Narrow" w:hAnsi="Arial Narrow"/>
                <w:sz w:val="20"/>
                <w:szCs w:val="20"/>
              </w:rPr>
              <w:t>minimisation</w:t>
            </w:r>
            <w:proofErr w:type="spellEnd"/>
            <w:r w:rsidRPr="00090BC0">
              <w:rPr>
                <w:rFonts w:ascii="Arial Narrow" w:hAnsi="Arial Narrow"/>
                <w:sz w:val="20"/>
                <w:szCs w:val="20"/>
              </w:rPr>
              <w:t xml:space="preserve"> </w:t>
            </w:r>
          </w:p>
        </w:tc>
      </w:tr>
      <w:tr w:rsidR="00090BC0" w:rsidRPr="009C7105" w:rsidTr="00090BC0">
        <w:tc>
          <w:tcPr>
            <w:tcW w:w="3678" w:type="pct"/>
            <w:gridSpan w:val="2"/>
          </w:tcPr>
          <w:p w:rsidR="00090BC0" w:rsidRPr="00090BC0" w:rsidRDefault="00090BC0" w:rsidP="00090BC0">
            <w:pPr>
              <w:pStyle w:val="TableLeft"/>
              <w:rPr>
                <w:rFonts w:ascii="Arial Narrow" w:hAnsi="Arial Narrow"/>
                <w:sz w:val="20"/>
                <w:szCs w:val="20"/>
              </w:rPr>
            </w:pPr>
            <w:r w:rsidRPr="00090BC0">
              <w:rPr>
                <w:rFonts w:ascii="Arial Narrow" w:hAnsi="Arial Narrow"/>
                <w:sz w:val="20"/>
                <w:szCs w:val="20"/>
              </w:rPr>
              <w:t xml:space="preserve">Cost </w:t>
            </w:r>
            <w:proofErr w:type="spellStart"/>
            <w:r w:rsidRPr="00090BC0">
              <w:rPr>
                <w:rFonts w:ascii="Arial Narrow" w:hAnsi="Arial Narrow"/>
                <w:sz w:val="20"/>
                <w:szCs w:val="20"/>
              </w:rPr>
              <w:t>minimised</w:t>
            </w:r>
            <w:proofErr w:type="spellEnd"/>
            <w:r w:rsidRPr="00090BC0">
              <w:rPr>
                <w:rFonts w:ascii="Arial Narrow" w:hAnsi="Arial Narrow"/>
                <w:sz w:val="20"/>
                <w:szCs w:val="20"/>
              </w:rPr>
              <w:t xml:space="preserve"> ex-manufacturer price per tin </w:t>
            </w:r>
          </w:p>
        </w:tc>
        <w:tc>
          <w:tcPr>
            <w:tcW w:w="1322" w:type="pct"/>
          </w:tcPr>
          <w:p w:rsidR="00090BC0" w:rsidRPr="00090BC0" w:rsidRDefault="00090BC0" w:rsidP="00090BC0">
            <w:pPr>
              <w:pStyle w:val="TableLeft"/>
              <w:rPr>
                <w:rFonts w:ascii="Arial Narrow" w:hAnsi="Arial Narrow"/>
                <w:sz w:val="20"/>
                <w:szCs w:val="20"/>
              </w:rPr>
            </w:pPr>
            <w:r w:rsidRPr="00090BC0">
              <w:rPr>
                <w:rFonts w:ascii="Arial Narrow" w:hAnsi="Arial Narrow"/>
                <w:sz w:val="20"/>
                <w:szCs w:val="20"/>
              </w:rPr>
              <w:t xml:space="preserve">$26.49 </w:t>
            </w:r>
          </w:p>
        </w:tc>
      </w:tr>
    </w:tbl>
    <w:p w:rsidR="00090BC0" w:rsidRPr="00FF3461" w:rsidRDefault="00090BC0" w:rsidP="00090BC0">
      <w:pPr>
        <w:pStyle w:val="3Bodytext"/>
        <w:numPr>
          <w:ilvl w:val="0"/>
          <w:numId w:val="0"/>
        </w:numPr>
        <w:rPr>
          <w:rFonts w:ascii="Arial Narrow" w:hAnsi="Arial Narrow"/>
          <w:sz w:val="18"/>
          <w:szCs w:val="20"/>
        </w:rPr>
      </w:pPr>
      <w:r w:rsidRPr="00FF3461">
        <w:rPr>
          <w:rFonts w:ascii="Arial Narrow" w:hAnsi="Arial Narrow"/>
          <w:sz w:val="18"/>
          <w:szCs w:val="20"/>
        </w:rPr>
        <w:t xml:space="preserve">Source: Table 3.4, </w:t>
      </w:r>
      <w:r w:rsidR="000D1562" w:rsidRPr="00FF3461">
        <w:rPr>
          <w:rFonts w:ascii="Arial Narrow" w:hAnsi="Arial Narrow"/>
          <w:sz w:val="18"/>
          <w:szCs w:val="20"/>
        </w:rPr>
        <w:t>pg.</w:t>
      </w:r>
      <w:r w:rsidRPr="00FF3461">
        <w:rPr>
          <w:rFonts w:ascii="Arial Narrow" w:hAnsi="Arial Narrow"/>
          <w:sz w:val="18"/>
          <w:szCs w:val="20"/>
        </w:rPr>
        <w:t xml:space="preserve"> 46 of the submission</w:t>
      </w:r>
    </w:p>
    <w:p w:rsidR="0077343F" w:rsidRDefault="0077343F" w:rsidP="005F5DDF">
      <w:pPr>
        <w:pStyle w:val="3Bodytext"/>
      </w:pPr>
      <w:r w:rsidRPr="00FF6600">
        <w:t xml:space="preserve">The </w:t>
      </w:r>
      <w:r w:rsidR="003A3034">
        <w:t xml:space="preserve">weighted cost minimised price </w:t>
      </w:r>
      <w:proofErr w:type="gramStart"/>
      <w:r w:rsidR="003A3034">
        <w:t>was calculated</w:t>
      </w:r>
      <w:proofErr w:type="gramEnd"/>
      <w:r w:rsidR="003A3034">
        <w:t xml:space="preserve"> based on the expected proportion of use in children, adolescents and adults, as outlined in the table below, with a resultant requested AEMP of $30.13 per pack.</w:t>
      </w:r>
      <w:r w:rsidR="005F5DDF">
        <w:t xml:space="preserve"> T</w:t>
      </w:r>
      <w:r w:rsidR="005F5DDF" w:rsidRPr="005F5DDF">
        <w:t xml:space="preserve">he submission considered </w:t>
      </w:r>
      <w:proofErr w:type="spellStart"/>
      <w:r w:rsidR="005F5DDF" w:rsidRPr="005F5DDF">
        <w:t>Fortisip</w:t>
      </w:r>
      <w:proofErr w:type="spellEnd"/>
      <w:r w:rsidR="005F5DDF" w:rsidRPr="005F5DDF">
        <w:t xml:space="preserve"> to be the appropriate comparator for young adolescents (aged 11-14 years) and </w:t>
      </w:r>
      <w:r w:rsidR="00D965DA">
        <w:t>calculated the proposed cost minimised price using the adult price for this population.</w:t>
      </w:r>
    </w:p>
    <w:p w:rsidR="00992F47" w:rsidRDefault="00992F47" w:rsidP="00992F47">
      <w:pPr>
        <w:pStyle w:val="Caption"/>
        <w:keepNext/>
      </w:pPr>
      <w:r>
        <w:t xml:space="preserve">Table </w:t>
      </w:r>
      <w:r w:rsidR="00097684">
        <w:rPr>
          <w:noProof/>
        </w:rPr>
        <w:t>3</w:t>
      </w:r>
      <w:r>
        <w:t xml:space="preserve">: </w:t>
      </w:r>
      <w:r w:rsidRPr="00213E2E">
        <w:t xml:space="preserve">Weighted cost minimised price for </w:t>
      </w:r>
      <w:proofErr w:type="spellStart"/>
      <w:r w:rsidRPr="00213E2E">
        <w:t>Modulen</w:t>
      </w:r>
      <w:proofErr w:type="spellEnd"/>
      <w:r w:rsidRPr="00213E2E">
        <w:t xml:space="preserve"> IBD</w:t>
      </w:r>
    </w:p>
    <w:tbl>
      <w:tblPr>
        <w:tblStyle w:val="TableGrid7"/>
        <w:tblW w:w="5000" w:type="pct"/>
        <w:tblLook w:val="04A0" w:firstRow="1" w:lastRow="0" w:firstColumn="1" w:lastColumn="0" w:noHBand="0" w:noVBand="1"/>
        <w:tblCaption w:val="Table 3: Weighted cost minimised price for Modulen IBD"/>
      </w:tblPr>
      <w:tblGrid>
        <w:gridCol w:w="2707"/>
        <w:gridCol w:w="1825"/>
        <w:gridCol w:w="1700"/>
        <w:gridCol w:w="1152"/>
        <w:gridCol w:w="1632"/>
      </w:tblGrid>
      <w:tr w:rsidR="0077343F" w:rsidRPr="00FF6600" w:rsidTr="000C2683">
        <w:trPr>
          <w:tblHeader/>
        </w:trPr>
        <w:tc>
          <w:tcPr>
            <w:tcW w:w="1501" w:type="pct"/>
            <w:shd w:val="clear" w:color="auto" w:fill="auto"/>
          </w:tcPr>
          <w:p w:rsidR="0077343F" w:rsidRPr="00FF3461" w:rsidRDefault="0077343F" w:rsidP="005602B1">
            <w:pPr>
              <w:pStyle w:val="TableLeft"/>
              <w:rPr>
                <w:rFonts w:ascii="Arial Narrow" w:hAnsi="Arial Narrow"/>
                <w:b/>
                <w:bCs/>
                <w:sz w:val="20"/>
              </w:rPr>
            </w:pPr>
            <w:r w:rsidRPr="00FF3461">
              <w:rPr>
                <w:rFonts w:ascii="Arial Narrow" w:hAnsi="Arial Narrow"/>
                <w:b/>
                <w:bCs/>
                <w:sz w:val="20"/>
              </w:rPr>
              <w:t>Data</w:t>
            </w:r>
          </w:p>
        </w:tc>
        <w:tc>
          <w:tcPr>
            <w:tcW w:w="1012" w:type="pct"/>
            <w:shd w:val="clear" w:color="auto" w:fill="auto"/>
          </w:tcPr>
          <w:p w:rsidR="0077343F" w:rsidRPr="00FF3461" w:rsidRDefault="0077343F" w:rsidP="005602B1">
            <w:pPr>
              <w:pStyle w:val="TableLeft"/>
              <w:jc w:val="center"/>
              <w:rPr>
                <w:rFonts w:ascii="Arial Narrow" w:hAnsi="Arial Narrow"/>
                <w:b/>
                <w:bCs/>
                <w:sz w:val="20"/>
              </w:rPr>
            </w:pPr>
            <w:r w:rsidRPr="00FF3461">
              <w:rPr>
                <w:rFonts w:ascii="Arial Narrow" w:hAnsi="Arial Narrow"/>
                <w:b/>
                <w:bCs/>
                <w:sz w:val="20"/>
              </w:rPr>
              <w:t>Cost-</w:t>
            </w:r>
            <w:proofErr w:type="spellStart"/>
            <w:r w:rsidRPr="00FF3461">
              <w:rPr>
                <w:rFonts w:ascii="Arial Narrow" w:hAnsi="Arial Narrow"/>
                <w:b/>
                <w:bCs/>
                <w:sz w:val="20"/>
              </w:rPr>
              <w:t>minimised</w:t>
            </w:r>
            <w:proofErr w:type="spellEnd"/>
            <w:r w:rsidRPr="00FF3461">
              <w:rPr>
                <w:rFonts w:ascii="Arial Narrow" w:hAnsi="Arial Narrow"/>
                <w:b/>
                <w:bCs/>
                <w:sz w:val="20"/>
              </w:rPr>
              <w:t xml:space="preserve"> price</w:t>
            </w:r>
          </w:p>
        </w:tc>
        <w:tc>
          <w:tcPr>
            <w:tcW w:w="943" w:type="pct"/>
            <w:shd w:val="clear" w:color="auto" w:fill="auto"/>
          </w:tcPr>
          <w:p w:rsidR="0077343F" w:rsidRPr="00FF3461" w:rsidRDefault="0077343F" w:rsidP="005602B1">
            <w:pPr>
              <w:pStyle w:val="TableLeft"/>
              <w:jc w:val="center"/>
              <w:rPr>
                <w:rFonts w:ascii="Arial Narrow" w:hAnsi="Arial Narrow"/>
                <w:b/>
                <w:bCs/>
                <w:sz w:val="20"/>
              </w:rPr>
            </w:pPr>
            <w:r w:rsidRPr="00FF3461">
              <w:rPr>
                <w:rFonts w:ascii="Arial Narrow" w:hAnsi="Arial Narrow"/>
                <w:b/>
                <w:bCs/>
                <w:sz w:val="20"/>
              </w:rPr>
              <w:t>New patients in Year 1</w:t>
            </w:r>
          </w:p>
        </w:tc>
        <w:tc>
          <w:tcPr>
            <w:tcW w:w="639" w:type="pct"/>
            <w:shd w:val="clear" w:color="auto" w:fill="auto"/>
          </w:tcPr>
          <w:p w:rsidR="0077343F" w:rsidRPr="00FF3461" w:rsidRDefault="0077343F" w:rsidP="005602B1">
            <w:pPr>
              <w:pStyle w:val="TableLeft"/>
              <w:jc w:val="center"/>
              <w:rPr>
                <w:rFonts w:ascii="Arial Narrow" w:hAnsi="Arial Narrow"/>
                <w:b/>
                <w:bCs/>
                <w:sz w:val="20"/>
              </w:rPr>
            </w:pPr>
            <w:r w:rsidRPr="00FF3461">
              <w:rPr>
                <w:rFonts w:ascii="Arial Narrow" w:hAnsi="Arial Narrow"/>
                <w:b/>
                <w:bCs/>
                <w:sz w:val="20"/>
              </w:rPr>
              <w:t>Proportion patients</w:t>
            </w:r>
          </w:p>
        </w:tc>
        <w:tc>
          <w:tcPr>
            <w:tcW w:w="905" w:type="pct"/>
            <w:shd w:val="clear" w:color="auto" w:fill="auto"/>
          </w:tcPr>
          <w:p w:rsidR="0077343F" w:rsidRPr="00FF3461" w:rsidRDefault="0077343F" w:rsidP="005602B1">
            <w:pPr>
              <w:pStyle w:val="TableLeft"/>
              <w:jc w:val="center"/>
              <w:rPr>
                <w:rFonts w:ascii="Arial Narrow" w:hAnsi="Arial Narrow"/>
                <w:b/>
                <w:bCs/>
                <w:sz w:val="20"/>
              </w:rPr>
            </w:pPr>
            <w:r w:rsidRPr="00FF3461">
              <w:rPr>
                <w:rFonts w:ascii="Arial Narrow" w:hAnsi="Arial Narrow"/>
                <w:b/>
                <w:bCs/>
                <w:sz w:val="20"/>
              </w:rPr>
              <w:t>Weighted price</w:t>
            </w:r>
          </w:p>
        </w:tc>
      </w:tr>
      <w:tr w:rsidR="0077343F" w:rsidRPr="00FF6600" w:rsidTr="00A613AC">
        <w:tc>
          <w:tcPr>
            <w:tcW w:w="1501" w:type="pct"/>
          </w:tcPr>
          <w:p w:rsidR="0077343F" w:rsidRPr="00FF3461" w:rsidRDefault="0077343F" w:rsidP="005602B1">
            <w:pPr>
              <w:pStyle w:val="TableLeft"/>
              <w:rPr>
                <w:rFonts w:ascii="Arial Narrow" w:hAnsi="Arial Narrow"/>
                <w:sz w:val="20"/>
              </w:rPr>
            </w:pPr>
            <w:r w:rsidRPr="00FF3461">
              <w:rPr>
                <w:rFonts w:ascii="Arial Narrow" w:hAnsi="Arial Narrow"/>
                <w:sz w:val="20"/>
              </w:rPr>
              <w:t>Children (1-10 years)</w:t>
            </w:r>
          </w:p>
        </w:tc>
        <w:tc>
          <w:tcPr>
            <w:tcW w:w="1012"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$39.54</w:t>
            </w:r>
          </w:p>
        </w:tc>
        <w:tc>
          <w:tcPr>
            <w:tcW w:w="943"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79</w:t>
            </w:r>
          </w:p>
        </w:tc>
        <w:tc>
          <w:tcPr>
            <w:tcW w:w="639"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27.9%</w:t>
            </w:r>
          </w:p>
        </w:tc>
        <w:tc>
          <w:tcPr>
            <w:tcW w:w="905"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$11.04</w:t>
            </w:r>
          </w:p>
        </w:tc>
      </w:tr>
      <w:tr w:rsidR="0077343F" w:rsidRPr="00FF6600" w:rsidTr="00A613AC">
        <w:tc>
          <w:tcPr>
            <w:tcW w:w="1501" w:type="pct"/>
          </w:tcPr>
          <w:p w:rsidR="0077343F" w:rsidRPr="00FF3461" w:rsidRDefault="0077343F" w:rsidP="005602B1">
            <w:pPr>
              <w:pStyle w:val="TableLeft"/>
              <w:rPr>
                <w:rFonts w:ascii="Arial Narrow" w:hAnsi="Arial Narrow"/>
                <w:sz w:val="20"/>
              </w:rPr>
            </w:pPr>
            <w:r w:rsidRPr="00FF3461">
              <w:rPr>
                <w:rFonts w:ascii="Arial Narrow" w:hAnsi="Arial Narrow"/>
                <w:sz w:val="20"/>
              </w:rPr>
              <w:t>Young Adolescents (11-14 years)</w:t>
            </w:r>
          </w:p>
        </w:tc>
        <w:tc>
          <w:tcPr>
            <w:tcW w:w="1012"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$26.49</w:t>
            </w:r>
          </w:p>
        </w:tc>
        <w:tc>
          <w:tcPr>
            <w:tcW w:w="943"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51</w:t>
            </w:r>
          </w:p>
        </w:tc>
        <w:tc>
          <w:tcPr>
            <w:tcW w:w="639"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18.0%</w:t>
            </w:r>
          </w:p>
        </w:tc>
        <w:tc>
          <w:tcPr>
            <w:tcW w:w="905"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$4.77</w:t>
            </w:r>
          </w:p>
        </w:tc>
      </w:tr>
      <w:tr w:rsidR="0077343F" w:rsidRPr="00FF6600" w:rsidTr="00A613AC">
        <w:tc>
          <w:tcPr>
            <w:tcW w:w="1501" w:type="pct"/>
          </w:tcPr>
          <w:p w:rsidR="0077343F" w:rsidRPr="00FF3461" w:rsidRDefault="0077343F" w:rsidP="005602B1">
            <w:pPr>
              <w:pStyle w:val="TableLeft"/>
              <w:rPr>
                <w:rFonts w:ascii="Arial Narrow" w:hAnsi="Arial Narrow"/>
                <w:sz w:val="20"/>
              </w:rPr>
            </w:pPr>
            <w:r w:rsidRPr="00FF3461">
              <w:rPr>
                <w:rFonts w:ascii="Arial Narrow" w:hAnsi="Arial Narrow"/>
                <w:sz w:val="20"/>
              </w:rPr>
              <w:t>Older Adolescents and Adults</w:t>
            </w:r>
          </w:p>
        </w:tc>
        <w:tc>
          <w:tcPr>
            <w:tcW w:w="1012" w:type="pct"/>
          </w:tcPr>
          <w:p w:rsidR="0077343F" w:rsidRPr="00FF3461" w:rsidRDefault="0077343F" w:rsidP="005602B1">
            <w:pPr>
              <w:pStyle w:val="TableLeft"/>
              <w:jc w:val="center"/>
              <w:rPr>
                <w:rFonts w:ascii="Arial Narrow" w:hAnsi="Arial Narrow"/>
                <w:sz w:val="20"/>
                <w:highlight w:val="yellow"/>
              </w:rPr>
            </w:pPr>
            <w:r w:rsidRPr="00FF3461">
              <w:rPr>
                <w:rFonts w:ascii="Arial Narrow" w:hAnsi="Arial Narrow"/>
                <w:sz w:val="20"/>
              </w:rPr>
              <w:t>$26.49</w:t>
            </w:r>
          </w:p>
        </w:tc>
        <w:tc>
          <w:tcPr>
            <w:tcW w:w="943"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153</w:t>
            </w:r>
          </w:p>
        </w:tc>
        <w:tc>
          <w:tcPr>
            <w:tcW w:w="639"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54.1%</w:t>
            </w:r>
          </w:p>
        </w:tc>
        <w:tc>
          <w:tcPr>
            <w:tcW w:w="905" w:type="pct"/>
          </w:tcPr>
          <w:p w:rsidR="0077343F" w:rsidRPr="00FF3461" w:rsidRDefault="0077343F" w:rsidP="005602B1">
            <w:pPr>
              <w:pStyle w:val="TableLeft"/>
              <w:jc w:val="center"/>
              <w:rPr>
                <w:rFonts w:ascii="Arial Narrow" w:hAnsi="Arial Narrow"/>
                <w:sz w:val="20"/>
                <w:highlight w:val="yellow"/>
              </w:rPr>
            </w:pPr>
            <w:r w:rsidRPr="00FF3461">
              <w:rPr>
                <w:rFonts w:ascii="Arial Narrow" w:hAnsi="Arial Narrow"/>
                <w:sz w:val="20"/>
              </w:rPr>
              <w:t>$14.32</w:t>
            </w:r>
          </w:p>
        </w:tc>
      </w:tr>
      <w:tr w:rsidR="0077343F" w:rsidRPr="0073087B" w:rsidTr="00A613AC">
        <w:tc>
          <w:tcPr>
            <w:tcW w:w="1501" w:type="pct"/>
          </w:tcPr>
          <w:p w:rsidR="0077343F" w:rsidRPr="00FF3461" w:rsidRDefault="0077343F" w:rsidP="005602B1">
            <w:pPr>
              <w:pStyle w:val="TableLeft"/>
              <w:rPr>
                <w:rFonts w:ascii="Arial Narrow" w:hAnsi="Arial Narrow"/>
                <w:sz w:val="20"/>
              </w:rPr>
            </w:pPr>
            <w:r w:rsidRPr="00FF3461">
              <w:rPr>
                <w:rFonts w:ascii="Arial Narrow" w:hAnsi="Arial Narrow"/>
                <w:sz w:val="20"/>
              </w:rPr>
              <w:t>Total</w:t>
            </w:r>
          </w:p>
        </w:tc>
        <w:tc>
          <w:tcPr>
            <w:tcW w:w="1012"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w:t>
            </w:r>
          </w:p>
        </w:tc>
        <w:tc>
          <w:tcPr>
            <w:tcW w:w="943"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283</w:t>
            </w:r>
          </w:p>
        </w:tc>
        <w:tc>
          <w:tcPr>
            <w:tcW w:w="639" w:type="pct"/>
          </w:tcPr>
          <w:p w:rsidR="0077343F" w:rsidRPr="00FF3461" w:rsidRDefault="0077343F" w:rsidP="005602B1">
            <w:pPr>
              <w:pStyle w:val="TableLeft"/>
              <w:jc w:val="center"/>
              <w:rPr>
                <w:rFonts w:ascii="Arial Narrow" w:hAnsi="Arial Narrow"/>
                <w:sz w:val="20"/>
              </w:rPr>
            </w:pPr>
            <w:r w:rsidRPr="00FF3461">
              <w:rPr>
                <w:rFonts w:ascii="Arial Narrow" w:hAnsi="Arial Narrow"/>
                <w:sz w:val="20"/>
              </w:rPr>
              <w:t>100.0%</w:t>
            </w:r>
          </w:p>
        </w:tc>
        <w:tc>
          <w:tcPr>
            <w:tcW w:w="905" w:type="pct"/>
          </w:tcPr>
          <w:p w:rsidR="0077343F" w:rsidRPr="00FF3461" w:rsidRDefault="0077343F" w:rsidP="005602B1">
            <w:pPr>
              <w:pStyle w:val="TableLeft"/>
              <w:jc w:val="center"/>
              <w:rPr>
                <w:rFonts w:ascii="Arial Narrow" w:hAnsi="Arial Narrow"/>
                <w:b/>
                <w:bCs/>
                <w:sz w:val="20"/>
                <w:highlight w:val="yellow"/>
              </w:rPr>
            </w:pPr>
            <w:r w:rsidRPr="00FF3461">
              <w:rPr>
                <w:rFonts w:ascii="Arial Narrow" w:hAnsi="Arial Narrow"/>
                <w:b/>
                <w:bCs/>
                <w:sz w:val="20"/>
              </w:rPr>
              <w:t>$30.13</w:t>
            </w:r>
          </w:p>
        </w:tc>
      </w:tr>
    </w:tbl>
    <w:p w:rsidR="00BC7961" w:rsidRPr="00FF3461" w:rsidRDefault="003F4732" w:rsidP="00E910A6">
      <w:pPr>
        <w:pStyle w:val="ListParagraph"/>
        <w:widowControl/>
        <w:spacing w:after="120"/>
        <w:ind w:left="0" w:hanging="11"/>
        <w:contextualSpacing w:val="0"/>
        <w:rPr>
          <w:rFonts w:ascii="Arial Narrow" w:eastAsiaTheme="majorEastAsia" w:hAnsi="Arial Narrow"/>
          <w:sz w:val="18"/>
        </w:rPr>
      </w:pPr>
      <w:r w:rsidRPr="00FF3461">
        <w:rPr>
          <w:rFonts w:ascii="Arial Narrow" w:eastAsiaTheme="majorEastAsia" w:hAnsi="Arial Narrow"/>
          <w:sz w:val="18"/>
        </w:rPr>
        <w:t>Source:</w:t>
      </w:r>
      <w:r w:rsidR="00761568" w:rsidRPr="00FF3461">
        <w:rPr>
          <w:rFonts w:ascii="Arial Narrow" w:eastAsiaTheme="majorEastAsia" w:hAnsi="Arial Narrow"/>
          <w:sz w:val="18"/>
        </w:rPr>
        <w:t xml:space="preserve"> </w:t>
      </w:r>
      <w:r w:rsidR="003A3034" w:rsidRPr="00FF3461">
        <w:rPr>
          <w:rFonts w:ascii="Arial Narrow" w:eastAsiaTheme="majorEastAsia" w:hAnsi="Arial Narrow"/>
          <w:sz w:val="18"/>
        </w:rPr>
        <w:t xml:space="preserve">Table 3.5, </w:t>
      </w:r>
      <w:r w:rsidR="000D1562" w:rsidRPr="00FF3461">
        <w:rPr>
          <w:rFonts w:ascii="Arial Narrow" w:eastAsiaTheme="majorEastAsia" w:hAnsi="Arial Narrow"/>
          <w:sz w:val="18"/>
        </w:rPr>
        <w:t>pg.</w:t>
      </w:r>
      <w:r w:rsidR="003A3034" w:rsidRPr="00FF3461">
        <w:rPr>
          <w:rFonts w:ascii="Arial Narrow" w:eastAsiaTheme="majorEastAsia" w:hAnsi="Arial Narrow"/>
          <w:sz w:val="18"/>
        </w:rPr>
        <w:t xml:space="preserve"> 46 of the submission</w:t>
      </w:r>
    </w:p>
    <w:p w:rsidR="003A3034" w:rsidRPr="009B594B" w:rsidRDefault="009B594B" w:rsidP="00251D81">
      <w:pPr>
        <w:spacing w:after="120"/>
        <w:rPr>
          <w:rFonts w:asciiTheme="minorHAnsi" w:hAnsiTheme="minorHAnsi"/>
          <w:b/>
          <w:i/>
        </w:rPr>
      </w:pPr>
      <w:r>
        <w:rPr>
          <w:rFonts w:asciiTheme="minorHAnsi" w:hAnsiTheme="minorHAnsi"/>
          <w:b/>
          <w:i/>
        </w:rPr>
        <w:t>NPWP advice on the economic analysis</w:t>
      </w:r>
    </w:p>
    <w:p w:rsidR="00334386" w:rsidRPr="00B575D1" w:rsidRDefault="00BC7961" w:rsidP="00B575D1">
      <w:pPr>
        <w:pStyle w:val="3Bodytext"/>
      </w:pPr>
      <w:r w:rsidRPr="00B575D1">
        <w:t>As it considered the nominated comparators were inappropriate, the NPWP considered the cost minimisation analysis was of limited value</w:t>
      </w:r>
      <w:r w:rsidR="00383D21">
        <w:t xml:space="preserve">. The NPWP </w:t>
      </w:r>
      <w:r w:rsidRPr="00B575D1">
        <w:t xml:space="preserve">noted the comparators it considered </w:t>
      </w:r>
      <w:r w:rsidR="00383D21">
        <w:t xml:space="preserve">were </w:t>
      </w:r>
      <w:r w:rsidRPr="00B575D1">
        <w:t xml:space="preserve">appropriate </w:t>
      </w:r>
      <w:r w:rsidR="00383D21">
        <w:t xml:space="preserve">for </w:t>
      </w:r>
      <w:r w:rsidRPr="00B575D1">
        <w:t xml:space="preserve">the paediatric and adult populations were likely to be substantially less costly over a course of treatment than the requested price of </w:t>
      </w:r>
      <w:proofErr w:type="spellStart"/>
      <w:r w:rsidRPr="00B575D1">
        <w:t>Modulen</w:t>
      </w:r>
      <w:proofErr w:type="spellEnd"/>
      <w:r w:rsidRPr="00B575D1">
        <w:t xml:space="preserve"> IBD. </w:t>
      </w:r>
      <w:r w:rsidR="00F438F2">
        <w:t xml:space="preserve">The Pre-PBAC Response indicated </w:t>
      </w:r>
      <w:r w:rsidR="003B0458">
        <w:t xml:space="preserve">willingness </w:t>
      </w:r>
      <w:r w:rsidR="00F438F2">
        <w:t>to consider listing on a cost minimisation basis with mutually agreeable and appropriate comparators.</w:t>
      </w:r>
    </w:p>
    <w:p w:rsidR="0012594F" w:rsidRPr="008D1EF6" w:rsidRDefault="00334386" w:rsidP="006C6C3D">
      <w:pPr>
        <w:pStyle w:val="Heading2"/>
        <w:keepLines/>
        <w:spacing w:before="240" w:after="120"/>
        <w:rPr>
          <w:rFonts w:asciiTheme="minorHAnsi" w:eastAsiaTheme="majorEastAsia" w:hAnsiTheme="minorHAnsi" w:cstheme="majorBidi"/>
          <w:sz w:val="28"/>
          <w:szCs w:val="28"/>
        </w:rPr>
      </w:pPr>
      <w:r w:rsidRPr="008D1EF6">
        <w:rPr>
          <w:rFonts w:asciiTheme="minorHAnsi" w:eastAsiaTheme="majorEastAsia" w:hAnsiTheme="minorHAnsi" w:cstheme="majorBidi"/>
          <w:sz w:val="28"/>
          <w:szCs w:val="28"/>
          <w:lang w:eastAsia="en-US"/>
        </w:rPr>
        <w:t>Drug cost/patient/course: $</w:t>
      </w:r>
      <w:r w:rsidR="0012594F" w:rsidRPr="008D1EF6">
        <w:rPr>
          <w:rFonts w:asciiTheme="minorHAnsi" w:eastAsiaTheme="majorEastAsia" w:hAnsiTheme="minorHAnsi" w:cstheme="majorBidi"/>
          <w:sz w:val="28"/>
          <w:szCs w:val="28"/>
          <w:lang w:eastAsia="en-US"/>
        </w:rPr>
        <w:t>2,037.95 (paediatric); $2,445.54 (adolescent/adult)</w:t>
      </w:r>
      <w:r w:rsidRPr="008D1EF6">
        <w:rPr>
          <w:rFonts w:asciiTheme="minorHAnsi" w:eastAsiaTheme="majorEastAsia" w:hAnsiTheme="minorHAnsi" w:cstheme="majorBidi"/>
          <w:sz w:val="28"/>
          <w:szCs w:val="28"/>
          <w:lang w:eastAsia="en-US"/>
        </w:rPr>
        <w:t xml:space="preserve">. </w:t>
      </w:r>
    </w:p>
    <w:p w:rsidR="00332F3C" w:rsidRPr="006153DC" w:rsidRDefault="00334386" w:rsidP="007864A4">
      <w:pPr>
        <w:pStyle w:val="3Bodytext"/>
        <w:rPr>
          <w:rFonts w:eastAsiaTheme="majorEastAsia"/>
        </w:rPr>
      </w:pPr>
      <w:r w:rsidRPr="008D1EF6">
        <w:t xml:space="preserve">The submission defined a course of treatment based on a daily energy intake of 1,903 kcal for paediatric patients (0.95 packs/day) and 2,486 kcal/day for adolescent/adult patients (1.24 </w:t>
      </w:r>
      <w:r w:rsidR="006D1C07" w:rsidRPr="008D1EF6">
        <w:t>cans</w:t>
      </w:r>
      <w:r w:rsidRPr="008D1EF6">
        <w:t>/day). The submission define</w:t>
      </w:r>
      <w:r w:rsidR="008D1EF6" w:rsidRPr="008D1EF6">
        <w:t>d</w:t>
      </w:r>
      <w:r w:rsidRPr="008D1EF6">
        <w:t xml:space="preserve"> an 8-week course of </w:t>
      </w:r>
      <w:proofErr w:type="spellStart"/>
      <w:r w:rsidRPr="008D1EF6">
        <w:t>Modulen</w:t>
      </w:r>
      <w:proofErr w:type="spellEnd"/>
      <w:r w:rsidRPr="008D1EF6">
        <w:t xml:space="preserve"> IBD as EEN as 52.97 </w:t>
      </w:r>
      <w:r w:rsidR="006D1C07" w:rsidRPr="008D1EF6">
        <w:t>cans</w:t>
      </w:r>
      <w:r w:rsidRPr="008D1EF6">
        <w:t xml:space="preserve"> for paediatric patients and 69.19 </w:t>
      </w:r>
      <w:r w:rsidR="006D1C07" w:rsidRPr="008D1EF6">
        <w:t>cans</w:t>
      </w:r>
      <w:r w:rsidRPr="008D1EF6">
        <w:t xml:space="preserve"> for adolescents and adults. Based on the requested maximum quantity </w:t>
      </w:r>
      <w:r w:rsidR="008D1EF6" w:rsidRPr="008D1EF6">
        <w:t>of 12</w:t>
      </w:r>
      <w:r w:rsidR="0012594F" w:rsidRPr="008D1EF6">
        <w:t xml:space="preserve"> </w:t>
      </w:r>
      <w:r w:rsidR="006D1C07" w:rsidRPr="008D1EF6">
        <w:t>cans</w:t>
      </w:r>
      <w:r w:rsidR="0012594F" w:rsidRPr="008D1EF6">
        <w:t xml:space="preserve"> per </w:t>
      </w:r>
      <w:bookmarkStart w:id="1" w:name="_GoBack"/>
      <w:bookmarkEnd w:id="1"/>
      <w:r w:rsidR="0012594F" w:rsidRPr="008D1EF6">
        <w:t xml:space="preserve">prescription, it was assumed paediatric patients would require </w:t>
      </w:r>
      <w:proofErr w:type="gramStart"/>
      <w:r w:rsidR="0012594F" w:rsidRPr="008D1EF6">
        <w:t>5</w:t>
      </w:r>
      <w:proofErr w:type="gramEnd"/>
      <w:r w:rsidR="0012594F" w:rsidRPr="008D1EF6">
        <w:t xml:space="preserve"> </w:t>
      </w:r>
      <w:r w:rsidR="00A613AC">
        <w:t>dispensing</w:t>
      </w:r>
      <w:r w:rsidR="00A613AC" w:rsidRPr="008D1EF6">
        <w:t>’s</w:t>
      </w:r>
      <w:r w:rsidR="0012594F" w:rsidRPr="008D1EF6">
        <w:t xml:space="preserve"> and </w:t>
      </w:r>
      <w:r w:rsidR="0012594F" w:rsidRPr="008D1EF6">
        <w:lastRenderedPageBreak/>
        <w:t>adolescent</w:t>
      </w:r>
      <w:r w:rsidR="003903DA">
        <w:t>/</w:t>
      </w:r>
      <w:r w:rsidR="0012594F" w:rsidRPr="008D1EF6">
        <w:t xml:space="preserve">adult patients would require 6 </w:t>
      </w:r>
      <w:r w:rsidR="00A613AC">
        <w:t>dispensing</w:t>
      </w:r>
      <w:r w:rsidR="00A613AC" w:rsidRPr="008D1EF6">
        <w:t>’s</w:t>
      </w:r>
      <w:r w:rsidR="003903DA">
        <w:t xml:space="preserve"> for a</w:t>
      </w:r>
      <w:r w:rsidR="00E801CF">
        <w:t>n</w:t>
      </w:r>
      <w:r w:rsidR="003903DA">
        <w:t xml:space="preserve"> 8-week course of treatment</w:t>
      </w:r>
      <w:r w:rsidR="0012594F" w:rsidRPr="008D1EF6">
        <w:t xml:space="preserve"> at the requested DPMQ of $407.59.</w:t>
      </w:r>
    </w:p>
    <w:p w:rsidR="00214269" w:rsidRPr="008D1EF6" w:rsidRDefault="00FC3647" w:rsidP="008D1EF6">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363B41" w:rsidRPr="00993AE5" w:rsidRDefault="00214269" w:rsidP="00363B41">
      <w:pPr>
        <w:pStyle w:val="3Bodytext"/>
      </w:pPr>
      <w:r w:rsidRPr="00E96633">
        <w:t>The submission used a</w:t>
      </w:r>
      <w:r w:rsidR="002C6C9D" w:rsidRPr="00E96633">
        <w:t xml:space="preserve">n epidemiological approach to estimate the extent of use of </w:t>
      </w:r>
      <w:proofErr w:type="spellStart"/>
      <w:r w:rsidRPr="00E96633">
        <w:t>Modulen</w:t>
      </w:r>
      <w:proofErr w:type="spellEnd"/>
      <w:r w:rsidR="002C6C9D" w:rsidRPr="00E96633">
        <w:t xml:space="preserve"> IBD under the proposed listing. </w:t>
      </w:r>
      <w:r w:rsidR="00363B41">
        <w:t>The submission assumed an incidence rate of 5.0 cases per 100,000 population in children aged 5-14</w:t>
      </w:r>
      <w:r w:rsidR="00993AE5">
        <w:t xml:space="preserve"> and 14.61 per 100,000 population in patients aged 15 and over, and a</w:t>
      </w:r>
      <w:r w:rsidR="00422750">
        <w:t xml:space="preserve">n </w:t>
      </w:r>
      <w:r w:rsidR="00993AE5">
        <w:t xml:space="preserve">assumption </w:t>
      </w:r>
      <w:r w:rsidR="00422750">
        <w:t xml:space="preserve">that </w:t>
      </w:r>
      <w:r w:rsidR="00993AE5">
        <w:t xml:space="preserve">50% of paediatric patients and 25% of adult patients </w:t>
      </w:r>
      <w:proofErr w:type="gramStart"/>
      <w:r w:rsidR="00422750">
        <w:t xml:space="preserve">would be </w:t>
      </w:r>
      <w:r w:rsidR="00993AE5">
        <w:t>re-treated</w:t>
      </w:r>
      <w:proofErr w:type="gramEnd"/>
      <w:r w:rsidR="00993AE5">
        <w:t xml:space="preserve"> in the following year of estimates. The submission assumed no replacement of</w:t>
      </w:r>
      <w:r w:rsidR="00090BC0">
        <w:t xml:space="preserve"> </w:t>
      </w:r>
      <w:r w:rsidR="00993AE5">
        <w:t>PBS-subsidised pharmacotherapies</w:t>
      </w:r>
      <w:r w:rsidR="00090BC0">
        <w:t xml:space="preserve"> or </w:t>
      </w:r>
      <w:proofErr w:type="spellStart"/>
      <w:r w:rsidR="00090BC0">
        <w:t>Peptamen</w:t>
      </w:r>
      <w:proofErr w:type="spellEnd"/>
      <w:r w:rsidR="00090BC0">
        <w:t xml:space="preserve"> Junior, as it </w:t>
      </w:r>
      <w:proofErr w:type="gramStart"/>
      <w:r w:rsidR="00090BC0">
        <w:t>is only listed</w:t>
      </w:r>
      <w:proofErr w:type="gramEnd"/>
      <w:r w:rsidR="00090BC0">
        <w:t xml:space="preserve"> for patients with fat malabsorption within CD. </w:t>
      </w:r>
      <w:r w:rsidR="00992F47">
        <w:t>The submission assumed 80% uptake in paediatric and adolescent populations</w:t>
      </w:r>
      <w:r w:rsidR="00ED283F">
        <w:t xml:space="preserve">. The submission assumed utilisation based on dietary requirements outlined in paragraph 5.9 above, and included adjustments for assumed use as PEN. A PEN course was defined as 12 weeks of treatment at 37.5% of the EEN requirements, with </w:t>
      </w:r>
      <w:r w:rsidR="00F01E17">
        <w:t xml:space="preserve">PEN assumed to be used for prevalent and re-treatment patients only (i.e. 50% paediatric/25% adults based the usage rate in the preceding year). </w:t>
      </w:r>
      <w:r w:rsidR="00993AE5" w:rsidRPr="00F438F2">
        <w:t xml:space="preserve">The sources and assumptions in the utilisation and financial estimates </w:t>
      </w:r>
      <w:r w:rsidR="003B0458">
        <w:t xml:space="preserve">were </w:t>
      </w:r>
      <w:proofErr w:type="gramStart"/>
      <w:r w:rsidR="003B0458">
        <w:t>not</w:t>
      </w:r>
      <w:r w:rsidR="00993AE5" w:rsidRPr="00F438F2">
        <w:t xml:space="preserve"> independently</w:t>
      </w:r>
      <w:proofErr w:type="gramEnd"/>
      <w:r w:rsidR="00993AE5" w:rsidRPr="00F438F2">
        <w:t xml:space="preserve"> evaluated.</w:t>
      </w:r>
    </w:p>
    <w:p w:rsidR="008C1F43" w:rsidRPr="005F5DDF" w:rsidRDefault="006B5B86" w:rsidP="005F5DDF">
      <w:pPr>
        <w:pStyle w:val="3Bodytext"/>
      </w:pPr>
      <w:r>
        <w:t>The submission u</w:t>
      </w:r>
      <w:r w:rsidR="00993AE5">
        <w:t xml:space="preserve">tilisation and financial estimates </w:t>
      </w:r>
      <w:proofErr w:type="gramStart"/>
      <w:r w:rsidR="00993AE5">
        <w:t>are presented</w:t>
      </w:r>
      <w:proofErr w:type="gramEnd"/>
      <w:r w:rsidR="00993AE5">
        <w:t xml:space="preserve"> in the table below.</w:t>
      </w:r>
      <w:r w:rsidR="00A9382A">
        <w:t xml:space="preserve"> </w:t>
      </w:r>
      <w:r w:rsidR="00A9382A" w:rsidRPr="005F5DDF">
        <w:t>Totals include both incident</w:t>
      </w:r>
      <w:r w:rsidR="00EE1B9A" w:rsidRPr="005F5DDF">
        <w:t xml:space="preserve"> (assumed treated as EEN)</w:t>
      </w:r>
      <w:r w:rsidR="00A9382A" w:rsidRPr="005F5DDF">
        <w:t xml:space="preserve"> and prevalent</w:t>
      </w:r>
      <w:r w:rsidR="00EE1B9A" w:rsidRPr="005F5DDF">
        <w:t xml:space="preserve"> (assumed treated as PEN)</w:t>
      </w:r>
      <w:r w:rsidR="00A9382A" w:rsidRPr="005F5DDF">
        <w:t xml:space="preserve"> patients.</w:t>
      </w:r>
    </w:p>
    <w:p w:rsidR="005F5DDF" w:rsidRDefault="005F5DDF" w:rsidP="00993AE5">
      <w:pPr>
        <w:rPr>
          <w:rStyle w:val="CommentReference"/>
          <w:rFonts w:ascii="Arial Narrow" w:hAnsi="Arial Narrow"/>
          <w:b/>
          <w:sz w:val="20"/>
          <w:szCs w:val="20"/>
        </w:rPr>
      </w:pPr>
    </w:p>
    <w:p w:rsidR="005F5DDF" w:rsidRDefault="005F5DDF">
      <w:pPr>
        <w:rPr>
          <w:rFonts w:ascii="Arial Narrow" w:hAnsi="Arial Narrow"/>
          <w:b/>
          <w:sz w:val="20"/>
          <w:szCs w:val="22"/>
        </w:rPr>
      </w:pPr>
      <w:r>
        <w:br w:type="page"/>
      </w:r>
    </w:p>
    <w:p w:rsidR="00ED283F" w:rsidRDefault="00ED283F" w:rsidP="00ED283F">
      <w:pPr>
        <w:pStyle w:val="Caption"/>
        <w:keepNext/>
      </w:pPr>
      <w:r>
        <w:lastRenderedPageBreak/>
        <w:t xml:space="preserve">Table </w:t>
      </w:r>
      <w:r w:rsidR="00097684">
        <w:rPr>
          <w:noProof/>
        </w:rPr>
        <w:t>4</w:t>
      </w:r>
      <w:r>
        <w:t xml:space="preserve">: </w:t>
      </w:r>
      <w:r w:rsidRPr="00FA6EE7">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1"/>
        <w:gridCol w:w="1031"/>
        <w:gridCol w:w="1157"/>
        <w:gridCol w:w="1157"/>
        <w:gridCol w:w="1157"/>
        <w:gridCol w:w="1157"/>
        <w:gridCol w:w="1158"/>
      </w:tblGrid>
      <w:tr w:rsidR="00993AE5" w:rsidRPr="001B3FFE" w:rsidTr="00992F47">
        <w:trPr>
          <w:tblHeader/>
        </w:trPr>
        <w:tc>
          <w:tcPr>
            <w:tcW w:w="1187" w:type="pct"/>
            <w:shd w:val="clear" w:color="auto" w:fill="auto"/>
            <w:vAlign w:val="center"/>
          </w:tcPr>
          <w:p w:rsidR="00993AE5" w:rsidRPr="006B5B86" w:rsidRDefault="00993AE5" w:rsidP="006D1C07">
            <w:pPr>
              <w:pStyle w:val="Tabletext"/>
              <w:spacing w:after="0"/>
              <w:rPr>
                <w:rFonts w:ascii="Arial Narrow" w:hAnsi="Arial Narrow"/>
              </w:rPr>
            </w:pPr>
          </w:p>
        </w:tc>
        <w:tc>
          <w:tcPr>
            <w:tcW w:w="577" w:type="pct"/>
            <w:shd w:val="clear" w:color="auto" w:fill="auto"/>
            <w:vAlign w:val="center"/>
          </w:tcPr>
          <w:p w:rsidR="00993AE5" w:rsidRPr="008E3464" w:rsidRDefault="00993AE5" w:rsidP="006D1C07">
            <w:pPr>
              <w:pStyle w:val="Tabletext"/>
              <w:spacing w:after="0"/>
              <w:jc w:val="center"/>
              <w:rPr>
                <w:rFonts w:ascii="Arial Narrow" w:hAnsi="Arial Narrow"/>
                <w:b/>
              </w:rPr>
            </w:pPr>
            <w:r w:rsidRPr="008E3464">
              <w:rPr>
                <w:rFonts w:ascii="Arial Narrow" w:hAnsi="Arial Narrow"/>
                <w:b/>
              </w:rPr>
              <w:t>Year 1</w:t>
            </w:r>
          </w:p>
        </w:tc>
        <w:tc>
          <w:tcPr>
            <w:tcW w:w="647" w:type="pct"/>
            <w:shd w:val="clear" w:color="auto" w:fill="auto"/>
            <w:vAlign w:val="center"/>
          </w:tcPr>
          <w:p w:rsidR="00993AE5" w:rsidRPr="008E3464" w:rsidRDefault="00993AE5" w:rsidP="006D1C07">
            <w:pPr>
              <w:pStyle w:val="Tabletext"/>
              <w:spacing w:after="0"/>
              <w:jc w:val="center"/>
              <w:rPr>
                <w:rFonts w:ascii="Arial Narrow" w:hAnsi="Arial Narrow"/>
                <w:b/>
              </w:rPr>
            </w:pPr>
            <w:r w:rsidRPr="008E3464">
              <w:rPr>
                <w:rFonts w:ascii="Arial Narrow" w:hAnsi="Arial Narrow"/>
                <w:b/>
              </w:rPr>
              <w:t>Year 2</w:t>
            </w:r>
          </w:p>
        </w:tc>
        <w:tc>
          <w:tcPr>
            <w:tcW w:w="647" w:type="pct"/>
            <w:shd w:val="clear" w:color="auto" w:fill="auto"/>
            <w:vAlign w:val="center"/>
          </w:tcPr>
          <w:p w:rsidR="00993AE5" w:rsidRPr="0012594F" w:rsidRDefault="00993AE5" w:rsidP="006D1C07">
            <w:pPr>
              <w:pStyle w:val="Tabletext"/>
              <w:spacing w:after="0"/>
              <w:jc w:val="center"/>
              <w:rPr>
                <w:rFonts w:ascii="Arial Narrow" w:hAnsi="Arial Narrow"/>
                <w:b/>
              </w:rPr>
            </w:pPr>
            <w:r w:rsidRPr="0012594F">
              <w:rPr>
                <w:rFonts w:ascii="Arial Narrow" w:hAnsi="Arial Narrow"/>
                <w:b/>
              </w:rPr>
              <w:t>Year 3</w:t>
            </w:r>
          </w:p>
        </w:tc>
        <w:tc>
          <w:tcPr>
            <w:tcW w:w="647" w:type="pct"/>
            <w:shd w:val="clear" w:color="auto" w:fill="auto"/>
            <w:vAlign w:val="center"/>
          </w:tcPr>
          <w:p w:rsidR="00993AE5" w:rsidRPr="00B575D1" w:rsidRDefault="00993AE5" w:rsidP="006D1C07">
            <w:pPr>
              <w:pStyle w:val="Tabletext"/>
              <w:spacing w:after="0"/>
              <w:jc w:val="center"/>
              <w:rPr>
                <w:rFonts w:ascii="Arial Narrow" w:hAnsi="Arial Narrow"/>
                <w:b/>
              </w:rPr>
            </w:pPr>
            <w:r w:rsidRPr="00B575D1">
              <w:rPr>
                <w:rFonts w:ascii="Arial Narrow" w:hAnsi="Arial Narrow"/>
                <w:b/>
              </w:rPr>
              <w:t>Year 4</w:t>
            </w:r>
          </w:p>
        </w:tc>
        <w:tc>
          <w:tcPr>
            <w:tcW w:w="647" w:type="pct"/>
            <w:shd w:val="clear" w:color="auto" w:fill="auto"/>
            <w:vAlign w:val="center"/>
          </w:tcPr>
          <w:p w:rsidR="00993AE5" w:rsidRPr="006B5B86" w:rsidRDefault="00993AE5" w:rsidP="006D1C07">
            <w:pPr>
              <w:pStyle w:val="Tabletext"/>
              <w:spacing w:after="0"/>
              <w:jc w:val="center"/>
              <w:rPr>
                <w:rFonts w:ascii="Arial Narrow" w:hAnsi="Arial Narrow"/>
                <w:b/>
              </w:rPr>
            </w:pPr>
            <w:r w:rsidRPr="006B5B86">
              <w:rPr>
                <w:rFonts w:ascii="Arial Narrow" w:hAnsi="Arial Narrow"/>
                <w:b/>
              </w:rPr>
              <w:t>Year 5</w:t>
            </w:r>
          </w:p>
        </w:tc>
        <w:tc>
          <w:tcPr>
            <w:tcW w:w="648" w:type="pct"/>
          </w:tcPr>
          <w:p w:rsidR="00993AE5" w:rsidRPr="006B5B86" w:rsidRDefault="00993AE5" w:rsidP="006D1C07">
            <w:pPr>
              <w:pStyle w:val="Tabletext"/>
              <w:spacing w:after="0"/>
              <w:jc w:val="center"/>
              <w:rPr>
                <w:rFonts w:ascii="Arial Narrow" w:hAnsi="Arial Narrow"/>
                <w:b/>
              </w:rPr>
            </w:pPr>
            <w:r w:rsidRPr="006B5B86">
              <w:rPr>
                <w:rFonts w:ascii="Arial Narrow" w:hAnsi="Arial Narrow"/>
                <w:b/>
              </w:rPr>
              <w:t>Year 6</w:t>
            </w:r>
          </w:p>
        </w:tc>
      </w:tr>
      <w:tr w:rsidR="00992F47" w:rsidRPr="0012594F" w:rsidTr="00992F47">
        <w:tc>
          <w:tcPr>
            <w:tcW w:w="5000" w:type="pct"/>
            <w:gridSpan w:val="7"/>
            <w:shd w:val="clear" w:color="auto" w:fill="auto"/>
            <w:vAlign w:val="center"/>
          </w:tcPr>
          <w:p w:rsidR="00992F47" w:rsidRPr="0012594F" w:rsidRDefault="00992F47" w:rsidP="00992F47">
            <w:pPr>
              <w:pStyle w:val="Tabletext"/>
              <w:spacing w:after="0"/>
              <w:rPr>
                <w:rFonts w:ascii="Arial Narrow" w:hAnsi="Arial Narrow"/>
                <w:bCs/>
                <w:color w:val="000000"/>
              </w:rPr>
            </w:pPr>
            <w:r>
              <w:rPr>
                <w:rFonts w:ascii="Arial Narrow" w:hAnsi="Arial Narrow"/>
                <w:b/>
                <w:bCs/>
                <w:color w:val="000000"/>
              </w:rPr>
              <w:t>Eligible population estimates and uptake</w:t>
            </w:r>
          </w:p>
        </w:tc>
      </w:tr>
      <w:tr w:rsidR="00992F47" w:rsidRPr="0012594F" w:rsidTr="007303E3">
        <w:tc>
          <w:tcPr>
            <w:tcW w:w="1187" w:type="pct"/>
            <w:shd w:val="clear" w:color="auto" w:fill="auto"/>
            <w:vAlign w:val="center"/>
          </w:tcPr>
          <w:p w:rsidR="00992F47" w:rsidRPr="006B5B86" w:rsidRDefault="00992F47" w:rsidP="007303E3">
            <w:pPr>
              <w:pStyle w:val="Tabletext"/>
              <w:spacing w:after="0"/>
              <w:rPr>
                <w:rFonts w:ascii="Arial Narrow" w:hAnsi="Arial Narrow"/>
              </w:rPr>
            </w:pPr>
            <w:r>
              <w:rPr>
                <w:rFonts w:ascii="Arial Narrow" w:hAnsi="Arial Narrow"/>
              </w:rPr>
              <w:t>Eligible paediatric patients</w:t>
            </w:r>
          </w:p>
        </w:tc>
        <w:tc>
          <w:tcPr>
            <w:tcW w:w="57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8" w:type="pct"/>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992F47" w:rsidRPr="0012594F" w:rsidTr="007303E3">
        <w:tc>
          <w:tcPr>
            <w:tcW w:w="1187" w:type="pct"/>
            <w:shd w:val="clear" w:color="auto" w:fill="auto"/>
            <w:vAlign w:val="center"/>
          </w:tcPr>
          <w:p w:rsidR="00992F47" w:rsidRDefault="00992F47" w:rsidP="007303E3">
            <w:pPr>
              <w:pStyle w:val="Tabletext"/>
              <w:spacing w:after="0"/>
              <w:rPr>
                <w:rFonts w:ascii="Arial Narrow" w:hAnsi="Arial Narrow"/>
              </w:rPr>
            </w:pPr>
            <w:r>
              <w:rPr>
                <w:rFonts w:ascii="Arial Narrow" w:hAnsi="Arial Narrow"/>
              </w:rPr>
              <w:t>Eligible adolescent patients</w:t>
            </w:r>
          </w:p>
        </w:tc>
        <w:tc>
          <w:tcPr>
            <w:tcW w:w="57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8" w:type="pct"/>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992F47" w:rsidRPr="0012594F" w:rsidTr="007303E3">
        <w:tc>
          <w:tcPr>
            <w:tcW w:w="1187" w:type="pct"/>
            <w:shd w:val="clear" w:color="auto" w:fill="auto"/>
            <w:vAlign w:val="center"/>
          </w:tcPr>
          <w:p w:rsidR="00992F47" w:rsidRDefault="00992F47" w:rsidP="007303E3">
            <w:pPr>
              <w:pStyle w:val="Tabletext"/>
              <w:spacing w:after="0"/>
              <w:rPr>
                <w:rFonts w:ascii="Arial Narrow" w:hAnsi="Arial Narrow"/>
              </w:rPr>
            </w:pPr>
            <w:r>
              <w:rPr>
                <w:rFonts w:ascii="Arial Narrow" w:hAnsi="Arial Narrow"/>
              </w:rPr>
              <w:t>Uptake rate</w:t>
            </w:r>
          </w:p>
        </w:tc>
        <w:tc>
          <w:tcPr>
            <w:tcW w:w="577" w:type="pct"/>
            <w:shd w:val="clear" w:color="auto" w:fill="auto"/>
            <w:vAlign w:val="center"/>
          </w:tcPr>
          <w:p w:rsidR="00992F47" w:rsidRPr="006B5B86" w:rsidRDefault="00992F47" w:rsidP="007303E3">
            <w:pPr>
              <w:pStyle w:val="Tabletext"/>
              <w:spacing w:after="0"/>
              <w:jc w:val="center"/>
              <w:rPr>
                <w:rFonts w:ascii="Arial Narrow" w:hAnsi="Arial Narrow"/>
                <w:bCs/>
                <w:color w:val="000000"/>
              </w:rPr>
            </w:pPr>
            <w:r>
              <w:rPr>
                <w:rFonts w:ascii="Arial Narrow" w:hAnsi="Arial Narrow"/>
                <w:bCs/>
                <w:color w:val="000000"/>
              </w:rPr>
              <w:t>80%</w:t>
            </w:r>
          </w:p>
        </w:tc>
        <w:tc>
          <w:tcPr>
            <w:tcW w:w="647" w:type="pct"/>
            <w:shd w:val="clear" w:color="auto" w:fill="auto"/>
            <w:vAlign w:val="center"/>
          </w:tcPr>
          <w:p w:rsidR="00992F47" w:rsidRPr="006B5B86" w:rsidRDefault="00992F47" w:rsidP="007303E3">
            <w:pPr>
              <w:pStyle w:val="Tabletext"/>
              <w:spacing w:after="0"/>
              <w:jc w:val="center"/>
              <w:rPr>
                <w:rFonts w:ascii="Arial Narrow" w:hAnsi="Arial Narrow"/>
                <w:bCs/>
                <w:color w:val="000000"/>
              </w:rPr>
            </w:pPr>
            <w:r>
              <w:rPr>
                <w:rFonts w:ascii="Arial Narrow" w:hAnsi="Arial Narrow"/>
                <w:bCs/>
                <w:color w:val="000000"/>
              </w:rPr>
              <w:t>80%</w:t>
            </w:r>
          </w:p>
        </w:tc>
        <w:tc>
          <w:tcPr>
            <w:tcW w:w="647" w:type="pct"/>
            <w:shd w:val="clear" w:color="auto" w:fill="auto"/>
            <w:vAlign w:val="center"/>
          </w:tcPr>
          <w:p w:rsidR="00992F47" w:rsidRPr="006B5B86" w:rsidRDefault="00992F47" w:rsidP="007303E3">
            <w:pPr>
              <w:pStyle w:val="Tabletext"/>
              <w:spacing w:after="0"/>
              <w:jc w:val="center"/>
              <w:rPr>
                <w:rFonts w:ascii="Arial Narrow" w:hAnsi="Arial Narrow"/>
                <w:bCs/>
                <w:color w:val="000000"/>
              </w:rPr>
            </w:pPr>
            <w:r>
              <w:rPr>
                <w:rFonts w:ascii="Arial Narrow" w:hAnsi="Arial Narrow"/>
                <w:bCs/>
                <w:color w:val="000000"/>
              </w:rPr>
              <w:t>80%</w:t>
            </w:r>
          </w:p>
        </w:tc>
        <w:tc>
          <w:tcPr>
            <w:tcW w:w="647" w:type="pct"/>
            <w:shd w:val="clear" w:color="auto" w:fill="auto"/>
            <w:vAlign w:val="center"/>
          </w:tcPr>
          <w:p w:rsidR="00992F47" w:rsidRPr="008E3464" w:rsidRDefault="00992F47" w:rsidP="007303E3">
            <w:pPr>
              <w:pStyle w:val="Tabletext"/>
              <w:spacing w:after="0"/>
              <w:jc w:val="center"/>
              <w:rPr>
                <w:rFonts w:ascii="Arial Narrow" w:hAnsi="Arial Narrow"/>
                <w:bCs/>
                <w:color w:val="000000"/>
              </w:rPr>
            </w:pPr>
            <w:r>
              <w:rPr>
                <w:rFonts w:ascii="Arial Narrow" w:hAnsi="Arial Narrow"/>
                <w:bCs/>
                <w:color w:val="000000"/>
              </w:rPr>
              <w:t>80%</w:t>
            </w:r>
          </w:p>
        </w:tc>
        <w:tc>
          <w:tcPr>
            <w:tcW w:w="647" w:type="pct"/>
            <w:shd w:val="clear" w:color="auto" w:fill="auto"/>
            <w:vAlign w:val="center"/>
          </w:tcPr>
          <w:p w:rsidR="00992F47" w:rsidRPr="008E3464" w:rsidRDefault="00992F47" w:rsidP="007303E3">
            <w:pPr>
              <w:pStyle w:val="Tabletext"/>
              <w:spacing w:after="0"/>
              <w:jc w:val="center"/>
              <w:rPr>
                <w:rFonts w:ascii="Arial Narrow" w:hAnsi="Arial Narrow"/>
                <w:bCs/>
                <w:color w:val="000000"/>
              </w:rPr>
            </w:pPr>
            <w:r>
              <w:rPr>
                <w:rFonts w:ascii="Arial Narrow" w:hAnsi="Arial Narrow"/>
                <w:bCs/>
                <w:color w:val="000000"/>
              </w:rPr>
              <w:t>80%</w:t>
            </w:r>
          </w:p>
        </w:tc>
        <w:tc>
          <w:tcPr>
            <w:tcW w:w="648" w:type="pct"/>
            <w:vAlign w:val="center"/>
          </w:tcPr>
          <w:p w:rsidR="00992F47" w:rsidRPr="0012594F" w:rsidRDefault="00992F47" w:rsidP="007303E3">
            <w:pPr>
              <w:pStyle w:val="Tabletext"/>
              <w:spacing w:after="0"/>
              <w:jc w:val="center"/>
              <w:rPr>
                <w:rFonts w:ascii="Arial Narrow" w:hAnsi="Arial Narrow"/>
                <w:bCs/>
                <w:color w:val="000000"/>
              </w:rPr>
            </w:pPr>
            <w:r>
              <w:rPr>
                <w:rFonts w:ascii="Arial Narrow" w:hAnsi="Arial Narrow"/>
                <w:bCs/>
                <w:color w:val="000000"/>
              </w:rPr>
              <w:t>80%</w:t>
            </w:r>
          </w:p>
        </w:tc>
      </w:tr>
      <w:tr w:rsidR="00992F47" w:rsidRPr="0012594F" w:rsidTr="007303E3">
        <w:tc>
          <w:tcPr>
            <w:tcW w:w="1187" w:type="pct"/>
            <w:shd w:val="clear" w:color="auto" w:fill="auto"/>
            <w:vAlign w:val="center"/>
          </w:tcPr>
          <w:p w:rsidR="00992F47" w:rsidRDefault="00992F47" w:rsidP="007303E3">
            <w:pPr>
              <w:pStyle w:val="Tabletext"/>
              <w:spacing w:after="0"/>
              <w:rPr>
                <w:rFonts w:ascii="Arial Narrow" w:hAnsi="Arial Narrow"/>
              </w:rPr>
            </w:pPr>
            <w:r>
              <w:rPr>
                <w:rFonts w:ascii="Arial Narrow" w:hAnsi="Arial Narrow"/>
              </w:rPr>
              <w:t>Eligible adult patients</w:t>
            </w:r>
          </w:p>
        </w:tc>
        <w:tc>
          <w:tcPr>
            <w:tcW w:w="57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8" w:type="pct"/>
            <w:vAlign w:val="center"/>
          </w:tcPr>
          <w:p w:rsidR="00992F47" w:rsidRPr="007849ED" w:rsidRDefault="007849ED" w:rsidP="007303E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992F47" w:rsidRPr="0012594F" w:rsidTr="007303E3">
        <w:tc>
          <w:tcPr>
            <w:tcW w:w="1187" w:type="pct"/>
            <w:shd w:val="clear" w:color="auto" w:fill="auto"/>
            <w:vAlign w:val="center"/>
          </w:tcPr>
          <w:p w:rsidR="00992F47" w:rsidRDefault="00992F47" w:rsidP="007303E3">
            <w:pPr>
              <w:pStyle w:val="Tabletext"/>
              <w:spacing w:after="0"/>
              <w:rPr>
                <w:rFonts w:ascii="Arial Narrow" w:hAnsi="Arial Narrow"/>
              </w:rPr>
            </w:pPr>
            <w:r>
              <w:rPr>
                <w:rFonts w:ascii="Arial Narrow" w:hAnsi="Arial Narrow"/>
              </w:rPr>
              <w:t>Uptake rate</w:t>
            </w:r>
          </w:p>
        </w:tc>
        <w:tc>
          <w:tcPr>
            <w:tcW w:w="577" w:type="pct"/>
            <w:shd w:val="clear" w:color="auto" w:fill="auto"/>
            <w:vAlign w:val="center"/>
          </w:tcPr>
          <w:p w:rsidR="00992F47" w:rsidRDefault="00992F47" w:rsidP="007303E3">
            <w:pPr>
              <w:pStyle w:val="Tabletext"/>
              <w:spacing w:after="0"/>
              <w:jc w:val="center"/>
              <w:rPr>
                <w:rFonts w:ascii="Arial Narrow" w:hAnsi="Arial Narrow"/>
                <w:bCs/>
                <w:color w:val="000000"/>
              </w:rPr>
            </w:pPr>
            <w:r>
              <w:rPr>
                <w:rFonts w:ascii="Arial Narrow" w:hAnsi="Arial Narrow"/>
                <w:bCs/>
                <w:color w:val="000000"/>
              </w:rPr>
              <w:t>5%</w:t>
            </w:r>
          </w:p>
        </w:tc>
        <w:tc>
          <w:tcPr>
            <w:tcW w:w="647" w:type="pct"/>
            <w:shd w:val="clear" w:color="auto" w:fill="auto"/>
            <w:vAlign w:val="center"/>
          </w:tcPr>
          <w:p w:rsidR="00992F47" w:rsidRDefault="00992F47" w:rsidP="007303E3">
            <w:pPr>
              <w:pStyle w:val="Tabletext"/>
              <w:spacing w:after="0"/>
              <w:jc w:val="center"/>
              <w:rPr>
                <w:rFonts w:ascii="Arial Narrow" w:hAnsi="Arial Narrow"/>
                <w:bCs/>
                <w:color w:val="000000"/>
              </w:rPr>
            </w:pPr>
            <w:r>
              <w:rPr>
                <w:rFonts w:ascii="Arial Narrow" w:hAnsi="Arial Narrow"/>
                <w:bCs/>
                <w:color w:val="000000"/>
              </w:rPr>
              <w:t>5%</w:t>
            </w:r>
          </w:p>
        </w:tc>
        <w:tc>
          <w:tcPr>
            <w:tcW w:w="647" w:type="pct"/>
            <w:shd w:val="clear" w:color="auto" w:fill="auto"/>
            <w:vAlign w:val="center"/>
          </w:tcPr>
          <w:p w:rsidR="00992F47" w:rsidRDefault="00992F47" w:rsidP="007303E3">
            <w:pPr>
              <w:pStyle w:val="Tabletext"/>
              <w:spacing w:after="0"/>
              <w:jc w:val="center"/>
              <w:rPr>
                <w:rFonts w:ascii="Arial Narrow" w:hAnsi="Arial Narrow"/>
                <w:bCs/>
                <w:color w:val="000000"/>
              </w:rPr>
            </w:pPr>
            <w:r>
              <w:rPr>
                <w:rFonts w:ascii="Arial Narrow" w:hAnsi="Arial Narrow"/>
                <w:bCs/>
                <w:color w:val="000000"/>
              </w:rPr>
              <w:t>5%</w:t>
            </w:r>
          </w:p>
        </w:tc>
        <w:tc>
          <w:tcPr>
            <w:tcW w:w="647" w:type="pct"/>
            <w:shd w:val="clear" w:color="auto" w:fill="auto"/>
            <w:vAlign w:val="center"/>
          </w:tcPr>
          <w:p w:rsidR="00992F47" w:rsidRDefault="00992F47" w:rsidP="007303E3">
            <w:pPr>
              <w:pStyle w:val="Tabletext"/>
              <w:spacing w:after="0"/>
              <w:jc w:val="center"/>
              <w:rPr>
                <w:rFonts w:ascii="Arial Narrow" w:hAnsi="Arial Narrow"/>
                <w:bCs/>
                <w:color w:val="000000"/>
              </w:rPr>
            </w:pPr>
            <w:r>
              <w:rPr>
                <w:rFonts w:ascii="Arial Narrow" w:hAnsi="Arial Narrow"/>
                <w:bCs/>
                <w:color w:val="000000"/>
              </w:rPr>
              <w:t>5%</w:t>
            </w:r>
          </w:p>
        </w:tc>
        <w:tc>
          <w:tcPr>
            <w:tcW w:w="647" w:type="pct"/>
            <w:shd w:val="clear" w:color="auto" w:fill="auto"/>
            <w:vAlign w:val="center"/>
          </w:tcPr>
          <w:p w:rsidR="00992F47" w:rsidRDefault="00992F47" w:rsidP="007303E3">
            <w:pPr>
              <w:pStyle w:val="Tabletext"/>
              <w:spacing w:after="0"/>
              <w:jc w:val="center"/>
              <w:rPr>
                <w:rFonts w:ascii="Arial Narrow" w:hAnsi="Arial Narrow"/>
                <w:bCs/>
                <w:color w:val="000000"/>
              </w:rPr>
            </w:pPr>
            <w:r>
              <w:rPr>
                <w:rFonts w:ascii="Arial Narrow" w:hAnsi="Arial Narrow"/>
                <w:bCs/>
                <w:color w:val="000000"/>
              </w:rPr>
              <w:t>5%</w:t>
            </w:r>
          </w:p>
        </w:tc>
        <w:tc>
          <w:tcPr>
            <w:tcW w:w="648" w:type="pct"/>
            <w:vAlign w:val="center"/>
          </w:tcPr>
          <w:p w:rsidR="00992F47" w:rsidRDefault="00992F47" w:rsidP="007303E3">
            <w:pPr>
              <w:pStyle w:val="Tabletext"/>
              <w:spacing w:after="0"/>
              <w:jc w:val="center"/>
              <w:rPr>
                <w:rFonts w:ascii="Arial Narrow" w:hAnsi="Arial Narrow"/>
                <w:bCs/>
                <w:color w:val="000000"/>
              </w:rPr>
            </w:pPr>
            <w:r>
              <w:rPr>
                <w:rFonts w:ascii="Arial Narrow" w:hAnsi="Arial Narrow"/>
                <w:bCs/>
                <w:color w:val="000000"/>
              </w:rPr>
              <w:t>5%</w:t>
            </w:r>
          </w:p>
        </w:tc>
      </w:tr>
      <w:tr w:rsidR="00993AE5" w:rsidRPr="001B3FFE" w:rsidTr="00A9382A">
        <w:tc>
          <w:tcPr>
            <w:tcW w:w="5000" w:type="pct"/>
            <w:gridSpan w:val="7"/>
            <w:tcBorders>
              <w:bottom w:val="single" w:sz="4" w:space="0" w:color="auto"/>
            </w:tcBorders>
            <w:shd w:val="clear" w:color="auto" w:fill="auto"/>
            <w:vAlign w:val="center"/>
          </w:tcPr>
          <w:p w:rsidR="00993AE5" w:rsidRPr="006B5B86" w:rsidRDefault="00993AE5" w:rsidP="006D1C07">
            <w:pPr>
              <w:pStyle w:val="Tabletext"/>
              <w:spacing w:after="0"/>
              <w:rPr>
                <w:rFonts w:ascii="Arial Narrow" w:hAnsi="Arial Narrow"/>
                <w:b/>
                <w:bCs/>
                <w:color w:val="000000"/>
              </w:rPr>
            </w:pPr>
            <w:r w:rsidRPr="006B5B86">
              <w:rPr>
                <w:rFonts w:ascii="Arial Narrow" w:hAnsi="Arial Narrow"/>
                <w:b/>
                <w:bCs/>
                <w:color w:val="000000"/>
              </w:rPr>
              <w:t>Estimated extent of use</w:t>
            </w:r>
          </w:p>
        </w:tc>
      </w:tr>
      <w:tr w:rsidR="00A9382A" w:rsidRPr="001B3FFE" w:rsidTr="00A9382A">
        <w:tc>
          <w:tcPr>
            <w:tcW w:w="1187" w:type="pct"/>
            <w:tcBorders>
              <w:top w:val="single" w:sz="4" w:space="0" w:color="auto"/>
              <w:bottom w:val="single" w:sz="4" w:space="0" w:color="auto"/>
              <w:right w:val="single" w:sz="4" w:space="0" w:color="auto"/>
            </w:tcBorders>
            <w:shd w:val="clear" w:color="auto" w:fill="auto"/>
            <w:vAlign w:val="center"/>
          </w:tcPr>
          <w:p w:rsidR="00A9382A" w:rsidRPr="006B5B86" w:rsidRDefault="00A9382A" w:rsidP="00A9382A">
            <w:pPr>
              <w:pStyle w:val="Tabletext"/>
              <w:spacing w:after="0"/>
              <w:rPr>
                <w:rFonts w:ascii="Arial Narrow" w:hAnsi="Arial Narrow"/>
              </w:rPr>
            </w:pPr>
            <w:r>
              <w:rPr>
                <w:rFonts w:ascii="Arial Narrow" w:hAnsi="Arial Narrow"/>
              </w:rPr>
              <w:t>Paediatric patients treated</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rsidR="00A9382A" w:rsidRPr="007849ED" w:rsidRDefault="007849ED" w:rsidP="00A9382A">
            <w:pPr>
              <w:pStyle w:val="Tabletext"/>
              <w:spacing w:after="0"/>
              <w:jc w:val="center"/>
              <w:rPr>
                <w:rFonts w:ascii="Arial Narrow" w:hAnsi="Arial Narrow" w:cs="Arial"/>
                <w:bCs/>
                <w:color w:val="000000"/>
                <w:highlight w:val="black"/>
              </w:rPr>
            </w:pPr>
            <w:r>
              <w:rPr>
                <w:rFonts w:ascii="Arial Narrow" w:hAnsi="Arial Narrow" w:cs="Arial"/>
                <w:bCs/>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A9382A" w:rsidRPr="007849ED" w:rsidRDefault="007849ED" w:rsidP="00A9382A">
            <w:pPr>
              <w:pStyle w:val="Tabletext"/>
              <w:spacing w:after="0"/>
              <w:jc w:val="center"/>
              <w:rPr>
                <w:rFonts w:ascii="Arial Narrow" w:hAnsi="Arial Narrow" w:cs="Arial"/>
                <w:bCs/>
                <w:color w:val="000000"/>
                <w:highlight w:val="black"/>
              </w:rPr>
            </w:pPr>
            <w:r>
              <w:rPr>
                <w:rFonts w:ascii="Arial Narrow" w:hAnsi="Arial Narrow" w:cs="Arial"/>
                <w:bCs/>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A9382A" w:rsidRPr="007849ED" w:rsidRDefault="007849ED" w:rsidP="00A9382A">
            <w:pPr>
              <w:pStyle w:val="Tabletext"/>
              <w:spacing w:after="0"/>
              <w:jc w:val="center"/>
              <w:rPr>
                <w:rFonts w:ascii="Arial Narrow" w:hAnsi="Arial Narrow" w:cs="Arial"/>
                <w:bCs/>
                <w:color w:val="000000"/>
                <w:highlight w:val="black"/>
              </w:rPr>
            </w:pPr>
            <w:r>
              <w:rPr>
                <w:rFonts w:ascii="Arial Narrow" w:hAnsi="Arial Narrow" w:cs="Arial"/>
                <w:bCs/>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A9382A" w:rsidRPr="007849ED" w:rsidRDefault="007849ED" w:rsidP="00A9382A">
            <w:pPr>
              <w:pStyle w:val="Tabletext"/>
              <w:spacing w:after="0"/>
              <w:jc w:val="center"/>
              <w:rPr>
                <w:rFonts w:ascii="Arial Narrow" w:hAnsi="Arial Narrow" w:cs="Arial"/>
                <w:bCs/>
                <w:color w:val="000000"/>
                <w:highlight w:val="black"/>
              </w:rPr>
            </w:pPr>
            <w:r>
              <w:rPr>
                <w:rFonts w:ascii="Arial Narrow" w:hAnsi="Arial Narrow" w:cs="Arial"/>
                <w:bCs/>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A9382A" w:rsidRPr="007849ED" w:rsidRDefault="007849ED" w:rsidP="00A9382A">
            <w:pPr>
              <w:pStyle w:val="Tabletext"/>
              <w:spacing w:after="0"/>
              <w:jc w:val="center"/>
              <w:rPr>
                <w:rFonts w:ascii="Arial Narrow" w:hAnsi="Arial Narrow" w:cs="Arial"/>
                <w:bCs/>
                <w:color w:val="000000"/>
                <w:highlight w:val="black"/>
              </w:rPr>
            </w:pPr>
            <w:r>
              <w:rPr>
                <w:rFonts w:ascii="Arial Narrow" w:hAnsi="Arial Narrow" w:cs="Arial"/>
                <w:bCs/>
                <w:noProof/>
                <w:color w:val="000000"/>
                <w:highlight w:val="black"/>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bottom"/>
          </w:tcPr>
          <w:p w:rsidR="00A9382A" w:rsidRPr="007849ED" w:rsidRDefault="007849ED" w:rsidP="00A9382A">
            <w:pPr>
              <w:pStyle w:val="Tabletext"/>
              <w:spacing w:after="0"/>
              <w:jc w:val="center"/>
              <w:rPr>
                <w:rFonts w:ascii="Arial Narrow" w:hAnsi="Arial Narrow" w:cs="Arial"/>
                <w:bCs/>
                <w:color w:val="000000"/>
                <w:highlight w:val="black"/>
              </w:rPr>
            </w:pPr>
            <w:r>
              <w:rPr>
                <w:rFonts w:ascii="Arial Narrow" w:hAnsi="Arial Narrow" w:cs="Arial"/>
                <w:bCs/>
                <w:noProof/>
                <w:color w:val="000000"/>
                <w:highlight w:val="black"/>
              </w:rPr>
              <w:t>''''''''</w:t>
            </w:r>
          </w:p>
        </w:tc>
      </w:tr>
      <w:tr w:rsidR="00992F47" w:rsidRPr="001B3FFE" w:rsidTr="00992F47">
        <w:tc>
          <w:tcPr>
            <w:tcW w:w="1187" w:type="pct"/>
            <w:shd w:val="clear" w:color="auto" w:fill="auto"/>
            <w:vAlign w:val="center"/>
          </w:tcPr>
          <w:p w:rsidR="00992F47" w:rsidRPr="006B5B86" w:rsidRDefault="00992F47" w:rsidP="006D1C07">
            <w:pPr>
              <w:pStyle w:val="Tabletext"/>
              <w:spacing w:after="0"/>
              <w:rPr>
                <w:rFonts w:ascii="Arial Narrow" w:hAnsi="Arial Narrow"/>
              </w:rPr>
            </w:pPr>
            <w:r>
              <w:rPr>
                <w:rFonts w:ascii="Arial Narrow" w:hAnsi="Arial Narrow"/>
              </w:rPr>
              <w:t>Adolescent patients treated</w:t>
            </w:r>
          </w:p>
        </w:tc>
        <w:tc>
          <w:tcPr>
            <w:tcW w:w="577" w:type="pct"/>
            <w:shd w:val="clear" w:color="auto" w:fill="auto"/>
            <w:vAlign w:val="center"/>
          </w:tcPr>
          <w:p w:rsidR="00992F47"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8E3464">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8E3464">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8" w:type="pct"/>
            <w:vAlign w:val="center"/>
          </w:tcPr>
          <w:p w:rsidR="00992F47" w:rsidRPr="007849ED" w:rsidRDefault="007849ED" w:rsidP="0012594F">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992F47" w:rsidRPr="001B3FFE" w:rsidTr="00992F47">
        <w:tc>
          <w:tcPr>
            <w:tcW w:w="1187" w:type="pct"/>
            <w:shd w:val="clear" w:color="auto" w:fill="auto"/>
            <w:vAlign w:val="center"/>
          </w:tcPr>
          <w:p w:rsidR="00992F47" w:rsidRPr="006B5B86" w:rsidRDefault="00992F47" w:rsidP="006D1C07">
            <w:pPr>
              <w:pStyle w:val="Tabletext"/>
              <w:spacing w:after="0"/>
              <w:rPr>
                <w:rFonts w:ascii="Arial Narrow" w:hAnsi="Arial Narrow"/>
              </w:rPr>
            </w:pPr>
            <w:r>
              <w:rPr>
                <w:rFonts w:ascii="Arial Narrow" w:hAnsi="Arial Narrow"/>
              </w:rPr>
              <w:t>Adult patients treated</w:t>
            </w:r>
          </w:p>
        </w:tc>
        <w:tc>
          <w:tcPr>
            <w:tcW w:w="577" w:type="pct"/>
            <w:shd w:val="clear" w:color="auto" w:fill="auto"/>
            <w:vAlign w:val="center"/>
          </w:tcPr>
          <w:p w:rsidR="00992F47"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8E3464">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2F47" w:rsidRPr="007849ED" w:rsidRDefault="007849ED" w:rsidP="008E3464">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8" w:type="pct"/>
            <w:vAlign w:val="center"/>
          </w:tcPr>
          <w:p w:rsidR="00992F47" w:rsidRPr="007849ED" w:rsidRDefault="007849ED" w:rsidP="0012594F">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993AE5" w:rsidRPr="001B3FFE" w:rsidTr="00992F47">
        <w:tc>
          <w:tcPr>
            <w:tcW w:w="1187" w:type="pct"/>
            <w:shd w:val="clear" w:color="auto" w:fill="auto"/>
            <w:vAlign w:val="center"/>
          </w:tcPr>
          <w:p w:rsidR="00993AE5" w:rsidRPr="006B5B86" w:rsidRDefault="00993AE5" w:rsidP="006D1C07">
            <w:pPr>
              <w:pStyle w:val="Tabletext"/>
              <w:spacing w:after="0"/>
              <w:rPr>
                <w:rFonts w:ascii="Arial Narrow" w:hAnsi="Arial Narrow"/>
              </w:rPr>
            </w:pPr>
            <w:r w:rsidRPr="006B5B86">
              <w:rPr>
                <w:rFonts w:ascii="Arial Narrow" w:hAnsi="Arial Narrow"/>
              </w:rPr>
              <w:t>Number of patients treated</w:t>
            </w:r>
          </w:p>
        </w:tc>
        <w:tc>
          <w:tcPr>
            <w:tcW w:w="577" w:type="pct"/>
            <w:shd w:val="clear" w:color="auto" w:fill="auto"/>
            <w:vAlign w:val="center"/>
          </w:tcPr>
          <w:p w:rsidR="00993AE5"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3AE5"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3AE5"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3AE5" w:rsidRPr="007849ED" w:rsidRDefault="007849ED" w:rsidP="008E3464">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993AE5" w:rsidRPr="007849ED" w:rsidRDefault="007849ED" w:rsidP="008E3464">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8" w:type="pct"/>
            <w:vAlign w:val="center"/>
          </w:tcPr>
          <w:p w:rsidR="00993AE5" w:rsidRPr="007849ED" w:rsidRDefault="007849ED" w:rsidP="0012594F">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6B5B86" w:rsidRPr="006B5B86" w:rsidTr="00992F47">
        <w:tc>
          <w:tcPr>
            <w:tcW w:w="1187" w:type="pct"/>
            <w:shd w:val="clear" w:color="auto" w:fill="auto"/>
            <w:vAlign w:val="center"/>
          </w:tcPr>
          <w:p w:rsidR="006B5B86" w:rsidRPr="006B5B86" w:rsidRDefault="006B5B86" w:rsidP="006B5B86">
            <w:pPr>
              <w:pStyle w:val="Tabletext"/>
              <w:spacing w:after="0"/>
              <w:rPr>
                <w:rFonts w:ascii="Arial Narrow" w:hAnsi="Arial Narrow"/>
              </w:rPr>
            </w:pPr>
            <w:r w:rsidRPr="006B5B86">
              <w:rPr>
                <w:rFonts w:ascii="Arial Narrow" w:hAnsi="Arial Narrow"/>
              </w:rPr>
              <w:t>Number of scripts dispensed</w:t>
            </w:r>
          </w:p>
        </w:tc>
        <w:tc>
          <w:tcPr>
            <w:tcW w:w="577" w:type="pct"/>
            <w:shd w:val="clear" w:color="auto" w:fill="auto"/>
            <w:vAlign w:val="center"/>
          </w:tcPr>
          <w:p w:rsidR="006B5B86"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6B5B86"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6B5B86"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6B5B86"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6B5B86"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8" w:type="pct"/>
            <w:vAlign w:val="center"/>
          </w:tcPr>
          <w:p w:rsidR="006B5B86" w:rsidRPr="007849ED" w:rsidRDefault="007849ED" w:rsidP="006B5B86">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993AE5" w:rsidRPr="001B3FFE" w:rsidTr="006B5B86">
        <w:tc>
          <w:tcPr>
            <w:tcW w:w="5000" w:type="pct"/>
            <w:gridSpan w:val="7"/>
            <w:shd w:val="clear" w:color="auto" w:fill="auto"/>
            <w:vAlign w:val="center"/>
          </w:tcPr>
          <w:p w:rsidR="00993AE5" w:rsidRPr="006B5B86" w:rsidRDefault="00993AE5" w:rsidP="00251D81">
            <w:pPr>
              <w:pStyle w:val="Tabletext"/>
              <w:spacing w:after="0"/>
              <w:rPr>
                <w:rFonts w:ascii="Arial Narrow" w:hAnsi="Arial Narrow"/>
                <w:b/>
                <w:bCs/>
                <w:color w:val="000000"/>
              </w:rPr>
            </w:pPr>
            <w:r w:rsidRPr="006B5B86">
              <w:rPr>
                <w:rFonts w:ascii="Arial Narrow" w:hAnsi="Arial Narrow"/>
                <w:b/>
                <w:bCs/>
                <w:color w:val="000000"/>
              </w:rPr>
              <w:t xml:space="preserve">Estimated financial implications of </w:t>
            </w:r>
            <w:proofErr w:type="spellStart"/>
            <w:r w:rsidR="00251D81">
              <w:rPr>
                <w:rFonts w:ascii="Arial Narrow" w:hAnsi="Arial Narrow"/>
                <w:b/>
                <w:bCs/>
                <w:color w:val="000000"/>
              </w:rPr>
              <w:t>Modulen</w:t>
            </w:r>
            <w:proofErr w:type="spellEnd"/>
            <w:r w:rsidR="00251D81">
              <w:rPr>
                <w:rFonts w:ascii="Arial Narrow" w:hAnsi="Arial Narrow"/>
                <w:b/>
                <w:bCs/>
                <w:color w:val="000000"/>
              </w:rPr>
              <w:t xml:space="preserve"> IBD</w:t>
            </w:r>
            <w:r w:rsidR="00251D81" w:rsidRPr="006B5B86" w:rsidDel="00251D81">
              <w:rPr>
                <w:rFonts w:ascii="Arial Narrow" w:hAnsi="Arial Narrow"/>
                <w:b/>
                <w:bCs/>
                <w:color w:val="000000"/>
              </w:rPr>
              <w:t xml:space="preserve"> </w:t>
            </w:r>
          </w:p>
        </w:tc>
      </w:tr>
      <w:tr w:rsidR="006B5B86" w:rsidRPr="001B3FFE" w:rsidTr="00992F47">
        <w:tc>
          <w:tcPr>
            <w:tcW w:w="1187" w:type="pct"/>
            <w:shd w:val="clear" w:color="auto" w:fill="auto"/>
            <w:vAlign w:val="center"/>
          </w:tcPr>
          <w:p w:rsidR="006B5B86" w:rsidRPr="006B5B86" w:rsidRDefault="006B5B86" w:rsidP="006B5B86">
            <w:pPr>
              <w:pStyle w:val="Tabletext"/>
              <w:spacing w:after="0"/>
              <w:rPr>
                <w:rFonts w:ascii="Arial Narrow" w:hAnsi="Arial Narrow"/>
              </w:rPr>
            </w:pPr>
            <w:r w:rsidRPr="006B5B86">
              <w:rPr>
                <w:rFonts w:ascii="Arial Narrow" w:hAnsi="Arial Narrow"/>
              </w:rPr>
              <w:t>Cost to PBS/RPBS</w:t>
            </w:r>
          </w:p>
        </w:tc>
        <w:tc>
          <w:tcPr>
            <w:tcW w:w="57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c>
          <w:tcPr>
            <w:tcW w:w="648"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r>
      <w:tr w:rsidR="006B5B86" w:rsidRPr="001B3FFE" w:rsidTr="00992F47">
        <w:tc>
          <w:tcPr>
            <w:tcW w:w="1187" w:type="pct"/>
            <w:shd w:val="clear" w:color="auto" w:fill="auto"/>
            <w:vAlign w:val="center"/>
          </w:tcPr>
          <w:p w:rsidR="006B5B86" w:rsidRPr="006B5B86" w:rsidRDefault="006B5B86" w:rsidP="006B5B86">
            <w:pPr>
              <w:pStyle w:val="Tabletext"/>
              <w:spacing w:after="0"/>
              <w:rPr>
                <w:rFonts w:ascii="Arial Narrow" w:hAnsi="Arial Narrow"/>
              </w:rPr>
            </w:pPr>
            <w:r w:rsidRPr="006B5B86">
              <w:rPr>
                <w:rFonts w:ascii="Arial Narrow" w:hAnsi="Arial Narrow"/>
              </w:rPr>
              <w:t>Copayments</w:t>
            </w:r>
          </w:p>
        </w:tc>
        <w:tc>
          <w:tcPr>
            <w:tcW w:w="57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c>
          <w:tcPr>
            <w:tcW w:w="648"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rPr>
              <w:t>-$</w:t>
            </w:r>
            <w:r w:rsidR="007849ED">
              <w:rPr>
                <w:rFonts w:ascii="Arial Narrow" w:hAnsi="Arial Narrow"/>
                <w:noProof/>
                <w:color w:val="000000"/>
                <w:highlight w:val="black"/>
              </w:rPr>
              <w:t>'''''''''''''''</w:t>
            </w:r>
          </w:p>
        </w:tc>
      </w:tr>
      <w:tr w:rsidR="006B5B86" w:rsidRPr="001B3FFE" w:rsidTr="00992F47">
        <w:tc>
          <w:tcPr>
            <w:tcW w:w="1187" w:type="pct"/>
            <w:shd w:val="clear" w:color="auto" w:fill="auto"/>
            <w:vAlign w:val="center"/>
          </w:tcPr>
          <w:p w:rsidR="006B5B86" w:rsidRPr="006B5B86" w:rsidRDefault="006B5B86" w:rsidP="006B5B86">
            <w:pPr>
              <w:pStyle w:val="Tabletext"/>
              <w:spacing w:after="0"/>
              <w:rPr>
                <w:rFonts w:ascii="Arial Narrow" w:hAnsi="Arial Narrow"/>
              </w:rPr>
            </w:pPr>
            <w:r w:rsidRPr="006B5B86">
              <w:rPr>
                <w:rFonts w:ascii="Arial Narrow" w:hAnsi="Arial Narrow"/>
              </w:rPr>
              <w:t>Cost to PBS/RPBS less copayments</w:t>
            </w:r>
          </w:p>
        </w:tc>
        <w:tc>
          <w:tcPr>
            <w:tcW w:w="57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b/>
                <w:bCs/>
              </w:rPr>
              <w:t>$</w:t>
            </w:r>
            <w:r w:rsidR="007849ED">
              <w:rPr>
                <w:rFonts w:ascii="Arial Narrow" w:hAnsi="Arial Narrow"/>
                <w:b/>
                <w:bCs/>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b/>
                <w:bCs/>
              </w:rPr>
              <w:t>$</w:t>
            </w:r>
            <w:r w:rsidR="007849ED">
              <w:rPr>
                <w:rFonts w:ascii="Arial Narrow" w:hAnsi="Arial Narrow"/>
                <w:b/>
                <w:bCs/>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b/>
                <w:bCs/>
              </w:rPr>
              <w:t>$</w:t>
            </w:r>
            <w:r w:rsidR="007849ED">
              <w:rPr>
                <w:rFonts w:ascii="Arial Narrow" w:hAnsi="Arial Narrow"/>
                <w:b/>
                <w:bCs/>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b/>
                <w:bCs/>
              </w:rPr>
              <w:t>$</w:t>
            </w:r>
            <w:r w:rsidR="007849ED">
              <w:rPr>
                <w:rFonts w:ascii="Arial Narrow" w:hAnsi="Arial Narrow"/>
                <w:b/>
                <w:bCs/>
                <w:noProof/>
                <w:color w:val="000000"/>
                <w:highlight w:val="black"/>
              </w:rPr>
              <w:t>'''''''''''''''''</w:t>
            </w:r>
          </w:p>
        </w:tc>
        <w:tc>
          <w:tcPr>
            <w:tcW w:w="647"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b/>
                <w:bCs/>
              </w:rPr>
              <w:t>$</w:t>
            </w:r>
            <w:r w:rsidR="007849ED">
              <w:rPr>
                <w:rFonts w:ascii="Arial Narrow" w:hAnsi="Arial Narrow"/>
                <w:b/>
                <w:bCs/>
                <w:noProof/>
                <w:color w:val="000000"/>
                <w:highlight w:val="black"/>
              </w:rPr>
              <w:t>''''''''''''''''''</w:t>
            </w:r>
          </w:p>
        </w:tc>
        <w:tc>
          <w:tcPr>
            <w:tcW w:w="648" w:type="pct"/>
            <w:vAlign w:val="center"/>
          </w:tcPr>
          <w:p w:rsidR="006B5B86" w:rsidRPr="006B5B86" w:rsidRDefault="006B5B86" w:rsidP="006B5B86">
            <w:pPr>
              <w:pStyle w:val="Tabletext"/>
              <w:spacing w:after="0"/>
              <w:jc w:val="center"/>
              <w:rPr>
                <w:rFonts w:ascii="Arial Narrow" w:hAnsi="Arial Narrow"/>
                <w:bCs/>
                <w:color w:val="000000"/>
              </w:rPr>
            </w:pPr>
            <w:r w:rsidRPr="006B5B86">
              <w:rPr>
                <w:rFonts w:ascii="Arial Narrow" w:hAnsi="Arial Narrow"/>
                <w:b/>
                <w:bCs/>
              </w:rPr>
              <w:t>$</w:t>
            </w:r>
            <w:r w:rsidR="007849ED">
              <w:rPr>
                <w:rFonts w:ascii="Arial Narrow" w:hAnsi="Arial Narrow"/>
                <w:b/>
                <w:bCs/>
                <w:noProof/>
                <w:color w:val="000000"/>
                <w:highlight w:val="black"/>
              </w:rPr>
              <w:t>''''''''''''''</w:t>
            </w:r>
          </w:p>
        </w:tc>
      </w:tr>
    </w:tbl>
    <w:p w:rsidR="00993AE5" w:rsidRPr="00FF3461" w:rsidRDefault="00993AE5" w:rsidP="00C90517">
      <w:pPr>
        <w:spacing w:after="120"/>
        <w:rPr>
          <w:rFonts w:ascii="Arial Narrow" w:hAnsi="Arial Narrow"/>
          <w:color w:val="000000" w:themeColor="text1"/>
          <w:sz w:val="18"/>
          <w:szCs w:val="20"/>
        </w:rPr>
      </w:pPr>
      <w:r w:rsidRPr="00FF3461">
        <w:rPr>
          <w:rFonts w:ascii="Arial Narrow" w:hAnsi="Arial Narrow"/>
          <w:sz w:val="18"/>
          <w:szCs w:val="20"/>
        </w:rPr>
        <w:t xml:space="preserve">Source: </w:t>
      </w:r>
      <w:r w:rsidR="006B5B86" w:rsidRPr="00FF3461">
        <w:rPr>
          <w:rFonts w:ascii="Arial Narrow" w:hAnsi="Arial Narrow"/>
          <w:color w:val="000000" w:themeColor="text1"/>
          <w:sz w:val="18"/>
          <w:szCs w:val="20"/>
        </w:rPr>
        <w:t>Compiled from Tables</w:t>
      </w:r>
      <w:r w:rsidR="00EE1B9A" w:rsidRPr="00FF3461">
        <w:rPr>
          <w:rFonts w:ascii="Arial Narrow" w:hAnsi="Arial Narrow"/>
          <w:color w:val="000000" w:themeColor="text1"/>
          <w:sz w:val="18"/>
          <w:szCs w:val="20"/>
        </w:rPr>
        <w:t xml:space="preserve"> 4.3,</w:t>
      </w:r>
      <w:r w:rsidR="006B5B86" w:rsidRPr="00FF3461">
        <w:rPr>
          <w:rFonts w:ascii="Arial Narrow" w:hAnsi="Arial Narrow"/>
          <w:color w:val="000000" w:themeColor="text1"/>
          <w:sz w:val="18"/>
          <w:szCs w:val="20"/>
        </w:rPr>
        <w:t xml:space="preserve"> 4.4, 4.5 and 4.7 of the submission.</w:t>
      </w:r>
    </w:p>
    <w:p w:rsidR="006764DA" w:rsidRDefault="006764DA" w:rsidP="005047C0">
      <w:pPr>
        <w:rPr>
          <w:rFonts w:asciiTheme="minorHAnsi" w:hAnsiTheme="minorHAnsi"/>
          <w:i/>
        </w:rPr>
      </w:pPr>
      <w:r>
        <w:rPr>
          <w:rFonts w:asciiTheme="minorHAnsi" w:hAnsiTheme="minorHAnsi"/>
          <w:i/>
        </w:rPr>
        <w:t>The redacted table shows that at Year 6, the estimated number of patients was less than 10,000 and the net cost to the PBS would be less than $10 million</w:t>
      </w:r>
      <w:r w:rsidR="00E444DF">
        <w:rPr>
          <w:rFonts w:asciiTheme="minorHAnsi" w:hAnsiTheme="minorHAnsi"/>
          <w:i/>
        </w:rPr>
        <w:t xml:space="preserve"> per year</w:t>
      </w:r>
      <w:r>
        <w:rPr>
          <w:rFonts w:asciiTheme="minorHAnsi" w:hAnsiTheme="minorHAnsi"/>
          <w:i/>
        </w:rPr>
        <w:t>.</w:t>
      </w:r>
    </w:p>
    <w:p w:rsidR="006764DA" w:rsidRPr="005047C0" w:rsidRDefault="006764DA" w:rsidP="005047C0">
      <w:pPr>
        <w:rPr>
          <w:rFonts w:asciiTheme="minorHAnsi" w:hAnsiTheme="minorHAnsi"/>
          <w:i/>
        </w:rPr>
      </w:pPr>
    </w:p>
    <w:p w:rsidR="00C90517" w:rsidRPr="00A613AC" w:rsidRDefault="00C90517" w:rsidP="00A613AC">
      <w:pPr>
        <w:pStyle w:val="ListParagraph"/>
        <w:ind w:left="709"/>
        <w:rPr>
          <w:rFonts w:asciiTheme="minorHAnsi" w:hAnsiTheme="minorHAnsi"/>
          <w:i/>
          <w:sz w:val="24"/>
          <w:szCs w:val="24"/>
        </w:rPr>
      </w:pPr>
      <w:r w:rsidRPr="00C90517">
        <w:rPr>
          <w:rFonts w:asciiTheme="minorHAnsi" w:hAnsiTheme="minorHAnsi"/>
          <w:i/>
          <w:sz w:val="24"/>
          <w:szCs w:val="24"/>
        </w:rPr>
        <w:t>For more deta</w:t>
      </w:r>
      <w:r w:rsidR="001545E6">
        <w:rPr>
          <w:rFonts w:asciiTheme="minorHAnsi" w:hAnsiTheme="minorHAnsi"/>
          <w:i/>
          <w:sz w:val="24"/>
          <w:szCs w:val="24"/>
        </w:rPr>
        <w:t>il on PBAC’s view, see section 6</w:t>
      </w:r>
      <w:r w:rsidRPr="00C90517">
        <w:rPr>
          <w:rFonts w:asciiTheme="minorHAnsi" w:hAnsiTheme="minorHAnsi"/>
          <w:i/>
          <w:sz w:val="24"/>
          <w:szCs w:val="24"/>
        </w:rPr>
        <w:t xml:space="preserve"> PBAC outcome.</w:t>
      </w:r>
    </w:p>
    <w:p w:rsidR="00C90517" w:rsidRPr="00D52702" w:rsidRDefault="00C90517" w:rsidP="00394B5A">
      <w:pPr>
        <w:keepNext/>
        <w:widowControl w:val="0"/>
        <w:numPr>
          <w:ilvl w:val="0"/>
          <w:numId w:val="5"/>
        </w:numPr>
        <w:spacing w:before="240" w:after="120"/>
        <w:jc w:val="both"/>
        <w:outlineLvl w:val="0"/>
        <w:rPr>
          <w:rFonts w:asciiTheme="minorHAnsi" w:hAnsiTheme="minorHAnsi" w:cs="Arial"/>
          <w:b/>
          <w:bCs/>
          <w:snapToGrid w:val="0"/>
          <w:sz w:val="32"/>
        </w:rPr>
      </w:pPr>
      <w:r w:rsidRPr="00D52702">
        <w:rPr>
          <w:rFonts w:asciiTheme="minorHAnsi" w:hAnsiTheme="minorHAnsi" w:cs="Arial"/>
          <w:b/>
          <w:bCs/>
          <w:snapToGrid w:val="0"/>
          <w:sz w:val="32"/>
        </w:rPr>
        <w:t>PBAC Outcome</w:t>
      </w:r>
    </w:p>
    <w:p w:rsidR="00C90517" w:rsidRPr="008D6FD5" w:rsidRDefault="00867E4B" w:rsidP="00C90517">
      <w:pPr>
        <w:widowControl w:val="0"/>
        <w:numPr>
          <w:ilvl w:val="1"/>
          <w:numId w:val="5"/>
        </w:numPr>
        <w:spacing w:after="120"/>
        <w:jc w:val="both"/>
        <w:rPr>
          <w:rFonts w:asciiTheme="minorHAnsi" w:hAnsiTheme="minorHAnsi" w:cs="Arial"/>
          <w:bCs/>
          <w:snapToGrid w:val="0"/>
          <w:lang w:val="en-GB"/>
        </w:rPr>
      </w:pPr>
      <w:proofErr w:type="gramStart"/>
      <w:r>
        <w:rPr>
          <w:rFonts w:asciiTheme="minorHAnsi" w:hAnsiTheme="minorHAnsi" w:cs="Arial"/>
          <w:bCs/>
          <w:snapToGrid w:val="0"/>
          <w:lang w:val="en-GB"/>
        </w:rPr>
        <w:t>The PBAC did not recommend the PBS listing of protein formula with carbohydrate, fat, vitamins, minerals and transforming growth factor beta 2 (</w:t>
      </w:r>
      <w:proofErr w:type="spellStart"/>
      <w:r>
        <w:rPr>
          <w:rFonts w:asciiTheme="minorHAnsi" w:hAnsiTheme="minorHAnsi" w:cs="Arial"/>
          <w:bCs/>
          <w:snapToGrid w:val="0"/>
          <w:lang w:val="en-GB"/>
        </w:rPr>
        <w:t>Modulen</w:t>
      </w:r>
      <w:proofErr w:type="spellEnd"/>
      <w:r>
        <w:rPr>
          <w:rFonts w:asciiTheme="minorHAnsi" w:hAnsiTheme="minorHAnsi" w:cs="Arial"/>
          <w:bCs/>
          <w:snapToGrid w:val="0"/>
          <w:lang w:val="en-GB"/>
        </w:rPr>
        <w:t xml:space="preserve"> IBD) for the dietary management of Crohn Disease (CD), due to an unce</w:t>
      </w:r>
      <w:r w:rsidR="00466BE0">
        <w:rPr>
          <w:rFonts w:asciiTheme="minorHAnsi" w:hAnsiTheme="minorHAnsi" w:cs="Arial"/>
          <w:bCs/>
          <w:snapToGrid w:val="0"/>
          <w:lang w:val="en-GB"/>
        </w:rPr>
        <w:t>rtain clinical need on the PBS,</w:t>
      </w:r>
      <w:r>
        <w:rPr>
          <w:rFonts w:asciiTheme="minorHAnsi" w:hAnsiTheme="minorHAnsi" w:cs="Arial"/>
          <w:bCs/>
          <w:snapToGrid w:val="0"/>
          <w:lang w:val="en-GB"/>
        </w:rPr>
        <w:t xml:space="preserve"> inappropriate and uncertain co</w:t>
      </w:r>
      <w:r w:rsidR="00394B5A">
        <w:rPr>
          <w:rFonts w:asciiTheme="minorHAnsi" w:hAnsiTheme="minorHAnsi" w:cs="Arial"/>
          <w:bCs/>
          <w:snapToGrid w:val="0"/>
          <w:lang w:val="en-GB"/>
        </w:rPr>
        <w:t>mparator</w:t>
      </w:r>
      <w:r w:rsidR="00B325F2">
        <w:rPr>
          <w:rFonts w:asciiTheme="minorHAnsi" w:hAnsiTheme="minorHAnsi" w:cs="Arial"/>
          <w:bCs/>
          <w:snapToGrid w:val="0"/>
          <w:lang w:val="en-GB"/>
        </w:rPr>
        <w:t>s</w:t>
      </w:r>
      <w:r w:rsidR="00394B5A">
        <w:rPr>
          <w:rFonts w:asciiTheme="minorHAnsi" w:hAnsiTheme="minorHAnsi" w:cs="Arial"/>
          <w:bCs/>
          <w:snapToGrid w:val="0"/>
          <w:lang w:val="en-GB"/>
        </w:rPr>
        <w:t xml:space="preserve"> for the requested</w:t>
      </w:r>
      <w:r>
        <w:rPr>
          <w:rFonts w:asciiTheme="minorHAnsi" w:hAnsiTheme="minorHAnsi" w:cs="Arial"/>
          <w:bCs/>
          <w:snapToGrid w:val="0"/>
          <w:lang w:val="en-GB"/>
        </w:rPr>
        <w:t xml:space="preserve"> population</w:t>
      </w:r>
      <w:r w:rsidR="00B325F2">
        <w:rPr>
          <w:rFonts w:asciiTheme="minorHAnsi" w:hAnsiTheme="minorHAnsi" w:cs="Arial"/>
          <w:bCs/>
          <w:snapToGrid w:val="0"/>
          <w:lang w:val="en-GB"/>
        </w:rPr>
        <w:t>s</w:t>
      </w:r>
      <w:r w:rsidR="00E679E5">
        <w:rPr>
          <w:rFonts w:asciiTheme="minorHAnsi" w:hAnsiTheme="minorHAnsi" w:cs="Arial"/>
          <w:bCs/>
          <w:snapToGrid w:val="0"/>
          <w:lang w:val="en-GB"/>
        </w:rPr>
        <w:t>,</w:t>
      </w:r>
      <w:r>
        <w:rPr>
          <w:rFonts w:asciiTheme="minorHAnsi" w:hAnsiTheme="minorHAnsi" w:cs="Arial"/>
          <w:bCs/>
          <w:snapToGrid w:val="0"/>
          <w:lang w:val="en-GB"/>
        </w:rPr>
        <w:t xml:space="preserve"> and uncertain evidence of clinical benefit due to the na</w:t>
      </w:r>
      <w:r w:rsidR="001545E6">
        <w:rPr>
          <w:rFonts w:asciiTheme="minorHAnsi" w:hAnsiTheme="minorHAnsi" w:cs="Arial"/>
          <w:bCs/>
          <w:snapToGrid w:val="0"/>
          <w:lang w:val="en-GB"/>
        </w:rPr>
        <w:t>ture and quality of the</w:t>
      </w:r>
      <w:r>
        <w:rPr>
          <w:rFonts w:asciiTheme="minorHAnsi" w:hAnsiTheme="minorHAnsi" w:cs="Arial"/>
          <w:bCs/>
          <w:snapToGrid w:val="0"/>
          <w:lang w:val="en-GB"/>
        </w:rPr>
        <w:t xml:space="preserve"> evidence presented.</w:t>
      </w:r>
      <w:proofErr w:type="gramEnd"/>
    </w:p>
    <w:p w:rsidR="00C90517" w:rsidRDefault="00E679E5" w:rsidP="00EB48CC">
      <w:pPr>
        <w:widowControl w:val="0"/>
        <w:numPr>
          <w:ilvl w:val="1"/>
          <w:numId w:val="5"/>
        </w:numPr>
        <w:spacing w:after="120"/>
        <w:jc w:val="both"/>
        <w:rPr>
          <w:rFonts w:asciiTheme="minorHAnsi" w:hAnsiTheme="minorHAnsi" w:cs="Arial"/>
          <w:bCs/>
          <w:snapToGrid w:val="0"/>
          <w:lang w:val="en-GB"/>
        </w:rPr>
      </w:pPr>
      <w:r>
        <w:rPr>
          <w:rFonts w:asciiTheme="minorHAnsi" w:eastAsiaTheme="minorHAnsi" w:hAnsiTheme="minorHAnsi" w:cstheme="minorBidi"/>
        </w:rPr>
        <w:t>The PBAC considered there was</w:t>
      </w:r>
      <w:r w:rsidR="00943D0C">
        <w:rPr>
          <w:rFonts w:asciiTheme="minorHAnsi" w:eastAsiaTheme="minorHAnsi" w:hAnsiTheme="minorHAnsi" w:cstheme="minorBidi"/>
        </w:rPr>
        <w:t xml:space="preserve"> an uncertain and likely</w:t>
      </w:r>
      <w:r w:rsidR="00EB48CC">
        <w:rPr>
          <w:rFonts w:asciiTheme="minorHAnsi" w:eastAsiaTheme="minorHAnsi" w:hAnsiTheme="minorHAnsi" w:cstheme="minorBidi"/>
        </w:rPr>
        <w:t xml:space="preserve"> limited</w:t>
      </w:r>
      <w:r w:rsidR="00943D0C">
        <w:rPr>
          <w:rFonts w:asciiTheme="minorHAnsi" w:eastAsiaTheme="minorHAnsi" w:hAnsiTheme="minorHAnsi" w:cstheme="minorBidi"/>
        </w:rPr>
        <w:t xml:space="preserve"> </w:t>
      </w:r>
      <w:r w:rsidR="00EB48CC">
        <w:rPr>
          <w:rFonts w:asciiTheme="minorHAnsi" w:eastAsiaTheme="minorHAnsi" w:hAnsiTheme="minorHAnsi" w:cstheme="minorBidi"/>
        </w:rPr>
        <w:t xml:space="preserve">clinical need for enteral nutrition to be subsidised on </w:t>
      </w:r>
      <w:r w:rsidR="00B37CF1">
        <w:rPr>
          <w:rFonts w:asciiTheme="minorHAnsi" w:eastAsiaTheme="minorHAnsi" w:hAnsiTheme="minorHAnsi" w:cstheme="minorBidi"/>
        </w:rPr>
        <w:t xml:space="preserve">the PBS </w:t>
      </w:r>
      <w:r>
        <w:rPr>
          <w:rFonts w:asciiTheme="minorHAnsi" w:eastAsiaTheme="minorHAnsi" w:hAnsiTheme="minorHAnsi" w:cstheme="minorBidi"/>
        </w:rPr>
        <w:t xml:space="preserve">for this </w:t>
      </w:r>
      <w:proofErr w:type="gramStart"/>
      <w:r>
        <w:rPr>
          <w:rFonts w:asciiTheme="minorHAnsi" w:eastAsiaTheme="minorHAnsi" w:hAnsiTheme="minorHAnsi" w:cstheme="minorBidi"/>
        </w:rPr>
        <w:t>population</w:t>
      </w:r>
      <w:proofErr w:type="gramEnd"/>
      <w:r>
        <w:rPr>
          <w:rFonts w:asciiTheme="minorHAnsi" w:eastAsiaTheme="minorHAnsi" w:hAnsiTheme="minorHAnsi" w:cstheme="minorBidi"/>
        </w:rPr>
        <w:t xml:space="preserve"> </w:t>
      </w:r>
      <w:r w:rsidR="00B37CF1">
        <w:rPr>
          <w:rFonts w:asciiTheme="minorHAnsi" w:eastAsiaTheme="minorHAnsi" w:hAnsiTheme="minorHAnsi" w:cstheme="minorBidi"/>
        </w:rPr>
        <w:t>as there are a range of</w:t>
      </w:r>
      <w:r w:rsidR="00EB48CC">
        <w:rPr>
          <w:rFonts w:asciiTheme="minorHAnsi" w:eastAsiaTheme="minorHAnsi" w:hAnsiTheme="minorHAnsi" w:cstheme="minorBidi"/>
        </w:rPr>
        <w:t xml:space="preserve"> therapeutic alternatives on the PBS in which acceptable cost-effectiveness has been established. Furthermore, the PBAC</w:t>
      </w:r>
      <w:r w:rsidR="00EB48CC">
        <w:rPr>
          <w:rFonts w:asciiTheme="minorHAnsi" w:hAnsiTheme="minorHAnsi" w:cs="Arial"/>
          <w:bCs/>
          <w:snapToGrid w:val="0"/>
          <w:lang w:val="en-GB"/>
        </w:rPr>
        <w:t xml:space="preserve"> noted</w:t>
      </w:r>
      <w:r w:rsidR="000037C4" w:rsidRPr="00EB48CC">
        <w:rPr>
          <w:rFonts w:asciiTheme="minorHAnsi" w:hAnsiTheme="minorHAnsi" w:cs="Arial"/>
          <w:bCs/>
          <w:snapToGrid w:val="0"/>
          <w:lang w:val="en-GB"/>
        </w:rPr>
        <w:t xml:space="preserve"> mechanisms to access enteral nutrition that are cost-neutral to patients currently exist through hospital access programs</w:t>
      </w:r>
      <w:r w:rsidR="00430704" w:rsidRPr="00EB48CC">
        <w:rPr>
          <w:rFonts w:asciiTheme="minorHAnsi" w:hAnsiTheme="minorHAnsi" w:cs="Arial"/>
          <w:bCs/>
          <w:snapToGrid w:val="0"/>
          <w:lang w:val="en-GB"/>
        </w:rPr>
        <w:t xml:space="preserve"> </w:t>
      </w:r>
      <w:r w:rsidR="00394B5A" w:rsidRPr="00EB48CC">
        <w:rPr>
          <w:rFonts w:asciiTheme="minorHAnsi" w:hAnsiTheme="minorHAnsi" w:cs="Arial"/>
          <w:bCs/>
          <w:snapToGrid w:val="0"/>
          <w:lang w:val="en-GB"/>
        </w:rPr>
        <w:t>and</w:t>
      </w:r>
      <w:r w:rsidR="00B37CF1">
        <w:rPr>
          <w:rFonts w:asciiTheme="minorHAnsi" w:hAnsiTheme="minorHAnsi" w:cs="Arial"/>
          <w:bCs/>
          <w:snapToGrid w:val="0"/>
          <w:lang w:val="en-GB"/>
        </w:rPr>
        <w:t xml:space="preserve"> considered</w:t>
      </w:r>
      <w:r w:rsidR="00394B5A" w:rsidRPr="00EB48CC">
        <w:rPr>
          <w:rFonts w:asciiTheme="minorHAnsi" w:hAnsiTheme="minorHAnsi" w:cs="Arial"/>
          <w:bCs/>
          <w:snapToGrid w:val="0"/>
          <w:lang w:val="en-GB"/>
        </w:rPr>
        <w:t xml:space="preserve"> the arguments</w:t>
      </w:r>
      <w:r w:rsidR="000037C4" w:rsidRPr="00EB48CC">
        <w:rPr>
          <w:rFonts w:asciiTheme="minorHAnsi" w:hAnsiTheme="minorHAnsi" w:cs="Arial"/>
          <w:bCs/>
          <w:snapToGrid w:val="0"/>
          <w:lang w:val="en-GB"/>
        </w:rPr>
        <w:t xml:space="preserve"> in the Pr</w:t>
      </w:r>
      <w:r w:rsidR="003F0205">
        <w:rPr>
          <w:rFonts w:asciiTheme="minorHAnsi" w:hAnsiTheme="minorHAnsi" w:cs="Arial"/>
          <w:bCs/>
          <w:snapToGrid w:val="0"/>
          <w:lang w:val="en-GB"/>
        </w:rPr>
        <w:t>e-PBAC Response did not</w:t>
      </w:r>
      <w:r w:rsidR="004B7878">
        <w:rPr>
          <w:rFonts w:asciiTheme="minorHAnsi" w:hAnsiTheme="minorHAnsi" w:cs="Arial"/>
          <w:bCs/>
          <w:snapToGrid w:val="0"/>
          <w:lang w:val="en-GB"/>
        </w:rPr>
        <w:t xml:space="preserve"> sufficiently</w:t>
      </w:r>
      <w:r w:rsidR="00CF0EC5" w:rsidRPr="00EB48CC">
        <w:rPr>
          <w:rFonts w:asciiTheme="minorHAnsi" w:hAnsiTheme="minorHAnsi" w:cs="Arial"/>
          <w:bCs/>
          <w:snapToGrid w:val="0"/>
          <w:lang w:val="en-GB"/>
        </w:rPr>
        <w:t xml:space="preserve"> establish a clinical need</w:t>
      </w:r>
      <w:r w:rsidR="003F0205">
        <w:rPr>
          <w:rFonts w:asciiTheme="minorHAnsi" w:hAnsiTheme="minorHAnsi" w:cs="Arial"/>
          <w:bCs/>
          <w:snapToGrid w:val="0"/>
          <w:lang w:val="en-GB"/>
        </w:rPr>
        <w:t xml:space="preserve"> for</w:t>
      </w:r>
      <w:r w:rsidR="00394B5A" w:rsidRPr="00EB48CC">
        <w:rPr>
          <w:rFonts w:asciiTheme="minorHAnsi" w:hAnsiTheme="minorHAnsi" w:cs="Arial"/>
          <w:bCs/>
          <w:snapToGrid w:val="0"/>
          <w:lang w:val="en-GB"/>
        </w:rPr>
        <w:t xml:space="preserve"> PBS listing</w:t>
      </w:r>
      <w:r w:rsidR="00F81191">
        <w:rPr>
          <w:rFonts w:asciiTheme="minorHAnsi" w:hAnsiTheme="minorHAnsi" w:cs="Arial"/>
          <w:bCs/>
          <w:snapToGrid w:val="0"/>
          <w:lang w:val="en-GB"/>
        </w:rPr>
        <w:t xml:space="preserve"> in</w:t>
      </w:r>
      <w:r w:rsidR="003F0205">
        <w:rPr>
          <w:rFonts w:asciiTheme="minorHAnsi" w:hAnsiTheme="minorHAnsi" w:cs="Arial"/>
          <w:bCs/>
          <w:snapToGrid w:val="0"/>
          <w:lang w:val="en-GB"/>
        </w:rPr>
        <w:t xml:space="preserve"> a population</w:t>
      </w:r>
      <w:r w:rsidR="00CF0EC5" w:rsidRPr="00EB48CC">
        <w:rPr>
          <w:rFonts w:asciiTheme="minorHAnsi" w:hAnsiTheme="minorHAnsi" w:cs="Arial"/>
          <w:bCs/>
          <w:snapToGrid w:val="0"/>
          <w:lang w:val="en-GB"/>
        </w:rPr>
        <w:t xml:space="preserve"> that was not adequately met by current arrangements.</w:t>
      </w:r>
    </w:p>
    <w:p w:rsidR="00E679E5" w:rsidRPr="00E679E5" w:rsidRDefault="00E679E5" w:rsidP="00E679E5">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Noting the Nutritional Products Working Party (NPWP) advice, the PBAC </w:t>
      </w:r>
      <w:r w:rsidR="00A52966">
        <w:rPr>
          <w:rFonts w:asciiTheme="minorHAnsi" w:hAnsiTheme="minorHAnsi" w:cs="Arial"/>
          <w:bCs/>
          <w:snapToGrid w:val="0"/>
          <w:lang w:val="en-GB"/>
        </w:rPr>
        <w:t xml:space="preserve">considered </w:t>
      </w:r>
      <w:r>
        <w:rPr>
          <w:rFonts w:asciiTheme="minorHAnsi" w:hAnsiTheme="minorHAnsi" w:cs="Arial"/>
          <w:bCs/>
          <w:snapToGrid w:val="0"/>
          <w:lang w:val="en-GB"/>
        </w:rPr>
        <w:t xml:space="preserve">that there </w:t>
      </w:r>
      <w:proofErr w:type="gramStart"/>
      <w:r>
        <w:rPr>
          <w:rFonts w:asciiTheme="minorHAnsi" w:hAnsiTheme="minorHAnsi" w:cs="Arial"/>
          <w:bCs/>
          <w:snapToGrid w:val="0"/>
          <w:lang w:val="en-GB"/>
        </w:rPr>
        <w:t>may</w:t>
      </w:r>
      <w:proofErr w:type="gramEnd"/>
      <w:r>
        <w:rPr>
          <w:rFonts w:asciiTheme="minorHAnsi" w:hAnsiTheme="minorHAnsi" w:cs="Arial"/>
          <w:bCs/>
          <w:snapToGrid w:val="0"/>
          <w:lang w:val="en-GB"/>
        </w:rPr>
        <w:t xml:space="preserve"> be a clinical place for enteral nutrition in the treatment algorithm for CD,</w:t>
      </w:r>
      <w:r w:rsidRPr="00E96838">
        <w:rPr>
          <w:rFonts w:asciiTheme="minorHAnsi" w:eastAsiaTheme="minorHAnsi" w:hAnsiTheme="minorHAnsi" w:cstheme="minorBidi"/>
        </w:rPr>
        <w:t xml:space="preserve"> particularly for paediatric patients where extended periods of pharmacoth</w:t>
      </w:r>
      <w:r>
        <w:rPr>
          <w:rFonts w:asciiTheme="minorHAnsi" w:eastAsiaTheme="minorHAnsi" w:hAnsiTheme="minorHAnsi" w:cstheme="minorBidi"/>
        </w:rPr>
        <w:t xml:space="preserve">erapy may be associated with unfavourable safety outcomes. </w:t>
      </w:r>
    </w:p>
    <w:p w:rsidR="00C90517" w:rsidRDefault="00CF0EC5" w:rsidP="00C9051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lastRenderedPageBreak/>
        <w:t>The PBAC agreed with the NPWP advice that the nominated comparators were inappropriate</w:t>
      </w:r>
      <w:r w:rsidR="00526CED">
        <w:rPr>
          <w:rFonts w:asciiTheme="minorHAnsi" w:hAnsiTheme="minorHAnsi" w:cs="Arial"/>
          <w:bCs/>
          <w:snapToGrid w:val="0"/>
          <w:lang w:val="en-GB"/>
        </w:rPr>
        <w:t xml:space="preserve"> and </w:t>
      </w:r>
      <w:r>
        <w:rPr>
          <w:rFonts w:asciiTheme="minorHAnsi" w:hAnsiTheme="minorHAnsi" w:cs="Arial"/>
          <w:bCs/>
          <w:snapToGrid w:val="0"/>
          <w:lang w:val="en-GB"/>
        </w:rPr>
        <w:t xml:space="preserve">considered </w:t>
      </w:r>
      <w:r w:rsidR="005574EB">
        <w:rPr>
          <w:rFonts w:asciiTheme="minorHAnsi" w:hAnsiTheme="minorHAnsi" w:cs="Arial"/>
          <w:bCs/>
          <w:snapToGrid w:val="0"/>
          <w:lang w:val="en-GB"/>
        </w:rPr>
        <w:t>all PBS listed pharmacotherapy options and enteral nutrition formulas used for CD could be relevant comparators.</w:t>
      </w:r>
      <w:r w:rsidR="006D5853">
        <w:rPr>
          <w:rFonts w:asciiTheme="minorHAnsi" w:hAnsiTheme="minorHAnsi" w:cs="Arial"/>
          <w:bCs/>
          <w:snapToGrid w:val="0"/>
          <w:lang w:val="en-GB"/>
        </w:rPr>
        <w:t xml:space="preserve"> The Committee note</w:t>
      </w:r>
      <w:r w:rsidR="004B7878">
        <w:rPr>
          <w:rFonts w:asciiTheme="minorHAnsi" w:hAnsiTheme="minorHAnsi" w:cs="Arial"/>
          <w:bCs/>
          <w:snapToGrid w:val="0"/>
          <w:lang w:val="en-GB"/>
        </w:rPr>
        <w:t>d the</w:t>
      </w:r>
      <w:r w:rsidR="005574EB">
        <w:rPr>
          <w:rFonts w:asciiTheme="minorHAnsi" w:hAnsiTheme="minorHAnsi" w:cs="Arial"/>
          <w:bCs/>
          <w:snapToGrid w:val="0"/>
          <w:lang w:val="en-GB"/>
        </w:rPr>
        <w:t xml:space="preserve"> NPWP advice</w:t>
      </w:r>
      <w:r w:rsidR="006D5853">
        <w:rPr>
          <w:rFonts w:asciiTheme="minorHAnsi" w:hAnsiTheme="minorHAnsi" w:cs="Arial"/>
          <w:bCs/>
          <w:snapToGrid w:val="0"/>
          <w:lang w:val="en-GB"/>
        </w:rPr>
        <w:t xml:space="preserve"> and clinical guidelines,</w:t>
      </w:r>
      <w:r w:rsidR="00593A90">
        <w:rPr>
          <w:rFonts w:asciiTheme="minorHAnsi" w:hAnsiTheme="minorHAnsi" w:cs="Arial"/>
          <w:bCs/>
          <w:snapToGrid w:val="0"/>
          <w:lang w:val="en-GB"/>
        </w:rPr>
        <w:t xml:space="preserve"> which</w:t>
      </w:r>
      <w:r w:rsidR="004B7878">
        <w:rPr>
          <w:rFonts w:asciiTheme="minorHAnsi" w:hAnsiTheme="minorHAnsi" w:cs="Arial"/>
          <w:bCs/>
          <w:snapToGrid w:val="0"/>
          <w:lang w:val="en-GB"/>
        </w:rPr>
        <w:t xml:space="preserve"> did</w:t>
      </w:r>
      <w:r w:rsidR="005574EB">
        <w:rPr>
          <w:rFonts w:asciiTheme="minorHAnsi" w:hAnsiTheme="minorHAnsi" w:cs="Arial"/>
          <w:bCs/>
          <w:snapToGrid w:val="0"/>
          <w:lang w:val="en-GB"/>
        </w:rPr>
        <w:t xml:space="preserve"> not recommend the long-term use of corticosteroids or pharmacotherapy in paed</w:t>
      </w:r>
      <w:r w:rsidR="006D5853">
        <w:rPr>
          <w:rFonts w:asciiTheme="minorHAnsi" w:hAnsiTheme="minorHAnsi" w:cs="Arial"/>
          <w:bCs/>
          <w:snapToGrid w:val="0"/>
          <w:lang w:val="en-GB"/>
        </w:rPr>
        <w:t>iatric patients and</w:t>
      </w:r>
      <w:r w:rsidR="00593A90">
        <w:rPr>
          <w:rFonts w:asciiTheme="minorHAnsi" w:hAnsiTheme="minorHAnsi" w:cs="Arial"/>
          <w:bCs/>
          <w:snapToGrid w:val="0"/>
          <w:lang w:val="en-GB"/>
        </w:rPr>
        <w:t xml:space="preserve"> considered</w:t>
      </w:r>
      <w:r w:rsidR="005574EB">
        <w:rPr>
          <w:rFonts w:asciiTheme="minorHAnsi" w:hAnsiTheme="minorHAnsi" w:cs="Arial"/>
          <w:bCs/>
          <w:snapToGrid w:val="0"/>
          <w:lang w:val="en-GB"/>
        </w:rPr>
        <w:t xml:space="preserve"> private m</w:t>
      </w:r>
      <w:r w:rsidR="00593A90">
        <w:rPr>
          <w:rFonts w:asciiTheme="minorHAnsi" w:hAnsiTheme="minorHAnsi" w:cs="Arial"/>
          <w:bCs/>
          <w:snapToGrid w:val="0"/>
          <w:lang w:val="en-GB"/>
        </w:rPr>
        <w:t>arket</w:t>
      </w:r>
      <w:r w:rsidR="006D5853">
        <w:rPr>
          <w:rFonts w:asciiTheme="minorHAnsi" w:hAnsiTheme="minorHAnsi" w:cs="Arial"/>
          <w:bCs/>
          <w:snapToGrid w:val="0"/>
          <w:lang w:val="en-GB"/>
        </w:rPr>
        <w:t xml:space="preserve"> or hospital-provided</w:t>
      </w:r>
      <w:r w:rsidR="00593A90">
        <w:rPr>
          <w:rFonts w:asciiTheme="minorHAnsi" w:hAnsiTheme="minorHAnsi" w:cs="Arial"/>
          <w:bCs/>
          <w:snapToGrid w:val="0"/>
          <w:lang w:val="en-GB"/>
        </w:rPr>
        <w:t xml:space="preserve"> enteral nutrition</w:t>
      </w:r>
      <w:r w:rsidR="005574EB">
        <w:rPr>
          <w:rFonts w:asciiTheme="minorHAnsi" w:hAnsiTheme="minorHAnsi" w:cs="Arial"/>
          <w:bCs/>
          <w:snapToGrid w:val="0"/>
          <w:lang w:val="en-GB"/>
        </w:rPr>
        <w:t xml:space="preserve"> </w:t>
      </w:r>
      <w:r w:rsidR="00394B5A">
        <w:rPr>
          <w:rFonts w:asciiTheme="minorHAnsi" w:hAnsiTheme="minorHAnsi" w:cs="Arial"/>
          <w:bCs/>
          <w:snapToGrid w:val="0"/>
          <w:lang w:val="en-GB"/>
        </w:rPr>
        <w:t>may be more appropriate comparators than pharmacotherapy in this population.</w:t>
      </w:r>
    </w:p>
    <w:p w:rsidR="005574EB" w:rsidRDefault="005574EB" w:rsidP="00C9051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the</w:t>
      </w:r>
      <w:r w:rsidR="00AC163F">
        <w:rPr>
          <w:rFonts w:asciiTheme="minorHAnsi" w:hAnsiTheme="minorHAnsi" w:cs="Arial"/>
          <w:bCs/>
          <w:snapToGrid w:val="0"/>
          <w:lang w:val="en-GB"/>
        </w:rPr>
        <w:t xml:space="preserve"> body of</w:t>
      </w:r>
      <w:r>
        <w:rPr>
          <w:rFonts w:asciiTheme="minorHAnsi" w:hAnsiTheme="minorHAnsi" w:cs="Arial"/>
          <w:bCs/>
          <w:snapToGrid w:val="0"/>
          <w:lang w:val="en-GB"/>
        </w:rPr>
        <w:t xml:space="preserve"> clinical evidence</w:t>
      </w:r>
      <w:r w:rsidR="00AC163F">
        <w:rPr>
          <w:rFonts w:asciiTheme="minorHAnsi" w:hAnsiTheme="minorHAnsi" w:cs="Arial"/>
          <w:bCs/>
          <w:snapToGrid w:val="0"/>
          <w:lang w:val="en-GB"/>
        </w:rPr>
        <w:t xml:space="preserve"> was generally of low quality and</w:t>
      </w:r>
      <w:r>
        <w:rPr>
          <w:rFonts w:asciiTheme="minorHAnsi" w:hAnsiTheme="minorHAnsi" w:cs="Arial"/>
          <w:bCs/>
          <w:snapToGrid w:val="0"/>
          <w:lang w:val="en-GB"/>
        </w:rPr>
        <w:t xml:space="preserve"> consisted primarily of single-arm, retrospective and</w:t>
      </w:r>
      <w:r w:rsidR="00394B5A">
        <w:rPr>
          <w:rFonts w:asciiTheme="minorHAnsi" w:hAnsiTheme="minorHAnsi" w:cs="Arial"/>
          <w:bCs/>
          <w:snapToGrid w:val="0"/>
          <w:lang w:val="en-GB"/>
        </w:rPr>
        <w:t>/or</w:t>
      </w:r>
      <w:r>
        <w:rPr>
          <w:rFonts w:asciiTheme="minorHAnsi" w:hAnsiTheme="minorHAnsi" w:cs="Arial"/>
          <w:bCs/>
          <w:snapToGrid w:val="0"/>
          <w:lang w:val="en-GB"/>
        </w:rPr>
        <w:t xml:space="preserve"> non-randomised studies</w:t>
      </w:r>
      <w:r w:rsidR="00430704">
        <w:rPr>
          <w:rFonts w:asciiTheme="minorHAnsi" w:hAnsiTheme="minorHAnsi" w:cs="Arial"/>
          <w:bCs/>
          <w:snapToGrid w:val="0"/>
          <w:lang w:val="en-GB"/>
        </w:rPr>
        <w:t xml:space="preserve">, and </w:t>
      </w:r>
      <w:r w:rsidR="00394B5A">
        <w:rPr>
          <w:rFonts w:asciiTheme="minorHAnsi" w:hAnsiTheme="minorHAnsi" w:cs="Arial"/>
          <w:bCs/>
          <w:snapToGrid w:val="0"/>
          <w:lang w:val="en-GB"/>
        </w:rPr>
        <w:t xml:space="preserve">further </w:t>
      </w:r>
      <w:r w:rsidR="00430704">
        <w:rPr>
          <w:rFonts w:asciiTheme="minorHAnsi" w:hAnsiTheme="minorHAnsi" w:cs="Arial"/>
          <w:bCs/>
          <w:snapToGrid w:val="0"/>
          <w:lang w:val="en-GB"/>
        </w:rPr>
        <w:t>noted the Cochrane Systematic Review identified by the NPWP considered the available</w:t>
      </w:r>
      <w:r w:rsidR="00394B5A">
        <w:rPr>
          <w:rFonts w:asciiTheme="minorHAnsi" w:hAnsiTheme="minorHAnsi" w:cs="Arial"/>
          <w:bCs/>
          <w:snapToGrid w:val="0"/>
          <w:lang w:val="en-GB"/>
        </w:rPr>
        <w:t xml:space="preserve"> comparative evidence to corticosteroids to also be of</w:t>
      </w:r>
      <w:r w:rsidR="00430704">
        <w:rPr>
          <w:rFonts w:asciiTheme="minorHAnsi" w:hAnsiTheme="minorHAnsi" w:cs="Arial"/>
          <w:bCs/>
          <w:snapToGrid w:val="0"/>
          <w:lang w:val="en-GB"/>
        </w:rPr>
        <w:t xml:space="preserve"> low quality</w:t>
      </w:r>
      <w:r w:rsidR="00AC163F">
        <w:rPr>
          <w:rFonts w:asciiTheme="minorHAnsi" w:hAnsiTheme="minorHAnsi" w:cs="Arial"/>
          <w:bCs/>
          <w:snapToGrid w:val="0"/>
          <w:lang w:val="en-GB"/>
        </w:rPr>
        <w:t>. The</w:t>
      </w:r>
      <w:r w:rsidR="00430704">
        <w:rPr>
          <w:rFonts w:asciiTheme="minorHAnsi" w:hAnsiTheme="minorHAnsi" w:cs="Arial"/>
          <w:bCs/>
          <w:snapToGrid w:val="0"/>
          <w:lang w:val="en-GB"/>
        </w:rPr>
        <w:t xml:space="preserve"> PBAC considered that while the presented evidence</w:t>
      </w:r>
      <w:r w:rsidR="00AC163F">
        <w:rPr>
          <w:rFonts w:asciiTheme="minorHAnsi" w:hAnsiTheme="minorHAnsi" w:cs="Arial"/>
          <w:bCs/>
          <w:snapToGrid w:val="0"/>
          <w:lang w:val="en-GB"/>
        </w:rPr>
        <w:t xml:space="preserve"> generally supported</w:t>
      </w:r>
      <w:r w:rsidR="00430704">
        <w:rPr>
          <w:rFonts w:asciiTheme="minorHAnsi" w:hAnsiTheme="minorHAnsi" w:cs="Arial"/>
          <w:bCs/>
          <w:snapToGrid w:val="0"/>
          <w:lang w:val="en-GB"/>
        </w:rPr>
        <w:t xml:space="preserve"> the contention that</w:t>
      </w:r>
      <w:r w:rsidR="00AC163F">
        <w:rPr>
          <w:rFonts w:asciiTheme="minorHAnsi" w:hAnsiTheme="minorHAnsi" w:cs="Arial"/>
          <w:bCs/>
          <w:snapToGrid w:val="0"/>
          <w:lang w:val="en-GB"/>
        </w:rPr>
        <w:t xml:space="preserve"> enteral nutrition may be of</w:t>
      </w:r>
      <w:r w:rsidR="00593A90">
        <w:rPr>
          <w:rFonts w:asciiTheme="minorHAnsi" w:hAnsiTheme="minorHAnsi" w:cs="Arial"/>
          <w:bCs/>
          <w:snapToGrid w:val="0"/>
          <w:lang w:val="en-GB"/>
        </w:rPr>
        <w:t xml:space="preserve"> some</w:t>
      </w:r>
      <w:r w:rsidR="00AC163F">
        <w:rPr>
          <w:rFonts w:asciiTheme="minorHAnsi" w:hAnsiTheme="minorHAnsi" w:cs="Arial"/>
          <w:bCs/>
          <w:snapToGrid w:val="0"/>
          <w:lang w:val="en-GB"/>
        </w:rPr>
        <w:t xml:space="preserve"> benefit</w:t>
      </w:r>
      <w:r w:rsidR="00430704">
        <w:rPr>
          <w:rFonts w:asciiTheme="minorHAnsi" w:hAnsiTheme="minorHAnsi" w:cs="Arial"/>
          <w:bCs/>
          <w:snapToGrid w:val="0"/>
          <w:lang w:val="en-GB"/>
        </w:rPr>
        <w:t xml:space="preserve"> for the induction and maintenance of remission in CD</w:t>
      </w:r>
      <w:r w:rsidR="006D5853">
        <w:rPr>
          <w:rFonts w:asciiTheme="minorHAnsi" w:hAnsiTheme="minorHAnsi" w:cs="Arial"/>
          <w:bCs/>
          <w:snapToGrid w:val="0"/>
          <w:lang w:val="en-GB"/>
        </w:rPr>
        <w:t xml:space="preserve"> in some patients</w:t>
      </w:r>
      <w:r w:rsidR="00AC163F">
        <w:rPr>
          <w:rFonts w:asciiTheme="minorHAnsi" w:hAnsiTheme="minorHAnsi" w:cs="Arial"/>
          <w:bCs/>
          <w:snapToGrid w:val="0"/>
          <w:lang w:val="en-GB"/>
        </w:rPr>
        <w:t>, it was n</w:t>
      </w:r>
      <w:r w:rsidR="004B7878">
        <w:rPr>
          <w:rFonts w:asciiTheme="minorHAnsi" w:hAnsiTheme="minorHAnsi" w:cs="Arial"/>
          <w:bCs/>
          <w:snapToGrid w:val="0"/>
          <w:lang w:val="en-GB"/>
        </w:rPr>
        <w:t xml:space="preserve">ot possible </w:t>
      </w:r>
      <w:proofErr w:type="gramStart"/>
      <w:r w:rsidR="004B7878">
        <w:rPr>
          <w:rFonts w:asciiTheme="minorHAnsi" w:hAnsiTheme="minorHAnsi" w:cs="Arial"/>
          <w:bCs/>
          <w:snapToGrid w:val="0"/>
          <w:lang w:val="en-GB"/>
        </w:rPr>
        <w:t>to reliably evaluate</w:t>
      </w:r>
      <w:proofErr w:type="gramEnd"/>
      <w:r w:rsidR="00AC163F">
        <w:rPr>
          <w:rFonts w:asciiTheme="minorHAnsi" w:hAnsiTheme="minorHAnsi" w:cs="Arial"/>
          <w:bCs/>
          <w:snapToGrid w:val="0"/>
          <w:lang w:val="en-GB"/>
        </w:rPr>
        <w:t xml:space="preserve"> the comparative effectiveness or safety of </w:t>
      </w:r>
      <w:proofErr w:type="spellStart"/>
      <w:r w:rsidR="00394B5A">
        <w:rPr>
          <w:rFonts w:asciiTheme="minorHAnsi" w:hAnsiTheme="minorHAnsi" w:cs="Arial"/>
          <w:bCs/>
          <w:snapToGrid w:val="0"/>
          <w:lang w:val="en-GB"/>
        </w:rPr>
        <w:t>Modulen</w:t>
      </w:r>
      <w:proofErr w:type="spellEnd"/>
      <w:r w:rsidR="00394B5A">
        <w:rPr>
          <w:rFonts w:asciiTheme="minorHAnsi" w:hAnsiTheme="minorHAnsi" w:cs="Arial"/>
          <w:bCs/>
          <w:snapToGrid w:val="0"/>
          <w:lang w:val="en-GB"/>
        </w:rPr>
        <w:t xml:space="preserve"> IBD with</w:t>
      </w:r>
      <w:r w:rsidR="00430704">
        <w:rPr>
          <w:rFonts w:asciiTheme="minorHAnsi" w:hAnsiTheme="minorHAnsi" w:cs="Arial"/>
          <w:bCs/>
          <w:snapToGrid w:val="0"/>
          <w:lang w:val="en-GB"/>
        </w:rPr>
        <w:t xml:space="preserve"> relevant alternatives.</w:t>
      </w:r>
    </w:p>
    <w:p w:rsidR="00C90517" w:rsidRPr="00525B39" w:rsidRDefault="00394B5A" w:rsidP="00C9051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w:t>
      </w:r>
      <w:r w:rsidR="006D5853">
        <w:rPr>
          <w:rFonts w:asciiTheme="minorHAnsi" w:hAnsiTheme="minorHAnsi" w:cs="Arial"/>
          <w:bCs/>
          <w:snapToGrid w:val="0"/>
          <w:lang w:val="en-GB"/>
        </w:rPr>
        <w:t xml:space="preserve"> agreed with the NPWP </w:t>
      </w:r>
      <w:r w:rsidR="00183BA7">
        <w:rPr>
          <w:rFonts w:asciiTheme="minorHAnsi" w:hAnsiTheme="minorHAnsi" w:cs="Arial"/>
          <w:bCs/>
          <w:snapToGrid w:val="0"/>
          <w:lang w:val="en-GB"/>
        </w:rPr>
        <w:t>that the</w:t>
      </w:r>
      <w:r>
        <w:rPr>
          <w:rFonts w:asciiTheme="minorHAnsi" w:hAnsiTheme="minorHAnsi" w:cs="Arial"/>
          <w:bCs/>
          <w:snapToGrid w:val="0"/>
          <w:lang w:val="en-GB"/>
        </w:rPr>
        <w:t xml:space="preserve"> included cost minimisati</w:t>
      </w:r>
      <w:r w:rsidR="005A497D">
        <w:rPr>
          <w:rFonts w:asciiTheme="minorHAnsi" w:hAnsiTheme="minorHAnsi" w:cs="Arial"/>
          <w:bCs/>
          <w:snapToGrid w:val="0"/>
          <w:lang w:val="en-GB"/>
        </w:rPr>
        <w:t xml:space="preserve">on analysis </w:t>
      </w:r>
      <w:r w:rsidR="00183BA7">
        <w:rPr>
          <w:rFonts w:asciiTheme="minorHAnsi" w:hAnsiTheme="minorHAnsi" w:cs="Arial"/>
          <w:bCs/>
          <w:snapToGrid w:val="0"/>
          <w:lang w:val="en-GB"/>
        </w:rPr>
        <w:t>was</w:t>
      </w:r>
      <w:r w:rsidR="005A497D">
        <w:rPr>
          <w:rFonts w:asciiTheme="minorHAnsi" w:hAnsiTheme="minorHAnsi" w:cs="Arial"/>
          <w:bCs/>
          <w:snapToGrid w:val="0"/>
          <w:lang w:val="en-GB"/>
        </w:rPr>
        <w:t xml:space="preserve"> uninformative as the nominated comparators were inappropriate.</w:t>
      </w:r>
    </w:p>
    <w:p w:rsidR="00C90517" w:rsidRPr="00E276BA" w:rsidRDefault="006D5853" w:rsidP="00C90517">
      <w:pPr>
        <w:widowControl w:val="0"/>
        <w:numPr>
          <w:ilvl w:val="1"/>
          <w:numId w:val="5"/>
        </w:numPr>
        <w:spacing w:after="120"/>
        <w:jc w:val="both"/>
      </w:pPr>
      <w:r>
        <w:rPr>
          <w:rFonts w:asciiTheme="minorHAnsi" w:hAnsiTheme="minorHAnsi" w:cs="Arial"/>
          <w:bCs/>
          <w:snapToGrid w:val="0"/>
          <w:lang w:val="en-GB"/>
        </w:rPr>
        <w:t>The PBAC considered</w:t>
      </w:r>
      <w:r w:rsidR="003F3E65">
        <w:rPr>
          <w:rFonts w:asciiTheme="minorHAnsi" w:hAnsiTheme="minorHAnsi" w:cs="Arial"/>
          <w:bCs/>
          <w:snapToGrid w:val="0"/>
          <w:lang w:val="en-GB"/>
        </w:rPr>
        <w:t xml:space="preserve"> utilisati</w:t>
      </w:r>
      <w:r>
        <w:rPr>
          <w:rFonts w:asciiTheme="minorHAnsi" w:hAnsiTheme="minorHAnsi" w:cs="Arial"/>
          <w:bCs/>
          <w:snapToGrid w:val="0"/>
          <w:lang w:val="en-GB"/>
        </w:rPr>
        <w:t xml:space="preserve">on estimates to be uncertain </w:t>
      </w:r>
      <w:r w:rsidR="00AD0958">
        <w:rPr>
          <w:rFonts w:asciiTheme="minorHAnsi" w:hAnsiTheme="minorHAnsi" w:cs="Arial"/>
          <w:bCs/>
          <w:snapToGrid w:val="0"/>
          <w:lang w:val="en-GB"/>
        </w:rPr>
        <w:t>as the uptake assu</w:t>
      </w:r>
      <w:r w:rsidR="004B7878">
        <w:rPr>
          <w:rFonts w:asciiTheme="minorHAnsi" w:hAnsiTheme="minorHAnsi" w:cs="Arial"/>
          <w:bCs/>
          <w:snapToGrid w:val="0"/>
          <w:lang w:val="en-GB"/>
        </w:rPr>
        <w:t>mptions were arbitrary and it</w:t>
      </w:r>
      <w:r w:rsidR="00AD0958">
        <w:rPr>
          <w:rFonts w:asciiTheme="minorHAnsi" w:hAnsiTheme="minorHAnsi" w:cs="Arial"/>
          <w:bCs/>
          <w:snapToGrid w:val="0"/>
          <w:lang w:val="en-GB"/>
        </w:rPr>
        <w:t xml:space="preserve"> was unclear how</w:t>
      </w:r>
      <w:r w:rsidR="004B7878">
        <w:rPr>
          <w:rFonts w:asciiTheme="minorHAnsi" w:hAnsiTheme="minorHAnsi" w:cs="Arial"/>
          <w:bCs/>
          <w:snapToGrid w:val="0"/>
          <w:lang w:val="en-GB"/>
        </w:rPr>
        <w:t xml:space="preserve"> </w:t>
      </w:r>
      <w:proofErr w:type="spellStart"/>
      <w:r w:rsidR="004B7878">
        <w:rPr>
          <w:rFonts w:asciiTheme="minorHAnsi" w:hAnsiTheme="minorHAnsi" w:cs="Arial"/>
          <w:bCs/>
          <w:snapToGrid w:val="0"/>
          <w:lang w:val="en-GB"/>
        </w:rPr>
        <w:t>Modulen</w:t>
      </w:r>
      <w:proofErr w:type="spellEnd"/>
      <w:r w:rsidR="004B7878">
        <w:rPr>
          <w:rFonts w:asciiTheme="minorHAnsi" w:hAnsiTheme="minorHAnsi" w:cs="Arial"/>
          <w:bCs/>
          <w:snapToGrid w:val="0"/>
          <w:lang w:val="en-GB"/>
        </w:rPr>
        <w:t xml:space="preserve"> IBD</w:t>
      </w:r>
      <w:r w:rsidR="00AD0958">
        <w:rPr>
          <w:rFonts w:asciiTheme="minorHAnsi" w:hAnsiTheme="minorHAnsi" w:cs="Arial"/>
          <w:bCs/>
          <w:snapToGrid w:val="0"/>
          <w:lang w:val="en-GB"/>
        </w:rPr>
        <w:t xml:space="preserve"> </w:t>
      </w:r>
      <w:r w:rsidR="004B7878">
        <w:rPr>
          <w:rFonts w:asciiTheme="minorHAnsi" w:hAnsiTheme="minorHAnsi" w:cs="Arial"/>
          <w:bCs/>
          <w:snapToGrid w:val="0"/>
          <w:lang w:val="en-GB"/>
        </w:rPr>
        <w:t xml:space="preserve">(and </w:t>
      </w:r>
      <w:r w:rsidR="00AD0958">
        <w:rPr>
          <w:rFonts w:asciiTheme="minorHAnsi" w:hAnsiTheme="minorHAnsi" w:cs="Arial"/>
          <w:bCs/>
          <w:snapToGrid w:val="0"/>
          <w:lang w:val="en-GB"/>
        </w:rPr>
        <w:t>enteral nutrition</w:t>
      </w:r>
      <w:r w:rsidR="004B7878">
        <w:rPr>
          <w:rFonts w:asciiTheme="minorHAnsi" w:hAnsiTheme="minorHAnsi" w:cs="Arial"/>
          <w:bCs/>
          <w:snapToGrid w:val="0"/>
          <w:lang w:val="en-GB"/>
        </w:rPr>
        <w:t xml:space="preserve"> more broadly)</w:t>
      </w:r>
      <w:r w:rsidR="00AD0958">
        <w:rPr>
          <w:rFonts w:asciiTheme="minorHAnsi" w:hAnsiTheme="minorHAnsi" w:cs="Arial"/>
          <w:bCs/>
          <w:snapToGrid w:val="0"/>
          <w:lang w:val="en-GB"/>
        </w:rPr>
        <w:t xml:space="preserve"> may be used in practice if listed on the PBS for the management of CD.</w:t>
      </w:r>
    </w:p>
    <w:p w:rsidR="00E276BA" w:rsidRPr="00620921" w:rsidRDefault="00E276BA" w:rsidP="00C90517">
      <w:pPr>
        <w:widowControl w:val="0"/>
        <w:numPr>
          <w:ilvl w:val="1"/>
          <w:numId w:val="5"/>
        </w:numPr>
        <w:spacing w:after="120"/>
        <w:jc w:val="both"/>
      </w:pPr>
      <w:r>
        <w:rPr>
          <w:rFonts w:asciiTheme="minorHAnsi" w:hAnsiTheme="minorHAnsi" w:cstheme="minorHAnsi"/>
        </w:rPr>
        <w:t xml:space="preserve">The PBAC </w:t>
      </w:r>
      <w:r w:rsidR="00183BA7">
        <w:rPr>
          <w:rFonts w:asciiTheme="minorHAnsi" w:hAnsiTheme="minorHAnsi" w:cstheme="minorHAnsi"/>
        </w:rPr>
        <w:t xml:space="preserve">advised that </w:t>
      </w:r>
      <w:r>
        <w:rPr>
          <w:rFonts w:asciiTheme="minorHAnsi" w:hAnsiTheme="minorHAnsi" w:cstheme="minorHAnsi"/>
        </w:rPr>
        <w:t xml:space="preserve">any resubmission should restrict the requested population to </w:t>
      </w:r>
      <w:r w:rsidR="00166B44">
        <w:rPr>
          <w:rFonts w:asciiTheme="minorHAnsi" w:hAnsiTheme="minorHAnsi" w:cstheme="minorHAnsi"/>
        </w:rPr>
        <w:t xml:space="preserve">clearly defined </w:t>
      </w:r>
      <w:r>
        <w:rPr>
          <w:rFonts w:asciiTheme="minorHAnsi" w:hAnsiTheme="minorHAnsi" w:cstheme="minorHAnsi"/>
        </w:rPr>
        <w:t xml:space="preserve">groups </w:t>
      </w:r>
      <w:r w:rsidR="00166B44">
        <w:rPr>
          <w:rFonts w:asciiTheme="minorHAnsi" w:hAnsiTheme="minorHAnsi" w:cstheme="minorHAnsi"/>
        </w:rPr>
        <w:t>in whom there is a current unmet need, which may include those outlined in the pre-PBAC response.</w:t>
      </w:r>
    </w:p>
    <w:p w:rsidR="00394B5A" w:rsidRPr="00394B5A" w:rsidRDefault="00C90517" w:rsidP="00394B5A">
      <w:pPr>
        <w:widowControl w:val="0"/>
        <w:numPr>
          <w:ilvl w:val="1"/>
          <w:numId w:val="5"/>
        </w:numPr>
        <w:spacing w:after="120"/>
        <w:jc w:val="both"/>
        <w:rPr>
          <w:rFonts w:asciiTheme="minorHAnsi" w:hAnsiTheme="minorHAnsi" w:cs="Arial"/>
          <w:b/>
          <w:bCs/>
          <w:snapToGrid w:val="0"/>
          <w:lang w:val="en-GB"/>
        </w:rPr>
      </w:pPr>
      <w:r w:rsidRPr="00525B39">
        <w:rPr>
          <w:rFonts w:asciiTheme="minorHAnsi" w:hAnsiTheme="minorHAnsi" w:cs="Arial"/>
          <w:bCs/>
          <w:snapToGrid w:val="0"/>
          <w:lang w:val="en-GB"/>
        </w:rPr>
        <w:t>The PBAC note</w:t>
      </w:r>
      <w:r w:rsidR="00394B5A">
        <w:rPr>
          <w:rFonts w:asciiTheme="minorHAnsi" w:hAnsiTheme="minorHAnsi" w:cs="Arial"/>
          <w:bCs/>
          <w:snapToGrid w:val="0"/>
          <w:lang w:val="en-GB"/>
        </w:rPr>
        <w:t>d that this submission is</w:t>
      </w:r>
      <w:r w:rsidRPr="00525B39">
        <w:rPr>
          <w:rFonts w:asciiTheme="minorHAnsi" w:hAnsiTheme="minorHAnsi" w:cs="Arial"/>
          <w:bCs/>
          <w:snapToGrid w:val="0"/>
          <w:lang w:val="en-GB"/>
        </w:rPr>
        <w:t xml:space="preserve"> eligible for an Independent Review. </w:t>
      </w:r>
    </w:p>
    <w:p w:rsidR="00394B5A" w:rsidRDefault="00394B5A" w:rsidP="00394B5A">
      <w:pPr>
        <w:widowControl w:val="0"/>
        <w:spacing w:after="120"/>
        <w:jc w:val="both"/>
        <w:rPr>
          <w:rFonts w:asciiTheme="minorHAnsi" w:hAnsiTheme="minorHAnsi" w:cs="Arial"/>
          <w:bCs/>
          <w:snapToGrid w:val="0"/>
          <w:lang w:val="en-GB"/>
        </w:rPr>
      </w:pPr>
    </w:p>
    <w:p w:rsidR="00C90517" w:rsidRPr="00525B39" w:rsidRDefault="00C90517" w:rsidP="00394B5A">
      <w:pPr>
        <w:widowControl w:val="0"/>
        <w:spacing w:after="12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C90517" w:rsidRPr="00525B39" w:rsidRDefault="00394B5A" w:rsidP="00C90517">
      <w:pPr>
        <w:jc w:val="both"/>
        <w:rPr>
          <w:rFonts w:asciiTheme="minorHAnsi" w:hAnsiTheme="minorHAnsi" w:cs="Arial"/>
          <w:bCs/>
          <w:snapToGrid w:val="0"/>
          <w:lang w:val="en-GB"/>
        </w:rPr>
      </w:pPr>
      <w:r>
        <w:rPr>
          <w:rFonts w:asciiTheme="minorHAnsi" w:hAnsiTheme="minorHAnsi" w:cs="Arial"/>
          <w:bCs/>
          <w:snapToGrid w:val="0"/>
          <w:lang w:val="en-GB"/>
        </w:rPr>
        <w:t>Rejected</w:t>
      </w:r>
    </w:p>
    <w:p w:rsidR="00A42C25" w:rsidRDefault="00A42C25" w:rsidP="00344D2B">
      <w:pPr>
        <w:rPr>
          <w:rFonts w:asciiTheme="minorHAnsi" w:hAnsiTheme="minorHAnsi"/>
          <w:b/>
          <w:sz w:val="22"/>
          <w:szCs w:val="22"/>
        </w:rPr>
      </w:pPr>
    </w:p>
    <w:p w:rsidR="00222FC6" w:rsidRDefault="00222FC6" w:rsidP="00222FC6">
      <w:pPr>
        <w:pStyle w:val="2Sections"/>
        <w:rPr>
          <w:color w:val="1F497D"/>
        </w:rPr>
      </w:pPr>
      <w:r w:rsidRPr="00C07617">
        <w:t>Context for Decision</w:t>
      </w:r>
    </w:p>
    <w:p w:rsidR="00222FC6" w:rsidRDefault="00222FC6" w:rsidP="00AE080A">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cs="Arial"/>
          <w:bCs/>
          <w:lang w:val="en-GB"/>
        </w:rPr>
        <w:t>should be made</w:t>
      </w:r>
      <w:proofErr w:type="gramEnd"/>
      <w:r w:rsidRPr="007129F2">
        <w:rPr>
          <w:rFonts w:asciiTheme="minorHAnsi" w:hAnsiTheme="minorHAnsi" w:cs="Arial"/>
          <w:bCs/>
          <w:lang w:val="en-GB"/>
        </w:rPr>
        <w:t xml:space="preserve"> available through the PBS. The PBAC welcomes applications containing new information at any time.</w:t>
      </w:r>
    </w:p>
    <w:p w:rsidR="00AE080A" w:rsidRPr="007129F2" w:rsidRDefault="00AE080A" w:rsidP="00AE080A">
      <w:pPr>
        <w:rPr>
          <w:rFonts w:asciiTheme="minorHAnsi" w:hAnsiTheme="minorHAnsi" w:cs="Arial"/>
          <w:bCs/>
          <w:lang w:val="en-GB"/>
        </w:rPr>
      </w:pPr>
    </w:p>
    <w:p w:rsidR="00222FC6" w:rsidRPr="00C07617" w:rsidRDefault="00222FC6" w:rsidP="00222FC6">
      <w:pPr>
        <w:pStyle w:val="2Sections"/>
        <w:rPr>
          <w:b w:val="0"/>
        </w:rPr>
      </w:pPr>
      <w:r>
        <w:lastRenderedPageBreak/>
        <w:t>Sponsor’s Comment</w:t>
      </w:r>
    </w:p>
    <w:p w:rsidR="00222FC6" w:rsidRPr="00BC4D44" w:rsidRDefault="00222FC6" w:rsidP="00AE080A">
      <w:pPr>
        <w:spacing w:after="120"/>
        <w:jc w:val="both"/>
        <w:rPr>
          <w:rFonts w:asciiTheme="minorHAnsi" w:hAnsiTheme="minorHAnsi" w:cs="Arial"/>
          <w:bCs/>
        </w:rPr>
      </w:pPr>
      <w:r w:rsidRPr="00C07617">
        <w:rPr>
          <w:rFonts w:asciiTheme="minorHAnsi" w:hAnsiTheme="minorHAnsi" w:cs="Arial"/>
          <w:bCs/>
        </w:rPr>
        <w:t>The sponsor had no comment.</w:t>
      </w:r>
    </w:p>
    <w:p w:rsidR="00222FC6" w:rsidRPr="00344D2B" w:rsidRDefault="00222FC6" w:rsidP="00344D2B">
      <w:pPr>
        <w:rPr>
          <w:rFonts w:asciiTheme="minorHAnsi" w:hAnsiTheme="minorHAnsi"/>
          <w:b/>
          <w:sz w:val="22"/>
          <w:szCs w:val="22"/>
        </w:rPr>
      </w:pPr>
    </w:p>
    <w:sectPr w:rsidR="00222FC6" w:rsidRPr="00344D2B"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9ED" w:rsidRDefault="007849ED">
      <w:r>
        <w:separator/>
      </w:r>
    </w:p>
    <w:p w:rsidR="007849ED" w:rsidRDefault="007849ED"/>
  </w:endnote>
  <w:endnote w:type="continuationSeparator" w:id="0">
    <w:p w:rsidR="007849ED" w:rsidRDefault="007849ED">
      <w:r>
        <w:continuationSeparator/>
      </w:r>
    </w:p>
    <w:p w:rsidR="007849ED" w:rsidRDefault="00784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F7FB8" w:rsidTr="005A3173">
      <w:trPr>
        <w:trHeight w:val="151"/>
      </w:trPr>
      <w:tc>
        <w:tcPr>
          <w:tcW w:w="2250" w:type="pct"/>
          <w:tcBorders>
            <w:top w:val="nil"/>
            <w:left w:val="nil"/>
            <w:bottom w:val="single" w:sz="4" w:space="0" w:color="4F81BD"/>
            <w:right w:val="nil"/>
          </w:tcBorders>
        </w:tcPr>
        <w:p w:rsidR="009F7FB8" w:rsidRPr="005A3173" w:rsidRDefault="009F7FB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7FB8" w:rsidRPr="005A3173" w:rsidRDefault="009F7F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7FB8" w:rsidRPr="005A3173" w:rsidRDefault="009F7FB8" w:rsidP="005A3173">
          <w:pPr>
            <w:pStyle w:val="Header"/>
            <w:spacing w:line="276" w:lineRule="auto"/>
            <w:rPr>
              <w:rFonts w:ascii="Calibri" w:eastAsia="MS Gothic" w:hAnsi="Calibri"/>
              <w:b/>
              <w:bCs/>
              <w:color w:val="4F81BD"/>
            </w:rPr>
          </w:pPr>
        </w:p>
      </w:tc>
    </w:tr>
    <w:tr w:rsidR="009F7FB8" w:rsidTr="005A3173">
      <w:trPr>
        <w:trHeight w:val="150"/>
      </w:trPr>
      <w:tc>
        <w:tcPr>
          <w:tcW w:w="2250" w:type="pct"/>
          <w:tcBorders>
            <w:top w:val="single" w:sz="4" w:space="0" w:color="4F81BD"/>
            <w:left w:val="nil"/>
            <w:bottom w:val="nil"/>
            <w:right w:val="nil"/>
          </w:tcBorders>
        </w:tcPr>
        <w:p w:rsidR="009F7FB8" w:rsidRPr="005A3173" w:rsidRDefault="009F7FB8" w:rsidP="005A3173">
          <w:pPr>
            <w:pStyle w:val="Header"/>
            <w:spacing w:line="276" w:lineRule="auto"/>
            <w:rPr>
              <w:rFonts w:ascii="Calibri" w:eastAsia="MS Gothic" w:hAnsi="Calibri"/>
              <w:b/>
              <w:bCs/>
              <w:color w:val="4F81BD"/>
            </w:rPr>
          </w:pPr>
        </w:p>
      </w:tc>
      <w:tc>
        <w:tcPr>
          <w:tcW w:w="0" w:type="auto"/>
          <w:vMerge/>
          <w:vAlign w:val="center"/>
          <w:hideMark/>
        </w:tcPr>
        <w:p w:rsidR="009F7FB8" w:rsidRPr="005A3173" w:rsidRDefault="009F7FB8"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7FB8" w:rsidRPr="005A3173" w:rsidRDefault="009F7FB8" w:rsidP="005A3173">
          <w:pPr>
            <w:pStyle w:val="Header"/>
            <w:spacing w:line="276" w:lineRule="auto"/>
            <w:rPr>
              <w:rFonts w:ascii="Calibri" w:eastAsia="MS Gothic" w:hAnsi="Calibri"/>
              <w:b/>
              <w:bCs/>
              <w:color w:val="4F81BD"/>
            </w:rPr>
          </w:pPr>
        </w:p>
      </w:tc>
    </w:tr>
  </w:tbl>
  <w:p w:rsidR="009F7FB8" w:rsidRDefault="009F7FB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7FB8" w:rsidRDefault="009F7FB8">
    <w:pPr>
      <w:pStyle w:val="Footer"/>
    </w:pPr>
  </w:p>
  <w:p w:rsidR="009F7FB8" w:rsidRDefault="009F7F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B8" w:rsidRDefault="009F7FB8" w:rsidP="00E27234">
    <w:pPr>
      <w:pStyle w:val="PBACFooter"/>
      <w:rPr>
        <w:rFonts w:asciiTheme="minorHAnsi" w:hAnsiTheme="minorHAnsi" w:cstheme="minorHAnsi"/>
        <w:sz w:val="24"/>
      </w:rPr>
    </w:pPr>
  </w:p>
  <w:p w:rsidR="009F7FB8" w:rsidRPr="0026388D" w:rsidRDefault="009F7FB8" w:rsidP="0026388D">
    <w:pPr>
      <w:pStyle w:val="Footer"/>
      <w:keepNext/>
      <w:ind w:left="360"/>
      <w:jc w:val="center"/>
      <w:rPr>
        <w:rFonts w:asciiTheme="minorHAnsi" w:hAnsiTheme="minorHAnsi" w:cs="Arial"/>
      </w:rPr>
    </w:pPr>
    <w:r>
      <w:rPr>
        <w:rFonts w:ascii="Calibri" w:hAnsi="Calibri" w:cs="Arial"/>
        <w:b/>
      </w:rPr>
      <w:t xml:space="preserve"> </w:t>
    </w:r>
    <w:r w:rsidRPr="00836F75">
      <w:rPr>
        <w:rFonts w:ascii="Calibri" w:hAnsi="Calibri" w:cs="Arial"/>
        <w:b/>
      </w:rPr>
      <w:fldChar w:fldCharType="begin"/>
    </w:r>
    <w:r w:rsidRPr="00836F75">
      <w:rPr>
        <w:rFonts w:ascii="Calibri" w:hAnsi="Calibri" w:cs="Arial"/>
        <w:b/>
      </w:rPr>
      <w:instrText xml:space="preserve"> PAGE   \* MERGEFORMAT </w:instrText>
    </w:r>
    <w:r w:rsidRPr="00836F75">
      <w:rPr>
        <w:rFonts w:ascii="Calibri" w:hAnsi="Calibri" w:cs="Arial"/>
        <w:b/>
      </w:rPr>
      <w:fldChar w:fldCharType="separate"/>
    </w:r>
    <w:r w:rsidR="00C65EDD">
      <w:rPr>
        <w:rFonts w:ascii="Calibri" w:hAnsi="Calibri" w:cs="Arial"/>
        <w:b/>
        <w:noProof/>
      </w:rPr>
      <w:t>8</w:t>
    </w:r>
    <w:r w:rsidRPr="00836F75">
      <w:rPr>
        <w:rFonts w:ascii="Calibri" w:hAnsi="Calibri" w:cs="Arial"/>
        <w:b/>
        <w:noProof/>
      </w:rPr>
      <w:fldChar w:fldCharType="end"/>
    </w:r>
    <w:r>
      <w:rPr>
        <w:rFonts w:ascii="Calibri" w:hAnsi="Calibri" w:cs="Arial"/>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9F7FB8" w:rsidTr="005A3173">
      <w:trPr>
        <w:trHeight w:val="151"/>
      </w:trPr>
      <w:tc>
        <w:tcPr>
          <w:tcW w:w="2250" w:type="pct"/>
          <w:tcBorders>
            <w:top w:val="nil"/>
            <w:left w:val="nil"/>
            <w:bottom w:val="single" w:sz="4" w:space="0" w:color="4F81BD"/>
            <w:right w:val="nil"/>
          </w:tcBorders>
        </w:tcPr>
        <w:p w:rsidR="009F7FB8" w:rsidRPr="005A3173" w:rsidRDefault="009F7FB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7FB8" w:rsidRPr="005A3173" w:rsidRDefault="009F7F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7FB8" w:rsidRPr="005A3173" w:rsidRDefault="009F7FB8" w:rsidP="005A3173">
          <w:pPr>
            <w:pStyle w:val="Header"/>
            <w:spacing w:line="276" w:lineRule="auto"/>
            <w:rPr>
              <w:rFonts w:ascii="Calibri" w:eastAsia="MS Gothic" w:hAnsi="Calibri"/>
              <w:b/>
              <w:bCs/>
              <w:color w:val="4F81BD"/>
            </w:rPr>
          </w:pPr>
        </w:p>
      </w:tc>
    </w:tr>
    <w:tr w:rsidR="009F7FB8" w:rsidTr="005A3173">
      <w:trPr>
        <w:trHeight w:val="150"/>
      </w:trPr>
      <w:tc>
        <w:tcPr>
          <w:tcW w:w="2250" w:type="pct"/>
          <w:tcBorders>
            <w:top w:val="single" w:sz="4" w:space="0" w:color="4F81BD"/>
            <w:left w:val="nil"/>
            <w:bottom w:val="nil"/>
            <w:right w:val="nil"/>
          </w:tcBorders>
        </w:tcPr>
        <w:p w:rsidR="009F7FB8" w:rsidRPr="005A3173" w:rsidRDefault="009F7FB8" w:rsidP="005A3173">
          <w:pPr>
            <w:pStyle w:val="Header"/>
            <w:spacing w:line="276" w:lineRule="auto"/>
            <w:rPr>
              <w:rFonts w:ascii="Calibri" w:eastAsia="MS Gothic" w:hAnsi="Calibri"/>
              <w:b/>
              <w:bCs/>
              <w:color w:val="4F81BD"/>
            </w:rPr>
          </w:pPr>
        </w:p>
      </w:tc>
      <w:tc>
        <w:tcPr>
          <w:tcW w:w="0" w:type="auto"/>
          <w:vMerge/>
          <w:vAlign w:val="center"/>
          <w:hideMark/>
        </w:tcPr>
        <w:p w:rsidR="009F7FB8" w:rsidRPr="005A3173" w:rsidRDefault="009F7FB8"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7FB8" w:rsidRPr="005A3173" w:rsidRDefault="009F7FB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F7FB8" w:rsidTr="005A3173">
      <w:trPr>
        <w:trHeight w:val="151"/>
      </w:trPr>
      <w:tc>
        <w:tcPr>
          <w:tcW w:w="2250" w:type="pct"/>
          <w:tcBorders>
            <w:top w:val="nil"/>
            <w:left w:val="nil"/>
            <w:bottom w:val="single" w:sz="4" w:space="0" w:color="4F81BD"/>
            <w:right w:val="nil"/>
          </w:tcBorders>
        </w:tcPr>
        <w:p w:rsidR="009F7FB8" w:rsidRPr="005A3173" w:rsidRDefault="009F7FB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7FB8" w:rsidRPr="005A3173" w:rsidRDefault="009F7F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7FB8" w:rsidRPr="005A3173" w:rsidRDefault="009F7FB8" w:rsidP="005A3173">
          <w:pPr>
            <w:pStyle w:val="Header"/>
            <w:spacing w:line="276" w:lineRule="auto"/>
            <w:rPr>
              <w:rFonts w:ascii="Calibri" w:eastAsia="MS Gothic" w:hAnsi="Calibri"/>
              <w:b/>
              <w:bCs/>
              <w:color w:val="4F81BD"/>
            </w:rPr>
          </w:pPr>
        </w:p>
      </w:tc>
    </w:tr>
    <w:tr w:rsidR="009F7FB8" w:rsidTr="005A3173">
      <w:trPr>
        <w:trHeight w:val="150"/>
      </w:trPr>
      <w:tc>
        <w:tcPr>
          <w:tcW w:w="2250" w:type="pct"/>
          <w:tcBorders>
            <w:top w:val="single" w:sz="4" w:space="0" w:color="4F81BD"/>
            <w:left w:val="nil"/>
            <w:bottom w:val="nil"/>
            <w:right w:val="nil"/>
          </w:tcBorders>
        </w:tcPr>
        <w:p w:rsidR="009F7FB8" w:rsidRPr="005A3173" w:rsidRDefault="009F7FB8" w:rsidP="005A3173">
          <w:pPr>
            <w:pStyle w:val="Header"/>
            <w:spacing w:line="276" w:lineRule="auto"/>
            <w:rPr>
              <w:rFonts w:ascii="Calibri" w:eastAsia="MS Gothic" w:hAnsi="Calibri"/>
              <w:b/>
              <w:bCs/>
              <w:color w:val="4F81BD"/>
            </w:rPr>
          </w:pPr>
        </w:p>
      </w:tc>
      <w:tc>
        <w:tcPr>
          <w:tcW w:w="0" w:type="auto"/>
          <w:vMerge/>
          <w:vAlign w:val="center"/>
          <w:hideMark/>
        </w:tcPr>
        <w:p w:rsidR="009F7FB8" w:rsidRPr="005A3173" w:rsidRDefault="009F7FB8"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7FB8" w:rsidRPr="005A3173" w:rsidRDefault="009F7FB8" w:rsidP="005A3173">
          <w:pPr>
            <w:pStyle w:val="Header"/>
            <w:spacing w:line="276" w:lineRule="auto"/>
            <w:rPr>
              <w:rFonts w:ascii="Calibri" w:eastAsia="MS Gothic" w:hAnsi="Calibri"/>
              <w:b/>
              <w:bCs/>
              <w:color w:val="4F81BD"/>
            </w:rPr>
          </w:pPr>
        </w:p>
      </w:tc>
    </w:tr>
  </w:tbl>
  <w:p w:rsidR="009F7FB8" w:rsidRPr="007C0F57" w:rsidRDefault="009F7FB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F7FB8" w:rsidRPr="007C0F57" w:rsidRDefault="009F7FB8" w:rsidP="007C0F57">
    <w:pPr>
      <w:pStyle w:val="Footer"/>
      <w:jc w:val="center"/>
      <w:rPr>
        <w:b/>
        <w:i/>
        <w:sz w:val="20"/>
        <w:szCs w:val="20"/>
      </w:rPr>
    </w:pPr>
    <w:r w:rsidRPr="007C0F57">
      <w:rPr>
        <w:b/>
        <w:i/>
        <w:sz w:val="20"/>
        <w:szCs w:val="20"/>
      </w:rPr>
      <w:t>Commercial-in-Confidence</w:t>
    </w:r>
  </w:p>
  <w:p w:rsidR="009F7FB8" w:rsidRDefault="009F7F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9ED" w:rsidRDefault="007849ED">
      <w:r>
        <w:separator/>
      </w:r>
    </w:p>
    <w:p w:rsidR="007849ED" w:rsidRDefault="007849ED"/>
  </w:footnote>
  <w:footnote w:type="continuationSeparator" w:id="0">
    <w:p w:rsidR="007849ED" w:rsidRDefault="007849ED">
      <w:r>
        <w:continuationSeparator/>
      </w:r>
    </w:p>
    <w:p w:rsidR="007849ED" w:rsidRDefault="007849ED"/>
  </w:footnote>
  <w:footnote w:id="1">
    <w:p w:rsidR="009F7FB8" w:rsidRDefault="009F7FB8" w:rsidP="00D3373F">
      <w:pPr>
        <w:pStyle w:val="FootnoteText"/>
      </w:pPr>
      <w:r>
        <w:rPr>
          <w:rStyle w:val="FootnoteReference"/>
        </w:rPr>
        <w:footnoteRef/>
      </w:r>
      <w:r>
        <w:t xml:space="preserve"> </w:t>
      </w:r>
      <w:r w:rsidRPr="000F5BF2">
        <w:rPr>
          <w:rFonts w:ascii="Arial Narrow" w:hAnsi="Arial Narrow"/>
        </w:rPr>
        <w:t>Gastroenterological Society of Australia (GESA), 2018. Inflammatory Bowel Disease – Clinical Update for General Practitioners and Physicians. Melbourne, Victoria: GESA</w:t>
      </w:r>
    </w:p>
  </w:footnote>
  <w:footnote w:id="2">
    <w:p w:rsidR="009F7FB8" w:rsidRPr="00854C30" w:rsidRDefault="009F7FB8">
      <w:pPr>
        <w:pStyle w:val="FootnoteText"/>
      </w:pPr>
      <w:r>
        <w:rPr>
          <w:rStyle w:val="FootnoteReference"/>
        </w:rPr>
        <w:footnoteRef/>
      </w:r>
      <w:r>
        <w:t xml:space="preserve"> </w:t>
      </w:r>
      <w:r w:rsidRPr="00854C30">
        <w:rPr>
          <w:rFonts w:asciiTheme="minorHAnsi" w:hAnsiTheme="minorHAnsi" w:cstheme="minorHAnsi"/>
        </w:rPr>
        <w:t>Hartman</w:t>
      </w:r>
      <w:r>
        <w:rPr>
          <w:rFonts w:asciiTheme="minorHAnsi" w:hAnsiTheme="minorHAnsi" w:cstheme="minorHAnsi"/>
        </w:rPr>
        <w:t xml:space="preserve"> C</w:t>
      </w:r>
      <w:r w:rsidRPr="00854C30">
        <w:rPr>
          <w:rFonts w:asciiTheme="minorHAnsi" w:hAnsiTheme="minorHAnsi" w:cstheme="minorHAnsi"/>
        </w:rPr>
        <w:t xml:space="preserve">, </w:t>
      </w:r>
      <w:r w:rsidRPr="00854C30">
        <w:rPr>
          <w:rFonts w:asciiTheme="minorHAnsi" w:hAnsiTheme="minorHAnsi" w:cstheme="minorHAnsi"/>
          <w:i/>
        </w:rPr>
        <w:t>et al</w:t>
      </w:r>
      <w:r w:rsidRPr="00854C30">
        <w:rPr>
          <w:rFonts w:asciiTheme="minorHAnsi" w:hAnsiTheme="minorHAnsi" w:cstheme="minorHAnsi"/>
        </w:rPr>
        <w:t xml:space="preserve"> </w:t>
      </w:r>
      <w:r>
        <w:rPr>
          <w:rFonts w:asciiTheme="minorHAnsi" w:hAnsiTheme="minorHAnsi" w:cstheme="minorHAnsi"/>
        </w:rPr>
        <w:t>(</w:t>
      </w:r>
      <w:r w:rsidRPr="00854C30">
        <w:rPr>
          <w:rFonts w:asciiTheme="minorHAnsi" w:hAnsiTheme="minorHAnsi" w:cstheme="minorHAnsi"/>
        </w:rPr>
        <w:t>2008</w:t>
      </w:r>
      <w:r>
        <w:rPr>
          <w:rFonts w:asciiTheme="minorHAnsi" w:hAnsiTheme="minorHAnsi" w:cstheme="minorHAnsi"/>
        </w:rPr>
        <w:t>)</w:t>
      </w:r>
      <w:r w:rsidRPr="00854C30">
        <w:rPr>
          <w:rFonts w:asciiTheme="minorHAnsi" w:hAnsiTheme="minorHAnsi" w:cstheme="minorHAnsi"/>
        </w:rPr>
        <w:t>.</w:t>
      </w:r>
      <w:r>
        <w:rPr>
          <w:rFonts w:asciiTheme="minorHAnsi" w:hAnsiTheme="minorHAnsi" w:cstheme="minorHAnsi"/>
        </w:rPr>
        <w:t xml:space="preserve"> Nutritional Supplementation with Polymeric Diet Enriched with Transforming Growth Factor-Beta 2 for Children with Crohn’s Disease. The Israel Medical Association Journal, Volume 10, July 2008, pp 503-507.</w:t>
      </w:r>
      <w:r w:rsidRPr="00854C30">
        <w:rPr>
          <w:rFonts w:asciiTheme="minorHAnsi" w:hAnsiTheme="minorHAnsi" w:cstheme="minorHAnsi"/>
        </w:rPr>
        <w:t xml:space="preserve"> </w:t>
      </w:r>
    </w:p>
  </w:footnote>
  <w:footnote w:id="3">
    <w:p w:rsidR="009F7FB8" w:rsidRDefault="009F7FB8">
      <w:pPr>
        <w:pStyle w:val="FootnoteText"/>
      </w:pPr>
      <w:r>
        <w:rPr>
          <w:rStyle w:val="FootnoteReference"/>
        </w:rPr>
        <w:footnoteRef/>
      </w:r>
      <w:r>
        <w:t xml:space="preserve"> </w:t>
      </w:r>
      <w:r w:rsidRPr="00380819">
        <w:rPr>
          <w:rFonts w:asciiTheme="minorHAnsi" w:hAnsiTheme="minorHAnsi" w:cstheme="minorHAnsi"/>
        </w:rPr>
        <w:t>Paediatric Crohn’s Disease Activity Index</w:t>
      </w:r>
    </w:p>
  </w:footnote>
  <w:footnote w:id="4">
    <w:p w:rsidR="009F7FB8" w:rsidRPr="008D1EF6" w:rsidRDefault="009F7FB8" w:rsidP="00A42C25">
      <w:pPr>
        <w:pStyle w:val="FootnoteText"/>
        <w:rPr>
          <w:rFonts w:ascii="Arial Narrow" w:hAnsi="Arial Narrow"/>
        </w:rPr>
      </w:pPr>
      <w:r w:rsidRPr="008D1EF6">
        <w:rPr>
          <w:rStyle w:val="FootnoteReference"/>
          <w:rFonts w:ascii="Arial Narrow" w:hAnsi="Arial Narrow"/>
        </w:rPr>
        <w:footnoteRef/>
      </w:r>
      <w:r w:rsidRPr="008D1EF6">
        <w:rPr>
          <w:rFonts w:ascii="Arial Narrow" w:hAnsi="Arial Narrow"/>
        </w:rPr>
        <w:t xml:space="preserve"> </w:t>
      </w:r>
      <w:proofErr w:type="spellStart"/>
      <w:r w:rsidRPr="008D1EF6">
        <w:rPr>
          <w:rFonts w:ascii="Arial Narrow" w:hAnsi="Arial Narrow"/>
        </w:rPr>
        <w:t>Narula</w:t>
      </w:r>
      <w:proofErr w:type="spellEnd"/>
      <w:r w:rsidRPr="008D1EF6">
        <w:rPr>
          <w:rFonts w:ascii="Arial Narrow" w:hAnsi="Arial Narrow"/>
        </w:rPr>
        <w:t xml:space="preserve"> N, </w:t>
      </w:r>
      <w:proofErr w:type="spellStart"/>
      <w:r w:rsidRPr="008D1EF6">
        <w:rPr>
          <w:rFonts w:ascii="Arial Narrow" w:hAnsi="Arial Narrow"/>
        </w:rPr>
        <w:t>Dhillon</w:t>
      </w:r>
      <w:proofErr w:type="spellEnd"/>
      <w:r w:rsidRPr="008D1EF6">
        <w:rPr>
          <w:rFonts w:ascii="Arial Narrow" w:hAnsi="Arial Narrow"/>
        </w:rPr>
        <w:t xml:space="preserve"> A, Zhang D, Sherlock ME, </w:t>
      </w:r>
      <w:proofErr w:type="spellStart"/>
      <w:r w:rsidRPr="008D1EF6">
        <w:rPr>
          <w:rFonts w:ascii="Arial Narrow" w:hAnsi="Arial Narrow"/>
        </w:rPr>
        <w:t>Tondeur</w:t>
      </w:r>
      <w:proofErr w:type="spellEnd"/>
      <w:r w:rsidRPr="008D1EF6">
        <w:rPr>
          <w:rFonts w:ascii="Arial Narrow" w:hAnsi="Arial Narrow"/>
        </w:rPr>
        <w:t xml:space="preserve"> M, </w:t>
      </w:r>
      <w:proofErr w:type="spellStart"/>
      <w:r w:rsidRPr="008D1EF6">
        <w:rPr>
          <w:rFonts w:ascii="Arial Narrow" w:hAnsi="Arial Narrow"/>
        </w:rPr>
        <w:t>Zachos</w:t>
      </w:r>
      <w:proofErr w:type="spellEnd"/>
      <w:r w:rsidRPr="008D1EF6">
        <w:rPr>
          <w:rFonts w:ascii="Arial Narrow" w:hAnsi="Arial Narrow"/>
        </w:rPr>
        <w:t xml:space="preserve"> M. Enteral nutritional therapy for induction of remission in Crohn's disease. Cochrane Database of Systematic Reviews 2018, Issue 4. Art. No.: CD000542. DOI: 10.1002/14651858.CD000542.pub3</w:t>
      </w:r>
    </w:p>
  </w:footnote>
  <w:footnote w:id="5">
    <w:p w:rsidR="009F7FB8" w:rsidRDefault="009F7FB8">
      <w:pPr>
        <w:pStyle w:val="FootnoteText"/>
      </w:pPr>
      <w:r w:rsidRPr="008D1EF6">
        <w:rPr>
          <w:rStyle w:val="FootnoteReference"/>
          <w:rFonts w:ascii="Arial Narrow" w:hAnsi="Arial Narrow"/>
        </w:rPr>
        <w:footnoteRef/>
      </w:r>
      <w:r w:rsidRPr="008D1EF6">
        <w:rPr>
          <w:rFonts w:ascii="Arial Narrow" w:hAnsi="Arial Narrow"/>
        </w:rPr>
        <w:t xml:space="preserve"> Table 3.4, </w:t>
      </w:r>
      <w:proofErr w:type="spellStart"/>
      <w:r w:rsidRPr="008D1EF6">
        <w:rPr>
          <w:rFonts w:ascii="Arial Narrow" w:hAnsi="Arial Narrow"/>
        </w:rPr>
        <w:t>pg</w:t>
      </w:r>
      <w:proofErr w:type="spellEnd"/>
      <w:r w:rsidRPr="008D1EF6">
        <w:rPr>
          <w:rFonts w:ascii="Arial Narrow" w:hAnsi="Arial Narrow"/>
        </w:rPr>
        <w:t xml:space="preserve"> 46 of the submission. Reference prices in submission sourced 11 December 2019 from </w:t>
      </w:r>
      <w:hyperlink r:id="rId1" w:tooltip="Reference prices in submission sourced 11 December 2019" w:history="1">
        <w:r w:rsidRPr="008D1EF6">
          <w:rPr>
            <w:rStyle w:val="Hyperlink"/>
            <w:rFonts w:ascii="Arial Narrow" w:hAnsi="Arial Narrow"/>
          </w:rPr>
          <w:t>www.pharmacyonline.com.au</w:t>
        </w:r>
      </w:hyperlink>
      <w:r w:rsidRPr="008D1EF6">
        <w:rPr>
          <w:rFonts w:ascii="Arial Narrow" w:hAnsi="Arial Narrow"/>
        </w:rPr>
        <w:t xml:space="preserve"> and </w:t>
      </w:r>
      <w:hyperlink r:id="rId2" w:tooltip="Reference prices in submission sourced 11 December 2019 " w:history="1">
        <w:r w:rsidRPr="008D1EF6">
          <w:rPr>
            <w:rStyle w:val="Hyperlink"/>
            <w:rFonts w:ascii="Arial Narrow" w:hAnsi="Arial Narrow"/>
          </w:rPr>
          <w:t>www.chemistdirect.com.au</w:t>
        </w:r>
      </w:hyperlink>
      <w:r w:rsidRPr="008D1EF6">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F7FB8" w:rsidRPr="008E0D90" w:rsidTr="00A06225">
      <w:trPr>
        <w:trHeight w:val="151"/>
      </w:trPr>
      <w:tc>
        <w:tcPr>
          <w:tcW w:w="2389" w:type="pct"/>
          <w:tcBorders>
            <w:top w:val="nil"/>
            <w:left w:val="nil"/>
            <w:bottom w:val="single" w:sz="4" w:space="0" w:color="4F81BD"/>
            <w:right w:val="nil"/>
          </w:tcBorders>
        </w:tcPr>
        <w:p w:rsidR="009F7FB8" w:rsidRPr="00A06225" w:rsidRDefault="009F7FB8">
          <w:pPr>
            <w:pStyle w:val="Header"/>
            <w:spacing w:line="276" w:lineRule="auto"/>
            <w:rPr>
              <w:rFonts w:ascii="Cambria" w:eastAsia="MS Gothic" w:hAnsi="Cambria"/>
              <w:b/>
              <w:bCs/>
              <w:color w:val="4F81BD"/>
            </w:rPr>
          </w:pPr>
        </w:p>
      </w:tc>
      <w:tc>
        <w:tcPr>
          <w:tcW w:w="333" w:type="pct"/>
          <w:vMerge w:val="restart"/>
          <w:noWrap/>
          <w:vAlign w:val="center"/>
          <w:hideMark/>
        </w:tcPr>
        <w:p w:rsidR="009F7FB8" w:rsidRPr="00A06225" w:rsidRDefault="009F7FB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F7FB8" w:rsidRPr="00A06225" w:rsidRDefault="009F7FB8">
          <w:pPr>
            <w:pStyle w:val="Header"/>
            <w:spacing w:line="276" w:lineRule="auto"/>
            <w:rPr>
              <w:rFonts w:ascii="Cambria" w:eastAsia="MS Gothic" w:hAnsi="Cambria"/>
              <w:b/>
              <w:bCs/>
              <w:color w:val="4F81BD"/>
            </w:rPr>
          </w:pPr>
        </w:p>
      </w:tc>
    </w:tr>
    <w:tr w:rsidR="009F7FB8" w:rsidRPr="008E0D90" w:rsidTr="00A06225">
      <w:trPr>
        <w:trHeight w:val="150"/>
      </w:trPr>
      <w:tc>
        <w:tcPr>
          <w:tcW w:w="2389" w:type="pct"/>
          <w:tcBorders>
            <w:top w:val="single" w:sz="4" w:space="0" w:color="4F81BD"/>
            <w:left w:val="nil"/>
            <w:bottom w:val="nil"/>
            <w:right w:val="nil"/>
          </w:tcBorders>
        </w:tcPr>
        <w:p w:rsidR="009F7FB8" w:rsidRPr="00A06225" w:rsidRDefault="009F7FB8">
          <w:pPr>
            <w:pStyle w:val="Header"/>
            <w:spacing w:line="276" w:lineRule="auto"/>
            <w:rPr>
              <w:rFonts w:ascii="Cambria" w:eastAsia="MS Gothic" w:hAnsi="Cambria"/>
              <w:b/>
              <w:bCs/>
              <w:color w:val="4F81BD"/>
            </w:rPr>
          </w:pPr>
        </w:p>
      </w:tc>
      <w:tc>
        <w:tcPr>
          <w:tcW w:w="0" w:type="auto"/>
          <w:vMerge/>
          <w:vAlign w:val="center"/>
          <w:hideMark/>
        </w:tcPr>
        <w:p w:rsidR="009F7FB8" w:rsidRPr="00A06225" w:rsidRDefault="009F7FB8">
          <w:pPr>
            <w:rPr>
              <w:rFonts w:ascii="Cambria" w:hAnsi="Cambria"/>
              <w:color w:val="4F81BD"/>
              <w:sz w:val="22"/>
              <w:szCs w:val="22"/>
            </w:rPr>
          </w:pPr>
        </w:p>
      </w:tc>
      <w:tc>
        <w:tcPr>
          <w:tcW w:w="2278" w:type="pct"/>
          <w:tcBorders>
            <w:top w:val="single" w:sz="4" w:space="0" w:color="4F81BD"/>
            <w:left w:val="nil"/>
            <w:bottom w:val="nil"/>
            <w:right w:val="nil"/>
          </w:tcBorders>
        </w:tcPr>
        <w:p w:rsidR="009F7FB8" w:rsidRPr="00A06225" w:rsidRDefault="009F7FB8">
          <w:pPr>
            <w:pStyle w:val="Header"/>
            <w:spacing w:line="276" w:lineRule="auto"/>
            <w:rPr>
              <w:rFonts w:ascii="Cambria" w:eastAsia="MS Gothic" w:hAnsi="Cambria"/>
              <w:b/>
              <w:bCs/>
              <w:color w:val="4F81BD"/>
            </w:rPr>
          </w:pPr>
        </w:p>
      </w:tc>
    </w:tr>
  </w:tbl>
  <w:p w:rsidR="009F7FB8" w:rsidRDefault="009F7FB8">
    <w:pPr>
      <w:pStyle w:val="Header"/>
    </w:pPr>
  </w:p>
  <w:p w:rsidR="009F7FB8" w:rsidRDefault="009F7F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B8" w:rsidRDefault="00222FC6" w:rsidP="00222FC6">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w:t>
    </w:r>
    <w:r w:rsidR="009F7FB8" w:rsidRPr="00056684">
      <w:rPr>
        <w:rFonts w:asciiTheme="minorHAnsi" w:hAnsiTheme="minorHAnsi" w:cs="Arial"/>
        <w:i/>
        <w:color w:val="808080"/>
      </w:rPr>
      <w:t xml:space="preserve"> – </w:t>
    </w:r>
    <w:r w:rsidR="009F7FB8">
      <w:rPr>
        <w:rFonts w:asciiTheme="minorHAnsi" w:hAnsiTheme="minorHAnsi" w:cs="Arial"/>
        <w:i/>
        <w:color w:val="808080"/>
      </w:rPr>
      <w:t>March 2020</w:t>
    </w:r>
    <w:r w:rsidR="009F7FB8" w:rsidRPr="00056684">
      <w:rPr>
        <w:rFonts w:asciiTheme="minorHAnsi" w:hAnsiTheme="minorHAnsi" w:cs="Arial"/>
        <w:i/>
        <w:color w:val="808080"/>
      </w:rPr>
      <w:t xml:space="preserve"> PBAC Meeting</w:t>
    </w:r>
  </w:p>
  <w:p w:rsidR="009F7FB8" w:rsidRDefault="009F7FB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9ED" w:rsidRDefault="00784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6D304B"/>
    <w:multiLevelType w:val="hybridMultilevel"/>
    <w:tmpl w:val="DDC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A2C7A6D"/>
    <w:multiLevelType w:val="hybridMultilevel"/>
    <w:tmpl w:val="15CEF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1D7C8E"/>
    <w:multiLevelType w:val="hybridMultilevel"/>
    <w:tmpl w:val="2D80D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846327"/>
    <w:multiLevelType w:val="hybridMultilevel"/>
    <w:tmpl w:val="C35E6C8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D8424AC"/>
    <w:multiLevelType w:val="hybridMultilevel"/>
    <w:tmpl w:val="76B80E48"/>
    <w:lvl w:ilvl="0" w:tplc="7AFCA9D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721761B"/>
    <w:multiLevelType w:val="hybridMultilevel"/>
    <w:tmpl w:val="8E0E1A02"/>
    <w:lvl w:ilvl="0" w:tplc="42F2A6D4">
      <w:start w:val="1"/>
      <w:numFmt w:val="lowerLetter"/>
      <w:lvlText w:val="(%1)"/>
      <w:lvlJc w:val="left"/>
      <w:pPr>
        <w:ind w:left="1406" w:hanging="360"/>
      </w:pPr>
      <w:rPr>
        <w:rFonts w:hint="default"/>
      </w:rPr>
    </w:lvl>
    <w:lvl w:ilvl="1" w:tplc="0C090019" w:tentative="1">
      <w:start w:val="1"/>
      <w:numFmt w:val="lowerLetter"/>
      <w:lvlText w:val="%2."/>
      <w:lvlJc w:val="left"/>
      <w:pPr>
        <w:ind w:left="2126" w:hanging="360"/>
      </w:pPr>
    </w:lvl>
    <w:lvl w:ilvl="2" w:tplc="0C09001B" w:tentative="1">
      <w:start w:val="1"/>
      <w:numFmt w:val="lowerRoman"/>
      <w:lvlText w:val="%3."/>
      <w:lvlJc w:val="right"/>
      <w:pPr>
        <w:ind w:left="2846" w:hanging="180"/>
      </w:pPr>
    </w:lvl>
    <w:lvl w:ilvl="3" w:tplc="0C09000F" w:tentative="1">
      <w:start w:val="1"/>
      <w:numFmt w:val="decimal"/>
      <w:lvlText w:val="%4."/>
      <w:lvlJc w:val="left"/>
      <w:pPr>
        <w:ind w:left="3566" w:hanging="360"/>
      </w:pPr>
    </w:lvl>
    <w:lvl w:ilvl="4" w:tplc="0C090019" w:tentative="1">
      <w:start w:val="1"/>
      <w:numFmt w:val="lowerLetter"/>
      <w:lvlText w:val="%5."/>
      <w:lvlJc w:val="left"/>
      <w:pPr>
        <w:ind w:left="4286" w:hanging="360"/>
      </w:pPr>
    </w:lvl>
    <w:lvl w:ilvl="5" w:tplc="0C09001B" w:tentative="1">
      <w:start w:val="1"/>
      <w:numFmt w:val="lowerRoman"/>
      <w:lvlText w:val="%6."/>
      <w:lvlJc w:val="right"/>
      <w:pPr>
        <w:ind w:left="5006" w:hanging="180"/>
      </w:pPr>
    </w:lvl>
    <w:lvl w:ilvl="6" w:tplc="0C09000F" w:tentative="1">
      <w:start w:val="1"/>
      <w:numFmt w:val="decimal"/>
      <w:lvlText w:val="%7."/>
      <w:lvlJc w:val="left"/>
      <w:pPr>
        <w:ind w:left="5726" w:hanging="360"/>
      </w:pPr>
    </w:lvl>
    <w:lvl w:ilvl="7" w:tplc="0C090019" w:tentative="1">
      <w:start w:val="1"/>
      <w:numFmt w:val="lowerLetter"/>
      <w:lvlText w:val="%8."/>
      <w:lvlJc w:val="left"/>
      <w:pPr>
        <w:ind w:left="6446" w:hanging="360"/>
      </w:pPr>
    </w:lvl>
    <w:lvl w:ilvl="8" w:tplc="0C09001B" w:tentative="1">
      <w:start w:val="1"/>
      <w:numFmt w:val="lowerRoman"/>
      <w:lvlText w:val="%9."/>
      <w:lvlJc w:val="right"/>
      <w:pPr>
        <w:ind w:left="7166" w:hanging="180"/>
      </w:pPr>
    </w:lvl>
  </w:abstractNum>
  <w:abstractNum w:abstractNumId="27" w15:restartNumberingAfterBreak="0">
    <w:nsid w:val="784D033C"/>
    <w:multiLevelType w:val="multilevel"/>
    <w:tmpl w:val="BDF861F8"/>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8"/>
  </w:num>
  <w:num w:numId="4">
    <w:abstractNumId w:val="19"/>
  </w:num>
  <w:num w:numId="5">
    <w:abstractNumId w:val="27"/>
  </w:num>
  <w:num w:numId="6">
    <w:abstractNumId w:val="9"/>
  </w:num>
  <w:num w:numId="7">
    <w:abstractNumId w:val="17"/>
  </w:num>
  <w:num w:numId="8">
    <w:abstractNumId w:val="5"/>
  </w:num>
  <w:num w:numId="9">
    <w:abstractNumId w:val="16"/>
  </w:num>
  <w:num w:numId="10">
    <w:abstractNumId w:val="15"/>
  </w:num>
  <w:num w:numId="11">
    <w:abstractNumId w:val="13"/>
  </w:num>
  <w:num w:numId="12">
    <w:abstractNumId w:val="1"/>
  </w:num>
  <w:num w:numId="13">
    <w:abstractNumId w:val="0"/>
  </w:num>
  <w:num w:numId="14">
    <w:abstractNumId w:val="27"/>
  </w:num>
  <w:num w:numId="15">
    <w:abstractNumId w:val="27"/>
  </w:num>
  <w:num w:numId="16">
    <w:abstractNumId w:val="27"/>
  </w:num>
  <w:num w:numId="17">
    <w:abstractNumId w:val="24"/>
  </w:num>
  <w:num w:numId="18">
    <w:abstractNumId w:val="20"/>
  </w:num>
  <w:num w:numId="19">
    <w:abstractNumId w:val="27"/>
  </w:num>
  <w:num w:numId="20">
    <w:abstractNumId w:val="6"/>
  </w:num>
  <w:num w:numId="21">
    <w:abstractNumId w:val="25"/>
  </w:num>
  <w:num w:numId="22">
    <w:abstractNumId w:val="27"/>
  </w:num>
  <w:num w:numId="23">
    <w:abstractNumId w:val="27"/>
  </w:num>
  <w:num w:numId="24">
    <w:abstractNumId w:val="21"/>
  </w:num>
  <w:num w:numId="25">
    <w:abstractNumId w:val="26"/>
  </w:num>
  <w:num w:numId="26">
    <w:abstractNumId w:val="27"/>
  </w:num>
  <w:num w:numId="27">
    <w:abstractNumId w:val="27"/>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2"/>
  </w:num>
  <w:num w:numId="37">
    <w:abstractNumId w:val="23"/>
  </w:num>
  <w:num w:numId="38">
    <w:abstractNumId w:val="7"/>
  </w:num>
  <w:num w:numId="39">
    <w:abstractNumId w:val="2"/>
  </w:num>
  <w:num w:numId="40">
    <w:abstractNumId w:val="12"/>
  </w:num>
  <w:num w:numId="41">
    <w:abstractNumId w:val="14"/>
  </w:num>
  <w:num w:numId="42">
    <w:abstractNumId w:val="11"/>
  </w:num>
  <w:num w:numId="43">
    <w:abstractNumId w:val="4"/>
  </w:num>
  <w:num w:numId="4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37C4"/>
    <w:rsid w:val="00006F6A"/>
    <w:rsid w:val="0002464A"/>
    <w:rsid w:val="00025FC3"/>
    <w:rsid w:val="00030966"/>
    <w:rsid w:val="0003106B"/>
    <w:rsid w:val="00034905"/>
    <w:rsid w:val="00035C86"/>
    <w:rsid w:val="0004039E"/>
    <w:rsid w:val="000421A1"/>
    <w:rsid w:val="0004240E"/>
    <w:rsid w:val="00045E26"/>
    <w:rsid w:val="000468AF"/>
    <w:rsid w:val="000475B6"/>
    <w:rsid w:val="000514B5"/>
    <w:rsid w:val="00060E64"/>
    <w:rsid w:val="00066755"/>
    <w:rsid w:val="000742E2"/>
    <w:rsid w:val="0007567B"/>
    <w:rsid w:val="000763D5"/>
    <w:rsid w:val="00077143"/>
    <w:rsid w:val="00081569"/>
    <w:rsid w:val="0008166C"/>
    <w:rsid w:val="00082169"/>
    <w:rsid w:val="00082E43"/>
    <w:rsid w:val="00084A0D"/>
    <w:rsid w:val="00090BC0"/>
    <w:rsid w:val="000969AD"/>
    <w:rsid w:val="00097684"/>
    <w:rsid w:val="000A089C"/>
    <w:rsid w:val="000A3550"/>
    <w:rsid w:val="000A44B2"/>
    <w:rsid w:val="000B558D"/>
    <w:rsid w:val="000C2683"/>
    <w:rsid w:val="000C6996"/>
    <w:rsid w:val="000D1562"/>
    <w:rsid w:val="000D23BA"/>
    <w:rsid w:val="000E417D"/>
    <w:rsid w:val="000E681E"/>
    <w:rsid w:val="000F0003"/>
    <w:rsid w:val="000F3384"/>
    <w:rsid w:val="000F4E6A"/>
    <w:rsid w:val="000F5BF2"/>
    <w:rsid w:val="000F7354"/>
    <w:rsid w:val="00104227"/>
    <w:rsid w:val="001107BF"/>
    <w:rsid w:val="00113428"/>
    <w:rsid w:val="00121E91"/>
    <w:rsid w:val="0012417C"/>
    <w:rsid w:val="0012594F"/>
    <w:rsid w:val="001272B8"/>
    <w:rsid w:val="001409C4"/>
    <w:rsid w:val="00142395"/>
    <w:rsid w:val="00142714"/>
    <w:rsid w:val="001452ED"/>
    <w:rsid w:val="00145877"/>
    <w:rsid w:val="001545E6"/>
    <w:rsid w:val="001562B1"/>
    <w:rsid w:val="00162D4E"/>
    <w:rsid w:val="00163329"/>
    <w:rsid w:val="00164623"/>
    <w:rsid w:val="00165B64"/>
    <w:rsid w:val="00166B44"/>
    <w:rsid w:val="00166BC1"/>
    <w:rsid w:val="00174452"/>
    <w:rsid w:val="00177393"/>
    <w:rsid w:val="00177522"/>
    <w:rsid w:val="00180713"/>
    <w:rsid w:val="00180826"/>
    <w:rsid w:val="001830CE"/>
    <w:rsid w:val="00183BA7"/>
    <w:rsid w:val="0018643B"/>
    <w:rsid w:val="00190A7F"/>
    <w:rsid w:val="0019523F"/>
    <w:rsid w:val="00196307"/>
    <w:rsid w:val="001A33EA"/>
    <w:rsid w:val="001B017F"/>
    <w:rsid w:val="001B2BBC"/>
    <w:rsid w:val="001B2BD6"/>
    <w:rsid w:val="001B5129"/>
    <w:rsid w:val="001C0B4C"/>
    <w:rsid w:val="001C1195"/>
    <w:rsid w:val="001C2D38"/>
    <w:rsid w:val="001C51DB"/>
    <w:rsid w:val="001D4B1A"/>
    <w:rsid w:val="001F1850"/>
    <w:rsid w:val="001F2189"/>
    <w:rsid w:val="00200BF0"/>
    <w:rsid w:val="00203FAC"/>
    <w:rsid w:val="00204F5A"/>
    <w:rsid w:val="00213BCC"/>
    <w:rsid w:val="00213CFB"/>
    <w:rsid w:val="00214269"/>
    <w:rsid w:val="0021553C"/>
    <w:rsid w:val="0021557B"/>
    <w:rsid w:val="00217BE1"/>
    <w:rsid w:val="00222FC6"/>
    <w:rsid w:val="00245221"/>
    <w:rsid w:val="00247324"/>
    <w:rsid w:val="00251D81"/>
    <w:rsid w:val="00253499"/>
    <w:rsid w:val="0026145C"/>
    <w:rsid w:val="0026388D"/>
    <w:rsid w:val="00264E66"/>
    <w:rsid w:val="00271806"/>
    <w:rsid w:val="00271BA1"/>
    <w:rsid w:val="00275398"/>
    <w:rsid w:val="002762FA"/>
    <w:rsid w:val="00277505"/>
    <w:rsid w:val="0029031A"/>
    <w:rsid w:val="0029458F"/>
    <w:rsid w:val="00295625"/>
    <w:rsid w:val="002A104C"/>
    <w:rsid w:val="002A4960"/>
    <w:rsid w:val="002A7B34"/>
    <w:rsid w:val="002B1AE6"/>
    <w:rsid w:val="002B2DE8"/>
    <w:rsid w:val="002B30F8"/>
    <w:rsid w:val="002B440E"/>
    <w:rsid w:val="002B4DCE"/>
    <w:rsid w:val="002B5596"/>
    <w:rsid w:val="002C212F"/>
    <w:rsid w:val="002C6C9D"/>
    <w:rsid w:val="002D4543"/>
    <w:rsid w:val="002E05F0"/>
    <w:rsid w:val="002E3153"/>
    <w:rsid w:val="002E72CA"/>
    <w:rsid w:val="002F0B6C"/>
    <w:rsid w:val="002F1CA8"/>
    <w:rsid w:val="002F5D69"/>
    <w:rsid w:val="002F600D"/>
    <w:rsid w:val="002F644B"/>
    <w:rsid w:val="00300AD6"/>
    <w:rsid w:val="00303D1F"/>
    <w:rsid w:val="00304EB4"/>
    <w:rsid w:val="0030642C"/>
    <w:rsid w:val="00317C6C"/>
    <w:rsid w:val="003218AE"/>
    <w:rsid w:val="00321C48"/>
    <w:rsid w:val="00322162"/>
    <w:rsid w:val="00326E79"/>
    <w:rsid w:val="003301B1"/>
    <w:rsid w:val="0033263D"/>
    <w:rsid w:val="00332F3C"/>
    <w:rsid w:val="00334386"/>
    <w:rsid w:val="003344BF"/>
    <w:rsid w:val="0033518A"/>
    <w:rsid w:val="003367EF"/>
    <w:rsid w:val="00341AE4"/>
    <w:rsid w:val="00344D2B"/>
    <w:rsid w:val="00345899"/>
    <w:rsid w:val="00363B41"/>
    <w:rsid w:val="00371B76"/>
    <w:rsid w:val="00372817"/>
    <w:rsid w:val="00380819"/>
    <w:rsid w:val="00382D4F"/>
    <w:rsid w:val="00383D21"/>
    <w:rsid w:val="00384988"/>
    <w:rsid w:val="003872CF"/>
    <w:rsid w:val="003903DA"/>
    <w:rsid w:val="00394B5A"/>
    <w:rsid w:val="0039782C"/>
    <w:rsid w:val="003A3034"/>
    <w:rsid w:val="003A3394"/>
    <w:rsid w:val="003A45F0"/>
    <w:rsid w:val="003A5B4A"/>
    <w:rsid w:val="003B0458"/>
    <w:rsid w:val="003B0F5E"/>
    <w:rsid w:val="003B23C5"/>
    <w:rsid w:val="003B2A75"/>
    <w:rsid w:val="003B6124"/>
    <w:rsid w:val="003C1ECF"/>
    <w:rsid w:val="003C2FB5"/>
    <w:rsid w:val="003C41AF"/>
    <w:rsid w:val="003C4F36"/>
    <w:rsid w:val="003D4470"/>
    <w:rsid w:val="003D4AC4"/>
    <w:rsid w:val="003D63B7"/>
    <w:rsid w:val="003E468B"/>
    <w:rsid w:val="003E4ADF"/>
    <w:rsid w:val="003E5991"/>
    <w:rsid w:val="003F0205"/>
    <w:rsid w:val="003F3228"/>
    <w:rsid w:val="003F3E65"/>
    <w:rsid w:val="003F4732"/>
    <w:rsid w:val="003F5C8C"/>
    <w:rsid w:val="004107C5"/>
    <w:rsid w:val="004114F0"/>
    <w:rsid w:val="00413561"/>
    <w:rsid w:val="00422750"/>
    <w:rsid w:val="00423DB8"/>
    <w:rsid w:val="004252EC"/>
    <w:rsid w:val="00430704"/>
    <w:rsid w:val="00430D39"/>
    <w:rsid w:val="004374A3"/>
    <w:rsid w:val="00442201"/>
    <w:rsid w:val="00444B2F"/>
    <w:rsid w:val="004465BD"/>
    <w:rsid w:val="00446844"/>
    <w:rsid w:val="00447664"/>
    <w:rsid w:val="00453A0F"/>
    <w:rsid w:val="00453AF0"/>
    <w:rsid w:val="004552F8"/>
    <w:rsid w:val="00462D31"/>
    <w:rsid w:val="00466ADA"/>
    <w:rsid w:val="00466BE0"/>
    <w:rsid w:val="00470143"/>
    <w:rsid w:val="0047494B"/>
    <w:rsid w:val="00476245"/>
    <w:rsid w:val="00476BDF"/>
    <w:rsid w:val="00483035"/>
    <w:rsid w:val="00485940"/>
    <w:rsid w:val="00492ABD"/>
    <w:rsid w:val="004936CB"/>
    <w:rsid w:val="004A2415"/>
    <w:rsid w:val="004A2484"/>
    <w:rsid w:val="004A5A85"/>
    <w:rsid w:val="004A6BDD"/>
    <w:rsid w:val="004A71D1"/>
    <w:rsid w:val="004B5640"/>
    <w:rsid w:val="004B7878"/>
    <w:rsid w:val="004C1BD7"/>
    <w:rsid w:val="004C31FE"/>
    <w:rsid w:val="004C691D"/>
    <w:rsid w:val="004C6C07"/>
    <w:rsid w:val="004D6A10"/>
    <w:rsid w:val="004E0A43"/>
    <w:rsid w:val="004E6719"/>
    <w:rsid w:val="004E692D"/>
    <w:rsid w:val="004F65BD"/>
    <w:rsid w:val="00501554"/>
    <w:rsid w:val="00501E09"/>
    <w:rsid w:val="005047C0"/>
    <w:rsid w:val="00504E0C"/>
    <w:rsid w:val="00505EC2"/>
    <w:rsid w:val="0051082B"/>
    <w:rsid w:val="00514CD7"/>
    <w:rsid w:val="00522DB6"/>
    <w:rsid w:val="00526CED"/>
    <w:rsid w:val="005319B2"/>
    <w:rsid w:val="00532402"/>
    <w:rsid w:val="00532C74"/>
    <w:rsid w:val="00534E2E"/>
    <w:rsid w:val="00543E36"/>
    <w:rsid w:val="00544552"/>
    <w:rsid w:val="00551849"/>
    <w:rsid w:val="005574EB"/>
    <w:rsid w:val="005602B1"/>
    <w:rsid w:val="00566946"/>
    <w:rsid w:val="00577C4D"/>
    <w:rsid w:val="00581932"/>
    <w:rsid w:val="00587593"/>
    <w:rsid w:val="00593A90"/>
    <w:rsid w:val="005963BB"/>
    <w:rsid w:val="00596C6D"/>
    <w:rsid w:val="005A1363"/>
    <w:rsid w:val="005A136B"/>
    <w:rsid w:val="005A3173"/>
    <w:rsid w:val="005A3223"/>
    <w:rsid w:val="005A3DA3"/>
    <w:rsid w:val="005A497D"/>
    <w:rsid w:val="005A52C4"/>
    <w:rsid w:val="005B6791"/>
    <w:rsid w:val="005C05F7"/>
    <w:rsid w:val="005C34AA"/>
    <w:rsid w:val="005C6140"/>
    <w:rsid w:val="005D03AB"/>
    <w:rsid w:val="005D5017"/>
    <w:rsid w:val="005D6899"/>
    <w:rsid w:val="005E1333"/>
    <w:rsid w:val="005F5DDF"/>
    <w:rsid w:val="00601A91"/>
    <w:rsid w:val="00602BA3"/>
    <w:rsid w:val="00605B63"/>
    <w:rsid w:val="00606EED"/>
    <w:rsid w:val="00612E34"/>
    <w:rsid w:val="00614159"/>
    <w:rsid w:val="006153DC"/>
    <w:rsid w:val="00616394"/>
    <w:rsid w:val="00617597"/>
    <w:rsid w:val="00617C00"/>
    <w:rsid w:val="0062153F"/>
    <w:rsid w:val="006263BF"/>
    <w:rsid w:val="0062748A"/>
    <w:rsid w:val="00630A2C"/>
    <w:rsid w:val="0063682E"/>
    <w:rsid w:val="006436CD"/>
    <w:rsid w:val="00650483"/>
    <w:rsid w:val="006507AB"/>
    <w:rsid w:val="00651169"/>
    <w:rsid w:val="0065162E"/>
    <w:rsid w:val="00653D69"/>
    <w:rsid w:val="006552E6"/>
    <w:rsid w:val="006553F4"/>
    <w:rsid w:val="006562BD"/>
    <w:rsid w:val="0066103B"/>
    <w:rsid w:val="006616EA"/>
    <w:rsid w:val="006670BE"/>
    <w:rsid w:val="00670A76"/>
    <w:rsid w:val="006711AA"/>
    <w:rsid w:val="00672B57"/>
    <w:rsid w:val="00675622"/>
    <w:rsid w:val="006764DA"/>
    <w:rsid w:val="0067747D"/>
    <w:rsid w:val="00681441"/>
    <w:rsid w:val="006879E4"/>
    <w:rsid w:val="0069039D"/>
    <w:rsid w:val="006906DB"/>
    <w:rsid w:val="00691E6C"/>
    <w:rsid w:val="0069501D"/>
    <w:rsid w:val="00696129"/>
    <w:rsid w:val="00696BA3"/>
    <w:rsid w:val="00697CF2"/>
    <w:rsid w:val="006A12A5"/>
    <w:rsid w:val="006A4A2D"/>
    <w:rsid w:val="006B065A"/>
    <w:rsid w:val="006B0D94"/>
    <w:rsid w:val="006B485D"/>
    <w:rsid w:val="006B5B86"/>
    <w:rsid w:val="006C12C7"/>
    <w:rsid w:val="006C5BC4"/>
    <w:rsid w:val="006C6C3D"/>
    <w:rsid w:val="006C708E"/>
    <w:rsid w:val="006D14E7"/>
    <w:rsid w:val="006D1C07"/>
    <w:rsid w:val="006D5853"/>
    <w:rsid w:val="006D6493"/>
    <w:rsid w:val="006D6EC7"/>
    <w:rsid w:val="006E1BCD"/>
    <w:rsid w:val="006E446C"/>
    <w:rsid w:val="006E5F04"/>
    <w:rsid w:val="006F5125"/>
    <w:rsid w:val="00702B6F"/>
    <w:rsid w:val="00706A2F"/>
    <w:rsid w:val="00706AC7"/>
    <w:rsid w:val="0070718E"/>
    <w:rsid w:val="0071340B"/>
    <w:rsid w:val="00715113"/>
    <w:rsid w:val="007174BB"/>
    <w:rsid w:val="00717625"/>
    <w:rsid w:val="0072025D"/>
    <w:rsid w:val="00723EB3"/>
    <w:rsid w:val="007303E3"/>
    <w:rsid w:val="00732584"/>
    <w:rsid w:val="007353D3"/>
    <w:rsid w:val="00741B8F"/>
    <w:rsid w:val="00750C49"/>
    <w:rsid w:val="00761568"/>
    <w:rsid w:val="007641D0"/>
    <w:rsid w:val="0076420C"/>
    <w:rsid w:val="0077343F"/>
    <w:rsid w:val="00774E2C"/>
    <w:rsid w:val="007753C2"/>
    <w:rsid w:val="0077744A"/>
    <w:rsid w:val="0078142B"/>
    <w:rsid w:val="007838B8"/>
    <w:rsid w:val="007849ED"/>
    <w:rsid w:val="007864A4"/>
    <w:rsid w:val="007A7C20"/>
    <w:rsid w:val="007B0A10"/>
    <w:rsid w:val="007B19FD"/>
    <w:rsid w:val="007B75A4"/>
    <w:rsid w:val="007C0F57"/>
    <w:rsid w:val="007C40B6"/>
    <w:rsid w:val="007C5E62"/>
    <w:rsid w:val="007C729F"/>
    <w:rsid w:val="007D4A2B"/>
    <w:rsid w:val="007D7A51"/>
    <w:rsid w:val="007E1D28"/>
    <w:rsid w:val="007E765A"/>
    <w:rsid w:val="007F2641"/>
    <w:rsid w:val="007F7C36"/>
    <w:rsid w:val="00806796"/>
    <w:rsid w:val="008151D6"/>
    <w:rsid w:val="008264DB"/>
    <w:rsid w:val="008268BB"/>
    <w:rsid w:val="00826E95"/>
    <w:rsid w:val="00826F6D"/>
    <w:rsid w:val="008306F3"/>
    <w:rsid w:val="00830C7A"/>
    <w:rsid w:val="00830E40"/>
    <w:rsid w:val="00833376"/>
    <w:rsid w:val="00835131"/>
    <w:rsid w:val="00854C30"/>
    <w:rsid w:val="008556B0"/>
    <w:rsid w:val="00856DDD"/>
    <w:rsid w:val="00857F63"/>
    <w:rsid w:val="00863E68"/>
    <w:rsid w:val="00867E4B"/>
    <w:rsid w:val="008719C3"/>
    <w:rsid w:val="00871C11"/>
    <w:rsid w:val="00871E17"/>
    <w:rsid w:val="00882085"/>
    <w:rsid w:val="00883188"/>
    <w:rsid w:val="00891D45"/>
    <w:rsid w:val="00897D58"/>
    <w:rsid w:val="00897F22"/>
    <w:rsid w:val="008A1956"/>
    <w:rsid w:val="008A4937"/>
    <w:rsid w:val="008A50F1"/>
    <w:rsid w:val="008C1F43"/>
    <w:rsid w:val="008C5C50"/>
    <w:rsid w:val="008D1B5C"/>
    <w:rsid w:val="008D1EF6"/>
    <w:rsid w:val="008D3C82"/>
    <w:rsid w:val="008D447E"/>
    <w:rsid w:val="008D7A41"/>
    <w:rsid w:val="008E2143"/>
    <w:rsid w:val="008E263C"/>
    <w:rsid w:val="008E2C72"/>
    <w:rsid w:val="008E3464"/>
    <w:rsid w:val="008E3680"/>
    <w:rsid w:val="008E5870"/>
    <w:rsid w:val="008F1434"/>
    <w:rsid w:val="008F1BB1"/>
    <w:rsid w:val="008F3CF8"/>
    <w:rsid w:val="008F7355"/>
    <w:rsid w:val="009067B7"/>
    <w:rsid w:val="00930937"/>
    <w:rsid w:val="00933E6C"/>
    <w:rsid w:val="00937958"/>
    <w:rsid w:val="00941602"/>
    <w:rsid w:val="00942160"/>
    <w:rsid w:val="00943D0C"/>
    <w:rsid w:val="0095146F"/>
    <w:rsid w:val="00953962"/>
    <w:rsid w:val="00955668"/>
    <w:rsid w:val="009602C5"/>
    <w:rsid w:val="00962223"/>
    <w:rsid w:val="00966D0D"/>
    <w:rsid w:val="00974C21"/>
    <w:rsid w:val="00980424"/>
    <w:rsid w:val="00992F47"/>
    <w:rsid w:val="00993AE5"/>
    <w:rsid w:val="009A61CA"/>
    <w:rsid w:val="009B0F67"/>
    <w:rsid w:val="009B594B"/>
    <w:rsid w:val="009C703C"/>
    <w:rsid w:val="009D3CAA"/>
    <w:rsid w:val="009E40E1"/>
    <w:rsid w:val="009E725D"/>
    <w:rsid w:val="009F0EFA"/>
    <w:rsid w:val="009F4E46"/>
    <w:rsid w:val="009F5B65"/>
    <w:rsid w:val="009F5F2E"/>
    <w:rsid w:val="009F7FB8"/>
    <w:rsid w:val="00A00C34"/>
    <w:rsid w:val="00A06225"/>
    <w:rsid w:val="00A128E6"/>
    <w:rsid w:val="00A23FF2"/>
    <w:rsid w:val="00A3072F"/>
    <w:rsid w:val="00A34E6C"/>
    <w:rsid w:val="00A3675A"/>
    <w:rsid w:val="00A37C8D"/>
    <w:rsid w:val="00A41340"/>
    <w:rsid w:val="00A42C25"/>
    <w:rsid w:val="00A46661"/>
    <w:rsid w:val="00A5273B"/>
    <w:rsid w:val="00A52966"/>
    <w:rsid w:val="00A53A9D"/>
    <w:rsid w:val="00A55FEE"/>
    <w:rsid w:val="00A613AC"/>
    <w:rsid w:val="00A62C1A"/>
    <w:rsid w:val="00A6426D"/>
    <w:rsid w:val="00A665C1"/>
    <w:rsid w:val="00A70622"/>
    <w:rsid w:val="00A70977"/>
    <w:rsid w:val="00A728AA"/>
    <w:rsid w:val="00A744F9"/>
    <w:rsid w:val="00A77613"/>
    <w:rsid w:val="00A8390C"/>
    <w:rsid w:val="00A90D5E"/>
    <w:rsid w:val="00A928BD"/>
    <w:rsid w:val="00A9382A"/>
    <w:rsid w:val="00A938CE"/>
    <w:rsid w:val="00A97043"/>
    <w:rsid w:val="00A97676"/>
    <w:rsid w:val="00AA12CD"/>
    <w:rsid w:val="00AA2F83"/>
    <w:rsid w:val="00AA4D1C"/>
    <w:rsid w:val="00AA6877"/>
    <w:rsid w:val="00AB61AD"/>
    <w:rsid w:val="00AC163F"/>
    <w:rsid w:val="00AC193C"/>
    <w:rsid w:val="00AC5206"/>
    <w:rsid w:val="00AD0958"/>
    <w:rsid w:val="00AD4322"/>
    <w:rsid w:val="00AE080A"/>
    <w:rsid w:val="00AE11A5"/>
    <w:rsid w:val="00AE13E2"/>
    <w:rsid w:val="00AE22D3"/>
    <w:rsid w:val="00AF3AC4"/>
    <w:rsid w:val="00AF62DF"/>
    <w:rsid w:val="00AF68CC"/>
    <w:rsid w:val="00B070ED"/>
    <w:rsid w:val="00B1059E"/>
    <w:rsid w:val="00B1186B"/>
    <w:rsid w:val="00B139D1"/>
    <w:rsid w:val="00B15812"/>
    <w:rsid w:val="00B176C8"/>
    <w:rsid w:val="00B205AA"/>
    <w:rsid w:val="00B210F0"/>
    <w:rsid w:val="00B224E1"/>
    <w:rsid w:val="00B22E84"/>
    <w:rsid w:val="00B233AD"/>
    <w:rsid w:val="00B2462C"/>
    <w:rsid w:val="00B25F75"/>
    <w:rsid w:val="00B26B3F"/>
    <w:rsid w:val="00B2778F"/>
    <w:rsid w:val="00B30DE5"/>
    <w:rsid w:val="00B325F2"/>
    <w:rsid w:val="00B33635"/>
    <w:rsid w:val="00B37CF1"/>
    <w:rsid w:val="00B43E90"/>
    <w:rsid w:val="00B467DC"/>
    <w:rsid w:val="00B54DA8"/>
    <w:rsid w:val="00B55421"/>
    <w:rsid w:val="00B56118"/>
    <w:rsid w:val="00B575D1"/>
    <w:rsid w:val="00B57B50"/>
    <w:rsid w:val="00B6773F"/>
    <w:rsid w:val="00B801BA"/>
    <w:rsid w:val="00B84D5C"/>
    <w:rsid w:val="00B93772"/>
    <w:rsid w:val="00B961A5"/>
    <w:rsid w:val="00BA55C2"/>
    <w:rsid w:val="00BB15E4"/>
    <w:rsid w:val="00BB69F5"/>
    <w:rsid w:val="00BB7EC3"/>
    <w:rsid w:val="00BC4B9A"/>
    <w:rsid w:val="00BC7961"/>
    <w:rsid w:val="00BD4D42"/>
    <w:rsid w:val="00BD784C"/>
    <w:rsid w:val="00BD7998"/>
    <w:rsid w:val="00BE2E6C"/>
    <w:rsid w:val="00BE7326"/>
    <w:rsid w:val="00BF4CB6"/>
    <w:rsid w:val="00C00DA7"/>
    <w:rsid w:val="00C05F78"/>
    <w:rsid w:val="00C12768"/>
    <w:rsid w:val="00C248AC"/>
    <w:rsid w:val="00C27B58"/>
    <w:rsid w:val="00C332DA"/>
    <w:rsid w:val="00C356C5"/>
    <w:rsid w:val="00C35996"/>
    <w:rsid w:val="00C46C4F"/>
    <w:rsid w:val="00C4747E"/>
    <w:rsid w:val="00C5342C"/>
    <w:rsid w:val="00C53CA8"/>
    <w:rsid w:val="00C60272"/>
    <w:rsid w:val="00C603D4"/>
    <w:rsid w:val="00C60F0D"/>
    <w:rsid w:val="00C6256A"/>
    <w:rsid w:val="00C65EDD"/>
    <w:rsid w:val="00C66B38"/>
    <w:rsid w:val="00C71C3F"/>
    <w:rsid w:val="00C76E2A"/>
    <w:rsid w:val="00C77891"/>
    <w:rsid w:val="00C84C33"/>
    <w:rsid w:val="00C90517"/>
    <w:rsid w:val="00C91449"/>
    <w:rsid w:val="00C92D10"/>
    <w:rsid w:val="00C93A5D"/>
    <w:rsid w:val="00C95AA6"/>
    <w:rsid w:val="00C96FD6"/>
    <w:rsid w:val="00CA0494"/>
    <w:rsid w:val="00CA0969"/>
    <w:rsid w:val="00CA6CE1"/>
    <w:rsid w:val="00CB1193"/>
    <w:rsid w:val="00CB6CA8"/>
    <w:rsid w:val="00CC000C"/>
    <w:rsid w:val="00CC334E"/>
    <w:rsid w:val="00CD4C9C"/>
    <w:rsid w:val="00CD74A8"/>
    <w:rsid w:val="00CE10C4"/>
    <w:rsid w:val="00CE27B5"/>
    <w:rsid w:val="00CE3439"/>
    <w:rsid w:val="00CE633E"/>
    <w:rsid w:val="00CF0EC5"/>
    <w:rsid w:val="00CF6C69"/>
    <w:rsid w:val="00D0321E"/>
    <w:rsid w:val="00D12F2E"/>
    <w:rsid w:val="00D1455A"/>
    <w:rsid w:val="00D26B19"/>
    <w:rsid w:val="00D31150"/>
    <w:rsid w:val="00D3138B"/>
    <w:rsid w:val="00D3280C"/>
    <w:rsid w:val="00D3373F"/>
    <w:rsid w:val="00D3406A"/>
    <w:rsid w:val="00D4327F"/>
    <w:rsid w:val="00D44458"/>
    <w:rsid w:val="00D4572C"/>
    <w:rsid w:val="00D469B2"/>
    <w:rsid w:val="00D53F7D"/>
    <w:rsid w:val="00D63106"/>
    <w:rsid w:val="00D6394E"/>
    <w:rsid w:val="00D741EB"/>
    <w:rsid w:val="00D820F3"/>
    <w:rsid w:val="00D83605"/>
    <w:rsid w:val="00D84934"/>
    <w:rsid w:val="00D91271"/>
    <w:rsid w:val="00D919F5"/>
    <w:rsid w:val="00D91F81"/>
    <w:rsid w:val="00D93794"/>
    <w:rsid w:val="00D94F03"/>
    <w:rsid w:val="00D965DA"/>
    <w:rsid w:val="00D968A6"/>
    <w:rsid w:val="00DA2CB5"/>
    <w:rsid w:val="00DA4BAC"/>
    <w:rsid w:val="00DA59C7"/>
    <w:rsid w:val="00DA5BD6"/>
    <w:rsid w:val="00DA67A4"/>
    <w:rsid w:val="00DB0151"/>
    <w:rsid w:val="00DC685E"/>
    <w:rsid w:val="00DE11EE"/>
    <w:rsid w:val="00DE6157"/>
    <w:rsid w:val="00DE6D27"/>
    <w:rsid w:val="00DF2069"/>
    <w:rsid w:val="00DF217D"/>
    <w:rsid w:val="00DF26A7"/>
    <w:rsid w:val="00E07207"/>
    <w:rsid w:val="00E12D56"/>
    <w:rsid w:val="00E14875"/>
    <w:rsid w:val="00E15627"/>
    <w:rsid w:val="00E164B3"/>
    <w:rsid w:val="00E16910"/>
    <w:rsid w:val="00E2549C"/>
    <w:rsid w:val="00E254A1"/>
    <w:rsid w:val="00E27234"/>
    <w:rsid w:val="00E276BA"/>
    <w:rsid w:val="00E316BF"/>
    <w:rsid w:val="00E42BDB"/>
    <w:rsid w:val="00E444DF"/>
    <w:rsid w:val="00E50AC6"/>
    <w:rsid w:val="00E57EEB"/>
    <w:rsid w:val="00E62B33"/>
    <w:rsid w:val="00E62D94"/>
    <w:rsid w:val="00E65E54"/>
    <w:rsid w:val="00E663E9"/>
    <w:rsid w:val="00E679E5"/>
    <w:rsid w:val="00E7207B"/>
    <w:rsid w:val="00E80155"/>
    <w:rsid w:val="00E801CF"/>
    <w:rsid w:val="00E806D7"/>
    <w:rsid w:val="00E81F28"/>
    <w:rsid w:val="00E848C0"/>
    <w:rsid w:val="00E9051F"/>
    <w:rsid w:val="00E910A6"/>
    <w:rsid w:val="00E91B96"/>
    <w:rsid w:val="00E941A1"/>
    <w:rsid w:val="00E94E38"/>
    <w:rsid w:val="00E95CBE"/>
    <w:rsid w:val="00E95CE3"/>
    <w:rsid w:val="00E96633"/>
    <w:rsid w:val="00E96838"/>
    <w:rsid w:val="00EA0BAB"/>
    <w:rsid w:val="00EA2825"/>
    <w:rsid w:val="00EA523B"/>
    <w:rsid w:val="00EB0B63"/>
    <w:rsid w:val="00EB1936"/>
    <w:rsid w:val="00EB48CC"/>
    <w:rsid w:val="00EB5088"/>
    <w:rsid w:val="00ED1644"/>
    <w:rsid w:val="00ED2198"/>
    <w:rsid w:val="00ED2593"/>
    <w:rsid w:val="00ED283F"/>
    <w:rsid w:val="00ED3346"/>
    <w:rsid w:val="00ED3A72"/>
    <w:rsid w:val="00ED7D9C"/>
    <w:rsid w:val="00ED7EFD"/>
    <w:rsid w:val="00EE1B9A"/>
    <w:rsid w:val="00EE286F"/>
    <w:rsid w:val="00EF0069"/>
    <w:rsid w:val="00EF44A0"/>
    <w:rsid w:val="00EF4880"/>
    <w:rsid w:val="00EF4FED"/>
    <w:rsid w:val="00F0172E"/>
    <w:rsid w:val="00F01E17"/>
    <w:rsid w:val="00F050BD"/>
    <w:rsid w:val="00F05657"/>
    <w:rsid w:val="00F23199"/>
    <w:rsid w:val="00F25578"/>
    <w:rsid w:val="00F258E5"/>
    <w:rsid w:val="00F300BC"/>
    <w:rsid w:val="00F3334E"/>
    <w:rsid w:val="00F35813"/>
    <w:rsid w:val="00F36CCB"/>
    <w:rsid w:val="00F374E5"/>
    <w:rsid w:val="00F438F2"/>
    <w:rsid w:val="00F43AF2"/>
    <w:rsid w:val="00F44A79"/>
    <w:rsid w:val="00F5007E"/>
    <w:rsid w:val="00F50EC4"/>
    <w:rsid w:val="00F52232"/>
    <w:rsid w:val="00F54A35"/>
    <w:rsid w:val="00F550CF"/>
    <w:rsid w:val="00F57A6D"/>
    <w:rsid w:val="00F6246C"/>
    <w:rsid w:val="00F638CC"/>
    <w:rsid w:val="00F64CC1"/>
    <w:rsid w:val="00F72317"/>
    <w:rsid w:val="00F80475"/>
    <w:rsid w:val="00F81191"/>
    <w:rsid w:val="00F8247A"/>
    <w:rsid w:val="00F82CF4"/>
    <w:rsid w:val="00F9629A"/>
    <w:rsid w:val="00F97EFC"/>
    <w:rsid w:val="00FA4DD5"/>
    <w:rsid w:val="00FA5883"/>
    <w:rsid w:val="00FA5E6B"/>
    <w:rsid w:val="00FA6055"/>
    <w:rsid w:val="00FB322F"/>
    <w:rsid w:val="00FB442F"/>
    <w:rsid w:val="00FB6CF4"/>
    <w:rsid w:val="00FC1929"/>
    <w:rsid w:val="00FC3647"/>
    <w:rsid w:val="00FC5B46"/>
    <w:rsid w:val="00FC77AB"/>
    <w:rsid w:val="00FD6D8E"/>
    <w:rsid w:val="00FE0E94"/>
    <w:rsid w:val="00FF00BD"/>
    <w:rsid w:val="00FF1ED4"/>
    <w:rsid w:val="00FF27EF"/>
    <w:rsid w:val="00FF2801"/>
    <w:rsid w:val="00FF3461"/>
    <w:rsid w:val="00FF3B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5"/>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5"/>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styleId="FootnoteText">
    <w:name w:val="footnote text"/>
    <w:basedOn w:val="Normal"/>
    <w:link w:val="FootnoteTextChar"/>
    <w:semiHidden/>
    <w:unhideWhenUsed/>
    <w:rsid w:val="00446844"/>
    <w:rPr>
      <w:sz w:val="20"/>
      <w:szCs w:val="20"/>
    </w:rPr>
  </w:style>
  <w:style w:type="character" w:customStyle="1" w:styleId="FootnoteTextChar">
    <w:name w:val="Footnote Text Char"/>
    <w:basedOn w:val="DefaultParagraphFont"/>
    <w:link w:val="FootnoteText"/>
    <w:semiHidden/>
    <w:rsid w:val="00446844"/>
  </w:style>
  <w:style w:type="character" w:styleId="FootnoteReference">
    <w:name w:val="footnote reference"/>
    <w:basedOn w:val="DefaultParagraphFont"/>
    <w:semiHidden/>
    <w:unhideWhenUsed/>
    <w:rsid w:val="00446844"/>
    <w:rPr>
      <w:vertAlign w:val="superscript"/>
    </w:rPr>
  </w:style>
  <w:style w:type="paragraph" w:styleId="Revision">
    <w:name w:val="Revision"/>
    <w:hidden/>
    <w:uiPriority w:val="71"/>
    <w:semiHidden/>
    <w:rsid w:val="00180826"/>
    <w:rPr>
      <w:sz w:val="24"/>
      <w:szCs w:val="24"/>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
    <w:basedOn w:val="DefaultParagraphFont"/>
    <w:link w:val="Caption"/>
    <w:uiPriority w:val="99"/>
    <w:rsid w:val="008D1EF6"/>
    <w:rPr>
      <w:rFonts w:ascii="Arial Narrow" w:hAnsi="Arial Narrow"/>
      <w:b/>
      <w:szCs w:val="22"/>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
    <w:basedOn w:val="Tabletitles"/>
    <w:next w:val="Normal"/>
    <w:link w:val="CaptionChar"/>
    <w:uiPriority w:val="99"/>
    <w:qFormat/>
    <w:rsid w:val="008D1EF6"/>
  </w:style>
  <w:style w:type="paragraph" w:customStyle="1" w:styleId="TableLeft">
    <w:name w:val="Table Left"/>
    <w:basedOn w:val="Normal"/>
    <w:link w:val="TableLeftChar"/>
    <w:uiPriority w:val="99"/>
    <w:qFormat/>
    <w:rsid w:val="0077343F"/>
    <w:rPr>
      <w:rFonts w:ascii="Calibri" w:eastAsiaTheme="majorEastAsia" w:hAnsi="Calibri" w:cstheme="majorBidi"/>
      <w:sz w:val="18"/>
      <w:szCs w:val="22"/>
      <w:lang w:eastAsia="en-US" w:bidi="en-US"/>
    </w:rPr>
  </w:style>
  <w:style w:type="character" w:customStyle="1" w:styleId="TableLeftChar">
    <w:name w:val="Table Left Char"/>
    <w:basedOn w:val="DefaultParagraphFont"/>
    <w:link w:val="TableLeft"/>
    <w:uiPriority w:val="99"/>
    <w:locked/>
    <w:rsid w:val="0077343F"/>
    <w:rPr>
      <w:rFonts w:ascii="Calibri" w:eastAsiaTheme="majorEastAsia" w:hAnsi="Calibri" w:cstheme="majorBidi"/>
      <w:sz w:val="18"/>
      <w:szCs w:val="22"/>
      <w:lang w:eastAsia="en-US" w:bidi="en-US"/>
    </w:rPr>
  </w:style>
  <w:style w:type="table" w:customStyle="1" w:styleId="TableGrid7">
    <w:name w:val="Table Grid7"/>
    <w:basedOn w:val="TableNormal"/>
    <w:next w:val="TableGrid"/>
    <w:uiPriority w:val="39"/>
    <w:rsid w:val="0077343F"/>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ubmissionstandard">
    <w:name w:val="Submission standard"/>
    <w:basedOn w:val="TableNormal"/>
    <w:uiPriority w:val="99"/>
    <w:qFormat/>
    <w:rsid w:val="005602B1"/>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Bold" w:hAnsi="Arial Bold"/>
        <w:b/>
        <w:sz w:val="20"/>
      </w:rPr>
      <w:tblPr/>
      <w:tcPr>
        <w:shd w:val="clear" w:color="auto" w:fill="BFBFBF" w:themeFill="background1" w:themeFillShade="BF"/>
      </w:tcPr>
    </w:tblStylePr>
  </w:style>
  <w:style w:type="paragraph" w:customStyle="1" w:styleId="subsection">
    <w:name w:val="subsection"/>
    <w:basedOn w:val="Normal"/>
    <w:rsid w:val="00E7207B"/>
    <w:pPr>
      <w:spacing w:before="100" w:beforeAutospacing="1" w:after="100" w:afterAutospacing="1"/>
    </w:pPr>
  </w:style>
  <w:style w:type="paragraph" w:customStyle="1" w:styleId="paragraph">
    <w:name w:val="paragraph"/>
    <w:basedOn w:val="Normal"/>
    <w:rsid w:val="00E7207B"/>
    <w:pPr>
      <w:spacing w:before="100" w:beforeAutospacing="1" w:after="100" w:afterAutospacing="1"/>
    </w:pPr>
  </w:style>
  <w:style w:type="paragraph" w:customStyle="1" w:styleId="Bodytextitalics">
    <w:name w:val="Body text italics"/>
    <w:basedOn w:val="BodyText"/>
    <w:qFormat/>
    <w:rsid w:val="00ED2198"/>
    <w:pPr>
      <w:tabs>
        <w:tab w:val="num" w:pos="1440"/>
      </w:tabs>
      <w:ind w:left="1440" w:hanging="360"/>
    </w:pPr>
    <w:rPr>
      <w:rFonts w:asciiTheme="minorHAnsi" w:eastAsiaTheme="minorHAnsi" w:hAnsiTheme="minorHAnsi" w:cstheme="minorBidi"/>
      <w:i/>
      <w:szCs w:val="22"/>
    </w:rPr>
  </w:style>
  <w:style w:type="paragraph" w:styleId="BodyText">
    <w:name w:val="Body Text"/>
    <w:basedOn w:val="Normal"/>
    <w:link w:val="BodyTextChar"/>
    <w:semiHidden/>
    <w:unhideWhenUsed/>
    <w:rsid w:val="00ED2198"/>
    <w:pPr>
      <w:spacing w:after="120"/>
    </w:pPr>
  </w:style>
  <w:style w:type="character" w:customStyle="1" w:styleId="BodyTextChar">
    <w:name w:val="Body Text Char"/>
    <w:basedOn w:val="DefaultParagraphFont"/>
    <w:link w:val="BodyText"/>
    <w:semiHidden/>
    <w:rsid w:val="00ED2198"/>
    <w:rPr>
      <w:sz w:val="24"/>
      <w:szCs w:val="24"/>
    </w:rPr>
  </w:style>
  <w:style w:type="paragraph" w:customStyle="1" w:styleId="Default">
    <w:name w:val="Default"/>
    <w:rsid w:val="00090BC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hemistdirect.com.au/" TargetMode="External"/><Relationship Id="rId1" Type="http://schemas.openxmlformats.org/officeDocument/2006/relationships/hyperlink" Target="http://www.pharmacy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18F03-84EE-40F4-8373-10D5045C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3366</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2020-06-12T04:17:00Z</dcterms:created>
  <dcterms:modified xsi:type="dcterms:W3CDTF">2020-06-19T05:41:00Z</dcterms:modified>
</cp:coreProperties>
</file>