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970" w:rsidRPr="00980D3E" w:rsidRDefault="0036256C" w:rsidP="00234738">
      <w:pPr>
        <w:pStyle w:val="1-MainHeading"/>
      </w:pPr>
      <w:bookmarkStart w:id="0" w:name="_Toc22898842"/>
      <w:bookmarkStart w:id="1" w:name="_Toc24105425"/>
      <w:r w:rsidRPr="00980D3E">
        <w:t>7.06</w:t>
      </w:r>
      <w:r w:rsidR="00C64C08" w:rsidRPr="00980D3E">
        <w:tab/>
      </w:r>
      <w:r w:rsidR="00402935" w:rsidRPr="00980D3E">
        <w:t>PLITIDEPSIN</w:t>
      </w:r>
      <w:r w:rsidR="00163F66" w:rsidRPr="00980D3E">
        <w:t>,</w:t>
      </w:r>
      <w:r w:rsidR="00163F66" w:rsidRPr="00980D3E">
        <w:br/>
      </w:r>
      <w:r w:rsidR="00402935" w:rsidRPr="00980D3E">
        <w:t>Powder for I.V. infusion 2 mg with 4 mL solvent</w:t>
      </w:r>
      <w:r w:rsidR="00163F66" w:rsidRPr="00980D3E">
        <w:t>,</w:t>
      </w:r>
      <w:r w:rsidR="00163F66" w:rsidRPr="00980D3E">
        <w:br/>
      </w:r>
      <w:r w:rsidR="00402935" w:rsidRPr="00980D3E">
        <w:t>Aplidin®,</w:t>
      </w:r>
      <w:bookmarkStart w:id="2" w:name="_GoBack"/>
      <w:bookmarkEnd w:id="2"/>
      <w:r w:rsidR="007B4D43" w:rsidRPr="00980D3E">
        <w:br/>
      </w:r>
      <w:r w:rsidR="00402935" w:rsidRPr="00980D3E">
        <w:t xml:space="preserve">Specialised </w:t>
      </w:r>
      <w:r w:rsidR="00402935" w:rsidRPr="00980D3E">
        <w:rPr>
          <w:snapToGrid w:val="0"/>
        </w:rPr>
        <w:t>Therapeutics</w:t>
      </w:r>
      <w:r w:rsidR="00402935" w:rsidRPr="00980D3E">
        <w:t xml:space="preserve"> Pharma</w:t>
      </w:r>
      <w:r w:rsidR="00572E52" w:rsidRPr="00980D3E">
        <w:t xml:space="preserve"> Pty Ltd</w:t>
      </w:r>
    </w:p>
    <w:p w:rsidR="0093442D" w:rsidRPr="00980D3E" w:rsidRDefault="0093442D" w:rsidP="0093442D">
      <w:pPr>
        <w:pStyle w:val="2-SectionHeading"/>
      </w:pPr>
      <w:bookmarkStart w:id="3" w:name="_Toc30490392"/>
      <w:bookmarkEnd w:id="0"/>
      <w:bookmarkEnd w:id="1"/>
      <w:r w:rsidRPr="00980D3E">
        <w:t>Purpose of submission</w:t>
      </w:r>
    </w:p>
    <w:p w:rsidR="0093442D" w:rsidRPr="00980D3E" w:rsidRDefault="0093442D" w:rsidP="0093442D">
      <w:pPr>
        <w:pStyle w:val="3-BodyText"/>
        <w:rPr>
          <w:rFonts w:ascii="Calibri" w:hAnsi="Calibri"/>
          <w:szCs w:val="22"/>
        </w:rPr>
      </w:pPr>
      <w:r w:rsidRPr="00980D3E">
        <w:t>The resubmission requested a Section 100 - Efficient Funding of Chemotherapy, Authority Required (telephone) listing for plitidepsin for the treatment of relapsed/refractory multiple myeloma (RRMM) in patients who are refractory (experienced treatment failure/contraindicated) to a proteasome inhibitor (PI) and an immunomodulatory drug (IMiD; third-line</w:t>
      </w:r>
      <w:r w:rsidR="001151C1" w:rsidRPr="00980D3E">
        <w:t xml:space="preserve"> setting</w:t>
      </w:r>
      <w:r w:rsidRPr="00980D3E">
        <w:t>) or in patients who have received at least three prior treatment regimens including both a PI and an IMiD (fourth-line setting).</w:t>
      </w:r>
      <w:r w:rsidRPr="00980D3E">
        <w:rPr>
          <w:i/>
        </w:rPr>
        <w:t xml:space="preserve"> </w:t>
      </w:r>
      <w:r w:rsidRPr="00980D3E">
        <w:t>The treatment setting remains unchanged from the July 2019 submission.</w:t>
      </w:r>
    </w:p>
    <w:p w:rsidR="0093442D" w:rsidRPr="00980D3E" w:rsidRDefault="0093442D" w:rsidP="0093442D">
      <w:pPr>
        <w:pStyle w:val="3-BodyText"/>
        <w:rPr>
          <w:rFonts w:ascii="Calibri" w:hAnsi="Calibri"/>
          <w:szCs w:val="22"/>
        </w:rPr>
      </w:pPr>
      <w:r w:rsidRPr="00980D3E">
        <w:t>The resubmission presented an indirect comparison against pomalidomide in the third-line setting and a direct comparison against dexamethasone (Dxm) in the fourth</w:t>
      </w:r>
      <w:r w:rsidRPr="00980D3E">
        <w:noBreakHyphen/>
        <w:t xml:space="preserve">line setting. Separate economic evaluations were presented in </w:t>
      </w:r>
      <w:r w:rsidR="001151C1" w:rsidRPr="00980D3E">
        <w:t xml:space="preserve">each </w:t>
      </w:r>
      <w:r w:rsidRPr="00980D3E">
        <w:t xml:space="preserve">setting. The submission presented a cost-minimisation analysis (CMA) compared to pomalidomide (third-line setting) and a cost-utility analysis </w:t>
      </w:r>
      <w:r w:rsidR="00EE62EF" w:rsidRPr="00980D3E">
        <w:t xml:space="preserve">(CUA) </w:t>
      </w:r>
      <w:r w:rsidRPr="00980D3E">
        <w:t>compared to Dxm (fourth</w:t>
      </w:r>
      <w:r w:rsidRPr="00980D3E">
        <w:noBreakHyphen/>
        <w:t>line setting). The key components of the clinical issue presented in the resubmission are summarised in Table 1</w:t>
      </w:r>
      <w:r w:rsidR="00100E7C" w:rsidRPr="00980D3E">
        <w:t>.</w:t>
      </w:r>
    </w:p>
    <w:p w:rsidR="0093442D" w:rsidRPr="00980D3E" w:rsidRDefault="0093442D" w:rsidP="0093442D">
      <w:pPr>
        <w:pStyle w:val="TableHeading"/>
        <w:rPr>
          <w:rStyle w:val="CommentReference"/>
          <w:b/>
          <w:szCs w:val="24"/>
        </w:rPr>
      </w:pPr>
      <w:r w:rsidRPr="00980D3E">
        <w:rPr>
          <w:rStyle w:val="CommentReference"/>
          <w:b/>
          <w:szCs w:val="24"/>
        </w:rPr>
        <w:t>Table 1: Key components of the clinical issue addressed by the resubmission (as stated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46"/>
      </w:tblGrid>
      <w:tr w:rsidR="0093442D" w:rsidRPr="00980D3E" w:rsidTr="00640ED3">
        <w:trPr>
          <w:cantSplit/>
          <w:tblHeader/>
        </w:trPr>
        <w:tc>
          <w:tcPr>
            <w:tcW w:w="705" w:type="pct"/>
            <w:shd w:val="clear" w:color="auto" w:fill="auto"/>
          </w:tcPr>
          <w:p w:rsidR="0093442D" w:rsidRPr="00980D3E" w:rsidRDefault="0093442D" w:rsidP="00640ED3">
            <w:pPr>
              <w:keepNext/>
              <w:keepLines/>
              <w:jc w:val="left"/>
              <w:rPr>
                <w:rFonts w:ascii="Arial Narrow" w:hAnsi="Arial Narrow" w:cs="Times New Roman"/>
                <w:b/>
                <w:sz w:val="20"/>
                <w:szCs w:val="20"/>
              </w:rPr>
            </w:pPr>
            <w:r w:rsidRPr="00980D3E">
              <w:rPr>
                <w:rFonts w:ascii="Arial Narrow" w:hAnsi="Arial Narrow" w:cs="Times New Roman"/>
                <w:b/>
                <w:sz w:val="20"/>
              </w:rPr>
              <w:t>Component</w:t>
            </w:r>
          </w:p>
        </w:tc>
        <w:tc>
          <w:tcPr>
            <w:tcW w:w="4295" w:type="pct"/>
            <w:shd w:val="clear" w:color="auto" w:fill="auto"/>
          </w:tcPr>
          <w:p w:rsidR="0093442D" w:rsidRPr="00980D3E" w:rsidRDefault="0093442D" w:rsidP="00640ED3">
            <w:pPr>
              <w:keepNext/>
              <w:keepLines/>
              <w:jc w:val="center"/>
              <w:rPr>
                <w:rFonts w:ascii="Arial Narrow" w:hAnsi="Arial Narrow" w:cs="Times New Roman"/>
                <w:b/>
                <w:sz w:val="20"/>
              </w:rPr>
            </w:pPr>
            <w:r w:rsidRPr="00980D3E">
              <w:rPr>
                <w:rFonts w:ascii="Arial Narrow" w:hAnsi="Arial Narrow" w:cs="Times New Roman"/>
                <w:b/>
                <w:sz w:val="20"/>
              </w:rPr>
              <w:t>Description</w:t>
            </w:r>
          </w:p>
        </w:tc>
      </w:tr>
      <w:tr w:rsidR="0093442D" w:rsidRPr="00980D3E" w:rsidTr="00640ED3">
        <w:trPr>
          <w:cantSplit/>
        </w:trPr>
        <w:tc>
          <w:tcPr>
            <w:tcW w:w="705" w:type="pct"/>
            <w:shd w:val="clear" w:color="auto" w:fill="auto"/>
          </w:tcPr>
          <w:p w:rsidR="0093442D" w:rsidRPr="00980D3E" w:rsidRDefault="0093442D" w:rsidP="00640ED3">
            <w:pPr>
              <w:pStyle w:val="TableText0"/>
            </w:pPr>
            <w:r w:rsidRPr="00980D3E">
              <w:t>Population</w:t>
            </w:r>
          </w:p>
        </w:tc>
        <w:tc>
          <w:tcPr>
            <w:tcW w:w="4295" w:type="pct"/>
            <w:tcBorders>
              <w:top w:val="single" w:sz="4" w:space="0" w:color="auto"/>
              <w:left w:val="single" w:sz="4" w:space="0" w:color="auto"/>
              <w:bottom w:val="single" w:sz="4" w:space="0" w:color="auto"/>
              <w:right w:val="single" w:sz="4" w:space="0" w:color="auto"/>
            </w:tcBorders>
          </w:tcPr>
          <w:p w:rsidR="0093442D" w:rsidRPr="00980D3E" w:rsidRDefault="0093442D" w:rsidP="00640ED3">
            <w:pPr>
              <w:pStyle w:val="TableText0"/>
            </w:pPr>
            <w:r w:rsidRPr="00980D3E">
              <w:t>Patients with RRMM who have received at least three prior treatment regimens, including both a PI and an IMiD, or failure of two prior treatments if contraindicated or intolerant to a PI and an IMiD.</w:t>
            </w:r>
          </w:p>
        </w:tc>
      </w:tr>
      <w:tr w:rsidR="0093442D" w:rsidRPr="00980D3E" w:rsidTr="00640ED3">
        <w:trPr>
          <w:cantSplit/>
        </w:trPr>
        <w:tc>
          <w:tcPr>
            <w:tcW w:w="705" w:type="pct"/>
            <w:shd w:val="clear" w:color="auto" w:fill="auto"/>
          </w:tcPr>
          <w:p w:rsidR="0093442D" w:rsidRPr="00980D3E" w:rsidRDefault="0093442D" w:rsidP="00640ED3">
            <w:pPr>
              <w:pStyle w:val="TableText0"/>
            </w:pPr>
            <w:r w:rsidRPr="00980D3E">
              <w:t>Intervention</w:t>
            </w:r>
          </w:p>
        </w:tc>
        <w:tc>
          <w:tcPr>
            <w:tcW w:w="4295" w:type="pct"/>
            <w:tcBorders>
              <w:top w:val="single" w:sz="4" w:space="0" w:color="auto"/>
              <w:left w:val="single" w:sz="4" w:space="0" w:color="auto"/>
              <w:bottom w:val="single" w:sz="4" w:space="0" w:color="auto"/>
              <w:right w:val="single" w:sz="4" w:space="0" w:color="auto"/>
            </w:tcBorders>
          </w:tcPr>
          <w:p w:rsidR="0093442D" w:rsidRPr="00980D3E" w:rsidRDefault="0093442D" w:rsidP="00640ED3">
            <w:pPr>
              <w:pStyle w:val="TableText0"/>
            </w:pPr>
            <w:r w:rsidRPr="00980D3E">
              <w:t>Plitidepsin in combination with Dxm</w:t>
            </w:r>
          </w:p>
        </w:tc>
      </w:tr>
      <w:tr w:rsidR="0093442D" w:rsidRPr="00980D3E" w:rsidTr="00640ED3">
        <w:trPr>
          <w:cantSplit/>
        </w:trPr>
        <w:tc>
          <w:tcPr>
            <w:tcW w:w="705" w:type="pct"/>
            <w:shd w:val="clear" w:color="auto" w:fill="auto"/>
          </w:tcPr>
          <w:p w:rsidR="0093442D" w:rsidRPr="00980D3E" w:rsidRDefault="0093442D" w:rsidP="00640ED3">
            <w:pPr>
              <w:pStyle w:val="TableText0"/>
            </w:pPr>
            <w:r w:rsidRPr="00980D3E">
              <w:t>Comparator</w:t>
            </w:r>
          </w:p>
        </w:tc>
        <w:tc>
          <w:tcPr>
            <w:tcW w:w="4295" w:type="pct"/>
            <w:tcBorders>
              <w:top w:val="single" w:sz="4" w:space="0" w:color="auto"/>
              <w:left w:val="single" w:sz="4" w:space="0" w:color="auto"/>
              <w:bottom w:val="single" w:sz="4" w:space="0" w:color="auto"/>
              <w:right w:val="single" w:sz="4" w:space="0" w:color="auto"/>
            </w:tcBorders>
          </w:tcPr>
          <w:p w:rsidR="0093442D" w:rsidRPr="00980D3E" w:rsidRDefault="0093442D" w:rsidP="00640ED3">
            <w:pPr>
              <w:pStyle w:val="TableText0"/>
            </w:pPr>
            <w:r w:rsidRPr="00980D3E">
              <w:t>3</w:t>
            </w:r>
            <w:r w:rsidRPr="00980D3E">
              <w:rPr>
                <w:vertAlign w:val="superscript"/>
              </w:rPr>
              <w:t>rd</w:t>
            </w:r>
            <w:r w:rsidRPr="00980D3E">
              <w:t xml:space="preserve"> line treatment setting: Pomalidomide in combination with Dxm. </w:t>
            </w:r>
          </w:p>
          <w:p w:rsidR="0093442D" w:rsidRPr="00980D3E" w:rsidRDefault="0093442D" w:rsidP="00640ED3">
            <w:pPr>
              <w:pStyle w:val="TableText0"/>
            </w:pPr>
            <w:r w:rsidRPr="00980D3E">
              <w:t>4</w:t>
            </w:r>
            <w:r w:rsidRPr="00980D3E">
              <w:rPr>
                <w:vertAlign w:val="superscript"/>
              </w:rPr>
              <w:t>th</w:t>
            </w:r>
            <w:r w:rsidRPr="00980D3E">
              <w:t xml:space="preserve"> line treatment setting: Dxm</w:t>
            </w:r>
          </w:p>
        </w:tc>
      </w:tr>
      <w:tr w:rsidR="0093442D" w:rsidRPr="00980D3E" w:rsidTr="00640ED3">
        <w:trPr>
          <w:cantSplit/>
        </w:trPr>
        <w:tc>
          <w:tcPr>
            <w:tcW w:w="705" w:type="pct"/>
            <w:shd w:val="clear" w:color="auto" w:fill="auto"/>
          </w:tcPr>
          <w:p w:rsidR="0093442D" w:rsidRPr="00980D3E" w:rsidRDefault="0093442D" w:rsidP="00640ED3">
            <w:pPr>
              <w:pStyle w:val="TableText0"/>
            </w:pPr>
            <w:r w:rsidRPr="00980D3E">
              <w:t>Outcomes</w:t>
            </w:r>
          </w:p>
        </w:tc>
        <w:tc>
          <w:tcPr>
            <w:tcW w:w="4295" w:type="pct"/>
            <w:tcBorders>
              <w:top w:val="single" w:sz="4" w:space="0" w:color="auto"/>
              <w:left w:val="single" w:sz="4" w:space="0" w:color="auto"/>
              <w:bottom w:val="single" w:sz="4" w:space="0" w:color="auto"/>
              <w:right w:val="single" w:sz="4" w:space="0" w:color="auto"/>
            </w:tcBorders>
          </w:tcPr>
          <w:p w:rsidR="0093442D" w:rsidRPr="00980D3E" w:rsidRDefault="0093442D" w:rsidP="00640ED3">
            <w:pPr>
              <w:pStyle w:val="TableText0"/>
            </w:pPr>
            <w:r w:rsidRPr="00980D3E">
              <w:t>PFS, OS, RR, DoR, TEAEs</w:t>
            </w:r>
          </w:p>
        </w:tc>
      </w:tr>
      <w:tr w:rsidR="0093442D" w:rsidRPr="00980D3E" w:rsidTr="00640ED3">
        <w:trPr>
          <w:cantSplit/>
        </w:trPr>
        <w:tc>
          <w:tcPr>
            <w:tcW w:w="705" w:type="pct"/>
            <w:shd w:val="clear" w:color="auto" w:fill="auto"/>
          </w:tcPr>
          <w:p w:rsidR="0093442D" w:rsidRPr="00980D3E" w:rsidRDefault="0093442D" w:rsidP="00640ED3">
            <w:pPr>
              <w:pStyle w:val="TableText0"/>
            </w:pPr>
            <w:r w:rsidRPr="00980D3E">
              <w:t>Clinical claim</w:t>
            </w:r>
          </w:p>
        </w:tc>
        <w:tc>
          <w:tcPr>
            <w:tcW w:w="4295" w:type="pct"/>
            <w:tcBorders>
              <w:top w:val="single" w:sz="4" w:space="0" w:color="auto"/>
              <w:left w:val="single" w:sz="4" w:space="0" w:color="auto"/>
              <w:bottom w:val="single" w:sz="4" w:space="0" w:color="auto"/>
              <w:right w:val="single" w:sz="4" w:space="0" w:color="auto"/>
            </w:tcBorders>
          </w:tcPr>
          <w:p w:rsidR="0093442D" w:rsidRPr="00980D3E" w:rsidRDefault="0093442D" w:rsidP="00640ED3">
            <w:pPr>
              <w:pStyle w:val="TableText0"/>
            </w:pPr>
            <w:r w:rsidRPr="00980D3E">
              <w:t>3</w:t>
            </w:r>
            <w:r w:rsidRPr="00980D3E">
              <w:rPr>
                <w:vertAlign w:val="superscript"/>
              </w:rPr>
              <w:t>rd</w:t>
            </w:r>
            <w:r w:rsidRPr="00980D3E">
              <w:t xml:space="preserve"> line treatment setting: In patients with RRMM who have received at least two prior treatment regimens, including both a PI and an IMiD, plitidepsin + Dxm is no worse than pomalidomide + Dxm at improving PFS and OS, with a different safety profile.</w:t>
            </w:r>
          </w:p>
          <w:p w:rsidR="0093442D" w:rsidRPr="00980D3E" w:rsidRDefault="0093442D" w:rsidP="00640ED3">
            <w:pPr>
              <w:pStyle w:val="TableText0"/>
            </w:pPr>
          </w:p>
          <w:p w:rsidR="0093442D" w:rsidRPr="00980D3E" w:rsidRDefault="0093442D" w:rsidP="00640ED3">
            <w:pPr>
              <w:pStyle w:val="TableText0"/>
            </w:pPr>
            <w:r w:rsidRPr="00980D3E">
              <w:t>4</w:t>
            </w:r>
            <w:r w:rsidRPr="00980D3E">
              <w:rPr>
                <w:vertAlign w:val="superscript"/>
              </w:rPr>
              <w:t>th</w:t>
            </w:r>
            <w:r w:rsidRPr="00980D3E">
              <w:t xml:space="preserve"> line treatment setting:  In patients with RRMM who have received at least three prior treatment regimens, including both a PI and IMiD, plitidepsin + Dxm is superior in terms of effectiveness and inferior in terms of safety compared with Dxm monotherapy</w:t>
            </w:r>
            <w:r w:rsidRPr="00980D3E">
              <w:rPr>
                <w:vertAlign w:val="superscript"/>
              </w:rPr>
              <w:t>a</w:t>
            </w:r>
            <w:r w:rsidRPr="00980D3E">
              <w:t>.</w:t>
            </w:r>
          </w:p>
        </w:tc>
      </w:tr>
    </w:tbl>
    <w:p w:rsidR="0093442D" w:rsidRPr="00980D3E" w:rsidRDefault="0093442D" w:rsidP="0093442D">
      <w:pPr>
        <w:pStyle w:val="TableFigureFooter"/>
      </w:pPr>
      <w:r w:rsidRPr="00980D3E">
        <w:t>Source: Table 9, p31 of the March 2020 resubmission.</w:t>
      </w:r>
    </w:p>
    <w:p w:rsidR="0093442D" w:rsidRPr="00980D3E" w:rsidRDefault="0093442D" w:rsidP="0093442D">
      <w:pPr>
        <w:pStyle w:val="TableFigureFooter"/>
      </w:pPr>
      <w:r w:rsidRPr="00980D3E">
        <w:t>DoR = duration of response; Dxm = dexamethasone; IMiD = immunomodulatory agent; OS = overall survival; PFS = progression free survival; PI = proteasome inhibitor; RR = response rate; RRMM = relapsed/refractory multiple myeloma; TEAE = treatment-emergent adverse event.</w:t>
      </w:r>
    </w:p>
    <w:p w:rsidR="0093442D" w:rsidRPr="00980D3E" w:rsidRDefault="0093442D" w:rsidP="0093442D">
      <w:pPr>
        <w:pStyle w:val="TableFigureFooter"/>
        <w:rPr>
          <w:i/>
        </w:rPr>
      </w:pPr>
      <w:r w:rsidRPr="00980D3E">
        <w:rPr>
          <w:vertAlign w:val="superscript"/>
        </w:rPr>
        <w:t>a</w:t>
      </w:r>
      <w:r w:rsidRPr="00980D3E">
        <w:t xml:space="preserve"> July 2019 submission claimed non-inferior safety for plitidepsin + Dxm compared to Dxm monotherapy</w:t>
      </w:r>
      <w:r w:rsidRPr="00980D3E">
        <w:rPr>
          <w:i/>
        </w:rPr>
        <w:t xml:space="preserve">. </w:t>
      </w:r>
    </w:p>
    <w:p w:rsidR="005C25FF" w:rsidRPr="00980D3E" w:rsidRDefault="005C25FF" w:rsidP="004A6040">
      <w:pPr>
        <w:pStyle w:val="2-SectionHeading"/>
      </w:pPr>
      <w:r w:rsidRPr="00980D3E">
        <w:lastRenderedPageBreak/>
        <w:t>Background</w:t>
      </w:r>
      <w:bookmarkEnd w:id="3"/>
    </w:p>
    <w:p w:rsidR="005C25FF" w:rsidRPr="00980D3E" w:rsidRDefault="005C25FF" w:rsidP="004A6040">
      <w:pPr>
        <w:pStyle w:val="4-SubsectionHeading"/>
      </w:pPr>
      <w:bookmarkStart w:id="4" w:name="_Toc22897638"/>
      <w:bookmarkStart w:id="5" w:name="_Toc30490393"/>
      <w:r w:rsidRPr="00980D3E">
        <w:t>Registration status</w:t>
      </w:r>
      <w:bookmarkEnd w:id="4"/>
      <w:bookmarkEnd w:id="5"/>
    </w:p>
    <w:p w:rsidR="00EC2F1A" w:rsidRPr="00980D3E" w:rsidRDefault="00EC2F1A" w:rsidP="00EC2F1A">
      <w:pPr>
        <w:pStyle w:val="3-BodyText"/>
        <w:rPr>
          <w:rFonts w:ascii="Calibri" w:hAnsi="Calibri"/>
          <w:szCs w:val="22"/>
        </w:rPr>
      </w:pPr>
      <w:r w:rsidRPr="00980D3E">
        <w:rPr>
          <w:color w:val="000000" w:themeColor="text1"/>
        </w:rPr>
        <w:t>Plitidepsin</w:t>
      </w:r>
      <w:r w:rsidRPr="00980D3E">
        <w:t xml:space="preserve"> was TGA registered on 10 December 2018 for use in combination with </w:t>
      </w:r>
      <w:r w:rsidR="001151C1" w:rsidRPr="00980D3E">
        <w:t>Dxm</w:t>
      </w:r>
      <w:r w:rsidRPr="00980D3E">
        <w:t>, for the treatment of patients with RRMM who have received at least three prior treatment regimens, including both a PI and an IMiD. Plitidepsin may be used after two prior lines of therapy if refractory and/or intolerant to both a PI and an IMiD</w:t>
      </w:r>
      <w:r w:rsidR="00980D3E">
        <w:t xml:space="preserve">. </w:t>
      </w:r>
    </w:p>
    <w:p w:rsidR="005C25FF" w:rsidRPr="00980D3E" w:rsidRDefault="00EC2F1A" w:rsidP="00EC2F1A">
      <w:pPr>
        <w:pStyle w:val="3-BodyText"/>
      </w:pPr>
      <w:r w:rsidRPr="00980D3E">
        <w:t>During the TGA review process</w:t>
      </w:r>
      <w:r w:rsidR="00A56DC8" w:rsidRPr="00980D3E">
        <w:t>,</w:t>
      </w:r>
      <w:r w:rsidRPr="00980D3E">
        <w:t xml:space="preserve"> </w:t>
      </w:r>
      <w:r w:rsidR="001151C1" w:rsidRPr="00980D3E">
        <w:t xml:space="preserve">registration of plitidepsin was recommended in the </w:t>
      </w:r>
      <w:r w:rsidRPr="00980D3E">
        <w:t>Clinical Evaluation Report</w:t>
      </w:r>
      <w:r w:rsidR="00634224" w:rsidRPr="00980D3E">
        <w:t>;</w:t>
      </w:r>
      <w:r w:rsidRPr="00980D3E">
        <w:t xml:space="preserve"> however, the first assigned TGA Delegate noted an intention to reject the application on the basis of an unfavourable balance of benefits to harms. The registration was subsequently approved following a meeting with the sponsor, the appointment of a second delegate and lodgement of a Section S31 request.</w:t>
      </w:r>
      <w:r w:rsidR="00D43D83" w:rsidRPr="00980D3E">
        <w:rPr>
          <w:color w:val="0066FF"/>
        </w:rPr>
        <w:t xml:space="preserve"> </w:t>
      </w:r>
    </w:p>
    <w:p w:rsidR="00F46427" w:rsidRPr="00980D3E" w:rsidRDefault="00535406" w:rsidP="001A5F75">
      <w:pPr>
        <w:pStyle w:val="3-BodyText"/>
      </w:pPr>
      <w:r w:rsidRPr="00980D3E">
        <w:t>Plitidepsin was rejected by the European Medicines Agency (EMA) in December 2017</w:t>
      </w:r>
      <w:r w:rsidR="00F46427" w:rsidRPr="00980D3E">
        <w:t>. The Sponsor requested a re-examination of the initial opinion, and</w:t>
      </w:r>
      <w:r w:rsidR="00FF637A" w:rsidRPr="00980D3E">
        <w:t xml:space="preserve"> after re-examination</w:t>
      </w:r>
      <w:r w:rsidR="00F46427" w:rsidRPr="00980D3E">
        <w:t xml:space="preserve"> the Committee for Medicinal Products for Human Use (CHMP)</w:t>
      </w:r>
      <w:r w:rsidR="001A5F75" w:rsidRPr="00980D3E">
        <w:t xml:space="preserve"> confirmed the refusal of the marketing authorisation in</w:t>
      </w:r>
      <w:r w:rsidRPr="00980D3E">
        <w:t xml:space="preserve"> March 2018.</w:t>
      </w:r>
      <w:r w:rsidR="001A5F75" w:rsidRPr="00980D3E">
        <w:rPr>
          <w:rStyle w:val="FootnoteReference"/>
        </w:rPr>
        <w:footnoteReference w:id="1"/>
      </w:r>
      <w:r w:rsidRPr="00980D3E">
        <w:t xml:space="preserve"> The EMA stated that plitidepsin + Dxm demonstrated only a modest increase in progression free survival (PFS) of approximately one month compared to Dxm monotherapy, improvement in overall survival (OS) was not adequately demonstrated</w:t>
      </w:r>
      <w:r w:rsidR="00FF637A" w:rsidRPr="00980D3E">
        <w:t>,</w:t>
      </w:r>
      <w:r w:rsidRPr="00980D3E">
        <w:t xml:space="preserve"> and that severe side effects were reported. The EMA considered that the benefits of plitidepsin did not </w:t>
      </w:r>
      <w:r w:rsidR="007B25C8" w:rsidRPr="00980D3E">
        <w:t>outweigh</w:t>
      </w:r>
      <w:r w:rsidRPr="00980D3E">
        <w:t xml:space="preserve"> its risks.</w:t>
      </w:r>
    </w:p>
    <w:p w:rsidR="008E7ACA" w:rsidRPr="00980D3E" w:rsidRDefault="008E7ACA" w:rsidP="00EC2F1A">
      <w:pPr>
        <w:pStyle w:val="3-BodyText"/>
      </w:pPr>
      <w:r w:rsidRPr="00980D3E">
        <w:t>Plitidepsin has not been considered by the Food and Drug Administration (FDA) in the USA.</w:t>
      </w:r>
    </w:p>
    <w:p w:rsidR="005C25FF" w:rsidRPr="00980D3E" w:rsidRDefault="005C25FF" w:rsidP="004E18E9">
      <w:pPr>
        <w:pStyle w:val="4-SubsectionHeading"/>
      </w:pPr>
      <w:bookmarkStart w:id="6" w:name="_Toc22897639"/>
      <w:bookmarkStart w:id="7" w:name="_Toc30490394"/>
      <w:r w:rsidRPr="00980D3E">
        <w:t>Previous PBAC consideration</w:t>
      </w:r>
      <w:bookmarkEnd w:id="6"/>
      <w:bookmarkEnd w:id="7"/>
    </w:p>
    <w:p w:rsidR="001A46B4" w:rsidRPr="00980D3E" w:rsidRDefault="00584192" w:rsidP="00D1376E">
      <w:pPr>
        <w:pStyle w:val="3-BodyText"/>
        <w:keepLines/>
      </w:pPr>
      <w:r w:rsidRPr="00980D3E">
        <w:t xml:space="preserve">Plitidepsin in combination with </w:t>
      </w:r>
      <w:r w:rsidR="001151C1" w:rsidRPr="00980D3E">
        <w:t xml:space="preserve">Dxm </w:t>
      </w:r>
      <w:r w:rsidRPr="00980D3E">
        <w:t xml:space="preserve">was previously considered by the PBAC for this indication in July 2019. It was not recommended. </w:t>
      </w:r>
      <w:r w:rsidR="00F1778A" w:rsidRPr="00980D3E">
        <w:t xml:space="preserve">A summary of the matters of concern raised by the PBAC </w:t>
      </w:r>
      <w:r w:rsidR="00634224" w:rsidRPr="00980D3E">
        <w:t>in</w:t>
      </w:r>
      <w:r w:rsidR="00F1778A" w:rsidRPr="00980D3E">
        <w:t xml:space="preserve"> respect to the July 2019 submission, and how they have been addressed in the March 2020 resubmission is provided in </w:t>
      </w:r>
      <w:r w:rsidR="00BB728E" w:rsidRPr="00980D3E">
        <w:t>Table 2</w:t>
      </w:r>
      <w:r w:rsidR="00F1778A" w:rsidRPr="00980D3E">
        <w:t>.</w:t>
      </w:r>
    </w:p>
    <w:p w:rsidR="005C25FF" w:rsidRPr="00980D3E" w:rsidRDefault="005C25FF" w:rsidP="00FD2E98">
      <w:pPr>
        <w:pStyle w:val="TableHeading"/>
        <w:rPr>
          <w:rStyle w:val="CommentReference"/>
          <w:b/>
          <w:szCs w:val="24"/>
        </w:rPr>
      </w:pPr>
      <w:bookmarkStart w:id="8" w:name="_Ref33523880"/>
      <w:r w:rsidRPr="00980D3E">
        <w:rPr>
          <w:rStyle w:val="CommentReference"/>
          <w:b/>
          <w:szCs w:val="24"/>
        </w:rPr>
        <w:lastRenderedPageBreak/>
        <w:t xml:space="preserve">Table </w:t>
      </w:r>
      <w:r w:rsidR="00BB728E" w:rsidRPr="00980D3E">
        <w:rPr>
          <w:rStyle w:val="CommentReference"/>
          <w:b/>
          <w:szCs w:val="24"/>
        </w:rPr>
        <w:t>2</w:t>
      </w:r>
      <w:bookmarkEnd w:id="8"/>
      <w:r w:rsidRPr="00980D3E">
        <w:rPr>
          <w:rStyle w:val="CommentReference"/>
          <w:b/>
          <w:szCs w:val="24"/>
        </w:rPr>
        <w:t>: Summary of key matters of concern</w:t>
      </w:r>
    </w:p>
    <w:tbl>
      <w:tblPr>
        <w:tblStyle w:val="TableGrid"/>
        <w:tblW w:w="5000" w:type="pct"/>
        <w:tblLook w:val="04A0" w:firstRow="1" w:lastRow="0" w:firstColumn="1" w:lastColumn="0" w:noHBand="0" w:noVBand="1"/>
        <w:tblCaption w:val="Table 2: Summary of key matters of concern"/>
      </w:tblPr>
      <w:tblGrid>
        <w:gridCol w:w="4249"/>
        <w:gridCol w:w="4768"/>
      </w:tblGrid>
      <w:tr w:rsidR="00F9733D" w:rsidRPr="00980D3E" w:rsidTr="00A26ED5">
        <w:trPr>
          <w:tblHeader/>
        </w:trPr>
        <w:tc>
          <w:tcPr>
            <w:tcW w:w="2356" w:type="pct"/>
            <w:tcMar>
              <w:left w:w="28" w:type="dxa"/>
              <w:right w:w="28" w:type="dxa"/>
            </w:tcMar>
          </w:tcPr>
          <w:p w:rsidR="00F9733D" w:rsidRPr="00980D3E" w:rsidRDefault="00F9733D" w:rsidP="001311B5">
            <w:pPr>
              <w:pStyle w:val="3-BodyText"/>
              <w:keepNext/>
              <w:keepLines/>
              <w:numPr>
                <w:ilvl w:val="0"/>
                <w:numId w:val="0"/>
              </w:numPr>
              <w:spacing w:after="0"/>
              <w:jc w:val="left"/>
              <w:rPr>
                <w:rFonts w:ascii="Arial Narrow" w:hAnsi="Arial Narrow"/>
                <w:b/>
                <w:sz w:val="20"/>
                <w:szCs w:val="20"/>
              </w:rPr>
            </w:pPr>
            <w:r w:rsidRPr="00980D3E">
              <w:rPr>
                <w:rFonts w:ascii="Arial Narrow" w:hAnsi="Arial Narrow"/>
                <w:b/>
                <w:sz w:val="20"/>
                <w:szCs w:val="20"/>
              </w:rPr>
              <w:t>Matter of concern</w:t>
            </w:r>
            <w:r w:rsidR="00455D10" w:rsidRPr="00980D3E">
              <w:rPr>
                <w:rFonts w:ascii="Arial Narrow" w:hAnsi="Arial Narrow"/>
                <w:b/>
                <w:sz w:val="20"/>
                <w:szCs w:val="20"/>
              </w:rPr>
              <w:t>s</w:t>
            </w:r>
            <w:r w:rsidRPr="00980D3E">
              <w:rPr>
                <w:rFonts w:ascii="Arial Narrow" w:hAnsi="Arial Narrow"/>
                <w:b/>
                <w:sz w:val="20"/>
                <w:szCs w:val="20"/>
              </w:rPr>
              <w:t xml:space="preserve"> identified by PBAC in July 2019 meeting</w:t>
            </w:r>
          </w:p>
        </w:tc>
        <w:tc>
          <w:tcPr>
            <w:tcW w:w="2644" w:type="pct"/>
            <w:tcMar>
              <w:left w:w="28" w:type="dxa"/>
              <w:right w:w="28" w:type="dxa"/>
            </w:tcMar>
          </w:tcPr>
          <w:p w:rsidR="00F9733D" w:rsidRPr="00980D3E" w:rsidRDefault="00F9733D" w:rsidP="001311B5">
            <w:pPr>
              <w:pStyle w:val="3-BodyText"/>
              <w:keepNext/>
              <w:keepLines/>
              <w:numPr>
                <w:ilvl w:val="0"/>
                <w:numId w:val="0"/>
              </w:numPr>
              <w:spacing w:after="0"/>
              <w:jc w:val="left"/>
              <w:rPr>
                <w:rFonts w:ascii="Arial Narrow" w:hAnsi="Arial Narrow"/>
                <w:b/>
                <w:sz w:val="20"/>
                <w:szCs w:val="20"/>
              </w:rPr>
            </w:pPr>
            <w:r w:rsidRPr="00980D3E">
              <w:rPr>
                <w:rFonts w:ascii="Arial Narrow" w:hAnsi="Arial Narrow"/>
                <w:b/>
                <w:sz w:val="20"/>
                <w:szCs w:val="20"/>
              </w:rPr>
              <w:t>How the resubmission addresse</w:t>
            </w:r>
            <w:r w:rsidR="00455D10" w:rsidRPr="00980D3E">
              <w:rPr>
                <w:rFonts w:ascii="Arial Narrow" w:hAnsi="Arial Narrow"/>
                <w:b/>
                <w:sz w:val="20"/>
                <w:szCs w:val="20"/>
              </w:rPr>
              <w:t>d</w:t>
            </w:r>
            <w:r w:rsidRPr="00980D3E">
              <w:rPr>
                <w:rFonts w:ascii="Arial Narrow" w:hAnsi="Arial Narrow"/>
                <w:b/>
                <w:sz w:val="20"/>
                <w:szCs w:val="20"/>
              </w:rPr>
              <w:t xml:space="preserve"> it</w:t>
            </w:r>
          </w:p>
        </w:tc>
      </w:tr>
      <w:tr w:rsidR="00F9733D" w:rsidRPr="00980D3E" w:rsidTr="00A26ED5">
        <w:tc>
          <w:tcPr>
            <w:tcW w:w="5000" w:type="pct"/>
            <w:gridSpan w:val="2"/>
            <w:tcMar>
              <w:left w:w="28" w:type="dxa"/>
              <w:right w:w="28" w:type="dxa"/>
            </w:tcMar>
          </w:tcPr>
          <w:p w:rsidR="00F9733D" w:rsidRPr="00980D3E" w:rsidRDefault="00F9733D" w:rsidP="001311B5">
            <w:pPr>
              <w:pStyle w:val="3-BodyText"/>
              <w:keepNext/>
              <w:keepLines/>
              <w:numPr>
                <w:ilvl w:val="0"/>
                <w:numId w:val="0"/>
              </w:numPr>
              <w:spacing w:after="0"/>
              <w:jc w:val="left"/>
              <w:rPr>
                <w:rFonts w:ascii="Arial Narrow" w:hAnsi="Arial Narrow"/>
                <w:b/>
                <w:sz w:val="20"/>
                <w:szCs w:val="20"/>
              </w:rPr>
            </w:pPr>
            <w:r w:rsidRPr="00980D3E">
              <w:rPr>
                <w:rFonts w:ascii="Arial Narrow" w:hAnsi="Arial Narrow"/>
                <w:b/>
                <w:sz w:val="20"/>
                <w:szCs w:val="20"/>
              </w:rPr>
              <w:t>PBS restriction issues</w:t>
            </w:r>
          </w:p>
        </w:tc>
      </w:tr>
      <w:tr w:rsidR="00F9733D" w:rsidRPr="00980D3E" w:rsidTr="00A26ED5">
        <w:tc>
          <w:tcPr>
            <w:tcW w:w="2356" w:type="pct"/>
            <w:tcMar>
              <w:left w:w="28" w:type="dxa"/>
              <w:right w:w="28" w:type="dxa"/>
            </w:tcMar>
          </w:tcPr>
          <w:p w:rsidR="00F9733D" w:rsidRPr="00980D3E" w:rsidRDefault="00F9733D" w:rsidP="001311B5">
            <w:pPr>
              <w:pStyle w:val="3-BodyText"/>
              <w:keepNext/>
              <w:keepLines/>
              <w:numPr>
                <w:ilvl w:val="0"/>
                <w:numId w:val="0"/>
              </w:numPr>
              <w:spacing w:after="0"/>
              <w:jc w:val="left"/>
              <w:rPr>
                <w:rStyle w:val="CommentReference"/>
                <w:szCs w:val="20"/>
              </w:rPr>
            </w:pPr>
            <w:r w:rsidRPr="00980D3E">
              <w:rPr>
                <w:rFonts w:ascii="Arial Narrow" w:hAnsi="Arial Narrow"/>
                <w:sz w:val="20"/>
                <w:szCs w:val="20"/>
              </w:rPr>
              <w:t>Authority Required (telephone) restriction level was inappropriate (</w:t>
            </w:r>
            <w:r w:rsidR="00534072" w:rsidRPr="00980D3E">
              <w:rPr>
                <w:rFonts w:ascii="Arial Narrow" w:hAnsi="Arial Narrow"/>
                <w:sz w:val="20"/>
                <w:szCs w:val="20"/>
              </w:rPr>
              <w:t>para</w:t>
            </w:r>
            <w:r w:rsidRPr="00980D3E">
              <w:rPr>
                <w:rFonts w:ascii="Arial Narrow" w:hAnsi="Arial Narrow"/>
                <w:sz w:val="20"/>
                <w:szCs w:val="20"/>
              </w:rPr>
              <w:t xml:space="preserve"> 2.3, July 2019 </w:t>
            </w:r>
            <w:r w:rsidR="001E59C3" w:rsidRPr="00980D3E">
              <w:rPr>
                <w:rFonts w:ascii="Arial Narrow" w:hAnsi="Arial Narrow"/>
                <w:sz w:val="20"/>
                <w:szCs w:val="20"/>
              </w:rPr>
              <w:t>PSD</w:t>
            </w:r>
            <w:r w:rsidRPr="00980D3E">
              <w:rPr>
                <w:rFonts w:ascii="Arial Narrow" w:hAnsi="Arial Narrow"/>
                <w:sz w:val="20"/>
                <w:szCs w:val="20"/>
              </w:rPr>
              <w:t>).</w:t>
            </w:r>
          </w:p>
        </w:tc>
        <w:tc>
          <w:tcPr>
            <w:tcW w:w="2644" w:type="pct"/>
            <w:tcMar>
              <w:left w:w="28" w:type="dxa"/>
              <w:right w:w="28" w:type="dxa"/>
            </w:tcMar>
          </w:tcPr>
          <w:p w:rsidR="00F9733D" w:rsidRPr="00980D3E" w:rsidRDefault="00F9733D" w:rsidP="001311B5">
            <w:pPr>
              <w:pStyle w:val="3-BodyText"/>
              <w:keepNext/>
              <w:keepLines/>
              <w:numPr>
                <w:ilvl w:val="0"/>
                <w:numId w:val="0"/>
              </w:numPr>
              <w:spacing w:after="0"/>
              <w:jc w:val="left"/>
              <w:rPr>
                <w:rStyle w:val="CommentReference"/>
                <w:szCs w:val="20"/>
              </w:rPr>
            </w:pPr>
            <w:r w:rsidRPr="00980D3E">
              <w:rPr>
                <w:rFonts w:ascii="Arial Narrow" w:hAnsi="Arial Narrow"/>
                <w:sz w:val="20"/>
                <w:szCs w:val="20"/>
              </w:rPr>
              <w:t>Not addressed</w:t>
            </w:r>
            <w:r w:rsidR="00D92222" w:rsidRPr="00980D3E">
              <w:rPr>
                <w:rFonts w:ascii="Arial Narrow" w:hAnsi="Arial Narrow"/>
                <w:sz w:val="20"/>
                <w:szCs w:val="20"/>
              </w:rPr>
              <w:t>.</w:t>
            </w:r>
          </w:p>
        </w:tc>
      </w:tr>
      <w:tr w:rsidR="00F9733D" w:rsidRPr="00980D3E" w:rsidTr="00A26ED5">
        <w:tc>
          <w:tcPr>
            <w:tcW w:w="2356" w:type="pct"/>
            <w:tcMar>
              <w:left w:w="28" w:type="dxa"/>
              <w:right w:w="28" w:type="dxa"/>
            </w:tcMar>
          </w:tcPr>
          <w:p w:rsidR="00F9733D" w:rsidRPr="00980D3E" w:rsidRDefault="00F9733D" w:rsidP="001311B5">
            <w:pPr>
              <w:pStyle w:val="3-BodyText"/>
              <w:keepNext/>
              <w:keepLines/>
              <w:numPr>
                <w:ilvl w:val="0"/>
                <w:numId w:val="0"/>
              </w:numPr>
              <w:spacing w:after="0"/>
              <w:jc w:val="left"/>
              <w:rPr>
                <w:rFonts w:ascii="Arial Narrow" w:hAnsi="Arial Narrow"/>
                <w:sz w:val="20"/>
                <w:szCs w:val="20"/>
              </w:rPr>
            </w:pPr>
            <w:r w:rsidRPr="00980D3E">
              <w:rPr>
                <w:rFonts w:ascii="Arial Narrow" w:hAnsi="Arial Narrow"/>
                <w:sz w:val="20"/>
                <w:szCs w:val="20"/>
              </w:rPr>
              <w:t xml:space="preserve">The maximum amount </w:t>
            </w:r>
            <w:r w:rsidR="00B51DD7" w:rsidRPr="00980D3E">
              <w:rPr>
                <w:rFonts w:ascii="Arial Narrow" w:hAnsi="Arial Narrow"/>
                <w:sz w:val="20"/>
                <w:szCs w:val="20"/>
              </w:rPr>
              <w:t>was sufficient for a BSA</w:t>
            </w:r>
            <w:r w:rsidRPr="00980D3E">
              <w:rPr>
                <w:rFonts w:ascii="Arial Narrow" w:hAnsi="Arial Narrow"/>
                <w:sz w:val="20"/>
                <w:szCs w:val="20"/>
              </w:rPr>
              <w:t xml:space="preserve"> of 1.8</w:t>
            </w:r>
            <w:r w:rsidR="001E59C3" w:rsidRPr="00980D3E">
              <w:rPr>
                <w:rFonts w:ascii="Arial Narrow" w:hAnsi="Arial Narrow"/>
                <w:sz w:val="20"/>
                <w:szCs w:val="20"/>
              </w:rPr>
              <w:t> </w:t>
            </w:r>
            <w:r w:rsidRPr="00980D3E">
              <w:rPr>
                <w:rFonts w:ascii="Arial Narrow" w:hAnsi="Arial Narrow"/>
                <w:sz w:val="20"/>
                <w:szCs w:val="20"/>
              </w:rPr>
              <w:t>m</w:t>
            </w:r>
            <w:r w:rsidRPr="00980D3E">
              <w:rPr>
                <w:rFonts w:ascii="Arial Narrow" w:hAnsi="Arial Narrow"/>
                <w:sz w:val="20"/>
                <w:szCs w:val="20"/>
                <w:vertAlign w:val="superscript"/>
              </w:rPr>
              <w:t>2</w:t>
            </w:r>
            <w:r w:rsidRPr="00980D3E">
              <w:rPr>
                <w:rFonts w:ascii="Arial Narrow" w:hAnsi="Arial Narrow"/>
                <w:sz w:val="20"/>
                <w:szCs w:val="20"/>
              </w:rPr>
              <w:t>. At a BSA of 2.2 m</w:t>
            </w:r>
            <w:r w:rsidRPr="00980D3E">
              <w:rPr>
                <w:rFonts w:ascii="Arial Narrow" w:hAnsi="Arial Narrow"/>
                <w:sz w:val="20"/>
                <w:szCs w:val="20"/>
                <w:vertAlign w:val="superscript"/>
              </w:rPr>
              <w:t>2</w:t>
            </w:r>
            <w:r w:rsidRPr="00980D3E">
              <w:rPr>
                <w:rFonts w:ascii="Arial Narrow" w:hAnsi="Arial Narrow"/>
                <w:sz w:val="20"/>
                <w:szCs w:val="20"/>
              </w:rPr>
              <w:t xml:space="preserve">, a maximum amount of 22 mg would </w:t>
            </w:r>
            <w:r w:rsidR="005F498C" w:rsidRPr="00980D3E">
              <w:rPr>
                <w:rFonts w:ascii="Arial Narrow" w:hAnsi="Arial Narrow"/>
                <w:sz w:val="20"/>
                <w:szCs w:val="20"/>
              </w:rPr>
              <w:t xml:space="preserve">be </w:t>
            </w:r>
            <w:r w:rsidRPr="00980D3E">
              <w:rPr>
                <w:rFonts w:ascii="Arial Narrow" w:hAnsi="Arial Narrow"/>
                <w:sz w:val="20"/>
                <w:szCs w:val="20"/>
              </w:rPr>
              <w:t>required. This had minor implications for the estimated financial impact (</w:t>
            </w:r>
            <w:r w:rsidR="00534072" w:rsidRPr="00980D3E">
              <w:rPr>
                <w:rFonts w:ascii="Arial Narrow" w:hAnsi="Arial Narrow"/>
                <w:sz w:val="20"/>
                <w:szCs w:val="20"/>
              </w:rPr>
              <w:t>para</w:t>
            </w:r>
            <w:r w:rsidRPr="00980D3E">
              <w:rPr>
                <w:rFonts w:ascii="Arial Narrow" w:hAnsi="Arial Narrow"/>
                <w:sz w:val="20"/>
                <w:szCs w:val="20"/>
              </w:rPr>
              <w:t xml:space="preserve"> 2.5, July 2019 </w:t>
            </w:r>
            <w:r w:rsidR="001E59C3" w:rsidRPr="00980D3E">
              <w:rPr>
                <w:rFonts w:ascii="Arial Narrow" w:hAnsi="Arial Narrow"/>
                <w:sz w:val="20"/>
                <w:szCs w:val="20"/>
              </w:rPr>
              <w:t>PSD</w:t>
            </w:r>
            <w:r w:rsidRPr="00980D3E">
              <w:rPr>
                <w:rFonts w:ascii="Arial Narrow" w:hAnsi="Arial Narrow"/>
                <w:sz w:val="20"/>
                <w:szCs w:val="20"/>
              </w:rPr>
              <w:t>)</w:t>
            </w:r>
            <w:r w:rsidR="00070111" w:rsidRPr="00980D3E">
              <w:rPr>
                <w:rFonts w:ascii="Arial Narrow" w:hAnsi="Arial Narrow"/>
                <w:sz w:val="20"/>
                <w:szCs w:val="20"/>
              </w:rPr>
              <w:t>.</w:t>
            </w:r>
          </w:p>
        </w:tc>
        <w:tc>
          <w:tcPr>
            <w:tcW w:w="2644" w:type="pct"/>
            <w:tcMar>
              <w:left w:w="28" w:type="dxa"/>
              <w:right w:w="28" w:type="dxa"/>
            </w:tcMar>
          </w:tcPr>
          <w:p w:rsidR="00F9733D" w:rsidRPr="00980D3E" w:rsidRDefault="00F9733D" w:rsidP="001311B5">
            <w:pPr>
              <w:pStyle w:val="3-BodyText"/>
              <w:keepNext/>
              <w:keepLines/>
              <w:numPr>
                <w:ilvl w:val="0"/>
                <w:numId w:val="0"/>
              </w:numPr>
              <w:spacing w:after="0"/>
              <w:jc w:val="left"/>
              <w:rPr>
                <w:rFonts w:ascii="Arial Narrow" w:hAnsi="Arial Narrow"/>
                <w:sz w:val="20"/>
                <w:szCs w:val="20"/>
              </w:rPr>
            </w:pPr>
            <w:r w:rsidRPr="00980D3E">
              <w:rPr>
                <w:rFonts w:ascii="Arial Narrow" w:hAnsi="Arial Narrow"/>
                <w:sz w:val="20"/>
                <w:szCs w:val="20"/>
              </w:rPr>
              <w:t>Not addressed</w:t>
            </w:r>
            <w:r w:rsidR="00D92222" w:rsidRPr="00980D3E">
              <w:rPr>
                <w:rFonts w:ascii="Arial Narrow" w:hAnsi="Arial Narrow"/>
                <w:sz w:val="20"/>
                <w:szCs w:val="20"/>
              </w:rPr>
              <w:t>.</w:t>
            </w:r>
          </w:p>
        </w:tc>
      </w:tr>
      <w:tr w:rsidR="00F9733D" w:rsidRPr="00980D3E" w:rsidTr="00A26ED5">
        <w:trPr>
          <w:trHeight w:val="261"/>
        </w:trPr>
        <w:tc>
          <w:tcPr>
            <w:tcW w:w="5000" w:type="pct"/>
            <w:gridSpan w:val="2"/>
            <w:tcMar>
              <w:left w:w="28" w:type="dxa"/>
              <w:right w:w="28" w:type="dxa"/>
            </w:tcMar>
          </w:tcPr>
          <w:p w:rsidR="00F9733D" w:rsidRPr="00980D3E" w:rsidRDefault="00F9733D" w:rsidP="001311B5">
            <w:pPr>
              <w:pStyle w:val="3-BodyText"/>
              <w:keepNext/>
              <w:keepLines/>
              <w:numPr>
                <w:ilvl w:val="0"/>
                <w:numId w:val="0"/>
              </w:numPr>
              <w:spacing w:after="0"/>
              <w:jc w:val="left"/>
              <w:rPr>
                <w:rFonts w:ascii="Arial Narrow" w:hAnsi="Arial Narrow"/>
                <w:b/>
                <w:sz w:val="20"/>
                <w:szCs w:val="20"/>
              </w:rPr>
            </w:pPr>
            <w:r w:rsidRPr="00980D3E">
              <w:rPr>
                <w:rFonts w:ascii="Arial Narrow" w:hAnsi="Arial Narrow"/>
                <w:b/>
                <w:sz w:val="20"/>
                <w:szCs w:val="20"/>
              </w:rPr>
              <w:t>Clinical issues</w:t>
            </w:r>
          </w:p>
        </w:tc>
      </w:tr>
      <w:tr w:rsidR="00F9733D" w:rsidRPr="00980D3E" w:rsidTr="00A26ED5">
        <w:tc>
          <w:tcPr>
            <w:tcW w:w="2356" w:type="pct"/>
            <w:tcMar>
              <w:left w:w="28" w:type="dxa"/>
              <w:right w:w="28" w:type="dxa"/>
            </w:tcMar>
          </w:tcPr>
          <w:p w:rsidR="00F9733D" w:rsidRPr="00980D3E" w:rsidRDefault="00F9733D" w:rsidP="001311B5">
            <w:pPr>
              <w:pStyle w:val="3-BodyText"/>
              <w:keepNext/>
              <w:keepLines/>
              <w:numPr>
                <w:ilvl w:val="0"/>
                <w:numId w:val="0"/>
              </w:numPr>
              <w:spacing w:after="0"/>
              <w:jc w:val="left"/>
              <w:rPr>
                <w:rStyle w:val="CommentReference"/>
                <w:szCs w:val="20"/>
              </w:rPr>
            </w:pPr>
            <w:r w:rsidRPr="00980D3E">
              <w:rPr>
                <w:rFonts w:ascii="Arial Narrow" w:hAnsi="Arial Narrow"/>
                <w:sz w:val="20"/>
                <w:szCs w:val="20"/>
              </w:rPr>
              <w:t>The PBAC considered that, for the comparison of plitidepsin</w:t>
            </w:r>
            <w:r w:rsidR="005F498C" w:rsidRPr="00980D3E">
              <w:rPr>
                <w:rFonts w:ascii="Arial Narrow" w:hAnsi="Arial Narrow"/>
                <w:sz w:val="20"/>
                <w:szCs w:val="20"/>
              </w:rPr>
              <w:t xml:space="preserve"> </w:t>
            </w:r>
            <w:r w:rsidRPr="00980D3E">
              <w:rPr>
                <w:rFonts w:ascii="Arial Narrow" w:hAnsi="Arial Narrow"/>
                <w:sz w:val="20"/>
                <w:szCs w:val="20"/>
              </w:rPr>
              <w:t>+</w:t>
            </w:r>
            <w:r w:rsidR="005F498C" w:rsidRPr="00980D3E">
              <w:rPr>
                <w:rFonts w:ascii="Arial Narrow" w:hAnsi="Arial Narrow"/>
                <w:sz w:val="20"/>
                <w:szCs w:val="20"/>
              </w:rPr>
              <w:t xml:space="preserve"> </w:t>
            </w:r>
            <w:r w:rsidRPr="00980D3E">
              <w:rPr>
                <w:rFonts w:ascii="Arial Narrow" w:hAnsi="Arial Narrow"/>
                <w:sz w:val="20"/>
                <w:szCs w:val="20"/>
              </w:rPr>
              <w:t>Dxm versus Dxm alone, the magnitude of the clinical benefit in terms of PFS (median increase of 0.9 months) was marginal (</w:t>
            </w:r>
            <w:r w:rsidR="00534072" w:rsidRPr="00980D3E">
              <w:rPr>
                <w:rFonts w:ascii="Arial Narrow" w:hAnsi="Arial Narrow"/>
                <w:sz w:val="20"/>
                <w:szCs w:val="20"/>
              </w:rPr>
              <w:t>para</w:t>
            </w:r>
            <w:r w:rsidRPr="00980D3E">
              <w:rPr>
                <w:rFonts w:ascii="Arial Narrow" w:hAnsi="Arial Narrow"/>
                <w:sz w:val="20"/>
                <w:szCs w:val="20"/>
              </w:rPr>
              <w:t xml:space="preserve"> 7.1, July 2019 </w:t>
            </w:r>
            <w:r w:rsidR="001E59C3" w:rsidRPr="00980D3E">
              <w:rPr>
                <w:rFonts w:ascii="Arial Narrow" w:hAnsi="Arial Narrow"/>
                <w:sz w:val="20"/>
                <w:szCs w:val="20"/>
              </w:rPr>
              <w:t>PSD</w:t>
            </w:r>
            <w:r w:rsidRPr="00980D3E">
              <w:rPr>
                <w:rFonts w:ascii="Arial Narrow" w:hAnsi="Arial Narrow"/>
                <w:sz w:val="20"/>
                <w:szCs w:val="20"/>
              </w:rPr>
              <w:t>).</w:t>
            </w:r>
          </w:p>
        </w:tc>
        <w:tc>
          <w:tcPr>
            <w:tcW w:w="2644" w:type="pct"/>
            <w:tcMar>
              <w:left w:w="28" w:type="dxa"/>
              <w:right w:w="28" w:type="dxa"/>
            </w:tcMar>
          </w:tcPr>
          <w:p w:rsidR="00F9733D" w:rsidRPr="00980D3E" w:rsidRDefault="00F9733D" w:rsidP="00B4030B">
            <w:pPr>
              <w:pStyle w:val="3-BodyText"/>
              <w:keepNext/>
              <w:keepLines/>
              <w:numPr>
                <w:ilvl w:val="0"/>
                <w:numId w:val="0"/>
              </w:numPr>
              <w:spacing w:after="0"/>
              <w:jc w:val="left"/>
              <w:rPr>
                <w:rStyle w:val="CommentReference"/>
                <w:szCs w:val="20"/>
              </w:rPr>
            </w:pPr>
            <w:r w:rsidRPr="00980D3E">
              <w:rPr>
                <w:rFonts w:ascii="Arial Narrow" w:hAnsi="Arial Narrow"/>
                <w:sz w:val="20"/>
                <w:szCs w:val="20"/>
              </w:rPr>
              <w:t>Th</w:t>
            </w:r>
            <w:r w:rsidR="00764D90" w:rsidRPr="00980D3E">
              <w:rPr>
                <w:rFonts w:ascii="Arial Narrow" w:hAnsi="Arial Narrow"/>
                <w:sz w:val="20"/>
                <w:szCs w:val="20"/>
              </w:rPr>
              <w:t>e</w:t>
            </w:r>
            <w:r w:rsidRPr="00980D3E">
              <w:rPr>
                <w:rFonts w:ascii="Arial Narrow" w:hAnsi="Arial Narrow"/>
                <w:sz w:val="20"/>
                <w:szCs w:val="20"/>
              </w:rPr>
              <w:t xml:space="preserve"> resubmission </w:t>
            </w:r>
            <w:r w:rsidR="00950855" w:rsidRPr="00980D3E">
              <w:rPr>
                <w:rFonts w:ascii="Arial Narrow" w:hAnsi="Arial Narrow"/>
                <w:sz w:val="20"/>
                <w:szCs w:val="20"/>
              </w:rPr>
              <w:t xml:space="preserve">argued that </w:t>
            </w:r>
            <w:r w:rsidRPr="00980D3E">
              <w:rPr>
                <w:rFonts w:ascii="Arial Narrow" w:hAnsi="Arial Narrow"/>
                <w:sz w:val="20"/>
                <w:szCs w:val="20"/>
              </w:rPr>
              <w:t xml:space="preserve">the most relevant PFS outcome was </w:t>
            </w:r>
            <w:r w:rsidR="00916889" w:rsidRPr="00980D3E">
              <w:rPr>
                <w:rFonts w:ascii="Arial Narrow" w:hAnsi="Arial Narrow"/>
                <w:sz w:val="20"/>
                <w:szCs w:val="20"/>
              </w:rPr>
              <w:t xml:space="preserve">IRC </w:t>
            </w:r>
            <w:r w:rsidRPr="00980D3E">
              <w:rPr>
                <w:rFonts w:ascii="Arial Narrow" w:hAnsi="Arial Narrow"/>
                <w:sz w:val="20"/>
                <w:szCs w:val="20"/>
              </w:rPr>
              <w:t>assessed PFS with PD confirmation</w:t>
            </w:r>
            <w:r w:rsidR="00B51DD7" w:rsidRPr="00980D3E">
              <w:rPr>
                <w:rFonts w:ascii="Arial Narrow" w:hAnsi="Arial Narrow"/>
                <w:sz w:val="20"/>
                <w:szCs w:val="20"/>
              </w:rPr>
              <w:t xml:space="preserve"> based </w:t>
            </w:r>
            <w:r w:rsidR="00556985" w:rsidRPr="00980D3E">
              <w:rPr>
                <w:rFonts w:ascii="Arial Narrow" w:hAnsi="Arial Narrow"/>
                <w:sz w:val="20"/>
                <w:szCs w:val="20"/>
              </w:rPr>
              <w:t>on the</w:t>
            </w:r>
            <w:r w:rsidRPr="00980D3E">
              <w:rPr>
                <w:rFonts w:ascii="Arial Narrow" w:hAnsi="Arial Narrow"/>
                <w:sz w:val="20"/>
                <w:szCs w:val="20"/>
              </w:rPr>
              <w:t xml:space="preserve"> IMWG guidelines. There was </w:t>
            </w:r>
            <w:r w:rsidR="00C04ACE" w:rsidRPr="00980D3E">
              <w:rPr>
                <w:rFonts w:ascii="Arial Narrow" w:hAnsi="Arial Narrow"/>
                <w:sz w:val="20"/>
                <w:szCs w:val="20"/>
              </w:rPr>
              <w:t xml:space="preserve">a </w:t>
            </w:r>
            <w:r w:rsidRPr="00980D3E">
              <w:rPr>
                <w:rFonts w:ascii="Arial Narrow" w:hAnsi="Arial Narrow"/>
                <w:sz w:val="20"/>
                <w:szCs w:val="20"/>
              </w:rPr>
              <w:t>3 month increase in</w:t>
            </w:r>
            <w:r w:rsidR="001151C1" w:rsidRPr="00980D3E">
              <w:rPr>
                <w:rFonts w:ascii="Arial Narrow" w:hAnsi="Arial Narrow"/>
                <w:sz w:val="20"/>
                <w:szCs w:val="20"/>
              </w:rPr>
              <w:t xml:space="preserve"> median</w:t>
            </w:r>
            <w:r w:rsidRPr="00980D3E">
              <w:rPr>
                <w:rFonts w:ascii="Arial Narrow" w:hAnsi="Arial Narrow"/>
                <w:sz w:val="20"/>
                <w:szCs w:val="20"/>
              </w:rPr>
              <w:t xml:space="preserve"> PFS with PD confirmation in ADMYRE trial</w:t>
            </w:r>
            <w:r w:rsidR="005F498C" w:rsidRPr="00980D3E">
              <w:rPr>
                <w:rFonts w:ascii="Arial Narrow" w:hAnsi="Arial Narrow"/>
                <w:sz w:val="20"/>
                <w:szCs w:val="20"/>
              </w:rPr>
              <w:t>;</w:t>
            </w:r>
            <w:r w:rsidR="00B51DD7" w:rsidRPr="00980D3E">
              <w:rPr>
                <w:rFonts w:ascii="Arial Narrow" w:hAnsi="Arial Narrow"/>
                <w:sz w:val="20"/>
                <w:szCs w:val="20"/>
              </w:rPr>
              <w:t xml:space="preserve"> however</w:t>
            </w:r>
            <w:r w:rsidR="005F498C" w:rsidRPr="00980D3E">
              <w:rPr>
                <w:rFonts w:ascii="Arial Narrow" w:hAnsi="Arial Narrow"/>
                <w:sz w:val="20"/>
                <w:szCs w:val="20"/>
              </w:rPr>
              <w:t>,</w:t>
            </w:r>
            <w:r w:rsidR="00B51DD7" w:rsidRPr="00980D3E">
              <w:rPr>
                <w:rFonts w:ascii="Arial Narrow" w:hAnsi="Arial Narrow"/>
                <w:sz w:val="20"/>
                <w:szCs w:val="20"/>
              </w:rPr>
              <w:t xml:space="preserve"> </w:t>
            </w:r>
            <w:r w:rsidR="00B4030B" w:rsidRPr="00980D3E">
              <w:rPr>
                <w:rFonts w:ascii="Arial Narrow" w:hAnsi="Arial Narrow"/>
                <w:sz w:val="20"/>
                <w:szCs w:val="20"/>
              </w:rPr>
              <w:t xml:space="preserve">the </w:t>
            </w:r>
            <w:r w:rsidR="00884A2E" w:rsidRPr="00980D3E">
              <w:rPr>
                <w:rFonts w:ascii="Arial Narrow" w:hAnsi="Arial Narrow"/>
                <w:sz w:val="20"/>
                <w:szCs w:val="20"/>
              </w:rPr>
              <w:t>ESC</w:t>
            </w:r>
            <w:r w:rsidR="00B4030B" w:rsidRPr="00980D3E">
              <w:rPr>
                <w:rFonts w:ascii="Arial Narrow" w:hAnsi="Arial Narrow"/>
                <w:sz w:val="20"/>
                <w:szCs w:val="20"/>
              </w:rPr>
              <w:t xml:space="preserve"> considered that PFS with </w:t>
            </w:r>
            <w:r w:rsidR="00B51DD7" w:rsidRPr="00980D3E">
              <w:rPr>
                <w:rFonts w:ascii="Arial Narrow" w:hAnsi="Arial Narrow"/>
                <w:sz w:val="20"/>
                <w:szCs w:val="20"/>
              </w:rPr>
              <w:t xml:space="preserve">PD </w:t>
            </w:r>
            <w:r w:rsidR="00B4030B" w:rsidRPr="00980D3E">
              <w:rPr>
                <w:rFonts w:ascii="Arial Narrow" w:hAnsi="Arial Narrow"/>
                <w:sz w:val="20"/>
                <w:szCs w:val="20"/>
              </w:rPr>
              <w:t xml:space="preserve">confirmation was not a reliable estimate of PFS with plitidepsin + Dxm as it was a preplanned sensitivity analysis to test the consistency of the primary PFS outcome, PFS without PD confirmation, and as over half the patients were censored in the analysis. </w:t>
            </w:r>
          </w:p>
        </w:tc>
      </w:tr>
      <w:tr w:rsidR="00F9733D" w:rsidRPr="00980D3E" w:rsidTr="00A26ED5">
        <w:tc>
          <w:tcPr>
            <w:tcW w:w="2356" w:type="pct"/>
            <w:tcMar>
              <w:left w:w="28" w:type="dxa"/>
              <w:right w:w="28" w:type="dxa"/>
            </w:tcMar>
          </w:tcPr>
          <w:p w:rsidR="00F9733D" w:rsidRPr="00980D3E" w:rsidRDefault="00F9733D" w:rsidP="00947D02">
            <w:pPr>
              <w:pStyle w:val="3-BodyText"/>
              <w:keepLines/>
              <w:numPr>
                <w:ilvl w:val="0"/>
                <w:numId w:val="0"/>
              </w:numPr>
              <w:spacing w:after="0"/>
              <w:jc w:val="left"/>
              <w:rPr>
                <w:rStyle w:val="CommentReference"/>
                <w:szCs w:val="20"/>
              </w:rPr>
            </w:pPr>
            <w:r w:rsidRPr="00980D3E">
              <w:rPr>
                <w:rFonts w:ascii="Arial Narrow" w:hAnsi="Arial Narrow"/>
                <w:sz w:val="20"/>
                <w:szCs w:val="20"/>
              </w:rPr>
              <w:t xml:space="preserve">Patients treated with plitidepsin experienced a significant increase in AEs in </w:t>
            </w:r>
            <w:r w:rsidR="005F498C" w:rsidRPr="00980D3E">
              <w:rPr>
                <w:rFonts w:ascii="Arial Narrow" w:hAnsi="Arial Narrow"/>
                <w:sz w:val="20"/>
                <w:szCs w:val="20"/>
              </w:rPr>
              <w:t xml:space="preserve">the </w:t>
            </w:r>
            <w:r w:rsidRPr="00980D3E">
              <w:rPr>
                <w:rFonts w:ascii="Arial Narrow" w:hAnsi="Arial Narrow"/>
                <w:sz w:val="20"/>
                <w:szCs w:val="20"/>
              </w:rPr>
              <w:t>ADMYRE trial (</w:t>
            </w:r>
            <w:r w:rsidR="00534072" w:rsidRPr="00980D3E">
              <w:rPr>
                <w:rFonts w:ascii="Arial Narrow" w:hAnsi="Arial Narrow"/>
                <w:sz w:val="20"/>
                <w:szCs w:val="20"/>
              </w:rPr>
              <w:t>para</w:t>
            </w:r>
            <w:r w:rsidRPr="00980D3E">
              <w:rPr>
                <w:rFonts w:ascii="Arial Narrow" w:hAnsi="Arial Narrow"/>
                <w:sz w:val="20"/>
                <w:szCs w:val="20"/>
              </w:rPr>
              <w:t xml:space="preserve"> 7.2, July 2019 </w:t>
            </w:r>
            <w:r w:rsidR="00F53EAC" w:rsidRPr="00980D3E">
              <w:rPr>
                <w:rFonts w:ascii="Arial Narrow" w:hAnsi="Arial Narrow"/>
                <w:sz w:val="20"/>
                <w:szCs w:val="20"/>
              </w:rPr>
              <w:t>PSD</w:t>
            </w:r>
            <w:r w:rsidRPr="00980D3E">
              <w:rPr>
                <w:rFonts w:ascii="Arial Narrow" w:hAnsi="Arial Narrow"/>
                <w:sz w:val="20"/>
                <w:szCs w:val="20"/>
              </w:rPr>
              <w:t>).</w:t>
            </w:r>
          </w:p>
        </w:tc>
        <w:tc>
          <w:tcPr>
            <w:tcW w:w="2644" w:type="pct"/>
            <w:tcMar>
              <w:left w:w="28" w:type="dxa"/>
              <w:right w:w="28" w:type="dxa"/>
            </w:tcMar>
          </w:tcPr>
          <w:p w:rsidR="00F9733D" w:rsidRPr="00980D3E" w:rsidRDefault="00F9733D" w:rsidP="00851218">
            <w:pPr>
              <w:pStyle w:val="3-BodyText"/>
              <w:keepLines/>
              <w:numPr>
                <w:ilvl w:val="0"/>
                <w:numId w:val="0"/>
              </w:numPr>
              <w:spacing w:after="0"/>
              <w:jc w:val="left"/>
              <w:rPr>
                <w:rStyle w:val="CommentReference"/>
                <w:szCs w:val="20"/>
              </w:rPr>
            </w:pPr>
            <w:r w:rsidRPr="00980D3E">
              <w:rPr>
                <w:rFonts w:ascii="Arial Narrow" w:hAnsi="Arial Narrow"/>
                <w:sz w:val="20"/>
                <w:szCs w:val="20"/>
              </w:rPr>
              <w:t>Resubmission claimed inferior safety of plitidepsin against Dxm monotherapy. This was supported by the evidence presented.</w:t>
            </w:r>
          </w:p>
        </w:tc>
      </w:tr>
      <w:tr w:rsidR="00F9733D" w:rsidRPr="00980D3E" w:rsidTr="00A26ED5">
        <w:tc>
          <w:tcPr>
            <w:tcW w:w="2356" w:type="pct"/>
            <w:tcMar>
              <w:left w:w="28" w:type="dxa"/>
              <w:right w:w="28" w:type="dxa"/>
            </w:tcMar>
          </w:tcPr>
          <w:p w:rsidR="00F9733D" w:rsidRPr="00980D3E" w:rsidRDefault="00F9733D" w:rsidP="00764D90">
            <w:pPr>
              <w:pStyle w:val="3-BodyText"/>
              <w:keepLines/>
              <w:numPr>
                <w:ilvl w:val="0"/>
                <w:numId w:val="0"/>
              </w:numPr>
              <w:spacing w:after="0"/>
              <w:jc w:val="left"/>
              <w:rPr>
                <w:rStyle w:val="CommentReference"/>
                <w:szCs w:val="20"/>
              </w:rPr>
            </w:pPr>
            <w:r w:rsidRPr="00980D3E">
              <w:rPr>
                <w:rFonts w:ascii="Arial Narrow" w:hAnsi="Arial Narrow"/>
                <w:sz w:val="20"/>
                <w:szCs w:val="20"/>
              </w:rPr>
              <w:t xml:space="preserve">The PBAC considered that for the comparison </w:t>
            </w:r>
            <w:r w:rsidR="00764D90" w:rsidRPr="00980D3E">
              <w:rPr>
                <w:rFonts w:ascii="Arial Narrow" w:hAnsi="Arial Narrow"/>
                <w:sz w:val="20"/>
                <w:szCs w:val="20"/>
              </w:rPr>
              <w:t xml:space="preserve">with </w:t>
            </w:r>
            <w:r w:rsidRPr="00980D3E">
              <w:rPr>
                <w:rFonts w:ascii="Arial Narrow" w:hAnsi="Arial Narrow"/>
                <w:sz w:val="20"/>
                <w:szCs w:val="20"/>
              </w:rPr>
              <w:t>pomalidomide</w:t>
            </w:r>
            <w:r w:rsidR="00764D90" w:rsidRPr="00980D3E">
              <w:rPr>
                <w:rFonts w:ascii="Arial Narrow" w:hAnsi="Arial Narrow"/>
                <w:sz w:val="20"/>
                <w:szCs w:val="20"/>
              </w:rPr>
              <w:t xml:space="preserve"> </w:t>
            </w:r>
            <w:r w:rsidRPr="00980D3E">
              <w:rPr>
                <w:rFonts w:ascii="Arial Narrow" w:hAnsi="Arial Narrow"/>
                <w:sz w:val="20"/>
                <w:szCs w:val="20"/>
              </w:rPr>
              <w:t>+</w:t>
            </w:r>
            <w:r w:rsidR="00764D90" w:rsidRPr="00980D3E">
              <w:rPr>
                <w:rFonts w:ascii="Arial Narrow" w:hAnsi="Arial Narrow"/>
                <w:sz w:val="20"/>
                <w:szCs w:val="20"/>
              </w:rPr>
              <w:t xml:space="preserve"> </w:t>
            </w:r>
            <w:r w:rsidRPr="00980D3E">
              <w:rPr>
                <w:rFonts w:ascii="Arial Narrow" w:hAnsi="Arial Narrow"/>
                <w:sz w:val="20"/>
                <w:szCs w:val="20"/>
              </w:rPr>
              <w:t>Dxm, the claim of non-inferior efficacy was uncertain, and the claim of non-inferior safety was not adequately supported (</w:t>
            </w:r>
            <w:r w:rsidR="00534072" w:rsidRPr="00980D3E">
              <w:rPr>
                <w:rFonts w:ascii="Arial Narrow" w:hAnsi="Arial Narrow"/>
                <w:sz w:val="20"/>
                <w:szCs w:val="20"/>
              </w:rPr>
              <w:t>para</w:t>
            </w:r>
            <w:r w:rsidRPr="00980D3E">
              <w:rPr>
                <w:rFonts w:ascii="Arial Narrow" w:hAnsi="Arial Narrow"/>
                <w:sz w:val="20"/>
                <w:szCs w:val="20"/>
              </w:rPr>
              <w:t xml:space="preserve"> 7.1, July 2019 </w:t>
            </w:r>
            <w:r w:rsidR="00F53EAC" w:rsidRPr="00980D3E">
              <w:rPr>
                <w:rFonts w:ascii="Arial Narrow" w:hAnsi="Arial Narrow"/>
                <w:sz w:val="20"/>
                <w:szCs w:val="20"/>
              </w:rPr>
              <w:t>PSD</w:t>
            </w:r>
            <w:r w:rsidRPr="00980D3E">
              <w:rPr>
                <w:rFonts w:ascii="Arial Narrow" w:hAnsi="Arial Narrow"/>
                <w:sz w:val="20"/>
                <w:szCs w:val="20"/>
              </w:rPr>
              <w:t>).</w:t>
            </w:r>
          </w:p>
        </w:tc>
        <w:tc>
          <w:tcPr>
            <w:tcW w:w="2644" w:type="pct"/>
            <w:tcMar>
              <w:left w:w="28" w:type="dxa"/>
              <w:right w:w="28" w:type="dxa"/>
            </w:tcMar>
          </w:tcPr>
          <w:p w:rsidR="00F9733D" w:rsidRPr="00980D3E" w:rsidRDefault="00F9733D" w:rsidP="00764D90">
            <w:pPr>
              <w:pStyle w:val="3-BodyText"/>
              <w:keepLines/>
              <w:numPr>
                <w:ilvl w:val="0"/>
                <w:numId w:val="0"/>
              </w:numPr>
              <w:spacing w:after="0"/>
              <w:jc w:val="left"/>
              <w:rPr>
                <w:rStyle w:val="CommentReference"/>
                <w:szCs w:val="20"/>
              </w:rPr>
            </w:pPr>
            <w:r w:rsidRPr="00980D3E">
              <w:rPr>
                <w:rFonts w:ascii="Arial Narrow" w:hAnsi="Arial Narrow"/>
                <w:sz w:val="20"/>
                <w:szCs w:val="20"/>
              </w:rPr>
              <w:t>No new data w</w:t>
            </w:r>
            <w:r w:rsidR="00D91F66" w:rsidRPr="00980D3E">
              <w:rPr>
                <w:rFonts w:ascii="Arial Narrow" w:hAnsi="Arial Narrow"/>
                <w:sz w:val="20"/>
                <w:szCs w:val="20"/>
              </w:rPr>
              <w:t>ere</w:t>
            </w:r>
            <w:r w:rsidRPr="00980D3E">
              <w:rPr>
                <w:rFonts w:ascii="Arial Narrow" w:hAnsi="Arial Narrow"/>
                <w:sz w:val="20"/>
                <w:szCs w:val="20"/>
              </w:rPr>
              <w:t xml:space="preserve"> presented. The resubmission’s claim of non</w:t>
            </w:r>
            <w:r w:rsidR="00F53EAC" w:rsidRPr="00980D3E">
              <w:rPr>
                <w:rFonts w:ascii="Arial Narrow" w:hAnsi="Arial Narrow"/>
                <w:sz w:val="20"/>
                <w:szCs w:val="20"/>
              </w:rPr>
              <w:noBreakHyphen/>
            </w:r>
            <w:r w:rsidRPr="00980D3E">
              <w:rPr>
                <w:rFonts w:ascii="Arial Narrow" w:hAnsi="Arial Narrow"/>
                <w:sz w:val="20"/>
                <w:szCs w:val="20"/>
              </w:rPr>
              <w:t xml:space="preserve">inferiority with respect to effectiveness </w:t>
            </w:r>
            <w:r w:rsidR="00764D90" w:rsidRPr="00980D3E">
              <w:rPr>
                <w:rFonts w:ascii="Arial Narrow" w:hAnsi="Arial Narrow"/>
                <w:sz w:val="20"/>
                <w:szCs w:val="20"/>
              </w:rPr>
              <w:t>remained un</w:t>
            </w:r>
            <w:r w:rsidRPr="00980D3E">
              <w:rPr>
                <w:rFonts w:ascii="Arial Narrow" w:hAnsi="Arial Narrow"/>
                <w:sz w:val="20"/>
                <w:szCs w:val="20"/>
              </w:rPr>
              <w:t xml:space="preserve">supported. </w:t>
            </w:r>
            <w:r w:rsidR="00C04ACE" w:rsidRPr="00980D3E">
              <w:rPr>
                <w:rFonts w:ascii="Arial Narrow" w:hAnsi="Arial Narrow"/>
                <w:sz w:val="20"/>
                <w:szCs w:val="20"/>
              </w:rPr>
              <w:t>T</w:t>
            </w:r>
            <w:r w:rsidRPr="00980D3E">
              <w:rPr>
                <w:rFonts w:ascii="Arial Narrow" w:hAnsi="Arial Narrow"/>
                <w:sz w:val="20"/>
                <w:szCs w:val="20"/>
              </w:rPr>
              <w:t xml:space="preserve">he claim of </w:t>
            </w:r>
            <w:r w:rsidR="00C04ACE" w:rsidRPr="00980D3E">
              <w:rPr>
                <w:rFonts w:ascii="Arial Narrow" w:hAnsi="Arial Narrow"/>
                <w:sz w:val="20"/>
                <w:szCs w:val="20"/>
              </w:rPr>
              <w:t xml:space="preserve">a </w:t>
            </w:r>
            <w:r w:rsidRPr="00980D3E">
              <w:rPr>
                <w:rFonts w:ascii="Arial Narrow" w:hAnsi="Arial Narrow"/>
                <w:sz w:val="20"/>
                <w:szCs w:val="20"/>
              </w:rPr>
              <w:t>different safety profile might be reasonable based on a naïve comparison of AEs with RRMM treatments</w:t>
            </w:r>
            <w:r w:rsidR="00980D3E">
              <w:rPr>
                <w:rFonts w:ascii="Arial Narrow" w:hAnsi="Arial Narrow"/>
                <w:sz w:val="20"/>
                <w:szCs w:val="20"/>
              </w:rPr>
              <w:t xml:space="preserve">. </w:t>
            </w:r>
          </w:p>
        </w:tc>
      </w:tr>
      <w:tr w:rsidR="00F9733D" w:rsidRPr="00980D3E" w:rsidTr="00A26ED5">
        <w:tc>
          <w:tcPr>
            <w:tcW w:w="5000" w:type="pct"/>
            <w:gridSpan w:val="2"/>
            <w:tcMar>
              <w:left w:w="28" w:type="dxa"/>
              <w:right w:w="28" w:type="dxa"/>
            </w:tcMar>
          </w:tcPr>
          <w:p w:rsidR="00F9733D" w:rsidRPr="00980D3E" w:rsidRDefault="00F9733D" w:rsidP="00851218">
            <w:pPr>
              <w:pStyle w:val="3-BodyText"/>
              <w:keepLines/>
              <w:numPr>
                <w:ilvl w:val="0"/>
                <w:numId w:val="0"/>
              </w:numPr>
              <w:spacing w:after="0"/>
              <w:jc w:val="left"/>
              <w:rPr>
                <w:rFonts w:ascii="Arial Narrow" w:hAnsi="Arial Narrow"/>
                <w:b/>
                <w:sz w:val="20"/>
                <w:szCs w:val="20"/>
              </w:rPr>
            </w:pPr>
            <w:r w:rsidRPr="00980D3E">
              <w:rPr>
                <w:rFonts w:ascii="Arial Narrow" w:hAnsi="Arial Narrow"/>
                <w:b/>
                <w:sz w:val="20"/>
                <w:szCs w:val="20"/>
              </w:rPr>
              <w:t>Economic issues</w:t>
            </w:r>
            <w:r w:rsidR="00D0202E" w:rsidRPr="00980D3E">
              <w:rPr>
                <w:rFonts w:ascii="Arial Narrow" w:hAnsi="Arial Narrow"/>
                <w:b/>
                <w:sz w:val="20"/>
                <w:szCs w:val="20"/>
              </w:rPr>
              <w:t xml:space="preserve"> </w:t>
            </w:r>
            <w:r w:rsidR="004C1F3F" w:rsidRPr="00980D3E">
              <w:rPr>
                <w:rFonts w:ascii="Arial Narrow" w:hAnsi="Arial Narrow"/>
                <w:b/>
                <w:sz w:val="20"/>
                <w:szCs w:val="20"/>
              </w:rPr>
              <w:t>–</w:t>
            </w:r>
            <w:r w:rsidR="00D0202E" w:rsidRPr="00980D3E">
              <w:rPr>
                <w:rFonts w:ascii="Arial Narrow" w:hAnsi="Arial Narrow"/>
                <w:b/>
                <w:sz w:val="20"/>
                <w:szCs w:val="20"/>
              </w:rPr>
              <w:t xml:space="preserve"> CMA</w:t>
            </w:r>
          </w:p>
        </w:tc>
      </w:tr>
      <w:tr w:rsidR="00F9733D" w:rsidRPr="00980D3E" w:rsidTr="00A26ED5">
        <w:tc>
          <w:tcPr>
            <w:tcW w:w="2356" w:type="pct"/>
            <w:tcMar>
              <w:left w:w="28" w:type="dxa"/>
              <w:right w:w="28" w:type="dxa"/>
            </w:tcMar>
          </w:tcPr>
          <w:p w:rsidR="00F9733D" w:rsidRPr="00980D3E" w:rsidRDefault="00F9733D" w:rsidP="00851218">
            <w:pPr>
              <w:pStyle w:val="3-BodyText"/>
              <w:keepLines/>
              <w:numPr>
                <w:ilvl w:val="0"/>
                <w:numId w:val="0"/>
              </w:numPr>
              <w:spacing w:after="0"/>
              <w:jc w:val="left"/>
              <w:rPr>
                <w:rStyle w:val="CommentReference"/>
                <w:szCs w:val="20"/>
              </w:rPr>
            </w:pPr>
            <w:r w:rsidRPr="00980D3E">
              <w:rPr>
                <w:rFonts w:ascii="Arial Narrow" w:hAnsi="Arial Narrow" w:cs="Times New Roman"/>
                <w:sz w:val="20"/>
                <w:szCs w:val="20"/>
              </w:rPr>
              <w:t>The submission used only the AEs rates from the ADMYRE trial under the assumption that the toxicity profile of pomalidomide + Dxm was no</w:t>
            </w:r>
            <w:r w:rsidR="00BD3091">
              <w:rPr>
                <w:rFonts w:ascii="Arial Narrow" w:hAnsi="Arial Narrow" w:cs="Times New Roman"/>
                <w:sz w:val="20"/>
                <w:szCs w:val="20"/>
              </w:rPr>
              <w:t>t</w:t>
            </w:r>
            <w:r w:rsidRPr="00980D3E">
              <w:rPr>
                <w:rFonts w:ascii="Arial Narrow" w:hAnsi="Arial Narrow" w:cs="Times New Roman"/>
                <w:sz w:val="20"/>
                <w:szCs w:val="20"/>
              </w:rPr>
              <w:t xml:space="preserve"> different to that of Dxm monotherapy. The evidence provided in Section 2 of the submission does not support this assumption’ (</w:t>
            </w:r>
            <w:r w:rsidR="00534072" w:rsidRPr="00980D3E">
              <w:rPr>
                <w:rFonts w:ascii="Arial Narrow" w:hAnsi="Arial Narrow" w:cs="Times New Roman"/>
                <w:sz w:val="20"/>
                <w:szCs w:val="20"/>
              </w:rPr>
              <w:t>para</w:t>
            </w:r>
            <w:r w:rsidRPr="00980D3E">
              <w:rPr>
                <w:rFonts w:ascii="Arial Narrow" w:hAnsi="Arial Narrow" w:cs="Times New Roman"/>
                <w:sz w:val="20"/>
                <w:szCs w:val="20"/>
              </w:rPr>
              <w:t xml:space="preserve"> 6.38, July 2019 </w:t>
            </w:r>
            <w:r w:rsidR="00F53EAC" w:rsidRPr="00980D3E">
              <w:rPr>
                <w:rFonts w:ascii="Arial Narrow" w:hAnsi="Arial Narrow" w:cs="Times New Roman"/>
                <w:sz w:val="20"/>
                <w:szCs w:val="20"/>
              </w:rPr>
              <w:t>PSD</w:t>
            </w:r>
            <w:r w:rsidRPr="00980D3E">
              <w:rPr>
                <w:rFonts w:ascii="Arial Narrow" w:hAnsi="Arial Narrow" w:cs="Times New Roman"/>
                <w:sz w:val="20"/>
                <w:szCs w:val="20"/>
              </w:rPr>
              <w:t>).</w:t>
            </w:r>
          </w:p>
        </w:tc>
        <w:tc>
          <w:tcPr>
            <w:tcW w:w="2644" w:type="pct"/>
            <w:tcMar>
              <w:left w:w="28" w:type="dxa"/>
              <w:right w:w="28" w:type="dxa"/>
            </w:tcMar>
          </w:tcPr>
          <w:p w:rsidR="00F9733D" w:rsidRPr="00980D3E" w:rsidRDefault="00F9733D" w:rsidP="00DF05BA">
            <w:pPr>
              <w:pStyle w:val="3-BodyText"/>
              <w:keepLines/>
              <w:numPr>
                <w:ilvl w:val="0"/>
                <w:numId w:val="0"/>
              </w:numPr>
              <w:spacing w:after="0"/>
              <w:jc w:val="left"/>
              <w:rPr>
                <w:rStyle w:val="CommentReference"/>
                <w:szCs w:val="20"/>
              </w:rPr>
            </w:pPr>
            <w:r w:rsidRPr="00980D3E">
              <w:rPr>
                <w:rFonts w:ascii="Arial Narrow" w:hAnsi="Arial Narrow"/>
                <w:sz w:val="20"/>
                <w:szCs w:val="20"/>
              </w:rPr>
              <w:t>The resubmission used the ITC as the primary method for determining the relative toxicity of plitidepsin and pomalidomide.</w:t>
            </w:r>
            <w:r w:rsidR="00D57141" w:rsidRPr="00980D3E">
              <w:rPr>
                <w:rFonts w:ascii="Arial Narrow" w:hAnsi="Arial Narrow"/>
                <w:sz w:val="20"/>
                <w:szCs w:val="20"/>
              </w:rPr>
              <w:t xml:space="preserve"> </w:t>
            </w:r>
          </w:p>
        </w:tc>
      </w:tr>
      <w:tr w:rsidR="00D0202E" w:rsidRPr="00980D3E" w:rsidTr="00A26ED5">
        <w:tc>
          <w:tcPr>
            <w:tcW w:w="5000" w:type="pct"/>
            <w:gridSpan w:val="2"/>
            <w:tcMar>
              <w:left w:w="28" w:type="dxa"/>
              <w:right w:w="28" w:type="dxa"/>
            </w:tcMar>
          </w:tcPr>
          <w:p w:rsidR="00D0202E" w:rsidRPr="00980D3E" w:rsidRDefault="00D0202E" w:rsidP="00851218">
            <w:pPr>
              <w:pStyle w:val="3-BodyText"/>
              <w:keepLines/>
              <w:numPr>
                <w:ilvl w:val="0"/>
                <w:numId w:val="0"/>
              </w:numPr>
              <w:spacing w:after="0"/>
              <w:jc w:val="left"/>
              <w:rPr>
                <w:rFonts w:ascii="Arial Narrow" w:hAnsi="Arial Narrow"/>
                <w:b/>
                <w:sz w:val="20"/>
                <w:szCs w:val="20"/>
              </w:rPr>
            </w:pPr>
            <w:r w:rsidRPr="00980D3E">
              <w:rPr>
                <w:rFonts w:ascii="Arial Narrow" w:hAnsi="Arial Narrow"/>
                <w:b/>
                <w:sz w:val="20"/>
                <w:szCs w:val="20"/>
              </w:rPr>
              <w:t xml:space="preserve">Economic issues </w:t>
            </w:r>
            <w:r w:rsidR="004C1F3F" w:rsidRPr="00980D3E">
              <w:rPr>
                <w:rFonts w:ascii="Arial Narrow" w:hAnsi="Arial Narrow"/>
                <w:b/>
                <w:sz w:val="20"/>
                <w:szCs w:val="20"/>
              </w:rPr>
              <w:t>–</w:t>
            </w:r>
            <w:r w:rsidRPr="00980D3E">
              <w:rPr>
                <w:rFonts w:ascii="Arial Narrow" w:hAnsi="Arial Narrow"/>
                <w:b/>
                <w:sz w:val="20"/>
                <w:szCs w:val="20"/>
              </w:rPr>
              <w:t xml:space="preserve"> CUA</w:t>
            </w:r>
          </w:p>
        </w:tc>
      </w:tr>
      <w:tr w:rsidR="00F9733D" w:rsidRPr="00980D3E" w:rsidTr="00A26ED5">
        <w:tc>
          <w:tcPr>
            <w:tcW w:w="2356" w:type="pct"/>
            <w:tcMar>
              <w:left w:w="28" w:type="dxa"/>
              <w:right w:w="28" w:type="dxa"/>
            </w:tcMar>
          </w:tcPr>
          <w:p w:rsidR="00F9733D" w:rsidRPr="00980D3E" w:rsidRDefault="00F9733D" w:rsidP="00C04ACE">
            <w:pPr>
              <w:pStyle w:val="3-BodyText"/>
              <w:keepLines/>
              <w:numPr>
                <w:ilvl w:val="0"/>
                <w:numId w:val="0"/>
              </w:numPr>
              <w:spacing w:after="0"/>
              <w:jc w:val="left"/>
              <w:rPr>
                <w:rStyle w:val="CommentReference"/>
                <w:szCs w:val="20"/>
              </w:rPr>
            </w:pPr>
            <w:r w:rsidRPr="00980D3E">
              <w:rPr>
                <w:rFonts w:ascii="Arial Narrow" w:hAnsi="Arial Narrow"/>
                <w:sz w:val="20"/>
                <w:szCs w:val="20"/>
              </w:rPr>
              <w:t xml:space="preserve">The KM data should have been applied </w:t>
            </w:r>
            <w:r w:rsidR="00C04ACE" w:rsidRPr="00980D3E">
              <w:rPr>
                <w:rFonts w:ascii="Arial Narrow" w:hAnsi="Arial Narrow"/>
                <w:sz w:val="20"/>
                <w:szCs w:val="20"/>
              </w:rPr>
              <w:t>until</w:t>
            </w:r>
            <w:r w:rsidRPr="00980D3E">
              <w:rPr>
                <w:rFonts w:ascii="Arial Narrow" w:hAnsi="Arial Narrow"/>
                <w:sz w:val="20"/>
                <w:szCs w:val="20"/>
              </w:rPr>
              <w:t xml:space="preserve"> the median follow-up, with the extrapolated data applied thereafter (</w:t>
            </w:r>
            <w:r w:rsidR="00534072" w:rsidRPr="00980D3E">
              <w:rPr>
                <w:rFonts w:ascii="Arial Narrow" w:hAnsi="Arial Narrow"/>
                <w:sz w:val="20"/>
                <w:szCs w:val="20"/>
              </w:rPr>
              <w:t>para</w:t>
            </w:r>
            <w:r w:rsidRPr="00980D3E">
              <w:rPr>
                <w:rFonts w:ascii="Arial Narrow" w:hAnsi="Arial Narrow"/>
                <w:sz w:val="20"/>
                <w:szCs w:val="20"/>
              </w:rPr>
              <w:t xml:space="preserve"> 6.41, July 2019 </w:t>
            </w:r>
            <w:r w:rsidR="00F53EAC" w:rsidRPr="00980D3E">
              <w:rPr>
                <w:rFonts w:ascii="Arial Narrow" w:hAnsi="Arial Narrow"/>
                <w:sz w:val="20"/>
                <w:szCs w:val="20"/>
              </w:rPr>
              <w:t>PSD</w:t>
            </w:r>
            <w:r w:rsidRPr="00980D3E">
              <w:rPr>
                <w:rFonts w:ascii="Arial Narrow" w:hAnsi="Arial Narrow"/>
                <w:sz w:val="20"/>
                <w:szCs w:val="20"/>
              </w:rPr>
              <w:t>).</w:t>
            </w:r>
          </w:p>
        </w:tc>
        <w:tc>
          <w:tcPr>
            <w:tcW w:w="2644" w:type="pct"/>
            <w:tcMar>
              <w:left w:w="28" w:type="dxa"/>
              <w:right w:w="28" w:type="dxa"/>
            </w:tcMar>
          </w:tcPr>
          <w:p w:rsidR="00F9733D" w:rsidRPr="00980D3E" w:rsidRDefault="00F9733D" w:rsidP="005F498C">
            <w:pPr>
              <w:pStyle w:val="3-BodyText"/>
              <w:keepLines/>
              <w:numPr>
                <w:ilvl w:val="0"/>
                <w:numId w:val="0"/>
              </w:numPr>
              <w:spacing w:after="0"/>
              <w:jc w:val="left"/>
              <w:rPr>
                <w:rStyle w:val="CommentReference"/>
                <w:szCs w:val="20"/>
              </w:rPr>
            </w:pPr>
            <w:r w:rsidRPr="00980D3E">
              <w:rPr>
                <w:rFonts w:ascii="Arial Narrow" w:hAnsi="Arial Narrow"/>
                <w:sz w:val="20"/>
                <w:szCs w:val="20"/>
              </w:rPr>
              <w:t xml:space="preserve">The base case </w:t>
            </w:r>
            <w:r w:rsidR="007B6B48" w:rsidRPr="00980D3E">
              <w:rPr>
                <w:rFonts w:ascii="Arial Narrow" w:hAnsi="Arial Narrow"/>
                <w:sz w:val="20"/>
                <w:szCs w:val="20"/>
              </w:rPr>
              <w:t>model used</w:t>
            </w:r>
            <w:r w:rsidR="008D5634" w:rsidRPr="00980D3E">
              <w:rPr>
                <w:rFonts w:ascii="Arial Narrow" w:hAnsi="Arial Narrow"/>
                <w:sz w:val="20"/>
                <w:szCs w:val="20"/>
              </w:rPr>
              <w:t xml:space="preserve"> KM estimates </w:t>
            </w:r>
            <w:r w:rsidR="005F498C" w:rsidRPr="00980D3E">
              <w:rPr>
                <w:rFonts w:ascii="Arial Narrow" w:hAnsi="Arial Narrow"/>
                <w:sz w:val="20"/>
                <w:szCs w:val="20"/>
              </w:rPr>
              <w:t xml:space="preserve">with </w:t>
            </w:r>
            <w:r w:rsidRPr="00980D3E">
              <w:rPr>
                <w:rFonts w:ascii="Arial Narrow" w:hAnsi="Arial Narrow"/>
                <w:sz w:val="20"/>
                <w:szCs w:val="20"/>
              </w:rPr>
              <w:t>extrapolation</w:t>
            </w:r>
            <w:r w:rsidR="00C41EA6" w:rsidRPr="00980D3E">
              <w:rPr>
                <w:rFonts w:ascii="Arial Narrow" w:hAnsi="Arial Narrow"/>
                <w:sz w:val="20"/>
                <w:szCs w:val="20"/>
              </w:rPr>
              <w:t xml:space="preserve"> after median follow-up for PFS </w:t>
            </w:r>
            <w:r w:rsidR="00F53EAC" w:rsidRPr="00980D3E">
              <w:rPr>
                <w:rFonts w:ascii="Arial Narrow" w:hAnsi="Arial Narrow"/>
                <w:sz w:val="20"/>
                <w:szCs w:val="20"/>
              </w:rPr>
              <w:t>(33</w:t>
            </w:r>
            <w:r w:rsidR="00F53EAC" w:rsidRPr="00980D3E">
              <w:rPr>
                <w:rFonts w:ascii="Arial Narrow" w:hAnsi="Arial Narrow"/>
                <w:sz w:val="20"/>
                <w:szCs w:val="20"/>
              </w:rPr>
              <w:noBreakHyphen/>
              <w:t xml:space="preserve">36 months) </w:t>
            </w:r>
            <w:r w:rsidR="00C41EA6" w:rsidRPr="00980D3E">
              <w:rPr>
                <w:rFonts w:ascii="Arial Narrow" w:hAnsi="Arial Narrow"/>
                <w:sz w:val="20"/>
                <w:szCs w:val="20"/>
              </w:rPr>
              <w:t>and TTF</w:t>
            </w:r>
            <w:r w:rsidR="00F53EAC" w:rsidRPr="00980D3E">
              <w:rPr>
                <w:rFonts w:ascii="Arial Narrow" w:hAnsi="Arial Narrow"/>
                <w:sz w:val="20"/>
                <w:szCs w:val="20"/>
              </w:rPr>
              <w:t xml:space="preserve"> (17-20 months)</w:t>
            </w:r>
            <w:r w:rsidR="00C41EA6" w:rsidRPr="00980D3E">
              <w:rPr>
                <w:rFonts w:ascii="Arial Narrow" w:hAnsi="Arial Narrow"/>
                <w:sz w:val="20"/>
                <w:szCs w:val="20"/>
              </w:rPr>
              <w:t xml:space="preserve"> and before median follow-up for OS</w:t>
            </w:r>
            <w:r w:rsidR="00F53EAC" w:rsidRPr="00980D3E">
              <w:rPr>
                <w:rFonts w:ascii="Arial Narrow" w:hAnsi="Arial Narrow"/>
                <w:sz w:val="20"/>
                <w:szCs w:val="20"/>
              </w:rPr>
              <w:t> (17-20 months)</w:t>
            </w:r>
            <w:r w:rsidR="00C41EA6" w:rsidRPr="00980D3E">
              <w:rPr>
                <w:rFonts w:ascii="Arial Narrow" w:hAnsi="Arial Narrow"/>
                <w:sz w:val="20"/>
                <w:szCs w:val="20"/>
              </w:rPr>
              <w:t xml:space="preserve">. </w:t>
            </w:r>
          </w:p>
        </w:tc>
      </w:tr>
      <w:tr w:rsidR="00F9733D" w:rsidRPr="00980D3E" w:rsidTr="00A26ED5">
        <w:tc>
          <w:tcPr>
            <w:tcW w:w="2356" w:type="pct"/>
            <w:tcMar>
              <w:left w:w="28" w:type="dxa"/>
              <w:right w:w="28" w:type="dxa"/>
            </w:tcMar>
          </w:tcPr>
          <w:p w:rsidR="00F9733D" w:rsidRPr="00980D3E" w:rsidRDefault="00F9733D" w:rsidP="00F53EAC">
            <w:pPr>
              <w:pStyle w:val="3-BodyText"/>
              <w:keepLines/>
              <w:numPr>
                <w:ilvl w:val="0"/>
                <w:numId w:val="0"/>
              </w:numPr>
              <w:spacing w:after="0"/>
              <w:jc w:val="left"/>
              <w:rPr>
                <w:rStyle w:val="CommentReference"/>
                <w:szCs w:val="20"/>
              </w:rPr>
            </w:pPr>
            <w:r w:rsidRPr="00980D3E">
              <w:rPr>
                <w:rFonts w:ascii="Arial Narrow" w:hAnsi="Arial Narrow"/>
                <w:sz w:val="20"/>
                <w:szCs w:val="20"/>
              </w:rPr>
              <w:t>The method used to estimate utility weights</w:t>
            </w:r>
            <w:r w:rsidR="00F53EAC" w:rsidRPr="00980D3E">
              <w:rPr>
                <w:rFonts w:ascii="Arial Narrow" w:hAnsi="Arial Narrow"/>
                <w:sz w:val="20"/>
                <w:szCs w:val="20"/>
              </w:rPr>
              <w:t xml:space="preserve"> derived an average utility value rather than a health state specific utility value </w:t>
            </w:r>
            <w:r w:rsidRPr="00980D3E">
              <w:rPr>
                <w:rFonts w:ascii="Arial Narrow" w:hAnsi="Arial Narrow"/>
                <w:sz w:val="20"/>
                <w:szCs w:val="20"/>
              </w:rPr>
              <w:t>(</w:t>
            </w:r>
            <w:r w:rsidR="00534072" w:rsidRPr="00980D3E">
              <w:rPr>
                <w:rFonts w:ascii="Arial Narrow" w:hAnsi="Arial Narrow"/>
                <w:sz w:val="20"/>
                <w:szCs w:val="20"/>
              </w:rPr>
              <w:t>para</w:t>
            </w:r>
            <w:r w:rsidRPr="00980D3E">
              <w:rPr>
                <w:rFonts w:ascii="Arial Narrow" w:hAnsi="Arial Narrow"/>
                <w:sz w:val="20"/>
                <w:szCs w:val="20"/>
              </w:rPr>
              <w:t xml:space="preserve"> </w:t>
            </w:r>
            <w:r w:rsidR="00F53EAC" w:rsidRPr="00980D3E">
              <w:rPr>
                <w:rFonts w:ascii="Arial Narrow" w:hAnsi="Arial Narrow"/>
                <w:sz w:val="20"/>
                <w:szCs w:val="20"/>
              </w:rPr>
              <w:t>6.42</w:t>
            </w:r>
            <w:r w:rsidRPr="00980D3E">
              <w:rPr>
                <w:rFonts w:ascii="Arial Narrow" w:hAnsi="Arial Narrow"/>
                <w:sz w:val="20"/>
                <w:szCs w:val="20"/>
              </w:rPr>
              <w:t xml:space="preserve">, July 2019 </w:t>
            </w:r>
            <w:r w:rsidR="00F53EAC" w:rsidRPr="00980D3E">
              <w:rPr>
                <w:rFonts w:ascii="Arial Narrow" w:hAnsi="Arial Narrow"/>
                <w:sz w:val="20"/>
                <w:szCs w:val="20"/>
              </w:rPr>
              <w:t>PSD</w:t>
            </w:r>
            <w:r w:rsidRPr="00980D3E">
              <w:rPr>
                <w:rFonts w:ascii="Arial Narrow" w:hAnsi="Arial Narrow"/>
                <w:sz w:val="20"/>
                <w:szCs w:val="20"/>
              </w:rPr>
              <w:t>).</w:t>
            </w:r>
          </w:p>
        </w:tc>
        <w:tc>
          <w:tcPr>
            <w:tcW w:w="2644" w:type="pct"/>
            <w:tcMar>
              <w:left w:w="28" w:type="dxa"/>
              <w:right w:w="28" w:type="dxa"/>
            </w:tcMar>
          </w:tcPr>
          <w:p w:rsidR="00F9733D" w:rsidRPr="00980D3E" w:rsidRDefault="00F9733D" w:rsidP="00851218">
            <w:pPr>
              <w:pStyle w:val="3-BodyText"/>
              <w:keepLines/>
              <w:numPr>
                <w:ilvl w:val="0"/>
                <w:numId w:val="0"/>
              </w:numPr>
              <w:spacing w:after="0"/>
              <w:jc w:val="left"/>
              <w:rPr>
                <w:rStyle w:val="CommentReference"/>
                <w:b w:val="0"/>
                <w:szCs w:val="20"/>
              </w:rPr>
            </w:pPr>
            <w:r w:rsidRPr="00980D3E">
              <w:rPr>
                <w:rStyle w:val="CommentReference"/>
                <w:b w:val="0"/>
                <w:szCs w:val="20"/>
              </w:rPr>
              <w:t>The resubmission incorrectly stated that it used the utility values that were recalculated in the July 2019 plitidepsin commentary and instead used utility values from the carfilzomib PBAC submission in its base case.</w:t>
            </w:r>
          </w:p>
        </w:tc>
      </w:tr>
      <w:tr w:rsidR="00F9733D" w:rsidRPr="00980D3E" w:rsidTr="00A26ED5">
        <w:tc>
          <w:tcPr>
            <w:tcW w:w="2356" w:type="pct"/>
            <w:tcMar>
              <w:left w:w="28" w:type="dxa"/>
              <w:right w:w="28" w:type="dxa"/>
            </w:tcMar>
          </w:tcPr>
          <w:p w:rsidR="00F9733D" w:rsidRPr="00980D3E" w:rsidRDefault="00F9733D" w:rsidP="00947D02">
            <w:pPr>
              <w:pStyle w:val="3-BodyText"/>
              <w:keepLines/>
              <w:numPr>
                <w:ilvl w:val="0"/>
                <w:numId w:val="0"/>
              </w:numPr>
              <w:spacing w:after="0"/>
              <w:jc w:val="left"/>
              <w:rPr>
                <w:rStyle w:val="CommentReference"/>
                <w:szCs w:val="20"/>
              </w:rPr>
            </w:pPr>
            <w:r w:rsidRPr="00980D3E">
              <w:rPr>
                <w:rFonts w:ascii="Arial Narrow" w:hAnsi="Arial Narrow"/>
                <w:sz w:val="20"/>
                <w:szCs w:val="20"/>
              </w:rPr>
              <w:t>Time horizon of 7 years</w:t>
            </w:r>
            <w:r w:rsidR="007B77E8" w:rsidRPr="00980D3E">
              <w:rPr>
                <w:rFonts w:ascii="Arial Narrow" w:hAnsi="Arial Narrow"/>
                <w:sz w:val="20"/>
                <w:szCs w:val="20"/>
              </w:rPr>
              <w:t xml:space="preserve"> was</w:t>
            </w:r>
            <w:r w:rsidRPr="00980D3E">
              <w:rPr>
                <w:rFonts w:ascii="Arial Narrow" w:hAnsi="Arial Narrow"/>
                <w:sz w:val="20"/>
                <w:szCs w:val="20"/>
              </w:rPr>
              <w:t xml:space="preserve"> inappropriate (</w:t>
            </w:r>
            <w:r w:rsidR="00534072" w:rsidRPr="00980D3E">
              <w:rPr>
                <w:rFonts w:ascii="Arial Narrow" w:hAnsi="Arial Narrow"/>
                <w:sz w:val="20"/>
                <w:szCs w:val="20"/>
              </w:rPr>
              <w:t>para</w:t>
            </w:r>
            <w:r w:rsidRPr="00980D3E">
              <w:rPr>
                <w:rFonts w:ascii="Arial Narrow" w:hAnsi="Arial Narrow"/>
                <w:sz w:val="20"/>
                <w:szCs w:val="20"/>
              </w:rPr>
              <w:t xml:space="preserve"> 7.10, July 2019 </w:t>
            </w:r>
            <w:r w:rsidR="00F53EAC" w:rsidRPr="00980D3E">
              <w:rPr>
                <w:rFonts w:ascii="Arial Narrow" w:hAnsi="Arial Narrow"/>
                <w:sz w:val="20"/>
                <w:szCs w:val="20"/>
              </w:rPr>
              <w:t>PSD</w:t>
            </w:r>
            <w:r w:rsidRPr="00980D3E">
              <w:rPr>
                <w:rFonts w:ascii="Arial Narrow" w:hAnsi="Arial Narrow"/>
                <w:sz w:val="20"/>
                <w:szCs w:val="20"/>
              </w:rPr>
              <w:t>).</w:t>
            </w:r>
          </w:p>
        </w:tc>
        <w:tc>
          <w:tcPr>
            <w:tcW w:w="2644" w:type="pct"/>
            <w:tcMar>
              <w:left w:w="28" w:type="dxa"/>
              <w:right w:w="28" w:type="dxa"/>
            </w:tcMar>
          </w:tcPr>
          <w:p w:rsidR="00F9733D" w:rsidRPr="00980D3E" w:rsidRDefault="007B77E8" w:rsidP="00DF05BA">
            <w:pPr>
              <w:pStyle w:val="3-BodyText"/>
              <w:keepLines/>
              <w:numPr>
                <w:ilvl w:val="0"/>
                <w:numId w:val="0"/>
              </w:numPr>
              <w:spacing w:after="0"/>
              <w:jc w:val="left"/>
              <w:rPr>
                <w:rStyle w:val="CommentReference"/>
                <w:szCs w:val="20"/>
              </w:rPr>
            </w:pPr>
            <w:r w:rsidRPr="00980D3E">
              <w:rPr>
                <w:rStyle w:val="CommentReference"/>
                <w:b w:val="0"/>
                <w:szCs w:val="20"/>
              </w:rPr>
              <w:t xml:space="preserve">Reduced to </w:t>
            </w:r>
            <w:r w:rsidR="00F9733D" w:rsidRPr="00980D3E">
              <w:rPr>
                <w:rStyle w:val="CommentReference"/>
                <w:b w:val="0"/>
                <w:szCs w:val="20"/>
              </w:rPr>
              <w:t>5 years</w:t>
            </w:r>
            <w:r w:rsidR="00980D3E">
              <w:rPr>
                <w:rStyle w:val="CommentReference"/>
                <w:b w:val="0"/>
                <w:szCs w:val="20"/>
              </w:rPr>
              <w:t xml:space="preserve">. </w:t>
            </w:r>
          </w:p>
        </w:tc>
      </w:tr>
      <w:tr w:rsidR="00F9733D" w:rsidRPr="00980D3E" w:rsidTr="00A26ED5">
        <w:tc>
          <w:tcPr>
            <w:tcW w:w="2356" w:type="pct"/>
            <w:tcMar>
              <w:left w:w="28" w:type="dxa"/>
              <w:right w:w="28" w:type="dxa"/>
            </w:tcMar>
          </w:tcPr>
          <w:p w:rsidR="00F9733D" w:rsidRPr="00980D3E" w:rsidRDefault="00F9733D" w:rsidP="00947D02">
            <w:pPr>
              <w:pStyle w:val="3-BodyText"/>
              <w:keepLines/>
              <w:numPr>
                <w:ilvl w:val="0"/>
                <w:numId w:val="0"/>
              </w:numPr>
              <w:spacing w:after="0"/>
              <w:jc w:val="left"/>
              <w:rPr>
                <w:rStyle w:val="CommentReference"/>
                <w:szCs w:val="20"/>
              </w:rPr>
            </w:pPr>
            <w:r w:rsidRPr="00980D3E">
              <w:rPr>
                <w:rFonts w:ascii="Arial Narrow" w:hAnsi="Arial Narrow"/>
                <w:sz w:val="20"/>
                <w:szCs w:val="20"/>
              </w:rPr>
              <w:t>Source of TTF could not be verified (</w:t>
            </w:r>
            <w:r w:rsidR="00534072" w:rsidRPr="00980D3E">
              <w:rPr>
                <w:rFonts w:ascii="Arial Narrow" w:hAnsi="Arial Narrow"/>
                <w:sz w:val="20"/>
                <w:szCs w:val="20"/>
              </w:rPr>
              <w:t>para</w:t>
            </w:r>
            <w:r w:rsidRPr="00980D3E">
              <w:rPr>
                <w:rFonts w:ascii="Arial Narrow" w:hAnsi="Arial Narrow"/>
                <w:sz w:val="20"/>
                <w:szCs w:val="20"/>
              </w:rPr>
              <w:t xml:space="preserve"> 7.10, July 2019 </w:t>
            </w:r>
            <w:r w:rsidR="00F53EAC" w:rsidRPr="00980D3E">
              <w:rPr>
                <w:rFonts w:ascii="Arial Narrow" w:hAnsi="Arial Narrow"/>
                <w:sz w:val="20"/>
                <w:szCs w:val="20"/>
              </w:rPr>
              <w:t>PSD</w:t>
            </w:r>
            <w:r w:rsidRPr="00980D3E">
              <w:rPr>
                <w:rFonts w:ascii="Arial Narrow" w:hAnsi="Arial Narrow"/>
                <w:sz w:val="20"/>
                <w:szCs w:val="20"/>
              </w:rPr>
              <w:t>)</w:t>
            </w:r>
          </w:p>
        </w:tc>
        <w:tc>
          <w:tcPr>
            <w:tcW w:w="2644" w:type="pct"/>
            <w:tcMar>
              <w:left w:w="28" w:type="dxa"/>
              <w:right w:w="28" w:type="dxa"/>
            </w:tcMar>
          </w:tcPr>
          <w:p w:rsidR="00F9733D" w:rsidRPr="00980D3E" w:rsidRDefault="00F9733D" w:rsidP="00851218">
            <w:pPr>
              <w:pStyle w:val="3-BodyText"/>
              <w:keepLines/>
              <w:numPr>
                <w:ilvl w:val="0"/>
                <w:numId w:val="0"/>
              </w:numPr>
              <w:spacing w:after="0"/>
              <w:jc w:val="left"/>
              <w:rPr>
                <w:rStyle w:val="CommentReference"/>
                <w:szCs w:val="20"/>
              </w:rPr>
            </w:pPr>
            <w:r w:rsidRPr="00980D3E">
              <w:rPr>
                <w:rFonts w:ascii="Arial Narrow" w:hAnsi="Arial Narrow"/>
                <w:sz w:val="20"/>
                <w:szCs w:val="20"/>
              </w:rPr>
              <w:t>Unaddressed. The resubmission stated that TTF was a mathematical construct derived from PFS.</w:t>
            </w:r>
          </w:p>
        </w:tc>
      </w:tr>
      <w:tr w:rsidR="00F9733D" w:rsidRPr="00980D3E" w:rsidTr="00A26ED5">
        <w:tc>
          <w:tcPr>
            <w:tcW w:w="2356" w:type="pct"/>
            <w:tcMar>
              <w:left w:w="28" w:type="dxa"/>
              <w:right w:w="28" w:type="dxa"/>
            </w:tcMar>
          </w:tcPr>
          <w:p w:rsidR="00F9733D" w:rsidRPr="00980D3E" w:rsidRDefault="00F9733D" w:rsidP="00851218">
            <w:pPr>
              <w:pStyle w:val="3-BodyText"/>
              <w:keepLines/>
              <w:numPr>
                <w:ilvl w:val="0"/>
                <w:numId w:val="0"/>
              </w:numPr>
              <w:spacing w:after="0"/>
              <w:jc w:val="left"/>
              <w:rPr>
                <w:rStyle w:val="CommentReference"/>
                <w:szCs w:val="20"/>
              </w:rPr>
            </w:pPr>
            <w:r w:rsidRPr="00980D3E">
              <w:rPr>
                <w:rFonts w:ascii="Arial Narrow" w:hAnsi="Arial Narrow"/>
                <w:sz w:val="20"/>
                <w:szCs w:val="20"/>
              </w:rPr>
              <w:t>It was not possible to estimate the interim steps used to calculate the crossover adjusted OS data for the Dxm monotherapy arm (</w:t>
            </w:r>
            <w:r w:rsidR="00534072" w:rsidRPr="00980D3E">
              <w:rPr>
                <w:rFonts w:ascii="Arial Narrow" w:hAnsi="Arial Narrow"/>
                <w:sz w:val="20"/>
                <w:szCs w:val="20"/>
              </w:rPr>
              <w:t>para</w:t>
            </w:r>
            <w:r w:rsidRPr="00980D3E">
              <w:rPr>
                <w:rFonts w:ascii="Arial Narrow" w:hAnsi="Arial Narrow"/>
                <w:sz w:val="20"/>
                <w:szCs w:val="20"/>
              </w:rPr>
              <w:t xml:space="preserve"> 7.10, July 2019 </w:t>
            </w:r>
            <w:r w:rsidR="00F53EAC" w:rsidRPr="00980D3E">
              <w:rPr>
                <w:rFonts w:ascii="Arial Narrow" w:hAnsi="Arial Narrow"/>
                <w:sz w:val="20"/>
                <w:szCs w:val="20"/>
              </w:rPr>
              <w:t>PSD</w:t>
            </w:r>
            <w:r w:rsidRPr="00980D3E">
              <w:rPr>
                <w:rFonts w:ascii="Arial Narrow" w:hAnsi="Arial Narrow"/>
                <w:sz w:val="20"/>
                <w:szCs w:val="20"/>
              </w:rPr>
              <w:t>).</w:t>
            </w:r>
          </w:p>
        </w:tc>
        <w:tc>
          <w:tcPr>
            <w:tcW w:w="2644" w:type="pct"/>
            <w:tcMar>
              <w:left w:w="28" w:type="dxa"/>
              <w:right w:w="28" w:type="dxa"/>
            </w:tcMar>
          </w:tcPr>
          <w:p w:rsidR="00F9733D" w:rsidRPr="00980D3E" w:rsidRDefault="00F9733D" w:rsidP="00DF05BA">
            <w:pPr>
              <w:pStyle w:val="3-BodyText"/>
              <w:keepLines/>
              <w:numPr>
                <w:ilvl w:val="0"/>
                <w:numId w:val="0"/>
              </w:numPr>
              <w:spacing w:after="0"/>
              <w:jc w:val="left"/>
              <w:rPr>
                <w:rStyle w:val="CommentReference"/>
                <w:szCs w:val="20"/>
              </w:rPr>
            </w:pPr>
            <w:r w:rsidRPr="00980D3E">
              <w:rPr>
                <w:rStyle w:val="CommentReference"/>
                <w:b w:val="0"/>
                <w:szCs w:val="20"/>
              </w:rPr>
              <w:t xml:space="preserve">OS data unadjusted for crossover were provided in the economic model. </w:t>
            </w:r>
          </w:p>
        </w:tc>
      </w:tr>
      <w:tr w:rsidR="00F9733D" w:rsidRPr="00980D3E" w:rsidTr="00A26ED5">
        <w:tc>
          <w:tcPr>
            <w:tcW w:w="2356" w:type="pct"/>
            <w:tcMar>
              <w:left w:w="28" w:type="dxa"/>
              <w:right w:w="28" w:type="dxa"/>
            </w:tcMar>
          </w:tcPr>
          <w:p w:rsidR="00F9733D" w:rsidRPr="00980D3E" w:rsidRDefault="00F9733D" w:rsidP="00947D02">
            <w:pPr>
              <w:pStyle w:val="3-BodyText"/>
              <w:keepLines/>
              <w:numPr>
                <w:ilvl w:val="0"/>
                <w:numId w:val="0"/>
              </w:numPr>
              <w:spacing w:after="0"/>
              <w:jc w:val="left"/>
              <w:rPr>
                <w:rStyle w:val="CommentReference"/>
                <w:szCs w:val="20"/>
              </w:rPr>
            </w:pPr>
            <w:r w:rsidRPr="00980D3E">
              <w:rPr>
                <w:rStyle w:val="CommentReference"/>
                <w:b w:val="0"/>
                <w:szCs w:val="20"/>
              </w:rPr>
              <w:lastRenderedPageBreak/>
              <w:t>Any future analysis should account for the issues raised and the resulting ICER would need to be &lt;</w:t>
            </w:r>
            <w:r w:rsidR="005F498C" w:rsidRPr="00980D3E">
              <w:rPr>
                <w:rStyle w:val="CommentReference"/>
                <w:b w:val="0"/>
                <w:szCs w:val="20"/>
              </w:rPr>
              <w:t xml:space="preserve"> </w:t>
            </w:r>
            <w:r w:rsidRPr="00980D3E">
              <w:rPr>
                <w:rStyle w:val="CommentReference"/>
                <w:b w:val="0"/>
                <w:szCs w:val="20"/>
              </w:rPr>
              <w:t>$40,000/QALY to account for the substantial toxicity and minor additional benefit of plitidepsin</w:t>
            </w:r>
            <w:r w:rsidR="00947D02" w:rsidRPr="00980D3E">
              <w:rPr>
                <w:rStyle w:val="CommentReference"/>
                <w:b w:val="0"/>
                <w:szCs w:val="20"/>
              </w:rPr>
              <w:t xml:space="preserve"> </w:t>
            </w:r>
            <w:r w:rsidR="00534072" w:rsidRPr="00980D3E">
              <w:rPr>
                <w:rStyle w:val="CommentReference"/>
                <w:b w:val="0"/>
                <w:szCs w:val="20"/>
              </w:rPr>
              <w:t>para</w:t>
            </w:r>
            <w:r w:rsidRPr="00980D3E">
              <w:rPr>
                <w:rStyle w:val="CommentReference"/>
                <w:b w:val="0"/>
                <w:szCs w:val="20"/>
              </w:rPr>
              <w:t xml:space="preserve"> 7.13, July 2019 </w:t>
            </w:r>
            <w:r w:rsidR="00F53EAC" w:rsidRPr="00980D3E">
              <w:rPr>
                <w:rStyle w:val="CommentReference"/>
                <w:b w:val="0"/>
                <w:szCs w:val="20"/>
              </w:rPr>
              <w:t>PSD</w:t>
            </w:r>
            <w:r w:rsidRPr="00980D3E">
              <w:rPr>
                <w:rStyle w:val="CommentReference"/>
                <w:b w:val="0"/>
                <w:szCs w:val="20"/>
              </w:rPr>
              <w:t xml:space="preserve">). </w:t>
            </w:r>
          </w:p>
        </w:tc>
        <w:tc>
          <w:tcPr>
            <w:tcW w:w="2644" w:type="pct"/>
            <w:tcMar>
              <w:left w:w="28" w:type="dxa"/>
              <w:right w:w="28" w:type="dxa"/>
            </w:tcMar>
          </w:tcPr>
          <w:p w:rsidR="00F9733D" w:rsidRPr="00980D3E" w:rsidRDefault="00F9733D" w:rsidP="00851218">
            <w:pPr>
              <w:pStyle w:val="Tabletext"/>
              <w:keepNext/>
              <w:keepLines/>
              <w:rPr>
                <w:rFonts w:eastAsiaTheme="minorHAnsi" w:cstheme="minorBidi"/>
                <w:szCs w:val="20"/>
              </w:rPr>
            </w:pPr>
            <w:r w:rsidRPr="00980D3E">
              <w:rPr>
                <w:rFonts w:eastAsiaTheme="minorHAnsi" w:cstheme="minorBidi"/>
                <w:szCs w:val="20"/>
              </w:rPr>
              <w:t>Model base case ICER: $</w:t>
            </w:r>
            <w:r w:rsidR="00F11546">
              <w:rPr>
                <w:rFonts w:eastAsiaTheme="minorHAnsi" w:cstheme="minorBidi"/>
                <w:noProof/>
                <w:color w:val="000000"/>
                <w:szCs w:val="20"/>
                <w:highlight w:val="black"/>
              </w:rPr>
              <w:t>'''''''''''''''</w:t>
            </w:r>
            <w:r w:rsidRPr="00980D3E">
              <w:rPr>
                <w:rFonts w:eastAsiaTheme="minorHAnsi" w:cstheme="minorBidi"/>
                <w:szCs w:val="20"/>
              </w:rPr>
              <w:t xml:space="preserve">. </w:t>
            </w:r>
            <w:r w:rsidR="00E40E9A" w:rsidRPr="00980D3E">
              <w:rPr>
                <w:rFonts w:eastAsiaTheme="minorHAnsi" w:cstheme="minorBidi"/>
                <w:szCs w:val="20"/>
              </w:rPr>
              <w:t xml:space="preserve">Resubmission argued ICER of $45,000/QALY – $75,000/QALY was reasonable based on previous </w:t>
            </w:r>
            <w:r w:rsidR="00CD531D" w:rsidRPr="00980D3E">
              <w:rPr>
                <w:rFonts w:eastAsiaTheme="minorHAnsi" w:cstheme="minorBidi"/>
                <w:szCs w:val="20"/>
              </w:rPr>
              <w:t xml:space="preserve">PBAC’s </w:t>
            </w:r>
            <w:r w:rsidR="00E40E9A" w:rsidRPr="00980D3E">
              <w:rPr>
                <w:rFonts w:eastAsiaTheme="minorHAnsi" w:cstheme="minorBidi"/>
                <w:szCs w:val="20"/>
              </w:rPr>
              <w:t>considerations for pomalidomide and carfilzomib.</w:t>
            </w:r>
          </w:p>
          <w:p w:rsidR="00F9733D" w:rsidRPr="00980D3E" w:rsidRDefault="00F9733D" w:rsidP="00851218">
            <w:pPr>
              <w:pStyle w:val="3-BodyText"/>
              <w:keepLines/>
              <w:numPr>
                <w:ilvl w:val="0"/>
                <w:numId w:val="0"/>
              </w:numPr>
              <w:spacing w:after="0"/>
              <w:jc w:val="left"/>
              <w:rPr>
                <w:rStyle w:val="CommentReference"/>
                <w:szCs w:val="20"/>
              </w:rPr>
            </w:pPr>
            <w:r w:rsidRPr="00980D3E">
              <w:rPr>
                <w:rFonts w:ascii="Arial Narrow" w:eastAsiaTheme="minorHAnsi" w:hAnsi="Arial Narrow" w:cstheme="minorBidi"/>
                <w:sz w:val="20"/>
                <w:szCs w:val="20"/>
                <w:lang w:eastAsia="en-US"/>
              </w:rPr>
              <w:t xml:space="preserve"> </w:t>
            </w:r>
          </w:p>
        </w:tc>
      </w:tr>
      <w:tr w:rsidR="00B51DD7" w:rsidRPr="00980D3E" w:rsidTr="00A26ED5">
        <w:tc>
          <w:tcPr>
            <w:tcW w:w="5000" w:type="pct"/>
            <w:gridSpan w:val="2"/>
            <w:tcMar>
              <w:left w:w="28" w:type="dxa"/>
              <w:right w:w="28" w:type="dxa"/>
            </w:tcMar>
          </w:tcPr>
          <w:p w:rsidR="00B51DD7" w:rsidRPr="00980D3E" w:rsidRDefault="00D9016B" w:rsidP="00851218">
            <w:pPr>
              <w:pStyle w:val="Tabletext"/>
              <w:keepNext/>
              <w:keepLines/>
              <w:rPr>
                <w:rFonts w:eastAsiaTheme="minorHAnsi" w:cstheme="minorBidi"/>
                <w:b/>
                <w:szCs w:val="20"/>
              </w:rPr>
            </w:pPr>
            <w:r w:rsidRPr="00980D3E">
              <w:rPr>
                <w:rFonts w:eastAsiaTheme="minorHAnsi" w:cstheme="minorBidi"/>
                <w:b/>
                <w:szCs w:val="20"/>
              </w:rPr>
              <w:t>Financial issues</w:t>
            </w:r>
          </w:p>
        </w:tc>
      </w:tr>
      <w:tr w:rsidR="00B51DD7" w:rsidRPr="00980D3E" w:rsidTr="00A26ED5">
        <w:tc>
          <w:tcPr>
            <w:tcW w:w="2356" w:type="pct"/>
            <w:tcMar>
              <w:left w:w="28" w:type="dxa"/>
              <w:right w:w="28" w:type="dxa"/>
            </w:tcMar>
          </w:tcPr>
          <w:p w:rsidR="00B51DD7" w:rsidRPr="00980D3E" w:rsidRDefault="00D9016B" w:rsidP="00947D02">
            <w:pPr>
              <w:pStyle w:val="3-BodyText"/>
              <w:keepLines/>
              <w:numPr>
                <w:ilvl w:val="0"/>
                <w:numId w:val="0"/>
              </w:numPr>
              <w:spacing w:after="0"/>
              <w:jc w:val="left"/>
              <w:rPr>
                <w:rStyle w:val="CommentReference"/>
                <w:b w:val="0"/>
                <w:szCs w:val="20"/>
              </w:rPr>
            </w:pPr>
            <w:r w:rsidRPr="00980D3E">
              <w:rPr>
                <w:rStyle w:val="CommentReference"/>
                <w:b w:val="0"/>
                <w:szCs w:val="20"/>
              </w:rPr>
              <w:t xml:space="preserve">Uptake rates likely overestimated due to </w:t>
            </w:r>
            <w:r w:rsidR="00947D02" w:rsidRPr="00980D3E">
              <w:rPr>
                <w:rStyle w:val="CommentReference"/>
                <w:b w:val="0"/>
                <w:szCs w:val="20"/>
              </w:rPr>
              <w:t xml:space="preserve">the toxicity of </w:t>
            </w:r>
            <w:r w:rsidRPr="00980D3E">
              <w:rPr>
                <w:rStyle w:val="CommentReference"/>
                <w:b w:val="0"/>
                <w:szCs w:val="20"/>
              </w:rPr>
              <w:t>plitidepsin and clinically meaningful effect on small undefinable subgroup of patients (</w:t>
            </w:r>
            <w:r w:rsidR="00534072" w:rsidRPr="00980D3E">
              <w:rPr>
                <w:rStyle w:val="CommentReference"/>
                <w:b w:val="0"/>
                <w:szCs w:val="20"/>
              </w:rPr>
              <w:t>para</w:t>
            </w:r>
            <w:r w:rsidRPr="00980D3E">
              <w:rPr>
                <w:rStyle w:val="CommentReference"/>
                <w:b w:val="0"/>
                <w:szCs w:val="20"/>
              </w:rPr>
              <w:t xml:space="preserve"> 7.12, July 2019 </w:t>
            </w:r>
            <w:r w:rsidR="00F53EAC" w:rsidRPr="00980D3E">
              <w:rPr>
                <w:rStyle w:val="CommentReference"/>
                <w:b w:val="0"/>
                <w:szCs w:val="20"/>
              </w:rPr>
              <w:t>PSD</w:t>
            </w:r>
            <w:r w:rsidRPr="00980D3E">
              <w:rPr>
                <w:rStyle w:val="CommentReference"/>
                <w:b w:val="0"/>
                <w:szCs w:val="20"/>
              </w:rPr>
              <w:t>)</w:t>
            </w:r>
            <w:r w:rsidR="00980D3E">
              <w:rPr>
                <w:rStyle w:val="CommentReference"/>
                <w:b w:val="0"/>
                <w:szCs w:val="20"/>
              </w:rPr>
              <w:t xml:space="preserve">. </w:t>
            </w:r>
          </w:p>
        </w:tc>
        <w:tc>
          <w:tcPr>
            <w:tcW w:w="2644" w:type="pct"/>
            <w:tcMar>
              <w:left w:w="28" w:type="dxa"/>
              <w:right w:w="28" w:type="dxa"/>
            </w:tcMar>
          </w:tcPr>
          <w:p w:rsidR="00B51DD7" w:rsidRPr="00980D3E" w:rsidRDefault="00D9016B" w:rsidP="00851218">
            <w:pPr>
              <w:pStyle w:val="Tabletext"/>
              <w:keepNext/>
              <w:keepLines/>
              <w:rPr>
                <w:rFonts w:eastAsiaTheme="minorHAnsi" w:cstheme="minorBidi"/>
                <w:szCs w:val="20"/>
              </w:rPr>
            </w:pPr>
            <w:r w:rsidRPr="00980D3E">
              <w:rPr>
                <w:rFonts w:eastAsiaTheme="minorHAnsi" w:cstheme="minorBidi"/>
                <w:szCs w:val="20"/>
              </w:rPr>
              <w:t>Uptake</w:t>
            </w:r>
            <w:r w:rsidR="005F4366" w:rsidRPr="00980D3E">
              <w:rPr>
                <w:rFonts w:eastAsiaTheme="minorHAnsi" w:cstheme="minorBidi"/>
                <w:szCs w:val="20"/>
              </w:rPr>
              <w:t xml:space="preserve"> rates</w:t>
            </w:r>
            <w:r w:rsidRPr="00980D3E">
              <w:rPr>
                <w:rFonts w:eastAsiaTheme="minorHAnsi" w:cstheme="minorBidi"/>
                <w:szCs w:val="20"/>
              </w:rPr>
              <w:t xml:space="preserve"> unchanged.</w:t>
            </w:r>
          </w:p>
        </w:tc>
      </w:tr>
      <w:tr w:rsidR="00C138EF" w:rsidRPr="00980D3E" w:rsidTr="00A26ED5">
        <w:tc>
          <w:tcPr>
            <w:tcW w:w="2356" w:type="pct"/>
            <w:tcMar>
              <w:left w:w="28" w:type="dxa"/>
              <w:right w:w="28" w:type="dxa"/>
            </w:tcMar>
          </w:tcPr>
          <w:p w:rsidR="00C138EF" w:rsidRPr="00980D3E" w:rsidRDefault="00C138EF" w:rsidP="00947D02">
            <w:pPr>
              <w:pStyle w:val="TableText0"/>
              <w:rPr>
                <w:rStyle w:val="CommentReference"/>
                <w:b w:val="0"/>
                <w:szCs w:val="20"/>
              </w:rPr>
            </w:pPr>
            <w:r w:rsidRPr="00980D3E">
              <w:rPr>
                <w:rStyle w:val="CommentReference"/>
                <w:b w:val="0"/>
                <w:szCs w:val="20"/>
              </w:rPr>
              <w:t xml:space="preserve">Costs for prophylactic agents were underestimated </w:t>
            </w:r>
            <w:r w:rsidR="00947D02" w:rsidRPr="00980D3E">
              <w:rPr>
                <w:rStyle w:val="CommentReference"/>
                <w:b w:val="0"/>
                <w:szCs w:val="20"/>
              </w:rPr>
              <w:t>(</w:t>
            </w:r>
            <w:r w:rsidR="00534072" w:rsidRPr="00980D3E">
              <w:rPr>
                <w:rStyle w:val="CommentReference"/>
                <w:b w:val="0"/>
                <w:szCs w:val="20"/>
              </w:rPr>
              <w:t>para</w:t>
            </w:r>
            <w:r w:rsidRPr="00980D3E">
              <w:rPr>
                <w:rStyle w:val="CommentReference"/>
                <w:b w:val="0"/>
                <w:szCs w:val="20"/>
              </w:rPr>
              <w:t xml:space="preserve"> 6.63, July 2019 </w:t>
            </w:r>
            <w:r w:rsidR="004168AB" w:rsidRPr="00980D3E">
              <w:rPr>
                <w:rStyle w:val="CommentReference"/>
                <w:b w:val="0"/>
                <w:szCs w:val="20"/>
              </w:rPr>
              <w:t>PSD</w:t>
            </w:r>
            <w:r w:rsidRPr="00980D3E">
              <w:rPr>
                <w:rStyle w:val="CommentReference"/>
                <w:b w:val="0"/>
                <w:szCs w:val="20"/>
              </w:rPr>
              <w:t xml:space="preserve">). </w:t>
            </w:r>
          </w:p>
        </w:tc>
        <w:tc>
          <w:tcPr>
            <w:tcW w:w="2644" w:type="pct"/>
            <w:tcMar>
              <w:left w:w="28" w:type="dxa"/>
              <w:right w:w="28" w:type="dxa"/>
            </w:tcMar>
          </w:tcPr>
          <w:p w:rsidR="00C138EF" w:rsidRPr="00980D3E" w:rsidRDefault="00C138EF" w:rsidP="00DF05BA">
            <w:pPr>
              <w:pStyle w:val="Tabletext"/>
              <w:keepNext/>
              <w:keepLines/>
              <w:rPr>
                <w:rFonts w:eastAsiaTheme="minorHAnsi" w:cstheme="minorBidi"/>
                <w:szCs w:val="20"/>
              </w:rPr>
            </w:pPr>
            <w:r w:rsidRPr="00980D3E">
              <w:rPr>
                <w:rFonts w:eastAsiaTheme="minorHAnsi" w:cstheme="minorBidi"/>
                <w:szCs w:val="20"/>
              </w:rPr>
              <w:t xml:space="preserve">Estimated increased use of promethazine and prochlorperazine. </w:t>
            </w:r>
          </w:p>
        </w:tc>
      </w:tr>
    </w:tbl>
    <w:p w:rsidR="00610C67" w:rsidRPr="00980D3E" w:rsidRDefault="00610C67" w:rsidP="00D92222">
      <w:pPr>
        <w:pStyle w:val="TableFigureFooter"/>
        <w:keepNext/>
        <w:keepLines/>
        <w:jc w:val="left"/>
      </w:pPr>
      <w:r w:rsidRPr="00980D3E">
        <w:t>Source: Table 1, pp2-6 of the resubmission</w:t>
      </w:r>
      <w:r w:rsidR="00E954FD" w:rsidRPr="00980D3E">
        <w:t xml:space="preserve">, </w:t>
      </w:r>
      <w:r w:rsidRPr="00980D3E">
        <w:t xml:space="preserve">July 2019 </w:t>
      </w:r>
      <w:r w:rsidR="00E954FD" w:rsidRPr="00980D3E">
        <w:t xml:space="preserve">Plitidepsin </w:t>
      </w:r>
      <w:r w:rsidR="00534072" w:rsidRPr="00980D3E">
        <w:t>Public Summary Document</w:t>
      </w:r>
      <w:r w:rsidRPr="00980D3E">
        <w:t>.</w:t>
      </w:r>
    </w:p>
    <w:p w:rsidR="00610C67" w:rsidRPr="00980D3E" w:rsidRDefault="00CA44CE" w:rsidP="00D92222">
      <w:pPr>
        <w:pStyle w:val="TableFigureFooter"/>
        <w:keepNext/>
        <w:keepLines/>
        <w:jc w:val="left"/>
      </w:pPr>
      <w:r w:rsidRPr="00980D3E">
        <w:t xml:space="preserve">AE = adverse events; </w:t>
      </w:r>
      <w:r w:rsidR="00E954FD" w:rsidRPr="00980D3E">
        <w:t xml:space="preserve">BSA = body surface area; </w:t>
      </w:r>
      <w:r w:rsidR="00610C67" w:rsidRPr="00980D3E">
        <w:t xml:space="preserve">CMA = cost-minimisation analysis; CUA = cost-utility analysis; </w:t>
      </w:r>
      <w:r w:rsidR="00C50AE9" w:rsidRPr="00980D3E">
        <w:t>Dxm</w:t>
      </w:r>
      <w:r w:rsidR="00610C67" w:rsidRPr="00980D3E">
        <w:t>: dexamethasone; ICER = incremental cost-effectiveness ratio; IMWG</w:t>
      </w:r>
      <w:r w:rsidR="00E954FD" w:rsidRPr="00980D3E">
        <w:t xml:space="preserve"> =</w:t>
      </w:r>
      <w:r w:rsidR="00610C67" w:rsidRPr="00980D3E">
        <w:t xml:space="preserve"> international myeloma working group; IRC = independent review committee;</w:t>
      </w:r>
      <w:r w:rsidR="00E954FD" w:rsidRPr="00980D3E">
        <w:t xml:space="preserve"> ITC = indirect treatment comparison;</w:t>
      </w:r>
      <w:r w:rsidR="00610C67" w:rsidRPr="00980D3E">
        <w:t xml:space="preserve"> OS = overall survival; </w:t>
      </w:r>
      <w:r w:rsidR="00534072" w:rsidRPr="00980D3E">
        <w:t>para</w:t>
      </w:r>
      <w:r w:rsidR="00E954FD" w:rsidRPr="00980D3E">
        <w:t xml:space="preserve"> = paragraph; </w:t>
      </w:r>
      <w:r w:rsidR="00DE1C78" w:rsidRPr="00980D3E">
        <w:t>PBS =  pharmaceutical benefit</w:t>
      </w:r>
      <w:r w:rsidR="004168AB" w:rsidRPr="00980D3E">
        <w:t xml:space="preserve">; </w:t>
      </w:r>
      <w:r w:rsidR="00DE1C78" w:rsidRPr="00980D3E">
        <w:t xml:space="preserve">scheme; </w:t>
      </w:r>
      <w:r w:rsidR="004168AB" w:rsidRPr="00980D3E">
        <w:t xml:space="preserve">PD = progressive disease; </w:t>
      </w:r>
      <w:r w:rsidR="00610C67" w:rsidRPr="00980D3E">
        <w:t xml:space="preserve">PFS = progression-free survival; </w:t>
      </w:r>
      <w:r w:rsidR="001E59C3" w:rsidRPr="00980D3E">
        <w:t xml:space="preserve">PSD = public summary document; </w:t>
      </w:r>
      <w:r w:rsidR="006F3240" w:rsidRPr="00980D3E">
        <w:t>QA</w:t>
      </w:r>
      <w:r w:rsidR="00717044" w:rsidRPr="00980D3E">
        <w:t>L</w:t>
      </w:r>
      <w:r w:rsidR="006F3240" w:rsidRPr="00980D3E">
        <w:t xml:space="preserve">Y = quality-adjusted life years; </w:t>
      </w:r>
      <w:r w:rsidR="00610C67" w:rsidRPr="00980D3E">
        <w:t>RCT</w:t>
      </w:r>
      <w:r w:rsidR="00E954FD" w:rsidRPr="00980D3E">
        <w:t xml:space="preserve"> =</w:t>
      </w:r>
      <w:r w:rsidR="00610C67" w:rsidRPr="00980D3E">
        <w:t xml:space="preserve"> randomized control trial; RRMM </w:t>
      </w:r>
      <w:r w:rsidR="006D4643" w:rsidRPr="00980D3E">
        <w:t>=</w:t>
      </w:r>
      <w:r w:rsidR="00610C67" w:rsidRPr="00980D3E">
        <w:t xml:space="preserve"> relapsed refractory multiple myeloma; TTF</w:t>
      </w:r>
      <w:r w:rsidR="006D4643" w:rsidRPr="00980D3E">
        <w:t>=</w:t>
      </w:r>
      <w:r w:rsidR="00610C67" w:rsidRPr="00980D3E">
        <w:t xml:space="preserve"> time to treatment failure.</w:t>
      </w:r>
    </w:p>
    <w:p w:rsidR="00675637" w:rsidRPr="00980D3E" w:rsidRDefault="00675637" w:rsidP="00D92222">
      <w:pPr>
        <w:pStyle w:val="TableFigureFooter"/>
        <w:keepNext/>
        <w:keepLines/>
        <w:jc w:val="left"/>
      </w:pPr>
    </w:p>
    <w:p w:rsidR="00675637" w:rsidRPr="00980D3E" w:rsidRDefault="00675637" w:rsidP="00EE62EF">
      <w:pPr>
        <w:pStyle w:val="TableFigureFooter"/>
        <w:keepNext/>
        <w:keepLines/>
        <w:ind w:firstLine="720"/>
        <w:jc w:val="left"/>
        <w:rPr>
          <w:rFonts w:asciiTheme="minorHAnsi" w:hAnsiTheme="minorHAnsi" w:cstheme="minorHAnsi"/>
          <w:i/>
          <w:sz w:val="24"/>
          <w:szCs w:val="24"/>
        </w:rPr>
      </w:pPr>
      <w:r w:rsidRPr="00980D3E">
        <w:rPr>
          <w:rFonts w:asciiTheme="minorHAnsi" w:hAnsiTheme="minorHAnsi" w:cstheme="minorHAnsi"/>
          <w:i/>
          <w:sz w:val="24"/>
          <w:szCs w:val="24"/>
        </w:rPr>
        <w:t>For more detail on PBAC’s view, see section 7 PBAC outcome.</w:t>
      </w:r>
    </w:p>
    <w:p w:rsidR="00B60939" w:rsidRPr="00980D3E" w:rsidRDefault="00B50DB8" w:rsidP="004E18E9">
      <w:pPr>
        <w:pStyle w:val="2-SectionHeading"/>
      </w:pPr>
      <w:bookmarkStart w:id="9" w:name="_Toc30490395"/>
      <w:r w:rsidRPr="00980D3E">
        <w:t>Requested listing</w:t>
      </w:r>
      <w:bookmarkEnd w:id="9"/>
    </w:p>
    <w:p w:rsidR="00974BF3" w:rsidRPr="00980D3E" w:rsidRDefault="00974BF3" w:rsidP="00974BF3">
      <w:pPr>
        <w:pStyle w:val="3-BodyText"/>
        <w:rPr>
          <w:rFonts w:ascii="Calibri" w:hAnsi="Calibri"/>
          <w:szCs w:val="22"/>
        </w:rPr>
      </w:pPr>
      <w:r w:rsidRPr="00980D3E">
        <w:rPr>
          <w:rFonts w:eastAsia="MS Mincho" w:cstheme="minorHAnsi"/>
        </w:rPr>
        <w:t xml:space="preserve">The requested listing is presented below. </w:t>
      </w:r>
      <w:r w:rsidRPr="00980D3E">
        <w:rPr>
          <w:rFonts w:cs="Calibri"/>
          <w:bCs/>
        </w:rPr>
        <w:t>Suggestions and additions proposed by the Secretariat are added in italics and suggested deletions are crossed out with strikethrough.</w:t>
      </w:r>
    </w:p>
    <w:tbl>
      <w:tblPr>
        <w:tblW w:w="5000" w:type="pct"/>
        <w:tblCellMar>
          <w:left w:w="28" w:type="dxa"/>
          <w:right w:w="28" w:type="dxa"/>
        </w:tblCellMar>
        <w:tblLook w:val="04A0" w:firstRow="1" w:lastRow="0" w:firstColumn="1" w:lastColumn="0" w:noHBand="0" w:noVBand="1"/>
      </w:tblPr>
      <w:tblGrid>
        <w:gridCol w:w="3402"/>
        <w:gridCol w:w="1094"/>
        <w:gridCol w:w="850"/>
        <w:gridCol w:w="1526"/>
        <w:gridCol w:w="657"/>
        <w:gridCol w:w="1498"/>
      </w:tblGrid>
      <w:tr w:rsidR="00560074" w:rsidRPr="00980D3E" w:rsidTr="00FD2E98">
        <w:trPr>
          <w:cantSplit/>
          <w:trHeight w:val="463"/>
        </w:trPr>
        <w:tc>
          <w:tcPr>
            <w:tcW w:w="1884" w:type="pct"/>
            <w:tcBorders>
              <w:top w:val="single" w:sz="4" w:space="0" w:color="auto"/>
              <w:left w:val="nil"/>
              <w:bottom w:val="single" w:sz="4" w:space="0" w:color="auto"/>
              <w:right w:val="nil"/>
            </w:tcBorders>
            <w:vAlign w:val="center"/>
            <w:hideMark/>
          </w:tcPr>
          <w:p w:rsidR="00560074" w:rsidRPr="00980D3E" w:rsidRDefault="00560074">
            <w:pPr>
              <w:keepNext/>
              <w:jc w:val="left"/>
              <w:rPr>
                <w:rFonts w:ascii="Arial Narrow" w:hAnsi="Arial Narrow"/>
                <w:b/>
                <w:sz w:val="20"/>
                <w:szCs w:val="22"/>
              </w:rPr>
            </w:pPr>
            <w:r w:rsidRPr="00980D3E">
              <w:rPr>
                <w:rFonts w:ascii="Arial Narrow" w:hAnsi="Arial Narrow"/>
                <w:b/>
                <w:sz w:val="20"/>
              </w:rPr>
              <w:t>Name, Restriction,</w:t>
            </w:r>
          </w:p>
          <w:p w:rsidR="00560074" w:rsidRPr="00980D3E" w:rsidRDefault="00560074">
            <w:pPr>
              <w:keepNext/>
              <w:jc w:val="left"/>
              <w:rPr>
                <w:rFonts w:ascii="Arial Narrow" w:hAnsi="Arial Narrow"/>
                <w:b/>
                <w:sz w:val="20"/>
              </w:rPr>
            </w:pPr>
            <w:r w:rsidRPr="00980D3E">
              <w:rPr>
                <w:rFonts w:ascii="Arial Narrow" w:hAnsi="Arial Narrow"/>
                <w:b/>
                <w:sz w:val="20"/>
              </w:rPr>
              <w:t>Manner of administration and form</w:t>
            </w:r>
          </w:p>
        </w:tc>
        <w:tc>
          <w:tcPr>
            <w:tcW w:w="606" w:type="pct"/>
            <w:tcBorders>
              <w:top w:val="single" w:sz="4" w:space="0" w:color="auto"/>
              <w:left w:val="nil"/>
              <w:bottom w:val="single" w:sz="4" w:space="0" w:color="auto"/>
              <w:right w:val="nil"/>
            </w:tcBorders>
            <w:vAlign w:val="center"/>
            <w:hideMark/>
          </w:tcPr>
          <w:p w:rsidR="00560074" w:rsidRPr="00980D3E" w:rsidRDefault="00560074">
            <w:pPr>
              <w:keepNext/>
              <w:jc w:val="center"/>
              <w:rPr>
                <w:rFonts w:ascii="Arial Narrow" w:hAnsi="Arial Narrow"/>
                <w:b/>
                <w:sz w:val="20"/>
              </w:rPr>
            </w:pPr>
            <w:r w:rsidRPr="00980D3E">
              <w:rPr>
                <w:rFonts w:ascii="Arial Narrow" w:hAnsi="Arial Narrow"/>
                <w:b/>
                <w:sz w:val="20"/>
              </w:rPr>
              <w:t>Max Amt</w:t>
            </w:r>
          </w:p>
        </w:tc>
        <w:tc>
          <w:tcPr>
            <w:tcW w:w="471" w:type="pct"/>
            <w:tcBorders>
              <w:top w:val="single" w:sz="4" w:space="0" w:color="auto"/>
              <w:left w:val="nil"/>
              <w:bottom w:val="single" w:sz="4" w:space="0" w:color="auto"/>
              <w:right w:val="nil"/>
            </w:tcBorders>
            <w:vAlign w:val="center"/>
            <w:hideMark/>
          </w:tcPr>
          <w:p w:rsidR="00560074" w:rsidRPr="00980D3E" w:rsidRDefault="00560074">
            <w:pPr>
              <w:keepNext/>
              <w:jc w:val="center"/>
              <w:rPr>
                <w:rFonts w:ascii="Arial Narrow" w:hAnsi="Arial Narrow"/>
                <w:b/>
                <w:sz w:val="20"/>
              </w:rPr>
            </w:pPr>
            <w:r w:rsidRPr="00980D3E">
              <w:rPr>
                <w:rFonts w:ascii="Arial Narrow" w:hAnsi="Arial Narrow" w:cs="Times New Roman"/>
                <w:b/>
                <w:sz w:val="20"/>
              </w:rPr>
              <w:t>№</w:t>
            </w:r>
            <w:r w:rsidRPr="00980D3E">
              <w:rPr>
                <w:rFonts w:ascii="Arial Narrow" w:hAnsi="Arial Narrow"/>
                <w:b/>
                <w:sz w:val="20"/>
              </w:rPr>
              <w:t>. of</w:t>
            </w:r>
          </w:p>
          <w:p w:rsidR="00560074" w:rsidRPr="00980D3E" w:rsidRDefault="00560074">
            <w:pPr>
              <w:keepNext/>
              <w:jc w:val="center"/>
              <w:rPr>
                <w:rFonts w:ascii="Arial Narrow" w:hAnsi="Arial Narrow"/>
                <w:b/>
                <w:sz w:val="20"/>
              </w:rPr>
            </w:pPr>
            <w:r w:rsidRPr="00980D3E">
              <w:rPr>
                <w:rFonts w:ascii="Arial Narrow" w:hAnsi="Arial Narrow"/>
                <w:b/>
                <w:sz w:val="20"/>
              </w:rPr>
              <w:t>Rpts</w:t>
            </w:r>
          </w:p>
        </w:tc>
        <w:tc>
          <w:tcPr>
            <w:tcW w:w="845" w:type="pct"/>
            <w:tcBorders>
              <w:top w:val="single" w:sz="4" w:space="0" w:color="auto"/>
              <w:left w:val="nil"/>
              <w:bottom w:val="single" w:sz="4" w:space="0" w:color="auto"/>
              <w:right w:val="nil"/>
            </w:tcBorders>
            <w:vAlign w:val="center"/>
            <w:hideMark/>
          </w:tcPr>
          <w:p w:rsidR="00560074" w:rsidRPr="00980D3E" w:rsidRDefault="00560074">
            <w:pPr>
              <w:keepNext/>
              <w:jc w:val="center"/>
              <w:rPr>
                <w:rFonts w:ascii="Arial Narrow" w:hAnsi="Arial Narrow"/>
                <w:b/>
                <w:sz w:val="20"/>
              </w:rPr>
            </w:pPr>
            <w:r w:rsidRPr="00980D3E">
              <w:rPr>
                <w:rFonts w:ascii="Arial Narrow" w:hAnsi="Arial Narrow"/>
                <w:b/>
                <w:sz w:val="20"/>
              </w:rPr>
              <w:t>Dispensed Price Max Amt</w:t>
            </w:r>
          </w:p>
        </w:tc>
        <w:tc>
          <w:tcPr>
            <w:tcW w:w="1194" w:type="pct"/>
            <w:gridSpan w:val="2"/>
            <w:tcBorders>
              <w:top w:val="single" w:sz="4" w:space="0" w:color="auto"/>
              <w:left w:val="nil"/>
              <w:bottom w:val="single" w:sz="4" w:space="0" w:color="auto"/>
              <w:right w:val="nil"/>
            </w:tcBorders>
            <w:vAlign w:val="center"/>
            <w:hideMark/>
          </w:tcPr>
          <w:p w:rsidR="00560074" w:rsidRPr="00980D3E" w:rsidRDefault="00560074">
            <w:pPr>
              <w:keepNext/>
              <w:jc w:val="center"/>
              <w:rPr>
                <w:rFonts w:ascii="Arial Narrow" w:hAnsi="Arial Narrow"/>
                <w:b/>
                <w:sz w:val="20"/>
              </w:rPr>
            </w:pPr>
            <w:r w:rsidRPr="00980D3E">
              <w:rPr>
                <w:rFonts w:ascii="Arial Narrow" w:hAnsi="Arial Narrow"/>
                <w:b/>
                <w:sz w:val="20"/>
              </w:rPr>
              <w:t>Proprietary Name and Manufacturer</w:t>
            </w:r>
          </w:p>
        </w:tc>
      </w:tr>
      <w:tr w:rsidR="00560074" w:rsidRPr="00980D3E" w:rsidTr="00FD2E98">
        <w:trPr>
          <w:cantSplit/>
          <w:trHeight w:val="567"/>
        </w:trPr>
        <w:tc>
          <w:tcPr>
            <w:tcW w:w="1884" w:type="pct"/>
            <w:tcBorders>
              <w:top w:val="single" w:sz="4" w:space="0" w:color="auto"/>
              <w:left w:val="nil"/>
              <w:bottom w:val="single" w:sz="4" w:space="0" w:color="auto"/>
              <w:right w:val="nil"/>
            </w:tcBorders>
            <w:vAlign w:val="center"/>
            <w:hideMark/>
          </w:tcPr>
          <w:p w:rsidR="00560074" w:rsidRPr="00980D3E" w:rsidRDefault="00560074">
            <w:pPr>
              <w:keepNext/>
              <w:jc w:val="left"/>
              <w:rPr>
                <w:rFonts w:ascii="Arial Narrow" w:hAnsi="Arial Narrow"/>
                <w:sz w:val="20"/>
              </w:rPr>
            </w:pPr>
            <w:r w:rsidRPr="00980D3E">
              <w:rPr>
                <w:rFonts w:ascii="Arial Narrow" w:hAnsi="Arial Narrow"/>
                <w:sz w:val="20"/>
              </w:rPr>
              <w:t>Plitidepsin</w:t>
            </w:r>
          </w:p>
          <w:p w:rsidR="00560074" w:rsidRPr="00980D3E" w:rsidRDefault="00560074">
            <w:pPr>
              <w:keepNext/>
              <w:jc w:val="left"/>
              <w:rPr>
                <w:rFonts w:ascii="Arial Narrow" w:hAnsi="Arial Narrow"/>
                <w:sz w:val="20"/>
              </w:rPr>
            </w:pPr>
            <w:r w:rsidRPr="00980D3E">
              <w:rPr>
                <w:rFonts w:ascii="Arial Narrow" w:hAnsi="Arial Narrow"/>
                <w:sz w:val="20"/>
              </w:rPr>
              <w:t>Vial, 2 mg injection</w:t>
            </w:r>
          </w:p>
        </w:tc>
        <w:tc>
          <w:tcPr>
            <w:tcW w:w="606" w:type="pct"/>
            <w:tcBorders>
              <w:top w:val="single" w:sz="4" w:space="0" w:color="auto"/>
              <w:left w:val="nil"/>
              <w:bottom w:val="single" w:sz="4" w:space="0" w:color="auto"/>
              <w:right w:val="nil"/>
            </w:tcBorders>
            <w:vAlign w:val="center"/>
            <w:hideMark/>
          </w:tcPr>
          <w:p w:rsidR="00560074" w:rsidRPr="00980D3E" w:rsidRDefault="00560074">
            <w:pPr>
              <w:keepNext/>
              <w:jc w:val="center"/>
              <w:rPr>
                <w:rFonts w:ascii="Arial Narrow" w:hAnsi="Arial Narrow"/>
                <w:sz w:val="20"/>
              </w:rPr>
            </w:pPr>
            <w:r w:rsidRPr="00980D3E">
              <w:rPr>
                <w:rFonts w:ascii="Arial Narrow" w:hAnsi="Arial Narrow"/>
                <w:strike/>
                <w:sz w:val="20"/>
              </w:rPr>
              <w:t>20 mg</w:t>
            </w:r>
            <w:r w:rsidR="00B4037C" w:rsidRPr="00980D3E">
              <w:rPr>
                <w:rFonts w:ascii="Arial Narrow" w:hAnsi="Arial Narrow"/>
                <w:sz w:val="20"/>
              </w:rPr>
              <w:t xml:space="preserve"> </w:t>
            </w:r>
            <w:r w:rsidR="00B4037C" w:rsidRPr="00980D3E">
              <w:rPr>
                <w:rFonts w:ascii="Arial Narrow" w:hAnsi="Arial Narrow"/>
                <w:i/>
                <w:sz w:val="20"/>
              </w:rPr>
              <w:t>11 mg</w:t>
            </w:r>
          </w:p>
        </w:tc>
        <w:tc>
          <w:tcPr>
            <w:tcW w:w="471" w:type="pct"/>
            <w:tcBorders>
              <w:top w:val="single" w:sz="4" w:space="0" w:color="auto"/>
              <w:left w:val="nil"/>
              <w:bottom w:val="single" w:sz="4" w:space="0" w:color="auto"/>
              <w:right w:val="nil"/>
            </w:tcBorders>
            <w:vAlign w:val="center"/>
            <w:hideMark/>
          </w:tcPr>
          <w:p w:rsidR="00560074" w:rsidRPr="00980D3E" w:rsidRDefault="00560074">
            <w:pPr>
              <w:keepNext/>
              <w:jc w:val="center"/>
              <w:rPr>
                <w:rFonts w:ascii="Arial Narrow" w:hAnsi="Arial Narrow"/>
                <w:sz w:val="20"/>
              </w:rPr>
            </w:pPr>
            <w:r w:rsidRPr="00980D3E">
              <w:rPr>
                <w:rFonts w:ascii="Arial Narrow" w:hAnsi="Arial Narrow"/>
                <w:strike/>
                <w:sz w:val="20"/>
              </w:rPr>
              <w:t>0</w:t>
            </w:r>
            <w:r w:rsidR="00B4037C" w:rsidRPr="00980D3E">
              <w:rPr>
                <w:rFonts w:ascii="Arial Narrow" w:hAnsi="Arial Narrow"/>
                <w:strike/>
                <w:sz w:val="20"/>
              </w:rPr>
              <w:t xml:space="preserve"> </w:t>
            </w:r>
            <w:r w:rsidR="00B4037C" w:rsidRPr="00980D3E">
              <w:rPr>
                <w:rFonts w:ascii="Arial Narrow" w:hAnsi="Arial Narrow"/>
                <w:i/>
                <w:sz w:val="20"/>
              </w:rPr>
              <w:t>1</w:t>
            </w:r>
          </w:p>
        </w:tc>
        <w:tc>
          <w:tcPr>
            <w:tcW w:w="845" w:type="pct"/>
            <w:tcBorders>
              <w:top w:val="single" w:sz="4" w:space="0" w:color="auto"/>
              <w:left w:val="nil"/>
              <w:bottom w:val="single" w:sz="4" w:space="0" w:color="auto"/>
              <w:right w:val="nil"/>
            </w:tcBorders>
            <w:vAlign w:val="center"/>
            <w:hideMark/>
          </w:tcPr>
          <w:p w:rsidR="00560074" w:rsidRPr="00980D3E" w:rsidRDefault="00560074">
            <w:pPr>
              <w:keepNext/>
              <w:jc w:val="center"/>
              <w:rPr>
                <w:rFonts w:ascii="Arial Narrow" w:hAnsi="Arial Narrow"/>
                <w:sz w:val="20"/>
              </w:rPr>
            </w:pPr>
            <w:r w:rsidRPr="00980D3E">
              <w:rPr>
                <w:rFonts w:ascii="Arial Narrow" w:hAnsi="Arial Narrow"/>
                <w:sz w:val="20"/>
              </w:rPr>
              <w:t>$</w:t>
            </w:r>
            <w:r w:rsidR="00F11546">
              <w:rPr>
                <w:rFonts w:ascii="Arial Narrow" w:hAnsi="Arial Narrow"/>
                <w:noProof/>
                <w:color w:val="000000"/>
                <w:sz w:val="20"/>
                <w:highlight w:val="black"/>
              </w:rPr>
              <w:t>''''''''''''''''''''''</w:t>
            </w:r>
          </w:p>
        </w:tc>
        <w:tc>
          <w:tcPr>
            <w:tcW w:w="364" w:type="pct"/>
            <w:tcBorders>
              <w:top w:val="single" w:sz="4" w:space="0" w:color="auto"/>
              <w:left w:val="nil"/>
              <w:bottom w:val="single" w:sz="4" w:space="0" w:color="auto"/>
              <w:right w:val="nil"/>
            </w:tcBorders>
            <w:vAlign w:val="center"/>
            <w:hideMark/>
          </w:tcPr>
          <w:p w:rsidR="00560074" w:rsidRPr="00980D3E" w:rsidRDefault="00560074">
            <w:pPr>
              <w:keepNext/>
              <w:jc w:val="center"/>
              <w:rPr>
                <w:rFonts w:ascii="Arial Narrow" w:hAnsi="Arial Narrow"/>
                <w:sz w:val="20"/>
              </w:rPr>
            </w:pPr>
            <w:r w:rsidRPr="00980D3E">
              <w:rPr>
                <w:rFonts w:ascii="Arial Narrow" w:hAnsi="Arial Narrow"/>
                <w:sz w:val="20"/>
              </w:rPr>
              <w:t>Aplidin</w:t>
            </w:r>
          </w:p>
        </w:tc>
        <w:tc>
          <w:tcPr>
            <w:tcW w:w="830" w:type="pct"/>
            <w:tcBorders>
              <w:top w:val="single" w:sz="4" w:space="0" w:color="auto"/>
              <w:left w:val="nil"/>
              <w:bottom w:val="single" w:sz="4" w:space="0" w:color="auto"/>
              <w:right w:val="nil"/>
            </w:tcBorders>
            <w:vAlign w:val="center"/>
          </w:tcPr>
          <w:p w:rsidR="00560074" w:rsidRPr="00980D3E" w:rsidRDefault="00560074">
            <w:pPr>
              <w:keepNext/>
              <w:jc w:val="center"/>
              <w:rPr>
                <w:rFonts w:ascii="Arial Narrow" w:hAnsi="Arial Narrow"/>
                <w:sz w:val="20"/>
              </w:rPr>
            </w:pPr>
            <w:r w:rsidRPr="00980D3E">
              <w:rPr>
                <w:rFonts w:ascii="Arial Narrow" w:hAnsi="Arial Narrow"/>
                <w:sz w:val="20"/>
              </w:rPr>
              <w:t>Specialised Therapeutics Pharma</w:t>
            </w:r>
          </w:p>
          <w:p w:rsidR="00560074" w:rsidRPr="00980D3E" w:rsidRDefault="00560074">
            <w:pPr>
              <w:keepNext/>
              <w:jc w:val="center"/>
              <w:rPr>
                <w:rFonts w:ascii="Arial Narrow" w:hAnsi="Arial Narrow"/>
                <w:sz w:val="20"/>
              </w:rPr>
            </w:pPr>
          </w:p>
        </w:tc>
      </w:tr>
    </w:tbl>
    <w:p w:rsidR="00865DEC" w:rsidRPr="00980D3E" w:rsidRDefault="00865DEC" w:rsidP="00D443C2">
      <w:pPr>
        <w:pStyle w:val="TableFigureFooter"/>
      </w:pPr>
    </w:p>
    <w:p w:rsidR="001F2565" w:rsidRPr="00980D3E" w:rsidRDefault="001F2565" w:rsidP="00D443C2">
      <w:pPr>
        <w:pStyle w:val="TableFigureFoo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7"/>
        <w:gridCol w:w="7500"/>
      </w:tblGrid>
      <w:tr w:rsidR="00AC2E0F" w:rsidRPr="00980D3E" w:rsidTr="005052A7">
        <w:tc>
          <w:tcPr>
            <w:tcW w:w="841" w:type="pct"/>
            <w:tcBorders>
              <w:top w:val="single" w:sz="4" w:space="0" w:color="auto"/>
              <w:left w:val="single" w:sz="4" w:space="0" w:color="auto"/>
              <w:bottom w:val="single" w:sz="4" w:space="0" w:color="auto"/>
              <w:right w:val="single" w:sz="4" w:space="0" w:color="auto"/>
            </w:tcBorders>
          </w:tcPr>
          <w:p w:rsidR="00AC2E0F" w:rsidRPr="00980D3E" w:rsidRDefault="005052A7" w:rsidP="00E876F5">
            <w:pPr>
              <w:keepLines/>
              <w:jc w:val="left"/>
              <w:rPr>
                <w:rFonts w:ascii="Arial Narrow" w:eastAsiaTheme="minorHAnsi" w:hAnsi="Arial Narrow"/>
                <w:b/>
                <w:sz w:val="20"/>
                <w:szCs w:val="20"/>
                <w:lang w:eastAsia="en-US"/>
              </w:rPr>
            </w:pPr>
            <w:r w:rsidRPr="00980D3E">
              <w:rPr>
                <w:rFonts w:ascii="Arial Narrow" w:eastAsiaTheme="minorHAnsi" w:hAnsi="Arial Narrow"/>
                <w:b/>
                <w:sz w:val="20"/>
                <w:szCs w:val="20"/>
                <w:lang w:eastAsia="en-US"/>
              </w:rPr>
              <w:t>Category/Program:</w:t>
            </w:r>
          </w:p>
        </w:tc>
        <w:tc>
          <w:tcPr>
            <w:tcW w:w="4159" w:type="pct"/>
            <w:tcBorders>
              <w:top w:val="single" w:sz="4" w:space="0" w:color="auto"/>
              <w:left w:val="single" w:sz="4" w:space="0" w:color="auto"/>
              <w:bottom w:val="single" w:sz="4" w:space="0" w:color="auto"/>
              <w:right w:val="single" w:sz="4" w:space="0" w:color="auto"/>
            </w:tcBorders>
          </w:tcPr>
          <w:p w:rsidR="00AC2E0F" w:rsidRPr="00980D3E" w:rsidRDefault="00AC2E0F" w:rsidP="00E876F5">
            <w:pPr>
              <w:keepLines/>
              <w:rPr>
                <w:rFonts w:ascii="Arial Narrow" w:eastAsiaTheme="minorHAnsi" w:hAnsi="Arial Narrow"/>
                <w:sz w:val="20"/>
                <w:szCs w:val="20"/>
                <w:lang w:eastAsia="en-US"/>
              </w:rPr>
            </w:pPr>
            <w:r w:rsidRPr="00980D3E">
              <w:rPr>
                <w:rFonts w:ascii="Arial Narrow" w:eastAsiaTheme="minorHAnsi" w:hAnsi="Arial Narrow"/>
                <w:sz w:val="20"/>
                <w:szCs w:val="20"/>
                <w:lang w:eastAsia="en-US"/>
              </w:rPr>
              <w:t>Section 100 – Efficient Funding of Chemotherapy (Public/Private hospital code)</w:t>
            </w:r>
          </w:p>
        </w:tc>
      </w:tr>
      <w:tr w:rsidR="00AC2E0F" w:rsidRPr="00980D3E" w:rsidTr="005052A7">
        <w:tc>
          <w:tcPr>
            <w:tcW w:w="841" w:type="pct"/>
            <w:tcBorders>
              <w:top w:val="single" w:sz="4" w:space="0" w:color="auto"/>
              <w:left w:val="single" w:sz="4" w:space="0" w:color="auto"/>
              <w:bottom w:val="single" w:sz="4" w:space="0" w:color="auto"/>
              <w:right w:val="single" w:sz="4" w:space="0" w:color="auto"/>
            </w:tcBorders>
          </w:tcPr>
          <w:p w:rsidR="00AC2E0F" w:rsidRPr="00980D3E" w:rsidRDefault="005052A7" w:rsidP="00E876F5">
            <w:pPr>
              <w:keepLines/>
              <w:jc w:val="left"/>
              <w:rPr>
                <w:rFonts w:ascii="Arial Narrow" w:eastAsiaTheme="minorHAnsi" w:hAnsi="Arial Narrow"/>
                <w:b/>
                <w:sz w:val="20"/>
                <w:szCs w:val="20"/>
                <w:lang w:eastAsia="en-US"/>
              </w:rPr>
            </w:pPr>
            <w:r w:rsidRPr="00980D3E">
              <w:rPr>
                <w:rFonts w:ascii="Arial Narrow" w:eastAsiaTheme="minorHAnsi" w:hAnsi="Arial Narrow"/>
                <w:b/>
                <w:sz w:val="20"/>
                <w:szCs w:val="20"/>
                <w:lang w:eastAsia="en-US"/>
              </w:rPr>
              <w:t>Prescriber type:</w:t>
            </w:r>
          </w:p>
        </w:tc>
        <w:tc>
          <w:tcPr>
            <w:tcW w:w="4159" w:type="pct"/>
            <w:tcBorders>
              <w:top w:val="single" w:sz="4" w:space="0" w:color="auto"/>
              <w:left w:val="single" w:sz="4" w:space="0" w:color="auto"/>
              <w:bottom w:val="single" w:sz="4" w:space="0" w:color="auto"/>
              <w:right w:val="single" w:sz="4" w:space="0" w:color="auto"/>
            </w:tcBorders>
          </w:tcPr>
          <w:p w:rsidR="00AC2E0F" w:rsidRPr="00980D3E" w:rsidRDefault="00AC2E0F" w:rsidP="00E876F5">
            <w:pPr>
              <w:keepLines/>
              <w:rPr>
                <w:rFonts w:ascii="Arial Narrow" w:eastAsiaTheme="minorHAnsi" w:hAnsi="Arial Narrow"/>
                <w:b/>
                <w:sz w:val="20"/>
                <w:szCs w:val="20"/>
                <w:lang w:eastAsia="en-US"/>
              </w:rPr>
            </w:pPr>
            <w:r w:rsidRPr="00980D3E">
              <w:rPr>
                <w:rFonts w:ascii="Arial Narrow" w:eastAsiaTheme="minorHAnsi" w:hAnsi="Arial Narrow"/>
                <w:sz w:val="20"/>
                <w:szCs w:val="20"/>
                <w:lang w:eastAsia="en-US"/>
              </w:rPr>
              <w:fldChar w:fldCharType="begin">
                <w:ffData>
                  <w:name w:val="Check1"/>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Dental</w:t>
            </w:r>
            <w:r w:rsidR="00A26ED5">
              <w:rPr>
                <w:rFonts w:ascii="Arial Narrow" w:eastAsiaTheme="minorHAnsi" w:hAnsi="Arial Narrow"/>
                <w:sz w:val="20"/>
                <w:szCs w:val="20"/>
                <w:lang w:eastAsia="en-US"/>
              </w:rPr>
              <w:t xml:space="preserve"> </w:t>
            </w:r>
            <w:r w:rsidRPr="00980D3E">
              <w:rPr>
                <w:rFonts w:ascii="Arial Narrow" w:eastAsiaTheme="minorHAnsi" w:hAnsi="Arial Narrow"/>
                <w:sz w:val="20"/>
                <w:szCs w:val="20"/>
                <w:lang w:eastAsia="en-US"/>
              </w:rPr>
              <w:t xml:space="preserve"> </w:t>
            </w:r>
            <w:r w:rsidRPr="00980D3E">
              <w:rPr>
                <w:rFonts w:ascii="Arial Narrow" w:eastAsiaTheme="minorHAnsi" w:hAnsi="Arial Narrow"/>
                <w:sz w:val="20"/>
                <w:szCs w:val="20"/>
                <w:lang w:eastAsia="en-US"/>
              </w:rPr>
              <w:fldChar w:fldCharType="begin">
                <w:ffData>
                  <w:name w:val=""/>
                  <w:enabled/>
                  <w:calcOnExit w:val="0"/>
                  <w:checkBox>
                    <w:sizeAuto/>
                    <w:default w:val="1"/>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00A26ED5">
              <w:rPr>
                <w:rFonts w:ascii="Arial Narrow" w:eastAsiaTheme="minorHAnsi" w:hAnsi="Arial Narrow"/>
                <w:sz w:val="20"/>
                <w:szCs w:val="20"/>
                <w:lang w:eastAsia="en-US"/>
              </w:rPr>
              <w:t xml:space="preserve">Medical Practitioners  </w:t>
            </w:r>
            <w:r w:rsidRPr="00980D3E">
              <w:rPr>
                <w:rFonts w:ascii="Arial Narrow" w:eastAsiaTheme="minorHAnsi" w:hAnsi="Arial Narrow"/>
                <w:sz w:val="20"/>
                <w:szCs w:val="20"/>
                <w:lang w:eastAsia="en-US"/>
              </w:rPr>
              <w:fldChar w:fldCharType="begin">
                <w:ffData>
                  <w:name w:val="Check3"/>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 xml:space="preserve">Nurse practitioners  </w:t>
            </w:r>
            <w:r w:rsidRPr="00980D3E">
              <w:rPr>
                <w:rFonts w:ascii="Arial Narrow" w:eastAsiaTheme="minorHAnsi" w:hAnsi="Arial Narrow"/>
                <w:sz w:val="20"/>
                <w:szCs w:val="20"/>
                <w:lang w:eastAsia="en-US"/>
              </w:rPr>
              <w:fldChar w:fldCharType="begin">
                <w:ffData>
                  <w:name w:val=""/>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Optometrists</w:t>
            </w:r>
            <w:r w:rsidR="00A26ED5">
              <w:rPr>
                <w:rFonts w:ascii="Arial Narrow" w:eastAsiaTheme="minorHAnsi" w:hAnsi="Arial Narrow"/>
                <w:sz w:val="20"/>
                <w:szCs w:val="20"/>
                <w:lang w:eastAsia="en-US"/>
              </w:rPr>
              <w:t xml:space="preserve"> </w:t>
            </w:r>
            <w:r w:rsidRPr="00980D3E">
              <w:rPr>
                <w:rFonts w:ascii="Arial Narrow" w:eastAsiaTheme="minorHAnsi" w:hAnsi="Arial Narrow"/>
                <w:sz w:val="20"/>
                <w:szCs w:val="20"/>
                <w:lang w:eastAsia="en-US"/>
              </w:rPr>
              <w:t xml:space="preserve"> </w:t>
            </w:r>
            <w:r w:rsidRPr="00980D3E">
              <w:rPr>
                <w:rFonts w:ascii="Arial Narrow" w:eastAsiaTheme="minorHAnsi" w:hAnsi="Arial Narrow"/>
                <w:sz w:val="20"/>
                <w:szCs w:val="20"/>
                <w:lang w:eastAsia="en-US"/>
              </w:rPr>
              <w:fldChar w:fldCharType="begin">
                <w:ffData>
                  <w:name w:val="Check5"/>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Midwives</w:t>
            </w:r>
          </w:p>
        </w:tc>
      </w:tr>
      <w:tr w:rsidR="00AC2E0F" w:rsidRPr="00980D3E" w:rsidTr="005052A7">
        <w:tc>
          <w:tcPr>
            <w:tcW w:w="841" w:type="pct"/>
            <w:tcBorders>
              <w:top w:val="single" w:sz="4" w:space="0" w:color="auto"/>
              <w:left w:val="single" w:sz="4" w:space="0" w:color="auto"/>
              <w:bottom w:val="single" w:sz="4" w:space="0" w:color="auto"/>
              <w:right w:val="single" w:sz="4" w:space="0" w:color="auto"/>
            </w:tcBorders>
          </w:tcPr>
          <w:p w:rsidR="00AC2E0F" w:rsidRPr="00980D3E" w:rsidRDefault="005052A7" w:rsidP="00E876F5">
            <w:pPr>
              <w:keepLines/>
              <w:jc w:val="left"/>
              <w:rPr>
                <w:rFonts w:ascii="Arial Narrow" w:eastAsiaTheme="minorHAnsi" w:hAnsi="Arial Narrow"/>
                <w:b/>
                <w:sz w:val="20"/>
                <w:szCs w:val="20"/>
                <w:lang w:eastAsia="en-US"/>
              </w:rPr>
            </w:pPr>
            <w:r w:rsidRPr="00980D3E">
              <w:rPr>
                <w:rFonts w:ascii="Arial Narrow" w:eastAsiaTheme="minorHAnsi" w:hAnsi="Arial Narrow"/>
                <w:b/>
                <w:sz w:val="20"/>
                <w:szCs w:val="20"/>
                <w:lang w:eastAsia="en-US"/>
              </w:rPr>
              <w:t>Restriction level/Method:</w:t>
            </w:r>
          </w:p>
          <w:p w:rsidR="00AC2E0F" w:rsidRPr="00980D3E" w:rsidRDefault="00AC2E0F" w:rsidP="00E876F5">
            <w:pPr>
              <w:keepLines/>
              <w:jc w:val="left"/>
              <w:rPr>
                <w:rFonts w:ascii="Arial Narrow" w:eastAsiaTheme="minorHAnsi" w:hAnsi="Arial Narrow"/>
                <w:b/>
                <w:sz w:val="20"/>
                <w:szCs w:val="20"/>
                <w:lang w:eastAsia="en-US"/>
              </w:rPr>
            </w:pPr>
          </w:p>
          <w:p w:rsidR="00AC2E0F" w:rsidRPr="00980D3E" w:rsidRDefault="00AC2E0F" w:rsidP="00E876F5">
            <w:pPr>
              <w:keepLines/>
              <w:jc w:val="left"/>
              <w:rPr>
                <w:rFonts w:ascii="Arial Narrow" w:eastAsiaTheme="minorHAnsi" w:hAnsi="Arial Narrow"/>
                <w:b/>
                <w:sz w:val="20"/>
                <w:szCs w:val="20"/>
                <w:lang w:eastAsia="en-US"/>
              </w:rPr>
            </w:pPr>
          </w:p>
        </w:tc>
        <w:tc>
          <w:tcPr>
            <w:tcW w:w="4159" w:type="pct"/>
            <w:tcBorders>
              <w:top w:val="single" w:sz="4" w:space="0" w:color="auto"/>
              <w:left w:val="single" w:sz="4" w:space="0" w:color="auto"/>
              <w:bottom w:val="single" w:sz="4" w:space="0" w:color="auto"/>
              <w:right w:val="single" w:sz="4" w:space="0" w:color="auto"/>
            </w:tcBorders>
          </w:tcPr>
          <w:p w:rsidR="00AC2E0F" w:rsidRPr="00980D3E" w:rsidRDefault="00AC2E0F" w:rsidP="00E876F5">
            <w:pPr>
              <w:keepLines/>
              <w:rPr>
                <w:rFonts w:ascii="Arial Narrow" w:eastAsiaTheme="minorHAnsi" w:hAnsi="Arial Narrow"/>
                <w:sz w:val="20"/>
                <w:szCs w:val="20"/>
                <w:lang w:eastAsia="en-US"/>
              </w:rPr>
            </w:pPr>
            <w:r w:rsidRPr="00980D3E">
              <w:rPr>
                <w:rFonts w:ascii="Arial Narrow" w:eastAsiaTheme="minorHAnsi" w:hAnsi="Arial Narrow"/>
                <w:sz w:val="20"/>
                <w:szCs w:val="20"/>
                <w:lang w:eastAsia="en-US"/>
              </w:rPr>
              <w:fldChar w:fldCharType="begin">
                <w:ffData>
                  <w:name w:val="Check1"/>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Unrestricted benefit</w:t>
            </w:r>
          </w:p>
          <w:p w:rsidR="00AC2E0F" w:rsidRPr="00980D3E" w:rsidRDefault="00AC2E0F" w:rsidP="00E876F5">
            <w:pPr>
              <w:keepLines/>
              <w:rPr>
                <w:rFonts w:ascii="Arial Narrow" w:eastAsiaTheme="minorHAnsi" w:hAnsi="Arial Narrow"/>
                <w:sz w:val="20"/>
                <w:szCs w:val="20"/>
                <w:lang w:eastAsia="en-US"/>
              </w:rPr>
            </w:pPr>
            <w:r w:rsidRPr="00980D3E">
              <w:rPr>
                <w:rFonts w:ascii="Arial Narrow" w:eastAsiaTheme="minorHAnsi" w:hAnsi="Arial Narrow"/>
                <w:sz w:val="20"/>
                <w:szCs w:val="20"/>
                <w:lang w:eastAsia="en-US"/>
              </w:rPr>
              <w:fldChar w:fldCharType="begin">
                <w:ffData>
                  <w:name w:val="Check1"/>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Restricted benefit</w:t>
            </w:r>
          </w:p>
          <w:p w:rsidR="00AC2E0F" w:rsidRPr="00980D3E" w:rsidRDefault="00AC2E0F" w:rsidP="00E876F5">
            <w:pPr>
              <w:keepLines/>
              <w:rPr>
                <w:rFonts w:ascii="Arial Narrow" w:eastAsiaTheme="minorHAnsi" w:hAnsi="Arial Narrow"/>
                <w:sz w:val="20"/>
                <w:szCs w:val="20"/>
                <w:lang w:eastAsia="en-US"/>
              </w:rPr>
            </w:pPr>
            <w:r w:rsidRPr="00980D3E">
              <w:rPr>
                <w:rFonts w:ascii="Arial Narrow" w:eastAsiaTheme="minorHAnsi" w:hAnsi="Arial Narrow"/>
                <w:sz w:val="20"/>
                <w:szCs w:val="20"/>
                <w:lang w:eastAsia="en-US"/>
              </w:rPr>
              <w:fldChar w:fldCharType="begin">
                <w:ffData>
                  <w:name w:val=""/>
                  <w:enabled/>
                  <w:calcOnExit w:val="0"/>
                  <w:checkBox>
                    <w:sizeAuto/>
                    <w:default w:val="1"/>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i/>
                <w:sz w:val="20"/>
                <w:szCs w:val="20"/>
                <w:lang w:eastAsia="en-US"/>
              </w:rPr>
              <w:t>Authority Required – In Writing</w:t>
            </w:r>
          </w:p>
          <w:p w:rsidR="00AC2E0F" w:rsidRPr="00980D3E" w:rsidRDefault="00AC2E0F" w:rsidP="00E876F5">
            <w:pPr>
              <w:keepLines/>
              <w:rPr>
                <w:rFonts w:ascii="Arial Narrow" w:eastAsiaTheme="minorHAnsi" w:hAnsi="Arial Narrow"/>
                <w:strike/>
                <w:sz w:val="20"/>
                <w:szCs w:val="20"/>
                <w:lang w:eastAsia="en-US"/>
              </w:rPr>
            </w:pPr>
            <w:r w:rsidRPr="00980D3E">
              <w:rPr>
                <w:rFonts w:ascii="Arial Narrow" w:eastAsiaTheme="minorHAnsi" w:hAnsi="Arial Narrow"/>
                <w:strike/>
                <w:sz w:val="20"/>
                <w:szCs w:val="20"/>
                <w:lang w:eastAsia="en-US"/>
              </w:rPr>
              <w:fldChar w:fldCharType="begin">
                <w:ffData>
                  <w:name w:val="Check3"/>
                  <w:enabled/>
                  <w:calcOnExit w:val="0"/>
                  <w:checkBox>
                    <w:sizeAuto/>
                    <w:default w:val="1"/>
                  </w:checkBox>
                </w:ffData>
              </w:fldChar>
            </w:r>
            <w:r w:rsidRPr="00980D3E">
              <w:rPr>
                <w:rFonts w:ascii="Arial Narrow" w:eastAsiaTheme="minorHAnsi" w:hAnsi="Arial Narrow"/>
                <w:strike/>
                <w:sz w:val="20"/>
                <w:szCs w:val="20"/>
                <w:lang w:eastAsia="en-US"/>
              </w:rPr>
              <w:instrText xml:space="preserve"> FORMCHECKBOX </w:instrText>
            </w:r>
            <w:r w:rsidR="00A26ED5">
              <w:rPr>
                <w:rFonts w:ascii="Arial Narrow" w:eastAsiaTheme="minorHAnsi" w:hAnsi="Arial Narrow"/>
                <w:strike/>
                <w:sz w:val="20"/>
                <w:szCs w:val="20"/>
                <w:lang w:eastAsia="en-US"/>
              </w:rPr>
            </w:r>
            <w:r w:rsidR="00A26ED5">
              <w:rPr>
                <w:rFonts w:ascii="Arial Narrow" w:eastAsiaTheme="minorHAnsi" w:hAnsi="Arial Narrow"/>
                <w:strike/>
                <w:sz w:val="20"/>
                <w:szCs w:val="20"/>
                <w:lang w:eastAsia="en-US"/>
              </w:rPr>
              <w:fldChar w:fldCharType="separate"/>
            </w:r>
            <w:r w:rsidRPr="00980D3E">
              <w:rPr>
                <w:rFonts w:ascii="Arial Narrow" w:eastAsiaTheme="minorHAnsi" w:hAnsi="Arial Narrow"/>
                <w:strike/>
                <w:sz w:val="20"/>
                <w:szCs w:val="20"/>
                <w:lang w:eastAsia="en-US"/>
              </w:rPr>
              <w:fldChar w:fldCharType="end"/>
            </w:r>
            <w:r w:rsidRPr="00980D3E">
              <w:rPr>
                <w:rFonts w:ascii="Arial Narrow" w:eastAsiaTheme="minorHAnsi" w:hAnsi="Arial Narrow"/>
                <w:strike/>
                <w:sz w:val="20"/>
                <w:szCs w:val="20"/>
                <w:lang w:eastAsia="en-US"/>
              </w:rPr>
              <w:t>Authority Required – Telephone/Electronic/Emergency</w:t>
            </w:r>
          </w:p>
          <w:p w:rsidR="00AC2E0F" w:rsidRPr="00980D3E" w:rsidRDefault="00AC2E0F" w:rsidP="00E876F5">
            <w:pPr>
              <w:keepLines/>
              <w:rPr>
                <w:rFonts w:ascii="Arial Narrow" w:eastAsiaTheme="minorHAnsi" w:hAnsi="Arial Narrow"/>
                <w:sz w:val="20"/>
                <w:szCs w:val="20"/>
                <w:lang w:eastAsia="en-US"/>
              </w:rPr>
            </w:pPr>
            <w:r w:rsidRPr="00980D3E">
              <w:rPr>
                <w:rFonts w:ascii="Arial Narrow" w:eastAsiaTheme="minorHAnsi" w:hAnsi="Arial Narrow"/>
                <w:sz w:val="20"/>
                <w:szCs w:val="20"/>
                <w:lang w:eastAsia="en-US"/>
              </w:rPr>
              <w:fldChar w:fldCharType="begin">
                <w:ffData>
                  <w:name w:val=""/>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Authority Required - Streamlined</w:t>
            </w:r>
          </w:p>
        </w:tc>
      </w:tr>
      <w:tr w:rsidR="00AC2E0F" w:rsidRPr="00980D3E" w:rsidTr="005052A7">
        <w:tc>
          <w:tcPr>
            <w:tcW w:w="841" w:type="pct"/>
            <w:vAlign w:val="center"/>
            <w:hideMark/>
          </w:tcPr>
          <w:p w:rsidR="00AC2E0F" w:rsidRPr="00980D3E" w:rsidRDefault="005052A7" w:rsidP="00E876F5">
            <w:pPr>
              <w:keepLines/>
              <w:jc w:val="left"/>
              <w:rPr>
                <w:rFonts w:ascii="Arial Narrow" w:hAnsi="Arial Narrow" w:cs="Open Sans"/>
                <w:b/>
                <w:sz w:val="20"/>
                <w:szCs w:val="20"/>
              </w:rPr>
            </w:pPr>
            <w:r w:rsidRPr="00980D3E">
              <w:rPr>
                <w:rFonts w:ascii="Arial Narrow" w:hAnsi="Arial Narrow" w:cs="Open Sans"/>
                <w:b/>
                <w:sz w:val="20"/>
                <w:szCs w:val="20"/>
              </w:rPr>
              <w:t>Indication:</w:t>
            </w:r>
          </w:p>
        </w:tc>
        <w:tc>
          <w:tcPr>
            <w:tcW w:w="4159" w:type="pct"/>
            <w:vAlign w:val="center"/>
            <w:hideMark/>
          </w:tcPr>
          <w:p w:rsidR="00AC2E0F" w:rsidRPr="00980D3E" w:rsidRDefault="00AC2E0F" w:rsidP="00E876F5">
            <w:pPr>
              <w:keepLines/>
              <w:jc w:val="left"/>
              <w:rPr>
                <w:rFonts w:ascii="Arial Narrow" w:hAnsi="Arial Narrow" w:cs="Open Sans"/>
                <w:b/>
                <w:bCs/>
                <w:sz w:val="20"/>
                <w:szCs w:val="20"/>
              </w:rPr>
            </w:pPr>
            <w:r w:rsidRPr="00980D3E">
              <w:rPr>
                <w:rFonts w:ascii="Arial Narrow" w:hAnsi="Arial Narrow" w:cs="Open Sans"/>
                <w:sz w:val="20"/>
                <w:szCs w:val="20"/>
              </w:rPr>
              <w:t>Multiple myeloma</w:t>
            </w:r>
          </w:p>
        </w:tc>
      </w:tr>
      <w:tr w:rsidR="00AC2E0F" w:rsidRPr="00980D3E" w:rsidTr="005052A7">
        <w:tc>
          <w:tcPr>
            <w:tcW w:w="841" w:type="pct"/>
            <w:vAlign w:val="center"/>
            <w:hideMark/>
          </w:tcPr>
          <w:p w:rsidR="00AC2E0F" w:rsidRPr="00980D3E" w:rsidRDefault="005052A7" w:rsidP="00E876F5">
            <w:pPr>
              <w:keepLines/>
              <w:jc w:val="left"/>
              <w:rPr>
                <w:rFonts w:ascii="Arial Narrow" w:hAnsi="Arial Narrow" w:cs="Open Sans"/>
                <w:b/>
                <w:sz w:val="20"/>
                <w:szCs w:val="20"/>
              </w:rPr>
            </w:pPr>
            <w:r w:rsidRPr="00980D3E">
              <w:rPr>
                <w:rFonts w:ascii="Arial Narrow" w:hAnsi="Arial Narrow" w:cs="Open Sans"/>
                <w:b/>
                <w:sz w:val="20"/>
                <w:szCs w:val="20"/>
              </w:rPr>
              <w:t>Treatment phase:</w:t>
            </w:r>
          </w:p>
        </w:tc>
        <w:tc>
          <w:tcPr>
            <w:tcW w:w="4159" w:type="pct"/>
            <w:vAlign w:val="center"/>
            <w:hideMark/>
          </w:tcPr>
          <w:p w:rsidR="00AC2E0F" w:rsidRPr="00980D3E" w:rsidRDefault="00AC2E0F" w:rsidP="00E876F5">
            <w:pPr>
              <w:keepLines/>
              <w:jc w:val="left"/>
              <w:rPr>
                <w:rFonts w:ascii="Arial Narrow" w:hAnsi="Arial Narrow" w:cs="Open Sans"/>
                <w:i/>
                <w:sz w:val="20"/>
                <w:szCs w:val="20"/>
              </w:rPr>
            </w:pPr>
            <w:r w:rsidRPr="00980D3E">
              <w:rPr>
                <w:rFonts w:ascii="Arial Narrow" w:hAnsi="Arial Narrow" w:cs="Open Sans"/>
                <w:sz w:val="20"/>
                <w:szCs w:val="20"/>
              </w:rPr>
              <w:t>Initial treatment</w:t>
            </w:r>
            <w:r w:rsidRPr="00980D3E">
              <w:rPr>
                <w:rFonts w:ascii="Arial Narrow" w:hAnsi="Arial Narrow" w:cs="Open Sans"/>
                <w:i/>
                <w:sz w:val="20"/>
                <w:szCs w:val="20"/>
              </w:rPr>
              <w:t xml:space="preserve"> of relapsed and refractory multiple myeloma</w:t>
            </w:r>
          </w:p>
        </w:tc>
      </w:tr>
      <w:tr w:rsidR="005052A7" w:rsidRPr="00980D3E" w:rsidTr="005052A7">
        <w:trPr>
          <w:trHeight w:val="2912"/>
        </w:trPr>
        <w:tc>
          <w:tcPr>
            <w:tcW w:w="841" w:type="pct"/>
            <w:hideMark/>
          </w:tcPr>
          <w:p w:rsidR="005052A7" w:rsidRPr="00980D3E" w:rsidRDefault="005052A7" w:rsidP="00E876F5">
            <w:pPr>
              <w:keepLines/>
              <w:jc w:val="left"/>
              <w:rPr>
                <w:rFonts w:ascii="Arial Narrow" w:hAnsi="Arial Narrow" w:cs="Open Sans"/>
                <w:b/>
                <w:sz w:val="20"/>
                <w:szCs w:val="20"/>
              </w:rPr>
            </w:pPr>
            <w:r w:rsidRPr="00980D3E">
              <w:rPr>
                <w:rFonts w:ascii="Arial Narrow" w:hAnsi="Arial Narrow" w:cs="Open Sans"/>
                <w:b/>
                <w:sz w:val="20"/>
                <w:szCs w:val="20"/>
              </w:rPr>
              <w:lastRenderedPageBreak/>
              <w:t>Clinical criteria:</w:t>
            </w:r>
          </w:p>
        </w:tc>
        <w:tc>
          <w:tcPr>
            <w:tcW w:w="4159" w:type="pct"/>
            <w:hideMark/>
          </w:tcPr>
          <w:p w:rsidR="005052A7" w:rsidRPr="00980D3E" w:rsidRDefault="005052A7" w:rsidP="00E876F5">
            <w:pPr>
              <w:keepLines/>
              <w:jc w:val="left"/>
              <w:rPr>
                <w:rFonts w:ascii="Arial Narrow" w:hAnsi="Arial Narrow" w:cs="Open Sans"/>
                <w:sz w:val="20"/>
                <w:szCs w:val="20"/>
              </w:rPr>
            </w:pPr>
            <w:r w:rsidRPr="00980D3E">
              <w:rPr>
                <w:rFonts w:ascii="Arial Narrow" w:hAnsi="Arial Narrow" w:cs="Open Sans"/>
                <w:sz w:val="20"/>
                <w:szCs w:val="20"/>
              </w:rPr>
              <w:t>The treatment must be in combination with dexamethasone</w:t>
            </w:r>
          </w:p>
          <w:p w:rsidR="005052A7" w:rsidRPr="00980D3E" w:rsidRDefault="005052A7" w:rsidP="00E876F5">
            <w:pPr>
              <w:keepLines/>
              <w:jc w:val="left"/>
              <w:rPr>
                <w:rFonts w:ascii="Arial Narrow" w:hAnsi="Arial Narrow" w:cs="Open Sans"/>
                <w:strike/>
                <w:sz w:val="20"/>
                <w:szCs w:val="20"/>
              </w:rPr>
            </w:pPr>
            <w:r w:rsidRPr="00980D3E">
              <w:rPr>
                <w:rFonts w:ascii="Arial Narrow" w:hAnsi="Arial Narrow" w:cs="Open Sans"/>
                <w:bCs/>
                <w:strike/>
                <w:sz w:val="20"/>
                <w:szCs w:val="20"/>
              </w:rPr>
              <w:t>AND</w:t>
            </w:r>
          </w:p>
          <w:p w:rsidR="005052A7" w:rsidRPr="00980D3E" w:rsidRDefault="005052A7" w:rsidP="00E876F5">
            <w:pPr>
              <w:keepLines/>
              <w:jc w:val="left"/>
              <w:rPr>
                <w:rFonts w:ascii="Arial Narrow" w:hAnsi="Arial Narrow" w:cs="Open Sans"/>
                <w:strike/>
                <w:sz w:val="20"/>
                <w:szCs w:val="20"/>
              </w:rPr>
            </w:pPr>
            <w:r w:rsidRPr="00980D3E">
              <w:rPr>
                <w:rFonts w:ascii="Arial Narrow" w:hAnsi="Arial Narrow" w:cs="Open Sans"/>
                <w:strike/>
                <w:sz w:val="20"/>
                <w:szCs w:val="20"/>
              </w:rPr>
              <w:t>Patient must have undergone or be ineligible for a primary stem cell transplant</w:t>
            </w:r>
          </w:p>
          <w:p w:rsidR="005052A7" w:rsidRPr="00980D3E" w:rsidRDefault="005052A7" w:rsidP="00E876F5">
            <w:pPr>
              <w:keepLines/>
              <w:jc w:val="left"/>
              <w:rPr>
                <w:rFonts w:ascii="Arial Narrow" w:hAnsi="Arial Narrow" w:cs="Open Sans"/>
                <w:sz w:val="20"/>
                <w:szCs w:val="20"/>
              </w:rPr>
            </w:pPr>
            <w:r w:rsidRPr="00980D3E">
              <w:rPr>
                <w:rFonts w:ascii="Arial Narrow" w:hAnsi="Arial Narrow" w:cs="Open Sans"/>
                <w:bCs/>
                <w:sz w:val="20"/>
                <w:szCs w:val="20"/>
              </w:rPr>
              <w:t>AND</w:t>
            </w:r>
          </w:p>
          <w:p w:rsidR="005052A7" w:rsidRPr="00980D3E" w:rsidRDefault="005052A7" w:rsidP="00E876F5">
            <w:pPr>
              <w:keepLines/>
              <w:jc w:val="left"/>
              <w:rPr>
                <w:rFonts w:ascii="Arial Narrow" w:hAnsi="Arial Narrow" w:cs="Open Sans"/>
                <w:bCs/>
                <w:sz w:val="20"/>
                <w:szCs w:val="20"/>
              </w:rPr>
            </w:pPr>
            <w:r w:rsidRPr="00980D3E">
              <w:rPr>
                <w:rFonts w:ascii="Arial Narrow" w:hAnsi="Arial Narrow" w:cs="Open Sans"/>
                <w:bCs/>
                <w:sz w:val="20"/>
                <w:szCs w:val="20"/>
              </w:rPr>
              <w:t xml:space="preserve">Patient must have </w:t>
            </w:r>
            <w:r w:rsidRPr="00980D3E">
              <w:rPr>
                <w:rFonts w:ascii="Arial Narrow" w:hAnsi="Arial Narrow" w:cs="Open Sans"/>
                <w:bCs/>
                <w:strike/>
                <w:sz w:val="20"/>
                <w:szCs w:val="20"/>
              </w:rPr>
              <w:t xml:space="preserve">received </w:t>
            </w:r>
            <w:r w:rsidRPr="00980D3E">
              <w:rPr>
                <w:rFonts w:ascii="Arial Narrow" w:hAnsi="Arial Narrow" w:cs="Open Sans"/>
                <w:bCs/>
                <w:i/>
                <w:sz w:val="20"/>
                <w:szCs w:val="20"/>
              </w:rPr>
              <w:t>progressive disease after</w:t>
            </w:r>
            <w:r w:rsidRPr="00980D3E">
              <w:rPr>
                <w:rFonts w:ascii="Arial Narrow" w:hAnsi="Arial Narrow" w:cs="Open Sans"/>
                <w:bCs/>
                <w:sz w:val="20"/>
                <w:szCs w:val="20"/>
              </w:rPr>
              <w:t xml:space="preserve"> at least three prior treatment regimens including both a proteasome inhibitor and an immunomodulatory agent; OR</w:t>
            </w:r>
          </w:p>
          <w:p w:rsidR="005052A7" w:rsidRPr="00980D3E" w:rsidRDefault="005052A7" w:rsidP="00E876F5">
            <w:pPr>
              <w:keepLines/>
              <w:jc w:val="left"/>
              <w:rPr>
                <w:rFonts w:ascii="Arial Narrow" w:hAnsi="Arial Narrow" w:cs="Open Sans"/>
                <w:sz w:val="20"/>
                <w:szCs w:val="20"/>
              </w:rPr>
            </w:pPr>
            <w:r w:rsidRPr="00980D3E">
              <w:rPr>
                <w:rFonts w:ascii="Arial Narrow" w:hAnsi="Arial Narrow" w:cs="Open Sans"/>
                <w:sz w:val="20"/>
                <w:szCs w:val="20"/>
              </w:rPr>
              <w:t xml:space="preserve">Patients must have experienced treatment failure with </w:t>
            </w:r>
            <w:r w:rsidRPr="00980D3E">
              <w:rPr>
                <w:rFonts w:ascii="Arial Narrow" w:hAnsi="Arial Narrow" w:cs="Open Sans"/>
                <w:strike/>
                <w:sz w:val="20"/>
                <w:szCs w:val="20"/>
              </w:rPr>
              <w:t xml:space="preserve">a proteasome inhibitor </w:t>
            </w:r>
            <w:r w:rsidRPr="00980D3E">
              <w:rPr>
                <w:rFonts w:ascii="Arial Narrow" w:hAnsi="Arial Narrow" w:cs="Open Sans"/>
                <w:sz w:val="20"/>
                <w:szCs w:val="20"/>
              </w:rPr>
              <w:t xml:space="preserve">or be intolerant to or be contraindicated according to the TGA approved product information </w:t>
            </w:r>
            <w:r w:rsidRPr="00980D3E">
              <w:rPr>
                <w:rFonts w:ascii="Arial Narrow" w:hAnsi="Arial Narrow" w:cs="Open Sans"/>
                <w:i/>
                <w:sz w:val="20"/>
                <w:szCs w:val="20"/>
              </w:rPr>
              <w:t>to at least two prior treatment regimens</w:t>
            </w:r>
            <w:r w:rsidRPr="00980D3E">
              <w:rPr>
                <w:rFonts w:ascii="Arial Narrow" w:hAnsi="Arial Narrow" w:cs="Open Sans"/>
                <w:sz w:val="20"/>
                <w:szCs w:val="20"/>
              </w:rPr>
              <w:t xml:space="preserve"> </w:t>
            </w:r>
            <w:r w:rsidRPr="00980D3E">
              <w:rPr>
                <w:rFonts w:ascii="Arial Narrow" w:hAnsi="Arial Narrow" w:cs="Open Sans"/>
                <w:i/>
                <w:sz w:val="20"/>
                <w:szCs w:val="20"/>
              </w:rPr>
              <w:t>that</w:t>
            </w:r>
            <w:r w:rsidRPr="00980D3E">
              <w:rPr>
                <w:rFonts w:ascii="Arial Narrow" w:hAnsi="Arial Narrow" w:cs="Open Sans"/>
                <w:sz w:val="20"/>
                <w:szCs w:val="20"/>
              </w:rPr>
              <w:t xml:space="preserve"> </w:t>
            </w:r>
            <w:r w:rsidRPr="00980D3E">
              <w:rPr>
                <w:rFonts w:ascii="Arial Narrow" w:hAnsi="Arial Narrow" w:cs="Open Sans"/>
                <w:i/>
                <w:sz w:val="20"/>
                <w:szCs w:val="20"/>
              </w:rPr>
              <w:t>include a proteasome inhibitor and an immunomodulatory agent</w:t>
            </w:r>
            <w:r w:rsidRPr="00980D3E">
              <w:rPr>
                <w:rFonts w:ascii="Arial Narrow" w:hAnsi="Arial Narrow" w:cs="Open Sans"/>
                <w:sz w:val="20"/>
                <w:szCs w:val="20"/>
              </w:rPr>
              <w:t xml:space="preserve"> </w:t>
            </w:r>
            <w:r w:rsidRPr="00980D3E">
              <w:rPr>
                <w:rFonts w:ascii="Arial Narrow" w:hAnsi="Arial Narrow" w:cs="Open Sans"/>
                <w:strike/>
                <w:sz w:val="20"/>
                <w:szCs w:val="20"/>
              </w:rPr>
              <w:t>AND</w:t>
            </w:r>
          </w:p>
          <w:p w:rsidR="005052A7" w:rsidRPr="00980D3E" w:rsidRDefault="005052A7" w:rsidP="00E876F5">
            <w:pPr>
              <w:keepLines/>
              <w:jc w:val="left"/>
              <w:rPr>
                <w:rFonts w:ascii="Arial Narrow" w:hAnsi="Arial Narrow" w:cs="Open Sans"/>
                <w:bCs/>
                <w:strike/>
                <w:sz w:val="20"/>
                <w:szCs w:val="20"/>
              </w:rPr>
            </w:pPr>
            <w:r w:rsidRPr="00980D3E">
              <w:rPr>
                <w:rFonts w:ascii="Arial Narrow" w:hAnsi="Arial Narrow" w:cs="Open Sans"/>
                <w:bCs/>
                <w:strike/>
                <w:sz w:val="20"/>
                <w:szCs w:val="20"/>
              </w:rPr>
              <w:t>Patients must have experienced treatment failure with an immunomodulatory agent or be intolerant to or be contraindicated according to the TGA approved product information</w:t>
            </w:r>
          </w:p>
          <w:p w:rsidR="005052A7" w:rsidRPr="00980D3E" w:rsidRDefault="005052A7" w:rsidP="00E876F5">
            <w:pPr>
              <w:keepLines/>
              <w:jc w:val="left"/>
              <w:rPr>
                <w:rFonts w:ascii="Arial Narrow" w:hAnsi="Arial Narrow" w:cs="Open Sans"/>
                <w:sz w:val="20"/>
                <w:szCs w:val="20"/>
              </w:rPr>
            </w:pPr>
            <w:r w:rsidRPr="00980D3E">
              <w:rPr>
                <w:rFonts w:ascii="Arial Narrow" w:hAnsi="Arial Narrow" w:cs="Open Sans"/>
                <w:bCs/>
                <w:sz w:val="20"/>
                <w:szCs w:val="20"/>
              </w:rPr>
              <w:t>AND</w:t>
            </w:r>
          </w:p>
          <w:p w:rsidR="005052A7" w:rsidRPr="00980D3E" w:rsidRDefault="005052A7" w:rsidP="00E876F5">
            <w:pPr>
              <w:keepLines/>
              <w:jc w:val="left"/>
              <w:rPr>
                <w:rFonts w:ascii="Arial Narrow" w:hAnsi="Arial Narrow" w:cs="Open Sans"/>
                <w:sz w:val="20"/>
                <w:szCs w:val="20"/>
              </w:rPr>
            </w:pPr>
            <w:r w:rsidRPr="00980D3E">
              <w:rPr>
                <w:rFonts w:ascii="Arial Narrow" w:hAnsi="Arial Narrow" w:cs="Open Sans"/>
                <w:sz w:val="20"/>
                <w:szCs w:val="20"/>
              </w:rPr>
              <w:t>Patient must not be receiving concomitant PBS-subsidised thalidomide, lenalidomide, pomalidomide, bortezomib or carfilzomib</w:t>
            </w:r>
          </w:p>
        </w:tc>
      </w:tr>
      <w:tr w:rsidR="001F2565" w:rsidRPr="00980D3E" w:rsidTr="001F2565">
        <w:trPr>
          <w:trHeight w:val="8721"/>
        </w:trPr>
        <w:tc>
          <w:tcPr>
            <w:tcW w:w="841" w:type="pct"/>
            <w:hideMark/>
          </w:tcPr>
          <w:p w:rsidR="001F2565" w:rsidRPr="00980D3E" w:rsidRDefault="001F2565" w:rsidP="00E876F5">
            <w:pPr>
              <w:keepLines/>
              <w:jc w:val="left"/>
              <w:rPr>
                <w:rFonts w:ascii="Arial Narrow" w:hAnsi="Arial Narrow" w:cs="Open Sans"/>
                <w:b/>
                <w:sz w:val="20"/>
                <w:szCs w:val="20"/>
              </w:rPr>
            </w:pPr>
            <w:r w:rsidRPr="00980D3E">
              <w:rPr>
                <w:rFonts w:ascii="Arial Narrow" w:hAnsi="Arial Narrow" w:cs="Open Sans"/>
                <w:b/>
                <w:sz w:val="20"/>
                <w:szCs w:val="20"/>
              </w:rPr>
              <w:t>Prescribing instructions:</w:t>
            </w:r>
          </w:p>
        </w:tc>
        <w:tc>
          <w:tcPr>
            <w:tcW w:w="4159" w:type="pct"/>
            <w:tcBorders>
              <w:bottom w:val="single" w:sz="4" w:space="0" w:color="auto"/>
            </w:tcBorders>
            <w:vAlign w:val="center"/>
            <w:hideMark/>
          </w:tcPr>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Proteasome inhibitor or immunomodulatory agent treatment failure is</w:t>
            </w:r>
            <w:r w:rsidRPr="00980D3E">
              <w:rPr>
                <w:rFonts w:ascii="Arial Narrow" w:eastAsiaTheme="minorHAnsi" w:hAnsi="Arial Narrow" w:cs="Times New Roman"/>
                <w:sz w:val="20"/>
                <w:szCs w:val="20"/>
                <w:lang w:eastAsia="en-US"/>
              </w:rPr>
              <w:t xml:space="preserve"> </w:t>
            </w:r>
            <w:r w:rsidRPr="00980D3E">
              <w:rPr>
                <w:rFonts w:ascii="Arial Narrow" w:hAnsi="Arial Narrow" w:cs="Open Sans"/>
                <w:sz w:val="20"/>
                <w:szCs w:val="20"/>
              </w:rPr>
              <w:t>the absence of achieving at least a partial response or as progressive disease during treatment or within 6 months of discontinuing treatment with these drugs.</w:t>
            </w: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 xml:space="preserve"> </w:t>
            </w: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If treatment with either a proteasome inhibitor or immunomodulatory agent is contraindicated according to the relevant TGA-approved Product Information, the application must provide details of the contraindication.</w:t>
            </w:r>
          </w:p>
          <w:p w:rsidR="001F2565" w:rsidRPr="00980D3E" w:rsidRDefault="001F2565" w:rsidP="00E876F5">
            <w:pPr>
              <w:keepLines/>
              <w:jc w:val="left"/>
              <w:rPr>
                <w:rFonts w:ascii="Arial Narrow" w:hAnsi="Arial Narrow" w:cs="Open Sans"/>
                <w:sz w:val="20"/>
                <w:szCs w:val="20"/>
              </w:rPr>
            </w:pP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If intolerance to either proteasome inhibitor or immunomodulatory agent treatment develops during the relevant period of use which is of a severity to necessitate withdrawal of the treatment, the application must provide details of the nature and severity of this intolerance.</w:t>
            </w:r>
          </w:p>
          <w:p w:rsidR="001F2565" w:rsidRPr="00980D3E" w:rsidRDefault="001F2565" w:rsidP="00E876F5">
            <w:pPr>
              <w:keepLines/>
              <w:jc w:val="left"/>
              <w:rPr>
                <w:rFonts w:ascii="Arial Narrow" w:hAnsi="Arial Narrow" w:cs="Open Sans"/>
                <w:sz w:val="20"/>
                <w:szCs w:val="20"/>
              </w:rPr>
            </w:pPr>
          </w:p>
          <w:p w:rsidR="001F2565" w:rsidRPr="00980D3E" w:rsidRDefault="001F2565" w:rsidP="00E876F5">
            <w:pPr>
              <w:keepLines/>
              <w:jc w:val="left"/>
              <w:rPr>
                <w:rFonts w:ascii="Arial Narrow" w:hAnsi="Arial Narrow" w:cs="Open Sans"/>
                <w:bCs/>
                <w:i/>
                <w:sz w:val="20"/>
                <w:szCs w:val="20"/>
              </w:rPr>
            </w:pPr>
            <w:r w:rsidRPr="00980D3E">
              <w:rPr>
                <w:rFonts w:ascii="Arial Narrow" w:hAnsi="Arial Narrow" w:cs="Open Sans"/>
                <w:bCs/>
                <w:i/>
                <w:sz w:val="20"/>
                <w:szCs w:val="20"/>
              </w:rPr>
              <w:t>For the purposes of this restriction, a proteasome inhibitor refers to bortezomib or carfilzomib. An immunomodulatory agent refers to lenalidomide, pomalidomide or thalidomide.</w:t>
            </w:r>
          </w:p>
          <w:p w:rsidR="001F2565" w:rsidRPr="00980D3E" w:rsidRDefault="001F2565" w:rsidP="00E876F5">
            <w:pPr>
              <w:keepLines/>
              <w:jc w:val="left"/>
              <w:rPr>
                <w:rFonts w:ascii="Arial Narrow" w:hAnsi="Arial Narrow" w:cs="Open Sans"/>
                <w:bCs/>
                <w:i/>
                <w:sz w:val="20"/>
                <w:szCs w:val="20"/>
              </w:rPr>
            </w:pP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 xml:space="preserve">Progressive disease is defined as at least 1 of the following: </w:t>
            </w: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 xml:space="preserve">(a) at least a 25% increase and an absolute increase of at least 5 g per L in serum M protein (monoclonal protein); or </w:t>
            </w: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 xml:space="preserve">(b) at least a 25% increase in 24-hour urinary light chain M protein excretion, and an absolute increase of at least 200 mg per 24 hours; or </w:t>
            </w: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 xml:space="preserve">(c) in oligo-secretory and non-secretory myeloma patients only, at least a 50% increase of the difference between involved free light chain and uninvolved free light chain; or </w:t>
            </w: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 xml:space="preserve">(d) at least a 25% relative increase and at least a 10% absolute increase in plasma cells in a bone marrow aspirate or on biopsy; or </w:t>
            </w: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 xml:space="preserve">(e) an increase in the size or number of lytic bone lesions (not including compression fractures); or </w:t>
            </w: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 xml:space="preserve">(f) at least a 25% increase in the size of an existing or the development of a new soft tissue plasmacytoma (determined by clinical examination or diagnostic imaging); or </w:t>
            </w: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(g) development of hypercalcaemia (corrected serum calcium greater than 2.65 mmol per L not attributable to any other cause).</w:t>
            </w: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sz w:val="20"/>
                <w:szCs w:val="20"/>
              </w:rPr>
              <w:t>Oligo-secretory and non-secretory patients are defined as having active disease with less than 10 g per L serum M protein.</w:t>
            </w:r>
          </w:p>
          <w:p w:rsidR="001F2565" w:rsidRPr="00980D3E" w:rsidRDefault="001F2565" w:rsidP="00E876F5">
            <w:pPr>
              <w:keepLines/>
              <w:jc w:val="left"/>
              <w:rPr>
                <w:rFonts w:ascii="Arial Narrow" w:hAnsi="Arial Narrow" w:cs="Open Sans"/>
                <w:sz w:val="20"/>
                <w:szCs w:val="20"/>
              </w:rPr>
            </w:pPr>
          </w:p>
          <w:p w:rsidR="001F2565" w:rsidRPr="00980D3E" w:rsidRDefault="001F2565" w:rsidP="00E876F5">
            <w:pPr>
              <w:keepLines/>
              <w:jc w:val="left"/>
              <w:rPr>
                <w:rFonts w:ascii="Arial Narrow" w:hAnsi="Arial Narrow" w:cs="Open Sans"/>
                <w:i/>
                <w:sz w:val="20"/>
                <w:szCs w:val="20"/>
              </w:rPr>
            </w:pPr>
            <w:r w:rsidRPr="00980D3E">
              <w:rPr>
                <w:rFonts w:ascii="Arial Narrow" w:hAnsi="Arial Narrow" w:cs="Open Sans"/>
                <w:i/>
                <w:sz w:val="20"/>
                <w:szCs w:val="20"/>
              </w:rPr>
              <w:t>The authority application must be made in writing and must include:</w:t>
            </w:r>
          </w:p>
          <w:p w:rsidR="001F2565" w:rsidRPr="00980D3E" w:rsidRDefault="001F2565" w:rsidP="00E876F5">
            <w:pPr>
              <w:keepLines/>
              <w:jc w:val="left"/>
              <w:rPr>
                <w:rFonts w:ascii="Arial Narrow" w:hAnsi="Arial Narrow" w:cs="Open Sans"/>
                <w:i/>
                <w:sz w:val="20"/>
                <w:szCs w:val="20"/>
              </w:rPr>
            </w:pPr>
            <w:r w:rsidRPr="00980D3E">
              <w:rPr>
                <w:rFonts w:ascii="Arial Narrow" w:hAnsi="Arial Narrow" w:cs="Open Sans"/>
                <w:i/>
                <w:sz w:val="20"/>
                <w:szCs w:val="20"/>
              </w:rPr>
              <w:t>(1) a completed authority prescription form; and</w:t>
            </w:r>
          </w:p>
          <w:p w:rsidR="001F2565" w:rsidRPr="00980D3E" w:rsidRDefault="001F2565" w:rsidP="00E876F5">
            <w:pPr>
              <w:keepLines/>
              <w:jc w:val="left"/>
              <w:rPr>
                <w:rFonts w:ascii="Arial Narrow" w:hAnsi="Arial Narrow" w:cs="Open Sans"/>
                <w:i/>
                <w:sz w:val="20"/>
                <w:szCs w:val="20"/>
              </w:rPr>
            </w:pPr>
            <w:r w:rsidRPr="00980D3E">
              <w:rPr>
                <w:rFonts w:ascii="Arial Narrow" w:hAnsi="Arial Narrow" w:cs="Open Sans"/>
                <w:i/>
                <w:sz w:val="20"/>
                <w:szCs w:val="20"/>
              </w:rPr>
              <w:t>(2) a completed Multiple Myeloma plitidepsin Authority Application Supporting Information form that includes details of:</w:t>
            </w:r>
          </w:p>
          <w:p w:rsidR="001F2565" w:rsidRPr="00980D3E" w:rsidRDefault="001F2565" w:rsidP="00E876F5">
            <w:pPr>
              <w:keepLines/>
              <w:jc w:val="left"/>
              <w:rPr>
                <w:rFonts w:ascii="Arial Narrow" w:hAnsi="Arial Narrow" w:cs="Open Sans"/>
                <w:i/>
                <w:sz w:val="20"/>
                <w:szCs w:val="20"/>
              </w:rPr>
            </w:pPr>
            <w:r w:rsidRPr="00980D3E">
              <w:rPr>
                <w:rFonts w:ascii="Arial Narrow" w:hAnsi="Arial Narrow" w:cs="Open Sans"/>
                <w:i/>
                <w:sz w:val="20"/>
                <w:szCs w:val="20"/>
              </w:rPr>
              <w:t xml:space="preserve">(i) past treatment failures; </w:t>
            </w:r>
          </w:p>
          <w:p w:rsidR="001F2565" w:rsidRPr="00980D3E" w:rsidRDefault="001F2565" w:rsidP="00E876F5">
            <w:pPr>
              <w:keepLines/>
              <w:jc w:val="left"/>
              <w:rPr>
                <w:rFonts w:ascii="Arial Narrow" w:hAnsi="Arial Narrow" w:cs="Open Sans"/>
                <w:sz w:val="20"/>
                <w:szCs w:val="20"/>
              </w:rPr>
            </w:pPr>
            <w:r w:rsidRPr="00980D3E">
              <w:rPr>
                <w:rFonts w:ascii="Arial Narrow" w:hAnsi="Arial Narrow" w:cs="Open Sans"/>
                <w:i/>
                <w:sz w:val="20"/>
                <w:szCs w:val="20"/>
              </w:rPr>
              <w:t xml:space="preserve">(ii) any intolerance or contraindication to a proteasome inhibitor and immunomodulatory agent; </w:t>
            </w:r>
          </w:p>
        </w:tc>
      </w:tr>
      <w:tr w:rsidR="001F2565" w:rsidRPr="00980D3E" w:rsidTr="001F2565">
        <w:trPr>
          <w:trHeight w:val="3404"/>
        </w:trPr>
        <w:tc>
          <w:tcPr>
            <w:tcW w:w="841" w:type="pct"/>
          </w:tcPr>
          <w:p w:rsidR="001F2565" w:rsidRPr="00980D3E" w:rsidRDefault="001F2565" w:rsidP="00E876F5">
            <w:pPr>
              <w:keepLines/>
              <w:jc w:val="left"/>
              <w:rPr>
                <w:rFonts w:ascii="Arial Narrow" w:hAnsi="Arial Narrow" w:cs="Open Sans"/>
                <w:b/>
                <w:sz w:val="20"/>
                <w:szCs w:val="20"/>
              </w:rPr>
            </w:pPr>
            <w:r w:rsidRPr="00980D3E">
              <w:rPr>
                <w:rFonts w:ascii="Arial Narrow" w:hAnsi="Arial Narrow" w:cs="Open Sans"/>
                <w:b/>
                <w:sz w:val="20"/>
                <w:szCs w:val="20"/>
              </w:rPr>
              <w:lastRenderedPageBreak/>
              <w:t>Administrative advice:</w:t>
            </w:r>
          </w:p>
        </w:tc>
        <w:tc>
          <w:tcPr>
            <w:tcW w:w="4159" w:type="pct"/>
          </w:tcPr>
          <w:p w:rsidR="001F2565" w:rsidRPr="00980D3E" w:rsidRDefault="001F2565" w:rsidP="00E876F5">
            <w:pPr>
              <w:keepLines/>
              <w:jc w:val="left"/>
              <w:rPr>
                <w:rFonts w:ascii="Arial Narrow" w:hAnsi="Arial Narrow" w:cs="Open Sans"/>
                <w:bCs/>
                <w:sz w:val="20"/>
                <w:szCs w:val="20"/>
              </w:rPr>
            </w:pPr>
            <w:r w:rsidRPr="00980D3E">
              <w:rPr>
                <w:rFonts w:ascii="Arial Narrow" w:hAnsi="Arial Narrow" w:cs="Open Sans"/>
                <w:bCs/>
                <w:strike/>
                <w:sz w:val="20"/>
                <w:szCs w:val="20"/>
              </w:rPr>
              <w:t>Authority applications may be made by telephone to the Department of Human Services on 1800 700 270 (hours of operation 8 a.m. to 5 p.m. EST Monday to Friday).</w:t>
            </w:r>
          </w:p>
          <w:p w:rsidR="001F2565" w:rsidRPr="00980D3E" w:rsidRDefault="001F2565" w:rsidP="00E876F5">
            <w:pPr>
              <w:keepLines/>
              <w:jc w:val="left"/>
              <w:rPr>
                <w:rFonts w:ascii="Arial Narrow" w:hAnsi="Arial Narrow" w:cs="Open Sans"/>
                <w:i/>
                <w:sz w:val="20"/>
                <w:szCs w:val="20"/>
              </w:rPr>
            </w:pPr>
            <w:r w:rsidRPr="00980D3E">
              <w:rPr>
                <w:rFonts w:ascii="Arial Narrow" w:hAnsi="Arial Narrow" w:cs="Open Sans"/>
                <w:i/>
                <w:sz w:val="20"/>
                <w:szCs w:val="20"/>
              </w:rPr>
              <w:t xml:space="preserve">Any queries concerning the arrangements to prescribe may be directed to the Department of Human Services on 1800 700 270 (hours of operation 8 a.m. to 5 p.m. EST Monday to Friday). </w:t>
            </w:r>
          </w:p>
          <w:p w:rsidR="001F2565" w:rsidRPr="00980D3E" w:rsidRDefault="001F2565" w:rsidP="00E876F5">
            <w:pPr>
              <w:keepLines/>
              <w:jc w:val="left"/>
              <w:rPr>
                <w:rFonts w:ascii="Arial Narrow" w:hAnsi="Arial Narrow" w:cs="Open Sans"/>
                <w:i/>
                <w:sz w:val="20"/>
                <w:szCs w:val="20"/>
              </w:rPr>
            </w:pPr>
          </w:p>
          <w:p w:rsidR="001F2565" w:rsidRPr="00980D3E" w:rsidRDefault="001F2565" w:rsidP="00E876F5">
            <w:pPr>
              <w:keepLines/>
              <w:jc w:val="left"/>
              <w:rPr>
                <w:rFonts w:ascii="Arial Narrow" w:hAnsi="Arial Narrow" w:cs="Open Sans"/>
                <w:i/>
                <w:sz w:val="20"/>
                <w:szCs w:val="20"/>
              </w:rPr>
            </w:pPr>
            <w:r w:rsidRPr="00980D3E">
              <w:rPr>
                <w:rFonts w:ascii="Arial Narrow" w:hAnsi="Arial Narrow" w:cs="Open Sans"/>
                <w:i/>
                <w:sz w:val="20"/>
                <w:szCs w:val="20"/>
              </w:rPr>
              <w:t xml:space="preserve">Prescribing information (including Authority Application forms and other relevant documentation as applicable) is available on the Department of Human Services website at </w:t>
            </w:r>
            <w:r w:rsidRPr="00980D3E">
              <w:rPr>
                <w:rFonts w:ascii="Arial Narrow" w:hAnsi="Arial Narrow" w:cs="Open Sans"/>
                <w:i/>
                <w:sz w:val="20"/>
                <w:szCs w:val="20"/>
                <w:u w:val="single"/>
              </w:rPr>
              <w:t>www.humanservices.gov.au</w:t>
            </w:r>
          </w:p>
          <w:p w:rsidR="001F2565" w:rsidRPr="00980D3E" w:rsidRDefault="001F2565" w:rsidP="00E876F5">
            <w:pPr>
              <w:keepLines/>
              <w:jc w:val="left"/>
              <w:rPr>
                <w:rFonts w:ascii="Arial Narrow" w:hAnsi="Arial Narrow" w:cs="Open Sans"/>
                <w:i/>
                <w:sz w:val="20"/>
                <w:szCs w:val="20"/>
              </w:rPr>
            </w:pPr>
          </w:p>
          <w:p w:rsidR="001F2565" w:rsidRPr="00980D3E" w:rsidRDefault="001F2565" w:rsidP="00E876F5">
            <w:pPr>
              <w:keepLines/>
              <w:jc w:val="left"/>
              <w:rPr>
                <w:rFonts w:ascii="Arial Narrow" w:hAnsi="Arial Narrow" w:cs="Open Sans"/>
                <w:i/>
                <w:sz w:val="20"/>
                <w:szCs w:val="20"/>
              </w:rPr>
            </w:pPr>
            <w:r w:rsidRPr="00980D3E">
              <w:rPr>
                <w:rFonts w:ascii="Arial Narrow" w:hAnsi="Arial Narrow" w:cs="Open Sans"/>
                <w:i/>
                <w:sz w:val="20"/>
                <w:szCs w:val="20"/>
              </w:rPr>
              <w:t>Applications for authority to prescribe should be forwarded to:</w:t>
            </w:r>
          </w:p>
          <w:p w:rsidR="001F2565" w:rsidRPr="00980D3E" w:rsidRDefault="001F2565" w:rsidP="00E876F5">
            <w:pPr>
              <w:keepLines/>
              <w:jc w:val="left"/>
              <w:rPr>
                <w:rFonts w:ascii="Arial Narrow" w:hAnsi="Arial Narrow" w:cs="Open Sans"/>
                <w:i/>
                <w:sz w:val="20"/>
                <w:szCs w:val="20"/>
              </w:rPr>
            </w:pPr>
            <w:r w:rsidRPr="00980D3E">
              <w:rPr>
                <w:rFonts w:ascii="Arial Narrow" w:hAnsi="Arial Narrow" w:cs="Open Sans"/>
                <w:i/>
                <w:sz w:val="20"/>
                <w:szCs w:val="20"/>
              </w:rPr>
              <w:t xml:space="preserve">Department of Human Services </w:t>
            </w:r>
          </w:p>
          <w:p w:rsidR="001F2565" w:rsidRPr="00980D3E" w:rsidRDefault="001F2565" w:rsidP="00E876F5">
            <w:pPr>
              <w:keepLines/>
              <w:jc w:val="left"/>
              <w:rPr>
                <w:rFonts w:ascii="Arial Narrow" w:hAnsi="Arial Narrow" w:cs="Open Sans"/>
                <w:i/>
                <w:sz w:val="20"/>
                <w:szCs w:val="20"/>
              </w:rPr>
            </w:pPr>
            <w:r w:rsidRPr="00980D3E">
              <w:rPr>
                <w:rFonts w:ascii="Arial Narrow" w:hAnsi="Arial Narrow" w:cs="Open Sans"/>
                <w:i/>
                <w:sz w:val="20"/>
                <w:szCs w:val="20"/>
              </w:rPr>
              <w:t>Prior Written Approval of Complex Drugs</w:t>
            </w:r>
          </w:p>
          <w:p w:rsidR="001F2565" w:rsidRPr="00980D3E" w:rsidRDefault="001F2565" w:rsidP="00E876F5">
            <w:pPr>
              <w:keepLines/>
              <w:jc w:val="left"/>
              <w:rPr>
                <w:rFonts w:ascii="Arial Narrow" w:hAnsi="Arial Narrow" w:cs="Open Sans"/>
                <w:i/>
                <w:sz w:val="20"/>
                <w:szCs w:val="20"/>
              </w:rPr>
            </w:pPr>
            <w:r w:rsidRPr="00980D3E">
              <w:rPr>
                <w:rFonts w:ascii="Arial Narrow" w:hAnsi="Arial Narrow" w:cs="Open Sans"/>
                <w:i/>
                <w:sz w:val="20"/>
                <w:szCs w:val="20"/>
              </w:rPr>
              <w:t>Reply Paid 9826</w:t>
            </w:r>
          </w:p>
          <w:p w:rsidR="001F2565" w:rsidRPr="00980D3E" w:rsidRDefault="001F2565" w:rsidP="00E876F5">
            <w:pPr>
              <w:keepLines/>
              <w:jc w:val="left"/>
              <w:rPr>
                <w:rFonts w:ascii="Arial Narrow" w:hAnsi="Arial Narrow" w:cs="Open Sans"/>
                <w:i/>
                <w:sz w:val="20"/>
                <w:szCs w:val="20"/>
              </w:rPr>
            </w:pPr>
            <w:r w:rsidRPr="00980D3E">
              <w:rPr>
                <w:rFonts w:ascii="Arial Narrow" w:hAnsi="Arial Narrow" w:cs="Open Sans"/>
                <w:i/>
                <w:sz w:val="20"/>
                <w:szCs w:val="20"/>
              </w:rPr>
              <w:t>HOBART TAS 7001</w:t>
            </w:r>
          </w:p>
          <w:p w:rsidR="001F2565" w:rsidRPr="00980D3E" w:rsidRDefault="001F2565" w:rsidP="00E876F5">
            <w:pPr>
              <w:keepLines/>
              <w:jc w:val="left"/>
              <w:rPr>
                <w:rFonts w:ascii="Arial Narrow" w:hAnsi="Arial Narrow" w:cs="Open Sans"/>
                <w:sz w:val="20"/>
                <w:szCs w:val="20"/>
              </w:rPr>
            </w:pPr>
          </w:p>
          <w:p w:rsidR="001F2565" w:rsidRPr="00980D3E" w:rsidRDefault="001F2565" w:rsidP="00E876F5">
            <w:pPr>
              <w:keepLines/>
              <w:jc w:val="left"/>
              <w:rPr>
                <w:rFonts w:ascii="Arial Narrow" w:hAnsi="Arial Narrow" w:cs="Open Sans"/>
                <w:bCs/>
                <w:sz w:val="20"/>
                <w:szCs w:val="20"/>
              </w:rPr>
            </w:pPr>
            <w:r w:rsidRPr="00980D3E">
              <w:rPr>
                <w:rFonts w:ascii="Arial Narrow" w:hAnsi="Arial Narrow" w:cs="Open Sans"/>
                <w:i/>
                <w:sz w:val="20"/>
                <w:szCs w:val="20"/>
              </w:rPr>
              <w:t>Special Pricing Arrangements apply.</w:t>
            </w:r>
          </w:p>
        </w:tc>
      </w:tr>
    </w:tbl>
    <w:p w:rsidR="00AC2E0F" w:rsidRPr="00980D3E" w:rsidRDefault="00AC2E0F" w:rsidP="00AC2E0F">
      <w:pPr>
        <w:spacing w:after="160" w:line="259" w:lineRule="auto"/>
        <w:jc w:val="left"/>
        <w:rPr>
          <w:rFonts w:ascii="Times New Roman" w:eastAsiaTheme="minorHAnsi" w:hAnsi="Times New Roman" w:cs="Times New Roma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17"/>
        <w:gridCol w:w="7500"/>
      </w:tblGrid>
      <w:tr w:rsidR="00AC2E0F" w:rsidRPr="00980D3E" w:rsidTr="001F2565">
        <w:tc>
          <w:tcPr>
            <w:tcW w:w="841" w:type="pct"/>
            <w:tcBorders>
              <w:top w:val="single" w:sz="4" w:space="0" w:color="auto"/>
              <w:left w:val="single" w:sz="4" w:space="0" w:color="auto"/>
              <w:bottom w:val="single" w:sz="4" w:space="0" w:color="auto"/>
              <w:right w:val="single" w:sz="4" w:space="0" w:color="auto"/>
            </w:tcBorders>
          </w:tcPr>
          <w:p w:rsidR="00AC2E0F" w:rsidRPr="00980D3E" w:rsidRDefault="001F2565" w:rsidP="001F2565">
            <w:pPr>
              <w:jc w:val="left"/>
              <w:rPr>
                <w:rFonts w:ascii="Arial Narrow" w:eastAsiaTheme="minorHAnsi" w:hAnsi="Arial Narrow"/>
                <w:b/>
                <w:sz w:val="20"/>
                <w:szCs w:val="20"/>
                <w:lang w:eastAsia="en-US"/>
              </w:rPr>
            </w:pPr>
            <w:r w:rsidRPr="00980D3E">
              <w:rPr>
                <w:rFonts w:ascii="Arial Narrow" w:eastAsiaTheme="minorHAnsi" w:hAnsi="Arial Narrow"/>
                <w:b/>
                <w:sz w:val="20"/>
                <w:szCs w:val="20"/>
                <w:lang w:eastAsia="en-US"/>
              </w:rPr>
              <w:t>Category/Program:</w:t>
            </w:r>
          </w:p>
        </w:tc>
        <w:tc>
          <w:tcPr>
            <w:tcW w:w="4159" w:type="pct"/>
            <w:tcBorders>
              <w:top w:val="single" w:sz="4" w:space="0" w:color="auto"/>
              <w:left w:val="single" w:sz="4" w:space="0" w:color="auto"/>
              <w:bottom w:val="single" w:sz="4" w:space="0" w:color="auto"/>
              <w:right w:val="single" w:sz="4" w:space="0" w:color="auto"/>
            </w:tcBorders>
          </w:tcPr>
          <w:p w:rsidR="00AC2E0F" w:rsidRPr="00980D3E" w:rsidRDefault="00AC2E0F" w:rsidP="001F2565">
            <w:pPr>
              <w:jc w:val="left"/>
              <w:rPr>
                <w:rFonts w:ascii="Arial Narrow" w:eastAsiaTheme="minorHAnsi" w:hAnsi="Arial Narrow"/>
                <w:sz w:val="20"/>
                <w:szCs w:val="20"/>
                <w:lang w:eastAsia="en-US"/>
              </w:rPr>
            </w:pPr>
            <w:r w:rsidRPr="00980D3E">
              <w:rPr>
                <w:rFonts w:ascii="Arial Narrow" w:eastAsiaTheme="minorHAnsi" w:hAnsi="Arial Narrow"/>
                <w:sz w:val="20"/>
                <w:szCs w:val="20"/>
                <w:lang w:eastAsia="en-US"/>
              </w:rPr>
              <w:t>Section 100 – Efficient Funding of Chemotherapy (Public/Private hospital code)</w:t>
            </w:r>
          </w:p>
        </w:tc>
      </w:tr>
      <w:tr w:rsidR="00AC2E0F" w:rsidRPr="00980D3E" w:rsidTr="001F2565">
        <w:tc>
          <w:tcPr>
            <w:tcW w:w="841" w:type="pct"/>
            <w:tcBorders>
              <w:top w:val="single" w:sz="4" w:space="0" w:color="auto"/>
              <w:left w:val="single" w:sz="4" w:space="0" w:color="auto"/>
              <w:bottom w:val="single" w:sz="4" w:space="0" w:color="auto"/>
              <w:right w:val="single" w:sz="4" w:space="0" w:color="auto"/>
            </w:tcBorders>
          </w:tcPr>
          <w:p w:rsidR="00AC2E0F" w:rsidRPr="00980D3E" w:rsidRDefault="001F2565" w:rsidP="001F2565">
            <w:pPr>
              <w:jc w:val="left"/>
              <w:rPr>
                <w:rFonts w:ascii="Arial Narrow" w:eastAsiaTheme="minorHAnsi" w:hAnsi="Arial Narrow"/>
                <w:b/>
                <w:sz w:val="20"/>
                <w:szCs w:val="20"/>
                <w:lang w:eastAsia="en-US"/>
              </w:rPr>
            </w:pPr>
            <w:r w:rsidRPr="00980D3E">
              <w:rPr>
                <w:rFonts w:ascii="Arial Narrow" w:eastAsiaTheme="minorHAnsi" w:hAnsi="Arial Narrow"/>
                <w:b/>
                <w:sz w:val="20"/>
                <w:szCs w:val="20"/>
                <w:lang w:eastAsia="en-US"/>
              </w:rPr>
              <w:t>Prescriber type:</w:t>
            </w:r>
          </w:p>
        </w:tc>
        <w:tc>
          <w:tcPr>
            <w:tcW w:w="4159" w:type="pct"/>
            <w:tcBorders>
              <w:top w:val="single" w:sz="4" w:space="0" w:color="auto"/>
              <w:left w:val="single" w:sz="4" w:space="0" w:color="auto"/>
              <w:bottom w:val="single" w:sz="4" w:space="0" w:color="auto"/>
              <w:right w:val="single" w:sz="4" w:space="0" w:color="auto"/>
            </w:tcBorders>
          </w:tcPr>
          <w:p w:rsidR="00AC2E0F" w:rsidRPr="00980D3E" w:rsidRDefault="00AC2E0F" w:rsidP="001F2565">
            <w:pPr>
              <w:jc w:val="left"/>
              <w:rPr>
                <w:rFonts w:ascii="Arial Narrow" w:eastAsiaTheme="minorHAnsi" w:hAnsi="Arial Narrow"/>
                <w:b/>
                <w:sz w:val="20"/>
                <w:szCs w:val="20"/>
                <w:lang w:eastAsia="en-US"/>
              </w:rPr>
            </w:pPr>
            <w:r w:rsidRPr="00980D3E">
              <w:rPr>
                <w:rFonts w:ascii="Arial Narrow" w:eastAsiaTheme="minorHAnsi" w:hAnsi="Arial Narrow"/>
                <w:sz w:val="20"/>
                <w:szCs w:val="20"/>
                <w:lang w:eastAsia="en-US"/>
              </w:rPr>
              <w:fldChar w:fldCharType="begin">
                <w:ffData>
                  <w:name w:val="Check1"/>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 xml:space="preserve">Dental  </w:t>
            </w:r>
            <w:r w:rsidRPr="00980D3E">
              <w:rPr>
                <w:rFonts w:ascii="Arial Narrow" w:eastAsiaTheme="minorHAnsi" w:hAnsi="Arial Narrow"/>
                <w:sz w:val="20"/>
                <w:szCs w:val="20"/>
                <w:lang w:eastAsia="en-US"/>
              </w:rPr>
              <w:fldChar w:fldCharType="begin">
                <w:ffData>
                  <w:name w:val=""/>
                  <w:enabled/>
                  <w:calcOnExit w:val="0"/>
                  <w:checkBox>
                    <w:sizeAuto/>
                    <w:default w:val="1"/>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Medical Practitioners</w:t>
            </w:r>
            <w:r w:rsidR="00A26ED5">
              <w:rPr>
                <w:rFonts w:ascii="Arial Narrow" w:eastAsiaTheme="minorHAnsi" w:hAnsi="Arial Narrow"/>
                <w:sz w:val="20"/>
                <w:szCs w:val="20"/>
                <w:lang w:eastAsia="en-US"/>
              </w:rPr>
              <w:t xml:space="preserve">  </w:t>
            </w:r>
            <w:r w:rsidRPr="00980D3E">
              <w:rPr>
                <w:rFonts w:ascii="Arial Narrow" w:eastAsiaTheme="minorHAnsi" w:hAnsi="Arial Narrow"/>
                <w:sz w:val="20"/>
                <w:szCs w:val="20"/>
                <w:lang w:eastAsia="en-US"/>
              </w:rPr>
              <w:t xml:space="preserve"> </w:t>
            </w:r>
            <w:r w:rsidRPr="00980D3E">
              <w:rPr>
                <w:rFonts w:ascii="Arial Narrow" w:eastAsiaTheme="minorHAnsi" w:hAnsi="Arial Narrow"/>
                <w:sz w:val="20"/>
                <w:szCs w:val="20"/>
                <w:lang w:eastAsia="en-US"/>
              </w:rPr>
              <w:fldChar w:fldCharType="begin">
                <w:ffData>
                  <w:name w:val="Check3"/>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Nurse practitioners</w:t>
            </w:r>
            <w:r w:rsidR="00A26ED5">
              <w:rPr>
                <w:rFonts w:ascii="Arial Narrow" w:eastAsiaTheme="minorHAnsi" w:hAnsi="Arial Narrow"/>
                <w:sz w:val="20"/>
                <w:szCs w:val="20"/>
                <w:lang w:eastAsia="en-US"/>
              </w:rPr>
              <w:t xml:space="preserve"> </w:t>
            </w:r>
            <w:r w:rsidRPr="00980D3E">
              <w:rPr>
                <w:rFonts w:ascii="Arial Narrow" w:eastAsiaTheme="minorHAnsi" w:hAnsi="Arial Narrow"/>
                <w:sz w:val="20"/>
                <w:szCs w:val="20"/>
                <w:lang w:eastAsia="en-US"/>
              </w:rPr>
              <w:t xml:space="preserve">  </w:t>
            </w:r>
            <w:r w:rsidRPr="00980D3E">
              <w:rPr>
                <w:rFonts w:ascii="Arial Narrow" w:eastAsiaTheme="minorHAnsi" w:hAnsi="Arial Narrow"/>
                <w:sz w:val="20"/>
                <w:szCs w:val="20"/>
                <w:lang w:eastAsia="en-US"/>
              </w:rPr>
              <w:fldChar w:fldCharType="begin">
                <w:ffData>
                  <w:name w:val=""/>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 xml:space="preserve">Optometrists   </w:t>
            </w:r>
            <w:r w:rsidRPr="00980D3E">
              <w:rPr>
                <w:rFonts w:ascii="Arial Narrow" w:eastAsiaTheme="minorHAnsi" w:hAnsi="Arial Narrow"/>
                <w:sz w:val="20"/>
                <w:szCs w:val="20"/>
                <w:lang w:eastAsia="en-US"/>
              </w:rPr>
              <w:fldChar w:fldCharType="begin">
                <w:ffData>
                  <w:name w:val="Check5"/>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Midwives</w:t>
            </w:r>
          </w:p>
        </w:tc>
      </w:tr>
      <w:tr w:rsidR="00AC2E0F" w:rsidRPr="00980D3E" w:rsidTr="001F2565">
        <w:tc>
          <w:tcPr>
            <w:tcW w:w="841" w:type="pct"/>
            <w:tcBorders>
              <w:top w:val="single" w:sz="4" w:space="0" w:color="auto"/>
              <w:left w:val="single" w:sz="4" w:space="0" w:color="auto"/>
              <w:bottom w:val="single" w:sz="4" w:space="0" w:color="auto"/>
              <w:right w:val="single" w:sz="4" w:space="0" w:color="auto"/>
            </w:tcBorders>
          </w:tcPr>
          <w:p w:rsidR="00AC2E0F" w:rsidRPr="00980D3E" w:rsidRDefault="001F2565" w:rsidP="001F2565">
            <w:pPr>
              <w:jc w:val="left"/>
              <w:rPr>
                <w:rFonts w:ascii="Arial Narrow" w:eastAsiaTheme="minorHAnsi" w:hAnsi="Arial Narrow"/>
                <w:b/>
                <w:sz w:val="20"/>
                <w:szCs w:val="20"/>
                <w:lang w:eastAsia="en-US"/>
              </w:rPr>
            </w:pPr>
            <w:r w:rsidRPr="00980D3E">
              <w:rPr>
                <w:rFonts w:ascii="Arial Narrow" w:eastAsiaTheme="minorHAnsi" w:hAnsi="Arial Narrow"/>
                <w:b/>
                <w:sz w:val="20"/>
                <w:szCs w:val="20"/>
                <w:lang w:eastAsia="en-US"/>
              </w:rPr>
              <w:t>Restriction level/Method:</w:t>
            </w:r>
          </w:p>
          <w:p w:rsidR="00AC2E0F" w:rsidRPr="00980D3E" w:rsidRDefault="00AC2E0F" w:rsidP="001F2565">
            <w:pPr>
              <w:jc w:val="left"/>
              <w:rPr>
                <w:rFonts w:ascii="Arial Narrow" w:eastAsiaTheme="minorHAnsi" w:hAnsi="Arial Narrow"/>
                <w:b/>
                <w:sz w:val="20"/>
                <w:szCs w:val="20"/>
                <w:lang w:eastAsia="en-US"/>
              </w:rPr>
            </w:pPr>
          </w:p>
          <w:p w:rsidR="00AC2E0F" w:rsidRPr="00980D3E" w:rsidRDefault="00AC2E0F" w:rsidP="001F2565">
            <w:pPr>
              <w:jc w:val="left"/>
              <w:rPr>
                <w:rFonts w:ascii="Arial Narrow" w:eastAsiaTheme="minorHAnsi" w:hAnsi="Arial Narrow"/>
                <w:b/>
                <w:sz w:val="20"/>
                <w:szCs w:val="20"/>
                <w:lang w:eastAsia="en-US"/>
              </w:rPr>
            </w:pPr>
          </w:p>
        </w:tc>
        <w:tc>
          <w:tcPr>
            <w:tcW w:w="4159" w:type="pct"/>
            <w:tcBorders>
              <w:top w:val="single" w:sz="4" w:space="0" w:color="auto"/>
              <w:left w:val="single" w:sz="4" w:space="0" w:color="auto"/>
              <w:bottom w:val="single" w:sz="4" w:space="0" w:color="auto"/>
              <w:right w:val="single" w:sz="4" w:space="0" w:color="auto"/>
            </w:tcBorders>
          </w:tcPr>
          <w:p w:rsidR="00AC2E0F" w:rsidRPr="00980D3E" w:rsidRDefault="00AC2E0F" w:rsidP="001F2565">
            <w:pPr>
              <w:jc w:val="left"/>
              <w:rPr>
                <w:rFonts w:ascii="Arial Narrow" w:eastAsiaTheme="minorHAnsi" w:hAnsi="Arial Narrow"/>
                <w:sz w:val="20"/>
                <w:szCs w:val="20"/>
                <w:lang w:eastAsia="en-US"/>
              </w:rPr>
            </w:pPr>
            <w:r w:rsidRPr="00980D3E">
              <w:rPr>
                <w:rFonts w:ascii="Arial Narrow" w:eastAsiaTheme="minorHAnsi" w:hAnsi="Arial Narrow"/>
                <w:sz w:val="20"/>
                <w:szCs w:val="20"/>
                <w:lang w:eastAsia="en-US"/>
              </w:rPr>
              <w:fldChar w:fldCharType="begin">
                <w:ffData>
                  <w:name w:val="Check1"/>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Unrestricted benefit</w:t>
            </w:r>
          </w:p>
          <w:p w:rsidR="00AC2E0F" w:rsidRPr="00980D3E" w:rsidRDefault="00AC2E0F" w:rsidP="001F2565">
            <w:pPr>
              <w:jc w:val="left"/>
              <w:rPr>
                <w:rFonts w:ascii="Arial Narrow" w:eastAsiaTheme="minorHAnsi" w:hAnsi="Arial Narrow"/>
                <w:sz w:val="20"/>
                <w:szCs w:val="20"/>
                <w:lang w:eastAsia="en-US"/>
              </w:rPr>
            </w:pPr>
            <w:r w:rsidRPr="00980D3E">
              <w:rPr>
                <w:rFonts w:ascii="Arial Narrow" w:eastAsiaTheme="minorHAnsi" w:hAnsi="Arial Narrow"/>
                <w:sz w:val="20"/>
                <w:szCs w:val="20"/>
                <w:lang w:eastAsia="en-US"/>
              </w:rPr>
              <w:fldChar w:fldCharType="begin">
                <w:ffData>
                  <w:name w:val="Check1"/>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Restricted benefit</w:t>
            </w:r>
          </w:p>
          <w:p w:rsidR="00AC2E0F" w:rsidRPr="00980D3E" w:rsidRDefault="00AC2E0F" w:rsidP="001F2565">
            <w:pPr>
              <w:jc w:val="left"/>
              <w:rPr>
                <w:rFonts w:ascii="Arial Narrow" w:eastAsiaTheme="minorHAnsi" w:hAnsi="Arial Narrow"/>
                <w:sz w:val="20"/>
                <w:szCs w:val="20"/>
                <w:lang w:eastAsia="en-US"/>
              </w:rPr>
            </w:pPr>
            <w:r w:rsidRPr="00980D3E">
              <w:rPr>
                <w:rFonts w:ascii="Arial Narrow" w:eastAsiaTheme="minorHAnsi" w:hAnsi="Arial Narrow"/>
                <w:sz w:val="20"/>
                <w:szCs w:val="20"/>
                <w:lang w:eastAsia="en-US"/>
              </w:rPr>
              <w:fldChar w:fldCharType="begin">
                <w:ffData>
                  <w:name w:val=""/>
                  <w:enabled/>
                  <w:calcOnExit w:val="0"/>
                  <w:checkBox>
                    <w:sizeAuto/>
                    <w:default w:val="1"/>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trike/>
                <w:sz w:val="20"/>
                <w:szCs w:val="20"/>
                <w:lang w:eastAsia="en-US"/>
              </w:rPr>
              <w:t>Authority Required – In Writing</w:t>
            </w:r>
          </w:p>
          <w:p w:rsidR="00AC2E0F" w:rsidRPr="00980D3E" w:rsidRDefault="00AC2E0F" w:rsidP="001F2565">
            <w:pPr>
              <w:jc w:val="left"/>
              <w:rPr>
                <w:rFonts w:ascii="Arial Narrow" w:eastAsiaTheme="minorHAnsi" w:hAnsi="Arial Narrow"/>
                <w:i/>
                <w:sz w:val="20"/>
                <w:szCs w:val="20"/>
                <w:lang w:eastAsia="en-US"/>
              </w:rPr>
            </w:pPr>
            <w:r w:rsidRPr="00980D3E">
              <w:rPr>
                <w:rFonts w:ascii="Arial Narrow" w:eastAsiaTheme="minorHAnsi" w:hAnsi="Arial Narrow"/>
                <w:i/>
                <w:sz w:val="20"/>
                <w:szCs w:val="20"/>
                <w:lang w:eastAsia="en-US"/>
              </w:rPr>
              <w:fldChar w:fldCharType="begin">
                <w:ffData>
                  <w:name w:val="Check3"/>
                  <w:enabled/>
                  <w:calcOnExit w:val="0"/>
                  <w:checkBox>
                    <w:sizeAuto/>
                    <w:default w:val="1"/>
                  </w:checkBox>
                </w:ffData>
              </w:fldChar>
            </w:r>
            <w:r w:rsidRPr="00980D3E">
              <w:rPr>
                <w:rFonts w:ascii="Arial Narrow" w:eastAsiaTheme="minorHAnsi" w:hAnsi="Arial Narrow"/>
                <w:i/>
                <w:sz w:val="20"/>
                <w:szCs w:val="20"/>
                <w:lang w:eastAsia="en-US"/>
              </w:rPr>
              <w:instrText xml:space="preserve"> FORMCHECKBOX </w:instrText>
            </w:r>
            <w:r w:rsidR="00A26ED5">
              <w:rPr>
                <w:rFonts w:ascii="Arial Narrow" w:eastAsiaTheme="minorHAnsi" w:hAnsi="Arial Narrow"/>
                <w:i/>
                <w:sz w:val="20"/>
                <w:szCs w:val="20"/>
                <w:lang w:eastAsia="en-US"/>
              </w:rPr>
            </w:r>
            <w:r w:rsidR="00A26ED5">
              <w:rPr>
                <w:rFonts w:ascii="Arial Narrow" w:eastAsiaTheme="minorHAnsi" w:hAnsi="Arial Narrow"/>
                <w:i/>
                <w:sz w:val="20"/>
                <w:szCs w:val="20"/>
                <w:lang w:eastAsia="en-US"/>
              </w:rPr>
              <w:fldChar w:fldCharType="separate"/>
            </w:r>
            <w:r w:rsidRPr="00980D3E">
              <w:rPr>
                <w:rFonts w:ascii="Arial Narrow" w:eastAsiaTheme="minorHAnsi" w:hAnsi="Arial Narrow"/>
                <w:i/>
                <w:sz w:val="20"/>
                <w:szCs w:val="20"/>
                <w:lang w:eastAsia="en-US"/>
              </w:rPr>
              <w:fldChar w:fldCharType="end"/>
            </w:r>
            <w:r w:rsidRPr="00980D3E">
              <w:rPr>
                <w:rFonts w:ascii="Arial Narrow" w:eastAsiaTheme="minorHAnsi" w:hAnsi="Arial Narrow"/>
                <w:i/>
                <w:sz w:val="20"/>
                <w:szCs w:val="20"/>
                <w:lang w:eastAsia="en-US"/>
              </w:rPr>
              <w:t>Authority Required – Telephone/Electronic/Emergency</w:t>
            </w:r>
          </w:p>
          <w:p w:rsidR="00AC2E0F" w:rsidRPr="00980D3E" w:rsidRDefault="00AC2E0F" w:rsidP="001F2565">
            <w:pPr>
              <w:jc w:val="left"/>
              <w:rPr>
                <w:rFonts w:ascii="Arial Narrow" w:eastAsiaTheme="minorHAnsi" w:hAnsi="Arial Narrow"/>
                <w:sz w:val="20"/>
                <w:szCs w:val="20"/>
                <w:lang w:eastAsia="en-US"/>
              </w:rPr>
            </w:pPr>
            <w:r w:rsidRPr="00980D3E">
              <w:rPr>
                <w:rFonts w:ascii="Arial Narrow" w:eastAsiaTheme="minorHAnsi" w:hAnsi="Arial Narrow"/>
                <w:sz w:val="20"/>
                <w:szCs w:val="20"/>
                <w:lang w:eastAsia="en-US"/>
              </w:rPr>
              <w:fldChar w:fldCharType="begin">
                <w:ffData>
                  <w:name w:val=""/>
                  <w:enabled/>
                  <w:calcOnExit w:val="0"/>
                  <w:checkBox>
                    <w:sizeAuto/>
                    <w:default w:val="0"/>
                  </w:checkBox>
                </w:ffData>
              </w:fldChar>
            </w:r>
            <w:r w:rsidRPr="00980D3E">
              <w:rPr>
                <w:rFonts w:ascii="Arial Narrow" w:eastAsiaTheme="minorHAnsi" w:hAnsi="Arial Narrow"/>
                <w:sz w:val="20"/>
                <w:szCs w:val="20"/>
                <w:lang w:eastAsia="en-US"/>
              </w:rPr>
              <w:instrText xml:space="preserve"> FORMCHECKBOX </w:instrText>
            </w:r>
            <w:r w:rsidR="00A26ED5">
              <w:rPr>
                <w:rFonts w:ascii="Arial Narrow" w:eastAsiaTheme="minorHAnsi" w:hAnsi="Arial Narrow"/>
                <w:sz w:val="20"/>
                <w:szCs w:val="20"/>
                <w:lang w:eastAsia="en-US"/>
              </w:rPr>
            </w:r>
            <w:r w:rsidR="00A26ED5">
              <w:rPr>
                <w:rFonts w:ascii="Arial Narrow" w:eastAsiaTheme="minorHAnsi" w:hAnsi="Arial Narrow"/>
                <w:sz w:val="20"/>
                <w:szCs w:val="20"/>
                <w:lang w:eastAsia="en-US"/>
              </w:rPr>
              <w:fldChar w:fldCharType="separate"/>
            </w:r>
            <w:r w:rsidRPr="00980D3E">
              <w:rPr>
                <w:rFonts w:ascii="Arial Narrow" w:eastAsiaTheme="minorHAnsi" w:hAnsi="Arial Narrow"/>
                <w:sz w:val="20"/>
                <w:szCs w:val="20"/>
                <w:lang w:eastAsia="en-US"/>
              </w:rPr>
              <w:fldChar w:fldCharType="end"/>
            </w:r>
            <w:r w:rsidRPr="00980D3E">
              <w:rPr>
                <w:rFonts w:ascii="Arial Narrow" w:eastAsiaTheme="minorHAnsi" w:hAnsi="Arial Narrow"/>
                <w:sz w:val="20"/>
                <w:szCs w:val="20"/>
                <w:lang w:eastAsia="en-US"/>
              </w:rPr>
              <w:t>Authority Required - Streamlined</w:t>
            </w:r>
          </w:p>
        </w:tc>
      </w:tr>
      <w:tr w:rsidR="00AC2E0F" w:rsidRPr="00980D3E" w:rsidTr="001F2565">
        <w:tc>
          <w:tcPr>
            <w:tcW w:w="841" w:type="pct"/>
            <w:hideMark/>
          </w:tcPr>
          <w:p w:rsidR="00AC2E0F" w:rsidRPr="00980D3E" w:rsidRDefault="001F2565" w:rsidP="001F2565">
            <w:pPr>
              <w:jc w:val="left"/>
              <w:rPr>
                <w:rFonts w:ascii="Arial Narrow" w:hAnsi="Arial Narrow" w:cs="Open Sans"/>
                <w:b/>
                <w:sz w:val="20"/>
                <w:szCs w:val="20"/>
              </w:rPr>
            </w:pPr>
            <w:r w:rsidRPr="00980D3E">
              <w:rPr>
                <w:rFonts w:ascii="Arial Narrow" w:hAnsi="Arial Narrow" w:cs="Open Sans"/>
                <w:b/>
                <w:sz w:val="20"/>
                <w:szCs w:val="20"/>
              </w:rPr>
              <w:t>Indication:</w:t>
            </w:r>
          </w:p>
        </w:tc>
        <w:tc>
          <w:tcPr>
            <w:tcW w:w="4159" w:type="pct"/>
            <w:hideMark/>
          </w:tcPr>
          <w:p w:rsidR="00AC2E0F" w:rsidRPr="00980D3E" w:rsidRDefault="00AC2E0F" w:rsidP="001F2565">
            <w:pPr>
              <w:jc w:val="left"/>
              <w:rPr>
                <w:rFonts w:ascii="Arial Narrow" w:hAnsi="Arial Narrow" w:cs="Open Sans"/>
                <w:b/>
                <w:bCs/>
                <w:sz w:val="20"/>
                <w:szCs w:val="20"/>
              </w:rPr>
            </w:pPr>
            <w:r w:rsidRPr="00980D3E">
              <w:rPr>
                <w:rFonts w:ascii="Arial Narrow" w:hAnsi="Arial Narrow" w:cs="Open Sans"/>
                <w:sz w:val="20"/>
                <w:szCs w:val="20"/>
              </w:rPr>
              <w:t>Multiple myeloma</w:t>
            </w:r>
          </w:p>
        </w:tc>
      </w:tr>
      <w:tr w:rsidR="00AC2E0F" w:rsidRPr="00980D3E" w:rsidTr="001F2565">
        <w:trPr>
          <w:trHeight w:val="251"/>
        </w:trPr>
        <w:tc>
          <w:tcPr>
            <w:tcW w:w="841" w:type="pct"/>
            <w:hideMark/>
          </w:tcPr>
          <w:p w:rsidR="00AC2E0F" w:rsidRPr="00980D3E" w:rsidRDefault="001F2565" w:rsidP="001F2565">
            <w:pPr>
              <w:jc w:val="left"/>
              <w:rPr>
                <w:rFonts w:ascii="Arial Narrow" w:hAnsi="Arial Narrow" w:cs="Open Sans"/>
                <w:b/>
                <w:sz w:val="20"/>
                <w:szCs w:val="20"/>
              </w:rPr>
            </w:pPr>
            <w:r w:rsidRPr="00980D3E">
              <w:rPr>
                <w:rFonts w:ascii="Arial Narrow" w:hAnsi="Arial Narrow" w:cs="Open Sans"/>
                <w:b/>
                <w:sz w:val="20"/>
                <w:szCs w:val="20"/>
              </w:rPr>
              <w:t>Treatment phase:</w:t>
            </w:r>
          </w:p>
        </w:tc>
        <w:tc>
          <w:tcPr>
            <w:tcW w:w="4159" w:type="pct"/>
            <w:hideMark/>
          </w:tcPr>
          <w:p w:rsidR="00E876F5" w:rsidRPr="00980D3E" w:rsidRDefault="00AC2E0F" w:rsidP="00E876F5">
            <w:pPr>
              <w:jc w:val="left"/>
              <w:rPr>
                <w:rFonts w:ascii="Arial Narrow" w:hAnsi="Arial Narrow" w:cs="Open Sans"/>
                <w:i/>
                <w:sz w:val="20"/>
                <w:szCs w:val="20"/>
              </w:rPr>
            </w:pPr>
            <w:r w:rsidRPr="00980D3E">
              <w:rPr>
                <w:rFonts w:ascii="Arial Narrow" w:hAnsi="Arial Narrow" w:cs="Open Sans"/>
                <w:sz w:val="20"/>
                <w:szCs w:val="20"/>
              </w:rPr>
              <w:t>Continuing treatment</w:t>
            </w:r>
            <w:r w:rsidRPr="00980D3E">
              <w:rPr>
                <w:rFonts w:ascii="Arial Narrow" w:hAnsi="Arial Narrow" w:cs="Open Sans"/>
                <w:i/>
                <w:sz w:val="20"/>
                <w:szCs w:val="20"/>
              </w:rPr>
              <w:t xml:space="preserve"> of relapsed and refractory multiple myeloma</w:t>
            </w:r>
          </w:p>
        </w:tc>
      </w:tr>
      <w:tr w:rsidR="001F2565" w:rsidRPr="00980D3E" w:rsidTr="00E876F5">
        <w:trPr>
          <w:trHeight w:val="2072"/>
        </w:trPr>
        <w:tc>
          <w:tcPr>
            <w:tcW w:w="841" w:type="pct"/>
            <w:hideMark/>
          </w:tcPr>
          <w:p w:rsidR="001F2565" w:rsidRPr="00980D3E" w:rsidRDefault="001F2565" w:rsidP="001F2565">
            <w:pPr>
              <w:jc w:val="left"/>
              <w:rPr>
                <w:rFonts w:ascii="Arial Narrow" w:hAnsi="Arial Narrow" w:cs="Open Sans"/>
                <w:b/>
                <w:sz w:val="20"/>
                <w:szCs w:val="20"/>
              </w:rPr>
            </w:pPr>
            <w:r w:rsidRPr="00980D3E">
              <w:rPr>
                <w:rFonts w:ascii="Arial Narrow" w:hAnsi="Arial Narrow" w:cs="Open Sans"/>
                <w:b/>
                <w:sz w:val="20"/>
                <w:szCs w:val="20"/>
              </w:rPr>
              <w:t>Clinical criteria:</w:t>
            </w:r>
          </w:p>
        </w:tc>
        <w:tc>
          <w:tcPr>
            <w:tcW w:w="4159" w:type="pct"/>
            <w:hideMark/>
          </w:tcPr>
          <w:p w:rsidR="001F2565" w:rsidRPr="00980D3E" w:rsidRDefault="001F2565" w:rsidP="001F2565">
            <w:pPr>
              <w:jc w:val="left"/>
              <w:rPr>
                <w:rFonts w:ascii="Arial Narrow" w:hAnsi="Arial Narrow" w:cs="Open Sans"/>
                <w:sz w:val="20"/>
                <w:szCs w:val="20"/>
              </w:rPr>
            </w:pPr>
            <w:r w:rsidRPr="00980D3E">
              <w:rPr>
                <w:rFonts w:ascii="Arial Narrow" w:hAnsi="Arial Narrow" w:cs="Open Sans"/>
                <w:sz w:val="20"/>
                <w:szCs w:val="20"/>
              </w:rPr>
              <w:t>Patient must have previously been issued with an authority prescription for this drug</w:t>
            </w:r>
          </w:p>
          <w:p w:rsidR="001F2565" w:rsidRPr="00980D3E" w:rsidRDefault="001F2565" w:rsidP="001F2565">
            <w:pPr>
              <w:jc w:val="left"/>
              <w:rPr>
                <w:rFonts w:ascii="Arial Narrow" w:hAnsi="Arial Narrow" w:cs="Open Sans"/>
                <w:sz w:val="20"/>
                <w:szCs w:val="20"/>
              </w:rPr>
            </w:pPr>
            <w:r w:rsidRPr="00980D3E">
              <w:rPr>
                <w:rFonts w:ascii="Arial Narrow" w:hAnsi="Arial Narrow" w:cs="Open Sans"/>
                <w:bCs/>
                <w:sz w:val="20"/>
                <w:szCs w:val="20"/>
              </w:rPr>
              <w:t>AND</w:t>
            </w:r>
          </w:p>
          <w:p w:rsidR="001F2565" w:rsidRPr="00980D3E" w:rsidRDefault="001F2565" w:rsidP="001F2565">
            <w:pPr>
              <w:jc w:val="left"/>
              <w:rPr>
                <w:rFonts w:ascii="Arial Narrow" w:hAnsi="Arial Narrow" w:cs="Open Sans"/>
                <w:strike/>
                <w:sz w:val="20"/>
                <w:szCs w:val="20"/>
              </w:rPr>
            </w:pPr>
            <w:r w:rsidRPr="00980D3E">
              <w:rPr>
                <w:rFonts w:ascii="Arial Narrow" w:hAnsi="Arial Narrow" w:cs="Open Sans"/>
                <w:strike/>
                <w:sz w:val="20"/>
                <w:szCs w:val="20"/>
              </w:rPr>
              <w:t>Patient must not have progressive disease</w:t>
            </w:r>
          </w:p>
          <w:p w:rsidR="001F2565" w:rsidRPr="00980D3E" w:rsidRDefault="001F2565" w:rsidP="001F2565">
            <w:pPr>
              <w:jc w:val="left"/>
              <w:rPr>
                <w:rFonts w:ascii="Arial Narrow" w:hAnsi="Arial Narrow" w:cs="Open Sans"/>
                <w:i/>
                <w:sz w:val="20"/>
                <w:szCs w:val="20"/>
              </w:rPr>
            </w:pPr>
            <w:r w:rsidRPr="00980D3E">
              <w:rPr>
                <w:rFonts w:ascii="Arial Narrow" w:hAnsi="Arial Narrow" w:cs="Open Sans"/>
                <w:i/>
                <w:sz w:val="20"/>
                <w:szCs w:val="20"/>
              </w:rPr>
              <w:t>Patient must not have progressive disease while receiving treatment with this drug</w:t>
            </w:r>
          </w:p>
          <w:p w:rsidR="001F2565" w:rsidRPr="00980D3E" w:rsidRDefault="001F2565" w:rsidP="001F2565">
            <w:pPr>
              <w:jc w:val="left"/>
              <w:rPr>
                <w:rFonts w:ascii="Arial Narrow" w:hAnsi="Arial Narrow" w:cs="Open Sans"/>
                <w:sz w:val="20"/>
                <w:szCs w:val="20"/>
              </w:rPr>
            </w:pPr>
            <w:r w:rsidRPr="00980D3E">
              <w:rPr>
                <w:rFonts w:ascii="Arial Narrow" w:hAnsi="Arial Narrow" w:cs="Open Sans"/>
                <w:bCs/>
                <w:sz w:val="20"/>
                <w:szCs w:val="20"/>
              </w:rPr>
              <w:t>AND</w:t>
            </w:r>
          </w:p>
          <w:p w:rsidR="001F2565" w:rsidRPr="00980D3E" w:rsidRDefault="001F2565" w:rsidP="001F2565">
            <w:pPr>
              <w:jc w:val="left"/>
              <w:rPr>
                <w:rFonts w:ascii="Arial Narrow" w:hAnsi="Arial Narrow" w:cs="Open Sans"/>
                <w:bCs/>
                <w:sz w:val="20"/>
                <w:szCs w:val="20"/>
              </w:rPr>
            </w:pPr>
            <w:r w:rsidRPr="00980D3E">
              <w:rPr>
                <w:rFonts w:ascii="Arial Narrow" w:hAnsi="Arial Narrow" w:cs="Open Sans"/>
                <w:bCs/>
                <w:sz w:val="20"/>
                <w:szCs w:val="20"/>
              </w:rPr>
              <w:t>The treatment must be in combination with dexamethasone</w:t>
            </w:r>
          </w:p>
          <w:p w:rsidR="001F2565" w:rsidRPr="00980D3E" w:rsidRDefault="001F2565" w:rsidP="001F2565">
            <w:pPr>
              <w:jc w:val="left"/>
              <w:rPr>
                <w:rFonts w:ascii="Arial Narrow" w:hAnsi="Arial Narrow" w:cs="Open Sans"/>
                <w:sz w:val="20"/>
                <w:szCs w:val="20"/>
              </w:rPr>
            </w:pPr>
            <w:r w:rsidRPr="00980D3E">
              <w:rPr>
                <w:rFonts w:ascii="Arial Narrow" w:hAnsi="Arial Narrow" w:cs="Open Sans"/>
                <w:bCs/>
                <w:sz w:val="20"/>
                <w:szCs w:val="20"/>
              </w:rPr>
              <w:t>AND</w:t>
            </w:r>
          </w:p>
          <w:p w:rsidR="001F2565" w:rsidRPr="00980D3E" w:rsidRDefault="001F2565" w:rsidP="001F2565">
            <w:pPr>
              <w:jc w:val="left"/>
              <w:rPr>
                <w:rFonts w:ascii="Arial Narrow" w:hAnsi="Arial Narrow" w:cs="Open Sans"/>
                <w:sz w:val="20"/>
                <w:szCs w:val="20"/>
              </w:rPr>
            </w:pPr>
            <w:r w:rsidRPr="00980D3E">
              <w:rPr>
                <w:rFonts w:ascii="Arial Narrow" w:hAnsi="Arial Narrow" w:cs="Open Sans"/>
                <w:sz w:val="20"/>
                <w:szCs w:val="20"/>
              </w:rPr>
              <w:t xml:space="preserve">Patient must not be receiving concomitant PBS-subsidised thalidomide, lenalidomide, pomalidomide, bortezomib or carfilzomib </w:t>
            </w:r>
            <w:r w:rsidRPr="00980D3E">
              <w:rPr>
                <w:rFonts w:ascii="Arial Narrow" w:hAnsi="Arial Narrow" w:cs="Open Sans"/>
                <w:i/>
                <w:sz w:val="20"/>
                <w:szCs w:val="20"/>
              </w:rPr>
              <w:t>(specify in alphabetical order)</w:t>
            </w:r>
          </w:p>
        </w:tc>
      </w:tr>
      <w:tr w:rsidR="001F2565" w:rsidRPr="00980D3E" w:rsidTr="001F2565">
        <w:trPr>
          <w:trHeight w:val="3836"/>
        </w:trPr>
        <w:tc>
          <w:tcPr>
            <w:tcW w:w="841" w:type="pct"/>
            <w:hideMark/>
          </w:tcPr>
          <w:p w:rsidR="001F2565" w:rsidRPr="00980D3E" w:rsidRDefault="001F2565" w:rsidP="001F2565">
            <w:pPr>
              <w:jc w:val="left"/>
              <w:rPr>
                <w:rFonts w:ascii="Arial Narrow" w:hAnsi="Arial Narrow" w:cs="Open Sans"/>
                <w:b/>
                <w:sz w:val="20"/>
                <w:szCs w:val="20"/>
              </w:rPr>
            </w:pPr>
            <w:r w:rsidRPr="00980D3E">
              <w:rPr>
                <w:rFonts w:ascii="Arial Narrow" w:hAnsi="Arial Narrow" w:cs="Open Sans"/>
                <w:b/>
                <w:sz w:val="20"/>
                <w:szCs w:val="20"/>
              </w:rPr>
              <w:t>Prescribing instructions:</w:t>
            </w:r>
          </w:p>
        </w:tc>
        <w:tc>
          <w:tcPr>
            <w:tcW w:w="4159" w:type="pct"/>
            <w:hideMark/>
          </w:tcPr>
          <w:p w:rsidR="001F2565" w:rsidRPr="00980D3E" w:rsidRDefault="001F2565" w:rsidP="001F2565">
            <w:pPr>
              <w:jc w:val="left"/>
              <w:rPr>
                <w:rFonts w:ascii="Arial Narrow" w:hAnsi="Arial Narrow" w:cs="Open Sans"/>
                <w:sz w:val="20"/>
                <w:szCs w:val="20"/>
              </w:rPr>
            </w:pPr>
            <w:r w:rsidRPr="00980D3E">
              <w:rPr>
                <w:rFonts w:ascii="Arial Narrow" w:hAnsi="Arial Narrow" w:cs="Open Sans"/>
                <w:sz w:val="20"/>
                <w:szCs w:val="20"/>
              </w:rPr>
              <w:t xml:space="preserve">Progressive disease is defined as at least 1 of the following: </w:t>
            </w:r>
          </w:p>
          <w:p w:rsidR="001F2565" w:rsidRPr="00980D3E" w:rsidRDefault="001F2565" w:rsidP="001F2565">
            <w:pPr>
              <w:jc w:val="left"/>
              <w:rPr>
                <w:rFonts w:ascii="Arial Narrow" w:hAnsi="Arial Narrow" w:cs="Open Sans"/>
                <w:sz w:val="20"/>
                <w:szCs w:val="20"/>
              </w:rPr>
            </w:pPr>
            <w:r w:rsidRPr="00980D3E">
              <w:rPr>
                <w:rFonts w:ascii="Arial Narrow" w:hAnsi="Arial Narrow" w:cs="Open Sans"/>
                <w:sz w:val="20"/>
                <w:szCs w:val="20"/>
              </w:rPr>
              <w:t xml:space="preserve">(a) at least a 25% increase and an absolute increase of at least 5 g per L in serum M protein (monoclonal protein); or </w:t>
            </w:r>
          </w:p>
          <w:p w:rsidR="001F2565" w:rsidRPr="00980D3E" w:rsidRDefault="001F2565" w:rsidP="001F2565">
            <w:pPr>
              <w:jc w:val="left"/>
              <w:rPr>
                <w:rFonts w:ascii="Arial Narrow" w:hAnsi="Arial Narrow" w:cs="Open Sans"/>
                <w:sz w:val="20"/>
                <w:szCs w:val="20"/>
              </w:rPr>
            </w:pPr>
            <w:r w:rsidRPr="00980D3E">
              <w:rPr>
                <w:rFonts w:ascii="Arial Narrow" w:hAnsi="Arial Narrow" w:cs="Open Sans"/>
                <w:sz w:val="20"/>
                <w:szCs w:val="20"/>
              </w:rPr>
              <w:t xml:space="preserve">(b) at least a 25% increase in 24-hour urinary light chain M protein excretion, and an absolute increase of at least 200 mg per 24 hours; or </w:t>
            </w:r>
          </w:p>
          <w:p w:rsidR="001F2565" w:rsidRPr="00980D3E" w:rsidRDefault="001F2565" w:rsidP="001F2565">
            <w:pPr>
              <w:jc w:val="left"/>
              <w:rPr>
                <w:rFonts w:ascii="Arial Narrow" w:hAnsi="Arial Narrow" w:cs="Open Sans"/>
                <w:sz w:val="20"/>
                <w:szCs w:val="20"/>
              </w:rPr>
            </w:pPr>
            <w:r w:rsidRPr="00980D3E">
              <w:rPr>
                <w:rFonts w:ascii="Arial Narrow" w:hAnsi="Arial Narrow" w:cs="Open Sans"/>
                <w:sz w:val="20"/>
                <w:szCs w:val="20"/>
              </w:rPr>
              <w:t xml:space="preserve">(c) in oligo-secretory and non-secretory myeloma patients only, at least a 50% increase of the difference between involved free light chain and uninvolved free light chain; or </w:t>
            </w:r>
          </w:p>
          <w:p w:rsidR="001F2565" w:rsidRPr="00980D3E" w:rsidRDefault="001F2565" w:rsidP="001F2565">
            <w:pPr>
              <w:jc w:val="left"/>
              <w:rPr>
                <w:rFonts w:ascii="Arial Narrow" w:hAnsi="Arial Narrow" w:cs="Open Sans"/>
                <w:sz w:val="20"/>
                <w:szCs w:val="20"/>
              </w:rPr>
            </w:pPr>
            <w:r w:rsidRPr="00980D3E">
              <w:rPr>
                <w:rFonts w:ascii="Arial Narrow" w:hAnsi="Arial Narrow" w:cs="Open Sans"/>
                <w:sz w:val="20"/>
                <w:szCs w:val="20"/>
              </w:rPr>
              <w:t xml:space="preserve">(d) at least a 25% relative increase and at least a 10% absolute increase in plasma cells in a bone marrow aspirate or on biopsy; or </w:t>
            </w:r>
          </w:p>
          <w:p w:rsidR="001F2565" w:rsidRPr="00980D3E" w:rsidRDefault="001F2565" w:rsidP="001F2565">
            <w:pPr>
              <w:jc w:val="left"/>
              <w:rPr>
                <w:rFonts w:ascii="Arial Narrow" w:hAnsi="Arial Narrow" w:cs="Open Sans"/>
                <w:sz w:val="20"/>
                <w:szCs w:val="20"/>
              </w:rPr>
            </w:pPr>
            <w:r w:rsidRPr="00980D3E">
              <w:rPr>
                <w:rFonts w:ascii="Arial Narrow" w:hAnsi="Arial Narrow" w:cs="Open Sans"/>
                <w:sz w:val="20"/>
                <w:szCs w:val="20"/>
              </w:rPr>
              <w:t xml:space="preserve">(e) an increase in the size or number of lytic bone lesions (not including compression fractures); or </w:t>
            </w:r>
          </w:p>
          <w:p w:rsidR="001F2565" w:rsidRPr="00980D3E" w:rsidRDefault="001F2565" w:rsidP="001F2565">
            <w:pPr>
              <w:jc w:val="left"/>
              <w:rPr>
                <w:rFonts w:ascii="Arial Narrow" w:hAnsi="Arial Narrow" w:cs="Open Sans"/>
                <w:sz w:val="20"/>
                <w:szCs w:val="20"/>
              </w:rPr>
            </w:pPr>
            <w:r w:rsidRPr="00980D3E">
              <w:rPr>
                <w:rFonts w:ascii="Arial Narrow" w:hAnsi="Arial Narrow" w:cs="Open Sans"/>
                <w:sz w:val="20"/>
                <w:szCs w:val="20"/>
              </w:rPr>
              <w:t xml:space="preserve">(f) at least a 25% increase in the size of an existing or the development of a new soft tissue plasmacytoma (determined by clinical examination or diagnostic imaging); or </w:t>
            </w:r>
          </w:p>
          <w:p w:rsidR="001F2565" w:rsidRPr="00980D3E" w:rsidRDefault="001F2565" w:rsidP="001F2565">
            <w:pPr>
              <w:jc w:val="left"/>
              <w:rPr>
                <w:rFonts w:ascii="Arial Narrow" w:hAnsi="Arial Narrow" w:cs="Open Sans"/>
                <w:sz w:val="20"/>
                <w:szCs w:val="20"/>
              </w:rPr>
            </w:pPr>
            <w:r w:rsidRPr="00980D3E">
              <w:rPr>
                <w:rFonts w:ascii="Arial Narrow" w:hAnsi="Arial Narrow" w:cs="Open Sans"/>
                <w:sz w:val="20"/>
                <w:szCs w:val="20"/>
              </w:rPr>
              <w:t>(g) development of hypercalcaemia (corrected serum calcium greater than 2.65 mmol per L not attributable to any other cause).</w:t>
            </w:r>
          </w:p>
          <w:p w:rsidR="001F2565" w:rsidRPr="00980D3E" w:rsidRDefault="001F2565" w:rsidP="001F2565">
            <w:pPr>
              <w:jc w:val="left"/>
              <w:rPr>
                <w:rFonts w:ascii="Arial Narrow" w:hAnsi="Arial Narrow" w:cs="Open Sans"/>
                <w:sz w:val="20"/>
                <w:szCs w:val="20"/>
              </w:rPr>
            </w:pPr>
          </w:p>
          <w:p w:rsidR="001F2565" w:rsidRPr="00980D3E" w:rsidRDefault="001F2565" w:rsidP="001F2565">
            <w:pPr>
              <w:jc w:val="left"/>
              <w:rPr>
                <w:rFonts w:ascii="Arial Narrow" w:hAnsi="Arial Narrow" w:cs="Open Sans"/>
                <w:sz w:val="20"/>
                <w:szCs w:val="20"/>
              </w:rPr>
            </w:pPr>
            <w:r w:rsidRPr="00980D3E">
              <w:rPr>
                <w:rFonts w:ascii="Arial Narrow" w:hAnsi="Arial Narrow" w:cs="Open Sans"/>
                <w:strike/>
                <w:sz w:val="20"/>
                <w:szCs w:val="20"/>
              </w:rPr>
              <w:t>Patients receiving this drug under the PBS listing must be registered in the i-access risk management program.</w:t>
            </w:r>
          </w:p>
        </w:tc>
      </w:tr>
      <w:tr w:rsidR="001F2565" w:rsidRPr="00980D3E" w:rsidTr="001F2565">
        <w:trPr>
          <w:trHeight w:val="840"/>
        </w:trPr>
        <w:tc>
          <w:tcPr>
            <w:tcW w:w="841" w:type="pct"/>
          </w:tcPr>
          <w:p w:rsidR="001F2565" w:rsidRPr="00980D3E" w:rsidRDefault="001F2565" w:rsidP="001F2565">
            <w:pPr>
              <w:jc w:val="left"/>
              <w:rPr>
                <w:rFonts w:ascii="Arial Narrow" w:hAnsi="Arial Narrow" w:cs="Open Sans"/>
                <w:b/>
                <w:sz w:val="20"/>
                <w:szCs w:val="20"/>
              </w:rPr>
            </w:pPr>
            <w:r w:rsidRPr="00980D3E">
              <w:rPr>
                <w:rFonts w:ascii="Arial Narrow" w:hAnsi="Arial Narrow" w:cs="Open Sans"/>
                <w:b/>
                <w:sz w:val="20"/>
                <w:szCs w:val="20"/>
              </w:rPr>
              <w:lastRenderedPageBreak/>
              <w:t>Administrative advice:</w:t>
            </w:r>
          </w:p>
        </w:tc>
        <w:tc>
          <w:tcPr>
            <w:tcW w:w="4159" w:type="pct"/>
          </w:tcPr>
          <w:p w:rsidR="001F2565" w:rsidRPr="00980D3E" w:rsidRDefault="001F2565" w:rsidP="001F2565">
            <w:pPr>
              <w:jc w:val="left"/>
              <w:rPr>
                <w:rFonts w:ascii="Arial Narrow" w:hAnsi="Arial Narrow" w:cs="Open Sans"/>
                <w:bCs/>
                <w:sz w:val="20"/>
                <w:szCs w:val="20"/>
              </w:rPr>
            </w:pPr>
            <w:r w:rsidRPr="00980D3E">
              <w:rPr>
                <w:rFonts w:ascii="Arial Narrow" w:hAnsi="Arial Narrow" w:cs="Open Sans"/>
                <w:bCs/>
                <w:sz w:val="20"/>
                <w:szCs w:val="20"/>
              </w:rPr>
              <w:t>Authority applications may be made by telephone to the Department of Human Services on 1800 700 270 (hours of operation 8 a.m. to 5 p.m. EST Monday to Friday).</w:t>
            </w:r>
          </w:p>
          <w:p w:rsidR="001F2565" w:rsidRPr="00980D3E" w:rsidRDefault="001F2565" w:rsidP="001F2565">
            <w:pPr>
              <w:jc w:val="left"/>
              <w:rPr>
                <w:rFonts w:ascii="Arial Narrow" w:hAnsi="Arial Narrow" w:cs="Open Sans"/>
                <w:bCs/>
                <w:sz w:val="20"/>
                <w:szCs w:val="20"/>
              </w:rPr>
            </w:pPr>
          </w:p>
          <w:p w:rsidR="001F2565" w:rsidRPr="00980D3E" w:rsidRDefault="001F2565" w:rsidP="001F2565">
            <w:pPr>
              <w:jc w:val="left"/>
              <w:rPr>
                <w:rFonts w:ascii="Arial Narrow" w:hAnsi="Arial Narrow" w:cs="Open Sans"/>
                <w:bCs/>
                <w:sz w:val="20"/>
                <w:szCs w:val="20"/>
              </w:rPr>
            </w:pPr>
            <w:r w:rsidRPr="00980D3E">
              <w:rPr>
                <w:rFonts w:ascii="Arial Narrow" w:hAnsi="Arial Narrow" w:cs="Open Sans"/>
                <w:i/>
                <w:sz w:val="20"/>
                <w:szCs w:val="20"/>
              </w:rPr>
              <w:t>Special Pricing Arrangements apply.</w:t>
            </w:r>
          </w:p>
        </w:tc>
      </w:tr>
    </w:tbl>
    <w:p w:rsidR="00560074" w:rsidRPr="00980D3E" w:rsidRDefault="00560074" w:rsidP="00D443C2">
      <w:pPr>
        <w:pStyle w:val="TableFigureFooter"/>
      </w:pPr>
      <w:r w:rsidRPr="00980D3E">
        <w:t>PBS = pharmaceutical benefits scheme; Rpts = repeats; TGA = therapeutic goods administration.</w:t>
      </w:r>
    </w:p>
    <w:p w:rsidR="00AC2E0F" w:rsidRPr="00980D3E" w:rsidRDefault="00AC2E0F" w:rsidP="00D443C2">
      <w:pPr>
        <w:pStyle w:val="TableFigureFooter"/>
        <w:rPr>
          <w:sz w:val="22"/>
        </w:rPr>
      </w:pPr>
    </w:p>
    <w:p w:rsidR="007B77E8" w:rsidRPr="00980D3E" w:rsidRDefault="007B77E8" w:rsidP="00FA23B9">
      <w:pPr>
        <w:pStyle w:val="3-BodyText"/>
        <w:rPr>
          <w:rFonts w:ascii="Calibri" w:hAnsi="Calibri"/>
          <w:szCs w:val="22"/>
        </w:rPr>
      </w:pPr>
      <w:r w:rsidRPr="00980D3E">
        <w:rPr>
          <w:rFonts w:ascii="Calibri" w:hAnsi="Calibri"/>
          <w:szCs w:val="22"/>
        </w:rPr>
        <w:t>The proposed restriction was unchanged from July 2019.</w:t>
      </w:r>
      <w:r w:rsidR="00E6492A" w:rsidRPr="00980D3E">
        <w:rPr>
          <w:rFonts w:ascii="Calibri" w:hAnsi="Calibri"/>
          <w:szCs w:val="22"/>
        </w:rPr>
        <w:t xml:space="preserve"> The PBAC noted that </w:t>
      </w:r>
      <w:r w:rsidR="00340A62" w:rsidRPr="00980D3E">
        <w:rPr>
          <w:rFonts w:ascii="Calibri" w:hAnsi="Calibri"/>
          <w:szCs w:val="22"/>
        </w:rPr>
        <w:t>the changes suggested by the Secretariat and the PBAC in July 2019 were not addressed in the resubmission.</w:t>
      </w:r>
    </w:p>
    <w:p w:rsidR="00FA23B9" w:rsidRPr="00980D3E" w:rsidRDefault="00FA23B9" w:rsidP="00FA23B9">
      <w:pPr>
        <w:pStyle w:val="3-BodyText"/>
        <w:rPr>
          <w:rFonts w:ascii="Calibri" w:hAnsi="Calibri"/>
          <w:color w:val="0066FF"/>
          <w:szCs w:val="22"/>
        </w:rPr>
      </w:pPr>
      <w:r w:rsidRPr="00980D3E">
        <w:t xml:space="preserve">The resubmission did not propose a </w:t>
      </w:r>
      <w:r w:rsidR="00764D90" w:rsidRPr="00980D3E">
        <w:t>S</w:t>
      </w:r>
      <w:r w:rsidRPr="00980D3E">
        <w:t xml:space="preserve">pecial </w:t>
      </w:r>
      <w:r w:rsidR="00764D90" w:rsidRPr="00980D3E">
        <w:t>P</w:t>
      </w:r>
      <w:r w:rsidRPr="00980D3E">
        <w:t xml:space="preserve">ricing </w:t>
      </w:r>
      <w:r w:rsidR="00764D90" w:rsidRPr="00980D3E">
        <w:t>A</w:t>
      </w:r>
      <w:r w:rsidRPr="00980D3E">
        <w:t xml:space="preserve">rrangement </w:t>
      </w:r>
      <w:r w:rsidR="00764D90" w:rsidRPr="00980D3E">
        <w:t>(SPA</w:t>
      </w:r>
      <w:r w:rsidR="00C41EA6" w:rsidRPr="00980D3E">
        <w:t>)</w:t>
      </w:r>
      <w:r w:rsidR="00764D90" w:rsidRPr="00980D3E">
        <w:t xml:space="preserve"> </w:t>
      </w:r>
      <w:r w:rsidRPr="00980D3E">
        <w:t xml:space="preserve">for plitidepsin but acknowledged that one may be required given that pomalidomide (the comparator in the third-line setting) is listed under a </w:t>
      </w:r>
      <w:r w:rsidR="00764D90" w:rsidRPr="00980D3E">
        <w:t>SPA</w:t>
      </w:r>
      <w:r w:rsidRPr="00980D3E">
        <w:t xml:space="preserve">. </w:t>
      </w:r>
    </w:p>
    <w:p w:rsidR="00FA23B9" w:rsidRPr="00980D3E" w:rsidRDefault="00FA23B9" w:rsidP="00FA23B9">
      <w:pPr>
        <w:pStyle w:val="3-BodyText"/>
        <w:rPr>
          <w:color w:val="0066FF"/>
        </w:rPr>
      </w:pPr>
      <w:r w:rsidRPr="00980D3E">
        <w:rPr>
          <w:rFonts w:eastAsiaTheme="minorHAnsi"/>
        </w:rPr>
        <w:t xml:space="preserve">The March 2020 resubmission proposed a published </w:t>
      </w:r>
      <w:r w:rsidR="00C243CD" w:rsidRPr="00980D3E">
        <w:rPr>
          <w:rFonts w:eastAsiaTheme="minorHAnsi"/>
        </w:rPr>
        <w:t>dispensed price for maximum amount (DPM</w:t>
      </w:r>
      <w:r w:rsidR="005F498C" w:rsidRPr="00980D3E">
        <w:rPr>
          <w:rFonts w:eastAsiaTheme="minorHAnsi"/>
        </w:rPr>
        <w:t>A</w:t>
      </w:r>
      <w:r w:rsidR="00C243CD" w:rsidRPr="00980D3E">
        <w:rPr>
          <w:rFonts w:eastAsiaTheme="minorHAnsi"/>
        </w:rPr>
        <w:t>)</w:t>
      </w:r>
      <w:r w:rsidRPr="00980D3E">
        <w:rPr>
          <w:rFonts w:eastAsiaTheme="minorHAnsi"/>
        </w:rPr>
        <w:t xml:space="preserve"> of $</w:t>
      </w:r>
      <w:r w:rsidR="00F11546">
        <w:rPr>
          <w:rFonts w:eastAsiaTheme="minorHAnsi"/>
          <w:noProof/>
          <w:color w:val="000000"/>
          <w:highlight w:val="black"/>
        </w:rPr>
        <w:t>''''''''''''''''''</w:t>
      </w:r>
      <w:r w:rsidRPr="00980D3E">
        <w:rPr>
          <w:rFonts w:eastAsiaTheme="minorHAnsi"/>
        </w:rPr>
        <w:t xml:space="preserve"> per 20 mg </w:t>
      </w:r>
      <w:r w:rsidR="00AB3798" w:rsidRPr="00980D3E">
        <w:rPr>
          <w:rFonts w:eastAsiaTheme="minorHAnsi"/>
        </w:rPr>
        <w:t>dose, which</w:t>
      </w:r>
      <w:r w:rsidR="004E2249" w:rsidRPr="00980D3E">
        <w:rPr>
          <w:rFonts w:eastAsiaTheme="minorHAnsi"/>
        </w:rPr>
        <w:t xml:space="preserve"> was </w:t>
      </w:r>
      <w:r w:rsidR="001C1C96" w:rsidRPr="00980D3E">
        <w:rPr>
          <w:rFonts w:eastAsiaTheme="minorHAnsi"/>
        </w:rPr>
        <w:t xml:space="preserve">a reduction of </w:t>
      </w:r>
      <w:r w:rsidR="00C84147" w:rsidRPr="00980D3E">
        <w:rPr>
          <w:rFonts w:eastAsiaTheme="minorHAnsi" w:cstheme="minorBidi"/>
        </w:rPr>
        <w:t xml:space="preserve">approximately </w:t>
      </w:r>
      <w:r w:rsidR="00F11546">
        <w:rPr>
          <w:rFonts w:eastAsiaTheme="minorHAnsi" w:cstheme="minorBidi"/>
          <w:noProof/>
          <w:color w:val="000000"/>
          <w:highlight w:val="black"/>
        </w:rPr>
        <w:t>'''</w:t>
      </w:r>
      <w:r w:rsidR="00C50CDB" w:rsidRPr="00980D3E">
        <w:rPr>
          <w:rFonts w:eastAsiaTheme="minorHAnsi"/>
        </w:rPr>
        <w:t>% from</w:t>
      </w:r>
      <w:r w:rsidRPr="00980D3E">
        <w:rPr>
          <w:rFonts w:eastAsiaTheme="minorHAnsi"/>
        </w:rPr>
        <w:t xml:space="preserve"> the previous price of $</w:t>
      </w:r>
      <w:r w:rsidR="00F11546">
        <w:rPr>
          <w:rFonts w:eastAsiaTheme="minorHAnsi"/>
          <w:noProof/>
          <w:color w:val="000000"/>
          <w:highlight w:val="black"/>
        </w:rPr>
        <w:t>'''''''''''''''''</w:t>
      </w:r>
      <w:r w:rsidRPr="00980D3E">
        <w:rPr>
          <w:rFonts w:eastAsiaTheme="minorHAnsi"/>
        </w:rPr>
        <w:t xml:space="preserve"> per 20 mg dose in</w:t>
      </w:r>
      <w:r w:rsidR="00A40F20" w:rsidRPr="00980D3E">
        <w:rPr>
          <w:rFonts w:eastAsiaTheme="minorHAnsi"/>
        </w:rPr>
        <w:t xml:space="preserve"> the</w:t>
      </w:r>
      <w:r w:rsidRPr="00980D3E">
        <w:rPr>
          <w:rFonts w:eastAsiaTheme="minorHAnsi"/>
        </w:rPr>
        <w:t xml:space="preserve"> July 2019 submission.</w:t>
      </w:r>
      <w:r w:rsidR="00C243CD" w:rsidRPr="00980D3E">
        <w:rPr>
          <w:rFonts w:eastAsiaTheme="minorHAnsi"/>
        </w:rPr>
        <w:t xml:space="preserve"> The proposed price</w:t>
      </w:r>
      <w:r w:rsidR="00B32AFF" w:rsidRPr="00980D3E">
        <w:rPr>
          <w:rFonts w:eastAsiaTheme="minorHAnsi"/>
        </w:rPr>
        <w:t xml:space="preserve"> of plitidepsin </w:t>
      </w:r>
      <w:r w:rsidR="00C243CD" w:rsidRPr="00980D3E">
        <w:rPr>
          <w:rFonts w:eastAsiaTheme="minorHAnsi"/>
        </w:rPr>
        <w:t xml:space="preserve">was weighted across the third (DPMA </w:t>
      </w:r>
      <w:r w:rsidR="005F498C" w:rsidRPr="00980D3E">
        <w:rPr>
          <w:rFonts w:eastAsiaTheme="minorHAnsi"/>
        </w:rPr>
        <w:t xml:space="preserve">= </w:t>
      </w:r>
      <w:r w:rsidR="00C243CD" w:rsidRPr="00980D3E">
        <w:rPr>
          <w:rFonts w:eastAsiaTheme="minorHAnsi"/>
        </w:rPr>
        <w:t>$</w:t>
      </w:r>
      <w:r w:rsidR="00F11546">
        <w:rPr>
          <w:rFonts w:eastAsiaTheme="minorHAnsi"/>
          <w:noProof/>
          <w:color w:val="000000"/>
          <w:highlight w:val="black"/>
        </w:rPr>
        <w:t>'''''''''''''''''</w:t>
      </w:r>
      <w:r w:rsidR="00B32AFF" w:rsidRPr="00980D3E">
        <w:rPr>
          <w:rFonts w:eastAsiaTheme="minorHAnsi"/>
        </w:rPr>
        <w:t>, 53%</w:t>
      </w:r>
      <w:r w:rsidR="00C243CD" w:rsidRPr="00980D3E">
        <w:rPr>
          <w:rFonts w:eastAsiaTheme="minorHAnsi"/>
        </w:rPr>
        <w:t>) and fourth</w:t>
      </w:r>
      <w:r w:rsidR="002C26E0" w:rsidRPr="00980D3E">
        <w:rPr>
          <w:rFonts w:eastAsiaTheme="minorHAnsi"/>
        </w:rPr>
        <w:t>-</w:t>
      </w:r>
      <w:r w:rsidR="00C243CD" w:rsidRPr="00980D3E">
        <w:rPr>
          <w:rFonts w:eastAsiaTheme="minorHAnsi"/>
        </w:rPr>
        <w:t>line setting</w:t>
      </w:r>
      <w:r w:rsidR="005F498C" w:rsidRPr="00980D3E">
        <w:rPr>
          <w:rFonts w:eastAsiaTheme="minorHAnsi"/>
        </w:rPr>
        <w:t>s</w:t>
      </w:r>
      <w:r w:rsidR="00C243CD" w:rsidRPr="00980D3E">
        <w:rPr>
          <w:rFonts w:eastAsiaTheme="minorHAnsi"/>
        </w:rPr>
        <w:t xml:space="preserve"> (DPM</w:t>
      </w:r>
      <w:r w:rsidR="005F498C" w:rsidRPr="00980D3E">
        <w:rPr>
          <w:rFonts w:eastAsiaTheme="minorHAnsi"/>
        </w:rPr>
        <w:t>A =</w:t>
      </w:r>
      <w:r w:rsidR="00C243CD" w:rsidRPr="00980D3E">
        <w:rPr>
          <w:rFonts w:eastAsiaTheme="minorHAnsi"/>
        </w:rPr>
        <w:t xml:space="preserve"> $</w:t>
      </w:r>
      <w:r w:rsidR="00F11546">
        <w:rPr>
          <w:rFonts w:eastAsiaTheme="minorHAnsi"/>
          <w:noProof/>
          <w:color w:val="000000"/>
          <w:highlight w:val="black"/>
        </w:rPr>
        <w:t>'''''''''''''''</w:t>
      </w:r>
      <w:r w:rsidR="00B32AFF" w:rsidRPr="00980D3E">
        <w:rPr>
          <w:rFonts w:eastAsiaTheme="minorHAnsi"/>
        </w:rPr>
        <w:t>, 47%</w:t>
      </w:r>
      <w:r w:rsidR="00C243CD" w:rsidRPr="00980D3E">
        <w:rPr>
          <w:rFonts w:eastAsiaTheme="minorHAnsi"/>
        </w:rPr>
        <w:t>)</w:t>
      </w:r>
      <w:r w:rsidR="00B32AFF" w:rsidRPr="00980D3E">
        <w:rPr>
          <w:rFonts w:eastAsiaTheme="minorHAnsi"/>
        </w:rPr>
        <w:t>.</w:t>
      </w:r>
      <w:r w:rsidR="00C243CD" w:rsidRPr="00980D3E">
        <w:rPr>
          <w:rFonts w:eastAsiaTheme="minorHAnsi"/>
        </w:rPr>
        <w:t xml:space="preserve"> </w:t>
      </w:r>
      <w:r w:rsidR="00B72512" w:rsidRPr="00980D3E">
        <w:rPr>
          <w:rFonts w:eastAsiaTheme="minorHAnsi"/>
        </w:rPr>
        <w:t xml:space="preserve">The weighting </w:t>
      </w:r>
      <w:r w:rsidR="007B6B48" w:rsidRPr="00980D3E">
        <w:rPr>
          <w:rFonts w:eastAsiaTheme="minorHAnsi"/>
        </w:rPr>
        <w:t xml:space="preserve">differed slightly from the estimated proportions of patients using third (56%) and fourth-line (44%) plitidepsin in the </w:t>
      </w:r>
      <w:r w:rsidR="003C73D2" w:rsidRPr="00980D3E">
        <w:rPr>
          <w:rFonts w:eastAsiaTheme="minorHAnsi"/>
        </w:rPr>
        <w:t>financial</w:t>
      </w:r>
      <w:r w:rsidR="007B6B48" w:rsidRPr="00980D3E">
        <w:rPr>
          <w:rFonts w:eastAsiaTheme="minorHAnsi"/>
        </w:rPr>
        <w:t xml:space="preserve"> estimates (excluding grandfathered patients). Using the weightings applied in the financial estimates resulted in a price of $</w:t>
      </w:r>
      <w:r w:rsidR="00F11546">
        <w:rPr>
          <w:rFonts w:eastAsiaTheme="minorHAnsi"/>
          <w:noProof/>
          <w:color w:val="000000"/>
          <w:highlight w:val="black"/>
        </w:rPr>
        <w:t>''''''''''''''''</w:t>
      </w:r>
      <w:r w:rsidR="00980D3E">
        <w:rPr>
          <w:rFonts w:eastAsiaTheme="minorHAnsi"/>
        </w:rPr>
        <w:t xml:space="preserve">. </w:t>
      </w:r>
    </w:p>
    <w:p w:rsidR="00506156" w:rsidRPr="00980D3E" w:rsidRDefault="00FA23B9" w:rsidP="00167A7E">
      <w:pPr>
        <w:pStyle w:val="3-BodyText"/>
      </w:pPr>
      <w:r w:rsidRPr="00980D3E">
        <w:t xml:space="preserve">The PBAC </w:t>
      </w:r>
      <w:r w:rsidR="0035240F" w:rsidRPr="00980D3E">
        <w:t xml:space="preserve">again </w:t>
      </w:r>
      <w:r w:rsidRPr="00980D3E">
        <w:t xml:space="preserve">considered </w:t>
      </w:r>
      <w:r w:rsidR="001D7366" w:rsidRPr="00980D3E">
        <w:t xml:space="preserve">that </w:t>
      </w:r>
      <w:r w:rsidRPr="00980D3E">
        <w:t xml:space="preserve">an Authority Required (telephone) restriction level was inappropriate and that </w:t>
      </w:r>
      <w:r w:rsidR="007B77E8" w:rsidRPr="00980D3E">
        <w:t>the</w:t>
      </w:r>
      <w:r w:rsidRPr="00980D3E">
        <w:t xml:space="preserve"> restriction level </w:t>
      </w:r>
      <w:r w:rsidR="007B77E8" w:rsidRPr="00980D3E">
        <w:t>for</w:t>
      </w:r>
      <w:r w:rsidR="00B979B3" w:rsidRPr="00980D3E">
        <w:t xml:space="preserve"> initial treatment with</w:t>
      </w:r>
      <w:r w:rsidR="007B77E8" w:rsidRPr="00980D3E">
        <w:t xml:space="preserve"> plitidepsin </w:t>
      </w:r>
      <w:r w:rsidRPr="00980D3E">
        <w:t>should be consistent with that of pomalidomide</w:t>
      </w:r>
      <w:r w:rsidR="005F498C" w:rsidRPr="00980D3E">
        <w:t xml:space="preserve">, which was </w:t>
      </w:r>
      <w:r w:rsidR="00C53C81" w:rsidRPr="00980D3E">
        <w:t>Authority Required</w:t>
      </w:r>
      <w:r w:rsidR="00E954FD" w:rsidRPr="00980D3E">
        <w:t xml:space="preserve"> </w:t>
      </w:r>
      <w:r w:rsidR="0035240F" w:rsidRPr="00980D3E">
        <w:t>(</w:t>
      </w:r>
      <w:r w:rsidR="00C53C81" w:rsidRPr="00980D3E">
        <w:t>written</w:t>
      </w:r>
      <w:r w:rsidR="0035240F" w:rsidRPr="00980D3E">
        <w:t>)</w:t>
      </w:r>
      <w:r w:rsidRPr="00980D3E">
        <w:t xml:space="preserve">. </w:t>
      </w:r>
    </w:p>
    <w:p w:rsidR="00FA23B9" w:rsidRPr="00980D3E" w:rsidRDefault="00FA23B9" w:rsidP="00167A7E">
      <w:pPr>
        <w:pStyle w:val="3-BodyText"/>
        <w:rPr>
          <w:i/>
        </w:rPr>
      </w:pPr>
      <w:r w:rsidRPr="00980D3E">
        <w:t xml:space="preserve">The proposed restriction was consistent with the use of plitidepsin in the ADMYRE trial (the main source of the evidence comparing plitidepsin + </w:t>
      </w:r>
      <w:r w:rsidR="00C50AE9" w:rsidRPr="00980D3E">
        <w:t>Dxm</w:t>
      </w:r>
      <w:r w:rsidRPr="00980D3E">
        <w:t xml:space="preserve"> with </w:t>
      </w:r>
      <w:r w:rsidR="00C50AE9" w:rsidRPr="00980D3E">
        <w:t>Dxm</w:t>
      </w:r>
      <w:r w:rsidRPr="00980D3E">
        <w:t xml:space="preserve"> monotherapy) and the TGA </w:t>
      </w:r>
      <w:r w:rsidR="001D7366" w:rsidRPr="00980D3E">
        <w:t xml:space="preserve">approved </w:t>
      </w:r>
      <w:r w:rsidRPr="00980D3E">
        <w:t>P</w:t>
      </w:r>
      <w:r w:rsidR="005F4366" w:rsidRPr="00980D3E">
        <w:t>roduct Information</w:t>
      </w:r>
      <w:r w:rsidRPr="00980D3E">
        <w:t>.</w:t>
      </w:r>
      <w:r w:rsidR="00C41EA6" w:rsidRPr="00980D3E">
        <w:t xml:space="preserve"> The proposed maximum amount </w:t>
      </w:r>
      <w:r w:rsidR="005638A7" w:rsidRPr="00980D3E">
        <w:t xml:space="preserve">of 20 mg </w:t>
      </w:r>
      <w:r w:rsidR="00C41EA6" w:rsidRPr="00980D3E">
        <w:t xml:space="preserve">assumed a body surface area (BSA) of </w:t>
      </w:r>
      <w:r w:rsidR="003E0B3D" w:rsidRPr="00980D3E">
        <w:t>2.0</w:t>
      </w:r>
      <w:r w:rsidR="00C41EA6" w:rsidRPr="00980D3E">
        <w:t>m</w:t>
      </w:r>
      <w:r w:rsidR="00C41EA6" w:rsidRPr="00980D3E">
        <w:rPr>
          <w:vertAlign w:val="superscript"/>
        </w:rPr>
        <w:t>2</w:t>
      </w:r>
      <w:r w:rsidR="00C41EA6" w:rsidRPr="00980D3E">
        <w:t xml:space="preserve"> (dose of 5 mg/m</w:t>
      </w:r>
      <w:r w:rsidR="00C41EA6" w:rsidRPr="00980D3E">
        <w:rPr>
          <w:vertAlign w:val="superscript"/>
        </w:rPr>
        <w:t>2</w:t>
      </w:r>
      <w:r w:rsidR="00C41EA6" w:rsidRPr="00980D3E">
        <w:t xml:space="preserve"> allows for two administrations </w:t>
      </w:r>
      <w:r w:rsidR="003E0B3D" w:rsidRPr="00980D3E">
        <w:t>per cycle at 10</w:t>
      </w:r>
      <w:r w:rsidR="00C41EA6" w:rsidRPr="00980D3E">
        <w:t xml:space="preserve"> mg per dose). At a BSA of 2.2 m</w:t>
      </w:r>
      <w:r w:rsidR="00C41EA6" w:rsidRPr="00980D3E">
        <w:rPr>
          <w:vertAlign w:val="superscript"/>
        </w:rPr>
        <w:t>2</w:t>
      </w:r>
      <w:r w:rsidR="00C41EA6" w:rsidRPr="00980D3E">
        <w:t>, a maximum amount of 22 mg would have been required. While this calculation may not have altered the proposed price (on a cost-minimisation basis), it has minor implications for the estimated financial impact. These could not be tested given the structure of the financial estimat</w:t>
      </w:r>
      <w:r w:rsidR="00506156" w:rsidRPr="00980D3E">
        <w:t>e</w:t>
      </w:r>
      <w:r w:rsidR="00C41EA6" w:rsidRPr="00980D3E">
        <w:t xml:space="preserve"> workbook provided.</w:t>
      </w:r>
    </w:p>
    <w:p w:rsidR="00675637" w:rsidRPr="00980D3E" w:rsidRDefault="00675637" w:rsidP="00675637">
      <w:pPr>
        <w:pStyle w:val="3-BodyText"/>
        <w:numPr>
          <w:ilvl w:val="0"/>
          <w:numId w:val="0"/>
        </w:numPr>
        <w:ind w:left="720"/>
        <w:rPr>
          <w:i/>
        </w:rPr>
      </w:pPr>
      <w:r w:rsidRPr="00980D3E">
        <w:rPr>
          <w:rFonts w:cstheme="minorHAnsi"/>
          <w:i/>
        </w:rPr>
        <w:t>For more detail on PBAC’s view, see section 7 PBAC outcome.</w:t>
      </w:r>
    </w:p>
    <w:p w:rsidR="00B50DB8" w:rsidRPr="00980D3E" w:rsidRDefault="00203181" w:rsidP="004E18E9">
      <w:pPr>
        <w:pStyle w:val="2-SectionHeading"/>
      </w:pPr>
      <w:bookmarkStart w:id="10" w:name="_Toc30490396"/>
      <w:r w:rsidRPr="00980D3E">
        <w:t xml:space="preserve">Population and </w:t>
      </w:r>
      <w:r w:rsidR="008E0D3C" w:rsidRPr="00980D3E">
        <w:t>d</w:t>
      </w:r>
      <w:r w:rsidRPr="00980D3E">
        <w:t>isease</w:t>
      </w:r>
      <w:bookmarkEnd w:id="10"/>
    </w:p>
    <w:p w:rsidR="00B4263B" w:rsidRPr="00980D3E" w:rsidRDefault="00B4263B" w:rsidP="00BB728E">
      <w:pPr>
        <w:pStyle w:val="3-BodyText"/>
        <w:rPr>
          <w:szCs w:val="22"/>
        </w:rPr>
      </w:pPr>
      <w:r w:rsidRPr="00980D3E">
        <w:t>Multiple myeloma</w:t>
      </w:r>
      <w:r w:rsidR="009E6811" w:rsidRPr="00980D3E">
        <w:t xml:space="preserve"> (MM)</w:t>
      </w:r>
      <w:r w:rsidRPr="00980D3E">
        <w:t xml:space="preserve"> arises due to malignant clonal plasma cell proliferation in the bone marrow microenvironment. The overall median survival is </w:t>
      </w:r>
      <w:r w:rsidR="005638A7" w:rsidRPr="00980D3E">
        <w:t xml:space="preserve">currently </w:t>
      </w:r>
      <w:r w:rsidR="000C385D" w:rsidRPr="00980D3E">
        <w:t>five to six</w:t>
      </w:r>
      <w:r w:rsidRPr="00980D3E">
        <w:t xml:space="preserve"> years from diagnosis of MM; however, outcomes vary largely by the influence of </w:t>
      </w:r>
      <w:r w:rsidRPr="00980D3E">
        <w:lastRenderedPageBreak/>
        <w:t>biological characteristics, such as cytogenetics and age. In the RRMM setting, MM becomes typically more aggressive with successive relapses.</w:t>
      </w:r>
    </w:p>
    <w:p w:rsidR="00B50DB8" w:rsidRPr="00980D3E" w:rsidRDefault="00B50DB8" w:rsidP="004E18E9">
      <w:pPr>
        <w:pStyle w:val="2-SectionHeading"/>
      </w:pPr>
      <w:bookmarkStart w:id="11" w:name="_Toc30490397"/>
      <w:r w:rsidRPr="00980D3E">
        <w:t>Comparator</w:t>
      </w:r>
      <w:bookmarkEnd w:id="11"/>
    </w:p>
    <w:p w:rsidR="00FA23B9" w:rsidRPr="00980D3E" w:rsidRDefault="007A1378" w:rsidP="00BB728E">
      <w:pPr>
        <w:pStyle w:val="3-BodyText"/>
      </w:pPr>
      <w:bookmarkStart w:id="12" w:name="_Hlk28620941"/>
      <w:r w:rsidRPr="00980D3E">
        <w:t>Unchanged from the previous submission, t</w:t>
      </w:r>
      <w:r w:rsidR="00FA23B9" w:rsidRPr="00980D3E">
        <w:t xml:space="preserve">he resubmission nominated two comparators for plitidepsin: pomalidomide with </w:t>
      </w:r>
      <w:r w:rsidR="00C50AE9" w:rsidRPr="00980D3E">
        <w:t>Dxm</w:t>
      </w:r>
      <w:r w:rsidR="00FA23B9" w:rsidRPr="00980D3E">
        <w:t xml:space="preserve"> (for patients with refractory/intolerant MM in the third-line setting) and </w:t>
      </w:r>
      <w:r w:rsidR="00C50AE9" w:rsidRPr="00980D3E">
        <w:t>Dxm</w:t>
      </w:r>
      <w:r w:rsidR="00FA23B9" w:rsidRPr="00980D3E">
        <w:t xml:space="preserve"> monotherapy (for patients with relapsed/refractory MM in the fourth-line setting).</w:t>
      </w:r>
      <w:r w:rsidR="00560B08" w:rsidRPr="00980D3E">
        <w:t xml:space="preserve"> The nominated comparators were</w:t>
      </w:r>
      <w:r w:rsidR="003B4E94" w:rsidRPr="00980D3E">
        <w:t xml:space="preserve"> considered</w:t>
      </w:r>
      <w:r w:rsidR="00560B08" w:rsidRPr="00980D3E">
        <w:t xml:space="preserve"> appropriate by the PBAC at the July 2019 meeting. The PBAC considered that plitidepsin was likely to displace, rather than replace, pomalidomide. For this reason, the PBAC considered that the comparison against </w:t>
      </w:r>
      <w:r w:rsidR="00C50AE9" w:rsidRPr="00980D3E">
        <w:t>Dxm</w:t>
      </w:r>
      <w:r w:rsidR="00560B08" w:rsidRPr="00980D3E">
        <w:t xml:space="preserve"> alone was the most relevant to determining the cost effectiveness of plitidepsin, while noting that the comparison with pomalidomide provided a useful reference point (</w:t>
      </w:r>
      <w:r w:rsidR="001D7366" w:rsidRPr="00980D3E">
        <w:t>p</w:t>
      </w:r>
      <w:r w:rsidR="00C03F2F" w:rsidRPr="00980D3E">
        <w:t xml:space="preserve">aragraph </w:t>
      </w:r>
      <w:r w:rsidR="00560B08" w:rsidRPr="00980D3E">
        <w:t>7.3, plitidepsin</w:t>
      </w:r>
      <w:r w:rsidR="00506156" w:rsidRPr="00980D3E">
        <w:t xml:space="preserve"> </w:t>
      </w:r>
      <w:r w:rsidR="00BB7829">
        <w:t>Public Summary Document (</w:t>
      </w:r>
      <w:r w:rsidR="00506156" w:rsidRPr="00980D3E">
        <w:t>PSD</w:t>
      </w:r>
      <w:r w:rsidR="00BB7829">
        <w:t>)</w:t>
      </w:r>
      <w:r w:rsidR="00560B08" w:rsidRPr="00980D3E">
        <w:t>, July 2019</w:t>
      </w:r>
      <w:r w:rsidR="000231C8" w:rsidRPr="00980D3E">
        <w:t xml:space="preserve"> PBAC meeting</w:t>
      </w:r>
      <w:r w:rsidR="00560B08" w:rsidRPr="00980D3E">
        <w:t>).</w:t>
      </w:r>
    </w:p>
    <w:p w:rsidR="00BC2862" w:rsidRPr="00980D3E" w:rsidRDefault="00BC2862" w:rsidP="00BC2862">
      <w:pPr>
        <w:pStyle w:val="3-BodyText"/>
        <w:numPr>
          <w:ilvl w:val="0"/>
          <w:numId w:val="0"/>
        </w:numPr>
        <w:ind w:left="720"/>
      </w:pPr>
      <w:r w:rsidRPr="00980D3E">
        <w:rPr>
          <w:rFonts w:cstheme="minorHAnsi"/>
          <w:i/>
        </w:rPr>
        <w:t>For more detail on PBAC’s view, see section 7 PBAC outcome.</w:t>
      </w:r>
    </w:p>
    <w:p w:rsidR="00223D5A" w:rsidRPr="00980D3E" w:rsidRDefault="00223D5A" w:rsidP="00223D5A">
      <w:pPr>
        <w:pStyle w:val="2-SectionHeading"/>
      </w:pPr>
      <w:bookmarkStart w:id="13" w:name="_Toc30490398"/>
      <w:bookmarkStart w:id="14" w:name="_Toc22897640"/>
      <w:bookmarkEnd w:id="12"/>
      <w:r w:rsidRPr="00980D3E">
        <w:t>Consideration of the evidence</w:t>
      </w:r>
      <w:bookmarkEnd w:id="13"/>
    </w:p>
    <w:p w:rsidR="001A6C81" w:rsidRPr="00980D3E" w:rsidRDefault="001A6C81" w:rsidP="00A16595">
      <w:pPr>
        <w:pStyle w:val="4-SubsectionHeading"/>
        <w:rPr>
          <w:snapToGrid w:val="0"/>
        </w:rPr>
      </w:pPr>
      <w:r w:rsidRPr="00980D3E">
        <w:rPr>
          <w:snapToGrid w:val="0"/>
        </w:rPr>
        <w:t>Sponsor hearing</w:t>
      </w:r>
    </w:p>
    <w:p w:rsidR="001A6C81" w:rsidRPr="00980D3E" w:rsidRDefault="001A6C81" w:rsidP="001A6C81">
      <w:pPr>
        <w:widowControl w:val="0"/>
        <w:numPr>
          <w:ilvl w:val="1"/>
          <w:numId w:val="1"/>
        </w:numPr>
        <w:spacing w:after="120"/>
        <w:ind w:left="720"/>
        <w:rPr>
          <w:rFonts w:asciiTheme="minorHAnsi" w:hAnsiTheme="minorHAnsi"/>
          <w:bCs/>
          <w:snapToGrid w:val="0"/>
        </w:rPr>
      </w:pPr>
      <w:r w:rsidRPr="00980D3E">
        <w:rPr>
          <w:rFonts w:asciiTheme="minorHAnsi" w:hAnsiTheme="minorHAnsi"/>
          <w:bCs/>
          <w:snapToGrid w:val="0"/>
        </w:rPr>
        <w:t>There was no hearing for this item.</w:t>
      </w:r>
    </w:p>
    <w:p w:rsidR="001A6C81" w:rsidRPr="00980D3E" w:rsidRDefault="001A6C81" w:rsidP="00A16595">
      <w:pPr>
        <w:pStyle w:val="4-SubsectionHeading"/>
        <w:rPr>
          <w:snapToGrid w:val="0"/>
        </w:rPr>
      </w:pPr>
      <w:r w:rsidRPr="00980D3E">
        <w:rPr>
          <w:snapToGrid w:val="0"/>
        </w:rPr>
        <w:t>Consumer comments</w:t>
      </w:r>
    </w:p>
    <w:p w:rsidR="00EE681B" w:rsidRPr="00980D3E" w:rsidRDefault="001A6C81" w:rsidP="001A6C81">
      <w:pPr>
        <w:widowControl w:val="0"/>
        <w:numPr>
          <w:ilvl w:val="1"/>
          <w:numId w:val="1"/>
        </w:numPr>
        <w:spacing w:after="120"/>
        <w:ind w:left="720"/>
        <w:rPr>
          <w:rFonts w:asciiTheme="minorHAnsi" w:hAnsiTheme="minorHAnsi"/>
          <w:bCs/>
          <w:snapToGrid w:val="0"/>
        </w:rPr>
      </w:pPr>
      <w:r w:rsidRPr="00980D3E">
        <w:rPr>
          <w:rFonts w:asciiTheme="minorHAnsi" w:hAnsiTheme="minorHAnsi"/>
          <w:bCs/>
          <w:snapToGrid w:val="0"/>
        </w:rPr>
        <w:t>The PBAC noted and welcomed the input from individuals (</w:t>
      </w:r>
      <w:r w:rsidR="00D23423" w:rsidRPr="00980D3E">
        <w:rPr>
          <w:rFonts w:asciiTheme="minorHAnsi" w:hAnsiTheme="minorHAnsi"/>
          <w:bCs/>
          <w:snapToGrid w:val="0"/>
        </w:rPr>
        <w:t>49</w:t>
      </w:r>
      <w:r w:rsidRPr="00980D3E">
        <w:rPr>
          <w:rFonts w:asciiTheme="minorHAnsi" w:hAnsiTheme="minorHAnsi"/>
          <w:bCs/>
          <w:snapToGrid w:val="0"/>
        </w:rPr>
        <w:t>), health care professionals (</w:t>
      </w:r>
      <w:r w:rsidR="00D23423" w:rsidRPr="00980D3E">
        <w:rPr>
          <w:rFonts w:asciiTheme="minorHAnsi" w:hAnsiTheme="minorHAnsi"/>
          <w:bCs/>
          <w:snapToGrid w:val="0"/>
        </w:rPr>
        <w:t>2</w:t>
      </w:r>
      <w:r w:rsidRPr="00980D3E">
        <w:rPr>
          <w:rFonts w:asciiTheme="minorHAnsi" w:hAnsiTheme="minorHAnsi"/>
          <w:bCs/>
          <w:snapToGrid w:val="0"/>
        </w:rPr>
        <w:t>) and organisations (</w:t>
      </w:r>
      <w:r w:rsidR="00EE681B" w:rsidRPr="00980D3E">
        <w:rPr>
          <w:rFonts w:asciiTheme="minorHAnsi" w:hAnsiTheme="minorHAnsi"/>
          <w:bCs/>
          <w:snapToGrid w:val="0"/>
        </w:rPr>
        <w:t>4</w:t>
      </w:r>
      <w:r w:rsidRPr="00980D3E">
        <w:rPr>
          <w:rFonts w:asciiTheme="minorHAnsi" w:hAnsiTheme="minorHAnsi"/>
          <w:bCs/>
          <w:snapToGrid w:val="0"/>
        </w:rPr>
        <w:t>) via the Consumer Comments facility on the PBS website</w:t>
      </w:r>
      <w:r w:rsidR="00980D3E">
        <w:rPr>
          <w:rFonts w:asciiTheme="minorHAnsi" w:hAnsiTheme="minorHAnsi"/>
          <w:bCs/>
          <w:snapToGrid w:val="0"/>
        </w:rPr>
        <w:t xml:space="preserve">. </w:t>
      </w:r>
      <w:r w:rsidR="00D23423" w:rsidRPr="00980D3E">
        <w:rPr>
          <w:rFonts w:cs="Calibri"/>
        </w:rPr>
        <w:t xml:space="preserve">The comments from the individuals described the desire for another treatment option to become available on the PBS </w:t>
      </w:r>
      <w:r w:rsidR="003A5C6C" w:rsidRPr="00980D3E">
        <w:rPr>
          <w:rFonts w:cs="Calibri"/>
        </w:rPr>
        <w:t>and concerns regarding toxicity and side effects</w:t>
      </w:r>
      <w:r w:rsidR="00D23423" w:rsidRPr="00980D3E">
        <w:rPr>
          <w:rFonts w:cs="Calibri"/>
        </w:rPr>
        <w:t>.</w:t>
      </w:r>
    </w:p>
    <w:p w:rsidR="0066285A" w:rsidRPr="00980D3E" w:rsidRDefault="001A6C81" w:rsidP="00423E77">
      <w:pPr>
        <w:widowControl w:val="0"/>
        <w:numPr>
          <w:ilvl w:val="1"/>
          <w:numId w:val="1"/>
        </w:numPr>
        <w:spacing w:after="120"/>
        <w:ind w:left="720"/>
        <w:rPr>
          <w:rFonts w:asciiTheme="minorHAnsi" w:hAnsiTheme="minorHAnsi"/>
          <w:bCs/>
          <w:snapToGrid w:val="0"/>
        </w:rPr>
      </w:pPr>
      <w:r w:rsidRPr="00980D3E">
        <w:rPr>
          <w:rFonts w:asciiTheme="minorHAnsi" w:hAnsiTheme="minorHAnsi"/>
          <w:bCs/>
          <w:snapToGrid w:val="0"/>
        </w:rPr>
        <w:t>The comments</w:t>
      </w:r>
      <w:r w:rsidR="00EE681B" w:rsidRPr="00980D3E">
        <w:rPr>
          <w:rFonts w:asciiTheme="minorHAnsi" w:hAnsiTheme="minorHAnsi"/>
          <w:bCs/>
          <w:snapToGrid w:val="0"/>
        </w:rPr>
        <w:t xml:space="preserve"> from</w:t>
      </w:r>
      <w:r w:rsidR="00D1668E" w:rsidRPr="00980D3E">
        <w:rPr>
          <w:rFonts w:asciiTheme="minorHAnsi" w:hAnsiTheme="minorHAnsi"/>
          <w:bCs/>
          <w:snapToGrid w:val="0"/>
        </w:rPr>
        <w:t xml:space="preserve"> </w:t>
      </w:r>
      <w:r w:rsidR="00D23423" w:rsidRPr="00980D3E">
        <w:rPr>
          <w:rFonts w:asciiTheme="minorHAnsi" w:hAnsiTheme="minorHAnsi"/>
          <w:bCs/>
          <w:snapToGrid w:val="0"/>
        </w:rPr>
        <w:t>the</w:t>
      </w:r>
      <w:r w:rsidR="00EE681B" w:rsidRPr="00980D3E">
        <w:rPr>
          <w:rFonts w:asciiTheme="minorHAnsi" w:hAnsiTheme="minorHAnsi"/>
          <w:bCs/>
          <w:snapToGrid w:val="0"/>
        </w:rPr>
        <w:t xml:space="preserve"> health care professional</w:t>
      </w:r>
      <w:r w:rsidR="00D23423" w:rsidRPr="00980D3E">
        <w:rPr>
          <w:rFonts w:asciiTheme="minorHAnsi" w:hAnsiTheme="minorHAnsi"/>
          <w:bCs/>
          <w:snapToGrid w:val="0"/>
        </w:rPr>
        <w:t>s</w:t>
      </w:r>
      <w:r w:rsidRPr="00980D3E">
        <w:rPr>
          <w:rFonts w:asciiTheme="minorHAnsi" w:hAnsiTheme="minorHAnsi"/>
          <w:bCs/>
          <w:snapToGrid w:val="0"/>
        </w:rPr>
        <w:t xml:space="preserve"> </w:t>
      </w:r>
      <w:r w:rsidR="003615E5" w:rsidRPr="00980D3E">
        <w:rPr>
          <w:rFonts w:cs="Calibri"/>
        </w:rPr>
        <w:t>were</w:t>
      </w:r>
      <w:r w:rsidR="0066285A" w:rsidRPr="00980D3E">
        <w:rPr>
          <w:rFonts w:cs="Calibri"/>
        </w:rPr>
        <w:t xml:space="preserve"> supportive of providing PBS-subsidised access to treatment for patients, describing their experience with plitidepsin and how patients have benefitted from treatment.</w:t>
      </w:r>
      <w:r w:rsidR="008561E2" w:rsidRPr="00980D3E">
        <w:rPr>
          <w:rFonts w:asciiTheme="minorHAnsi" w:hAnsiTheme="minorHAnsi"/>
          <w:bCs/>
          <w:snapToGrid w:val="0"/>
        </w:rPr>
        <w:t xml:space="preserve"> </w:t>
      </w:r>
    </w:p>
    <w:p w:rsidR="001A6C81" w:rsidRPr="00980D3E" w:rsidRDefault="0035240F" w:rsidP="001A6C81">
      <w:pPr>
        <w:widowControl w:val="0"/>
        <w:numPr>
          <w:ilvl w:val="1"/>
          <w:numId w:val="1"/>
        </w:numPr>
        <w:spacing w:after="120"/>
        <w:ind w:left="720"/>
        <w:rPr>
          <w:rFonts w:asciiTheme="minorHAnsi" w:hAnsiTheme="minorHAnsi"/>
          <w:bCs/>
          <w:snapToGrid w:val="0"/>
        </w:rPr>
      </w:pPr>
      <w:r w:rsidRPr="00980D3E">
        <w:rPr>
          <w:rFonts w:cs="Calibri"/>
        </w:rPr>
        <w:t xml:space="preserve">The PBAC noted the </w:t>
      </w:r>
      <w:r w:rsidR="00205E2C" w:rsidRPr="00980D3E">
        <w:rPr>
          <w:rFonts w:cs="Calibri"/>
        </w:rPr>
        <w:t>advice</w:t>
      </w:r>
      <w:r w:rsidR="0066285A" w:rsidRPr="00980D3E">
        <w:rPr>
          <w:rFonts w:cs="Calibri"/>
        </w:rPr>
        <w:t xml:space="preserve"> </w:t>
      </w:r>
      <w:r w:rsidRPr="00980D3E">
        <w:rPr>
          <w:rFonts w:cs="Calibri"/>
        </w:rPr>
        <w:t xml:space="preserve">from </w:t>
      </w:r>
      <w:r w:rsidR="0066285A" w:rsidRPr="00980D3E">
        <w:rPr>
          <w:rFonts w:cs="Calibri"/>
        </w:rPr>
        <w:t xml:space="preserve">Myeloma Australia </w:t>
      </w:r>
      <w:r w:rsidR="00367C51" w:rsidRPr="00980D3E">
        <w:rPr>
          <w:rFonts w:cs="Calibri"/>
        </w:rPr>
        <w:t xml:space="preserve">describing </w:t>
      </w:r>
      <w:r w:rsidR="00205E2C" w:rsidRPr="00980D3E">
        <w:rPr>
          <w:rFonts w:cs="Calibri"/>
        </w:rPr>
        <w:t xml:space="preserve">the benefit of plitidepsin for some patients. The PBAC considered the advice from </w:t>
      </w:r>
      <w:r w:rsidR="0066285A" w:rsidRPr="00980D3E">
        <w:rPr>
          <w:rFonts w:cs="Calibri"/>
        </w:rPr>
        <w:t>the Leukaemia Foundation</w:t>
      </w:r>
      <w:r w:rsidR="00205E2C" w:rsidRPr="00980D3E">
        <w:rPr>
          <w:rFonts w:cs="Calibri"/>
        </w:rPr>
        <w:t>,</w:t>
      </w:r>
      <w:r w:rsidR="0066285A" w:rsidRPr="00980D3E">
        <w:rPr>
          <w:rFonts w:cs="Calibri"/>
        </w:rPr>
        <w:t xml:space="preserve"> </w:t>
      </w:r>
      <w:r w:rsidR="00423E77" w:rsidRPr="00980D3E">
        <w:rPr>
          <w:rFonts w:cs="Calibri"/>
        </w:rPr>
        <w:t xml:space="preserve">the </w:t>
      </w:r>
      <w:r w:rsidR="00423E77" w:rsidRPr="00980D3E">
        <w:rPr>
          <w:rFonts w:asciiTheme="minorHAnsi" w:hAnsiTheme="minorHAnsi"/>
          <w:bCs/>
          <w:snapToGrid w:val="0"/>
        </w:rPr>
        <w:t>South East Myeloma Support Group and Rare Cancers Australia</w:t>
      </w:r>
      <w:r w:rsidR="00205E2C" w:rsidRPr="00980D3E">
        <w:rPr>
          <w:rFonts w:asciiTheme="minorHAnsi" w:hAnsiTheme="minorHAnsi"/>
          <w:bCs/>
          <w:snapToGrid w:val="0"/>
        </w:rPr>
        <w:t xml:space="preserve"> provided little additional insight into the need for plitidepsin</w:t>
      </w:r>
      <w:r w:rsidR="00521237" w:rsidRPr="00980D3E">
        <w:rPr>
          <w:rFonts w:asciiTheme="minorHAnsi" w:hAnsiTheme="minorHAnsi"/>
          <w:bCs/>
          <w:snapToGrid w:val="0"/>
        </w:rPr>
        <w:t xml:space="preserve">. </w:t>
      </w:r>
    </w:p>
    <w:p w:rsidR="00B60939" w:rsidRPr="00980D3E" w:rsidRDefault="00B60939" w:rsidP="002E4F02">
      <w:pPr>
        <w:pStyle w:val="4-SubsectionHeading"/>
      </w:pPr>
      <w:bookmarkStart w:id="15" w:name="_Toc30490399"/>
      <w:r w:rsidRPr="00980D3E">
        <w:t>Clinical trial</w:t>
      </w:r>
      <w:bookmarkEnd w:id="14"/>
      <w:r w:rsidR="00B54631" w:rsidRPr="00980D3E">
        <w:t>s</w:t>
      </w:r>
      <w:bookmarkEnd w:id="15"/>
    </w:p>
    <w:p w:rsidR="00262F6C" w:rsidRPr="00980D3E" w:rsidRDefault="00F65833" w:rsidP="005F498C">
      <w:pPr>
        <w:pStyle w:val="3-BodyText"/>
      </w:pPr>
      <w:r w:rsidRPr="00980D3E">
        <w:t>No new data w</w:t>
      </w:r>
      <w:r w:rsidR="003F4B63" w:rsidRPr="00980D3E">
        <w:t>ere</w:t>
      </w:r>
      <w:r w:rsidRPr="00980D3E">
        <w:t xml:space="preserve"> presented in the resubmission. </w:t>
      </w:r>
      <w:r w:rsidR="00262F6C" w:rsidRPr="00980D3E">
        <w:t>As per the previous submission, the resubmission presented:</w:t>
      </w:r>
    </w:p>
    <w:p w:rsidR="00262F6C" w:rsidRPr="00980D3E" w:rsidRDefault="00262F6C" w:rsidP="00B77C86">
      <w:pPr>
        <w:pStyle w:val="3-BodyText"/>
        <w:numPr>
          <w:ilvl w:val="0"/>
          <w:numId w:val="15"/>
        </w:numPr>
        <w:ind w:left="1077" w:hanging="357"/>
      </w:pPr>
      <w:r w:rsidRPr="00980D3E">
        <w:t>A direct comparison between plitidepsin + Dxm  and Dxm monotherapy in the fourth</w:t>
      </w:r>
      <w:r w:rsidR="004168AB" w:rsidRPr="00980D3E">
        <w:noBreakHyphen/>
      </w:r>
      <w:r w:rsidR="00506156" w:rsidRPr="00980D3E">
        <w:t>line setting (ADMYRE</w:t>
      </w:r>
      <w:r w:rsidRPr="00980D3E">
        <w:t>, N = 255); and</w:t>
      </w:r>
    </w:p>
    <w:p w:rsidR="004168AB" w:rsidRPr="00980D3E" w:rsidRDefault="00262F6C" w:rsidP="00B77C86">
      <w:pPr>
        <w:pStyle w:val="3-BodyText"/>
        <w:numPr>
          <w:ilvl w:val="0"/>
          <w:numId w:val="15"/>
        </w:numPr>
        <w:ind w:left="1077" w:hanging="357"/>
      </w:pPr>
      <w:r w:rsidRPr="00980D3E">
        <w:lastRenderedPageBreak/>
        <w:t>An indirect comparison between plitidepsin + Dxm and pomalidomide + Dxm in the third-line setting (ADMYRE v</w:t>
      </w:r>
      <w:r w:rsidR="0090157A" w:rsidRPr="00980D3E">
        <w:t>ersus</w:t>
      </w:r>
      <w:r w:rsidRPr="00980D3E">
        <w:t xml:space="preserve"> NIMBUS, N = 455)</w:t>
      </w:r>
      <w:r w:rsidR="007B1486" w:rsidRPr="00980D3E">
        <w:t xml:space="preserve">. </w:t>
      </w:r>
    </w:p>
    <w:p w:rsidR="005D4FD9" w:rsidRPr="00980D3E" w:rsidRDefault="00FC3125" w:rsidP="004168AB">
      <w:pPr>
        <w:pStyle w:val="3-BodyText"/>
        <w:numPr>
          <w:ilvl w:val="0"/>
          <w:numId w:val="0"/>
        </w:numPr>
        <w:ind w:left="720"/>
      </w:pPr>
      <w:r w:rsidRPr="00980D3E">
        <w:t xml:space="preserve">Details of the trials presented in the submission are provided in </w:t>
      </w:r>
      <w:r w:rsidR="00BB728E" w:rsidRPr="00980D3E">
        <w:t>Table 3</w:t>
      </w:r>
      <w:r w:rsidRPr="00980D3E">
        <w:t>.</w:t>
      </w:r>
    </w:p>
    <w:p w:rsidR="008E0D3C" w:rsidRPr="00980D3E" w:rsidRDefault="008E0D3C" w:rsidP="00D443C2">
      <w:pPr>
        <w:pStyle w:val="TableHeading"/>
        <w:rPr>
          <w:rStyle w:val="CommentReference"/>
          <w:b/>
          <w:szCs w:val="24"/>
        </w:rPr>
      </w:pPr>
      <w:bookmarkStart w:id="16" w:name="_Ref33523963"/>
      <w:r w:rsidRPr="00980D3E">
        <w:rPr>
          <w:rStyle w:val="CommentReference"/>
          <w:b/>
          <w:szCs w:val="24"/>
        </w:rPr>
        <w:t xml:space="preserve">Table </w:t>
      </w:r>
      <w:r w:rsidR="00BB728E" w:rsidRPr="00980D3E">
        <w:rPr>
          <w:rStyle w:val="CommentReference"/>
          <w:b/>
          <w:szCs w:val="24"/>
        </w:rPr>
        <w:t>3</w:t>
      </w:r>
      <w:bookmarkEnd w:id="16"/>
      <w:r w:rsidRPr="00980D3E">
        <w:rPr>
          <w:rStyle w:val="CommentReference"/>
          <w:b/>
          <w:szCs w:val="24"/>
        </w:rPr>
        <w:t>:</w:t>
      </w:r>
      <w:r w:rsidR="00BC591F" w:rsidRPr="00980D3E">
        <w:rPr>
          <w:rStyle w:val="CommentReference"/>
          <w:b/>
          <w:szCs w:val="24"/>
        </w:rPr>
        <w:t xml:space="preserve"> </w:t>
      </w:r>
      <w:r w:rsidRPr="00980D3E">
        <w:rPr>
          <w:rStyle w:val="CommentReference"/>
          <w:b/>
          <w:szCs w:val="24"/>
        </w:rPr>
        <w:t>Trials</w:t>
      </w:r>
      <w:r w:rsidR="00783C3A" w:rsidRPr="00980D3E">
        <w:rPr>
          <w:rStyle w:val="CommentReference"/>
          <w:b/>
          <w:szCs w:val="24"/>
        </w:rPr>
        <w:t xml:space="preserve"> </w:t>
      </w:r>
      <w:r w:rsidRPr="00980D3E">
        <w:rPr>
          <w:rStyle w:val="CommentReference"/>
          <w:b/>
          <w:szCs w:val="24"/>
        </w:rPr>
        <w:t xml:space="preserve">and associated reports presented in the </w:t>
      </w:r>
      <w:r w:rsidR="00783C3A" w:rsidRPr="00980D3E">
        <w:rPr>
          <w:rStyle w:val="CommentReference"/>
          <w:b/>
          <w:szCs w:val="24"/>
        </w:rPr>
        <w:t>re</w:t>
      </w:r>
      <w:r w:rsidRPr="00980D3E">
        <w:rPr>
          <w:rStyle w:val="CommentReference"/>
          <w:b/>
          <w:szCs w:val="24"/>
        </w:rPr>
        <w:t>submission</w:t>
      </w:r>
      <w:r w:rsidR="000C385D" w:rsidRPr="00980D3E">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5811"/>
        <w:gridCol w:w="1793"/>
      </w:tblGrid>
      <w:tr w:rsidR="005968A2" w:rsidRPr="00980D3E" w:rsidTr="000C385D">
        <w:trPr>
          <w:cantSplit/>
          <w:tblHeader/>
        </w:trPr>
        <w:tc>
          <w:tcPr>
            <w:tcW w:w="784" w:type="pct"/>
            <w:tcMar>
              <w:left w:w="28" w:type="dxa"/>
              <w:right w:w="28" w:type="dxa"/>
            </w:tcMar>
          </w:tcPr>
          <w:p w:rsidR="005968A2" w:rsidRPr="00980D3E" w:rsidRDefault="005968A2" w:rsidP="00890682">
            <w:pPr>
              <w:keepNext/>
              <w:keepLines/>
              <w:spacing w:before="40" w:after="40"/>
              <w:jc w:val="left"/>
              <w:rPr>
                <w:rFonts w:ascii="Arial Narrow" w:hAnsi="Arial Narrow" w:cs="Arial Narrow"/>
                <w:b/>
                <w:sz w:val="20"/>
                <w:szCs w:val="20"/>
              </w:rPr>
            </w:pPr>
            <w:r w:rsidRPr="00980D3E">
              <w:rPr>
                <w:rFonts w:ascii="Arial Narrow" w:hAnsi="Arial Narrow" w:cs="Arial Narrow"/>
                <w:b/>
                <w:sz w:val="20"/>
                <w:szCs w:val="20"/>
              </w:rPr>
              <w:t>Trial</w:t>
            </w:r>
          </w:p>
        </w:tc>
        <w:tc>
          <w:tcPr>
            <w:tcW w:w="3222" w:type="pct"/>
            <w:tcMar>
              <w:left w:w="28" w:type="dxa"/>
              <w:right w:w="28" w:type="dxa"/>
            </w:tcMar>
            <w:vAlign w:val="center"/>
          </w:tcPr>
          <w:p w:rsidR="005968A2" w:rsidRPr="00980D3E" w:rsidRDefault="005968A2" w:rsidP="00890682">
            <w:pPr>
              <w:keepNext/>
              <w:keepLines/>
              <w:spacing w:before="40" w:after="40"/>
              <w:jc w:val="left"/>
              <w:rPr>
                <w:rFonts w:ascii="Arial Narrow" w:hAnsi="Arial Narrow" w:cs="Arial Narrow"/>
                <w:b/>
                <w:sz w:val="20"/>
                <w:szCs w:val="20"/>
              </w:rPr>
            </w:pPr>
            <w:r w:rsidRPr="00980D3E">
              <w:rPr>
                <w:rFonts w:ascii="Arial Narrow" w:hAnsi="Arial Narrow" w:cs="Arial Narrow"/>
                <w:b/>
                <w:sz w:val="20"/>
                <w:szCs w:val="20"/>
              </w:rPr>
              <w:t>Protocol title/ Publication title</w:t>
            </w:r>
          </w:p>
        </w:tc>
        <w:tc>
          <w:tcPr>
            <w:tcW w:w="994" w:type="pct"/>
            <w:tcMar>
              <w:left w:w="28" w:type="dxa"/>
              <w:right w:w="28" w:type="dxa"/>
            </w:tcMar>
            <w:vAlign w:val="center"/>
          </w:tcPr>
          <w:p w:rsidR="005968A2" w:rsidRPr="00980D3E" w:rsidRDefault="005968A2" w:rsidP="00890682">
            <w:pPr>
              <w:keepNext/>
              <w:keepLines/>
              <w:spacing w:before="40" w:after="40"/>
              <w:jc w:val="left"/>
              <w:rPr>
                <w:rFonts w:ascii="Arial Narrow" w:hAnsi="Arial Narrow" w:cs="Arial Narrow"/>
                <w:b/>
                <w:sz w:val="20"/>
                <w:szCs w:val="20"/>
              </w:rPr>
            </w:pPr>
            <w:r w:rsidRPr="00980D3E">
              <w:rPr>
                <w:rFonts w:ascii="Arial Narrow" w:hAnsi="Arial Narrow" w:cs="Arial Narrow"/>
                <w:b/>
                <w:sz w:val="20"/>
                <w:szCs w:val="20"/>
              </w:rPr>
              <w:t>Publication citation</w:t>
            </w:r>
          </w:p>
        </w:tc>
      </w:tr>
      <w:tr w:rsidR="005968A2" w:rsidRPr="00980D3E" w:rsidTr="000C385D">
        <w:trPr>
          <w:cantSplit/>
        </w:trPr>
        <w:tc>
          <w:tcPr>
            <w:tcW w:w="784" w:type="pct"/>
            <w:vMerge w:val="restart"/>
            <w:tcMar>
              <w:left w:w="28" w:type="dxa"/>
              <w:right w:w="28" w:type="dxa"/>
            </w:tcMar>
          </w:tcPr>
          <w:p w:rsidR="005968A2" w:rsidRPr="00980D3E" w:rsidRDefault="005968A2" w:rsidP="00890682">
            <w:pPr>
              <w:keepNext/>
              <w:keepLines/>
              <w:spacing w:before="40" w:after="40"/>
              <w:jc w:val="left"/>
              <w:rPr>
                <w:rFonts w:ascii="Arial Narrow" w:hAnsi="Arial Narrow" w:cs="Arial Narrow"/>
                <w:sz w:val="20"/>
                <w:szCs w:val="20"/>
              </w:rPr>
            </w:pPr>
            <w:r w:rsidRPr="00980D3E">
              <w:rPr>
                <w:rFonts w:ascii="Arial Narrow" w:hAnsi="Arial Narrow" w:cs="Arial Narrow"/>
                <w:sz w:val="20"/>
                <w:szCs w:val="20"/>
              </w:rPr>
              <w:t>ADMYRE</w:t>
            </w:r>
          </w:p>
          <w:p w:rsidR="005968A2" w:rsidRPr="00980D3E" w:rsidRDefault="005968A2" w:rsidP="00890682">
            <w:pPr>
              <w:keepNext/>
              <w:keepLines/>
              <w:spacing w:before="40" w:after="40"/>
              <w:jc w:val="left"/>
              <w:rPr>
                <w:rFonts w:ascii="Arial Narrow" w:hAnsi="Arial Narrow" w:cs="Arial Narrow"/>
                <w:sz w:val="20"/>
                <w:szCs w:val="20"/>
              </w:rPr>
            </w:pPr>
            <w:r w:rsidRPr="00980D3E">
              <w:rPr>
                <w:rFonts w:ascii="Arial Narrow" w:hAnsi="Arial Narrow" w:cs="Arial Narrow"/>
                <w:sz w:val="20"/>
                <w:szCs w:val="20"/>
              </w:rPr>
              <w:t>(NCT01102426)</w:t>
            </w:r>
          </w:p>
        </w:tc>
        <w:tc>
          <w:tcPr>
            <w:tcW w:w="3222" w:type="pct"/>
            <w:tcMar>
              <w:left w:w="28" w:type="dxa"/>
              <w:right w:w="28" w:type="dxa"/>
            </w:tcMar>
          </w:tcPr>
          <w:p w:rsidR="005968A2" w:rsidRPr="00980D3E" w:rsidRDefault="005968A2" w:rsidP="00890682">
            <w:pPr>
              <w:keepNext/>
              <w:keepLines/>
              <w:spacing w:before="40" w:after="40"/>
              <w:jc w:val="left"/>
              <w:rPr>
                <w:rFonts w:ascii="Arial Narrow" w:hAnsi="Arial Narrow" w:cs="Arial Narrow"/>
                <w:sz w:val="20"/>
                <w:szCs w:val="20"/>
              </w:rPr>
            </w:pPr>
            <w:r w:rsidRPr="00980D3E">
              <w:rPr>
                <w:rFonts w:ascii="Arial Narrow" w:hAnsi="Arial Narrow" w:cs="Arial Narrow"/>
                <w:sz w:val="20"/>
                <w:szCs w:val="20"/>
              </w:rPr>
              <w:t xml:space="preserve">Pharma Mar S.A. ADMYRE: Aplidin – Dexamethasone in Relapsed/Refractory MYeloma) Randomized, multicenter, open-label, phase III study of plitidepsin in combination with dexamethasone vs. dexamethasone alone in patients with relapsed/refractory multiple myeloma. </w:t>
            </w:r>
          </w:p>
        </w:tc>
        <w:tc>
          <w:tcPr>
            <w:tcW w:w="994" w:type="pct"/>
            <w:tcMar>
              <w:left w:w="28" w:type="dxa"/>
              <w:right w:w="28" w:type="dxa"/>
            </w:tcMar>
          </w:tcPr>
          <w:p w:rsidR="005968A2" w:rsidRPr="00980D3E" w:rsidRDefault="005968A2" w:rsidP="00890682">
            <w:pPr>
              <w:keepNext/>
              <w:keepLines/>
              <w:spacing w:before="40" w:after="40"/>
              <w:jc w:val="left"/>
              <w:rPr>
                <w:rFonts w:ascii="Arial Narrow" w:hAnsi="Arial Narrow" w:cs="Arial Narrow"/>
                <w:sz w:val="20"/>
                <w:szCs w:val="20"/>
              </w:rPr>
            </w:pPr>
            <w:r w:rsidRPr="00980D3E">
              <w:rPr>
                <w:rFonts w:ascii="Arial Narrow" w:hAnsi="Arial Narrow" w:cs="Arial Narrow"/>
                <w:sz w:val="20"/>
                <w:szCs w:val="20"/>
              </w:rPr>
              <w:t>CSR, APL-C-001-09, 2016.</w:t>
            </w:r>
          </w:p>
        </w:tc>
      </w:tr>
      <w:tr w:rsidR="005968A2" w:rsidRPr="00980D3E" w:rsidTr="000C385D">
        <w:trPr>
          <w:cantSplit/>
          <w:tblHeader/>
        </w:trPr>
        <w:tc>
          <w:tcPr>
            <w:tcW w:w="784" w:type="pct"/>
            <w:vMerge/>
            <w:tcMar>
              <w:left w:w="28" w:type="dxa"/>
              <w:right w:w="28" w:type="dxa"/>
            </w:tcMar>
          </w:tcPr>
          <w:p w:rsidR="005968A2" w:rsidRPr="00980D3E" w:rsidRDefault="005968A2" w:rsidP="00890682">
            <w:pPr>
              <w:keepNext/>
              <w:spacing w:before="40" w:after="40"/>
              <w:jc w:val="left"/>
              <w:rPr>
                <w:rFonts w:ascii="Arial Narrow" w:hAnsi="Arial Narrow" w:cs="Arial Narrow"/>
                <w:sz w:val="20"/>
                <w:szCs w:val="20"/>
              </w:rPr>
            </w:pPr>
          </w:p>
        </w:tc>
        <w:tc>
          <w:tcPr>
            <w:tcW w:w="3222" w:type="pct"/>
            <w:tcMar>
              <w:left w:w="28" w:type="dxa"/>
              <w:right w:w="28" w:type="dxa"/>
            </w:tcMar>
          </w:tcPr>
          <w:p w:rsidR="005968A2" w:rsidRPr="00980D3E" w:rsidRDefault="005968A2" w:rsidP="00890682">
            <w:pPr>
              <w:keepNext/>
              <w:spacing w:before="40" w:after="40"/>
              <w:jc w:val="left"/>
              <w:rPr>
                <w:rFonts w:ascii="Arial Narrow" w:hAnsi="Arial Narrow" w:cs="Arial Narrow"/>
                <w:sz w:val="20"/>
                <w:szCs w:val="20"/>
              </w:rPr>
            </w:pPr>
            <w:r w:rsidRPr="00980D3E">
              <w:rPr>
                <w:rFonts w:ascii="Arial Narrow" w:hAnsi="Arial Narrow" w:cs="Arial Narrow"/>
                <w:sz w:val="20"/>
                <w:szCs w:val="20"/>
              </w:rPr>
              <w:t>Pharma Mar S.A. ADMYRE: Aplidin – Dexamethasone in Relapsed/Refractory MYeloma) Randomized, multicenter, open-label, phase III study of plitidepsin in combination with dexamethasone vs. dexamethasone alone in patients with relapsed/refractory multiple myeloma.</w:t>
            </w:r>
          </w:p>
        </w:tc>
        <w:tc>
          <w:tcPr>
            <w:tcW w:w="994" w:type="pct"/>
            <w:tcMar>
              <w:left w:w="28" w:type="dxa"/>
              <w:right w:w="28" w:type="dxa"/>
            </w:tcMar>
          </w:tcPr>
          <w:p w:rsidR="005968A2" w:rsidRPr="00980D3E" w:rsidRDefault="005968A2" w:rsidP="00890682">
            <w:pPr>
              <w:keepNext/>
              <w:spacing w:before="40" w:after="40"/>
              <w:jc w:val="left"/>
              <w:rPr>
                <w:rFonts w:ascii="Arial Narrow" w:hAnsi="Arial Narrow" w:cs="Arial Narrow"/>
                <w:sz w:val="20"/>
                <w:szCs w:val="20"/>
              </w:rPr>
            </w:pPr>
            <w:r w:rsidRPr="00980D3E">
              <w:rPr>
                <w:rFonts w:ascii="Arial Narrow" w:hAnsi="Arial Narrow" w:cs="Arial Narrow"/>
                <w:sz w:val="20"/>
                <w:szCs w:val="20"/>
              </w:rPr>
              <w:t>CSR, APL-C-001-09, Addendum, 2017.</w:t>
            </w:r>
          </w:p>
        </w:tc>
      </w:tr>
      <w:tr w:rsidR="005968A2" w:rsidRPr="00980D3E" w:rsidTr="000C385D">
        <w:trPr>
          <w:cantSplit/>
          <w:tblHeader/>
        </w:trPr>
        <w:tc>
          <w:tcPr>
            <w:tcW w:w="784" w:type="pct"/>
            <w:vMerge/>
            <w:tcMar>
              <w:left w:w="28" w:type="dxa"/>
              <w:right w:w="28" w:type="dxa"/>
            </w:tcMar>
          </w:tcPr>
          <w:p w:rsidR="005968A2" w:rsidRPr="00980D3E" w:rsidRDefault="005968A2" w:rsidP="00890682">
            <w:pPr>
              <w:keepNext/>
              <w:spacing w:before="40" w:after="40"/>
              <w:jc w:val="left"/>
              <w:rPr>
                <w:rFonts w:ascii="Arial Narrow" w:hAnsi="Arial Narrow" w:cs="Arial Narrow"/>
                <w:sz w:val="20"/>
                <w:szCs w:val="20"/>
              </w:rPr>
            </w:pPr>
          </w:p>
        </w:tc>
        <w:tc>
          <w:tcPr>
            <w:tcW w:w="3222" w:type="pct"/>
            <w:tcMar>
              <w:left w:w="28" w:type="dxa"/>
              <w:right w:w="28" w:type="dxa"/>
            </w:tcMar>
          </w:tcPr>
          <w:p w:rsidR="005968A2" w:rsidRPr="00980D3E" w:rsidRDefault="005968A2" w:rsidP="00890682">
            <w:pPr>
              <w:keepNext/>
              <w:spacing w:before="40" w:after="40"/>
              <w:jc w:val="left"/>
              <w:rPr>
                <w:rFonts w:ascii="Arial Narrow" w:hAnsi="Arial Narrow" w:cs="Arial Narrow"/>
                <w:sz w:val="20"/>
                <w:szCs w:val="20"/>
              </w:rPr>
            </w:pPr>
            <w:r w:rsidRPr="00980D3E">
              <w:rPr>
                <w:rFonts w:ascii="Arial Narrow" w:hAnsi="Arial Narrow" w:cs="Arial Narrow"/>
                <w:sz w:val="20"/>
                <w:szCs w:val="20"/>
              </w:rPr>
              <w:t xml:space="preserve">Spicka I, Ocio EM, </w:t>
            </w:r>
            <w:r w:rsidRPr="00980D3E">
              <w:rPr>
                <w:rFonts w:ascii="Arial Narrow" w:hAnsi="Arial Narrow" w:cs="Arial Narrow"/>
                <w:i/>
                <w:sz w:val="20"/>
                <w:szCs w:val="20"/>
              </w:rPr>
              <w:t>et al.</w:t>
            </w:r>
            <w:r w:rsidRPr="00980D3E">
              <w:rPr>
                <w:rFonts w:ascii="Arial Narrow" w:hAnsi="Arial Narrow" w:cs="Arial Narrow"/>
                <w:sz w:val="20"/>
                <w:szCs w:val="20"/>
              </w:rPr>
              <w:t xml:space="preserve"> Randomized phase III study (ADMYRE) of plitidepsin in combination with dexamethasone vs. dexamethasone alone in patients with relapsed/refractory multiple myeloma. </w:t>
            </w:r>
          </w:p>
        </w:tc>
        <w:tc>
          <w:tcPr>
            <w:tcW w:w="994" w:type="pct"/>
            <w:tcMar>
              <w:left w:w="28" w:type="dxa"/>
              <w:right w:w="28" w:type="dxa"/>
            </w:tcMar>
          </w:tcPr>
          <w:p w:rsidR="005968A2" w:rsidRPr="00980D3E" w:rsidRDefault="005968A2" w:rsidP="00890682">
            <w:pPr>
              <w:keepNext/>
              <w:spacing w:before="40" w:after="40"/>
              <w:jc w:val="left"/>
              <w:rPr>
                <w:rFonts w:ascii="Arial Narrow" w:hAnsi="Arial Narrow" w:cs="Arial Narrow"/>
                <w:sz w:val="20"/>
                <w:szCs w:val="20"/>
              </w:rPr>
            </w:pPr>
            <w:r w:rsidRPr="00980D3E">
              <w:rPr>
                <w:rFonts w:ascii="Arial Narrow" w:hAnsi="Arial Narrow" w:cs="Arial Narrow"/>
                <w:i/>
                <w:sz w:val="20"/>
                <w:szCs w:val="20"/>
              </w:rPr>
              <w:t xml:space="preserve">Annals of Hematology </w:t>
            </w:r>
            <w:r w:rsidRPr="00980D3E">
              <w:rPr>
                <w:rFonts w:ascii="Arial Narrow" w:hAnsi="Arial Narrow" w:cs="Arial Narrow"/>
                <w:sz w:val="20"/>
                <w:szCs w:val="20"/>
              </w:rPr>
              <w:t>2019;</w:t>
            </w:r>
            <w:r w:rsidR="003B0EB9" w:rsidRPr="00980D3E">
              <w:rPr>
                <w:rFonts w:ascii="Arial Narrow" w:hAnsi="Arial Narrow" w:cs="Arial Narrow"/>
                <w:sz w:val="20"/>
                <w:szCs w:val="20"/>
              </w:rPr>
              <w:t xml:space="preserve"> </w:t>
            </w:r>
            <w:r w:rsidRPr="00980D3E">
              <w:rPr>
                <w:rFonts w:ascii="Arial Narrow" w:hAnsi="Arial Narrow" w:cs="Arial Narrow"/>
                <w:sz w:val="20"/>
                <w:szCs w:val="20"/>
              </w:rPr>
              <w:t>98 (9)</w:t>
            </w:r>
            <w:r w:rsidR="003B0EB9" w:rsidRPr="00980D3E">
              <w:rPr>
                <w:rFonts w:ascii="Arial Narrow" w:hAnsi="Arial Narrow" w:cs="Arial Narrow"/>
                <w:sz w:val="20"/>
                <w:szCs w:val="20"/>
              </w:rPr>
              <w:t xml:space="preserve">: </w:t>
            </w:r>
            <w:r w:rsidRPr="00980D3E">
              <w:rPr>
                <w:rFonts w:ascii="Arial Narrow" w:hAnsi="Arial Narrow" w:cs="Arial Narrow"/>
                <w:sz w:val="20"/>
                <w:szCs w:val="20"/>
              </w:rPr>
              <w:t>2139-2150.</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 xml:space="preserve">Gomez J, Extremera S, </w:t>
            </w:r>
            <w:r w:rsidRPr="00980D3E">
              <w:rPr>
                <w:rFonts w:ascii="Arial Narrow" w:hAnsi="Arial Narrow" w:cs="Arial Narrow"/>
                <w:i/>
                <w:sz w:val="20"/>
                <w:szCs w:val="20"/>
              </w:rPr>
              <w:t>et al.</w:t>
            </w:r>
            <w:r w:rsidRPr="00980D3E">
              <w:rPr>
                <w:rFonts w:ascii="Arial Narrow" w:hAnsi="Arial Narrow" w:cs="Arial Narrow"/>
                <w:sz w:val="20"/>
                <w:szCs w:val="20"/>
              </w:rPr>
              <w:t> Overall Survival Results Of Randomized Phase III Study (ADMYRE Trial) Of Plitidepsin And Dexamethasone (Dxm) Vs.Dxm Alone In Patients With Relapsed/Refractory Multiple Myeloma: Evaluation Of The Crossover Impact. Poster presented at: ASCO (Chicago, USA).</w:t>
            </w:r>
          </w:p>
        </w:tc>
        <w:tc>
          <w:tcPr>
            <w:tcW w:w="994" w:type="pct"/>
            <w:tcMar>
              <w:left w:w="28" w:type="dxa"/>
              <w:right w:w="28" w:type="dxa"/>
            </w:tcMar>
            <w:vAlign w:val="cente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i/>
                <w:sz w:val="20"/>
                <w:szCs w:val="20"/>
              </w:rPr>
              <w:t>Journal of Clinical Oncology</w:t>
            </w:r>
            <w:r w:rsidRPr="00980D3E">
              <w:rPr>
                <w:rFonts w:ascii="Arial Narrow" w:hAnsi="Arial Narrow" w:cs="Arial Narrow"/>
                <w:sz w:val="20"/>
                <w:szCs w:val="20"/>
              </w:rPr>
              <w:t xml:space="preserve"> 2018; 36 (15):8018.</w:t>
            </w:r>
          </w:p>
          <w:p w:rsidR="000C385D" w:rsidRPr="00980D3E" w:rsidRDefault="000C385D" w:rsidP="00506156">
            <w:pPr>
              <w:spacing w:before="40" w:after="40"/>
              <w:jc w:val="left"/>
              <w:rPr>
                <w:rFonts w:ascii="Arial Narrow" w:hAnsi="Arial Narrow" w:cs="Arial Narrow"/>
                <w:sz w:val="20"/>
                <w:szCs w:val="20"/>
              </w:rPr>
            </w:pP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National Institute For Health And Care Excellence. Single Technology Appraisal Final scope for the single technology appraisal of pomalidomide with dexamethasone for treating relapsed and refractory multiple myeloma after at least two regimens including lenalidomide and bortezomib.</w:t>
            </w:r>
          </w:p>
        </w:tc>
        <w:tc>
          <w:tcPr>
            <w:tcW w:w="994"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NICE. Committee papers [ID985], 2016.</w:t>
            </w:r>
          </w:p>
        </w:tc>
      </w:tr>
      <w:tr w:rsidR="000C385D" w:rsidRPr="00980D3E" w:rsidTr="000C385D">
        <w:trPr>
          <w:cantSplit/>
          <w:tblHeader/>
        </w:trPr>
        <w:tc>
          <w:tcPr>
            <w:tcW w:w="784" w:type="pct"/>
            <w:vMerge w:val="restart"/>
            <w:tcMar>
              <w:left w:w="28" w:type="dxa"/>
              <w:right w:w="28" w:type="dxa"/>
            </w:tcMar>
          </w:tcPr>
          <w:p w:rsidR="000C385D" w:rsidRPr="00980D3E" w:rsidRDefault="000C385D" w:rsidP="00890682">
            <w:pPr>
              <w:keepNext/>
              <w:spacing w:before="40" w:after="40"/>
              <w:jc w:val="left"/>
              <w:rPr>
                <w:rFonts w:ascii="Arial Narrow" w:hAnsi="Arial Narrow" w:cs="Arial Narrow"/>
                <w:sz w:val="20"/>
                <w:szCs w:val="20"/>
              </w:rPr>
            </w:pPr>
            <w:r w:rsidRPr="00980D3E">
              <w:rPr>
                <w:rFonts w:ascii="Arial Narrow" w:hAnsi="Arial Narrow" w:cs="Arial Narrow"/>
                <w:sz w:val="20"/>
                <w:szCs w:val="20"/>
              </w:rPr>
              <w:t>NIMBUS</w:t>
            </w:r>
          </w:p>
          <w:p w:rsidR="000C385D" w:rsidRPr="00980D3E" w:rsidRDefault="000C385D" w:rsidP="00890682">
            <w:pPr>
              <w:keepNext/>
              <w:spacing w:before="40" w:after="40"/>
              <w:jc w:val="left"/>
              <w:rPr>
                <w:rFonts w:ascii="Arial Narrow" w:hAnsi="Arial Narrow" w:cs="Arial Narrow"/>
                <w:sz w:val="20"/>
                <w:szCs w:val="20"/>
              </w:rPr>
            </w:pPr>
            <w:r w:rsidRPr="00980D3E">
              <w:rPr>
                <w:rFonts w:ascii="Arial Narrow" w:hAnsi="Arial Narrow" w:cs="Arial Narrow"/>
                <w:sz w:val="20"/>
                <w:szCs w:val="20"/>
              </w:rPr>
              <w:t>(NCT01311687)</w:t>
            </w:r>
          </w:p>
        </w:tc>
        <w:tc>
          <w:tcPr>
            <w:tcW w:w="3222" w:type="pct"/>
            <w:tcMar>
              <w:left w:w="28" w:type="dxa"/>
              <w:right w:w="28" w:type="dxa"/>
            </w:tcMar>
          </w:tcPr>
          <w:p w:rsidR="000C385D" w:rsidRPr="00980D3E" w:rsidRDefault="000C385D" w:rsidP="00890682">
            <w:pPr>
              <w:keepNext/>
              <w:spacing w:before="40" w:after="40"/>
              <w:jc w:val="left"/>
              <w:rPr>
                <w:rFonts w:ascii="Arial Narrow" w:hAnsi="Arial Narrow" w:cs="Arial Narrow"/>
                <w:sz w:val="20"/>
                <w:szCs w:val="20"/>
              </w:rPr>
            </w:pPr>
            <w:r w:rsidRPr="00980D3E">
              <w:rPr>
                <w:rFonts w:ascii="Arial Narrow" w:hAnsi="Arial Narrow" w:cs="Arial Narrow"/>
                <w:sz w:val="20"/>
                <w:szCs w:val="20"/>
              </w:rPr>
              <w:t>European Medicines Agency. Committee for Medicinal Products for Human Use (CHMP) Assessment report Pomalidomide. Procedure No. EMEA/H/C/002682</w:t>
            </w:r>
          </w:p>
        </w:tc>
        <w:tc>
          <w:tcPr>
            <w:tcW w:w="994" w:type="pct"/>
            <w:tcMar>
              <w:left w:w="28" w:type="dxa"/>
              <w:right w:w="28" w:type="dxa"/>
            </w:tcMar>
          </w:tcPr>
          <w:p w:rsidR="000C385D" w:rsidRPr="00980D3E" w:rsidRDefault="000C385D" w:rsidP="00506156">
            <w:pPr>
              <w:keepNext/>
              <w:spacing w:before="40" w:after="40"/>
              <w:jc w:val="left"/>
              <w:rPr>
                <w:rFonts w:ascii="Arial Narrow" w:hAnsi="Arial Narrow" w:cs="Arial Narrow"/>
                <w:sz w:val="20"/>
                <w:szCs w:val="20"/>
              </w:rPr>
            </w:pPr>
            <w:r w:rsidRPr="00980D3E">
              <w:rPr>
                <w:rFonts w:ascii="Arial Narrow" w:hAnsi="Arial Narrow" w:cs="Arial Narrow"/>
                <w:sz w:val="20"/>
                <w:szCs w:val="20"/>
              </w:rPr>
              <w:t>EMA. Report, 2013.</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 xml:space="preserve">San Miguel J; Weisel K; </w:t>
            </w:r>
            <w:r w:rsidRPr="00980D3E">
              <w:rPr>
                <w:rFonts w:ascii="Arial Narrow" w:hAnsi="Arial Narrow" w:cs="Arial Narrow"/>
                <w:i/>
                <w:sz w:val="20"/>
                <w:szCs w:val="20"/>
              </w:rPr>
              <w:t>et al.</w:t>
            </w:r>
            <w:r w:rsidRPr="00980D3E">
              <w:rPr>
                <w:rFonts w:ascii="Arial Narrow" w:hAnsi="Arial Narrow" w:cs="Arial Narrow"/>
                <w:sz w:val="20"/>
                <w:szCs w:val="20"/>
              </w:rPr>
              <w:t xml:space="preserve"> Pomalidomide plus low-dose dexamethasone versus high-dose dexamethasone alone for patients with relapsed and refractory multiple myeloma (MM-003): a randomized, open-label, phase 3 trial.</w:t>
            </w:r>
          </w:p>
        </w:tc>
        <w:tc>
          <w:tcPr>
            <w:tcW w:w="994" w:type="pct"/>
            <w:tcMar>
              <w:left w:w="28" w:type="dxa"/>
              <w:right w:w="28" w:type="dxa"/>
            </w:tcMar>
          </w:tcPr>
          <w:p w:rsidR="000C385D" w:rsidRPr="00980D3E" w:rsidRDefault="000C385D" w:rsidP="00506156">
            <w:pPr>
              <w:spacing w:before="40" w:after="40"/>
              <w:jc w:val="left"/>
              <w:rPr>
                <w:rFonts w:ascii="Arial Narrow" w:hAnsi="Arial Narrow" w:cs="Arial Narrow"/>
                <w:sz w:val="20"/>
                <w:szCs w:val="20"/>
              </w:rPr>
            </w:pPr>
            <w:r w:rsidRPr="00980D3E">
              <w:rPr>
                <w:rFonts w:ascii="Arial Narrow" w:hAnsi="Arial Narrow" w:cs="Arial Narrow"/>
                <w:i/>
                <w:sz w:val="20"/>
                <w:szCs w:val="20"/>
              </w:rPr>
              <w:t xml:space="preserve">Lancet Oncology </w:t>
            </w:r>
            <w:r w:rsidRPr="00980D3E">
              <w:rPr>
                <w:rFonts w:ascii="Arial Narrow" w:hAnsi="Arial Narrow" w:cs="Arial Narrow"/>
                <w:sz w:val="20"/>
                <w:szCs w:val="20"/>
              </w:rPr>
              <w:t>2013</w:t>
            </w:r>
            <w:r w:rsidRPr="00980D3E">
              <w:rPr>
                <w:rFonts w:ascii="Arial Narrow" w:hAnsi="Arial Narrow" w:cs="Arial Narrow"/>
                <w:i/>
                <w:sz w:val="20"/>
                <w:szCs w:val="20"/>
              </w:rPr>
              <w:t>,</w:t>
            </w:r>
            <w:r w:rsidRPr="00980D3E">
              <w:rPr>
                <w:rFonts w:ascii="Arial Narrow" w:hAnsi="Arial Narrow" w:cs="Arial Narrow"/>
                <w:sz w:val="20"/>
                <w:szCs w:val="20"/>
              </w:rPr>
              <w:t xml:space="preserve"> 14(11):1055-1066.</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 xml:space="preserve">Dimopoulos MA, Weisel KC, </w:t>
            </w:r>
            <w:r w:rsidRPr="00980D3E">
              <w:rPr>
                <w:rFonts w:ascii="Arial Narrow" w:hAnsi="Arial Narrow" w:cs="Arial Narrow"/>
                <w:i/>
                <w:sz w:val="20"/>
                <w:szCs w:val="20"/>
              </w:rPr>
              <w:t>et al.</w:t>
            </w:r>
            <w:r w:rsidRPr="00980D3E">
              <w:rPr>
                <w:rFonts w:ascii="Arial Narrow" w:hAnsi="Arial Narrow" w:cs="Arial Narrow"/>
                <w:sz w:val="20"/>
                <w:szCs w:val="20"/>
              </w:rPr>
              <w:t xml:space="preserve"> Cytogenetics and long-term survival of patients with refractory or relapsed and refractory multiple myeloma treated with pomalidomide and low-dose dexamethasone. </w:t>
            </w:r>
          </w:p>
        </w:tc>
        <w:tc>
          <w:tcPr>
            <w:tcW w:w="994" w:type="pct"/>
            <w:tcMar>
              <w:left w:w="28" w:type="dxa"/>
              <w:right w:w="28" w:type="dxa"/>
            </w:tcMar>
          </w:tcPr>
          <w:p w:rsidR="000C385D" w:rsidRPr="00980D3E" w:rsidRDefault="000C385D" w:rsidP="00506156">
            <w:pPr>
              <w:spacing w:before="40" w:after="40"/>
              <w:jc w:val="left"/>
              <w:rPr>
                <w:rFonts w:ascii="Arial Narrow" w:hAnsi="Arial Narrow" w:cs="Arial Narrow"/>
                <w:sz w:val="20"/>
                <w:szCs w:val="20"/>
              </w:rPr>
            </w:pPr>
            <w:r w:rsidRPr="00980D3E">
              <w:rPr>
                <w:rFonts w:ascii="Arial Narrow" w:hAnsi="Arial Narrow" w:cs="Arial Narrow"/>
                <w:i/>
                <w:sz w:val="20"/>
                <w:szCs w:val="20"/>
              </w:rPr>
              <w:t>Haematologica</w:t>
            </w:r>
            <w:r w:rsidRPr="00980D3E">
              <w:rPr>
                <w:rFonts w:ascii="Arial Narrow" w:hAnsi="Arial Narrow" w:cs="Arial Narrow"/>
                <w:sz w:val="20"/>
                <w:szCs w:val="20"/>
              </w:rPr>
              <w:t xml:space="preserve"> 2015; 100(10):1327-1333. </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 xml:space="preserve">Richardson PG, Dimopoulos MA, </w:t>
            </w:r>
            <w:r w:rsidRPr="00980D3E">
              <w:rPr>
                <w:rFonts w:ascii="Arial Narrow" w:hAnsi="Arial Narrow" w:cs="Arial Narrow"/>
                <w:i/>
                <w:sz w:val="20"/>
                <w:szCs w:val="20"/>
              </w:rPr>
              <w:t>et al.</w:t>
            </w:r>
            <w:r w:rsidRPr="00980D3E">
              <w:rPr>
                <w:rFonts w:ascii="Arial Narrow" w:hAnsi="Arial Narrow" w:cs="Arial Narrow"/>
                <w:sz w:val="20"/>
                <w:szCs w:val="20"/>
              </w:rPr>
              <w:t xml:space="preserve"> Efficacy and Safety Of Pomalidomide Plus Low-Dose Dexamethasone In Advanced Multiple Myeloma: Results Of Randomized Phase 2 and 3 Trials (MM-002/MM-003). </w:t>
            </w:r>
          </w:p>
        </w:tc>
        <w:tc>
          <w:tcPr>
            <w:tcW w:w="994"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i/>
                <w:sz w:val="20"/>
                <w:szCs w:val="20"/>
              </w:rPr>
              <w:t>Blood</w:t>
            </w:r>
            <w:r w:rsidRPr="00980D3E">
              <w:rPr>
                <w:rFonts w:ascii="Arial Narrow" w:hAnsi="Arial Narrow" w:cs="Arial Narrow"/>
                <w:sz w:val="20"/>
                <w:szCs w:val="20"/>
              </w:rPr>
              <w:t xml:space="preserve"> 2013; 122 (21) 3185.</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 xml:space="preserve">Moreau P, Weisel KC, </w:t>
            </w:r>
            <w:r w:rsidRPr="00980D3E">
              <w:rPr>
                <w:rFonts w:ascii="Arial Narrow" w:hAnsi="Arial Narrow" w:cs="Arial Narrow"/>
                <w:i/>
                <w:sz w:val="20"/>
                <w:szCs w:val="20"/>
              </w:rPr>
              <w:t>et al.</w:t>
            </w:r>
            <w:r w:rsidRPr="00980D3E">
              <w:rPr>
                <w:rFonts w:ascii="Arial Narrow" w:hAnsi="Arial Narrow" w:cs="Arial Narrow"/>
                <w:sz w:val="20"/>
                <w:szCs w:val="20"/>
              </w:rPr>
              <w:t xml:space="preserve"> Relationship of response and survival in patients with relapsed and refractory multiple myeloma treated with pomalidomide plus low-dose dexamethasone in the MM-003 trial randomized phase III trial (NIMBUS). </w:t>
            </w:r>
          </w:p>
        </w:tc>
        <w:tc>
          <w:tcPr>
            <w:tcW w:w="994"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i/>
                <w:sz w:val="20"/>
                <w:szCs w:val="20"/>
              </w:rPr>
              <w:t>Leukemia &amp; Lymphoma</w:t>
            </w:r>
            <w:r w:rsidRPr="00980D3E">
              <w:rPr>
                <w:rFonts w:ascii="Arial Narrow" w:hAnsi="Arial Narrow" w:cs="Arial Narrow"/>
                <w:sz w:val="20"/>
                <w:szCs w:val="20"/>
              </w:rPr>
              <w:t xml:space="preserve"> 2016; 57(12): 2839-2847.</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 xml:space="preserve">Morgan G, Palumbo A, </w:t>
            </w:r>
            <w:r w:rsidRPr="00980D3E">
              <w:rPr>
                <w:rFonts w:ascii="Arial Narrow" w:hAnsi="Arial Narrow" w:cs="Arial Narrow"/>
                <w:i/>
                <w:sz w:val="20"/>
                <w:szCs w:val="20"/>
              </w:rPr>
              <w:t>et al</w:t>
            </w:r>
            <w:r w:rsidRPr="00980D3E">
              <w:rPr>
                <w:rFonts w:ascii="Arial Narrow" w:hAnsi="Arial Narrow" w:cs="Arial Narrow"/>
                <w:sz w:val="20"/>
                <w:szCs w:val="20"/>
              </w:rPr>
              <w:t xml:space="preserve">. Overall survival of relapsed and refractory multiple myeloma patients after adjusting for crossover in the MM-003 trial for pomalidomide plus low-dose dexamethasone. </w:t>
            </w:r>
          </w:p>
        </w:tc>
        <w:tc>
          <w:tcPr>
            <w:tcW w:w="994"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i/>
                <w:sz w:val="20"/>
                <w:szCs w:val="20"/>
              </w:rPr>
              <w:t>British Journal of Haematology</w:t>
            </w:r>
            <w:r w:rsidRPr="00980D3E">
              <w:rPr>
                <w:rFonts w:ascii="Arial Narrow" w:hAnsi="Arial Narrow" w:cs="Arial Narrow"/>
                <w:sz w:val="20"/>
                <w:szCs w:val="20"/>
              </w:rPr>
              <w:t xml:space="preserve"> 2015; 168(6): 820-823.</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 xml:space="preserve">San Miguel JF, Weisel KC, </w:t>
            </w:r>
            <w:r w:rsidRPr="00980D3E">
              <w:rPr>
                <w:rFonts w:ascii="Arial Narrow" w:hAnsi="Arial Narrow" w:cs="Arial Narrow"/>
                <w:i/>
                <w:sz w:val="20"/>
                <w:szCs w:val="20"/>
              </w:rPr>
              <w:t>et al.</w:t>
            </w:r>
            <w:r w:rsidRPr="00980D3E">
              <w:rPr>
                <w:rFonts w:ascii="Arial Narrow" w:hAnsi="Arial Narrow" w:cs="Arial Narrow"/>
                <w:sz w:val="20"/>
                <w:szCs w:val="20"/>
              </w:rPr>
              <w:t xml:space="preserve"> Impact of prior treatment and depth of response on survival in MM-003, a randomized phase 3 study comparing pomalidomide plus low-dose dexamethasone versus high-dose dexamethasone in relapsed/refractory multiple myeloma. </w:t>
            </w:r>
          </w:p>
        </w:tc>
        <w:tc>
          <w:tcPr>
            <w:tcW w:w="994"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i/>
                <w:sz w:val="20"/>
                <w:szCs w:val="20"/>
              </w:rPr>
              <w:t>Haematologica</w:t>
            </w:r>
            <w:r w:rsidRPr="00980D3E">
              <w:rPr>
                <w:rFonts w:ascii="Arial Narrow" w:hAnsi="Arial Narrow" w:cs="Arial Narrow"/>
                <w:sz w:val="20"/>
                <w:szCs w:val="20"/>
              </w:rPr>
              <w:t xml:space="preserve"> 2015; 100 (10): 1334-1339.</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 xml:space="preserve">Siegel DS, Weisel KC, </w:t>
            </w:r>
            <w:r w:rsidRPr="00980D3E">
              <w:rPr>
                <w:rFonts w:ascii="Arial Narrow" w:hAnsi="Arial Narrow" w:cs="Arial Narrow"/>
                <w:i/>
                <w:sz w:val="20"/>
                <w:szCs w:val="20"/>
              </w:rPr>
              <w:t>et al.</w:t>
            </w:r>
            <w:r w:rsidRPr="00980D3E">
              <w:rPr>
                <w:rFonts w:ascii="Arial Narrow" w:hAnsi="Arial Narrow" w:cs="Arial Narrow"/>
                <w:sz w:val="20"/>
                <w:szCs w:val="20"/>
              </w:rPr>
              <w:t xml:space="preserve"> Pomalidomide plus low-dose dexamethasone in patients with relapsed/refractory multiple myeloma and moderate renal impairment: a pooled analysis of three clinical trials. </w:t>
            </w:r>
          </w:p>
        </w:tc>
        <w:tc>
          <w:tcPr>
            <w:tcW w:w="994"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i/>
                <w:sz w:val="20"/>
                <w:szCs w:val="20"/>
              </w:rPr>
              <w:t>Leukemia &amp; Lymphoma</w:t>
            </w:r>
            <w:r w:rsidRPr="00980D3E">
              <w:rPr>
                <w:rFonts w:ascii="Arial Narrow" w:hAnsi="Arial Narrow" w:cs="Arial Narrow"/>
                <w:sz w:val="20"/>
                <w:szCs w:val="20"/>
              </w:rPr>
              <w:t xml:space="preserve"> 2016; 57(12):2833-2838.</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 xml:space="preserve">Song KW, Dimopoulos MA, </w:t>
            </w:r>
            <w:r w:rsidRPr="00980D3E">
              <w:rPr>
                <w:rFonts w:ascii="Arial Narrow" w:hAnsi="Arial Narrow" w:cs="Arial Narrow"/>
                <w:i/>
                <w:sz w:val="20"/>
                <w:szCs w:val="20"/>
              </w:rPr>
              <w:t>et al.</w:t>
            </w:r>
            <w:r w:rsidRPr="00980D3E">
              <w:rPr>
                <w:rFonts w:ascii="Arial Narrow" w:hAnsi="Arial Narrow" w:cs="Arial Narrow"/>
                <w:sz w:val="20"/>
                <w:szCs w:val="20"/>
              </w:rPr>
              <w:t xml:space="preserve"> Health-related quality of life from the MM-003 trial of pomalidomide plus low-dose dexamethasone versus high-dose dexamethasone in relapsed and/or refractory multiple myeloma. </w:t>
            </w:r>
          </w:p>
        </w:tc>
        <w:tc>
          <w:tcPr>
            <w:tcW w:w="994"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i/>
                <w:sz w:val="20"/>
                <w:szCs w:val="20"/>
              </w:rPr>
              <w:t>Hematologica</w:t>
            </w:r>
            <w:r w:rsidRPr="00980D3E">
              <w:rPr>
                <w:rFonts w:ascii="Arial Narrow" w:hAnsi="Arial Narrow" w:cs="Arial Narrow"/>
                <w:sz w:val="20"/>
                <w:szCs w:val="20"/>
              </w:rPr>
              <w:t xml:space="preserve"> 2015; 100(2):e63-e67. </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Weisel K, Dimopoulos M,</w:t>
            </w:r>
            <w:r w:rsidRPr="00980D3E">
              <w:rPr>
                <w:rFonts w:ascii="Arial Narrow" w:hAnsi="Arial Narrow" w:cs="Arial Narrow"/>
                <w:i/>
                <w:sz w:val="20"/>
                <w:szCs w:val="20"/>
              </w:rPr>
              <w:t xml:space="preserve"> et al.</w:t>
            </w:r>
            <w:r w:rsidRPr="00980D3E">
              <w:rPr>
                <w:rFonts w:ascii="Arial Narrow" w:hAnsi="Arial Narrow" w:cs="Arial Narrow"/>
                <w:sz w:val="20"/>
                <w:szCs w:val="20"/>
              </w:rPr>
              <w:t xml:space="preserve"> Pomalidomide and Low-Dose Dexamethasone Improves Health-Related Quality of Life and Prolongs Time to Worsening in Relapsed/Refractory Patients With Multiple Myeloma Enrolled in the MM-003 Randomized Phase III Trial. </w:t>
            </w:r>
          </w:p>
        </w:tc>
        <w:tc>
          <w:tcPr>
            <w:tcW w:w="994"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i/>
                <w:sz w:val="20"/>
                <w:szCs w:val="20"/>
              </w:rPr>
              <w:t>Clinical Lymphoma Myeloma and Leukemia</w:t>
            </w:r>
            <w:r w:rsidRPr="00980D3E">
              <w:rPr>
                <w:rFonts w:ascii="Arial Narrow" w:hAnsi="Arial Narrow" w:cs="Arial Narrow"/>
                <w:sz w:val="20"/>
                <w:szCs w:val="20"/>
              </w:rPr>
              <w:t xml:space="preserve"> 2015; 15(9):519-530.</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 xml:space="preserve">Weisel K, Dimopoulos M, </w:t>
            </w:r>
            <w:r w:rsidRPr="00980D3E">
              <w:rPr>
                <w:rFonts w:ascii="Arial Narrow" w:hAnsi="Arial Narrow" w:cs="Arial Narrow"/>
                <w:i/>
                <w:sz w:val="20"/>
                <w:szCs w:val="20"/>
              </w:rPr>
              <w:t>et al</w:t>
            </w:r>
            <w:r w:rsidRPr="00980D3E">
              <w:rPr>
                <w:rFonts w:ascii="Arial Narrow" w:hAnsi="Arial Narrow" w:cs="Arial Narrow"/>
                <w:sz w:val="20"/>
                <w:szCs w:val="20"/>
              </w:rPr>
              <w:t xml:space="preserve">. Pomalidomide and Low-Dose Dexamethasone Improves Health-Related Quality of Life and Prolongs Time to Worsening in Relapsed/Refractory Patients With Multiple Myeloma Enrolled in the MM-003 Randomized Phase III Trial. </w:t>
            </w:r>
          </w:p>
        </w:tc>
        <w:tc>
          <w:tcPr>
            <w:tcW w:w="994"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i/>
                <w:sz w:val="20"/>
                <w:szCs w:val="20"/>
              </w:rPr>
              <w:t>Clinical Lymphoma, Myeloma and Leukemia</w:t>
            </w:r>
            <w:r w:rsidRPr="00980D3E">
              <w:rPr>
                <w:rFonts w:ascii="Arial Narrow" w:hAnsi="Arial Narrow" w:cs="Arial Narrow"/>
                <w:sz w:val="20"/>
                <w:szCs w:val="20"/>
              </w:rPr>
              <w:t xml:space="preserve"> 2015; 15(9):610.</w:t>
            </w:r>
          </w:p>
        </w:tc>
      </w:tr>
      <w:tr w:rsidR="000C385D" w:rsidRPr="00980D3E" w:rsidTr="000C385D">
        <w:trPr>
          <w:cantSplit/>
          <w:tblHeader/>
        </w:trPr>
        <w:tc>
          <w:tcPr>
            <w:tcW w:w="784" w:type="pct"/>
            <w:vMerge/>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p>
        </w:tc>
        <w:tc>
          <w:tcPr>
            <w:tcW w:w="3222"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sz w:val="20"/>
                <w:szCs w:val="20"/>
              </w:rPr>
              <w:t xml:space="preserve">Weisel KC, Dimopoulos MA, </w:t>
            </w:r>
            <w:r w:rsidRPr="00980D3E">
              <w:rPr>
                <w:rFonts w:ascii="Arial Narrow" w:hAnsi="Arial Narrow" w:cs="Arial Narrow"/>
                <w:i/>
                <w:sz w:val="20"/>
                <w:szCs w:val="20"/>
              </w:rPr>
              <w:t>et al</w:t>
            </w:r>
            <w:r w:rsidRPr="00980D3E">
              <w:rPr>
                <w:rFonts w:ascii="Arial Narrow" w:hAnsi="Arial Narrow" w:cs="Arial Narrow"/>
                <w:sz w:val="20"/>
                <w:szCs w:val="20"/>
              </w:rPr>
              <w:t>. Analysis of renal impairment in MM-003, a phase III study of pomalidomide + low-dose dexamethasone versus high-dose dexamethasone in refractory or relapsed and refractory multiple myeloma.</w:t>
            </w:r>
          </w:p>
        </w:tc>
        <w:tc>
          <w:tcPr>
            <w:tcW w:w="994" w:type="pct"/>
            <w:tcMar>
              <w:left w:w="28" w:type="dxa"/>
              <w:right w:w="28" w:type="dxa"/>
            </w:tcMar>
          </w:tcPr>
          <w:p w:rsidR="000C385D" w:rsidRPr="00980D3E" w:rsidRDefault="000C385D" w:rsidP="00890682">
            <w:pPr>
              <w:spacing w:before="40" w:after="40"/>
              <w:jc w:val="left"/>
              <w:rPr>
                <w:rFonts w:ascii="Arial Narrow" w:hAnsi="Arial Narrow" w:cs="Arial Narrow"/>
                <w:sz w:val="20"/>
                <w:szCs w:val="20"/>
              </w:rPr>
            </w:pPr>
            <w:r w:rsidRPr="00980D3E">
              <w:rPr>
                <w:rFonts w:ascii="Arial Narrow" w:hAnsi="Arial Narrow" w:cs="Arial Narrow"/>
                <w:i/>
                <w:sz w:val="20"/>
                <w:szCs w:val="20"/>
              </w:rPr>
              <w:t>Haematologica</w:t>
            </w:r>
            <w:r w:rsidRPr="00980D3E">
              <w:rPr>
                <w:rFonts w:ascii="Arial Narrow" w:hAnsi="Arial Narrow" w:cs="Arial Narrow"/>
                <w:sz w:val="20"/>
                <w:szCs w:val="20"/>
              </w:rPr>
              <w:t xml:space="preserve"> 2016; 101(7):872-878.</w:t>
            </w:r>
          </w:p>
        </w:tc>
      </w:tr>
    </w:tbl>
    <w:p w:rsidR="00F152F7" w:rsidRPr="00980D3E" w:rsidRDefault="005968A2" w:rsidP="00B23A4C">
      <w:pPr>
        <w:pStyle w:val="TableFigureFooter"/>
      </w:pPr>
      <w:r w:rsidRPr="00980D3E">
        <w:t>Source: Table 22, pp66-69 of the March 2020 resubmission</w:t>
      </w:r>
      <w:r w:rsidR="00FD22F5" w:rsidRPr="00980D3E">
        <w:t>.</w:t>
      </w:r>
    </w:p>
    <w:p w:rsidR="000C385D" w:rsidRPr="00980D3E" w:rsidRDefault="000C385D" w:rsidP="00B23A4C">
      <w:pPr>
        <w:pStyle w:val="TableFigureFooter"/>
      </w:pPr>
      <w:r w:rsidRPr="00980D3E">
        <w:t xml:space="preserve">* For conference abstract citations see July 2019 Public Summary Document for plitidepsin </w:t>
      </w:r>
    </w:p>
    <w:p w:rsidR="007F1017" w:rsidRPr="00980D3E" w:rsidRDefault="008F120A" w:rsidP="00BB728E">
      <w:pPr>
        <w:pStyle w:val="3-BodyText"/>
      </w:pPr>
      <w:r w:rsidRPr="00980D3E">
        <w:t xml:space="preserve">The key features of the randomised trials are summarised in </w:t>
      </w:r>
      <w:r w:rsidR="00BB728E" w:rsidRPr="00980D3E">
        <w:t>Table 4</w:t>
      </w:r>
      <w:r w:rsidRPr="00980D3E">
        <w:t>.</w:t>
      </w:r>
      <w:r w:rsidR="00BC591F" w:rsidRPr="00980D3E">
        <w:t xml:space="preserve"> </w:t>
      </w:r>
    </w:p>
    <w:p w:rsidR="00B23A4C" w:rsidRPr="00980D3E" w:rsidRDefault="00BB728E" w:rsidP="00D443C2">
      <w:pPr>
        <w:pStyle w:val="TableHeading"/>
        <w:keepLines/>
        <w:widowControl w:val="0"/>
      </w:pPr>
      <w:bookmarkStart w:id="17" w:name="_Ref33524211"/>
      <w:r w:rsidRPr="00980D3E">
        <w:t>Table 4</w:t>
      </w:r>
      <w:bookmarkEnd w:id="17"/>
      <w:r w:rsidR="00B23A4C" w:rsidRPr="00980D3E">
        <w:t xml:space="preserve">: Key features of the included evidence </w:t>
      </w:r>
      <w:r w:rsidR="00FD22F5" w:rsidRPr="00980D3E">
        <w:rPr>
          <w:rStyle w:val="CommentReference"/>
          <w:b/>
          <w:szCs w:val="24"/>
        </w:rPr>
        <w:t>(unchanged from previous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9"/>
        <w:gridCol w:w="566"/>
        <w:gridCol w:w="2126"/>
        <w:gridCol w:w="709"/>
        <w:gridCol w:w="2126"/>
        <w:gridCol w:w="1134"/>
        <w:gridCol w:w="1367"/>
      </w:tblGrid>
      <w:tr w:rsidR="00B23A4C" w:rsidRPr="00980D3E" w:rsidTr="00506156">
        <w:tc>
          <w:tcPr>
            <w:tcW w:w="548" w:type="pct"/>
            <w:shd w:val="clear" w:color="auto" w:fill="auto"/>
            <w:vAlign w:val="center"/>
          </w:tcPr>
          <w:p w:rsidR="00B23A4C" w:rsidRPr="00980D3E" w:rsidRDefault="00B23A4C" w:rsidP="00D443C2">
            <w:pPr>
              <w:keepNext/>
              <w:keepLines/>
              <w:widowControl w:val="0"/>
              <w:jc w:val="left"/>
              <w:rPr>
                <w:rFonts w:ascii="Arial Narrow" w:hAnsi="Arial Narrow" w:cs="Times New Roman"/>
                <w:b/>
                <w:sz w:val="20"/>
                <w:szCs w:val="22"/>
                <w:lang w:eastAsia="en-US"/>
              </w:rPr>
            </w:pPr>
            <w:r w:rsidRPr="00980D3E">
              <w:rPr>
                <w:rFonts w:ascii="Arial Narrow" w:hAnsi="Arial Narrow" w:cs="Times New Roman"/>
                <w:b/>
                <w:sz w:val="20"/>
                <w:szCs w:val="22"/>
                <w:lang w:eastAsia="en-US"/>
              </w:rPr>
              <w:t>Trial</w:t>
            </w:r>
          </w:p>
        </w:tc>
        <w:tc>
          <w:tcPr>
            <w:tcW w:w="314" w:type="pct"/>
            <w:shd w:val="clear" w:color="auto" w:fill="auto"/>
            <w:vAlign w:val="center"/>
          </w:tcPr>
          <w:p w:rsidR="00B23A4C" w:rsidRPr="00980D3E" w:rsidRDefault="00B23A4C" w:rsidP="00D443C2">
            <w:pPr>
              <w:keepNext/>
              <w:keepLines/>
              <w:widowControl w:val="0"/>
              <w:jc w:val="center"/>
              <w:rPr>
                <w:rFonts w:ascii="Arial Narrow" w:hAnsi="Arial Narrow" w:cs="Times New Roman"/>
                <w:b/>
                <w:sz w:val="20"/>
                <w:szCs w:val="22"/>
                <w:lang w:eastAsia="en-US"/>
              </w:rPr>
            </w:pPr>
            <w:r w:rsidRPr="00980D3E">
              <w:rPr>
                <w:rFonts w:ascii="Arial Narrow" w:hAnsi="Arial Narrow" w:cs="Times New Roman"/>
                <w:b/>
                <w:sz w:val="20"/>
                <w:szCs w:val="22"/>
                <w:lang w:eastAsia="en-US"/>
              </w:rPr>
              <w:t>N</w:t>
            </w:r>
          </w:p>
        </w:tc>
        <w:tc>
          <w:tcPr>
            <w:tcW w:w="1179" w:type="pct"/>
            <w:shd w:val="clear" w:color="auto" w:fill="auto"/>
            <w:vAlign w:val="center"/>
          </w:tcPr>
          <w:p w:rsidR="00B23A4C" w:rsidRPr="00980D3E" w:rsidRDefault="00B23A4C" w:rsidP="00D443C2">
            <w:pPr>
              <w:keepNext/>
              <w:keepLines/>
              <w:widowControl w:val="0"/>
              <w:jc w:val="center"/>
              <w:rPr>
                <w:rFonts w:ascii="Arial Narrow" w:hAnsi="Arial Narrow" w:cs="Times New Roman"/>
                <w:b/>
                <w:sz w:val="20"/>
                <w:szCs w:val="22"/>
                <w:lang w:eastAsia="en-US"/>
              </w:rPr>
            </w:pPr>
            <w:r w:rsidRPr="00980D3E">
              <w:rPr>
                <w:rFonts w:ascii="Arial Narrow" w:hAnsi="Arial Narrow" w:cs="Times New Roman"/>
                <w:b/>
                <w:sz w:val="20"/>
                <w:szCs w:val="22"/>
                <w:lang w:eastAsia="en-US"/>
              </w:rPr>
              <w:t>Design/median follow-up</w:t>
            </w:r>
          </w:p>
        </w:tc>
        <w:tc>
          <w:tcPr>
            <w:tcW w:w="393" w:type="pct"/>
            <w:shd w:val="clear" w:color="auto" w:fill="auto"/>
            <w:vAlign w:val="center"/>
          </w:tcPr>
          <w:p w:rsidR="00B23A4C" w:rsidRPr="00980D3E" w:rsidRDefault="00B23A4C" w:rsidP="00D443C2">
            <w:pPr>
              <w:keepNext/>
              <w:keepLines/>
              <w:widowControl w:val="0"/>
              <w:jc w:val="center"/>
              <w:rPr>
                <w:rFonts w:ascii="Arial Narrow" w:hAnsi="Arial Narrow" w:cs="Times New Roman"/>
                <w:b/>
                <w:sz w:val="20"/>
                <w:szCs w:val="22"/>
                <w:lang w:eastAsia="en-US"/>
              </w:rPr>
            </w:pPr>
            <w:r w:rsidRPr="00980D3E">
              <w:rPr>
                <w:rFonts w:ascii="Arial Narrow" w:hAnsi="Arial Narrow" w:cs="Times New Roman"/>
                <w:b/>
                <w:sz w:val="20"/>
                <w:szCs w:val="22"/>
                <w:lang w:eastAsia="en-US"/>
              </w:rPr>
              <w:t>Risk of bias</w:t>
            </w:r>
          </w:p>
        </w:tc>
        <w:tc>
          <w:tcPr>
            <w:tcW w:w="1179" w:type="pct"/>
            <w:shd w:val="clear" w:color="auto" w:fill="auto"/>
            <w:vAlign w:val="center"/>
          </w:tcPr>
          <w:p w:rsidR="00B23A4C" w:rsidRPr="00980D3E" w:rsidRDefault="00B23A4C" w:rsidP="00D443C2">
            <w:pPr>
              <w:keepNext/>
              <w:keepLines/>
              <w:widowControl w:val="0"/>
              <w:jc w:val="center"/>
              <w:rPr>
                <w:rFonts w:ascii="Arial Narrow" w:hAnsi="Arial Narrow" w:cs="Times New Roman"/>
                <w:b/>
                <w:sz w:val="20"/>
                <w:szCs w:val="22"/>
                <w:lang w:eastAsia="en-US"/>
              </w:rPr>
            </w:pPr>
            <w:r w:rsidRPr="00980D3E">
              <w:rPr>
                <w:rFonts w:ascii="Arial Narrow" w:hAnsi="Arial Narrow" w:cs="Times New Roman"/>
                <w:b/>
                <w:sz w:val="20"/>
                <w:szCs w:val="22"/>
                <w:lang w:eastAsia="en-US"/>
              </w:rPr>
              <w:t>Patient population</w:t>
            </w:r>
          </w:p>
        </w:tc>
        <w:tc>
          <w:tcPr>
            <w:tcW w:w="629" w:type="pct"/>
            <w:shd w:val="clear" w:color="auto" w:fill="auto"/>
            <w:vAlign w:val="center"/>
          </w:tcPr>
          <w:p w:rsidR="00B23A4C" w:rsidRPr="00980D3E" w:rsidRDefault="00B23A4C" w:rsidP="00D443C2">
            <w:pPr>
              <w:keepNext/>
              <w:keepLines/>
              <w:widowControl w:val="0"/>
              <w:jc w:val="center"/>
              <w:rPr>
                <w:rFonts w:ascii="Arial Narrow" w:hAnsi="Arial Narrow" w:cs="Times New Roman"/>
                <w:b/>
                <w:sz w:val="20"/>
                <w:szCs w:val="22"/>
                <w:lang w:eastAsia="en-US"/>
              </w:rPr>
            </w:pPr>
            <w:r w:rsidRPr="00980D3E">
              <w:rPr>
                <w:rFonts w:ascii="Arial Narrow" w:hAnsi="Arial Narrow" w:cs="Times New Roman"/>
                <w:b/>
                <w:sz w:val="20"/>
                <w:szCs w:val="22"/>
                <w:lang w:eastAsia="en-US"/>
              </w:rPr>
              <w:t>Outcomes</w:t>
            </w:r>
          </w:p>
        </w:tc>
        <w:tc>
          <w:tcPr>
            <w:tcW w:w="758" w:type="pct"/>
            <w:shd w:val="clear" w:color="auto" w:fill="auto"/>
            <w:vAlign w:val="center"/>
          </w:tcPr>
          <w:p w:rsidR="00B23A4C" w:rsidRPr="00980D3E" w:rsidRDefault="00B23A4C" w:rsidP="00D443C2">
            <w:pPr>
              <w:keepNext/>
              <w:keepLines/>
              <w:widowControl w:val="0"/>
              <w:jc w:val="center"/>
              <w:rPr>
                <w:rFonts w:ascii="Arial Narrow" w:hAnsi="Arial Narrow" w:cs="Times New Roman"/>
                <w:b/>
                <w:sz w:val="20"/>
                <w:szCs w:val="22"/>
                <w:lang w:eastAsia="en-US"/>
              </w:rPr>
            </w:pPr>
            <w:r w:rsidRPr="00980D3E">
              <w:rPr>
                <w:rFonts w:ascii="Arial Narrow" w:hAnsi="Arial Narrow" w:cs="Times New Roman"/>
                <w:b/>
                <w:sz w:val="20"/>
                <w:szCs w:val="22"/>
                <w:lang w:eastAsia="en-US"/>
              </w:rPr>
              <w:t>Use in modelled evaluation</w:t>
            </w:r>
          </w:p>
        </w:tc>
      </w:tr>
      <w:tr w:rsidR="00B23A4C" w:rsidRPr="00980D3E" w:rsidTr="00890682">
        <w:tc>
          <w:tcPr>
            <w:tcW w:w="5000" w:type="pct"/>
            <w:gridSpan w:val="7"/>
            <w:shd w:val="clear" w:color="auto" w:fill="auto"/>
            <w:vAlign w:val="center"/>
          </w:tcPr>
          <w:p w:rsidR="00B23A4C" w:rsidRPr="00980D3E" w:rsidRDefault="00B23A4C" w:rsidP="00D443C2">
            <w:pPr>
              <w:keepNext/>
              <w:keepLines/>
              <w:widowControl w:val="0"/>
              <w:jc w:val="left"/>
              <w:rPr>
                <w:rFonts w:ascii="Arial Narrow" w:hAnsi="Arial Narrow" w:cs="Times New Roman"/>
                <w:b/>
                <w:sz w:val="20"/>
                <w:szCs w:val="22"/>
                <w:lang w:eastAsia="en-US"/>
              </w:rPr>
            </w:pPr>
            <w:r w:rsidRPr="00980D3E">
              <w:rPr>
                <w:rFonts w:ascii="Arial Narrow" w:hAnsi="Arial Narrow" w:cs="Times New Roman"/>
                <w:b/>
                <w:sz w:val="20"/>
                <w:szCs w:val="22"/>
                <w:lang w:eastAsia="en-US"/>
              </w:rPr>
              <w:t>Plitidepsin +</w:t>
            </w:r>
            <w:r w:rsidR="00262F6C" w:rsidRPr="00980D3E">
              <w:rPr>
                <w:rFonts w:ascii="Arial Narrow" w:hAnsi="Arial Narrow" w:cs="Times New Roman"/>
                <w:b/>
                <w:sz w:val="20"/>
                <w:szCs w:val="22"/>
                <w:lang w:eastAsia="en-US"/>
              </w:rPr>
              <w:t xml:space="preserve"> </w:t>
            </w:r>
            <w:r w:rsidR="00C50AE9" w:rsidRPr="00980D3E">
              <w:rPr>
                <w:rFonts w:ascii="Arial Narrow" w:hAnsi="Arial Narrow" w:cs="Times New Roman"/>
                <w:b/>
                <w:sz w:val="20"/>
                <w:szCs w:val="22"/>
                <w:lang w:eastAsia="en-US"/>
              </w:rPr>
              <w:t>Dxm</w:t>
            </w:r>
            <w:r w:rsidRPr="00980D3E">
              <w:rPr>
                <w:rFonts w:ascii="Arial Narrow" w:hAnsi="Arial Narrow" w:cs="Times New Roman"/>
                <w:b/>
                <w:sz w:val="20"/>
                <w:szCs w:val="22"/>
                <w:lang w:eastAsia="en-US"/>
              </w:rPr>
              <w:t xml:space="preserve"> vs. </w:t>
            </w:r>
            <w:r w:rsidR="00C50AE9" w:rsidRPr="00980D3E">
              <w:rPr>
                <w:rFonts w:ascii="Arial Narrow" w:hAnsi="Arial Narrow" w:cs="Times New Roman"/>
                <w:b/>
                <w:sz w:val="20"/>
                <w:szCs w:val="22"/>
                <w:lang w:eastAsia="en-US"/>
              </w:rPr>
              <w:t>Dxm</w:t>
            </w:r>
            <w:r w:rsidRPr="00980D3E">
              <w:rPr>
                <w:rFonts w:ascii="Arial Narrow" w:hAnsi="Arial Narrow" w:cs="Times New Roman"/>
                <w:b/>
                <w:sz w:val="20"/>
                <w:szCs w:val="22"/>
                <w:lang w:eastAsia="en-US"/>
              </w:rPr>
              <w:t xml:space="preserve"> monotherapy</w:t>
            </w:r>
          </w:p>
        </w:tc>
      </w:tr>
      <w:tr w:rsidR="00B23A4C" w:rsidRPr="00980D3E" w:rsidTr="00506156">
        <w:tc>
          <w:tcPr>
            <w:tcW w:w="548" w:type="pct"/>
            <w:shd w:val="clear" w:color="auto" w:fill="auto"/>
          </w:tcPr>
          <w:p w:rsidR="00B23A4C" w:rsidRPr="00980D3E" w:rsidRDefault="00B23A4C" w:rsidP="00D443C2">
            <w:pPr>
              <w:keepNext/>
              <w:keepLines/>
              <w:widowControl w:val="0"/>
              <w:jc w:val="left"/>
              <w:rPr>
                <w:rFonts w:ascii="Arial Narrow" w:hAnsi="Arial Narrow" w:cs="Times New Roman"/>
                <w:sz w:val="20"/>
                <w:szCs w:val="22"/>
                <w:lang w:eastAsia="en-US"/>
              </w:rPr>
            </w:pPr>
            <w:r w:rsidRPr="00980D3E">
              <w:rPr>
                <w:rFonts w:ascii="Arial Narrow" w:hAnsi="Arial Narrow" w:cs="Times New Roman"/>
                <w:sz w:val="20"/>
                <w:szCs w:val="22"/>
                <w:lang w:eastAsia="en-US"/>
              </w:rPr>
              <w:t>ADMYRE</w:t>
            </w:r>
          </w:p>
        </w:tc>
        <w:tc>
          <w:tcPr>
            <w:tcW w:w="314" w:type="pct"/>
            <w:shd w:val="clear" w:color="auto" w:fill="auto"/>
          </w:tcPr>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225</w:t>
            </w:r>
          </w:p>
        </w:tc>
        <w:tc>
          <w:tcPr>
            <w:tcW w:w="1179" w:type="pct"/>
            <w:shd w:val="clear" w:color="auto" w:fill="auto"/>
          </w:tcPr>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R, OL, MC</w:t>
            </w:r>
          </w:p>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 xml:space="preserve">Plitidepsin arm: </w:t>
            </w:r>
            <w:r w:rsidR="006D4643" w:rsidRPr="00980D3E">
              <w:rPr>
                <w:rFonts w:ascii="Arial Narrow" w:hAnsi="Arial Narrow" w:cs="Times New Roman"/>
                <w:sz w:val="20"/>
                <w:szCs w:val="22"/>
                <w:lang w:eastAsia="en-US"/>
              </w:rPr>
              <w:br/>
            </w:r>
            <w:r w:rsidRPr="00980D3E">
              <w:rPr>
                <w:rFonts w:ascii="Arial Narrow" w:hAnsi="Arial Narrow" w:cs="Times New Roman"/>
                <w:sz w:val="20"/>
                <w:szCs w:val="22"/>
                <w:lang w:eastAsia="en-US"/>
              </w:rPr>
              <w:t>PFS: 17.1 months</w:t>
            </w:r>
            <w:r w:rsidRPr="00980D3E">
              <w:rPr>
                <w:rFonts w:ascii="Arial Narrow" w:hAnsi="Arial Narrow" w:cs="Times New Roman"/>
                <w:sz w:val="20"/>
                <w:szCs w:val="22"/>
                <w:vertAlign w:val="superscript"/>
                <w:lang w:eastAsia="en-US"/>
              </w:rPr>
              <w:t>a</w:t>
            </w:r>
            <w:r w:rsidRPr="00980D3E">
              <w:rPr>
                <w:rFonts w:ascii="Arial Narrow" w:hAnsi="Arial Narrow" w:cs="Times New Roman"/>
                <w:sz w:val="20"/>
                <w:szCs w:val="22"/>
                <w:lang w:eastAsia="en-US"/>
              </w:rPr>
              <w:t>;</w:t>
            </w:r>
          </w:p>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OS: 33.4 months</w:t>
            </w:r>
            <w:r w:rsidRPr="00980D3E">
              <w:rPr>
                <w:rFonts w:ascii="Arial Narrow" w:hAnsi="Arial Narrow" w:cs="Times New Roman"/>
                <w:sz w:val="20"/>
                <w:szCs w:val="22"/>
                <w:vertAlign w:val="superscript"/>
                <w:lang w:eastAsia="en-US"/>
              </w:rPr>
              <w:t>b</w:t>
            </w:r>
            <w:r w:rsidRPr="00980D3E">
              <w:rPr>
                <w:rFonts w:ascii="Arial Narrow" w:hAnsi="Arial Narrow" w:cs="Times New Roman"/>
                <w:sz w:val="20"/>
                <w:szCs w:val="22"/>
                <w:lang w:eastAsia="en-US"/>
              </w:rPr>
              <w:t>;</w:t>
            </w:r>
          </w:p>
          <w:p w:rsidR="00B23A4C" w:rsidRPr="00980D3E" w:rsidRDefault="00C50AE9"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Dxm</w:t>
            </w:r>
            <w:r w:rsidR="00B23A4C" w:rsidRPr="00980D3E">
              <w:rPr>
                <w:rFonts w:ascii="Arial Narrow" w:hAnsi="Arial Narrow" w:cs="Times New Roman"/>
                <w:sz w:val="20"/>
                <w:szCs w:val="22"/>
                <w:lang w:eastAsia="en-US"/>
              </w:rPr>
              <w:t xml:space="preserve"> arm:</w:t>
            </w:r>
          </w:p>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PFS: 20.7 months</w:t>
            </w:r>
            <w:r w:rsidRPr="00980D3E">
              <w:rPr>
                <w:rFonts w:ascii="Arial Narrow" w:hAnsi="Arial Narrow" w:cs="Times New Roman"/>
                <w:sz w:val="20"/>
                <w:szCs w:val="22"/>
                <w:vertAlign w:val="superscript"/>
                <w:lang w:eastAsia="en-US"/>
              </w:rPr>
              <w:t>a</w:t>
            </w:r>
            <w:r w:rsidRPr="00980D3E">
              <w:rPr>
                <w:rFonts w:ascii="Arial Narrow" w:hAnsi="Arial Narrow" w:cs="Times New Roman"/>
                <w:sz w:val="20"/>
                <w:szCs w:val="22"/>
                <w:lang w:eastAsia="en-US"/>
              </w:rPr>
              <w:t>;</w:t>
            </w:r>
          </w:p>
          <w:p w:rsidR="00B23A4C" w:rsidRPr="00980D3E" w:rsidRDefault="00B23A4C" w:rsidP="00D443C2">
            <w:pPr>
              <w:keepNext/>
              <w:keepLines/>
              <w:widowControl w:val="0"/>
              <w:jc w:val="center"/>
              <w:rPr>
                <w:rFonts w:ascii="Arial Narrow" w:hAnsi="Arial Narrow" w:cs="Times New Roman"/>
                <w:sz w:val="22"/>
                <w:szCs w:val="22"/>
                <w:lang w:eastAsia="en-US"/>
              </w:rPr>
            </w:pPr>
            <w:r w:rsidRPr="00980D3E">
              <w:rPr>
                <w:rFonts w:ascii="Arial Narrow" w:hAnsi="Arial Narrow" w:cs="Times New Roman"/>
                <w:sz w:val="20"/>
                <w:szCs w:val="22"/>
                <w:lang w:eastAsia="en-US"/>
              </w:rPr>
              <w:t>OS: 36.3 months</w:t>
            </w:r>
            <w:r w:rsidRPr="00980D3E">
              <w:rPr>
                <w:rFonts w:ascii="Arial Narrow" w:hAnsi="Arial Narrow" w:cs="Times New Roman"/>
                <w:sz w:val="20"/>
                <w:szCs w:val="22"/>
                <w:vertAlign w:val="superscript"/>
                <w:lang w:eastAsia="en-US"/>
              </w:rPr>
              <w:t>b</w:t>
            </w:r>
          </w:p>
        </w:tc>
        <w:tc>
          <w:tcPr>
            <w:tcW w:w="393" w:type="pct"/>
            <w:shd w:val="clear" w:color="auto" w:fill="auto"/>
          </w:tcPr>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Low</w:t>
            </w:r>
          </w:p>
        </w:tc>
        <w:tc>
          <w:tcPr>
            <w:tcW w:w="1179" w:type="pct"/>
            <w:shd w:val="clear" w:color="auto" w:fill="auto"/>
          </w:tcPr>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RRMM patients who received prior bortezomib and lenalidomide (or thalidomide)</w:t>
            </w:r>
          </w:p>
        </w:tc>
        <w:tc>
          <w:tcPr>
            <w:tcW w:w="629" w:type="pct"/>
            <w:shd w:val="clear" w:color="auto" w:fill="auto"/>
          </w:tcPr>
          <w:p w:rsidR="009869FB"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PFS,</w:t>
            </w:r>
          </w:p>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PFS with PD confirmation</w:t>
            </w:r>
            <w:r w:rsidR="009869FB" w:rsidRPr="00980D3E">
              <w:rPr>
                <w:rFonts w:ascii="Arial Narrow" w:hAnsi="Arial Narrow" w:cs="Times New Roman"/>
                <w:sz w:val="20"/>
                <w:szCs w:val="22"/>
                <w:lang w:eastAsia="en-US"/>
              </w:rPr>
              <w:t>,</w:t>
            </w:r>
            <w:r w:rsidRPr="00980D3E">
              <w:rPr>
                <w:rFonts w:ascii="Arial Narrow" w:hAnsi="Arial Narrow" w:cs="Times New Roman"/>
                <w:sz w:val="20"/>
                <w:szCs w:val="22"/>
                <w:lang w:eastAsia="en-US"/>
              </w:rPr>
              <w:t xml:space="preserve"> OS, Safety</w:t>
            </w:r>
          </w:p>
        </w:tc>
        <w:tc>
          <w:tcPr>
            <w:tcW w:w="758" w:type="pct"/>
            <w:shd w:val="clear" w:color="auto" w:fill="auto"/>
          </w:tcPr>
          <w:p w:rsidR="00B23A4C" w:rsidRPr="00980D3E" w:rsidRDefault="0097214E"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PFS with PD confirmation</w:t>
            </w:r>
            <w:r w:rsidR="00B23A4C" w:rsidRPr="00980D3E">
              <w:rPr>
                <w:rFonts w:ascii="Arial Narrow" w:hAnsi="Arial Narrow" w:cs="Times New Roman"/>
                <w:sz w:val="20"/>
                <w:szCs w:val="22"/>
                <w:lang w:eastAsia="en-US"/>
              </w:rPr>
              <w:t xml:space="preserve">, OS, TTF </w:t>
            </w:r>
          </w:p>
        </w:tc>
      </w:tr>
      <w:tr w:rsidR="00B23A4C" w:rsidRPr="00980D3E" w:rsidTr="00890682">
        <w:tc>
          <w:tcPr>
            <w:tcW w:w="5000" w:type="pct"/>
            <w:gridSpan w:val="7"/>
            <w:shd w:val="clear" w:color="auto" w:fill="auto"/>
            <w:vAlign w:val="center"/>
          </w:tcPr>
          <w:p w:rsidR="00B23A4C" w:rsidRPr="00980D3E" w:rsidRDefault="00B23A4C" w:rsidP="00D443C2">
            <w:pPr>
              <w:keepNext/>
              <w:keepLines/>
              <w:widowControl w:val="0"/>
              <w:jc w:val="left"/>
              <w:rPr>
                <w:rFonts w:ascii="Arial Narrow" w:hAnsi="Arial Narrow" w:cs="Times New Roman"/>
                <w:b/>
                <w:sz w:val="20"/>
                <w:szCs w:val="22"/>
                <w:lang w:eastAsia="en-US"/>
              </w:rPr>
            </w:pPr>
            <w:r w:rsidRPr="00980D3E">
              <w:rPr>
                <w:rFonts w:ascii="Arial Narrow" w:hAnsi="Arial Narrow" w:cs="Times New Roman"/>
                <w:b/>
                <w:sz w:val="20"/>
                <w:szCs w:val="22"/>
                <w:lang w:eastAsia="en-US"/>
              </w:rPr>
              <w:t xml:space="preserve">Pomalidomide + </w:t>
            </w:r>
            <w:r w:rsidR="00C50AE9" w:rsidRPr="00980D3E">
              <w:rPr>
                <w:rFonts w:ascii="Arial Narrow" w:hAnsi="Arial Narrow" w:cs="Times New Roman"/>
                <w:b/>
                <w:sz w:val="20"/>
                <w:szCs w:val="22"/>
                <w:lang w:eastAsia="en-US"/>
              </w:rPr>
              <w:t>Dxm</w:t>
            </w:r>
            <w:r w:rsidRPr="00980D3E">
              <w:rPr>
                <w:rFonts w:ascii="Arial Narrow" w:hAnsi="Arial Narrow" w:cs="Times New Roman"/>
                <w:b/>
                <w:sz w:val="20"/>
                <w:szCs w:val="22"/>
                <w:lang w:eastAsia="en-US"/>
              </w:rPr>
              <w:t xml:space="preserve"> vs. HI-</w:t>
            </w:r>
            <w:r w:rsidR="00C50AE9" w:rsidRPr="00980D3E">
              <w:rPr>
                <w:rFonts w:ascii="Arial Narrow" w:hAnsi="Arial Narrow" w:cs="Times New Roman"/>
                <w:b/>
                <w:sz w:val="20"/>
                <w:szCs w:val="22"/>
                <w:lang w:eastAsia="en-US"/>
              </w:rPr>
              <w:t>Dxm</w:t>
            </w:r>
          </w:p>
        </w:tc>
      </w:tr>
      <w:tr w:rsidR="00B23A4C" w:rsidRPr="00980D3E" w:rsidTr="00506156">
        <w:tc>
          <w:tcPr>
            <w:tcW w:w="548" w:type="pct"/>
            <w:shd w:val="clear" w:color="auto" w:fill="auto"/>
          </w:tcPr>
          <w:p w:rsidR="00B23A4C" w:rsidRPr="00980D3E" w:rsidRDefault="00B23A4C" w:rsidP="00D443C2">
            <w:pPr>
              <w:keepNext/>
              <w:keepLines/>
              <w:widowControl w:val="0"/>
              <w:jc w:val="left"/>
              <w:rPr>
                <w:rFonts w:ascii="Arial Narrow" w:hAnsi="Arial Narrow" w:cs="Times New Roman"/>
                <w:sz w:val="20"/>
                <w:szCs w:val="22"/>
                <w:lang w:eastAsia="en-US"/>
              </w:rPr>
            </w:pPr>
            <w:r w:rsidRPr="00980D3E">
              <w:rPr>
                <w:rFonts w:ascii="Arial Narrow" w:hAnsi="Arial Narrow" w:cs="Times New Roman"/>
                <w:sz w:val="20"/>
                <w:szCs w:val="22"/>
                <w:lang w:eastAsia="en-US"/>
              </w:rPr>
              <w:t>NIMBUS</w:t>
            </w:r>
          </w:p>
        </w:tc>
        <w:tc>
          <w:tcPr>
            <w:tcW w:w="314" w:type="pct"/>
            <w:shd w:val="clear" w:color="auto" w:fill="auto"/>
          </w:tcPr>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455</w:t>
            </w:r>
          </w:p>
        </w:tc>
        <w:tc>
          <w:tcPr>
            <w:tcW w:w="1179" w:type="pct"/>
            <w:shd w:val="clear" w:color="auto" w:fill="auto"/>
          </w:tcPr>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R, OL, MC</w:t>
            </w:r>
          </w:p>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IRC:10 months</w:t>
            </w:r>
            <w:r w:rsidR="009869FB" w:rsidRPr="00980D3E">
              <w:rPr>
                <w:rFonts w:ascii="Arial Narrow" w:hAnsi="Arial Narrow" w:cs="Times New Roman"/>
                <w:sz w:val="20"/>
                <w:szCs w:val="22"/>
                <w:vertAlign w:val="superscript"/>
                <w:lang w:eastAsia="en-US"/>
              </w:rPr>
              <w:t>c</w:t>
            </w:r>
          </w:p>
        </w:tc>
        <w:tc>
          <w:tcPr>
            <w:tcW w:w="393" w:type="pct"/>
            <w:shd w:val="clear" w:color="auto" w:fill="auto"/>
          </w:tcPr>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Low</w:t>
            </w:r>
          </w:p>
        </w:tc>
        <w:tc>
          <w:tcPr>
            <w:tcW w:w="1179" w:type="pct"/>
            <w:shd w:val="clear" w:color="auto" w:fill="auto"/>
          </w:tcPr>
          <w:p w:rsidR="00B23A4C" w:rsidRPr="00980D3E" w:rsidRDefault="009869FB"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RRMM</w:t>
            </w:r>
            <w:r w:rsidR="00B23A4C" w:rsidRPr="00980D3E">
              <w:rPr>
                <w:rFonts w:ascii="Arial Narrow" w:hAnsi="Arial Narrow" w:cs="Times New Roman"/>
                <w:sz w:val="20"/>
                <w:szCs w:val="22"/>
                <w:lang w:eastAsia="en-US"/>
              </w:rPr>
              <w:t xml:space="preserve"> patients who failed prior bortezomib and lenalidomide</w:t>
            </w:r>
          </w:p>
        </w:tc>
        <w:tc>
          <w:tcPr>
            <w:tcW w:w="629" w:type="pct"/>
            <w:shd w:val="clear" w:color="auto" w:fill="auto"/>
          </w:tcPr>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PFS</w:t>
            </w:r>
            <w:r w:rsidR="009869FB" w:rsidRPr="00980D3E">
              <w:rPr>
                <w:rFonts w:ascii="Arial Narrow" w:hAnsi="Arial Narrow" w:cs="Times New Roman"/>
                <w:sz w:val="20"/>
                <w:szCs w:val="22"/>
                <w:lang w:eastAsia="en-US"/>
              </w:rPr>
              <w:t xml:space="preserve"> with PD confirmation</w:t>
            </w:r>
            <w:r w:rsidRPr="00980D3E">
              <w:rPr>
                <w:rFonts w:ascii="Arial Narrow" w:hAnsi="Arial Narrow" w:cs="Times New Roman"/>
                <w:sz w:val="20"/>
                <w:szCs w:val="22"/>
                <w:lang w:eastAsia="en-US"/>
              </w:rPr>
              <w:t>, OS, Safety</w:t>
            </w:r>
          </w:p>
        </w:tc>
        <w:tc>
          <w:tcPr>
            <w:tcW w:w="758" w:type="pct"/>
            <w:shd w:val="clear" w:color="auto" w:fill="auto"/>
          </w:tcPr>
          <w:p w:rsidR="00B23A4C" w:rsidRPr="00980D3E" w:rsidRDefault="00B23A4C" w:rsidP="00D443C2">
            <w:pPr>
              <w:keepNext/>
              <w:keepLines/>
              <w:widowControl w:val="0"/>
              <w:jc w:val="center"/>
              <w:rPr>
                <w:rFonts w:ascii="Arial Narrow" w:hAnsi="Arial Narrow" w:cs="Times New Roman"/>
                <w:sz w:val="20"/>
                <w:szCs w:val="22"/>
                <w:lang w:eastAsia="en-US"/>
              </w:rPr>
            </w:pPr>
            <w:r w:rsidRPr="00980D3E">
              <w:rPr>
                <w:rFonts w:ascii="Arial Narrow" w:hAnsi="Arial Narrow" w:cs="Times New Roman"/>
                <w:sz w:val="20"/>
                <w:szCs w:val="22"/>
                <w:lang w:eastAsia="en-US"/>
              </w:rPr>
              <w:t>Not used</w:t>
            </w:r>
          </w:p>
        </w:tc>
      </w:tr>
    </w:tbl>
    <w:p w:rsidR="00B23A4C" w:rsidRPr="00980D3E" w:rsidRDefault="00B23A4C" w:rsidP="00D443C2">
      <w:pPr>
        <w:pStyle w:val="TableFigureFooter"/>
        <w:keepNext/>
        <w:keepLines/>
        <w:widowControl w:val="0"/>
        <w:rPr>
          <w:sz w:val="20"/>
          <w:lang w:eastAsia="en-US"/>
        </w:rPr>
      </w:pPr>
      <w:r w:rsidRPr="00980D3E">
        <w:rPr>
          <w:lang w:eastAsia="en-US"/>
        </w:rPr>
        <w:t xml:space="preserve">Source: </w:t>
      </w:r>
      <w:r w:rsidR="00FD22F5" w:rsidRPr="00980D3E">
        <w:rPr>
          <w:lang w:eastAsia="en-US"/>
        </w:rPr>
        <w:t>pp</w:t>
      </w:r>
      <w:r w:rsidR="004611A4" w:rsidRPr="00980D3E">
        <w:rPr>
          <w:lang w:eastAsia="en-US"/>
        </w:rPr>
        <w:t xml:space="preserve"> </w:t>
      </w:r>
      <w:r w:rsidR="00FD22F5" w:rsidRPr="00980D3E">
        <w:rPr>
          <w:lang w:eastAsia="en-US"/>
        </w:rPr>
        <w:t>iii-viii, 7-24, 61-196 in the resubmission.</w:t>
      </w:r>
    </w:p>
    <w:p w:rsidR="00B23A4C" w:rsidRPr="00980D3E" w:rsidRDefault="00C50AE9" w:rsidP="00D443C2">
      <w:pPr>
        <w:pStyle w:val="TableFigureFooter"/>
        <w:keepNext/>
        <w:keepLines/>
        <w:widowControl w:val="0"/>
        <w:rPr>
          <w:lang w:eastAsia="en-US"/>
        </w:rPr>
      </w:pPr>
      <w:r w:rsidRPr="00980D3E">
        <w:rPr>
          <w:lang w:eastAsia="en-US"/>
        </w:rPr>
        <w:t>Dxm</w:t>
      </w:r>
      <w:r w:rsidR="00B23A4C" w:rsidRPr="00980D3E">
        <w:rPr>
          <w:lang w:eastAsia="en-US"/>
        </w:rPr>
        <w:t xml:space="preserve"> = dexamethasone; HI-</w:t>
      </w:r>
      <w:r w:rsidRPr="00980D3E">
        <w:rPr>
          <w:lang w:eastAsia="en-US"/>
        </w:rPr>
        <w:t>Dxm</w:t>
      </w:r>
      <w:r w:rsidR="00B23A4C" w:rsidRPr="00980D3E">
        <w:rPr>
          <w:lang w:eastAsia="en-US"/>
        </w:rPr>
        <w:t xml:space="preserve"> = high-dose dexamethasone; IRC = independent review committee; MC</w:t>
      </w:r>
      <w:r w:rsidR="00210DC9" w:rsidRPr="00980D3E">
        <w:rPr>
          <w:lang w:eastAsia="en-US"/>
        </w:rPr>
        <w:t xml:space="preserve"> </w:t>
      </w:r>
      <w:r w:rsidR="00B23A4C" w:rsidRPr="00980D3E">
        <w:rPr>
          <w:lang w:eastAsia="en-US"/>
        </w:rPr>
        <w:t>=</w:t>
      </w:r>
      <w:r w:rsidR="00210DC9" w:rsidRPr="00980D3E">
        <w:rPr>
          <w:lang w:eastAsia="en-US"/>
        </w:rPr>
        <w:t xml:space="preserve"> </w:t>
      </w:r>
      <w:r w:rsidR="00B23A4C" w:rsidRPr="00980D3E">
        <w:rPr>
          <w:lang w:eastAsia="en-US"/>
        </w:rPr>
        <w:t>multi-centre</w:t>
      </w:r>
      <w:r w:rsidR="00B23A4C" w:rsidRPr="00980D3E">
        <w:rPr>
          <w:szCs w:val="18"/>
          <w:lang w:eastAsia="en-US"/>
        </w:rPr>
        <w:t xml:space="preserve">; N = total patients in each arm; </w:t>
      </w:r>
      <w:r w:rsidR="00B23A4C" w:rsidRPr="00980D3E">
        <w:rPr>
          <w:lang w:eastAsia="en-US"/>
        </w:rPr>
        <w:t>OL</w:t>
      </w:r>
      <w:r w:rsidR="00210DC9" w:rsidRPr="00980D3E">
        <w:rPr>
          <w:lang w:eastAsia="en-US"/>
        </w:rPr>
        <w:t xml:space="preserve"> </w:t>
      </w:r>
      <w:r w:rsidR="00B23A4C" w:rsidRPr="00980D3E">
        <w:rPr>
          <w:lang w:eastAsia="en-US"/>
        </w:rPr>
        <w:t>=</w:t>
      </w:r>
      <w:r w:rsidR="00210DC9" w:rsidRPr="00980D3E">
        <w:rPr>
          <w:lang w:eastAsia="en-US"/>
        </w:rPr>
        <w:t xml:space="preserve"> </w:t>
      </w:r>
      <w:r w:rsidR="00B23A4C" w:rsidRPr="00980D3E">
        <w:rPr>
          <w:lang w:eastAsia="en-US"/>
        </w:rPr>
        <w:t>open label; OS = overall survival; PD = progressed disease; PFS</w:t>
      </w:r>
      <w:r w:rsidR="00210DC9" w:rsidRPr="00980D3E">
        <w:rPr>
          <w:lang w:eastAsia="en-US"/>
        </w:rPr>
        <w:t xml:space="preserve"> </w:t>
      </w:r>
      <w:r w:rsidR="00B23A4C" w:rsidRPr="00980D3E">
        <w:rPr>
          <w:lang w:eastAsia="en-US"/>
        </w:rPr>
        <w:t>=</w:t>
      </w:r>
      <w:r w:rsidR="00210DC9" w:rsidRPr="00980D3E">
        <w:rPr>
          <w:lang w:eastAsia="en-US"/>
        </w:rPr>
        <w:t xml:space="preserve"> </w:t>
      </w:r>
      <w:r w:rsidR="00B23A4C" w:rsidRPr="00980D3E">
        <w:rPr>
          <w:lang w:eastAsia="en-US"/>
        </w:rPr>
        <w:t>progression-free survival; R</w:t>
      </w:r>
      <w:r w:rsidR="00616122" w:rsidRPr="00980D3E">
        <w:rPr>
          <w:lang w:eastAsia="en-US"/>
        </w:rPr>
        <w:t xml:space="preserve"> </w:t>
      </w:r>
      <w:r w:rsidR="00B23A4C" w:rsidRPr="00980D3E">
        <w:rPr>
          <w:lang w:eastAsia="en-US"/>
        </w:rPr>
        <w:t>=</w:t>
      </w:r>
      <w:r w:rsidR="00616122" w:rsidRPr="00980D3E">
        <w:rPr>
          <w:lang w:eastAsia="en-US"/>
        </w:rPr>
        <w:t xml:space="preserve"> </w:t>
      </w:r>
      <w:r w:rsidR="00B23A4C" w:rsidRPr="00980D3E">
        <w:rPr>
          <w:lang w:eastAsia="en-US"/>
        </w:rPr>
        <w:t xml:space="preserve">randomised; </w:t>
      </w:r>
      <w:r w:rsidR="009869FB" w:rsidRPr="00980D3E">
        <w:rPr>
          <w:lang w:eastAsia="en-US"/>
        </w:rPr>
        <w:t>RRMM = relapse or refractory multiple myeloma;</w:t>
      </w:r>
      <w:r w:rsidR="00D307C4" w:rsidRPr="00980D3E">
        <w:rPr>
          <w:lang w:eastAsia="en-US"/>
        </w:rPr>
        <w:t xml:space="preserve"> </w:t>
      </w:r>
      <w:r w:rsidR="00B23A4C" w:rsidRPr="00980D3E">
        <w:rPr>
          <w:lang w:eastAsia="en-US"/>
        </w:rPr>
        <w:t>TTF = time to treatment failure; TTFST = time to subsequent first treatment</w:t>
      </w:r>
      <w:r w:rsidR="0090157A" w:rsidRPr="00980D3E">
        <w:rPr>
          <w:lang w:eastAsia="en-US"/>
        </w:rPr>
        <w:t>; vs = versus.</w:t>
      </w:r>
    </w:p>
    <w:p w:rsidR="00B23A4C" w:rsidRPr="00980D3E" w:rsidRDefault="00B23A4C" w:rsidP="00D443C2">
      <w:pPr>
        <w:pStyle w:val="TableFigureFooter"/>
        <w:keepNext/>
        <w:keepLines/>
        <w:widowControl w:val="0"/>
        <w:rPr>
          <w:lang w:eastAsia="en-US"/>
        </w:rPr>
      </w:pPr>
      <w:r w:rsidRPr="00980D3E">
        <w:rPr>
          <w:vertAlign w:val="superscript"/>
          <w:lang w:eastAsia="en-US"/>
        </w:rPr>
        <w:t>a</w:t>
      </w:r>
      <w:r w:rsidRPr="00980D3E">
        <w:rPr>
          <w:lang w:eastAsia="en-US"/>
        </w:rPr>
        <w:t xml:space="preserve"> PFS cut-off November 2015</w:t>
      </w:r>
    </w:p>
    <w:p w:rsidR="00B23A4C" w:rsidRPr="00980D3E" w:rsidRDefault="009869FB" w:rsidP="00D443C2">
      <w:pPr>
        <w:pStyle w:val="TableFigureFooter"/>
        <w:keepNext/>
        <w:keepLines/>
        <w:widowControl w:val="0"/>
        <w:rPr>
          <w:lang w:eastAsia="en-US"/>
        </w:rPr>
      </w:pPr>
      <w:r w:rsidRPr="00980D3E">
        <w:rPr>
          <w:vertAlign w:val="superscript"/>
          <w:lang w:eastAsia="en-US"/>
        </w:rPr>
        <w:t>b</w:t>
      </w:r>
      <w:r w:rsidR="00B23A4C" w:rsidRPr="00980D3E">
        <w:rPr>
          <w:lang w:eastAsia="en-US"/>
        </w:rPr>
        <w:t xml:space="preserve"> OS cut-off May 2017</w:t>
      </w:r>
    </w:p>
    <w:p w:rsidR="009869FB" w:rsidRPr="00980D3E" w:rsidRDefault="009869FB" w:rsidP="00D443C2">
      <w:pPr>
        <w:pStyle w:val="TableFigureFooter"/>
        <w:keepNext/>
        <w:keepLines/>
        <w:widowControl w:val="0"/>
      </w:pPr>
      <w:r w:rsidRPr="00980D3E">
        <w:rPr>
          <w:vertAlign w:val="superscript"/>
        </w:rPr>
        <w:t>c</w:t>
      </w:r>
      <w:r w:rsidRPr="00980D3E">
        <w:t xml:space="preserve"> </w:t>
      </w:r>
      <w:r w:rsidR="00D03134" w:rsidRPr="00980D3E">
        <w:t>C</w:t>
      </w:r>
      <w:r w:rsidRPr="00980D3E">
        <w:t>ut-off 1 March 2013</w:t>
      </w:r>
    </w:p>
    <w:p w:rsidR="002A0B5C" w:rsidRPr="00980D3E" w:rsidRDefault="002A0B5C" w:rsidP="00EC5836">
      <w:pPr>
        <w:pStyle w:val="3-BodyText"/>
      </w:pPr>
      <w:r w:rsidRPr="00980D3E">
        <w:t xml:space="preserve">The ADMYRE trial was a </w:t>
      </w:r>
      <w:r w:rsidR="00506156" w:rsidRPr="00980D3E">
        <w:t>P</w:t>
      </w:r>
      <w:r w:rsidRPr="00980D3E">
        <w:t>hase III trial that compared plitidepsin (5 mg/m</w:t>
      </w:r>
      <w:r w:rsidRPr="00980D3E">
        <w:rPr>
          <w:vertAlign w:val="superscript"/>
        </w:rPr>
        <w:t>2</w:t>
      </w:r>
      <w:r w:rsidRPr="00980D3E">
        <w:t xml:space="preserve"> IV; </w:t>
      </w:r>
      <w:r w:rsidR="00506156" w:rsidRPr="00980D3E">
        <w:t>D</w:t>
      </w:r>
      <w:r w:rsidRPr="00980D3E">
        <w:t xml:space="preserve">ay 1 and 15 every four weeks) in combination with </w:t>
      </w:r>
      <w:r w:rsidR="00C50AE9" w:rsidRPr="00980D3E">
        <w:t>Dxm</w:t>
      </w:r>
      <w:r w:rsidRPr="00980D3E">
        <w:t xml:space="preserve"> (40 mg orally; </w:t>
      </w:r>
      <w:r w:rsidR="00506156" w:rsidRPr="00980D3E">
        <w:t>D</w:t>
      </w:r>
      <w:r w:rsidRPr="00980D3E">
        <w:t>ay 1,</w:t>
      </w:r>
      <w:r w:rsidR="00CA44CE" w:rsidRPr="00980D3E">
        <w:t xml:space="preserve"> </w:t>
      </w:r>
      <w:r w:rsidRPr="00980D3E">
        <w:t>8,</w:t>
      </w:r>
      <w:r w:rsidR="00CA44CE" w:rsidRPr="00980D3E">
        <w:t xml:space="preserve"> </w:t>
      </w:r>
      <w:r w:rsidRPr="00980D3E">
        <w:t xml:space="preserve">15 and 22 every four weeks) to </w:t>
      </w:r>
      <w:r w:rsidR="00C50AE9" w:rsidRPr="00980D3E">
        <w:t>Dxm</w:t>
      </w:r>
      <w:r w:rsidRPr="00980D3E">
        <w:t xml:space="preserve"> monotherapy (40 mg orally; </w:t>
      </w:r>
      <w:r w:rsidR="00506156" w:rsidRPr="00980D3E">
        <w:t>D</w:t>
      </w:r>
      <w:r w:rsidRPr="00980D3E">
        <w:t>ay 1,</w:t>
      </w:r>
      <w:r w:rsidR="00CA44CE" w:rsidRPr="00980D3E">
        <w:t xml:space="preserve"> </w:t>
      </w:r>
      <w:r w:rsidRPr="00980D3E">
        <w:t>8,</w:t>
      </w:r>
      <w:r w:rsidR="00CA44CE" w:rsidRPr="00980D3E">
        <w:t xml:space="preserve"> </w:t>
      </w:r>
      <w:r w:rsidRPr="00980D3E">
        <w:t xml:space="preserve">15 and 22 every four weeks). The NIMBUS trial was a Phase III trial comparing pomalidomide (4 mg/day orally; </w:t>
      </w:r>
      <w:r w:rsidR="00506156" w:rsidRPr="00980D3E">
        <w:t>D</w:t>
      </w:r>
      <w:r w:rsidRPr="00980D3E">
        <w:t xml:space="preserve">ay 1-21 every four weeks) + </w:t>
      </w:r>
      <w:r w:rsidR="00C50AE9" w:rsidRPr="00980D3E">
        <w:t>Dxm</w:t>
      </w:r>
      <w:r w:rsidRPr="00980D3E">
        <w:t xml:space="preserve"> (40 mg orally; </w:t>
      </w:r>
      <w:r w:rsidR="00506156" w:rsidRPr="00980D3E">
        <w:t>D</w:t>
      </w:r>
      <w:r w:rsidRPr="00980D3E">
        <w:t>ay 1,</w:t>
      </w:r>
      <w:r w:rsidR="00CA44CE" w:rsidRPr="00980D3E">
        <w:t xml:space="preserve"> </w:t>
      </w:r>
      <w:r w:rsidRPr="00980D3E">
        <w:t>8,</w:t>
      </w:r>
      <w:r w:rsidR="00CA44CE" w:rsidRPr="00980D3E">
        <w:t xml:space="preserve"> </w:t>
      </w:r>
      <w:r w:rsidRPr="00980D3E">
        <w:t xml:space="preserve">15 and 22 every four weeks) to high-dose </w:t>
      </w:r>
      <w:r w:rsidR="00C50AE9" w:rsidRPr="00980D3E">
        <w:t>Dxm</w:t>
      </w:r>
      <w:r w:rsidRPr="00980D3E">
        <w:t xml:space="preserve"> (HI-</w:t>
      </w:r>
      <w:r w:rsidR="00C50AE9" w:rsidRPr="00980D3E">
        <w:t>Dxm</w:t>
      </w:r>
      <w:r w:rsidRPr="00980D3E">
        <w:t xml:space="preserve">, 40 mg orally; </w:t>
      </w:r>
      <w:r w:rsidR="00506156" w:rsidRPr="00980D3E">
        <w:t>D</w:t>
      </w:r>
      <w:r w:rsidRPr="00980D3E">
        <w:t xml:space="preserve">ay 1-4, 9-12 and 17-20 every four weeks). The different </w:t>
      </w:r>
      <w:r w:rsidR="00C50AE9" w:rsidRPr="00980D3E">
        <w:t>Dxm</w:t>
      </w:r>
      <w:r w:rsidRPr="00980D3E">
        <w:t xml:space="preserve"> regimens used in the common comparator arms of the </w:t>
      </w:r>
      <w:r w:rsidRPr="00980D3E">
        <w:lastRenderedPageBreak/>
        <w:t xml:space="preserve">ADMYRE and NIMBUS trials </w:t>
      </w:r>
      <w:r w:rsidR="00E21A35" w:rsidRPr="00980D3E">
        <w:t>affect</w:t>
      </w:r>
      <w:r w:rsidR="00352B08" w:rsidRPr="00980D3E">
        <w:t>ed</w:t>
      </w:r>
      <w:r w:rsidR="00E21A35" w:rsidRPr="00980D3E">
        <w:t xml:space="preserve"> the interpretation of the </w:t>
      </w:r>
      <w:r w:rsidR="00E26B14" w:rsidRPr="00980D3E">
        <w:t>indirect comparison</w:t>
      </w:r>
      <w:r w:rsidR="00E21A35" w:rsidRPr="00980D3E">
        <w:t xml:space="preserve"> (refer to </w:t>
      </w:r>
      <w:r w:rsidR="003B1F15" w:rsidRPr="00980D3E">
        <w:t>C</w:t>
      </w:r>
      <w:r w:rsidR="00E21A35" w:rsidRPr="00980D3E">
        <w:t xml:space="preserve">omparative </w:t>
      </w:r>
      <w:r w:rsidR="003B1F15" w:rsidRPr="00980D3E">
        <w:t>E</w:t>
      </w:r>
      <w:r w:rsidR="00E21A35" w:rsidRPr="00980D3E">
        <w:t>ffectiveness</w:t>
      </w:r>
      <w:r w:rsidR="00EF3E2B" w:rsidRPr="00980D3E">
        <w:t xml:space="preserve"> section below</w:t>
      </w:r>
      <w:r w:rsidR="00E21A35" w:rsidRPr="00980D3E">
        <w:t>).</w:t>
      </w:r>
    </w:p>
    <w:p w:rsidR="006F346D" w:rsidRPr="00980D3E" w:rsidRDefault="00D53D35" w:rsidP="00EC5836">
      <w:pPr>
        <w:pStyle w:val="3-BodyText"/>
      </w:pPr>
      <w:r w:rsidRPr="00980D3E">
        <w:t>The primary outcome of the ADMYRE trial was PFS without confirmation of progressive disease (PD). The resubmission considered the most relevant PFS outcome was PFS with PD confirmation</w:t>
      </w:r>
      <w:r w:rsidR="00516965" w:rsidRPr="00980D3E">
        <w:t xml:space="preserve"> and this outcome was used </w:t>
      </w:r>
      <w:r w:rsidR="00E72A3A" w:rsidRPr="00980D3E">
        <w:t>in</w:t>
      </w:r>
      <w:r w:rsidR="008E624B" w:rsidRPr="00980D3E">
        <w:t xml:space="preserve"> the</w:t>
      </w:r>
      <w:r w:rsidR="00132A83" w:rsidRPr="00980D3E">
        <w:t xml:space="preserve"> indirect comparison with pomalidomide and </w:t>
      </w:r>
      <w:r w:rsidR="00A521EB" w:rsidRPr="00980D3E">
        <w:t>the base case of the cost</w:t>
      </w:r>
      <w:r w:rsidR="004168AB" w:rsidRPr="00980D3E">
        <w:noBreakHyphen/>
      </w:r>
      <w:r w:rsidR="00A521EB" w:rsidRPr="00980D3E">
        <w:t>utility analysis</w:t>
      </w:r>
      <w:r w:rsidR="00980D3E">
        <w:t xml:space="preserve">. </w:t>
      </w:r>
      <w:r w:rsidR="006F346D" w:rsidRPr="00980D3E">
        <w:t>The resubmission’s rationale was that:</w:t>
      </w:r>
    </w:p>
    <w:p w:rsidR="006F346D" w:rsidRPr="00980D3E" w:rsidRDefault="006F346D" w:rsidP="00B77C86">
      <w:pPr>
        <w:pStyle w:val="3-BodyText"/>
        <w:numPr>
          <w:ilvl w:val="0"/>
          <w:numId w:val="7"/>
        </w:numPr>
        <w:ind w:left="1077" w:hanging="357"/>
      </w:pPr>
      <w:r w:rsidRPr="00980D3E">
        <w:t>The variability in the M-protein used to assess disease progression necessitate</w:t>
      </w:r>
      <w:r w:rsidR="003F138D" w:rsidRPr="00980D3E">
        <w:t xml:space="preserve">d </w:t>
      </w:r>
      <w:r w:rsidRPr="00980D3E">
        <w:t>a second measurement for confirmation</w:t>
      </w:r>
      <w:r w:rsidR="00CA4152" w:rsidRPr="00980D3E">
        <w:t xml:space="preserve"> of progression</w:t>
      </w:r>
      <w:r w:rsidRPr="00980D3E">
        <w:t xml:space="preserve">; </w:t>
      </w:r>
    </w:p>
    <w:p w:rsidR="005240ED" w:rsidRPr="00980D3E" w:rsidRDefault="005240ED" w:rsidP="00B77C86">
      <w:pPr>
        <w:pStyle w:val="3-BodyText"/>
        <w:numPr>
          <w:ilvl w:val="0"/>
          <w:numId w:val="7"/>
        </w:numPr>
        <w:ind w:left="1077" w:hanging="357"/>
      </w:pPr>
      <w:r w:rsidRPr="00980D3E">
        <w:t>The International Myeloma Working Group (IMWG) guidelines from 2006, 2011, and 2014 recommend confirmation of PD, however the 2008 guidelines did not explicitly require PD confirmation</w:t>
      </w:r>
      <w:r w:rsidR="00D03134" w:rsidRPr="00980D3E">
        <w:t>;</w:t>
      </w:r>
    </w:p>
    <w:p w:rsidR="005240ED" w:rsidRPr="00980D3E" w:rsidRDefault="005240ED" w:rsidP="00B77C86">
      <w:pPr>
        <w:pStyle w:val="3-BodyText"/>
        <w:numPr>
          <w:ilvl w:val="0"/>
          <w:numId w:val="7"/>
        </w:numPr>
        <w:ind w:left="1077" w:hanging="357"/>
      </w:pPr>
      <w:r w:rsidRPr="00980D3E">
        <w:t>The NIMBUS trial used PFS with PD confirmation as their PFS outcome. Implicitly, this would improve the transitivity of the outcomes in the indirect comparison; and</w:t>
      </w:r>
    </w:p>
    <w:p w:rsidR="006F346D" w:rsidRPr="00980D3E" w:rsidRDefault="006F346D" w:rsidP="00B77C86">
      <w:pPr>
        <w:pStyle w:val="3-BodyText"/>
        <w:numPr>
          <w:ilvl w:val="0"/>
          <w:numId w:val="7"/>
        </w:numPr>
        <w:ind w:left="1077" w:hanging="357"/>
      </w:pPr>
      <w:r w:rsidRPr="00980D3E">
        <w:t xml:space="preserve">PFS without PD confirmation was not used in recent trials for </w:t>
      </w:r>
      <w:r w:rsidR="00D91F66" w:rsidRPr="00980D3E">
        <w:t>RR</w:t>
      </w:r>
      <w:r w:rsidRPr="00980D3E">
        <w:t xml:space="preserve">MM and is </w:t>
      </w:r>
      <w:r w:rsidR="00B70644" w:rsidRPr="00980D3E">
        <w:t xml:space="preserve">no </w:t>
      </w:r>
      <w:r w:rsidRPr="00980D3E">
        <w:t>longer considered clinically meaningful</w:t>
      </w:r>
      <w:r w:rsidR="003F138D" w:rsidRPr="00980D3E">
        <w:t>.</w:t>
      </w:r>
      <w:r w:rsidRPr="00980D3E">
        <w:t xml:space="preserve"> </w:t>
      </w:r>
    </w:p>
    <w:p w:rsidR="00457752" w:rsidRPr="00980D3E" w:rsidRDefault="00516965" w:rsidP="00457752">
      <w:pPr>
        <w:pStyle w:val="3-BodyText"/>
      </w:pPr>
      <w:r w:rsidRPr="00980D3E">
        <w:t xml:space="preserve">The </w:t>
      </w:r>
      <w:r w:rsidR="00884A2E" w:rsidRPr="00980D3E">
        <w:t>ESC</w:t>
      </w:r>
      <w:r w:rsidRPr="00980D3E">
        <w:t xml:space="preserve"> considered that IRC assessed PFS with PD confirmation was not a reliable estimate of PFS with plitidepsin + Dxm in the </w:t>
      </w:r>
      <w:r w:rsidR="00457752" w:rsidRPr="00980D3E">
        <w:t xml:space="preserve">context of the ADMYRE trial as this outcome was one of a number of preplanned sensitivity analysis to test the consistency of the PFS </w:t>
      </w:r>
      <w:r w:rsidR="000D1269" w:rsidRPr="00980D3E">
        <w:t>primary outcome</w:t>
      </w:r>
      <w:r w:rsidR="00C01A07" w:rsidRPr="00980D3E">
        <w:t xml:space="preserve">. In addition, </w:t>
      </w:r>
      <w:r w:rsidR="00B554FF" w:rsidRPr="00980D3E">
        <w:t xml:space="preserve">it was </w:t>
      </w:r>
      <w:r w:rsidR="00C01A07" w:rsidRPr="00980D3E">
        <w:t>noted that:</w:t>
      </w:r>
    </w:p>
    <w:p w:rsidR="00516965" w:rsidRPr="00980D3E" w:rsidRDefault="00516965" w:rsidP="00516965">
      <w:pPr>
        <w:pStyle w:val="3-BodyText"/>
        <w:numPr>
          <w:ilvl w:val="0"/>
          <w:numId w:val="11"/>
        </w:numPr>
        <w:ind w:left="1077" w:hanging="357"/>
      </w:pPr>
      <w:r w:rsidRPr="00980D3E">
        <w:t>Over half the patients were censored in the IRC assessed PFS with PD confirmation analysis (52%) compared with 25% in the PFS without PD confirmation analysis. The effect of censoring on the reliability of the reported result was unknown;</w:t>
      </w:r>
    </w:p>
    <w:p w:rsidR="00516965" w:rsidRPr="00980D3E" w:rsidRDefault="00516965" w:rsidP="00516965">
      <w:pPr>
        <w:pStyle w:val="3-BodyText"/>
        <w:numPr>
          <w:ilvl w:val="0"/>
          <w:numId w:val="11"/>
        </w:numPr>
        <w:ind w:left="1077" w:hanging="357"/>
      </w:pPr>
      <w:r w:rsidRPr="00980D3E">
        <w:t>It was unclear when patients without a second PD confirmation were censored in the IRC assessed PFS with PD confirmation analysis. More patients were at risk of a progression event in the analysis requiring confirmation of PD; and</w:t>
      </w:r>
    </w:p>
    <w:p w:rsidR="00516965" w:rsidRPr="00980D3E" w:rsidRDefault="00516965" w:rsidP="00516965">
      <w:pPr>
        <w:pStyle w:val="ListParagraph"/>
        <w:numPr>
          <w:ilvl w:val="0"/>
          <w:numId w:val="11"/>
        </w:numPr>
        <w:ind w:left="1077" w:hanging="357"/>
      </w:pPr>
      <w:r w:rsidRPr="00980D3E">
        <w:t>The median time from the first observation of PD to confirmation of PD by the IRC was 28 days in both treatment arms. However, confirmation of PD resulted in a substantial change in median PFS in the plitidepsin + Dxm arm only (2.6 months to 5.0 months in the plitidepsin + Dxm arm compared to 1.7 months to 2.0 months in the Dxm arm). This may suggest that there was an underlying difference between plitidepsin + Dxm patients with/without PD confirmation</w:t>
      </w:r>
      <w:r w:rsidR="00980D3E">
        <w:t xml:space="preserve">. </w:t>
      </w:r>
    </w:p>
    <w:p w:rsidR="00373665" w:rsidRPr="00980D3E" w:rsidRDefault="00A56921" w:rsidP="004E5054">
      <w:pPr>
        <w:pStyle w:val="3-BodyText"/>
        <w:ind w:left="709"/>
        <w:rPr>
          <w:rFonts w:cstheme="minorHAnsi"/>
        </w:rPr>
      </w:pPr>
      <w:r w:rsidRPr="00980D3E">
        <w:rPr>
          <w:rFonts w:cstheme="minorHAnsi"/>
        </w:rPr>
        <w:t>The Pre-Sub-Committee Response (PSCR) stated</w:t>
      </w:r>
      <w:r w:rsidR="00B129C0" w:rsidRPr="00980D3E">
        <w:rPr>
          <w:rFonts w:cstheme="minorHAnsi"/>
        </w:rPr>
        <w:t xml:space="preserve"> </w:t>
      </w:r>
      <w:r w:rsidRPr="00980D3E">
        <w:rPr>
          <w:rFonts w:cstheme="minorHAnsi"/>
        </w:rPr>
        <w:t>that</w:t>
      </w:r>
      <w:r w:rsidR="00ED085B" w:rsidRPr="00980D3E">
        <w:rPr>
          <w:rFonts w:cstheme="minorHAnsi"/>
        </w:rPr>
        <w:t xml:space="preserve"> </w:t>
      </w:r>
      <w:r w:rsidR="00C01A07" w:rsidRPr="00980D3E">
        <w:rPr>
          <w:rFonts w:cstheme="minorHAnsi"/>
        </w:rPr>
        <w:t xml:space="preserve">of the 191 patients who had experienced PD without confirmation, </w:t>
      </w:r>
      <w:r w:rsidR="0077073B" w:rsidRPr="00980D3E">
        <w:rPr>
          <w:rFonts w:cstheme="minorHAnsi"/>
        </w:rPr>
        <w:t>6</w:t>
      </w:r>
      <w:r w:rsidR="00A53CD0" w:rsidRPr="00980D3E">
        <w:rPr>
          <w:rFonts w:cstheme="minorHAnsi"/>
        </w:rPr>
        <w:t>8</w:t>
      </w:r>
      <w:r w:rsidRPr="00980D3E">
        <w:rPr>
          <w:rFonts w:cstheme="minorHAnsi"/>
        </w:rPr>
        <w:t xml:space="preserve"> patients were </w:t>
      </w:r>
      <w:r w:rsidR="00B129C0" w:rsidRPr="00980D3E">
        <w:rPr>
          <w:rFonts w:cstheme="minorHAnsi"/>
        </w:rPr>
        <w:t>reclassified</w:t>
      </w:r>
      <w:r w:rsidR="00C01A07" w:rsidRPr="00980D3E">
        <w:rPr>
          <w:rFonts w:cstheme="minorHAnsi"/>
        </w:rPr>
        <w:t xml:space="preserve"> as censored</w:t>
      </w:r>
      <w:r w:rsidR="00B129C0" w:rsidRPr="00980D3E">
        <w:rPr>
          <w:rFonts w:cstheme="minorHAnsi"/>
        </w:rPr>
        <w:t xml:space="preserve"> </w:t>
      </w:r>
      <w:r w:rsidR="00C01A07" w:rsidRPr="00980D3E">
        <w:rPr>
          <w:rFonts w:cstheme="minorHAnsi"/>
        </w:rPr>
        <w:t xml:space="preserve">in the PFS with PD confirmation analysis. Patients already censored (41 in the plitidepsin + Dex arm and 23 in the Dxm arm) remained censored (see </w:t>
      </w:r>
      <w:r w:rsidR="00820C9B" w:rsidRPr="00980D3E">
        <w:t>Table 5</w:t>
      </w:r>
      <w:r w:rsidR="00C01A07" w:rsidRPr="00980D3E">
        <w:rPr>
          <w:rFonts w:cstheme="minorHAnsi"/>
        </w:rPr>
        <w:t xml:space="preserve">). </w:t>
      </w:r>
      <w:r w:rsidR="00234614" w:rsidRPr="00980D3E">
        <w:rPr>
          <w:rFonts w:cstheme="minorHAnsi"/>
        </w:rPr>
        <w:t xml:space="preserve">The </w:t>
      </w:r>
      <w:r w:rsidR="00884A2E" w:rsidRPr="00980D3E">
        <w:rPr>
          <w:rFonts w:cstheme="minorHAnsi"/>
        </w:rPr>
        <w:t>ESC</w:t>
      </w:r>
      <w:r w:rsidR="00234614" w:rsidRPr="00980D3E">
        <w:rPr>
          <w:rFonts w:cstheme="minorHAnsi"/>
        </w:rPr>
        <w:t xml:space="preserve"> were concerned about the high number of patients censored in the PFS with PD confirmation analysis.</w:t>
      </w:r>
      <w:r w:rsidR="00373665" w:rsidRPr="00980D3E">
        <w:rPr>
          <w:rFonts w:cstheme="minorHAnsi"/>
        </w:rPr>
        <w:t xml:space="preserve"> The pre-PBAC response clarified that all patients who had not </w:t>
      </w:r>
      <w:r w:rsidR="00373665" w:rsidRPr="00980D3E">
        <w:rPr>
          <w:rFonts w:cstheme="minorHAnsi"/>
        </w:rPr>
        <w:lastRenderedPageBreak/>
        <w:t xml:space="preserve">progressed or died </w:t>
      </w:r>
      <w:r w:rsidR="003F6715" w:rsidRPr="00980D3E">
        <w:rPr>
          <w:rFonts w:cstheme="minorHAnsi"/>
        </w:rPr>
        <w:t xml:space="preserve">at the data-cut </w:t>
      </w:r>
      <w:r w:rsidR="00373665" w:rsidRPr="00980D3E">
        <w:rPr>
          <w:rFonts w:cstheme="minorHAnsi"/>
        </w:rPr>
        <w:t>were considered to have been censored</w:t>
      </w:r>
      <w:r w:rsidR="003F6715" w:rsidRPr="00980D3E">
        <w:rPr>
          <w:rFonts w:cstheme="minorHAnsi"/>
        </w:rPr>
        <w:t>. T</w:t>
      </w:r>
      <w:r w:rsidR="00373665" w:rsidRPr="00980D3E">
        <w:rPr>
          <w:rFonts w:cstheme="minorHAnsi"/>
        </w:rPr>
        <w:t xml:space="preserve">herefore, patients who were censored were not restricted to those who had missing data or who had discontinued. </w:t>
      </w:r>
    </w:p>
    <w:p w:rsidR="008C18D4" w:rsidRPr="00980D3E" w:rsidRDefault="00E50375" w:rsidP="00B4030B">
      <w:pPr>
        <w:pStyle w:val="3-BodyText"/>
        <w:ind w:left="709"/>
        <w:rPr>
          <w:rFonts w:cstheme="minorHAnsi"/>
        </w:rPr>
      </w:pPr>
      <w:r w:rsidRPr="00980D3E">
        <w:rPr>
          <w:rFonts w:cstheme="minorHAnsi"/>
        </w:rPr>
        <w:t xml:space="preserve">The PSCR stated that for </w:t>
      </w:r>
      <w:r w:rsidR="006419B4" w:rsidRPr="00980D3E">
        <w:rPr>
          <w:rFonts w:cstheme="minorHAnsi"/>
        </w:rPr>
        <w:t xml:space="preserve">30 of the 68 reclassified </w:t>
      </w:r>
      <w:r w:rsidRPr="00980D3E">
        <w:rPr>
          <w:rFonts w:cstheme="minorHAnsi"/>
        </w:rPr>
        <w:t>patients who experienced PD without confirmation and 22 of the patients who experienced PD with confirmation</w:t>
      </w:r>
      <w:r w:rsidR="00260D26" w:rsidRPr="00980D3E">
        <w:rPr>
          <w:rFonts w:cstheme="minorHAnsi"/>
        </w:rPr>
        <w:t>,</w:t>
      </w:r>
      <w:r w:rsidRPr="00980D3E">
        <w:rPr>
          <w:rFonts w:cstheme="minorHAnsi"/>
        </w:rPr>
        <w:t xml:space="preserve"> the time-at-risk was increased as they were returned to the cohort for up to an additional 5.7 months and 8.3 months</w:t>
      </w:r>
      <w:r w:rsidR="00D36488" w:rsidRPr="00980D3E">
        <w:rPr>
          <w:rFonts w:cstheme="minorHAnsi"/>
        </w:rPr>
        <w:t>,</w:t>
      </w:r>
      <w:r w:rsidRPr="00980D3E">
        <w:rPr>
          <w:rFonts w:cstheme="minorHAnsi"/>
        </w:rPr>
        <w:t xml:space="preserve"> respectively. </w:t>
      </w:r>
      <w:r w:rsidR="002B00DB" w:rsidRPr="00980D3E">
        <w:rPr>
          <w:rFonts w:cstheme="minorHAnsi"/>
        </w:rPr>
        <w:t xml:space="preserve">The </w:t>
      </w:r>
      <w:r w:rsidR="00884A2E" w:rsidRPr="00980D3E">
        <w:rPr>
          <w:rFonts w:cstheme="minorHAnsi"/>
        </w:rPr>
        <w:t>ESC</w:t>
      </w:r>
      <w:r w:rsidR="002B00DB" w:rsidRPr="00980D3E">
        <w:rPr>
          <w:rFonts w:cstheme="minorHAnsi"/>
        </w:rPr>
        <w:t xml:space="preserve"> were concerned that this may have </w:t>
      </w:r>
      <w:r w:rsidR="002B00DB" w:rsidRPr="00980D3E">
        <w:t>artificially increased the PFS duration in the PD confirmation analysis.</w:t>
      </w:r>
    </w:p>
    <w:p w:rsidR="00A53CD0" w:rsidRPr="00980D3E" w:rsidRDefault="00A53CD0" w:rsidP="00D443C2">
      <w:pPr>
        <w:pStyle w:val="TableHeading"/>
      </w:pPr>
      <w:bookmarkStart w:id="18" w:name="_Ref33524304"/>
      <w:r w:rsidRPr="00980D3E">
        <w:t>Table</w:t>
      </w:r>
      <w:r w:rsidR="00820C9B" w:rsidRPr="00980D3E">
        <w:t xml:space="preserve"> 5</w:t>
      </w:r>
      <w:bookmarkEnd w:id="18"/>
      <w:r w:rsidRPr="00980D3E">
        <w:t>: PFS with and without PD confirmation</w:t>
      </w:r>
    </w:p>
    <w:tbl>
      <w:tblPr>
        <w:tblStyle w:val="TableGrid"/>
        <w:tblW w:w="5000" w:type="pct"/>
        <w:tblLook w:val="04A0" w:firstRow="1" w:lastRow="0" w:firstColumn="1" w:lastColumn="0" w:noHBand="0" w:noVBand="1"/>
        <w:tblCaption w:val="Table 5: PFS with and without PD confirmation"/>
      </w:tblPr>
      <w:tblGrid>
        <w:gridCol w:w="2865"/>
        <w:gridCol w:w="2050"/>
        <w:gridCol w:w="2050"/>
        <w:gridCol w:w="2052"/>
      </w:tblGrid>
      <w:tr w:rsidR="0077073B" w:rsidRPr="00980D3E" w:rsidTr="00A26ED5">
        <w:trPr>
          <w:tblHeader/>
        </w:trPr>
        <w:tc>
          <w:tcPr>
            <w:tcW w:w="1588" w:type="pct"/>
          </w:tcPr>
          <w:p w:rsidR="0077073B" w:rsidRPr="00980D3E" w:rsidRDefault="0077073B" w:rsidP="0077073B">
            <w:pPr>
              <w:pStyle w:val="TableText0"/>
            </w:pPr>
          </w:p>
        </w:tc>
        <w:tc>
          <w:tcPr>
            <w:tcW w:w="1137" w:type="pct"/>
          </w:tcPr>
          <w:p w:rsidR="0077073B" w:rsidRPr="00980D3E" w:rsidRDefault="0077073B" w:rsidP="00A53CD0">
            <w:pPr>
              <w:pStyle w:val="TableText0"/>
              <w:jc w:val="center"/>
              <w:rPr>
                <w:b/>
              </w:rPr>
            </w:pPr>
            <w:r w:rsidRPr="00980D3E">
              <w:rPr>
                <w:b/>
              </w:rPr>
              <w:t>Plitidepsin + Dxm</w:t>
            </w:r>
          </w:p>
        </w:tc>
        <w:tc>
          <w:tcPr>
            <w:tcW w:w="1137" w:type="pct"/>
          </w:tcPr>
          <w:p w:rsidR="0077073B" w:rsidRPr="00980D3E" w:rsidRDefault="0077073B" w:rsidP="00A53CD0">
            <w:pPr>
              <w:pStyle w:val="TableText0"/>
              <w:jc w:val="center"/>
              <w:rPr>
                <w:b/>
              </w:rPr>
            </w:pPr>
            <w:r w:rsidRPr="00980D3E">
              <w:rPr>
                <w:b/>
              </w:rPr>
              <w:t>Dxm</w:t>
            </w:r>
          </w:p>
        </w:tc>
        <w:tc>
          <w:tcPr>
            <w:tcW w:w="1138" w:type="pct"/>
          </w:tcPr>
          <w:p w:rsidR="0077073B" w:rsidRPr="00980D3E" w:rsidRDefault="0077073B" w:rsidP="00A53CD0">
            <w:pPr>
              <w:pStyle w:val="TableText0"/>
              <w:jc w:val="center"/>
              <w:rPr>
                <w:b/>
              </w:rPr>
            </w:pPr>
            <w:r w:rsidRPr="00980D3E">
              <w:rPr>
                <w:b/>
              </w:rPr>
              <w:t>Total</w:t>
            </w:r>
          </w:p>
        </w:tc>
      </w:tr>
      <w:tr w:rsidR="00A53CD0" w:rsidRPr="00980D3E" w:rsidTr="00D443C2">
        <w:tc>
          <w:tcPr>
            <w:tcW w:w="1588" w:type="pct"/>
          </w:tcPr>
          <w:p w:rsidR="00A53CD0" w:rsidRPr="00980D3E" w:rsidRDefault="00A53CD0" w:rsidP="0077073B">
            <w:pPr>
              <w:pStyle w:val="TableText0"/>
            </w:pPr>
            <w:r w:rsidRPr="00980D3E">
              <w:t>N</w:t>
            </w:r>
          </w:p>
        </w:tc>
        <w:tc>
          <w:tcPr>
            <w:tcW w:w="1137" w:type="pct"/>
          </w:tcPr>
          <w:p w:rsidR="00A53CD0" w:rsidRPr="00980D3E" w:rsidRDefault="00A53CD0" w:rsidP="00A53CD0">
            <w:pPr>
              <w:pStyle w:val="TableText0"/>
              <w:jc w:val="center"/>
            </w:pPr>
            <w:r w:rsidRPr="00980D3E">
              <w:t>171</w:t>
            </w:r>
          </w:p>
        </w:tc>
        <w:tc>
          <w:tcPr>
            <w:tcW w:w="1137" w:type="pct"/>
          </w:tcPr>
          <w:p w:rsidR="00A53CD0" w:rsidRPr="00980D3E" w:rsidRDefault="00A53CD0" w:rsidP="00A53CD0">
            <w:pPr>
              <w:pStyle w:val="TableText0"/>
              <w:jc w:val="center"/>
            </w:pPr>
            <w:r w:rsidRPr="00980D3E">
              <w:t>84</w:t>
            </w:r>
          </w:p>
        </w:tc>
        <w:tc>
          <w:tcPr>
            <w:tcW w:w="1138" w:type="pct"/>
          </w:tcPr>
          <w:p w:rsidR="00A53CD0" w:rsidRPr="00980D3E" w:rsidRDefault="005F5322" w:rsidP="00A53CD0">
            <w:pPr>
              <w:pStyle w:val="TableText0"/>
              <w:jc w:val="center"/>
            </w:pPr>
            <w:r w:rsidRPr="00980D3E">
              <w:t>255</w:t>
            </w:r>
          </w:p>
        </w:tc>
      </w:tr>
      <w:tr w:rsidR="0077073B" w:rsidRPr="00980D3E" w:rsidTr="00D443C2">
        <w:tc>
          <w:tcPr>
            <w:tcW w:w="5000" w:type="pct"/>
            <w:gridSpan w:val="4"/>
          </w:tcPr>
          <w:p w:rsidR="0077073B" w:rsidRPr="00980D3E" w:rsidRDefault="0077073B" w:rsidP="0077073B">
            <w:pPr>
              <w:pStyle w:val="TableText0"/>
              <w:rPr>
                <w:b/>
              </w:rPr>
            </w:pPr>
            <w:r w:rsidRPr="00980D3E">
              <w:rPr>
                <w:b/>
              </w:rPr>
              <w:t>PFS without PD confirmation</w:t>
            </w:r>
          </w:p>
        </w:tc>
      </w:tr>
      <w:tr w:rsidR="0077073B" w:rsidRPr="00980D3E" w:rsidTr="00D443C2">
        <w:tc>
          <w:tcPr>
            <w:tcW w:w="1588" w:type="pct"/>
          </w:tcPr>
          <w:p w:rsidR="0077073B" w:rsidRPr="00980D3E" w:rsidRDefault="0077073B" w:rsidP="0077073B">
            <w:pPr>
              <w:pStyle w:val="TableText0"/>
            </w:pPr>
            <w:r w:rsidRPr="00980D3E">
              <w:t>Number of events</w:t>
            </w:r>
          </w:p>
        </w:tc>
        <w:tc>
          <w:tcPr>
            <w:tcW w:w="1137" w:type="pct"/>
          </w:tcPr>
          <w:p w:rsidR="0077073B" w:rsidRPr="00980D3E" w:rsidRDefault="0077073B" w:rsidP="00A53CD0">
            <w:pPr>
              <w:pStyle w:val="TableText0"/>
              <w:jc w:val="center"/>
            </w:pPr>
            <w:r w:rsidRPr="00980D3E">
              <w:t>130</w:t>
            </w:r>
            <w:r w:rsidR="00A53CD0" w:rsidRPr="00980D3E">
              <w:t xml:space="preserve"> (76.0%)</w:t>
            </w:r>
          </w:p>
        </w:tc>
        <w:tc>
          <w:tcPr>
            <w:tcW w:w="1137" w:type="pct"/>
          </w:tcPr>
          <w:p w:rsidR="0077073B" w:rsidRPr="00980D3E" w:rsidRDefault="00A53CD0" w:rsidP="00A53CD0">
            <w:pPr>
              <w:pStyle w:val="TableText0"/>
              <w:jc w:val="center"/>
            </w:pPr>
            <w:r w:rsidRPr="00980D3E">
              <w:t>61 (72.6%)</w:t>
            </w:r>
          </w:p>
        </w:tc>
        <w:tc>
          <w:tcPr>
            <w:tcW w:w="1138" w:type="pct"/>
          </w:tcPr>
          <w:p w:rsidR="0077073B" w:rsidRPr="00980D3E" w:rsidRDefault="00A53CD0" w:rsidP="00A53CD0">
            <w:pPr>
              <w:pStyle w:val="TableText0"/>
              <w:jc w:val="center"/>
            </w:pPr>
            <w:r w:rsidRPr="00980D3E">
              <w:t>191</w:t>
            </w:r>
          </w:p>
        </w:tc>
      </w:tr>
      <w:tr w:rsidR="0077073B" w:rsidRPr="00980D3E" w:rsidTr="00D443C2">
        <w:tc>
          <w:tcPr>
            <w:tcW w:w="1588" w:type="pct"/>
          </w:tcPr>
          <w:p w:rsidR="0077073B" w:rsidRPr="00980D3E" w:rsidRDefault="0077073B" w:rsidP="0077073B">
            <w:pPr>
              <w:pStyle w:val="TableText0"/>
            </w:pPr>
            <w:r w:rsidRPr="00980D3E">
              <w:t>Censored</w:t>
            </w:r>
          </w:p>
        </w:tc>
        <w:tc>
          <w:tcPr>
            <w:tcW w:w="1137" w:type="pct"/>
          </w:tcPr>
          <w:p w:rsidR="0077073B" w:rsidRPr="00980D3E" w:rsidRDefault="00A53CD0" w:rsidP="00A53CD0">
            <w:pPr>
              <w:pStyle w:val="TableText0"/>
              <w:jc w:val="center"/>
            </w:pPr>
            <w:r w:rsidRPr="00980D3E">
              <w:t>41 (24.0%)</w:t>
            </w:r>
          </w:p>
        </w:tc>
        <w:tc>
          <w:tcPr>
            <w:tcW w:w="1137" w:type="pct"/>
          </w:tcPr>
          <w:p w:rsidR="0077073B" w:rsidRPr="00980D3E" w:rsidRDefault="00A53CD0" w:rsidP="00A53CD0">
            <w:pPr>
              <w:pStyle w:val="TableText0"/>
              <w:jc w:val="center"/>
            </w:pPr>
            <w:r w:rsidRPr="00980D3E">
              <w:t>23 (27.4%)</w:t>
            </w:r>
          </w:p>
        </w:tc>
        <w:tc>
          <w:tcPr>
            <w:tcW w:w="1138" w:type="pct"/>
          </w:tcPr>
          <w:p w:rsidR="0077073B" w:rsidRPr="00980D3E" w:rsidRDefault="00A53CD0" w:rsidP="00A53CD0">
            <w:pPr>
              <w:pStyle w:val="TableText0"/>
              <w:jc w:val="center"/>
            </w:pPr>
            <w:r w:rsidRPr="00980D3E">
              <w:t>64</w:t>
            </w:r>
          </w:p>
        </w:tc>
      </w:tr>
      <w:tr w:rsidR="0077073B" w:rsidRPr="00980D3E" w:rsidTr="00D443C2">
        <w:tc>
          <w:tcPr>
            <w:tcW w:w="5000" w:type="pct"/>
            <w:gridSpan w:val="4"/>
          </w:tcPr>
          <w:p w:rsidR="0077073B" w:rsidRPr="00980D3E" w:rsidRDefault="0077073B" w:rsidP="0077073B">
            <w:pPr>
              <w:pStyle w:val="TableText0"/>
              <w:rPr>
                <w:b/>
              </w:rPr>
            </w:pPr>
            <w:r w:rsidRPr="00980D3E">
              <w:rPr>
                <w:b/>
              </w:rPr>
              <w:t>PFS with PD confirmation</w:t>
            </w:r>
          </w:p>
        </w:tc>
      </w:tr>
      <w:tr w:rsidR="0077073B" w:rsidRPr="00980D3E" w:rsidTr="00D443C2">
        <w:tc>
          <w:tcPr>
            <w:tcW w:w="1588" w:type="pct"/>
          </w:tcPr>
          <w:p w:rsidR="0077073B" w:rsidRPr="00980D3E" w:rsidRDefault="0077073B" w:rsidP="0077073B">
            <w:pPr>
              <w:pStyle w:val="TableText0"/>
            </w:pPr>
            <w:r w:rsidRPr="00980D3E">
              <w:t>Number of events</w:t>
            </w:r>
          </w:p>
        </w:tc>
        <w:tc>
          <w:tcPr>
            <w:tcW w:w="1137" w:type="pct"/>
          </w:tcPr>
          <w:p w:rsidR="0077073B" w:rsidRPr="00980D3E" w:rsidRDefault="00A53CD0" w:rsidP="00A53CD0">
            <w:pPr>
              <w:pStyle w:val="TableText0"/>
              <w:jc w:val="center"/>
            </w:pPr>
            <w:r w:rsidRPr="00980D3E">
              <w:t>80 (46.8%)</w:t>
            </w:r>
          </w:p>
        </w:tc>
        <w:tc>
          <w:tcPr>
            <w:tcW w:w="1137" w:type="pct"/>
          </w:tcPr>
          <w:p w:rsidR="0077073B" w:rsidRPr="00980D3E" w:rsidRDefault="00A53CD0" w:rsidP="00A53CD0">
            <w:pPr>
              <w:pStyle w:val="TableText0"/>
              <w:jc w:val="center"/>
            </w:pPr>
            <w:r w:rsidRPr="00980D3E">
              <w:t>43 (51.2%)</w:t>
            </w:r>
          </w:p>
        </w:tc>
        <w:tc>
          <w:tcPr>
            <w:tcW w:w="1138" w:type="pct"/>
          </w:tcPr>
          <w:p w:rsidR="0077073B" w:rsidRPr="00980D3E" w:rsidRDefault="00A53CD0" w:rsidP="00A53CD0">
            <w:pPr>
              <w:pStyle w:val="TableText0"/>
              <w:jc w:val="center"/>
            </w:pPr>
            <w:r w:rsidRPr="00980D3E">
              <w:t>123</w:t>
            </w:r>
          </w:p>
        </w:tc>
      </w:tr>
      <w:tr w:rsidR="0077073B" w:rsidRPr="00980D3E" w:rsidTr="00D443C2">
        <w:tc>
          <w:tcPr>
            <w:tcW w:w="1588" w:type="pct"/>
          </w:tcPr>
          <w:p w:rsidR="0077073B" w:rsidRPr="00980D3E" w:rsidRDefault="0077073B" w:rsidP="0077073B">
            <w:pPr>
              <w:pStyle w:val="TableText0"/>
            </w:pPr>
            <w:r w:rsidRPr="00980D3E">
              <w:t>Censored</w:t>
            </w:r>
          </w:p>
        </w:tc>
        <w:tc>
          <w:tcPr>
            <w:tcW w:w="1137" w:type="pct"/>
          </w:tcPr>
          <w:p w:rsidR="0077073B" w:rsidRPr="00980D3E" w:rsidRDefault="00A53CD0" w:rsidP="00A53CD0">
            <w:pPr>
              <w:pStyle w:val="TableText0"/>
              <w:jc w:val="center"/>
            </w:pPr>
            <w:r w:rsidRPr="00980D3E">
              <w:t>91 (53.2%)</w:t>
            </w:r>
          </w:p>
        </w:tc>
        <w:tc>
          <w:tcPr>
            <w:tcW w:w="1137" w:type="pct"/>
          </w:tcPr>
          <w:p w:rsidR="0077073B" w:rsidRPr="00980D3E" w:rsidRDefault="00A53CD0" w:rsidP="00A53CD0">
            <w:pPr>
              <w:pStyle w:val="TableText0"/>
              <w:jc w:val="center"/>
            </w:pPr>
            <w:r w:rsidRPr="00980D3E">
              <w:t>41 (48.8%)</w:t>
            </w:r>
          </w:p>
        </w:tc>
        <w:tc>
          <w:tcPr>
            <w:tcW w:w="1138" w:type="pct"/>
          </w:tcPr>
          <w:p w:rsidR="0077073B" w:rsidRPr="00980D3E" w:rsidRDefault="00A53CD0" w:rsidP="00A53CD0">
            <w:pPr>
              <w:pStyle w:val="TableText0"/>
              <w:jc w:val="center"/>
            </w:pPr>
            <w:r w:rsidRPr="00980D3E">
              <w:t>132</w:t>
            </w:r>
          </w:p>
        </w:tc>
      </w:tr>
      <w:tr w:rsidR="0077073B" w:rsidRPr="00980D3E" w:rsidTr="00D443C2">
        <w:tc>
          <w:tcPr>
            <w:tcW w:w="5000" w:type="pct"/>
            <w:gridSpan w:val="4"/>
          </w:tcPr>
          <w:p w:rsidR="0077073B" w:rsidRPr="00980D3E" w:rsidRDefault="0077073B" w:rsidP="0077073B">
            <w:pPr>
              <w:pStyle w:val="TableText0"/>
              <w:rPr>
                <w:b/>
              </w:rPr>
            </w:pPr>
            <w:r w:rsidRPr="00980D3E">
              <w:rPr>
                <w:b/>
              </w:rPr>
              <w:t>Difference</w:t>
            </w:r>
          </w:p>
        </w:tc>
      </w:tr>
      <w:tr w:rsidR="0077073B" w:rsidRPr="00980D3E" w:rsidTr="00D443C2">
        <w:tc>
          <w:tcPr>
            <w:tcW w:w="1588" w:type="pct"/>
          </w:tcPr>
          <w:p w:rsidR="0077073B" w:rsidRPr="00980D3E" w:rsidRDefault="00A53CD0" w:rsidP="0077073B">
            <w:pPr>
              <w:pStyle w:val="TableText0"/>
            </w:pPr>
            <w:r w:rsidRPr="00980D3E">
              <w:t>Number of events/censored</w:t>
            </w:r>
          </w:p>
        </w:tc>
        <w:tc>
          <w:tcPr>
            <w:tcW w:w="1137" w:type="pct"/>
          </w:tcPr>
          <w:p w:rsidR="0077073B" w:rsidRPr="00980D3E" w:rsidRDefault="00A53CD0" w:rsidP="00A53CD0">
            <w:pPr>
              <w:pStyle w:val="TableText0"/>
              <w:jc w:val="center"/>
            </w:pPr>
            <w:r w:rsidRPr="00980D3E">
              <w:t>50</w:t>
            </w:r>
          </w:p>
        </w:tc>
        <w:tc>
          <w:tcPr>
            <w:tcW w:w="1137" w:type="pct"/>
          </w:tcPr>
          <w:p w:rsidR="0077073B" w:rsidRPr="00980D3E" w:rsidRDefault="00A53CD0" w:rsidP="00A53CD0">
            <w:pPr>
              <w:pStyle w:val="TableText0"/>
              <w:jc w:val="center"/>
            </w:pPr>
            <w:r w:rsidRPr="00980D3E">
              <w:t>18</w:t>
            </w:r>
          </w:p>
        </w:tc>
        <w:tc>
          <w:tcPr>
            <w:tcW w:w="1138" w:type="pct"/>
          </w:tcPr>
          <w:p w:rsidR="0077073B" w:rsidRPr="00980D3E" w:rsidRDefault="00A53CD0" w:rsidP="00A53CD0">
            <w:pPr>
              <w:pStyle w:val="TableText0"/>
              <w:jc w:val="center"/>
            </w:pPr>
            <w:r w:rsidRPr="00980D3E">
              <w:t>68</w:t>
            </w:r>
          </w:p>
        </w:tc>
      </w:tr>
    </w:tbl>
    <w:p w:rsidR="0077073B" w:rsidRPr="00980D3E" w:rsidRDefault="00A53CD0" w:rsidP="00D443C2">
      <w:pPr>
        <w:pStyle w:val="TableFigureFooter"/>
      </w:pPr>
      <w:r w:rsidRPr="00980D3E">
        <w:t>Dxm = dexamethasone; PD = progressive disease; PFS = progression free disease</w:t>
      </w:r>
    </w:p>
    <w:p w:rsidR="00A53CD0" w:rsidRPr="00980D3E" w:rsidRDefault="00A53CD0" w:rsidP="00D443C2">
      <w:pPr>
        <w:pStyle w:val="TableFigureFooter"/>
      </w:pPr>
      <w:r w:rsidRPr="00980D3E">
        <w:t>Source: Table 3, p5 of the PSCR</w:t>
      </w:r>
    </w:p>
    <w:p w:rsidR="00B60939" w:rsidRPr="00980D3E" w:rsidRDefault="00B60939" w:rsidP="00EC5836">
      <w:pPr>
        <w:pStyle w:val="4-SubsectionHeading"/>
      </w:pPr>
      <w:bookmarkStart w:id="19" w:name="_Toc22897641"/>
      <w:bookmarkStart w:id="20" w:name="_Toc30490400"/>
      <w:r w:rsidRPr="00980D3E">
        <w:t>Comparative effectiveness</w:t>
      </w:r>
      <w:bookmarkEnd w:id="19"/>
      <w:bookmarkEnd w:id="20"/>
    </w:p>
    <w:p w:rsidR="0032151C" w:rsidRPr="00980D3E" w:rsidRDefault="0032151C" w:rsidP="0032151C">
      <w:pPr>
        <w:spacing w:after="120"/>
        <w:rPr>
          <w:snapToGrid w:val="0"/>
          <w:szCs w:val="22"/>
          <w:u w:val="single"/>
          <w:lang w:eastAsia="en-US"/>
        </w:rPr>
      </w:pPr>
      <w:r w:rsidRPr="00980D3E">
        <w:rPr>
          <w:snapToGrid w:val="0"/>
          <w:szCs w:val="22"/>
          <w:u w:val="single"/>
          <w:lang w:eastAsia="en-US"/>
        </w:rPr>
        <w:t xml:space="preserve">Plitidepsin + </w:t>
      </w:r>
      <w:r w:rsidR="00C50AE9" w:rsidRPr="00980D3E">
        <w:rPr>
          <w:snapToGrid w:val="0"/>
          <w:szCs w:val="22"/>
          <w:u w:val="single"/>
          <w:lang w:eastAsia="en-US"/>
        </w:rPr>
        <w:t>Dxm</w:t>
      </w:r>
      <w:r w:rsidRPr="00980D3E">
        <w:rPr>
          <w:snapToGrid w:val="0"/>
          <w:szCs w:val="22"/>
          <w:u w:val="single"/>
          <w:lang w:eastAsia="en-US"/>
        </w:rPr>
        <w:t xml:space="preserve"> </w:t>
      </w:r>
      <w:r w:rsidR="005F5322" w:rsidRPr="00980D3E">
        <w:rPr>
          <w:snapToGrid w:val="0"/>
          <w:szCs w:val="22"/>
          <w:u w:val="single"/>
          <w:lang w:eastAsia="en-US"/>
        </w:rPr>
        <w:t>versus</w:t>
      </w:r>
      <w:r w:rsidRPr="00980D3E">
        <w:rPr>
          <w:snapToGrid w:val="0"/>
          <w:szCs w:val="22"/>
          <w:u w:val="single"/>
          <w:lang w:eastAsia="en-US"/>
        </w:rPr>
        <w:t xml:space="preserve"> </w:t>
      </w:r>
      <w:r w:rsidR="00C50AE9" w:rsidRPr="00980D3E">
        <w:rPr>
          <w:snapToGrid w:val="0"/>
          <w:szCs w:val="22"/>
          <w:u w:val="single"/>
          <w:lang w:eastAsia="en-US"/>
        </w:rPr>
        <w:t>Dxm</w:t>
      </w:r>
      <w:r w:rsidRPr="00980D3E">
        <w:rPr>
          <w:snapToGrid w:val="0"/>
          <w:szCs w:val="22"/>
          <w:u w:val="single"/>
          <w:lang w:eastAsia="en-US"/>
        </w:rPr>
        <w:t>: the ADMYRE trial</w:t>
      </w:r>
    </w:p>
    <w:p w:rsidR="007A7FE3" w:rsidRPr="00980D3E" w:rsidRDefault="00487091" w:rsidP="007A7FE3">
      <w:pPr>
        <w:pStyle w:val="3-BodyText"/>
      </w:pPr>
      <w:r w:rsidRPr="00980D3E">
        <w:t xml:space="preserve">The </w:t>
      </w:r>
      <w:r w:rsidR="0082654A" w:rsidRPr="00980D3E">
        <w:t xml:space="preserve">results of the </w:t>
      </w:r>
      <w:r w:rsidR="00E66C69" w:rsidRPr="00980D3E">
        <w:t>key</w:t>
      </w:r>
      <w:r w:rsidR="00890682" w:rsidRPr="00980D3E">
        <w:t xml:space="preserve"> </w:t>
      </w:r>
      <w:r w:rsidR="0082654A" w:rsidRPr="00980D3E">
        <w:t xml:space="preserve">PFS outcomes comparing plitidepsin + </w:t>
      </w:r>
      <w:r w:rsidR="00C50AE9" w:rsidRPr="00980D3E">
        <w:t>Dxm</w:t>
      </w:r>
      <w:r w:rsidR="0082654A" w:rsidRPr="00980D3E">
        <w:t xml:space="preserve"> and </w:t>
      </w:r>
      <w:r w:rsidR="00C50AE9" w:rsidRPr="00980D3E">
        <w:t>Dxm</w:t>
      </w:r>
      <w:r w:rsidR="0082654A" w:rsidRPr="00980D3E">
        <w:t xml:space="preserve"> monotherapy </w:t>
      </w:r>
      <w:r w:rsidR="00764D90" w:rsidRPr="00980D3E">
        <w:t xml:space="preserve">are </w:t>
      </w:r>
      <w:r w:rsidR="0082654A" w:rsidRPr="00980D3E">
        <w:t xml:space="preserve">presented </w:t>
      </w:r>
      <w:r w:rsidR="00425F15" w:rsidRPr="00980D3E">
        <w:t xml:space="preserve">in </w:t>
      </w:r>
      <w:r w:rsidR="004F6269" w:rsidRPr="00980D3E">
        <w:t>Table 6</w:t>
      </w:r>
      <w:r w:rsidR="00980D3E">
        <w:t xml:space="preserve">. </w:t>
      </w:r>
      <w:r w:rsidR="0082654A" w:rsidRPr="00980D3E">
        <w:t xml:space="preserve">The Kaplan-Meier plots for PFS are presented in </w:t>
      </w:r>
      <w:r w:rsidR="00820C9B" w:rsidRPr="00980D3E">
        <w:t>Figure 1</w:t>
      </w:r>
      <w:r w:rsidR="00BA49B2" w:rsidRPr="00980D3E">
        <w:t>.</w:t>
      </w:r>
      <w:r w:rsidR="0082654A" w:rsidRPr="00980D3E">
        <w:t xml:space="preserve"> </w:t>
      </w:r>
      <w:r w:rsidR="004A3A86" w:rsidRPr="00980D3E">
        <w:t>T</w:t>
      </w:r>
      <w:r w:rsidR="0082654A" w:rsidRPr="00980D3E">
        <w:t xml:space="preserve">he PBAC </w:t>
      </w:r>
      <w:r w:rsidR="004A3A86" w:rsidRPr="00980D3E">
        <w:t xml:space="preserve">previously </w:t>
      </w:r>
      <w:r w:rsidR="0082654A" w:rsidRPr="00980D3E">
        <w:t>considered use of the IRC analysis to be the most appropriate (</w:t>
      </w:r>
      <w:r w:rsidR="004A3A86" w:rsidRPr="00980D3E">
        <w:t>p</w:t>
      </w:r>
      <w:r w:rsidR="00C50AE9" w:rsidRPr="00980D3E">
        <w:t>aragraph</w:t>
      </w:r>
      <w:r w:rsidR="0082654A" w:rsidRPr="00980D3E">
        <w:t xml:space="preserve"> 7.4, plitidepsin </w:t>
      </w:r>
      <w:r w:rsidR="00E72A3A" w:rsidRPr="00980D3E">
        <w:t>PSD</w:t>
      </w:r>
      <w:r w:rsidR="0082654A" w:rsidRPr="00980D3E">
        <w:t xml:space="preserve">, July 2019 PBAC meeting). </w:t>
      </w:r>
    </w:p>
    <w:p w:rsidR="0060325C" w:rsidRPr="00980D3E" w:rsidRDefault="0082654A" w:rsidP="00D443C2">
      <w:pPr>
        <w:pStyle w:val="TableHeading"/>
        <w:rPr>
          <w:rStyle w:val="CommentReference"/>
          <w:b/>
          <w:szCs w:val="24"/>
        </w:rPr>
      </w:pPr>
      <w:bookmarkStart w:id="21" w:name="_Ref33527767"/>
      <w:r w:rsidRPr="00980D3E">
        <w:t xml:space="preserve">Table </w:t>
      </w:r>
      <w:r w:rsidR="00820C9B" w:rsidRPr="00980D3E">
        <w:t>6</w:t>
      </w:r>
      <w:bookmarkEnd w:id="21"/>
      <w:r w:rsidRPr="00980D3E">
        <w:t xml:space="preserve">: Key </w:t>
      </w:r>
      <w:r w:rsidR="009C735F" w:rsidRPr="00980D3E">
        <w:t xml:space="preserve">IRC assessed </w:t>
      </w:r>
      <w:r w:rsidRPr="00980D3E">
        <w:t xml:space="preserve">PFS outcomes for plitidepsin + </w:t>
      </w:r>
      <w:r w:rsidR="00C50AE9" w:rsidRPr="00980D3E">
        <w:t>Dxm</w:t>
      </w:r>
      <w:r w:rsidRPr="00980D3E">
        <w:t xml:space="preserve"> versus </w:t>
      </w:r>
      <w:r w:rsidR="00C50AE9" w:rsidRPr="00980D3E">
        <w:t>Dxm</w:t>
      </w:r>
      <w:r w:rsidRPr="00980D3E">
        <w:t xml:space="preserve"> monotherapy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1843"/>
        <w:gridCol w:w="1558"/>
        <w:gridCol w:w="1134"/>
        <w:gridCol w:w="1508"/>
      </w:tblGrid>
      <w:tr w:rsidR="00535F4F" w:rsidRPr="00980D3E" w:rsidTr="00D443C2">
        <w:trPr>
          <w:cantSplit/>
          <w:tblHeader/>
        </w:trPr>
        <w:tc>
          <w:tcPr>
            <w:tcW w:w="1649" w:type="pct"/>
            <w:tcMar>
              <w:left w:w="28" w:type="dxa"/>
              <w:right w:w="28" w:type="dxa"/>
            </w:tcMar>
            <w:vAlign w:val="center"/>
          </w:tcPr>
          <w:p w:rsidR="0060325C" w:rsidRPr="00980D3E" w:rsidRDefault="0060325C" w:rsidP="00890682">
            <w:pPr>
              <w:pStyle w:val="In-tableHeading"/>
              <w:jc w:val="center"/>
              <w:rPr>
                <w:szCs w:val="20"/>
                <w:lang w:val="en-AU"/>
              </w:rPr>
            </w:pPr>
          </w:p>
        </w:tc>
        <w:tc>
          <w:tcPr>
            <w:tcW w:w="1022" w:type="pct"/>
            <w:tcMar>
              <w:left w:w="28" w:type="dxa"/>
              <w:right w:w="28" w:type="dxa"/>
            </w:tcMar>
            <w:vAlign w:val="center"/>
          </w:tcPr>
          <w:p w:rsidR="0060325C" w:rsidRPr="00980D3E" w:rsidRDefault="0060325C" w:rsidP="00E72A3A">
            <w:pPr>
              <w:pStyle w:val="In-tableHeading"/>
              <w:jc w:val="center"/>
              <w:rPr>
                <w:szCs w:val="20"/>
                <w:lang w:val="en-AU"/>
              </w:rPr>
            </w:pPr>
            <w:r w:rsidRPr="00980D3E">
              <w:rPr>
                <w:szCs w:val="20"/>
                <w:lang w:val="en-AU"/>
              </w:rPr>
              <w:t xml:space="preserve">Plitidepsin + </w:t>
            </w:r>
            <w:r w:rsidR="008D4068" w:rsidRPr="00980D3E">
              <w:rPr>
                <w:szCs w:val="20"/>
                <w:lang w:val="en-AU"/>
              </w:rPr>
              <w:t>Dxm</w:t>
            </w:r>
          </w:p>
        </w:tc>
        <w:tc>
          <w:tcPr>
            <w:tcW w:w="864" w:type="pct"/>
            <w:tcMar>
              <w:left w:w="28" w:type="dxa"/>
              <w:right w:w="28" w:type="dxa"/>
            </w:tcMar>
            <w:vAlign w:val="center"/>
          </w:tcPr>
          <w:p w:rsidR="0060325C" w:rsidRPr="00980D3E" w:rsidRDefault="00C50AE9" w:rsidP="00E72A3A">
            <w:pPr>
              <w:pStyle w:val="In-tableHeading"/>
              <w:jc w:val="center"/>
              <w:rPr>
                <w:szCs w:val="20"/>
                <w:lang w:val="en-AU"/>
              </w:rPr>
            </w:pPr>
            <w:r w:rsidRPr="00980D3E">
              <w:rPr>
                <w:szCs w:val="20"/>
                <w:lang w:val="en-AU"/>
              </w:rPr>
              <w:t>Dxm</w:t>
            </w:r>
          </w:p>
        </w:tc>
        <w:tc>
          <w:tcPr>
            <w:tcW w:w="629" w:type="pct"/>
            <w:tcMar>
              <w:left w:w="28" w:type="dxa"/>
              <w:right w:w="28" w:type="dxa"/>
            </w:tcMar>
            <w:vAlign w:val="center"/>
          </w:tcPr>
          <w:p w:rsidR="0060325C" w:rsidRPr="00980D3E" w:rsidRDefault="0060325C" w:rsidP="00890682">
            <w:pPr>
              <w:pStyle w:val="In-tableHeading"/>
              <w:jc w:val="center"/>
              <w:rPr>
                <w:szCs w:val="20"/>
                <w:lang w:val="en-AU"/>
              </w:rPr>
            </w:pPr>
            <w:r w:rsidRPr="00980D3E">
              <w:rPr>
                <w:szCs w:val="20"/>
                <w:lang w:val="en-AU"/>
              </w:rPr>
              <w:t>Absolute difference</w:t>
            </w:r>
            <w:r w:rsidR="0082654A" w:rsidRPr="00980D3E">
              <w:rPr>
                <w:szCs w:val="20"/>
                <w:lang w:val="en-AU"/>
              </w:rPr>
              <w:t xml:space="preserve"> (months)</w:t>
            </w:r>
          </w:p>
        </w:tc>
        <w:tc>
          <w:tcPr>
            <w:tcW w:w="837" w:type="pct"/>
            <w:tcMar>
              <w:left w:w="28" w:type="dxa"/>
              <w:right w:w="28" w:type="dxa"/>
            </w:tcMar>
            <w:vAlign w:val="center"/>
          </w:tcPr>
          <w:p w:rsidR="0060325C" w:rsidRPr="00980D3E" w:rsidRDefault="0060325C" w:rsidP="00890682">
            <w:pPr>
              <w:pStyle w:val="In-tableHeading"/>
              <w:jc w:val="center"/>
              <w:rPr>
                <w:szCs w:val="20"/>
                <w:lang w:val="en-AU"/>
              </w:rPr>
            </w:pPr>
            <w:r w:rsidRPr="00980D3E">
              <w:rPr>
                <w:szCs w:val="20"/>
                <w:lang w:val="en-AU"/>
              </w:rPr>
              <w:t>HR (95% CI)</w:t>
            </w:r>
          </w:p>
        </w:tc>
      </w:tr>
      <w:tr w:rsidR="0060325C" w:rsidRPr="00980D3E" w:rsidTr="00D443C2">
        <w:trPr>
          <w:cantSplit/>
        </w:trPr>
        <w:tc>
          <w:tcPr>
            <w:tcW w:w="5000" w:type="pct"/>
            <w:gridSpan w:val="5"/>
            <w:tcMar>
              <w:left w:w="28" w:type="dxa"/>
              <w:right w:w="28" w:type="dxa"/>
            </w:tcMar>
            <w:vAlign w:val="center"/>
          </w:tcPr>
          <w:p w:rsidR="0060325C" w:rsidRPr="00980D3E" w:rsidRDefault="0060325C" w:rsidP="00890682">
            <w:pPr>
              <w:pStyle w:val="In-tableHeading"/>
              <w:rPr>
                <w:szCs w:val="20"/>
                <w:lang w:val="en-AU"/>
              </w:rPr>
            </w:pPr>
            <w:r w:rsidRPr="00980D3E">
              <w:rPr>
                <w:szCs w:val="20"/>
                <w:lang w:val="en-AU"/>
              </w:rPr>
              <w:t>Progression-free survival (IRC without PD confirmation)</w:t>
            </w:r>
            <w:r w:rsidR="00425F15" w:rsidRPr="00980D3E">
              <w:rPr>
                <w:szCs w:val="20"/>
                <w:lang w:val="en-AU"/>
              </w:rPr>
              <w:t xml:space="preserve"> – primary outcome</w:t>
            </w:r>
          </w:p>
        </w:tc>
      </w:tr>
      <w:tr w:rsidR="00535F4F" w:rsidRPr="00980D3E" w:rsidTr="00D443C2">
        <w:trPr>
          <w:cantSplit/>
        </w:trPr>
        <w:tc>
          <w:tcPr>
            <w:tcW w:w="1649" w:type="pct"/>
            <w:tcMar>
              <w:left w:w="28" w:type="dxa"/>
              <w:right w:w="28" w:type="dxa"/>
            </w:tcMar>
            <w:vAlign w:val="center"/>
          </w:tcPr>
          <w:p w:rsidR="00535F4F" w:rsidRPr="00980D3E" w:rsidRDefault="00535F4F" w:rsidP="00890682">
            <w:pPr>
              <w:pStyle w:val="TableText0"/>
              <w:rPr>
                <w:szCs w:val="20"/>
              </w:rPr>
            </w:pPr>
            <w:r w:rsidRPr="00980D3E">
              <w:rPr>
                <w:szCs w:val="20"/>
              </w:rPr>
              <w:t>Progressed, n</w:t>
            </w:r>
            <w:r w:rsidR="00E72A3A" w:rsidRPr="00980D3E">
              <w:rPr>
                <w:szCs w:val="20"/>
              </w:rPr>
              <w:t>/N</w:t>
            </w:r>
            <w:r w:rsidRPr="00980D3E">
              <w:rPr>
                <w:szCs w:val="20"/>
              </w:rPr>
              <w:t xml:space="preserve"> (%)</w:t>
            </w:r>
          </w:p>
        </w:tc>
        <w:tc>
          <w:tcPr>
            <w:tcW w:w="1022" w:type="pct"/>
            <w:tcMar>
              <w:left w:w="28" w:type="dxa"/>
              <w:right w:w="28" w:type="dxa"/>
            </w:tcMar>
            <w:vAlign w:val="center"/>
          </w:tcPr>
          <w:p w:rsidR="00535F4F" w:rsidRPr="00980D3E" w:rsidRDefault="00535F4F" w:rsidP="00890682">
            <w:pPr>
              <w:pStyle w:val="TableText0"/>
              <w:jc w:val="center"/>
              <w:rPr>
                <w:szCs w:val="20"/>
              </w:rPr>
            </w:pPr>
            <w:r w:rsidRPr="00980D3E">
              <w:rPr>
                <w:szCs w:val="20"/>
              </w:rPr>
              <w:t>130/171 (76.0</w:t>
            </w:r>
            <w:r w:rsidR="00E72A3A" w:rsidRPr="00980D3E">
              <w:rPr>
                <w:szCs w:val="20"/>
              </w:rPr>
              <w:t>%</w:t>
            </w:r>
            <w:r w:rsidRPr="00980D3E">
              <w:rPr>
                <w:szCs w:val="20"/>
              </w:rPr>
              <w:t>)</w:t>
            </w:r>
          </w:p>
        </w:tc>
        <w:tc>
          <w:tcPr>
            <w:tcW w:w="864" w:type="pct"/>
            <w:tcMar>
              <w:left w:w="28" w:type="dxa"/>
              <w:right w:w="28" w:type="dxa"/>
            </w:tcMar>
            <w:vAlign w:val="center"/>
          </w:tcPr>
          <w:p w:rsidR="00535F4F" w:rsidRPr="00980D3E" w:rsidRDefault="00535F4F" w:rsidP="00890682">
            <w:pPr>
              <w:pStyle w:val="TableText0"/>
              <w:jc w:val="center"/>
              <w:rPr>
                <w:szCs w:val="20"/>
              </w:rPr>
            </w:pPr>
            <w:r w:rsidRPr="00980D3E">
              <w:rPr>
                <w:szCs w:val="20"/>
              </w:rPr>
              <w:t>61/84 (72.6</w:t>
            </w:r>
            <w:r w:rsidR="00E72A3A" w:rsidRPr="00980D3E">
              <w:rPr>
                <w:szCs w:val="20"/>
              </w:rPr>
              <w:t>%</w:t>
            </w:r>
            <w:r w:rsidRPr="00980D3E">
              <w:rPr>
                <w:szCs w:val="20"/>
              </w:rPr>
              <w:t>)</w:t>
            </w:r>
          </w:p>
        </w:tc>
        <w:tc>
          <w:tcPr>
            <w:tcW w:w="629" w:type="pct"/>
            <w:tcMar>
              <w:left w:w="28" w:type="dxa"/>
              <w:right w:w="28" w:type="dxa"/>
            </w:tcMar>
            <w:vAlign w:val="center"/>
          </w:tcPr>
          <w:p w:rsidR="00535F4F" w:rsidRPr="00980D3E" w:rsidRDefault="00535F4F" w:rsidP="00890682">
            <w:pPr>
              <w:pStyle w:val="TableText0"/>
              <w:jc w:val="center"/>
              <w:rPr>
                <w:szCs w:val="20"/>
              </w:rPr>
            </w:pPr>
            <w:r w:rsidRPr="00980D3E">
              <w:rPr>
                <w:szCs w:val="20"/>
              </w:rPr>
              <w:t>-</w:t>
            </w:r>
          </w:p>
        </w:tc>
        <w:tc>
          <w:tcPr>
            <w:tcW w:w="837" w:type="pct"/>
            <w:vMerge w:val="restart"/>
            <w:tcMar>
              <w:left w:w="28" w:type="dxa"/>
              <w:right w:w="28" w:type="dxa"/>
            </w:tcMar>
            <w:vAlign w:val="center"/>
          </w:tcPr>
          <w:p w:rsidR="00535F4F" w:rsidRPr="00980D3E" w:rsidRDefault="00535F4F" w:rsidP="00530390">
            <w:pPr>
              <w:pStyle w:val="TableText0"/>
              <w:jc w:val="center"/>
              <w:rPr>
                <w:b/>
                <w:szCs w:val="20"/>
              </w:rPr>
            </w:pPr>
            <w:r w:rsidRPr="00980D3E">
              <w:rPr>
                <w:b/>
                <w:szCs w:val="20"/>
              </w:rPr>
              <w:t xml:space="preserve">0.65 </w:t>
            </w:r>
          </w:p>
          <w:p w:rsidR="00535F4F" w:rsidRPr="00980D3E" w:rsidRDefault="00535F4F" w:rsidP="00530390">
            <w:pPr>
              <w:pStyle w:val="TableText0"/>
              <w:jc w:val="center"/>
              <w:rPr>
                <w:b/>
                <w:szCs w:val="20"/>
              </w:rPr>
            </w:pPr>
            <w:r w:rsidRPr="00980D3E">
              <w:rPr>
                <w:b/>
                <w:szCs w:val="20"/>
              </w:rPr>
              <w:t>(0.4</w:t>
            </w:r>
            <w:r w:rsidR="00E72A3A" w:rsidRPr="00980D3E">
              <w:rPr>
                <w:b/>
                <w:szCs w:val="20"/>
              </w:rPr>
              <w:t>8</w:t>
            </w:r>
            <w:r w:rsidRPr="00980D3E">
              <w:rPr>
                <w:b/>
                <w:szCs w:val="20"/>
              </w:rPr>
              <w:t>, 0.8</w:t>
            </w:r>
            <w:r w:rsidR="00E72A3A" w:rsidRPr="00980D3E">
              <w:rPr>
                <w:b/>
                <w:szCs w:val="20"/>
              </w:rPr>
              <w:t>9</w:t>
            </w:r>
            <w:r w:rsidRPr="00980D3E">
              <w:rPr>
                <w:b/>
                <w:szCs w:val="20"/>
              </w:rPr>
              <w:t>)</w:t>
            </w:r>
          </w:p>
          <w:p w:rsidR="00535F4F" w:rsidRPr="00980D3E" w:rsidRDefault="00535F4F" w:rsidP="00530390">
            <w:pPr>
              <w:pStyle w:val="TableText0"/>
              <w:jc w:val="center"/>
              <w:rPr>
                <w:szCs w:val="20"/>
              </w:rPr>
            </w:pPr>
            <w:r w:rsidRPr="00980D3E">
              <w:rPr>
                <w:szCs w:val="20"/>
              </w:rPr>
              <w:t>p-value = 0.0062</w:t>
            </w:r>
          </w:p>
        </w:tc>
      </w:tr>
      <w:tr w:rsidR="00535F4F" w:rsidRPr="00980D3E" w:rsidTr="00D443C2">
        <w:trPr>
          <w:cantSplit/>
        </w:trPr>
        <w:tc>
          <w:tcPr>
            <w:tcW w:w="1649" w:type="pct"/>
            <w:tcMar>
              <w:left w:w="28" w:type="dxa"/>
              <w:right w:w="28" w:type="dxa"/>
            </w:tcMar>
            <w:vAlign w:val="center"/>
          </w:tcPr>
          <w:p w:rsidR="00535F4F" w:rsidRPr="00980D3E" w:rsidRDefault="00535F4F" w:rsidP="00890682">
            <w:pPr>
              <w:pStyle w:val="TableText0"/>
              <w:rPr>
                <w:szCs w:val="20"/>
              </w:rPr>
            </w:pPr>
            <w:r w:rsidRPr="00980D3E">
              <w:rPr>
                <w:szCs w:val="20"/>
              </w:rPr>
              <w:t>Censored, n</w:t>
            </w:r>
            <w:r w:rsidR="00E72A3A" w:rsidRPr="00980D3E">
              <w:rPr>
                <w:szCs w:val="20"/>
              </w:rPr>
              <w:t>/N</w:t>
            </w:r>
            <w:r w:rsidRPr="00980D3E">
              <w:rPr>
                <w:szCs w:val="20"/>
              </w:rPr>
              <w:t xml:space="preserve"> (%)</w:t>
            </w:r>
          </w:p>
        </w:tc>
        <w:tc>
          <w:tcPr>
            <w:tcW w:w="1022" w:type="pct"/>
            <w:tcMar>
              <w:left w:w="28" w:type="dxa"/>
              <w:right w:w="28" w:type="dxa"/>
            </w:tcMar>
            <w:vAlign w:val="center"/>
          </w:tcPr>
          <w:p w:rsidR="00535F4F" w:rsidRPr="00980D3E" w:rsidRDefault="00535F4F" w:rsidP="00290CC5">
            <w:pPr>
              <w:pStyle w:val="TableText0"/>
              <w:jc w:val="center"/>
              <w:rPr>
                <w:szCs w:val="20"/>
              </w:rPr>
            </w:pPr>
            <w:r w:rsidRPr="00980D3E">
              <w:rPr>
                <w:szCs w:val="20"/>
              </w:rPr>
              <w:t>41/171 (24.0</w:t>
            </w:r>
            <w:r w:rsidR="00E72A3A" w:rsidRPr="00980D3E">
              <w:rPr>
                <w:szCs w:val="20"/>
              </w:rPr>
              <w:t>%</w:t>
            </w:r>
            <w:r w:rsidRPr="00980D3E">
              <w:rPr>
                <w:szCs w:val="20"/>
              </w:rPr>
              <w:t>)</w:t>
            </w:r>
          </w:p>
        </w:tc>
        <w:tc>
          <w:tcPr>
            <w:tcW w:w="864" w:type="pct"/>
            <w:tcMar>
              <w:left w:w="28" w:type="dxa"/>
              <w:right w:w="28" w:type="dxa"/>
            </w:tcMar>
            <w:vAlign w:val="center"/>
          </w:tcPr>
          <w:p w:rsidR="00535F4F" w:rsidRPr="00980D3E" w:rsidRDefault="00535F4F" w:rsidP="004A3A86">
            <w:pPr>
              <w:pStyle w:val="TableText0"/>
              <w:jc w:val="center"/>
              <w:rPr>
                <w:szCs w:val="20"/>
              </w:rPr>
            </w:pPr>
            <w:r w:rsidRPr="00980D3E">
              <w:rPr>
                <w:szCs w:val="20"/>
              </w:rPr>
              <w:t>23/</w:t>
            </w:r>
            <w:r w:rsidR="004A3A86" w:rsidRPr="00980D3E">
              <w:rPr>
                <w:szCs w:val="20"/>
              </w:rPr>
              <w:t>84</w:t>
            </w:r>
            <w:r w:rsidRPr="00980D3E">
              <w:rPr>
                <w:szCs w:val="20"/>
              </w:rPr>
              <w:t xml:space="preserve"> (27.4</w:t>
            </w:r>
            <w:r w:rsidR="00E72A3A" w:rsidRPr="00980D3E">
              <w:rPr>
                <w:szCs w:val="20"/>
              </w:rPr>
              <w:t>%</w:t>
            </w:r>
            <w:r w:rsidRPr="00980D3E">
              <w:rPr>
                <w:szCs w:val="20"/>
              </w:rPr>
              <w:t>)</w:t>
            </w:r>
          </w:p>
        </w:tc>
        <w:tc>
          <w:tcPr>
            <w:tcW w:w="629" w:type="pct"/>
            <w:tcMar>
              <w:left w:w="28" w:type="dxa"/>
              <w:right w:w="28" w:type="dxa"/>
            </w:tcMar>
            <w:vAlign w:val="center"/>
          </w:tcPr>
          <w:p w:rsidR="00535F4F" w:rsidRPr="00980D3E" w:rsidRDefault="00535F4F" w:rsidP="00890682">
            <w:pPr>
              <w:pStyle w:val="TableText0"/>
              <w:jc w:val="center"/>
              <w:rPr>
                <w:szCs w:val="20"/>
              </w:rPr>
            </w:pPr>
            <w:r w:rsidRPr="00980D3E">
              <w:rPr>
                <w:szCs w:val="20"/>
              </w:rPr>
              <w:t>-</w:t>
            </w:r>
          </w:p>
        </w:tc>
        <w:tc>
          <w:tcPr>
            <w:tcW w:w="837" w:type="pct"/>
            <w:vMerge/>
            <w:tcMar>
              <w:left w:w="28" w:type="dxa"/>
              <w:right w:w="28" w:type="dxa"/>
            </w:tcMar>
            <w:vAlign w:val="center"/>
          </w:tcPr>
          <w:p w:rsidR="00535F4F" w:rsidRPr="00980D3E" w:rsidRDefault="00535F4F" w:rsidP="00530390">
            <w:pPr>
              <w:pStyle w:val="TableText0"/>
              <w:jc w:val="center"/>
              <w:rPr>
                <w:szCs w:val="20"/>
              </w:rPr>
            </w:pPr>
          </w:p>
        </w:tc>
      </w:tr>
      <w:tr w:rsidR="00535F4F" w:rsidRPr="00980D3E" w:rsidTr="00D443C2">
        <w:trPr>
          <w:cantSplit/>
        </w:trPr>
        <w:tc>
          <w:tcPr>
            <w:tcW w:w="1649" w:type="pct"/>
            <w:tcMar>
              <w:left w:w="28" w:type="dxa"/>
              <w:right w:w="28" w:type="dxa"/>
            </w:tcMar>
            <w:vAlign w:val="center"/>
          </w:tcPr>
          <w:p w:rsidR="00535F4F" w:rsidRPr="00980D3E" w:rsidRDefault="00535F4F" w:rsidP="00890682">
            <w:pPr>
              <w:pStyle w:val="TableText0"/>
              <w:rPr>
                <w:szCs w:val="20"/>
              </w:rPr>
            </w:pPr>
            <w:r w:rsidRPr="00980D3E">
              <w:rPr>
                <w:szCs w:val="20"/>
              </w:rPr>
              <w:t>Median PFS, months (95% CI)</w:t>
            </w:r>
          </w:p>
        </w:tc>
        <w:tc>
          <w:tcPr>
            <w:tcW w:w="1022" w:type="pct"/>
            <w:tcMar>
              <w:left w:w="28" w:type="dxa"/>
              <w:right w:w="28" w:type="dxa"/>
            </w:tcMar>
            <w:vAlign w:val="center"/>
          </w:tcPr>
          <w:p w:rsidR="00535F4F" w:rsidRPr="00980D3E" w:rsidRDefault="00535F4F" w:rsidP="00290CC5">
            <w:pPr>
              <w:pStyle w:val="TableText0"/>
              <w:jc w:val="center"/>
              <w:rPr>
                <w:szCs w:val="20"/>
              </w:rPr>
            </w:pPr>
            <w:r w:rsidRPr="00980D3E">
              <w:rPr>
                <w:szCs w:val="20"/>
              </w:rPr>
              <w:t>2.6 (1.9, 3.0)</w:t>
            </w:r>
          </w:p>
        </w:tc>
        <w:tc>
          <w:tcPr>
            <w:tcW w:w="864" w:type="pct"/>
            <w:tcMar>
              <w:left w:w="28" w:type="dxa"/>
              <w:right w:w="28" w:type="dxa"/>
            </w:tcMar>
            <w:vAlign w:val="center"/>
          </w:tcPr>
          <w:p w:rsidR="00535F4F" w:rsidRPr="00980D3E" w:rsidRDefault="00535F4F" w:rsidP="00290CC5">
            <w:pPr>
              <w:pStyle w:val="TableText0"/>
              <w:jc w:val="center"/>
              <w:rPr>
                <w:szCs w:val="20"/>
              </w:rPr>
            </w:pPr>
            <w:r w:rsidRPr="00980D3E">
              <w:rPr>
                <w:szCs w:val="20"/>
              </w:rPr>
              <w:t>1.7 (1.1, 2.0)</w:t>
            </w:r>
          </w:p>
        </w:tc>
        <w:tc>
          <w:tcPr>
            <w:tcW w:w="629" w:type="pct"/>
            <w:tcMar>
              <w:left w:w="28" w:type="dxa"/>
              <w:right w:w="28" w:type="dxa"/>
            </w:tcMar>
            <w:vAlign w:val="center"/>
          </w:tcPr>
          <w:p w:rsidR="00535F4F" w:rsidRPr="00980D3E" w:rsidRDefault="00535F4F" w:rsidP="00890682">
            <w:pPr>
              <w:pStyle w:val="TableText0"/>
              <w:jc w:val="center"/>
              <w:rPr>
                <w:szCs w:val="20"/>
              </w:rPr>
            </w:pPr>
            <w:r w:rsidRPr="00980D3E">
              <w:rPr>
                <w:szCs w:val="20"/>
              </w:rPr>
              <w:t>0.9</w:t>
            </w:r>
          </w:p>
        </w:tc>
        <w:tc>
          <w:tcPr>
            <w:tcW w:w="837" w:type="pct"/>
            <w:vMerge/>
            <w:tcMar>
              <w:left w:w="28" w:type="dxa"/>
              <w:right w:w="28" w:type="dxa"/>
            </w:tcMar>
            <w:vAlign w:val="center"/>
          </w:tcPr>
          <w:p w:rsidR="00535F4F" w:rsidRPr="00980D3E" w:rsidRDefault="00535F4F" w:rsidP="00530390">
            <w:pPr>
              <w:pStyle w:val="TableText0"/>
              <w:jc w:val="center"/>
              <w:rPr>
                <w:szCs w:val="20"/>
              </w:rPr>
            </w:pPr>
          </w:p>
        </w:tc>
      </w:tr>
      <w:tr w:rsidR="00535F4F" w:rsidRPr="00980D3E" w:rsidTr="00D443C2">
        <w:trPr>
          <w:cantSplit/>
        </w:trPr>
        <w:tc>
          <w:tcPr>
            <w:tcW w:w="1649" w:type="pct"/>
            <w:tcMar>
              <w:left w:w="28" w:type="dxa"/>
              <w:right w:w="28" w:type="dxa"/>
            </w:tcMar>
          </w:tcPr>
          <w:p w:rsidR="00535F4F" w:rsidRPr="00980D3E" w:rsidRDefault="00535F4F" w:rsidP="00890682">
            <w:pPr>
              <w:pStyle w:val="TableText0"/>
              <w:rPr>
                <w:szCs w:val="20"/>
              </w:rPr>
            </w:pPr>
            <w:r w:rsidRPr="00980D3E">
              <w:rPr>
                <w:szCs w:val="20"/>
              </w:rPr>
              <w:t>% not progressed at 6 months (95% CI)</w:t>
            </w:r>
          </w:p>
        </w:tc>
        <w:tc>
          <w:tcPr>
            <w:tcW w:w="1022" w:type="pct"/>
            <w:tcMar>
              <w:left w:w="28" w:type="dxa"/>
              <w:right w:w="28" w:type="dxa"/>
            </w:tcMar>
            <w:vAlign w:val="center"/>
          </w:tcPr>
          <w:p w:rsidR="00535F4F" w:rsidRPr="00980D3E" w:rsidRDefault="00535F4F" w:rsidP="00290CC5">
            <w:pPr>
              <w:pStyle w:val="TableText0"/>
              <w:jc w:val="center"/>
              <w:rPr>
                <w:rFonts w:cs="Arial"/>
                <w:szCs w:val="20"/>
              </w:rPr>
            </w:pPr>
            <w:r w:rsidRPr="00980D3E">
              <w:rPr>
                <w:rFonts w:cs="Arial"/>
                <w:szCs w:val="20"/>
              </w:rPr>
              <w:t>20.0</w:t>
            </w:r>
            <w:r w:rsidR="00E72A3A" w:rsidRPr="00980D3E">
              <w:rPr>
                <w:rFonts w:cs="Arial"/>
                <w:szCs w:val="20"/>
              </w:rPr>
              <w:t>%</w:t>
            </w:r>
            <w:r w:rsidRPr="00980D3E">
              <w:rPr>
                <w:rFonts w:cs="Arial"/>
                <w:szCs w:val="20"/>
              </w:rPr>
              <w:t xml:space="preserve"> (13.1, 26.9)</w:t>
            </w:r>
          </w:p>
        </w:tc>
        <w:tc>
          <w:tcPr>
            <w:tcW w:w="864" w:type="pct"/>
            <w:tcMar>
              <w:left w:w="28" w:type="dxa"/>
              <w:right w:w="28" w:type="dxa"/>
            </w:tcMar>
            <w:vAlign w:val="center"/>
          </w:tcPr>
          <w:p w:rsidR="00535F4F" w:rsidRPr="00980D3E" w:rsidRDefault="00535F4F" w:rsidP="00290CC5">
            <w:pPr>
              <w:pStyle w:val="TableText0"/>
              <w:jc w:val="center"/>
              <w:rPr>
                <w:rFonts w:cs="Arial"/>
                <w:szCs w:val="20"/>
              </w:rPr>
            </w:pPr>
            <w:r w:rsidRPr="00980D3E">
              <w:rPr>
                <w:rFonts w:cs="Arial"/>
                <w:szCs w:val="20"/>
              </w:rPr>
              <w:t>10.0</w:t>
            </w:r>
            <w:r w:rsidR="00E72A3A" w:rsidRPr="00980D3E">
              <w:rPr>
                <w:rFonts w:cs="Arial"/>
                <w:szCs w:val="20"/>
              </w:rPr>
              <w:t>%</w:t>
            </w:r>
            <w:r w:rsidRPr="00980D3E">
              <w:rPr>
                <w:rFonts w:cs="Arial"/>
                <w:szCs w:val="20"/>
              </w:rPr>
              <w:t xml:space="preserve"> (2.0, 18.0)</w:t>
            </w:r>
          </w:p>
        </w:tc>
        <w:tc>
          <w:tcPr>
            <w:tcW w:w="629" w:type="pct"/>
            <w:tcMar>
              <w:left w:w="28" w:type="dxa"/>
              <w:right w:w="28" w:type="dxa"/>
            </w:tcMar>
            <w:vAlign w:val="center"/>
          </w:tcPr>
          <w:p w:rsidR="00535F4F" w:rsidRPr="00980D3E" w:rsidRDefault="00CA4152" w:rsidP="00890682">
            <w:pPr>
              <w:pStyle w:val="TableText0"/>
              <w:jc w:val="center"/>
              <w:rPr>
                <w:rFonts w:cs="Arial"/>
                <w:szCs w:val="20"/>
              </w:rPr>
            </w:pPr>
            <w:r w:rsidRPr="00980D3E">
              <w:rPr>
                <w:rFonts w:cs="Arial"/>
                <w:szCs w:val="20"/>
              </w:rPr>
              <w:t>-</w:t>
            </w:r>
          </w:p>
        </w:tc>
        <w:tc>
          <w:tcPr>
            <w:tcW w:w="837" w:type="pct"/>
            <w:vMerge/>
            <w:tcMar>
              <w:left w:w="28" w:type="dxa"/>
              <w:right w:w="28" w:type="dxa"/>
            </w:tcMar>
            <w:vAlign w:val="center"/>
          </w:tcPr>
          <w:p w:rsidR="00535F4F" w:rsidRPr="00980D3E" w:rsidDel="0061549B" w:rsidRDefault="00535F4F" w:rsidP="00890682">
            <w:pPr>
              <w:pStyle w:val="TableText0"/>
              <w:jc w:val="center"/>
              <w:rPr>
                <w:szCs w:val="20"/>
              </w:rPr>
            </w:pPr>
          </w:p>
        </w:tc>
      </w:tr>
      <w:tr w:rsidR="0060325C" w:rsidRPr="00980D3E" w:rsidTr="00D443C2">
        <w:trPr>
          <w:cantSplit/>
        </w:trPr>
        <w:tc>
          <w:tcPr>
            <w:tcW w:w="5000" w:type="pct"/>
            <w:gridSpan w:val="5"/>
            <w:tcMar>
              <w:left w:w="28" w:type="dxa"/>
              <w:right w:w="28" w:type="dxa"/>
            </w:tcMar>
            <w:vAlign w:val="center"/>
          </w:tcPr>
          <w:p w:rsidR="0060325C" w:rsidRPr="00980D3E" w:rsidRDefault="00290CC5" w:rsidP="00890682">
            <w:pPr>
              <w:pStyle w:val="In-tableHeading"/>
              <w:rPr>
                <w:szCs w:val="20"/>
                <w:lang w:val="en-AU"/>
              </w:rPr>
            </w:pPr>
            <w:r w:rsidRPr="00980D3E">
              <w:rPr>
                <w:szCs w:val="20"/>
                <w:lang w:val="en-AU"/>
              </w:rPr>
              <w:t>Progression-free survival (IRC with PD confirmation)</w:t>
            </w:r>
          </w:p>
        </w:tc>
      </w:tr>
      <w:tr w:rsidR="00535F4F" w:rsidRPr="00980D3E" w:rsidTr="00D443C2">
        <w:trPr>
          <w:cantSplit/>
        </w:trPr>
        <w:tc>
          <w:tcPr>
            <w:tcW w:w="1649" w:type="pct"/>
            <w:tcMar>
              <w:left w:w="28" w:type="dxa"/>
              <w:right w:w="28" w:type="dxa"/>
            </w:tcMar>
            <w:vAlign w:val="center"/>
          </w:tcPr>
          <w:p w:rsidR="00535F4F" w:rsidRPr="00980D3E" w:rsidRDefault="00535F4F" w:rsidP="00290CC5">
            <w:pPr>
              <w:pStyle w:val="TableText0"/>
              <w:rPr>
                <w:szCs w:val="20"/>
              </w:rPr>
            </w:pPr>
            <w:r w:rsidRPr="00980D3E">
              <w:rPr>
                <w:szCs w:val="20"/>
              </w:rPr>
              <w:t>Progressed, n</w:t>
            </w:r>
            <w:r w:rsidR="00E72A3A" w:rsidRPr="00980D3E">
              <w:rPr>
                <w:szCs w:val="20"/>
              </w:rPr>
              <w:t>/N</w:t>
            </w:r>
            <w:r w:rsidRPr="00980D3E">
              <w:rPr>
                <w:szCs w:val="20"/>
              </w:rPr>
              <w:t xml:space="preserve"> (%)</w:t>
            </w:r>
          </w:p>
        </w:tc>
        <w:tc>
          <w:tcPr>
            <w:tcW w:w="1022" w:type="pct"/>
            <w:tcMar>
              <w:left w:w="28" w:type="dxa"/>
              <w:right w:w="28" w:type="dxa"/>
            </w:tcMar>
            <w:vAlign w:val="center"/>
          </w:tcPr>
          <w:p w:rsidR="00535F4F" w:rsidRPr="00980D3E" w:rsidRDefault="00535F4F" w:rsidP="00290CC5">
            <w:pPr>
              <w:pStyle w:val="TableText0"/>
              <w:jc w:val="center"/>
              <w:rPr>
                <w:szCs w:val="20"/>
              </w:rPr>
            </w:pPr>
            <w:r w:rsidRPr="00980D3E">
              <w:rPr>
                <w:szCs w:val="20"/>
              </w:rPr>
              <w:t>80/171 (46.8</w:t>
            </w:r>
            <w:r w:rsidR="00E72A3A" w:rsidRPr="00980D3E">
              <w:rPr>
                <w:szCs w:val="20"/>
              </w:rPr>
              <w:t>%</w:t>
            </w:r>
            <w:r w:rsidRPr="00980D3E">
              <w:rPr>
                <w:szCs w:val="20"/>
              </w:rPr>
              <w:t>)</w:t>
            </w:r>
          </w:p>
        </w:tc>
        <w:tc>
          <w:tcPr>
            <w:tcW w:w="864" w:type="pct"/>
            <w:tcMar>
              <w:left w:w="28" w:type="dxa"/>
              <w:right w:w="28" w:type="dxa"/>
            </w:tcMar>
            <w:vAlign w:val="center"/>
          </w:tcPr>
          <w:p w:rsidR="00535F4F" w:rsidRPr="00980D3E" w:rsidRDefault="00535F4F" w:rsidP="00290CC5">
            <w:pPr>
              <w:pStyle w:val="TableText0"/>
              <w:jc w:val="center"/>
              <w:rPr>
                <w:szCs w:val="20"/>
              </w:rPr>
            </w:pPr>
            <w:r w:rsidRPr="00980D3E">
              <w:rPr>
                <w:szCs w:val="20"/>
              </w:rPr>
              <w:t>43/84 (51.2</w:t>
            </w:r>
            <w:r w:rsidR="00E72A3A" w:rsidRPr="00980D3E">
              <w:rPr>
                <w:szCs w:val="20"/>
              </w:rPr>
              <w:t>%</w:t>
            </w:r>
            <w:r w:rsidRPr="00980D3E">
              <w:rPr>
                <w:szCs w:val="20"/>
              </w:rPr>
              <w:t>)</w:t>
            </w:r>
          </w:p>
        </w:tc>
        <w:tc>
          <w:tcPr>
            <w:tcW w:w="629" w:type="pct"/>
            <w:tcMar>
              <w:left w:w="28" w:type="dxa"/>
              <w:right w:w="28" w:type="dxa"/>
            </w:tcMar>
            <w:vAlign w:val="center"/>
          </w:tcPr>
          <w:p w:rsidR="00535F4F" w:rsidRPr="00980D3E" w:rsidRDefault="00535F4F" w:rsidP="00290CC5">
            <w:pPr>
              <w:pStyle w:val="TableText0"/>
              <w:jc w:val="center"/>
              <w:rPr>
                <w:szCs w:val="20"/>
              </w:rPr>
            </w:pPr>
            <w:r w:rsidRPr="00980D3E">
              <w:rPr>
                <w:szCs w:val="20"/>
              </w:rPr>
              <w:t>-</w:t>
            </w:r>
          </w:p>
        </w:tc>
        <w:tc>
          <w:tcPr>
            <w:tcW w:w="837" w:type="pct"/>
            <w:vMerge w:val="restart"/>
            <w:tcMar>
              <w:left w:w="28" w:type="dxa"/>
              <w:right w:w="28" w:type="dxa"/>
            </w:tcMar>
            <w:vAlign w:val="center"/>
          </w:tcPr>
          <w:p w:rsidR="00611A9B" w:rsidRPr="00980D3E" w:rsidRDefault="00611A9B" w:rsidP="00611A9B">
            <w:pPr>
              <w:pStyle w:val="TableText0"/>
              <w:jc w:val="center"/>
              <w:rPr>
                <w:rFonts w:cs="Arial"/>
                <w:b/>
                <w:szCs w:val="20"/>
              </w:rPr>
            </w:pPr>
            <w:r w:rsidRPr="00980D3E">
              <w:rPr>
                <w:rFonts w:cs="Arial"/>
                <w:b/>
                <w:szCs w:val="20"/>
              </w:rPr>
              <w:t>0.5</w:t>
            </w:r>
            <w:r w:rsidR="00E72A3A" w:rsidRPr="00980D3E">
              <w:rPr>
                <w:rFonts w:cs="Arial"/>
                <w:b/>
                <w:szCs w:val="20"/>
              </w:rPr>
              <w:t>2</w:t>
            </w:r>
            <w:r w:rsidRPr="00980D3E">
              <w:rPr>
                <w:rFonts w:cs="Arial"/>
                <w:b/>
                <w:szCs w:val="20"/>
              </w:rPr>
              <w:t xml:space="preserve"> </w:t>
            </w:r>
          </w:p>
          <w:p w:rsidR="00611A9B" w:rsidRPr="00980D3E" w:rsidRDefault="00611A9B" w:rsidP="00611A9B">
            <w:pPr>
              <w:pStyle w:val="TableText0"/>
              <w:jc w:val="center"/>
              <w:rPr>
                <w:rFonts w:cs="Arial"/>
                <w:b/>
                <w:szCs w:val="20"/>
              </w:rPr>
            </w:pPr>
            <w:r w:rsidRPr="00980D3E">
              <w:rPr>
                <w:rFonts w:cs="Arial"/>
                <w:b/>
                <w:szCs w:val="20"/>
              </w:rPr>
              <w:t>(0.35</w:t>
            </w:r>
            <w:r w:rsidR="00EA7C97" w:rsidRPr="00980D3E">
              <w:rPr>
                <w:rFonts w:cs="Arial"/>
                <w:b/>
                <w:szCs w:val="20"/>
              </w:rPr>
              <w:t xml:space="preserve">, </w:t>
            </w:r>
            <w:r w:rsidRPr="00980D3E">
              <w:rPr>
                <w:rFonts w:cs="Arial"/>
                <w:b/>
                <w:szCs w:val="20"/>
              </w:rPr>
              <w:t xml:space="preserve">0.76) </w:t>
            </w:r>
          </w:p>
          <w:p w:rsidR="00535F4F" w:rsidRPr="00980D3E" w:rsidRDefault="00611A9B" w:rsidP="00611A9B">
            <w:pPr>
              <w:pStyle w:val="TableText0"/>
              <w:jc w:val="center"/>
              <w:rPr>
                <w:szCs w:val="20"/>
              </w:rPr>
            </w:pPr>
            <w:r w:rsidRPr="00980D3E">
              <w:rPr>
                <w:rFonts w:cs="Arial"/>
                <w:szCs w:val="20"/>
              </w:rPr>
              <w:t>p-value = 0.0005</w:t>
            </w:r>
          </w:p>
        </w:tc>
      </w:tr>
      <w:tr w:rsidR="00535F4F" w:rsidRPr="00980D3E" w:rsidTr="00D443C2">
        <w:trPr>
          <w:cantSplit/>
        </w:trPr>
        <w:tc>
          <w:tcPr>
            <w:tcW w:w="1649" w:type="pct"/>
            <w:tcMar>
              <w:left w:w="28" w:type="dxa"/>
              <w:right w:w="28" w:type="dxa"/>
            </w:tcMar>
            <w:vAlign w:val="center"/>
          </w:tcPr>
          <w:p w:rsidR="00535F4F" w:rsidRPr="00980D3E" w:rsidRDefault="00535F4F" w:rsidP="00290CC5">
            <w:pPr>
              <w:pStyle w:val="TableText0"/>
              <w:rPr>
                <w:szCs w:val="20"/>
              </w:rPr>
            </w:pPr>
            <w:r w:rsidRPr="00980D3E">
              <w:rPr>
                <w:szCs w:val="20"/>
              </w:rPr>
              <w:t>Censored, n</w:t>
            </w:r>
            <w:r w:rsidR="00E72A3A" w:rsidRPr="00980D3E">
              <w:rPr>
                <w:szCs w:val="20"/>
              </w:rPr>
              <w:t>/N</w:t>
            </w:r>
            <w:r w:rsidRPr="00980D3E">
              <w:rPr>
                <w:szCs w:val="20"/>
              </w:rPr>
              <w:t xml:space="preserve"> (%)</w:t>
            </w:r>
          </w:p>
        </w:tc>
        <w:tc>
          <w:tcPr>
            <w:tcW w:w="1022" w:type="pct"/>
            <w:tcMar>
              <w:left w:w="28" w:type="dxa"/>
              <w:right w:w="28" w:type="dxa"/>
            </w:tcMar>
            <w:vAlign w:val="center"/>
          </w:tcPr>
          <w:p w:rsidR="00535F4F" w:rsidRPr="00980D3E" w:rsidRDefault="00535F4F" w:rsidP="00290CC5">
            <w:pPr>
              <w:pStyle w:val="TableText0"/>
              <w:jc w:val="center"/>
              <w:rPr>
                <w:szCs w:val="20"/>
              </w:rPr>
            </w:pPr>
            <w:r w:rsidRPr="00980D3E">
              <w:rPr>
                <w:szCs w:val="20"/>
              </w:rPr>
              <w:t>91/171 (53.2</w:t>
            </w:r>
            <w:r w:rsidR="00E72A3A" w:rsidRPr="00980D3E">
              <w:rPr>
                <w:szCs w:val="20"/>
              </w:rPr>
              <w:t>%</w:t>
            </w:r>
            <w:r w:rsidRPr="00980D3E">
              <w:rPr>
                <w:szCs w:val="20"/>
              </w:rPr>
              <w:t>)</w:t>
            </w:r>
          </w:p>
        </w:tc>
        <w:tc>
          <w:tcPr>
            <w:tcW w:w="864" w:type="pct"/>
            <w:tcMar>
              <w:left w:w="28" w:type="dxa"/>
              <w:right w:w="28" w:type="dxa"/>
            </w:tcMar>
            <w:vAlign w:val="center"/>
          </w:tcPr>
          <w:p w:rsidR="00535F4F" w:rsidRPr="00980D3E" w:rsidRDefault="00535F4F" w:rsidP="004E6662">
            <w:pPr>
              <w:pStyle w:val="TableText0"/>
              <w:jc w:val="center"/>
              <w:rPr>
                <w:szCs w:val="20"/>
              </w:rPr>
            </w:pPr>
            <w:r w:rsidRPr="00980D3E">
              <w:rPr>
                <w:szCs w:val="20"/>
              </w:rPr>
              <w:t>41/</w:t>
            </w:r>
            <w:r w:rsidR="004A3A86" w:rsidRPr="00980D3E">
              <w:rPr>
                <w:szCs w:val="20"/>
              </w:rPr>
              <w:t>84</w:t>
            </w:r>
            <w:r w:rsidRPr="00980D3E">
              <w:rPr>
                <w:szCs w:val="20"/>
              </w:rPr>
              <w:t xml:space="preserve"> (48.8</w:t>
            </w:r>
            <w:r w:rsidR="00E72A3A" w:rsidRPr="00980D3E">
              <w:rPr>
                <w:szCs w:val="20"/>
              </w:rPr>
              <w:t>%</w:t>
            </w:r>
            <w:r w:rsidRPr="00980D3E">
              <w:rPr>
                <w:szCs w:val="20"/>
              </w:rPr>
              <w:t>)</w:t>
            </w:r>
          </w:p>
        </w:tc>
        <w:tc>
          <w:tcPr>
            <w:tcW w:w="629" w:type="pct"/>
            <w:tcMar>
              <w:left w:w="28" w:type="dxa"/>
              <w:right w:w="28" w:type="dxa"/>
            </w:tcMar>
            <w:vAlign w:val="center"/>
          </w:tcPr>
          <w:p w:rsidR="00535F4F" w:rsidRPr="00980D3E" w:rsidRDefault="00535F4F" w:rsidP="00290CC5">
            <w:pPr>
              <w:pStyle w:val="TableText0"/>
              <w:jc w:val="center"/>
              <w:rPr>
                <w:szCs w:val="20"/>
              </w:rPr>
            </w:pPr>
            <w:r w:rsidRPr="00980D3E">
              <w:rPr>
                <w:szCs w:val="20"/>
              </w:rPr>
              <w:t>-</w:t>
            </w:r>
          </w:p>
        </w:tc>
        <w:tc>
          <w:tcPr>
            <w:tcW w:w="837" w:type="pct"/>
            <w:vMerge/>
            <w:tcMar>
              <w:left w:w="28" w:type="dxa"/>
              <w:right w:w="28" w:type="dxa"/>
            </w:tcMar>
            <w:vAlign w:val="center"/>
          </w:tcPr>
          <w:p w:rsidR="00535F4F" w:rsidRPr="00980D3E" w:rsidRDefault="00535F4F" w:rsidP="00535F4F">
            <w:pPr>
              <w:pStyle w:val="TableText0"/>
              <w:jc w:val="center"/>
              <w:rPr>
                <w:szCs w:val="20"/>
              </w:rPr>
            </w:pPr>
          </w:p>
        </w:tc>
      </w:tr>
      <w:tr w:rsidR="00535F4F" w:rsidRPr="00980D3E" w:rsidTr="00D443C2">
        <w:trPr>
          <w:cantSplit/>
        </w:trPr>
        <w:tc>
          <w:tcPr>
            <w:tcW w:w="1649" w:type="pct"/>
            <w:tcMar>
              <w:left w:w="28" w:type="dxa"/>
              <w:right w:w="28" w:type="dxa"/>
            </w:tcMar>
            <w:vAlign w:val="center"/>
          </w:tcPr>
          <w:p w:rsidR="00535F4F" w:rsidRPr="00980D3E" w:rsidRDefault="00535F4F" w:rsidP="00290CC5">
            <w:pPr>
              <w:pStyle w:val="TableText0"/>
              <w:rPr>
                <w:szCs w:val="20"/>
              </w:rPr>
            </w:pPr>
            <w:r w:rsidRPr="00980D3E">
              <w:rPr>
                <w:szCs w:val="20"/>
              </w:rPr>
              <w:t>Median PFS, months (95% CI)</w:t>
            </w:r>
          </w:p>
        </w:tc>
        <w:tc>
          <w:tcPr>
            <w:tcW w:w="1022" w:type="pct"/>
            <w:tcMar>
              <w:left w:w="28" w:type="dxa"/>
              <w:right w:w="28" w:type="dxa"/>
            </w:tcMar>
            <w:vAlign w:val="center"/>
          </w:tcPr>
          <w:p w:rsidR="00535F4F" w:rsidRPr="00980D3E" w:rsidRDefault="00535F4F" w:rsidP="00290CC5">
            <w:pPr>
              <w:pStyle w:val="TableText0"/>
              <w:jc w:val="center"/>
              <w:rPr>
                <w:szCs w:val="20"/>
              </w:rPr>
            </w:pPr>
            <w:r w:rsidRPr="00980D3E">
              <w:rPr>
                <w:szCs w:val="20"/>
              </w:rPr>
              <w:t>5.0 (3.0, 6.4)</w:t>
            </w:r>
          </w:p>
        </w:tc>
        <w:tc>
          <w:tcPr>
            <w:tcW w:w="864" w:type="pct"/>
            <w:tcMar>
              <w:left w:w="28" w:type="dxa"/>
              <w:right w:w="28" w:type="dxa"/>
            </w:tcMar>
            <w:vAlign w:val="center"/>
          </w:tcPr>
          <w:p w:rsidR="00535F4F" w:rsidRPr="00980D3E" w:rsidRDefault="00535F4F" w:rsidP="00290CC5">
            <w:pPr>
              <w:pStyle w:val="TableText0"/>
              <w:jc w:val="center"/>
              <w:rPr>
                <w:szCs w:val="20"/>
              </w:rPr>
            </w:pPr>
            <w:r w:rsidRPr="00980D3E">
              <w:rPr>
                <w:szCs w:val="20"/>
              </w:rPr>
              <w:t>2.0 (1.7, 3.0)</w:t>
            </w:r>
          </w:p>
        </w:tc>
        <w:tc>
          <w:tcPr>
            <w:tcW w:w="629" w:type="pct"/>
            <w:tcMar>
              <w:left w:w="28" w:type="dxa"/>
              <w:right w:w="28" w:type="dxa"/>
            </w:tcMar>
            <w:vAlign w:val="center"/>
          </w:tcPr>
          <w:p w:rsidR="00535F4F" w:rsidRPr="00980D3E" w:rsidRDefault="00535F4F" w:rsidP="00290CC5">
            <w:pPr>
              <w:pStyle w:val="TableText0"/>
              <w:jc w:val="center"/>
              <w:rPr>
                <w:szCs w:val="20"/>
              </w:rPr>
            </w:pPr>
            <w:r w:rsidRPr="00980D3E">
              <w:rPr>
                <w:szCs w:val="20"/>
              </w:rPr>
              <w:t>3.0</w:t>
            </w:r>
          </w:p>
        </w:tc>
        <w:tc>
          <w:tcPr>
            <w:tcW w:w="837" w:type="pct"/>
            <w:vMerge/>
            <w:tcMar>
              <w:left w:w="28" w:type="dxa"/>
              <w:right w:w="28" w:type="dxa"/>
            </w:tcMar>
            <w:vAlign w:val="center"/>
          </w:tcPr>
          <w:p w:rsidR="00535F4F" w:rsidRPr="00980D3E" w:rsidRDefault="00535F4F" w:rsidP="00535F4F">
            <w:pPr>
              <w:pStyle w:val="TableText0"/>
              <w:jc w:val="center"/>
              <w:rPr>
                <w:szCs w:val="20"/>
              </w:rPr>
            </w:pPr>
          </w:p>
        </w:tc>
      </w:tr>
      <w:tr w:rsidR="00535F4F" w:rsidRPr="00980D3E" w:rsidTr="00D443C2">
        <w:trPr>
          <w:cantSplit/>
        </w:trPr>
        <w:tc>
          <w:tcPr>
            <w:tcW w:w="1649" w:type="pct"/>
            <w:tcMar>
              <w:left w:w="28" w:type="dxa"/>
              <w:right w:w="28" w:type="dxa"/>
            </w:tcMar>
          </w:tcPr>
          <w:p w:rsidR="00535F4F" w:rsidRPr="00980D3E" w:rsidRDefault="00535F4F" w:rsidP="00290CC5">
            <w:pPr>
              <w:pStyle w:val="TableText0"/>
              <w:rPr>
                <w:szCs w:val="20"/>
              </w:rPr>
            </w:pPr>
            <w:r w:rsidRPr="00980D3E">
              <w:rPr>
                <w:szCs w:val="20"/>
              </w:rPr>
              <w:t>% not progressed at 6 months (95% CI)</w:t>
            </w:r>
          </w:p>
        </w:tc>
        <w:tc>
          <w:tcPr>
            <w:tcW w:w="1022" w:type="pct"/>
            <w:tcMar>
              <w:left w:w="28" w:type="dxa"/>
              <w:right w:w="28" w:type="dxa"/>
            </w:tcMar>
            <w:vAlign w:val="center"/>
          </w:tcPr>
          <w:p w:rsidR="00535F4F" w:rsidRPr="00980D3E" w:rsidRDefault="00535F4F" w:rsidP="00535F4F">
            <w:pPr>
              <w:pStyle w:val="TableText0"/>
              <w:jc w:val="center"/>
              <w:rPr>
                <w:rFonts w:cs="Arial"/>
                <w:szCs w:val="20"/>
              </w:rPr>
            </w:pPr>
            <w:r w:rsidRPr="00980D3E">
              <w:rPr>
                <w:rFonts w:cs="Arial"/>
                <w:szCs w:val="20"/>
              </w:rPr>
              <w:t>42.6</w:t>
            </w:r>
            <w:r w:rsidR="00E72A3A" w:rsidRPr="00980D3E">
              <w:rPr>
                <w:rFonts w:cs="Arial"/>
                <w:szCs w:val="20"/>
              </w:rPr>
              <w:t>%</w:t>
            </w:r>
            <w:r w:rsidRPr="00980D3E">
              <w:rPr>
                <w:rFonts w:cs="Arial"/>
                <w:szCs w:val="20"/>
              </w:rPr>
              <w:t xml:space="preserve"> (32.6, 52.6)</w:t>
            </w:r>
          </w:p>
        </w:tc>
        <w:tc>
          <w:tcPr>
            <w:tcW w:w="864" w:type="pct"/>
            <w:tcMar>
              <w:left w:w="28" w:type="dxa"/>
              <w:right w:w="28" w:type="dxa"/>
            </w:tcMar>
            <w:vAlign w:val="center"/>
          </w:tcPr>
          <w:p w:rsidR="00535F4F" w:rsidRPr="00980D3E" w:rsidRDefault="00535F4F" w:rsidP="00535F4F">
            <w:pPr>
              <w:pStyle w:val="TableText0"/>
              <w:jc w:val="center"/>
              <w:rPr>
                <w:rFonts w:cs="Arial"/>
                <w:szCs w:val="20"/>
              </w:rPr>
            </w:pPr>
            <w:r w:rsidRPr="00980D3E">
              <w:rPr>
                <w:rFonts w:cs="Arial"/>
                <w:szCs w:val="20"/>
              </w:rPr>
              <w:t>19.7</w:t>
            </w:r>
            <w:r w:rsidR="00E72A3A" w:rsidRPr="00980D3E">
              <w:rPr>
                <w:rFonts w:cs="Arial"/>
                <w:szCs w:val="20"/>
              </w:rPr>
              <w:t>%</w:t>
            </w:r>
            <w:r w:rsidRPr="00980D3E">
              <w:rPr>
                <w:rFonts w:cs="Arial"/>
                <w:szCs w:val="20"/>
              </w:rPr>
              <w:t xml:space="preserve"> (7.2, 32.2)</w:t>
            </w:r>
          </w:p>
        </w:tc>
        <w:tc>
          <w:tcPr>
            <w:tcW w:w="629" w:type="pct"/>
            <w:tcMar>
              <w:left w:w="28" w:type="dxa"/>
              <w:right w:w="28" w:type="dxa"/>
            </w:tcMar>
            <w:vAlign w:val="center"/>
          </w:tcPr>
          <w:p w:rsidR="00535F4F" w:rsidRPr="00980D3E" w:rsidRDefault="00CA4152" w:rsidP="00290CC5">
            <w:pPr>
              <w:pStyle w:val="TableText0"/>
              <w:jc w:val="center"/>
              <w:rPr>
                <w:rFonts w:cs="Arial"/>
                <w:szCs w:val="20"/>
              </w:rPr>
            </w:pPr>
            <w:r w:rsidRPr="00980D3E">
              <w:rPr>
                <w:rFonts w:cs="Arial"/>
                <w:szCs w:val="20"/>
              </w:rPr>
              <w:t>-</w:t>
            </w:r>
          </w:p>
        </w:tc>
        <w:tc>
          <w:tcPr>
            <w:tcW w:w="837" w:type="pct"/>
            <w:vMerge/>
            <w:tcMar>
              <w:left w:w="28" w:type="dxa"/>
              <w:right w:w="28" w:type="dxa"/>
            </w:tcMar>
            <w:vAlign w:val="center"/>
          </w:tcPr>
          <w:p w:rsidR="00535F4F" w:rsidRPr="00980D3E" w:rsidRDefault="00535F4F" w:rsidP="00290CC5">
            <w:pPr>
              <w:pStyle w:val="TableText0"/>
              <w:jc w:val="center"/>
              <w:rPr>
                <w:rFonts w:cs="Arial"/>
                <w:szCs w:val="20"/>
              </w:rPr>
            </w:pPr>
          </w:p>
        </w:tc>
      </w:tr>
    </w:tbl>
    <w:p w:rsidR="00AE5E0F" w:rsidRPr="00980D3E" w:rsidRDefault="00AE5E0F" w:rsidP="00616122">
      <w:pPr>
        <w:pStyle w:val="TableFigureFooter"/>
        <w:jc w:val="left"/>
        <w:rPr>
          <w:rFonts w:eastAsia="Calibri"/>
        </w:rPr>
      </w:pPr>
      <w:r w:rsidRPr="00980D3E">
        <w:rPr>
          <w:rFonts w:eastAsia="Calibri"/>
        </w:rPr>
        <w:t>Source: Table 39, p118; Table 41, p</w:t>
      </w:r>
      <w:r w:rsidR="00724019" w:rsidRPr="00980D3E">
        <w:rPr>
          <w:rFonts w:eastAsia="Calibri"/>
        </w:rPr>
        <w:t>12</w:t>
      </w:r>
      <w:r w:rsidRPr="00980D3E">
        <w:rPr>
          <w:rFonts w:eastAsia="Calibri"/>
        </w:rPr>
        <w:t>1</w:t>
      </w:r>
      <w:r w:rsidR="00724019" w:rsidRPr="00980D3E">
        <w:rPr>
          <w:rFonts w:eastAsia="Calibri"/>
        </w:rPr>
        <w:t xml:space="preserve"> </w:t>
      </w:r>
      <w:r w:rsidRPr="00980D3E">
        <w:rPr>
          <w:rFonts w:eastAsia="Calibri"/>
        </w:rPr>
        <w:t>of the resubmission</w:t>
      </w:r>
      <w:r w:rsidR="000359C4" w:rsidRPr="00980D3E">
        <w:rPr>
          <w:rFonts w:eastAsia="Calibri"/>
        </w:rPr>
        <w:t>.</w:t>
      </w:r>
    </w:p>
    <w:p w:rsidR="0082654A" w:rsidRPr="00980D3E" w:rsidRDefault="0082654A" w:rsidP="00616122">
      <w:pPr>
        <w:pStyle w:val="TableFigureFooter"/>
        <w:jc w:val="left"/>
        <w:rPr>
          <w:rFonts w:eastAsia="Calibri"/>
        </w:rPr>
      </w:pPr>
      <w:r w:rsidRPr="00980D3E">
        <w:t xml:space="preserve">CI = confidence interval; </w:t>
      </w:r>
      <w:r w:rsidR="00C50AE9" w:rsidRPr="00980D3E">
        <w:t>Dxm</w:t>
      </w:r>
      <w:r w:rsidRPr="00980D3E">
        <w:t xml:space="preserve"> = dexamethasone; IRC</w:t>
      </w:r>
      <w:r w:rsidR="0001261A" w:rsidRPr="00980D3E">
        <w:t xml:space="preserve"> </w:t>
      </w:r>
      <w:r w:rsidRPr="00980D3E">
        <w:t>= independent review committee; HR = hazard ratio; ITT = intention to treat; PD = progressed disease; PFS = progression-free survival</w:t>
      </w:r>
      <w:r w:rsidR="00616122" w:rsidRPr="00980D3E">
        <w:t xml:space="preserve">; </w:t>
      </w:r>
      <w:r w:rsidR="003D16F0" w:rsidRPr="00980D3E">
        <w:rPr>
          <w:rFonts w:eastAsia="Calibri"/>
          <w:b/>
        </w:rPr>
        <w:t>b</w:t>
      </w:r>
      <w:r w:rsidR="000359C4" w:rsidRPr="00980D3E">
        <w:rPr>
          <w:rFonts w:eastAsia="Calibri"/>
          <w:b/>
        </w:rPr>
        <w:t>old</w:t>
      </w:r>
      <w:r w:rsidR="000359C4" w:rsidRPr="00980D3E">
        <w:rPr>
          <w:rFonts w:eastAsia="Calibri"/>
        </w:rPr>
        <w:t xml:space="preserve"> = statistically significant</w:t>
      </w:r>
      <w:r w:rsidR="009439A6" w:rsidRPr="00980D3E">
        <w:rPr>
          <w:rFonts w:eastAsia="Calibri"/>
        </w:rPr>
        <w:t>.</w:t>
      </w:r>
    </w:p>
    <w:p w:rsidR="009B2570" w:rsidRPr="00980D3E" w:rsidRDefault="00820C9B" w:rsidP="00D443C2">
      <w:pPr>
        <w:pStyle w:val="TableHeading"/>
        <w:rPr>
          <w:lang w:eastAsia="en-US"/>
        </w:rPr>
      </w:pPr>
      <w:bookmarkStart w:id="22" w:name="_Ref33524378"/>
      <w:r w:rsidRPr="00980D3E">
        <w:rPr>
          <w:szCs w:val="20"/>
          <w:lang w:eastAsia="en-US"/>
        </w:rPr>
        <w:lastRenderedPageBreak/>
        <w:t>Figure 1</w:t>
      </w:r>
      <w:bookmarkEnd w:id="22"/>
      <w:r w:rsidR="009B2570" w:rsidRPr="00980D3E">
        <w:rPr>
          <w:szCs w:val="20"/>
          <w:lang w:eastAsia="en-US"/>
        </w:rPr>
        <w:t xml:space="preserve">: </w:t>
      </w:r>
      <w:r w:rsidR="009B2570" w:rsidRPr="00980D3E">
        <w:rPr>
          <w:lang w:eastAsia="en-US"/>
        </w:rPr>
        <w:t xml:space="preserve">Kaplan-Meier curves of </w:t>
      </w:r>
      <w:r w:rsidR="00916889" w:rsidRPr="00980D3E">
        <w:rPr>
          <w:lang w:eastAsia="en-US"/>
        </w:rPr>
        <w:t xml:space="preserve">IRC </w:t>
      </w:r>
      <w:r w:rsidR="005C7027" w:rsidRPr="00980D3E">
        <w:rPr>
          <w:lang w:eastAsia="en-US"/>
        </w:rPr>
        <w:t>assessed PFS,</w:t>
      </w:r>
      <w:r w:rsidR="009B2570" w:rsidRPr="00980D3E">
        <w:rPr>
          <w:lang w:eastAsia="en-US"/>
        </w:rPr>
        <w:t xml:space="preserve"> the ADMYRE trial</w:t>
      </w:r>
    </w:p>
    <w:tbl>
      <w:tblPr>
        <w:tblStyle w:val="TableGrid"/>
        <w:tblW w:w="0" w:type="auto"/>
        <w:tblInd w:w="-5" w:type="dxa"/>
        <w:tblCellMar>
          <w:left w:w="0" w:type="dxa"/>
          <w:right w:w="0" w:type="dxa"/>
        </w:tblCellMar>
        <w:tblLook w:val="04A0" w:firstRow="1" w:lastRow="0" w:firstColumn="1" w:lastColumn="0" w:noHBand="0" w:noVBand="1"/>
        <w:tblCaption w:val="Figure 1: Kaplan-Meier curves of IRC assessed PFS, the ADMYRE trial"/>
      </w:tblPr>
      <w:tblGrid>
        <w:gridCol w:w="6804"/>
      </w:tblGrid>
      <w:tr w:rsidR="009B2570" w:rsidRPr="00980D3E" w:rsidTr="008D4068">
        <w:trPr>
          <w:trHeight w:val="230"/>
          <w:tblHeader/>
        </w:trPr>
        <w:tc>
          <w:tcPr>
            <w:tcW w:w="6804" w:type="dxa"/>
          </w:tcPr>
          <w:p w:rsidR="009B2570" w:rsidRPr="00980D3E" w:rsidRDefault="00916889" w:rsidP="006F7263">
            <w:pPr>
              <w:pStyle w:val="TableText0"/>
              <w:keepLines/>
              <w:rPr>
                <w:b/>
              </w:rPr>
            </w:pPr>
            <w:r w:rsidRPr="00980D3E">
              <w:rPr>
                <w:b/>
              </w:rPr>
              <w:t xml:space="preserve">IRC </w:t>
            </w:r>
            <w:r w:rsidR="005773FA" w:rsidRPr="00980D3E">
              <w:rPr>
                <w:b/>
              </w:rPr>
              <w:t>assessed</w:t>
            </w:r>
            <w:r w:rsidR="009B2570" w:rsidRPr="00980D3E">
              <w:rPr>
                <w:b/>
              </w:rPr>
              <w:t xml:space="preserve"> PFS without PD confirmation (primary outcome)</w:t>
            </w:r>
          </w:p>
        </w:tc>
      </w:tr>
      <w:tr w:rsidR="009B2570" w:rsidRPr="00980D3E" w:rsidTr="008D4068">
        <w:trPr>
          <w:trHeight w:val="4021"/>
          <w:tblHeader/>
        </w:trPr>
        <w:tc>
          <w:tcPr>
            <w:tcW w:w="6804" w:type="dxa"/>
          </w:tcPr>
          <w:p w:rsidR="009B2570" w:rsidRPr="00980D3E" w:rsidRDefault="009B2570" w:rsidP="006F7263">
            <w:pPr>
              <w:pStyle w:val="3-BodyText"/>
              <w:keepNext/>
              <w:keepLines/>
              <w:numPr>
                <w:ilvl w:val="0"/>
                <w:numId w:val="0"/>
              </w:numPr>
            </w:pPr>
            <w:r w:rsidRPr="00980D3E">
              <w:rPr>
                <w:rFonts w:ascii="Cambria" w:hAnsi="Cambria" w:cs="Times New Roman"/>
                <w:noProof/>
                <w:snapToGrid/>
                <w:sz w:val="22"/>
              </w:rPr>
              <w:drawing>
                <wp:inline distT="0" distB="0" distL="0" distR="0" wp14:anchorId="58D7F62E" wp14:editId="6C15B93F">
                  <wp:extent cx="4251325" cy="2605691"/>
                  <wp:effectExtent l="0" t="0" r="0" b="4445"/>
                  <wp:docPr id="1" name="Picture 1" title="IRC assessed PFS without PD confirmation (primary out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805"/>
                          <a:stretch/>
                        </pic:blipFill>
                        <pic:spPr bwMode="auto">
                          <a:xfrm>
                            <a:off x="0" y="0"/>
                            <a:ext cx="4251325" cy="260569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F56928" w:rsidRPr="00980D3E" w:rsidRDefault="00F56928" w:rsidP="006F7263">
      <w:pPr>
        <w:pStyle w:val="TableFigureFooter"/>
        <w:keepNext/>
        <w:keepLines/>
      </w:pPr>
    </w:p>
    <w:tbl>
      <w:tblPr>
        <w:tblStyle w:val="TableGrid"/>
        <w:tblW w:w="0" w:type="auto"/>
        <w:tblLook w:val="04A0" w:firstRow="1" w:lastRow="0" w:firstColumn="1" w:lastColumn="0" w:noHBand="0" w:noVBand="1"/>
        <w:tblCaption w:val="Figure 1: Kaplan-Meier curves of IRC assessed PFS, the ADMYRE trial"/>
      </w:tblPr>
      <w:tblGrid>
        <w:gridCol w:w="6791"/>
      </w:tblGrid>
      <w:tr w:rsidR="00F56928" w:rsidRPr="00980D3E" w:rsidTr="008D4068">
        <w:trPr>
          <w:tblHeader/>
        </w:trPr>
        <w:tc>
          <w:tcPr>
            <w:tcW w:w="6516" w:type="dxa"/>
          </w:tcPr>
          <w:p w:rsidR="00F56928" w:rsidRPr="00980D3E" w:rsidRDefault="00916889" w:rsidP="00E72A3A">
            <w:pPr>
              <w:pStyle w:val="TableFigureFooter"/>
              <w:keepNext/>
              <w:keepLines/>
              <w:spacing w:after="0"/>
            </w:pPr>
            <w:r w:rsidRPr="00980D3E">
              <w:rPr>
                <w:b/>
                <w:sz w:val="20"/>
              </w:rPr>
              <w:t xml:space="preserve">IRC </w:t>
            </w:r>
            <w:r w:rsidR="00F56928" w:rsidRPr="00980D3E">
              <w:rPr>
                <w:b/>
                <w:sz w:val="20"/>
              </w:rPr>
              <w:t>assessed PFS with PD confirmation</w:t>
            </w:r>
          </w:p>
        </w:tc>
      </w:tr>
      <w:tr w:rsidR="00F56928" w:rsidRPr="00980D3E" w:rsidTr="008D4068">
        <w:trPr>
          <w:tblHeader/>
        </w:trPr>
        <w:tc>
          <w:tcPr>
            <w:tcW w:w="6516" w:type="dxa"/>
          </w:tcPr>
          <w:p w:rsidR="00F56928" w:rsidRPr="00980D3E" w:rsidRDefault="00F56928" w:rsidP="006F7263">
            <w:pPr>
              <w:pStyle w:val="TableFigureFooter"/>
              <w:keepNext/>
              <w:keepLines/>
            </w:pPr>
            <w:r w:rsidRPr="00980D3E">
              <w:rPr>
                <w:rFonts w:ascii="Cambria" w:hAnsi="Cambria" w:cs="Times New Roman"/>
                <w:noProof/>
                <w:snapToGrid/>
                <w:sz w:val="22"/>
              </w:rPr>
              <w:drawing>
                <wp:inline distT="0" distB="0" distL="0" distR="0" wp14:anchorId="14B522FE" wp14:editId="03047901">
                  <wp:extent cx="4175125" cy="2527935"/>
                  <wp:effectExtent l="0" t="0" r="0" b="5715"/>
                  <wp:docPr id="14" name="Picture 14" title="IRC assessed PFS with PD confi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01" r="1829"/>
                          <a:stretch/>
                        </pic:blipFill>
                        <pic:spPr bwMode="auto">
                          <a:xfrm>
                            <a:off x="0" y="0"/>
                            <a:ext cx="4175125" cy="2527935"/>
                          </a:xfrm>
                          <a:prstGeom prst="rect">
                            <a:avLst/>
                          </a:prstGeom>
                          <a:ln>
                            <a:noFill/>
                          </a:ln>
                          <a:extLst>
                            <a:ext uri="{53640926-AAD7-44D8-BBD7-CCE9431645EC}">
                              <a14:shadowObscured xmlns:a14="http://schemas.microsoft.com/office/drawing/2010/main"/>
                            </a:ext>
                          </a:extLst>
                        </pic:spPr>
                      </pic:pic>
                    </a:graphicData>
                  </a:graphic>
                </wp:inline>
              </w:drawing>
            </w:r>
          </w:p>
        </w:tc>
      </w:tr>
    </w:tbl>
    <w:p w:rsidR="00AE5E0F" w:rsidRPr="00980D3E" w:rsidRDefault="00AE5E0F" w:rsidP="009439A6">
      <w:pPr>
        <w:pStyle w:val="TableFigureFooter"/>
        <w:keepNext/>
        <w:keepLines/>
        <w:jc w:val="left"/>
        <w:rPr>
          <w:szCs w:val="18"/>
        </w:rPr>
      </w:pPr>
      <w:r w:rsidRPr="00980D3E">
        <w:t xml:space="preserve">Source: </w:t>
      </w:r>
      <w:r w:rsidR="00F10F01" w:rsidRPr="00980D3E">
        <w:t xml:space="preserve">Figure 32, p118, </w:t>
      </w:r>
      <w:r w:rsidRPr="00980D3E">
        <w:t>Figure 34, p122 of the resubmission</w:t>
      </w:r>
      <w:r w:rsidR="00F10F01" w:rsidRPr="00980D3E">
        <w:t>.</w:t>
      </w:r>
    </w:p>
    <w:p w:rsidR="00AE5E0F" w:rsidRPr="00980D3E" w:rsidRDefault="005C7027" w:rsidP="00820C9B">
      <w:pPr>
        <w:pStyle w:val="TableFigureFooter"/>
        <w:keepNext/>
        <w:keepLines/>
        <w:jc w:val="left"/>
        <w:rPr>
          <w:szCs w:val="18"/>
        </w:rPr>
      </w:pPr>
      <w:r w:rsidRPr="00980D3E">
        <w:rPr>
          <w:szCs w:val="18"/>
        </w:rPr>
        <w:t>A = plitidepsin + dexamethasone treatment arm; B = dexamethasone monotherapy treatment arm; C = censored patients in each arm; ITT = intention to treat;</w:t>
      </w:r>
      <w:r w:rsidR="00264587" w:rsidRPr="00980D3E">
        <w:rPr>
          <w:szCs w:val="18"/>
        </w:rPr>
        <w:t xml:space="preserve"> IRC = independent review committee;</w:t>
      </w:r>
      <w:r w:rsidRPr="00980D3E">
        <w:rPr>
          <w:szCs w:val="18"/>
        </w:rPr>
        <w:t xml:space="preserve"> N = total patients in each arm; </w:t>
      </w:r>
      <w:r w:rsidR="005773FA" w:rsidRPr="00980D3E">
        <w:rPr>
          <w:szCs w:val="18"/>
        </w:rPr>
        <w:t>PD = progressive disease;</w:t>
      </w:r>
      <w:r w:rsidRPr="00980D3E">
        <w:rPr>
          <w:szCs w:val="18"/>
        </w:rPr>
        <w:t xml:space="preserve"> PFS = progression-free survival.</w:t>
      </w:r>
    </w:p>
    <w:p w:rsidR="0060325C" w:rsidRPr="00980D3E" w:rsidRDefault="004606AC" w:rsidP="002A31B9">
      <w:pPr>
        <w:pStyle w:val="3-BodyText"/>
      </w:pPr>
      <w:r w:rsidRPr="00980D3E">
        <w:t xml:space="preserve">Unchanged from the previous submission, patients in the plitidepsin + </w:t>
      </w:r>
      <w:r w:rsidR="00C50AE9" w:rsidRPr="00980D3E">
        <w:t>Dxm</w:t>
      </w:r>
      <w:r w:rsidRPr="00980D3E">
        <w:t xml:space="preserve"> arm had a statistically significant improvement in PFS (</w:t>
      </w:r>
      <w:r w:rsidR="00916889" w:rsidRPr="00980D3E">
        <w:t xml:space="preserve">IRC </w:t>
      </w:r>
      <w:r w:rsidR="006F36EE" w:rsidRPr="00980D3E">
        <w:t xml:space="preserve">assessed </w:t>
      </w:r>
      <w:r w:rsidRPr="00980D3E">
        <w:t>without PD confirmation, primary outcome) (hazard ratio</w:t>
      </w:r>
      <w:r w:rsidR="004A3A86" w:rsidRPr="00980D3E">
        <w:t xml:space="preserve"> (HR)</w:t>
      </w:r>
      <w:r w:rsidR="00E72A3A" w:rsidRPr="00980D3E">
        <w:t xml:space="preserve"> =</w:t>
      </w:r>
      <w:r w:rsidRPr="00980D3E">
        <w:t xml:space="preserve"> 0.65; 95% CI: 0.4</w:t>
      </w:r>
      <w:r w:rsidR="00E72A3A" w:rsidRPr="00980D3E">
        <w:t>8</w:t>
      </w:r>
      <w:r w:rsidRPr="00980D3E">
        <w:t>, 0.8</w:t>
      </w:r>
      <w:r w:rsidR="00E72A3A" w:rsidRPr="00980D3E">
        <w:t>6</w:t>
      </w:r>
      <w:r w:rsidR="00445591" w:rsidRPr="00980D3E">
        <w:t>; median difference 0.9 months</w:t>
      </w:r>
      <w:r w:rsidRPr="00980D3E">
        <w:t xml:space="preserve">). At six-months, 20% of patients in the plitidepsin + </w:t>
      </w:r>
      <w:r w:rsidR="00C50AE9" w:rsidRPr="00980D3E">
        <w:t>Dxm</w:t>
      </w:r>
      <w:r w:rsidRPr="00980D3E">
        <w:t xml:space="preserve"> arm were progression-free, compared with 10% in the </w:t>
      </w:r>
      <w:r w:rsidR="00C50AE9" w:rsidRPr="00980D3E">
        <w:t>Dxm</w:t>
      </w:r>
      <w:r w:rsidRPr="00980D3E">
        <w:t xml:space="preserve"> arm. </w:t>
      </w:r>
      <w:r w:rsidR="003F6715" w:rsidRPr="00980D3E">
        <w:t>In July 2019 t</w:t>
      </w:r>
      <w:r w:rsidRPr="00980D3E">
        <w:t>he PBAC considered that for the comparison of plitidepsin</w:t>
      </w:r>
      <w:r w:rsidR="004A3A86" w:rsidRPr="00980D3E">
        <w:t xml:space="preserve"> </w:t>
      </w:r>
      <w:r w:rsidRPr="00980D3E">
        <w:t>+</w:t>
      </w:r>
      <w:r w:rsidR="004A3A86" w:rsidRPr="00980D3E">
        <w:t xml:space="preserve"> </w:t>
      </w:r>
      <w:r w:rsidR="00C50AE9" w:rsidRPr="00980D3E">
        <w:t>Dxm</w:t>
      </w:r>
      <w:r w:rsidRPr="00980D3E">
        <w:t xml:space="preserve"> versus </w:t>
      </w:r>
      <w:r w:rsidR="00C50AE9" w:rsidRPr="00980D3E">
        <w:t>Dxm</w:t>
      </w:r>
      <w:r w:rsidRPr="00980D3E">
        <w:t xml:space="preserve"> alone, the magnitude of the clinical benefit in terms of PFS (median increase of 0.9 months) was marginal (</w:t>
      </w:r>
      <w:r w:rsidR="004A3A86" w:rsidRPr="00980D3E">
        <w:t>p</w:t>
      </w:r>
      <w:r w:rsidR="00C50AE9" w:rsidRPr="00980D3E">
        <w:t>aragraph</w:t>
      </w:r>
      <w:r w:rsidRPr="00980D3E">
        <w:t xml:space="preserve"> 7.1, plitidepsin </w:t>
      </w:r>
      <w:r w:rsidR="00E72A3A" w:rsidRPr="00980D3E">
        <w:t>PSD</w:t>
      </w:r>
      <w:r w:rsidRPr="00980D3E">
        <w:t xml:space="preserve">, July 2019 PBAC meeting). </w:t>
      </w:r>
    </w:p>
    <w:p w:rsidR="0098666F" w:rsidRPr="00980D3E" w:rsidRDefault="005240ED" w:rsidP="0098666F">
      <w:pPr>
        <w:pStyle w:val="3-BodyText"/>
      </w:pPr>
      <w:r w:rsidRPr="00980D3E">
        <w:lastRenderedPageBreak/>
        <w:t xml:space="preserve">In the </w:t>
      </w:r>
      <w:r w:rsidR="00916889" w:rsidRPr="00980D3E">
        <w:t xml:space="preserve">IRC </w:t>
      </w:r>
      <w:r w:rsidRPr="00980D3E">
        <w:t xml:space="preserve">assessed PFS with PD confirmation analysis, patients treated with plitidepsin + </w:t>
      </w:r>
      <w:r w:rsidR="00C50AE9" w:rsidRPr="00980D3E">
        <w:t>Dxm</w:t>
      </w:r>
      <w:r w:rsidRPr="00980D3E">
        <w:t xml:space="preserve"> </w:t>
      </w:r>
      <w:r w:rsidR="00BD7CFA" w:rsidRPr="00980D3E">
        <w:t xml:space="preserve">demonstrated a statistically significant improvement in PFS </w:t>
      </w:r>
      <w:r w:rsidR="004A3A86" w:rsidRPr="00980D3E">
        <w:t xml:space="preserve">compared to patients treated with Dxm monotherapy </w:t>
      </w:r>
      <w:r w:rsidRPr="00980D3E">
        <w:t>(</w:t>
      </w:r>
      <w:r w:rsidR="004A3A86" w:rsidRPr="00980D3E">
        <w:t>HR</w:t>
      </w:r>
      <w:r w:rsidR="00E72A3A" w:rsidRPr="00980D3E">
        <w:t xml:space="preserve"> =</w:t>
      </w:r>
      <w:r w:rsidRPr="00980D3E">
        <w:t xml:space="preserve"> 0.5</w:t>
      </w:r>
      <w:r w:rsidR="00E72A3A" w:rsidRPr="00980D3E">
        <w:t>2</w:t>
      </w:r>
      <w:r w:rsidRPr="00980D3E">
        <w:t>; 95%</w:t>
      </w:r>
      <w:r w:rsidR="004A3A86" w:rsidRPr="00980D3E">
        <w:t xml:space="preserve"> </w:t>
      </w:r>
      <w:r w:rsidRPr="00980D3E">
        <w:t>CI: 0.35,</w:t>
      </w:r>
      <w:r w:rsidR="004A3A86" w:rsidRPr="00980D3E">
        <w:t xml:space="preserve"> </w:t>
      </w:r>
      <w:r w:rsidRPr="00980D3E">
        <w:t>0.76</w:t>
      </w:r>
      <w:r w:rsidR="00445591" w:rsidRPr="00980D3E">
        <w:t>; median difference 3.0 months</w:t>
      </w:r>
      <w:r w:rsidRPr="00980D3E">
        <w:t xml:space="preserve">). </w:t>
      </w:r>
      <w:r w:rsidR="004A3A86" w:rsidRPr="00980D3E">
        <w:t xml:space="preserve">In addition, </w:t>
      </w:r>
      <w:r w:rsidRPr="00980D3E">
        <w:t xml:space="preserve">42.6% </w:t>
      </w:r>
      <w:r w:rsidR="004A3A86" w:rsidRPr="00980D3E">
        <w:t xml:space="preserve">of patients </w:t>
      </w:r>
      <w:r w:rsidRPr="00980D3E">
        <w:t xml:space="preserve">in the plitidepsin + </w:t>
      </w:r>
      <w:r w:rsidR="00C50AE9" w:rsidRPr="00980D3E">
        <w:t>Dxm</w:t>
      </w:r>
      <w:r w:rsidRPr="00980D3E">
        <w:t xml:space="preserve"> arm were progression</w:t>
      </w:r>
      <w:r w:rsidRPr="00980D3E">
        <w:noBreakHyphen/>
        <w:t xml:space="preserve">free at six months, compared with </w:t>
      </w:r>
      <w:r w:rsidR="00D3028C" w:rsidRPr="00980D3E">
        <w:t>19</w:t>
      </w:r>
      <w:r w:rsidRPr="00980D3E">
        <w:t xml:space="preserve">.7% </w:t>
      </w:r>
      <w:r w:rsidR="004A3A86" w:rsidRPr="00980D3E">
        <w:t xml:space="preserve">in </w:t>
      </w:r>
      <w:r w:rsidRPr="00980D3E">
        <w:t xml:space="preserve">the </w:t>
      </w:r>
      <w:r w:rsidR="00C50AE9" w:rsidRPr="00980D3E">
        <w:t>Dxm</w:t>
      </w:r>
      <w:r w:rsidRPr="00980D3E">
        <w:t xml:space="preserve"> arm. The </w:t>
      </w:r>
      <w:r w:rsidR="00916889" w:rsidRPr="00980D3E">
        <w:t xml:space="preserve">IRC </w:t>
      </w:r>
      <w:r w:rsidRPr="00980D3E">
        <w:t xml:space="preserve">assessed PFS with PD confirmation analysis </w:t>
      </w:r>
      <w:r w:rsidR="00137C32" w:rsidRPr="00980D3E">
        <w:t xml:space="preserve">resulted in </w:t>
      </w:r>
      <w:r w:rsidRPr="00980D3E">
        <w:t xml:space="preserve">an increase in </w:t>
      </w:r>
      <w:r w:rsidR="00445591" w:rsidRPr="00980D3E">
        <w:t xml:space="preserve">the difference in </w:t>
      </w:r>
      <w:r w:rsidRPr="00980D3E">
        <w:t>median PFS (from 0.9 months to 3 months), a reduction in the hazard ratio (</w:t>
      </w:r>
      <w:r w:rsidR="00E72A3A" w:rsidRPr="00980D3E">
        <w:t xml:space="preserve">from </w:t>
      </w:r>
      <w:r w:rsidRPr="00980D3E">
        <w:t>0.65 to 0.5</w:t>
      </w:r>
      <w:r w:rsidR="00E72A3A" w:rsidRPr="00980D3E">
        <w:t>2</w:t>
      </w:r>
      <w:r w:rsidRPr="00980D3E">
        <w:t>), and a</w:t>
      </w:r>
      <w:r w:rsidR="00E72A3A" w:rsidRPr="00980D3E">
        <w:t>n</w:t>
      </w:r>
      <w:r w:rsidRPr="00980D3E">
        <w:t xml:space="preserve"> increase in the absolute proportion of plitidepsin + </w:t>
      </w:r>
      <w:r w:rsidR="00C50AE9" w:rsidRPr="00980D3E">
        <w:t>Dxm</w:t>
      </w:r>
      <w:r w:rsidRPr="00980D3E">
        <w:t xml:space="preserve"> patients’ progression-free at six months (</w:t>
      </w:r>
      <w:r w:rsidR="00E72A3A" w:rsidRPr="00980D3E">
        <w:t xml:space="preserve">from </w:t>
      </w:r>
      <w:r w:rsidR="007D3A76" w:rsidRPr="00980D3E">
        <w:t>20</w:t>
      </w:r>
      <w:r w:rsidRPr="00980D3E">
        <w:t xml:space="preserve">% to </w:t>
      </w:r>
      <w:r w:rsidR="007D3A76" w:rsidRPr="00980D3E">
        <w:t>42.6</w:t>
      </w:r>
      <w:r w:rsidRPr="00980D3E">
        <w:t xml:space="preserve">%), all in favour of plitidepsin. </w:t>
      </w:r>
    </w:p>
    <w:p w:rsidR="002B2A11" w:rsidRPr="00980D3E" w:rsidRDefault="002B00DB" w:rsidP="0098666F">
      <w:pPr>
        <w:pStyle w:val="3-BodyText"/>
      </w:pPr>
      <w:r w:rsidRPr="00980D3E">
        <w:t>As PFS with PD confirmation was a preplanned sensitivity analysis and d</w:t>
      </w:r>
      <w:r w:rsidR="00CD33A1" w:rsidRPr="00980D3E">
        <w:t>ue to the censoring concerns, t</w:t>
      </w:r>
      <w:r w:rsidR="002B2A11" w:rsidRPr="00980D3E">
        <w:t xml:space="preserve">he </w:t>
      </w:r>
      <w:r w:rsidR="00884A2E" w:rsidRPr="00980D3E">
        <w:t>ESC</w:t>
      </w:r>
      <w:r w:rsidR="00542148" w:rsidRPr="00980D3E">
        <w:t xml:space="preserve"> considered</w:t>
      </w:r>
      <w:r w:rsidR="002B2A11" w:rsidRPr="00980D3E">
        <w:t xml:space="preserve"> that the most reliable estimate </w:t>
      </w:r>
      <w:r w:rsidR="00D06661" w:rsidRPr="00980D3E">
        <w:t>of PFS from the ADMYRE trial was</w:t>
      </w:r>
      <w:r w:rsidR="002B2A11" w:rsidRPr="00980D3E">
        <w:t xml:space="preserve"> the primary outcome</w:t>
      </w:r>
      <w:r w:rsidR="00CD33A1" w:rsidRPr="00980D3E">
        <w:t xml:space="preserve">, </w:t>
      </w:r>
      <w:r w:rsidR="002B2A11" w:rsidRPr="00980D3E">
        <w:t>IRC assessed PFS without PD confirmation.</w:t>
      </w:r>
      <w:r w:rsidR="000C7833" w:rsidRPr="00980D3E">
        <w:t xml:space="preserve"> The </w:t>
      </w:r>
      <w:r w:rsidR="00884A2E" w:rsidRPr="00980D3E">
        <w:t>ESC</w:t>
      </w:r>
      <w:r w:rsidR="000C7833" w:rsidRPr="00980D3E">
        <w:t xml:space="preserve"> considered that this outcome should have been used in the indirect comparison with pomalidomide + Dxm and in the cost-utility analysis.</w:t>
      </w:r>
    </w:p>
    <w:p w:rsidR="0098666F" w:rsidRPr="00980D3E" w:rsidRDefault="00820C9B" w:rsidP="00820C9B">
      <w:pPr>
        <w:pStyle w:val="3-BodyText"/>
      </w:pPr>
      <w:r w:rsidRPr="00980D3E">
        <w:t>Table 7</w:t>
      </w:r>
      <w:r w:rsidR="007E6F5B" w:rsidRPr="00980D3E">
        <w:t xml:space="preserve"> </w:t>
      </w:r>
      <w:r w:rsidR="0098666F" w:rsidRPr="00980D3E">
        <w:t xml:space="preserve">presents the key OS results from the ADMYRE trial. </w:t>
      </w:r>
      <w:r w:rsidRPr="00980D3E">
        <w:t>Figure 2</w:t>
      </w:r>
      <w:r w:rsidR="00471965" w:rsidRPr="00980D3E">
        <w:t xml:space="preserve"> presents the </w:t>
      </w:r>
      <w:r w:rsidR="000855EB" w:rsidRPr="00980D3E">
        <w:t xml:space="preserve">Kaplan-Meier </w:t>
      </w:r>
      <w:r w:rsidR="00471965" w:rsidRPr="00980D3E">
        <w:t xml:space="preserve">plots for OS. </w:t>
      </w:r>
      <w:r w:rsidR="0098666F" w:rsidRPr="00980D3E">
        <w:t xml:space="preserve">The OS results were unchanged from the previous submission. </w:t>
      </w:r>
      <w:r w:rsidR="00C5361B" w:rsidRPr="00980D3E">
        <w:t xml:space="preserve">In July 2019 </w:t>
      </w:r>
      <w:r w:rsidR="00A917C1" w:rsidRPr="00980D3E">
        <w:t>the PBAC con</w:t>
      </w:r>
      <w:r w:rsidR="0098666F" w:rsidRPr="00980D3E">
        <w:t xml:space="preserve">sidered that the OS gain was uncertain given it was statistically significant only when adjusted for crossover (paragraph 7.1, plitidepsin </w:t>
      </w:r>
      <w:r w:rsidR="00534072" w:rsidRPr="00980D3E">
        <w:t>P</w:t>
      </w:r>
      <w:r w:rsidR="00A917C1" w:rsidRPr="00980D3E">
        <w:t>SD</w:t>
      </w:r>
      <w:r w:rsidR="0098666F" w:rsidRPr="00980D3E">
        <w:t>, July 2019 PBAC meeting).</w:t>
      </w:r>
    </w:p>
    <w:p w:rsidR="004E104C" w:rsidRPr="00980D3E" w:rsidRDefault="004E104C" w:rsidP="00D443C2">
      <w:pPr>
        <w:pStyle w:val="TableHeading"/>
        <w:rPr>
          <w:rStyle w:val="CommentReference"/>
          <w:b/>
          <w:szCs w:val="24"/>
        </w:rPr>
      </w:pPr>
      <w:bookmarkStart w:id="23" w:name="_Ref33524439"/>
      <w:r w:rsidRPr="00980D3E">
        <w:rPr>
          <w:rStyle w:val="CommentReference"/>
          <w:b/>
          <w:szCs w:val="24"/>
        </w:rPr>
        <w:t xml:space="preserve">Table </w:t>
      </w:r>
      <w:r w:rsidR="00820C9B" w:rsidRPr="00980D3E">
        <w:rPr>
          <w:rStyle w:val="CommentReference"/>
          <w:b/>
          <w:szCs w:val="24"/>
        </w:rPr>
        <w:t>7</w:t>
      </w:r>
      <w:bookmarkEnd w:id="23"/>
      <w:r w:rsidRPr="00980D3E">
        <w:rPr>
          <w:rStyle w:val="CommentReference"/>
          <w:b/>
          <w:szCs w:val="24"/>
        </w:rPr>
        <w:t>: Summary of OS outcomes, the ADMYRE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984"/>
        <w:gridCol w:w="1843"/>
        <w:gridCol w:w="1134"/>
        <w:gridCol w:w="1509"/>
      </w:tblGrid>
      <w:tr w:rsidR="00F244F2" w:rsidRPr="00980D3E" w:rsidTr="00A917C1">
        <w:trPr>
          <w:cantSplit/>
          <w:tblHeader/>
        </w:trPr>
        <w:tc>
          <w:tcPr>
            <w:tcW w:w="1412" w:type="pct"/>
            <w:vAlign w:val="center"/>
          </w:tcPr>
          <w:p w:rsidR="00F244F2" w:rsidRPr="00980D3E" w:rsidRDefault="00F244F2" w:rsidP="00F244F2">
            <w:pPr>
              <w:pStyle w:val="In-tableHeading"/>
              <w:jc w:val="center"/>
              <w:rPr>
                <w:szCs w:val="20"/>
                <w:lang w:val="en-AU"/>
              </w:rPr>
            </w:pPr>
          </w:p>
        </w:tc>
        <w:tc>
          <w:tcPr>
            <w:tcW w:w="1100" w:type="pct"/>
            <w:vAlign w:val="center"/>
          </w:tcPr>
          <w:p w:rsidR="00F244F2" w:rsidRPr="00980D3E" w:rsidRDefault="00F244F2" w:rsidP="00F244F2">
            <w:pPr>
              <w:pStyle w:val="In-tableHeading"/>
              <w:jc w:val="center"/>
              <w:rPr>
                <w:szCs w:val="20"/>
                <w:lang w:val="en-AU"/>
              </w:rPr>
            </w:pPr>
            <w:r w:rsidRPr="00980D3E">
              <w:rPr>
                <w:szCs w:val="20"/>
                <w:lang w:val="en-AU"/>
              </w:rPr>
              <w:t xml:space="preserve">Plitidepsin + </w:t>
            </w:r>
            <w:r w:rsidR="008D4068" w:rsidRPr="00980D3E">
              <w:rPr>
                <w:szCs w:val="20"/>
                <w:lang w:val="en-AU"/>
              </w:rPr>
              <w:t>Dxm</w:t>
            </w:r>
          </w:p>
        </w:tc>
        <w:tc>
          <w:tcPr>
            <w:tcW w:w="1022" w:type="pct"/>
            <w:vAlign w:val="center"/>
          </w:tcPr>
          <w:p w:rsidR="00F244F2" w:rsidRPr="00980D3E" w:rsidRDefault="00C50AE9" w:rsidP="00A917C1">
            <w:pPr>
              <w:pStyle w:val="In-tableHeading"/>
              <w:jc w:val="center"/>
              <w:rPr>
                <w:szCs w:val="20"/>
                <w:lang w:val="en-AU"/>
              </w:rPr>
            </w:pPr>
            <w:r w:rsidRPr="00980D3E">
              <w:rPr>
                <w:szCs w:val="20"/>
                <w:lang w:val="en-AU"/>
              </w:rPr>
              <w:t>Dxm</w:t>
            </w:r>
            <w:r w:rsidR="00A917C1" w:rsidRPr="00980D3E">
              <w:rPr>
                <w:szCs w:val="20"/>
                <w:lang w:val="en-AU"/>
              </w:rPr>
              <w:t xml:space="preserve"> </w:t>
            </w:r>
          </w:p>
        </w:tc>
        <w:tc>
          <w:tcPr>
            <w:tcW w:w="629" w:type="pct"/>
            <w:vAlign w:val="center"/>
          </w:tcPr>
          <w:p w:rsidR="00F244F2" w:rsidRPr="00980D3E" w:rsidRDefault="00F244F2" w:rsidP="00F244F2">
            <w:pPr>
              <w:pStyle w:val="In-tableHeading"/>
              <w:jc w:val="center"/>
              <w:rPr>
                <w:szCs w:val="20"/>
                <w:lang w:val="en-AU"/>
              </w:rPr>
            </w:pPr>
            <w:r w:rsidRPr="00980D3E">
              <w:rPr>
                <w:szCs w:val="20"/>
                <w:lang w:val="en-AU"/>
              </w:rPr>
              <w:t>Absolute difference (months)</w:t>
            </w:r>
          </w:p>
        </w:tc>
        <w:tc>
          <w:tcPr>
            <w:tcW w:w="837" w:type="pct"/>
            <w:vAlign w:val="center"/>
          </w:tcPr>
          <w:p w:rsidR="00F244F2" w:rsidRPr="00980D3E" w:rsidRDefault="00F244F2" w:rsidP="00F244F2">
            <w:pPr>
              <w:pStyle w:val="In-tableHeading"/>
              <w:jc w:val="center"/>
              <w:rPr>
                <w:szCs w:val="20"/>
                <w:lang w:val="en-AU"/>
              </w:rPr>
            </w:pPr>
            <w:r w:rsidRPr="00980D3E">
              <w:rPr>
                <w:szCs w:val="20"/>
                <w:lang w:val="en-AU"/>
              </w:rPr>
              <w:t>HR (95% CI)</w:t>
            </w:r>
          </w:p>
        </w:tc>
      </w:tr>
      <w:tr w:rsidR="004E104C" w:rsidRPr="00980D3E" w:rsidTr="002A31B9">
        <w:trPr>
          <w:cantSplit/>
        </w:trPr>
        <w:tc>
          <w:tcPr>
            <w:tcW w:w="5000" w:type="pct"/>
            <w:gridSpan w:val="5"/>
            <w:vAlign w:val="center"/>
          </w:tcPr>
          <w:p w:rsidR="004E104C" w:rsidRPr="00980D3E" w:rsidRDefault="00F244F2" w:rsidP="002A31B9">
            <w:pPr>
              <w:pStyle w:val="In-tableHeading"/>
              <w:rPr>
                <w:szCs w:val="20"/>
                <w:lang w:val="en-AU"/>
              </w:rPr>
            </w:pPr>
            <w:r w:rsidRPr="00980D3E">
              <w:rPr>
                <w:szCs w:val="20"/>
                <w:lang w:val="en-AU"/>
              </w:rPr>
              <w:t>Overall survival (ITT)</w:t>
            </w:r>
          </w:p>
        </w:tc>
      </w:tr>
      <w:tr w:rsidR="00971295" w:rsidRPr="00980D3E" w:rsidTr="00A917C1">
        <w:trPr>
          <w:cantSplit/>
        </w:trPr>
        <w:tc>
          <w:tcPr>
            <w:tcW w:w="1412" w:type="pct"/>
            <w:vAlign w:val="center"/>
          </w:tcPr>
          <w:p w:rsidR="00971295" w:rsidRPr="00980D3E" w:rsidRDefault="00971295" w:rsidP="00DA5AFE">
            <w:pPr>
              <w:pStyle w:val="TableText0"/>
              <w:rPr>
                <w:szCs w:val="20"/>
              </w:rPr>
            </w:pPr>
            <w:r w:rsidRPr="00980D3E">
              <w:rPr>
                <w:szCs w:val="20"/>
              </w:rPr>
              <w:t>Deaths, n/N (%)</w:t>
            </w:r>
          </w:p>
        </w:tc>
        <w:tc>
          <w:tcPr>
            <w:tcW w:w="1100" w:type="pct"/>
            <w:vAlign w:val="center"/>
          </w:tcPr>
          <w:p w:rsidR="00971295" w:rsidRPr="00980D3E" w:rsidRDefault="00971295" w:rsidP="00DA5AFE">
            <w:pPr>
              <w:pStyle w:val="TableText0"/>
              <w:jc w:val="center"/>
              <w:rPr>
                <w:szCs w:val="20"/>
              </w:rPr>
            </w:pPr>
            <w:r w:rsidRPr="00980D3E">
              <w:rPr>
                <w:szCs w:val="20"/>
              </w:rPr>
              <w:t>123/171 (71.9</w:t>
            </w:r>
            <w:r w:rsidR="00A917C1" w:rsidRPr="00980D3E">
              <w:rPr>
                <w:szCs w:val="20"/>
              </w:rPr>
              <w:t>%</w:t>
            </w:r>
            <w:r w:rsidRPr="00980D3E">
              <w:rPr>
                <w:szCs w:val="20"/>
              </w:rPr>
              <w:t>)</w:t>
            </w:r>
          </w:p>
        </w:tc>
        <w:tc>
          <w:tcPr>
            <w:tcW w:w="1022" w:type="pct"/>
            <w:vAlign w:val="center"/>
          </w:tcPr>
          <w:p w:rsidR="00971295" w:rsidRPr="00980D3E" w:rsidRDefault="00971295" w:rsidP="00724769">
            <w:pPr>
              <w:pStyle w:val="TableText0"/>
              <w:jc w:val="center"/>
              <w:rPr>
                <w:szCs w:val="20"/>
              </w:rPr>
            </w:pPr>
            <w:r w:rsidRPr="00980D3E">
              <w:rPr>
                <w:szCs w:val="20"/>
              </w:rPr>
              <w:t xml:space="preserve">72/84 </w:t>
            </w:r>
            <w:r w:rsidR="00724769" w:rsidRPr="00980D3E">
              <w:rPr>
                <w:szCs w:val="20"/>
              </w:rPr>
              <w:t>(</w:t>
            </w:r>
            <w:r w:rsidRPr="00980D3E">
              <w:rPr>
                <w:szCs w:val="20"/>
              </w:rPr>
              <w:t>85.7</w:t>
            </w:r>
            <w:r w:rsidR="00A917C1" w:rsidRPr="00980D3E">
              <w:rPr>
                <w:szCs w:val="20"/>
              </w:rPr>
              <w:t>%</w:t>
            </w:r>
            <w:r w:rsidRPr="00980D3E">
              <w:rPr>
                <w:szCs w:val="20"/>
              </w:rPr>
              <w:t>)</w:t>
            </w:r>
          </w:p>
        </w:tc>
        <w:tc>
          <w:tcPr>
            <w:tcW w:w="629" w:type="pct"/>
            <w:vAlign w:val="center"/>
          </w:tcPr>
          <w:p w:rsidR="00971295" w:rsidRPr="00980D3E" w:rsidRDefault="00971295" w:rsidP="00DA5AFE">
            <w:pPr>
              <w:pStyle w:val="TableText0"/>
              <w:jc w:val="center"/>
              <w:rPr>
                <w:szCs w:val="20"/>
              </w:rPr>
            </w:pPr>
            <w:r w:rsidRPr="00980D3E">
              <w:rPr>
                <w:szCs w:val="20"/>
              </w:rPr>
              <w:t>-</w:t>
            </w:r>
          </w:p>
        </w:tc>
        <w:tc>
          <w:tcPr>
            <w:tcW w:w="837" w:type="pct"/>
            <w:vMerge w:val="restart"/>
            <w:vAlign w:val="center"/>
          </w:tcPr>
          <w:p w:rsidR="00971295" w:rsidRPr="00980D3E" w:rsidRDefault="00971295" w:rsidP="00971295">
            <w:pPr>
              <w:jc w:val="center"/>
              <w:rPr>
                <w:rFonts w:ascii="Arial Narrow" w:hAnsi="Arial Narrow" w:cs="Times New Roman"/>
                <w:sz w:val="20"/>
                <w:szCs w:val="20"/>
              </w:rPr>
            </w:pPr>
            <w:r w:rsidRPr="00980D3E">
              <w:rPr>
                <w:rFonts w:ascii="Arial Narrow" w:hAnsi="Arial Narrow" w:cs="Times New Roman"/>
                <w:sz w:val="20"/>
                <w:szCs w:val="20"/>
              </w:rPr>
              <w:t>0.</w:t>
            </w:r>
            <w:r w:rsidR="00A917C1" w:rsidRPr="00980D3E">
              <w:rPr>
                <w:rFonts w:ascii="Arial Narrow" w:hAnsi="Arial Narrow" w:cs="Times New Roman"/>
                <w:sz w:val="20"/>
                <w:szCs w:val="20"/>
              </w:rPr>
              <w:t>80</w:t>
            </w:r>
            <w:r w:rsidRPr="00980D3E">
              <w:rPr>
                <w:rFonts w:ascii="Arial Narrow" w:hAnsi="Arial Narrow" w:cs="Times New Roman"/>
                <w:sz w:val="20"/>
                <w:szCs w:val="20"/>
              </w:rPr>
              <w:t xml:space="preserve"> </w:t>
            </w:r>
          </w:p>
          <w:p w:rsidR="00971295" w:rsidRPr="00980D3E" w:rsidRDefault="00971295" w:rsidP="00971295">
            <w:pPr>
              <w:jc w:val="center"/>
              <w:rPr>
                <w:rFonts w:ascii="Arial Narrow" w:hAnsi="Arial Narrow" w:cs="Times New Roman"/>
                <w:sz w:val="20"/>
                <w:szCs w:val="20"/>
              </w:rPr>
            </w:pPr>
            <w:r w:rsidRPr="00980D3E">
              <w:rPr>
                <w:rFonts w:ascii="Arial Narrow" w:hAnsi="Arial Narrow" w:cs="Times New Roman"/>
                <w:sz w:val="20"/>
                <w:szCs w:val="20"/>
              </w:rPr>
              <w:t>(0.6</w:t>
            </w:r>
            <w:r w:rsidR="00A917C1" w:rsidRPr="00980D3E">
              <w:rPr>
                <w:rFonts w:ascii="Arial Narrow" w:hAnsi="Arial Narrow" w:cs="Times New Roman"/>
                <w:sz w:val="20"/>
                <w:szCs w:val="20"/>
              </w:rPr>
              <w:t>0</w:t>
            </w:r>
            <w:r w:rsidRPr="00980D3E">
              <w:rPr>
                <w:rFonts w:ascii="Arial Narrow" w:hAnsi="Arial Narrow" w:cs="Times New Roman"/>
                <w:sz w:val="20"/>
                <w:szCs w:val="20"/>
              </w:rPr>
              <w:t>, 1.07)</w:t>
            </w:r>
          </w:p>
          <w:p w:rsidR="00971295" w:rsidRPr="00980D3E" w:rsidRDefault="00971295" w:rsidP="00971295">
            <w:pPr>
              <w:pStyle w:val="TableText0"/>
              <w:jc w:val="center"/>
              <w:rPr>
                <w:szCs w:val="20"/>
              </w:rPr>
            </w:pPr>
            <w:r w:rsidRPr="00980D3E">
              <w:rPr>
                <w:rFonts w:cs="Times New Roman"/>
                <w:szCs w:val="20"/>
              </w:rPr>
              <w:t>p-value = 0.1273</w:t>
            </w:r>
          </w:p>
        </w:tc>
      </w:tr>
      <w:tr w:rsidR="00971295" w:rsidRPr="00980D3E" w:rsidTr="00A917C1">
        <w:trPr>
          <w:cantSplit/>
        </w:trPr>
        <w:tc>
          <w:tcPr>
            <w:tcW w:w="1412" w:type="pct"/>
            <w:vAlign w:val="center"/>
          </w:tcPr>
          <w:p w:rsidR="00971295" w:rsidRPr="00980D3E" w:rsidRDefault="00971295" w:rsidP="00724769">
            <w:pPr>
              <w:pStyle w:val="TableText0"/>
              <w:rPr>
                <w:szCs w:val="20"/>
              </w:rPr>
            </w:pPr>
            <w:r w:rsidRPr="00980D3E">
              <w:rPr>
                <w:szCs w:val="20"/>
              </w:rPr>
              <w:t>Median OS</w:t>
            </w:r>
            <w:r w:rsidR="00724769" w:rsidRPr="00980D3E">
              <w:rPr>
                <w:szCs w:val="20"/>
              </w:rPr>
              <w:t>, months</w:t>
            </w:r>
            <w:r w:rsidRPr="00980D3E">
              <w:rPr>
                <w:szCs w:val="20"/>
              </w:rPr>
              <w:t xml:space="preserve"> (95% CI)</w:t>
            </w:r>
          </w:p>
        </w:tc>
        <w:tc>
          <w:tcPr>
            <w:tcW w:w="1100" w:type="pct"/>
            <w:tcBorders>
              <w:top w:val="single" w:sz="4" w:space="0" w:color="auto"/>
              <w:left w:val="single" w:sz="4" w:space="0" w:color="auto"/>
              <w:bottom w:val="single" w:sz="4" w:space="0" w:color="auto"/>
              <w:right w:val="single" w:sz="4" w:space="0" w:color="auto"/>
            </w:tcBorders>
            <w:vAlign w:val="center"/>
          </w:tcPr>
          <w:p w:rsidR="00971295" w:rsidRPr="00980D3E" w:rsidRDefault="00971295" w:rsidP="00971295">
            <w:pPr>
              <w:pStyle w:val="TableText0"/>
              <w:jc w:val="center"/>
              <w:rPr>
                <w:szCs w:val="20"/>
              </w:rPr>
            </w:pPr>
            <w:r w:rsidRPr="00980D3E">
              <w:rPr>
                <w:rFonts w:cs="Times New Roman"/>
                <w:szCs w:val="20"/>
              </w:rPr>
              <w:t>11.6 (9.2, 16.1)</w:t>
            </w:r>
          </w:p>
        </w:tc>
        <w:tc>
          <w:tcPr>
            <w:tcW w:w="1022" w:type="pct"/>
            <w:tcBorders>
              <w:top w:val="single" w:sz="4" w:space="0" w:color="auto"/>
              <w:left w:val="single" w:sz="4" w:space="0" w:color="auto"/>
              <w:bottom w:val="single" w:sz="4" w:space="0" w:color="auto"/>
              <w:right w:val="single" w:sz="4" w:space="0" w:color="auto"/>
            </w:tcBorders>
            <w:vAlign w:val="center"/>
          </w:tcPr>
          <w:p w:rsidR="00971295" w:rsidRPr="00980D3E" w:rsidRDefault="00971295" w:rsidP="00971295">
            <w:pPr>
              <w:pStyle w:val="TableText0"/>
              <w:jc w:val="center"/>
              <w:rPr>
                <w:szCs w:val="20"/>
              </w:rPr>
            </w:pPr>
            <w:r w:rsidRPr="00980D3E">
              <w:rPr>
                <w:rFonts w:cs="Times New Roman"/>
                <w:szCs w:val="20"/>
              </w:rPr>
              <w:t>8.9 (6.0, 15.4)</w:t>
            </w:r>
          </w:p>
        </w:tc>
        <w:tc>
          <w:tcPr>
            <w:tcW w:w="629" w:type="pct"/>
            <w:tcBorders>
              <w:top w:val="single" w:sz="4" w:space="0" w:color="auto"/>
              <w:left w:val="single" w:sz="4" w:space="0" w:color="auto"/>
              <w:bottom w:val="single" w:sz="4" w:space="0" w:color="auto"/>
            </w:tcBorders>
            <w:vAlign w:val="center"/>
          </w:tcPr>
          <w:p w:rsidR="00971295" w:rsidRPr="00980D3E" w:rsidRDefault="00971295" w:rsidP="00971295">
            <w:pPr>
              <w:pStyle w:val="TableText0"/>
              <w:jc w:val="center"/>
              <w:rPr>
                <w:szCs w:val="20"/>
              </w:rPr>
            </w:pPr>
            <w:r w:rsidRPr="00980D3E">
              <w:rPr>
                <w:rFonts w:cs="Times New Roman"/>
                <w:szCs w:val="20"/>
              </w:rPr>
              <w:t>2.7</w:t>
            </w:r>
          </w:p>
        </w:tc>
        <w:tc>
          <w:tcPr>
            <w:tcW w:w="837" w:type="pct"/>
            <w:vMerge/>
            <w:vAlign w:val="center"/>
          </w:tcPr>
          <w:p w:rsidR="00971295" w:rsidRPr="00980D3E" w:rsidRDefault="00971295" w:rsidP="00971295">
            <w:pPr>
              <w:pStyle w:val="TableText0"/>
              <w:jc w:val="center"/>
              <w:rPr>
                <w:szCs w:val="20"/>
              </w:rPr>
            </w:pPr>
          </w:p>
        </w:tc>
      </w:tr>
      <w:tr w:rsidR="00971295" w:rsidRPr="00980D3E" w:rsidTr="00A917C1">
        <w:trPr>
          <w:cantSplit/>
        </w:trPr>
        <w:tc>
          <w:tcPr>
            <w:tcW w:w="1412" w:type="pct"/>
          </w:tcPr>
          <w:p w:rsidR="00971295" w:rsidRPr="00980D3E" w:rsidRDefault="00971295" w:rsidP="00971295">
            <w:pPr>
              <w:pStyle w:val="TableText0"/>
              <w:rPr>
                <w:szCs w:val="20"/>
              </w:rPr>
            </w:pPr>
            <w:r w:rsidRPr="00980D3E">
              <w:rPr>
                <w:szCs w:val="20"/>
              </w:rPr>
              <w:t>% alive at 12 months (95% CI)</w:t>
            </w:r>
          </w:p>
        </w:tc>
        <w:tc>
          <w:tcPr>
            <w:tcW w:w="1100" w:type="pct"/>
            <w:tcBorders>
              <w:top w:val="single" w:sz="4" w:space="0" w:color="auto"/>
              <w:left w:val="single" w:sz="4" w:space="0" w:color="auto"/>
              <w:bottom w:val="single" w:sz="4" w:space="0" w:color="auto"/>
              <w:right w:val="single" w:sz="4" w:space="0" w:color="auto"/>
            </w:tcBorders>
            <w:vAlign w:val="center"/>
          </w:tcPr>
          <w:p w:rsidR="00971295" w:rsidRPr="00980D3E" w:rsidRDefault="00971295" w:rsidP="00971295">
            <w:pPr>
              <w:pStyle w:val="TableText0"/>
              <w:jc w:val="center"/>
              <w:rPr>
                <w:rFonts w:cs="Arial"/>
                <w:szCs w:val="20"/>
              </w:rPr>
            </w:pPr>
            <w:r w:rsidRPr="00980D3E">
              <w:rPr>
                <w:rFonts w:cs="Times New Roman"/>
                <w:szCs w:val="20"/>
              </w:rPr>
              <w:t>48.3% (40.4, 56.2)</w:t>
            </w:r>
          </w:p>
        </w:tc>
        <w:tc>
          <w:tcPr>
            <w:tcW w:w="1022" w:type="pct"/>
            <w:tcBorders>
              <w:top w:val="single" w:sz="4" w:space="0" w:color="auto"/>
              <w:left w:val="single" w:sz="4" w:space="0" w:color="auto"/>
              <w:bottom w:val="single" w:sz="4" w:space="0" w:color="auto"/>
              <w:right w:val="single" w:sz="4" w:space="0" w:color="auto"/>
            </w:tcBorders>
            <w:vAlign w:val="center"/>
          </w:tcPr>
          <w:p w:rsidR="00971295" w:rsidRPr="00980D3E" w:rsidRDefault="00971295" w:rsidP="00971295">
            <w:pPr>
              <w:pStyle w:val="TableText0"/>
              <w:jc w:val="center"/>
              <w:rPr>
                <w:rFonts w:cs="Arial"/>
                <w:szCs w:val="20"/>
              </w:rPr>
            </w:pPr>
            <w:r w:rsidRPr="00980D3E">
              <w:rPr>
                <w:rFonts w:cs="Times New Roman"/>
                <w:szCs w:val="20"/>
              </w:rPr>
              <w:t>42.1% (31.3, 52.9)</w:t>
            </w:r>
          </w:p>
        </w:tc>
        <w:tc>
          <w:tcPr>
            <w:tcW w:w="629" w:type="pct"/>
            <w:tcBorders>
              <w:top w:val="single" w:sz="4" w:space="0" w:color="auto"/>
              <w:left w:val="single" w:sz="4" w:space="0" w:color="auto"/>
              <w:bottom w:val="single" w:sz="4" w:space="0" w:color="auto"/>
            </w:tcBorders>
            <w:vAlign w:val="center"/>
          </w:tcPr>
          <w:p w:rsidR="00971295" w:rsidRPr="00980D3E" w:rsidRDefault="00445591" w:rsidP="00971295">
            <w:pPr>
              <w:pStyle w:val="TableText0"/>
              <w:jc w:val="center"/>
              <w:rPr>
                <w:rFonts w:cs="Arial"/>
                <w:szCs w:val="20"/>
              </w:rPr>
            </w:pPr>
            <w:r w:rsidRPr="00980D3E">
              <w:rPr>
                <w:rFonts w:cs="Times New Roman"/>
                <w:szCs w:val="20"/>
              </w:rPr>
              <w:t>6.2%</w:t>
            </w:r>
          </w:p>
        </w:tc>
        <w:tc>
          <w:tcPr>
            <w:tcW w:w="837" w:type="pct"/>
            <w:vMerge/>
            <w:vAlign w:val="center"/>
          </w:tcPr>
          <w:p w:rsidR="00971295" w:rsidRPr="00980D3E" w:rsidDel="0061549B" w:rsidRDefault="00971295" w:rsidP="00971295">
            <w:pPr>
              <w:pStyle w:val="TableText0"/>
              <w:jc w:val="center"/>
              <w:rPr>
                <w:szCs w:val="20"/>
              </w:rPr>
            </w:pPr>
          </w:p>
        </w:tc>
      </w:tr>
      <w:tr w:rsidR="00971295" w:rsidRPr="00980D3E" w:rsidTr="00A917C1">
        <w:trPr>
          <w:cantSplit/>
        </w:trPr>
        <w:tc>
          <w:tcPr>
            <w:tcW w:w="1412" w:type="pct"/>
          </w:tcPr>
          <w:p w:rsidR="00971295" w:rsidRPr="00980D3E" w:rsidRDefault="00971295" w:rsidP="00971295">
            <w:pPr>
              <w:pStyle w:val="TableText0"/>
              <w:rPr>
                <w:szCs w:val="20"/>
              </w:rPr>
            </w:pPr>
            <w:r w:rsidRPr="00980D3E">
              <w:rPr>
                <w:szCs w:val="20"/>
              </w:rPr>
              <w:t>% alive at 24 months (95% CI)</w:t>
            </w:r>
          </w:p>
        </w:tc>
        <w:tc>
          <w:tcPr>
            <w:tcW w:w="1100" w:type="pct"/>
            <w:tcBorders>
              <w:top w:val="single" w:sz="4" w:space="0" w:color="auto"/>
              <w:left w:val="single" w:sz="4" w:space="0" w:color="auto"/>
              <w:bottom w:val="single" w:sz="4" w:space="0" w:color="auto"/>
              <w:right w:val="single" w:sz="4" w:space="0" w:color="auto"/>
            </w:tcBorders>
            <w:vAlign w:val="center"/>
          </w:tcPr>
          <w:p w:rsidR="00971295" w:rsidRPr="00980D3E" w:rsidRDefault="00971295" w:rsidP="00971295">
            <w:pPr>
              <w:pStyle w:val="TableText0"/>
              <w:jc w:val="center"/>
              <w:rPr>
                <w:rFonts w:cs="Arial"/>
                <w:szCs w:val="20"/>
              </w:rPr>
            </w:pPr>
            <w:r w:rsidRPr="00980D3E">
              <w:rPr>
                <w:rFonts w:cs="Times New Roman"/>
                <w:szCs w:val="20"/>
              </w:rPr>
              <w:t>30.8% (23.3, 38.3)</w:t>
            </w:r>
          </w:p>
        </w:tc>
        <w:tc>
          <w:tcPr>
            <w:tcW w:w="1022" w:type="pct"/>
            <w:tcBorders>
              <w:top w:val="single" w:sz="4" w:space="0" w:color="auto"/>
              <w:left w:val="single" w:sz="4" w:space="0" w:color="auto"/>
              <w:bottom w:val="single" w:sz="4" w:space="0" w:color="auto"/>
              <w:right w:val="single" w:sz="4" w:space="0" w:color="auto"/>
            </w:tcBorders>
            <w:vAlign w:val="center"/>
          </w:tcPr>
          <w:p w:rsidR="00971295" w:rsidRPr="00980D3E" w:rsidRDefault="00971295" w:rsidP="00971295">
            <w:pPr>
              <w:pStyle w:val="TableText0"/>
              <w:jc w:val="center"/>
              <w:rPr>
                <w:rFonts w:cs="Arial"/>
                <w:szCs w:val="20"/>
              </w:rPr>
            </w:pPr>
            <w:r w:rsidRPr="00980D3E">
              <w:rPr>
                <w:rFonts w:cs="Times New Roman"/>
                <w:szCs w:val="20"/>
              </w:rPr>
              <w:t>21.0% (12.0, 30.1)</w:t>
            </w:r>
          </w:p>
        </w:tc>
        <w:tc>
          <w:tcPr>
            <w:tcW w:w="629" w:type="pct"/>
            <w:tcBorders>
              <w:top w:val="single" w:sz="4" w:space="0" w:color="auto"/>
              <w:left w:val="single" w:sz="4" w:space="0" w:color="auto"/>
              <w:bottom w:val="single" w:sz="4" w:space="0" w:color="auto"/>
            </w:tcBorders>
            <w:vAlign w:val="center"/>
          </w:tcPr>
          <w:p w:rsidR="00971295" w:rsidRPr="00980D3E" w:rsidRDefault="00445591" w:rsidP="00971295">
            <w:pPr>
              <w:pStyle w:val="TableText0"/>
              <w:jc w:val="center"/>
              <w:rPr>
                <w:rFonts w:cs="Arial"/>
                <w:szCs w:val="20"/>
              </w:rPr>
            </w:pPr>
            <w:r w:rsidRPr="00980D3E">
              <w:rPr>
                <w:rFonts w:cs="Times New Roman"/>
                <w:szCs w:val="20"/>
              </w:rPr>
              <w:t>9.8%</w:t>
            </w:r>
          </w:p>
        </w:tc>
        <w:tc>
          <w:tcPr>
            <w:tcW w:w="837" w:type="pct"/>
            <w:vMerge/>
            <w:vAlign w:val="center"/>
          </w:tcPr>
          <w:p w:rsidR="00971295" w:rsidRPr="00980D3E" w:rsidRDefault="00971295" w:rsidP="00971295">
            <w:pPr>
              <w:pStyle w:val="TableText0"/>
              <w:jc w:val="center"/>
              <w:rPr>
                <w:szCs w:val="20"/>
              </w:rPr>
            </w:pPr>
          </w:p>
        </w:tc>
      </w:tr>
      <w:tr w:rsidR="004E104C" w:rsidRPr="00980D3E" w:rsidTr="002A31B9">
        <w:trPr>
          <w:cantSplit/>
        </w:trPr>
        <w:tc>
          <w:tcPr>
            <w:tcW w:w="5000" w:type="pct"/>
            <w:gridSpan w:val="5"/>
            <w:vAlign w:val="center"/>
          </w:tcPr>
          <w:p w:rsidR="004E104C" w:rsidRPr="00980D3E" w:rsidRDefault="004E104C" w:rsidP="002A31B9">
            <w:pPr>
              <w:pStyle w:val="In-tableHeading"/>
              <w:rPr>
                <w:szCs w:val="20"/>
                <w:lang w:val="en-AU"/>
              </w:rPr>
            </w:pPr>
            <w:r w:rsidRPr="00980D3E">
              <w:rPr>
                <w:szCs w:val="20"/>
                <w:lang w:val="en-AU"/>
              </w:rPr>
              <w:t>Overall survival</w:t>
            </w:r>
            <w:r w:rsidR="00F244F2" w:rsidRPr="00980D3E">
              <w:rPr>
                <w:szCs w:val="20"/>
                <w:lang w:val="en-AU"/>
              </w:rPr>
              <w:t xml:space="preserve"> (two-stage adjustment for crossover)</w:t>
            </w:r>
          </w:p>
        </w:tc>
      </w:tr>
      <w:tr w:rsidR="00971295" w:rsidRPr="00980D3E" w:rsidTr="00A917C1">
        <w:trPr>
          <w:cantSplit/>
        </w:trPr>
        <w:tc>
          <w:tcPr>
            <w:tcW w:w="1412" w:type="pct"/>
            <w:vAlign w:val="center"/>
          </w:tcPr>
          <w:p w:rsidR="00971295" w:rsidRPr="00980D3E" w:rsidRDefault="00971295" w:rsidP="00971295">
            <w:pPr>
              <w:pStyle w:val="TableText0"/>
              <w:rPr>
                <w:szCs w:val="20"/>
              </w:rPr>
            </w:pPr>
            <w:r w:rsidRPr="00980D3E">
              <w:rPr>
                <w:szCs w:val="20"/>
              </w:rPr>
              <w:t>Deaths, n/N (%)</w:t>
            </w:r>
          </w:p>
        </w:tc>
        <w:tc>
          <w:tcPr>
            <w:tcW w:w="1100" w:type="pct"/>
            <w:tcBorders>
              <w:top w:val="single" w:sz="4" w:space="0" w:color="auto"/>
              <w:left w:val="single" w:sz="4" w:space="0" w:color="auto"/>
              <w:bottom w:val="single" w:sz="4" w:space="0" w:color="auto"/>
              <w:right w:val="single" w:sz="4" w:space="0" w:color="auto"/>
            </w:tcBorders>
            <w:vAlign w:val="center"/>
          </w:tcPr>
          <w:p w:rsidR="00971295" w:rsidRPr="00980D3E" w:rsidRDefault="00971295" w:rsidP="00971295">
            <w:pPr>
              <w:pStyle w:val="TableText0"/>
              <w:jc w:val="center"/>
              <w:rPr>
                <w:szCs w:val="20"/>
              </w:rPr>
            </w:pPr>
            <w:r w:rsidRPr="00980D3E">
              <w:rPr>
                <w:rFonts w:cs="Times New Roman"/>
                <w:szCs w:val="20"/>
              </w:rPr>
              <w:t>123/171 (71.9</w:t>
            </w:r>
            <w:r w:rsidR="00A917C1" w:rsidRPr="00980D3E">
              <w:rPr>
                <w:rFonts w:cs="Times New Roman"/>
                <w:szCs w:val="20"/>
              </w:rPr>
              <w:t>%</w:t>
            </w:r>
            <w:r w:rsidRPr="00980D3E">
              <w:rPr>
                <w:rFonts w:cs="Times New Roman"/>
                <w:szCs w:val="20"/>
              </w:rPr>
              <w:t>)</w:t>
            </w:r>
          </w:p>
        </w:tc>
        <w:tc>
          <w:tcPr>
            <w:tcW w:w="1022" w:type="pct"/>
            <w:tcBorders>
              <w:top w:val="single" w:sz="4" w:space="0" w:color="auto"/>
              <w:left w:val="single" w:sz="4" w:space="0" w:color="auto"/>
              <w:bottom w:val="single" w:sz="4" w:space="0" w:color="auto"/>
              <w:right w:val="single" w:sz="4" w:space="0" w:color="auto"/>
            </w:tcBorders>
            <w:vAlign w:val="center"/>
          </w:tcPr>
          <w:p w:rsidR="00971295" w:rsidRPr="00980D3E" w:rsidRDefault="00971295" w:rsidP="00971295">
            <w:pPr>
              <w:pStyle w:val="TableText0"/>
              <w:jc w:val="center"/>
              <w:rPr>
                <w:szCs w:val="20"/>
              </w:rPr>
            </w:pPr>
            <w:r w:rsidRPr="00980D3E">
              <w:rPr>
                <w:rFonts w:cs="Times New Roman"/>
                <w:szCs w:val="20"/>
              </w:rPr>
              <w:t>72/84 (85.7</w:t>
            </w:r>
            <w:r w:rsidR="00A917C1" w:rsidRPr="00980D3E">
              <w:rPr>
                <w:rFonts w:cs="Times New Roman"/>
                <w:szCs w:val="20"/>
              </w:rPr>
              <w:t>%</w:t>
            </w:r>
            <w:r w:rsidRPr="00980D3E">
              <w:rPr>
                <w:rFonts w:cs="Times New Roman"/>
                <w:szCs w:val="20"/>
              </w:rPr>
              <w:t>)</w:t>
            </w:r>
          </w:p>
        </w:tc>
        <w:tc>
          <w:tcPr>
            <w:tcW w:w="629" w:type="pct"/>
            <w:tcBorders>
              <w:top w:val="single" w:sz="4" w:space="0" w:color="auto"/>
              <w:left w:val="single" w:sz="4" w:space="0" w:color="auto"/>
              <w:bottom w:val="single" w:sz="4" w:space="0" w:color="auto"/>
              <w:right w:val="single" w:sz="4" w:space="0" w:color="auto"/>
            </w:tcBorders>
            <w:vAlign w:val="center"/>
          </w:tcPr>
          <w:p w:rsidR="00971295" w:rsidRPr="00980D3E" w:rsidRDefault="00971295" w:rsidP="00971295">
            <w:pPr>
              <w:pStyle w:val="TableText0"/>
              <w:jc w:val="center"/>
              <w:rPr>
                <w:szCs w:val="20"/>
              </w:rPr>
            </w:pPr>
            <w:r w:rsidRPr="00980D3E">
              <w:rPr>
                <w:rFonts w:cs="Times New Roman"/>
                <w:szCs w:val="20"/>
              </w:rPr>
              <w:t>-</w:t>
            </w:r>
          </w:p>
        </w:tc>
        <w:tc>
          <w:tcPr>
            <w:tcW w:w="837" w:type="pct"/>
            <w:vMerge w:val="restart"/>
            <w:vAlign w:val="center"/>
          </w:tcPr>
          <w:p w:rsidR="00971295" w:rsidRPr="00980D3E" w:rsidRDefault="00971295" w:rsidP="00971295">
            <w:pPr>
              <w:jc w:val="center"/>
              <w:rPr>
                <w:rFonts w:ascii="Arial Narrow" w:eastAsiaTheme="minorHAnsi" w:hAnsi="Arial Narrow" w:cstheme="minorBidi"/>
                <w:sz w:val="20"/>
                <w:szCs w:val="20"/>
              </w:rPr>
            </w:pPr>
            <w:r w:rsidRPr="00980D3E">
              <w:rPr>
                <w:rFonts w:ascii="Arial Narrow" w:eastAsiaTheme="minorHAnsi" w:hAnsi="Arial Narrow" w:cstheme="minorBidi"/>
                <w:b/>
                <w:sz w:val="20"/>
                <w:szCs w:val="20"/>
              </w:rPr>
              <w:t>0.67</w:t>
            </w:r>
            <w:r w:rsidRPr="00980D3E">
              <w:rPr>
                <w:rFonts w:ascii="Arial Narrow" w:eastAsiaTheme="minorHAnsi" w:hAnsi="Arial Narrow" w:cstheme="minorBidi"/>
                <w:sz w:val="20"/>
                <w:szCs w:val="20"/>
              </w:rPr>
              <w:t xml:space="preserve"> </w:t>
            </w:r>
          </w:p>
          <w:p w:rsidR="00971295" w:rsidRPr="00980D3E" w:rsidRDefault="00971295" w:rsidP="00971295">
            <w:pPr>
              <w:jc w:val="center"/>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(0.</w:t>
            </w:r>
            <w:r w:rsidR="00A917C1" w:rsidRPr="00980D3E">
              <w:rPr>
                <w:rFonts w:ascii="Arial Narrow" w:eastAsiaTheme="minorHAnsi" w:hAnsi="Arial Narrow" w:cstheme="minorBidi"/>
                <w:b/>
                <w:sz w:val="20"/>
                <w:szCs w:val="20"/>
              </w:rPr>
              <w:t>50</w:t>
            </w:r>
            <w:r w:rsidRPr="00980D3E">
              <w:rPr>
                <w:rFonts w:ascii="Arial Narrow" w:eastAsiaTheme="minorHAnsi" w:hAnsi="Arial Narrow" w:cstheme="minorBidi"/>
                <w:b/>
                <w:sz w:val="20"/>
                <w:szCs w:val="20"/>
              </w:rPr>
              <w:t>, 0.</w:t>
            </w:r>
            <w:r w:rsidR="00A917C1" w:rsidRPr="00980D3E">
              <w:rPr>
                <w:rFonts w:ascii="Arial Narrow" w:eastAsiaTheme="minorHAnsi" w:hAnsi="Arial Narrow" w:cstheme="minorBidi"/>
                <w:b/>
                <w:sz w:val="20"/>
                <w:szCs w:val="20"/>
              </w:rPr>
              <w:t>90)</w:t>
            </w:r>
          </w:p>
          <w:p w:rsidR="00971295" w:rsidRPr="00980D3E" w:rsidRDefault="00971295" w:rsidP="00971295">
            <w:pPr>
              <w:pStyle w:val="TableText0"/>
              <w:jc w:val="center"/>
              <w:rPr>
                <w:b/>
                <w:szCs w:val="20"/>
              </w:rPr>
            </w:pPr>
            <w:r w:rsidRPr="00980D3E">
              <w:rPr>
                <w:rFonts w:eastAsiaTheme="minorHAnsi" w:cstheme="minorBidi"/>
                <w:b/>
                <w:szCs w:val="20"/>
              </w:rPr>
              <w:t>p-value = 0.0069</w:t>
            </w:r>
          </w:p>
        </w:tc>
      </w:tr>
      <w:tr w:rsidR="00147BA0" w:rsidRPr="00980D3E" w:rsidTr="00A917C1">
        <w:trPr>
          <w:cantSplit/>
        </w:trPr>
        <w:tc>
          <w:tcPr>
            <w:tcW w:w="1412" w:type="pct"/>
            <w:vAlign w:val="center"/>
          </w:tcPr>
          <w:p w:rsidR="00147BA0" w:rsidRPr="00980D3E" w:rsidRDefault="00147BA0" w:rsidP="00724769">
            <w:pPr>
              <w:pStyle w:val="TableText0"/>
              <w:rPr>
                <w:szCs w:val="20"/>
              </w:rPr>
            </w:pPr>
            <w:r w:rsidRPr="00980D3E">
              <w:rPr>
                <w:szCs w:val="20"/>
              </w:rPr>
              <w:t>Median OS</w:t>
            </w:r>
            <w:r w:rsidR="00724769" w:rsidRPr="00980D3E">
              <w:rPr>
                <w:szCs w:val="20"/>
              </w:rPr>
              <w:t>, months</w:t>
            </w:r>
            <w:r w:rsidRPr="00980D3E">
              <w:rPr>
                <w:szCs w:val="20"/>
              </w:rPr>
              <w:t xml:space="preserve"> (95% CI)</w:t>
            </w:r>
          </w:p>
        </w:tc>
        <w:tc>
          <w:tcPr>
            <w:tcW w:w="1100" w:type="pct"/>
            <w:tcBorders>
              <w:top w:val="single" w:sz="4" w:space="0" w:color="auto"/>
              <w:left w:val="single" w:sz="4" w:space="0" w:color="auto"/>
              <w:bottom w:val="single" w:sz="4" w:space="0" w:color="auto"/>
              <w:right w:val="single" w:sz="4" w:space="0" w:color="auto"/>
            </w:tcBorders>
            <w:vAlign w:val="center"/>
          </w:tcPr>
          <w:p w:rsidR="00147BA0" w:rsidRPr="00980D3E" w:rsidRDefault="00147BA0" w:rsidP="00147BA0">
            <w:pPr>
              <w:pStyle w:val="TableText0"/>
              <w:jc w:val="center"/>
              <w:rPr>
                <w:szCs w:val="20"/>
              </w:rPr>
            </w:pPr>
            <w:r w:rsidRPr="00980D3E">
              <w:rPr>
                <w:rFonts w:cs="Times New Roman"/>
                <w:szCs w:val="20"/>
              </w:rPr>
              <w:t>11.6 (9.2, 16.1)</w:t>
            </w:r>
          </w:p>
        </w:tc>
        <w:tc>
          <w:tcPr>
            <w:tcW w:w="1022" w:type="pct"/>
            <w:tcBorders>
              <w:top w:val="single" w:sz="4" w:space="0" w:color="auto"/>
              <w:left w:val="single" w:sz="4" w:space="0" w:color="auto"/>
              <w:bottom w:val="single" w:sz="4" w:space="0" w:color="auto"/>
              <w:right w:val="single" w:sz="4" w:space="0" w:color="auto"/>
            </w:tcBorders>
            <w:vAlign w:val="center"/>
          </w:tcPr>
          <w:p w:rsidR="00147BA0" w:rsidRPr="00980D3E" w:rsidRDefault="00147BA0" w:rsidP="00147BA0">
            <w:pPr>
              <w:pStyle w:val="TableText0"/>
              <w:jc w:val="center"/>
              <w:rPr>
                <w:szCs w:val="20"/>
              </w:rPr>
            </w:pPr>
            <w:r w:rsidRPr="00980D3E">
              <w:rPr>
                <w:rFonts w:cs="Times New Roman"/>
                <w:szCs w:val="20"/>
              </w:rPr>
              <w:t>6.7 (5.7, 9.7)</w:t>
            </w:r>
          </w:p>
        </w:tc>
        <w:tc>
          <w:tcPr>
            <w:tcW w:w="629" w:type="pct"/>
            <w:tcBorders>
              <w:top w:val="single" w:sz="4" w:space="0" w:color="auto"/>
              <w:left w:val="single" w:sz="4" w:space="0" w:color="auto"/>
              <w:bottom w:val="single" w:sz="4" w:space="0" w:color="auto"/>
              <w:right w:val="single" w:sz="4" w:space="0" w:color="auto"/>
            </w:tcBorders>
            <w:vAlign w:val="center"/>
          </w:tcPr>
          <w:p w:rsidR="00147BA0" w:rsidRPr="00980D3E" w:rsidRDefault="00147BA0" w:rsidP="00147BA0">
            <w:pPr>
              <w:pStyle w:val="TableText0"/>
              <w:jc w:val="center"/>
              <w:rPr>
                <w:szCs w:val="20"/>
              </w:rPr>
            </w:pPr>
            <w:r w:rsidRPr="00980D3E">
              <w:rPr>
                <w:rFonts w:cs="Times New Roman"/>
                <w:szCs w:val="20"/>
              </w:rPr>
              <w:t>4.9</w:t>
            </w:r>
          </w:p>
        </w:tc>
        <w:tc>
          <w:tcPr>
            <w:tcW w:w="837" w:type="pct"/>
            <w:vMerge/>
            <w:vAlign w:val="center"/>
          </w:tcPr>
          <w:p w:rsidR="00147BA0" w:rsidRPr="00980D3E" w:rsidRDefault="00147BA0" w:rsidP="00147BA0">
            <w:pPr>
              <w:pStyle w:val="TableText0"/>
              <w:jc w:val="center"/>
              <w:rPr>
                <w:szCs w:val="20"/>
              </w:rPr>
            </w:pPr>
          </w:p>
        </w:tc>
      </w:tr>
      <w:tr w:rsidR="00147BA0" w:rsidRPr="00980D3E" w:rsidTr="00A917C1">
        <w:trPr>
          <w:cantSplit/>
        </w:trPr>
        <w:tc>
          <w:tcPr>
            <w:tcW w:w="1412" w:type="pct"/>
          </w:tcPr>
          <w:p w:rsidR="00147BA0" w:rsidRPr="00980D3E" w:rsidRDefault="00147BA0" w:rsidP="00147BA0">
            <w:pPr>
              <w:pStyle w:val="TableText0"/>
              <w:rPr>
                <w:szCs w:val="20"/>
              </w:rPr>
            </w:pPr>
            <w:r w:rsidRPr="00980D3E">
              <w:rPr>
                <w:szCs w:val="20"/>
              </w:rPr>
              <w:t>% alive at 12 months (95% CI)</w:t>
            </w:r>
          </w:p>
        </w:tc>
        <w:tc>
          <w:tcPr>
            <w:tcW w:w="1100" w:type="pct"/>
            <w:tcBorders>
              <w:top w:val="single" w:sz="4" w:space="0" w:color="auto"/>
              <w:left w:val="single" w:sz="4" w:space="0" w:color="auto"/>
              <w:bottom w:val="single" w:sz="4" w:space="0" w:color="auto"/>
              <w:right w:val="single" w:sz="4" w:space="0" w:color="auto"/>
            </w:tcBorders>
            <w:vAlign w:val="center"/>
          </w:tcPr>
          <w:p w:rsidR="00147BA0" w:rsidRPr="00980D3E" w:rsidRDefault="00147BA0" w:rsidP="00147BA0">
            <w:pPr>
              <w:pStyle w:val="TableText0"/>
              <w:jc w:val="center"/>
              <w:rPr>
                <w:rFonts w:cs="Arial"/>
                <w:szCs w:val="20"/>
              </w:rPr>
            </w:pPr>
            <w:r w:rsidRPr="00980D3E">
              <w:rPr>
                <w:rFonts w:cs="Times New Roman"/>
                <w:szCs w:val="20"/>
              </w:rPr>
              <w:t>48.3% (40.4, 56.2)</w:t>
            </w:r>
          </w:p>
        </w:tc>
        <w:tc>
          <w:tcPr>
            <w:tcW w:w="1022" w:type="pct"/>
            <w:tcBorders>
              <w:top w:val="single" w:sz="4" w:space="0" w:color="auto"/>
              <w:left w:val="single" w:sz="4" w:space="0" w:color="auto"/>
              <w:bottom w:val="single" w:sz="4" w:space="0" w:color="auto"/>
              <w:right w:val="single" w:sz="4" w:space="0" w:color="auto"/>
            </w:tcBorders>
            <w:vAlign w:val="center"/>
          </w:tcPr>
          <w:p w:rsidR="00147BA0" w:rsidRPr="00980D3E" w:rsidRDefault="00656F4A" w:rsidP="00656F4A">
            <w:pPr>
              <w:pStyle w:val="TableText0"/>
              <w:jc w:val="center"/>
              <w:rPr>
                <w:rFonts w:cs="Arial"/>
                <w:szCs w:val="20"/>
              </w:rPr>
            </w:pPr>
            <w:r w:rsidRPr="00980D3E">
              <w:rPr>
                <w:rFonts w:cs="Times New Roman"/>
                <w:szCs w:val="20"/>
              </w:rPr>
              <w:t>32.9% (22.5,43.2)</w:t>
            </w:r>
          </w:p>
        </w:tc>
        <w:tc>
          <w:tcPr>
            <w:tcW w:w="629" w:type="pct"/>
            <w:tcBorders>
              <w:top w:val="single" w:sz="4" w:space="0" w:color="auto"/>
              <w:left w:val="single" w:sz="4" w:space="0" w:color="auto"/>
              <w:bottom w:val="single" w:sz="4" w:space="0" w:color="auto"/>
              <w:right w:val="single" w:sz="4" w:space="0" w:color="auto"/>
            </w:tcBorders>
            <w:vAlign w:val="center"/>
          </w:tcPr>
          <w:p w:rsidR="00147BA0" w:rsidRPr="00980D3E" w:rsidRDefault="00471965" w:rsidP="00147BA0">
            <w:pPr>
              <w:pStyle w:val="TableText0"/>
              <w:jc w:val="center"/>
              <w:rPr>
                <w:rFonts w:cs="Arial"/>
                <w:szCs w:val="20"/>
              </w:rPr>
            </w:pPr>
            <w:r w:rsidRPr="00980D3E">
              <w:rPr>
                <w:rFonts w:cs="Arial"/>
                <w:szCs w:val="20"/>
              </w:rPr>
              <w:t>15.4%</w:t>
            </w:r>
          </w:p>
        </w:tc>
        <w:tc>
          <w:tcPr>
            <w:tcW w:w="837" w:type="pct"/>
            <w:vMerge/>
            <w:vAlign w:val="center"/>
          </w:tcPr>
          <w:p w:rsidR="00147BA0" w:rsidRPr="00980D3E" w:rsidRDefault="00147BA0" w:rsidP="00147BA0">
            <w:pPr>
              <w:pStyle w:val="TableText0"/>
              <w:jc w:val="center"/>
              <w:rPr>
                <w:rFonts w:cs="Arial"/>
                <w:szCs w:val="20"/>
              </w:rPr>
            </w:pPr>
          </w:p>
        </w:tc>
      </w:tr>
      <w:tr w:rsidR="00147BA0" w:rsidRPr="00980D3E" w:rsidTr="00A917C1">
        <w:trPr>
          <w:cantSplit/>
        </w:trPr>
        <w:tc>
          <w:tcPr>
            <w:tcW w:w="1412" w:type="pct"/>
          </w:tcPr>
          <w:p w:rsidR="00147BA0" w:rsidRPr="00980D3E" w:rsidRDefault="00147BA0" w:rsidP="00147BA0">
            <w:pPr>
              <w:pStyle w:val="TableText0"/>
              <w:rPr>
                <w:szCs w:val="20"/>
              </w:rPr>
            </w:pPr>
            <w:r w:rsidRPr="00980D3E">
              <w:rPr>
                <w:szCs w:val="20"/>
              </w:rPr>
              <w:t>% alive at 24 months (95% CI)</w:t>
            </w:r>
          </w:p>
        </w:tc>
        <w:tc>
          <w:tcPr>
            <w:tcW w:w="1100" w:type="pct"/>
            <w:tcBorders>
              <w:top w:val="single" w:sz="4" w:space="0" w:color="auto"/>
              <w:left w:val="single" w:sz="4" w:space="0" w:color="auto"/>
              <w:bottom w:val="single" w:sz="4" w:space="0" w:color="auto"/>
              <w:right w:val="single" w:sz="4" w:space="0" w:color="auto"/>
            </w:tcBorders>
            <w:vAlign w:val="center"/>
          </w:tcPr>
          <w:p w:rsidR="00147BA0" w:rsidRPr="00980D3E" w:rsidRDefault="00147BA0" w:rsidP="00147BA0">
            <w:pPr>
              <w:pStyle w:val="TableText0"/>
              <w:jc w:val="center"/>
              <w:rPr>
                <w:rFonts w:cs="Arial"/>
                <w:szCs w:val="20"/>
              </w:rPr>
            </w:pPr>
            <w:r w:rsidRPr="00980D3E">
              <w:rPr>
                <w:rFonts w:cs="Arial"/>
                <w:szCs w:val="20"/>
              </w:rPr>
              <w:t>30.8% (23.3, 38.3)</w:t>
            </w:r>
          </w:p>
        </w:tc>
        <w:tc>
          <w:tcPr>
            <w:tcW w:w="1022" w:type="pct"/>
            <w:tcBorders>
              <w:top w:val="single" w:sz="4" w:space="0" w:color="auto"/>
              <w:left w:val="single" w:sz="4" w:space="0" w:color="auto"/>
              <w:bottom w:val="single" w:sz="4" w:space="0" w:color="auto"/>
              <w:right w:val="single" w:sz="4" w:space="0" w:color="auto"/>
            </w:tcBorders>
            <w:vAlign w:val="center"/>
          </w:tcPr>
          <w:p w:rsidR="00147BA0" w:rsidRPr="00980D3E" w:rsidRDefault="00147BA0" w:rsidP="00147BA0">
            <w:pPr>
              <w:pStyle w:val="TableText0"/>
              <w:jc w:val="center"/>
              <w:rPr>
                <w:rFonts w:cs="Arial"/>
                <w:szCs w:val="20"/>
              </w:rPr>
            </w:pPr>
            <w:r w:rsidRPr="00980D3E">
              <w:rPr>
                <w:rFonts w:cs="Arial"/>
                <w:szCs w:val="20"/>
              </w:rPr>
              <w:t>13.4% (5.5, 21.3)</w:t>
            </w:r>
          </w:p>
        </w:tc>
        <w:tc>
          <w:tcPr>
            <w:tcW w:w="629" w:type="pct"/>
            <w:tcBorders>
              <w:top w:val="single" w:sz="4" w:space="0" w:color="auto"/>
              <w:left w:val="single" w:sz="4" w:space="0" w:color="auto"/>
              <w:bottom w:val="single" w:sz="4" w:space="0" w:color="auto"/>
              <w:right w:val="single" w:sz="4" w:space="0" w:color="auto"/>
            </w:tcBorders>
            <w:vAlign w:val="center"/>
          </w:tcPr>
          <w:p w:rsidR="00147BA0" w:rsidRPr="00980D3E" w:rsidRDefault="00471965" w:rsidP="00147BA0">
            <w:pPr>
              <w:pStyle w:val="TableText0"/>
              <w:jc w:val="center"/>
              <w:rPr>
                <w:rFonts w:cs="Arial"/>
                <w:szCs w:val="20"/>
              </w:rPr>
            </w:pPr>
            <w:r w:rsidRPr="00980D3E">
              <w:rPr>
                <w:rFonts w:cs="Times New Roman"/>
                <w:szCs w:val="20"/>
              </w:rPr>
              <w:t>17.4%</w:t>
            </w:r>
          </w:p>
        </w:tc>
        <w:tc>
          <w:tcPr>
            <w:tcW w:w="837" w:type="pct"/>
            <w:vMerge/>
            <w:vAlign w:val="center"/>
          </w:tcPr>
          <w:p w:rsidR="00147BA0" w:rsidRPr="00980D3E" w:rsidRDefault="00147BA0" w:rsidP="00147BA0">
            <w:pPr>
              <w:pStyle w:val="TableText0"/>
              <w:jc w:val="center"/>
              <w:rPr>
                <w:rFonts w:cs="Arial"/>
                <w:szCs w:val="20"/>
              </w:rPr>
            </w:pPr>
          </w:p>
        </w:tc>
      </w:tr>
    </w:tbl>
    <w:p w:rsidR="00971295" w:rsidRPr="00980D3E" w:rsidRDefault="00971295" w:rsidP="00D443C2">
      <w:pPr>
        <w:pStyle w:val="TableFigureFooter"/>
        <w:rPr>
          <w:sz w:val="20"/>
        </w:rPr>
      </w:pPr>
      <w:r w:rsidRPr="00980D3E">
        <w:t xml:space="preserve">Source: Table 30, p105; Table 34, p112; Table 68, p175 of the resubmission; </w:t>
      </w:r>
      <w:bookmarkStart w:id="24" w:name="_Hlk25931393"/>
      <w:r w:rsidRPr="00980D3E">
        <w:t>Table 8, p75 of ADMYRE CSR addendum</w:t>
      </w:r>
      <w:r w:rsidR="000C487E" w:rsidRPr="00980D3E">
        <w:rPr>
          <w:i/>
        </w:rPr>
        <w:t>.</w:t>
      </w:r>
      <w:r w:rsidRPr="00980D3E">
        <w:rPr>
          <w:i/>
        </w:rPr>
        <w:t xml:space="preserve"> </w:t>
      </w:r>
      <w:bookmarkEnd w:id="24"/>
    </w:p>
    <w:p w:rsidR="004E104C" w:rsidRPr="00980D3E" w:rsidRDefault="00971295" w:rsidP="00D443C2">
      <w:pPr>
        <w:pStyle w:val="TableFigureFooter"/>
      </w:pPr>
      <w:r w:rsidRPr="00980D3E">
        <w:t xml:space="preserve">CI = confidence interval; </w:t>
      </w:r>
      <w:r w:rsidR="00C50AE9" w:rsidRPr="00980D3E">
        <w:t>Dxm</w:t>
      </w:r>
      <w:r w:rsidRPr="00980D3E">
        <w:t xml:space="preserve"> = dexamethasone; </w:t>
      </w:r>
      <w:r w:rsidR="000C487E" w:rsidRPr="00980D3E">
        <w:t xml:space="preserve">HR </w:t>
      </w:r>
      <w:r w:rsidRPr="00980D3E">
        <w:t>= hazard ratio; ITT = intention to treat; OS = overall survival</w:t>
      </w:r>
      <w:r w:rsidR="001311B5" w:rsidRPr="00980D3E">
        <w:t xml:space="preserve">; </w:t>
      </w:r>
      <w:r w:rsidR="003D16F0" w:rsidRPr="00980D3E">
        <w:rPr>
          <w:b/>
        </w:rPr>
        <w:t>b</w:t>
      </w:r>
      <w:r w:rsidR="00404D03" w:rsidRPr="00980D3E">
        <w:rPr>
          <w:b/>
        </w:rPr>
        <w:t>old</w:t>
      </w:r>
      <w:r w:rsidR="00404D03" w:rsidRPr="00980D3E">
        <w:t xml:space="preserve"> = statistically significant</w:t>
      </w:r>
      <w:r w:rsidR="009439A6" w:rsidRPr="00980D3E">
        <w:t>.</w:t>
      </w:r>
    </w:p>
    <w:p w:rsidR="00EE31C4" w:rsidRPr="00980D3E" w:rsidRDefault="00EE31C4" w:rsidP="00D443C2">
      <w:pPr>
        <w:pStyle w:val="TableHeading"/>
        <w:rPr>
          <w:szCs w:val="16"/>
          <w:lang w:eastAsia="en-US"/>
        </w:rPr>
      </w:pPr>
      <w:bookmarkStart w:id="25" w:name="_Ref33524473"/>
      <w:r w:rsidRPr="00980D3E">
        <w:rPr>
          <w:lang w:eastAsia="en-US"/>
        </w:rPr>
        <w:lastRenderedPageBreak/>
        <w:t xml:space="preserve">Figure </w:t>
      </w:r>
      <w:r w:rsidR="00820C9B" w:rsidRPr="00980D3E">
        <w:rPr>
          <w:lang w:eastAsia="en-US"/>
        </w:rPr>
        <w:t>2</w:t>
      </w:r>
      <w:bookmarkEnd w:id="25"/>
      <w:r w:rsidRPr="00980D3E">
        <w:rPr>
          <w:lang w:eastAsia="en-US"/>
        </w:rPr>
        <w:t xml:space="preserve">: </w:t>
      </w:r>
      <w:r w:rsidRPr="00980D3E">
        <w:rPr>
          <w:szCs w:val="16"/>
          <w:lang w:eastAsia="en-US"/>
        </w:rPr>
        <w:t>Kaplan-Meier curves of OS, the ADMYRE trial</w:t>
      </w:r>
    </w:p>
    <w:tbl>
      <w:tblPr>
        <w:tblStyle w:val="TableGrid"/>
        <w:tblW w:w="0" w:type="auto"/>
        <w:tblInd w:w="-5" w:type="dxa"/>
        <w:tblCellMar>
          <w:left w:w="0" w:type="dxa"/>
          <w:right w:w="0" w:type="dxa"/>
        </w:tblCellMar>
        <w:tblLook w:val="04A0" w:firstRow="1" w:lastRow="0" w:firstColumn="1" w:lastColumn="0" w:noHBand="0" w:noVBand="1"/>
        <w:tblCaption w:val="Figure 2: Kaplan-Meier curves of OS, the ADMYRE trial"/>
      </w:tblPr>
      <w:tblGrid>
        <w:gridCol w:w="6760"/>
      </w:tblGrid>
      <w:tr w:rsidR="005B0754" w:rsidRPr="00980D3E" w:rsidTr="00A26ED5">
        <w:trPr>
          <w:trHeight w:val="230"/>
          <w:tblHeader/>
        </w:trPr>
        <w:tc>
          <w:tcPr>
            <w:tcW w:w="6760" w:type="dxa"/>
          </w:tcPr>
          <w:p w:rsidR="00EE31C4" w:rsidRPr="00980D3E" w:rsidRDefault="00EE31C4" w:rsidP="002A31B9">
            <w:pPr>
              <w:pStyle w:val="TableText0"/>
              <w:rPr>
                <w:b/>
              </w:rPr>
            </w:pPr>
            <w:r w:rsidRPr="00980D3E">
              <w:rPr>
                <w:b/>
              </w:rPr>
              <w:t>OS (ITT population)</w:t>
            </w:r>
          </w:p>
        </w:tc>
      </w:tr>
      <w:tr w:rsidR="005B0754" w:rsidRPr="00980D3E" w:rsidTr="00F56928">
        <w:trPr>
          <w:trHeight w:val="4021"/>
        </w:trPr>
        <w:tc>
          <w:tcPr>
            <w:tcW w:w="6760" w:type="dxa"/>
          </w:tcPr>
          <w:p w:rsidR="00EE31C4" w:rsidRPr="00980D3E" w:rsidRDefault="008D58F4" w:rsidP="002A31B9">
            <w:pPr>
              <w:pStyle w:val="3-BodyText"/>
              <w:numPr>
                <w:ilvl w:val="0"/>
                <w:numId w:val="0"/>
              </w:numPr>
            </w:pPr>
            <w:r w:rsidRPr="00980D3E">
              <w:rPr>
                <w:noProof/>
              </w:rPr>
              <w:drawing>
                <wp:inline distT="0" distB="0" distL="0" distR="0" wp14:anchorId="7BED54DE" wp14:editId="0378E3A3">
                  <wp:extent cx="4233605" cy="2991916"/>
                  <wp:effectExtent l="0" t="0" r="0" b="0"/>
                  <wp:docPr id="29" name="Picture 29" title="OS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6561" cy="3015206"/>
                          </a:xfrm>
                          <a:prstGeom prst="rect">
                            <a:avLst/>
                          </a:prstGeom>
                          <a:noFill/>
                        </pic:spPr>
                      </pic:pic>
                    </a:graphicData>
                  </a:graphic>
                </wp:inline>
              </w:drawing>
            </w:r>
          </w:p>
        </w:tc>
      </w:tr>
    </w:tbl>
    <w:p w:rsidR="00F56928" w:rsidRPr="00980D3E" w:rsidRDefault="00F56928" w:rsidP="00EE31C4">
      <w:pPr>
        <w:pStyle w:val="TableFigureFooter"/>
        <w:rPr>
          <w:sz w:val="20"/>
        </w:rPr>
      </w:pPr>
    </w:p>
    <w:tbl>
      <w:tblPr>
        <w:tblStyle w:val="TableGrid"/>
        <w:tblW w:w="0" w:type="auto"/>
        <w:tblLook w:val="04A0" w:firstRow="1" w:lastRow="0" w:firstColumn="1" w:lastColumn="0" w:noHBand="0" w:noVBand="1"/>
        <w:tblCaption w:val="Figure 2: Kaplan-Meier curves of OS, the ADMYRE trial"/>
      </w:tblPr>
      <w:tblGrid>
        <w:gridCol w:w="6799"/>
      </w:tblGrid>
      <w:tr w:rsidR="00F56928" w:rsidRPr="00980D3E" w:rsidTr="00F56928">
        <w:trPr>
          <w:tblHeader/>
        </w:trPr>
        <w:tc>
          <w:tcPr>
            <w:tcW w:w="6799" w:type="dxa"/>
          </w:tcPr>
          <w:p w:rsidR="00F56928" w:rsidRPr="00980D3E" w:rsidRDefault="00F56928" w:rsidP="00A917C1">
            <w:pPr>
              <w:pStyle w:val="TableFigureFooter"/>
              <w:spacing w:after="0"/>
              <w:rPr>
                <w:sz w:val="20"/>
              </w:rPr>
            </w:pPr>
            <w:r w:rsidRPr="00980D3E">
              <w:rPr>
                <w:b/>
                <w:sz w:val="20"/>
              </w:rPr>
              <w:t>OS (two-stage adjustment for crossover)</w:t>
            </w:r>
          </w:p>
        </w:tc>
      </w:tr>
      <w:tr w:rsidR="00F56928" w:rsidRPr="00980D3E" w:rsidTr="00F56928">
        <w:trPr>
          <w:tblHeader/>
        </w:trPr>
        <w:tc>
          <w:tcPr>
            <w:tcW w:w="6799" w:type="dxa"/>
          </w:tcPr>
          <w:p w:rsidR="00F56928" w:rsidRPr="00980D3E" w:rsidRDefault="00F56928" w:rsidP="00EE31C4">
            <w:pPr>
              <w:pStyle w:val="TableFigureFooter"/>
            </w:pPr>
            <w:r w:rsidRPr="00980D3E">
              <w:rPr>
                <w:rFonts w:ascii="Cambria" w:hAnsi="Cambria" w:cs="Times New Roman"/>
                <w:noProof/>
                <w:snapToGrid/>
                <w:sz w:val="22"/>
              </w:rPr>
              <w:drawing>
                <wp:inline distT="0" distB="0" distL="0" distR="0" wp14:anchorId="6FCCE44B" wp14:editId="30BEFF77">
                  <wp:extent cx="4125432" cy="3064419"/>
                  <wp:effectExtent l="0" t="0" r="8890" b="3175"/>
                  <wp:docPr id="15" name="Picture 15" title="OS (two-stage adjustment for cross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62766" cy="3092151"/>
                          </a:xfrm>
                          <a:prstGeom prst="rect">
                            <a:avLst/>
                          </a:prstGeom>
                          <a:noFill/>
                        </pic:spPr>
                      </pic:pic>
                    </a:graphicData>
                  </a:graphic>
                </wp:inline>
              </w:drawing>
            </w:r>
          </w:p>
        </w:tc>
      </w:tr>
    </w:tbl>
    <w:p w:rsidR="00EE31C4" w:rsidRPr="00980D3E" w:rsidRDefault="00EE31C4" w:rsidP="006370AB">
      <w:pPr>
        <w:pStyle w:val="TableFigureFooter"/>
        <w:jc w:val="left"/>
      </w:pPr>
      <w:r w:rsidRPr="00980D3E">
        <w:t xml:space="preserve">Source: Figure </w:t>
      </w:r>
      <w:r w:rsidR="008D58F4" w:rsidRPr="00980D3E">
        <w:t>25</w:t>
      </w:r>
      <w:r w:rsidRPr="00980D3E">
        <w:t>, p1</w:t>
      </w:r>
      <w:r w:rsidR="008D58F4" w:rsidRPr="00980D3E">
        <w:t>05</w:t>
      </w:r>
      <w:r w:rsidRPr="00980D3E">
        <w:t xml:space="preserve">; Figure </w:t>
      </w:r>
      <w:r w:rsidR="008D58F4" w:rsidRPr="00980D3E">
        <w:t>29,</w:t>
      </w:r>
      <w:r w:rsidRPr="00980D3E">
        <w:t xml:space="preserve"> p</w:t>
      </w:r>
      <w:r w:rsidR="008D58F4" w:rsidRPr="00980D3E">
        <w:t>112</w:t>
      </w:r>
      <w:r w:rsidRPr="00980D3E">
        <w:t xml:space="preserve"> of the resubmission </w:t>
      </w:r>
    </w:p>
    <w:p w:rsidR="004E104C" w:rsidRPr="00980D3E" w:rsidRDefault="00EE31C4" w:rsidP="006370AB">
      <w:pPr>
        <w:pStyle w:val="TableFigureFooter"/>
        <w:jc w:val="left"/>
      </w:pPr>
      <w:r w:rsidRPr="00980D3E">
        <w:rPr>
          <w:szCs w:val="18"/>
        </w:rPr>
        <w:t>A = plitidepsin + dexamethasone treatment arm; B = dexamethasone monotherapy treatment arm; C = censored patients in each arm; ITT = intention to treat; N = total patients in each arm; OS = overall survival</w:t>
      </w:r>
    </w:p>
    <w:p w:rsidR="00797817" w:rsidRPr="00980D3E" w:rsidRDefault="00161269" w:rsidP="00797817">
      <w:pPr>
        <w:pStyle w:val="3-BodyText"/>
      </w:pPr>
      <w:r w:rsidRPr="00980D3E">
        <w:t>The resubmission highlighted that at 24 months</w:t>
      </w:r>
      <w:r w:rsidR="007C045E" w:rsidRPr="00980D3E">
        <w:t xml:space="preserve"> and when applying the two-stage analysis</w:t>
      </w:r>
      <w:r w:rsidRPr="00980D3E">
        <w:t xml:space="preserve">, </w:t>
      </w:r>
      <w:r w:rsidR="007C045E" w:rsidRPr="00980D3E">
        <w:t xml:space="preserve">patients in </w:t>
      </w:r>
      <w:r w:rsidRPr="00980D3E">
        <w:t>the plitidepsin</w:t>
      </w:r>
      <w:r w:rsidR="007C045E" w:rsidRPr="00980D3E">
        <w:t xml:space="preserve"> + Dxm arm</w:t>
      </w:r>
      <w:r w:rsidRPr="00980D3E">
        <w:t xml:space="preserve"> </w:t>
      </w:r>
      <w:r w:rsidR="007C045E" w:rsidRPr="00980D3E">
        <w:t>were more than twice as likely to be alive compared to patients in the</w:t>
      </w:r>
      <w:r w:rsidRPr="00980D3E">
        <w:t xml:space="preserve"> </w:t>
      </w:r>
      <w:r w:rsidR="00C50AE9" w:rsidRPr="00980D3E">
        <w:t>Dxm</w:t>
      </w:r>
      <w:r w:rsidRPr="00980D3E">
        <w:t xml:space="preserve"> </w:t>
      </w:r>
      <w:r w:rsidR="007C045E" w:rsidRPr="00980D3E">
        <w:t xml:space="preserve">monotherapy </w:t>
      </w:r>
      <w:r w:rsidRPr="00980D3E">
        <w:t xml:space="preserve">arm (30.8% </w:t>
      </w:r>
      <w:r w:rsidR="00BA49B2" w:rsidRPr="00980D3E">
        <w:t>versus</w:t>
      </w:r>
      <w:r w:rsidRPr="00980D3E">
        <w:t xml:space="preserve"> 13.4%). The resubmission considered that this difference was maintained at 36 months </w:t>
      </w:r>
      <w:r w:rsidR="000D206D" w:rsidRPr="00980D3E">
        <w:t xml:space="preserve">when </w:t>
      </w:r>
      <w:r w:rsidRPr="00980D3E">
        <w:t>8.2%</w:t>
      </w:r>
      <w:r w:rsidR="000D206D" w:rsidRPr="00980D3E">
        <w:t xml:space="preserve"> </w:t>
      </w:r>
      <w:r w:rsidR="000D206D" w:rsidRPr="00980D3E">
        <w:lastRenderedPageBreak/>
        <w:t>of plitidepsin</w:t>
      </w:r>
      <w:r w:rsidRPr="00980D3E">
        <w:t xml:space="preserve"> patients and 4.8%</w:t>
      </w:r>
      <w:r w:rsidR="000D206D" w:rsidRPr="00980D3E">
        <w:t xml:space="preserve"> of </w:t>
      </w:r>
      <w:r w:rsidRPr="00980D3E">
        <w:t xml:space="preserve">dexamethasone patients remained </w:t>
      </w:r>
      <w:r w:rsidR="007C045E" w:rsidRPr="00980D3E">
        <w:t>alive</w:t>
      </w:r>
      <w:r w:rsidRPr="00980D3E">
        <w:t xml:space="preserve">. The Kaplan-Meier curve for plitidepsin </w:t>
      </w:r>
      <w:r w:rsidR="007C045E" w:rsidRPr="00980D3E">
        <w:t xml:space="preserve">+ Dxm </w:t>
      </w:r>
      <w:r w:rsidRPr="00980D3E">
        <w:t xml:space="preserve">at 36 months </w:t>
      </w:r>
      <w:r w:rsidR="007C045E" w:rsidRPr="00980D3E">
        <w:t xml:space="preserve">was likely to be highly unstable </w:t>
      </w:r>
      <w:r w:rsidRPr="00980D3E">
        <w:t>due to substantial censoring between 24 and 36 months.</w:t>
      </w:r>
      <w:r w:rsidR="000D206D" w:rsidRPr="00980D3E">
        <w:t xml:space="preserve"> </w:t>
      </w:r>
    </w:p>
    <w:p w:rsidR="0071549F" w:rsidRPr="00980D3E" w:rsidRDefault="00692438" w:rsidP="0071549F">
      <w:pPr>
        <w:pStyle w:val="3-BodyText"/>
        <w:numPr>
          <w:ilvl w:val="0"/>
          <w:numId w:val="0"/>
        </w:numPr>
      </w:pPr>
      <w:r w:rsidRPr="00980D3E">
        <w:rPr>
          <w:u w:val="single"/>
        </w:rPr>
        <w:t xml:space="preserve">Pomalidomide + </w:t>
      </w:r>
      <w:r w:rsidR="00C50AE9" w:rsidRPr="00980D3E">
        <w:rPr>
          <w:u w:val="single"/>
        </w:rPr>
        <w:t>Dxm</w:t>
      </w:r>
      <w:r w:rsidRPr="00980D3E">
        <w:rPr>
          <w:u w:val="single"/>
        </w:rPr>
        <w:t xml:space="preserve"> </w:t>
      </w:r>
      <w:r w:rsidR="006E0F16" w:rsidRPr="00980D3E">
        <w:rPr>
          <w:u w:val="single"/>
        </w:rPr>
        <w:t>versus</w:t>
      </w:r>
      <w:r w:rsidRPr="00980D3E">
        <w:rPr>
          <w:u w:val="single"/>
        </w:rPr>
        <w:t xml:space="preserve"> </w:t>
      </w:r>
      <w:r w:rsidR="007C045E" w:rsidRPr="00980D3E">
        <w:rPr>
          <w:u w:val="single"/>
        </w:rPr>
        <w:t>HI-</w:t>
      </w:r>
      <w:r w:rsidR="00C50AE9" w:rsidRPr="00980D3E">
        <w:rPr>
          <w:u w:val="single"/>
        </w:rPr>
        <w:t>Dxm</w:t>
      </w:r>
      <w:r w:rsidRPr="00980D3E">
        <w:rPr>
          <w:u w:val="single"/>
        </w:rPr>
        <w:t>: the NIMBUS trial</w:t>
      </w:r>
    </w:p>
    <w:p w:rsidR="00CD16C9" w:rsidRPr="00980D3E" w:rsidRDefault="00C75BE3" w:rsidP="00820C9B">
      <w:pPr>
        <w:pStyle w:val="3-BodyText"/>
      </w:pPr>
      <w:r w:rsidRPr="00980D3E">
        <w:t xml:space="preserve">The key clinical effectiveness results for the NIMBUS trial are presented in </w:t>
      </w:r>
      <w:r w:rsidR="00820C9B" w:rsidRPr="00980D3E">
        <w:t>Table 8</w:t>
      </w:r>
      <w:r w:rsidR="00CD16C9" w:rsidRPr="00980D3E">
        <w:t xml:space="preserve">. These results were unchanged from the previous submission. </w:t>
      </w:r>
      <w:r w:rsidR="00651372" w:rsidRPr="00980D3E">
        <w:t>The PBAC previously favoured the use of the two-stage method for crossover adjustment in the NIMBUS trial (</w:t>
      </w:r>
      <w:r w:rsidR="00534072" w:rsidRPr="00980D3E">
        <w:t>paragraph</w:t>
      </w:r>
      <w:r w:rsidR="00651372" w:rsidRPr="00980D3E">
        <w:t xml:space="preserve"> 7.7, pomalidomide </w:t>
      </w:r>
      <w:r w:rsidR="00534072" w:rsidRPr="00980D3E">
        <w:t>P</w:t>
      </w:r>
      <w:r w:rsidR="00A917C1" w:rsidRPr="00980D3E">
        <w:t>SD</w:t>
      </w:r>
      <w:r w:rsidR="00651372" w:rsidRPr="00980D3E">
        <w:t>, July 2014 PBAC meeting).</w:t>
      </w:r>
    </w:p>
    <w:p w:rsidR="00CD16C9" w:rsidRPr="00980D3E" w:rsidRDefault="00CD16C9" w:rsidP="00D443C2">
      <w:pPr>
        <w:pStyle w:val="TableHeading"/>
      </w:pPr>
      <w:bookmarkStart w:id="26" w:name="_Ref33524513"/>
      <w:r w:rsidRPr="00980D3E">
        <w:t xml:space="preserve">Table </w:t>
      </w:r>
      <w:r w:rsidR="00820C9B" w:rsidRPr="00980D3E">
        <w:t>8</w:t>
      </w:r>
      <w:bookmarkEnd w:id="26"/>
      <w:r w:rsidRPr="00980D3E">
        <w:t>:  Summary of key survival outcomes in the NIMBUS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850"/>
        <w:gridCol w:w="1558"/>
        <w:gridCol w:w="851"/>
        <w:gridCol w:w="1558"/>
        <w:gridCol w:w="1134"/>
        <w:gridCol w:w="1509"/>
      </w:tblGrid>
      <w:tr w:rsidR="00A917C1" w:rsidRPr="00980D3E" w:rsidTr="00D443C2">
        <w:trPr>
          <w:tblHeader/>
        </w:trPr>
        <w:tc>
          <w:tcPr>
            <w:tcW w:w="863" w:type="pct"/>
            <w:vMerge w:val="restart"/>
            <w:tcBorders>
              <w:top w:val="single" w:sz="4" w:space="0" w:color="auto"/>
              <w:left w:val="single" w:sz="4" w:space="0" w:color="auto"/>
              <w:right w:val="single" w:sz="4" w:space="0" w:color="auto"/>
            </w:tcBorders>
            <w:vAlign w:val="center"/>
            <w:hideMark/>
          </w:tcPr>
          <w:p w:rsidR="00A917C1" w:rsidRPr="00980D3E" w:rsidRDefault="00A917C1" w:rsidP="006E0F16">
            <w:pPr>
              <w:pStyle w:val="Tabletext"/>
              <w:keepNext/>
              <w:rPr>
                <w:b/>
              </w:rPr>
            </w:pPr>
          </w:p>
        </w:tc>
        <w:tc>
          <w:tcPr>
            <w:tcW w:w="1335" w:type="pct"/>
            <w:gridSpan w:val="2"/>
            <w:tcBorders>
              <w:top w:val="single" w:sz="4" w:space="0" w:color="auto"/>
              <w:left w:val="single" w:sz="4" w:space="0" w:color="auto"/>
              <w:bottom w:val="single" w:sz="4" w:space="0" w:color="auto"/>
              <w:right w:val="single" w:sz="4" w:space="0" w:color="auto"/>
            </w:tcBorders>
            <w:vAlign w:val="center"/>
            <w:hideMark/>
          </w:tcPr>
          <w:p w:rsidR="00A917C1" w:rsidRPr="00980D3E" w:rsidRDefault="00A917C1" w:rsidP="006E0F16">
            <w:pPr>
              <w:pStyle w:val="Tabletext"/>
              <w:keepNext/>
              <w:jc w:val="center"/>
              <w:rPr>
                <w:b/>
              </w:rPr>
            </w:pPr>
            <w:r w:rsidRPr="00980D3E">
              <w:rPr>
                <w:b/>
                <w:szCs w:val="20"/>
              </w:rPr>
              <w:t>Pomalidomide + Dxm</w:t>
            </w:r>
          </w:p>
        </w:tc>
        <w:tc>
          <w:tcPr>
            <w:tcW w:w="1336" w:type="pct"/>
            <w:gridSpan w:val="2"/>
            <w:tcBorders>
              <w:top w:val="single" w:sz="4" w:space="0" w:color="auto"/>
              <w:left w:val="single" w:sz="4" w:space="0" w:color="auto"/>
              <w:bottom w:val="single" w:sz="4" w:space="0" w:color="auto"/>
              <w:right w:val="single" w:sz="4" w:space="0" w:color="auto"/>
            </w:tcBorders>
            <w:vAlign w:val="center"/>
            <w:hideMark/>
          </w:tcPr>
          <w:p w:rsidR="00A917C1" w:rsidRPr="00980D3E" w:rsidRDefault="00A917C1" w:rsidP="006E0F16">
            <w:pPr>
              <w:pStyle w:val="Tabletext"/>
              <w:keepNext/>
              <w:jc w:val="center"/>
              <w:rPr>
                <w:b/>
              </w:rPr>
            </w:pPr>
            <w:r w:rsidRPr="00980D3E">
              <w:rPr>
                <w:b/>
                <w:szCs w:val="20"/>
              </w:rPr>
              <w:t>HI-Dxm</w:t>
            </w:r>
          </w:p>
        </w:tc>
        <w:tc>
          <w:tcPr>
            <w:tcW w:w="629" w:type="pct"/>
            <w:vMerge w:val="restart"/>
            <w:tcBorders>
              <w:top w:val="single" w:sz="4" w:space="0" w:color="auto"/>
              <w:left w:val="single" w:sz="4" w:space="0" w:color="auto"/>
              <w:bottom w:val="single" w:sz="4" w:space="0" w:color="auto"/>
              <w:right w:val="single" w:sz="4" w:space="0" w:color="auto"/>
            </w:tcBorders>
            <w:vAlign w:val="center"/>
            <w:hideMark/>
          </w:tcPr>
          <w:p w:rsidR="00A917C1" w:rsidRPr="00980D3E" w:rsidRDefault="00A917C1" w:rsidP="006E0F16">
            <w:pPr>
              <w:pStyle w:val="Tabletext"/>
              <w:keepNext/>
              <w:jc w:val="center"/>
              <w:rPr>
                <w:b/>
              </w:rPr>
            </w:pPr>
            <w:r w:rsidRPr="00980D3E">
              <w:rPr>
                <w:b/>
              </w:rPr>
              <w:t>Difference in median (months)</w:t>
            </w:r>
          </w:p>
        </w:tc>
        <w:tc>
          <w:tcPr>
            <w:tcW w:w="837" w:type="pct"/>
            <w:vMerge w:val="restart"/>
            <w:tcBorders>
              <w:top w:val="single" w:sz="4" w:space="0" w:color="auto"/>
              <w:left w:val="single" w:sz="4" w:space="0" w:color="auto"/>
              <w:bottom w:val="single" w:sz="4" w:space="0" w:color="auto"/>
              <w:right w:val="single" w:sz="4" w:space="0" w:color="auto"/>
            </w:tcBorders>
            <w:vAlign w:val="center"/>
            <w:hideMark/>
          </w:tcPr>
          <w:p w:rsidR="00A917C1" w:rsidRPr="00980D3E" w:rsidRDefault="00A917C1" w:rsidP="006E0F16">
            <w:pPr>
              <w:pStyle w:val="Tabletext"/>
              <w:keepNext/>
              <w:jc w:val="center"/>
              <w:rPr>
                <w:b/>
              </w:rPr>
            </w:pPr>
            <w:r w:rsidRPr="00980D3E">
              <w:rPr>
                <w:b/>
              </w:rPr>
              <w:t>HR (95% CI)</w:t>
            </w:r>
          </w:p>
        </w:tc>
      </w:tr>
      <w:tr w:rsidR="00A917C1" w:rsidRPr="00980D3E" w:rsidTr="00D443C2">
        <w:tc>
          <w:tcPr>
            <w:tcW w:w="863" w:type="pct"/>
            <w:vMerge/>
            <w:tcBorders>
              <w:left w:val="single" w:sz="4" w:space="0" w:color="auto"/>
              <w:bottom w:val="single" w:sz="4" w:space="0" w:color="auto"/>
              <w:right w:val="single" w:sz="4" w:space="0" w:color="auto"/>
            </w:tcBorders>
            <w:vAlign w:val="center"/>
            <w:hideMark/>
          </w:tcPr>
          <w:p w:rsidR="00A917C1" w:rsidRPr="00980D3E" w:rsidRDefault="00A917C1" w:rsidP="006E0F16">
            <w:pPr>
              <w:pStyle w:val="Tabletext"/>
              <w:keepNext/>
              <w:rPr>
                <w:b/>
              </w:rPr>
            </w:pPr>
          </w:p>
        </w:tc>
        <w:tc>
          <w:tcPr>
            <w:tcW w:w="471" w:type="pct"/>
            <w:tcBorders>
              <w:top w:val="single" w:sz="4" w:space="0" w:color="auto"/>
              <w:left w:val="single" w:sz="4" w:space="0" w:color="auto"/>
              <w:bottom w:val="single" w:sz="4" w:space="0" w:color="auto"/>
              <w:right w:val="single" w:sz="4" w:space="0" w:color="auto"/>
            </w:tcBorders>
            <w:vAlign w:val="center"/>
            <w:hideMark/>
          </w:tcPr>
          <w:p w:rsidR="00A917C1" w:rsidRPr="00980D3E" w:rsidRDefault="00A917C1" w:rsidP="006E0F16">
            <w:pPr>
              <w:pStyle w:val="Tabletext"/>
              <w:keepNext/>
              <w:jc w:val="center"/>
              <w:rPr>
                <w:b/>
              </w:rPr>
            </w:pPr>
            <w:r w:rsidRPr="00980D3E">
              <w:rPr>
                <w:b/>
              </w:rPr>
              <w:t>n/N (%)</w:t>
            </w:r>
          </w:p>
        </w:tc>
        <w:tc>
          <w:tcPr>
            <w:tcW w:w="864" w:type="pct"/>
            <w:tcBorders>
              <w:top w:val="single" w:sz="4" w:space="0" w:color="auto"/>
              <w:left w:val="single" w:sz="4" w:space="0" w:color="auto"/>
              <w:bottom w:val="single" w:sz="4" w:space="0" w:color="auto"/>
              <w:right w:val="single" w:sz="4" w:space="0" w:color="auto"/>
            </w:tcBorders>
            <w:vAlign w:val="center"/>
            <w:hideMark/>
          </w:tcPr>
          <w:p w:rsidR="00A917C1" w:rsidRPr="00980D3E" w:rsidRDefault="00A917C1" w:rsidP="006E0F16">
            <w:pPr>
              <w:pStyle w:val="Tabletext"/>
              <w:keepNext/>
              <w:jc w:val="center"/>
              <w:rPr>
                <w:b/>
              </w:rPr>
            </w:pPr>
            <w:r w:rsidRPr="00980D3E">
              <w:rPr>
                <w:b/>
              </w:rPr>
              <w:t>Median PFS, months (95% CI)</w:t>
            </w:r>
          </w:p>
        </w:tc>
        <w:tc>
          <w:tcPr>
            <w:tcW w:w="472" w:type="pct"/>
            <w:tcBorders>
              <w:top w:val="single" w:sz="4" w:space="0" w:color="auto"/>
              <w:left w:val="single" w:sz="4" w:space="0" w:color="auto"/>
              <w:bottom w:val="single" w:sz="4" w:space="0" w:color="auto"/>
              <w:right w:val="single" w:sz="4" w:space="0" w:color="auto"/>
            </w:tcBorders>
            <w:vAlign w:val="center"/>
            <w:hideMark/>
          </w:tcPr>
          <w:p w:rsidR="00A917C1" w:rsidRPr="00980D3E" w:rsidRDefault="00A917C1" w:rsidP="006E0F16">
            <w:pPr>
              <w:pStyle w:val="Tabletext"/>
              <w:keepNext/>
              <w:jc w:val="center"/>
              <w:rPr>
                <w:b/>
              </w:rPr>
            </w:pPr>
            <w:r w:rsidRPr="00980D3E">
              <w:rPr>
                <w:b/>
              </w:rPr>
              <w:t>n/N (%)</w:t>
            </w:r>
          </w:p>
        </w:tc>
        <w:tc>
          <w:tcPr>
            <w:tcW w:w="864" w:type="pct"/>
            <w:tcBorders>
              <w:top w:val="single" w:sz="4" w:space="0" w:color="auto"/>
              <w:left w:val="single" w:sz="4" w:space="0" w:color="auto"/>
              <w:bottom w:val="single" w:sz="4" w:space="0" w:color="auto"/>
              <w:right w:val="single" w:sz="4" w:space="0" w:color="auto"/>
            </w:tcBorders>
            <w:vAlign w:val="center"/>
            <w:hideMark/>
          </w:tcPr>
          <w:p w:rsidR="00A917C1" w:rsidRPr="00980D3E" w:rsidRDefault="00A917C1" w:rsidP="006E0F16">
            <w:pPr>
              <w:pStyle w:val="Tabletext"/>
              <w:keepNext/>
              <w:jc w:val="center"/>
              <w:rPr>
                <w:b/>
              </w:rPr>
            </w:pPr>
            <w:r w:rsidRPr="00980D3E">
              <w:rPr>
                <w:b/>
              </w:rPr>
              <w:t>Median PFS, months (95% CI)</w:t>
            </w:r>
          </w:p>
        </w:tc>
        <w:tc>
          <w:tcPr>
            <w:tcW w:w="629" w:type="pct"/>
            <w:vMerge/>
            <w:tcBorders>
              <w:top w:val="single" w:sz="4" w:space="0" w:color="auto"/>
              <w:left w:val="single" w:sz="4" w:space="0" w:color="auto"/>
              <w:bottom w:val="single" w:sz="4" w:space="0" w:color="auto"/>
              <w:right w:val="single" w:sz="4" w:space="0" w:color="auto"/>
            </w:tcBorders>
            <w:vAlign w:val="center"/>
            <w:hideMark/>
          </w:tcPr>
          <w:p w:rsidR="00A917C1" w:rsidRPr="00980D3E" w:rsidRDefault="00A917C1" w:rsidP="006E0F16">
            <w:pPr>
              <w:keepNext/>
              <w:jc w:val="left"/>
              <w:rPr>
                <w:rFonts w:ascii="Arial Narrow" w:hAnsi="Arial Narrow" w:cs="Times New Roman"/>
                <w:b/>
                <w:sz w:val="20"/>
              </w:rPr>
            </w:pPr>
          </w:p>
        </w:tc>
        <w:tc>
          <w:tcPr>
            <w:tcW w:w="837" w:type="pct"/>
            <w:vMerge/>
            <w:tcBorders>
              <w:top w:val="single" w:sz="4" w:space="0" w:color="auto"/>
              <w:left w:val="single" w:sz="4" w:space="0" w:color="auto"/>
              <w:bottom w:val="single" w:sz="4" w:space="0" w:color="auto"/>
              <w:right w:val="single" w:sz="4" w:space="0" w:color="auto"/>
            </w:tcBorders>
            <w:vAlign w:val="center"/>
            <w:hideMark/>
          </w:tcPr>
          <w:p w:rsidR="00A917C1" w:rsidRPr="00980D3E" w:rsidRDefault="00A917C1" w:rsidP="006E0F16">
            <w:pPr>
              <w:keepNext/>
              <w:jc w:val="left"/>
              <w:rPr>
                <w:rFonts w:ascii="Arial Narrow" w:hAnsi="Arial Narrow" w:cs="Times New Roman"/>
                <w:b/>
                <w:sz w:val="20"/>
              </w:rPr>
            </w:pPr>
          </w:p>
        </w:tc>
      </w:tr>
      <w:tr w:rsidR="00CD16C9" w:rsidRPr="00980D3E" w:rsidTr="00D443C2">
        <w:tc>
          <w:tcPr>
            <w:tcW w:w="5000" w:type="pct"/>
            <w:gridSpan w:val="7"/>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0"/>
              <w:jc w:val="both"/>
              <w:rPr>
                <w:rFonts w:cs="Times New Roman"/>
                <w:b/>
                <w:szCs w:val="20"/>
              </w:rPr>
            </w:pPr>
            <w:r w:rsidRPr="00980D3E">
              <w:rPr>
                <w:b/>
              </w:rPr>
              <w:t>PFS, with confirmation of PD</w:t>
            </w:r>
          </w:p>
        </w:tc>
      </w:tr>
      <w:tr w:rsidR="00B662D7" w:rsidRPr="00980D3E" w:rsidTr="00D443C2">
        <w:tc>
          <w:tcPr>
            <w:tcW w:w="863"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pPr>
            <w:r w:rsidRPr="00980D3E">
              <w:t>IRC (ITT)</w:t>
            </w:r>
            <w:r w:rsidRPr="00980D3E">
              <w:rPr>
                <w:szCs w:val="20"/>
              </w:rPr>
              <w:t xml:space="preserve"> </w:t>
            </w:r>
          </w:p>
        </w:tc>
        <w:tc>
          <w:tcPr>
            <w:tcW w:w="471"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pPr>
            <w:r w:rsidRPr="00980D3E">
              <w:rPr>
                <w:szCs w:val="20"/>
              </w:rPr>
              <w:t>234/302 (77.5</w:t>
            </w:r>
            <w:r w:rsidR="00A917C1" w:rsidRPr="00980D3E">
              <w:rPr>
                <w:szCs w:val="20"/>
              </w:rPr>
              <w:t>%</w:t>
            </w:r>
            <w:r w:rsidRPr="00980D3E">
              <w:rPr>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pPr>
            <w:r w:rsidRPr="00980D3E">
              <w:rPr>
                <w:szCs w:val="20"/>
              </w:rPr>
              <w:t>3.7 (3.0, 4.5)</w:t>
            </w:r>
          </w:p>
        </w:tc>
        <w:tc>
          <w:tcPr>
            <w:tcW w:w="472"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pPr>
            <w:r w:rsidRPr="00980D3E">
              <w:rPr>
                <w:szCs w:val="20"/>
              </w:rPr>
              <w:t>130/153 (85.0</w:t>
            </w:r>
            <w:r w:rsidR="00A917C1" w:rsidRPr="00980D3E">
              <w:rPr>
                <w:szCs w:val="20"/>
              </w:rPr>
              <w:t>%</w:t>
            </w:r>
            <w:r w:rsidRPr="00980D3E">
              <w:rPr>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0"/>
              <w:jc w:val="center"/>
            </w:pPr>
            <w:r w:rsidRPr="00980D3E">
              <w:rPr>
                <w:rFonts w:cs="Times New Roman"/>
              </w:rPr>
              <w:t xml:space="preserve">1.9 </w:t>
            </w:r>
            <w:r w:rsidRPr="00980D3E">
              <w:t>(1.6, 2.2)</w:t>
            </w:r>
          </w:p>
        </w:tc>
        <w:tc>
          <w:tcPr>
            <w:tcW w:w="629"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pPr>
            <w:r w:rsidRPr="00980D3E">
              <w:rPr>
                <w:szCs w:val="20"/>
              </w:rPr>
              <w:t>1.8</w:t>
            </w:r>
          </w:p>
        </w:tc>
        <w:tc>
          <w:tcPr>
            <w:tcW w:w="837"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keepNext/>
              <w:jc w:val="center"/>
              <w:rPr>
                <w:rFonts w:ascii="Arial Narrow" w:hAnsi="Arial Narrow" w:cs="Times New Roman"/>
                <w:b/>
                <w:sz w:val="20"/>
                <w:szCs w:val="20"/>
              </w:rPr>
            </w:pPr>
            <w:r w:rsidRPr="00980D3E">
              <w:rPr>
                <w:rFonts w:ascii="Arial Narrow" w:hAnsi="Arial Narrow" w:cs="Times New Roman"/>
                <w:b/>
                <w:sz w:val="20"/>
                <w:szCs w:val="20"/>
              </w:rPr>
              <w:t>0.49</w:t>
            </w:r>
            <w:r w:rsidRPr="00980D3E">
              <w:rPr>
                <w:rFonts w:ascii="Arial Narrow" w:hAnsi="Arial Narrow" w:cs="Times New Roman"/>
                <w:sz w:val="20"/>
                <w:szCs w:val="20"/>
              </w:rPr>
              <w:t xml:space="preserve"> </w:t>
            </w:r>
            <w:r w:rsidRPr="00980D3E">
              <w:rPr>
                <w:rFonts w:ascii="Arial Narrow" w:hAnsi="Arial Narrow" w:cs="Times New Roman"/>
                <w:b/>
                <w:sz w:val="20"/>
                <w:szCs w:val="20"/>
              </w:rPr>
              <w:t>(0.39, 0.61)</w:t>
            </w:r>
          </w:p>
          <w:p w:rsidR="00CD16C9" w:rsidRPr="00980D3E" w:rsidRDefault="00CD16C9" w:rsidP="006E0F16">
            <w:pPr>
              <w:pStyle w:val="TableText0"/>
              <w:jc w:val="center"/>
              <w:rPr>
                <w:b/>
              </w:rPr>
            </w:pPr>
            <w:r w:rsidRPr="00980D3E">
              <w:rPr>
                <w:b/>
              </w:rPr>
              <w:t>p-value &lt;0.001</w:t>
            </w:r>
          </w:p>
        </w:tc>
      </w:tr>
      <w:tr w:rsidR="00CD16C9" w:rsidRPr="00980D3E" w:rsidTr="00D443C2">
        <w:tc>
          <w:tcPr>
            <w:tcW w:w="5000" w:type="pct"/>
            <w:gridSpan w:val="7"/>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0"/>
              <w:jc w:val="both"/>
              <w:rPr>
                <w:rFonts w:cs="Times New Roman"/>
                <w:b/>
              </w:rPr>
            </w:pPr>
            <w:r w:rsidRPr="00980D3E">
              <w:rPr>
                <w:b/>
              </w:rPr>
              <w:t>OS</w:t>
            </w:r>
          </w:p>
        </w:tc>
      </w:tr>
      <w:tr w:rsidR="00B662D7" w:rsidRPr="00980D3E" w:rsidTr="00D443C2">
        <w:tc>
          <w:tcPr>
            <w:tcW w:w="863"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rPr>
                <w:szCs w:val="20"/>
              </w:rPr>
            </w:pPr>
            <w:r w:rsidRPr="00980D3E">
              <w:t>IRC (ITT)</w:t>
            </w:r>
            <w:r w:rsidRPr="00980D3E">
              <w:rPr>
                <w:szCs w:val="20"/>
              </w:rPr>
              <w:t xml:space="preserve"> </w:t>
            </w:r>
          </w:p>
        </w:tc>
        <w:tc>
          <w:tcPr>
            <w:tcW w:w="471"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rPr>
                <w:szCs w:val="20"/>
              </w:rPr>
            </w:pPr>
            <w:r w:rsidRPr="00980D3E">
              <w:rPr>
                <w:szCs w:val="20"/>
              </w:rPr>
              <w:t>147/302 (48.7</w:t>
            </w:r>
            <w:r w:rsidR="00A917C1" w:rsidRPr="00980D3E">
              <w:rPr>
                <w:szCs w:val="20"/>
              </w:rPr>
              <w:t>%</w:t>
            </w:r>
            <w:r w:rsidRPr="00980D3E">
              <w:rPr>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rPr>
                <w:szCs w:val="20"/>
              </w:rPr>
            </w:pPr>
            <w:r w:rsidRPr="00980D3E">
              <w:rPr>
                <w:szCs w:val="20"/>
              </w:rPr>
              <w:t>12.7 (10.4,15.5)</w:t>
            </w:r>
            <w:r w:rsidRPr="00980D3E">
              <w:rPr>
                <w:szCs w:val="20"/>
                <w:vertAlign w:val="superscript"/>
              </w:rPr>
              <w:t>a</w:t>
            </w:r>
          </w:p>
        </w:tc>
        <w:tc>
          <w:tcPr>
            <w:tcW w:w="472"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rPr>
                <w:szCs w:val="20"/>
              </w:rPr>
            </w:pPr>
            <w:r w:rsidRPr="00980D3E">
              <w:rPr>
                <w:szCs w:val="20"/>
              </w:rPr>
              <w:t>86/153 (56.2</w:t>
            </w:r>
            <w:r w:rsidR="00A917C1" w:rsidRPr="00980D3E">
              <w:rPr>
                <w:szCs w:val="20"/>
              </w:rPr>
              <w:t>%</w:t>
            </w:r>
            <w:r w:rsidRPr="00980D3E">
              <w:rPr>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rPr>
                <w:szCs w:val="20"/>
              </w:rPr>
            </w:pPr>
            <w:r w:rsidRPr="00980D3E">
              <w:rPr>
                <w:szCs w:val="20"/>
              </w:rPr>
              <w:t>8.1 (6.9, 10.8)</w:t>
            </w:r>
          </w:p>
        </w:tc>
        <w:tc>
          <w:tcPr>
            <w:tcW w:w="629"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rPr>
                <w:szCs w:val="20"/>
              </w:rPr>
            </w:pPr>
            <w:r w:rsidRPr="00980D3E">
              <w:rPr>
                <w:szCs w:val="20"/>
              </w:rPr>
              <w:t>4.6</w:t>
            </w:r>
          </w:p>
        </w:tc>
        <w:tc>
          <w:tcPr>
            <w:tcW w:w="837"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keepNext/>
              <w:jc w:val="center"/>
              <w:rPr>
                <w:rFonts w:ascii="Arial Narrow" w:hAnsi="Arial Narrow" w:cs="Times New Roman"/>
                <w:sz w:val="20"/>
                <w:szCs w:val="20"/>
                <w:vertAlign w:val="superscript"/>
              </w:rPr>
            </w:pPr>
            <w:r w:rsidRPr="00980D3E">
              <w:rPr>
                <w:rFonts w:ascii="Arial Narrow" w:hAnsi="Arial Narrow" w:cs="Times New Roman"/>
                <w:b/>
                <w:sz w:val="20"/>
                <w:szCs w:val="20"/>
              </w:rPr>
              <w:t>0.74 (0.56, 0.97)</w:t>
            </w:r>
            <w:r w:rsidRPr="00980D3E">
              <w:rPr>
                <w:rFonts w:ascii="Arial Narrow" w:hAnsi="Arial Narrow" w:cs="Times New Roman"/>
                <w:b/>
                <w:sz w:val="20"/>
                <w:szCs w:val="20"/>
                <w:vertAlign w:val="superscript"/>
              </w:rPr>
              <w:t>b</w:t>
            </w:r>
          </w:p>
          <w:p w:rsidR="00CD16C9" w:rsidRPr="00980D3E" w:rsidRDefault="00CD16C9" w:rsidP="006E0F16">
            <w:pPr>
              <w:pStyle w:val="Tabletext"/>
              <w:keepNext/>
              <w:jc w:val="center"/>
              <w:rPr>
                <w:b/>
              </w:rPr>
            </w:pPr>
            <w:r w:rsidRPr="00980D3E">
              <w:rPr>
                <w:b/>
                <w:snapToGrid/>
                <w:szCs w:val="20"/>
              </w:rPr>
              <w:t>p-value = 0.0285</w:t>
            </w:r>
          </w:p>
        </w:tc>
      </w:tr>
      <w:tr w:rsidR="00B662D7" w:rsidRPr="00980D3E" w:rsidTr="00D443C2">
        <w:tc>
          <w:tcPr>
            <w:tcW w:w="863"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205E2C">
            <w:pPr>
              <w:pStyle w:val="Tabletext"/>
              <w:keepNext/>
              <w:rPr>
                <w:szCs w:val="20"/>
              </w:rPr>
            </w:pPr>
            <w:r w:rsidRPr="00980D3E">
              <w:rPr>
                <w:szCs w:val="20"/>
              </w:rPr>
              <w:t>IRC</w:t>
            </w:r>
            <w:r w:rsidR="00205E2C" w:rsidRPr="00980D3E">
              <w:rPr>
                <w:szCs w:val="20"/>
              </w:rPr>
              <w:t xml:space="preserve"> (</w:t>
            </w:r>
            <w:r w:rsidRPr="00980D3E">
              <w:rPr>
                <w:szCs w:val="20"/>
              </w:rPr>
              <w:t>Two-stage method crossover adjustment</w:t>
            </w:r>
            <w:r w:rsidR="00205E2C" w:rsidRPr="00980D3E">
              <w:rPr>
                <w:szCs w:val="20"/>
              </w:rPr>
              <w:t>)</w:t>
            </w:r>
          </w:p>
        </w:tc>
        <w:tc>
          <w:tcPr>
            <w:tcW w:w="471"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rPr>
                <w:szCs w:val="20"/>
              </w:rPr>
            </w:pPr>
            <w:r w:rsidRPr="00980D3E">
              <w:rPr>
                <w:szCs w:val="20"/>
              </w:rPr>
              <w:t>147/302 (48.7</w:t>
            </w:r>
            <w:r w:rsidR="00A917C1" w:rsidRPr="00980D3E">
              <w:rPr>
                <w:szCs w:val="20"/>
              </w:rPr>
              <w:t>%</w:t>
            </w:r>
            <w:r w:rsidRPr="00980D3E">
              <w:rPr>
                <w:szCs w:val="20"/>
              </w:rPr>
              <w:t>)</w:t>
            </w:r>
          </w:p>
        </w:tc>
        <w:tc>
          <w:tcPr>
            <w:tcW w:w="864"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rPr>
                <w:szCs w:val="20"/>
              </w:rPr>
            </w:pPr>
            <w:r w:rsidRPr="00980D3E">
              <w:rPr>
                <w:szCs w:val="20"/>
              </w:rPr>
              <w:t>12.7 (10.4,15.5)</w:t>
            </w:r>
          </w:p>
        </w:tc>
        <w:tc>
          <w:tcPr>
            <w:tcW w:w="472"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rPr>
                <w:szCs w:val="20"/>
              </w:rPr>
            </w:pPr>
            <w:r w:rsidRPr="00980D3E">
              <w:rPr>
                <w:szCs w:val="20"/>
              </w:rPr>
              <w:t>NR</w:t>
            </w:r>
          </w:p>
        </w:tc>
        <w:tc>
          <w:tcPr>
            <w:tcW w:w="864"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rPr>
                <w:szCs w:val="20"/>
              </w:rPr>
            </w:pPr>
            <w:r w:rsidRPr="00980D3E">
              <w:rPr>
                <w:szCs w:val="20"/>
              </w:rPr>
              <w:t>5.7 (4.2, 7.5)</w:t>
            </w:r>
          </w:p>
        </w:tc>
        <w:tc>
          <w:tcPr>
            <w:tcW w:w="629"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pStyle w:val="Tabletext"/>
              <w:keepNext/>
              <w:jc w:val="center"/>
              <w:rPr>
                <w:szCs w:val="20"/>
              </w:rPr>
            </w:pPr>
            <w:r w:rsidRPr="00980D3E">
              <w:rPr>
                <w:szCs w:val="20"/>
              </w:rPr>
              <w:t>7</w:t>
            </w:r>
            <w:r w:rsidR="00C5361B" w:rsidRPr="00980D3E">
              <w:rPr>
                <w:szCs w:val="20"/>
              </w:rPr>
              <w:t>.0</w:t>
            </w:r>
          </w:p>
        </w:tc>
        <w:tc>
          <w:tcPr>
            <w:tcW w:w="837" w:type="pct"/>
            <w:tcBorders>
              <w:top w:val="single" w:sz="4" w:space="0" w:color="auto"/>
              <w:left w:val="single" w:sz="4" w:space="0" w:color="auto"/>
              <w:bottom w:val="single" w:sz="4" w:space="0" w:color="auto"/>
              <w:right w:val="single" w:sz="4" w:space="0" w:color="auto"/>
            </w:tcBorders>
            <w:vAlign w:val="center"/>
          </w:tcPr>
          <w:p w:rsidR="00CD16C9" w:rsidRPr="00980D3E" w:rsidRDefault="00CD16C9" w:rsidP="006E0F16">
            <w:pPr>
              <w:keepNext/>
              <w:jc w:val="center"/>
              <w:rPr>
                <w:rFonts w:ascii="Arial Narrow" w:hAnsi="Arial Narrow" w:cs="Times New Roman"/>
                <w:b/>
                <w:sz w:val="20"/>
                <w:szCs w:val="20"/>
              </w:rPr>
            </w:pPr>
            <w:r w:rsidRPr="00980D3E">
              <w:rPr>
                <w:rFonts w:ascii="Arial Narrow" w:hAnsi="Arial Narrow" w:cs="Times New Roman"/>
                <w:b/>
                <w:sz w:val="20"/>
                <w:szCs w:val="20"/>
              </w:rPr>
              <w:t>0.52 (0.39, 0.68)</w:t>
            </w:r>
          </w:p>
          <w:p w:rsidR="00CD16C9" w:rsidRPr="00980D3E" w:rsidRDefault="00CD16C9" w:rsidP="006E0F16">
            <w:pPr>
              <w:pStyle w:val="Tabletext"/>
              <w:keepNext/>
              <w:jc w:val="center"/>
            </w:pPr>
            <w:r w:rsidRPr="00980D3E">
              <w:rPr>
                <w:snapToGrid/>
                <w:szCs w:val="20"/>
              </w:rPr>
              <w:t>p-value NR</w:t>
            </w:r>
          </w:p>
        </w:tc>
      </w:tr>
    </w:tbl>
    <w:p w:rsidR="00CD16C9" w:rsidRPr="00980D3E" w:rsidRDefault="00CD16C9" w:rsidP="00D443C2">
      <w:pPr>
        <w:pStyle w:val="TableFigureFooter"/>
        <w:rPr>
          <w:i/>
          <w:sz w:val="20"/>
        </w:rPr>
      </w:pPr>
      <w:r w:rsidRPr="00980D3E">
        <w:t>Source:</w:t>
      </w:r>
      <w:r w:rsidR="007767DC" w:rsidRPr="00980D3E">
        <w:t xml:space="preserve"> </w:t>
      </w:r>
      <w:r w:rsidR="006C77B0" w:rsidRPr="00980D3E">
        <w:t xml:space="preserve">Table 42, p123; </w:t>
      </w:r>
      <w:r w:rsidRPr="00980D3E">
        <w:t>Table 31, p106; Table 35,</w:t>
      </w:r>
      <w:r w:rsidR="006C77B0" w:rsidRPr="00980D3E">
        <w:t xml:space="preserve"> p113</w:t>
      </w:r>
      <w:r w:rsidRPr="00980D3E">
        <w:t xml:space="preserve"> of the resubmission. Table</w:t>
      </w:r>
      <w:r w:rsidR="00E84896" w:rsidRPr="00980D3E">
        <w:t>s</w:t>
      </w:r>
      <w:r w:rsidRPr="00980D3E">
        <w:t xml:space="preserve"> 22</w:t>
      </w:r>
      <w:r w:rsidR="00E84896" w:rsidRPr="00980D3E">
        <w:t>-23</w:t>
      </w:r>
      <w:r w:rsidRPr="00980D3E">
        <w:t>, p</w:t>
      </w:r>
      <w:r w:rsidR="00E84896" w:rsidRPr="00980D3E">
        <w:t>p</w:t>
      </w:r>
      <w:r w:rsidRPr="00980D3E">
        <w:t>72</w:t>
      </w:r>
      <w:r w:rsidR="00E84896" w:rsidRPr="00980D3E">
        <w:t>-73</w:t>
      </w:r>
      <w:r w:rsidRPr="00980D3E">
        <w:t xml:space="preserve"> of</w:t>
      </w:r>
      <w:r w:rsidR="00BD5398" w:rsidRPr="00980D3E">
        <w:t xml:space="preserve"> </w:t>
      </w:r>
      <w:r w:rsidRPr="00980D3E">
        <w:t>NICE_committee-paper [ID985]</w:t>
      </w:r>
      <w:r w:rsidR="00BD5398" w:rsidRPr="00980D3E">
        <w:t>; pp</w:t>
      </w:r>
      <w:r w:rsidRPr="00980D3E">
        <w:t>1059-60</w:t>
      </w:r>
      <w:r w:rsidR="00E84896" w:rsidRPr="00980D3E">
        <w:t xml:space="preserve"> of</w:t>
      </w:r>
      <w:r w:rsidRPr="00980D3E">
        <w:t xml:space="preserve"> San Miguel </w:t>
      </w:r>
      <w:r w:rsidRPr="00980D3E">
        <w:rPr>
          <w:i/>
        </w:rPr>
        <w:t>et al</w:t>
      </w:r>
      <w:r w:rsidRPr="00980D3E">
        <w:t xml:space="preserve"> (2013).</w:t>
      </w:r>
    </w:p>
    <w:p w:rsidR="00CD16C9" w:rsidRPr="00980D3E" w:rsidRDefault="00CD16C9" w:rsidP="00D443C2">
      <w:pPr>
        <w:pStyle w:val="TableFigureFooter"/>
        <w:rPr>
          <w:szCs w:val="18"/>
        </w:rPr>
      </w:pPr>
      <w:r w:rsidRPr="00980D3E">
        <w:t xml:space="preserve">CI = confidence interval; </w:t>
      </w:r>
      <w:r w:rsidR="00C50AE9" w:rsidRPr="00980D3E">
        <w:rPr>
          <w:rFonts w:eastAsia="Calibri"/>
        </w:rPr>
        <w:t>Dxm</w:t>
      </w:r>
      <w:r w:rsidR="005C0ED8" w:rsidRPr="00980D3E">
        <w:rPr>
          <w:rFonts w:eastAsia="Calibri"/>
        </w:rPr>
        <w:t xml:space="preserve"> = dexamethasone; </w:t>
      </w:r>
      <w:r w:rsidRPr="00980D3E">
        <w:t>IRC</w:t>
      </w:r>
      <w:r w:rsidR="00987989" w:rsidRPr="00980D3E">
        <w:t xml:space="preserve"> </w:t>
      </w:r>
      <w:r w:rsidRPr="00980D3E">
        <w:t>= independent review committee; HI-</w:t>
      </w:r>
      <w:r w:rsidR="00C50AE9" w:rsidRPr="00980D3E">
        <w:t>Dxm</w:t>
      </w:r>
      <w:r w:rsidRPr="00980D3E">
        <w:t xml:space="preserve"> = high-dose dexamethasone; HR = hazard ratio;</w:t>
      </w:r>
      <w:r w:rsidR="00BD5398" w:rsidRPr="00980D3E">
        <w:t xml:space="preserve"> IRC = independent review </w:t>
      </w:r>
      <w:r w:rsidR="00E84896" w:rsidRPr="00980D3E">
        <w:t>committee; ITT</w:t>
      </w:r>
      <w:r w:rsidRPr="00980D3E">
        <w:t xml:space="preserve"> = intention to treat; OS = overall survival; </w:t>
      </w:r>
      <w:r w:rsidR="00BD5398" w:rsidRPr="00980D3E">
        <w:t xml:space="preserve">NICE = </w:t>
      </w:r>
      <w:r w:rsidR="00E74DA8" w:rsidRPr="00980D3E">
        <w:t>N</w:t>
      </w:r>
      <w:r w:rsidR="00BD5398" w:rsidRPr="00980D3E">
        <w:t xml:space="preserve">ational </w:t>
      </w:r>
      <w:r w:rsidR="00E74DA8" w:rsidRPr="00980D3E">
        <w:t>I</w:t>
      </w:r>
      <w:r w:rsidR="00BD5398" w:rsidRPr="00980D3E">
        <w:t xml:space="preserve">nstitute for </w:t>
      </w:r>
      <w:r w:rsidR="00E74DA8" w:rsidRPr="00980D3E">
        <w:t>H</w:t>
      </w:r>
      <w:r w:rsidR="00BD5398" w:rsidRPr="00980D3E">
        <w:t xml:space="preserve">ealth and </w:t>
      </w:r>
      <w:r w:rsidR="00E74DA8" w:rsidRPr="00980D3E">
        <w:t>C</w:t>
      </w:r>
      <w:r w:rsidR="00BD5398" w:rsidRPr="00980D3E">
        <w:t xml:space="preserve">are </w:t>
      </w:r>
      <w:r w:rsidR="00E74DA8" w:rsidRPr="00980D3E">
        <w:t>E</w:t>
      </w:r>
      <w:r w:rsidR="00BD5398" w:rsidRPr="00980D3E">
        <w:t xml:space="preserve">xcellence; NR = not reported; </w:t>
      </w:r>
      <w:r w:rsidRPr="00980D3E">
        <w:t>PD = progressive disease; PFS = progression-</w:t>
      </w:r>
      <w:r w:rsidRPr="00980D3E">
        <w:rPr>
          <w:szCs w:val="18"/>
        </w:rPr>
        <w:t>free survival</w:t>
      </w:r>
      <w:r w:rsidR="00987989" w:rsidRPr="00980D3E">
        <w:rPr>
          <w:szCs w:val="18"/>
        </w:rPr>
        <w:t xml:space="preserve">; </w:t>
      </w:r>
      <w:r w:rsidR="00987989" w:rsidRPr="00980D3E">
        <w:rPr>
          <w:b/>
          <w:szCs w:val="18"/>
        </w:rPr>
        <w:t>bold</w:t>
      </w:r>
      <w:r w:rsidR="00987989" w:rsidRPr="00980D3E">
        <w:rPr>
          <w:szCs w:val="18"/>
        </w:rPr>
        <w:t xml:space="preserve"> = statistical significance.</w:t>
      </w:r>
    </w:p>
    <w:p w:rsidR="00CD16C9" w:rsidRPr="00980D3E" w:rsidRDefault="00CD16C9" w:rsidP="00D443C2">
      <w:pPr>
        <w:pStyle w:val="TableFigureFooter"/>
      </w:pPr>
      <w:r w:rsidRPr="00980D3E">
        <w:rPr>
          <w:vertAlign w:val="superscript"/>
        </w:rPr>
        <w:t>a</w:t>
      </w:r>
      <w:r w:rsidRPr="00980D3E">
        <w:t xml:space="preserve"> In the NICE committee evaluation papers (Fayter </w:t>
      </w:r>
      <w:r w:rsidRPr="00980D3E">
        <w:rPr>
          <w:i/>
        </w:rPr>
        <w:t>et al.</w:t>
      </w:r>
      <w:r w:rsidRPr="00980D3E">
        <w:t xml:space="preserve"> 2016) Table 4.9 and in Morgan </w:t>
      </w:r>
      <w:r w:rsidRPr="00980D3E">
        <w:rPr>
          <w:i/>
        </w:rPr>
        <w:t>et al</w:t>
      </w:r>
      <w:r w:rsidRPr="00980D3E">
        <w:t xml:space="preserve">. (2015) Table 1 overall survival is reported as 12.7 months. In the NICE committee evaluation papers (Fayter </w:t>
      </w:r>
      <w:r w:rsidRPr="00980D3E">
        <w:rPr>
          <w:i/>
        </w:rPr>
        <w:t>et al.</w:t>
      </w:r>
      <w:r w:rsidRPr="00980D3E">
        <w:t xml:space="preserve"> 2016) Table 23 it is reported as 12.5 months.</w:t>
      </w:r>
    </w:p>
    <w:p w:rsidR="006E0F16" w:rsidRPr="00980D3E" w:rsidRDefault="00CD16C9" w:rsidP="00D443C2">
      <w:pPr>
        <w:pStyle w:val="TableFigureFooter"/>
      </w:pPr>
      <w:r w:rsidRPr="00980D3E">
        <w:rPr>
          <w:vertAlign w:val="superscript"/>
        </w:rPr>
        <w:t>b</w:t>
      </w:r>
      <w:r w:rsidRPr="00980D3E">
        <w:t xml:space="preserve"> In the NICE committee evaluation papers (Fayter </w:t>
      </w:r>
      <w:r w:rsidRPr="00980D3E">
        <w:rPr>
          <w:i/>
        </w:rPr>
        <w:t>et al</w:t>
      </w:r>
      <w:r w:rsidRPr="00980D3E">
        <w:t xml:space="preserve">. 2016) Table 4.9 HR is reported as 0.74. In the NICE committee evaluation papers (Fayter </w:t>
      </w:r>
      <w:r w:rsidRPr="00980D3E">
        <w:rPr>
          <w:i/>
        </w:rPr>
        <w:t>et al</w:t>
      </w:r>
      <w:r w:rsidRPr="00980D3E">
        <w:t xml:space="preserve">. 2016) Table 23 it is reported as 0.70 (95% CI: 0.54 to 0.92). </w:t>
      </w:r>
    </w:p>
    <w:p w:rsidR="00651372" w:rsidRPr="00980D3E" w:rsidRDefault="00A71F44" w:rsidP="00651372">
      <w:pPr>
        <w:pStyle w:val="3-BodyText"/>
      </w:pPr>
      <w:r w:rsidRPr="00980D3E">
        <w:t>In the ITT analysis</w:t>
      </w:r>
      <w:r w:rsidR="00BC7750" w:rsidRPr="00980D3E">
        <w:t>,</w:t>
      </w:r>
      <w:r w:rsidRPr="00980D3E">
        <w:t xml:space="preserve"> the median OS increased by 4.6 months with pomalidomide compared to</w:t>
      </w:r>
      <w:r w:rsidR="00651372" w:rsidRPr="00980D3E">
        <w:t xml:space="preserve"> the control arm </w:t>
      </w:r>
      <w:r w:rsidR="00425F15" w:rsidRPr="00980D3E">
        <w:t>(</w:t>
      </w:r>
      <w:r w:rsidR="00651372" w:rsidRPr="00980D3E">
        <w:t>data cut-off 1 September 2013</w:t>
      </w:r>
      <w:r w:rsidR="00425F15" w:rsidRPr="00980D3E">
        <w:t>)</w:t>
      </w:r>
      <w:r w:rsidR="00651372" w:rsidRPr="00980D3E">
        <w:t>. Th</w:t>
      </w:r>
      <w:r w:rsidR="00632021" w:rsidRPr="00980D3E">
        <w:t>e analysis</w:t>
      </w:r>
      <w:r w:rsidR="00651372" w:rsidRPr="00980D3E">
        <w:t xml:space="preserve"> was potentially confounded due to the extent of crossover of patients from HI-</w:t>
      </w:r>
      <w:r w:rsidR="00C50AE9" w:rsidRPr="00980D3E">
        <w:t>Dxm</w:t>
      </w:r>
      <w:r w:rsidR="00651372" w:rsidRPr="00980D3E">
        <w:t xml:space="preserve"> (with and without progression of disease) to pomalidomide. After adjustment for crossover </w:t>
      </w:r>
      <w:r w:rsidR="00425F15" w:rsidRPr="00980D3E">
        <w:t xml:space="preserve">using the </w:t>
      </w:r>
      <w:r w:rsidR="00651372" w:rsidRPr="00980D3E">
        <w:t xml:space="preserve">two-stage method, the difference in median overall survival time was </w:t>
      </w:r>
      <w:r w:rsidR="00C5361B" w:rsidRPr="00980D3E">
        <w:t xml:space="preserve">seven </w:t>
      </w:r>
      <w:r w:rsidR="00651372" w:rsidRPr="00980D3E">
        <w:t xml:space="preserve">months. </w:t>
      </w:r>
      <w:r w:rsidR="00B31057" w:rsidRPr="00980D3E">
        <w:t xml:space="preserve">The </w:t>
      </w:r>
      <w:r w:rsidR="00884A2E" w:rsidRPr="00980D3E">
        <w:t>ESC</w:t>
      </w:r>
      <w:r w:rsidR="00B31057" w:rsidRPr="00980D3E">
        <w:t xml:space="preserve"> noted that </w:t>
      </w:r>
      <w:r w:rsidR="00C5361B" w:rsidRPr="00980D3E">
        <w:t xml:space="preserve">both OS analyses </w:t>
      </w:r>
      <w:r w:rsidR="00B31057" w:rsidRPr="00980D3E">
        <w:t>resulted in a statistically significant improvement.</w:t>
      </w:r>
    </w:p>
    <w:p w:rsidR="00394638" w:rsidRPr="00980D3E" w:rsidRDefault="00394638" w:rsidP="004E436E">
      <w:pPr>
        <w:spacing w:after="120"/>
        <w:rPr>
          <w:u w:val="single"/>
        </w:rPr>
      </w:pPr>
      <w:bookmarkStart w:id="27" w:name="_Hlk25860043"/>
      <w:r w:rsidRPr="00980D3E">
        <w:rPr>
          <w:u w:val="single"/>
        </w:rPr>
        <w:t xml:space="preserve">Plitidepsin + </w:t>
      </w:r>
      <w:r w:rsidR="00C50AE9" w:rsidRPr="00980D3E">
        <w:rPr>
          <w:u w:val="single"/>
        </w:rPr>
        <w:t>Dxm</w:t>
      </w:r>
      <w:r w:rsidRPr="00980D3E">
        <w:rPr>
          <w:u w:val="single"/>
        </w:rPr>
        <w:t xml:space="preserve"> </w:t>
      </w:r>
      <w:r w:rsidR="00BA49B2" w:rsidRPr="00980D3E">
        <w:rPr>
          <w:u w:val="single"/>
        </w:rPr>
        <w:t>versus</w:t>
      </w:r>
      <w:r w:rsidRPr="00980D3E">
        <w:rPr>
          <w:u w:val="single"/>
        </w:rPr>
        <w:t xml:space="preserve"> pomalidomide + </w:t>
      </w:r>
      <w:r w:rsidR="00C50AE9" w:rsidRPr="00980D3E">
        <w:rPr>
          <w:u w:val="single"/>
        </w:rPr>
        <w:t>Dxm</w:t>
      </w:r>
      <w:r w:rsidR="006C77B0" w:rsidRPr="00980D3E">
        <w:rPr>
          <w:u w:val="single"/>
        </w:rPr>
        <w:t>:</w:t>
      </w:r>
      <w:r w:rsidR="006E0F16" w:rsidRPr="00980D3E">
        <w:rPr>
          <w:u w:val="single"/>
        </w:rPr>
        <w:t xml:space="preserve"> i</w:t>
      </w:r>
      <w:r w:rsidRPr="00980D3E">
        <w:rPr>
          <w:u w:val="single"/>
        </w:rPr>
        <w:t xml:space="preserve">ndirect </w:t>
      </w:r>
      <w:r w:rsidR="006E0F16" w:rsidRPr="00980D3E">
        <w:rPr>
          <w:u w:val="single"/>
        </w:rPr>
        <w:t>t</w:t>
      </w:r>
      <w:r w:rsidR="00E26B14" w:rsidRPr="00980D3E">
        <w:rPr>
          <w:u w:val="single"/>
        </w:rPr>
        <w:t xml:space="preserve">reatment </w:t>
      </w:r>
      <w:r w:rsidR="006E0F16" w:rsidRPr="00980D3E">
        <w:rPr>
          <w:u w:val="single"/>
        </w:rPr>
        <w:t>c</w:t>
      </w:r>
      <w:r w:rsidRPr="00980D3E">
        <w:rPr>
          <w:u w:val="single"/>
        </w:rPr>
        <w:t>omparison</w:t>
      </w:r>
      <w:bookmarkEnd w:id="27"/>
      <w:r w:rsidR="00E26B14" w:rsidRPr="00980D3E">
        <w:rPr>
          <w:u w:val="single"/>
        </w:rPr>
        <w:t xml:space="preserve"> (ITC)</w:t>
      </w:r>
    </w:p>
    <w:p w:rsidR="003E1CA2" w:rsidRPr="00980D3E" w:rsidRDefault="00394638" w:rsidP="00801D53">
      <w:pPr>
        <w:pStyle w:val="3-BodyText"/>
      </w:pPr>
      <w:r w:rsidRPr="00980D3E">
        <w:t xml:space="preserve">Unchanged from the previous submission, the resubmission </w:t>
      </w:r>
      <w:r w:rsidR="00433717" w:rsidRPr="00980D3E">
        <w:t xml:space="preserve">presented </w:t>
      </w:r>
      <w:r w:rsidR="003E1CA2" w:rsidRPr="00980D3E">
        <w:t xml:space="preserve">an ITC between plitidepsin + </w:t>
      </w:r>
      <w:r w:rsidR="00C50AE9" w:rsidRPr="00980D3E">
        <w:t>Dxm</w:t>
      </w:r>
      <w:r w:rsidR="003E1CA2" w:rsidRPr="00980D3E">
        <w:t xml:space="preserve"> and pomalidomide + </w:t>
      </w:r>
      <w:r w:rsidR="00C50AE9" w:rsidRPr="00980D3E">
        <w:t>Dxm</w:t>
      </w:r>
      <w:r w:rsidR="003E1CA2" w:rsidRPr="00980D3E">
        <w:t xml:space="preserve"> using </w:t>
      </w:r>
      <w:r w:rsidR="00C50AE9" w:rsidRPr="00980D3E">
        <w:t>Dxm</w:t>
      </w:r>
      <w:r w:rsidR="003E1CA2" w:rsidRPr="00980D3E">
        <w:t>/HI</w:t>
      </w:r>
      <w:r w:rsidR="00231D97" w:rsidRPr="00980D3E">
        <w:t>-</w:t>
      </w:r>
      <w:r w:rsidR="00C50AE9" w:rsidRPr="00980D3E">
        <w:t>Dxm</w:t>
      </w:r>
      <w:r w:rsidR="003E1CA2" w:rsidRPr="00980D3E">
        <w:t xml:space="preserve"> as the common reference arm</w:t>
      </w:r>
      <w:r w:rsidR="009934F5" w:rsidRPr="00980D3E">
        <w:t xml:space="preserve"> (</w:t>
      </w:r>
      <w:r w:rsidR="00820C9B" w:rsidRPr="00980D3E">
        <w:t>Table 9</w:t>
      </w:r>
      <w:r w:rsidR="009934F5" w:rsidRPr="00980D3E">
        <w:t>)</w:t>
      </w:r>
      <w:r w:rsidR="003E1CA2" w:rsidRPr="00980D3E">
        <w:t xml:space="preserve">. The PBAC </w:t>
      </w:r>
      <w:r w:rsidR="00BD3B06" w:rsidRPr="00980D3E">
        <w:t xml:space="preserve">previously </w:t>
      </w:r>
      <w:r w:rsidR="003E1CA2" w:rsidRPr="00980D3E">
        <w:t>considered that the claim of non-inferior efficacy</w:t>
      </w:r>
      <w:r w:rsidR="00632021" w:rsidRPr="00980D3E">
        <w:t xml:space="preserve"> of plitidepsin + Dxm and pomalidomide + Dxm</w:t>
      </w:r>
      <w:r w:rsidR="003E1CA2" w:rsidRPr="00980D3E">
        <w:t xml:space="preserve"> was </w:t>
      </w:r>
      <w:r w:rsidR="00D413C7" w:rsidRPr="00980D3E">
        <w:t>uncertain</w:t>
      </w:r>
      <w:r w:rsidR="003E1CA2" w:rsidRPr="00980D3E">
        <w:t xml:space="preserve"> (</w:t>
      </w:r>
      <w:r w:rsidR="00534072" w:rsidRPr="00980D3E">
        <w:t>paragraph</w:t>
      </w:r>
      <w:r w:rsidR="003E1CA2" w:rsidRPr="00980D3E">
        <w:t xml:space="preserve"> 7.1, plitidepsin </w:t>
      </w:r>
      <w:r w:rsidR="00534072" w:rsidRPr="00980D3E">
        <w:t>P</w:t>
      </w:r>
      <w:r w:rsidR="00B662D7" w:rsidRPr="00980D3E">
        <w:t>SD</w:t>
      </w:r>
      <w:r w:rsidR="003E1CA2" w:rsidRPr="00980D3E">
        <w:t>, July 2019 PBAC meeting)</w:t>
      </w:r>
      <w:r w:rsidR="00980D3E">
        <w:t xml:space="preserve">. </w:t>
      </w:r>
    </w:p>
    <w:p w:rsidR="00B83033" w:rsidRPr="00980D3E" w:rsidRDefault="00B83033" w:rsidP="00D443C2">
      <w:pPr>
        <w:pStyle w:val="TableHeading"/>
      </w:pPr>
      <w:bookmarkStart w:id="28" w:name="_Ref33524552"/>
      <w:r w:rsidRPr="00980D3E">
        <w:lastRenderedPageBreak/>
        <w:t xml:space="preserve">Table </w:t>
      </w:r>
      <w:r w:rsidR="00820C9B" w:rsidRPr="00980D3E">
        <w:t>9</w:t>
      </w:r>
      <w:bookmarkEnd w:id="28"/>
      <w:r w:rsidRPr="00980D3E">
        <w:t>:  Summary of results of the indirect comparison for effectiveness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1558"/>
        <w:gridCol w:w="1843"/>
        <w:gridCol w:w="1509"/>
      </w:tblGrid>
      <w:tr w:rsidR="00B83033" w:rsidRPr="00980D3E" w:rsidTr="00D443C2">
        <w:trPr>
          <w:tblHeader/>
        </w:trPr>
        <w:tc>
          <w:tcPr>
            <w:tcW w:w="2277" w:type="pct"/>
            <w:tcBorders>
              <w:top w:val="single" w:sz="4" w:space="0" w:color="auto"/>
              <w:left w:val="single" w:sz="4" w:space="0" w:color="auto"/>
              <w:bottom w:val="single" w:sz="4" w:space="0" w:color="auto"/>
              <w:right w:val="single" w:sz="4" w:space="0" w:color="auto"/>
            </w:tcBorders>
            <w:shd w:val="clear" w:color="auto" w:fill="auto"/>
            <w:hideMark/>
          </w:tcPr>
          <w:p w:rsidR="00B83033" w:rsidRPr="00980D3E" w:rsidRDefault="00B83033" w:rsidP="00A321B3">
            <w:pPr>
              <w:keepNext/>
              <w:jc w:val="left"/>
              <w:rPr>
                <w:rFonts w:ascii="Arial Narrow" w:hAnsi="Arial Narrow" w:cs="Arial Narrow"/>
                <w:b/>
                <w:bCs/>
                <w:sz w:val="20"/>
                <w:szCs w:val="20"/>
              </w:rPr>
            </w:pPr>
          </w:p>
        </w:tc>
        <w:tc>
          <w:tcPr>
            <w:tcW w:w="864" w:type="pct"/>
            <w:tcBorders>
              <w:top w:val="single" w:sz="4" w:space="0" w:color="auto"/>
              <w:left w:val="single" w:sz="4" w:space="0" w:color="auto"/>
              <w:bottom w:val="single" w:sz="4" w:space="0" w:color="auto"/>
              <w:right w:val="single" w:sz="4" w:space="0" w:color="auto"/>
            </w:tcBorders>
            <w:shd w:val="clear" w:color="auto" w:fill="auto"/>
            <w:hideMark/>
          </w:tcPr>
          <w:p w:rsidR="00B83033" w:rsidRPr="00980D3E" w:rsidRDefault="00B83033" w:rsidP="00A321B3">
            <w:pPr>
              <w:keepNext/>
              <w:jc w:val="center"/>
              <w:rPr>
                <w:rFonts w:ascii="Arial Narrow" w:hAnsi="Arial Narrow" w:cs="Arial Narrow"/>
                <w:b/>
                <w:bCs/>
                <w:sz w:val="20"/>
                <w:szCs w:val="20"/>
              </w:rPr>
            </w:pPr>
            <w:r w:rsidRPr="00980D3E">
              <w:rPr>
                <w:rFonts w:ascii="Arial Narrow" w:hAnsi="Arial Narrow" w:cs="Arial Narrow"/>
                <w:b/>
                <w:bCs/>
                <w:sz w:val="20"/>
                <w:szCs w:val="20"/>
              </w:rPr>
              <w:t>Experimental</w:t>
            </w:r>
            <w:r w:rsidRPr="00980D3E">
              <w:rPr>
                <w:rFonts w:ascii="Arial Narrow" w:hAnsi="Arial Narrow" w:cs="Arial Narrow"/>
                <w:b/>
                <w:bCs/>
                <w:sz w:val="20"/>
                <w:szCs w:val="20"/>
              </w:rPr>
              <w:br/>
              <w:t xml:space="preserve">median, months </w:t>
            </w:r>
            <w:r w:rsidRPr="00980D3E">
              <w:rPr>
                <w:rFonts w:ascii="Arial Narrow" w:hAnsi="Arial Narrow" w:cs="Arial Narrow"/>
                <w:b/>
                <w:bCs/>
                <w:sz w:val="20"/>
                <w:szCs w:val="20"/>
              </w:rPr>
              <w:br/>
              <w:t>(95% CI)</w:t>
            </w:r>
          </w:p>
        </w:tc>
        <w:tc>
          <w:tcPr>
            <w:tcW w:w="1022" w:type="pct"/>
            <w:tcBorders>
              <w:top w:val="single" w:sz="4" w:space="0" w:color="auto"/>
              <w:left w:val="single" w:sz="4" w:space="0" w:color="auto"/>
              <w:bottom w:val="single" w:sz="4" w:space="0" w:color="auto"/>
              <w:right w:val="single" w:sz="4" w:space="0" w:color="auto"/>
            </w:tcBorders>
            <w:shd w:val="clear" w:color="auto" w:fill="auto"/>
            <w:hideMark/>
          </w:tcPr>
          <w:p w:rsidR="00B83033" w:rsidRPr="00980D3E" w:rsidRDefault="00B83033" w:rsidP="00A321B3">
            <w:pPr>
              <w:keepNext/>
              <w:jc w:val="center"/>
              <w:rPr>
                <w:rFonts w:ascii="Arial Narrow" w:hAnsi="Arial Narrow" w:cs="Arial Narrow"/>
                <w:b/>
                <w:bCs/>
                <w:sz w:val="20"/>
                <w:szCs w:val="20"/>
              </w:rPr>
            </w:pPr>
            <w:r w:rsidRPr="00980D3E">
              <w:rPr>
                <w:rFonts w:ascii="Arial Narrow" w:hAnsi="Arial Narrow" w:cs="Arial Narrow"/>
                <w:b/>
                <w:bCs/>
                <w:sz w:val="20"/>
                <w:szCs w:val="20"/>
              </w:rPr>
              <w:t>Common reference</w:t>
            </w:r>
            <w:r w:rsidRPr="00980D3E">
              <w:rPr>
                <w:rFonts w:ascii="Arial Narrow" w:hAnsi="Arial Narrow" w:cs="Arial Narrow"/>
                <w:b/>
                <w:bCs/>
                <w:sz w:val="20"/>
                <w:szCs w:val="20"/>
              </w:rPr>
              <w:br/>
              <w:t xml:space="preserve">median, months </w:t>
            </w:r>
            <w:r w:rsidRPr="00980D3E">
              <w:rPr>
                <w:rFonts w:ascii="Arial Narrow" w:hAnsi="Arial Narrow" w:cs="Arial Narrow"/>
                <w:b/>
                <w:bCs/>
                <w:sz w:val="20"/>
                <w:szCs w:val="20"/>
              </w:rPr>
              <w:br/>
              <w:t>(95% CI)</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83033" w:rsidRPr="00980D3E" w:rsidRDefault="00B83033" w:rsidP="00A321B3">
            <w:pPr>
              <w:keepNext/>
              <w:jc w:val="center"/>
              <w:rPr>
                <w:rFonts w:ascii="Arial Narrow" w:hAnsi="Arial Narrow" w:cs="Arial Narrow"/>
                <w:b/>
                <w:bCs/>
                <w:sz w:val="20"/>
                <w:szCs w:val="20"/>
              </w:rPr>
            </w:pPr>
            <w:r w:rsidRPr="00980D3E">
              <w:rPr>
                <w:rFonts w:ascii="Arial Narrow" w:hAnsi="Arial Narrow" w:cs="Arial Narrow"/>
                <w:b/>
                <w:bCs/>
                <w:sz w:val="20"/>
                <w:szCs w:val="20"/>
              </w:rPr>
              <w:t>HR (95% CI)</w:t>
            </w:r>
          </w:p>
        </w:tc>
      </w:tr>
      <w:tr w:rsidR="006E0F16" w:rsidRPr="00980D3E" w:rsidTr="00D443C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left"/>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PFS with confirmation of PD: IRC</w:t>
            </w:r>
          </w:p>
        </w:tc>
      </w:tr>
      <w:tr w:rsidR="006E0F16"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Plitidepsin + Dxm vs. Dxm [ADMYRE]</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5.0 (3.0, 6.4)</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2.0 (1.7, 3.0)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center"/>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0.52 (0.35, 0.76)</w:t>
            </w:r>
          </w:p>
        </w:tc>
      </w:tr>
      <w:tr w:rsidR="006E0F16"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 xml:space="preserve">Pomalidomide + Dxm vs. HI-Dxm [NIMBUS] </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center"/>
              <w:rPr>
                <w:rFonts w:ascii="Arial Narrow" w:eastAsiaTheme="minorHAnsi" w:hAnsi="Arial Narrow" w:cstheme="minorBidi"/>
                <w:sz w:val="20"/>
                <w:szCs w:val="20"/>
              </w:rPr>
            </w:pPr>
            <w:r w:rsidRPr="00980D3E">
              <w:rPr>
                <w:rFonts w:ascii="Arial Narrow" w:eastAsiaTheme="minorHAnsi" w:hAnsi="Arial Narrow" w:cs="Times New Roman"/>
                <w:sz w:val="20"/>
                <w:szCs w:val="20"/>
              </w:rPr>
              <w:t>3.7 (3.0, 4.5)</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jc w:val="center"/>
              <w:rPr>
                <w:rFonts w:ascii="Arial Narrow" w:eastAsiaTheme="minorHAnsi" w:hAnsi="Arial Narrow" w:cstheme="minorBidi"/>
                <w:sz w:val="20"/>
                <w:szCs w:val="20"/>
              </w:rPr>
            </w:pPr>
            <w:r w:rsidRPr="00980D3E">
              <w:rPr>
                <w:rFonts w:ascii="Arial Narrow" w:hAnsi="Arial Narrow" w:cs="Times New Roman"/>
                <w:sz w:val="20"/>
                <w:szCs w:val="20"/>
              </w:rPr>
              <w:t xml:space="preserve">1.9 </w:t>
            </w:r>
            <w:r w:rsidRPr="00980D3E">
              <w:rPr>
                <w:rFonts w:ascii="Arial Narrow" w:eastAsiaTheme="minorHAnsi" w:hAnsi="Arial Narrow" w:cs="Times New Roman"/>
                <w:sz w:val="20"/>
                <w:szCs w:val="20"/>
              </w:rPr>
              <w:t>(1.6, 2.2)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center"/>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0.49 (0.39, 0.61)</w:t>
            </w:r>
          </w:p>
        </w:tc>
      </w:tr>
      <w:tr w:rsidR="006E0F16"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Indirect estimate of effect adjusted for the common reference</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0F16" w:rsidRPr="00980D3E" w:rsidRDefault="006E0F16" w:rsidP="0040695C">
            <w:pPr>
              <w:keepNext/>
              <w:jc w:val="center"/>
              <w:rPr>
                <w:rFonts w:ascii="Arial Narrow" w:eastAsiaTheme="minorHAnsi" w:hAnsi="Arial Narrow" w:cstheme="minorBidi"/>
                <w:b/>
                <w:sz w:val="20"/>
                <w:szCs w:val="20"/>
              </w:rPr>
            </w:pPr>
            <w:r w:rsidRPr="00980D3E">
              <w:rPr>
                <w:rFonts w:ascii="Arial Narrow" w:eastAsiaTheme="minorHAnsi" w:hAnsi="Arial Narrow" w:cstheme="minorBidi"/>
                <w:sz w:val="20"/>
                <w:szCs w:val="20"/>
              </w:rPr>
              <w:t>1.06 (0.68, 1.64</w:t>
            </w:r>
            <w:r w:rsidRPr="00980D3E">
              <w:rPr>
                <w:rFonts w:ascii="Arial Narrow" w:eastAsiaTheme="minorHAnsi" w:hAnsi="Arial Narrow" w:cstheme="minorBidi"/>
                <w:b/>
                <w:sz w:val="20"/>
                <w:szCs w:val="20"/>
              </w:rPr>
              <w:t>)</w:t>
            </w:r>
          </w:p>
        </w:tc>
      </w:tr>
      <w:tr w:rsidR="00B83033" w:rsidRPr="00980D3E" w:rsidTr="00D443C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83033" w:rsidRPr="00980D3E" w:rsidRDefault="006E0F16" w:rsidP="0040695C">
            <w:pPr>
              <w:keepNext/>
              <w:jc w:val="left"/>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PFS with</w:t>
            </w:r>
            <w:r w:rsidR="0040695C" w:rsidRPr="00980D3E">
              <w:rPr>
                <w:rFonts w:ascii="Arial Narrow" w:eastAsiaTheme="minorHAnsi" w:hAnsi="Arial Narrow" w:cstheme="minorBidi"/>
                <w:b/>
                <w:sz w:val="20"/>
                <w:szCs w:val="20"/>
              </w:rPr>
              <w:t>out</w:t>
            </w:r>
            <w:r w:rsidRPr="00980D3E">
              <w:rPr>
                <w:rFonts w:ascii="Arial Narrow" w:eastAsiaTheme="minorHAnsi" w:hAnsi="Arial Narrow" w:cstheme="minorBidi"/>
                <w:b/>
                <w:sz w:val="20"/>
                <w:szCs w:val="20"/>
              </w:rPr>
              <w:t xml:space="preserve"> confirmation of PD:</w:t>
            </w:r>
            <w:r w:rsidR="0040695C" w:rsidRPr="00980D3E">
              <w:rPr>
                <w:rFonts w:ascii="Arial Narrow" w:eastAsiaTheme="minorHAnsi" w:hAnsi="Arial Narrow" w:cstheme="minorBidi"/>
                <w:b/>
                <w:sz w:val="20"/>
                <w:szCs w:val="20"/>
              </w:rPr>
              <w:t xml:space="preserve"> IRC</w:t>
            </w:r>
          </w:p>
        </w:tc>
      </w:tr>
      <w:tr w:rsidR="0040695C"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40695C" w:rsidP="0040695C">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Plitidepsin + Dxm vs. Dxm [ADMYRE]</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40695C" w:rsidP="0040695C">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2.6 (1.9, 3.0)</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40695C" w:rsidP="0040695C">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1.7 (1.1, 2.0)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5D1DA4" w:rsidP="0040695C">
            <w:pPr>
              <w:keepNext/>
              <w:jc w:val="center"/>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0.65 (0.48, 0.89)</w:t>
            </w:r>
          </w:p>
        </w:tc>
      </w:tr>
      <w:tr w:rsidR="0040695C"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40695C" w:rsidP="0040695C">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 xml:space="preserve">Pomalidomide + Dxm vs. HI-Dxm [NIMBUS] </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40695C" w:rsidP="0040695C">
            <w:pPr>
              <w:keepNext/>
              <w:jc w:val="center"/>
              <w:rPr>
                <w:rFonts w:ascii="Arial Narrow" w:eastAsiaTheme="minorHAnsi" w:hAnsi="Arial Narrow" w:cstheme="minorBidi"/>
                <w:sz w:val="20"/>
                <w:szCs w:val="20"/>
              </w:rPr>
            </w:pPr>
            <w:r w:rsidRPr="00980D3E">
              <w:rPr>
                <w:rFonts w:ascii="Arial Narrow" w:eastAsiaTheme="minorHAnsi" w:hAnsi="Arial Narrow" w:cs="Times New Roman"/>
                <w:sz w:val="20"/>
                <w:szCs w:val="20"/>
              </w:rPr>
              <w:t>3.7 (3.0, 4.5)</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40695C" w:rsidP="0040695C">
            <w:pPr>
              <w:jc w:val="center"/>
              <w:rPr>
                <w:rFonts w:ascii="Arial Narrow" w:eastAsiaTheme="minorHAnsi" w:hAnsi="Arial Narrow" w:cstheme="minorBidi"/>
                <w:sz w:val="20"/>
                <w:szCs w:val="20"/>
              </w:rPr>
            </w:pPr>
            <w:r w:rsidRPr="00980D3E">
              <w:rPr>
                <w:rFonts w:ascii="Arial Narrow" w:hAnsi="Arial Narrow" w:cs="Times New Roman"/>
                <w:sz w:val="20"/>
                <w:szCs w:val="20"/>
              </w:rPr>
              <w:t xml:space="preserve">1.9 </w:t>
            </w:r>
            <w:r w:rsidRPr="00980D3E">
              <w:rPr>
                <w:rFonts w:ascii="Arial Narrow" w:eastAsiaTheme="minorHAnsi" w:hAnsi="Arial Narrow" w:cs="Times New Roman"/>
                <w:sz w:val="20"/>
                <w:szCs w:val="20"/>
              </w:rPr>
              <w:t>(1.6, 2.2)</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40695C" w:rsidP="0040695C">
            <w:pPr>
              <w:keepNext/>
              <w:jc w:val="center"/>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0.49 (0.39, 0.61)</w:t>
            </w:r>
          </w:p>
        </w:tc>
      </w:tr>
      <w:tr w:rsidR="0040695C"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40695C" w:rsidP="0040695C">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Indirect estimate of effect adjusted for the common reference</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40695C" w:rsidP="0040695C">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40695C" w:rsidP="0040695C">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40695C" w:rsidRPr="00980D3E" w:rsidRDefault="006C060F" w:rsidP="0040695C">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1.33 (0.87, 2.02)</w:t>
            </w:r>
          </w:p>
        </w:tc>
      </w:tr>
      <w:tr w:rsidR="00B83033" w:rsidRPr="00980D3E" w:rsidTr="00D443C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83033" w:rsidRPr="00980D3E" w:rsidRDefault="00B83033" w:rsidP="00A321B3">
            <w:pPr>
              <w:keepNext/>
              <w:jc w:val="left"/>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Overall survival (ITT)</w:t>
            </w:r>
          </w:p>
        </w:tc>
      </w:tr>
      <w:tr w:rsidR="00B83033"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Plitidepsin + Dxm vs. Dxm [ADMYRE]</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11.6 (9.2, 16.1)</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b/>
                <w:sz w:val="20"/>
                <w:szCs w:val="20"/>
              </w:rPr>
            </w:pPr>
            <w:r w:rsidRPr="00980D3E">
              <w:rPr>
                <w:rFonts w:ascii="Arial Narrow" w:eastAsiaTheme="minorHAnsi" w:hAnsi="Arial Narrow" w:cstheme="minorBidi"/>
                <w:sz w:val="20"/>
                <w:szCs w:val="20"/>
              </w:rPr>
              <w:t>8.9 (6.0, 15.4)</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b/>
                <w:sz w:val="20"/>
                <w:szCs w:val="20"/>
              </w:rPr>
            </w:pPr>
            <w:r w:rsidRPr="00980D3E">
              <w:rPr>
                <w:rFonts w:ascii="Arial Narrow" w:eastAsiaTheme="minorHAnsi" w:hAnsi="Arial Narrow" w:cstheme="minorBidi"/>
                <w:sz w:val="20"/>
                <w:szCs w:val="20"/>
              </w:rPr>
              <w:t>0.80 (0.60, 1.07)</w:t>
            </w:r>
          </w:p>
        </w:tc>
      </w:tr>
      <w:tr w:rsidR="00B83033"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 xml:space="preserve">Pomalidomide + Dxm vs. HI-Dxm [NIMBUS] </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13.1 (11.0, 15.4)</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b/>
                <w:sz w:val="20"/>
                <w:szCs w:val="20"/>
              </w:rPr>
            </w:pPr>
            <w:r w:rsidRPr="00980D3E">
              <w:rPr>
                <w:rFonts w:ascii="Arial Narrow" w:eastAsiaTheme="minorHAnsi" w:hAnsi="Arial Narrow" w:cstheme="minorBidi"/>
                <w:sz w:val="20"/>
                <w:szCs w:val="20"/>
              </w:rPr>
              <w:t>8.1 (6.9, 9.2)</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0.72 (0.56, 0.92)</w:t>
            </w:r>
          </w:p>
        </w:tc>
      </w:tr>
      <w:tr w:rsidR="00B83033"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Indirect estimate of effect adjusted for the common reference</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B83033" w:rsidRPr="00980D3E" w:rsidRDefault="00B83033" w:rsidP="00A321B3">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B83033" w:rsidRPr="00980D3E" w:rsidRDefault="00B83033" w:rsidP="00A321B3">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B83033" w:rsidRPr="00980D3E" w:rsidRDefault="00B83033" w:rsidP="00A321B3">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1.11 (0.76, 1.62)</w:t>
            </w:r>
          </w:p>
        </w:tc>
      </w:tr>
      <w:tr w:rsidR="00B83033" w:rsidRPr="00980D3E" w:rsidTr="00D443C2">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83033" w:rsidRPr="00980D3E" w:rsidRDefault="00B83033" w:rsidP="00A321B3">
            <w:pPr>
              <w:keepNext/>
              <w:jc w:val="left"/>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Overall survival (two-stage method)</w:t>
            </w:r>
          </w:p>
        </w:tc>
      </w:tr>
      <w:tr w:rsidR="00B83033"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Plitidepsin + Dxm vs. Dxm [ADMYRE]</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11.6 (9.2, 16.1)</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b/>
                <w:sz w:val="20"/>
                <w:szCs w:val="20"/>
              </w:rPr>
            </w:pPr>
            <w:r w:rsidRPr="00980D3E">
              <w:rPr>
                <w:rFonts w:ascii="Arial Narrow" w:eastAsiaTheme="minorHAnsi" w:hAnsi="Arial Narrow" w:cstheme="minorBidi"/>
                <w:sz w:val="20"/>
                <w:szCs w:val="20"/>
              </w:rPr>
              <w:t>6.7 (5.7, 9.7)</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0.67 (0.50, 0.90)</w:t>
            </w:r>
          </w:p>
        </w:tc>
      </w:tr>
      <w:tr w:rsidR="00B83033"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 xml:space="preserve">Pomalidomide + Dxm vs. HI-Dxm [NIMBUS] </w:t>
            </w:r>
          </w:p>
        </w:tc>
        <w:tc>
          <w:tcPr>
            <w:tcW w:w="864"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12.7 (10.4,15.5)</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b/>
                <w:sz w:val="20"/>
                <w:szCs w:val="20"/>
              </w:rPr>
            </w:pPr>
            <w:r w:rsidRPr="00980D3E">
              <w:rPr>
                <w:rFonts w:ascii="Arial Narrow" w:eastAsiaTheme="minorHAnsi" w:hAnsi="Arial Narrow" w:cstheme="minorBidi"/>
                <w:sz w:val="20"/>
                <w:szCs w:val="20"/>
              </w:rPr>
              <w:t>5.7 (4.2, 7.5)</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center"/>
              <w:rPr>
                <w:rFonts w:ascii="Arial Narrow" w:eastAsiaTheme="minorHAnsi" w:hAnsi="Arial Narrow" w:cstheme="minorBidi"/>
                <w:b/>
                <w:sz w:val="20"/>
                <w:szCs w:val="20"/>
              </w:rPr>
            </w:pPr>
            <w:r w:rsidRPr="00980D3E">
              <w:rPr>
                <w:rFonts w:ascii="Arial Narrow" w:eastAsiaTheme="minorHAnsi" w:hAnsi="Arial Narrow" w:cstheme="minorBidi"/>
                <w:b/>
                <w:sz w:val="20"/>
                <w:szCs w:val="20"/>
              </w:rPr>
              <w:t>0.52 (0.39, 0.68)</w:t>
            </w:r>
          </w:p>
        </w:tc>
      </w:tr>
      <w:tr w:rsidR="00B83033" w:rsidRPr="00980D3E" w:rsidTr="00D443C2">
        <w:tc>
          <w:tcPr>
            <w:tcW w:w="2277" w:type="pct"/>
            <w:tcBorders>
              <w:top w:val="single" w:sz="4" w:space="0" w:color="auto"/>
              <w:left w:val="single" w:sz="4" w:space="0" w:color="auto"/>
              <w:bottom w:val="single" w:sz="4" w:space="0" w:color="auto"/>
              <w:right w:val="single" w:sz="4" w:space="0" w:color="auto"/>
            </w:tcBorders>
            <w:shd w:val="clear" w:color="auto" w:fill="auto"/>
          </w:tcPr>
          <w:p w:rsidR="00B83033" w:rsidRPr="00980D3E" w:rsidRDefault="00B83033" w:rsidP="00A321B3">
            <w:pPr>
              <w:keepNext/>
              <w:jc w:val="left"/>
              <w:rPr>
                <w:rFonts w:ascii="Arial Narrow" w:eastAsiaTheme="minorHAnsi" w:hAnsi="Arial Narrow" w:cstheme="minorBidi"/>
                <w:sz w:val="20"/>
                <w:szCs w:val="20"/>
              </w:rPr>
            </w:pPr>
            <w:r w:rsidRPr="00980D3E">
              <w:rPr>
                <w:rFonts w:ascii="Arial Narrow" w:eastAsiaTheme="minorHAnsi" w:hAnsi="Arial Narrow" w:cstheme="minorBidi"/>
                <w:sz w:val="20"/>
                <w:szCs w:val="20"/>
              </w:rPr>
              <w:t>Indirect estimate of effect adjusted for the common reference</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B83033" w:rsidRPr="00980D3E" w:rsidRDefault="00B83033" w:rsidP="00A321B3">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w:t>
            </w:r>
          </w:p>
        </w:tc>
        <w:tc>
          <w:tcPr>
            <w:tcW w:w="1022" w:type="pct"/>
            <w:tcBorders>
              <w:top w:val="single" w:sz="4" w:space="0" w:color="auto"/>
              <w:left w:val="single" w:sz="4" w:space="0" w:color="auto"/>
              <w:bottom w:val="single" w:sz="4" w:space="0" w:color="auto"/>
              <w:right w:val="single" w:sz="4" w:space="0" w:color="auto"/>
            </w:tcBorders>
            <w:shd w:val="clear" w:color="auto" w:fill="auto"/>
            <w:vAlign w:val="center"/>
          </w:tcPr>
          <w:p w:rsidR="00B83033" w:rsidRPr="00980D3E" w:rsidRDefault="00B83033" w:rsidP="00A321B3">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B83033" w:rsidRPr="00980D3E" w:rsidRDefault="00B83033" w:rsidP="00A321B3">
            <w:pPr>
              <w:keepNext/>
              <w:jc w:val="center"/>
              <w:rPr>
                <w:rFonts w:ascii="Arial Narrow" w:eastAsiaTheme="minorHAnsi" w:hAnsi="Arial Narrow" w:cstheme="minorBidi"/>
                <w:sz w:val="20"/>
                <w:szCs w:val="20"/>
              </w:rPr>
            </w:pPr>
            <w:r w:rsidRPr="00980D3E">
              <w:rPr>
                <w:rFonts w:ascii="Arial Narrow" w:eastAsiaTheme="minorHAnsi" w:hAnsi="Arial Narrow" w:cstheme="minorBidi"/>
                <w:sz w:val="20"/>
                <w:szCs w:val="20"/>
              </w:rPr>
              <w:t>1.28 (0.86, 1.92)</w:t>
            </w:r>
          </w:p>
        </w:tc>
      </w:tr>
    </w:tbl>
    <w:p w:rsidR="00B83033" w:rsidRPr="00980D3E" w:rsidRDefault="00B83033" w:rsidP="00D443C2">
      <w:pPr>
        <w:pStyle w:val="TableFigureFooter"/>
        <w:rPr>
          <w:rFonts w:eastAsiaTheme="minorHAnsi"/>
        </w:rPr>
      </w:pPr>
      <w:r w:rsidRPr="00980D3E">
        <w:rPr>
          <w:rFonts w:eastAsiaTheme="minorHAnsi"/>
        </w:rPr>
        <w:t xml:space="preserve">Source: Table 62, p158, Table 63, p159 of the resubmission; Table 22, p72; </w:t>
      </w:r>
      <w:r w:rsidRPr="00980D3E">
        <w:rPr>
          <w:szCs w:val="18"/>
        </w:rPr>
        <w:t>Table 23, p151</w:t>
      </w:r>
      <w:r w:rsidR="0040695C" w:rsidRPr="00980D3E">
        <w:rPr>
          <w:szCs w:val="18"/>
        </w:rPr>
        <w:t>, NICE committee-papers [ID985]</w:t>
      </w:r>
    </w:p>
    <w:p w:rsidR="00B83033" w:rsidRPr="00980D3E" w:rsidRDefault="00B83033" w:rsidP="00D443C2">
      <w:pPr>
        <w:pStyle w:val="TableFigureFooter"/>
        <w:rPr>
          <w:rFonts w:eastAsiaTheme="minorHAnsi"/>
          <w:szCs w:val="18"/>
        </w:rPr>
      </w:pPr>
      <w:r w:rsidRPr="00980D3E">
        <w:rPr>
          <w:rFonts w:eastAsiaTheme="minorHAnsi"/>
          <w:szCs w:val="18"/>
        </w:rPr>
        <w:t>CI = confidence interval; Dxm = dexamethasone; HI-Dxm = high-dose dexamethasone; HR = hazard ratio; IRC =</w:t>
      </w:r>
      <w:r w:rsidRPr="00980D3E">
        <w:rPr>
          <w:rFonts w:asciiTheme="minorHAnsi" w:eastAsiaTheme="minorHAnsi" w:hAnsiTheme="minorHAnsi"/>
        </w:rPr>
        <w:t xml:space="preserve"> </w:t>
      </w:r>
      <w:r w:rsidRPr="00980D3E">
        <w:rPr>
          <w:rFonts w:eastAsiaTheme="minorHAnsi"/>
          <w:szCs w:val="18"/>
        </w:rPr>
        <w:t xml:space="preserve">independent review committee; </w:t>
      </w:r>
      <w:r w:rsidRPr="00980D3E">
        <w:rPr>
          <w:rFonts w:eastAsiaTheme="minorHAnsi"/>
        </w:rPr>
        <w:t xml:space="preserve">ITT = intention to treat; </w:t>
      </w:r>
      <w:r w:rsidRPr="00980D3E">
        <w:rPr>
          <w:rFonts w:eastAsiaTheme="minorHAnsi"/>
          <w:szCs w:val="18"/>
        </w:rPr>
        <w:t xml:space="preserve">PD = progressed disease; PFS = progression-free survival; vs = versus; </w:t>
      </w:r>
      <w:r w:rsidR="003D16F0" w:rsidRPr="00980D3E">
        <w:rPr>
          <w:rFonts w:eastAsiaTheme="minorHAnsi"/>
          <w:b/>
          <w:szCs w:val="18"/>
        </w:rPr>
        <w:t>b</w:t>
      </w:r>
      <w:r w:rsidRPr="00980D3E">
        <w:rPr>
          <w:rFonts w:eastAsiaTheme="minorHAnsi"/>
          <w:b/>
          <w:szCs w:val="18"/>
        </w:rPr>
        <w:t>old</w:t>
      </w:r>
      <w:r w:rsidRPr="00980D3E">
        <w:rPr>
          <w:rFonts w:eastAsiaTheme="minorHAnsi"/>
          <w:szCs w:val="18"/>
        </w:rPr>
        <w:t xml:space="preserve"> = statistical significance.</w:t>
      </w:r>
    </w:p>
    <w:p w:rsidR="002B00DB" w:rsidRPr="00980D3E" w:rsidRDefault="002B00DB" w:rsidP="00B83033">
      <w:pPr>
        <w:pStyle w:val="3-BodyText"/>
      </w:pPr>
      <w:r w:rsidRPr="00980D3E">
        <w:t xml:space="preserve">The </w:t>
      </w:r>
      <w:r w:rsidR="00884A2E" w:rsidRPr="00980D3E">
        <w:t>ESC</w:t>
      </w:r>
      <w:r w:rsidRPr="00980D3E">
        <w:t xml:space="preserve"> considered that the most relevant ITC comparison for PFS would be a comparison which used PFS without </w:t>
      </w:r>
      <w:r w:rsidR="00234614" w:rsidRPr="00980D3E">
        <w:t xml:space="preserve">PD </w:t>
      </w:r>
      <w:r w:rsidRPr="00980D3E">
        <w:t>confirmation</w:t>
      </w:r>
      <w:r w:rsidR="00BB6554" w:rsidRPr="00980D3E">
        <w:t xml:space="preserve"> for plitidepsin + Dxm</w:t>
      </w:r>
      <w:r w:rsidRPr="00980D3E">
        <w:t xml:space="preserve">. The </w:t>
      </w:r>
      <w:r w:rsidR="00884A2E" w:rsidRPr="00980D3E">
        <w:t>ESC</w:t>
      </w:r>
      <w:r w:rsidRPr="00980D3E">
        <w:t xml:space="preserve"> noted that this resulted in a hazard ratio of 1.33 (95% CI: 0.87, 2.02).</w:t>
      </w:r>
    </w:p>
    <w:p w:rsidR="00B83033" w:rsidRPr="00980D3E" w:rsidRDefault="00B83033" w:rsidP="00B83033">
      <w:pPr>
        <w:pStyle w:val="3-BodyText"/>
      </w:pPr>
      <w:r w:rsidRPr="00980D3E">
        <w:t xml:space="preserve">The </w:t>
      </w:r>
      <w:r w:rsidR="00884A2E" w:rsidRPr="00980D3E">
        <w:t>ESC</w:t>
      </w:r>
      <w:r w:rsidRPr="00980D3E">
        <w:t xml:space="preserve"> noted that the HR point estimates for each of the PFS and OS analyses in the ITC were greater than one, which favoured pomalidomide</w:t>
      </w:r>
      <w:r w:rsidR="00C5361B" w:rsidRPr="00980D3E">
        <w:t>,</w:t>
      </w:r>
      <w:r w:rsidR="001C4F83" w:rsidRPr="00980D3E">
        <w:t xml:space="preserve"> and that t</w:t>
      </w:r>
      <w:r w:rsidRPr="00980D3E">
        <w:t xml:space="preserve">he resubmission did not nominate non-inferiority margins for PFS </w:t>
      </w:r>
      <w:r w:rsidR="00BB6554" w:rsidRPr="00980D3E">
        <w:t xml:space="preserve">or </w:t>
      </w:r>
      <w:r w:rsidRPr="00980D3E">
        <w:t xml:space="preserve">OS. </w:t>
      </w:r>
      <w:r w:rsidR="00C5361B" w:rsidRPr="00980D3E">
        <w:t xml:space="preserve">In </w:t>
      </w:r>
      <w:r w:rsidRPr="00980D3E">
        <w:t xml:space="preserve">the July 2019 PBAC consideration of pomalidomide, the PBAC noted that the upper limits of the 95% confidence intervals were in the region of 1.6, which may exceed a reasonable non-inferiority margin [for PFS and OS] (paragraph 7.9, pomalidomide, PSD, July 2019 PBAC meeting). </w:t>
      </w:r>
      <w:r w:rsidR="001C4F83" w:rsidRPr="00980D3E">
        <w:t xml:space="preserve">The </w:t>
      </w:r>
      <w:r w:rsidR="00884A2E" w:rsidRPr="00980D3E">
        <w:t>ESC</w:t>
      </w:r>
      <w:r w:rsidR="001C4F83" w:rsidRPr="00980D3E">
        <w:t xml:space="preserve"> </w:t>
      </w:r>
      <w:r w:rsidR="00C5361B" w:rsidRPr="00980D3E">
        <w:t xml:space="preserve">considered </w:t>
      </w:r>
      <w:r w:rsidR="00933149" w:rsidRPr="00980D3E">
        <w:t xml:space="preserve">that </w:t>
      </w:r>
      <w:r w:rsidR="001C4F83" w:rsidRPr="00980D3E">
        <w:t>a</w:t>
      </w:r>
      <w:r w:rsidRPr="00980D3E">
        <w:t>s the upper limits of the 95% confidence intervals for PFS</w:t>
      </w:r>
      <w:r w:rsidR="005C0BFD" w:rsidRPr="00980D3E">
        <w:t xml:space="preserve">, when </w:t>
      </w:r>
      <w:r w:rsidR="00405A89" w:rsidRPr="00980D3E">
        <w:t>using plitidepsin</w:t>
      </w:r>
      <w:r w:rsidRPr="00980D3E">
        <w:t xml:space="preserve"> </w:t>
      </w:r>
      <w:r w:rsidR="008705E3" w:rsidRPr="00980D3E">
        <w:t xml:space="preserve">without PD confirmation </w:t>
      </w:r>
      <w:r w:rsidR="00405A89" w:rsidRPr="00980D3E">
        <w:t xml:space="preserve">in the ITC, </w:t>
      </w:r>
      <w:r w:rsidR="008705E3" w:rsidRPr="00980D3E">
        <w:t>exceeded 2.0</w:t>
      </w:r>
      <w:r w:rsidR="00405A89" w:rsidRPr="00980D3E">
        <w:t xml:space="preserve"> </w:t>
      </w:r>
      <w:r w:rsidRPr="00980D3E">
        <w:t xml:space="preserve">and </w:t>
      </w:r>
      <w:r w:rsidR="00405A89" w:rsidRPr="00980D3E">
        <w:t xml:space="preserve">for </w:t>
      </w:r>
      <w:r w:rsidRPr="00980D3E">
        <w:t xml:space="preserve">OS exceeded 1.6, </w:t>
      </w:r>
      <w:r w:rsidR="00405A89" w:rsidRPr="00980D3E">
        <w:t xml:space="preserve">that </w:t>
      </w:r>
      <w:r w:rsidRPr="00980D3E">
        <w:t>the claim in the resubmission that plitidepsin + Dxm has non</w:t>
      </w:r>
      <w:r w:rsidRPr="00980D3E">
        <w:noBreakHyphen/>
        <w:t>inferior effectiveness compared with pomalidomide + Dxm may not be supported.</w:t>
      </w:r>
    </w:p>
    <w:p w:rsidR="00394638" w:rsidRPr="00980D3E" w:rsidRDefault="00E36627" w:rsidP="00651372">
      <w:pPr>
        <w:pStyle w:val="3-BodyText"/>
      </w:pPr>
      <w:r w:rsidRPr="00980D3E">
        <w:t>T</w:t>
      </w:r>
      <w:r w:rsidR="003E1CA2" w:rsidRPr="00980D3E">
        <w:t>ransitivity issues noted in the resubmission and during the previous PBAC consideration includ</w:t>
      </w:r>
      <w:r w:rsidRPr="00980D3E">
        <w:t>ed</w:t>
      </w:r>
      <w:r w:rsidR="003E1CA2" w:rsidRPr="00980D3E">
        <w:t>:</w:t>
      </w:r>
    </w:p>
    <w:p w:rsidR="003E1CA2" w:rsidRPr="00980D3E" w:rsidRDefault="003E1CA2" w:rsidP="00B77C86">
      <w:pPr>
        <w:pStyle w:val="3-BodyText"/>
        <w:numPr>
          <w:ilvl w:val="0"/>
          <w:numId w:val="8"/>
        </w:numPr>
        <w:ind w:left="1077" w:hanging="357"/>
      </w:pPr>
      <w:r w:rsidRPr="00980D3E">
        <w:t xml:space="preserve">Differences in the </w:t>
      </w:r>
      <w:r w:rsidR="00E36627" w:rsidRPr="00980D3E">
        <w:t xml:space="preserve">comparator arm </w:t>
      </w:r>
      <w:r w:rsidR="00C50AE9" w:rsidRPr="00980D3E">
        <w:t>Dxm</w:t>
      </w:r>
      <w:r w:rsidRPr="00980D3E">
        <w:t xml:space="preserve"> regimens u</w:t>
      </w:r>
      <w:r w:rsidR="00E36627" w:rsidRPr="00980D3E">
        <w:t>tilised</w:t>
      </w:r>
      <w:r w:rsidRPr="00980D3E">
        <w:t xml:space="preserve"> </w:t>
      </w:r>
      <w:r w:rsidR="00E36627" w:rsidRPr="00980D3E">
        <w:t>in</w:t>
      </w:r>
      <w:r w:rsidRPr="00980D3E">
        <w:t xml:space="preserve"> the trials. The comparator arm of ADMYRE u</w:t>
      </w:r>
      <w:r w:rsidR="00E36627" w:rsidRPr="00980D3E">
        <w:t>tili</w:t>
      </w:r>
      <w:r w:rsidRPr="00980D3E">
        <w:t xml:space="preserve">sed a low-dose </w:t>
      </w:r>
      <w:r w:rsidR="00C50AE9" w:rsidRPr="00980D3E">
        <w:t>Dxm</w:t>
      </w:r>
      <w:r w:rsidRPr="00980D3E">
        <w:t xml:space="preserve"> regimen (40 mg </w:t>
      </w:r>
      <w:r w:rsidR="00C50AE9" w:rsidRPr="00980D3E">
        <w:t>Dxm</w:t>
      </w:r>
      <w:r w:rsidRPr="00980D3E">
        <w:t xml:space="preserve"> on </w:t>
      </w:r>
      <w:r w:rsidR="00B662D7" w:rsidRPr="00980D3E">
        <w:t>Day</w:t>
      </w:r>
      <w:r w:rsidRPr="00980D3E">
        <w:t xml:space="preserve"> 1, 8, 15, 22 of a 28-day cycle) while the NIMBUS trial </w:t>
      </w:r>
      <w:r w:rsidR="00E36627" w:rsidRPr="00980D3E">
        <w:t xml:space="preserve">utilised </w:t>
      </w:r>
      <w:r w:rsidRPr="00980D3E">
        <w:t xml:space="preserve">a high-dose </w:t>
      </w:r>
      <w:r w:rsidR="00C50AE9" w:rsidRPr="00980D3E">
        <w:t>Dxm</w:t>
      </w:r>
      <w:r w:rsidRPr="00980D3E">
        <w:t xml:space="preserve"> </w:t>
      </w:r>
      <w:r w:rsidRPr="00980D3E">
        <w:lastRenderedPageBreak/>
        <w:t>regimen (HI-</w:t>
      </w:r>
      <w:r w:rsidR="00C50AE9" w:rsidRPr="00980D3E">
        <w:t>Dxm</w:t>
      </w:r>
      <w:r w:rsidRPr="00980D3E">
        <w:t xml:space="preserve">: 40 mg </w:t>
      </w:r>
      <w:r w:rsidR="00C50AE9" w:rsidRPr="00980D3E">
        <w:t>Dxm</w:t>
      </w:r>
      <w:r w:rsidRPr="00980D3E">
        <w:t xml:space="preserve"> (20 mg if over 75 years) on </w:t>
      </w:r>
      <w:r w:rsidR="00B662D7" w:rsidRPr="00980D3E">
        <w:t>Day</w:t>
      </w:r>
      <w:r w:rsidRPr="00980D3E">
        <w:t xml:space="preserve"> 1-4, 9</w:t>
      </w:r>
      <w:r w:rsidR="000855EB" w:rsidRPr="00980D3E">
        <w:noBreakHyphen/>
      </w:r>
      <w:r w:rsidR="00B662D7" w:rsidRPr="00980D3E">
        <w:t>12, and 17</w:t>
      </w:r>
      <w:r w:rsidRPr="00980D3E">
        <w:t>-20 of a 28-day cycle); and</w:t>
      </w:r>
    </w:p>
    <w:p w:rsidR="003E1CA2" w:rsidRPr="00980D3E" w:rsidRDefault="003E1CA2" w:rsidP="00B77C86">
      <w:pPr>
        <w:pStyle w:val="3-BodyText"/>
        <w:numPr>
          <w:ilvl w:val="0"/>
          <w:numId w:val="8"/>
        </w:numPr>
        <w:ind w:left="1077" w:hanging="357"/>
      </w:pPr>
      <w:r w:rsidRPr="00980D3E">
        <w:t xml:space="preserve">The populations in the two trials may not be comparable with respect to prior disease status </w:t>
      </w:r>
      <w:r w:rsidR="00E36627" w:rsidRPr="00980D3E">
        <w:t xml:space="preserve">as </w:t>
      </w:r>
      <w:r w:rsidRPr="00980D3E">
        <w:t>the definition</w:t>
      </w:r>
      <w:r w:rsidR="00E36627" w:rsidRPr="00980D3E">
        <w:t>s</w:t>
      </w:r>
      <w:r w:rsidRPr="00980D3E">
        <w:t xml:space="preserve"> of RRMM at baseline w</w:t>
      </w:r>
      <w:r w:rsidR="00E36627" w:rsidRPr="00980D3E">
        <w:t>ere</w:t>
      </w:r>
      <w:r w:rsidRPr="00980D3E">
        <w:t xml:space="preserve"> unclear</w:t>
      </w:r>
      <w:r w:rsidR="00E36627" w:rsidRPr="00980D3E">
        <w:t xml:space="preserve"> and highly variable</w:t>
      </w:r>
      <w:r w:rsidRPr="00980D3E">
        <w:t>. The proportion of patients whose MM was refractory to prior therapy in the ADMYRE trial was approximately 30% compared to 82.2% in the NIMBUS trial</w:t>
      </w:r>
      <w:r w:rsidR="00801D53" w:rsidRPr="00980D3E">
        <w:t xml:space="preserve"> (</w:t>
      </w:r>
      <w:r w:rsidR="00534072" w:rsidRPr="00980D3E">
        <w:t>paragraph</w:t>
      </w:r>
      <w:r w:rsidR="00801D53" w:rsidRPr="00980D3E">
        <w:t xml:space="preserve"> 6.19, plitidepsin </w:t>
      </w:r>
      <w:r w:rsidR="00534072" w:rsidRPr="00980D3E">
        <w:t>P</w:t>
      </w:r>
      <w:r w:rsidR="00B662D7" w:rsidRPr="00980D3E">
        <w:t>SD</w:t>
      </w:r>
      <w:r w:rsidR="00801D53" w:rsidRPr="00980D3E">
        <w:t xml:space="preserve">, July 2019 PBAC meeting). </w:t>
      </w:r>
    </w:p>
    <w:p w:rsidR="00581C27" w:rsidRPr="00980D3E" w:rsidRDefault="00581C27" w:rsidP="00581C27">
      <w:pPr>
        <w:pStyle w:val="3-BodyText"/>
        <w:rPr>
          <w:rFonts w:ascii="Calibri" w:hAnsi="Calibri"/>
          <w:snapToGrid/>
          <w:u w:val="single"/>
        </w:rPr>
      </w:pPr>
      <w:r w:rsidRPr="00980D3E">
        <w:t xml:space="preserve">The PSCR </w:t>
      </w:r>
      <w:r w:rsidR="00B83033" w:rsidRPr="00980D3E">
        <w:t>noted</w:t>
      </w:r>
      <w:r w:rsidRPr="00980D3E">
        <w:t xml:space="preserve"> that </w:t>
      </w:r>
      <w:r w:rsidR="00B83033" w:rsidRPr="00980D3E">
        <w:t xml:space="preserve">there were </w:t>
      </w:r>
      <w:r w:rsidRPr="00980D3E">
        <w:t xml:space="preserve">differences </w:t>
      </w:r>
      <w:r w:rsidR="00B83033" w:rsidRPr="00980D3E">
        <w:t xml:space="preserve">between </w:t>
      </w:r>
      <w:r w:rsidRPr="00980D3E">
        <w:t xml:space="preserve">the ADMYRE and NIMBUS trial populations and </w:t>
      </w:r>
      <w:r w:rsidR="00B83033" w:rsidRPr="00980D3E">
        <w:t xml:space="preserve">with the </w:t>
      </w:r>
      <w:r w:rsidRPr="00980D3E">
        <w:t xml:space="preserve">Dxm doses used in the common reference arm. </w:t>
      </w:r>
      <w:r w:rsidR="00B83033" w:rsidRPr="00980D3E">
        <w:t xml:space="preserve">However, </w:t>
      </w:r>
      <w:r w:rsidRPr="00980D3E">
        <w:t>the PSCR claimed that there was no difference between plitidepsin</w:t>
      </w:r>
      <w:r w:rsidRPr="00980D3E">
        <w:rPr>
          <w:rFonts w:ascii="Calibri" w:hAnsi="Calibri"/>
          <w:snapToGrid/>
        </w:rPr>
        <w:t xml:space="preserve"> + Dxm and pomalidomide + Dxm in terms of </w:t>
      </w:r>
      <w:r w:rsidR="00B83033" w:rsidRPr="00980D3E">
        <w:rPr>
          <w:rFonts w:ascii="Calibri" w:hAnsi="Calibri"/>
          <w:snapToGrid/>
        </w:rPr>
        <w:t xml:space="preserve">PFS and </w:t>
      </w:r>
      <w:r w:rsidRPr="00980D3E">
        <w:rPr>
          <w:rFonts w:ascii="Calibri" w:hAnsi="Calibri"/>
          <w:snapToGrid/>
        </w:rPr>
        <w:t>OS</w:t>
      </w:r>
      <w:r w:rsidR="003E0B3D" w:rsidRPr="00980D3E">
        <w:rPr>
          <w:rFonts w:ascii="Calibri" w:hAnsi="Calibri"/>
          <w:snapToGrid/>
        </w:rPr>
        <w:t xml:space="preserve"> and</w:t>
      </w:r>
      <w:r w:rsidR="001C4F83" w:rsidRPr="00980D3E">
        <w:rPr>
          <w:rFonts w:ascii="Calibri" w:hAnsi="Calibri"/>
          <w:snapToGrid/>
        </w:rPr>
        <w:t xml:space="preserve"> </w:t>
      </w:r>
      <w:r w:rsidRPr="00980D3E">
        <w:rPr>
          <w:rFonts w:ascii="Calibri" w:hAnsi="Calibri"/>
          <w:snapToGrid/>
        </w:rPr>
        <w:t>provid</w:t>
      </w:r>
      <w:r w:rsidR="003E0B3D" w:rsidRPr="00980D3E">
        <w:rPr>
          <w:rFonts w:ascii="Calibri" w:hAnsi="Calibri"/>
          <w:snapToGrid/>
        </w:rPr>
        <w:t>ed</w:t>
      </w:r>
      <w:r w:rsidRPr="00980D3E">
        <w:rPr>
          <w:rFonts w:ascii="Calibri" w:hAnsi="Calibri"/>
          <w:snapToGrid/>
        </w:rPr>
        <w:t xml:space="preserve"> additional Kaplan-Meier plots from the </w:t>
      </w:r>
      <w:r w:rsidRPr="00980D3E">
        <w:t xml:space="preserve">ADMYRE and NIMBUS trials </w:t>
      </w:r>
      <w:r w:rsidRPr="00980D3E">
        <w:rPr>
          <w:rFonts w:ascii="Calibri" w:hAnsi="Calibri"/>
          <w:snapToGrid/>
        </w:rPr>
        <w:t>(</w:t>
      </w:r>
      <w:r w:rsidR="00820C9B" w:rsidRPr="00980D3E">
        <w:rPr>
          <w:rFonts w:ascii="Calibri" w:hAnsi="Calibri"/>
          <w:snapToGrid/>
        </w:rPr>
        <w:t>Figure 3</w:t>
      </w:r>
      <w:r w:rsidRPr="00980D3E">
        <w:rPr>
          <w:rFonts w:ascii="Calibri" w:hAnsi="Calibri"/>
          <w:snapToGrid/>
        </w:rPr>
        <w:t xml:space="preserve">). </w:t>
      </w:r>
      <w:r w:rsidR="00AB088E" w:rsidRPr="00980D3E">
        <w:rPr>
          <w:rFonts w:ascii="Calibri" w:hAnsi="Calibri"/>
          <w:snapToGrid/>
        </w:rPr>
        <w:t xml:space="preserve">The </w:t>
      </w:r>
      <w:r w:rsidR="00884A2E" w:rsidRPr="00980D3E">
        <w:rPr>
          <w:rFonts w:ascii="Calibri" w:hAnsi="Calibri"/>
          <w:snapToGrid/>
        </w:rPr>
        <w:t>ESC</w:t>
      </w:r>
      <w:r w:rsidR="001C4F83" w:rsidRPr="00980D3E">
        <w:rPr>
          <w:rFonts w:ascii="Calibri" w:hAnsi="Calibri"/>
          <w:snapToGrid/>
        </w:rPr>
        <w:t xml:space="preserve"> </w:t>
      </w:r>
      <w:r w:rsidR="00AB088E" w:rsidRPr="00980D3E">
        <w:rPr>
          <w:rFonts w:ascii="Calibri" w:hAnsi="Calibri"/>
          <w:snapToGrid/>
        </w:rPr>
        <w:t>acknowledged that there was little difference in terms of efficacy between the Dxm regimens used, but</w:t>
      </w:r>
      <w:r w:rsidR="00020B69" w:rsidRPr="00980D3E">
        <w:rPr>
          <w:rFonts w:ascii="Calibri" w:hAnsi="Calibri"/>
          <w:snapToGrid/>
        </w:rPr>
        <w:t xml:space="preserve"> </w:t>
      </w:r>
      <w:r w:rsidR="00AB088E" w:rsidRPr="00980D3E">
        <w:rPr>
          <w:rFonts w:ascii="Calibri" w:hAnsi="Calibri"/>
          <w:snapToGrid/>
        </w:rPr>
        <w:t xml:space="preserve">considered </w:t>
      </w:r>
      <w:r w:rsidR="00B83033" w:rsidRPr="00980D3E">
        <w:rPr>
          <w:rFonts w:ascii="Calibri" w:hAnsi="Calibri"/>
          <w:snapToGrid/>
        </w:rPr>
        <w:t>that the issues regarding the results for the comparison between plitidepsin + Dxm and pomalidomide + Dxm remained</w:t>
      </w:r>
      <w:r w:rsidR="00AB088E" w:rsidRPr="00980D3E">
        <w:rPr>
          <w:rFonts w:ascii="Calibri" w:hAnsi="Calibri"/>
          <w:snapToGrid/>
        </w:rPr>
        <w:t>.</w:t>
      </w:r>
    </w:p>
    <w:p w:rsidR="00581C27" w:rsidRPr="00980D3E" w:rsidRDefault="00581C27" w:rsidP="00D443C2">
      <w:pPr>
        <w:pStyle w:val="TableHeading"/>
        <w:rPr>
          <w:lang w:eastAsia="en-US"/>
        </w:rPr>
      </w:pPr>
      <w:bookmarkStart w:id="29" w:name="_Ref33524606"/>
      <w:r w:rsidRPr="00980D3E">
        <w:rPr>
          <w:szCs w:val="20"/>
          <w:lang w:eastAsia="en-US"/>
        </w:rPr>
        <w:t xml:space="preserve">Figure </w:t>
      </w:r>
      <w:r w:rsidR="00820C9B" w:rsidRPr="00980D3E">
        <w:rPr>
          <w:szCs w:val="20"/>
          <w:lang w:eastAsia="en-US"/>
        </w:rPr>
        <w:t>3</w:t>
      </w:r>
      <w:bookmarkEnd w:id="29"/>
      <w:r w:rsidRPr="00980D3E">
        <w:rPr>
          <w:szCs w:val="20"/>
          <w:lang w:eastAsia="en-US"/>
        </w:rPr>
        <w:t xml:space="preserve">: </w:t>
      </w:r>
      <w:r w:rsidRPr="00980D3E">
        <w:rPr>
          <w:lang w:eastAsia="en-US"/>
        </w:rPr>
        <w:t>Kaplan-Meier plots of PFS (left, PD confirmed) and OS (right) in the ADMYRE and NIMBUS studies</w:t>
      </w:r>
    </w:p>
    <w:p w:rsidR="00581C27" w:rsidRPr="00980D3E" w:rsidRDefault="00581C27" w:rsidP="00581C27">
      <w:pPr>
        <w:keepNext/>
      </w:pPr>
      <w:r w:rsidRPr="00980D3E">
        <w:rPr>
          <w:noProof/>
        </w:rPr>
        <w:drawing>
          <wp:inline distT="0" distB="0" distL="0" distR="0" wp14:anchorId="2895A404" wp14:editId="0FC1FD54">
            <wp:extent cx="2847975" cy="2061131"/>
            <wp:effectExtent l="0" t="0" r="0" b="0"/>
            <wp:docPr id="3" name="Picture 3" title="Figure 3: Kaplan-Meier plots of PFS (left, PD confirm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05950" cy="2103088"/>
                    </a:xfrm>
                    <a:prstGeom prst="rect">
                      <a:avLst/>
                    </a:prstGeom>
                  </pic:spPr>
                </pic:pic>
              </a:graphicData>
            </a:graphic>
          </wp:inline>
        </w:drawing>
      </w:r>
      <w:r w:rsidRPr="00980D3E">
        <w:rPr>
          <w:noProof/>
        </w:rPr>
        <w:drawing>
          <wp:inline distT="0" distB="0" distL="0" distR="0" wp14:anchorId="20204B1F" wp14:editId="11EEA24E">
            <wp:extent cx="2876550" cy="2093595"/>
            <wp:effectExtent l="0" t="0" r="0" b="1905"/>
            <wp:docPr id="4" name="Picture 4" title="OS (right) in the ADMYRE and NIMBUS 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2212" cy="2126828"/>
                    </a:xfrm>
                    <a:prstGeom prst="rect">
                      <a:avLst/>
                    </a:prstGeom>
                    <a:noFill/>
                  </pic:spPr>
                </pic:pic>
              </a:graphicData>
            </a:graphic>
          </wp:inline>
        </w:drawing>
      </w:r>
    </w:p>
    <w:p w:rsidR="00581C27" w:rsidRPr="00980D3E" w:rsidRDefault="00581C27" w:rsidP="00D443C2">
      <w:pPr>
        <w:pStyle w:val="TableFigureFooter"/>
      </w:pPr>
      <w:r w:rsidRPr="00980D3E">
        <w:t xml:space="preserve">DXM = dexamethasone; IA = </w:t>
      </w:r>
      <w:r w:rsidR="001C4F83" w:rsidRPr="00980D3E">
        <w:t>investigator’s assessment</w:t>
      </w:r>
      <w:r w:rsidRPr="00980D3E">
        <w:t>; OS = overall survival; PD = progressed disease; PFS = progression free survival</w:t>
      </w:r>
    </w:p>
    <w:p w:rsidR="00581C27" w:rsidRPr="00980D3E" w:rsidRDefault="00581C27" w:rsidP="00D443C2">
      <w:pPr>
        <w:pStyle w:val="TableFigureFooter"/>
      </w:pPr>
      <w:r w:rsidRPr="00980D3E">
        <w:t>Source: PSCR p3. Cross reference: Figure 41 of submission.</w:t>
      </w:r>
    </w:p>
    <w:p w:rsidR="0013029B" w:rsidRPr="00980D3E" w:rsidRDefault="0013029B" w:rsidP="0013029B">
      <w:pPr>
        <w:spacing w:after="120"/>
        <w:rPr>
          <w:u w:val="single"/>
        </w:rPr>
      </w:pPr>
      <w:r w:rsidRPr="00980D3E">
        <w:rPr>
          <w:u w:val="single"/>
        </w:rPr>
        <w:t>Plitidepsin Early Access Program data</w:t>
      </w:r>
      <w:r w:rsidR="00B66299" w:rsidRPr="00980D3E">
        <w:rPr>
          <w:u w:val="single"/>
        </w:rPr>
        <w:t xml:space="preserve"> </w:t>
      </w:r>
    </w:p>
    <w:p w:rsidR="000366F4" w:rsidRPr="00980D3E" w:rsidRDefault="0013029B" w:rsidP="000366F4">
      <w:pPr>
        <w:pStyle w:val="3-BodyText"/>
      </w:pPr>
      <w:r w:rsidRPr="00980D3E">
        <w:t xml:space="preserve">The resubmission presented additional data from 116 patients in its Australian Early Access Program. This consisted of patients who accessed plitidepsin using the TGA’s Special Access Scheme (SAS) before TGA registration and patients from the sponsor’s Product Familiarisation Program. </w:t>
      </w:r>
      <w:r w:rsidR="001B65B7" w:rsidRPr="00980D3E">
        <w:t>In brief, patients in the access program appeared broadly similar to</w:t>
      </w:r>
      <w:r w:rsidR="00BB6554" w:rsidRPr="00980D3E">
        <w:t xml:space="preserve"> the</w:t>
      </w:r>
      <w:r w:rsidR="001B65B7" w:rsidRPr="00980D3E">
        <w:t xml:space="preserve"> ADMYRE trial population in term of Eastern Cooperative Oncology Group (ECOG) performance status and number of prior MM treatments. </w:t>
      </w:r>
      <w:r w:rsidR="000366F4" w:rsidRPr="00980D3E">
        <w:t>The resubmission presented data on the number of plitidepsin cycles received by patients in the access program (</w:t>
      </w:r>
      <w:r w:rsidR="00820C9B" w:rsidRPr="00980D3E">
        <w:t>Table 10</w:t>
      </w:r>
      <w:r w:rsidR="000366F4" w:rsidRPr="00980D3E">
        <w:t>). The mean number of plitidepsin cycles received by patients in the access program was lower than the ADMYRE trial.</w:t>
      </w:r>
      <w:r w:rsidR="00B662D7" w:rsidRPr="00980D3E">
        <w:t xml:space="preserve"> </w:t>
      </w:r>
      <w:r w:rsidR="000366F4" w:rsidRPr="00980D3E">
        <w:t>Th</w:t>
      </w:r>
      <w:r w:rsidR="00CD33A1" w:rsidRPr="00980D3E">
        <w:t xml:space="preserve">e </w:t>
      </w:r>
      <w:r w:rsidR="00E74DA8" w:rsidRPr="00980D3E">
        <w:t xml:space="preserve">PBAC, like the </w:t>
      </w:r>
      <w:r w:rsidR="00884A2E" w:rsidRPr="00980D3E">
        <w:t>ESC</w:t>
      </w:r>
      <w:r w:rsidR="00E74DA8" w:rsidRPr="00980D3E">
        <w:t>,</w:t>
      </w:r>
      <w:r w:rsidR="00CD33A1" w:rsidRPr="00980D3E">
        <w:t xml:space="preserve"> were unsure </w:t>
      </w:r>
      <w:r w:rsidR="005D1DA4" w:rsidRPr="00980D3E">
        <w:t>whether</w:t>
      </w:r>
      <w:r w:rsidR="00CD33A1" w:rsidRPr="00980D3E">
        <w:t xml:space="preserve"> the </w:t>
      </w:r>
      <w:r w:rsidR="005D1DA4" w:rsidRPr="00980D3E">
        <w:t>Early A</w:t>
      </w:r>
      <w:r w:rsidR="00CD33A1" w:rsidRPr="00980D3E">
        <w:t xml:space="preserve">ccess </w:t>
      </w:r>
      <w:r w:rsidR="005D1DA4" w:rsidRPr="00980D3E">
        <w:t>P</w:t>
      </w:r>
      <w:r w:rsidR="00CD33A1" w:rsidRPr="00980D3E">
        <w:t xml:space="preserve">rogram data better represented the likely use of plitidepsin in the PBS population as </w:t>
      </w:r>
      <w:r w:rsidR="00B662D7" w:rsidRPr="00980D3E">
        <w:t xml:space="preserve">the </w:t>
      </w:r>
      <w:r w:rsidR="000366F4" w:rsidRPr="00980D3E">
        <w:t xml:space="preserve">trial patients </w:t>
      </w:r>
      <w:r w:rsidR="00CD33A1" w:rsidRPr="00980D3E">
        <w:t>were</w:t>
      </w:r>
      <w:r w:rsidR="000366F4" w:rsidRPr="00980D3E">
        <w:t xml:space="preserve"> healthier than </w:t>
      </w:r>
      <w:r w:rsidR="000366F4" w:rsidRPr="00980D3E">
        <w:lastRenderedPageBreak/>
        <w:t>patients in the Australian community</w:t>
      </w:r>
      <w:r w:rsidR="00CD33A1" w:rsidRPr="00980D3E">
        <w:t xml:space="preserve">, or </w:t>
      </w:r>
      <w:r w:rsidR="00DF203C" w:rsidRPr="00980D3E">
        <w:t>whether</w:t>
      </w:r>
      <w:r w:rsidR="00CD33A1" w:rsidRPr="00980D3E">
        <w:t xml:space="preserve"> the trial data better represented likely use as patients who access compassionate schemes have usually received all available treatments</w:t>
      </w:r>
      <w:r w:rsidR="000366F4" w:rsidRPr="00980D3E">
        <w:t xml:space="preserve">. </w:t>
      </w:r>
    </w:p>
    <w:p w:rsidR="00B1445E" w:rsidRPr="00980D3E" w:rsidRDefault="001B65B7" w:rsidP="00B1445E">
      <w:pPr>
        <w:pStyle w:val="3-BodyText"/>
      </w:pPr>
      <w:r w:rsidRPr="00980D3E">
        <w:t>In addition, the resubmission highlighted that four of seven patients with an ECOG performance of 2 or 3 used two or more cycles of plitidepsin, suggesting that plitidepsin was well tolerated by patients with poor performance status.</w:t>
      </w:r>
      <w:r w:rsidR="00E74DA8" w:rsidRPr="00980D3E">
        <w:t xml:space="preserve"> </w:t>
      </w:r>
    </w:p>
    <w:p w:rsidR="001B65B7" w:rsidRPr="00980D3E" w:rsidRDefault="001B65B7" w:rsidP="00D443C2">
      <w:pPr>
        <w:pStyle w:val="TableHeading"/>
      </w:pPr>
      <w:bookmarkStart w:id="30" w:name="_Ref33524652"/>
      <w:r w:rsidRPr="00980D3E">
        <w:t xml:space="preserve">Table </w:t>
      </w:r>
      <w:r w:rsidR="00820C9B" w:rsidRPr="00980D3E">
        <w:t>10</w:t>
      </w:r>
      <w:bookmarkEnd w:id="30"/>
      <w:r w:rsidRPr="00980D3E">
        <w:t>: Comparison plitidepsin cycles used in plitidepsin access program and the ADMYRE trial</w:t>
      </w:r>
    </w:p>
    <w:tbl>
      <w:tblPr>
        <w:tblStyle w:val="TableGrid"/>
        <w:tblW w:w="5000" w:type="pct"/>
        <w:tblLook w:val="04A0" w:firstRow="1" w:lastRow="0" w:firstColumn="1" w:lastColumn="0" w:noHBand="0" w:noVBand="1"/>
        <w:tblCaption w:val="Table 10: Comparison plitidepsin cycles used in plitidepsin access program and the ADMYRE trial"/>
      </w:tblPr>
      <w:tblGrid>
        <w:gridCol w:w="3005"/>
        <w:gridCol w:w="3006"/>
        <w:gridCol w:w="3006"/>
      </w:tblGrid>
      <w:tr w:rsidR="001B65B7" w:rsidRPr="00980D3E" w:rsidTr="00A26ED5">
        <w:trPr>
          <w:tblHeader/>
        </w:trPr>
        <w:tc>
          <w:tcPr>
            <w:tcW w:w="1666" w:type="pct"/>
          </w:tcPr>
          <w:p w:rsidR="001B65B7" w:rsidRPr="00980D3E" w:rsidRDefault="001B65B7" w:rsidP="00837CE2">
            <w:pPr>
              <w:pStyle w:val="TableText0"/>
              <w:rPr>
                <w:b/>
              </w:rPr>
            </w:pPr>
            <w:r w:rsidRPr="00980D3E">
              <w:rPr>
                <w:b/>
              </w:rPr>
              <w:t>Plitidepsin cycles used</w:t>
            </w:r>
          </w:p>
        </w:tc>
        <w:tc>
          <w:tcPr>
            <w:tcW w:w="1667" w:type="pct"/>
          </w:tcPr>
          <w:p w:rsidR="001B65B7" w:rsidRPr="00980D3E" w:rsidRDefault="001B65B7" w:rsidP="00B65D41">
            <w:pPr>
              <w:pStyle w:val="TableText0"/>
              <w:jc w:val="center"/>
              <w:rPr>
                <w:b/>
              </w:rPr>
            </w:pPr>
            <w:r w:rsidRPr="00980D3E">
              <w:rPr>
                <w:b/>
              </w:rPr>
              <w:t>Access program</w:t>
            </w:r>
            <w:r w:rsidR="00B65D41" w:rsidRPr="00980D3E">
              <w:rPr>
                <w:b/>
              </w:rPr>
              <w:t xml:space="preserve">, </w:t>
            </w:r>
            <w:r w:rsidRPr="00980D3E">
              <w:rPr>
                <w:b/>
              </w:rPr>
              <w:t>n/N (%)</w:t>
            </w:r>
          </w:p>
        </w:tc>
        <w:tc>
          <w:tcPr>
            <w:tcW w:w="1667" w:type="pct"/>
          </w:tcPr>
          <w:p w:rsidR="001B65B7" w:rsidRPr="00980D3E" w:rsidRDefault="001B65B7" w:rsidP="00B65D41">
            <w:pPr>
              <w:pStyle w:val="TableText0"/>
              <w:jc w:val="center"/>
              <w:rPr>
                <w:b/>
              </w:rPr>
            </w:pPr>
            <w:r w:rsidRPr="00980D3E">
              <w:rPr>
                <w:b/>
              </w:rPr>
              <w:t>ADMYRE trial</w:t>
            </w:r>
            <w:r w:rsidR="00B65D41" w:rsidRPr="00980D3E">
              <w:rPr>
                <w:b/>
              </w:rPr>
              <w:t xml:space="preserve">, </w:t>
            </w:r>
            <w:r w:rsidRPr="00980D3E">
              <w:rPr>
                <w:b/>
              </w:rPr>
              <w:t>n/N (%)</w:t>
            </w:r>
          </w:p>
        </w:tc>
      </w:tr>
      <w:tr w:rsidR="001B65B7" w:rsidRPr="00980D3E" w:rsidTr="00D443C2">
        <w:tc>
          <w:tcPr>
            <w:tcW w:w="1666" w:type="pct"/>
          </w:tcPr>
          <w:p w:rsidR="001B65B7" w:rsidRPr="00980D3E" w:rsidRDefault="001B65B7" w:rsidP="00837CE2">
            <w:pPr>
              <w:pStyle w:val="TableText0"/>
            </w:pPr>
            <w:r w:rsidRPr="00980D3E">
              <w:t>1</w:t>
            </w:r>
          </w:p>
        </w:tc>
        <w:tc>
          <w:tcPr>
            <w:tcW w:w="1667" w:type="pct"/>
          </w:tcPr>
          <w:p w:rsidR="001B65B7" w:rsidRPr="00980D3E" w:rsidRDefault="001B65B7" w:rsidP="005D1DA4">
            <w:pPr>
              <w:pStyle w:val="TableText0"/>
              <w:jc w:val="center"/>
              <w:rPr>
                <w:vertAlign w:val="superscript"/>
              </w:rPr>
            </w:pPr>
            <w:r w:rsidRPr="00980D3E">
              <w:t>≈ 26/94 (27.1%)</w:t>
            </w:r>
            <w:r w:rsidRPr="00980D3E">
              <w:rPr>
                <w:vertAlign w:val="superscript"/>
              </w:rPr>
              <w:t>a</w:t>
            </w:r>
          </w:p>
        </w:tc>
        <w:tc>
          <w:tcPr>
            <w:tcW w:w="1667" w:type="pct"/>
          </w:tcPr>
          <w:p w:rsidR="001B65B7" w:rsidRPr="00980D3E" w:rsidRDefault="001B65B7" w:rsidP="00837CE2">
            <w:pPr>
              <w:pStyle w:val="TableText0"/>
              <w:jc w:val="center"/>
            </w:pPr>
            <w:r w:rsidRPr="00980D3E">
              <w:t>35/167 (21.0%)</w:t>
            </w:r>
          </w:p>
        </w:tc>
      </w:tr>
      <w:tr w:rsidR="001B65B7" w:rsidRPr="00980D3E" w:rsidTr="00D443C2">
        <w:tc>
          <w:tcPr>
            <w:tcW w:w="1666" w:type="pct"/>
          </w:tcPr>
          <w:p w:rsidR="001B65B7" w:rsidRPr="00980D3E" w:rsidRDefault="001B65B7" w:rsidP="00837CE2">
            <w:pPr>
              <w:pStyle w:val="TableText0"/>
            </w:pPr>
            <w:r w:rsidRPr="00980D3E">
              <w:t>2</w:t>
            </w:r>
          </w:p>
        </w:tc>
        <w:tc>
          <w:tcPr>
            <w:tcW w:w="1667" w:type="pct"/>
          </w:tcPr>
          <w:p w:rsidR="001B65B7" w:rsidRPr="00980D3E" w:rsidRDefault="001B65B7" w:rsidP="00837CE2">
            <w:pPr>
              <w:pStyle w:val="TableText0"/>
              <w:jc w:val="center"/>
            </w:pPr>
            <w:r w:rsidRPr="00980D3E">
              <w:t xml:space="preserve">≈ 29/94 </w:t>
            </w:r>
            <w:r w:rsidR="00F940F8" w:rsidRPr="00980D3E">
              <w:t>(</w:t>
            </w:r>
            <w:r w:rsidR="005D1DA4" w:rsidRPr="00980D3E">
              <w:t>30.2%)</w:t>
            </w:r>
            <w:r w:rsidRPr="00980D3E">
              <w:rPr>
                <w:vertAlign w:val="superscript"/>
              </w:rPr>
              <w:t>a</w:t>
            </w:r>
          </w:p>
        </w:tc>
        <w:tc>
          <w:tcPr>
            <w:tcW w:w="1667" w:type="pct"/>
          </w:tcPr>
          <w:p w:rsidR="001B65B7" w:rsidRPr="00980D3E" w:rsidRDefault="001B65B7" w:rsidP="00837CE2">
            <w:pPr>
              <w:pStyle w:val="TableText0"/>
              <w:jc w:val="center"/>
            </w:pPr>
            <w:r w:rsidRPr="00980D3E">
              <w:t>41/167 (24.6%)</w:t>
            </w:r>
          </w:p>
        </w:tc>
      </w:tr>
      <w:tr w:rsidR="001B65B7" w:rsidRPr="00980D3E" w:rsidTr="00D443C2">
        <w:tc>
          <w:tcPr>
            <w:tcW w:w="1666" w:type="pct"/>
          </w:tcPr>
          <w:p w:rsidR="001B65B7" w:rsidRPr="00980D3E" w:rsidRDefault="001B65B7" w:rsidP="00837CE2">
            <w:pPr>
              <w:pStyle w:val="TableText0"/>
            </w:pPr>
            <w:r w:rsidRPr="00980D3E">
              <w:t>3</w:t>
            </w:r>
          </w:p>
        </w:tc>
        <w:tc>
          <w:tcPr>
            <w:tcW w:w="1667" w:type="pct"/>
          </w:tcPr>
          <w:p w:rsidR="001B65B7" w:rsidRPr="00980D3E" w:rsidRDefault="005D1DA4" w:rsidP="00837CE2">
            <w:pPr>
              <w:pStyle w:val="TableText0"/>
              <w:jc w:val="center"/>
            </w:pPr>
            <w:r w:rsidRPr="00980D3E">
              <w:t>≈ 12/94 (12.5%)</w:t>
            </w:r>
            <w:r w:rsidR="001B65B7" w:rsidRPr="00980D3E">
              <w:rPr>
                <w:vertAlign w:val="superscript"/>
              </w:rPr>
              <w:t>a</w:t>
            </w:r>
          </w:p>
        </w:tc>
        <w:tc>
          <w:tcPr>
            <w:tcW w:w="1667" w:type="pct"/>
          </w:tcPr>
          <w:p w:rsidR="001B65B7" w:rsidRPr="00980D3E" w:rsidRDefault="001B65B7" w:rsidP="00837CE2">
            <w:pPr>
              <w:pStyle w:val="TableText0"/>
              <w:jc w:val="center"/>
            </w:pPr>
            <w:r w:rsidRPr="00980D3E">
              <w:t>22/167 (13.2%)</w:t>
            </w:r>
          </w:p>
        </w:tc>
      </w:tr>
      <w:tr w:rsidR="001B65B7" w:rsidRPr="00980D3E" w:rsidTr="00D443C2">
        <w:tc>
          <w:tcPr>
            <w:tcW w:w="1666" w:type="pct"/>
          </w:tcPr>
          <w:p w:rsidR="001B65B7" w:rsidRPr="00980D3E" w:rsidRDefault="001B65B7" w:rsidP="00837CE2">
            <w:pPr>
              <w:pStyle w:val="TableText0"/>
            </w:pPr>
            <w:r w:rsidRPr="00980D3E">
              <w:t>4</w:t>
            </w:r>
          </w:p>
        </w:tc>
        <w:tc>
          <w:tcPr>
            <w:tcW w:w="1667" w:type="pct"/>
          </w:tcPr>
          <w:p w:rsidR="001B65B7" w:rsidRPr="00980D3E" w:rsidRDefault="005D1DA4" w:rsidP="00837CE2">
            <w:pPr>
              <w:pStyle w:val="TableText0"/>
              <w:jc w:val="center"/>
            </w:pPr>
            <w:r w:rsidRPr="00980D3E">
              <w:t>≈ 12/94 (12.5)</w:t>
            </w:r>
            <w:r w:rsidR="001B65B7" w:rsidRPr="00980D3E">
              <w:rPr>
                <w:vertAlign w:val="superscript"/>
              </w:rPr>
              <w:t>a</w:t>
            </w:r>
          </w:p>
        </w:tc>
        <w:tc>
          <w:tcPr>
            <w:tcW w:w="1667" w:type="pct"/>
          </w:tcPr>
          <w:p w:rsidR="001B65B7" w:rsidRPr="00980D3E" w:rsidRDefault="001B65B7" w:rsidP="00837CE2">
            <w:pPr>
              <w:pStyle w:val="TableText0"/>
              <w:jc w:val="center"/>
            </w:pPr>
            <w:r w:rsidRPr="00980D3E">
              <w:t>14/167 (8.4%)</w:t>
            </w:r>
          </w:p>
        </w:tc>
      </w:tr>
      <w:tr w:rsidR="001B65B7" w:rsidRPr="00980D3E" w:rsidTr="00D443C2">
        <w:tc>
          <w:tcPr>
            <w:tcW w:w="1666" w:type="pct"/>
          </w:tcPr>
          <w:p w:rsidR="001B65B7" w:rsidRPr="00980D3E" w:rsidRDefault="001B65B7" w:rsidP="00837CE2">
            <w:pPr>
              <w:pStyle w:val="TableText0"/>
            </w:pPr>
            <w:r w:rsidRPr="00980D3E">
              <w:t>5</w:t>
            </w:r>
          </w:p>
        </w:tc>
        <w:tc>
          <w:tcPr>
            <w:tcW w:w="1667" w:type="pct"/>
          </w:tcPr>
          <w:p w:rsidR="001B65B7" w:rsidRPr="00980D3E" w:rsidRDefault="005D1DA4" w:rsidP="00837CE2">
            <w:pPr>
              <w:pStyle w:val="TableText0"/>
              <w:jc w:val="center"/>
            </w:pPr>
            <w:r w:rsidRPr="00980D3E">
              <w:t>≈ 4/94 (4.2%)</w:t>
            </w:r>
            <w:r w:rsidR="001B65B7" w:rsidRPr="00980D3E">
              <w:rPr>
                <w:vertAlign w:val="superscript"/>
              </w:rPr>
              <w:t>a</w:t>
            </w:r>
          </w:p>
        </w:tc>
        <w:tc>
          <w:tcPr>
            <w:tcW w:w="1667" w:type="pct"/>
          </w:tcPr>
          <w:p w:rsidR="001B65B7" w:rsidRPr="00980D3E" w:rsidRDefault="001B65B7" w:rsidP="00837CE2">
            <w:pPr>
              <w:pStyle w:val="TableText0"/>
              <w:jc w:val="center"/>
            </w:pPr>
            <w:r w:rsidRPr="00980D3E">
              <w:t>6/167 (3.6%)</w:t>
            </w:r>
          </w:p>
        </w:tc>
      </w:tr>
      <w:tr w:rsidR="001B65B7" w:rsidRPr="00980D3E" w:rsidTr="00D443C2">
        <w:tc>
          <w:tcPr>
            <w:tcW w:w="1666" w:type="pct"/>
          </w:tcPr>
          <w:p w:rsidR="001B65B7" w:rsidRPr="00980D3E" w:rsidRDefault="001B65B7" w:rsidP="00837CE2">
            <w:pPr>
              <w:pStyle w:val="TableText0"/>
            </w:pPr>
            <w:r w:rsidRPr="00980D3E">
              <w:t>6</w:t>
            </w:r>
          </w:p>
        </w:tc>
        <w:tc>
          <w:tcPr>
            <w:tcW w:w="1667" w:type="pct"/>
          </w:tcPr>
          <w:p w:rsidR="001B65B7" w:rsidRPr="00980D3E" w:rsidRDefault="005D1DA4" w:rsidP="00837CE2">
            <w:pPr>
              <w:pStyle w:val="TableText0"/>
              <w:jc w:val="center"/>
            </w:pPr>
            <w:r w:rsidRPr="00980D3E">
              <w:t>≈ 2/94 (2.1)</w:t>
            </w:r>
            <w:r w:rsidR="001B65B7" w:rsidRPr="00980D3E">
              <w:rPr>
                <w:vertAlign w:val="superscript"/>
              </w:rPr>
              <w:t>a</w:t>
            </w:r>
          </w:p>
        </w:tc>
        <w:tc>
          <w:tcPr>
            <w:tcW w:w="1667" w:type="pct"/>
            <w:vMerge w:val="restart"/>
            <w:vAlign w:val="center"/>
          </w:tcPr>
          <w:p w:rsidR="001B65B7" w:rsidRPr="00980D3E" w:rsidRDefault="001B65B7" w:rsidP="00837CE2">
            <w:pPr>
              <w:pStyle w:val="TableText0"/>
              <w:jc w:val="center"/>
            </w:pPr>
            <w:r w:rsidRPr="00980D3E">
              <w:t>49/167 (29.3%)</w:t>
            </w:r>
          </w:p>
        </w:tc>
      </w:tr>
      <w:tr w:rsidR="001B65B7" w:rsidRPr="00980D3E" w:rsidTr="00D443C2">
        <w:tc>
          <w:tcPr>
            <w:tcW w:w="1666" w:type="pct"/>
          </w:tcPr>
          <w:p w:rsidR="001B65B7" w:rsidRPr="00980D3E" w:rsidRDefault="001B65B7" w:rsidP="00837CE2">
            <w:pPr>
              <w:pStyle w:val="TableText0"/>
            </w:pPr>
            <w:r w:rsidRPr="00980D3E">
              <w:t>≥ 7</w:t>
            </w:r>
          </w:p>
        </w:tc>
        <w:tc>
          <w:tcPr>
            <w:tcW w:w="1667" w:type="pct"/>
          </w:tcPr>
          <w:p w:rsidR="001B65B7" w:rsidRPr="00980D3E" w:rsidRDefault="005D1DA4" w:rsidP="00837CE2">
            <w:pPr>
              <w:pStyle w:val="TableText0"/>
              <w:jc w:val="center"/>
            </w:pPr>
            <w:r w:rsidRPr="00980D3E">
              <w:t>≈ 3/94 (3.1)</w:t>
            </w:r>
            <w:r w:rsidR="001B65B7" w:rsidRPr="00980D3E">
              <w:rPr>
                <w:vertAlign w:val="superscript"/>
              </w:rPr>
              <w:t>a</w:t>
            </w:r>
          </w:p>
        </w:tc>
        <w:tc>
          <w:tcPr>
            <w:tcW w:w="1667" w:type="pct"/>
            <w:vMerge/>
          </w:tcPr>
          <w:p w:rsidR="001B65B7" w:rsidRPr="00980D3E" w:rsidRDefault="001B65B7" w:rsidP="00837CE2">
            <w:pPr>
              <w:pStyle w:val="TableText0"/>
              <w:jc w:val="center"/>
            </w:pPr>
          </w:p>
        </w:tc>
      </w:tr>
      <w:tr w:rsidR="001B65B7" w:rsidRPr="00980D3E" w:rsidTr="00D443C2">
        <w:tc>
          <w:tcPr>
            <w:tcW w:w="1666" w:type="pct"/>
          </w:tcPr>
          <w:p w:rsidR="001B65B7" w:rsidRPr="00980D3E" w:rsidRDefault="001B65B7" w:rsidP="00837CE2">
            <w:pPr>
              <w:pStyle w:val="TableText0"/>
            </w:pPr>
            <w:r w:rsidRPr="00980D3E">
              <w:t>Mean</w:t>
            </w:r>
          </w:p>
        </w:tc>
        <w:tc>
          <w:tcPr>
            <w:tcW w:w="1667" w:type="pct"/>
          </w:tcPr>
          <w:p w:rsidR="001B65B7" w:rsidRPr="00980D3E" w:rsidRDefault="005D1DA4" w:rsidP="00837CE2">
            <w:pPr>
              <w:pStyle w:val="TableText0"/>
              <w:jc w:val="center"/>
              <w:rPr>
                <w:vertAlign w:val="superscript"/>
              </w:rPr>
            </w:pPr>
            <w:r w:rsidRPr="00980D3E">
              <w:t>2.8</w:t>
            </w:r>
            <w:r w:rsidR="001B65B7" w:rsidRPr="00980D3E">
              <w:rPr>
                <w:vertAlign w:val="superscript"/>
              </w:rPr>
              <w:t>b</w:t>
            </w:r>
          </w:p>
        </w:tc>
        <w:tc>
          <w:tcPr>
            <w:tcW w:w="1667" w:type="pct"/>
          </w:tcPr>
          <w:p w:rsidR="001B65B7" w:rsidRPr="00980D3E" w:rsidRDefault="001B65B7" w:rsidP="00837CE2">
            <w:pPr>
              <w:pStyle w:val="TableText0"/>
              <w:jc w:val="center"/>
              <w:rPr>
                <w:vertAlign w:val="superscript"/>
              </w:rPr>
            </w:pPr>
            <w:r w:rsidRPr="00980D3E">
              <w:t>5.04</w:t>
            </w:r>
            <w:r w:rsidR="00B20EDB" w:rsidRPr="00980D3E">
              <w:rPr>
                <w:vertAlign w:val="superscript"/>
              </w:rPr>
              <w:t>c</w:t>
            </w:r>
          </w:p>
        </w:tc>
      </w:tr>
    </w:tbl>
    <w:p w:rsidR="001B65B7" w:rsidRPr="00980D3E" w:rsidRDefault="001B65B7" w:rsidP="001B65B7">
      <w:pPr>
        <w:pStyle w:val="TableFigureFooter"/>
      </w:pPr>
      <w:r w:rsidRPr="00980D3E">
        <w:t>Source: Section biii, pp17-24 of the resubmission; Table 43, pp114-15 of plitidepsin CSR</w:t>
      </w:r>
      <w:r w:rsidR="003D4971" w:rsidRPr="00980D3E">
        <w:t>.</w:t>
      </w:r>
    </w:p>
    <w:p w:rsidR="001B65B7" w:rsidRPr="00980D3E" w:rsidRDefault="001B65B7" w:rsidP="001B65B7">
      <w:pPr>
        <w:pStyle w:val="TableFigureFooter"/>
      </w:pPr>
      <w:r w:rsidRPr="00980D3E">
        <w:rPr>
          <w:vertAlign w:val="superscript"/>
        </w:rPr>
        <w:t xml:space="preserve">a </w:t>
      </w:r>
      <w:r w:rsidRPr="00980D3E">
        <w:t xml:space="preserve">Estimated from graph </w:t>
      </w:r>
    </w:p>
    <w:p w:rsidR="001B65B7" w:rsidRPr="00980D3E" w:rsidRDefault="001B65B7" w:rsidP="001B65B7">
      <w:pPr>
        <w:pStyle w:val="TableFigureFooter"/>
      </w:pPr>
      <w:r w:rsidRPr="00980D3E">
        <w:rPr>
          <w:vertAlign w:val="superscript"/>
        </w:rPr>
        <w:t>b</w:t>
      </w:r>
      <w:r w:rsidRPr="00980D3E">
        <w:t xml:space="preserve"> Calculated during the evaluation from Figure 12, p22 of the resubmission based on 66 patients who had used three or more lines of treatment</w:t>
      </w:r>
      <w:r w:rsidR="003D4971" w:rsidRPr="00980D3E">
        <w:t>.</w:t>
      </w:r>
    </w:p>
    <w:p w:rsidR="001B65B7" w:rsidRPr="00980D3E" w:rsidRDefault="001B65B7" w:rsidP="00EA1435">
      <w:pPr>
        <w:pStyle w:val="TableFigureFooter"/>
      </w:pPr>
      <w:r w:rsidRPr="00980D3E">
        <w:rPr>
          <w:vertAlign w:val="superscript"/>
        </w:rPr>
        <w:t>c</w:t>
      </w:r>
      <w:r w:rsidRPr="00980D3E">
        <w:t xml:space="preserve"> Calculated during the evaluation based on 842 total plitidepsin cycles divided by 167 patients</w:t>
      </w:r>
      <w:r w:rsidR="003D4971" w:rsidRPr="00980D3E">
        <w:t>.</w:t>
      </w:r>
    </w:p>
    <w:p w:rsidR="00B60939" w:rsidRPr="00980D3E" w:rsidRDefault="00B60939" w:rsidP="00D86231">
      <w:pPr>
        <w:pStyle w:val="4-SubsectionHeading"/>
      </w:pPr>
      <w:bookmarkStart w:id="31" w:name="_Toc22897642"/>
      <w:bookmarkStart w:id="32" w:name="_Toc30490401"/>
      <w:r w:rsidRPr="00980D3E">
        <w:t>Comparative harms</w:t>
      </w:r>
      <w:bookmarkEnd w:id="31"/>
      <w:bookmarkEnd w:id="32"/>
    </w:p>
    <w:p w:rsidR="00D95A42" w:rsidRPr="00980D3E" w:rsidRDefault="00D95A42" w:rsidP="00D95A42">
      <w:pPr>
        <w:spacing w:after="120"/>
        <w:rPr>
          <w:snapToGrid w:val="0"/>
          <w:szCs w:val="22"/>
          <w:u w:val="single"/>
          <w:lang w:eastAsia="en-US"/>
        </w:rPr>
      </w:pPr>
      <w:r w:rsidRPr="00980D3E">
        <w:rPr>
          <w:snapToGrid w:val="0"/>
          <w:szCs w:val="22"/>
          <w:u w:val="single"/>
          <w:lang w:eastAsia="en-US"/>
        </w:rPr>
        <w:t xml:space="preserve">Plitidepsin + Dxm </w:t>
      </w:r>
      <w:r w:rsidR="005D1DA4" w:rsidRPr="00980D3E">
        <w:rPr>
          <w:snapToGrid w:val="0"/>
          <w:szCs w:val="22"/>
          <w:u w:val="single"/>
          <w:lang w:eastAsia="en-US"/>
        </w:rPr>
        <w:t>versus</w:t>
      </w:r>
      <w:r w:rsidRPr="00980D3E">
        <w:rPr>
          <w:snapToGrid w:val="0"/>
          <w:szCs w:val="22"/>
          <w:u w:val="single"/>
          <w:lang w:eastAsia="en-US"/>
        </w:rPr>
        <w:t xml:space="preserve"> Dxm: the ADMYRE trial</w:t>
      </w:r>
    </w:p>
    <w:p w:rsidR="00B1445E" w:rsidRPr="00980D3E" w:rsidRDefault="00B1445E" w:rsidP="00820C9B">
      <w:pPr>
        <w:pStyle w:val="3-BodyText"/>
      </w:pPr>
      <w:r w:rsidRPr="00980D3E">
        <w:t xml:space="preserve">The resubmission made a clinical claim of inferior safety </w:t>
      </w:r>
      <w:r w:rsidR="00D95A42" w:rsidRPr="00980D3E">
        <w:t xml:space="preserve">for plitidepsin + Dxm </w:t>
      </w:r>
      <w:r w:rsidRPr="00980D3E">
        <w:t xml:space="preserve">compared with </w:t>
      </w:r>
      <w:r w:rsidR="00C50AE9" w:rsidRPr="00980D3E">
        <w:t>Dxm</w:t>
      </w:r>
      <w:r w:rsidRPr="00980D3E">
        <w:t xml:space="preserve">. The July 2019 submission made a claim of non-inferior safety compared with </w:t>
      </w:r>
      <w:r w:rsidR="00C50AE9" w:rsidRPr="00980D3E">
        <w:t>Dxm</w:t>
      </w:r>
      <w:r w:rsidR="00980D3E">
        <w:t xml:space="preserve">. </w:t>
      </w:r>
      <w:r w:rsidRPr="00980D3E">
        <w:t xml:space="preserve">A summary of key adverse events (AEs) from the ADMYRE trial are presented in </w:t>
      </w:r>
      <w:r w:rsidR="00820C9B" w:rsidRPr="00980D3E">
        <w:t>Table 11</w:t>
      </w:r>
      <w:r w:rsidRPr="00980D3E">
        <w:t xml:space="preserve">. </w:t>
      </w:r>
    </w:p>
    <w:p w:rsidR="00B1445E" w:rsidRPr="00980D3E" w:rsidRDefault="00B1445E" w:rsidP="00D443C2">
      <w:pPr>
        <w:pStyle w:val="TableHeading"/>
      </w:pPr>
      <w:bookmarkStart w:id="33" w:name="_Ref33524684"/>
      <w:r w:rsidRPr="00980D3E">
        <w:t xml:space="preserve">Table </w:t>
      </w:r>
      <w:r w:rsidR="00820C9B" w:rsidRPr="00980D3E">
        <w:t>11</w:t>
      </w:r>
      <w:bookmarkEnd w:id="33"/>
      <w:r w:rsidRPr="00980D3E">
        <w:t xml:space="preserve">: </w:t>
      </w:r>
      <w:r w:rsidRPr="00980D3E">
        <w:rPr>
          <w:lang w:eastAsia="en-US"/>
        </w:rPr>
        <w:t>Summary of key AEs and Grade 3/4 AEs in the ADMYRE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126"/>
        <w:gridCol w:w="1701"/>
        <w:gridCol w:w="1651"/>
      </w:tblGrid>
      <w:tr w:rsidR="00B1445E" w:rsidRPr="00980D3E" w:rsidTr="00A96B72">
        <w:trPr>
          <w:tblHeader/>
        </w:trPr>
        <w:tc>
          <w:tcPr>
            <w:tcW w:w="3539" w:type="dxa"/>
            <w:vAlign w:val="center"/>
          </w:tcPr>
          <w:p w:rsidR="00B1445E" w:rsidRPr="00980D3E" w:rsidRDefault="00B1445E" w:rsidP="006655B8">
            <w:pPr>
              <w:keepNext/>
              <w:keepLines/>
              <w:jc w:val="left"/>
              <w:rPr>
                <w:rFonts w:ascii="Arial Narrow" w:hAnsi="Arial Narrow" w:cs="Times New Roman"/>
                <w:b/>
                <w:sz w:val="20"/>
                <w:szCs w:val="20"/>
                <w:lang w:eastAsia="en-US"/>
              </w:rPr>
            </w:pPr>
          </w:p>
        </w:tc>
        <w:tc>
          <w:tcPr>
            <w:tcW w:w="2126" w:type="dxa"/>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 xml:space="preserve">Plitidepsin + </w:t>
            </w:r>
            <w:r w:rsidR="00C50AE9" w:rsidRPr="00980D3E">
              <w:rPr>
                <w:rFonts w:ascii="Arial Narrow" w:hAnsi="Arial Narrow" w:cs="Times New Roman"/>
                <w:b/>
                <w:sz w:val="20"/>
                <w:szCs w:val="20"/>
                <w:lang w:eastAsia="en-US"/>
              </w:rPr>
              <w:t>Dxm</w:t>
            </w:r>
            <w:r w:rsidR="00A96B72" w:rsidRPr="00980D3E">
              <w:rPr>
                <w:rFonts w:ascii="Arial Narrow" w:hAnsi="Arial Narrow" w:cs="Times New Roman"/>
                <w:b/>
                <w:sz w:val="20"/>
                <w:szCs w:val="20"/>
                <w:lang w:eastAsia="en-US"/>
              </w:rPr>
              <w:t>,</w:t>
            </w:r>
          </w:p>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n/N (%)</w:t>
            </w:r>
          </w:p>
        </w:tc>
        <w:tc>
          <w:tcPr>
            <w:tcW w:w="1701" w:type="dxa"/>
            <w:vAlign w:val="center"/>
          </w:tcPr>
          <w:p w:rsidR="00B1445E" w:rsidRPr="00980D3E" w:rsidRDefault="00C50AE9"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Dxm</w:t>
            </w:r>
            <w:r w:rsidR="00A96B72" w:rsidRPr="00980D3E">
              <w:rPr>
                <w:rFonts w:ascii="Arial Narrow" w:hAnsi="Arial Narrow" w:cs="Times New Roman"/>
                <w:b/>
                <w:sz w:val="20"/>
                <w:szCs w:val="20"/>
                <w:lang w:eastAsia="en-US"/>
              </w:rPr>
              <w:t>,</w:t>
            </w:r>
          </w:p>
          <w:p w:rsidR="00B1445E" w:rsidRPr="00980D3E" w:rsidRDefault="001311B5"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n</w:t>
            </w:r>
            <w:r w:rsidR="00B1445E" w:rsidRPr="00980D3E">
              <w:rPr>
                <w:rFonts w:ascii="Arial Narrow" w:hAnsi="Arial Narrow" w:cs="Times New Roman"/>
                <w:b/>
                <w:sz w:val="20"/>
                <w:szCs w:val="20"/>
                <w:lang w:eastAsia="en-US"/>
              </w:rPr>
              <w:t>/N (%)</w:t>
            </w:r>
          </w:p>
        </w:tc>
        <w:tc>
          <w:tcPr>
            <w:tcW w:w="1651" w:type="dxa"/>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RR (95% CI)</w:t>
            </w:r>
          </w:p>
        </w:tc>
      </w:tr>
      <w:tr w:rsidR="00B1445E" w:rsidRPr="00980D3E" w:rsidTr="00A96B72">
        <w:tc>
          <w:tcPr>
            <w:tcW w:w="3539" w:type="dxa"/>
            <w:tcBorders>
              <w:top w:val="single" w:sz="4" w:space="0" w:color="auto"/>
              <w:left w:val="single" w:sz="4" w:space="0" w:color="auto"/>
              <w:bottom w:val="single" w:sz="4" w:space="0" w:color="auto"/>
              <w:right w:val="single" w:sz="4" w:space="0" w:color="auto"/>
            </w:tcBorders>
          </w:tcPr>
          <w:p w:rsidR="00B1445E" w:rsidRPr="00980D3E" w:rsidRDefault="00B1445E"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Any TEAEs</w:t>
            </w:r>
          </w:p>
        </w:tc>
        <w:tc>
          <w:tcPr>
            <w:tcW w:w="2126"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hAnsi="Arial Narrow" w:cs="Times New Roman"/>
                <w:sz w:val="20"/>
                <w:szCs w:val="20"/>
                <w:lang w:eastAsia="en-US"/>
              </w:rPr>
              <w:t>144/167 (86.2</w:t>
            </w:r>
            <w:r w:rsidR="00A96B72" w:rsidRPr="00980D3E">
              <w:rPr>
                <w:rFonts w:ascii="Arial Narrow" w:hAnsi="Arial Narrow" w:cs="Times New Roman"/>
                <w:sz w:val="20"/>
                <w:szCs w:val="20"/>
                <w:lang w:eastAsia="en-US"/>
              </w:rPr>
              <w:t>%</w:t>
            </w:r>
            <w:r w:rsidRPr="00980D3E">
              <w:rPr>
                <w:rFonts w:ascii="Arial Narrow" w:hAnsi="Arial Narrow" w:cs="Times New Roman"/>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hAnsi="Arial Narrow" w:cs="Times New Roman"/>
                <w:sz w:val="20"/>
                <w:szCs w:val="20"/>
                <w:lang w:eastAsia="en-US"/>
              </w:rPr>
              <w:t>38/83 (45.8</w:t>
            </w:r>
            <w:r w:rsidR="00A96B72" w:rsidRPr="00980D3E">
              <w:rPr>
                <w:rFonts w:ascii="Arial Narrow" w:hAnsi="Arial Narrow" w:cs="Times New Roman"/>
                <w:sz w:val="20"/>
                <w:szCs w:val="20"/>
                <w:lang w:eastAsia="en-US"/>
              </w:rPr>
              <w:t>%</w:t>
            </w:r>
            <w:r w:rsidRPr="00980D3E">
              <w:rPr>
                <w:rFonts w:ascii="Arial Narrow" w:hAnsi="Arial Narrow" w:cs="Times New Roman"/>
                <w:sz w:val="20"/>
                <w:szCs w:val="20"/>
                <w:lang w:eastAsia="en-US"/>
              </w:rPr>
              <w:t>)</w:t>
            </w:r>
          </w:p>
        </w:tc>
        <w:tc>
          <w:tcPr>
            <w:tcW w:w="1651" w:type="dxa"/>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1.88 (1.48, 2.40)</w:t>
            </w:r>
          </w:p>
        </w:tc>
      </w:tr>
      <w:tr w:rsidR="00B1445E" w:rsidRPr="00980D3E" w:rsidTr="00A96B72">
        <w:tc>
          <w:tcPr>
            <w:tcW w:w="3539" w:type="dxa"/>
            <w:tcBorders>
              <w:top w:val="single" w:sz="4" w:space="0" w:color="auto"/>
              <w:left w:val="single" w:sz="4" w:space="0" w:color="auto"/>
              <w:bottom w:val="single" w:sz="4" w:space="0" w:color="auto"/>
              <w:right w:val="single" w:sz="4" w:space="0" w:color="auto"/>
            </w:tcBorders>
          </w:tcPr>
          <w:p w:rsidR="00B1445E" w:rsidRPr="00980D3E" w:rsidRDefault="00B1445E"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Serious AEs</w:t>
            </w:r>
          </w:p>
        </w:tc>
        <w:tc>
          <w:tcPr>
            <w:tcW w:w="2126"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hAnsi="Arial Narrow" w:cs="Times New Roman"/>
                <w:sz w:val="20"/>
                <w:szCs w:val="20"/>
                <w:lang w:eastAsia="en-US"/>
              </w:rPr>
              <w:t>47/167 (28.1</w:t>
            </w:r>
            <w:r w:rsidR="00A96B72" w:rsidRPr="00980D3E">
              <w:rPr>
                <w:rFonts w:ascii="Arial Narrow" w:hAnsi="Arial Narrow" w:cs="Times New Roman"/>
                <w:sz w:val="20"/>
                <w:szCs w:val="20"/>
                <w:lang w:eastAsia="en-US"/>
              </w:rPr>
              <w:t>%</w:t>
            </w:r>
            <w:r w:rsidRPr="00980D3E">
              <w:rPr>
                <w:rFonts w:ascii="Arial Narrow" w:hAnsi="Arial Narrow" w:cs="Times New Roman"/>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hAnsi="Arial Narrow" w:cs="Times New Roman"/>
                <w:sz w:val="20"/>
                <w:szCs w:val="20"/>
                <w:lang w:eastAsia="en-US"/>
              </w:rPr>
              <w:t>6/83 (7.2</w:t>
            </w:r>
            <w:r w:rsidR="00A96B72" w:rsidRPr="00980D3E">
              <w:rPr>
                <w:rFonts w:ascii="Arial Narrow" w:hAnsi="Arial Narrow" w:cs="Times New Roman"/>
                <w:sz w:val="20"/>
                <w:szCs w:val="20"/>
                <w:lang w:eastAsia="en-US"/>
              </w:rPr>
              <w:t>%</w:t>
            </w:r>
            <w:r w:rsidRPr="00980D3E">
              <w:rPr>
                <w:rFonts w:ascii="Arial Narrow" w:hAnsi="Arial Narrow" w:cs="Times New Roman"/>
                <w:sz w:val="20"/>
                <w:szCs w:val="20"/>
                <w:lang w:eastAsia="en-US"/>
              </w:rPr>
              <w:t>)</w:t>
            </w:r>
          </w:p>
        </w:tc>
        <w:tc>
          <w:tcPr>
            <w:tcW w:w="1651" w:type="dxa"/>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3.90 (1.74, 8.73)</w:t>
            </w:r>
          </w:p>
        </w:tc>
      </w:tr>
      <w:tr w:rsidR="00B1445E" w:rsidRPr="00980D3E" w:rsidTr="00A96B72">
        <w:trPr>
          <w:trHeight w:val="224"/>
        </w:trPr>
        <w:tc>
          <w:tcPr>
            <w:tcW w:w="3539" w:type="dxa"/>
            <w:tcBorders>
              <w:top w:val="single" w:sz="4" w:space="0" w:color="auto"/>
              <w:left w:val="single" w:sz="4" w:space="0" w:color="auto"/>
              <w:bottom w:val="single" w:sz="4" w:space="0" w:color="auto"/>
              <w:right w:val="single" w:sz="4" w:space="0" w:color="auto"/>
            </w:tcBorders>
          </w:tcPr>
          <w:p w:rsidR="00B1445E" w:rsidRPr="00980D3E" w:rsidRDefault="00B1445E"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Grade ≥ 3 TEAEs</w:t>
            </w:r>
          </w:p>
        </w:tc>
        <w:tc>
          <w:tcPr>
            <w:tcW w:w="2126"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vertAlign w:val="superscript"/>
                <w:lang w:eastAsia="en-US"/>
              </w:rPr>
            </w:pPr>
            <w:r w:rsidRPr="00980D3E">
              <w:rPr>
                <w:rFonts w:ascii="Arial Narrow" w:hAnsi="Arial Narrow" w:cs="Times New Roman"/>
                <w:sz w:val="20"/>
                <w:szCs w:val="20"/>
                <w:lang w:eastAsia="en-US"/>
              </w:rPr>
              <w:t>86/167 (51.5</w:t>
            </w:r>
            <w:r w:rsidR="00A96B72" w:rsidRPr="00980D3E">
              <w:rPr>
                <w:rFonts w:ascii="Arial Narrow" w:hAnsi="Arial Narrow" w:cs="Times New Roman"/>
                <w:sz w:val="20"/>
                <w:szCs w:val="20"/>
                <w:lang w:eastAsia="en-US"/>
              </w:rPr>
              <w:t>%</w:t>
            </w:r>
            <w:r w:rsidRPr="00980D3E">
              <w:rPr>
                <w:rFonts w:ascii="Arial Narrow" w:hAnsi="Arial Narrow" w:cs="Times New Roman"/>
                <w:sz w:val="20"/>
                <w:szCs w:val="20"/>
                <w:lang w:eastAsia="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vertAlign w:val="superscript"/>
                <w:lang w:eastAsia="en-US"/>
              </w:rPr>
            </w:pPr>
            <w:r w:rsidRPr="00980D3E">
              <w:rPr>
                <w:rFonts w:ascii="Arial Narrow" w:hAnsi="Arial Narrow" w:cs="Times New Roman"/>
                <w:sz w:val="20"/>
                <w:szCs w:val="20"/>
                <w:lang w:eastAsia="en-US"/>
              </w:rPr>
              <w:t>9/83 (10.8</w:t>
            </w:r>
            <w:r w:rsidR="00A96B72" w:rsidRPr="00980D3E">
              <w:rPr>
                <w:rFonts w:ascii="Arial Narrow" w:hAnsi="Arial Narrow" w:cs="Times New Roman"/>
                <w:sz w:val="20"/>
                <w:szCs w:val="20"/>
                <w:lang w:eastAsia="en-US"/>
              </w:rPr>
              <w:t>%</w:t>
            </w:r>
            <w:r w:rsidRPr="00980D3E">
              <w:rPr>
                <w:rFonts w:ascii="Arial Narrow" w:hAnsi="Arial Narrow" w:cs="Times New Roman"/>
                <w:sz w:val="20"/>
                <w:szCs w:val="20"/>
                <w:lang w:eastAsia="en-US"/>
              </w:rPr>
              <w:t xml:space="preserve">) </w:t>
            </w:r>
          </w:p>
        </w:tc>
        <w:tc>
          <w:tcPr>
            <w:tcW w:w="1651" w:type="dxa"/>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4.75 (2.52, 8.96)</w:t>
            </w:r>
          </w:p>
        </w:tc>
      </w:tr>
      <w:tr w:rsidR="00B1445E" w:rsidRPr="00980D3E" w:rsidTr="00A96B72">
        <w:trPr>
          <w:trHeight w:val="224"/>
        </w:trPr>
        <w:tc>
          <w:tcPr>
            <w:tcW w:w="3539" w:type="dxa"/>
            <w:tcBorders>
              <w:top w:val="single" w:sz="4" w:space="0" w:color="auto"/>
              <w:left w:val="single" w:sz="4" w:space="0" w:color="auto"/>
              <w:bottom w:val="single" w:sz="4" w:space="0" w:color="auto"/>
              <w:right w:val="single" w:sz="4" w:space="0" w:color="auto"/>
            </w:tcBorders>
          </w:tcPr>
          <w:p w:rsidR="00B1445E" w:rsidRPr="00980D3E" w:rsidRDefault="00B1445E"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Treatment discontinuation due to AEs</w:t>
            </w:r>
          </w:p>
        </w:tc>
        <w:tc>
          <w:tcPr>
            <w:tcW w:w="2126"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hAnsi="Arial Narrow" w:cs="Times New Roman"/>
                <w:sz w:val="20"/>
                <w:szCs w:val="20"/>
                <w:lang w:eastAsia="en-US"/>
              </w:rPr>
              <w:t>15/167 (9.0</w:t>
            </w:r>
            <w:r w:rsidR="00A96B72" w:rsidRPr="00980D3E">
              <w:rPr>
                <w:rFonts w:ascii="Arial Narrow" w:hAnsi="Arial Narrow" w:cs="Times New Roman"/>
                <w:sz w:val="20"/>
                <w:szCs w:val="20"/>
                <w:lang w:eastAsia="en-US"/>
              </w:rPr>
              <w:t>%</w:t>
            </w:r>
            <w:r w:rsidRPr="00980D3E">
              <w:rPr>
                <w:rFonts w:ascii="Arial Narrow" w:hAnsi="Arial Narrow" w:cs="Times New Roman"/>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hAnsi="Arial Narrow" w:cs="Times New Roman"/>
                <w:sz w:val="20"/>
                <w:szCs w:val="20"/>
                <w:lang w:eastAsia="en-US"/>
              </w:rPr>
              <w:t>8/83 (9.6%)</w:t>
            </w:r>
          </w:p>
        </w:tc>
        <w:tc>
          <w:tcPr>
            <w:tcW w:w="1651" w:type="dxa"/>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hAnsi="Arial Narrow" w:cs="Times New Roman"/>
                <w:sz w:val="20"/>
                <w:szCs w:val="20"/>
                <w:lang w:eastAsia="en-US"/>
              </w:rPr>
              <w:t>0.93 (0.41, 2.11)</w:t>
            </w:r>
          </w:p>
        </w:tc>
      </w:tr>
      <w:tr w:rsidR="00B1445E" w:rsidRPr="00980D3E" w:rsidTr="00837CE2">
        <w:tc>
          <w:tcPr>
            <w:tcW w:w="9017" w:type="dxa"/>
            <w:gridSpan w:val="4"/>
            <w:tcBorders>
              <w:top w:val="single" w:sz="4" w:space="0" w:color="auto"/>
              <w:left w:val="single" w:sz="4" w:space="0" w:color="auto"/>
              <w:bottom w:val="single" w:sz="4" w:space="0" w:color="auto"/>
            </w:tcBorders>
            <w:vAlign w:val="center"/>
          </w:tcPr>
          <w:p w:rsidR="00B1445E" w:rsidRPr="00980D3E" w:rsidRDefault="00B1445E"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TEAEs that occurred in ≥</w:t>
            </w:r>
            <w:r w:rsidR="001311B5" w:rsidRPr="00980D3E">
              <w:rPr>
                <w:rFonts w:ascii="Arial Narrow" w:hAnsi="Arial Narrow" w:cs="Times New Roman"/>
                <w:sz w:val="20"/>
                <w:szCs w:val="20"/>
                <w:lang w:eastAsia="en-US"/>
              </w:rPr>
              <w:t xml:space="preserve"> </w:t>
            </w:r>
            <w:r w:rsidRPr="00980D3E">
              <w:rPr>
                <w:rFonts w:ascii="Arial Narrow" w:hAnsi="Arial Narrow" w:cs="Times New Roman"/>
                <w:sz w:val="20"/>
                <w:szCs w:val="20"/>
                <w:lang w:eastAsia="en-US"/>
              </w:rPr>
              <w:t>10% of patients of any grade</w:t>
            </w:r>
          </w:p>
        </w:tc>
      </w:tr>
      <w:tr w:rsidR="00B1445E" w:rsidRPr="00980D3E" w:rsidTr="00A96B72">
        <w:tc>
          <w:tcPr>
            <w:tcW w:w="3539" w:type="dxa"/>
            <w:tcBorders>
              <w:top w:val="single" w:sz="4" w:space="0" w:color="auto"/>
              <w:left w:val="single" w:sz="4" w:space="0" w:color="auto"/>
              <w:bottom w:val="single" w:sz="4" w:space="0" w:color="auto"/>
              <w:right w:val="single" w:sz="4" w:space="0" w:color="auto"/>
            </w:tcBorders>
          </w:tcPr>
          <w:p w:rsidR="00B1445E" w:rsidRPr="00980D3E" w:rsidRDefault="001311B5"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 xml:space="preserve">   </w:t>
            </w:r>
            <w:r w:rsidR="00B1445E" w:rsidRPr="00980D3E">
              <w:rPr>
                <w:rFonts w:ascii="Arial Narrow" w:hAnsi="Arial Narrow" w:cs="Times New Roman"/>
                <w:sz w:val="20"/>
                <w:szCs w:val="20"/>
                <w:lang w:eastAsia="en-US"/>
              </w:rPr>
              <w:t>Diarrhoea</w:t>
            </w:r>
          </w:p>
        </w:tc>
        <w:tc>
          <w:tcPr>
            <w:tcW w:w="2126"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eastAsiaTheme="minorHAnsi" w:hAnsi="Arial Narrow" w:cs="Times New Roman"/>
                <w:iCs/>
                <w:sz w:val="20"/>
                <w:szCs w:val="20"/>
                <w:lang w:eastAsia="en-US"/>
              </w:rPr>
              <w:t>24/167 (14.4</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eastAsiaTheme="minorHAnsi" w:hAnsi="Arial Narrow" w:cs="Times New Roman"/>
                <w:iCs/>
                <w:sz w:val="20"/>
                <w:szCs w:val="20"/>
                <w:lang w:eastAsia="en-US"/>
              </w:rPr>
              <w:t>2/83 (2.4</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5.96 (1.44, 24.63)</w:t>
            </w:r>
          </w:p>
        </w:tc>
      </w:tr>
      <w:tr w:rsidR="00B1445E" w:rsidRPr="00980D3E" w:rsidTr="00A96B72">
        <w:tc>
          <w:tcPr>
            <w:tcW w:w="3539" w:type="dxa"/>
            <w:tcBorders>
              <w:top w:val="single" w:sz="4" w:space="0" w:color="auto"/>
              <w:left w:val="single" w:sz="4" w:space="0" w:color="auto"/>
              <w:bottom w:val="single" w:sz="4" w:space="0" w:color="auto"/>
              <w:right w:val="single" w:sz="4" w:space="0" w:color="auto"/>
            </w:tcBorders>
          </w:tcPr>
          <w:p w:rsidR="00B1445E" w:rsidRPr="00980D3E" w:rsidRDefault="001311B5"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 xml:space="preserve">   </w:t>
            </w:r>
            <w:r w:rsidR="00B1445E" w:rsidRPr="00980D3E">
              <w:rPr>
                <w:rFonts w:ascii="Arial Narrow" w:hAnsi="Arial Narrow" w:cs="Times New Roman"/>
                <w:sz w:val="20"/>
                <w:szCs w:val="20"/>
                <w:lang w:eastAsia="en-US"/>
              </w:rPr>
              <w:t>Nausea</w:t>
            </w:r>
          </w:p>
        </w:tc>
        <w:tc>
          <w:tcPr>
            <w:tcW w:w="2126"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eastAsiaTheme="minorHAnsi" w:hAnsi="Arial Narrow" w:cs="Times New Roman"/>
                <w:iCs/>
                <w:sz w:val="20"/>
                <w:szCs w:val="20"/>
                <w:lang w:eastAsia="en-US"/>
              </w:rPr>
              <w:t>62/167 (37.1</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eastAsiaTheme="minorHAnsi" w:hAnsi="Arial Narrow" w:cs="Times New Roman"/>
                <w:iCs/>
                <w:sz w:val="20"/>
                <w:szCs w:val="20"/>
                <w:lang w:eastAsia="en-US"/>
              </w:rPr>
              <w:t>9/83 (10.8</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3.42 (1.79, 6.54)</w:t>
            </w:r>
          </w:p>
        </w:tc>
      </w:tr>
      <w:tr w:rsidR="00B1445E" w:rsidRPr="00980D3E" w:rsidTr="00A96B72">
        <w:tc>
          <w:tcPr>
            <w:tcW w:w="3539" w:type="dxa"/>
            <w:tcBorders>
              <w:top w:val="single" w:sz="4" w:space="0" w:color="auto"/>
              <w:left w:val="single" w:sz="4" w:space="0" w:color="auto"/>
              <w:bottom w:val="single" w:sz="4" w:space="0" w:color="auto"/>
              <w:right w:val="single" w:sz="4" w:space="0" w:color="auto"/>
            </w:tcBorders>
          </w:tcPr>
          <w:p w:rsidR="00B1445E" w:rsidRPr="00980D3E" w:rsidRDefault="001311B5"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 xml:space="preserve">   </w:t>
            </w:r>
            <w:r w:rsidR="00B1445E" w:rsidRPr="00980D3E">
              <w:rPr>
                <w:rFonts w:ascii="Arial Narrow" w:hAnsi="Arial Narrow" w:cs="Times New Roman"/>
                <w:sz w:val="20"/>
                <w:szCs w:val="20"/>
                <w:lang w:eastAsia="en-US"/>
              </w:rPr>
              <w:t>Vomiting</w:t>
            </w:r>
          </w:p>
        </w:tc>
        <w:tc>
          <w:tcPr>
            <w:tcW w:w="2126"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eastAsiaTheme="minorHAnsi" w:hAnsi="Arial Narrow" w:cs="Times New Roman"/>
                <w:iCs/>
                <w:sz w:val="20"/>
                <w:szCs w:val="20"/>
                <w:lang w:eastAsia="en-US"/>
              </w:rPr>
              <w:t>28/167 (16.8</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eastAsiaTheme="minorHAnsi" w:hAnsi="Arial Narrow" w:cs="Times New Roman"/>
                <w:iCs/>
                <w:sz w:val="20"/>
                <w:szCs w:val="20"/>
                <w:lang w:eastAsia="en-US"/>
              </w:rPr>
              <w:t>2/83 (2.4</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65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eastAsiaTheme="minorHAnsi" w:hAnsi="Arial Narrow" w:cs="Times New Roman"/>
                <w:b/>
                <w:iCs/>
                <w:sz w:val="20"/>
                <w:szCs w:val="20"/>
                <w:lang w:eastAsia="en-US"/>
              </w:rPr>
              <w:t>6.96 (1.70, 28.51)</w:t>
            </w:r>
          </w:p>
        </w:tc>
      </w:tr>
      <w:tr w:rsidR="00B1445E" w:rsidRPr="00980D3E" w:rsidTr="00A96B72">
        <w:tc>
          <w:tcPr>
            <w:tcW w:w="3539" w:type="dxa"/>
            <w:tcBorders>
              <w:top w:val="single" w:sz="4" w:space="0" w:color="auto"/>
              <w:left w:val="single" w:sz="4" w:space="0" w:color="auto"/>
              <w:bottom w:val="single" w:sz="4" w:space="0" w:color="auto"/>
              <w:right w:val="single" w:sz="4" w:space="0" w:color="auto"/>
            </w:tcBorders>
          </w:tcPr>
          <w:p w:rsidR="00B1445E" w:rsidRPr="00980D3E" w:rsidRDefault="001311B5"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 xml:space="preserve">   </w:t>
            </w:r>
            <w:r w:rsidR="00B1445E" w:rsidRPr="00980D3E">
              <w:rPr>
                <w:rFonts w:ascii="Arial Narrow" w:hAnsi="Arial Narrow" w:cs="Times New Roman"/>
                <w:sz w:val="20"/>
                <w:szCs w:val="20"/>
                <w:lang w:eastAsia="en-US"/>
              </w:rPr>
              <w:t>Fatigue</w:t>
            </w:r>
          </w:p>
        </w:tc>
        <w:tc>
          <w:tcPr>
            <w:tcW w:w="2126"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eastAsiaTheme="minorHAnsi" w:hAnsi="Arial Narrow" w:cs="Times New Roman"/>
                <w:iCs/>
                <w:sz w:val="20"/>
                <w:szCs w:val="20"/>
                <w:lang w:eastAsia="en-US"/>
              </w:rPr>
              <w:t>61/167 (36.5</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sz w:val="20"/>
                <w:szCs w:val="20"/>
                <w:lang w:eastAsia="en-US"/>
              </w:rPr>
            </w:pPr>
            <w:r w:rsidRPr="00980D3E">
              <w:rPr>
                <w:rFonts w:ascii="Arial Narrow" w:eastAsiaTheme="minorHAnsi" w:hAnsi="Arial Narrow" w:cs="Times New Roman"/>
                <w:iCs/>
                <w:sz w:val="20"/>
                <w:szCs w:val="20"/>
                <w:lang w:eastAsia="en-US"/>
              </w:rPr>
              <w:t>7/83 (8.4</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4.33 (2.07, 9.05)</w:t>
            </w:r>
          </w:p>
        </w:tc>
      </w:tr>
      <w:tr w:rsidR="00B1445E" w:rsidRPr="00980D3E" w:rsidTr="00A96B72">
        <w:tc>
          <w:tcPr>
            <w:tcW w:w="3539" w:type="dxa"/>
            <w:tcBorders>
              <w:top w:val="single" w:sz="4" w:space="0" w:color="auto"/>
              <w:left w:val="single" w:sz="4" w:space="0" w:color="auto"/>
              <w:bottom w:val="single" w:sz="4" w:space="0" w:color="auto"/>
              <w:right w:val="single" w:sz="4" w:space="0" w:color="auto"/>
            </w:tcBorders>
          </w:tcPr>
          <w:p w:rsidR="00B1445E" w:rsidRPr="00980D3E" w:rsidRDefault="001311B5"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 xml:space="preserve">   </w:t>
            </w:r>
            <w:r w:rsidR="00B1445E" w:rsidRPr="00980D3E">
              <w:rPr>
                <w:rFonts w:ascii="Arial Narrow" w:hAnsi="Arial Narrow" w:cs="Times New Roman"/>
                <w:sz w:val="20"/>
                <w:szCs w:val="20"/>
                <w:lang w:eastAsia="en-US"/>
              </w:rPr>
              <w:t>Myalgia</w:t>
            </w:r>
          </w:p>
        </w:tc>
        <w:tc>
          <w:tcPr>
            <w:tcW w:w="2126"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24/167 (14.4</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2/83 (2.4</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65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eastAsiaTheme="minorHAnsi" w:hAnsi="Arial Narrow" w:cs="Times New Roman"/>
                <w:b/>
                <w:iCs/>
                <w:sz w:val="20"/>
                <w:szCs w:val="20"/>
                <w:lang w:eastAsia="en-US"/>
              </w:rPr>
              <w:t>5.96 (1.44, 24.63)</w:t>
            </w:r>
          </w:p>
        </w:tc>
      </w:tr>
      <w:tr w:rsidR="00B1445E" w:rsidRPr="00980D3E" w:rsidTr="00A96B72">
        <w:tc>
          <w:tcPr>
            <w:tcW w:w="3539" w:type="dxa"/>
            <w:tcBorders>
              <w:top w:val="single" w:sz="4" w:space="0" w:color="auto"/>
              <w:left w:val="single" w:sz="4" w:space="0" w:color="auto"/>
              <w:bottom w:val="single" w:sz="4" w:space="0" w:color="auto"/>
              <w:right w:val="single" w:sz="4" w:space="0" w:color="auto"/>
            </w:tcBorders>
          </w:tcPr>
          <w:p w:rsidR="00B1445E" w:rsidRPr="00980D3E" w:rsidRDefault="001311B5"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 xml:space="preserve">   </w:t>
            </w:r>
            <w:r w:rsidR="00B1445E" w:rsidRPr="00980D3E">
              <w:rPr>
                <w:rFonts w:ascii="Arial Narrow" w:hAnsi="Arial Narrow" w:cs="Times New Roman"/>
                <w:sz w:val="20"/>
                <w:szCs w:val="20"/>
                <w:lang w:eastAsia="en-US"/>
              </w:rPr>
              <w:t>Decreased appetite</w:t>
            </w:r>
          </w:p>
        </w:tc>
        <w:tc>
          <w:tcPr>
            <w:tcW w:w="2126"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21/167 (12.6</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2/83 (2.4</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651" w:type="dxa"/>
            <w:tcBorders>
              <w:top w:val="single" w:sz="4" w:space="0" w:color="auto"/>
              <w:left w:val="single" w:sz="4" w:space="0" w:color="auto"/>
              <w:bottom w:val="single" w:sz="4" w:space="0" w:color="auto"/>
              <w:right w:val="single" w:sz="4" w:space="0" w:color="auto"/>
            </w:tcBorders>
            <w:shd w:val="clear" w:color="auto" w:fill="auto"/>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hAnsi="Arial Narrow" w:cs="Times New Roman"/>
                <w:b/>
                <w:sz w:val="20"/>
                <w:szCs w:val="20"/>
                <w:lang w:eastAsia="en-US"/>
              </w:rPr>
              <w:t>5.22 (1.25, 21.73)</w:t>
            </w:r>
          </w:p>
        </w:tc>
      </w:tr>
      <w:tr w:rsidR="00B1445E" w:rsidRPr="00980D3E" w:rsidTr="00A96B72">
        <w:tc>
          <w:tcPr>
            <w:tcW w:w="3539" w:type="dxa"/>
            <w:vAlign w:val="center"/>
          </w:tcPr>
          <w:p w:rsidR="00B1445E" w:rsidRPr="00980D3E" w:rsidRDefault="001311B5" w:rsidP="006655B8">
            <w:pPr>
              <w:keepNext/>
              <w:keepLines/>
              <w:jc w:val="left"/>
              <w:rPr>
                <w:rFonts w:ascii="Arial Narrow" w:hAnsi="Arial Narrow" w:cs="Times New Roman"/>
                <w:sz w:val="20"/>
                <w:szCs w:val="20"/>
                <w:lang w:eastAsia="en-US"/>
              </w:rPr>
            </w:pPr>
            <w:r w:rsidRPr="00980D3E">
              <w:rPr>
                <w:rFonts w:ascii="Arial Narrow" w:hAnsi="Arial Narrow" w:cs="Times New Roman"/>
                <w:sz w:val="20"/>
                <w:szCs w:val="20"/>
                <w:lang w:eastAsia="en-US"/>
              </w:rPr>
              <w:t xml:space="preserve">   </w:t>
            </w:r>
            <w:r w:rsidR="00B1445E" w:rsidRPr="00980D3E">
              <w:rPr>
                <w:rFonts w:ascii="Arial Narrow" w:hAnsi="Arial Narrow" w:cs="Times New Roman"/>
                <w:sz w:val="20"/>
                <w:szCs w:val="20"/>
                <w:lang w:eastAsia="en-US"/>
              </w:rPr>
              <w:t xml:space="preserve">Grade </w:t>
            </w:r>
            <w:r w:rsidR="00B1445E" w:rsidRPr="00980D3E">
              <w:rPr>
                <w:rFonts w:ascii="Arial Narrow" w:hAnsi="Arial Narrow"/>
                <w:snapToGrid w:val="0"/>
                <w:sz w:val="20"/>
                <w:szCs w:val="20"/>
                <w:lang w:eastAsia="en-US"/>
              </w:rPr>
              <w:t xml:space="preserve">3/4 </w:t>
            </w:r>
            <w:r w:rsidR="00B1445E" w:rsidRPr="00980D3E">
              <w:rPr>
                <w:rFonts w:ascii="Arial Narrow" w:hAnsi="Arial Narrow" w:cs="Times New Roman"/>
                <w:sz w:val="20"/>
                <w:szCs w:val="20"/>
                <w:lang w:eastAsia="en-US"/>
              </w:rPr>
              <w:t>fatigue</w:t>
            </w:r>
          </w:p>
        </w:tc>
        <w:tc>
          <w:tcPr>
            <w:tcW w:w="2126"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18/167 (10.8</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1/83 (1.2</w:t>
            </w:r>
            <w:r w:rsidR="00A96B72" w:rsidRPr="00980D3E">
              <w:rPr>
                <w:rFonts w:ascii="Arial Narrow" w:eastAsiaTheme="minorHAnsi" w:hAnsi="Arial Narrow" w:cs="Times New Roman"/>
                <w:iCs/>
                <w:sz w:val="20"/>
                <w:szCs w:val="20"/>
                <w:lang w:eastAsia="en-US"/>
              </w:rPr>
              <w:t>%</w:t>
            </w:r>
            <w:r w:rsidRPr="00980D3E">
              <w:rPr>
                <w:rFonts w:ascii="Arial Narrow" w:eastAsiaTheme="minorHAnsi" w:hAnsi="Arial Narrow" w:cs="Times New Roman"/>
                <w:iCs/>
                <w:sz w:val="20"/>
                <w:szCs w:val="20"/>
                <w:lang w:eastAsia="en-US"/>
              </w:rPr>
              <w:t>)</w:t>
            </w:r>
          </w:p>
        </w:tc>
        <w:tc>
          <w:tcPr>
            <w:tcW w:w="1651" w:type="dxa"/>
            <w:tcBorders>
              <w:top w:val="single" w:sz="4" w:space="0" w:color="auto"/>
              <w:left w:val="single" w:sz="4" w:space="0" w:color="auto"/>
              <w:bottom w:val="single" w:sz="4" w:space="0" w:color="auto"/>
              <w:right w:val="single" w:sz="4" w:space="0" w:color="auto"/>
            </w:tcBorders>
            <w:vAlign w:val="center"/>
          </w:tcPr>
          <w:p w:rsidR="00B1445E" w:rsidRPr="00980D3E" w:rsidRDefault="00B1445E" w:rsidP="006655B8">
            <w:pPr>
              <w:keepNext/>
              <w:keepLines/>
              <w:jc w:val="center"/>
              <w:rPr>
                <w:rFonts w:ascii="Arial Narrow" w:hAnsi="Arial Narrow" w:cs="Times New Roman"/>
                <w:b/>
                <w:sz w:val="20"/>
                <w:szCs w:val="20"/>
                <w:lang w:eastAsia="en-US"/>
              </w:rPr>
            </w:pPr>
            <w:r w:rsidRPr="00980D3E">
              <w:rPr>
                <w:rFonts w:ascii="Arial Narrow" w:eastAsiaTheme="minorHAnsi" w:hAnsi="Arial Narrow" w:cs="Times New Roman"/>
                <w:b/>
                <w:iCs/>
                <w:sz w:val="20"/>
                <w:szCs w:val="20"/>
                <w:lang w:eastAsia="en-US"/>
              </w:rPr>
              <w:t>8.95 (1.22, 65.87)</w:t>
            </w:r>
          </w:p>
        </w:tc>
      </w:tr>
    </w:tbl>
    <w:p w:rsidR="00B1445E" w:rsidRPr="00980D3E" w:rsidRDefault="00B1445E" w:rsidP="00D443C2">
      <w:pPr>
        <w:pStyle w:val="TableFigureFooter"/>
        <w:rPr>
          <w:rFonts w:cs="Times New Roman"/>
          <w:lang w:eastAsia="en-US"/>
        </w:rPr>
      </w:pPr>
      <w:r w:rsidRPr="00980D3E">
        <w:rPr>
          <w:rFonts w:cs="Times New Roman"/>
          <w:lang w:eastAsia="en-US"/>
        </w:rPr>
        <w:t>Source: Table 5</w:t>
      </w:r>
      <w:r w:rsidR="00F46A59" w:rsidRPr="00980D3E">
        <w:rPr>
          <w:rFonts w:cs="Times New Roman"/>
          <w:lang w:eastAsia="en-US"/>
        </w:rPr>
        <w:t>7</w:t>
      </w:r>
      <w:r w:rsidRPr="00980D3E">
        <w:rPr>
          <w:rFonts w:cs="Times New Roman"/>
          <w:lang w:eastAsia="en-US"/>
        </w:rPr>
        <w:t xml:space="preserve">, p138; </w:t>
      </w:r>
      <w:r w:rsidR="006A69E3" w:rsidRPr="00980D3E">
        <w:rPr>
          <w:lang w:eastAsia="en-US"/>
        </w:rPr>
        <w:t>Table 12.2.2.3</w:t>
      </w:r>
      <w:r w:rsidRPr="00980D3E">
        <w:rPr>
          <w:lang w:eastAsia="en-US"/>
        </w:rPr>
        <w:t xml:space="preserve"> of 12</w:t>
      </w:r>
      <w:r w:rsidR="004E5054" w:rsidRPr="00980D3E">
        <w:rPr>
          <w:rFonts w:cs="Times"/>
          <w:snapToGrid/>
          <w:color w:val="000000" w:themeColor="text1"/>
          <w:szCs w:val="18"/>
        </w:rPr>
        <w:t xml:space="preserve"> CSR Safety Analysis (25AUG16) tables in CSR</w:t>
      </w:r>
      <w:r w:rsidRPr="00980D3E">
        <w:rPr>
          <w:lang w:eastAsia="en-US"/>
        </w:rPr>
        <w:t xml:space="preserve">; Listing 12.2.2.13, of CSR Safety Analysis (25AUG16) tables; Section 12.3.1.2, p136 of ADMYRE CSR. </w:t>
      </w:r>
    </w:p>
    <w:p w:rsidR="00B1445E" w:rsidRPr="00980D3E" w:rsidRDefault="00B1445E" w:rsidP="00D443C2">
      <w:pPr>
        <w:pStyle w:val="TableFigureFooter"/>
        <w:rPr>
          <w:b/>
          <w:lang w:eastAsia="en-US"/>
        </w:rPr>
      </w:pPr>
      <w:r w:rsidRPr="00980D3E">
        <w:rPr>
          <w:lang w:eastAsia="en-US"/>
        </w:rPr>
        <w:t xml:space="preserve">AE = adverse event; </w:t>
      </w:r>
      <w:r w:rsidR="00D47FE1" w:rsidRPr="00980D3E">
        <w:rPr>
          <w:lang w:eastAsia="en-US"/>
        </w:rPr>
        <w:t xml:space="preserve">CI = confidence interval; </w:t>
      </w:r>
      <w:r w:rsidR="00C50AE9" w:rsidRPr="00980D3E">
        <w:rPr>
          <w:lang w:eastAsia="en-US"/>
        </w:rPr>
        <w:t>Dxm</w:t>
      </w:r>
      <w:r w:rsidRPr="00980D3E">
        <w:rPr>
          <w:lang w:eastAsia="en-US"/>
        </w:rPr>
        <w:t xml:space="preserve"> = dexamethasone; RR = relative risk; SAE = serious adverse events; TEAEs = treatment related adverse events</w:t>
      </w:r>
      <w:r w:rsidR="005C13BE" w:rsidRPr="00980D3E">
        <w:rPr>
          <w:lang w:eastAsia="en-US"/>
        </w:rPr>
        <w:t xml:space="preserve">; </w:t>
      </w:r>
      <w:r w:rsidR="003D16F0" w:rsidRPr="00980D3E">
        <w:rPr>
          <w:b/>
          <w:lang w:eastAsia="en-US"/>
        </w:rPr>
        <w:t>b</w:t>
      </w:r>
      <w:r w:rsidR="005C13BE" w:rsidRPr="00980D3E">
        <w:rPr>
          <w:b/>
          <w:lang w:eastAsia="en-US"/>
        </w:rPr>
        <w:t>old</w:t>
      </w:r>
      <w:r w:rsidR="005C13BE" w:rsidRPr="00980D3E">
        <w:rPr>
          <w:lang w:eastAsia="en-US"/>
        </w:rPr>
        <w:t xml:space="preserve"> = statistical significance</w:t>
      </w:r>
      <w:r w:rsidRPr="00980D3E">
        <w:rPr>
          <w:lang w:eastAsia="en-US"/>
        </w:rPr>
        <w:t xml:space="preserve"> </w:t>
      </w:r>
    </w:p>
    <w:p w:rsidR="00B1445E" w:rsidRPr="00980D3E" w:rsidRDefault="00B1445E" w:rsidP="00B1445E">
      <w:pPr>
        <w:pStyle w:val="3-BodyText"/>
      </w:pPr>
      <w:r w:rsidRPr="00980D3E">
        <w:lastRenderedPageBreak/>
        <w:t xml:space="preserve">More patients in the plitidepsin arm experienced </w:t>
      </w:r>
      <w:r w:rsidR="00D95A42" w:rsidRPr="00980D3E">
        <w:t>treatment emergent adverse event</w:t>
      </w:r>
      <w:r w:rsidR="00BB6554" w:rsidRPr="00980D3E">
        <w:t>s</w:t>
      </w:r>
      <w:r w:rsidR="00D95A42" w:rsidRPr="00980D3E">
        <w:t xml:space="preserve"> (TEAE</w:t>
      </w:r>
      <w:r w:rsidR="00BB6554" w:rsidRPr="00980D3E">
        <w:t>s</w:t>
      </w:r>
      <w:r w:rsidR="00D95A42" w:rsidRPr="00980D3E">
        <w:t xml:space="preserve">), </w:t>
      </w:r>
      <w:r w:rsidRPr="00980D3E">
        <w:t xml:space="preserve">serious AEs or Grade 3 or higher TEAEs. The </w:t>
      </w:r>
      <w:r w:rsidR="00884A2E" w:rsidRPr="00980D3E">
        <w:t>ESC</w:t>
      </w:r>
      <w:r w:rsidR="00AA71C0" w:rsidRPr="00980D3E">
        <w:t xml:space="preserve"> </w:t>
      </w:r>
      <w:r w:rsidR="00DF203C" w:rsidRPr="00980D3E">
        <w:t>considered</w:t>
      </w:r>
      <w:r w:rsidR="00AA71C0" w:rsidRPr="00980D3E">
        <w:t xml:space="preserve"> that the </w:t>
      </w:r>
      <w:r w:rsidRPr="00980D3E">
        <w:t xml:space="preserve">claim of inferior safety </w:t>
      </w:r>
      <w:r w:rsidR="00E72804" w:rsidRPr="00980D3E">
        <w:t>was</w:t>
      </w:r>
      <w:r w:rsidRPr="00980D3E">
        <w:t xml:space="preserve"> supported by the ADMYRE trial.</w:t>
      </w:r>
      <w:r w:rsidR="00E74DA8" w:rsidRPr="00980D3E">
        <w:t xml:space="preserve"> The pre-PBAC response stated that many of the AEs were of short duration and reversible.</w:t>
      </w:r>
    </w:p>
    <w:p w:rsidR="007B18F7" w:rsidRPr="00980D3E" w:rsidRDefault="007B18F7" w:rsidP="007B18F7">
      <w:pPr>
        <w:pStyle w:val="3-BodyText"/>
        <w:numPr>
          <w:ilvl w:val="0"/>
          <w:numId w:val="0"/>
        </w:numPr>
        <w:rPr>
          <w:u w:val="single"/>
        </w:rPr>
      </w:pPr>
      <w:r w:rsidRPr="00980D3E">
        <w:rPr>
          <w:u w:val="single"/>
        </w:rPr>
        <w:t xml:space="preserve">Plitidepsin + </w:t>
      </w:r>
      <w:r w:rsidR="00C50AE9" w:rsidRPr="00980D3E">
        <w:rPr>
          <w:u w:val="single"/>
        </w:rPr>
        <w:t>Dxm</w:t>
      </w:r>
      <w:r w:rsidRPr="00980D3E">
        <w:rPr>
          <w:u w:val="single"/>
        </w:rPr>
        <w:t xml:space="preserve"> </w:t>
      </w:r>
      <w:r w:rsidR="00BA49B2" w:rsidRPr="00980D3E">
        <w:rPr>
          <w:u w:val="single"/>
        </w:rPr>
        <w:t>versus</w:t>
      </w:r>
      <w:r w:rsidRPr="00980D3E">
        <w:rPr>
          <w:u w:val="single"/>
        </w:rPr>
        <w:t xml:space="preserve"> pomalidomide + </w:t>
      </w:r>
      <w:r w:rsidR="00C50AE9" w:rsidRPr="00980D3E">
        <w:rPr>
          <w:u w:val="single"/>
        </w:rPr>
        <w:t>Dxm</w:t>
      </w:r>
      <w:r w:rsidR="005D1DA4" w:rsidRPr="00980D3E">
        <w:rPr>
          <w:u w:val="single"/>
        </w:rPr>
        <w:t>:</w:t>
      </w:r>
      <w:r w:rsidRPr="00980D3E">
        <w:rPr>
          <w:u w:val="single"/>
        </w:rPr>
        <w:t xml:space="preserve"> </w:t>
      </w:r>
      <w:r w:rsidR="00F940F8" w:rsidRPr="00980D3E">
        <w:rPr>
          <w:u w:val="single"/>
        </w:rPr>
        <w:t>i</w:t>
      </w:r>
      <w:r w:rsidRPr="00980D3E">
        <w:rPr>
          <w:u w:val="single"/>
        </w:rPr>
        <w:t xml:space="preserve">ndirect </w:t>
      </w:r>
      <w:r w:rsidR="00F940F8" w:rsidRPr="00980D3E">
        <w:rPr>
          <w:u w:val="single"/>
        </w:rPr>
        <w:t>c</w:t>
      </w:r>
      <w:r w:rsidRPr="00980D3E">
        <w:rPr>
          <w:u w:val="single"/>
        </w:rPr>
        <w:t>omparison of safety</w:t>
      </w:r>
    </w:p>
    <w:p w:rsidR="007B18F7" w:rsidRPr="00980D3E" w:rsidRDefault="007B18F7" w:rsidP="00820C9B">
      <w:pPr>
        <w:pStyle w:val="3-BodyText"/>
      </w:pPr>
      <w:r w:rsidRPr="00980D3E">
        <w:t xml:space="preserve">The results of the indirect comparison of safety for AEs are presented in </w:t>
      </w:r>
      <w:r w:rsidR="00820C9B" w:rsidRPr="00980D3E">
        <w:t>Table 12</w:t>
      </w:r>
      <w:r w:rsidRPr="00980D3E">
        <w:t xml:space="preserve">. Unchanged from the previous submission, the resubmission considered the interpretation of the </w:t>
      </w:r>
      <w:r w:rsidR="00A96B72" w:rsidRPr="00980D3E">
        <w:t xml:space="preserve">indirect comparison of </w:t>
      </w:r>
      <w:r w:rsidRPr="00980D3E">
        <w:t xml:space="preserve">AEs to be difficult due to the differences in the </w:t>
      </w:r>
      <w:r w:rsidR="00C50AE9" w:rsidRPr="00980D3E">
        <w:t>Dxm</w:t>
      </w:r>
      <w:r w:rsidRPr="00980D3E">
        <w:t xml:space="preserve"> regimen used in the comparator arm and due to likely differences in the trial populations.</w:t>
      </w:r>
    </w:p>
    <w:p w:rsidR="00AA058D" w:rsidRPr="00980D3E" w:rsidRDefault="00820C9B" w:rsidP="00D443C2">
      <w:pPr>
        <w:pStyle w:val="TableHeading"/>
      </w:pPr>
      <w:bookmarkStart w:id="34" w:name="_Ref33524721"/>
      <w:r w:rsidRPr="00980D3E">
        <w:t>Table 12</w:t>
      </w:r>
      <w:bookmarkEnd w:id="34"/>
      <w:r w:rsidR="00AA058D" w:rsidRPr="00980D3E">
        <w:t>: Key results of the indirect comparison for adverse events</w:t>
      </w:r>
    </w:p>
    <w:tbl>
      <w:tblPr>
        <w:tblW w:w="5000" w:type="pct"/>
        <w:tblCellMar>
          <w:left w:w="28" w:type="dxa"/>
          <w:right w:w="28" w:type="dxa"/>
        </w:tblCellMar>
        <w:tblLook w:val="04A0" w:firstRow="1" w:lastRow="0" w:firstColumn="1" w:lastColumn="0" w:noHBand="0" w:noVBand="1"/>
      </w:tblPr>
      <w:tblGrid>
        <w:gridCol w:w="1980"/>
        <w:gridCol w:w="2411"/>
        <w:gridCol w:w="2269"/>
        <w:gridCol w:w="2357"/>
      </w:tblGrid>
      <w:tr w:rsidR="00AA058D" w:rsidRPr="00980D3E" w:rsidTr="00A96B72">
        <w:trPr>
          <w:trHeight w:val="459"/>
          <w:tblHeader/>
        </w:trPr>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rPr>
                <w:rFonts w:ascii="Arial Narrow" w:hAnsi="Arial Narrow"/>
                <w:b/>
                <w:color w:val="000000"/>
                <w:sz w:val="20"/>
                <w:szCs w:val="20"/>
              </w:rPr>
            </w:pPr>
          </w:p>
        </w:tc>
        <w:tc>
          <w:tcPr>
            <w:tcW w:w="1337" w:type="pct"/>
            <w:tcBorders>
              <w:top w:val="single" w:sz="4" w:space="0" w:color="auto"/>
              <w:left w:val="single" w:sz="4" w:space="0" w:color="auto"/>
              <w:bottom w:val="single" w:sz="4" w:space="0" w:color="auto"/>
              <w:right w:val="single" w:sz="4" w:space="0" w:color="auto"/>
            </w:tcBorders>
            <w:vAlign w:val="center"/>
          </w:tcPr>
          <w:p w:rsidR="00A96B72" w:rsidRPr="00980D3E" w:rsidRDefault="00AA058D" w:rsidP="00404D03">
            <w:pPr>
              <w:keepNext/>
              <w:keepLines/>
              <w:jc w:val="center"/>
              <w:rPr>
                <w:rFonts w:ascii="Arial Narrow" w:hAnsi="Arial Narrow"/>
                <w:b/>
                <w:color w:val="000000"/>
                <w:sz w:val="20"/>
                <w:szCs w:val="20"/>
              </w:rPr>
            </w:pPr>
            <w:r w:rsidRPr="00980D3E">
              <w:rPr>
                <w:rFonts w:ascii="Arial Narrow" w:hAnsi="Arial Narrow"/>
                <w:b/>
                <w:color w:val="000000"/>
                <w:sz w:val="20"/>
                <w:szCs w:val="20"/>
              </w:rPr>
              <w:t xml:space="preserve">Plitidepsin + Dxm/ </w:t>
            </w:r>
          </w:p>
          <w:p w:rsidR="00AA058D" w:rsidRPr="00980D3E" w:rsidRDefault="00A96B72" w:rsidP="00404D03">
            <w:pPr>
              <w:keepNext/>
              <w:keepLines/>
              <w:jc w:val="center"/>
              <w:rPr>
                <w:rFonts w:ascii="Arial Narrow" w:hAnsi="Arial Narrow"/>
                <w:b/>
                <w:color w:val="000000"/>
                <w:sz w:val="20"/>
                <w:szCs w:val="20"/>
              </w:rPr>
            </w:pPr>
            <w:r w:rsidRPr="00980D3E">
              <w:rPr>
                <w:rFonts w:ascii="Arial Narrow" w:hAnsi="Arial Narrow"/>
                <w:b/>
                <w:color w:val="000000"/>
                <w:sz w:val="20"/>
                <w:szCs w:val="20"/>
              </w:rPr>
              <w:t>P</w:t>
            </w:r>
            <w:r w:rsidR="00AA058D" w:rsidRPr="00980D3E">
              <w:rPr>
                <w:rFonts w:ascii="Arial Narrow" w:hAnsi="Arial Narrow"/>
                <w:b/>
                <w:color w:val="000000"/>
                <w:sz w:val="20"/>
                <w:szCs w:val="20"/>
              </w:rPr>
              <w:t>omalidomide + Dxm</w:t>
            </w:r>
            <w:r w:rsidRPr="00980D3E">
              <w:rPr>
                <w:rFonts w:ascii="Arial Narrow" w:hAnsi="Arial Narrow"/>
                <w:b/>
                <w:color w:val="000000"/>
                <w:sz w:val="20"/>
                <w:szCs w:val="20"/>
              </w:rPr>
              <w:t>,</w:t>
            </w:r>
          </w:p>
          <w:p w:rsidR="00AA058D" w:rsidRPr="00980D3E" w:rsidRDefault="00AA058D" w:rsidP="00404D03">
            <w:pPr>
              <w:keepNext/>
              <w:keepLines/>
              <w:jc w:val="center"/>
              <w:rPr>
                <w:rFonts w:ascii="Arial Narrow" w:hAnsi="Arial Narrow"/>
                <w:b/>
                <w:color w:val="000000"/>
                <w:sz w:val="20"/>
                <w:szCs w:val="20"/>
              </w:rPr>
            </w:pPr>
            <w:r w:rsidRPr="00980D3E">
              <w:rPr>
                <w:rFonts w:ascii="Arial Narrow" w:hAnsi="Arial Narrow"/>
                <w:b/>
                <w:color w:val="000000"/>
                <w:sz w:val="20"/>
                <w:szCs w:val="20"/>
              </w:rPr>
              <w:t>n/N</w:t>
            </w:r>
            <w:r w:rsidR="00D95A42" w:rsidRPr="00980D3E">
              <w:rPr>
                <w:rFonts w:ascii="Arial Narrow" w:hAnsi="Arial Narrow"/>
                <w:b/>
                <w:color w:val="000000"/>
                <w:sz w:val="20"/>
                <w:szCs w:val="20"/>
              </w:rPr>
              <w:t xml:space="preserve"> (%)</w:t>
            </w:r>
          </w:p>
        </w:tc>
        <w:tc>
          <w:tcPr>
            <w:tcW w:w="1258" w:type="pct"/>
            <w:tcBorders>
              <w:top w:val="single" w:sz="4" w:space="0" w:color="auto"/>
              <w:left w:val="single" w:sz="4" w:space="0" w:color="auto"/>
              <w:bottom w:val="single" w:sz="4" w:space="0" w:color="auto"/>
              <w:right w:val="single" w:sz="4" w:space="0" w:color="auto"/>
            </w:tcBorders>
            <w:vAlign w:val="center"/>
          </w:tcPr>
          <w:p w:rsidR="00AA058D" w:rsidRPr="00980D3E" w:rsidRDefault="00AA058D" w:rsidP="00404D03">
            <w:pPr>
              <w:keepNext/>
              <w:keepLines/>
              <w:jc w:val="center"/>
              <w:rPr>
                <w:rFonts w:ascii="Arial Narrow" w:hAnsi="Arial Narrow"/>
                <w:b/>
                <w:color w:val="000000"/>
                <w:sz w:val="20"/>
                <w:szCs w:val="20"/>
              </w:rPr>
            </w:pPr>
            <w:r w:rsidRPr="00980D3E">
              <w:rPr>
                <w:rFonts w:ascii="Arial Narrow" w:hAnsi="Arial Narrow"/>
                <w:b/>
                <w:color w:val="000000"/>
                <w:sz w:val="20"/>
                <w:szCs w:val="20"/>
              </w:rPr>
              <w:t>Dxm</w:t>
            </w:r>
            <w:r w:rsidR="00A96B72" w:rsidRPr="00980D3E">
              <w:rPr>
                <w:rFonts w:ascii="Arial Narrow" w:hAnsi="Arial Narrow"/>
                <w:b/>
                <w:color w:val="000000"/>
                <w:sz w:val="20"/>
                <w:szCs w:val="20"/>
              </w:rPr>
              <w:t>/</w:t>
            </w:r>
            <w:r w:rsidRPr="00980D3E">
              <w:rPr>
                <w:rFonts w:ascii="Arial Narrow" w:hAnsi="Arial Narrow"/>
                <w:b/>
                <w:color w:val="000000"/>
                <w:sz w:val="20"/>
                <w:szCs w:val="20"/>
              </w:rPr>
              <w:t>HI-Dxm</w:t>
            </w:r>
            <w:r w:rsidR="00A96B72" w:rsidRPr="00980D3E">
              <w:rPr>
                <w:rFonts w:ascii="Arial Narrow" w:hAnsi="Arial Narrow"/>
                <w:b/>
                <w:color w:val="000000"/>
                <w:sz w:val="20"/>
                <w:szCs w:val="20"/>
              </w:rPr>
              <w:t>,</w:t>
            </w:r>
            <w:r w:rsidRPr="00980D3E">
              <w:rPr>
                <w:rFonts w:ascii="Arial Narrow" w:hAnsi="Arial Narrow"/>
                <w:b/>
                <w:color w:val="000000"/>
                <w:sz w:val="20"/>
                <w:szCs w:val="20"/>
              </w:rPr>
              <w:t xml:space="preserve"> </w:t>
            </w:r>
          </w:p>
          <w:p w:rsidR="00AA058D" w:rsidRPr="00980D3E" w:rsidRDefault="00AA058D" w:rsidP="00404D03">
            <w:pPr>
              <w:keepNext/>
              <w:keepLines/>
              <w:jc w:val="center"/>
              <w:rPr>
                <w:rFonts w:ascii="Arial Narrow" w:hAnsi="Arial Narrow"/>
                <w:b/>
                <w:color w:val="000000"/>
                <w:sz w:val="20"/>
                <w:szCs w:val="20"/>
              </w:rPr>
            </w:pPr>
            <w:r w:rsidRPr="00980D3E">
              <w:rPr>
                <w:rFonts w:ascii="Arial Narrow" w:hAnsi="Arial Narrow"/>
                <w:b/>
                <w:color w:val="000000"/>
                <w:sz w:val="20"/>
                <w:szCs w:val="20"/>
              </w:rPr>
              <w:t>n/N</w:t>
            </w:r>
            <w:r w:rsidR="00D95A42" w:rsidRPr="00980D3E">
              <w:rPr>
                <w:rFonts w:ascii="Arial Narrow" w:hAnsi="Arial Narrow"/>
                <w:b/>
                <w:color w:val="000000"/>
                <w:sz w:val="20"/>
                <w:szCs w:val="20"/>
              </w:rPr>
              <w:t xml:space="preserve"> (%)</w:t>
            </w:r>
          </w:p>
        </w:tc>
        <w:tc>
          <w:tcPr>
            <w:tcW w:w="1307" w:type="pct"/>
            <w:tcBorders>
              <w:top w:val="single" w:sz="4" w:space="0" w:color="auto"/>
              <w:left w:val="single" w:sz="4" w:space="0" w:color="auto"/>
              <w:bottom w:val="single" w:sz="4" w:space="0" w:color="auto"/>
              <w:right w:val="single" w:sz="4" w:space="0" w:color="auto"/>
            </w:tcBorders>
            <w:vAlign w:val="center"/>
          </w:tcPr>
          <w:p w:rsidR="00AA058D" w:rsidRPr="00980D3E" w:rsidRDefault="00AA058D" w:rsidP="00A96B72">
            <w:pPr>
              <w:keepNext/>
              <w:keepLines/>
              <w:jc w:val="center"/>
              <w:rPr>
                <w:rFonts w:ascii="Arial Narrow" w:hAnsi="Arial Narrow"/>
                <w:b/>
                <w:color w:val="000000"/>
                <w:sz w:val="20"/>
                <w:szCs w:val="20"/>
              </w:rPr>
            </w:pPr>
            <w:r w:rsidRPr="00980D3E">
              <w:rPr>
                <w:rFonts w:ascii="Arial Narrow" w:hAnsi="Arial Narrow"/>
                <w:b/>
                <w:color w:val="000000"/>
                <w:sz w:val="20"/>
                <w:szCs w:val="20"/>
              </w:rPr>
              <w:t>RR</w:t>
            </w:r>
            <w:r w:rsidR="00A96B72" w:rsidRPr="00980D3E">
              <w:rPr>
                <w:rFonts w:ascii="Arial Narrow" w:hAnsi="Arial Narrow"/>
                <w:b/>
                <w:color w:val="000000"/>
                <w:sz w:val="20"/>
                <w:szCs w:val="20"/>
              </w:rPr>
              <w:t xml:space="preserve"> </w:t>
            </w:r>
            <w:r w:rsidRPr="00980D3E">
              <w:rPr>
                <w:rFonts w:ascii="Arial Narrow" w:hAnsi="Arial Narrow"/>
                <w:b/>
                <w:color w:val="000000"/>
                <w:sz w:val="20"/>
                <w:szCs w:val="20"/>
              </w:rPr>
              <w:t>(95% CI)</w:t>
            </w:r>
          </w:p>
        </w:tc>
      </w:tr>
      <w:tr w:rsidR="00AA058D" w:rsidRPr="00980D3E" w:rsidTr="00404D03">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rPr>
                <w:rFonts w:ascii="Arial Narrow" w:hAnsi="Arial Narrow"/>
                <w:b/>
                <w:color w:val="000000"/>
                <w:sz w:val="20"/>
                <w:szCs w:val="20"/>
              </w:rPr>
            </w:pPr>
            <w:r w:rsidRPr="00980D3E">
              <w:rPr>
                <w:rFonts w:ascii="Arial Narrow" w:hAnsi="Arial Narrow"/>
                <w:b/>
                <w:color w:val="000000"/>
                <w:sz w:val="20"/>
                <w:szCs w:val="20"/>
              </w:rPr>
              <w:t>Diarrhoea</w:t>
            </w:r>
          </w:p>
        </w:tc>
      </w:tr>
      <w:tr w:rsidR="00AA058D" w:rsidRPr="00980D3E" w:rsidTr="00A96B72">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rPr>
                <w:rFonts w:ascii="Arial Narrow" w:hAnsi="Arial Narrow"/>
                <w:color w:val="000000"/>
                <w:sz w:val="20"/>
                <w:szCs w:val="20"/>
              </w:rPr>
            </w:pPr>
            <w:r w:rsidRPr="00980D3E">
              <w:rPr>
                <w:rFonts w:ascii="Arial Narrow" w:hAnsi="Arial Narrow"/>
                <w:color w:val="000000"/>
                <w:sz w:val="20"/>
                <w:szCs w:val="20"/>
              </w:rPr>
              <w:t>ADMYRE</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24/167</w:t>
            </w:r>
            <w:r w:rsidR="003D3A7E" w:rsidRPr="00980D3E">
              <w:rPr>
                <w:rFonts w:ascii="Arial Narrow" w:eastAsiaTheme="minorHAnsi" w:hAnsi="Arial Narrow" w:cstheme="minorBidi"/>
                <w:sz w:val="20"/>
                <w:szCs w:val="20"/>
              </w:rPr>
              <w:t xml:space="preserve"> (14.4</w:t>
            </w:r>
            <w:r w:rsidR="00A96B72" w:rsidRPr="00980D3E">
              <w:rPr>
                <w:rFonts w:ascii="Arial Narrow" w:eastAsiaTheme="minorHAnsi" w:hAnsi="Arial Narrow" w:cstheme="minorBidi"/>
                <w:sz w:val="20"/>
                <w:szCs w:val="20"/>
              </w:rPr>
              <w:t>%</w:t>
            </w:r>
            <w:r w:rsidR="003D3A7E" w:rsidRPr="00980D3E">
              <w:rPr>
                <w:rFonts w:ascii="Arial Narrow" w:eastAsiaTheme="minorHAnsi" w:hAnsi="Arial Narrow" w:cstheme="minorBidi"/>
                <w:sz w:val="20"/>
                <w:szCs w:val="20"/>
              </w:rPr>
              <w:t>)</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2/83</w:t>
            </w:r>
            <w:r w:rsidR="003D3A7E" w:rsidRPr="00980D3E">
              <w:rPr>
                <w:rFonts w:ascii="Arial Narrow" w:eastAsiaTheme="minorHAnsi" w:hAnsi="Arial Narrow" w:cstheme="minorBidi"/>
                <w:sz w:val="20"/>
                <w:szCs w:val="20"/>
              </w:rPr>
              <w:t xml:space="preserve"> (2.4</w:t>
            </w:r>
            <w:r w:rsidR="00A96B72" w:rsidRPr="00980D3E">
              <w:rPr>
                <w:rFonts w:ascii="Arial Narrow" w:eastAsiaTheme="minorHAnsi" w:hAnsi="Arial Narrow" w:cstheme="minorBidi"/>
                <w:sz w:val="20"/>
                <w:szCs w:val="20"/>
              </w:rPr>
              <w:t>%</w:t>
            </w:r>
            <w:r w:rsidR="003D3A7E" w:rsidRPr="00980D3E">
              <w:rPr>
                <w:rFonts w:ascii="Arial Narrow" w:eastAsiaTheme="minorHAnsi" w:hAnsi="Arial Narrow" w:cstheme="minorBidi"/>
                <w:sz w:val="20"/>
                <w:szCs w:val="20"/>
              </w:rPr>
              <w:t>)</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AA058D" w:rsidRPr="00980D3E" w:rsidRDefault="00AA058D" w:rsidP="001C74A2">
            <w:pPr>
              <w:keepNext/>
              <w:keepLines/>
              <w:jc w:val="center"/>
              <w:rPr>
                <w:rFonts w:ascii="Arial Narrow" w:hAnsi="Arial Narrow"/>
                <w:b/>
                <w:i/>
                <w:color w:val="000000"/>
                <w:sz w:val="20"/>
                <w:szCs w:val="20"/>
              </w:rPr>
            </w:pPr>
            <w:r w:rsidRPr="00980D3E">
              <w:rPr>
                <w:rFonts w:ascii="Arial Narrow" w:eastAsiaTheme="minorHAnsi" w:hAnsi="Arial Narrow" w:cstheme="minorBidi"/>
                <w:b/>
                <w:sz w:val="20"/>
                <w:szCs w:val="20"/>
              </w:rPr>
              <w:t>5.96 (1.44, 24.63)</w:t>
            </w:r>
          </w:p>
        </w:tc>
      </w:tr>
      <w:tr w:rsidR="00AA058D" w:rsidRPr="00980D3E" w:rsidTr="00A96B72">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rPr>
                <w:rFonts w:ascii="Arial Narrow" w:hAnsi="Arial Narrow"/>
                <w:color w:val="000000"/>
                <w:sz w:val="20"/>
                <w:szCs w:val="20"/>
              </w:rPr>
            </w:pPr>
            <w:r w:rsidRPr="00980D3E">
              <w:rPr>
                <w:rFonts w:ascii="Arial Narrow" w:hAnsi="Arial Narrow"/>
                <w:color w:val="000000"/>
                <w:sz w:val="20"/>
                <w:szCs w:val="20"/>
              </w:rPr>
              <w:t>NIMBUS</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 xml:space="preserve">66/300 </w:t>
            </w:r>
            <w:r w:rsidR="003D3A7E" w:rsidRPr="00980D3E">
              <w:rPr>
                <w:rFonts w:ascii="Arial Narrow" w:eastAsiaTheme="minorHAnsi" w:hAnsi="Arial Narrow" w:cstheme="minorBidi"/>
                <w:sz w:val="20"/>
                <w:szCs w:val="20"/>
              </w:rPr>
              <w:t>(22.0</w:t>
            </w:r>
            <w:r w:rsidR="00A96B72" w:rsidRPr="00980D3E">
              <w:rPr>
                <w:rFonts w:ascii="Arial Narrow" w:eastAsiaTheme="minorHAnsi" w:hAnsi="Arial Narrow" w:cstheme="minorBidi"/>
                <w:sz w:val="20"/>
                <w:szCs w:val="20"/>
              </w:rPr>
              <w:t>%</w:t>
            </w:r>
            <w:r w:rsidR="003D3A7E" w:rsidRPr="00980D3E">
              <w:rPr>
                <w:rFonts w:ascii="Arial Narrow" w:eastAsiaTheme="minorHAnsi" w:hAnsi="Arial Narrow" w:cstheme="minorBidi"/>
                <w:sz w:val="20"/>
                <w:szCs w:val="20"/>
              </w:rPr>
              <w:t>)</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 xml:space="preserve">28/150 </w:t>
            </w:r>
            <w:r w:rsidR="003D3A7E" w:rsidRPr="00980D3E">
              <w:rPr>
                <w:rFonts w:ascii="Arial Narrow" w:eastAsiaTheme="minorHAnsi" w:hAnsi="Arial Narrow" w:cstheme="minorBidi"/>
                <w:sz w:val="20"/>
                <w:szCs w:val="20"/>
              </w:rPr>
              <w:t>(18.7</w:t>
            </w:r>
            <w:r w:rsidR="00A96B72" w:rsidRPr="00980D3E">
              <w:rPr>
                <w:rFonts w:ascii="Arial Narrow" w:eastAsiaTheme="minorHAnsi" w:hAnsi="Arial Narrow" w:cstheme="minorBidi"/>
                <w:sz w:val="20"/>
                <w:szCs w:val="20"/>
              </w:rPr>
              <w:t>%</w:t>
            </w:r>
            <w:r w:rsidR="003D3A7E" w:rsidRPr="00980D3E">
              <w:rPr>
                <w:rFonts w:ascii="Arial Narrow" w:eastAsiaTheme="minorHAnsi" w:hAnsi="Arial Narrow" w:cstheme="minorBidi"/>
                <w:sz w:val="20"/>
                <w:szCs w:val="20"/>
              </w:rPr>
              <w:t>)</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AA058D" w:rsidRPr="00980D3E" w:rsidRDefault="001C74A2" w:rsidP="001C74A2">
            <w:pPr>
              <w:keepNext/>
              <w:keepLines/>
              <w:jc w:val="center"/>
              <w:rPr>
                <w:rFonts w:ascii="Arial Narrow" w:hAnsi="Arial Narrow"/>
                <w:i/>
                <w:color w:val="000000"/>
                <w:sz w:val="20"/>
                <w:szCs w:val="20"/>
              </w:rPr>
            </w:pPr>
            <w:r w:rsidRPr="00980D3E">
              <w:rPr>
                <w:rFonts w:ascii="Arial Narrow" w:eastAsiaTheme="minorHAnsi" w:hAnsi="Arial Narrow" w:cstheme="minorBidi"/>
                <w:sz w:val="20"/>
                <w:szCs w:val="20"/>
              </w:rPr>
              <w:t>1.18 (</w:t>
            </w:r>
            <w:r w:rsidR="00AA058D" w:rsidRPr="00980D3E">
              <w:rPr>
                <w:rFonts w:ascii="Arial Narrow" w:eastAsiaTheme="minorHAnsi" w:hAnsi="Arial Narrow" w:cstheme="minorBidi"/>
                <w:sz w:val="20"/>
                <w:szCs w:val="20"/>
              </w:rPr>
              <w:t>0.79, 1.75)</w:t>
            </w:r>
          </w:p>
        </w:tc>
      </w:tr>
      <w:tr w:rsidR="00AA058D" w:rsidRPr="00980D3E" w:rsidTr="00A96B72">
        <w:tc>
          <w:tcPr>
            <w:tcW w:w="36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5D36E7">
            <w:pPr>
              <w:keepNext/>
              <w:keepLines/>
              <w:jc w:val="left"/>
              <w:rPr>
                <w:rFonts w:ascii="Arial Narrow" w:eastAsiaTheme="minorHAnsi" w:hAnsi="Arial Narrow" w:cstheme="minorBidi"/>
                <w:sz w:val="20"/>
                <w:szCs w:val="20"/>
              </w:rPr>
            </w:pPr>
            <w:r w:rsidRPr="00980D3E">
              <w:rPr>
                <w:rFonts w:ascii="Arial Narrow" w:hAnsi="Arial Narrow"/>
                <w:color w:val="000000"/>
                <w:sz w:val="20"/>
                <w:szCs w:val="20"/>
              </w:rPr>
              <w:t xml:space="preserve">Indirect comparison: ADMYRE </w:t>
            </w:r>
            <w:r w:rsidR="005D36E7" w:rsidRPr="00980D3E">
              <w:rPr>
                <w:rFonts w:ascii="Arial Narrow" w:hAnsi="Arial Narrow"/>
                <w:color w:val="000000"/>
                <w:sz w:val="20"/>
                <w:szCs w:val="20"/>
              </w:rPr>
              <w:t>vs</w:t>
            </w:r>
            <w:r w:rsidR="0090157A" w:rsidRPr="00980D3E">
              <w:rPr>
                <w:rFonts w:ascii="Arial Narrow" w:hAnsi="Arial Narrow"/>
                <w:color w:val="000000"/>
                <w:sz w:val="20"/>
                <w:szCs w:val="20"/>
              </w:rPr>
              <w:t>.</w:t>
            </w:r>
            <w:r w:rsidRPr="00980D3E">
              <w:rPr>
                <w:rFonts w:ascii="Arial Narrow" w:hAnsi="Arial Narrow"/>
                <w:color w:val="000000"/>
                <w:sz w:val="20"/>
                <w:szCs w:val="20"/>
              </w:rPr>
              <w:t xml:space="preserve"> NIMBUS</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AA058D" w:rsidRPr="00980D3E" w:rsidRDefault="00AA058D" w:rsidP="001C74A2">
            <w:pPr>
              <w:keepNext/>
              <w:keepLines/>
              <w:jc w:val="center"/>
              <w:rPr>
                <w:rFonts w:ascii="Arial Narrow" w:hAnsi="Arial Narrow"/>
                <w:i/>
                <w:color w:val="000000"/>
                <w:sz w:val="20"/>
                <w:szCs w:val="20"/>
              </w:rPr>
            </w:pPr>
            <w:r w:rsidRPr="00980D3E">
              <w:rPr>
                <w:rFonts w:ascii="Arial Narrow" w:eastAsiaTheme="minorHAnsi" w:hAnsi="Arial Narrow" w:cstheme="minorBidi"/>
                <w:b/>
                <w:sz w:val="20"/>
                <w:szCs w:val="20"/>
              </w:rPr>
              <w:t>5.05</w:t>
            </w:r>
            <w:r w:rsidRPr="00980D3E">
              <w:rPr>
                <w:rFonts w:ascii="Arial Narrow" w:eastAsiaTheme="minorHAnsi" w:hAnsi="Arial Narrow" w:cstheme="minorBidi"/>
                <w:sz w:val="20"/>
                <w:szCs w:val="20"/>
              </w:rPr>
              <w:t xml:space="preserve"> </w:t>
            </w:r>
            <w:r w:rsidRPr="00980D3E">
              <w:rPr>
                <w:rFonts w:ascii="Arial Narrow" w:eastAsiaTheme="minorHAnsi" w:hAnsi="Arial Narrow" w:cstheme="minorBidi"/>
                <w:b/>
                <w:sz w:val="20"/>
                <w:szCs w:val="20"/>
              </w:rPr>
              <w:t>(1.16, 22.06)</w:t>
            </w:r>
          </w:p>
        </w:tc>
      </w:tr>
      <w:tr w:rsidR="00AA058D" w:rsidRPr="00980D3E" w:rsidTr="00404D03">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rPr>
                <w:rFonts w:ascii="Arial Narrow" w:hAnsi="Arial Narrow"/>
                <w:color w:val="000000"/>
                <w:sz w:val="20"/>
                <w:szCs w:val="20"/>
              </w:rPr>
            </w:pPr>
            <w:r w:rsidRPr="00980D3E">
              <w:rPr>
                <w:rFonts w:ascii="Arial Narrow" w:hAnsi="Arial Narrow"/>
                <w:b/>
                <w:color w:val="000000"/>
                <w:sz w:val="20"/>
                <w:szCs w:val="20"/>
              </w:rPr>
              <w:t>Nausea</w:t>
            </w:r>
          </w:p>
        </w:tc>
      </w:tr>
      <w:tr w:rsidR="00AA058D" w:rsidRPr="00980D3E" w:rsidTr="00A96B72">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rPr>
                <w:rFonts w:ascii="Arial Narrow" w:hAnsi="Arial Narrow"/>
                <w:color w:val="000000"/>
                <w:sz w:val="20"/>
                <w:szCs w:val="20"/>
              </w:rPr>
            </w:pPr>
            <w:r w:rsidRPr="00980D3E">
              <w:rPr>
                <w:rFonts w:ascii="Arial Narrow" w:hAnsi="Arial Narrow"/>
                <w:color w:val="000000"/>
                <w:sz w:val="20"/>
                <w:szCs w:val="20"/>
              </w:rPr>
              <w:t>ADMYRE</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62/167</w:t>
            </w:r>
            <w:r w:rsidR="003D3A7E" w:rsidRPr="00980D3E">
              <w:rPr>
                <w:rFonts w:ascii="Arial Narrow" w:eastAsiaTheme="minorHAnsi" w:hAnsi="Arial Narrow" w:cstheme="minorBidi"/>
                <w:sz w:val="20"/>
                <w:szCs w:val="20"/>
              </w:rPr>
              <w:t xml:space="preserve"> (37.1</w:t>
            </w:r>
            <w:r w:rsidR="00A96B72" w:rsidRPr="00980D3E">
              <w:rPr>
                <w:rFonts w:ascii="Arial Narrow" w:eastAsiaTheme="minorHAnsi" w:hAnsi="Arial Narrow" w:cstheme="minorBidi"/>
                <w:sz w:val="20"/>
                <w:szCs w:val="20"/>
              </w:rPr>
              <w:t>%</w:t>
            </w:r>
            <w:r w:rsidR="003D3A7E" w:rsidRPr="00980D3E">
              <w:rPr>
                <w:rFonts w:ascii="Arial Narrow" w:eastAsiaTheme="minorHAnsi" w:hAnsi="Arial Narrow" w:cstheme="minorBidi"/>
                <w:sz w:val="20"/>
                <w:szCs w:val="20"/>
              </w:rPr>
              <w:t>)</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9/83</w:t>
            </w:r>
            <w:r w:rsidR="003D3A7E" w:rsidRPr="00980D3E">
              <w:rPr>
                <w:rFonts w:ascii="Arial Narrow" w:eastAsiaTheme="minorHAnsi" w:hAnsi="Arial Narrow" w:cstheme="minorBidi"/>
                <w:sz w:val="20"/>
                <w:szCs w:val="20"/>
              </w:rPr>
              <w:t xml:space="preserve"> (10.8</w:t>
            </w:r>
            <w:r w:rsidR="00A96B72" w:rsidRPr="00980D3E">
              <w:rPr>
                <w:rFonts w:ascii="Arial Narrow" w:eastAsiaTheme="minorHAnsi" w:hAnsi="Arial Narrow" w:cstheme="minorBidi"/>
                <w:sz w:val="20"/>
                <w:szCs w:val="20"/>
              </w:rPr>
              <w:t>%</w:t>
            </w:r>
            <w:r w:rsidR="003D3A7E" w:rsidRPr="00980D3E">
              <w:rPr>
                <w:rFonts w:ascii="Arial Narrow" w:eastAsiaTheme="minorHAnsi" w:hAnsi="Arial Narrow" w:cstheme="minorBidi"/>
                <w:sz w:val="20"/>
                <w:szCs w:val="20"/>
              </w:rPr>
              <w:t>)</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AA058D" w:rsidRPr="00980D3E" w:rsidRDefault="00AA058D" w:rsidP="00404D03">
            <w:pPr>
              <w:keepNext/>
              <w:keepLines/>
              <w:jc w:val="center"/>
              <w:rPr>
                <w:rFonts w:ascii="Arial Narrow" w:hAnsi="Arial Narrow"/>
                <w:i/>
                <w:color w:val="000000"/>
                <w:sz w:val="20"/>
                <w:szCs w:val="20"/>
              </w:rPr>
            </w:pPr>
            <w:r w:rsidRPr="00980D3E">
              <w:rPr>
                <w:rFonts w:ascii="Arial Narrow" w:eastAsiaTheme="minorHAnsi" w:hAnsi="Arial Narrow" w:cstheme="minorBidi"/>
                <w:b/>
                <w:sz w:val="20"/>
                <w:szCs w:val="20"/>
              </w:rPr>
              <w:t>3.42</w:t>
            </w:r>
            <w:r w:rsidRPr="00980D3E">
              <w:rPr>
                <w:rFonts w:ascii="Arial Narrow" w:eastAsiaTheme="minorHAnsi" w:hAnsi="Arial Narrow" w:cstheme="minorBidi"/>
                <w:sz w:val="20"/>
                <w:szCs w:val="20"/>
              </w:rPr>
              <w:t xml:space="preserve"> </w:t>
            </w:r>
            <w:r w:rsidRPr="00980D3E">
              <w:rPr>
                <w:rFonts w:ascii="Arial Narrow" w:eastAsiaTheme="minorHAnsi" w:hAnsi="Arial Narrow" w:cstheme="minorBidi"/>
                <w:b/>
                <w:sz w:val="20"/>
                <w:szCs w:val="20"/>
              </w:rPr>
              <w:t>(1.79, 6.54)</w:t>
            </w:r>
          </w:p>
        </w:tc>
      </w:tr>
      <w:tr w:rsidR="00AA058D" w:rsidRPr="00980D3E" w:rsidTr="00A96B72">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rPr>
                <w:rFonts w:ascii="Arial Narrow" w:hAnsi="Arial Narrow"/>
                <w:color w:val="000000"/>
                <w:sz w:val="20"/>
                <w:szCs w:val="20"/>
              </w:rPr>
            </w:pPr>
            <w:r w:rsidRPr="00980D3E">
              <w:rPr>
                <w:rFonts w:ascii="Arial Narrow" w:hAnsi="Arial Narrow"/>
                <w:color w:val="000000"/>
                <w:sz w:val="20"/>
                <w:szCs w:val="20"/>
              </w:rPr>
              <w:t>NIMBUS</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45/300</w:t>
            </w:r>
            <w:r w:rsidR="003D3A7E" w:rsidRPr="00980D3E">
              <w:rPr>
                <w:rFonts w:ascii="Arial Narrow" w:eastAsiaTheme="minorHAnsi" w:hAnsi="Arial Narrow" w:cstheme="minorBidi"/>
                <w:sz w:val="20"/>
                <w:szCs w:val="20"/>
              </w:rPr>
              <w:t xml:space="preserve"> (15.0</w:t>
            </w:r>
            <w:r w:rsidR="00A96B72" w:rsidRPr="00980D3E">
              <w:rPr>
                <w:rFonts w:ascii="Arial Narrow" w:eastAsiaTheme="minorHAnsi" w:hAnsi="Arial Narrow" w:cstheme="minorBidi"/>
                <w:sz w:val="20"/>
                <w:szCs w:val="20"/>
              </w:rPr>
              <w:t>%</w:t>
            </w:r>
            <w:r w:rsidR="003D3A7E" w:rsidRPr="00980D3E">
              <w:rPr>
                <w:rFonts w:ascii="Arial Narrow" w:eastAsiaTheme="minorHAnsi" w:hAnsi="Arial Narrow" w:cstheme="minorBidi"/>
                <w:sz w:val="20"/>
                <w:szCs w:val="20"/>
              </w:rPr>
              <w:t>)</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16/150</w:t>
            </w:r>
            <w:r w:rsidR="003D3A7E" w:rsidRPr="00980D3E">
              <w:rPr>
                <w:rFonts w:ascii="Arial Narrow" w:eastAsiaTheme="minorHAnsi" w:hAnsi="Arial Narrow" w:cstheme="minorBidi"/>
                <w:sz w:val="20"/>
                <w:szCs w:val="20"/>
              </w:rPr>
              <w:t xml:space="preserve"> (10.7</w:t>
            </w:r>
            <w:r w:rsidR="00A96B72" w:rsidRPr="00980D3E">
              <w:rPr>
                <w:rFonts w:ascii="Arial Narrow" w:eastAsiaTheme="minorHAnsi" w:hAnsi="Arial Narrow" w:cstheme="minorBidi"/>
                <w:sz w:val="20"/>
                <w:szCs w:val="20"/>
              </w:rPr>
              <w:t>%</w:t>
            </w:r>
            <w:r w:rsidR="003D3A7E" w:rsidRPr="00980D3E">
              <w:rPr>
                <w:rFonts w:ascii="Arial Narrow" w:eastAsiaTheme="minorHAnsi" w:hAnsi="Arial Narrow" w:cstheme="minorBidi"/>
                <w:sz w:val="20"/>
                <w:szCs w:val="20"/>
              </w:rPr>
              <w:t>)</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AA058D" w:rsidRPr="00980D3E" w:rsidRDefault="00AA058D" w:rsidP="00404D03">
            <w:pPr>
              <w:keepNext/>
              <w:keepLines/>
              <w:jc w:val="center"/>
              <w:rPr>
                <w:rFonts w:ascii="Arial Narrow" w:hAnsi="Arial Narrow"/>
                <w:i/>
                <w:color w:val="000000"/>
                <w:sz w:val="20"/>
                <w:szCs w:val="20"/>
              </w:rPr>
            </w:pPr>
            <w:r w:rsidRPr="00980D3E">
              <w:rPr>
                <w:rFonts w:ascii="Arial Narrow" w:eastAsiaTheme="minorHAnsi" w:hAnsi="Arial Narrow" w:cstheme="minorBidi"/>
                <w:sz w:val="20"/>
                <w:szCs w:val="20"/>
              </w:rPr>
              <w:t>1.41 (0.82, 2.40)</w:t>
            </w:r>
          </w:p>
        </w:tc>
      </w:tr>
      <w:tr w:rsidR="00AA058D" w:rsidRPr="00980D3E" w:rsidTr="00A96B72">
        <w:tc>
          <w:tcPr>
            <w:tcW w:w="36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jc w:val="left"/>
              <w:rPr>
                <w:rFonts w:ascii="Arial Narrow" w:eastAsiaTheme="minorHAnsi" w:hAnsi="Arial Narrow" w:cstheme="minorBidi"/>
                <w:sz w:val="20"/>
                <w:szCs w:val="20"/>
              </w:rPr>
            </w:pPr>
            <w:r w:rsidRPr="00980D3E">
              <w:rPr>
                <w:rFonts w:ascii="Arial Narrow" w:hAnsi="Arial Narrow"/>
                <w:color w:val="000000"/>
                <w:sz w:val="20"/>
                <w:szCs w:val="20"/>
              </w:rPr>
              <w:t>Indirect comparison: ADMYRE vs</w:t>
            </w:r>
            <w:r w:rsidR="0090157A" w:rsidRPr="00980D3E">
              <w:rPr>
                <w:rFonts w:ascii="Arial Narrow" w:hAnsi="Arial Narrow"/>
                <w:color w:val="000000"/>
                <w:sz w:val="20"/>
                <w:szCs w:val="20"/>
              </w:rPr>
              <w:t>.</w:t>
            </w:r>
            <w:r w:rsidRPr="00980D3E">
              <w:rPr>
                <w:rFonts w:ascii="Arial Narrow" w:hAnsi="Arial Narrow"/>
                <w:color w:val="000000"/>
                <w:sz w:val="20"/>
                <w:szCs w:val="20"/>
              </w:rPr>
              <w:t xml:space="preserve"> NIMBUS</w:t>
            </w:r>
          </w:p>
        </w:tc>
        <w:tc>
          <w:tcPr>
            <w:tcW w:w="1307" w:type="pct"/>
            <w:tcBorders>
              <w:top w:val="single" w:sz="4" w:space="0" w:color="auto"/>
              <w:left w:val="single" w:sz="4" w:space="0" w:color="auto"/>
              <w:bottom w:val="single" w:sz="4" w:space="0" w:color="auto"/>
              <w:right w:val="single" w:sz="4" w:space="0" w:color="auto"/>
            </w:tcBorders>
            <w:vAlign w:val="center"/>
          </w:tcPr>
          <w:p w:rsidR="00AA058D" w:rsidRPr="00980D3E" w:rsidRDefault="00AA058D" w:rsidP="00404D03">
            <w:pPr>
              <w:keepNext/>
              <w:keepLines/>
              <w:jc w:val="center"/>
              <w:rPr>
                <w:rFonts w:ascii="Arial Narrow" w:hAnsi="Arial Narrow"/>
                <w:i/>
                <w:color w:val="000000"/>
                <w:sz w:val="20"/>
                <w:szCs w:val="20"/>
              </w:rPr>
            </w:pPr>
            <w:r w:rsidRPr="00980D3E">
              <w:rPr>
                <w:rFonts w:ascii="Arial Narrow" w:hAnsi="Arial Narrow"/>
                <w:b/>
                <w:color w:val="000000"/>
                <w:sz w:val="20"/>
                <w:szCs w:val="20"/>
              </w:rPr>
              <w:t>2.43 (1.05, 5.63)</w:t>
            </w:r>
          </w:p>
        </w:tc>
      </w:tr>
      <w:tr w:rsidR="00AA058D" w:rsidRPr="00980D3E" w:rsidTr="00404D03">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jc w:val="left"/>
              <w:rPr>
                <w:rFonts w:ascii="Arial Narrow" w:hAnsi="Arial Narrow"/>
                <w:b/>
                <w:color w:val="000000"/>
                <w:sz w:val="20"/>
                <w:szCs w:val="20"/>
              </w:rPr>
            </w:pPr>
            <w:r w:rsidRPr="00980D3E">
              <w:rPr>
                <w:rFonts w:ascii="Arial Narrow" w:hAnsi="Arial Narrow"/>
                <w:b/>
                <w:color w:val="000000"/>
                <w:sz w:val="20"/>
                <w:szCs w:val="20"/>
              </w:rPr>
              <w:t>Fatigue</w:t>
            </w:r>
          </w:p>
        </w:tc>
      </w:tr>
      <w:tr w:rsidR="00AA058D" w:rsidRPr="00980D3E" w:rsidTr="00A96B72">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rPr>
                <w:rFonts w:ascii="Arial Narrow" w:hAnsi="Arial Narrow"/>
                <w:color w:val="000000"/>
                <w:sz w:val="20"/>
                <w:szCs w:val="20"/>
              </w:rPr>
            </w:pPr>
            <w:r w:rsidRPr="00980D3E">
              <w:rPr>
                <w:rFonts w:ascii="Arial Narrow" w:hAnsi="Arial Narrow"/>
                <w:color w:val="000000"/>
                <w:sz w:val="20"/>
                <w:szCs w:val="20"/>
              </w:rPr>
              <w:t>ADMYRE</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61/167</w:t>
            </w:r>
            <w:r w:rsidR="00DF20C0" w:rsidRPr="00980D3E">
              <w:rPr>
                <w:rFonts w:ascii="Arial Narrow" w:eastAsiaTheme="minorHAnsi" w:hAnsi="Arial Narrow" w:cstheme="minorBidi"/>
                <w:sz w:val="20"/>
                <w:szCs w:val="20"/>
              </w:rPr>
              <w:t xml:space="preserve"> (36.5</w:t>
            </w:r>
            <w:r w:rsidR="00A96B72" w:rsidRPr="00980D3E">
              <w:rPr>
                <w:rFonts w:ascii="Arial Narrow" w:eastAsiaTheme="minorHAnsi" w:hAnsi="Arial Narrow" w:cstheme="minorBidi"/>
                <w:sz w:val="20"/>
                <w:szCs w:val="20"/>
              </w:rPr>
              <w:t>%</w:t>
            </w:r>
            <w:r w:rsidR="00DF20C0" w:rsidRPr="00980D3E">
              <w:rPr>
                <w:rFonts w:ascii="Arial Narrow" w:eastAsiaTheme="minorHAnsi" w:hAnsi="Arial Narrow" w:cstheme="minorBidi"/>
                <w:sz w:val="20"/>
                <w:szCs w:val="20"/>
              </w:rPr>
              <w:t>)</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7/83</w:t>
            </w:r>
            <w:r w:rsidR="00DF20C0" w:rsidRPr="00980D3E">
              <w:rPr>
                <w:rFonts w:ascii="Arial Narrow" w:eastAsiaTheme="minorHAnsi" w:hAnsi="Arial Narrow" w:cstheme="minorBidi"/>
                <w:sz w:val="20"/>
                <w:szCs w:val="20"/>
              </w:rPr>
              <w:t xml:space="preserve"> (8.4</w:t>
            </w:r>
            <w:r w:rsidR="00A96B72" w:rsidRPr="00980D3E">
              <w:rPr>
                <w:rFonts w:ascii="Arial Narrow" w:eastAsiaTheme="minorHAnsi" w:hAnsi="Arial Narrow" w:cstheme="minorBidi"/>
                <w:sz w:val="20"/>
                <w:szCs w:val="20"/>
              </w:rPr>
              <w:t>%</w:t>
            </w:r>
            <w:r w:rsidR="00DF20C0" w:rsidRPr="00980D3E">
              <w:rPr>
                <w:rFonts w:ascii="Arial Narrow" w:eastAsiaTheme="minorHAnsi" w:hAnsi="Arial Narrow" w:cstheme="minorBidi"/>
                <w:sz w:val="20"/>
                <w:szCs w:val="20"/>
              </w:rPr>
              <w:t>)</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b/>
                <w:sz w:val="20"/>
                <w:szCs w:val="20"/>
              </w:rPr>
              <w:t>4.33</w:t>
            </w:r>
            <w:r w:rsidRPr="00980D3E">
              <w:rPr>
                <w:rFonts w:ascii="Arial Narrow" w:eastAsiaTheme="minorHAnsi" w:hAnsi="Arial Narrow" w:cstheme="minorBidi"/>
                <w:sz w:val="20"/>
                <w:szCs w:val="20"/>
              </w:rPr>
              <w:t xml:space="preserve"> </w:t>
            </w:r>
            <w:r w:rsidRPr="00980D3E">
              <w:rPr>
                <w:rFonts w:ascii="Arial Narrow" w:eastAsiaTheme="minorHAnsi" w:hAnsi="Arial Narrow" w:cstheme="minorBidi"/>
                <w:b/>
                <w:sz w:val="20"/>
                <w:szCs w:val="20"/>
              </w:rPr>
              <w:t>(2.07, 9.05)</w:t>
            </w:r>
          </w:p>
        </w:tc>
      </w:tr>
      <w:tr w:rsidR="00AA058D" w:rsidRPr="00980D3E" w:rsidTr="00A96B72">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rPr>
                <w:rFonts w:ascii="Arial Narrow" w:hAnsi="Arial Narrow"/>
                <w:color w:val="000000"/>
                <w:sz w:val="20"/>
                <w:szCs w:val="20"/>
              </w:rPr>
            </w:pPr>
            <w:r w:rsidRPr="00980D3E">
              <w:rPr>
                <w:rFonts w:ascii="Arial Narrow" w:hAnsi="Arial Narrow"/>
                <w:color w:val="000000"/>
                <w:sz w:val="20"/>
                <w:szCs w:val="20"/>
              </w:rPr>
              <w:t>NIMBUS</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101/300</w:t>
            </w:r>
            <w:r w:rsidR="00DF20C0" w:rsidRPr="00980D3E">
              <w:rPr>
                <w:rFonts w:ascii="Arial Narrow" w:eastAsiaTheme="minorHAnsi" w:hAnsi="Arial Narrow" w:cstheme="minorBidi"/>
                <w:sz w:val="20"/>
                <w:szCs w:val="20"/>
              </w:rPr>
              <w:t xml:space="preserve"> (33.7</w:t>
            </w:r>
            <w:r w:rsidR="00A96B72" w:rsidRPr="00980D3E">
              <w:rPr>
                <w:rFonts w:ascii="Arial Narrow" w:eastAsiaTheme="minorHAnsi" w:hAnsi="Arial Narrow" w:cstheme="minorBidi"/>
                <w:sz w:val="20"/>
                <w:szCs w:val="20"/>
              </w:rPr>
              <w:t>%</w:t>
            </w:r>
            <w:r w:rsidR="00DF20C0" w:rsidRPr="00980D3E">
              <w:rPr>
                <w:rFonts w:ascii="Arial Narrow" w:eastAsiaTheme="minorHAnsi" w:hAnsi="Arial Narrow" w:cstheme="minorBidi"/>
                <w:sz w:val="20"/>
                <w:szCs w:val="20"/>
              </w:rPr>
              <w:t>)</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41/150</w:t>
            </w:r>
            <w:r w:rsidR="00DF20C0" w:rsidRPr="00980D3E">
              <w:rPr>
                <w:rFonts w:ascii="Arial Narrow" w:eastAsiaTheme="minorHAnsi" w:hAnsi="Arial Narrow" w:cstheme="minorBidi"/>
                <w:sz w:val="20"/>
                <w:szCs w:val="20"/>
              </w:rPr>
              <w:t xml:space="preserve"> (27.3</w:t>
            </w:r>
            <w:r w:rsidR="00A96B72" w:rsidRPr="00980D3E">
              <w:rPr>
                <w:rFonts w:ascii="Arial Narrow" w:eastAsiaTheme="minorHAnsi" w:hAnsi="Arial Narrow" w:cstheme="minorBidi"/>
                <w:sz w:val="20"/>
                <w:szCs w:val="20"/>
              </w:rPr>
              <w:t>%</w:t>
            </w:r>
            <w:r w:rsidR="00DF20C0" w:rsidRPr="00980D3E">
              <w:rPr>
                <w:rFonts w:ascii="Arial Narrow" w:eastAsiaTheme="minorHAnsi" w:hAnsi="Arial Narrow" w:cstheme="minorBidi"/>
                <w:sz w:val="20"/>
                <w:szCs w:val="20"/>
              </w:rPr>
              <w:t>)</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1.23 (0.91, 1.67)</w:t>
            </w:r>
          </w:p>
        </w:tc>
      </w:tr>
      <w:tr w:rsidR="00AA058D" w:rsidRPr="00980D3E" w:rsidTr="00A96B72">
        <w:tc>
          <w:tcPr>
            <w:tcW w:w="36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jc w:val="left"/>
              <w:rPr>
                <w:rFonts w:ascii="Arial Narrow" w:eastAsiaTheme="minorHAnsi" w:hAnsi="Arial Narrow" w:cstheme="minorBidi"/>
                <w:sz w:val="20"/>
                <w:szCs w:val="20"/>
              </w:rPr>
            </w:pPr>
            <w:r w:rsidRPr="00980D3E">
              <w:rPr>
                <w:rFonts w:ascii="Arial Narrow" w:hAnsi="Arial Narrow"/>
                <w:color w:val="000000"/>
                <w:sz w:val="20"/>
                <w:szCs w:val="20"/>
              </w:rPr>
              <w:t>Indirect comparison: ADMYRE vs</w:t>
            </w:r>
            <w:r w:rsidR="0090157A" w:rsidRPr="00980D3E">
              <w:rPr>
                <w:rFonts w:ascii="Arial Narrow" w:hAnsi="Arial Narrow"/>
                <w:color w:val="000000"/>
                <w:sz w:val="20"/>
                <w:szCs w:val="20"/>
              </w:rPr>
              <w:t>.</w:t>
            </w:r>
            <w:r w:rsidRPr="00980D3E">
              <w:rPr>
                <w:rFonts w:ascii="Arial Narrow" w:hAnsi="Arial Narrow"/>
                <w:color w:val="000000"/>
                <w:sz w:val="20"/>
                <w:szCs w:val="20"/>
              </w:rPr>
              <w:t xml:space="preserve"> NIMBUS</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AA058D" w:rsidRPr="00980D3E" w:rsidRDefault="00AA058D" w:rsidP="00404D03">
            <w:pPr>
              <w:keepNext/>
              <w:keepLines/>
              <w:jc w:val="center"/>
              <w:rPr>
                <w:rFonts w:ascii="Arial Narrow" w:hAnsi="Arial Narrow"/>
                <w:b/>
                <w:color w:val="000000"/>
                <w:sz w:val="20"/>
                <w:szCs w:val="20"/>
              </w:rPr>
            </w:pPr>
            <w:r w:rsidRPr="00980D3E">
              <w:rPr>
                <w:rFonts w:ascii="Arial Narrow" w:eastAsiaTheme="minorHAnsi" w:hAnsi="Arial Narrow" w:cstheme="minorBidi"/>
                <w:b/>
                <w:sz w:val="20"/>
                <w:szCs w:val="20"/>
              </w:rPr>
              <w:t>3.52 (1.59, 7.82)</w:t>
            </w:r>
          </w:p>
        </w:tc>
      </w:tr>
      <w:tr w:rsidR="00AA058D" w:rsidRPr="00980D3E" w:rsidTr="00404D03">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jc w:val="left"/>
              <w:rPr>
                <w:rFonts w:ascii="Arial Narrow" w:hAnsi="Arial Narrow"/>
                <w:b/>
                <w:color w:val="000000"/>
                <w:sz w:val="20"/>
                <w:szCs w:val="20"/>
              </w:rPr>
            </w:pPr>
            <w:r w:rsidRPr="00980D3E">
              <w:rPr>
                <w:rFonts w:ascii="Arial Narrow" w:hAnsi="Arial Narrow"/>
                <w:b/>
                <w:color w:val="000000"/>
                <w:sz w:val="20"/>
                <w:szCs w:val="20"/>
              </w:rPr>
              <w:t>Muscular weakness</w:t>
            </w:r>
          </w:p>
        </w:tc>
      </w:tr>
      <w:tr w:rsidR="00AA058D" w:rsidRPr="00980D3E" w:rsidTr="00A96B72">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rPr>
                <w:rFonts w:ascii="Arial Narrow" w:hAnsi="Arial Narrow"/>
                <w:color w:val="000000"/>
                <w:sz w:val="20"/>
                <w:szCs w:val="20"/>
              </w:rPr>
            </w:pPr>
            <w:r w:rsidRPr="00980D3E">
              <w:rPr>
                <w:rFonts w:ascii="Arial Narrow" w:hAnsi="Arial Narrow"/>
                <w:color w:val="000000"/>
                <w:sz w:val="20"/>
                <w:szCs w:val="20"/>
              </w:rPr>
              <w:t>ADMYRE</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16/167</w:t>
            </w:r>
            <w:r w:rsidR="00A80958" w:rsidRPr="00980D3E">
              <w:rPr>
                <w:rFonts w:ascii="Arial Narrow" w:eastAsiaTheme="minorHAnsi" w:hAnsi="Arial Narrow" w:cstheme="minorBidi"/>
                <w:sz w:val="20"/>
                <w:szCs w:val="20"/>
              </w:rPr>
              <w:t xml:space="preserve"> (9.6</w:t>
            </w:r>
            <w:r w:rsidR="00A96B72" w:rsidRPr="00980D3E">
              <w:rPr>
                <w:rFonts w:ascii="Arial Narrow" w:eastAsiaTheme="minorHAnsi" w:hAnsi="Arial Narrow" w:cstheme="minorBidi"/>
                <w:sz w:val="20"/>
                <w:szCs w:val="20"/>
              </w:rPr>
              <w:t>%</w:t>
            </w:r>
            <w:r w:rsidR="00A80958" w:rsidRPr="00980D3E">
              <w:rPr>
                <w:rFonts w:ascii="Arial Narrow" w:eastAsiaTheme="minorHAnsi" w:hAnsi="Arial Narrow" w:cstheme="minorBidi"/>
                <w:sz w:val="20"/>
                <w:szCs w:val="20"/>
              </w:rPr>
              <w:t>)</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2/83</w:t>
            </w:r>
            <w:r w:rsidR="00A80958" w:rsidRPr="00980D3E">
              <w:rPr>
                <w:rFonts w:ascii="Arial Narrow" w:eastAsiaTheme="minorHAnsi" w:hAnsi="Arial Narrow" w:cstheme="minorBidi"/>
                <w:sz w:val="20"/>
                <w:szCs w:val="20"/>
              </w:rPr>
              <w:t xml:space="preserve"> (2.4</w:t>
            </w:r>
            <w:r w:rsidR="00A96B72" w:rsidRPr="00980D3E">
              <w:rPr>
                <w:rFonts w:ascii="Arial Narrow" w:eastAsiaTheme="minorHAnsi" w:hAnsi="Arial Narrow" w:cstheme="minorBidi"/>
                <w:sz w:val="20"/>
                <w:szCs w:val="20"/>
              </w:rPr>
              <w:t>%</w:t>
            </w:r>
            <w:r w:rsidR="00A80958" w:rsidRPr="00980D3E">
              <w:rPr>
                <w:rFonts w:ascii="Arial Narrow" w:eastAsiaTheme="minorHAnsi" w:hAnsi="Arial Narrow" w:cstheme="minorBidi"/>
                <w:sz w:val="20"/>
                <w:szCs w:val="20"/>
              </w:rPr>
              <w:t>)</w:t>
            </w:r>
          </w:p>
        </w:tc>
        <w:tc>
          <w:tcPr>
            <w:tcW w:w="1307"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i/>
                <w:color w:val="000000"/>
                <w:sz w:val="20"/>
                <w:szCs w:val="20"/>
              </w:rPr>
            </w:pPr>
            <w:r w:rsidRPr="00980D3E">
              <w:rPr>
                <w:rFonts w:ascii="Arial Narrow" w:eastAsiaTheme="minorHAnsi" w:hAnsi="Arial Narrow" w:cstheme="minorBidi"/>
                <w:sz w:val="20"/>
                <w:szCs w:val="20"/>
              </w:rPr>
              <w:t>3.98 (0.94, 16.89)</w:t>
            </w:r>
          </w:p>
        </w:tc>
      </w:tr>
      <w:tr w:rsidR="00AA058D" w:rsidRPr="00980D3E" w:rsidTr="00A96B72">
        <w:tc>
          <w:tcPr>
            <w:tcW w:w="1098" w:type="pct"/>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rPr>
                <w:rFonts w:ascii="Arial Narrow" w:hAnsi="Arial Narrow"/>
                <w:color w:val="000000"/>
                <w:sz w:val="20"/>
                <w:szCs w:val="20"/>
              </w:rPr>
            </w:pPr>
            <w:r w:rsidRPr="00980D3E">
              <w:rPr>
                <w:rFonts w:ascii="Arial Narrow" w:hAnsi="Arial Narrow"/>
                <w:color w:val="000000"/>
                <w:sz w:val="20"/>
                <w:szCs w:val="20"/>
              </w:rPr>
              <w:t>NIMBUS</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9/300</w:t>
            </w:r>
            <w:r w:rsidR="00A80958" w:rsidRPr="00980D3E">
              <w:rPr>
                <w:rFonts w:ascii="Arial Narrow" w:eastAsiaTheme="minorHAnsi" w:hAnsi="Arial Narrow" w:cstheme="minorBidi"/>
                <w:sz w:val="20"/>
                <w:szCs w:val="20"/>
              </w:rPr>
              <w:t xml:space="preserve"> (3.0</w:t>
            </w:r>
            <w:r w:rsidR="00A96B72" w:rsidRPr="00980D3E">
              <w:rPr>
                <w:rFonts w:ascii="Arial Narrow" w:eastAsiaTheme="minorHAnsi" w:hAnsi="Arial Narrow" w:cstheme="minorBidi"/>
                <w:sz w:val="20"/>
                <w:szCs w:val="20"/>
              </w:rPr>
              <w:t>%</w:t>
            </w:r>
            <w:r w:rsidR="00A80958" w:rsidRPr="00980D3E">
              <w:rPr>
                <w:rFonts w:ascii="Arial Narrow" w:eastAsiaTheme="minorHAnsi" w:hAnsi="Arial Narrow" w:cstheme="minorBidi"/>
                <w:sz w:val="20"/>
                <w:szCs w:val="20"/>
              </w:rPr>
              <w:t>)</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bottom"/>
          </w:tcPr>
          <w:p w:rsidR="00AA058D" w:rsidRPr="00980D3E" w:rsidRDefault="00AA058D" w:rsidP="00404D03">
            <w:pPr>
              <w:keepNext/>
              <w:keepLines/>
              <w:jc w:val="center"/>
              <w:rPr>
                <w:rFonts w:ascii="Arial Narrow" w:hAnsi="Arial Narrow"/>
                <w:color w:val="000000"/>
                <w:sz w:val="20"/>
                <w:szCs w:val="20"/>
              </w:rPr>
            </w:pPr>
            <w:r w:rsidRPr="00980D3E">
              <w:rPr>
                <w:rFonts w:ascii="Arial Narrow" w:eastAsiaTheme="minorHAnsi" w:hAnsi="Arial Narrow" w:cstheme="minorBidi"/>
                <w:sz w:val="20"/>
                <w:szCs w:val="20"/>
              </w:rPr>
              <w:t>19/150</w:t>
            </w:r>
            <w:r w:rsidR="00A80958" w:rsidRPr="00980D3E">
              <w:rPr>
                <w:rFonts w:ascii="Arial Narrow" w:eastAsiaTheme="minorHAnsi" w:hAnsi="Arial Narrow" w:cstheme="minorBidi"/>
                <w:sz w:val="20"/>
                <w:szCs w:val="20"/>
              </w:rPr>
              <w:t xml:space="preserve"> (12.7</w:t>
            </w:r>
            <w:r w:rsidR="00A96B72" w:rsidRPr="00980D3E">
              <w:rPr>
                <w:rFonts w:ascii="Arial Narrow" w:eastAsiaTheme="minorHAnsi" w:hAnsi="Arial Narrow" w:cstheme="minorBidi"/>
                <w:sz w:val="20"/>
                <w:szCs w:val="20"/>
              </w:rPr>
              <w:t>%</w:t>
            </w:r>
            <w:r w:rsidR="00A80958" w:rsidRPr="00980D3E">
              <w:rPr>
                <w:rFonts w:ascii="Arial Narrow" w:eastAsiaTheme="minorHAnsi" w:hAnsi="Arial Narrow" w:cstheme="minorBidi"/>
                <w:sz w:val="20"/>
                <w:szCs w:val="20"/>
              </w:rPr>
              <w:t>)</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AA058D" w:rsidRPr="00980D3E" w:rsidRDefault="00AA058D" w:rsidP="00404D03">
            <w:pPr>
              <w:keepNext/>
              <w:keepLines/>
              <w:jc w:val="center"/>
              <w:rPr>
                <w:rFonts w:ascii="Arial Narrow" w:hAnsi="Arial Narrow"/>
                <w:i/>
                <w:color w:val="000000"/>
                <w:sz w:val="20"/>
                <w:szCs w:val="20"/>
              </w:rPr>
            </w:pPr>
            <w:r w:rsidRPr="00980D3E">
              <w:rPr>
                <w:rFonts w:ascii="Arial Narrow" w:eastAsiaTheme="minorHAnsi" w:hAnsi="Arial Narrow" w:cstheme="minorBidi"/>
                <w:b/>
                <w:sz w:val="20"/>
                <w:szCs w:val="20"/>
              </w:rPr>
              <w:t>0.24 (0.11, 0.51)</w:t>
            </w:r>
          </w:p>
        </w:tc>
      </w:tr>
      <w:tr w:rsidR="00AA058D" w:rsidRPr="00980D3E" w:rsidTr="00A96B72">
        <w:tc>
          <w:tcPr>
            <w:tcW w:w="369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A058D" w:rsidRPr="00980D3E" w:rsidRDefault="00AA058D" w:rsidP="00404D03">
            <w:pPr>
              <w:keepNext/>
              <w:keepLines/>
              <w:jc w:val="left"/>
              <w:rPr>
                <w:rFonts w:ascii="Arial Narrow" w:hAnsi="Arial Narrow"/>
                <w:color w:val="000000"/>
                <w:sz w:val="20"/>
                <w:szCs w:val="20"/>
              </w:rPr>
            </w:pPr>
            <w:r w:rsidRPr="00980D3E">
              <w:rPr>
                <w:rFonts w:ascii="Arial Narrow" w:hAnsi="Arial Narrow"/>
                <w:color w:val="000000"/>
                <w:sz w:val="20"/>
                <w:szCs w:val="20"/>
              </w:rPr>
              <w:t>Indirect comparison: ADMYRE vs</w:t>
            </w:r>
            <w:r w:rsidR="0090157A" w:rsidRPr="00980D3E">
              <w:rPr>
                <w:rFonts w:ascii="Arial Narrow" w:hAnsi="Arial Narrow"/>
                <w:color w:val="000000"/>
                <w:sz w:val="20"/>
                <w:szCs w:val="20"/>
              </w:rPr>
              <w:t>.</w:t>
            </w:r>
            <w:r w:rsidRPr="00980D3E">
              <w:rPr>
                <w:rFonts w:ascii="Arial Narrow" w:hAnsi="Arial Narrow"/>
                <w:color w:val="000000"/>
                <w:sz w:val="20"/>
                <w:szCs w:val="20"/>
              </w:rPr>
              <w:t xml:space="preserve"> NIMBUS</w:t>
            </w:r>
          </w:p>
        </w:tc>
        <w:tc>
          <w:tcPr>
            <w:tcW w:w="1307" w:type="pct"/>
            <w:tcBorders>
              <w:top w:val="single" w:sz="4" w:space="0" w:color="auto"/>
              <w:left w:val="single" w:sz="4" w:space="0" w:color="auto"/>
              <w:bottom w:val="single" w:sz="4" w:space="0" w:color="auto"/>
              <w:right w:val="single" w:sz="4" w:space="0" w:color="auto"/>
            </w:tcBorders>
            <w:shd w:val="clear" w:color="auto" w:fill="auto"/>
          </w:tcPr>
          <w:p w:rsidR="00AA058D" w:rsidRPr="00980D3E" w:rsidRDefault="00AA058D" w:rsidP="00404D03">
            <w:pPr>
              <w:keepNext/>
              <w:keepLines/>
              <w:jc w:val="center"/>
              <w:rPr>
                <w:rFonts w:ascii="Arial Narrow" w:hAnsi="Arial Narrow"/>
                <w:b/>
                <w:i/>
                <w:color w:val="000000"/>
                <w:sz w:val="20"/>
                <w:szCs w:val="20"/>
              </w:rPr>
            </w:pPr>
            <w:r w:rsidRPr="00980D3E">
              <w:rPr>
                <w:rFonts w:ascii="Arial Narrow" w:eastAsiaTheme="minorHAnsi" w:hAnsi="Arial Narrow" w:cstheme="minorBidi"/>
                <w:b/>
                <w:sz w:val="20"/>
                <w:szCs w:val="20"/>
              </w:rPr>
              <w:t>16.58 (3.23, 85.09)</w:t>
            </w:r>
          </w:p>
        </w:tc>
      </w:tr>
    </w:tbl>
    <w:p w:rsidR="00AA058D" w:rsidRPr="00980D3E" w:rsidRDefault="00AA058D" w:rsidP="00D443C2">
      <w:pPr>
        <w:pStyle w:val="TableFigureFooter"/>
        <w:rPr>
          <w:rFonts w:eastAsiaTheme="minorHAnsi"/>
        </w:rPr>
      </w:pPr>
      <w:r w:rsidRPr="00980D3E">
        <w:rPr>
          <w:rFonts w:eastAsiaTheme="minorHAnsi"/>
        </w:rPr>
        <w:t>Source: Table 66, pp164-168 of the resubmission.</w:t>
      </w:r>
    </w:p>
    <w:p w:rsidR="00AA058D" w:rsidRPr="00980D3E" w:rsidRDefault="00AA058D" w:rsidP="00D443C2">
      <w:pPr>
        <w:pStyle w:val="TableFigureFooter"/>
        <w:rPr>
          <w:lang w:eastAsia="en-US"/>
        </w:rPr>
      </w:pPr>
      <w:r w:rsidRPr="00980D3E">
        <w:rPr>
          <w:lang w:eastAsia="en-US"/>
        </w:rPr>
        <w:t>CI = confidence interval; Dxm = dexamethasone; HI-Dxm = high-dose dexamethasone;; RR = relative risk</w:t>
      </w:r>
      <w:r w:rsidR="0079001E" w:rsidRPr="00980D3E">
        <w:rPr>
          <w:lang w:eastAsia="en-US"/>
        </w:rPr>
        <w:t>; vs. = versus</w:t>
      </w:r>
      <w:r w:rsidR="000608BA" w:rsidRPr="00980D3E">
        <w:rPr>
          <w:lang w:eastAsia="en-US"/>
        </w:rPr>
        <w:t xml:space="preserve">; </w:t>
      </w:r>
      <w:r w:rsidR="003D16F0" w:rsidRPr="00980D3E">
        <w:rPr>
          <w:b/>
          <w:lang w:eastAsia="en-US"/>
        </w:rPr>
        <w:t>b</w:t>
      </w:r>
      <w:r w:rsidRPr="00980D3E">
        <w:rPr>
          <w:b/>
          <w:lang w:eastAsia="en-US"/>
        </w:rPr>
        <w:t>old</w:t>
      </w:r>
      <w:r w:rsidR="000608BA" w:rsidRPr="00980D3E">
        <w:rPr>
          <w:lang w:eastAsia="en-US"/>
        </w:rPr>
        <w:t xml:space="preserve"> = </w:t>
      </w:r>
      <w:r w:rsidR="00820C9B" w:rsidRPr="00980D3E">
        <w:rPr>
          <w:lang w:eastAsia="en-US"/>
        </w:rPr>
        <w:t>statistical significance.</w:t>
      </w:r>
    </w:p>
    <w:p w:rsidR="00AE3E97" w:rsidRPr="00980D3E" w:rsidRDefault="00AA71C0" w:rsidP="00AE3E97">
      <w:pPr>
        <w:pStyle w:val="3-BodyText"/>
      </w:pPr>
      <w:r w:rsidRPr="00980D3E">
        <w:t xml:space="preserve">The </w:t>
      </w:r>
      <w:r w:rsidR="00884A2E" w:rsidRPr="00980D3E">
        <w:t>ESC</w:t>
      </w:r>
      <w:r w:rsidRPr="00980D3E">
        <w:t xml:space="preserve"> noted that high dose Dxm, as used in the NIMBUS trial, was associated with more adverse events than low dose Dxm, as used in the ADMYRE trial. </w:t>
      </w:r>
      <w:r w:rsidR="00AE3E97" w:rsidRPr="00980D3E">
        <w:t>The indirect comparison of AEs found a significant increase in the rates of diarrhoea, nausea, fatigue and muscular weakness with plitidepsin + Dxm compared with pomalidomide + HI</w:t>
      </w:r>
      <w:r w:rsidR="00AE3E97" w:rsidRPr="00980D3E">
        <w:noBreakHyphen/>
        <w:t xml:space="preserve">Dxm. Accordingly, the </w:t>
      </w:r>
      <w:r w:rsidR="00884A2E" w:rsidRPr="00980D3E">
        <w:t>ESC</w:t>
      </w:r>
      <w:r w:rsidRPr="00980D3E">
        <w:t xml:space="preserve"> considered that the </w:t>
      </w:r>
      <w:r w:rsidR="00AE3E97" w:rsidRPr="00980D3E">
        <w:t>claim of non</w:t>
      </w:r>
      <w:r w:rsidR="00AE3E97" w:rsidRPr="00980D3E">
        <w:noBreakHyphen/>
        <w:t>inferior safety compared to pomalidomide + Dxm could not be supported.</w:t>
      </w:r>
    </w:p>
    <w:p w:rsidR="00AE3E97" w:rsidRPr="00980D3E" w:rsidRDefault="00AE3E97" w:rsidP="00AE3E97">
      <w:pPr>
        <w:pStyle w:val="3-BodyText"/>
        <w:numPr>
          <w:ilvl w:val="0"/>
          <w:numId w:val="0"/>
        </w:numPr>
      </w:pPr>
      <w:r w:rsidRPr="00980D3E">
        <w:rPr>
          <w:u w:val="single"/>
        </w:rPr>
        <w:t>Plitidepsin versus other RRMM treatments</w:t>
      </w:r>
    </w:p>
    <w:p w:rsidR="00AE3E97" w:rsidRPr="00980D3E" w:rsidRDefault="00AE3E97" w:rsidP="00820C9B">
      <w:pPr>
        <w:pStyle w:val="3-BodyText"/>
      </w:pPr>
      <w:r w:rsidRPr="00980D3E">
        <w:t>The resubmission presented an additional naïve comparison of AEs associated with plitidepsin and other RRMM treatments including pomalidomide, carfilzomib and daratumumab (</w:t>
      </w:r>
      <w:r w:rsidR="00820C9B" w:rsidRPr="00980D3E">
        <w:t>Table 13</w:t>
      </w:r>
      <w:r w:rsidRPr="00980D3E">
        <w:t xml:space="preserve">) to support its claim that the frequency and severity of AEs resulting from plitidepsin + Dxm treatment were no worse than the toxicity associated with other treatments for RRMM. The resubmission highlighted that plitidepsin + Dxm </w:t>
      </w:r>
      <w:r w:rsidRPr="00980D3E">
        <w:lastRenderedPageBreak/>
        <w:t>treatment resulted in less haematological and neurological toxicity compared with other RRMM treatments, which was considered to be important in heavily pre</w:t>
      </w:r>
      <w:r w:rsidRPr="00980D3E">
        <w:noBreakHyphen/>
        <w:t>treated patients who may have cumulative toxicity.</w:t>
      </w:r>
    </w:p>
    <w:p w:rsidR="00B1445E" w:rsidRPr="00980D3E" w:rsidRDefault="00820C9B" w:rsidP="00820C9B">
      <w:pPr>
        <w:pStyle w:val="TableHeading"/>
        <w:rPr>
          <w:i/>
        </w:rPr>
      </w:pPr>
      <w:bookmarkStart w:id="35" w:name="_Ref33524762"/>
      <w:r w:rsidRPr="00980D3E">
        <w:t>Table 13</w:t>
      </w:r>
      <w:bookmarkEnd w:id="35"/>
      <w:r w:rsidR="00B1445E" w:rsidRPr="00980D3E">
        <w:t>: Grade 3 or 4 toxicity in common therapies in relapsed/refractory MM compared with plitidepsin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984"/>
        <w:gridCol w:w="2268"/>
        <w:gridCol w:w="1985"/>
        <w:gridCol w:w="1417"/>
      </w:tblGrid>
      <w:tr w:rsidR="00B1445E" w:rsidRPr="00980D3E" w:rsidTr="00A96B72">
        <w:trPr>
          <w:trHeight w:val="446"/>
        </w:trPr>
        <w:tc>
          <w:tcPr>
            <w:tcW w:w="1413" w:type="dxa"/>
            <w:shd w:val="clear" w:color="auto" w:fill="auto"/>
            <w:noWrap/>
            <w:tcMar>
              <w:left w:w="28" w:type="dxa"/>
              <w:right w:w="28" w:type="dxa"/>
            </w:tcMar>
            <w:hideMark/>
          </w:tcPr>
          <w:p w:rsidR="00B1445E" w:rsidRPr="00980D3E" w:rsidRDefault="00B1445E" w:rsidP="00AA71C0">
            <w:pPr>
              <w:pStyle w:val="TableText0"/>
              <w:keepLines/>
              <w:jc w:val="center"/>
              <w:rPr>
                <w:b/>
              </w:rPr>
            </w:pPr>
          </w:p>
        </w:tc>
        <w:tc>
          <w:tcPr>
            <w:tcW w:w="1984" w:type="dxa"/>
            <w:shd w:val="clear" w:color="auto" w:fill="auto"/>
            <w:noWrap/>
            <w:tcMar>
              <w:left w:w="28" w:type="dxa"/>
              <w:right w:w="28" w:type="dxa"/>
            </w:tcMar>
            <w:hideMark/>
          </w:tcPr>
          <w:p w:rsidR="00B1445E" w:rsidRPr="00980D3E" w:rsidRDefault="00B1445E" w:rsidP="00AA71C0">
            <w:pPr>
              <w:pStyle w:val="TableText0"/>
              <w:keepLines/>
              <w:jc w:val="center"/>
              <w:rPr>
                <w:b/>
              </w:rPr>
            </w:pPr>
            <w:r w:rsidRPr="00980D3E">
              <w:rPr>
                <w:b/>
              </w:rPr>
              <w:t xml:space="preserve">Plitidepsin plus </w:t>
            </w:r>
            <w:r w:rsidR="00C50AE9" w:rsidRPr="00980D3E">
              <w:rPr>
                <w:b/>
              </w:rPr>
              <w:t>Dxm</w:t>
            </w:r>
          </w:p>
        </w:tc>
        <w:tc>
          <w:tcPr>
            <w:tcW w:w="2268" w:type="dxa"/>
            <w:shd w:val="clear" w:color="auto" w:fill="auto"/>
            <w:noWrap/>
            <w:tcMar>
              <w:left w:w="28" w:type="dxa"/>
              <w:right w:w="28" w:type="dxa"/>
            </w:tcMar>
            <w:hideMark/>
          </w:tcPr>
          <w:p w:rsidR="00B1445E" w:rsidRPr="00980D3E" w:rsidRDefault="00B1445E" w:rsidP="002B2460">
            <w:pPr>
              <w:pStyle w:val="TableText0"/>
              <w:keepLines/>
              <w:jc w:val="center"/>
              <w:rPr>
                <w:b/>
              </w:rPr>
            </w:pPr>
            <w:r w:rsidRPr="00980D3E">
              <w:rPr>
                <w:b/>
              </w:rPr>
              <w:t xml:space="preserve">Pomalidomide plus </w:t>
            </w:r>
            <w:r w:rsidR="00C50AE9" w:rsidRPr="00980D3E">
              <w:rPr>
                <w:b/>
              </w:rPr>
              <w:t>Dxm</w:t>
            </w:r>
            <w:r w:rsidRPr="00980D3E">
              <w:rPr>
                <w:b/>
              </w:rPr>
              <w:t xml:space="preserve"> </w:t>
            </w:r>
          </w:p>
        </w:tc>
        <w:tc>
          <w:tcPr>
            <w:tcW w:w="1985" w:type="dxa"/>
            <w:shd w:val="clear" w:color="auto" w:fill="auto"/>
            <w:noWrap/>
            <w:tcMar>
              <w:left w:w="28" w:type="dxa"/>
              <w:right w:w="28" w:type="dxa"/>
            </w:tcMar>
            <w:hideMark/>
          </w:tcPr>
          <w:p w:rsidR="00B1445E" w:rsidRPr="00980D3E" w:rsidRDefault="00B1445E" w:rsidP="00AA71C0">
            <w:pPr>
              <w:pStyle w:val="TableText0"/>
              <w:keepLines/>
              <w:jc w:val="center"/>
              <w:rPr>
                <w:b/>
                <w:vertAlign w:val="superscript"/>
              </w:rPr>
            </w:pPr>
            <w:r w:rsidRPr="00980D3E">
              <w:rPr>
                <w:b/>
              </w:rPr>
              <w:t>Carfilzomib</w:t>
            </w:r>
          </w:p>
          <w:p w:rsidR="00B1445E" w:rsidRPr="00980D3E" w:rsidRDefault="00B1445E" w:rsidP="00AA71C0">
            <w:pPr>
              <w:pStyle w:val="TableText0"/>
              <w:keepLines/>
              <w:jc w:val="center"/>
              <w:rPr>
                <w:b/>
                <w:vertAlign w:val="superscript"/>
              </w:rPr>
            </w:pPr>
          </w:p>
        </w:tc>
        <w:tc>
          <w:tcPr>
            <w:tcW w:w="1417" w:type="dxa"/>
            <w:tcMar>
              <w:left w:w="28" w:type="dxa"/>
              <w:right w:w="28" w:type="dxa"/>
            </w:tcMar>
          </w:tcPr>
          <w:p w:rsidR="00B1445E" w:rsidRPr="00980D3E" w:rsidRDefault="00B1445E" w:rsidP="00AA71C0">
            <w:pPr>
              <w:pStyle w:val="TableText0"/>
              <w:keepLines/>
              <w:jc w:val="center"/>
              <w:rPr>
                <w:b/>
              </w:rPr>
            </w:pPr>
            <w:r w:rsidRPr="00980D3E">
              <w:rPr>
                <w:b/>
              </w:rPr>
              <w:t>Daratumumab + Bortezomib</w:t>
            </w:r>
          </w:p>
        </w:tc>
      </w:tr>
      <w:tr w:rsidR="00B1445E" w:rsidRPr="00980D3E" w:rsidTr="00A96B72">
        <w:trPr>
          <w:trHeight w:val="53"/>
        </w:trPr>
        <w:tc>
          <w:tcPr>
            <w:tcW w:w="1413" w:type="dxa"/>
            <w:shd w:val="clear" w:color="auto" w:fill="auto"/>
            <w:noWrap/>
            <w:tcMar>
              <w:left w:w="28" w:type="dxa"/>
              <w:right w:w="28" w:type="dxa"/>
            </w:tcMar>
            <w:vAlign w:val="center"/>
          </w:tcPr>
          <w:p w:rsidR="00B1445E" w:rsidRPr="00980D3E" w:rsidRDefault="00B1445E" w:rsidP="00AA71C0">
            <w:pPr>
              <w:pStyle w:val="TableText0"/>
              <w:keepLines/>
            </w:pPr>
            <w:r w:rsidRPr="00980D3E">
              <w:t>Source</w:t>
            </w:r>
          </w:p>
        </w:tc>
        <w:tc>
          <w:tcPr>
            <w:tcW w:w="1984" w:type="dxa"/>
            <w:shd w:val="clear" w:color="auto" w:fill="auto"/>
            <w:noWrap/>
            <w:tcMar>
              <w:left w:w="28" w:type="dxa"/>
              <w:right w:w="28" w:type="dxa"/>
            </w:tcMar>
          </w:tcPr>
          <w:p w:rsidR="00B1445E" w:rsidRPr="00980D3E" w:rsidRDefault="00B1445E" w:rsidP="00AA71C0">
            <w:pPr>
              <w:pStyle w:val="TableText0"/>
              <w:keepLines/>
              <w:jc w:val="center"/>
            </w:pPr>
            <w:r w:rsidRPr="00980D3E">
              <w:t>Plitidepsin PI</w:t>
            </w:r>
          </w:p>
        </w:tc>
        <w:tc>
          <w:tcPr>
            <w:tcW w:w="2268" w:type="dxa"/>
            <w:shd w:val="clear" w:color="auto" w:fill="auto"/>
            <w:noWrap/>
            <w:tcMar>
              <w:left w:w="28" w:type="dxa"/>
              <w:right w:w="28" w:type="dxa"/>
            </w:tcMar>
          </w:tcPr>
          <w:p w:rsidR="00B1445E" w:rsidRPr="00980D3E" w:rsidRDefault="00B1445E" w:rsidP="00AA71C0">
            <w:pPr>
              <w:pStyle w:val="TableText0"/>
              <w:keepLines/>
              <w:jc w:val="center"/>
            </w:pPr>
            <w:r w:rsidRPr="00980D3E">
              <w:t>NIMBUS</w:t>
            </w:r>
          </w:p>
        </w:tc>
        <w:tc>
          <w:tcPr>
            <w:tcW w:w="1985" w:type="dxa"/>
            <w:shd w:val="clear" w:color="auto" w:fill="auto"/>
            <w:noWrap/>
            <w:tcMar>
              <w:left w:w="28" w:type="dxa"/>
              <w:right w:w="28" w:type="dxa"/>
            </w:tcMar>
          </w:tcPr>
          <w:p w:rsidR="00B1445E" w:rsidRPr="00980D3E" w:rsidRDefault="00B1445E" w:rsidP="001311B5">
            <w:pPr>
              <w:pStyle w:val="TableText0"/>
              <w:keepLines/>
              <w:jc w:val="center"/>
            </w:pPr>
            <w:r w:rsidRPr="00980D3E">
              <w:t>FOCUS</w:t>
            </w:r>
            <w:r w:rsidRPr="00980D3E">
              <w:rPr>
                <w:vertAlign w:val="superscript"/>
              </w:rPr>
              <w:t>a</w:t>
            </w:r>
          </w:p>
        </w:tc>
        <w:tc>
          <w:tcPr>
            <w:tcW w:w="1417" w:type="dxa"/>
            <w:tcMar>
              <w:left w:w="28" w:type="dxa"/>
              <w:right w:w="28" w:type="dxa"/>
            </w:tcMar>
          </w:tcPr>
          <w:p w:rsidR="00B1445E" w:rsidRPr="00980D3E" w:rsidRDefault="00B1445E" w:rsidP="00AA71C0">
            <w:pPr>
              <w:pStyle w:val="TableText0"/>
              <w:keepLines/>
              <w:jc w:val="center"/>
            </w:pPr>
            <w:r w:rsidRPr="00980D3E">
              <w:t>CASTOR</w:t>
            </w:r>
          </w:p>
        </w:tc>
      </w:tr>
      <w:tr w:rsidR="00B1445E" w:rsidRPr="00980D3E" w:rsidTr="00A96B72">
        <w:trPr>
          <w:trHeight w:val="1079"/>
        </w:trPr>
        <w:tc>
          <w:tcPr>
            <w:tcW w:w="1413" w:type="dxa"/>
            <w:shd w:val="clear" w:color="auto" w:fill="auto"/>
            <w:noWrap/>
            <w:tcMar>
              <w:left w:w="28" w:type="dxa"/>
              <w:right w:w="28" w:type="dxa"/>
            </w:tcMar>
            <w:hideMark/>
          </w:tcPr>
          <w:p w:rsidR="00B1445E" w:rsidRPr="00980D3E" w:rsidRDefault="00B1445E" w:rsidP="00AA71C0">
            <w:pPr>
              <w:pStyle w:val="TableText0"/>
              <w:keepLines/>
            </w:pPr>
            <w:r w:rsidRPr="00980D3E">
              <w:t xml:space="preserve">Common </w:t>
            </w:r>
          </w:p>
          <w:p w:rsidR="00B1445E" w:rsidRPr="00980D3E" w:rsidRDefault="00B1445E" w:rsidP="00AA71C0">
            <w:pPr>
              <w:pStyle w:val="TableText0"/>
              <w:keepLines/>
            </w:pPr>
            <w:r w:rsidRPr="00980D3E">
              <w:t>&gt;</w:t>
            </w:r>
            <w:r w:rsidR="00F46A59" w:rsidRPr="00980D3E">
              <w:t xml:space="preserve"> </w:t>
            </w:r>
            <w:r w:rsidRPr="00980D3E">
              <w:t>10%</w:t>
            </w:r>
          </w:p>
        </w:tc>
        <w:tc>
          <w:tcPr>
            <w:tcW w:w="1984" w:type="dxa"/>
            <w:shd w:val="clear" w:color="auto" w:fill="auto"/>
            <w:noWrap/>
            <w:tcMar>
              <w:left w:w="28" w:type="dxa"/>
              <w:right w:w="28" w:type="dxa"/>
            </w:tcMar>
          </w:tcPr>
          <w:p w:rsidR="00B1445E" w:rsidRPr="00980D3E" w:rsidRDefault="00B1445E" w:rsidP="00AA71C0">
            <w:pPr>
              <w:pStyle w:val="TableText0"/>
              <w:keepLines/>
              <w:jc w:val="center"/>
            </w:pPr>
            <w:r w:rsidRPr="00980D3E">
              <w:t>Anaemia</w:t>
            </w:r>
            <w:r w:rsidR="00A96B72" w:rsidRPr="00980D3E">
              <w:t>:</w:t>
            </w:r>
            <w:r w:rsidRPr="00980D3E">
              <w:t xml:space="preserve"> 35.3%</w:t>
            </w:r>
            <w:r w:rsidRPr="00980D3E">
              <w:br/>
              <w:t>CPK increased</w:t>
            </w:r>
            <w:r w:rsidR="00A96B72" w:rsidRPr="00980D3E">
              <w:t>:</w:t>
            </w:r>
            <w:r w:rsidRPr="00980D3E">
              <w:t xml:space="preserve"> 15.6% </w:t>
            </w:r>
            <w:r w:rsidRPr="00980D3E">
              <w:br/>
              <w:t>Fatigue</w:t>
            </w:r>
            <w:r w:rsidR="00A96B72" w:rsidRPr="00980D3E">
              <w:t>;</w:t>
            </w:r>
            <w:r w:rsidRPr="00980D3E">
              <w:t xml:space="preserve"> 12.0%</w:t>
            </w:r>
            <w:r w:rsidRPr="00980D3E">
              <w:br/>
              <w:t>Thrombocytopenia</w:t>
            </w:r>
            <w:r w:rsidR="00A96B72" w:rsidRPr="00980D3E">
              <w:t>:</w:t>
            </w:r>
            <w:r w:rsidRPr="00980D3E">
              <w:t xml:space="preserve"> 10.2%</w:t>
            </w:r>
            <w:r w:rsidRPr="00980D3E">
              <w:br/>
              <w:t>ALT increased</w:t>
            </w:r>
            <w:r w:rsidR="00A96B72" w:rsidRPr="00980D3E">
              <w:t>:</w:t>
            </w:r>
            <w:r w:rsidRPr="00980D3E">
              <w:t xml:space="preserve"> 10.2%</w:t>
            </w:r>
          </w:p>
        </w:tc>
        <w:tc>
          <w:tcPr>
            <w:tcW w:w="2268" w:type="dxa"/>
            <w:shd w:val="clear" w:color="auto" w:fill="auto"/>
            <w:noWrap/>
            <w:tcMar>
              <w:left w:w="28" w:type="dxa"/>
              <w:right w:w="28" w:type="dxa"/>
            </w:tcMar>
          </w:tcPr>
          <w:p w:rsidR="00B1445E" w:rsidRPr="00980D3E" w:rsidRDefault="00B1445E" w:rsidP="00AA71C0">
            <w:pPr>
              <w:pStyle w:val="TableText0"/>
              <w:keepLines/>
              <w:jc w:val="center"/>
            </w:pPr>
            <w:r w:rsidRPr="00980D3E">
              <w:t>Neutropenia</w:t>
            </w:r>
            <w:r w:rsidR="00A96B72" w:rsidRPr="00980D3E">
              <w:t>:</w:t>
            </w:r>
            <w:r w:rsidRPr="00980D3E">
              <w:t xml:space="preserve"> 48.3%</w:t>
            </w:r>
            <w:r w:rsidRPr="00980D3E">
              <w:br/>
              <w:t>Infection</w:t>
            </w:r>
            <w:r w:rsidR="00A96B72" w:rsidRPr="00980D3E">
              <w:t>:</w:t>
            </w:r>
            <w:r w:rsidRPr="00980D3E">
              <w:t xml:space="preserve"> 34.0% </w:t>
            </w:r>
            <w:r w:rsidRPr="00980D3E">
              <w:br/>
              <w:t>Anaemia</w:t>
            </w:r>
            <w:r w:rsidR="00A96B72" w:rsidRPr="00980D3E">
              <w:t>:</w:t>
            </w:r>
            <w:r w:rsidRPr="00980D3E">
              <w:t xml:space="preserve"> 32.7%</w:t>
            </w:r>
            <w:r w:rsidRPr="00980D3E">
              <w:br/>
              <w:t>Thrombocytopenia</w:t>
            </w:r>
            <w:r w:rsidR="00A96B72" w:rsidRPr="00980D3E">
              <w:t>:</w:t>
            </w:r>
            <w:r w:rsidRPr="00980D3E">
              <w:t xml:space="preserve"> 22.0%</w:t>
            </w:r>
            <w:r w:rsidRPr="00980D3E">
              <w:br/>
              <w:t>Pneumonia</w:t>
            </w:r>
            <w:r w:rsidR="00A96B72" w:rsidRPr="00980D3E">
              <w:t>:</w:t>
            </w:r>
            <w:r w:rsidRPr="00980D3E">
              <w:t xml:space="preserve"> 12.7%</w:t>
            </w:r>
          </w:p>
        </w:tc>
        <w:tc>
          <w:tcPr>
            <w:tcW w:w="1985" w:type="dxa"/>
            <w:shd w:val="clear" w:color="auto" w:fill="auto"/>
            <w:noWrap/>
            <w:tcMar>
              <w:left w:w="28" w:type="dxa"/>
              <w:right w:w="28" w:type="dxa"/>
            </w:tcMar>
          </w:tcPr>
          <w:p w:rsidR="00B1445E" w:rsidRPr="00980D3E" w:rsidRDefault="00B1445E" w:rsidP="00AA71C0">
            <w:pPr>
              <w:pStyle w:val="TableText0"/>
              <w:keepLines/>
              <w:jc w:val="center"/>
            </w:pPr>
            <w:r w:rsidRPr="00980D3E">
              <w:t>Thrombocytopenia</w:t>
            </w:r>
            <w:r w:rsidR="00430DBB" w:rsidRPr="00980D3E">
              <w:t>:</w:t>
            </w:r>
            <w:r w:rsidRPr="00980D3E">
              <w:t xml:space="preserve"> 24.2%</w:t>
            </w:r>
            <w:r w:rsidRPr="00980D3E">
              <w:br/>
              <w:t>Anaemia</w:t>
            </w:r>
            <w:r w:rsidR="00430DBB" w:rsidRPr="00980D3E">
              <w:t>:</w:t>
            </w:r>
            <w:r w:rsidRPr="00980D3E">
              <w:t xml:space="preserve"> 25.5%</w:t>
            </w:r>
            <w:r w:rsidRPr="00980D3E">
              <w:br/>
            </w:r>
          </w:p>
        </w:tc>
        <w:tc>
          <w:tcPr>
            <w:tcW w:w="1417" w:type="dxa"/>
            <w:tcMar>
              <w:left w:w="28" w:type="dxa"/>
              <w:right w:w="28" w:type="dxa"/>
            </w:tcMar>
          </w:tcPr>
          <w:p w:rsidR="00B1445E" w:rsidRPr="00980D3E" w:rsidRDefault="00B1445E" w:rsidP="00AA71C0">
            <w:pPr>
              <w:pStyle w:val="TableText0"/>
              <w:keepLines/>
              <w:jc w:val="center"/>
            </w:pPr>
            <w:r w:rsidRPr="00980D3E">
              <w:t>-</w:t>
            </w:r>
          </w:p>
        </w:tc>
      </w:tr>
      <w:tr w:rsidR="00B1445E" w:rsidRPr="00980D3E" w:rsidTr="00A96B72">
        <w:trPr>
          <w:trHeight w:val="300"/>
        </w:trPr>
        <w:tc>
          <w:tcPr>
            <w:tcW w:w="1413" w:type="dxa"/>
            <w:shd w:val="clear" w:color="auto" w:fill="auto"/>
            <w:noWrap/>
            <w:tcMar>
              <w:left w:w="28" w:type="dxa"/>
              <w:right w:w="28" w:type="dxa"/>
            </w:tcMar>
          </w:tcPr>
          <w:p w:rsidR="00B1445E" w:rsidRPr="00980D3E" w:rsidRDefault="00B1445E" w:rsidP="00AA71C0">
            <w:pPr>
              <w:pStyle w:val="TableText0"/>
              <w:keepLines/>
            </w:pPr>
            <w:r w:rsidRPr="00980D3E">
              <w:t xml:space="preserve">Occasional </w:t>
            </w:r>
          </w:p>
          <w:p w:rsidR="00B1445E" w:rsidRPr="00980D3E" w:rsidRDefault="00B1445E" w:rsidP="00AA71C0">
            <w:pPr>
              <w:pStyle w:val="TableText0"/>
              <w:keepLines/>
            </w:pPr>
            <w:r w:rsidRPr="00980D3E">
              <w:t>5-10%</w:t>
            </w:r>
          </w:p>
        </w:tc>
        <w:tc>
          <w:tcPr>
            <w:tcW w:w="1984" w:type="dxa"/>
            <w:shd w:val="clear" w:color="auto" w:fill="auto"/>
            <w:noWrap/>
            <w:tcMar>
              <w:left w:w="28" w:type="dxa"/>
              <w:right w:w="28" w:type="dxa"/>
            </w:tcMar>
          </w:tcPr>
          <w:p w:rsidR="00B1445E" w:rsidRPr="00980D3E" w:rsidRDefault="00B1445E" w:rsidP="00AA71C0">
            <w:pPr>
              <w:pStyle w:val="TableText0"/>
              <w:keepLines/>
              <w:jc w:val="center"/>
            </w:pPr>
            <w:r w:rsidRPr="00980D3E">
              <w:t>Neutropenia</w:t>
            </w:r>
            <w:r w:rsidR="00A96B72" w:rsidRPr="00980D3E">
              <w:t>:</w:t>
            </w:r>
            <w:r w:rsidRPr="00980D3E">
              <w:t xml:space="preserve"> 7.8%</w:t>
            </w:r>
            <w:r w:rsidRPr="00980D3E">
              <w:br/>
              <w:t>AST increased</w:t>
            </w:r>
            <w:r w:rsidR="00A96B72" w:rsidRPr="00980D3E">
              <w:t>:</w:t>
            </w:r>
            <w:r w:rsidRPr="00980D3E">
              <w:t xml:space="preserve"> 6.0%</w:t>
            </w:r>
            <w:r w:rsidRPr="00980D3E">
              <w:br/>
              <w:t>Pneumonia</w:t>
            </w:r>
            <w:r w:rsidR="00A96B72" w:rsidRPr="00980D3E">
              <w:t>:</w:t>
            </w:r>
            <w:r w:rsidRPr="00980D3E">
              <w:t xml:space="preserve"> 6.0%</w:t>
            </w:r>
            <w:r w:rsidRPr="00980D3E">
              <w:br/>
              <w:t>Myalgia</w:t>
            </w:r>
            <w:r w:rsidR="00A96B72" w:rsidRPr="00980D3E">
              <w:t>;</w:t>
            </w:r>
            <w:r w:rsidRPr="00980D3E">
              <w:t xml:space="preserve"> 5.4%</w:t>
            </w:r>
          </w:p>
        </w:tc>
        <w:tc>
          <w:tcPr>
            <w:tcW w:w="2268" w:type="dxa"/>
            <w:shd w:val="clear" w:color="auto" w:fill="auto"/>
            <w:noWrap/>
            <w:tcMar>
              <w:left w:w="28" w:type="dxa"/>
              <w:right w:w="28" w:type="dxa"/>
            </w:tcMar>
          </w:tcPr>
          <w:p w:rsidR="00B1445E" w:rsidRPr="00980D3E" w:rsidRDefault="00B1445E" w:rsidP="00AA71C0">
            <w:pPr>
              <w:pStyle w:val="TableText0"/>
              <w:keepLines/>
              <w:jc w:val="center"/>
            </w:pPr>
            <w:r w:rsidRPr="00980D3E">
              <w:t>Febrile neutropenia</w:t>
            </w:r>
            <w:r w:rsidR="00A96B72" w:rsidRPr="00980D3E">
              <w:t>:</w:t>
            </w:r>
            <w:r w:rsidRPr="00980D3E">
              <w:t xml:space="preserve"> 9.3%</w:t>
            </w:r>
            <w:r w:rsidRPr="00980D3E">
              <w:br/>
              <w:t>Leukopenia</w:t>
            </w:r>
            <w:r w:rsidR="00A96B72" w:rsidRPr="00980D3E">
              <w:t>:</w:t>
            </w:r>
            <w:r w:rsidRPr="00980D3E">
              <w:t xml:space="preserve"> 9.0%</w:t>
            </w:r>
            <w:r w:rsidRPr="00980D3E">
              <w:br/>
              <w:t>General physical health deterioration</w:t>
            </w:r>
            <w:r w:rsidR="00A96B72" w:rsidRPr="00980D3E">
              <w:t>:</w:t>
            </w:r>
            <w:r w:rsidRPr="00980D3E">
              <w:t xml:space="preserve"> 8.0%</w:t>
            </w:r>
            <w:r w:rsidRPr="00980D3E">
              <w:br/>
              <w:t>Bone pain</w:t>
            </w:r>
            <w:r w:rsidR="00A96B72" w:rsidRPr="00980D3E">
              <w:t>:</w:t>
            </w:r>
            <w:r w:rsidRPr="00980D3E">
              <w:t xml:space="preserve"> 7.3%</w:t>
            </w:r>
            <w:r w:rsidRPr="00980D3E">
              <w:br/>
              <w:t>Back pain</w:t>
            </w:r>
            <w:r w:rsidR="00A96B72" w:rsidRPr="00980D3E">
              <w:t>:</w:t>
            </w:r>
            <w:r w:rsidRPr="00980D3E">
              <w:t xml:space="preserve"> 5.0%</w:t>
            </w:r>
            <w:r w:rsidRPr="00980D3E">
              <w:br/>
              <w:t>Dyspnoea</w:t>
            </w:r>
            <w:r w:rsidR="00A96B72" w:rsidRPr="00980D3E">
              <w:t>:</w:t>
            </w:r>
            <w:r w:rsidRPr="00980D3E">
              <w:t xml:space="preserve"> 5.0%</w:t>
            </w:r>
            <w:r w:rsidRPr="00980D3E">
              <w:br/>
              <w:t>Fatigue</w:t>
            </w:r>
            <w:r w:rsidR="00A96B72" w:rsidRPr="00980D3E">
              <w:t>:</w:t>
            </w:r>
            <w:r w:rsidRPr="00980D3E">
              <w:t xml:space="preserve"> 5.3%</w:t>
            </w:r>
          </w:p>
        </w:tc>
        <w:tc>
          <w:tcPr>
            <w:tcW w:w="1985" w:type="dxa"/>
            <w:shd w:val="clear" w:color="auto" w:fill="auto"/>
            <w:noWrap/>
            <w:tcMar>
              <w:left w:w="28" w:type="dxa"/>
              <w:right w:w="28" w:type="dxa"/>
            </w:tcMar>
          </w:tcPr>
          <w:p w:rsidR="00B1445E" w:rsidRPr="00980D3E" w:rsidRDefault="00B1445E" w:rsidP="00AA71C0">
            <w:pPr>
              <w:pStyle w:val="TableText0"/>
              <w:keepLines/>
              <w:jc w:val="center"/>
            </w:pPr>
            <w:r w:rsidRPr="00980D3E">
              <w:t>Neutropenia</w:t>
            </w:r>
            <w:r w:rsidR="00430DBB" w:rsidRPr="00980D3E">
              <w:t>:</w:t>
            </w:r>
            <w:r w:rsidRPr="00980D3E">
              <w:t xml:space="preserve"> 7.6%</w:t>
            </w:r>
          </w:p>
          <w:p w:rsidR="00B1445E" w:rsidRPr="00980D3E" w:rsidRDefault="00B1445E" w:rsidP="00AA71C0">
            <w:pPr>
              <w:pStyle w:val="TableText0"/>
              <w:keepLines/>
              <w:jc w:val="center"/>
            </w:pPr>
            <w:r w:rsidRPr="00980D3E">
              <w:t>Pneumonia</w:t>
            </w:r>
            <w:r w:rsidR="00430DBB" w:rsidRPr="00980D3E">
              <w:t>:</w:t>
            </w:r>
            <w:r w:rsidRPr="00980D3E">
              <w:t xml:space="preserve"> 6.4%</w:t>
            </w:r>
            <w:r w:rsidRPr="00980D3E">
              <w:br/>
              <w:t>Acute renal failure</w:t>
            </w:r>
            <w:r w:rsidR="00430DBB" w:rsidRPr="00980D3E">
              <w:t>:</w:t>
            </w:r>
            <w:r w:rsidRPr="00980D3E">
              <w:t xml:space="preserve"> 7.6%</w:t>
            </w:r>
            <w:r w:rsidRPr="00980D3E">
              <w:br/>
              <w:t>Renal failure</w:t>
            </w:r>
            <w:r w:rsidR="00430DBB" w:rsidRPr="00980D3E">
              <w:t>:</w:t>
            </w:r>
            <w:r w:rsidRPr="00980D3E">
              <w:t xml:space="preserve"> 5.1%</w:t>
            </w:r>
          </w:p>
        </w:tc>
        <w:tc>
          <w:tcPr>
            <w:tcW w:w="1417" w:type="dxa"/>
            <w:tcMar>
              <w:left w:w="28" w:type="dxa"/>
              <w:right w:w="28" w:type="dxa"/>
            </w:tcMar>
          </w:tcPr>
          <w:p w:rsidR="00B1445E" w:rsidRPr="00980D3E" w:rsidRDefault="00B1445E" w:rsidP="00AA71C0">
            <w:pPr>
              <w:pStyle w:val="TableText0"/>
              <w:keepLines/>
              <w:jc w:val="center"/>
            </w:pPr>
            <w:r w:rsidRPr="00980D3E">
              <w:t>-</w:t>
            </w:r>
          </w:p>
        </w:tc>
      </w:tr>
      <w:tr w:rsidR="00B1445E" w:rsidRPr="00980D3E" w:rsidTr="00A96B72">
        <w:trPr>
          <w:trHeight w:val="300"/>
        </w:trPr>
        <w:tc>
          <w:tcPr>
            <w:tcW w:w="1413" w:type="dxa"/>
            <w:shd w:val="clear" w:color="auto" w:fill="auto"/>
            <w:noWrap/>
            <w:tcMar>
              <w:left w:w="28" w:type="dxa"/>
              <w:right w:w="28" w:type="dxa"/>
            </w:tcMar>
          </w:tcPr>
          <w:p w:rsidR="00B1445E" w:rsidRPr="00980D3E" w:rsidRDefault="00B1445E" w:rsidP="00AA71C0">
            <w:pPr>
              <w:pStyle w:val="TableText0"/>
              <w:keepLines/>
            </w:pPr>
            <w:r w:rsidRPr="00980D3E">
              <w:t>Treatment discontinuation due to AEs</w:t>
            </w:r>
          </w:p>
        </w:tc>
        <w:tc>
          <w:tcPr>
            <w:tcW w:w="1984" w:type="dxa"/>
            <w:shd w:val="clear" w:color="auto" w:fill="auto"/>
            <w:noWrap/>
            <w:tcMar>
              <w:left w:w="28" w:type="dxa"/>
              <w:right w:w="28" w:type="dxa"/>
            </w:tcMar>
          </w:tcPr>
          <w:p w:rsidR="00FB019C" w:rsidRPr="00980D3E" w:rsidRDefault="00A96B72" w:rsidP="00AA71C0">
            <w:pPr>
              <w:pStyle w:val="TableText0"/>
              <w:keepLines/>
              <w:jc w:val="center"/>
            </w:pPr>
            <w:r w:rsidRPr="00980D3E">
              <w:t xml:space="preserve">Treatment related: </w:t>
            </w:r>
            <w:r w:rsidRPr="00980D3E">
              <w:br/>
            </w:r>
            <w:r w:rsidR="00B1445E" w:rsidRPr="00980D3E">
              <w:t xml:space="preserve">15/167 (9.0%) </w:t>
            </w:r>
          </w:p>
          <w:p w:rsidR="00B1445E" w:rsidRPr="00980D3E" w:rsidRDefault="00A96B72" w:rsidP="00AA71C0">
            <w:pPr>
              <w:pStyle w:val="TableText0"/>
              <w:keepLines/>
              <w:jc w:val="center"/>
            </w:pPr>
            <w:r w:rsidRPr="00980D3E">
              <w:t xml:space="preserve">Unrelated to treatment: </w:t>
            </w:r>
            <w:r w:rsidR="00B1445E" w:rsidRPr="00980D3E">
              <w:t>9/167 (5.4%)</w:t>
            </w:r>
          </w:p>
        </w:tc>
        <w:tc>
          <w:tcPr>
            <w:tcW w:w="2268" w:type="dxa"/>
            <w:shd w:val="clear" w:color="auto" w:fill="auto"/>
            <w:noWrap/>
            <w:tcMar>
              <w:left w:w="28" w:type="dxa"/>
              <w:right w:w="28" w:type="dxa"/>
            </w:tcMar>
          </w:tcPr>
          <w:p w:rsidR="00B1445E" w:rsidRPr="00980D3E" w:rsidRDefault="00A96B72" w:rsidP="00AA71C0">
            <w:pPr>
              <w:pStyle w:val="TableText0"/>
              <w:keepLines/>
              <w:jc w:val="center"/>
            </w:pPr>
            <w:r w:rsidRPr="00980D3E">
              <w:t xml:space="preserve">Treatment related: </w:t>
            </w:r>
            <w:r w:rsidRPr="00980D3E">
              <w:br/>
            </w:r>
            <w:r w:rsidR="00B1445E" w:rsidRPr="00980D3E">
              <w:t>11/300 (3.7%)</w:t>
            </w:r>
          </w:p>
          <w:p w:rsidR="00B1445E" w:rsidRPr="00980D3E" w:rsidRDefault="00A96B72" w:rsidP="00AA71C0">
            <w:pPr>
              <w:pStyle w:val="TableText0"/>
              <w:keepLines/>
              <w:jc w:val="center"/>
            </w:pPr>
            <w:r w:rsidRPr="00980D3E">
              <w:t xml:space="preserve">Unrelated to </w:t>
            </w:r>
            <w:r w:rsidR="00B1445E" w:rsidRPr="00980D3E">
              <w:t>treatment</w:t>
            </w:r>
            <w:r w:rsidR="003C73D2" w:rsidRPr="00980D3E">
              <w:t xml:space="preserve">: </w:t>
            </w:r>
            <w:r w:rsidRPr="00980D3E">
              <w:br/>
            </w:r>
            <w:r w:rsidR="00B1445E" w:rsidRPr="00980D3E">
              <w:t>13/300 (4.3 %)</w:t>
            </w:r>
          </w:p>
        </w:tc>
        <w:tc>
          <w:tcPr>
            <w:tcW w:w="1985" w:type="dxa"/>
            <w:shd w:val="clear" w:color="auto" w:fill="auto"/>
            <w:noWrap/>
            <w:tcMar>
              <w:left w:w="28" w:type="dxa"/>
              <w:right w:w="28" w:type="dxa"/>
            </w:tcMar>
          </w:tcPr>
          <w:p w:rsidR="00B1445E" w:rsidRPr="00980D3E" w:rsidRDefault="00B1445E" w:rsidP="00AA71C0">
            <w:pPr>
              <w:pStyle w:val="TableText0"/>
              <w:keepLines/>
              <w:jc w:val="center"/>
            </w:pPr>
            <w:r w:rsidRPr="00980D3E">
              <w:t>23/157 (14.6%)</w:t>
            </w:r>
          </w:p>
        </w:tc>
        <w:tc>
          <w:tcPr>
            <w:tcW w:w="1417" w:type="dxa"/>
            <w:tcMar>
              <w:left w:w="28" w:type="dxa"/>
              <w:right w:w="28" w:type="dxa"/>
            </w:tcMar>
          </w:tcPr>
          <w:p w:rsidR="00B1445E" w:rsidRPr="00980D3E" w:rsidRDefault="00B1445E" w:rsidP="00AA71C0">
            <w:pPr>
              <w:pStyle w:val="TableText0"/>
              <w:keepLines/>
              <w:jc w:val="center"/>
            </w:pPr>
            <w:r w:rsidRPr="00980D3E">
              <w:t>9.1%</w:t>
            </w:r>
          </w:p>
        </w:tc>
      </w:tr>
      <w:tr w:rsidR="00B1445E" w:rsidRPr="00980D3E" w:rsidTr="00A96B72">
        <w:trPr>
          <w:trHeight w:val="300"/>
        </w:trPr>
        <w:tc>
          <w:tcPr>
            <w:tcW w:w="1413" w:type="dxa"/>
            <w:shd w:val="clear" w:color="auto" w:fill="auto"/>
            <w:noWrap/>
            <w:tcMar>
              <w:left w:w="28" w:type="dxa"/>
              <w:right w:w="28" w:type="dxa"/>
            </w:tcMar>
          </w:tcPr>
          <w:p w:rsidR="00B1445E" w:rsidRPr="00980D3E" w:rsidRDefault="00B1445E" w:rsidP="00AA71C0">
            <w:pPr>
              <w:pStyle w:val="TableText0"/>
              <w:keepLines/>
            </w:pPr>
            <w:r w:rsidRPr="00980D3E">
              <w:t>Treatment-related deaths</w:t>
            </w:r>
          </w:p>
        </w:tc>
        <w:tc>
          <w:tcPr>
            <w:tcW w:w="1984" w:type="dxa"/>
            <w:shd w:val="clear" w:color="auto" w:fill="auto"/>
            <w:noWrap/>
            <w:tcMar>
              <w:left w:w="28" w:type="dxa"/>
              <w:right w:w="28" w:type="dxa"/>
            </w:tcMar>
          </w:tcPr>
          <w:p w:rsidR="00B1445E" w:rsidRPr="00980D3E" w:rsidRDefault="00B1445E" w:rsidP="00AA71C0">
            <w:pPr>
              <w:pStyle w:val="TableText0"/>
              <w:keepLines/>
              <w:jc w:val="center"/>
            </w:pPr>
            <w:r w:rsidRPr="00980D3E">
              <w:t>1/167 (0.6%)</w:t>
            </w:r>
          </w:p>
        </w:tc>
        <w:tc>
          <w:tcPr>
            <w:tcW w:w="2268" w:type="dxa"/>
            <w:shd w:val="clear" w:color="auto" w:fill="auto"/>
            <w:noWrap/>
            <w:tcMar>
              <w:left w:w="28" w:type="dxa"/>
              <w:right w:w="28" w:type="dxa"/>
            </w:tcMar>
          </w:tcPr>
          <w:p w:rsidR="00B1445E" w:rsidRPr="00980D3E" w:rsidRDefault="00B1445E" w:rsidP="00AA71C0">
            <w:pPr>
              <w:pStyle w:val="TableText0"/>
              <w:keepLines/>
              <w:jc w:val="center"/>
            </w:pPr>
            <w:r w:rsidRPr="00980D3E">
              <w:t>11/300 (3.7%)</w:t>
            </w:r>
          </w:p>
        </w:tc>
        <w:tc>
          <w:tcPr>
            <w:tcW w:w="1985" w:type="dxa"/>
            <w:shd w:val="clear" w:color="auto" w:fill="auto"/>
            <w:noWrap/>
            <w:tcMar>
              <w:left w:w="28" w:type="dxa"/>
              <w:right w:w="28" w:type="dxa"/>
            </w:tcMar>
          </w:tcPr>
          <w:p w:rsidR="00B1445E" w:rsidRPr="00980D3E" w:rsidRDefault="00B1445E" w:rsidP="00AA71C0">
            <w:pPr>
              <w:pStyle w:val="TableText0"/>
              <w:keepLines/>
              <w:jc w:val="center"/>
            </w:pPr>
            <w:r w:rsidRPr="00980D3E">
              <w:t>16/157 (10.2%)</w:t>
            </w:r>
          </w:p>
        </w:tc>
        <w:tc>
          <w:tcPr>
            <w:tcW w:w="1417" w:type="dxa"/>
            <w:tcMar>
              <w:left w:w="28" w:type="dxa"/>
              <w:right w:w="28" w:type="dxa"/>
            </w:tcMar>
          </w:tcPr>
          <w:p w:rsidR="00B1445E" w:rsidRPr="00980D3E" w:rsidRDefault="00B1445E" w:rsidP="001311B5">
            <w:pPr>
              <w:pStyle w:val="TableText0"/>
              <w:keepLines/>
              <w:jc w:val="center"/>
              <w:rPr>
                <w:vertAlign w:val="superscript"/>
              </w:rPr>
            </w:pPr>
            <w:r w:rsidRPr="00980D3E">
              <w:t>5.8%</w:t>
            </w:r>
            <w:r w:rsidR="00065297" w:rsidRPr="00980D3E">
              <w:rPr>
                <w:vertAlign w:val="superscript"/>
              </w:rPr>
              <w:t>b</w:t>
            </w:r>
          </w:p>
        </w:tc>
      </w:tr>
    </w:tbl>
    <w:p w:rsidR="00B1445E" w:rsidRPr="00980D3E" w:rsidRDefault="00B1445E" w:rsidP="00AA71C0">
      <w:pPr>
        <w:pStyle w:val="TableFigureFooter"/>
        <w:keepNext/>
        <w:keepLines/>
        <w:jc w:val="left"/>
      </w:pPr>
      <w:r w:rsidRPr="00980D3E">
        <w:t xml:space="preserve">Source: Table 4, p15 of the resubmission; Miguel </w:t>
      </w:r>
      <w:r w:rsidRPr="00980D3E">
        <w:rPr>
          <w:i/>
        </w:rPr>
        <w:t>et al</w:t>
      </w:r>
      <w:r w:rsidR="00F46A59" w:rsidRPr="00980D3E">
        <w:rPr>
          <w:i/>
        </w:rPr>
        <w:t>.</w:t>
      </w:r>
      <w:r w:rsidRPr="00980D3E">
        <w:t xml:space="preserve"> (2013); Table 5, carfilzomib November 2016 PBAC </w:t>
      </w:r>
      <w:r w:rsidR="00534072" w:rsidRPr="00980D3E">
        <w:t>Public Summary Document</w:t>
      </w:r>
      <w:r w:rsidRPr="00980D3E">
        <w:t xml:space="preserve">; Table 9, daratumumab PBAC </w:t>
      </w:r>
      <w:r w:rsidR="00534072" w:rsidRPr="00980D3E">
        <w:t>Public Summary Document</w:t>
      </w:r>
      <w:r w:rsidRPr="00980D3E">
        <w:t>, March 2019</w:t>
      </w:r>
    </w:p>
    <w:p w:rsidR="00B1445E" w:rsidRPr="00980D3E" w:rsidRDefault="00B1445E" w:rsidP="00AA71C0">
      <w:pPr>
        <w:pStyle w:val="TableFigureFooter"/>
        <w:keepNext/>
        <w:keepLines/>
        <w:jc w:val="left"/>
      </w:pPr>
      <w:r w:rsidRPr="00980D3E">
        <w:t xml:space="preserve">AE = adverse event; ALT = alanine aminotransferase; </w:t>
      </w:r>
      <w:r w:rsidR="003B7A4B" w:rsidRPr="00980D3E">
        <w:t xml:space="preserve">AST = aspartate aminotransferase; </w:t>
      </w:r>
      <w:r w:rsidRPr="00980D3E">
        <w:t xml:space="preserve">CPK = </w:t>
      </w:r>
      <w:r w:rsidR="003B7A4B" w:rsidRPr="00980D3E">
        <w:t>c</w:t>
      </w:r>
      <w:r w:rsidRPr="00980D3E">
        <w:t>reatine phosphokinase; MM = multiple myeloma</w:t>
      </w:r>
      <w:r w:rsidR="003B7A4B" w:rsidRPr="00980D3E">
        <w:t>; PI = product information</w:t>
      </w:r>
    </w:p>
    <w:p w:rsidR="00B1445E" w:rsidRPr="00980D3E" w:rsidRDefault="00B1445E" w:rsidP="00AA71C0">
      <w:pPr>
        <w:pStyle w:val="TableFigureFooter"/>
        <w:keepNext/>
        <w:keepLines/>
        <w:jc w:val="left"/>
      </w:pPr>
      <w:r w:rsidRPr="00980D3E">
        <w:rPr>
          <w:vertAlign w:val="superscript"/>
        </w:rPr>
        <w:t>a</w:t>
      </w:r>
      <w:r w:rsidRPr="00980D3E">
        <w:t xml:space="preserve"> Not previously considered by PBAC. The trial participants had received at least three prior treatments for MM, including bortezomib, lenalidomide or thalidomide, an alkylating agent, corticosteroids and anthracycline. </w:t>
      </w:r>
    </w:p>
    <w:p w:rsidR="00B1445E" w:rsidRPr="00980D3E" w:rsidRDefault="00065297" w:rsidP="00AA71C0">
      <w:pPr>
        <w:pStyle w:val="TableFigureFooter"/>
        <w:keepNext/>
        <w:keepLines/>
        <w:jc w:val="left"/>
      </w:pPr>
      <w:r w:rsidRPr="00980D3E">
        <w:rPr>
          <w:vertAlign w:val="superscript"/>
        </w:rPr>
        <w:t>b</w:t>
      </w:r>
      <w:r w:rsidR="00B1445E" w:rsidRPr="00980D3E">
        <w:t xml:space="preserve"> </w:t>
      </w:r>
      <w:r w:rsidR="003B7A4B" w:rsidRPr="00980D3E">
        <w:t>D</w:t>
      </w:r>
      <w:r w:rsidR="00B1445E" w:rsidRPr="00980D3E">
        <w:t>eaths within 30 days of last dose</w:t>
      </w:r>
    </w:p>
    <w:p w:rsidR="00B1445E" w:rsidRPr="00980D3E" w:rsidRDefault="00E37EBD" w:rsidP="00D86231">
      <w:pPr>
        <w:pStyle w:val="3-BodyText"/>
      </w:pPr>
      <w:r w:rsidRPr="00980D3E">
        <w:t>Based on the naïve comparison presented by resubmission, t</w:t>
      </w:r>
      <w:r w:rsidR="000D0ABD" w:rsidRPr="00980D3E">
        <w:t xml:space="preserve">he </w:t>
      </w:r>
      <w:r w:rsidR="00884A2E" w:rsidRPr="00980D3E">
        <w:t>ESC</w:t>
      </w:r>
      <w:r w:rsidR="00AA71C0" w:rsidRPr="00980D3E">
        <w:t xml:space="preserve"> considered that the </w:t>
      </w:r>
      <w:r w:rsidR="00433754" w:rsidRPr="00980D3E">
        <w:t xml:space="preserve">adverse event </w:t>
      </w:r>
      <w:r w:rsidR="000D0ABD" w:rsidRPr="00980D3E">
        <w:t xml:space="preserve">profile of plitidepsin appeared to differ from pomalidomide and carfilzomib. </w:t>
      </w:r>
    </w:p>
    <w:p w:rsidR="007F1017" w:rsidRPr="00980D3E" w:rsidRDefault="007F1017" w:rsidP="00D86231">
      <w:pPr>
        <w:pStyle w:val="4-SubsectionHeading"/>
      </w:pPr>
      <w:bookmarkStart w:id="36" w:name="_Toc22897643"/>
      <w:bookmarkStart w:id="37" w:name="_Toc30490402"/>
      <w:r w:rsidRPr="00980D3E">
        <w:t>Benefits/harms</w:t>
      </w:r>
      <w:bookmarkEnd w:id="36"/>
      <w:bookmarkEnd w:id="37"/>
    </w:p>
    <w:p w:rsidR="00E723BA" w:rsidRPr="00980D3E" w:rsidRDefault="00EC00C9" w:rsidP="00820C9B">
      <w:pPr>
        <w:pStyle w:val="3-BodyText"/>
        <w:rPr>
          <w:rStyle w:val="CommentReference"/>
          <w:rFonts w:asciiTheme="minorHAnsi" w:hAnsiTheme="minorHAnsi"/>
          <w:b w:val="0"/>
          <w:sz w:val="24"/>
          <w:szCs w:val="24"/>
        </w:rPr>
      </w:pPr>
      <w:r w:rsidRPr="00980D3E">
        <w:t>A summary of the comparative benefits and harms for</w:t>
      </w:r>
      <w:r w:rsidR="004234E7" w:rsidRPr="00980D3E">
        <w:t xml:space="preserve"> plitidepsin + </w:t>
      </w:r>
      <w:r w:rsidR="00C50AE9" w:rsidRPr="00980D3E">
        <w:t>Dxm</w:t>
      </w:r>
      <w:r w:rsidR="004234E7" w:rsidRPr="00980D3E">
        <w:t xml:space="preserve"> </w:t>
      </w:r>
      <w:r w:rsidRPr="00980D3E">
        <w:t xml:space="preserve">versus </w:t>
      </w:r>
      <w:r w:rsidR="00C50AE9" w:rsidRPr="00980D3E">
        <w:t>Dxm</w:t>
      </w:r>
      <w:r w:rsidR="001D571B" w:rsidRPr="00980D3E">
        <w:t xml:space="preserve"> </w:t>
      </w:r>
      <w:r w:rsidR="00D413C7" w:rsidRPr="00980D3E">
        <w:t>monotherapy is</w:t>
      </w:r>
      <w:r w:rsidRPr="00980D3E">
        <w:t xml:space="preserve"> presented in </w:t>
      </w:r>
      <w:r w:rsidR="00820C9B" w:rsidRPr="00980D3E">
        <w:rPr>
          <w:rStyle w:val="CommentReference"/>
          <w:rFonts w:asciiTheme="minorHAnsi" w:hAnsiTheme="minorHAnsi"/>
          <w:b w:val="0"/>
          <w:sz w:val="24"/>
          <w:szCs w:val="24"/>
        </w:rPr>
        <w:t>Table 14</w:t>
      </w:r>
      <w:r w:rsidRPr="00980D3E">
        <w:t>.</w:t>
      </w:r>
    </w:p>
    <w:p w:rsidR="00690750" w:rsidRPr="00980D3E" w:rsidRDefault="00B62715" w:rsidP="00D443C2">
      <w:pPr>
        <w:pStyle w:val="TableHeading"/>
      </w:pPr>
      <w:bookmarkStart w:id="38" w:name="_Ref33524806"/>
      <w:r w:rsidRPr="00980D3E">
        <w:rPr>
          <w:rStyle w:val="CommentReference"/>
          <w:b/>
          <w:szCs w:val="24"/>
        </w:rPr>
        <w:lastRenderedPageBreak/>
        <w:t xml:space="preserve">Table </w:t>
      </w:r>
      <w:r w:rsidR="00820C9B" w:rsidRPr="00980D3E">
        <w:rPr>
          <w:rStyle w:val="CommentReference"/>
          <w:b/>
          <w:szCs w:val="24"/>
        </w:rPr>
        <w:t>14</w:t>
      </w:r>
      <w:bookmarkEnd w:id="38"/>
      <w:r w:rsidRPr="00980D3E">
        <w:rPr>
          <w:rStyle w:val="CommentReference"/>
          <w:b/>
          <w:szCs w:val="24"/>
        </w:rPr>
        <w:t xml:space="preserve">: Summary of comparative benefits and harms for </w:t>
      </w:r>
      <w:r w:rsidR="00837CE2" w:rsidRPr="00980D3E">
        <w:rPr>
          <w:rStyle w:val="CommentReference"/>
          <w:b/>
          <w:szCs w:val="24"/>
        </w:rPr>
        <w:t xml:space="preserve">plitidepsin + </w:t>
      </w:r>
      <w:r w:rsidR="00141227" w:rsidRPr="00980D3E">
        <w:rPr>
          <w:rStyle w:val="CommentReference"/>
          <w:b/>
          <w:szCs w:val="24"/>
        </w:rPr>
        <w:t>Dxm and</w:t>
      </w:r>
      <w:r w:rsidRPr="00980D3E">
        <w:rPr>
          <w:rStyle w:val="CommentReference"/>
          <w:b/>
          <w:szCs w:val="24"/>
        </w:rPr>
        <w:t xml:space="preserve"> </w:t>
      </w:r>
      <w:r w:rsidR="00C50AE9" w:rsidRPr="00980D3E">
        <w:rPr>
          <w:rStyle w:val="CommentReference"/>
          <w:b/>
          <w:szCs w:val="24"/>
        </w:rPr>
        <w:t>Dxm</w:t>
      </w:r>
      <w:r w:rsidR="00837CE2" w:rsidRPr="00980D3E">
        <w:rPr>
          <w:rStyle w:val="CommentReference"/>
          <w:b/>
          <w:szCs w:val="24"/>
        </w:rPr>
        <w:t xml:space="preserve"> </w:t>
      </w:r>
    </w:p>
    <w:tbl>
      <w:tblPr>
        <w:tblStyle w:val="TableGrid"/>
        <w:tblW w:w="5000" w:type="pct"/>
        <w:tblInd w:w="-5" w:type="dxa"/>
        <w:tblLayout w:type="fixed"/>
        <w:tblCellMar>
          <w:left w:w="28" w:type="dxa"/>
          <w:right w:w="28" w:type="dxa"/>
        </w:tblCellMar>
        <w:tblLook w:val="04A0" w:firstRow="1" w:lastRow="0" w:firstColumn="1" w:lastColumn="0" w:noHBand="0" w:noVBand="1"/>
        <w:tblCaption w:val="Table 14: Summary of comparative benefits and harms for plitidepsin + Dxm and Dxm "/>
      </w:tblPr>
      <w:tblGrid>
        <w:gridCol w:w="2976"/>
        <w:gridCol w:w="1702"/>
        <w:gridCol w:w="1697"/>
        <w:gridCol w:w="994"/>
        <w:gridCol w:w="1648"/>
      </w:tblGrid>
      <w:tr w:rsidR="00690750" w:rsidRPr="00980D3E" w:rsidTr="007F0BDF">
        <w:trPr>
          <w:trHeight w:val="98"/>
          <w:tblHeader/>
        </w:trPr>
        <w:tc>
          <w:tcPr>
            <w:tcW w:w="5000" w:type="pct"/>
            <w:gridSpan w:val="5"/>
            <w:shd w:val="clear" w:color="auto" w:fill="auto"/>
          </w:tcPr>
          <w:p w:rsidR="00690750" w:rsidRPr="00980D3E" w:rsidRDefault="00690750" w:rsidP="00690750">
            <w:pPr>
              <w:keepNext/>
              <w:widowControl w:val="0"/>
              <w:jc w:val="left"/>
              <w:rPr>
                <w:rFonts w:ascii="Arial Narrow" w:eastAsiaTheme="minorHAnsi" w:hAnsi="Arial Narrow" w:cstheme="minorBidi"/>
                <w:b/>
                <w:sz w:val="20"/>
                <w:szCs w:val="20"/>
                <w:lang w:eastAsia="en-US"/>
              </w:rPr>
            </w:pPr>
            <w:r w:rsidRPr="00980D3E">
              <w:rPr>
                <w:rFonts w:ascii="Arial Narrow" w:eastAsiaTheme="minorHAnsi" w:hAnsi="Arial Narrow" w:cstheme="minorBidi"/>
                <w:b/>
                <w:sz w:val="20"/>
                <w:szCs w:val="20"/>
                <w:lang w:eastAsia="en-US"/>
              </w:rPr>
              <w:t>Benefits</w:t>
            </w:r>
          </w:p>
        </w:tc>
      </w:tr>
      <w:tr w:rsidR="00656F4A" w:rsidRPr="00980D3E" w:rsidTr="00430DBB">
        <w:trPr>
          <w:trHeight w:val="20"/>
        </w:trPr>
        <w:tc>
          <w:tcPr>
            <w:tcW w:w="1650" w:type="pct"/>
            <w:tcBorders>
              <w:bottom w:val="single" w:sz="4" w:space="0" w:color="auto"/>
            </w:tcBorders>
            <w:shd w:val="clear" w:color="auto" w:fill="auto"/>
            <w:vAlign w:val="center"/>
          </w:tcPr>
          <w:p w:rsidR="00690750" w:rsidRPr="00980D3E" w:rsidRDefault="00690750" w:rsidP="00690750">
            <w:pPr>
              <w:keepNext/>
              <w:widowControl w:val="0"/>
              <w:jc w:val="left"/>
              <w:rPr>
                <w:rFonts w:ascii="Arial Narrow" w:eastAsiaTheme="minorHAnsi" w:hAnsi="Arial Narrow" w:cstheme="minorBidi"/>
                <w:b/>
                <w:sz w:val="20"/>
                <w:szCs w:val="20"/>
                <w:lang w:eastAsia="en-US"/>
              </w:rPr>
            </w:pPr>
            <w:r w:rsidRPr="00980D3E">
              <w:rPr>
                <w:rFonts w:ascii="Arial Narrow" w:eastAsiaTheme="minorHAnsi" w:hAnsi="Arial Narrow" w:cstheme="minorBidi"/>
                <w:b/>
                <w:sz w:val="20"/>
                <w:szCs w:val="20"/>
                <w:lang w:eastAsia="en-US"/>
              </w:rPr>
              <w:t>Event</w:t>
            </w:r>
          </w:p>
        </w:tc>
        <w:tc>
          <w:tcPr>
            <w:tcW w:w="944" w:type="pct"/>
            <w:vAlign w:val="center"/>
          </w:tcPr>
          <w:p w:rsidR="00690750" w:rsidRPr="00980D3E" w:rsidRDefault="00690750" w:rsidP="00690750">
            <w:pPr>
              <w:keepNext/>
              <w:widowControl w:val="0"/>
              <w:jc w:val="center"/>
              <w:rPr>
                <w:rFonts w:ascii="Arial Narrow" w:eastAsiaTheme="minorHAnsi" w:hAnsi="Arial Narrow" w:cstheme="minorBidi"/>
                <w:b/>
                <w:sz w:val="20"/>
                <w:szCs w:val="20"/>
                <w:lang w:eastAsia="en-US"/>
              </w:rPr>
            </w:pPr>
            <w:r w:rsidRPr="00980D3E">
              <w:rPr>
                <w:rFonts w:ascii="Arial Narrow" w:eastAsiaTheme="minorHAnsi" w:hAnsi="Arial Narrow" w:cstheme="minorBidi"/>
                <w:b/>
                <w:sz w:val="20"/>
                <w:szCs w:val="20"/>
                <w:lang w:eastAsia="en-US"/>
              </w:rPr>
              <w:t xml:space="preserve">Plitidepsin + </w:t>
            </w:r>
            <w:r w:rsidR="00C50AE9" w:rsidRPr="00980D3E">
              <w:rPr>
                <w:rFonts w:ascii="Arial Narrow" w:eastAsiaTheme="minorHAnsi" w:hAnsi="Arial Narrow" w:cstheme="minorBidi"/>
                <w:b/>
                <w:sz w:val="20"/>
                <w:szCs w:val="20"/>
                <w:lang w:eastAsia="en-US"/>
              </w:rPr>
              <w:t>Dxm</w:t>
            </w:r>
            <w:r w:rsidRPr="00980D3E">
              <w:rPr>
                <w:rFonts w:ascii="Arial Narrow" w:eastAsiaTheme="minorHAnsi" w:hAnsi="Arial Narrow" w:cstheme="minorBidi"/>
                <w:b/>
                <w:sz w:val="20"/>
                <w:szCs w:val="20"/>
                <w:lang w:eastAsia="en-US"/>
              </w:rPr>
              <w:t xml:space="preserve"> </w:t>
            </w:r>
          </w:p>
        </w:tc>
        <w:tc>
          <w:tcPr>
            <w:tcW w:w="941" w:type="pct"/>
            <w:vAlign w:val="center"/>
          </w:tcPr>
          <w:p w:rsidR="00690750" w:rsidRPr="00980D3E" w:rsidRDefault="00C50AE9" w:rsidP="00690750">
            <w:pPr>
              <w:keepNext/>
              <w:widowControl w:val="0"/>
              <w:jc w:val="center"/>
              <w:rPr>
                <w:rFonts w:ascii="Arial Narrow" w:eastAsiaTheme="minorHAnsi" w:hAnsi="Arial Narrow" w:cstheme="minorBidi"/>
                <w:b/>
                <w:sz w:val="20"/>
                <w:szCs w:val="20"/>
                <w:lang w:eastAsia="en-US"/>
              </w:rPr>
            </w:pPr>
            <w:r w:rsidRPr="00980D3E">
              <w:rPr>
                <w:rFonts w:ascii="Arial Narrow" w:eastAsiaTheme="minorHAnsi" w:hAnsi="Arial Narrow" w:cstheme="minorBidi"/>
                <w:b/>
                <w:sz w:val="20"/>
                <w:szCs w:val="20"/>
                <w:lang w:eastAsia="en-US"/>
              </w:rPr>
              <w:t>Dxm</w:t>
            </w:r>
            <w:r w:rsidR="00690750" w:rsidRPr="00980D3E">
              <w:rPr>
                <w:rFonts w:ascii="Arial Narrow" w:eastAsiaTheme="minorHAnsi" w:hAnsi="Arial Narrow" w:cstheme="minorBidi"/>
                <w:b/>
                <w:sz w:val="20"/>
                <w:szCs w:val="20"/>
                <w:lang w:eastAsia="en-US"/>
              </w:rPr>
              <w:t xml:space="preserve"> </w:t>
            </w:r>
          </w:p>
        </w:tc>
        <w:tc>
          <w:tcPr>
            <w:tcW w:w="551" w:type="pct"/>
            <w:tcBorders>
              <w:bottom w:val="single" w:sz="4" w:space="0" w:color="auto"/>
            </w:tcBorders>
            <w:shd w:val="clear" w:color="auto" w:fill="auto"/>
          </w:tcPr>
          <w:p w:rsidR="00690750" w:rsidRPr="00980D3E" w:rsidRDefault="00430DBB" w:rsidP="00690750">
            <w:pPr>
              <w:keepNext/>
              <w:widowControl w:val="0"/>
              <w:jc w:val="center"/>
              <w:rPr>
                <w:rFonts w:ascii="Arial Narrow" w:eastAsiaTheme="minorHAnsi" w:hAnsi="Arial Narrow" w:cstheme="minorBidi"/>
                <w:b/>
                <w:sz w:val="20"/>
                <w:szCs w:val="20"/>
                <w:lang w:eastAsia="en-US"/>
              </w:rPr>
            </w:pPr>
            <w:r w:rsidRPr="00980D3E">
              <w:rPr>
                <w:rFonts w:ascii="Arial Narrow" w:eastAsiaTheme="minorHAnsi" w:hAnsi="Arial Narrow" w:cstheme="minorBidi"/>
                <w:b/>
                <w:sz w:val="20"/>
                <w:szCs w:val="20"/>
                <w:lang w:eastAsia="en-US"/>
              </w:rPr>
              <w:t>Absolute d</w:t>
            </w:r>
            <w:r w:rsidR="00690750" w:rsidRPr="00980D3E">
              <w:rPr>
                <w:rFonts w:ascii="Arial Narrow" w:eastAsiaTheme="minorHAnsi" w:hAnsi="Arial Narrow" w:cstheme="minorBidi"/>
                <w:b/>
                <w:sz w:val="20"/>
                <w:szCs w:val="20"/>
                <w:lang w:eastAsia="en-US"/>
              </w:rPr>
              <w:t>ifference</w:t>
            </w:r>
          </w:p>
        </w:tc>
        <w:tc>
          <w:tcPr>
            <w:tcW w:w="914" w:type="pct"/>
            <w:tcBorders>
              <w:bottom w:val="single" w:sz="4" w:space="0" w:color="auto"/>
            </w:tcBorders>
            <w:shd w:val="clear" w:color="auto" w:fill="auto"/>
            <w:vAlign w:val="center"/>
          </w:tcPr>
          <w:p w:rsidR="00690750" w:rsidRPr="00980D3E" w:rsidRDefault="00690750" w:rsidP="00430DBB">
            <w:pPr>
              <w:keepNext/>
              <w:widowControl w:val="0"/>
              <w:jc w:val="center"/>
              <w:rPr>
                <w:rFonts w:ascii="Arial Narrow" w:eastAsiaTheme="minorHAnsi" w:hAnsi="Arial Narrow" w:cstheme="minorBidi"/>
                <w:b/>
                <w:sz w:val="20"/>
                <w:szCs w:val="20"/>
                <w:lang w:eastAsia="en-US"/>
              </w:rPr>
            </w:pPr>
            <w:r w:rsidRPr="00980D3E">
              <w:rPr>
                <w:rFonts w:ascii="Arial Narrow" w:eastAsiaTheme="minorHAnsi" w:hAnsi="Arial Narrow" w:cstheme="minorBidi"/>
                <w:b/>
                <w:sz w:val="20"/>
                <w:szCs w:val="20"/>
                <w:lang w:eastAsia="en-US"/>
              </w:rPr>
              <w:t>HR (95% CI)</w:t>
            </w:r>
          </w:p>
        </w:tc>
      </w:tr>
      <w:tr w:rsidR="00690750" w:rsidRPr="00980D3E" w:rsidTr="007F0BDF">
        <w:trPr>
          <w:trHeight w:val="20"/>
        </w:trPr>
        <w:tc>
          <w:tcPr>
            <w:tcW w:w="5000" w:type="pct"/>
            <w:gridSpan w:val="5"/>
            <w:tcBorders>
              <w:bottom w:val="single" w:sz="4" w:space="0" w:color="auto"/>
            </w:tcBorders>
            <w:shd w:val="clear" w:color="auto" w:fill="auto"/>
            <w:vAlign w:val="center"/>
          </w:tcPr>
          <w:p w:rsidR="00690750" w:rsidRPr="00980D3E" w:rsidRDefault="004860C9" w:rsidP="001311B5">
            <w:pPr>
              <w:keepNext/>
              <w:widowControl w:val="0"/>
              <w:jc w:val="left"/>
              <w:rPr>
                <w:rFonts w:ascii="Arial Narrow" w:eastAsiaTheme="minorHAnsi" w:hAnsi="Arial Narrow" w:cstheme="minorBidi"/>
                <w:b/>
                <w:sz w:val="20"/>
                <w:szCs w:val="20"/>
                <w:vertAlign w:val="superscript"/>
                <w:lang w:eastAsia="en-US"/>
              </w:rPr>
            </w:pPr>
            <w:r w:rsidRPr="00980D3E">
              <w:rPr>
                <w:rFonts w:ascii="Arial Narrow" w:eastAsiaTheme="minorHAnsi" w:hAnsi="Arial Narrow" w:cstheme="minorBidi"/>
                <w:b/>
                <w:sz w:val="20"/>
                <w:szCs w:val="20"/>
                <w:lang w:eastAsia="en-US"/>
              </w:rPr>
              <w:t>PFS (</w:t>
            </w:r>
            <w:r w:rsidR="00916889" w:rsidRPr="00980D3E">
              <w:rPr>
                <w:rFonts w:ascii="Arial Narrow" w:eastAsiaTheme="minorHAnsi" w:hAnsi="Arial Narrow" w:cstheme="minorBidi"/>
                <w:b/>
                <w:sz w:val="20"/>
                <w:szCs w:val="20"/>
                <w:lang w:eastAsia="en-US"/>
              </w:rPr>
              <w:t xml:space="preserve">IRC </w:t>
            </w:r>
            <w:r w:rsidRPr="00980D3E">
              <w:rPr>
                <w:rFonts w:ascii="Arial Narrow" w:eastAsiaTheme="minorHAnsi" w:hAnsi="Arial Narrow" w:cstheme="minorBidi"/>
                <w:b/>
                <w:sz w:val="20"/>
                <w:szCs w:val="20"/>
                <w:lang w:eastAsia="en-US"/>
              </w:rPr>
              <w:t xml:space="preserve">assessed, </w:t>
            </w:r>
            <w:r w:rsidR="00282E00" w:rsidRPr="00980D3E">
              <w:rPr>
                <w:rFonts w:ascii="Arial Narrow" w:eastAsiaTheme="minorHAnsi" w:hAnsi="Arial Narrow" w:cstheme="minorBidi"/>
                <w:b/>
                <w:sz w:val="20"/>
                <w:szCs w:val="20"/>
                <w:lang w:eastAsia="en-US"/>
              </w:rPr>
              <w:t>disease progression not confirmed, primary outcome)</w:t>
            </w:r>
            <w:r w:rsidR="001D571B" w:rsidRPr="00980D3E">
              <w:rPr>
                <w:rFonts w:ascii="Arial Narrow" w:eastAsiaTheme="minorHAnsi" w:hAnsi="Arial Narrow" w:cstheme="minorBidi"/>
                <w:b/>
                <w:sz w:val="20"/>
                <w:szCs w:val="20"/>
                <w:vertAlign w:val="superscript"/>
                <w:lang w:eastAsia="en-US"/>
              </w:rPr>
              <w:t>a</w:t>
            </w:r>
          </w:p>
        </w:tc>
      </w:tr>
      <w:tr w:rsidR="00656F4A" w:rsidRPr="00980D3E" w:rsidTr="00430DBB">
        <w:trPr>
          <w:trHeight w:val="20"/>
        </w:trPr>
        <w:tc>
          <w:tcPr>
            <w:tcW w:w="1650" w:type="pct"/>
            <w:tcBorders>
              <w:bottom w:val="single" w:sz="4" w:space="0" w:color="auto"/>
              <w:right w:val="single" w:sz="4" w:space="0" w:color="auto"/>
            </w:tcBorders>
            <w:shd w:val="clear" w:color="auto" w:fill="auto"/>
            <w:vAlign w:val="center"/>
          </w:tcPr>
          <w:p w:rsidR="00656F4A" w:rsidRPr="00980D3E" w:rsidRDefault="00656F4A" w:rsidP="00690750">
            <w:pPr>
              <w:keepNext/>
              <w:widowControl w:val="0"/>
              <w:jc w:val="left"/>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Progressed, n/N (%)</w:t>
            </w:r>
          </w:p>
        </w:tc>
        <w:tc>
          <w:tcPr>
            <w:tcW w:w="944" w:type="pct"/>
            <w:tcBorders>
              <w:top w:val="single" w:sz="4" w:space="0" w:color="auto"/>
              <w:left w:val="single" w:sz="4" w:space="0" w:color="auto"/>
              <w:bottom w:val="single" w:sz="4" w:space="0" w:color="auto"/>
              <w:right w:val="single" w:sz="4" w:space="0" w:color="auto"/>
            </w:tcBorders>
            <w:vAlign w:val="center"/>
          </w:tcPr>
          <w:p w:rsidR="00656F4A" w:rsidRPr="00980D3E" w:rsidRDefault="00656F4A"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130/171 (76.0</w:t>
            </w:r>
            <w:r w:rsidR="00430DBB" w:rsidRPr="00980D3E">
              <w:rPr>
                <w:rFonts w:ascii="Arial Narrow" w:eastAsiaTheme="minorHAnsi" w:hAnsi="Arial Narrow" w:cstheme="minorBidi"/>
                <w:sz w:val="20"/>
                <w:szCs w:val="20"/>
                <w:lang w:eastAsia="en-US"/>
              </w:rPr>
              <w:t>%</w:t>
            </w:r>
            <w:r w:rsidRPr="00980D3E">
              <w:rPr>
                <w:rFonts w:ascii="Arial Narrow" w:eastAsiaTheme="minorHAnsi" w:hAnsi="Arial Narrow" w:cstheme="minorBidi"/>
                <w:sz w:val="20"/>
                <w:szCs w:val="20"/>
                <w:lang w:eastAsia="en-US"/>
              </w:rPr>
              <w:t>)</w:t>
            </w:r>
          </w:p>
        </w:tc>
        <w:tc>
          <w:tcPr>
            <w:tcW w:w="941" w:type="pct"/>
            <w:tcBorders>
              <w:top w:val="single" w:sz="4" w:space="0" w:color="auto"/>
              <w:left w:val="single" w:sz="4" w:space="0" w:color="auto"/>
              <w:bottom w:val="single" w:sz="4" w:space="0" w:color="auto"/>
              <w:right w:val="single" w:sz="4" w:space="0" w:color="auto"/>
            </w:tcBorders>
            <w:vAlign w:val="center"/>
          </w:tcPr>
          <w:p w:rsidR="00656F4A" w:rsidRPr="00980D3E" w:rsidRDefault="00656F4A"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61/84 (72.6</w:t>
            </w:r>
            <w:r w:rsidR="00430DBB" w:rsidRPr="00980D3E">
              <w:rPr>
                <w:rFonts w:ascii="Arial Narrow" w:eastAsiaTheme="minorHAnsi" w:hAnsi="Arial Narrow" w:cstheme="minorBidi"/>
                <w:sz w:val="20"/>
                <w:szCs w:val="20"/>
                <w:lang w:eastAsia="en-US"/>
              </w:rPr>
              <w:t>%</w:t>
            </w:r>
            <w:r w:rsidRPr="00980D3E">
              <w:rPr>
                <w:rFonts w:ascii="Arial Narrow" w:eastAsiaTheme="minorHAnsi" w:hAnsi="Arial Narrow" w:cstheme="minorBidi"/>
                <w:sz w:val="20"/>
                <w:szCs w:val="20"/>
                <w:lang w:eastAsia="en-US"/>
              </w:rPr>
              <w:t>)</w:t>
            </w:r>
          </w:p>
        </w:tc>
        <w:tc>
          <w:tcPr>
            <w:tcW w:w="551" w:type="pct"/>
            <w:tcBorders>
              <w:left w:val="single" w:sz="4" w:space="0" w:color="auto"/>
              <w:bottom w:val="single" w:sz="4" w:space="0" w:color="auto"/>
              <w:right w:val="single" w:sz="4" w:space="0" w:color="auto"/>
            </w:tcBorders>
            <w:shd w:val="clear" w:color="auto" w:fill="auto"/>
          </w:tcPr>
          <w:p w:rsidR="00656F4A" w:rsidRPr="00980D3E" w:rsidRDefault="00656F4A" w:rsidP="00690750">
            <w:pPr>
              <w:keepNext/>
              <w:widowControl w:val="0"/>
              <w:jc w:val="center"/>
              <w:rPr>
                <w:rFonts w:ascii="Arial Narrow" w:eastAsiaTheme="minorHAnsi" w:hAnsi="Arial Narrow" w:cstheme="minorBidi"/>
                <w:sz w:val="20"/>
                <w:szCs w:val="20"/>
                <w:lang w:eastAsia="en-US"/>
              </w:rPr>
            </w:pPr>
          </w:p>
        </w:tc>
        <w:tc>
          <w:tcPr>
            <w:tcW w:w="914" w:type="pct"/>
            <w:vMerge w:val="restart"/>
            <w:tcBorders>
              <w:left w:val="single" w:sz="4" w:space="0" w:color="auto"/>
            </w:tcBorders>
            <w:shd w:val="clear" w:color="auto" w:fill="auto"/>
            <w:vAlign w:val="center"/>
          </w:tcPr>
          <w:p w:rsidR="00656F4A" w:rsidRPr="00980D3E" w:rsidRDefault="00656F4A" w:rsidP="00656F4A">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b/>
                <w:sz w:val="20"/>
                <w:szCs w:val="20"/>
                <w:lang w:eastAsia="en-US"/>
              </w:rPr>
              <w:t>0.65 (0.4</w:t>
            </w:r>
            <w:r w:rsidR="00430DBB" w:rsidRPr="00980D3E">
              <w:rPr>
                <w:rFonts w:ascii="Arial Narrow" w:eastAsiaTheme="minorHAnsi" w:hAnsi="Arial Narrow" w:cstheme="minorBidi"/>
                <w:b/>
                <w:sz w:val="20"/>
                <w:szCs w:val="20"/>
                <w:lang w:eastAsia="en-US"/>
              </w:rPr>
              <w:t>8</w:t>
            </w:r>
            <w:r w:rsidRPr="00980D3E">
              <w:rPr>
                <w:rFonts w:ascii="Arial Narrow" w:eastAsiaTheme="minorHAnsi" w:hAnsi="Arial Narrow" w:cstheme="minorBidi"/>
                <w:b/>
                <w:sz w:val="20"/>
                <w:szCs w:val="20"/>
                <w:lang w:eastAsia="en-US"/>
              </w:rPr>
              <w:t>, 0.8</w:t>
            </w:r>
            <w:r w:rsidR="00430DBB" w:rsidRPr="00980D3E">
              <w:rPr>
                <w:rFonts w:ascii="Arial Narrow" w:eastAsiaTheme="minorHAnsi" w:hAnsi="Arial Narrow" w:cstheme="minorBidi"/>
                <w:b/>
                <w:sz w:val="20"/>
                <w:szCs w:val="20"/>
                <w:lang w:eastAsia="en-US"/>
              </w:rPr>
              <w:t>9</w:t>
            </w:r>
            <w:r w:rsidRPr="00980D3E">
              <w:rPr>
                <w:rFonts w:ascii="Arial Narrow" w:eastAsiaTheme="minorHAnsi" w:hAnsi="Arial Narrow" w:cstheme="minorBidi"/>
                <w:b/>
                <w:sz w:val="20"/>
                <w:szCs w:val="20"/>
                <w:lang w:eastAsia="en-US"/>
              </w:rPr>
              <w:t>)</w:t>
            </w:r>
          </w:p>
          <w:p w:rsidR="00656F4A" w:rsidRPr="00980D3E" w:rsidRDefault="00656F4A" w:rsidP="00656F4A">
            <w:pPr>
              <w:keepNext/>
              <w:widowControl w:val="0"/>
              <w:jc w:val="center"/>
              <w:rPr>
                <w:rFonts w:ascii="Arial Narrow" w:eastAsiaTheme="minorHAnsi" w:hAnsi="Arial Narrow" w:cstheme="minorBidi"/>
                <w:b/>
                <w:sz w:val="20"/>
                <w:szCs w:val="20"/>
                <w:lang w:eastAsia="en-US"/>
              </w:rPr>
            </w:pPr>
            <w:r w:rsidRPr="00980D3E">
              <w:rPr>
                <w:rFonts w:ascii="Arial Narrow" w:eastAsiaTheme="minorHAnsi" w:hAnsi="Arial Narrow" w:cstheme="minorBidi"/>
                <w:b/>
                <w:sz w:val="20"/>
                <w:szCs w:val="20"/>
                <w:lang w:eastAsia="en-US"/>
              </w:rPr>
              <w:t>p-value = 0.0062</w:t>
            </w:r>
          </w:p>
        </w:tc>
      </w:tr>
      <w:tr w:rsidR="00656F4A" w:rsidRPr="00980D3E" w:rsidTr="00430DBB">
        <w:trPr>
          <w:trHeight w:val="20"/>
        </w:trPr>
        <w:tc>
          <w:tcPr>
            <w:tcW w:w="1650" w:type="pct"/>
            <w:tcBorders>
              <w:bottom w:val="single" w:sz="4" w:space="0" w:color="auto"/>
              <w:right w:val="single" w:sz="4" w:space="0" w:color="auto"/>
            </w:tcBorders>
            <w:shd w:val="clear" w:color="auto" w:fill="auto"/>
            <w:vAlign w:val="center"/>
          </w:tcPr>
          <w:p w:rsidR="00656F4A" w:rsidRPr="00980D3E" w:rsidRDefault="00656F4A" w:rsidP="00690750">
            <w:pPr>
              <w:keepNext/>
              <w:widowControl w:val="0"/>
              <w:jc w:val="left"/>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Median PFS, months</w:t>
            </w:r>
            <w:r w:rsidR="00430DBB" w:rsidRPr="00980D3E">
              <w:rPr>
                <w:rFonts w:ascii="Arial Narrow" w:eastAsiaTheme="minorHAnsi" w:hAnsi="Arial Narrow" w:cstheme="minorBidi"/>
                <w:sz w:val="20"/>
                <w:szCs w:val="20"/>
                <w:lang w:eastAsia="en-US"/>
              </w:rPr>
              <w:t xml:space="preserve"> (95% CI)</w:t>
            </w:r>
          </w:p>
        </w:tc>
        <w:tc>
          <w:tcPr>
            <w:tcW w:w="944" w:type="pct"/>
          </w:tcPr>
          <w:p w:rsidR="00656F4A" w:rsidRPr="00980D3E" w:rsidRDefault="00656F4A"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2.6 (1.9, 3.0)</w:t>
            </w:r>
          </w:p>
        </w:tc>
        <w:tc>
          <w:tcPr>
            <w:tcW w:w="941" w:type="pct"/>
          </w:tcPr>
          <w:p w:rsidR="00656F4A" w:rsidRPr="00980D3E" w:rsidRDefault="00656F4A"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1.7 (1.1, 2.0)</w:t>
            </w:r>
          </w:p>
        </w:tc>
        <w:tc>
          <w:tcPr>
            <w:tcW w:w="551" w:type="pct"/>
            <w:tcBorders>
              <w:left w:val="single" w:sz="4" w:space="0" w:color="auto"/>
              <w:bottom w:val="single" w:sz="4" w:space="0" w:color="auto"/>
              <w:right w:val="single" w:sz="4" w:space="0" w:color="auto"/>
            </w:tcBorders>
            <w:shd w:val="clear" w:color="auto" w:fill="auto"/>
          </w:tcPr>
          <w:p w:rsidR="00656F4A" w:rsidRPr="00980D3E" w:rsidRDefault="00656F4A"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0.9</w:t>
            </w:r>
          </w:p>
        </w:tc>
        <w:tc>
          <w:tcPr>
            <w:tcW w:w="914" w:type="pct"/>
            <w:vMerge/>
            <w:tcBorders>
              <w:left w:val="single" w:sz="4" w:space="0" w:color="auto"/>
            </w:tcBorders>
            <w:shd w:val="clear" w:color="auto" w:fill="auto"/>
          </w:tcPr>
          <w:p w:rsidR="00656F4A" w:rsidRPr="00980D3E" w:rsidRDefault="00656F4A" w:rsidP="00690750">
            <w:pPr>
              <w:keepNext/>
              <w:widowControl w:val="0"/>
              <w:jc w:val="center"/>
              <w:rPr>
                <w:rFonts w:ascii="Arial Narrow" w:eastAsiaTheme="minorHAnsi" w:hAnsi="Arial Narrow" w:cstheme="minorBidi"/>
                <w:sz w:val="20"/>
                <w:szCs w:val="20"/>
                <w:lang w:eastAsia="en-US"/>
              </w:rPr>
            </w:pPr>
          </w:p>
        </w:tc>
      </w:tr>
      <w:tr w:rsidR="00656F4A" w:rsidRPr="00980D3E" w:rsidTr="00430DBB">
        <w:trPr>
          <w:trHeight w:val="20"/>
        </w:trPr>
        <w:tc>
          <w:tcPr>
            <w:tcW w:w="1650" w:type="pct"/>
            <w:tcBorders>
              <w:top w:val="single" w:sz="4" w:space="0" w:color="auto"/>
              <w:bottom w:val="single" w:sz="4" w:space="0" w:color="auto"/>
              <w:right w:val="single" w:sz="4" w:space="0" w:color="auto"/>
            </w:tcBorders>
            <w:shd w:val="clear" w:color="auto" w:fill="auto"/>
            <w:vAlign w:val="center"/>
          </w:tcPr>
          <w:p w:rsidR="00656F4A" w:rsidRPr="00980D3E" w:rsidRDefault="00656F4A" w:rsidP="00690750">
            <w:pPr>
              <w:keepNext/>
              <w:widowControl w:val="0"/>
              <w:jc w:val="left"/>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 not progressed at 6 months (95% CI)</w:t>
            </w:r>
          </w:p>
        </w:tc>
        <w:tc>
          <w:tcPr>
            <w:tcW w:w="944" w:type="pct"/>
            <w:tcBorders>
              <w:top w:val="single" w:sz="4" w:space="0" w:color="auto"/>
              <w:left w:val="single" w:sz="4" w:space="0" w:color="auto"/>
              <w:bottom w:val="single" w:sz="4" w:space="0" w:color="auto"/>
              <w:right w:val="single" w:sz="4" w:space="0" w:color="auto"/>
            </w:tcBorders>
            <w:shd w:val="clear" w:color="auto" w:fill="auto"/>
          </w:tcPr>
          <w:p w:rsidR="00656F4A" w:rsidRPr="00980D3E" w:rsidRDefault="00656F4A"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20.0% (13.1, 26.9)</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656F4A" w:rsidRPr="00980D3E" w:rsidRDefault="00656F4A"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10.0% (2.0, 18.0)</w:t>
            </w:r>
          </w:p>
        </w:tc>
        <w:tc>
          <w:tcPr>
            <w:tcW w:w="551" w:type="pct"/>
            <w:tcBorders>
              <w:top w:val="single" w:sz="4" w:space="0" w:color="auto"/>
              <w:left w:val="single" w:sz="4" w:space="0" w:color="auto"/>
              <w:bottom w:val="single" w:sz="4" w:space="0" w:color="auto"/>
              <w:right w:val="single" w:sz="4" w:space="0" w:color="auto"/>
            </w:tcBorders>
            <w:shd w:val="clear" w:color="auto" w:fill="auto"/>
          </w:tcPr>
          <w:p w:rsidR="00656F4A" w:rsidRPr="00980D3E" w:rsidRDefault="00656F4A"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10%</w:t>
            </w:r>
          </w:p>
        </w:tc>
        <w:tc>
          <w:tcPr>
            <w:tcW w:w="914" w:type="pct"/>
            <w:vMerge/>
            <w:tcBorders>
              <w:left w:val="single" w:sz="4" w:space="0" w:color="auto"/>
              <w:bottom w:val="single" w:sz="4" w:space="0" w:color="auto"/>
            </w:tcBorders>
            <w:shd w:val="clear" w:color="auto" w:fill="auto"/>
          </w:tcPr>
          <w:p w:rsidR="00656F4A" w:rsidRPr="00980D3E" w:rsidRDefault="00656F4A" w:rsidP="00690750">
            <w:pPr>
              <w:keepNext/>
              <w:widowControl w:val="0"/>
              <w:jc w:val="center"/>
              <w:rPr>
                <w:rFonts w:ascii="Arial Narrow" w:eastAsiaTheme="minorHAnsi" w:hAnsi="Arial Narrow" w:cstheme="minorBidi"/>
                <w:sz w:val="20"/>
                <w:szCs w:val="20"/>
                <w:lang w:eastAsia="en-US"/>
              </w:rPr>
            </w:pPr>
          </w:p>
        </w:tc>
      </w:tr>
      <w:tr w:rsidR="00690750" w:rsidRPr="00980D3E" w:rsidTr="007F0BDF">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4860C9" w:rsidP="00690750">
            <w:pPr>
              <w:keepNext/>
              <w:widowControl w:val="0"/>
              <w:jc w:val="left"/>
              <w:rPr>
                <w:rFonts w:ascii="Arial Narrow" w:eastAsiaTheme="minorHAnsi" w:hAnsi="Arial Narrow" w:cstheme="minorBidi"/>
                <w:b/>
                <w:sz w:val="20"/>
                <w:szCs w:val="20"/>
                <w:lang w:eastAsia="en-US"/>
              </w:rPr>
            </w:pPr>
            <w:r w:rsidRPr="00980D3E">
              <w:rPr>
                <w:rFonts w:ascii="Arial Narrow" w:eastAsiaTheme="minorHAnsi" w:hAnsi="Arial Narrow" w:cstheme="minorBidi"/>
                <w:b/>
                <w:sz w:val="20"/>
                <w:szCs w:val="20"/>
                <w:lang w:eastAsia="en-US"/>
              </w:rPr>
              <w:t>PFS (</w:t>
            </w:r>
            <w:r w:rsidR="00916889" w:rsidRPr="00980D3E">
              <w:rPr>
                <w:rFonts w:ascii="Arial Narrow" w:eastAsiaTheme="minorHAnsi" w:hAnsi="Arial Narrow" w:cstheme="minorBidi"/>
                <w:b/>
                <w:sz w:val="20"/>
                <w:szCs w:val="20"/>
                <w:lang w:eastAsia="en-US"/>
              </w:rPr>
              <w:t xml:space="preserve">IRC </w:t>
            </w:r>
            <w:r w:rsidRPr="00980D3E">
              <w:rPr>
                <w:rFonts w:ascii="Arial Narrow" w:eastAsiaTheme="minorHAnsi" w:hAnsi="Arial Narrow" w:cstheme="minorBidi"/>
                <w:b/>
                <w:sz w:val="20"/>
                <w:szCs w:val="20"/>
                <w:lang w:eastAsia="en-US"/>
              </w:rPr>
              <w:t xml:space="preserve">assessed, </w:t>
            </w:r>
            <w:r w:rsidR="00282E00" w:rsidRPr="00980D3E">
              <w:rPr>
                <w:rFonts w:ascii="Arial Narrow" w:eastAsiaTheme="minorHAnsi" w:hAnsi="Arial Narrow" w:cstheme="minorBidi"/>
                <w:b/>
                <w:sz w:val="20"/>
                <w:szCs w:val="20"/>
                <w:lang w:eastAsia="en-US"/>
              </w:rPr>
              <w:t>disease progression confirmed)</w:t>
            </w:r>
            <w:r w:rsidR="001D571B" w:rsidRPr="00980D3E">
              <w:rPr>
                <w:rFonts w:ascii="Arial Narrow" w:eastAsiaTheme="minorHAnsi" w:hAnsi="Arial Narrow" w:cstheme="minorBidi"/>
                <w:b/>
                <w:sz w:val="20"/>
                <w:szCs w:val="20"/>
                <w:vertAlign w:val="superscript"/>
                <w:lang w:eastAsia="en-US"/>
              </w:rPr>
              <w:t>a</w:t>
            </w:r>
          </w:p>
        </w:tc>
      </w:tr>
      <w:tr w:rsidR="00656F4A" w:rsidRPr="00980D3E" w:rsidTr="00430DBB">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656F4A" w:rsidRPr="00980D3E" w:rsidRDefault="00656F4A" w:rsidP="00282E00">
            <w:pPr>
              <w:keepNext/>
              <w:widowControl w:val="0"/>
              <w:jc w:val="left"/>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Progressed, n/N (%)</w:t>
            </w:r>
          </w:p>
        </w:tc>
        <w:tc>
          <w:tcPr>
            <w:tcW w:w="944" w:type="pct"/>
            <w:vAlign w:val="center"/>
          </w:tcPr>
          <w:p w:rsidR="00656F4A" w:rsidRPr="00980D3E" w:rsidRDefault="00656F4A" w:rsidP="00282E00">
            <w:pPr>
              <w:pStyle w:val="TableText0"/>
              <w:jc w:val="center"/>
              <w:rPr>
                <w:rFonts w:cstheme="minorBidi"/>
                <w:szCs w:val="20"/>
                <w:lang w:eastAsia="en-US"/>
              </w:rPr>
            </w:pPr>
            <w:r w:rsidRPr="00980D3E">
              <w:rPr>
                <w:szCs w:val="20"/>
              </w:rPr>
              <w:t>80/171 (46.8</w:t>
            </w:r>
            <w:r w:rsidR="00430DBB" w:rsidRPr="00980D3E">
              <w:rPr>
                <w:szCs w:val="20"/>
              </w:rPr>
              <w:t>%</w:t>
            </w:r>
            <w:r w:rsidRPr="00980D3E">
              <w:rPr>
                <w:szCs w:val="20"/>
              </w:rPr>
              <w:t>)</w:t>
            </w:r>
          </w:p>
        </w:tc>
        <w:tc>
          <w:tcPr>
            <w:tcW w:w="941" w:type="pct"/>
            <w:vAlign w:val="center"/>
          </w:tcPr>
          <w:p w:rsidR="00656F4A" w:rsidRPr="00980D3E" w:rsidRDefault="00656F4A" w:rsidP="00282E00">
            <w:pPr>
              <w:pStyle w:val="TableText0"/>
              <w:jc w:val="center"/>
              <w:rPr>
                <w:rFonts w:cstheme="minorBidi"/>
                <w:szCs w:val="20"/>
                <w:lang w:eastAsia="en-US"/>
              </w:rPr>
            </w:pPr>
            <w:r w:rsidRPr="00980D3E">
              <w:rPr>
                <w:szCs w:val="20"/>
              </w:rPr>
              <w:t>43/84 (51.2</w:t>
            </w:r>
            <w:r w:rsidR="00430DBB" w:rsidRPr="00980D3E">
              <w:rPr>
                <w:szCs w:val="20"/>
              </w:rPr>
              <w:t>%</w:t>
            </w:r>
            <w:r w:rsidRPr="00980D3E">
              <w:rPr>
                <w:szCs w:val="20"/>
              </w:rPr>
              <w:t>)</w:t>
            </w:r>
          </w:p>
        </w:tc>
        <w:tc>
          <w:tcPr>
            <w:tcW w:w="551" w:type="pct"/>
            <w:vAlign w:val="center"/>
          </w:tcPr>
          <w:p w:rsidR="00656F4A" w:rsidRPr="00980D3E" w:rsidRDefault="00656F4A" w:rsidP="00282E00">
            <w:pPr>
              <w:keepNext/>
              <w:widowControl w:val="0"/>
              <w:jc w:val="center"/>
              <w:rPr>
                <w:rFonts w:ascii="Arial Narrow" w:eastAsiaTheme="minorHAnsi" w:hAnsi="Arial Narrow" w:cstheme="minorBidi"/>
                <w:sz w:val="20"/>
                <w:szCs w:val="20"/>
                <w:lang w:eastAsia="en-US"/>
              </w:rPr>
            </w:pPr>
          </w:p>
        </w:tc>
        <w:tc>
          <w:tcPr>
            <w:tcW w:w="914" w:type="pct"/>
            <w:vMerge w:val="restart"/>
            <w:vAlign w:val="center"/>
          </w:tcPr>
          <w:p w:rsidR="00656F4A" w:rsidRPr="00980D3E" w:rsidRDefault="00656F4A" w:rsidP="00282E00">
            <w:pPr>
              <w:keepNext/>
              <w:jc w:val="center"/>
              <w:rPr>
                <w:rFonts w:ascii="Arial Narrow" w:hAnsi="Arial Narrow" w:cs="Times New Roman"/>
                <w:sz w:val="20"/>
                <w:szCs w:val="20"/>
                <w:lang w:eastAsia="en-US"/>
              </w:rPr>
            </w:pPr>
            <w:r w:rsidRPr="00980D3E">
              <w:rPr>
                <w:rFonts w:ascii="Arial Narrow" w:hAnsi="Arial Narrow" w:cs="Times New Roman"/>
                <w:b/>
                <w:sz w:val="20"/>
                <w:szCs w:val="20"/>
                <w:lang w:eastAsia="en-US"/>
              </w:rPr>
              <w:t>0.5</w:t>
            </w:r>
            <w:r w:rsidR="00430DBB" w:rsidRPr="00980D3E">
              <w:rPr>
                <w:rFonts w:ascii="Arial Narrow" w:hAnsi="Arial Narrow" w:cs="Times New Roman"/>
                <w:b/>
                <w:sz w:val="20"/>
                <w:szCs w:val="20"/>
                <w:lang w:eastAsia="en-US"/>
              </w:rPr>
              <w:t>2</w:t>
            </w:r>
            <w:r w:rsidRPr="00980D3E">
              <w:rPr>
                <w:rFonts w:ascii="Arial Narrow" w:hAnsi="Arial Narrow" w:cs="Times New Roman"/>
                <w:b/>
                <w:sz w:val="20"/>
                <w:szCs w:val="20"/>
                <w:lang w:eastAsia="en-US"/>
              </w:rPr>
              <w:t xml:space="preserve"> (0.35, 0.76)</w:t>
            </w:r>
            <w:r w:rsidRPr="00980D3E">
              <w:rPr>
                <w:rFonts w:ascii="Arial Narrow" w:hAnsi="Arial Narrow" w:cs="Times New Roman"/>
                <w:sz w:val="20"/>
                <w:szCs w:val="20"/>
                <w:lang w:eastAsia="en-US"/>
              </w:rPr>
              <w:t xml:space="preserve"> </w:t>
            </w:r>
          </w:p>
          <w:p w:rsidR="00656F4A" w:rsidRPr="00980D3E" w:rsidRDefault="00656F4A" w:rsidP="00282E00">
            <w:pPr>
              <w:keepNext/>
              <w:widowControl w:val="0"/>
              <w:jc w:val="center"/>
              <w:rPr>
                <w:rFonts w:ascii="Arial Narrow" w:eastAsiaTheme="minorHAnsi" w:hAnsi="Arial Narrow" w:cstheme="minorBidi"/>
                <w:b/>
                <w:sz w:val="20"/>
                <w:szCs w:val="20"/>
                <w:lang w:eastAsia="en-US"/>
              </w:rPr>
            </w:pPr>
            <w:r w:rsidRPr="00980D3E">
              <w:rPr>
                <w:rFonts w:ascii="Arial Narrow" w:hAnsi="Arial Narrow" w:cs="Times New Roman"/>
                <w:b/>
                <w:sz w:val="20"/>
                <w:szCs w:val="20"/>
                <w:lang w:eastAsia="en-US"/>
              </w:rPr>
              <w:t>p-value = 0.0005</w:t>
            </w:r>
          </w:p>
        </w:tc>
      </w:tr>
      <w:tr w:rsidR="00656F4A" w:rsidRPr="00980D3E" w:rsidTr="00430DBB">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656F4A" w:rsidRPr="00980D3E" w:rsidRDefault="00656F4A" w:rsidP="00282E00">
            <w:pPr>
              <w:keepNext/>
              <w:widowControl w:val="0"/>
              <w:jc w:val="left"/>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Median PFS, months</w:t>
            </w:r>
            <w:r w:rsidR="00430DBB" w:rsidRPr="00980D3E">
              <w:rPr>
                <w:rFonts w:ascii="Arial Narrow" w:eastAsiaTheme="minorHAnsi" w:hAnsi="Arial Narrow" w:cstheme="minorBidi"/>
                <w:sz w:val="20"/>
                <w:szCs w:val="20"/>
                <w:lang w:eastAsia="en-US"/>
              </w:rPr>
              <w:t xml:space="preserve"> (95% CI)</w:t>
            </w:r>
          </w:p>
        </w:tc>
        <w:tc>
          <w:tcPr>
            <w:tcW w:w="944" w:type="pct"/>
            <w:vAlign w:val="center"/>
          </w:tcPr>
          <w:p w:rsidR="00656F4A" w:rsidRPr="00980D3E" w:rsidRDefault="00656F4A" w:rsidP="00282E00">
            <w:pPr>
              <w:pStyle w:val="TableText0"/>
              <w:jc w:val="center"/>
              <w:rPr>
                <w:rFonts w:cs="Times New Roman"/>
                <w:szCs w:val="20"/>
                <w:lang w:eastAsia="en-US"/>
              </w:rPr>
            </w:pPr>
            <w:r w:rsidRPr="00980D3E">
              <w:rPr>
                <w:szCs w:val="20"/>
              </w:rPr>
              <w:t>5.0 (3.0, 6.4)</w:t>
            </w:r>
          </w:p>
        </w:tc>
        <w:tc>
          <w:tcPr>
            <w:tcW w:w="941" w:type="pct"/>
            <w:vAlign w:val="center"/>
          </w:tcPr>
          <w:p w:rsidR="00656F4A" w:rsidRPr="00980D3E" w:rsidRDefault="00656F4A" w:rsidP="00282E00">
            <w:pPr>
              <w:pStyle w:val="TableText0"/>
              <w:jc w:val="center"/>
              <w:rPr>
                <w:rFonts w:cs="Times New Roman"/>
                <w:szCs w:val="20"/>
                <w:lang w:eastAsia="en-US"/>
              </w:rPr>
            </w:pPr>
            <w:r w:rsidRPr="00980D3E">
              <w:rPr>
                <w:szCs w:val="20"/>
              </w:rPr>
              <w:t>2.0 (1.7, 3.0)</w:t>
            </w:r>
          </w:p>
        </w:tc>
        <w:tc>
          <w:tcPr>
            <w:tcW w:w="551" w:type="pct"/>
            <w:vAlign w:val="center"/>
          </w:tcPr>
          <w:p w:rsidR="00656F4A" w:rsidRPr="00980D3E" w:rsidRDefault="00656F4A" w:rsidP="00282E00">
            <w:pPr>
              <w:pStyle w:val="TableText0"/>
              <w:jc w:val="center"/>
              <w:rPr>
                <w:rFonts w:cstheme="minorBidi"/>
                <w:szCs w:val="20"/>
                <w:lang w:eastAsia="en-US"/>
              </w:rPr>
            </w:pPr>
            <w:r w:rsidRPr="00980D3E">
              <w:rPr>
                <w:szCs w:val="20"/>
              </w:rPr>
              <w:t>3.0</w:t>
            </w:r>
          </w:p>
        </w:tc>
        <w:tc>
          <w:tcPr>
            <w:tcW w:w="914" w:type="pct"/>
            <w:vMerge/>
            <w:vAlign w:val="center"/>
          </w:tcPr>
          <w:p w:rsidR="00656F4A" w:rsidRPr="00980D3E" w:rsidRDefault="00656F4A" w:rsidP="00282E00">
            <w:pPr>
              <w:keepNext/>
              <w:widowControl w:val="0"/>
              <w:jc w:val="center"/>
              <w:rPr>
                <w:rFonts w:ascii="Arial Narrow" w:eastAsiaTheme="minorHAnsi" w:hAnsi="Arial Narrow" w:cstheme="minorBidi"/>
                <w:sz w:val="20"/>
                <w:szCs w:val="20"/>
                <w:lang w:eastAsia="en-US"/>
              </w:rPr>
            </w:pPr>
          </w:p>
        </w:tc>
      </w:tr>
      <w:tr w:rsidR="00656F4A" w:rsidRPr="00980D3E" w:rsidTr="00430DBB">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656F4A" w:rsidRPr="00980D3E" w:rsidRDefault="00656F4A" w:rsidP="00282E00">
            <w:pPr>
              <w:keepNext/>
              <w:widowControl w:val="0"/>
              <w:jc w:val="left"/>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 not progressed at 6 months (95% CI)</w:t>
            </w:r>
          </w:p>
        </w:tc>
        <w:tc>
          <w:tcPr>
            <w:tcW w:w="944" w:type="pct"/>
            <w:vAlign w:val="center"/>
          </w:tcPr>
          <w:p w:rsidR="00656F4A" w:rsidRPr="00980D3E" w:rsidRDefault="00656F4A" w:rsidP="00282E00">
            <w:pPr>
              <w:pStyle w:val="TableText0"/>
              <w:jc w:val="center"/>
              <w:rPr>
                <w:rFonts w:cstheme="minorBidi"/>
                <w:szCs w:val="20"/>
                <w:lang w:eastAsia="en-US"/>
              </w:rPr>
            </w:pPr>
            <w:r w:rsidRPr="00980D3E">
              <w:rPr>
                <w:rFonts w:cs="Arial"/>
                <w:szCs w:val="20"/>
              </w:rPr>
              <w:t>42.6</w:t>
            </w:r>
            <w:r w:rsidR="00430DBB" w:rsidRPr="00980D3E">
              <w:rPr>
                <w:rFonts w:cs="Arial"/>
                <w:szCs w:val="20"/>
              </w:rPr>
              <w:t>%</w:t>
            </w:r>
            <w:r w:rsidRPr="00980D3E">
              <w:rPr>
                <w:rFonts w:cs="Arial"/>
                <w:szCs w:val="20"/>
              </w:rPr>
              <w:t xml:space="preserve"> (32.6, 52.6)</w:t>
            </w:r>
          </w:p>
        </w:tc>
        <w:tc>
          <w:tcPr>
            <w:tcW w:w="941" w:type="pct"/>
            <w:vAlign w:val="center"/>
          </w:tcPr>
          <w:p w:rsidR="00656F4A" w:rsidRPr="00980D3E" w:rsidRDefault="00656F4A" w:rsidP="00282E00">
            <w:pPr>
              <w:pStyle w:val="TableText0"/>
              <w:jc w:val="center"/>
              <w:rPr>
                <w:rFonts w:cstheme="minorBidi"/>
                <w:szCs w:val="20"/>
                <w:lang w:eastAsia="en-US"/>
              </w:rPr>
            </w:pPr>
            <w:r w:rsidRPr="00980D3E">
              <w:rPr>
                <w:rFonts w:cs="Arial"/>
                <w:szCs w:val="20"/>
              </w:rPr>
              <w:t>19.7</w:t>
            </w:r>
            <w:r w:rsidR="00430DBB" w:rsidRPr="00980D3E">
              <w:rPr>
                <w:rFonts w:cs="Arial"/>
                <w:szCs w:val="20"/>
              </w:rPr>
              <w:t>%</w:t>
            </w:r>
            <w:r w:rsidRPr="00980D3E">
              <w:rPr>
                <w:rFonts w:cs="Arial"/>
                <w:szCs w:val="20"/>
              </w:rPr>
              <w:t xml:space="preserve"> (7.2, 32.2)</w:t>
            </w:r>
          </w:p>
        </w:tc>
        <w:tc>
          <w:tcPr>
            <w:tcW w:w="551" w:type="pct"/>
            <w:vAlign w:val="center"/>
          </w:tcPr>
          <w:p w:rsidR="00656F4A" w:rsidRPr="00980D3E" w:rsidRDefault="00656F4A" w:rsidP="00282E00">
            <w:pPr>
              <w:pStyle w:val="TableText0"/>
              <w:jc w:val="center"/>
              <w:rPr>
                <w:rFonts w:cstheme="minorBidi"/>
                <w:szCs w:val="20"/>
                <w:lang w:eastAsia="en-US"/>
              </w:rPr>
            </w:pPr>
            <w:r w:rsidRPr="00980D3E">
              <w:rPr>
                <w:rFonts w:cs="Arial"/>
                <w:szCs w:val="20"/>
              </w:rPr>
              <w:t>22.9%</w:t>
            </w:r>
          </w:p>
        </w:tc>
        <w:tc>
          <w:tcPr>
            <w:tcW w:w="914" w:type="pct"/>
            <w:vMerge/>
            <w:tcBorders>
              <w:bottom w:val="single" w:sz="4" w:space="0" w:color="auto"/>
            </w:tcBorders>
            <w:vAlign w:val="center"/>
          </w:tcPr>
          <w:p w:rsidR="00656F4A" w:rsidRPr="00980D3E" w:rsidRDefault="00656F4A" w:rsidP="00282E00">
            <w:pPr>
              <w:keepNext/>
              <w:widowControl w:val="0"/>
              <w:jc w:val="center"/>
              <w:rPr>
                <w:rFonts w:ascii="Arial Narrow" w:eastAsiaTheme="minorHAnsi" w:hAnsi="Arial Narrow" w:cstheme="minorBidi"/>
                <w:sz w:val="20"/>
                <w:szCs w:val="20"/>
                <w:lang w:eastAsia="en-US"/>
              </w:rPr>
            </w:pPr>
          </w:p>
        </w:tc>
      </w:tr>
      <w:tr w:rsidR="00690750" w:rsidRPr="00980D3E" w:rsidTr="007F0BDF">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left"/>
              <w:rPr>
                <w:rFonts w:ascii="Arial Narrow" w:eastAsiaTheme="minorHAnsi" w:hAnsi="Arial Narrow" w:cstheme="minorBidi"/>
                <w:b/>
                <w:sz w:val="20"/>
                <w:szCs w:val="20"/>
                <w:lang w:eastAsia="en-US"/>
              </w:rPr>
            </w:pPr>
            <w:r w:rsidRPr="00980D3E">
              <w:rPr>
                <w:rFonts w:ascii="Arial Narrow" w:eastAsiaTheme="minorHAnsi" w:hAnsi="Arial Narrow" w:cstheme="minorBidi"/>
                <w:b/>
                <w:sz w:val="20"/>
                <w:szCs w:val="20"/>
                <w:lang w:eastAsia="en-US"/>
              </w:rPr>
              <w:t>OS, two-stage method crossover adj</w:t>
            </w:r>
            <w:r w:rsidR="004860C9" w:rsidRPr="00980D3E">
              <w:rPr>
                <w:rFonts w:ascii="Arial Narrow" w:eastAsiaTheme="minorHAnsi" w:hAnsi="Arial Narrow" w:cstheme="minorBidi"/>
                <w:b/>
                <w:sz w:val="20"/>
                <w:szCs w:val="20"/>
                <w:lang w:eastAsia="en-US"/>
              </w:rPr>
              <w:t>ustment</w:t>
            </w:r>
            <w:r w:rsidR="001D571B" w:rsidRPr="00980D3E">
              <w:rPr>
                <w:rFonts w:ascii="Arial Narrow" w:eastAsiaTheme="minorHAnsi" w:hAnsi="Arial Narrow" w:cstheme="minorBidi"/>
                <w:b/>
                <w:sz w:val="20"/>
                <w:szCs w:val="20"/>
                <w:vertAlign w:val="superscript"/>
                <w:lang w:eastAsia="en-US"/>
              </w:rPr>
              <w:t xml:space="preserve"> a</w:t>
            </w:r>
          </w:p>
        </w:tc>
      </w:tr>
      <w:tr w:rsidR="00430DBB" w:rsidRPr="00980D3E" w:rsidTr="00167A7E">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30DBB" w:rsidRPr="00980D3E" w:rsidRDefault="00430DBB" w:rsidP="00690750">
            <w:pPr>
              <w:keepNext/>
              <w:widowControl w:val="0"/>
              <w:jc w:val="left"/>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 xml:space="preserve">Deaths, n/N (%) </w:t>
            </w:r>
          </w:p>
        </w:tc>
        <w:tc>
          <w:tcPr>
            <w:tcW w:w="944"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123/171 (71.9%)</w:t>
            </w:r>
          </w:p>
        </w:tc>
        <w:tc>
          <w:tcPr>
            <w:tcW w:w="941"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72/84 (85.7%)</w:t>
            </w:r>
          </w:p>
        </w:tc>
        <w:tc>
          <w:tcPr>
            <w:tcW w:w="551"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p>
        </w:tc>
        <w:tc>
          <w:tcPr>
            <w:tcW w:w="914" w:type="pct"/>
            <w:vMerge w:val="restart"/>
            <w:tcBorders>
              <w:top w:val="single" w:sz="4" w:space="0" w:color="auto"/>
              <w:left w:val="single" w:sz="4" w:space="0" w:color="auto"/>
              <w:right w:val="single" w:sz="4" w:space="0" w:color="auto"/>
            </w:tcBorders>
            <w:vAlign w:val="center"/>
          </w:tcPr>
          <w:p w:rsidR="00430DBB" w:rsidRPr="00980D3E" w:rsidRDefault="00430DBB" w:rsidP="00690750">
            <w:pPr>
              <w:keepNext/>
              <w:jc w:val="center"/>
              <w:rPr>
                <w:rFonts w:ascii="Arial Narrow" w:eastAsiaTheme="minorHAnsi" w:hAnsi="Arial Narrow" w:cstheme="minorBidi"/>
                <w:sz w:val="20"/>
                <w:szCs w:val="20"/>
                <w:lang w:eastAsia="en-US"/>
              </w:rPr>
            </w:pPr>
            <w:r w:rsidRPr="00980D3E">
              <w:rPr>
                <w:rFonts w:ascii="Arial Narrow" w:eastAsiaTheme="minorHAnsi" w:hAnsi="Arial Narrow" w:cstheme="minorBidi"/>
                <w:b/>
                <w:sz w:val="20"/>
                <w:szCs w:val="20"/>
                <w:lang w:eastAsia="en-US"/>
              </w:rPr>
              <w:t>0.67 (0.50, 0.90)</w:t>
            </w:r>
          </w:p>
          <w:p w:rsidR="00430DBB" w:rsidRPr="00980D3E" w:rsidRDefault="00430DBB" w:rsidP="00690750">
            <w:pPr>
              <w:keepNext/>
              <w:widowControl w:val="0"/>
              <w:jc w:val="center"/>
              <w:rPr>
                <w:rFonts w:ascii="Arial Narrow" w:eastAsiaTheme="minorHAnsi" w:hAnsi="Arial Narrow" w:cstheme="minorBidi"/>
                <w:b/>
                <w:sz w:val="20"/>
                <w:szCs w:val="20"/>
                <w:lang w:eastAsia="en-US"/>
              </w:rPr>
            </w:pPr>
            <w:r w:rsidRPr="00980D3E">
              <w:rPr>
                <w:rFonts w:ascii="Arial Narrow" w:eastAsiaTheme="minorHAnsi" w:hAnsi="Arial Narrow" w:cstheme="minorBidi"/>
                <w:b/>
                <w:sz w:val="20"/>
                <w:szCs w:val="20"/>
                <w:lang w:eastAsia="en-US"/>
              </w:rPr>
              <w:t>p-value = 0.0069</w:t>
            </w:r>
          </w:p>
        </w:tc>
      </w:tr>
      <w:tr w:rsidR="00430DBB" w:rsidRPr="00980D3E" w:rsidTr="00167A7E">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30DBB" w:rsidRPr="00980D3E" w:rsidRDefault="00430DBB" w:rsidP="00690750">
            <w:pPr>
              <w:keepNext/>
              <w:widowControl w:val="0"/>
              <w:jc w:val="left"/>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Median OS, months (95% CI)</w:t>
            </w:r>
          </w:p>
        </w:tc>
        <w:tc>
          <w:tcPr>
            <w:tcW w:w="944"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11.6 (9.2, 16.1)</w:t>
            </w:r>
          </w:p>
        </w:tc>
        <w:tc>
          <w:tcPr>
            <w:tcW w:w="941"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6.7 (5.7, 9.7)</w:t>
            </w:r>
          </w:p>
        </w:tc>
        <w:tc>
          <w:tcPr>
            <w:tcW w:w="551"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4.9</w:t>
            </w:r>
          </w:p>
        </w:tc>
        <w:tc>
          <w:tcPr>
            <w:tcW w:w="914" w:type="pct"/>
            <w:vMerge/>
            <w:tcBorders>
              <w:left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p>
        </w:tc>
      </w:tr>
      <w:tr w:rsidR="00430DBB" w:rsidRPr="00980D3E" w:rsidTr="00430DBB">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30DBB" w:rsidRPr="00980D3E" w:rsidRDefault="00430DBB" w:rsidP="00690750">
            <w:pPr>
              <w:keepNext/>
              <w:widowControl w:val="0"/>
              <w:jc w:val="left"/>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 xml:space="preserve">% alive at 6 months (95% CI) </w:t>
            </w:r>
          </w:p>
        </w:tc>
        <w:tc>
          <w:tcPr>
            <w:tcW w:w="944"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48.3% (40.4, 56.2)</w:t>
            </w:r>
          </w:p>
        </w:tc>
        <w:tc>
          <w:tcPr>
            <w:tcW w:w="941"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32.9% (22.5, 43.2)</w:t>
            </w:r>
          </w:p>
        </w:tc>
        <w:tc>
          <w:tcPr>
            <w:tcW w:w="551"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15.4%</w:t>
            </w:r>
          </w:p>
        </w:tc>
        <w:tc>
          <w:tcPr>
            <w:tcW w:w="914" w:type="pct"/>
            <w:vMerge/>
            <w:tcBorders>
              <w:left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p>
        </w:tc>
      </w:tr>
      <w:tr w:rsidR="00430DBB" w:rsidRPr="00980D3E" w:rsidTr="00430DBB">
        <w:trPr>
          <w:trHeight w:val="20"/>
        </w:trPr>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30DBB" w:rsidRPr="00980D3E" w:rsidRDefault="00430DBB" w:rsidP="00690750">
            <w:pPr>
              <w:keepNext/>
              <w:widowControl w:val="0"/>
              <w:jc w:val="left"/>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 alive at 12 months (95% CI)</w:t>
            </w:r>
          </w:p>
        </w:tc>
        <w:tc>
          <w:tcPr>
            <w:tcW w:w="944"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30.8% (23.3, 38.3)</w:t>
            </w:r>
          </w:p>
        </w:tc>
        <w:tc>
          <w:tcPr>
            <w:tcW w:w="941"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13.4% (5.5, 21.3)</w:t>
            </w:r>
          </w:p>
        </w:tc>
        <w:tc>
          <w:tcPr>
            <w:tcW w:w="551" w:type="pct"/>
            <w:tcBorders>
              <w:top w:val="single" w:sz="4" w:space="0" w:color="auto"/>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17.4%</w:t>
            </w:r>
          </w:p>
        </w:tc>
        <w:tc>
          <w:tcPr>
            <w:tcW w:w="914" w:type="pct"/>
            <w:vMerge/>
            <w:tcBorders>
              <w:left w:val="single" w:sz="4" w:space="0" w:color="auto"/>
              <w:bottom w:val="single" w:sz="4" w:space="0" w:color="auto"/>
              <w:right w:val="single" w:sz="4" w:space="0" w:color="auto"/>
            </w:tcBorders>
            <w:vAlign w:val="center"/>
          </w:tcPr>
          <w:p w:rsidR="00430DBB" w:rsidRPr="00980D3E" w:rsidRDefault="00430DBB" w:rsidP="00690750">
            <w:pPr>
              <w:keepNext/>
              <w:widowControl w:val="0"/>
              <w:jc w:val="center"/>
              <w:rPr>
                <w:rFonts w:ascii="Arial Narrow" w:eastAsiaTheme="minorHAnsi" w:hAnsi="Arial Narrow" w:cstheme="minorBidi"/>
                <w:sz w:val="20"/>
                <w:szCs w:val="20"/>
                <w:lang w:eastAsia="en-US"/>
              </w:rPr>
            </w:pPr>
          </w:p>
        </w:tc>
      </w:tr>
    </w:tbl>
    <w:tbl>
      <w:tblPr>
        <w:tblW w:w="5000" w:type="pct"/>
        <w:tblCellMar>
          <w:left w:w="28" w:type="dxa"/>
          <w:right w:w="28" w:type="dxa"/>
        </w:tblCellMar>
        <w:tblLook w:val="04A0" w:firstRow="1" w:lastRow="0" w:firstColumn="1" w:lastColumn="0" w:noHBand="0" w:noVBand="1"/>
      </w:tblPr>
      <w:tblGrid>
        <w:gridCol w:w="1524"/>
        <w:gridCol w:w="1019"/>
        <w:gridCol w:w="988"/>
        <w:gridCol w:w="1710"/>
        <w:gridCol w:w="1136"/>
        <w:gridCol w:w="1105"/>
        <w:gridCol w:w="1535"/>
      </w:tblGrid>
      <w:tr w:rsidR="00690750" w:rsidRPr="00980D3E" w:rsidTr="007F0BDF">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 xml:space="preserve">Harms </w:t>
            </w:r>
          </w:p>
        </w:tc>
      </w:tr>
      <w:tr w:rsidR="00690750" w:rsidRPr="00980D3E" w:rsidTr="00430DBB">
        <w:trPr>
          <w:trHeight w:val="70"/>
        </w:trPr>
        <w:tc>
          <w:tcPr>
            <w:tcW w:w="84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rPr>
                <w:rFonts w:ascii="Arial Narrow" w:hAnsi="Arial Narrow"/>
                <w:b/>
                <w:snapToGrid w:val="0"/>
                <w:color w:val="000000"/>
                <w:sz w:val="20"/>
                <w:szCs w:val="20"/>
                <w:lang w:eastAsia="en-US"/>
              </w:rPr>
            </w:pPr>
          </w:p>
        </w:tc>
        <w:tc>
          <w:tcPr>
            <w:tcW w:w="565" w:type="pct"/>
            <w:vMerge w:val="restar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 xml:space="preserve">Plitidepsin + </w:t>
            </w:r>
            <w:r w:rsidR="00C50AE9" w:rsidRPr="00980D3E">
              <w:rPr>
                <w:rFonts w:ascii="Arial Narrow" w:hAnsi="Arial Narrow"/>
                <w:b/>
                <w:snapToGrid w:val="0"/>
                <w:color w:val="000000"/>
                <w:sz w:val="20"/>
                <w:szCs w:val="20"/>
                <w:lang w:eastAsia="en-US"/>
              </w:rPr>
              <w:t>Dxm</w:t>
            </w:r>
            <w:r w:rsidR="00430DBB" w:rsidRPr="00980D3E">
              <w:rPr>
                <w:rFonts w:ascii="Arial Narrow" w:hAnsi="Arial Narrow"/>
                <w:b/>
                <w:snapToGrid w:val="0"/>
                <w:color w:val="000000"/>
                <w:sz w:val="20"/>
                <w:szCs w:val="20"/>
                <w:lang w:eastAsia="en-US"/>
              </w:rPr>
              <w:t>,</w:t>
            </w:r>
            <w:r w:rsidRPr="00980D3E">
              <w:rPr>
                <w:rFonts w:ascii="Arial Narrow" w:hAnsi="Arial Narrow"/>
                <w:b/>
                <w:snapToGrid w:val="0"/>
                <w:color w:val="000000"/>
                <w:sz w:val="20"/>
                <w:szCs w:val="20"/>
                <w:lang w:eastAsia="en-US"/>
              </w:rPr>
              <w:t xml:space="preserve"> </w:t>
            </w:r>
          </w:p>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 xml:space="preserve">n/N </w:t>
            </w:r>
            <w:r w:rsidR="00430DBB" w:rsidRPr="00980D3E">
              <w:rPr>
                <w:rFonts w:ascii="Arial Narrow" w:hAnsi="Arial Narrow"/>
                <w:b/>
                <w:snapToGrid w:val="0"/>
                <w:color w:val="000000"/>
                <w:sz w:val="20"/>
                <w:szCs w:val="20"/>
                <w:lang w:eastAsia="en-US"/>
              </w:rPr>
              <w:t>(%)</w:t>
            </w:r>
          </w:p>
        </w:tc>
        <w:tc>
          <w:tcPr>
            <w:tcW w:w="548" w:type="pct"/>
            <w:vMerge w:val="restart"/>
            <w:tcBorders>
              <w:top w:val="single" w:sz="4" w:space="0" w:color="auto"/>
              <w:left w:val="single" w:sz="4" w:space="0" w:color="auto"/>
              <w:bottom w:val="single" w:sz="4" w:space="0" w:color="auto"/>
              <w:right w:val="single" w:sz="4" w:space="0" w:color="auto"/>
            </w:tcBorders>
            <w:vAlign w:val="center"/>
          </w:tcPr>
          <w:p w:rsidR="00690750" w:rsidRPr="00980D3E" w:rsidRDefault="00C50AE9"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Dxm</w:t>
            </w:r>
            <w:r w:rsidR="00430DBB" w:rsidRPr="00980D3E">
              <w:rPr>
                <w:rFonts w:ascii="Arial Narrow" w:hAnsi="Arial Narrow"/>
                <w:b/>
                <w:snapToGrid w:val="0"/>
                <w:color w:val="000000"/>
                <w:sz w:val="20"/>
                <w:szCs w:val="20"/>
                <w:lang w:eastAsia="en-US"/>
              </w:rPr>
              <w:t>,</w:t>
            </w:r>
          </w:p>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n/N</w:t>
            </w:r>
            <w:r w:rsidR="00430DBB" w:rsidRPr="00980D3E">
              <w:rPr>
                <w:rFonts w:ascii="Arial Narrow" w:hAnsi="Arial Narrow"/>
                <w:b/>
                <w:snapToGrid w:val="0"/>
                <w:color w:val="000000"/>
                <w:sz w:val="20"/>
                <w:szCs w:val="20"/>
                <w:lang w:eastAsia="en-US"/>
              </w:rPr>
              <w:t xml:space="preserve"> (%)</w:t>
            </w:r>
          </w:p>
        </w:tc>
        <w:tc>
          <w:tcPr>
            <w:tcW w:w="948" w:type="pct"/>
            <w:vMerge w:val="restar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430DBB">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RR</w:t>
            </w:r>
            <w:r w:rsidR="00430DBB" w:rsidRPr="00980D3E">
              <w:rPr>
                <w:rFonts w:ascii="Arial Narrow" w:hAnsi="Arial Narrow"/>
                <w:b/>
                <w:snapToGrid w:val="0"/>
                <w:color w:val="000000"/>
                <w:sz w:val="20"/>
                <w:szCs w:val="20"/>
                <w:lang w:eastAsia="en-US"/>
              </w:rPr>
              <w:t xml:space="preserve"> </w:t>
            </w:r>
            <w:r w:rsidRPr="00980D3E">
              <w:rPr>
                <w:rFonts w:ascii="Arial Narrow" w:hAnsi="Arial Narrow"/>
                <w:b/>
                <w:snapToGrid w:val="0"/>
                <w:color w:val="000000"/>
                <w:sz w:val="20"/>
                <w:szCs w:val="20"/>
                <w:lang w:eastAsia="en-US"/>
              </w:rPr>
              <w:t>(95% CI)</w:t>
            </w:r>
          </w:p>
        </w:tc>
        <w:tc>
          <w:tcPr>
            <w:tcW w:w="1243" w:type="pct"/>
            <w:gridSpan w:val="2"/>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 xml:space="preserve">Event rate/100 patients </w:t>
            </w:r>
          </w:p>
        </w:tc>
        <w:tc>
          <w:tcPr>
            <w:tcW w:w="852" w:type="pct"/>
            <w:vMerge w:val="restar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430DBB">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RD</w:t>
            </w:r>
            <w:r w:rsidR="00430DBB" w:rsidRPr="00980D3E">
              <w:rPr>
                <w:rFonts w:ascii="Arial Narrow" w:hAnsi="Arial Narrow"/>
                <w:b/>
                <w:snapToGrid w:val="0"/>
                <w:color w:val="000000"/>
                <w:sz w:val="20"/>
                <w:szCs w:val="20"/>
                <w:lang w:eastAsia="en-US"/>
              </w:rPr>
              <w:t xml:space="preserve"> </w:t>
            </w:r>
            <w:r w:rsidRPr="00980D3E">
              <w:rPr>
                <w:rFonts w:ascii="Arial Narrow" w:hAnsi="Arial Narrow"/>
                <w:b/>
                <w:snapToGrid w:val="0"/>
                <w:color w:val="000000"/>
                <w:sz w:val="20"/>
                <w:szCs w:val="20"/>
                <w:lang w:eastAsia="en-US"/>
              </w:rPr>
              <w:t>(95% CI)</w:t>
            </w:r>
          </w:p>
        </w:tc>
      </w:tr>
      <w:tr w:rsidR="00690750" w:rsidRPr="00980D3E" w:rsidTr="00430DBB">
        <w:trPr>
          <w:trHeight w:val="390"/>
        </w:trPr>
        <w:tc>
          <w:tcPr>
            <w:tcW w:w="845" w:type="pct"/>
            <w:vMerge/>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rPr>
                <w:rFonts w:ascii="Arial Narrow" w:hAnsi="Arial Narrow"/>
                <w:b/>
                <w:snapToGrid w:val="0"/>
                <w:color w:val="000000"/>
                <w:sz w:val="20"/>
                <w:szCs w:val="20"/>
                <w:lang w:eastAsia="en-US"/>
              </w:rPr>
            </w:pPr>
          </w:p>
        </w:tc>
        <w:tc>
          <w:tcPr>
            <w:tcW w:w="565" w:type="pct"/>
            <w:vMerge/>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p>
        </w:tc>
        <w:tc>
          <w:tcPr>
            <w:tcW w:w="548" w:type="pct"/>
            <w:vMerge/>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p>
        </w:tc>
        <w:tc>
          <w:tcPr>
            <w:tcW w:w="630"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 xml:space="preserve">Plitidepsin + </w:t>
            </w:r>
            <w:r w:rsidR="00C50AE9" w:rsidRPr="00980D3E">
              <w:rPr>
                <w:rFonts w:ascii="Arial Narrow" w:hAnsi="Arial Narrow"/>
                <w:b/>
                <w:snapToGrid w:val="0"/>
                <w:color w:val="000000"/>
                <w:sz w:val="20"/>
                <w:szCs w:val="20"/>
                <w:lang w:eastAsia="en-US"/>
              </w:rPr>
              <w:t>Dxm</w:t>
            </w:r>
          </w:p>
        </w:tc>
        <w:tc>
          <w:tcPr>
            <w:tcW w:w="613" w:type="pct"/>
            <w:tcBorders>
              <w:top w:val="single" w:sz="4" w:space="0" w:color="auto"/>
              <w:left w:val="single" w:sz="4" w:space="0" w:color="auto"/>
              <w:bottom w:val="single" w:sz="4" w:space="0" w:color="auto"/>
              <w:right w:val="single" w:sz="4" w:space="0" w:color="auto"/>
            </w:tcBorders>
            <w:vAlign w:val="center"/>
          </w:tcPr>
          <w:p w:rsidR="00690750" w:rsidRPr="00980D3E" w:rsidRDefault="00C50AE9"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Dxm</w:t>
            </w:r>
          </w:p>
        </w:tc>
        <w:tc>
          <w:tcPr>
            <w:tcW w:w="852" w:type="pct"/>
            <w:vMerge/>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p>
        </w:tc>
      </w:tr>
      <w:tr w:rsidR="00690750" w:rsidRPr="00980D3E" w:rsidTr="007F0BDF">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Any Grade</w:t>
            </w:r>
          </w:p>
        </w:tc>
      </w:tr>
      <w:tr w:rsidR="00690750" w:rsidRPr="00980D3E" w:rsidTr="00430DBB">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Nausea</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eastAsiaTheme="minorHAnsi" w:hAnsi="Arial Narrow" w:cstheme="minorBidi"/>
                <w:sz w:val="20"/>
                <w:szCs w:val="20"/>
                <w:lang w:eastAsia="en-US"/>
              </w:rPr>
              <w:t>62/167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eastAsiaTheme="minorHAnsi" w:hAnsi="Arial Narrow" w:cstheme="minorBidi"/>
                <w:sz w:val="20"/>
                <w:szCs w:val="20"/>
                <w:lang w:eastAsia="en-US"/>
              </w:rPr>
              <w:t>9/83</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eastAsiaTheme="minorHAnsi" w:hAnsi="Arial Narrow" w:cstheme="minorBidi"/>
                <w:b/>
                <w:sz w:val="20"/>
                <w:szCs w:val="20"/>
                <w:lang w:eastAsia="en-US"/>
              </w:rPr>
              <w:t>3.42 (1.79, 6.54)</w:t>
            </w:r>
          </w:p>
        </w:tc>
        <w:tc>
          <w:tcPr>
            <w:tcW w:w="630"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37.1</w:t>
            </w:r>
          </w:p>
        </w:tc>
        <w:tc>
          <w:tcPr>
            <w:tcW w:w="613"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10.8</w:t>
            </w:r>
          </w:p>
        </w:tc>
        <w:tc>
          <w:tcPr>
            <w:tcW w:w="852"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0.26 (0.15, 0.37)</w:t>
            </w:r>
          </w:p>
        </w:tc>
      </w:tr>
      <w:tr w:rsidR="00690750" w:rsidRPr="00980D3E" w:rsidTr="00430DBB">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Fatigue</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61/167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heme="minorBidi"/>
                <w:sz w:val="20"/>
                <w:szCs w:val="20"/>
                <w:lang w:eastAsia="en-US"/>
              </w:rPr>
              <w:t>7/83</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eastAsiaTheme="minorHAnsi" w:hAnsi="Arial Narrow" w:cstheme="minorBidi"/>
                <w:b/>
                <w:sz w:val="20"/>
                <w:szCs w:val="20"/>
                <w:lang w:eastAsia="en-US"/>
              </w:rPr>
            </w:pPr>
            <w:r w:rsidRPr="00980D3E">
              <w:rPr>
                <w:rFonts w:ascii="Arial Narrow" w:eastAsiaTheme="minorHAnsi" w:hAnsi="Arial Narrow" w:cstheme="minorBidi"/>
                <w:b/>
                <w:sz w:val="20"/>
                <w:szCs w:val="20"/>
                <w:lang w:eastAsia="en-US"/>
              </w:rPr>
              <w:t>4.33 (2.07, 9.05)</w:t>
            </w:r>
          </w:p>
        </w:tc>
        <w:tc>
          <w:tcPr>
            <w:tcW w:w="630"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36.5</w:t>
            </w:r>
          </w:p>
        </w:tc>
        <w:tc>
          <w:tcPr>
            <w:tcW w:w="613"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8.4</w:t>
            </w:r>
          </w:p>
        </w:tc>
        <w:tc>
          <w:tcPr>
            <w:tcW w:w="852"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0.28 (0.17, 0.39)</w:t>
            </w:r>
          </w:p>
        </w:tc>
      </w:tr>
      <w:tr w:rsidR="00690750" w:rsidRPr="00980D3E" w:rsidTr="00430DBB">
        <w:tc>
          <w:tcPr>
            <w:tcW w:w="845" w:type="pct"/>
            <w:tcBorders>
              <w:top w:val="single" w:sz="4" w:space="0" w:color="auto"/>
              <w:left w:val="single" w:sz="4" w:space="0" w:color="auto"/>
              <w:bottom w:val="single" w:sz="4" w:space="0" w:color="auto"/>
              <w:right w:val="single" w:sz="4" w:space="0" w:color="auto"/>
            </w:tcBorders>
            <w:shd w:val="clear" w:color="auto" w:fill="auto"/>
          </w:tcPr>
          <w:p w:rsidR="00690750" w:rsidRPr="00980D3E" w:rsidRDefault="00690750" w:rsidP="00690750">
            <w:pPr>
              <w:keepNext/>
              <w:widowControl w:val="0"/>
              <w:rPr>
                <w:rFonts w:ascii="Arial Narrow" w:hAnsi="Arial Narrow"/>
                <w:snapToGrid w:val="0"/>
                <w:color w:val="000000"/>
                <w:sz w:val="20"/>
                <w:szCs w:val="20"/>
                <w:lang w:eastAsia="en-US"/>
              </w:rPr>
            </w:pPr>
            <w:r w:rsidRPr="00980D3E">
              <w:rPr>
                <w:rFonts w:ascii="Arial Narrow" w:hAnsi="Arial Narrow" w:cs="Times New Roman"/>
                <w:sz w:val="20"/>
                <w:szCs w:val="20"/>
                <w:lang w:eastAsia="en-US"/>
              </w:rPr>
              <w:t>Vomiting</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imes New Roman"/>
                <w:iCs/>
                <w:sz w:val="20"/>
                <w:szCs w:val="20"/>
                <w:lang w:eastAsia="en-US"/>
              </w:rPr>
              <w:t>28/167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eastAsiaTheme="minorHAnsi" w:hAnsi="Arial Narrow" w:cstheme="minorBidi"/>
                <w:sz w:val="20"/>
                <w:szCs w:val="20"/>
                <w:lang w:eastAsia="en-US"/>
              </w:rPr>
            </w:pPr>
            <w:r w:rsidRPr="00980D3E">
              <w:rPr>
                <w:rFonts w:ascii="Arial Narrow" w:eastAsiaTheme="minorHAnsi" w:hAnsi="Arial Narrow" w:cs="Times New Roman"/>
                <w:iCs/>
                <w:sz w:val="20"/>
                <w:szCs w:val="20"/>
                <w:lang w:eastAsia="en-US"/>
              </w:rPr>
              <w:t>2/83</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jc w:val="center"/>
              <w:rPr>
                <w:rFonts w:ascii="Arial Narrow" w:eastAsiaTheme="minorHAnsi" w:hAnsi="Arial Narrow" w:cstheme="minorBidi"/>
                <w:b/>
                <w:sz w:val="20"/>
                <w:szCs w:val="20"/>
                <w:lang w:eastAsia="en-US"/>
              </w:rPr>
            </w:pPr>
            <w:r w:rsidRPr="00980D3E">
              <w:rPr>
                <w:rFonts w:ascii="Arial Narrow" w:eastAsiaTheme="minorHAnsi" w:hAnsi="Arial Narrow" w:cs="Times New Roman"/>
                <w:b/>
                <w:iCs/>
                <w:sz w:val="20"/>
                <w:szCs w:val="20"/>
                <w:lang w:eastAsia="en-US"/>
              </w:rPr>
              <w:t>6.96 (1.70, 28.51)</w:t>
            </w:r>
          </w:p>
        </w:tc>
        <w:tc>
          <w:tcPr>
            <w:tcW w:w="630"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16.8</w:t>
            </w:r>
          </w:p>
        </w:tc>
        <w:tc>
          <w:tcPr>
            <w:tcW w:w="613"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2.4</w:t>
            </w:r>
          </w:p>
        </w:tc>
        <w:tc>
          <w:tcPr>
            <w:tcW w:w="852"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0.14 (0.07, 0.22)</w:t>
            </w:r>
          </w:p>
        </w:tc>
      </w:tr>
      <w:tr w:rsidR="00690750" w:rsidRPr="00980D3E" w:rsidTr="00430DBB">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Diarrhoea</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eastAsiaTheme="minorHAnsi" w:hAnsi="Arial Narrow" w:cstheme="minorBidi"/>
                <w:sz w:val="20"/>
                <w:szCs w:val="20"/>
                <w:lang w:eastAsia="en-US"/>
              </w:rPr>
              <w:t>24/167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eastAsiaTheme="minorHAnsi" w:hAnsi="Arial Narrow" w:cstheme="minorBidi"/>
                <w:sz w:val="20"/>
                <w:szCs w:val="20"/>
                <w:lang w:eastAsia="en-US"/>
              </w:rPr>
              <w:t>2/83</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eastAsiaTheme="minorHAnsi" w:hAnsi="Arial Narrow" w:cstheme="minorBidi"/>
                <w:b/>
                <w:sz w:val="20"/>
                <w:szCs w:val="20"/>
                <w:lang w:eastAsia="en-US"/>
              </w:rPr>
              <w:t>5.96 (1.44, 24.63)</w:t>
            </w:r>
          </w:p>
        </w:tc>
        <w:tc>
          <w:tcPr>
            <w:tcW w:w="630"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14.4</w:t>
            </w:r>
          </w:p>
        </w:tc>
        <w:tc>
          <w:tcPr>
            <w:tcW w:w="613"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2.4</w:t>
            </w:r>
          </w:p>
        </w:tc>
        <w:tc>
          <w:tcPr>
            <w:tcW w:w="852"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0.12 (0.05, 0.20)</w:t>
            </w:r>
          </w:p>
        </w:tc>
      </w:tr>
      <w:tr w:rsidR="00690750" w:rsidRPr="00980D3E" w:rsidTr="00430DBB">
        <w:tc>
          <w:tcPr>
            <w:tcW w:w="845" w:type="pct"/>
            <w:tcBorders>
              <w:top w:val="single" w:sz="4" w:space="0" w:color="auto"/>
              <w:left w:val="single" w:sz="4" w:space="0" w:color="auto"/>
              <w:bottom w:val="single" w:sz="4" w:space="0" w:color="auto"/>
              <w:right w:val="single" w:sz="4" w:space="0" w:color="auto"/>
            </w:tcBorders>
            <w:shd w:val="clear" w:color="auto" w:fill="auto"/>
          </w:tcPr>
          <w:p w:rsidR="00690750" w:rsidRPr="00980D3E" w:rsidRDefault="00690750" w:rsidP="00690750">
            <w:pPr>
              <w:keepNext/>
              <w:widowControl w:val="0"/>
              <w:rPr>
                <w:rFonts w:ascii="Arial Narrow" w:hAnsi="Arial Narrow"/>
                <w:snapToGrid w:val="0"/>
                <w:color w:val="000000"/>
                <w:sz w:val="20"/>
                <w:szCs w:val="20"/>
                <w:lang w:eastAsia="en-US"/>
              </w:rPr>
            </w:pPr>
            <w:r w:rsidRPr="00980D3E">
              <w:rPr>
                <w:rFonts w:ascii="Arial Narrow" w:hAnsi="Arial Narrow" w:cs="Times New Roman"/>
                <w:sz w:val="20"/>
                <w:szCs w:val="20"/>
                <w:lang w:eastAsia="en-US"/>
              </w:rPr>
              <w:t>Myalgia</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eastAsiaTheme="minorHAnsi" w:hAnsi="Arial Narrow" w:cs="Times New Roman"/>
                <w:iCs/>
                <w:sz w:val="20"/>
                <w:szCs w:val="20"/>
                <w:lang w:eastAsia="en-US"/>
              </w:rPr>
              <w:t>24/167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eastAsiaTheme="minorHAnsi" w:hAnsi="Arial Narrow" w:cs="Times New Roman"/>
                <w:iCs/>
                <w:sz w:val="20"/>
                <w:szCs w:val="20"/>
                <w:lang w:eastAsia="en-US"/>
              </w:rPr>
              <w:t>2/83</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jc w:val="center"/>
              <w:rPr>
                <w:rFonts w:ascii="Arial Narrow" w:hAnsi="Arial Narrow"/>
                <w:b/>
                <w:snapToGrid w:val="0"/>
                <w:color w:val="000000"/>
                <w:sz w:val="20"/>
                <w:szCs w:val="20"/>
                <w:lang w:eastAsia="en-US"/>
              </w:rPr>
            </w:pPr>
            <w:r w:rsidRPr="00980D3E">
              <w:rPr>
                <w:rFonts w:ascii="Arial Narrow" w:eastAsiaTheme="minorHAnsi" w:hAnsi="Arial Narrow" w:cs="Times New Roman"/>
                <w:b/>
                <w:iCs/>
                <w:sz w:val="20"/>
                <w:szCs w:val="20"/>
                <w:lang w:eastAsia="en-US"/>
              </w:rPr>
              <w:t>5.96 (1.44, 24.63)</w:t>
            </w:r>
          </w:p>
        </w:tc>
        <w:tc>
          <w:tcPr>
            <w:tcW w:w="630"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14.4</w:t>
            </w:r>
          </w:p>
        </w:tc>
        <w:tc>
          <w:tcPr>
            <w:tcW w:w="613"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2.4</w:t>
            </w:r>
          </w:p>
        </w:tc>
        <w:tc>
          <w:tcPr>
            <w:tcW w:w="852"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0.12 (0.05, 0.20)</w:t>
            </w:r>
          </w:p>
        </w:tc>
      </w:tr>
      <w:tr w:rsidR="00690750" w:rsidRPr="00980D3E" w:rsidTr="00430DBB">
        <w:tc>
          <w:tcPr>
            <w:tcW w:w="845" w:type="pct"/>
            <w:tcBorders>
              <w:top w:val="single" w:sz="4" w:space="0" w:color="auto"/>
              <w:left w:val="single" w:sz="4" w:space="0" w:color="auto"/>
              <w:bottom w:val="single" w:sz="4" w:space="0" w:color="auto"/>
              <w:right w:val="single" w:sz="4" w:space="0" w:color="auto"/>
            </w:tcBorders>
            <w:shd w:val="clear" w:color="auto" w:fill="auto"/>
          </w:tcPr>
          <w:p w:rsidR="00690750" w:rsidRPr="00980D3E" w:rsidRDefault="00690750" w:rsidP="00690750">
            <w:pPr>
              <w:keepNext/>
              <w:widowControl w:val="0"/>
              <w:rPr>
                <w:rFonts w:ascii="Arial Narrow" w:hAnsi="Arial Narrow" w:cs="Times New Roman"/>
                <w:sz w:val="20"/>
                <w:szCs w:val="20"/>
                <w:lang w:eastAsia="en-US"/>
              </w:rPr>
            </w:pPr>
            <w:r w:rsidRPr="00980D3E">
              <w:rPr>
                <w:rFonts w:ascii="Arial Narrow" w:hAnsi="Arial Narrow" w:cs="Times New Roman"/>
                <w:sz w:val="20"/>
                <w:szCs w:val="20"/>
                <w:lang w:eastAsia="en-US"/>
              </w:rPr>
              <w:t>Decreased appetite</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21/167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2/83</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jc w:val="center"/>
              <w:rPr>
                <w:rFonts w:ascii="Arial Narrow" w:eastAsiaTheme="minorHAnsi" w:hAnsi="Arial Narrow" w:cs="Times New Roman"/>
                <w:b/>
                <w:iCs/>
                <w:sz w:val="20"/>
                <w:szCs w:val="20"/>
                <w:lang w:eastAsia="en-US"/>
              </w:rPr>
            </w:pPr>
            <w:r w:rsidRPr="00980D3E">
              <w:rPr>
                <w:rFonts w:ascii="Arial Narrow" w:hAnsi="Arial Narrow" w:cs="Times New Roman"/>
                <w:b/>
                <w:sz w:val="20"/>
                <w:szCs w:val="20"/>
                <w:lang w:eastAsia="en-US"/>
              </w:rPr>
              <w:t>5.22 (1.25, 21.73)</w:t>
            </w:r>
          </w:p>
        </w:tc>
        <w:tc>
          <w:tcPr>
            <w:tcW w:w="630"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12.5</w:t>
            </w:r>
          </w:p>
        </w:tc>
        <w:tc>
          <w:tcPr>
            <w:tcW w:w="613"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2.4</w:t>
            </w:r>
          </w:p>
        </w:tc>
        <w:tc>
          <w:tcPr>
            <w:tcW w:w="852"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0.10 (0.03, 0.17)</w:t>
            </w:r>
          </w:p>
        </w:tc>
      </w:tr>
      <w:tr w:rsidR="00690750" w:rsidRPr="00980D3E" w:rsidTr="00430DBB">
        <w:tc>
          <w:tcPr>
            <w:tcW w:w="845" w:type="pct"/>
            <w:tcBorders>
              <w:top w:val="single" w:sz="4" w:space="0" w:color="auto"/>
              <w:left w:val="single" w:sz="4" w:space="0" w:color="auto"/>
              <w:bottom w:val="single" w:sz="4" w:space="0" w:color="auto"/>
              <w:right w:val="single" w:sz="4" w:space="0" w:color="auto"/>
            </w:tcBorders>
            <w:shd w:val="clear" w:color="auto" w:fill="auto"/>
          </w:tcPr>
          <w:p w:rsidR="00690750" w:rsidRPr="00980D3E" w:rsidRDefault="00690750" w:rsidP="00690750">
            <w:pPr>
              <w:keepNext/>
              <w:widowControl w:val="0"/>
              <w:rPr>
                <w:rFonts w:ascii="Arial Narrow" w:hAnsi="Arial Narrow" w:cs="Times New Roman"/>
                <w:sz w:val="20"/>
                <w:szCs w:val="20"/>
                <w:lang w:eastAsia="en-US"/>
              </w:rPr>
            </w:pPr>
            <w:r w:rsidRPr="00980D3E">
              <w:rPr>
                <w:rFonts w:ascii="Arial Narrow" w:hAnsi="Arial Narrow" w:cs="Times New Roman"/>
                <w:sz w:val="20"/>
                <w:szCs w:val="20"/>
                <w:lang w:eastAsia="en-US"/>
              </w:rPr>
              <w:t>Oedema peripheral</w:t>
            </w:r>
          </w:p>
        </w:tc>
        <w:tc>
          <w:tcPr>
            <w:tcW w:w="565"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20/167</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widowControl w:val="0"/>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2/83</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tcPr>
          <w:p w:rsidR="00690750" w:rsidRPr="00980D3E" w:rsidRDefault="00690750" w:rsidP="00690750">
            <w:pPr>
              <w:keepNext/>
              <w:jc w:val="center"/>
              <w:rPr>
                <w:rFonts w:ascii="Arial Narrow" w:eastAsiaTheme="minorHAnsi" w:hAnsi="Arial Narrow" w:cs="Times New Roman"/>
                <w:b/>
                <w:iCs/>
                <w:sz w:val="20"/>
                <w:szCs w:val="20"/>
                <w:lang w:eastAsia="en-US"/>
              </w:rPr>
            </w:pPr>
            <w:r w:rsidRPr="00980D3E">
              <w:rPr>
                <w:rFonts w:ascii="Arial Narrow" w:hAnsi="Arial Narrow" w:cs="Times New Roman"/>
                <w:b/>
                <w:sz w:val="20"/>
                <w:szCs w:val="20"/>
                <w:lang w:eastAsia="en-US"/>
              </w:rPr>
              <w:t>4.97 (1.19, 20.76)</w:t>
            </w:r>
          </w:p>
        </w:tc>
        <w:tc>
          <w:tcPr>
            <w:tcW w:w="630"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12.0</w:t>
            </w:r>
          </w:p>
        </w:tc>
        <w:tc>
          <w:tcPr>
            <w:tcW w:w="613"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2.4</w:t>
            </w:r>
          </w:p>
        </w:tc>
        <w:tc>
          <w:tcPr>
            <w:tcW w:w="852"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2B246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0.</w:t>
            </w:r>
            <w:r w:rsidR="002B2460" w:rsidRPr="00980D3E">
              <w:rPr>
                <w:rFonts w:ascii="Arial Narrow" w:hAnsi="Arial Narrow"/>
                <w:b/>
                <w:snapToGrid w:val="0"/>
                <w:color w:val="000000"/>
                <w:sz w:val="20"/>
                <w:szCs w:val="20"/>
                <w:lang w:eastAsia="en-US"/>
              </w:rPr>
              <w:t>09</w:t>
            </w:r>
            <w:r w:rsidRPr="00980D3E">
              <w:rPr>
                <w:rFonts w:ascii="Arial Narrow" w:hAnsi="Arial Narrow"/>
                <w:b/>
                <w:snapToGrid w:val="0"/>
                <w:color w:val="000000"/>
                <w:sz w:val="20"/>
                <w:szCs w:val="20"/>
                <w:lang w:eastAsia="en-US"/>
              </w:rPr>
              <w:t xml:space="preserve"> (0.03, 0.17)</w:t>
            </w:r>
          </w:p>
        </w:tc>
      </w:tr>
      <w:tr w:rsidR="00690750" w:rsidRPr="00980D3E" w:rsidTr="007F0BDF">
        <w:tc>
          <w:tcPr>
            <w:tcW w:w="5000" w:type="pct"/>
            <w:gridSpan w:val="7"/>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left"/>
              <w:rPr>
                <w:rFonts w:ascii="Arial Narrow" w:hAnsi="Arial Narrow"/>
                <w:snapToGrid w:val="0"/>
                <w:color w:val="000000"/>
                <w:sz w:val="20"/>
                <w:szCs w:val="20"/>
                <w:lang w:eastAsia="en-US"/>
              </w:rPr>
            </w:pPr>
            <w:r w:rsidRPr="00980D3E">
              <w:rPr>
                <w:rFonts w:ascii="Arial Narrow" w:hAnsi="Arial Narrow" w:cs="Times New Roman"/>
                <w:sz w:val="20"/>
                <w:szCs w:val="20"/>
                <w:lang w:eastAsia="en-US"/>
              </w:rPr>
              <w:t>Grade 3/4 AE</w:t>
            </w:r>
          </w:p>
        </w:tc>
      </w:tr>
      <w:tr w:rsidR="00690750" w:rsidRPr="00980D3E" w:rsidTr="00430DBB">
        <w:tc>
          <w:tcPr>
            <w:tcW w:w="845"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rPr>
                <w:rFonts w:ascii="Arial Narrow" w:hAnsi="Arial Narrow" w:cs="Times New Roman"/>
                <w:sz w:val="20"/>
                <w:szCs w:val="20"/>
                <w:lang w:eastAsia="en-US"/>
              </w:rPr>
            </w:pPr>
            <w:r w:rsidRPr="00980D3E">
              <w:rPr>
                <w:rFonts w:ascii="Arial Narrow" w:hAnsi="Arial Narrow" w:cs="Times New Roman"/>
                <w:sz w:val="20"/>
                <w:szCs w:val="20"/>
                <w:lang w:eastAsia="en-US"/>
              </w:rPr>
              <w:t>Myalgia</w:t>
            </w:r>
          </w:p>
        </w:tc>
        <w:tc>
          <w:tcPr>
            <w:tcW w:w="565"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18/167</w:t>
            </w:r>
          </w:p>
        </w:tc>
        <w:tc>
          <w:tcPr>
            <w:tcW w:w="548"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eastAsiaTheme="minorHAnsi" w:hAnsi="Arial Narrow" w:cs="Times New Roman"/>
                <w:iCs/>
                <w:sz w:val="20"/>
                <w:szCs w:val="20"/>
                <w:lang w:eastAsia="en-US"/>
              </w:rPr>
            </w:pPr>
            <w:r w:rsidRPr="00980D3E">
              <w:rPr>
                <w:rFonts w:ascii="Arial Narrow" w:eastAsiaTheme="minorHAnsi" w:hAnsi="Arial Narrow" w:cs="Times New Roman"/>
                <w:iCs/>
                <w:sz w:val="20"/>
                <w:szCs w:val="20"/>
                <w:lang w:eastAsia="en-US"/>
              </w:rPr>
              <w:t>1/83</w:t>
            </w:r>
          </w:p>
        </w:tc>
        <w:tc>
          <w:tcPr>
            <w:tcW w:w="948"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jc w:val="center"/>
              <w:rPr>
                <w:rFonts w:ascii="Arial Narrow" w:hAnsi="Arial Narrow" w:cs="Times New Roman"/>
                <w:b/>
                <w:sz w:val="20"/>
                <w:szCs w:val="20"/>
                <w:lang w:eastAsia="en-US"/>
              </w:rPr>
            </w:pPr>
            <w:r w:rsidRPr="00980D3E">
              <w:rPr>
                <w:rFonts w:ascii="Arial Narrow" w:eastAsiaTheme="minorHAnsi" w:hAnsi="Arial Narrow" w:cs="Times New Roman"/>
                <w:b/>
                <w:iCs/>
                <w:sz w:val="20"/>
                <w:szCs w:val="20"/>
                <w:lang w:eastAsia="en-US"/>
              </w:rPr>
              <w:t>8.95 (1.22, 65.87)</w:t>
            </w:r>
          </w:p>
        </w:tc>
        <w:tc>
          <w:tcPr>
            <w:tcW w:w="630"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10.8</w:t>
            </w:r>
          </w:p>
        </w:tc>
        <w:tc>
          <w:tcPr>
            <w:tcW w:w="613"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snapToGrid w:val="0"/>
                <w:color w:val="000000"/>
                <w:sz w:val="20"/>
                <w:szCs w:val="20"/>
                <w:lang w:eastAsia="en-US"/>
              </w:rPr>
            </w:pPr>
            <w:r w:rsidRPr="00980D3E">
              <w:rPr>
                <w:rFonts w:ascii="Arial Narrow" w:hAnsi="Arial Narrow"/>
                <w:snapToGrid w:val="0"/>
                <w:color w:val="000000"/>
                <w:sz w:val="20"/>
                <w:szCs w:val="20"/>
                <w:lang w:eastAsia="en-US"/>
              </w:rPr>
              <w:t>1.2</w:t>
            </w:r>
          </w:p>
        </w:tc>
        <w:tc>
          <w:tcPr>
            <w:tcW w:w="852" w:type="pct"/>
            <w:tcBorders>
              <w:top w:val="single" w:sz="4" w:space="0" w:color="auto"/>
              <w:left w:val="single" w:sz="4" w:space="0" w:color="auto"/>
              <w:bottom w:val="single" w:sz="4" w:space="0" w:color="auto"/>
              <w:right w:val="single" w:sz="4" w:space="0" w:color="auto"/>
            </w:tcBorders>
            <w:vAlign w:val="center"/>
          </w:tcPr>
          <w:p w:rsidR="00690750" w:rsidRPr="00980D3E" w:rsidRDefault="00690750" w:rsidP="00690750">
            <w:pPr>
              <w:keepNext/>
              <w:widowControl w:val="0"/>
              <w:jc w:val="center"/>
              <w:rPr>
                <w:rFonts w:ascii="Arial Narrow" w:hAnsi="Arial Narrow"/>
                <w:b/>
                <w:snapToGrid w:val="0"/>
                <w:color w:val="000000"/>
                <w:sz w:val="20"/>
                <w:szCs w:val="20"/>
                <w:lang w:eastAsia="en-US"/>
              </w:rPr>
            </w:pPr>
            <w:r w:rsidRPr="00980D3E">
              <w:rPr>
                <w:rFonts w:ascii="Arial Narrow" w:hAnsi="Arial Narrow"/>
                <w:b/>
                <w:snapToGrid w:val="0"/>
                <w:color w:val="000000"/>
                <w:sz w:val="20"/>
                <w:szCs w:val="20"/>
                <w:lang w:eastAsia="en-US"/>
              </w:rPr>
              <w:t>0.10 (0.03, 0.16)</w:t>
            </w:r>
          </w:p>
        </w:tc>
      </w:tr>
    </w:tbl>
    <w:p w:rsidR="004860C9" w:rsidRPr="00980D3E" w:rsidRDefault="00690750" w:rsidP="004860C9">
      <w:pPr>
        <w:pStyle w:val="TableFigureFooter"/>
        <w:rPr>
          <w:rFonts w:eastAsia="Calibri"/>
          <w:b/>
        </w:rPr>
      </w:pPr>
      <w:r w:rsidRPr="00980D3E">
        <w:rPr>
          <w:rFonts w:eastAsiaTheme="minorHAnsi" w:cstheme="minorBidi"/>
          <w:lang w:eastAsia="en-US"/>
        </w:rPr>
        <w:t xml:space="preserve">Source: </w:t>
      </w:r>
      <w:r w:rsidR="00147BA0" w:rsidRPr="00980D3E">
        <w:rPr>
          <w:rFonts w:eastAsiaTheme="minorHAnsi" w:cstheme="minorBidi"/>
          <w:lang w:eastAsia="en-US"/>
        </w:rPr>
        <w:t xml:space="preserve">Table 34, p112; </w:t>
      </w:r>
      <w:r w:rsidR="00282E00" w:rsidRPr="00980D3E">
        <w:rPr>
          <w:rFonts w:eastAsia="Calibri"/>
        </w:rPr>
        <w:t>Table 39, p118; Table 41, p41 of the resubmission</w:t>
      </w:r>
      <w:r w:rsidR="004860C9" w:rsidRPr="00980D3E">
        <w:rPr>
          <w:rFonts w:eastAsia="Calibri"/>
        </w:rPr>
        <w:t>;</w:t>
      </w:r>
      <w:r w:rsidR="004860C9" w:rsidRPr="00980D3E">
        <w:rPr>
          <w:snapToGrid/>
          <w:szCs w:val="24"/>
        </w:rPr>
        <w:t xml:space="preserve"> </w:t>
      </w:r>
      <w:r w:rsidR="004860C9" w:rsidRPr="00980D3E">
        <w:rPr>
          <w:rFonts w:eastAsia="Calibri"/>
        </w:rPr>
        <w:t>Table 8, p75 of ADMYRE CSR addendum; and calculated during evaluatio</w:t>
      </w:r>
      <w:r w:rsidR="00414F2E" w:rsidRPr="00980D3E">
        <w:rPr>
          <w:rFonts w:eastAsia="Calibri"/>
        </w:rPr>
        <w:t>n.</w:t>
      </w:r>
    </w:p>
    <w:p w:rsidR="001D571B" w:rsidRPr="00980D3E" w:rsidRDefault="00690750" w:rsidP="001D571B">
      <w:pPr>
        <w:pStyle w:val="TableFigureFooter"/>
        <w:rPr>
          <w:lang w:eastAsia="en-US"/>
        </w:rPr>
      </w:pPr>
      <w:r w:rsidRPr="00980D3E">
        <w:rPr>
          <w:rFonts w:cs="Times New Roman"/>
          <w:szCs w:val="18"/>
          <w:lang w:eastAsia="en-US"/>
        </w:rPr>
        <w:t>AE = adverse events</w:t>
      </w:r>
      <w:r w:rsidRPr="00980D3E">
        <w:rPr>
          <w:lang w:eastAsia="en-US"/>
        </w:rPr>
        <w:t xml:space="preserve">; CI = confidence interval; </w:t>
      </w:r>
      <w:r w:rsidR="00C50AE9" w:rsidRPr="00980D3E">
        <w:rPr>
          <w:lang w:eastAsia="en-US"/>
        </w:rPr>
        <w:t>Dxm</w:t>
      </w:r>
      <w:r w:rsidRPr="00980D3E">
        <w:rPr>
          <w:lang w:eastAsia="en-US"/>
        </w:rPr>
        <w:t xml:space="preserve"> = dexamethasone; </w:t>
      </w:r>
      <w:r w:rsidR="00414F2E" w:rsidRPr="00980D3E">
        <w:rPr>
          <w:lang w:eastAsia="en-US"/>
        </w:rPr>
        <w:t xml:space="preserve">HR = hazard ratio; </w:t>
      </w:r>
      <w:r w:rsidRPr="00980D3E">
        <w:rPr>
          <w:lang w:eastAsia="en-US"/>
        </w:rPr>
        <w:t>IRC = independent review committee; ITT = intention to treatOS = overall survival; PFS = progression free survival; RR = relative risk</w:t>
      </w:r>
      <w:r w:rsidR="00414F2E" w:rsidRPr="00980D3E">
        <w:rPr>
          <w:lang w:eastAsia="en-US"/>
        </w:rPr>
        <w:t>; RD =</w:t>
      </w:r>
      <w:r w:rsidR="002B2460" w:rsidRPr="00980D3E">
        <w:rPr>
          <w:lang w:eastAsia="en-US"/>
        </w:rPr>
        <w:t xml:space="preserve"> </w:t>
      </w:r>
      <w:r w:rsidR="00414F2E" w:rsidRPr="00980D3E">
        <w:rPr>
          <w:lang w:eastAsia="en-US"/>
        </w:rPr>
        <w:t xml:space="preserve">risk difference; </w:t>
      </w:r>
      <w:r w:rsidR="00414F2E" w:rsidRPr="00980D3E">
        <w:rPr>
          <w:rFonts w:eastAsia="Calibri"/>
          <w:b/>
        </w:rPr>
        <w:t>bold</w:t>
      </w:r>
      <w:r w:rsidR="00414F2E" w:rsidRPr="00980D3E">
        <w:rPr>
          <w:rFonts w:eastAsia="Calibri"/>
        </w:rPr>
        <w:t xml:space="preserve"> = statistically significant.</w:t>
      </w:r>
    </w:p>
    <w:p w:rsidR="00592601" w:rsidRPr="00980D3E" w:rsidRDefault="001D571B" w:rsidP="00017312">
      <w:pPr>
        <w:pStyle w:val="TableFigureFooter"/>
        <w:rPr>
          <w:lang w:eastAsia="en-US"/>
        </w:rPr>
      </w:pPr>
      <w:r w:rsidRPr="00980D3E">
        <w:rPr>
          <w:vertAlign w:val="superscript"/>
          <w:lang w:eastAsia="en-US"/>
        </w:rPr>
        <w:t>a</w:t>
      </w:r>
      <w:r w:rsidRPr="00980D3E">
        <w:rPr>
          <w:lang w:eastAsia="en-US"/>
        </w:rPr>
        <w:t xml:space="preserve"> </w:t>
      </w:r>
      <w:r w:rsidR="007B625A" w:rsidRPr="00980D3E">
        <w:rPr>
          <w:lang w:eastAsia="en-US"/>
        </w:rPr>
        <w:t xml:space="preserve">In </w:t>
      </w:r>
      <w:r w:rsidR="00690750" w:rsidRPr="00980D3E">
        <w:rPr>
          <w:lang w:eastAsia="en-US"/>
        </w:rPr>
        <w:t>ADMYRE trial</w:t>
      </w:r>
      <w:r w:rsidR="007B625A" w:rsidRPr="00980D3E">
        <w:rPr>
          <w:lang w:eastAsia="en-US"/>
        </w:rPr>
        <w:t xml:space="preserve">, </w:t>
      </w:r>
      <w:r w:rsidR="00690750" w:rsidRPr="00980D3E">
        <w:rPr>
          <w:lang w:eastAsia="en-US"/>
        </w:rPr>
        <w:t>PFS</w:t>
      </w:r>
      <w:r w:rsidR="007B625A" w:rsidRPr="00980D3E">
        <w:rPr>
          <w:lang w:eastAsia="en-US"/>
        </w:rPr>
        <w:t xml:space="preserve"> - m</w:t>
      </w:r>
      <w:r w:rsidR="00690750" w:rsidRPr="00980D3E">
        <w:rPr>
          <w:lang w:eastAsia="en-US"/>
        </w:rPr>
        <w:t xml:space="preserve">edian duration of follow-up: 17.1 months (Plitidepsin + </w:t>
      </w:r>
      <w:r w:rsidR="00C50AE9" w:rsidRPr="00980D3E">
        <w:rPr>
          <w:lang w:eastAsia="en-US"/>
        </w:rPr>
        <w:t>Dxm</w:t>
      </w:r>
      <w:r w:rsidR="00690750" w:rsidRPr="00980D3E">
        <w:rPr>
          <w:lang w:eastAsia="en-US"/>
        </w:rPr>
        <w:t>) and 20.7 months (</w:t>
      </w:r>
      <w:r w:rsidR="00C50AE9" w:rsidRPr="00980D3E">
        <w:rPr>
          <w:lang w:eastAsia="en-US"/>
        </w:rPr>
        <w:t>Dxm</w:t>
      </w:r>
      <w:r w:rsidR="00690750" w:rsidRPr="00980D3E">
        <w:rPr>
          <w:lang w:eastAsia="en-US"/>
        </w:rPr>
        <w:t xml:space="preserve">); OS </w:t>
      </w:r>
      <w:r w:rsidR="007B625A" w:rsidRPr="00980D3E">
        <w:rPr>
          <w:lang w:eastAsia="en-US"/>
        </w:rPr>
        <w:t>- m</w:t>
      </w:r>
      <w:r w:rsidR="00690750" w:rsidRPr="00980D3E">
        <w:rPr>
          <w:lang w:eastAsia="en-US"/>
        </w:rPr>
        <w:t xml:space="preserve">edian duration of follow up: 33.4 months (Plitidepsin + </w:t>
      </w:r>
      <w:r w:rsidR="00C50AE9" w:rsidRPr="00980D3E">
        <w:rPr>
          <w:lang w:eastAsia="en-US"/>
        </w:rPr>
        <w:t>Dxm</w:t>
      </w:r>
      <w:r w:rsidR="00690750" w:rsidRPr="00980D3E">
        <w:rPr>
          <w:lang w:eastAsia="en-US"/>
        </w:rPr>
        <w:t>) and 36.3 months (</w:t>
      </w:r>
      <w:r w:rsidR="00C50AE9" w:rsidRPr="00980D3E">
        <w:rPr>
          <w:lang w:eastAsia="en-US"/>
        </w:rPr>
        <w:t>Dxm</w:t>
      </w:r>
      <w:r w:rsidR="00690750" w:rsidRPr="00980D3E">
        <w:rPr>
          <w:lang w:eastAsia="en-US"/>
        </w:rPr>
        <w:t>)</w:t>
      </w:r>
      <w:r w:rsidR="00980D3E">
        <w:rPr>
          <w:lang w:eastAsia="en-US"/>
        </w:rPr>
        <w:t xml:space="preserve">. </w:t>
      </w:r>
    </w:p>
    <w:p w:rsidR="00592601" w:rsidRPr="00980D3E" w:rsidRDefault="00592601" w:rsidP="00820C9B">
      <w:pPr>
        <w:pStyle w:val="3-BodyText"/>
        <w:rPr>
          <w:lang w:eastAsia="en-US"/>
        </w:rPr>
      </w:pPr>
      <w:r w:rsidRPr="00980D3E">
        <w:rPr>
          <w:lang w:eastAsia="en-US"/>
        </w:rPr>
        <w:t xml:space="preserve">On the basis of direct evidence presented in the pivotal ADMYRE trial, for every 100 patients treated with plitidepsin + </w:t>
      </w:r>
      <w:r w:rsidR="00C50AE9" w:rsidRPr="00980D3E">
        <w:rPr>
          <w:lang w:eastAsia="en-US"/>
        </w:rPr>
        <w:t>Dxm</w:t>
      </w:r>
      <w:r w:rsidRPr="00980D3E">
        <w:rPr>
          <w:lang w:eastAsia="en-US"/>
        </w:rPr>
        <w:t xml:space="preserve"> in comparison to </w:t>
      </w:r>
      <w:r w:rsidR="00C50AE9" w:rsidRPr="00980D3E">
        <w:rPr>
          <w:lang w:eastAsia="en-US"/>
        </w:rPr>
        <w:t>Dxm</w:t>
      </w:r>
      <w:r w:rsidRPr="00980D3E">
        <w:rPr>
          <w:lang w:eastAsia="en-US"/>
        </w:rPr>
        <w:t xml:space="preserve"> monotherapy and over a median duration of follow-up of 17.1 months (plitidepsin + </w:t>
      </w:r>
      <w:r w:rsidR="00C50AE9" w:rsidRPr="00980D3E">
        <w:rPr>
          <w:lang w:eastAsia="en-US"/>
        </w:rPr>
        <w:t>Dxm</w:t>
      </w:r>
      <w:r w:rsidRPr="00980D3E">
        <w:rPr>
          <w:lang w:eastAsia="en-US"/>
        </w:rPr>
        <w:t xml:space="preserve"> arm) and 20.7 months (</w:t>
      </w:r>
      <w:r w:rsidR="00C50AE9" w:rsidRPr="00980D3E">
        <w:rPr>
          <w:lang w:eastAsia="en-US"/>
        </w:rPr>
        <w:t>Dxm</w:t>
      </w:r>
      <w:r w:rsidRPr="00980D3E">
        <w:rPr>
          <w:lang w:eastAsia="en-US"/>
        </w:rPr>
        <w:t xml:space="preserve"> monotherapy arm):</w:t>
      </w:r>
    </w:p>
    <w:p w:rsidR="00592601" w:rsidRPr="00980D3E" w:rsidRDefault="00592601" w:rsidP="00B77C86">
      <w:pPr>
        <w:widowControl w:val="0"/>
        <w:numPr>
          <w:ilvl w:val="0"/>
          <w:numId w:val="9"/>
        </w:numPr>
        <w:spacing w:after="120"/>
        <w:ind w:left="1077" w:hanging="357"/>
        <w:rPr>
          <w:snapToGrid w:val="0"/>
          <w:szCs w:val="22"/>
          <w:lang w:eastAsia="en-US"/>
        </w:rPr>
      </w:pPr>
      <w:r w:rsidRPr="00980D3E">
        <w:rPr>
          <w:rFonts w:cs="Calibri"/>
        </w:rPr>
        <w:t>Approximately 10 additional patients remained progression-free at 6 months.</w:t>
      </w:r>
    </w:p>
    <w:p w:rsidR="00592601" w:rsidRPr="00980D3E" w:rsidRDefault="00592601" w:rsidP="00B77C86">
      <w:pPr>
        <w:widowControl w:val="0"/>
        <w:numPr>
          <w:ilvl w:val="0"/>
          <w:numId w:val="9"/>
        </w:numPr>
        <w:spacing w:after="120"/>
        <w:ind w:left="1077" w:hanging="357"/>
        <w:rPr>
          <w:snapToGrid w:val="0"/>
          <w:szCs w:val="22"/>
          <w:lang w:eastAsia="en-US"/>
        </w:rPr>
      </w:pPr>
      <w:r w:rsidRPr="00980D3E">
        <w:rPr>
          <w:rFonts w:cs="Calibri"/>
        </w:rPr>
        <w:t>After adjustment for crossover, approximately 15 more patients remained alive at 6 months and 17 more patients at 12 months</w:t>
      </w:r>
    </w:p>
    <w:p w:rsidR="00592601" w:rsidRPr="00980D3E" w:rsidRDefault="00592601" w:rsidP="00B77C86">
      <w:pPr>
        <w:widowControl w:val="0"/>
        <w:numPr>
          <w:ilvl w:val="0"/>
          <w:numId w:val="9"/>
        </w:numPr>
        <w:spacing w:after="120"/>
        <w:ind w:left="1077" w:hanging="357"/>
        <w:rPr>
          <w:snapToGrid w:val="0"/>
          <w:szCs w:val="22"/>
          <w:lang w:eastAsia="en-US"/>
        </w:rPr>
      </w:pPr>
      <w:r w:rsidRPr="00980D3E">
        <w:rPr>
          <w:snapToGrid w:val="0"/>
          <w:szCs w:val="22"/>
          <w:lang w:eastAsia="en-US"/>
        </w:rPr>
        <w:t>Approximately 26 more patients would experience nausea.</w:t>
      </w:r>
    </w:p>
    <w:p w:rsidR="00592601" w:rsidRPr="00980D3E" w:rsidRDefault="00592601" w:rsidP="00B77C86">
      <w:pPr>
        <w:widowControl w:val="0"/>
        <w:numPr>
          <w:ilvl w:val="0"/>
          <w:numId w:val="9"/>
        </w:numPr>
        <w:spacing w:after="120"/>
        <w:ind w:left="1077" w:hanging="357"/>
        <w:rPr>
          <w:snapToGrid w:val="0"/>
          <w:szCs w:val="22"/>
          <w:lang w:eastAsia="en-US"/>
        </w:rPr>
      </w:pPr>
      <w:r w:rsidRPr="00980D3E">
        <w:rPr>
          <w:snapToGrid w:val="0"/>
          <w:szCs w:val="22"/>
          <w:lang w:eastAsia="en-US"/>
        </w:rPr>
        <w:t>Approximately 28 more patients would experience fatigue.</w:t>
      </w:r>
    </w:p>
    <w:p w:rsidR="00592601" w:rsidRPr="00980D3E" w:rsidRDefault="00592601" w:rsidP="00B77C86">
      <w:pPr>
        <w:widowControl w:val="0"/>
        <w:numPr>
          <w:ilvl w:val="0"/>
          <w:numId w:val="9"/>
        </w:numPr>
        <w:spacing w:after="120"/>
        <w:ind w:left="1077" w:hanging="357"/>
        <w:rPr>
          <w:snapToGrid w:val="0"/>
          <w:szCs w:val="22"/>
          <w:lang w:eastAsia="en-US"/>
        </w:rPr>
      </w:pPr>
      <w:r w:rsidRPr="00980D3E">
        <w:rPr>
          <w:snapToGrid w:val="0"/>
          <w:szCs w:val="22"/>
          <w:lang w:eastAsia="en-US"/>
        </w:rPr>
        <w:t>Approximately 14 more patients would have vomiting.</w:t>
      </w:r>
    </w:p>
    <w:p w:rsidR="00592601" w:rsidRPr="00980D3E" w:rsidRDefault="00592601" w:rsidP="00B77C86">
      <w:pPr>
        <w:widowControl w:val="0"/>
        <w:numPr>
          <w:ilvl w:val="0"/>
          <w:numId w:val="9"/>
        </w:numPr>
        <w:spacing w:after="120"/>
        <w:ind w:left="1077" w:hanging="357"/>
        <w:rPr>
          <w:snapToGrid w:val="0"/>
          <w:szCs w:val="22"/>
          <w:lang w:eastAsia="en-US"/>
        </w:rPr>
      </w:pPr>
      <w:r w:rsidRPr="00980D3E">
        <w:rPr>
          <w:snapToGrid w:val="0"/>
          <w:szCs w:val="22"/>
          <w:lang w:eastAsia="en-US"/>
        </w:rPr>
        <w:lastRenderedPageBreak/>
        <w:t>Approximately 12 more patients would have diarrhoea.</w:t>
      </w:r>
    </w:p>
    <w:p w:rsidR="00592601" w:rsidRPr="00980D3E" w:rsidRDefault="00592601" w:rsidP="00B77C86">
      <w:pPr>
        <w:widowControl w:val="0"/>
        <w:numPr>
          <w:ilvl w:val="0"/>
          <w:numId w:val="9"/>
        </w:numPr>
        <w:spacing w:after="120"/>
        <w:ind w:left="1077" w:hanging="357"/>
        <w:rPr>
          <w:snapToGrid w:val="0"/>
          <w:szCs w:val="22"/>
          <w:lang w:eastAsia="en-US"/>
        </w:rPr>
      </w:pPr>
      <w:r w:rsidRPr="00980D3E">
        <w:rPr>
          <w:snapToGrid w:val="0"/>
          <w:szCs w:val="22"/>
          <w:lang w:eastAsia="en-US"/>
        </w:rPr>
        <w:t>Approximately 12 more patients would experience myalgia (muscle pain) of which 10 patients would experience grade 3/4 (more severe) myalgia.</w:t>
      </w:r>
    </w:p>
    <w:p w:rsidR="00592601" w:rsidRPr="00980D3E" w:rsidRDefault="00592601" w:rsidP="00B77C86">
      <w:pPr>
        <w:widowControl w:val="0"/>
        <w:numPr>
          <w:ilvl w:val="0"/>
          <w:numId w:val="9"/>
        </w:numPr>
        <w:spacing w:after="120"/>
        <w:ind w:left="1077" w:hanging="357"/>
        <w:rPr>
          <w:snapToGrid w:val="0"/>
          <w:szCs w:val="22"/>
          <w:lang w:eastAsia="en-US"/>
        </w:rPr>
      </w:pPr>
      <w:r w:rsidRPr="00980D3E">
        <w:rPr>
          <w:snapToGrid w:val="0"/>
          <w:szCs w:val="22"/>
          <w:lang w:eastAsia="en-US"/>
        </w:rPr>
        <w:t>Approximately 10 more patients would have decreased appetite.</w:t>
      </w:r>
    </w:p>
    <w:p w:rsidR="00202C40" w:rsidRPr="00980D3E" w:rsidRDefault="00592601" w:rsidP="00B77C86">
      <w:pPr>
        <w:widowControl w:val="0"/>
        <w:numPr>
          <w:ilvl w:val="0"/>
          <w:numId w:val="9"/>
        </w:numPr>
        <w:spacing w:after="120"/>
        <w:ind w:left="1077" w:hanging="357"/>
        <w:rPr>
          <w:snapToGrid w:val="0"/>
          <w:szCs w:val="22"/>
          <w:lang w:eastAsia="en-US"/>
        </w:rPr>
      </w:pPr>
      <w:r w:rsidRPr="00980D3E">
        <w:rPr>
          <w:snapToGrid w:val="0"/>
          <w:szCs w:val="22"/>
          <w:lang w:eastAsia="en-US"/>
        </w:rPr>
        <w:t>Approximately 9 more patients would have peripheral oedema (swelling of the legs/arms).</w:t>
      </w:r>
    </w:p>
    <w:p w:rsidR="00202C40" w:rsidRPr="00980D3E" w:rsidRDefault="00202C40" w:rsidP="00202C40">
      <w:pPr>
        <w:pStyle w:val="3-BodyText"/>
      </w:pPr>
      <w:r w:rsidRPr="00980D3E">
        <w:t xml:space="preserve">A summary of the comparative benefits and harms is not </w:t>
      </w:r>
      <w:r w:rsidR="00FA6706" w:rsidRPr="00980D3E">
        <w:t xml:space="preserve">presented </w:t>
      </w:r>
      <w:r w:rsidRPr="00980D3E">
        <w:t>for the comparison of plitidepsin with pomalidomide given the non-inferiority claim.</w:t>
      </w:r>
    </w:p>
    <w:p w:rsidR="00B60939" w:rsidRPr="00980D3E" w:rsidRDefault="00B60939" w:rsidP="00E9094A">
      <w:pPr>
        <w:pStyle w:val="4-SubsectionHeading"/>
      </w:pPr>
      <w:bookmarkStart w:id="39" w:name="_Toc22897644"/>
      <w:bookmarkStart w:id="40" w:name="_Toc30490403"/>
      <w:r w:rsidRPr="00980D3E">
        <w:t>Clinical claim</w:t>
      </w:r>
      <w:bookmarkEnd w:id="39"/>
      <w:bookmarkEnd w:id="40"/>
    </w:p>
    <w:p w:rsidR="00AA71C0" w:rsidRPr="00980D3E" w:rsidRDefault="00AA71C0" w:rsidP="00AA71C0">
      <w:pPr>
        <w:pStyle w:val="3-BodyText"/>
        <w:numPr>
          <w:ilvl w:val="0"/>
          <w:numId w:val="0"/>
        </w:numPr>
        <w:ind w:left="720" w:hanging="720"/>
      </w:pPr>
      <w:r w:rsidRPr="00980D3E">
        <w:rPr>
          <w:szCs w:val="22"/>
          <w:u w:val="single"/>
          <w:lang w:eastAsia="en-US"/>
        </w:rPr>
        <w:t>Plitidepsin + Dxm compared with Dxm</w:t>
      </w:r>
      <w:r w:rsidR="00634B20" w:rsidRPr="00980D3E">
        <w:rPr>
          <w:szCs w:val="22"/>
          <w:u w:val="single"/>
          <w:lang w:eastAsia="en-US"/>
        </w:rPr>
        <w:t xml:space="preserve"> (fourth-line setting)</w:t>
      </w:r>
    </w:p>
    <w:p w:rsidR="00811B60" w:rsidRPr="00980D3E" w:rsidRDefault="00D73229" w:rsidP="00811B60">
      <w:pPr>
        <w:pStyle w:val="3-BodyText"/>
      </w:pPr>
      <w:bookmarkStart w:id="41" w:name="_Hlk26959391"/>
      <w:r w:rsidRPr="00980D3E">
        <w:t>T</w:t>
      </w:r>
      <w:r w:rsidR="00811B60" w:rsidRPr="00980D3E">
        <w:t xml:space="preserve">he resubmission described plitidepsin + </w:t>
      </w:r>
      <w:r w:rsidR="00C50AE9" w:rsidRPr="00980D3E">
        <w:t>Dxm</w:t>
      </w:r>
      <w:r w:rsidR="00811B60" w:rsidRPr="00980D3E">
        <w:t xml:space="preserve"> as superior in terms of effectiveness compared with </w:t>
      </w:r>
      <w:r w:rsidR="00C50AE9" w:rsidRPr="00980D3E">
        <w:t>Dxm</w:t>
      </w:r>
      <w:r w:rsidR="00811B60" w:rsidRPr="00980D3E">
        <w:t xml:space="preserve"> monotherapy</w:t>
      </w:r>
      <w:r w:rsidR="005F7472" w:rsidRPr="00980D3E">
        <w:t xml:space="preserve"> (fourth</w:t>
      </w:r>
      <w:r w:rsidR="00430DBB" w:rsidRPr="00980D3E">
        <w:t>-</w:t>
      </w:r>
      <w:r w:rsidR="005F7472" w:rsidRPr="00980D3E">
        <w:t>line setting)</w:t>
      </w:r>
      <w:r w:rsidR="00811B60" w:rsidRPr="00980D3E">
        <w:t xml:space="preserve">. This was </w:t>
      </w:r>
      <w:r w:rsidR="00446DFA" w:rsidRPr="00980D3E">
        <w:t xml:space="preserve">unchanged </w:t>
      </w:r>
      <w:r w:rsidR="002B2460" w:rsidRPr="00980D3E">
        <w:t>from the July 2019 submission. T</w:t>
      </w:r>
      <w:r w:rsidR="00446DFA" w:rsidRPr="00980D3E">
        <w:t>he</w:t>
      </w:r>
      <w:r w:rsidR="00811B60" w:rsidRPr="00980D3E">
        <w:t xml:space="preserve"> PBAC</w:t>
      </w:r>
      <w:r w:rsidR="00446DFA" w:rsidRPr="00980D3E">
        <w:t xml:space="preserve"> previously</w:t>
      </w:r>
      <w:r w:rsidR="00811B60" w:rsidRPr="00980D3E">
        <w:t xml:space="preserve"> considered that the claim of superior comparative effectiveness compared to </w:t>
      </w:r>
      <w:r w:rsidR="00C50AE9" w:rsidRPr="00980D3E">
        <w:t>Dxm</w:t>
      </w:r>
      <w:r w:rsidR="00811B60" w:rsidRPr="00980D3E">
        <w:t xml:space="preserve"> in the fourth-line setting was reasonable for PFS, with a marginal increase in clinical benefit (increase in median PFS of 0.9 months) (</w:t>
      </w:r>
      <w:r w:rsidR="00534072" w:rsidRPr="00980D3E">
        <w:t>paragraph</w:t>
      </w:r>
      <w:r w:rsidR="00811B60" w:rsidRPr="00980D3E">
        <w:t xml:space="preserve"> 6.32, plitidepsin </w:t>
      </w:r>
      <w:r w:rsidR="00534072" w:rsidRPr="00980D3E">
        <w:t>P</w:t>
      </w:r>
      <w:r w:rsidR="00430DBB" w:rsidRPr="00980D3E">
        <w:t>SD</w:t>
      </w:r>
      <w:r w:rsidR="00811B60" w:rsidRPr="00980D3E">
        <w:t xml:space="preserve">, July 2019 PBAC meeting). </w:t>
      </w:r>
      <w:r w:rsidR="00D6086A" w:rsidRPr="00980D3E">
        <w:t xml:space="preserve">Overall, the </w:t>
      </w:r>
      <w:r w:rsidR="008063ED" w:rsidRPr="00980D3E">
        <w:t xml:space="preserve">PBAC </w:t>
      </w:r>
      <w:r w:rsidR="00D6086A" w:rsidRPr="00980D3E">
        <w:t>considered that plitidepsin resulted in an incremental benefit versus Dxm in a small subset of patients who experienced a prolonged response, but that there was no way</w:t>
      </w:r>
      <w:r w:rsidR="00960C96" w:rsidRPr="00980D3E">
        <w:t xml:space="preserve"> to</w:t>
      </w:r>
      <w:r w:rsidR="00D6086A" w:rsidRPr="00980D3E">
        <w:t xml:space="preserve"> target treatment to those patients who were most likely to respond (paragraph 7.6, plitidepsin </w:t>
      </w:r>
      <w:r w:rsidR="00534072" w:rsidRPr="00980D3E">
        <w:t>P</w:t>
      </w:r>
      <w:r w:rsidR="00430DBB" w:rsidRPr="00980D3E">
        <w:t>SD</w:t>
      </w:r>
      <w:r w:rsidR="00D6086A" w:rsidRPr="00980D3E">
        <w:t>, July 2019</w:t>
      </w:r>
      <w:r w:rsidR="000231C8" w:rsidRPr="00980D3E">
        <w:t xml:space="preserve"> PBAC meeting</w:t>
      </w:r>
      <w:r w:rsidR="00D6086A" w:rsidRPr="00980D3E">
        <w:t>).</w:t>
      </w:r>
      <w:r w:rsidR="00AA71C0" w:rsidRPr="00980D3E">
        <w:t xml:space="preserve"> The </w:t>
      </w:r>
      <w:r w:rsidR="00884A2E" w:rsidRPr="00980D3E">
        <w:t>ESC</w:t>
      </w:r>
      <w:r w:rsidR="00AA71C0" w:rsidRPr="00980D3E">
        <w:t xml:space="preserve"> considered that the interpretation of clinical evidence remained unchanged from the July 2019 submission. </w:t>
      </w:r>
      <w:r w:rsidR="001375FC" w:rsidRPr="00980D3E">
        <w:t xml:space="preserve">The </w:t>
      </w:r>
      <w:r w:rsidR="00884A2E" w:rsidRPr="00980D3E">
        <w:t>ESC</w:t>
      </w:r>
      <w:r w:rsidR="001375FC" w:rsidRPr="00980D3E">
        <w:t xml:space="preserve"> noted that the increase in OS was only statistically significant when adjusted for crossover.</w:t>
      </w:r>
    </w:p>
    <w:p w:rsidR="0095721B" w:rsidRPr="00980D3E" w:rsidRDefault="003E0B3D" w:rsidP="00811B60">
      <w:pPr>
        <w:pStyle w:val="3-BodyText"/>
      </w:pPr>
      <w:r w:rsidRPr="00980D3E">
        <w:rPr>
          <w:bCs/>
        </w:rPr>
        <w:t>The PBAC considered that the clinical benefit from PFS with PD confirmation (HR = 0.52; 95% CI: 0.35, 0.76), with an increase in median PFS of 3.0 months, was not reliable as the analysis was a preplanned sensitivity analysis conducted to test the consistency of the primary PFS outcome, PFS without PD confirmation. The PBAC considered that based on the primary outcome of the trial, PFS wit</w:t>
      </w:r>
      <w:r w:rsidR="00A32C07">
        <w:rPr>
          <w:bCs/>
        </w:rPr>
        <w:t>hout PD confirmation, plitideps</w:t>
      </w:r>
      <w:r w:rsidRPr="00980D3E">
        <w:rPr>
          <w:bCs/>
        </w:rPr>
        <w:t>in + Dxm resulted in a marginal increase in clinical benefit over Dxm monotherapy (HR = 0.65; 95% CI 0.48, 0.89; increase in median PFS = 0.9 months).</w:t>
      </w:r>
    </w:p>
    <w:bookmarkEnd w:id="41"/>
    <w:p w:rsidR="00634B20" w:rsidRPr="00980D3E" w:rsidRDefault="001943E2" w:rsidP="0095721B">
      <w:pPr>
        <w:pStyle w:val="3-BodyText"/>
      </w:pPr>
      <w:r w:rsidRPr="00980D3E">
        <w:t xml:space="preserve">The resubmission </w:t>
      </w:r>
      <w:r w:rsidR="008063ED" w:rsidRPr="00980D3E">
        <w:t xml:space="preserve">provided an updated safety claim, </w:t>
      </w:r>
      <w:r w:rsidRPr="00980D3E">
        <w:t>describ</w:t>
      </w:r>
      <w:r w:rsidR="008063ED" w:rsidRPr="00980D3E">
        <w:t>ing</w:t>
      </w:r>
      <w:r w:rsidRPr="00980D3E">
        <w:t xml:space="preserve"> plitidepsin + </w:t>
      </w:r>
      <w:r w:rsidR="00C50AE9" w:rsidRPr="00980D3E">
        <w:t>Dxm</w:t>
      </w:r>
      <w:r w:rsidRPr="00980D3E">
        <w:t xml:space="preserve"> as inferior compared with </w:t>
      </w:r>
      <w:r w:rsidR="00C50AE9" w:rsidRPr="00980D3E">
        <w:t>Dxm</w:t>
      </w:r>
      <w:r w:rsidR="008063ED" w:rsidRPr="00980D3E">
        <w:t xml:space="preserve"> monotherapy</w:t>
      </w:r>
      <w:r w:rsidRPr="00980D3E">
        <w:t xml:space="preserve">. The </w:t>
      </w:r>
      <w:r w:rsidR="008D2375" w:rsidRPr="00980D3E">
        <w:t xml:space="preserve">PBAC agreed with the </w:t>
      </w:r>
      <w:r w:rsidR="00884A2E" w:rsidRPr="00980D3E">
        <w:t>ESC</w:t>
      </w:r>
      <w:r w:rsidR="00AA71C0" w:rsidRPr="00980D3E">
        <w:t xml:space="preserve"> </w:t>
      </w:r>
      <w:r w:rsidR="002B2460" w:rsidRPr="00980D3E">
        <w:t xml:space="preserve">and </w:t>
      </w:r>
      <w:r w:rsidR="00AA71C0" w:rsidRPr="00980D3E">
        <w:t xml:space="preserve">considered that the </w:t>
      </w:r>
      <w:r w:rsidRPr="00980D3E">
        <w:t xml:space="preserve">claim of inferior safety was supported by the evidence </w:t>
      </w:r>
      <w:r w:rsidR="00625EC9" w:rsidRPr="00980D3E">
        <w:t>presented from</w:t>
      </w:r>
      <w:r w:rsidRPr="00980D3E">
        <w:t xml:space="preserve"> the ADMYRE trial. </w:t>
      </w:r>
    </w:p>
    <w:p w:rsidR="00AA71C0" w:rsidRPr="00980D3E" w:rsidRDefault="00AA71C0" w:rsidP="003E0B3D">
      <w:pPr>
        <w:pStyle w:val="3-BodyText"/>
        <w:keepNext/>
        <w:numPr>
          <w:ilvl w:val="0"/>
          <w:numId w:val="0"/>
        </w:numPr>
      </w:pPr>
      <w:r w:rsidRPr="00980D3E">
        <w:rPr>
          <w:u w:val="single"/>
        </w:rPr>
        <w:t>Plitidepsin + Dxm versus pomalidomide + Dxm</w:t>
      </w:r>
      <w:r w:rsidR="00634B20" w:rsidRPr="00980D3E">
        <w:rPr>
          <w:u w:val="single"/>
        </w:rPr>
        <w:t xml:space="preserve"> (third-line setting)</w:t>
      </w:r>
    </w:p>
    <w:p w:rsidR="008063ED" w:rsidRPr="00980D3E" w:rsidRDefault="00600E08" w:rsidP="003E0B3D">
      <w:pPr>
        <w:pStyle w:val="3-BodyText"/>
        <w:keepNext/>
      </w:pPr>
      <w:r w:rsidRPr="00980D3E">
        <w:t xml:space="preserve">The resubmission </w:t>
      </w:r>
      <w:r w:rsidR="00433754" w:rsidRPr="00980D3E">
        <w:t xml:space="preserve">again </w:t>
      </w:r>
      <w:r w:rsidRPr="00980D3E">
        <w:t xml:space="preserve">claimed that plitidepsin + </w:t>
      </w:r>
      <w:r w:rsidR="00C50AE9" w:rsidRPr="00980D3E">
        <w:t>Dxm</w:t>
      </w:r>
      <w:r w:rsidRPr="00980D3E">
        <w:t xml:space="preserve"> </w:t>
      </w:r>
      <w:r w:rsidR="00433754" w:rsidRPr="00980D3E">
        <w:t>wa</w:t>
      </w:r>
      <w:r w:rsidRPr="00980D3E">
        <w:t xml:space="preserve">s </w:t>
      </w:r>
      <w:r w:rsidR="00ED7015" w:rsidRPr="00980D3E">
        <w:t>non-inferior</w:t>
      </w:r>
      <w:r w:rsidR="0033655C" w:rsidRPr="00980D3E">
        <w:t xml:space="preserve"> </w:t>
      </w:r>
      <w:r w:rsidR="00433754" w:rsidRPr="00980D3E">
        <w:t xml:space="preserve">compared to </w:t>
      </w:r>
      <w:r w:rsidR="0033655C" w:rsidRPr="00980D3E">
        <w:t xml:space="preserve">pomalidomide + </w:t>
      </w:r>
      <w:r w:rsidR="00C50AE9" w:rsidRPr="00980D3E">
        <w:t>Dxm</w:t>
      </w:r>
      <w:r w:rsidR="0033655C" w:rsidRPr="00980D3E">
        <w:t xml:space="preserve"> </w:t>
      </w:r>
      <w:r w:rsidR="00433754" w:rsidRPr="00980D3E">
        <w:t xml:space="preserve">in terms of </w:t>
      </w:r>
      <w:r w:rsidR="0033655C" w:rsidRPr="00980D3E">
        <w:t xml:space="preserve">improving </w:t>
      </w:r>
      <w:r w:rsidR="00430DBB" w:rsidRPr="00980D3E">
        <w:t>PFS</w:t>
      </w:r>
      <w:r w:rsidR="0033655C" w:rsidRPr="00980D3E">
        <w:t xml:space="preserve"> and </w:t>
      </w:r>
      <w:r w:rsidR="00430DBB" w:rsidRPr="00980D3E">
        <w:t>OS</w:t>
      </w:r>
      <w:r w:rsidR="0033655C" w:rsidRPr="00980D3E">
        <w:t xml:space="preserve">. </w:t>
      </w:r>
      <w:r w:rsidRPr="00980D3E">
        <w:t xml:space="preserve">The </w:t>
      </w:r>
      <w:r w:rsidR="00884A2E" w:rsidRPr="00980D3E">
        <w:t>ESC</w:t>
      </w:r>
      <w:r w:rsidR="00E04948" w:rsidRPr="00980D3E">
        <w:t xml:space="preserve"> considered that the </w:t>
      </w:r>
      <w:r w:rsidRPr="00980D3E">
        <w:t xml:space="preserve">resubmission’s claim with respect to effectiveness </w:t>
      </w:r>
      <w:r w:rsidR="00CC57FC" w:rsidRPr="00980D3E">
        <w:t xml:space="preserve">could </w:t>
      </w:r>
      <w:r w:rsidRPr="00980D3E">
        <w:t xml:space="preserve">not </w:t>
      </w:r>
      <w:r w:rsidR="00CC57FC" w:rsidRPr="00980D3E">
        <w:t>b</w:t>
      </w:r>
      <w:r w:rsidR="00D6086A" w:rsidRPr="00980D3E">
        <w:t>e</w:t>
      </w:r>
      <w:r w:rsidR="00CC57FC" w:rsidRPr="00980D3E">
        <w:t xml:space="preserve"> </w:t>
      </w:r>
      <w:r w:rsidRPr="00980D3E">
        <w:t>supported</w:t>
      </w:r>
      <w:r w:rsidR="00131520" w:rsidRPr="00980D3E">
        <w:t xml:space="preserve">, particularly </w:t>
      </w:r>
      <w:r w:rsidR="00131520" w:rsidRPr="00980D3E">
        <w:lastRenderedPageBreak/>
        <w:t xml:space="preserve">as the most relevant </w:t>
      </w:r>
      <w:r w:rsidR="002B2460" w:rsidRPr="00980D3E">
        <w:t xml:space="preserve">indirect comparison </w:t>
      </w:r>
      <w:r w:rsidR="00131520" w:rsidRPr="00980D3E">
        <w:t>for PFS, which utilised plitidepsin without PD confirmation, resulted in a</w:t>
      </w:r>
      <w:r w:rsidR="000C7833" w:rsidRPr="00980D3E">
        <w:t xml:space="preserve"> point estimate of 1.33 and an</w:t>
      </w:r>
      <w:r w:rsidR="00131520" w:rsidRPr="00980D3E">
        <w:t xml:space="preserve"> upper 95% confidence interval of the hazard ratio (2.02)</w:t>
      </w:r>
      <w:r w:rsidR="002B2460" w:rsidRPr="00980D3E">
        <w:t xml:space="preserve">, </w:t>
      </w:r>
      <w:r w:rsidR="00DF203C" w:rsidRPr="00980D3E">
        <w:t>indicat</w:t>
      </w:r>
      <w:r w:rsidR="002B2460" w:rsidRPr="00980D3E">
        <w:t>ing</w:t>
      </w:r>
      <w:r w:rsidR="00131520" w:rsidRPr="00980D3E">
        <w:t xml:space="preserve"> that the hazard of progression with plitidepsin could be up to twice that of with pomalidomide</w:t>
      </w:r>
      <w:r w:rsidRPr="00980D3E">
        <w:t xml:space="preserve">. </w:t>
      </w:r>
      <w:r w:rsidR="008063ED" w:rsidRPr="00980D3E">
        <w:t xml:space="preserve">Noting that no new data were presented, </w:t>
      </w:r>
      <w:r w:rsidR="002B2460" w:rsidRPr="00980D3E">
        <w:t xml:space="preserve">the </w:t>
      </w:r>
      <w:r w:rsidR="00433754" w:rsidRPr="00980D3E">
        <w:t xml:space="preserve">PBAC </w:t>
      </w:r>
      <w:r w:rsidR="00E876F5" w:rsidRPr="00980D3E">
        <w:t xml:space="preserve">again </w:t>
      </w:r>
      <w:r w:rsidR="00433754" w:rsidRPr="00980D3E">
        <w:t xml:space="preserve">considered that the claim of non-inferior efficacy was uncertain </w:t>
      </w:r>
      <w:r w:rsidR="00E876F5" w:rsidRPr="00980D3E">
        <w:t xml:space="preserve">and not adequately supported by the data </w:t>
      </w:r>
      <w:r w:rsidR="00433754" w:rsidRPr="00980D3E">
        <w:t xml:space="preserve">as a non-inferiority margin was not proposed, the point estimates of the hazard ratios from the </w:t>
      </w:r>
      <w:r w:rsidR="00430DBB" w:rsidRPr="00980D3E">
        <w:t>indirect comparison</w:t>
      </w:r>
      <w:r w:rsidR="00433754" w:rsidRPr="00980D3E">
        <w:t xml:space="preserve"> favoured </w:t>
      </w:r>
      <w:r w:rsidR="00CC57FC" w:rsidRPr="00980D3E">
        <w:t>pomalidomide</w:t>
      </w:r>
      <w:r w:rsidR="00D068E0" w:rsidRPr="00980D3E">
        <w:t>,</w:t>
      </w:r>
      <w:r w:rsidR="00CC57FC" w:rsidRPr="00980D3E">
        <w:t xml:space="preserve"> and the 95% confidence intervals were wide. </w:t>
      </w:r>
      <w:bookmarkStart w:id="42" w:name="_Hlk27074751"/>
    </w:p>
    <w:p w:rsidR="00402B43" w:rsidRPr="00980D3E" w:rsidRDefault="00192E40" w:rsidP="008063ED">
      <w:pPr>
        <w:pStyle w:val="3-BodyText"/>
      </w:pPr>
      <w:r w:rsidRPr="00980D3E">
        <w:t xml:space="preserve">The resubmission claimed that plitidepsin + </w:t>
      </w:r>
      <w:r w:rsidR="00C50AE9" w:rsidRPr="00980D3E">
        <w:t>Dxm</w:t>
      </w:r>
      <w:r w:rsidRPr="00980D3E">
        <w:t xml:space="preserve"> </w:t>
      </w:r>
      <w:r w:rsidR="003F0760" w:rsidRPr="00980D3E">
        <w:t>was</w:t>
      </w:r>
      <w:r w:rsidRPr="00980D3E">
        <w:t xml:space="preserve"> non-inferior in terms of safety </w:t>
      </w:r>
      <w:r w:rsidR="00430DBB" w:rsidRPr="00980D3E">
        <w:t xml:space="preserve">to </w:t>
      </w:r>
      <w:r w:rsidRPr="00980D3E">
        <w:t xml:space="preserve">pomalidomide + </w:t>
      </w:r>
      <w:r w:rsidR="00C50AE9" w:rsidRPr="00980D3E">
        <w:t>Dxm</w:t>
      </w:r>
      <w:r w:rsidRPr="00980D3E">
        <w:t xml:space="preserve">. </w:t>
      </w:r>
      <w:r w:rsidR="003C73D2" w:rsidRPr="00980D3E">
        <w:t xml:space="preserve">The </w:t>
      </w:r>
      <w:r w:rsidR="00884A2E" w:rsidRPr="00980D3E">
        <w:t>ESC</w:t>
      </w:r>
      <w:r w:rsidR="00E04948" w:rsidRPr="00980D3E">
        <w:t xml:space="preserve"> </w:t>
      </w:r>
      <w:r w:rsidR="00DF203C" w:rsidRPr="00980D3E">
        <w:t>considered</w:t>
      </w:r>
      <w:r w:rsidR="00E04948" w:rsidRPr="00980D3E">
        <w:t xml:space="preserve"> that the </w:t>
      </w:r>
      <w:r w:rsidRPr="00980D3E">
        <w:t xml:space="preserve">claim that plitidepsin + </w:t>
      </w:r>
      <w:r w:rsidR="00C50AE9" w:rsidRPr="00980D3E">
        <w:t>Dxm</w:t>
      </w:r>
      <w:r w:rsidR="00430DBB" w:rsidRPr="00980D3E">
        <w:t xml:space="preserve"> wa</w:t>
      </w:r>
      <w:r w:rsidRPr="00980D3E">
        <w:t>s non</w:t>
      </w:r>
      <w:r w:rsidR="003F0760" w:rsidRPr="00980D3E">
        <w:noBreakHyphen/>
      </w:r>
      <w:r w:rsidRPr="00980D3E">
        <w:t xml:space="preserve">inferior </w:t>
      </w:r>
      <w:r w:rsidR="00C87A10" w:rsidRPr="00980D3E">
        <w:t xml:space="preserve">to </w:t>
      </w:r>
      <w:r w:rsidRPr="00980D3E">
        <w:t>pomalidomide</w:t>
      </w:r>
      <w:r w:rsidR="00C87A10" w:rsidRPr="00980D3E">
        <w:t xml:space="preserve"> + Dxm</w:t>
      </w:r>
      <w:r w:rsidRPr="00980D3E">
        <w:t xml:space="preserve"> was not supported</w:t>
      </w:r>
      <w:r w:rsidR="00E876F5" w:rsidRPr="00980D3E">
        <w:t xml:space="preserve"> and remained </w:t>
      </w:r>
      <w:r w:rsidRPr="00980D3E">
        <w:t xml:space="preserve">concerned about an apparent increase in diarrhoea, nausea, fatigue and muscle weakness with plitidepsin compared with pomalidomide </w:t>
      </w:r>
      <w:r w:rsidR="00430DBB" w:rsidRPr="00980D3E">
        <w:t xml:space="preserve">that </w:t>
      </w:r>
      <w:r w:rsidRPr="00980D3E">
        <w:t xml:space="preserve">may have </w:t>
      </w:r>
      <w:r w:rsidR="00430DBB" w:rsidRPr="00980D3E">
        <w:t xml:space="preserve">a </w:t>
      </w:r>
      <w:r w:rsidRPr="00980D3E">
        <w:t>significant impact on quality of life.</w:t>
      </w:r>
      <w:r w:rsidR="001645F0" w:rsidRPr="00980D3E">
        <w:t xml:space="preserve"> </w:t>
      </w:r>
      <w:r w:rsidR="008063ED" w:rsidRPr="00980D3E">
        <w:t>As per July 2019, t</w:t>
      </w:r>
      <w:r w:rsidR="00EE72AE" w:rsidRPr="00980D3E">
        <w:t xml:space="preserve">he PBAC </w:t>
      </w:r>
      <w:r w:rsidR="008063ED" w:rsidRPr="00980D3E">
        <w:t xml:space="preserve">considered </w:t>
      </w:r>
      <w:r w:rsidR="00EE72AE" w:rsidRPr="00980D3E">
        <w:t>that the claim of non-inferior comparative safety compared to pomalid</w:t>
      </w:r>
      <w:r w:rsidR="00D66CCA" w:rsidRPr="00980D3E">
        <w:t>omide + Dex</w:t>
      </w:r>
      <w:r w:rsidR="00EE72AE" w:rsidRPr="00980D3E">
        <w:t xml:space="preserve"> was not adequately supported by the data.</w:t>
      </w:r>
    </w:p>
    <w:p w:rsidR="00B60939" w:rsidRPr="00980D3E" w:rsidRDefault="00B60939" w:rsidP="00E9094A">
      <w:pPr>
        <w:pStyle w:val="4-SubsectionHeading"/>
      </w:pPr>
      <w:bookmarkStart w:id="43" w:name="_Toc22897645"/>
      <w:bookmarkStart w:id="44" w:name="_Toc30490404"/>
      <w:bookmarkEnd w:id="42"/>
      <w:r w:rsidRPr="00980D3E">
        <w:t>Economic analysis</w:t>
      </w:r>
      <w:bookmarkEnd w:id="43"/>
      <w:bookmarkEnd w:id="44"/>
      <w:r w:rsidR="00491B3A" w:rsidRPr="00980D3E">
        <w:t xml:space="preserve"> </w:t>
      </w:r>
    </w:p>
    <w:p w:rsidR="00C47645" w:rsidRPr="00980D3E" w:rsidRDefault="00C47645" w:rsidP="00C47645">
      <w:pPr>
        <w:pStyle w:val="3-BodyText"/>
        <w:numPr>
          <w:ilvl w:val="0"/>
          <w:numId w:val="0"/>
        </w:numPr>
        <w:ind w:left="720" w:hanging="720"/>
        <w:rPr>
          <w:u w:val="single"/>
        </w:rPr>
      </w:pPr>
      <w:bookmarkStart w:id="45" w:name="_Toc22897646"/>
      <w:bookmarkStart w:id="46" w:name="_Toc22897647"/>
      <w:r w:rsidRPr="00980D3E">
        <w:rPr>
          <w:u w:val="single"/>
        </w:rPr>
        <w:t>Cost-minimisation analysis</w:t>
      </w:r>
      <w:r w:rsidR="00EB20BF" w:rsidRPr="00980D3E">
        <w:rPr>
          <w:u w:val="single"/>
        </w:rPr>
        <w:t xml:space="preserve"> (third-line setting)</w:t>
      </w:r>
      <w:r w:rsidRPr="00980D3E">
        <w:rPr>
          <w:u w:val="single"/>
        </w:rPr>
        <w:t xml:space="preserve"> </w:t>
      </w:r>
    </w:p>
    <w:p w:rsidR="00167A7E" w:rsidRPr="00980D3E" w:rsidRDefault="00C47645" w:rsidP="00DA3808">
      <w:pPr>
        <w:pStyle w:val="3-BodyText"/>
        <w:rPr>
          <w:i/>
        </w:rPr>
      </w:pPr>
      <w:r w:rsidRPr="00980D3E">
        <w:t xml:space="preserve">The resubmission presented a revised </w:t>
      </w:r>
      <w:r w:rsidR="001B4F1F" w:rsidRPr="00980D3E">
        <w:t xml:space="preserve">CMA </w:t>
      </w:r>
      <w:r w:rsidRPr="00980D3E">
        <w:t xml:space="preserve">based on </w:t>
      </w:r>
      <w:r w:rsidR="001B4F1F" w:rsidRPr="00980D3E">
        <w:t xml:space="preserve">the </w:t>
      </w:r>
      <w:r w:rsidRPr="00980D3E">
        <w:t xml:space="preserve">indirect comparison </w:t>
      </w:r>
      <w:r w:rsidR="001B4F1F" w:rsidRPr="00980D3E">
        <w:t xml:space="preserve">between </w:t>
      </w:r>
      <w:r w:rsidRPr="00980D3E">
        <w:t xml:space="preserve">plitidepsin + </w:t>
      </w:r>
      <w:r w:rsidR="00C50AE9" w:rsidRPr="00980D3E">
        <w:t>Dxm</w:t>
      </w:r>
      <w:r w:rsidRPr="00980D3E">
        <w:t xml:space="preserve"> and pomalidomide + </w:t>
      </w:r>
      <w:r w:rsidR="00C50AE9" w:rsidRPr="00980D3E">
        <w:t>Dxm</w:t>
      </w:r>
      <w:r w:rsidRPr="00980D3E">
        <w:t>.</w:t>
      </w:r>
      <w:r w:rsidRPr="00980D3E">
        <w:rPr>
          <w:i/>
        </w:rPr>
        <w:t xml:space="preserve"> </w:t>
      </w:r>
    </w:p>
    <w:p w:rsidR="00627894" w:rsidRPr="00980D3E" w:rsidRDefault="000D1269" w:rsidP="000D1269">
      <w:pPr>
        <w:pStyle w:val="3-BodyText"/>
      </w:pPr>
      <w:r w:rsidRPr="00980D3E">
        <w:t xml:space="preserve">The </w:t>
      </w:r>
      <w:r w:rsidR="00884A2E" w:rsidRPr="00980D3E">
        <w:t>ESC</w:t>
      </w:r>
      <w:r w:rsidRPr="00980D3E">
        <w:t xml:space="preserve"> considered that the appropriateness of a CMA was not adequately supported as no new evidence was presented in the resubmission and the claim of non-inferior efficacy and safety between plitidepsin + Dxm and pomalidomide + Dxm remained uncertain. </w:t>
      </w:r>
    </w:p>
    <w:p w:rsidR="00C47645" w:rsidRPr="00980D3E" w:rsidRDefault="00203F29" w:rsidP="00DA3808">
      <w:pPr>
        <w:pStyle w:val="3-BodyText"/>
      </w:pPr>
      <w:r w:rsidRPr="00980D3E">
        <w:t>The following were u</w:t>
      </w:r>
      <w:r w:rsidR="00C47645" w:rsidRPr="00980D3E">
        <w:t>nchanged from the previous submission:</w:t>
      </w:r>
    </w:p>
    <w:p w:rsidR="00C47645" w:rsidRPr="00980D3E" w:rsidRDefault="007B625A" w:rsidP="00B77C86">
      <w:pPr>
        <w:pStyle w:val="3-BodyText"/>
        <w:numPr>
          <w:ilvl w:val="0"/>
          <w:numId w:val="13"/>
        </w:numPr>
        <w:ind w:left="1077" w:hanging="357"/>
      </w:pPr>
      <w:r w:rsidRPr="00980D3E">
        <w:t>T</w:t>
      </w:r>
      <w:r w:rsidR="00C47645" w:rsidRPr="00980D3E">
        <w:t>he equi-effective doses were 5 mg/m</w:t>
      </w:r>
      <w:r w:rsidR="00C47645" w:rsidRPr="00980D3E">
        <w:rPr>
          <w:vertAlign w:val="superscript"/>
        </w:rPr>
        <w:t>2</w:t>
      </w:r>
      <w:r w:rsidR="00C47645" w:rsidRPr="00980D3E">
        <w:t xml:space="preserve"> IV of plitidepsin on </w:t>
      </w:r>
      <w:r w:rsidR="00167A7E" w:rsidRPr="00980D3E">
        <w:t>D</w:t>
      </w:r>
      <w:r w:rsidR="00FA2586" w:rsidRPr="00980D3E">
        <w:t xml:space="preserve">ay </w:t>
      </w:r>
      <w:r w:rsidR="00C47645" w:rsidRPr="00980D3E">
        <w:t xml:space="preserve">1 and 15 of a 28-day cycle and 4 mg oral of pomalidomide on </w:t>
      </w:r>
      <w:r w:rsidR="00167A7E" w:rsidRPr="00980D3E">
        <w:t>D</w:t>
      </w:r>
      <w:r w:rsidR="00FA2586" w:rsidRPr="00980D3E">
        <w:t>ay</w:t>
      </w:r>
      <w:r w:rsidR="00167A7E" w:rsidRPr="00980D3E">
        <w:t>s</w:t>
      </w:r>
      <w:r w:rsidR="00FA2586" w:rsidRPr="00980D3E">
        <w:t xml:space="preserve"> </w:t>
      </w:r>
      <w:r w:rsidR="00C47645" w:rsidRPr="00980D3E">
        <w:t>1</w:t>
      </w:r>
      <w:r w:rsidRPr="00980D3E">
        <w:t>-</w:t>
      </w:r>
      <w:r w:rsidR="00C47645" w:rsidRPr="00980D3E">
        <w:t xml:space="preserve">21 </w:t>
      </w:r>
      <w:r w:rsidR="00FC0928" w:rsidRPr="00980D3E">
        <w:t>of 28-day cycle</w:t>
      </w:r>
      <w:r w:rsidR="00C47645" w:rsidRPr="00980D3E">
        <w:t xml:space="preserve">. Both regimens were used combination with 40 mg of </w:t>
      </w:r>
      <w:r w:rsidR="00C50AE9" w:rsidRPr="00980D3E">
        <w:t>Dxm</w:t>
      </w:r>
      <w:r w:rsidR="00C47645" w:rsidRPr="00980D3E">
        <w:t xml:space="preserve"> orally on </w:t>
      </w:r>
      <w:r w:rsidR="00167A7E" w:rsidRPr="00980D3E">
        <w:t>D</w:t>
      </w:r>
      <w:r w:rsidR="00C47645" w:rsidRPr="00980D3E">
        <w:t xml:space="preserve">ay 1, 8, 15 and 22 of a 28-day cycle. The equi-effective doses were from the ADMYRE and the NIMBUS trials. Actual dose exposure was assumed to be equivalent to the recommended dose for plitidepsin + </w:t>
      </w:r>
      <w:r w:rsidR="00C50AE9" w:rsidRPr="00980D3E">
        <w:t>Dxm</w:t>
      </w:r>
      <w:r w:rsidR="00C47645" w:rsidRPr="00980D3E">
        <w:t xml:space="preserve"> and pomalidomide + </w:t>
      </w:r>
      <w:r w:rsidR="00C50AE9" w:rsidRPr="00980D3E">
        <w:t>Dxm</w:t>
      </w:r>
      <w:r w:rsidR="00C47645" w:rsidRPr="00980D3E">
        <w:t xml:space="preserve">. </w:t>
      </w:r>
      <w:r w:rsidR="000D2390" w:rsidRPr="00980D3E">
        <w:t>It was</w:t>
      </w:r>
      <w:r w:rsidR="00C47645" w:rsidRPr="00980D3E">
        <w:t xml:space="preserve"> </w:t>
      </w:r>
      <w:r w:rsidR="00BD7D65" w:rsidRPr="00980D3E">
        <w:t xml:space="preserve">previously </w:t>
      </w:r>
      <w:r w:rsidR="00C47645" w:rsidRPr="00980D3E">
        <w:t>considered this approach was reasonable (</w:t>
      </w:r>
      <w:r w:rsidR="00534072" w:rsidRPr="00980D3E">
        <w:t>paragraph</w:t>
      </w:r>
      <w:r w:rsidR="00C47645" w:rsidRPr="00980D3E">
        <w:t xml:space="preserve"> 6.34, plitidepsin </w:t>
      </w:r>
      <w:r w:rsidR="00534072" w:rsidRPr="00980D3E">
        <w:t>P</w:t>
      </w:r>
      <w:r w:rsidR="00167A7E" w:rsidRPr="00980D3E">
        <w:t>SD</w:t>
      </w:r>
      <w:r w:rsidR="00C47645" w:rsidRPr="00980D3E">
        <w:t xml:space="preserve">, July 2019 PBAC meeting); </w:t>
      </w:r>
    </w:p>
    <w:p w:rsidR="00DA3808" w:rsidRPr="00980D3E" w:rsidRDefault="007B625A" w:rsidP="00B77C86">
      <w:pPr>
        <w:pStyle w:val="3-BodyText"/>
        <w:numPr>
          <w:ilvl w:val="0"/>
          <w:numId w:val="13"/>
        </w:numPr>
        <w:ind w:left="1077" w:hanging="357"/>
      </w:pPr>
      <w:r w:rsidRPr="00980D3E">
        <w:t>A</w:t>
      </w:r>
      <w:r w:rsidR="00C47645" w:rsidRPr="00980D3E">
        <w:t xml:space="preserve"> median of </w:t>
      </w:r>
      <w:r w:rsidR="00167A7E" w:rsidRPr="00980D3E">
        <w:t>three</w:t>
      </w:r>
      <w:r w:rsidR="00C47645" w:rsidRPr="00980D3E">
        <w:t xml:space="preserve"> cycles of pomalidomide were used</w:t>
      </w:r>
      <w:r w:rsidR="00980D3E">
        <w:t xml:space="preserve">. </w:t>
      </w:r>
      <w:r w:rsidR="00884A2E" w:rsidRPr="00980D3E">
        <w:t xml:space="preserve">It was </w:t>
      </w:r>
      <w:r w:rsidR="00167A7E" w:rsidRPr="00980D3E">
        <w:t xml:space="preserve">previously </w:t>
      </w:r>
      <w:r w:rsidR="00C47645" w:rsidRPr="00980D3E">
        <w:t>noted th</w:t>
      </w:r>
      <w:r w:rsidR="00167A7E" w:rsidRPr="00980D3E">
        <w:t>at th</w:t>
      </w:r>
      <w:r w:rsidR="00C47645" w:rsidRPr="00980D3E">
        <w:t xml:space="preserve">e </w:t>
      </w:r>
      <w:r w:rsidR="00167A7E" w:rsidRPr="00980D3E">
        <w:t>application</w:t>
      </w:r>
      <w:r w:rsidR="00C47645" w:rsidRPr="00980D3E">
        <w:t xml:space="preserve"> of </w:t>
      </w:r>
      <w:r w:rsidR="00167A7E" w:rsidRPr="00980D3E">
        <w:t>three</w:t>
      </w:r>
      <w:r w:rsidR="00C47645" w:rsidRPr="00980D3E">
        <w:t xml:space="preserve"> treatment cycles for pomalidomide was conservative and considered th</w:t>
      </w:r>
      <w:r w:rsidR="00167A7E" w:rsidRPr="00980D3E">
        <w:t>at th</w:t>
      </w:r>
      <w:r w:rsidR="00C47645" w:rsidRPr="00980D3E">
        <w:t>is was appropriate (</w:t>
      </w:r>
      <w:r w:rsidR="00AC5A74" w:rsidRPr="00980D3E">
        <w:t>p</w:t>
      </w:r>
      <w:r w:rsidR="00C50AE9" w:rsidRPr="00980D3E">
        <w:t>aragraph</w:t>
      </w:r>
      <w:r w:rsidR="00C47645" w:rsidRPr="00980D3E">
        <w:t xml:space="preserve"> 6.35, plitidepsin </w:t>
      </w:r>
      <w:r w:rsidR="00534072" w:rsidRPr="00980D3E">
        <w:t>P</w:t>
      </w:r>
      <w:r w:rsidR="00167A7E" w:rsidRPr="00980D3E">
        <w:t>SD, July</w:t>
      </w:r>
      <w:r w:rsidR="00C47645" w:rsidRPr="00980D3E">
        <w:t xml:space="preserve"> 2019 PBAC meeting);</w:t>
      </w:r>
    </w:p>
    <w:p w:rsidR="00C47645" w:rsidRPr="00980D3E" w:rsidRDefault="00DA3808" w:rsidP="00B77C86">
      <w:pPr>
        <w:pStyle w:val="3-BodyText"/>
        <w:numPr>
          <w:ilvl w:val="0"/>
          <w:numId w:val="13"/>
        </w:numPr>
        <w:ind w:left="1077" w:hanging="357"/>
      </w:pPr>
      <w:r w:rsidRPr="00980D3E">
        <w:t>The approach assumed that differences in AEs only resulted in a cost difference and not a relevant quality of life difference. This may not be reasonable</w:t>
      </w:r>
      <w:r w:rsidR="00167A7E" w:rsidRPr="00980D3E">
        <w:t>,</w:t>
      </w:r>
      <w:r w:rsidRPr="00980D3E">
        <w:t xml:space="preserve"> </w:t>
      </w:r>
      <w:r w:rsidRPr="00980D3E">
        <w:lastRenderedPageBreak/>
        <w:t xml:space="preserve">particularly given the potential for some AEs to impact on quality of life (such as fatigue, peripheral oedema and febrile neutropenia); </w:t>
      </w:r>
      <w:r w:rsidR="00C47645" w:rsidRPr="00980D3E">
        <w:t>and</w:t>
      </w:r>
    </w:p>
    <w:p w:rsidR="00C47645" w:rsidRPr="00980D3E" w:rsidRDefault="007B625A" w:rsidP="00B77C86">
      <w:pPr>
        <w:pStyle w:val="3-BodyText"/>
        <w:numPr>
          <w:ilvl w:val="0"/>
          <w:numId w:val="13"/>
        </w:numPr>
        <w:ind w:left="1077" w:hanging="357"/>
      </w:pPr>
      <w:r w:rsidRPr="00980D3E">
        <w:t>T</w:t>
      </w:r>
      <w:r w:rsidR="00C47645" w:rsidRPr="00980D3E">
        <w:t>he private hospital DMPQ for 4 mg pomalidomide ($10,547.29) was used for the pomalidomide cost per cycle</w:t>
      </w:r>
      <w:r w:rsidR="00FC0928" w:rsidRPr="00980D3E">
        <w:t>.</w:t>
      </w:r>
      <w:r w:rsidR="001B4F1F" w:rsidRPr="00980D3E">
        <w:t xml:space="preserve"> </w:t>
      </w:r>
      <w:r w:rsidR="00CE7508" w:rsidRPr="00980D3E">
        <w:t>Results using the approved ex</w:t>
      </w:r>
      <w:r w:rsidR="00CE7508" w:rsidRPr="00980D3E">
        <w:noBreakHyphen/>
        <w:t xml:space="preserve">manufacturer price (AEMP) </w:t>
      </w:r>
      <w:r w:rsidR="001B4F1F" w:rsidRPr="00980D3E">
        <w:t xml:space="preserve">are presented in </w:t>
      </w:r>
      <w:r w:rsidR="004F6269" w:rsidRPr="00980D3E">
        <w:t>Table 15</w:t>
      </w:r>
      <w:r w:rsidR="001B4F1F" w:rsidRPr="00980D3E">
        <w:t>.</w:t>
      </w:r>
    </w:p>
    <w:p w:rsidR="00B9557F" w:rsidRPr="00980D3E" w:rsidRDefault="00B9557F" w:rsidP="00C740F2">
      <w:pPr>
        <w:pStyle w:val="3-BodyText"/>
      </w:pPr>
      <w:r w:rsidRPr="00980D3E">
        <w:t xml:space="preserve">The resubmission used the indirect comparison to calculate the cost of AEs in the CMA, which was presented as a sensitivity analysis in the </w:t>
      </w:r>
      <w:r w:rsidR="00600578" w:rsidRPr="00980D3E">
        <w:t xml:space="preserve">July 2019 </w:t>
      </w:r>
      <w:r w:rsidRPr="00980D3E">
        <w:t xml:space="preserve">submission. </w:t>
      </w:r>
      <w:r w:rsidR="00253029" w:rsidRPr="00980D3E">
        <w:t>The previous s</w:t>
      </w:r>
      <w:r w:rsidR="0086714A" w:rsidRPr="00980D3E">
        <w:t>ensitivity analysis</w:t>
      </w:r>
      <w:r w:rsidR="00253029" w:rsidRPr="00980D3E">
        <w:t xml:space="preserve"> only considered the differences in the cost</w:t>
      </w:r>
      <w:r w:rsidR="00167A7E" w:rsidRPr="00980D3E">
        <w:t>s</w:t>
      </w:r>
      <w:r w:rsidR="00253029" w:rsidRPr="00980D3E">
        <w:t xml:space="preserve"> of managing diarrhoea and peripheral oedema. The </w:t>
      </w:r>
      <w:r w:rsidR="0086714A" w:rsidRPr="00980D3E">
        <w:t>resubmission</w:t>
      </w:r>
      <w:r w:rsidR="00253029" w:rsidRPr="00980D3E">
        <w:t xml:space="preserve"> </w:t>
      </w:r>
      <w:r w:rsidR="00990C17" w:rsidRPr="00980D3E">
        <w:t>also included the cost</w:t>
      </w:r>
      <w:r w:rsidR="0086714A" w:rsidRPr="00980D3E">
        <w:t>s</w:t>
      </w:r>
      <w:r w:rsidR="00990C17" w:rsidRPr="00980D3E">
        <w:t xml:space="preserve"> of treating neutropenia</w:t>
      </w:r>
      <w:r w:rsidR="007E42EF" w:rsidRPr="00980D3E">
        <w:t xml:space="preserve"> and several other AEs.</w:t>
      </w:r>
      <w:r w:rsidRPr="00980D3E">
        <w:t xml:space="preserve"> This </w:t>
      </w:r>
      <w:r w:rsidR="00253029" w:rsidRPr="00980D3E">
        <w:t>increased</w:t>
      </w:r>
      <w:r w:rsidRPr="00980D3E">
        <w:t xml:space="preserve"> the cost of managing pomalidomide AEs from $</w:t>
      </w:r>
      <w:r w:rsidR="0029550C">
        <w:t>11.</w:t>
      </w:r>
      <w:r w:rsidR="0029550C" w:rsidRPr="00902658">
        <w:t>99</w:t>
      </w:r>
      <w:r w:rsidRPr="00902658">
        <w:t xml:space="preserve"> </w:t>
      </w:r>
      <w:r w:rsidR="0086714A" w:rsidRPr="00902658">
        <w:t xml:space="preserve">in </w:t>
      </w:r>
      <w:r w:rsidR="000E47A0" w:rsidRPr="00902658">
        <w:t>July 2019</w:t>
      </w:r>
      <w:r w:rsidR="0086714A" w:rsidRPr="00902658">
        <w:t xml:space="preserve"> </w:t>
      </w:r>
      <w:r w:rsidRPr="00902658">
        <w:t xml:space="preserve">to $517.06 </w:t>
      </w:r>
      <w:r w:rsidR="0086714A" w:rsidRPr="00902658">
        <w:t xml:space="preserve">in the resubmission </w:t>
      </w:r>
      <w:r w:rsidRPr="00902658">
        <w:t xml:space="preserve">and plitidepsin AEs from </w:t>
      </w:r>
      <w:r w:rsidR="00902658">
        <w:t xml:space="preserve">less than </w:t>
      </w:r>
      <w:r w:rsidRPr="00902658">
        <w:t>$</w:t>
      </w:r>
      <w:r w:rsidR="00902658">
        <w:t>10 million</w:t>
      </w:r>
      <w:r w:rsidRPr="00902658">
        <w:t xml:space="preserve"> to </w:t>
      </w:r>
      <w:r w:rsidR="00902658">
        <w:t xml:space="preserve">less than </w:t>
      </w:r>
      <w:r w:rsidRPr="00902658">
        <w:t>$</w:t>
      </w:r>
      <w:r w:rsidR="00902658">
        <w:t>10 million</w:t>
      </w:r>
      <w:r w:rsidRPr="00902658">
        <w:t>.</w:t>
      </w:r>
      <w:r w:rsidRPr="00980D3E">
        <w:t xml:space="preserve"> The increase in pomalidomide AE costs w</w:t>
      </w:r>
      <w:r w:rsidR="0086714A" w:rsidRPr="00980D3E">
        <w:t>ere</w:t>
      </w:r>
      <w:r w:rsidRPr="00980D3E">
        <w:t xml:space="preserve"> </w:t>
      </w:r>
      <w:r w:rsidR="0086714A" w:rsidRPr="00980D3E">
        <w:t>primarily</w:t>
      </w:r>
      <w:r w:rsidRPr="00980D3E">
        <w:t xml:space="preserve"> due to the inclusion of </w:t>
      </w:r>
      <w:r w:rsidR="0086714A" w:rsidRPr="00980D3E">
        <w:t xml:space="preserve">the </w:t>
      </w:r>
      <w:r w:rsidR="007E42EF" w:rsidRPr="00980D3E">
        <w:t xml:space="preserve">costs </w:t>
      </w:r>
      <w:r w:rsidR="0086714A" w:rsidRPr="00980D3E">
        <w:t xml:space="preserve">associated with </w:t>
      </w:r>
      <w:r w:rsidR="007E42EF" w:rsidRPr="00980D3E">
        <w:t xml:space="preserve">managing neutropenia. </w:t>
      </w:r>
    </w:p>
    <w:p w:rsidR="00C47645" w:rsidRPr="00980D3E" w:rsidRDefault="00C47645" w:rsidP="00C47645">
      <w:pPr>
        <w:pStyle w:val="3-BodyText"/>
      </w:pPr>
      <w:r w:rsidRPr="00980D3E">
        <w:t xml:space="preserve">The resubmission </w:t>
      </w:r>
      <w:r w:rsidR="007E42EF" w:rsidRPr="00980D3E">
        <w:t xml:space="preserve">stated it </w:t>
      </w:r>
      <w:r w:rsidR="0086714A" w:rsidRPr="00980D3E">
        <w:t xml:space="preserve">also </w:t>
      </w:r>
      <w:r w:rsidR="007E42EF" w:rsidRPr="00980D3E">
        <w:t>included the cost</w:t>
      </w:r>
      <w:r w:rsidR="0086714A" w:rsidRPr="00980D3E">
        <w:t>s</w:t>
      </w:r>
      <w:r w:rsidR="007E42EF" w:rsidRPr="00980D3E">
        <w:t xml:space="preserve"> of managing myalgia and vomiting</w:t>
      </w:r>
      <w:r w:rsidRPr="00980D3E">
        <w:t xml:space="preserve">. However, </w:t>
      </w:r>
      <w:r w:rsidR="00AE01E8" w:rsidRPr="00980D3E">
        <w:t xml:space="preserve">the </w:t>
      </w:r>
      <w:r w:rsidRPr="00980D3E">
        <w:t>costs</w:t>
      </w:r>
      <w:r w:rsidR="00AE01E8" w:rsidRPr="00980D3E">
        <w:t xml:space="preserve"> </w:t>
      </w:r>
      <w:r w:rsidR="001B4F1F" w:rsidRPr="00980D3E">
        <w:t>of</w:t>
      </w:r>
      <w:r w:rsidR="002976F6" w:rsidRPr="00980D3E">
        <w:t xml:space="preserve"> managing</w:t>
      </w:r>
      <w:r w:rsidR="001B4F1F" w:rsidRPr="00980D3E">
        <w:t xml:space="preserve"> </w:t>
      </w:r>
      <w:r w:rsidR="00AE01E8" w:rsidRPr="00980D3E">
        <w:t>these AEs</w:t>
      </w:r>
      <w:r w:rsidRPr="00980D3E">
        <w:t xml:space="preserve"> were not included in the base case</w:t>
      </w:r>
      <w:r w:rsidR="00AE01E8" w:rsidRPr="00980D3E">
        <w:t xml:space="preserve">. </w:t>
      </w:r>
      <w:r w:rsidRPr="00980D3E">
        <w:t xml:space="preserve">This was </w:t>
      </w:r>
      <w:r w:rsidR="00867DFF" w:rsidRPr="00980D3E">
        <w:t>calculated</w:t>
      </w:r>
      <w:r w:rsidR="007E42EF" w:rsidRPr="00980D3E">
        <w:t xml:space="preserve"> </w:t>
      </w:r>
      <w:r w:rsidRPr="00980D3E">
        <w:t xml:space="preserve">during the evaluation. </w:t>
      </w:r>
      <w:r w:rsidR="00A9295E" w:rsidRPr="00980D3E">
        <w:t xml:space="preserve">The </w:t>
      </w:r>
      <w:r w:rsidR="00884A2E" w:rsidRPr="00980D3E">
        <w:t>ESC</w:t>
      </w:r>
      <w:r w:rsidR="00A9295E" w:rsidRPr="00980D3E">
        <w:t xml:space="preserve"> </w:t>
      </w:r>
      <w:r w:rsidR="00600578" w:rsidRPr="00980D3E">
        <w:t xml:space="preserve">and PBAC </w:t>
      </w:r>
      <w:r w:rsidR="00A9295E" w:rsidRPr="00980D3E">
        <w:t>considered that this was appropriate.</w:t>
      </w:r>
    </w:p>
    <w:p w:rsidR="00C47645" w:rsidRPr="00980D3E" w:rsidRDefault="00C47645" w:rsidP="00C47645">
      <w:pPr>
        <w:pStyle w:val="3-BodyText"/>
      </w:pPr>
      <w:r w:rsidRPr="00980D3E">
        <w:rPr>
          <w:bCs/>
        </w:rPr>
        <w:t>The resubmission did not explicitly state the assumed plitidepsin dose in the CMA. Unlike pomalidomide</w:t>
      </w:r>
      <w:r w:rsidR="0086714A" w:rsidRPr="00980D3E">
        <w:rPr>
          <w:bCs/>
        </w:rPr>
        <w:t>,</w:t>
      </w:r>
      <w:r w:rsidRPr="00980D3E">
        <w:rPr>
          <w:bCs/>
        </w:rPr>
        <w:t xml:space="preserve"> which has a flat dosing regimen</w:t>
      </w:r>
      <w:r w:rsidR="00E235AD" w:rsidRPr="00980D3E">
        <w:rPr>
          <w:bCs/>
        </w:rPr>
        <w:t xml:space="preserve"> irrespective of patient size</w:t>
      </w:r>
      <w:r w:rsidRPr="00980D3E">
        <w:rPr>
          <w:bCs/>
        </w:rPr>
        <w:t xml:space="preserve">, the dose of plitidepsin depends on a patient’s body surface area (BSA). </w:t>
      </w:r>
      <w:r w:rsidR="00600578" w:rsidRPr="00980D3E">
        <w:t>The CMA results were based on the assumption that plitidepsin and pomalidomide would require the same number of cycles (thus, the cost-minimising price was calculated on the basis of one cycle only). As the resubmission did not explicitly state the plitidepsin dose used in the CMA, the quantity of plitidepsin corresponding to the cost minimised price was unclear. It appeared that the cost minimisation analysis referenced a dose of 20 mg per cycle (distributed across two injections two weeks apart). This was sufficient for a patient with a BSA up to 2.0 m</w:t>
      </w:r>
      <w:r w:rsidR="00600578" w:rsidRPr="00980D3E">
        <w:rPr>
          <w:vertAlign w:val="superscript"/>
        </w:rPr>
        <w:t>2</w:t>
      </w:r>
      <w:r w:rsidR="00980D3E">
        <w:t xml:space="preserve">. </w:t>
      </w:r>
      <w:r w:rsidR="00600578" w:rsidRPr="00980D3E">
        <w:t>For larger patients, the implicit CMA claim that the overall cost of plitidepsin treatment is the same as the cost of therapy with pomalidomide, may not hold.</w:t>
      </w:r>
      <w:r w:rsidRPr="00980D3E">
        <w:rPr>
          <w:bCs/>
        </w:rPr>
        <w:t xml:space="preserve"> </w:t>
      </w:r>
    </w:p>
    <w:p w:rsidR="00E74DDA" w:rsidRPr="00980D3E" w:rsidRDefault="004F6269" w:rsidP="004E5054">
      <w:pPr>
        <w:pStyle w:val="3-BodyText"/>
      </w:pPr>
      <w:r w:rsidRPr="00980D3E">
        <w:t xml:space="preserve">Table 15 </w:t>
      </w:r>
      <w:r w:rsidR="00C47645" w:rsidRPr="00980D3E">
        <w:t xml:space="preserve">presents the results of the CMA. </w:t>
      </w:r>
      <w:r w:rsidR="00E74DDA" w:rsidRPr="00980D3E">
        <w:t xml:space="preserve">The CMA </w:t>
      </w:r>
      <w:r w:rsidR="00600578" w:rsidRPr="00980D3E">
        <w:t xml:space="preserve">in the resubmission </w:t>
      </w:r>
      <w:r w:rsidR="00EB2984" w:rsidRPr="00980D3E">
        <w:t xml:space="preserve">was based </w:t>
      </w:r>
      <w:r w:rsidR="00E74DDA" w:rsidRPr="00980D3E">
        <w:t xml:space="preserve">on the published </w:t>
      </w:r>
      <w:r w:rsidR="000831AA" w:rsidRPr="00980D3E">
        <w:t>DPMQ</w:t>
      </w:r>
      <w:r w:rsidR="00E74DDA" w:rsidRPr="00980D3E">
        <w:t xml:space="preserve"> of pomalidomide. </w:t>
      </w:r>
      <w:r w:rsidR="004A7A5C" w:rsidRPr="00980D3E">
        <w:t>The</w:t>
      </w:r>
      <w:r w:rsidR="00E74DDA" w:rsidRPr="00980D3E">
        <w:t xml:space="preserve"> calculations provided </w:t>
      </w:r>
      <w:r w:rsidR="00F03F0C" w:rsidRPr="00980D3E">
        <w:t xml:space="preserve">in </w:t>
      </w:r>
      <w:r w:rsidR="00C2673A" w:rsidRPr="00980D3E">
        <w:t>Table 15</w:t>
      </w:r>
      <w:r w:rsidR="004A7A5C" w:rsidRPr="00980D3E">
        <w:t xml:space="preserve"> use the AEMP</w:t>
      </w:r>
      <w:r w:rsidR="00E74DDA" w:rsidRPr="00980D3E">
        <w:t>.</w:t>
      </w:r>
    </w:p>
    <w:p w:rsidR="00C47645" w:rsidRPr="00980D3E" w:rsidRDefault="00C47645" w:rsidP="00D443C2">
      <w:pPr>
        <w:pStyle w:val="TableHeading"/>
      </w:pPr>
      <w:bookmarkStart w:id="47" w:name="_Ref33524890"/>
      <w:r w:rsidRPr="00980D3E">
        <w:lastRenderedPageBreak/>
        <w:t xml:space="preserve">Table </w:t>
      </w:r>
      <w:r w:rsidR="00C2673A" w:rsidRPr="00980D3E">
        <w:t>15</w:t>
      </w:r>
      <w:bookmarkEnd w:id="47"/>
      <w:r w:rsidRPr="00980D3E">
        <w:t>:  Results of the cost-minimisation analysis</w:t>
      </w:r>
      <w:r w:rsidR="00600578" w:rsidRPr="00980D3E">
        <w:t xml:space="preserve"> (based on the published AEMP of pomalidomide)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677"/>
        <w:gridCol w:w="1968"/>
      </w:tblGrid>
      <w:tr w:rsidR="00C47645" w:rsidRPr="00980D3E" w:rsidTr="00D443C2">
        <w:trPr>
          <w:tblHeader/>
        </w:trPr>
        <w:tc>
          <w:tcPr>
            <w:tcW w:w="2979" w:type="pct"/>
          </w:tcPr>
          <w:p w:rsidR="00C47645" w:rsidRPr="00980D3E" w:rsidRDefault="00C47645" w:rsidP="00A85E1A">
            <w:pPr>
              <w:keepNext/>
              <w:keepLines/>
              <w:jc w:val="left"/>
              <w:rPr>
                <w:rFonts w:ascii="Arial Narrow" w:hAnsi="Arial Narrow" w:cs="Times New Roman"/>
                <w:b/>
                <w:sz w:val="20"/>
                <w:szCs w:val="20"/>
              </w:rPr>
            </w:pPr>
            <w:r w:rsidRPr="00980D3E">
              <w:rPr>
                <w:rFonts w:ascii="Arial Narrow" w:hAnsi="Arial Narrow" w:cs="Times New Roman"/>
                <w:b/>
                <w:sz w:val="20"/>
                <w:szCs w:val="20"/>
              </w:rPr>
              <w:t>Component</w:t>
            </w:r>
          </w:p>
        </w:tc>
        <w:tc>
          <w:tcPr>
            <w:tcW w:w="930" w:type="pct"/>
          </w:tcPr>
          <w:p w:rsidR="00C47645" w:rsidRPr="00980D3E" w:rsidRDefault="00C47645" w:rsidP="00A85E1A">
            <w:pPr>
              <w:keepNext/>
              <w:keepLines/>
              <w:jc w:val="center"/>
              <w:rPr>
                <w:rFonts w:ascii="Arial Narrow" w:hAnsi="Arial Narrow" w:cs="Times New Roman"/>
                <w:b/>
                <w:sz w:val="20"/>
                <w:szCs w:val="20"/>
              </w:rPr>
            </w:pPr>
            <w:r w:rsidRPr="00980D3E">
              <w:rPr>
                <w:rFonts w:ascii="Arial Narrow" w:hAnsi="Arial Narrow" w:cs="Times New Roman"/>
                <w:b/>
                <w:sz w:val="20"/>
                <w:szCs w:val="20"/>
              </w:rPr>
              <w:t xml:space="preserve">Plitidepsin + </w:t>
            </w:r>
            <w:r w:rsidR="00C50AE9" w:rsidRPr="00980D3E">
              <w:rPr>
                <w:rFonts w:ascii="Arial Narrow" w:hAnsi="Arial Narrow" w:cs="Times New Roman"/>
                <w:b/>
                <w:sz w:val="20"/>
                <w:szCs w:val="20"/>
              </w:rPr>
              <w:t>Dxm</w:t>
            </w:r>
          </w:p>
        </w:tc>
        <w:tc>
          <w:tcPr>
            <w:tcW w:w="1091" w:type="pct"/>
          </w:tcPr>
          <w:p w:rsidR="00C47645" w:rsidRPr="00980D3E" w:rsidRDefault="00C47645" w:rsidP="00A85E1A">
            <w:pPr>
              <w:keepNext/>
              <w:keepLines/>
              <w:jc w:val="center"/>
              <w:rPr>
                <w:rFonts w:ascii="Arial Narrow" w:hAnsi="Arial Narrow" w:cs="Times New Roman"/>
                <w:b/>
                <w:sz w:val="20"/>
                <w:szCs w:val="20"/>
              </w:rPr>
            </w:pPr>
            <w:r w:rsidRPr="00980D3E">
              <w:rPr>
                <w:rFonts w:ascii="Arial Narrow" w:hAnsi="Arial Narrow" w:cs="Times New Roman"/>
                <w:b/>
                <w:sz w:val="20"/>
                <w:szCs w:val="20"/>
              </w:rPr>
              <w:t xml:space="preserve">Pomalidomide + </w:t>
            </w:r>
            <w:r w:rsidR="00C50AE9" w:rsidRPr="00980D3E">
              <w:rPr>
                <w:rFonts w:ascii="Arial Narrow" w:hAnsi="Arial Narrow" w:cs="Times New Roman"/>
                <w:b/>
                <w:sz w:val="20"/>
                <w:szCs w:val="20"/>
              </w:rPr>
              <w:t>Dxm</w:t>
            </w:r>
          </w:p>
        </w:tc>
      </w:tr>
      <w:tr w:rsidR="00C47645" w:rsidRPr="00980D3E" w:rsidTr="00D443C2">
        <w:tc>
          <w:tcPr>
            <w:tcW w:w="2979" w:type="pct"/>
            <w:vAlign w:val="bottom"/>
          </w:tcPr>
          <w:p w:rsidR="00C47645" w:rsidRPr="00980D3E" w:rsidRDefault="00C47645" w:rsidP="00A85E1A">
            <w:pPr>
              <w:keepNext/>
              <w:keepLines/>
              <w:jc w:val="left"/>
              <w:rPr>
                <w:rFonts w:ascii="Arial Narrow" w:hAnsi="Arial Narrow" w:cs="Times New Roman"/>
                <w:sz w:val="20"/>
                <w:szCs w:val="20"/>
              </w:rPr>
            </w:pPr>
            <w:r w:rsidRPr="00980D3E">
              <w:rPr>
                <w:rFonts w:ascii="Arial Narrow" w:hAnsi="Arial Narrow" w:cs="Times New Roman"/>
                <w:b/>
                <w:sz w:val="20"/>
                <w:szCs w:val="20"/>
              </w:rPr>
              <w:t>Treatment costs</w:t>
            </w:r>
          </w:p>
        </w:tc>
        <w:tc>
          <w:tcPr>
            <w:tcW w:w="930" w:type="pct"/>
          </w:tcPr>
          <w:p w:rsidR="00C47645"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c>
          <w:tcPr>
            <w:tcW w:w="1091" w:type="pct"/>
          </w:tcPr>
          <w:p w:rsidR="00C47645"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r>
      <w:tr w:rsidR="00C47645" w:rsidRPr="00980D3E" w:rsidTr="00D443C2">
        <w:tc>
          <w:tcPr>
            <w:tcW w:w="2979" w:type="pct"/>
            <w:vAlign w:val="bottom"/>
          </w:tcPr>
          <w:p w:rsidR="00C47645" w:rsidRPr="00980D3E" w:rsidRDefault="00C47645"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Plitidepsin dose (mg/m</w:t>
            </w:r>
            <w:r w:rsidRPr="00980D3E">
              <w:rPr>
                <w:rFonts w:ascii="Arial Narrow" w:hAnsi="Arial Narrow" w:cs="Times New Roman"/>
                <w:sz w:val="20"/>
                <w:szCs w:val="20"/>
                <w:vertAlign w:val="superscript"/>
              </w:rPr>
              <w:t>2</w:t>
            </w:r>
            <w:r w:rsidRPr="00980D3E">
              <w:rPr>
                <w:rFonts w:ascii="Arial Narrow" w:hAnsi="Arial Narrow" w:cs="Times New Roman"/>
                <w:sz w:val="20"/>
                <w:szCs w:val="20"/>
              </w:rPr>
              <w:t>)</w:t>
            </w:r>
          </w:p>
        </w:tc>
        <w:tc>
          <w:tcPr>
            <w:tcW w:w="930" w:type="pct"/>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5</w:t>
            </w:r>
          </w:p>
        </w:tc>
        <w:tc>
          <w:tcPr>
            <w:tcW w:w="1091" w:type="pct"/>
          </w:tcPr>
          <w:p w:rsidR="00C47645"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r>
      <w:tr w:rsidR="00C47645" w:rsidRPr="00980D3E" w:rsidTr="00D443C2">
        <w:tc>
          <w:tcPr>
            <w:tcW w:w="2979" w:type="pct"/>
            <w:tcBorders>
              <w:bottom w:val="single" w:sz="4" w:space="0" w:color="auto"/>
            </w:tcBorders>
            <w:vAlign w:val="bottom"/>
          </w:tcPr>
          <w:p w:rsidR="00C47645" w:rsidRPr="00980D3E" w:rsidRDefault="00C47645"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Plitidepsin dosing frequency per</w:t>
            </w:r>
            <w:r w:rsidR="009C1085" w:rsidRPr="00980D3E">
              <w:rPr>
                <w:rFonts w:ascii="Arial Narrow" w:hAnsi="Arial Narrow" w:cs="Times New Roman"/>
                <w:sz w:val="20"/>
                <w:szCs w:val="20"/>
              </w:rPr>
              <w:t xml:space="preserve"> 28 day</w:t>
            </w:r>
            <w:r w:rsidRPr="00980D3E">
              <w:rPr>
                <w:rFonts w:ascii="Arial Narrow" w:hAnsi="Arial Narrow" w:cs="Times New Roman"/>
                <w:sz w:val="20"/>
                <w:szCs w:val="20"/>
              </w:rPr>
              <w:t xml:space="preserve"> cycle</w:t>
            </w:r>
          </w:p>
        </w:tc>
        <w:tc>
          <w:tcPr>
            <w:tcW w:w="930" w:type="pct"/>
            <w:tcBorders>
              <w:bottom w:val="single" w:sz="4" w:space="0" w:color="auto"/>
            </w:tcBorders>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2</w:t>
            </w:r>
          </w:p>
        </w:tc>
        <w:tc>
          <w:tcPr>
            <w:tcW w:w="1091" w:type="pct"/>
            <w:tcBorders>
              <w:bottom w:val="single" w:sz="4" w:space="0" w:color="auto"/>
            </w:tcBorders>
          </w:tcPr>
          <w:p w:rsidR="00C47645"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r>
      <w:tr w:rsidR="00C47645" w:rsidRPr="00980D3E" w:rsidTr="00D443C2">
        <w:tc>
          <w:tcPr>
            <w:tcW w:w="2979" w:type="pct"/>
            <w:tcBorders>
              <w:bottom w:val="nil"/>
            </w:tcBorders>
          </w:tcPr>
          <w:p w:rsidR="00C47645" w:rsidRPr="00980D3E" w:rsidRDefault="00C47645"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Cost of plitidepsin per cycle</w:t>
            </w:r>
            <w:r w:rsidR="00295285" w:rsidRPr="00980D3E">
              <w:rPr>
                <w:rFonts w:ascii="Arial Narrow" w:hAnsi="Arial Narrow" w:cs="Times New Roman"/>
                <w:sz w:val="20"/>
                <w:szCs w:val="20"/>
              </w:rPr>
              <w:t xml:space="preserve"> (AEMP)</w:t>
            </w:r>
          </w:p>
        </w:tc>
        <w:tc>
          <w:tcPr>
            <w:tcW w:w="930" w:type="pct"/>
            <w:tcBorders>
              <w:bottom w:val="nil"/>
            </w:tcBorders>
          </w:tcPr>
          <w:p w:rsidR="00C47645" w:rsidRPr="00980D3E" w:rsidRDefault="00D81433"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1091" w:type="pct"/>
            <w:tcBorders>
              <w:bottom w:val="nil"/>
            </w:tcBorders>
          </w:tcPr>
          <w:p w:rsidR="00C47645"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r>
      <w:tr w:rsidR="00C47645" w:rsidRPr="00980D3E" w:rsidTr="00D443C2">
        <w:tc>
          <w:tcPr>
            <w:tcW w:w="2979" w:type="pct"/>
            <w:vAlign w:val="bottom"/>
          </w:tcPr>
          <w:p w:rsidR="00C47645" w:rsidRPr="00980D3E" w:rsidRDefault="00C47645"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Pomalidomide dose (mg)</w:t>
            </w:r>
          </w:p>
        </w:tc>
        <w:tc>
          <w:tcPr>
            <w:tcW w:w="930" w:type="pct"/>
          </w:tcPr>
          <w:p w:rsidR="00C47645"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c>
          <w:tcPr>
            <w:tcW w:w="1091" w:type="pct"/>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4</w:t>
            </w:r>
          </w:p>
        </w:tc>
      </w:tr>
      <w:tr w:rsidR="00C47645" w:rsidRPr="00980D3E" w:rsidTr="00D443C2">
        <w:tc>
          <w:tcPr>
            <w:tcW w:w="2979" w:type="pct"/>
            <w:vAlign w:val="bottom"/>
          </w:tcPr>
          <w:p w:rsidR="00C47645" w:rsidRPr="00980D3E" w:rsidRDefault="00C47645"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Pomalidomide dosing frequency per</w:t>
            </w:r>
            <w:r w:rsidR="009C1085" w:rsidRPr="00980D3E">
              <w:rPr>
                <w:rFonts w:ascii="Arial Narrow" w:hAnsi="Arial Narrow" w:cs="Times New Roman"/>
                <w:sz w:val="20"/>
                <w:szCs w:val="20"/>
              </w:rPr>
              <w:t xml:space="preserve"> 28 day</w:t>
            </w:r>
            <w:r w:rsidRPr="00980D3E">
              <w:rPr>
                <w:rFonts w:ascii="Arial Narrow" w:hAnsi="Arial Narrow" w:cs="Times New Roman"/>
                <w:sz w:val="20"/>
                <w:szCs w:val="20"/>
              </w:rPr>
              <w:t xml:space="preserve"> cycle</w:t>
            </w:r>
          </w:p>
        </w:tc>
        <w:tc>
          <w:tcPr>
            <w:tcW w:w="930" w:type="pct"/>
          </w:tcPr>
          <w:p w:rsidR="00C47645"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c>
          <w:tcPr>
            <w:tcW w:w="1091" w:type="pct"/>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21</w:t>
            </w:r>
          </w:p>
        </w:tc>
      </w:tr>
      <w:tr w:rsidR="00C47645" w:rsidRPr="00980D3E" w:rsidTr="00D443C2">
        <w:tc>
          <w:tcPr>
            <w:tcW w:w="2979" w:type="pct"/>
            <w:vAlign w:val="bottom"/>
          </w:tcPr>
          <w:p w:rsidR="00C47645" w:rsidRPr="00980D3E" w:rsidRDefault="00C47645"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Cost of pomalidomide per cycle</w:t>
            </w:r>
            <w:r w:rsidR="00295285" w:rsidRPr="00980D3E">
              <w:rPr>
                <w:rFonts w:ascii="Arial Narrow" w:hAnsi="Arial Narrow" w:cs="Times New Roman"/>
                <w:sz w:val="20"/>
                <w:szCs w:val="20"/>
              </w:rPr>
              <w:t xml:space="preserve"> (AEMP)</w:t>
            </w:r>
          </w:p>
        </w:tc>
        <w:tc>
          <w:tcPr>
            <w:tcW w:w="930" w:type="pct"/>
          </w:tcPr>
          <w:p w:rsidR="00C47645"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c>
          <w:tcPr>
            <w:tcW w:w="1091" w:type="pct"/>
          </w:tcPr>
          <w:p w:rsidR="00ED6303" w:rsidRPr="00980D3E" w:rsidRDefault="00C47645" w:rsidP="00A85E1A">
            <w:pPr>
              <w:keepNext/>
              <w:keepLines/>
              <w:jc w:val="center"/>
              <w:rPr>
                <w:rFonts w:ascii="Arial Narrow" w:hAnsi="Arial Narrow" w:cs="Times New Roman"/>
                <w:sz w:val="20"/>
                <w:szCs w:val="20"/>
              </w:rPr>
            </w:pPr>
            <w:r w:rsidRPr="00980D3E">
              <w:rPr>
                <w:rFonts w:ascii="Arial Narrow" w:eastAsiaTheme="minorHAnsi" w:hAnsi="Arial Narrow" w:cstheme="minorBidi"/>
                <w:sz w:val="20"/>
                <w:szCs w:val="20"/>
              </w:rPr>
              <w:t>$10,5</w:t>
            </w:r>
            <w:r w:rsidR="00D81433" w:rsidRPr="00980D3E">
              <w:rPr>
                <w:rFonts w:ascii="Arial Narrow" w:eastAsiaTheme="minorHAnsi" w:hAnsi="Arial Narrow" w:cstheme="minorBidi"/>
                <w:sz w:val="20"/>
                <w:szCs w:val="20"/>
              </w:rPr>
              <w:t>00.00</w:t>
            </w:r>
          </w:p>
        </w:tc>
      </w:tr>
      <w:tr w:rsidR="00C47645" w:rsidRPr="00980D3E" w:rsidTr="00D443C2">
        <w:tc>
          <w:tcPr>
            <w:tcW w:w="2979" w:type="pct"/>
            <w:vAlign w:val="bottom"/>
          </w:tcPr>
          <w:p w:rsidR="00C47645" w:rsidRPr="00980D3E" w:rsidRDefault="006E41F5"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Dxm</w:t>
            </w:r>
            <w:r w:rsidR="00C47645" w:rsidRPr="00980D3E">
              <w:rPr>
                <w:rFonts w:ascii="Arial Narrow" w:hAnsi="Arial Narrow" w:cs="Times New Roman"/>
                <w:sz w:val="20"/>
                <w:szCs w:val="20"/>
              </w:rPr>
              <w:t xml:space="preserve"> dose [mg] (patients ≤</w:t>
            </w:r>
            <w:r w:rsidR="007B625A" w:rsidRPr="00980D3E">
              <w:rPr>
                <w:rFonts w:ascii="Arial Narrow" w:hAnsi="Arial Narrow" w:cs="Times New Roman"/>
                <w:sz w:val="20"/>
                <w:szCs w:val="20"/>
              </w:rPr>
              <w:t xml:space="preserve"> </w:t>
            </w:r>
            <w:r w:rsidR="00C47645" w:rsidRPr="00980D3E">
              <w:rPr>
                <w:rFonts w:ascii="Arial Narrow" w:hAnsi="Arial Narrow" w:cs="Times New Roman"/>
                <w:sz w:val="20"/>
                <w:szCs w:val="20"/>
              </w:rPr>
              <w:t>75 years of age)</w:t>
            </w:r>
          </w:p>
        </w:tc>
        <w:tc>
          <w:tcPr>
            <w:tcW w:w="930" w:type="pct"/>
          </w:tcPr>
          <w:p w:rsidR="00C47645" w:rsidRPr="00980D3E" w:rsidRDefault="00C47645" w:rsidP="00A85E1A">
            <w:pPr>
              <w:keepNext/>
              <w:keepLines/>
              <w:jc w:val="center"/>
              <w:rPr>
                <w:rFonts w:ascii="Arial Narrow" w:hAnsi="Arial Narrow" w:cs="Times New Roman"/>
                <w:sz w:val="20"/>
                <w:szCs w:val="20"/>
              </w:rPr>
            </w:pPr>
            <w:r w:rsidRPr="00DD6798">
              <w:rPr>
                <w:rFonts w:ascii="Arial Narrow" w:hAnsi="Arial Narrow" w:cs="Times New Roman"/>
                <w:sz w:val="20"/>
                <w:szCs w:val="20"/>
              </w:rPr>
              <w:t>40</w:t>
            </w:r>
          </w:p>
        </w:tc>
        <w:tc>
          <w:tcPr>
            <w:tcW w:w="1091" w:type="pct"/>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40</w:t>
            </w:r>
          </w:p>
        </w:tc>
      </w:tr>
      <w:tr w:rsidR="00C47645" w:rsidRPr="00980D3E" w:rsidTr="00D443C2">
        <w:tc>
          <w:tcPr>
            <w:tcW w:w="2979" w:type="pct"/>
            <w:vAlign w:val="bottom"/>
          </w:tcPr>
          <w:p w:rsidR="00C47645" w:rsidRPr="00980D3E" w:rsidRDefault="006E41F5"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Dxm</w:t>
            </w:r>
            <w:r w:rsidR="00C47645" w:rsidRPr="00980D3E">
              <w:rPr>
                <w:rFonts w:ascii="Arial Narrow" w:hAnsi="Arial Narrow" w:cs="Times New Roman"/>
                <w:sz w:val="20"/>
                <w:szCs w:val="20"/>
              </w:rPr>
              <w:t xml:space="preserve"> dosing frequency per cycle (patients ≤</w:t>
            </w:r>
            <w:r w:rsidR="007B625A" w:rsidRPr="00980D3E">
              <w:rPr>
                <w:rFonts w:ascii="Arial Narrow" w:hAnsi="Arial Narrow" w:cs="Times New Roman"/>
                <w:sz w:val="20"/>
                <w:szCs w:val="20"/>
              </w:rPr>
              <w:t xml:space="preserve"> </w:t>
            </w:r>
            <w:r w:rsidR="00C47645" w:rsidRPr="00980D3E">
              <w:rPr>
                <w:rFonts w:ascii="Arial Narrow" w:hAnsi="Arial Narrow" w:cs="Times New Roman"/>
                <w:sz w:val="20"/>
                <w:szCs w:val="20"/>
              </w:rPr>
              <w:t>75 years of age)</w:t>
            </w:r>
          </w:p>
        </w:tc>
        <w:tc>
          <w:tcPr>
            <w:tcW w:w="930" w:type="pct"/>
          </w:tcPr>
          <w:p w:rsidR="00C47645" w:rsidRPr="00980D3E" w:rsidRDefault="00C47645" w:rsidP="00A85E1A">
            <w:pPr>
              <w:keepNext/>
              <w:keepLines/>
              <w:jc w:val="center"/>
              <w:rPr>
                <w:rFonts w:ascii="Arial Narrow" w:hAnsi="Arial Narrow" w:cs="Times New Roman"/>
                <w:sz w:val="20"/>
                <w:szCs w:val="20"/>
              </w:rPr>
            </w:pPr>
            <w:r w:rsidRPr="00DD6798">
              <w:rPr>
                <w:rFonts w:ascii="Arial Narrow" w:hAnsi="Arial Narrow" w:cs="Times New Roman"/>
                <w:sz w:val="20"/>
                <w:szCs w:val="20"/>
              </w:rPr>
              <w:t>4</w:t>
            </w:r>
          </w:p>
        </w:tc>
        <w:tc>
          <w:tcPr>
            <w:tcW w:w="1091" w:type="pct"/>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4</w:t>
            </w:r>
          </w:p>
        </w:tc>
      </w:tr>
      <w:tr w:rsidR="00C47645" w:rsidRPr="00980D3E" w:rsidTr="00D443C2">
        <w:tc>
          <w:tcPr>
            <w:tcW w:w="2979" w:type="pct"/>
            <w:vAlign w:val="bottom"/>
          </w:tcPr>
          <w:p w:rsidR="00C47645" w:rsidRPr="00980D3E" w:rsidRDefault="006E41F5"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Dxm</w:t>
            </w:r>
            <w:r w:rsidR="00C47645" w:rsidRPr="00980D3E">
              <w:rPr>
                <w:rFonts w:ascii="Arial Narrow" w:hAnsi="Arial Narrow" w:cs="Times New Roman"/>
                <w:sz w:val="20"/>
                <w:szCs w:val="20"/>
              </w:rPr>
              <w:t xml:space="preserve"> dose [mg] (patients &gt;75 years of age)</w:t>
            </w:r>
          </w:p>
        </w:tc>
        <w:tc>
          <w:tcPr>
            <w:tcW w:w="930" w:type="pct"/>
          </w:tcPr>
          <w:p w:rsidR="00C47645" w:rsidRPr="00980D3E" w:rsidRDefault="00C47645" w:rsidP="00A85E1A">
            <w:pPr>
              <w:keepNext/>
              <w:keepLines/>
              <w:jc w:val="center"/>
              <w:rPr>
                <w:rFonts w:ascii="Arial Narrow" w:hAnsi="Arial Narrow" w:cs="Times New Roman"/>
                <w:sz w:val="20"/>
                <w:szCs w:val="20"/>
              </w:rPr>
            </w:pPr>
            <w:r w:rsidRPr="00DD6798">
              <w:rPr>
                <w:rFonts w:ascii="Arial Narrow" w:hAnsi="Arial Narrow" w:cs="Times New Roman"/>
                <w:sz w:val="20"/>
                <w:szCs w:val="20"/>
              </w:rPr>
              <w:t>40</w:t>
            </w:r>
          </w:p>
        </w:tc>
        <w:tc>
          <w:tcPr>
            <w:tcW w:w="1091" w:type="pct"/>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20</w:t>
            </w:r>
          </w:p>
        </w:tc>
      </w:tr>
      <w:tr w:rsidR="00C47645" w:rsidRPr="00980D3E" w:rsidTr="00D443C2">
        <w:tc>
          <w:tcPr>
            <w:tcW w:w="2979" w:type="pct"/>
            <w:vAlign w:val="bottom"/>
          </w:tcPr>
          <w:p w:rsidR="00C47645" w:rsidRPr="00980D3E" w:rsidRDefault="006E41F5"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Dxm</w:t>
            </w:r>
            <w:r w:rsidR="00C47645" w:rsidRPr="00980D3E">
              <w:rPr>
                <w:rFonts w:ascii="Arial Narrow" w:hAnsi="Arial Narrow" w:cs="Times New Roman"/>
                <w:sz w:val="20"/>
                <w:szCs w:val="20"/>
              </w:rPr>
              <w:t xml:space="preserve"> dosing frequency per cycle (patients &gt;</w:t>
            </w:r>
            <w:r w:rsidR="007B625A" w:rsidRPr="00980D3E">
              <w:rPr>
                <w:rFonts w:ascii="Arial Narrow" w:hAnsi="Arial Narrow" w:cs="Times New Roman"/>
                <w:sz w:val="20"/>
                <w:szCs w:val="20"/>
              </w:rPr>
              <w:t xml:space="preserve"> </w:t>
            </w:r>
            <w:r w:rsidR="00C47645" w:rsidRPr="00980D3E">
              <w:rPr>
                <w:rFonts w:ascii="Arial Narrow" w:hAnsi="Arial Narrow" w:cs="Times New Roman"/>
                <w:sz w:val="20"/>
                <w:szCs w:val="20"/>
              </w:rPr>
              <w:t>75 years of age)</w:t>
            </w:r>
          </w:p>
        </w:tc>
        <w:tc>
          <w:tcPr>
            <w:tcW w:w="930" w:type="pct"/>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4</w:t>
            </w:r>
          </w:p>
        </w:tc>
        <w:tc>
          <w:tcPr>
            <w:tcW w:w="1091" w:type="pct"/>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4</w:t>
            </w:r>
          </w:p>
        </w:tc>
      </w:tr>
      <w:tr w:rsidR="00C47645" w:rsidRPr="00980D3E" w:rsidTr="00D443C2">
        <w:tc>
          <w:tcPr>
            <w:tcW w:w="2979" w:type="pct"/>
            <w:vAlign w:val="bottom"/>
          </w:tcPr>
          <w:p w:rsidR="00C47645" w:rsidRPr="00980D3E" w:rsidRDefault="00C47645"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 xml:space="preserve">Cost of </w:t>
            </w:r>
            <w:r w:rsidR="001C7741" w:rsidRPr="00980D3E">
              <w:rPr>
                <w:rFonts w:ascii="Arial Narrow" w:hAnsi="Arial Narrow" w:cs="Times New Roman"/>
                <w:sz w:val="20"/>
                <w:szCs w:val="20"/>
              </w:rPr>
              <w:t>Dxm</w:t>
            </w:r>
            <w:r w:rsidRPr="00980D3E">
              <w:rPr>
                <w:rFonts w:ascii="Arial Narrow" w:hAnsi="Arial Narrow" w:cs="Times New Roman"/>
                <w:sz w:val="20"/>
                <w:szCs w:val="20"/>
              </w:rPr>
              <w:t xml:space="preserve"> per cycle</w:t>
            </w:r>
          </w:p>
        </w:tc>
        <w:tc>
          <w:tcPr>
            <w:tcW w:w="930" w:type="pct"/>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r w:rsidRPr="00DD6798">
              <w:rPr>
                <w:rFonts w:ascii="Arial Narrow" w:hAnsi="Arial Narrow" w:cs="Times New Roman"/>
                <w:sz w:val="20"/>
                <w:szCs w:val="20"/>
              </w:rPr>
              <w:t>22</w:t>
            </w:r>
          </w:p>
        </w:tc>
        <w:tc>
          <w:tcPr>
            <w:tcW w:w="1091" w:type="pct"/>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$21</w:t>
            </w:r>
          </w:p>
        </w:tc>
      </w:tr>
      <w:tr w:rsidR="007B625A" w:rsidRPr="00980D3E" w:rsidTr="00D443C2">
        <w:tc>
          <w:tcPr>
            <w:tcW w:w="2979" w:type="pct"/>
            <w:vAlign w:val="bottom"/>
          </w:tcPr>
          <w:p w:rsidR="007B625A" w:rsidRPr="00980D3E" w:rsidRDefault="007B625A" w:rsidP="00A85E1A">
            <w:pPr>
              <w:keepNext/>
              <w:keepLines/>
              <w:jc w:val="left"/>
              <w:rPr>
                <w:rFonts w:ascii="Arial Narrow" w:hAnsi="Arial Narrow" w:cs="Times New Roman"/>
                <w:sz w:val="20"/>
                <w:szCs w:val="20"/>
              </w:rPr>
            </w:pPr>
            <w:r w:rsidRPr="00980D3E">
              <w:rPr>
                <w:rFonts w:ascii="Arial Narrow" w:hAnsi="Arial Narrow" w:cs="Times New Roman"/>
                <w:b/>
                <w:sz w:val="20"/>
                <w:szCs w:val="20"/>
              </w:rPr>
              <w:t>Cost of prophylaxis medications</w:t>
            </w:r>
          </w:p>
        </w:tc>
        <w:tc>
          <w:tcPr>
            <w:tcW w:w="930"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c>
          <w:tcPr>
            <w:tcW w:w="1091"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r>
      <w:tr w:rsidR="007B625A" w:rsidRPr="00980D3E" w:rsidTr="00D443C2">
        <w:tc>
          <w:tcPr>
            <w:tcW w:w="2979" w:type="pct"/>
            <w:vAlign w:val="bottom"/>
          </w:tcPr>
          <w:p w:rsidR="007B625A" w:rsidRPr="00980D3E" w:rsidRDefault="007B625A" w:rsidP="00A85E1A">
            <w:pPr>
              <w:keepNext/>
              <w:keepLines/>
              <w:jc w:val="left"/>
              <w:rPr>
                <w:rFonts w:ascii="Arial Narrow" w:hAnsi="Arial Narrow" w:cs="Times New Roman"/>
                <w:b/>
                <w:sz w:val="20"/>
                <w:szCs w:val="20"/>
              </w:rPr>
            </w:pPr>
            <w:r w:rsidRPr="00980D3E">
              <w:rPr>
                <w:rFonts w:ascii="Arial Narrow" w:hAnsi="Arial Narrow" w:cs="Times New Roman"/>
                <w:sz w:val="20"/>
                <w:szCs w:val="20"/>
              </w:rPr>
              <w:t>Ondansetron 8 mg intravenous</w:t>
            </w:r>
          </w:p>
        </w:tc>
        <w:tc>
          <w:tcPr>
            <w:tcW w:w="930"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r w:rsidRPr="00DD6798">
              <w:rPr>
                <w:rFonts w:ascii="Arial Narrow" w:hAnsi="Arial Narrow" w:cs="Times New Roman"/>
                <w:sz w:val="20"/>
                <w:szCs w:val="20"/>
              </w:rPr>
              <w:t>1</w:t>
            </w:r>
          </w:p>
        </w:tc>
        <w:tc>
          <w:tcPr>
            <w:tcW w:w="1091"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r>
      <w:tr w:rsidR="007B625A" w:rsidRPr="00980D3E" w:rsidTr="00D443C2">
        <w:tc>
          <w:tcPr>
            <w:tcW w:w="2979" w:type="pct"/>
            <w:vAlign w:val="bottom"/>
          </w:tcPr>
          <w:p w:rsidR="007B625A" w:rsidRPr="00980D3E" w:rsidRDefault="007B625A"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 xml:space="preserve">Promethazine hydrochloride </w:t>
            </w:r>
          </w:p>
        </w:tc>
        <w:tc>
          <w:tcPr>
            <w:tcW w:w="930"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r w:rsidRPr="00DD6798">
              <w:rPr>
                <w:rFonts w:ascii="Arial Narrow" w:hAnsi="Arial Narrow" w:cs="Times New Roman"/>
                <w:sz w:val="20"/>
                <w:szCs w:val="20"/>
              </w:rPr>
              <w:t>8</w:t>
            </w:r>
          </w:p>
        </w:tc>
        <w:tc>
          <w:tcPr>
            <w:tcW w:w="1091"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r>
      <w:tr w:rsidR="007B625A" w:rsidRPr="00980D3E" w:rsidTr="00D443C2">
        <w:tc>
          <w:tcPr>
            <w:tcW w:w="2979" w:type="pct"/>
            <w:vAlign w:val="bottom"/>
          </w:tcPr>
          <w:p w:rsidR="007B625A" w:rsidRPr="00980D3E" w:rsidRDefault="007B625A"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 xml:space="preserve">Prochlorperazine mesylate </w:t>
            </w:r>
          </w:p>
        </w:tc>
        <w:tc>
          <w:tcPr>
            <w:tcW w:w="930"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r w:rsidRPr="00DD6798">
              <w:rPr>
                <w:rFonts w:ascii="Arial Narrow" w:hAnsi="Arial Narrow" w:cs="Times New Roman"/>
                <w:sz w:val="20"/>
                <w:szCs w:val="20"/>
              </w:rPr>
              <w:t>4</w:t>
            </w:r>
          </w:p>
        </w:tc>
        <w:tc>
          <w:tcPr>
            <w:tcW w:w="1091"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r>
      <w:tr w:rsidR="007B625A" w:rsidRPr="00980D3E" w:rsidTr="00D443C2">
        <w:tc>
          <w:tcPr>
            <w:tcW w:w="2979" w:type="pct"/>
            <w:vAlign w:val="bottom"/>
          </w:tcPr>
          <w:p w:rsidR="007B625A" w:rsidRPr="00980D3E" w:rsidRDefault="007B625A" w:rsidP="00A85E1A">
            <w:pPr>
              <w:keepNext/>
              <w:keepLines/>
              <w:jc w:val="left"/>
              <w:rPr>
                <w:rFonts w:ascii="Arial Narrow" w:hAnsi="Arial Narrow" w:cs="Times New Roman"/>
                <w:sz w:val="20"/>
                <w:szCs w:val="20"/>
              </w:rPr>
            </w:pPr>
            <w:r w:rsidRPr="00980D3E">
              <w:rPr>
                <w:rFonts w:ascii="Arial Narrow" w:hAnsi="Arial Narrow" w:cs="Times New Roman"/>
                <w:sz w:val="20"/>
                <w:szCs w:val="20"/>
              </w:rPr>
              <w:t xml:space="preserve">Aspirin </w:t>
            </w:r>
          </w:p>
        </w:tc>
        <w:tc>
          <w:tcPr>
            <w:tcW w:w="930"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c>
          <w:tcPr>
            <w:tcW w:w="1091"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$4.56</w:t>
            </w:r>
          </w:p>
        </w:tc>
      </w:tr>
      <w:tr w:rsidR="007B625A" w:rsidRPr="00980D3E" w:rsidTr="00D443C2">
        <w:tc>
          <w:tcPr>
            <w:tcW w:w="2979" w:type="pct"/>
            <w:vAlign w:val="bottom"/>
          </w:tcPr>
          <w:p w:rsidR="007B625A" w:rsidRPr="00980D3E" w:rsidRDefault="007B625A" w:rsidP="00A85E1A">
            <w:pPr>
              <w:keepNext/>
              <w:keepLines/>
              <w:jc w:val="left"/>
              <w:rPr>
                <w:rFonts w:ascii="Arial Narrow" w:hAnsi="Arial Narrow" w:cs="Times New Roman"/>
                <w:sz w:val="20"/>
                <w:szCs w:val="20"/>
              </w:rPr>
            </w:pPr>
            <w:r w:rsidRPr="00980D3E">
              <w:rPr>
                <w:rFonts w:ascii="Arial Narrow" w:hAnsi="Arial Narrow" w:cs="Times New Roman"/>
                <w:b/>
                <w:sz w:val="20"/>
                <w:szCs w:val="20"/>
              </w:rPr>
              <w:t>Administration costs</w:t>
            </w:r>
          </w:p>
        </w:tc>
        <w:tc>
          <w:tcPr>
            <w:tcW w:w="930"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c>
          <w:tcPr>
            <w:tcW w:w="1091"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r>
      <w:tr w:rsidR="007B625A" w:rsidRPr="00980D3E" w:rsidTr="00D443C2">
        <w:tc>
          <w:tcPr>
            <w:tcW w:w="2979" w:type="pct"/>
            <w:vAlign w:val="bottom"/>
          </w:tcPr>
          <w:p w:rsidR="007B625A" w:rsidRPr="00980D3E" w:rsidRDefault="007B625A" w:rsidP="00A85E1A">
            <w:pPr>
              <w:keepNext/>
              <w:keepLines/>
              <w:jc w:val="left"/>
              <w:rPr>
                <w:rFonts w:ascii="Arial Narrow" w:hAnsi="Arial Narrow" w:cs="Times New Roman"/>
                <w:b/>
                <w:sz w:val="20"/>
                <w:szCs w:val="20"/>
              </w:rPr>
            </w:pPr>
            <w:r w:rsidRPr="00980D3E">
              <w:rPr>
                <w:rFonts w:ascii="Arial Narrow" w:hAnsi="Arial Narrow" w:cs="Times New Roman"/>
                <w:sz w:val="20"/>
                <w:szCs w:val="20"/>
              </w:rPr>
              <w:t>Intravenous administration</w:t>
            </w:r>
          </w:p>
        </w:tc>
        <w:tc>
          <w:tcPr>
            <w:tcW w:w="930"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1091" w:type="pct"/>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r>
      <w:tr w:rsidR="007B625A" w:rsidRPr="00980D3E" w:rsidTr="00D443C2">
        <w:tc>
          <w:tcPr>
            <w:tcW w:w="2979" w:type="pct"/>
            <w:tcBorders>
              <w:bottom w:val="single" w:sz="4" w:space="0" w:color="auto"/>
            </w:tcBorders>
            <w:vAlign w:val="bottom"/>
          </w:tcPr>
          <w:p w:rsidR="007B625A" w:rsidRPr="00980D3E" w:rsidRDefault="007B625A" w:rsidP="00A85E1A">
            <w:pPr>
              <w:keepNext/>
              <w:keepLines/>
              <w:jc w:val="left"/>
              <w:rPr>
                <w:rFonts w:ascii="Arial Narrow" w:hAnsi="Arial Narrow" w:cs="Times New Roman"/>
                <w:sz w:val="20"/>
                <w:szCs w:val="20"/>
              </w:rPr>
            </w:pPr>
            <w:r w:rsidRPr="00980D3E">
              <w:rPr>
                <w:rFonts w:ascii="Arial Narrow" w:hAnsi="Arial Narrow" w:cs="Times New Roman"/>
                <w:b/>
                <w:sz w:val="20"/>
                <w:szCs w:val="20"/>
              </w:rPr>
              <w:t>Treatment of Adverse events</w:t>
            </w:r>
          </w:p>
        </w:tc>
        <w:tc>
          <w:tcPr>
            <w:tcW w:w="930" w:type="pct"/>
            <w:tcBorders>
              <w:bottom w:val="single" w:sz="4" w:space="0" w:color="auto"/>
            </w:tcBorders>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c>
          <w:tcPr>
            <w:tcW w:w="1091" w:type="pct"/>
            <w:tcBorders>
              <w:bottom w:val="single" w:sz="4" w:space="0" w:color="auto"/>
            </w:tcBorders>
          </w:tcPr>
          <w:p w:rsidR="007B625A" w:rsidRPr="00980D3E" w:rsidRDefault="007B625A"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p>
        </w:tc>
      </w:tr>
      <w:tr w:rsidR="00C47645" w:rsidRPr="00980D3E" w:rsidTr="00D443C2">
        <w:tc>
          <w:tcPr>
            <w:tcW w:w="2979" w:type="pct"/>
            <w:tcBorders>
              <w:bottom w:val="nil"/>
            </w:tcBorders>
            <w:vAlign w:val="bottom"/>
          </w:tcPr>
          <w:p w:rsidR="00C47645" w:rsidRPr="00980D3E" w:rsidRDefault="00C47645" w:rsidP="00A85E1A">
            <w:pPr>
              <w:keepNext/>
              <w:keepLines/>
              <w:jc w:val="left"/>
              <w:rPr>
                <w:rFonts w:ascii="Arial Narrow" w:hAnsi="Arial Narrow" w:cs="Times New Roman"/>
                <w:b/>
                <w:sz w:val="20"/>
                <w:szCs w:val="20"/>
              </w:rPr>
            </w:pPr>
            <w:r w:rsidRPr="00980D3E">
              <w:rPr>
                <w:rFonts w:ascii="Arial Narrow" w:hAnsi="Arial Narrow" w:cs="Times New Roman"/>
                <w:sz w:val="20"/>
                <w:szCs w:val="20"/>
              </w:rPr>
              <w:t>Cost of AEs</w:t>
            </w:r>
          </w:p>
        </w:tc>
        <w:tc>
          <w:tcPr>
            <w:tcW w:w="930" w:type="pct"/>
            <w:tcBorders>
              <w:bottom w:val="nil"/>
            </w:tcBorders>
          </w:tcPr>
          <w:p w:rsidR="00C47645" w:rsidRPr="00980D3E" w:rsidRDefault="00C4764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1091" w:type="pct"/>
            <w:tcBorders>
              <w:bottom w:val="nil"/>
            </w:tcBorders>
          </w:tcPr>
          <w:p w:rsidR="00C47645" w:rsidRPr="00980D3E" w:rsidRDefault="00295285" w:rsidP="00A85E1A">
            <w:pPr>
              <w:keepNext/>
              <w:keepLines/>
              <w:jc w:val="center"/>
              <w:rPr>
                <w:rFonts w:ascii="Arial Narrow" w:hAnsi="Arial Narrow" w:cs="Times New Roman"/>
                <w:sz w:val="20"/>
                <w:szCs w:val="20"/>
              </w:rPr>
            </w:pPr>
            <w:r w:rsidRPr="00980D3E">
              <w:rPr>
                <w:rFonts w:ascii="Arial Narrow" w:hAnsi="Arial Narrow" w:cs="Times New Roman"/>
                <w:sz w:val="20"/>
                <w:szCs w:val="20"/>
              </w:rPr>
              <w:t>$517.06</w:t>
            </w:r>
          </w:p>
        </w:tc>
      </w:tr>
      <w:tr w:rsidR="00295285" w:rsidRPr="00980D3E" w:rsidTr="00D443C2">
        <w:tc>
          <w:tcPr>
            <w:tcW w:w="2979" w:type="pct"/>
            <w:vAlign w:val="bottom"/>
          </w:tcPr>
          <w:p w:rsidR="00295285" w:rsidRPr="00980D3E" w:rsidRDefault="00295285" w:rsidP="00A85E1A">
            <w:pPr>
              <w:keepNext/>
              <w:keepLines/>
              <w:jc w:val="left"/>
              <w:rPr>
                <w:rFonts w:ascii="Arial Narrow" w:hAnsi="Arial Narrow" w:cs="Times New Roman"/>
                <w:sz w:val="20"/>
                <w:szCs w:val="20"/>
              </w:rPr>
            </w:pPr>
            <w:r w:rsidRPr="00980D3E">
              <w:rPr>
                <w:rFonts w:ascii="Arial Narrow" w:hAnsi="Arial Narrow" w:cs="Times New Roman"/>
                <w:b/>
                <w:sz w:val="20"/>
                <w:szCs w:val="20"/>
              </w:rPr>
              <w:t>Total cost of therapy (AEMP pricing)</w:t>
            </w:r>
          </w:p>
        </w:tc>
        <w:tc>
          <w:tcPr>
            <w:tcW w:w="930" w:type="pct"/>
          </w:tcPr>
          <w:p w:rsidR="00295285" w:rsidRPr="00980D3E" w:rsidRDefault="00295285" w:rsidP="00A85E1A">
            <w:pPr>
              <w:keepNext/>
              <w:keepLines/>
              <w:jc w:val="center"/>
              <w:rPr>
                <w:rFonts w:ascii="Arial Narrow" w:hAnsi="Arial Narrow" w:cs="Times New Roman"/>
                <w:sz w:val="20"/>
                <w:szCs w:val="20"/>
              </w:rPr>
            </w:pPr>
            <w:r w:rsidRPr="00980D3E">
              <w:rPr>
                <w:rFonts w:ascii="Arial Narrow" w:hAnsi="Arial Narrow" w:cs="Times New Roman"/>
                <w:b/>
                <w:sz w:val="20"/>
                <w:szCs w:val="20"/>
              </w:rPr>
              <w:t>$</w:t>
            </w:r>
            <w:r w:rsidRPr="00961F1F">
              <w:rPr>
                <w:rFonts w:ascii="Arial Narrow" w:hAnsi="Arial Narrow" w:cs="Times New Roman"/>
                <w:b/>
                <w:sz w:val="20"/>
                <w:szCs w:val="20"/>
              </w:rPr>
              <w:t>11,042.78</w:t>
            </w:r>
          </w:p>
        </w:tc>
        <w:tc>
          <w:tcPr>
            <w:tcW w:w="1091" w:type="pct"/>
          </w:tcPr>
          <w:p w:rsidR="00295285" w:rsidRPr="00980D3E" w:rsidRDefault="00295285" w:rsidP="00A85E1A">
            <w:pPr>
              <w:keepNext/>
              <w:keepLines/>
              <w:jc w:val="center"/>
              <w:rPr>
                <w:rFonts w:ascii="Arial Narrow" w:hAnsi="Arial Narrow" w:cs="Times New Roman"/>
                <w:sz w:val="20"/>
                <w:szCs w:val="20"/>
              </w:rPr>
            </w:pPr>
            <w:r w:rsidRPr="00980D3E">
              <w:rPr>
                <w:rFonts w:ascii="Arial Narrow" w:hAnsi="Arial Narrow" w:cs="Times New Roman"/>
                <w:b/>
                <w:sz w:val="20"/>
                <w:szCs w:val="20"/>
              </w:rPr>
              <w:t>$11,042.78</w:t>
            </w:r>
          </w:p>
        </w:tc>
      </w:tr>
      <w:tr w:rsidR="00C47645" w:rsidRPr="00980D3E" w:rsidTr="00D443C2">
        <w:tc>
          <w:tcPr>
            <w:tcW w:w="2979" w:type="pct"/>
            <w:vAlign w:val="bottom"/>
          </w:tcPr>
          <w:p w:rsidR="00C47645" w:rsidRPr="00980D3E" w:rsidRDefault="00B9557F" w:rsidP="00A85E1A">
            <w:pPr>
              <w:keepNext/>
              <w:keepLines/>
              <w:jc w:val="left"/>
              <w:rPr>
                <w:rFonts w:ascii="Arial Narrow" w:hAnsi="Arial Narrow" w:cs="Times New Roman"/>
                <w:b/>
                <w:sz w:val="20"/>
                <w:szCs w:val="20"/>
                <w:vertAlign w:val="superscript"/>
              </w:rPr>
            </w:pPr>
            <w:r w:rsidRPr="00980D3E">
              <w:rPr>
                <w:rFonts w:ascii="Arial Narrow" w:hAnsi="Arial Narrow" w:cs="Times New Roman"/>
                <w:b/>
                <w:sz w:val="20"/>
                <w:szCs w:val="20"/>
              </w:rPr>
              <w:t>Total cost of therapy (</w:t>
            </w:r>
            <w:r w:rsidR="00C47645" w:rsidRPr="00980D3E">
              <w:rPr>
                <w:rFonts w:ascii="Arial Narrow" w:hAnsi="Arial Narrow" w:cs="Times New Roman"/>
                <w:b/>
                <w:sz w:val="20"/>
                <w:szCs w:val="20"/>
              </w:rPr>
              <w:t>Corrected AE costs</w:t>
            </w:r>
            <w:r w:rsidRPr="00980D3E">
              <w:rPr>
                <w:rFonts w:ascii="Arial Narrow" w:hAnsi="Arial Narrow" w:cs="Times New Roman"/>
                <w:b/>
                <w:sz w:val="20"/>
                <w:szCs w:val="20"/>
              </w:rPr>
              <w:t>, AEMP pricing</w:t>
            </w:r>
            <w:r w:rsidR="002D76F8" w:rsidRPr="00980D3E">
              <w:rPr>
                <w:rFonts w:ascii="Arial Narrow" w:hAnsi="Arial Narrow" w:cs="Times New Roman"/>
                <w:b/>
                <w:sz w:val="20"/>
                <w:szCs w:val="20"/>
              </w:rPr>
              <w:t>)</w:t>
            </w:r>
            <w:r w:rsidR="00295285" w:rsidRPr="00980D3E">
              <w:rPr>
                <w:rFonts w:ascii="Arial Narrow" w:hAnsi="Arial Narrow" w:cs="Times New Roman"/>
                <w:b/>
                <w:sz w:val="20"/>
                <w:szCs w:val="20"/>
                <w:vertAlign w:val="superscript"/>
              </w:rPr>
              <w:t>a</w:t>
            </w:r>
          </w:p>
        </w:tc>
        <w:tc>
          <w:tcPr>
            <w:tcW w:w="930" w:type="pct"/>
          </w:tcPr>
          <w:p w:rsidR="00C47645" w:rsidRPr="00980D3E" w:rsidRDefault="00C47645" w:rsidP="00A85E1A">
            <w:pPr>
              <w:keepNext/>
              <w:keepLines/>
              <w:jc w:val="center"/>
              <w:rPr>
                <w:rFonts w:ascii="Arial Narrow" w:hAnsi="Arial Narrow" w:cs="Times New Roman"/>
                <w:b/>
                <w:sz w:val="20"/>
                <w:szCs w:val="20"/>
              </w:rPr>
            </w:pPr>
            <w:r w:rsidRPr="00980D3E">
              <w:rPr>
                <w:rFonts w:ascii="Arial Narrow" w:hAnsi="Arial Narrow" w:cs="Times New Roman"/>
                <w:b/>
                <w:sz w:val="20"/>
                <w:szCs w:val="20"/>
              </w:rPr>
              <w:t>$</w:t>
            </w:r>
            <w:r w:rsidRPr="00961F1F">
              <w:rPr>
                <w:rFonts w:ascii="Arial Narrow" w:hAnsi="Arial Narrow" w:cs="Times New Roman"/>
                <w:b/>
                <w:sz w:val="20"/>
                <w:szCs w:val="20"/>
              </w:rPr>
              <w:t>11,130.35</w:t>
            </w:r>
          </w:p>
        </w:tc>
        <w:tc>
          <w:tcPr>
            <w:tcW w:w="1091" w:type="pct"/>
          </w:tcPr>
          <w:p w:rsidR="00C47645" w:rsidRPr="00980D3E" w:rsidRDefault="00C47645" w:rsidP="00A85E1A">
            <w:pPr>
              <w:keepNext/>
              <w:keepLines/>
              <w:jc w:val="center"/>
              <w:rPr>
                <w:rFonts w:ascii="Arial Narrow" w:hAnsi="Arial Narrow" w:cs="Times New Roman"/>
                <w:b/>
                <w:sz w:val="20"/>
                <w:szCs w:val="20"/>
              </w:rPr>
            </w:pPr>
            <w:r w:rsidRPr="00980D3E">
              <w:rPr>
                <w:rFonts w:ascii="Arial Narrow" w:hAnsi="Arial Narrow" w:cs="Times New Roman"/>
                <w:b/>
                <w:sz w:val="20"/>
                <w:szCs w:val="20"/>
              </w:rPr>
              <w:t>$11,130.35</w:t>
            </w:r>
          </w:p>
        </w:tc>
      </w:tr>
      <w:tr w:rsidR="00295285" w:rsidRPr="00980D3E" w:rsidTr="00D443C2">
        <w:tc>
          <w:tcPr>
            <w:tcW w:w="2979" w:type="pct"/>
            <w:vAlign w:val="bottom"/>
          </w:tcPr>
          <w:p w:rsidR="00295285" w:rsidRPr="00980D3E" w:rsidRDefault="00295285" w:rsidP="00A85E1A">
            <w:pPr>
              <w:keepNext/>
              <w:keepLines/>
              <w:jc w:val="left"/>
              <w:rPr>
                <w:rFonts w:ascii="Arial Narrow" w:hAnsi="Arial Narrow" w:cs="Times New Roman"/>
                <w:b/>
                <w:sz w:val="20"/>
                <w:szCs w:val="20"/>
              </w:rPr>
            </w:pPr>
            <w:r w:rsidRPr="00980D3E">
              <w:rPr>
                <w:rFonts w:ascii="Arial Narrow" w:hAnsi="Arial Narrow" w:cs="Times New Roman"/>
                <w:b/>
                <w:sz w:val="20"/>
                <w:szCs w:val="20"/>
              </w:rPr>
              <w:t xml:space="preserve">Total cost of therapy DPMQ pricing </w:t>
            </w:r>
          </w:p>
        </w:tc>
        <w:tc>
          <w:tcPr>
            <w:tcW w:w="930" w:type="pct"/>
          </w:tcPr>
          <w:p w:rsidR="00295285" w:rsidRPr="00980D3E" w:rsidRDefault="00295285" w:rsidP="00A85E1A">
            <w:pPr>
              <w:pStyle w:val="TableText0"/>
              <w:keepLines/>
              <w:jc w:val="center"/>
              <w:rPr>
                <w:rFonts w:cs="Times New Roman"/>
                <w:b/>
                <w:szCs w:val="20"/>
              </w:rPr>
            </w:pPr>
            <w:r w:rsidRPr="00980D3E">
              <w:rPr>
                <w:b/>
                <w:szCs w:val="20"/>
              </w:rPr>
              <w:t>$</w:t>
            </w:r>
            <w:r w:rsidRPr="00961F1F">
              <w:rPr>
                <w:b/>
                <w:szCs w:val="20"/>
              </w:rPr>
              <w:t>11,090.07</w:t>
            </w:r>
          </w:p>
        </w:tc>
        <w:tc>
          <w:tcPr>
            <w:tcW w:w="1091" w:type="pct"/>
          </w:tcPr>
          <w:p w:rsidR="00295285" w:rsidRPr="00980D3E" w:rsidRDefault="00295285" w:rsidP="00A85E1A">
            <w:pPr>
              <w:pStyle w:val="TableText0"/>
              <w:keepLines/>
              <w:jc w:val="center"/>
              <w:rPr>
                <w:rFonts w:cs="Times New Roman"/>
                <w:b/>
                <w:szCs w:val="20"/>
              </w:rPr>
            </w:pPr>
            <w:r w:rsidRPr="00980D3E">
              <w:rPr>
                <w:b/>
                <w:szCs w:val="20"/>
              </w:rPr>
              <w:t>$11,090.07</w:t>
            </w:r>
          </w:p>
        </w:tc>
      </w:tr>
      <w:tr w:rsidR="00990C17" w:rsidRPr="00980D3E" w:rsidTr="00961F1F">
        <w:trPr>
          <w:trHeight w:val="85"/>
        </w:trPr>
        <w:tc>
          <w:tcPr>
            <w:tcW w:w="2979" w:type="pct"/>
            <w:vAlign w:val="bottom"/>
          </w:tcPr>
          <w:p w:rsidR="00990C17" w:rsidRPr="00980D3E" w:rsidRDefault="00990C17" w:rsidP="00A85E1A">
            <w:pPr>
              <w:keepNext/>
              <w:keepLines/>
              <w:jc w:val="left"/>
              <w:rPr>
                <w:rFonts w:ascii="Arial Narrow" w:hAnsi="Arial Narrow" w:cs="Times New Roman"/>
                <w:b/>
                <w:sz w:val="20"/>
                <w:szCs w:val="20"/>
                <w:vertAlign w:val="superscript"/>
              </w:rPr>
            </w:pPr>
            <w:r w:rsidRPr="00980D3E">
              <w:rPr>
                <w:rFonts w:ascii="Arial Narrow" w:hAnsi="Arial Narrow" w:cs="Times New Roman"/>
                <w:b/>
                <w:sz w:val="20"/>
                <w:szCs w:val="20"/>
              </w:rPr>
              <w:t>Total cost of therapy (July 2019 submission</w:t>
            </w:r>
            <w:r w:rsidR="007E42EF" w:rsidRPr="00980D3E">
              <w:rPr>
                <w:rFonts w:ascii="Arial Narrow" w:hAnsi="Arial Narrow" w:cs="Times New Roman"/>
                <w:b/>
                <w:sz w:val="20"/>
                <w:szCs w:val="20"/>
              </w:rPr>
              <w:t>, DPMQ pricing</w:t>
            </w:r>
            <w:r w:rsidRPr="00980D3E">
              <w:rPr>
                <w:rFonts w:ascii="Arial Narrow" w:hAnsi="Arial Narrow" w:cs="Times New Roman"/>
                <w:b/>
                <w:sz w:val="20"/>
                <w:szCs w:val="20"/>
              </w:rPr>
              <w:t>)</w:t>
            </w:r>
            <w:r w:rsidRPr="00980D3E">
              <w:rPr>
                <w:rFonts w:ascii="Arial Narrow" w:hAnsi="Arial Narrow" w:cs="Times New Roman"/>
                <w:b/>
                <w:sz w:val="20"/>
                <w:szCs w:val="20"/>
                <w:vertAlign w:val="superscript"/>
              </w:rPr>
              <w:t>b</w:t>
            </w:r>
          </w:p>
        </w:tc>
        <w:tc>
          <w:tcPr>
            <w:tcW w:w="930" w:type="pct"/>
          </w:tcPr>
          <w:p w:rsidR="00990C17" w:rsidRPr="00980D3E" w:rsidRDefault="00990C17" w:rsidP="00A85E1A">
            <w:pPr>
              <w:keepNext/>
              <w:keepLines/>
              <w:jc w:val="center"/>
              <w:rPr>
                <w:rFonts w:ascii="Arial Narrow" w:hAnsi="Arial Narrow" w:cs="Times New Roman"/>
                <w:b/>
                <w:sz w:val="20"/>
                <w:szCs w:val="20"/>
              </w:rPr>
            </w:pPr>
            <w:r w:rsidRPr="00980D3E">
              <w:rPr>
                <w:rFonts w:ascii="Arial Narrow" w:hAnsi="Arial Narrow" w:cs="Times New Roman"/>
                <w:b/>
                <w:sz w:val="20"/>
                <w:szCs w:val="20"/>
              </w:rPr>
              <w:t>$</w:t>
            </w:r>
            <w:r w:rsidRPr="00961F1F">
              <w:rPr>
                <w:rFonts w:ascii="Arial Narrow" w:hAnsi="Arial Narrow" w:cs="Times New Roman"/>
                <w:b/>
                <w:sz w:val="20"/>
                <w:szCs w:val="20"/>
              </w:rPr>
              <w:t>10,585</w:t>
            </w:r>
          </w:p>
        </w:tc>
        <w:tc>
          <w:tcPr>
            <w:tcW w:w="1091" w:type="pct"/>
          </w:tcPr>
          <w:p w:rsidR="00990C17" w:rsidRPr="00980D3E" w:rsidRDefault="00990C17" w:rsidP="00A85E1A">
            <w:pPr>
              <w:keepNext/>
              <w:keepLines/>
              <w:jc w:val="center"/>
              <w:rPr>
                <w:rFonts w:ascii="Arial Narrow" w:hAnsi="Arial Narrow" w:cs="Times New Roman"/>
                <w:b/>
                <w:sz w:val="20"/>
                <w:szCs w:val="20"/>
              </w:rPr>
            </w:pPr>
            <w:r w:rsidRPr="00980D3E">
              <w:rPr>
                <w:rFonts w:ascii="Arial Narrow" w:hAnsi="Arial Narrow" w:cs="Times New Roman"/>
                <w:b/>
                <w:sz w:val="20"/>
                <w:szCs w:val="20"/>
              </w:rPr>
              <w:t>$10,585</w:t>
            </w:r>
          </w:p>
        </w:tc>
      </w:tr>
    </w:tbl>
    <w:p w:rsidR="007B625A" w:rsidRPr="00980D3E" w:rsidRDefault="007B625A" w:rsidP="00D443C2">
      <w:pPr>
        <w:pStyle w:val="TableFigureFooter"/>
        <w:rPr>
          <w:i/>
        </w:rPr>
      </w:pPr>
      <w:r w:rsidRPr="00980D3E">
        <w:t xml:space="preserve">Source: Table 85, p210 of the resubmission, Excel Worksheet ‘Aplidin_EconomicModel_November2019_PRIMARY.xlsm’, sheet AEs of the resubmission and </w:t>
      </w:r>
      <w:r w:rsidR="0083484B" w:rsidRPr="00980D3E">
        <w:t>c</w:t>
      </w:r>
      <w:r w:rsidRPr="00980D3E">
        <w:t>alculated during the evaluation.</w:t>
      </w:r>
    </w:p>
    <w:p w:rsidR="00C47645" w:rsidRPr="00980D3E" w:rsidRDefault="00C47645" w:rsidP="00D443C2">
      <w:pPr>
        <w:pStyle w:val="TableFigureFooter"/>
      </w:pPr>
      <w:r w:rsidRPr="00980D3E">
        <w:t>AEs = adverse events;</w:t>
      </w:r>
      <w:r w:rsidR="00872A75" w:rsidRPr="00980D3E">
        <w:t xml:space="preserve"> AEMP = approved ex-manufacturer price;</w:t>
      </w:r>
      <w:r w:rsidRPr="00980D3E">
        <w:t xml:space="preserve"> </w:t>
      </w:r>
      <w:r w:rsidR="00C50AE9" w:rsidRPr="00980D3E">
        <w:t>Dxm</w:t>
      </w:r>
      <w:r w:rsidRPr="00980D3E">
        <w:t xml:space="preserve"> = dexamethasone.</w:t>
      </w:r>
    </w:p>
    <w:p w:rsidR="00C47645" w:rsidRPr="00980D3E" w:rsidRDefault="00295285" w:rsidP="00D443C2">
      <w:pPr>
        <w:pStyle w:val="TableFigureFooter"/>
      </w:pPr>
      <w:r w:rsidRPr="00980D3E">
        <w:rPr>
          <w:vertAlign w:val="superscript"/>
        </w:rPr>
        <w:t>a</w:t>
      </w:r>
      <w:r w:rsidR="00C47645" w:rsidRPr="00980D3E">
        <w:t xml:space="preserve"> </w:t>
      </w:r>
      <w:r w:rsidR="00B9557F" w:rsidRPr="00980D3E">
        <w:t>Included cost of treating vomiting and myalgia increasing plitidepsin AE costs to $</w:t>
      </w:r>
      <w:r w:rsidR="00F11546">
        <w:rPr>
          <w:noProof/>
          <w:color w:val="000000"/>
          <w:highlight w:val="black"/>
        </w:rPr>
        <w:t>'''''''''''''''</w:t>
      </w:r>
      <w:r w:rsidR="00B9557F" w:rsidRPr="00980D3E">
        <w:t xml:space="preserve"> and pomalidomide AE costs to $517.65. Cost of plitidepsin decreased to $</w:t>
      </w:r>
      <w:r w:rsidR="00F11546">
        <w:rPr>
          <w:noProof/>
          <w:color w:val="000000"/>
          <w:highlight w:val="black"/>
        </w:rPr>
        <w:t>''''''''''''''''''''''''</w:t>
      </w:r>
      <w:r w:rsidR="00990C17" w:rsidRPr="00980D3E">
        <w:t xml:space="preserve"> (AEMP)</w:t>
      </w:r>
      <w:r w:rsidR="00B9557F" w:rsidRPr="00980D3E">
        <w:t xml:space="preserve">. </w:t>
      </w:r>
    </w:p>
    <w:p w:rsidR="0086714A" w:rsidRPr="00980D3E" w:rsidRDefault="00990C17" w:rsidP="00D443C2">
      <w:pPr>
        <w:pStyle w:val="TableFigureFooter"/>
      </w:pPr>
      <w:r w:rsidRPr="00980D3E">
        <w:rPr>
          <w:vertAlign w:val="superscript"/>
        </w:rPr>
        <w:t xml:space="preserve">b </w:t>
      </w:r>
      <w:r w:rsidRPr="00980D3E">
        <w:t>As presented in the July 2019 P</w:t>
      </w:r>
      <w:r w:rsidR="00BB7829">
        <w:t>SD</w:t>
      </w:r>
      <w:r w:rsidRPr="00980D3E">
        <w:t xml:space="preserve"> which used corrected AE costs of $</w:t>
      </w:r>
      <w:r w:rsidR="00F11546">
        <w:rPr>
          <w:noProof/>
          <w:color w:val="000000"/>
          <w:highlight w:val="black"/>
        </w:rPr>
        <w:t>''''''</w:t>
      </w:r>
      <w:r w:rsidRPr="00980D3E">
        <w:t xml:space="preserve"> for plitidepsin and $11.99 for pomalidomide.</w:t>
      </w:r>
      <w:r w:rsidR="007E42EF" w:rsidRPr="00980D3E">
        <w:t xml:space="preserve"> </w:t>
      </w:r>
    </w:p>
    <w:p w:rsidR="00DA5A3E" w:rsidRPr="00980D3E" w:rsidRDefault="0086714A" w:rsidP="00627894">
      <w:pPr>
        <w:pStyle w:val="3-BodyText"/>
      </w:pPr>
      <w:r w:rsidRPr="00980D3E">
        <w:t>Based on the CMA, the AEMP for a cycle of plitidepsin was $</w:t>
      </w:r>
      <w:r w:rsidR="00F11546">
        <w:rPr>
          <w:noProof/>
          <w:color w:val="000000"/>
          <w:highlight w:val="black"/>
        </w:rPr>
        <w:t>'''''''''''''''''''</w:t>
      </w:r>
      <w:r w:rsidRPr="00980D3E">
        <w:t>, which was more than the requested PBS price based on a maximum dose of 20 mg per cycle of $</w:t>
      </w:r>
      <w:r w:rsidR="00F11546">
        <w:rPr>
          <w:noProof/>
          <w:color w:val="000000"/>
          <w:highlight w:val="black"/>
        </w:rPr>
        <w:t>'''''''''''''''</w:t>
      </w:r>
      <w:r w:rsidRPr="00980D3E">
        <w:t xml:space="preserve">. </w:t>
      </w:r>
    </w:p>
    <w:p w:rsidR="00C47645" w:rsidRPr="00980D3E" w:rsidRDefault="00C47645" w:rsidP="00C47645">
      <w:pPr>
        <w:pStyle w:val="3-BodyText"/>
        <w:numPr>
          <w:ilvl w:val="0"/>
          <w:numId w:val="0"/>
        </w:numPr>
        <w:rPr>
          <w:u w:val="single"/>
        </w:rPr>
      </w:pPr>
      <w:r w:rsidRPr="00980D3E">
        <w:rPr>
          <w:u w:val="single"/>
        </w:rPr>
        <w:t>Cost-utility analysis</w:t>
      </w:r>
      <w:r w:rsidR="00EB20BF" w:rsidRPr="00980D3E">
        <w:rPr>
          <w:u w:val="single"/>
        </w:rPr>
        <w:t xml:space="preserve"> (fourth-line setting)</w:t>
      </w:r>
    </w:p>
    <w:p w:rsidR="00C47645" w:rsidRPr="00980D3E" w:rsidRDefault="00C47645" w:rsidP="00C2673A">
      <w:pPr>
        <w:pStyle w:val="3-BodyText"/>
      </w:pPr>
      <w:r w:rsidRPr="00980D3E">
        <w:t xml:space="preserve">The resubmission presented a revised cost utility analysis that compared plitidepsin + </w:t>
      </w:r>
      <w:r w:rsidR="00C50AE9" w:rsidRPr="00980D3E">
        <w:t>Dxm</w:t>
      </w:r>
      <w:r w:rsidRPr="00980D3E">
        <w:t xml:space="preserve"> with </w:t>
      </w:r>
      <w:r w:rsidR="00C50AE9" w:rsidRPr="00980D3E">
        <w:t>Dxm</w:t>
      </w:r>
      <w:r w:rsidRPr="00980D3E">
        <w:t xml:space="preserve"> monotherapy as </w:t>
      </w:r>
      <w:r w:rsidR="00CC4094" w:rsidRPr="00980D3E">
        <w:t xml:space="preserve">a </w:t>
      </w:r>
      <w:r w:rsidRPr="00980D3E">
        <w:t>fourth</w:t>
      </w:r>
      <w:r w:rsidR="00CC4094" w:rsidRPr="00980D3E">
        <w:t>-</w:t>
      </w:r>
      <w:r w:rsidRPr="00980D3E">
        <w:t xml:space="preserve">line treatment. The structure of the model was unchanged from the previous submission. </w:t>
      </w:r>
      <w:r w:rsidR="00C2673A" w:rsidRPr="00980D3E">
        <w:rPr>
          <w:szCs w:val="20"/>
        </w:rPr>
        <w:t>Table 16</w:t>
      </w:r>
      <w:r w:rsidRPr="00980D3E">
        <w:t xml:space="preserve"> presents an overview of the economic model</w:t>
      </w:r>
      <w:r w:rsidR="002D76F8" w:rsidRPr="00980D3E">
        <w:t xml:space="preserve"> presented in the resubmission compared to that presented in July 2019</w:t>
      </w:r>
      <w:r w:rsidRPr="00980D3E">
        <w:t xml:space="preserve">. </w:t>
      </w:r>
    </w:p>
    <w:p w:rsidR="00C47645" w:rsidRPr="00980D3E" w:rsidRDefault="00C47645" w:rsidP="00D443C2">
      <w:pPr>
        <w:pStyle w:val="TableHeading"/>
      </w:pPr>
      <w:bookmarkStart w:id="48" w:name="_Ref33524945"/>
      <w:r w:rsidRPr="00980D3E">
        <w:lastRenderedPageBreak/>
        <w:t xml:space="preserve">Table </w:t>
      </w:r>
      <w:r w:rsidR="00C2673A" w:rsidRPr="00980D3E">
        <w:t>16</w:t>
      </w:r>
      <w:bookmarkEnd w:id="48"/>
      <w:r w:rsidRPr="00980D3E">
        <w:t xml:space="preserve">: Key differences between submissions in the economic model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122"/>
        <w:gridCol w:w="1701"/>
        <w:gridCol w:w="1841"/>
        <w:gridCol w:w="1535"/>
        <w:gridCol w:w="1818"/>
      </w:tblGrid>
      <w:tr w:rsidR="00C47645" w:rsidRPr="00980D3E" w:rsidTr="00D443C2">
        <w:trPr>
          <w:tblHeader/>
        </w:trPr>
        <w:tc>
          <w:tcPr>
            <w:tcW w:w="1177" w:type="pct"/>
            <w:shd w:val="clear" w:color="auto" w:fill="auto"/>
          </w:tcPr>
          <w:p w:rsidR="00C47645" w:rsidRPr="00980D3E" w:rsidRDefault="00C47645" w:rsidP="00B96906">
            <w:pPr>
              <w:pStyle w:val="In-tableHeading"/>
              <w:keepLines/>
              <w:rPr>
                <w:szCs w:val="20"/>
                <w:highlight w:val="cyan"/>
                <w:lang w:val="en-AU"/>
              </w:rPr>
            </w:pPr>
            <w:r w:rsidRPr="00980D3E">
              <w:rPr>
                <w:szCs w:val="20"/>
                <w:lang w:val="en-AU"/>
              </w:rPr>
              <w:t>Component</w:t>
            </w:r>
          </w:p>
        </w:tc>
        <w:tc>
          <w:tcPr>
            <w:tcW w:w="1964" w:type="pct"/>
            <w:gridSpan w:val="2"/>
            <w:shd w:val="clear" w:color="auto" w:fill="auto"/>
          </w:tcPr>
          <w:p w:rsidR="00C47645" w:rsidRPr="00980D3E" w:rsidRDefault="00C47645" w:rsidP="008814F3">
            <w:pPr>
              <w:pStyle w:val="In-tableHeading"/>
              <w:keepLines/>
              <w:jc w:val="center"/>
              <w:rPr>
                <w:szCs w:val="20"/>
                <w:highlight w:val="cyan"/>
                <w:lang w:val="en-AU"/>
              </w:rPr>
            </w:pPr>
            <w:r w:rsidRPr="00980D3E">
              <w:rPr>
                <w:szCs w:val="20"/>
                <w:lang w:val="en-AU"/>
              </w:rPr>
              <w:t>July 2019 submission</w:t>
            </w:r>
          </w:p>
        </w:tc>
        <w:tc>
          <w:tcPr>
            <w:tcW w:w="1859" w:type="pct"/>
            <w:gridSpan w:val="2"/>
            <w:shd w:val="clear" w:color="auto" w:fill="auto"/>
          </w:tcPr>
          <w:p w:rsidR="00C47645" w:rsidRPr="00980D3E" w:rsidRDefault="00C47645" w:rsidP="008814F3">
            <w:pPr>
              <w:pStyle w:val="In-tableHeading"/>
              <w:keepLines/>
              <w:jc w:val="center"/>
              <w:rPr>
                <w:szCs w:val="20"/>
                <w:highlight w:val="cyan"/>
                <w:lang w:val="en-AU"/>
              </w:rPr>
            </w:pPr>
            <w:r w:rsidRPr="00980D3E">
              <w:rPr>
                <w:szCs w:val="20"/>
                <w:lang w:val="en-AU"/>
              </w:rPr>
              <w:t>Current resubmission</w:t>
            </w:r>
          </w:p>
        </w:tc>
      </w:tr>
      <w:tr w:rsidR="00C47645" w:rsidRPr="00980D3E" w:rsidTr="00D443C2">
        <w:tc>
          <w:tcPr>
            <w:tcW w:w="1177" w:type="pct"/>
            <w:shd w:val="clear" w:color="auto" w:fill="auto"/>
          </w:tcPr>
          <w:p w:rsidR="00C47645" w:rsidRPr="00980D3E" w:rsidRDefault="00C47645" w:rsidP="00B96906">
            <w:pPr>
              <w:pStyle w:val="TableText0"/>
              <w:keepLines/>
              <w:rPr>
                <w:rStyle w:val="CommentReference"/>
                <w:b w:val="0"/>
                <w:szCs w:val="20"/>
              </w:rPr>
            </w:pPr>
            <w:r w:rsidRPr="00980D3E">
              <w:rPr>
                <w:rStyle w:val="CommentReference"/>
                <w:b w:val="0"/>
                <w:szCs w:val="20"/>
              </w:rPr>
              <w:t>Treatments</w:t>
            </w:r>
          </w:p>
        </w:tc>
        <w:tc>
          <w:tcPr>
            <w:tcW w:w="3823" w:type="pct"/>
            <w:gridSpan w:val="4"/>
            <w:shd w:val="clear" w:color="auto" w:fill="auto"/>
          </w:tcPr>
          <w:p w:rsidR="00C47645" w:rsidRPr="00980D3E" w:rsidRDefault="00C47645" w:rsidP="00B96906">
            <w:pPr>
              <w:pStyle w:val="TableText0"/>
              <w:keepLines/>
              <w:rPr>
                <w:szCs w:val="20"/>
              </w:rPr>
            </w:pPr>
            <w:r w:rsidRPr="00980D3E">
              <w:rPr>
                <w:szCs w:val="20"/>
              </w:rPr>
              <w:t xml:space="preserve">Plitidepsin + </w:t>
            </w:r>
            <w:r w:rsidR="00C50AE9" w:rsidRPr="00980D3E">
              <w:rPr>
                <w:szCs w:val="20"/>
              </w:rPr>
              <w:t>Dxm</w:t>
            </w:r>
            <w:r w:rsidRPr="00980D3E">
              <w:rPr>
                <w:szCs w:val="20"/>
              </w:rPr>
              <w:t xml:space="preserve"> vs</w:t>
            </w:r>
            <w:r w:rsidR="0090157A" w:rsidRPr="00980D3E">
              <w:rPr>
                <w:szCs w:val="20"/>
              </w:rPr>
              <w:t>.</w:t>
            </w:r>
            <w:r w:rsidRPr="00980D3E">
              <w:rPr>
                <w:szCs w:val="20"/>
              </w:rPr>
              <w:t xml:space="preserve"> </w:t>
            </w:r>
            <w:r w:rsidR="00C50AE9" w:rsidRPr="00980D3E">
              <w:rPr>
                <w:szCs w:val="20"/>
              </w:rPr>
              <w:t>Dxm</w:t>
            </w:r>
            <w:r w:rsidRPr="00980D3E">
              <w:rPr>
                <w:szCs w:val="20"/>
              </w:rPr>
              <w:t xml:space="preserve"> monotherapy</w:t>
            </w:r>
          </w:p>
        </w:tc>
      </w:tr>
      <w:tr w:rsidR="00C47645" w:rsidRPr="00980D3E" w:rsidTr="00D443C2">
        <w:tc>
          <w:tcPr>
            <w:tcW w:w="1177" w:type="pct"/>
            <w:shd w:val="clear" w:color="auto" w:fill="auto"/>
          </w:tcPr>
          <w:p w:rsidR="00C47645" w:rsidRPr="00980D3E" w:rsidRDefault="00C47645" w:rsidP="00B96906">
            <w:pPr>
              <w:pStyle w:val="TableText0"/>
              <w:keepLines/>
              <w:rPr>
                <w:rStyle w:val="CommentReference"/>
                <w:b w:val="0"/>
                <w:szCs w:val="20"/>
              </w:rPr>
            </w:pPr>
            <w:r w:rsidRPr="00980D3E">
              <w:rPr>
                <w:rStyle w:val="CommentReference"/>
                <w:b w:val="0"/>
                <w:szCs w:val="20"/>
              </w:rPr>
              <w:t>Time horizon</w:t>
            </w:r>
          </w:p>
        </w:tc>
        <w:tc>
          <w:tcPr>
            <w:tcW w:w="1964" w:type="pct"/>
            <w:gridSpan w:val="2"/>
            <w:shd w:val="clear" w:color="auto" w:fill="auto"/>
          </w:tcPr>
          <w:p w:rsidR="00C47645" w:rsidRPr="00980D3E" w:rsidRDefault="00C47645" w:rsidP="00B96906">
            <w:pPr>
              <w:pStyle w:val="TableText0"/>
              <w:keepLines/>
              <w:rPr>
                <w:rStyle w:val="CommentReference"/>
                <w:b w:val="0"/>
                <w:szCs w:val="20"/>
              </w:rPr>
            </w:pPr>
            <w:r w:rsidRPr="00980D3E">
              <w:rPr>
                <w:rStyle w:val="CommentReference"/>
                <w:b w:val="0"/>
                <w:szCs w:val="20"/>
              </w:rPr>
              <w:t>7</w:t>
            </w:r>
            <w:r w:rsidRPr="00980D3E">
              <w:rPr>
                <w:rStyle w:val="CommentReference"/>
                <w:szCs w:val="20"/>
              </w:rPr>
              <w:t xml:space="preserve"> </w:t>
            </w:r>
            <w:r w:rsidRPr="00980D3E">
              <w:rPr>
                <w:rStyle w:val="CommentReference"/>
                <w:b w:val="0"/>
                <w:szCs w:val="20"/>
              </w:rPr>
              <w:t>years (modelled)</w:t>
            </w:r>
          </w:p>
          <w:p w:rsidR="00C47645" w:rsidRPr="00980D3E" w:rsidRDefault="00C47645" w:rsidP="00B96906">
            <w:pPr>
              <w:pStyle w:val="TableText0"/>
              <w:keepLines/>
              <w:rPr>
                <w:rStyle w:val="CommentReference"/>
                <w:b w:val="0"/>
                <w:szCs w:val="20"/>
              </w:rPr>
            </w:pPr>
            <w:r w:rsidRPr="00980D3E">
              <w:rPr>
                <w:rStyle w:val="CommentReference"/>
                <w:b w:val="0"/>
                <w:szCs w:val="20"/>
              </w:rPr>
              <w:t>5.9 years (trial based)</w:t>
            </w:r>
          </w:p>
        </w:tc>
        <w:tc>
          <w:tcPr>
            <w:tcW w:w="1859" w:type="pct"/>
            <w:gridSpan w:val="2"/>
            <w:shd w:val="clear" w:color="auto" w:fill="auto"/>
          </w:tcPr>
          <w:p w:rsidR="00C47645" w:rsidRPr="00980D3E" w:rsidRDefault="00C47645" w:rsidP="00B96906">
            <w:pPr>
              <w:pStyle w:val="TableText0"/>
              <w:keepLines/>
              <w:rPr>
                <w:szCs w:val="20"/>
              </w:rPr>
            </w:pPr>
            <w:r w:rsidRPr="00980D3E">
              <w:rPr>
                <w:szCs w:val="20"/>
              </w:rPr>
              <w:t>5 years (modelled)</w:t>
            </w:r>
          </w:p>
          <w:p w:rsidR="00C47645" w:rsidRPr="00980D3E" w:rsidRDefault="00C47645" w:rsidP="00B96906">
            <w:pPr>
              <w:pStyle w:val="TableText0"/>
              <w:keepLines/>
              <w:rPr>
                <w:szCs w:val="20"/>
              </w:rPr>
            </w:pPr>
            <w:r w:rsidRPr="00980D3E">
              <w:rPr>
                <w:rStyle w:val="CommentReference"/>
                <w:b w:val="0"/>
                <w:szCs w:val="20"/>
              </w:rPr>
              <w:t>5.9 years (trial based)</w:t>
            </w:r>
          </w:p>
        </w:tc>
      </w:tr>
      <w:tr w:rsidR="00C47645" w:rsidRPr="00980D3E" w:rsidTr="00D443C2">
        <w:tc>
          <w:tcPr>
            <w:tcW w:w="1177" w:type="pct"/>
            <w:shd w:val="clear" w:color="auto" w:fill="auto"/>
          </w:tcPr>
          <w:p w:rsidR="00C47645" w:rsidRPr="00980D3E" w:rsidRDefault="00C47645" w:rsidP="00B96906">
            <w:pPr>
              <w:pStyle w:val="TableText0"/>
              <w:keepLines/>
              <w:rPr>
                <w:rStyle w:val="CommentReference"/>
                <w:b w:val="0"/>
                <w:szCs w:val="20"/>
              </w:rPr>
            </w:pPr>
            <w:r w:rsidRPr="00980D3E">
              <w:rPr>
                <w:rStyle w:val="CommentReference"/>
                <w:b w:val="0"/>
                <w:szCs w:val="20"/>
              </w:rPr>
              <w:t>Cycle length</w:t>
            </w:r>
          </w:p>
        </w:tc>
        <w:tc>
          <w:tcPr>
            <w:tcW w:w="3823" w:type="pct"/>
            <w:gridSpan w:val="4"/>
            <w:shd w:val="clear" w:color="auto" w:fill="auto"/>
          </w:tcPr>
          <w:p w:rsidR="00C47645" w:rsidRPr="00980D3E" w:rsidRDefault="00C47645" w:rsidP="00B96906">
            <w:pPr>
              <w:pStyle w:val="TableText0"/>
              <w:keepLines/>
              <w:rPr>
                <w:szCs w:val="20"/>
              </w:rPr>
            </w:pPr>
            <w:r w:rsidRPr="00980D3E">
              <w:rPr>
                <w:szCs w:val="20"/>
              </w:rPr>
              <w:t>1 week</w:t>
            </w:r>
          </w:p>
        </w:tc>
      </w:tr>
      <w:tr w:rsidR="00C47645" w:rsidRPr="00980D3E" w:rsidTr="00D443C2">
        <w:tc>
          <w:tcPr>
            <w:tcW w:w="1177" w:type="pct"/>
            <w:shd w:val="clear" w:color="auto" w:fill="auto"/>
          </w:tcPr>
          <w:p w:rsidR="00C47645" w:rsidRPr="00980D3E" w:rsidRDefault="00C47645" w:rsidP="00B96906">
            <w:pPr>
              <w:pStyle w:val="TableText0"/>
              <w:keepLines/>
              <w:rPr>
                <w:rStyle w:val="CommentReference"/>
                <w:b w:val="0"/>
                <w:szCs w:val="20"/>
              </w:rPr>
            </w:pPr>
            <w:r w:rsidRPr="00980D3E">
              <w:rPr>
                <w:rStyle w:val="CommentReference"/>
                <w:b w:val="0"/>
                <w:szCs w:val="20"/>
              </w:rPr>
              <w:t>Outcomes</w:t>
            </w:r>
          </w:p>
        </w:tc>
        <w:tc>
          <w:tcPr>
            <w:tcW w:w="3823" w:type="pct"/>
            <w:gridSpan w:val="4"/>
            <w:shd w:val="clear" w:color="auto" w:fill="auto"/>
          </w:tcPr>
          <w:p w:rsidR="00C47645" w:rsidRPr="00980D3E" w:rsidRDefault="00C47645" w:rsidP="00B96906">
            <w:pPr>
              <w:pStyle w:val="TableText0"/>
              <w:keepLines/>
              <w:rPr>
                <w:szCs w:val="20"/>
              </w:rPr>
            </w:pPr>
            <w:r w:rsidRPr="00980D3E">
              <w:rPr>
                <w:szCs w:val="20"/>
              </w:rPr>
              <w:t>QALYs and L</w:t>
            </w:r>
            <w:r w:rsidR="004A7A5C" w:rsidRPr="00980D3E">
              <w:rPr>
                <w:szCs w:val="20"/>
              </w:rPr>
              <w:t>Y</w:t>
            </w:r>
            <w:r w:rsidRPr="00980D3E">
              <w:rPr>
                <w:szCs w:val="20"/>
              </w:rPr>
              <w:t>s</w:t>
            </w:r>
          </w:p>
        </w:tc>
      </w:tr>
      <w:tr w:rsidR="00C47645" w:rsidRPr="00980D3E" w:rsidTr="00D443C2">
        <w:tc>
          <w:tcPr>
            <w:tcW w:w="1177" w:type="pct"/>
            <w:shd w:val="clear" w:color="auto" w:fill="auto"/>
          </w:tcPr>
          <w:p w:rsidR="00C47645" w:rsidRPr="00980D3E" w:rsidRDefault="00C47645" w:rsidP="00B96906">
            <w:pPr>
              <w:pStyle w:val="TableText0"/>
              <w:keepLines/>
              <w:rPr>
                <w:rStyle w:val="CommentReference"/>
                <w:b w:val="0"/>
                <w:szCs w:val="20"/>
              </w:rPr>
            </w:pPr>
            <w:r w:rsidRPr="00980D3E">
              <w:rPr>
                <w:rStyle w:val="CommentReference"/>
                <w:b w:val="0"/>
                <w:szCs w:val="20"/>
              </w:rPr>
              <w:t>Method used to generate results</w:t>
            </w:r>
          </w:p>
        </w:tc>
        <w:tc>
          <w:tcPr>
            <w:tcW w:w="3823" w:type="pct"/>
            <w:gridSpan w:val="4"/>
            <w:shd w:val="clear" w:color="auto" w:fill="auto"/>
          </w:tcPr>
          <w:p w:rsidR="00C47645" w:rsidRPr="00980D3E" w:rsidRDefault="00C47645" w:rsidP="00B96906">
            <w:pPr>
              <w:pStyle w:val="TableText0"/>
              <w:keepLines/>
              <w:rPr>
                <w:szCs w:val="20"/>
              </w:rPr>
            </w:pPr>
            <w:r w:rsidRPr="00980D3E">
              <w:rPr>
                <w:szCs w:val="20"/>
              </w:rPr>
              <w:t xml:space="preserve">Partitioned survival model </w:t>
            </w:r>
          </w:p>
        </w:tc>
      </w:tr>
      <w:tr w:rsidR="00C47645" w:rsidRPr="00980D3E" w:rsidTr="00D443C2">
        <w:tc>
          <w:tcPr>
            <w:tcW w:w="1177" w:type="pct"/>
            <w:shd w:val="clear" w:color="auto" w:fill="auto"/>
          </w:tcPr>
          <w:p w:rsidR="00C47645" w:rsidRPr="00980D3E" w:rsidRDefault="00C47645" w:rsidP="00B96906">
            <w:pPr>
              <w:pStyle w:val="TableText0"/>
              <w:keepLines/>
              <w:rPr>
                <w:rStyle w:val="CommentReference"/>
                <w:b w:val="0"/>
                <w:szCs w:val="20"/>
              </w:rPr>
            </w:pPr>
            <w:r w:rsidRPr="00980D3E">
              <w:rPr>
                <w:rStyle w:val="CommentReference"/>
                <w:b w:val="0"/>
                <w:szCs w:val="20"/>
              </w:rPr>
              <w:t>Allocation to health states</w:t>
            </w:r>
          </w:p>
        </w:tc>
        <w:tc>
          <w:tcPr>
            <w:tcW w:w="3823" w:type="pct"/>
            <w:gridSpan w:val="4"/>
            <w:shd w:val="clear" w:color="auto" w:fill="auto"/>
          </w:tcPr>
          <w:p w:rsidR="00C47645" w:rsidRPr="00980D3E" w:rsidRDefault="00C47645" w:rsidP="00B96906">
            <w:pPr>
              <w:pStyle w:val="TableText0"/>
              <w:keepLines/>
              <w:rPr>
                <w:szCs w:val="20"/>
              </w:rPr>
            </w:pPr>
            <w:r w:rsidRPr="00980D3E">
              <w:rPr>
                <w:szCs w:val="20"/>
              </w:rPr>
              <w:t>Pre-progression on-treatment: TTF KM plot</w:t>
            </w:r>
          </w:p>
          <w:p w:rsidR="00C47645" w:rsidRPr="00980D3E" w:rsidRDefault="00C47645" w:rsidP="00B96906">
            <w:pPr>
              <w:pStyle w:val="TableText0"/>
              <w:keepLines/>
              <w:rPr>
                <w:szCs w:val="20"/>
              </w:rPr>
            </w:pPr>
            <w:r w:rsidRPr="00980D3E">
              <w:rPr>
                <w:szCs w:val="20"/>
              </w:rPr>
              <w:t xml:space="preserve">Pre-progression off-treatment: PFS </w:t>
            </w:r>
            <w:r w:rsidR="0043087B" w:rsidRPr="00980D3E">
              <w:rPr>
                <w:szCs w:val="20"/>
              </w:rPr>
              <w:t>KM plot</w:t>
            </w:r>
            <w:r w:rsidRPr="00980D3E">
              <w:rPr>
                <w:szCs w:val="20"/>
              </w:rPr>
              <w:t xml:space="preserve"> - TTF KM plot</w:t>
            </w:r>
          </w:p>
          <w:p w:rsidR="00C47645" w:rsidRPr="00980D3E" w:rsidRDefault="00C47645" w:rsidP="00B96906">
            <w:pPr>
              <w:pStyle w:val="TableText0"/>
              <w:keepLines/>
              <w:rPr>
                <w:szCs w:val="20"/>
              </w:rPr>
            </w:pPr>
            <w:r w:rsidRPr="00980D3E">
              <w:rPr>
                <w:szCs w:val="20"/>
              </w:rPr>
              <w:t>Post-progression: OS KM - PFS KM</w:t>
            </w:r>
          </w:p>
          <w:p w:rsidR="00C47645" w:rsidRPr="00980D3E" w:rsidRDefault="00C47645" w:rsidP="00B96906">
            <w:pPr>
              <w:pStyle w:val="TableText0"/>
              <w:keepLines/>
              <w:rPr>
                <w:szCs w:val="20"/>
              </w:rPr>
            </w:pPr>
            <w:r w:rsidRPr="00980D3E">
              <w:rPr>
                <w:szCs w:val="20"/>
              </w:rPr>
              <w:t>Death: OS KM (two-stage method adjustment for crossover)</w:t>
            </w:r>
          </w:p>
        </w:tc>
      </w:tr>
      <w:tr w:rsidR="00486223" w:rsidRPr="00980D3E" w:rsidTr="00D443C2">
        <w:tc>
          <w:tcPr>
            <w:tcW w:w="1177" w:type="pct"/>
            <w:shd w:val="clear" w:color="auto" w:fill="auto"/>
          </w:tcPr>
          <w:p w:rsidR="00486223" w:rsidRPr="00980D3E" w:rsidRDefault="00486223" w:rsidP="00486223">
            <w:pPr>
              <w:pStyle w:val="TableText0"/>
              <w:keepLines/>
              <w:rPr>
                <w:szCs w:val="20"/>
              </w:rPr>
            </w:pPr>
            <w:r w:rsidRPr="00980D3E">
              <w:rPr>
                <w:szCs w:val="20"/>
              </w:rPr>
              <w:t>PFS data used</w:t>
            </w:r>
          </w:p>
        </w:tc>
        <w:tc>
          <w:tcPr>
            <w:tcW w:w="1964" w:type="pct"/>
            <w:gridSpan w:val="2"/>
            <w:shd w:val="clear" w:color="auto" w:fill="auto"/>
          </w:tcPr>
          <w:p w:rsidR="00486223" w:rsidRPr="00980D3E" w:rsidRDefault="00916889" w:rsidP="002D76F8">
            <w:pPr>
              <w:pStyle w:val="TableText0"/>
              <w:keepLines/>
              <w:rPr>
                <w:rStyle w:val="CommentReference"/>
                <w:b w:val="0"/>
                <w:szCs w:val="20"/>
              </w:rPr>
            </w:pPr>
            <w:r w:rsidRPr="00980D3E">
              <w:rPr>
                <w:szCs w:val="20"/>
              </w:rPr>
              <w:t xml:space="preserve">IRC </w:t>
            </w:r>
            <w:r w:rsidR="00486223" w:rsidRPr="00980D3E">
              <w:rPr>
                <w:szCs w:val="20"/>
              </w:rPr>
              <w:t xml:space="preserve">assessed PFS with PD confirmation </w:t>
            </w:r>
          </w:p>
        </w:tc>
        <w:tc>
          <w:tcPr>
            <w:tcW w:w="1859" w:type="pct"/>
            <w:gridSpan w:val="2"/>
            <w:shd w:val="clear" w:color="auto" w:fill="auto"/>
          </w:tcPr>
          <w:p w:rsidR="00486223" w:rsidRPr="00980D3E" w:rsidRDefault="00916889" w:rsidP="002D76F8">
            <w:pPr>
              <w:pStyle w:val="TableText0"/>
              <w:keepLines/>
              <w:rPr>
                <w:rStyle w:val="CommentReference"/>
                <w:b w:val="0"/>
                <w:szCs w:val="20"/>
              </w:rPr>
            </w:pPr>
            <w:r w:rsidRPr="00980D3E">
              <w:rPr>
                <w:szCs w:val="20"/>
              </w:rPr>
              <w:t xml:space="preserve">IRC </w:t>
            </w:r>
            <w:r w:rsidR="00486223" w:rsidRPr="00980D3E">
              <w:rPr>
                <w:szCs w:val="20"/>
              </w:rPr>
              <w:t xml:space="preserve">assessed PFS with PD confirmation </w:t>
            </w:r>
          </w:p>
        </w:tc>
      </w:tr>
      <w:tr w:rsidR="00C47645" w:rsidRPr="00980D3E" w:rsidTr="00D443C2">
        <w:tc>
          <w:tcPr>
            <w:tcW w:w="1177" w:type="pct"/>
            <w:shd w:val="clear" w:color="auto" w:fill="auto"/>
          </w:tcPr>
          <w:p w:rsidR="00C47645" w:rsidRPr="00980D3E" w:rsidRDefault="00C47645" w:rsidP="00B96906">
            <w:pPr>
              <w:pStyle w:val="TableText0"/>
              <w:keepLines/>
              <w:rPr>
                <w:szCs w:val="20"/>
              </w:rPr>
            </w:pPr>
            <w:r w:rsidRPr="00980D3E">
              <w:rPr>
                <w:szCs w:val="20"/>
              </w:rPr>
              <w:t xml:space="preserve">Survival extrapolation </w:t>
            </w:r>
          </w:p>
        </w:tc>
        <w:tc>
          <w:tcPr>
            <w:tcW w:w="1964" w:type="pct"/>
            <w:gridSpan w:val="2"/>
            <w:shd w:val="clear" w:color="auto" w:fill="auto"/>
            <w:vAlign w:val="center"/>
          </w:tcPr>
          <w:p w:rsidR="00C47645" w:rsidRPr="00980D3E" w:rsidRDefault="002D76F8" w:rsidP="002D76F8">
            <w:pPr>
              <w:pStyle w:val="TableText0"/>
              <w:keepLines/>
              <w:rPr>
                <w:rFonts w:eastAsiaTheme="minorHAnsi" w:cstheme="minorBidi"/>
                <w:b/>
                <w:szCs w:val="20"/>
                <w:lang w:eastAsia="en-US"/>
              </w:rPr>
            </w:pPr>
            <w:r w:rsidRPr="00980D3E">
              <w:rPr>
                <w:rStyle w:val="CommentReference"/>
                <w:b w:val="0"/>
                <w:szCs w:val="20"/>
              </w:rPr>
              <w:t>KM</w:t>
            </w:r>
            <w:r w:rsidR="00C47645" w:rsidRPr="00980D3E">
              <w:rPr>
                <w:rStyle w:val="CommentReference"/>
                <w:b w:val="0"/>
                <w:szCs w:val="20"/>
              </w:rPr>
              <w:t xml:space="preserve"> analysis with extrapolation applied over the entire time horizon</w:t>
            </w:r>
          </w:p>
        </w:tc>
        <w:tc>
          <w:tcPr>
            <w:tcW w:w="1859" w:type="pct"/>
            <w:gridSpan w:val="2"/>
            <w:shd w:val="clear" w:color="auto" w:fill="auto"/>
          </w:tcPr>
          <w:p w:rsidR="00C47645" w:rsidRPr="00980D3E" w:rsidRDefault="002D76F8" w:rsidP="002D76F8">
            <w:pPr>
              <w:pStyle w:val="TableText0"/>
              <w:keepLines/>
              <w:rPr>
                <w:rFonts w:eastAsiaTheme="minorHAnsi" w:cstheme="minorBidi"/>
                <w:b/>
                <w:szCs w:val="20"/>
                <w:lang w:eastAsia="en-US"/>
              </w:rPr>
            </w:pPr>
            <w:r w:rsidRPr="00980D3E">
              <w:rPr>
                <w:rStyle w:val="CommentReference"/>
                <w:b w:val="0"/>
                <w:szCs w:val="20"/>
              </w:rPr>
              <w:t xml:space="preserve">KM </w:t>
            </w:r>
            <w:r w:rsidR="00C47645" w:rsidRPr="00980D3E">
              <w:rPr>
                <w:rStyle w:val="CommentReference"/>
                <w:b w:val="0"/>
                <w:szCs w:val="20"/>
              </w:rPr>
              <w:t>analysis with extrapolation applied after median follow-up</w:t>
            </w:r>
            <w:r w:rsidR="00C47645" w:rsidRPr="00980D3E">
              <w:rPr>
                <w:rStyle w:val="CommentReference"/>
                <w:b w:val="0"/>
                <w:szCs w:val="20"/>
                <w:vertAlign w:val="superscript"/>
              </w:rPr>
              <w:t>a</w:t>
            </w:r>
            <w:r w:rsidR="00C47645" w:rsidRPr="00980D3E">
              <w:rPr>
                <w:rStyle w:val="CommentReference"/>
                <w:b w:val="0"/>
                <w:szCs w:val="20"/>
              </w:rPr>
              <w:t xml:space="preserve"> </w:t>
            </w:r>
          </w:p>
        </w:tc>
      </w:tr>
      <w:tr w:rsidR="00C47645" w:rsidRPr="00980D3E" w:rsidTr="00D443C2">
        <w:tc>
          <w:tcPr>
            <w:tcW w:w="1177" w:type="pct"/>
            <w:shd w:val="clear" w:color="auto" w:fill="auto"/>
          </w:tcPr>
          <w:p w:rsidR="00C47645" w:rsidRPr="00980D3E" w:rsidRDefault="00C47645" w:rsidP="00B96906">
            <w:pPr>
              <w:pStyle w:val="TableText0"/>
              <w:keepLines/>
              <w:rPr>
                <w:szCs w:val="20"/>
              </w:rPr>
            </w:pPr>
            <w:r w:rsidRPr="00980D3E">
              <w:rPr>
                <w:szCs w:val="20"/>
              </w:rPr>
              <w:t xml:space="preserve">Cost of plitidepsin </w:t>
            </w:r>
            <w:r w:rsidR="00CC53F7" w:rsidRPr="00980D3E">
              <w:rPr>
                <w:szCs w:val="20"/>
              </w:rPr>
              <w:t>(DPMQ)</w:t>
            </w:r>
          </w:p>
        </w:tc>
        <w:tc>
          <w:tcPr>
            <w:tcW w:w="1964" w:type="pct"/>
            <w:gridSpan w:val="2"/>
            <w:shd w:val="clear" w:color="auto" w:fill="auto"/>
          </w:tcPr>
          <w:p w:rsidR="00C47645" w:rsidRPr="00980D3E" w:rsidRDefault="00C47645" w:rsidP="00B96906">
            <w:pPr>
              <w:pStyle w:val="TableText0"/>
              <w:keepLines/>
              <w:rPr>
                <w:szCs w:val="20"/>
              </w:rPr>
            </w:pPr>
            <w:r w:rsidRPr="00980D3E">
              <w:rPr>
                <w:rFonts w:eastAsiaTheme="minorHAnsi" w:cstheme="minorBidi"/>
                <w:szCs w:val="20"/>
                <w:lang w:eastAsia="en-US"/>
              </w:rPr>
              <w:t>$</w:t>
            </w:r>
            <w:r w:rsidR="00F11546">
              <w:rPr>
                <w:rFonts w:eastAsiaTheme="minorHAnsi" w:cstheme="minorBidi"/>
                <w:noProof/>
                <w:color w:val="000000"/>
                <w:szCs w:val="20"/>
                <w:highlight w:val="black"/>
                <w:lang w:eastAsia="en-US"/>
              </w:rPr>
              <w:t>''''''''''''''''''''''''</w:t>
            </w:r>
          </w:p>
        </w:tc>
        <w:tc>
          <w:tcPr>
            <w:tcW w:w="1859" w:type="pct"/>
            <w:gridSpan w:val="2"/>
            <w:shd w:val="clear" w:color="auto" w:fill="auto"/>
          </w:tcPr>
          <w:p w:rsidR="00C47645" w:rsidRPr="00980D3E" w:rsidRDefault="00C47645" w:rsidP="00B96906">
            <w:pPr>
              <w:pStyle w:val="TableText0"/>
              <w:keepLines/>
              <w:rPr>
                <w:szCs w:val="20"/>
              </w:rPr>
            </w:pPr>
            <w:r w:rsidRPr="00980D3E">
              <w:rPr>
                <w:rFonts w:eastAsiaTheme="minorHAnsi" w:cstheme="minorBidi"/>
                <w:szCs w:val="20"/>
                <w:lang w:eastAsia="en-US"/>
              </w:rPr>
              <w:t>$</w:t>
            </w:r>
            <w:r w:rsidR="00F11546">
              <w:rPr>
                <w:rFonts w:eastAsiaTheme="minorHAnsi" w:cstheme="minorBidi"/>
                <w:noProof/>
                <w:color w:val="000000"/>
                <w:szCs w:val="20"/>
                <w:highlight w:val="black"/>
                <w:lang w:eastAsia="en-US"/>
              </w:rPr>
              <w:t>'''''''''''''''''''''</w:t>
            </w:r>
            <w:r w:rsidR="00AC5A74" w:rsidRPr="00980D3E">
              <w:rPr>
                <w:rFonts w:eastAsiaTheme="minorHAnsi" w:cstheme="minorBidi"/>
                <w:szCs w:val="20"/>
                <w:vertAlign w:val="superscript"/>
                <w:lang w:eastAsia="en-US"/>
              </w:rPr>
              <w:t>b</w:t>
            </w:r>
          </w:p>
        </w:tc>
      </w:tr>
      <w:tr w:rsidR="00394350" w:rsidRPr="00980D3E" w:rsidTr="00D443C2">
        <w:tc>
          <w:tcPr>
            <w:tcW w:w="1177" w:type="pct"/>
            <w:shd w:val="clear" w:color="auto" w:fill="auto"/>
          </w:tcPr>
          <w:p w:rsidR="00394350" w:rsidRPr="00980D3E" w:rsidRDefault="00394350" w:rsidP="00394350">
            <w:pPr>
              <w:pStyle w:val="TableText0"/>
              <w:keepLines/>
              <w:rPr>
                <w:szCs w:val="20"/>
              </w:rPr>
            </w:pPr>
            <w:r w:rsidRPr="00980D3E">
              <w:rPr>
                <w:szCs w:val="20"/>
              </w:rPr>
              <w:t>Cost of subsequent therapy</w:t>
            </w:r>
          </w:p>
        </w:tc>
        <w:tc>
          <w:tcPr>
            <w:tcW w:w="1964" w:type="pct"/>
            <w:gridSpan w:val="2"/>
            <w:shd w:val="clear" w:color="auto" w:fill="auto"/>
          </w:tcPr>
          <w:p w:rsidR="00394350" w:rsidRPr="00980D3E" w:rsidRDefault="00394350" w:rsidP="00394350">
            <w:pPr>
              <w:pStyle w:val="TableText0"/>
              <w:keepLines/>
              <w:rPr>
                <w:rFonts w:cstheme="minorBidi"/>
                <w:szCs w:val="20"/>
              </w:rPr>
            </w:pPr>
            <w:r w:rsidRPr="00980D3E">
              <w:rPr>
                <w:rFonts w:cstheme="minorBidi"/>
                <w:szCs w:val="20"/>
              </w:rPr>
              <w:t>Plit</w:t>
            </w:r>
            <w:r w:rsidR="00341F7E" w:rsidRPr="00980D3E">
              <w:rPr>
                <w:rFonts w:cstheme="minorBidi"/>
                <w:szCs w:val="20"/>
              </w:rPr>
              <w:t>i</w:t>
            </w:r>
            <w:r w:rsidRPr="00980D3E">
              <w:rPr>
                <w:rFonts w:cstheme="minorBidi"/>
                <w:szCs w:val="20"/>
              </w:rPr>
              <w:t>de</w:t>
            </w:r>
            <w:r w:rsidR="009A3BC8" w:rsidRPr="00980D3E">
              <w:rPr>
                <w:rFonts w:cstheme="minorBidi"/>
                <w:szCs w:val="20"/>
              </w:rPr>
              <w:t>ps</w:t>
            </w:r>
            <w:r w:rsidRPr="00980D3E">
              <w:rPr>
                <w:rFonts w:cstheme="minorBidi"/>
                <w:szCs w:val="20"/>
              </w:rPr>
              <w:t>in</w:t>
            </w:r>
            <w:r w:rsidR="003C73D2" w:rsidRPr="00980D3E">
              <w:rPr>
                <w:rFonts w:cstheme="minorBidi"/>
                <w:szCs w:val="20"/>
              </w:rPr>
              <w:t xml:space="preserve"> </w:t>
            </w:r>
            <w:r w:rsidRPr="00980D3E">
              <w:rPr>
                <w:rFonts w:cstheme="minorBidi"/>
                <w:szCs w:val="20"/>
              </w:rPr>
              <w:t>+</w:t>
            </w:r>
            <w:r w:rsidR="003C73D2" w:rsidRPr="00980D3E">
              <w:rPr>
                <w:rFonts w:cstheme="minorBidi"/>
                <w:szCs w:val="20"/>
              </w:rPr>
              <w:t xml:space="preserve"> </w:t>
            </w:r>
            <w:r w:rsidR="00C50AE9" w:rsidRPr="00980D3E">
              <w:rPr>
                <w:rFonts w:cstheme="minorBidi"/>
                <w:szCs w:val="20"/>
              </w:rPr>
              <w:t>Dxm</w:t>
            </w:r>
            <w:r w:rsidRPr="00980D3E">
              <w:rPr>
                <w:rFonts w:cstheme="minorBidi"/>
                <w:szCs w:val="20"/>
              </w:rPr>
              <w:t>: $</w:t>
            </w:r>
            <w:r w:rsidR="00F11546">
              <w:rPr>
                <w:rFonts w:cstheme="minorBidi"/>
                <w:noProof/>
                <w:color w:val="000000"/>
                <w:szCs w:val="20"/>
                <w:highlight w:val="black"/>
              </w:rPr>
              <w:t>'''''''''''''</w:t>
            </w:r>
            <w:r w:rsidRPr="00980D3E">
              <w:rPr>
                <w:rFonts w:cstheme="minorBidi"/>
                <w:szCs w:val="20"/>
              </w:rPr>
              <w:t xml:space="preserve">; </w:t>
            </w:r>
            <w:r w:rsidR="00C50AE9" w:rsidRPr="00980D3E">
              <w:rPr>
                <w:rFonts w:cstheme="minorBidi"/>
                <w:szCs w:val="20"/>
              </w:rPr>
              <w:t>Dxm</w:t>
            </w:r>
            <w:r w:rsidRPr="00980D3E">
              <w:rPr>
                <w:rFonts w:cstheme="minorBidi"/>
                <w:szCs w:val="20"/>
              </w:rPr>
              <w:t>: $</w:t>
            </w:r>
            <w:r w:rsidR="00F11546">
              <w:rPr>
                <w:rFonts w:cstheme="minorBidi"/>
                <w:noProof/>
                <w:color w:val="000000"/>
                <w:szCs w:val="20"/>
                <w:highlight w:val="black"/>
              </w:rPr>
              <w:t>''''''''''''''</w:t>
            </w:r>
          </w:p>
        </w:tc>
        <w:tc>
          <w:tcPr>
            <w:tcW w:w="1859" w:type="pct"/>
            <w:gridSpan w:val="2"/>
            <w:shd w:val="clear" w:color="auto" w:fill="auto"/>
          </w:tcPr>
          <w:p w:rsidR="00394350" w:rsidRPr="00980D3E" w:rsidRDefault="00394350" w:rsidP="00394350">
            <w:pPr>
              <w:pStyle w:val="TableText0"/>
              <w:keepLines/>
              <w:rPr>
                <w:rFonts w:cstheme="minorBidi"/>
                <w:szCs w:val="20"/>
              </w:rPr>
            </w:pPr>
            <w:r w:rsidRPr="00980D3E">
              <w:rPr>
                <w:rFonts w:cstheme="minorBidi"/>
                <w:szCs w:val="20"/>
              </w:rPr>
              <w:t>Plit</w:t>
            </w:r>
            <w:r w:rsidR="00735675" w:rsidRPr="00980D3E">
              <w:rPr>
                <w:rFonts w:cstheme="minorBidi"/>
                <w:szCs w:val="20"/>
              </w:rPr>
              <w:t>i</w:t>
            </w:r>
            <w:r w:rsidRPr="00980D3E">
              <w:rPr>
                <w:rFonts w:cstheme="minorBidi"/>
                <w:szCs w:val="20"/>
              </w:rPr>
              <w:t>de</w:t>
            </w:r>
            <w:r w:rsidR="00286860" w:rsidRPr="00980D3E">
              <w:rPr>
                <w:rFonts w:cstheme="minorBidi"/>
                <w:szCs w:val="20"/>
              </w:rPr>
              <w:t>ps</w:t>
            </w:r>
            <w:r w:rsidRPr="00980D3E">
              <w:rPr>
                <w:rFonts w:cstheme="minorBidi"/>
                <w:szCs w:val="20"/>
              </w:rPr>
              <w:t>in</w:t>
            </w:r>
            <w:r w:rsidR="003C73D2" w:rsidRPr="00980D3E">
              <w:rPr>
                <w:rFonts w:cstheme="minorBidi"/>
                <w:szCs w:val="20"/>
              </w:rPr>
              <w:t xml:space="preserve"> </w:t>
            </w:r>
            <w:r w:rsidRPr="00980D3E">
              <w:rPr>
                <w:rFonts w:cstheme="minorBidi"/>
                <w:szCs w:val="20"/>
              </w:rPr>
              <w:t>+</w:t>
            </w:r>
            <w:r w:rsidR="003C73D2" w:rsidRPr="00980D3E">
              <w:rPr>
                <w:rFonts w:cstheme="minorBidi"/>
                <w:szCs w:val="20"/>
              </w:rPr>
              <w:t xml:space="preserve"> </w:t>
            </w:r>
            <w:r w:rsidR="00C50AE9" w:rsidRPr="00980D3E">
              <w:rPr>
                <w:rFonts w:cstheme="minorBidi"/>
                <w:szCs w:val="20"/>
              </w:rPr>
              <w:t>Dxm</w:t>
            </w:r>
            <w:r w:rsidRPr="00980D3E">
              <w:rPr>
                <w:rFonts w:cstheme="minorBidi"/>
                <w:szCs w:val="20"/>
              </w:rPr>
              <w:t>: $</w:t>
            </w:r>
            <w:r w:rsidR="00F11546">
              <w:rPr>
                <w:rFonts w:cstheme="minorBidi"/>
                <w:noProof/>
                <w:color w:val="000000"/>
                <w:szCs w:val="20"/>
                <w:highlight w:val="black"/>
              </w:rPr>
              <w:t>'''''''''''''''</w:t>
            </w:r>
            <w:r w:rsidRPr="00980D3E">
              <w:rPr>
                <w:rFonts w:cstheme="minorBidi"/>
                <w:szCs w:val="20"/>
              </w:rPr>
              <w:t xml:space="preserve">; </w:t>
            </w:r>
            <w:r w:rsidR="00C50AE9" w:rsidRPr="00980D3E">
              <w:rPr>
                <w:rFonts w:cstheme="minorBidi"/>
                <w:szCs w:val="20"/>
              </w:rPr>
              <w:t>Dxm</w:t>
            </w:r>
            <w:r w:rsidRPr="00980D3E">
              <w:rPr>
                <w:rFonts w:cstheme="minorBidi"/>
                <w:szCs w:val="20"/>
              </w:rPr>
              <w:t>: $</w:t>
            </w:r>
            <w:r w:rsidR="00F11546">
              <w:rPr>
                <w:rFonts w:cstheme="minorBidi"/>
                <w:noProof/>
                <w:color w:val="000000"/>
                <w:szCs w:val="20"/>
                <w:highlight w:val="black"/>
              </w:rPr>
              <w:t>''''''''''''''''</w:t>
            </w:r>
          </w:p>
        </w:tc>
      </w:tr>
      <w:tr w:rsidR="002D76F8" w:rsidRPr="00980D3E" w:rsidTr="00D443C2">
        <w:trPr>
          <w:trHeight w:val="928"/>
        </w:trPr>
        <w:tc>
          <w:tcPr>
            <w:tcW w:w="1177" w:type="pct"/>
            <w:shd w:val="clear" w:color="auto" w:fill="auto"/>
          </w:tcPr>
          <w:p w:rsidR="002D76F8" w:rsidRPr="00980D3E" w:rsidRDefault="002D76F8" w:rsidP="00B96906">
            <w:pPr>
              <w:pStyle w:val="TableText0"/>
              <w:keepLines/>
              <w:rPr>
                <w:szCs w:val="20"/>
              </w:rPr>
            </w:pPr>
            <w:r w:rsidRPr="00980D3E">
              <w:rPr>
                <w:szCs w:val="20"/>
              </w:rPr>
              <w:t>Utility</w:t>
            </w:r>
          </w:p>
        </w:tc>
        <w:tc>
          <w:tcPr>
            <w:tcW w:w="1964" w:type="pct"/>
            <w:gridSpan w:val="2"/>
            <w:shd w:val="clear" w:color="auto" w:fill="auto"/>
          </w:tcPr>
          <w:p w:rsidR="002D76F8" w:rsidRPr="00980D3E" w:rsidRDefault="002D76F8" w:rsidP="00486223">
            <w:pPr>
              <w:pStyle w:val="TableText0"/>
              <w:keepLines/>
              <w:rPr>
                <w:rFonts w:cstheme="minorBidi"/>
                <w:szCs w:val="20"/>
              </w:rPr>
            </w:pPr>
            <w:r w:rsidRPr="00980D3E">
              <w:rPr>
                <w:rFonts w:eastAsiaTheme="minorHAnsi" w:cstheme="minorBidi"/>
                <w:szCs w:val="20"/>
                <w:lang w:eastAsia="en-US"/>
              </w:rPr>
              <w:t>P</w:t>
            </w:r>
            <w:r w:rsidRPr="00980D3E">
              <w:rPr>
                <w:rFonts w:cstheme="minorBidi"/>
                <w:szCs w:val="20"/>
              </w:rPr>
              <w:t>litidepsin</w:t>
            </w:r>
            <w:r w:rsidR="003C73D2" w:rsidRPr="00980D3E">
              <w:rPr>
                <w:rFonts w:cstheme="minorBidi"/>
                <w:szCs w:val="20"/>
              </w:rPr>
              <w:t xml:space="preserve"> </w:t>
            </w:r>
            <w:r w:rsidRPr="00980D3E">
              <w:rPr>
                <w:rFonts w:cstheme="minorBidi"/>
                <w:szCs w:val="20"/>
              </w:rPr>
              <w:t>+</w:t>
            </w:r>
            <w:r w:rsidR="003C73D2" w:rsidRPr="00980D3E">
              <w:rPr>
                <w:rFonts w:cstheme="minorBidi"/>
                <w:szCs w:val="20"/>
              </w:rPr>
              <w:t xml:space="preserve"> </w:t>
            </w:r>
            <w:r w:rsidRPr="00980D3E">
              <w:rPr>
                <w:rFonts w:cstheme="minorBidi"/>
                <w:szCs w:val="20"/>
              </w:rPr>
              <w:t xml:space="preserve">Dxm arm: </w:t>
            </w:r>
            <w:r w:rsidRPr="00980D3E">
              <w:rPr>
                <w:rFonts w:eastAsiaTheme="minorHAnsi" w:cstheme="minorBidi"/>
                <w:szCs w:val="20"/>
                <w:lang w:eastAsia="en-US"/>
              </w:rPr>
              <w:t>P</w:t>
            </w:r>
            <w:r w:rsidRPr="00980D3E">
              <w:rPr>
                <w:rFonts w:cstheme="minorBidi"/>
                <w:szCs w:val="20"/>
              </w:rPr>
              <w:t>re-progression 0.718</w:t>
            </w:r>
          </w:p>
          <w:p w:rsidR="002D76F8" w:rsidRPr="00980D3E" w:rsidRDefault="002D76F8" w:rsidP="004C1C34">
            <w:pPr>
              <w:pStyle w:val="TableText0"/>
              <w:keepLines/>
              <w:ind w:firstLine="1669"/>
              <w:rPr>
                <w:rFonts w:cstheme="minorBidi"/>
                <w:szCs w:val="20"/>
              </w:rPr>
            </w:pPr>
            <w:r w:rsidRPr="00980D3E">
              <w:rPr>
                <w:rFonts w:cstheme="minorBidi"/>
                <w:szCs w:val="20"/>
              </w:rPr>
              <w:t>Post-progression 0.681</w:t>
            </w:r>
          </w:p>
          <w:p w:rsidR="002D76F8" w:rsidRPr="00980D3E" w:rsidRDefault="002D76F8" w:rsidP="002D76F8">
            <w:pPr>
              <w:pStyle w:val="TableText0"/>
              <w:keepLines/>
              <w:rPr>
                <w:rFonts w:cstheme="minorBidi"/>
                <w:szCs w:val="20"/>
              </w:rPr>
            </w:pPr>
            <w:r w:rsidRPr="00980D3E">
              <w:rPr>
                <w:rFonts w:cstheme="minorBidi"/>
                <w:szCs w:val="20"/>
              </w:rPr>
              <w:t>Dxm arm: Pre-progression 0.679</w:t>
            </w:r>
          </w:p>
          <w:p w:rsidR="002D76F8" w:rsidRPr="00980D3E" w:rsidRDefault="002D76F8" w:rsidP="004C1C34">
            <w:pPr>
              <w:pStyle w:val="TableText0"/>
              <w:ind w:firstLine="767"/>
              <w:rPr>
                <w:rFonts w:eastAsiaTheme="minorHAnsi" w:cstheme="minorBidi"/>
                <w:bCs w:val="0"/>
                <w:szCs w:val="20"/>
              </w:rPr>
            </w:pPr>
            <w:r w:rsidRPr="00980D3E">
              <w:rPr>
                <w:rFonts w:cstheme="minorBidi"/>
                <w:szCs w:val="20"/>
              </w:rPr>
              <w:t>Post-progression 0.642</w:t>
            </w:r>
          </w:p>
        </w:tc>
        <w:tc>
          <w:tcPr>
            <w:tcW w:w="1859" w:type="pct"/>
            <w:gridSpan w:val="2"/>
            <w:shd w:val="clear" w:color="auto" w:fill="auto"/>
          </w:tcPr>
          <w:p w:rsidR="002D76F8" w:rsidRPr="00980D3E" w:rsidRDefault="002D76F8" w:rsidP="00D81AD2">
            <w:pPr>
              <w:pStyle w:val="TableText0"/>
              <w:keepLines/>
              <w:rPr>
                <w:rFonts w:eastAsiaTheme="minorHAnsi" w:cstheme="minorBidi"/>
                <w:szCs w:val="20"/>
                <w:lang w:eastAsia="en-US"/>
              </w:rPr>
            </w:pPr>
            <w:r w:rsidRPr="00980D3E">
              <w:rPr>
                <w:rFonts w:eastAsiaTheme="minorHAnsi" w:cstheme="minorBidi"/>
                <w:szCs w:val="20"/>
                <w:lang w:eastAsia="en-US"/>
              </w:rPr>
              <w:t>P</w:t>
            </w:r>
            <w:r w:rsidRPr="00980D3E">
              <w:rPr>
                <w:rFonts w:cstheme="minorBidi"/>
                <w:szCs w:val="20"/>
              </w:rPr>
              <w:t>litidepsin</w:t>
            </w:r>
            <w:r w:rsidR="003C73D2" w:rsidRPr="00980D3E">
              <w:rPr>
                <w:rFonts w:cstheme="minorBidi"/>
                <w:szCs w:val="20"/>
              </w:rPr>
              <w:t xml:space="preserve"> </w:t>
            </w:r>
            <w:r w:rsidRPr="00980D3E">
              <w:rPr>
                <w:rFonts w:cstheme="minorBidi"/>
                <w:szCs w:val="20"/>
              </w:rPr>
              <w:t>+</w:t>
            </w:r>
            <w:r w:rsidR="003C73D2" w:rsidRPr="00980D3E">
              <w:rPr>
                <w:rFonts w:cstheme="minorBidi"/>
                <w:szCs w:val="20"/>
              </w:rPr>
              <w:t xml:space="preserve"> </w:t>
            </w:r>
            <w:r w:rsidRPr="00980D3E">
              <w:rPr>
                <w:rFonts w:cstheme="minorBidi"/>
                <w:szCs w:val="20"/>
              </w:rPr>
              <w:t>Dxm and Dxm arms:</w:t>
            </w:r>
          </w:p>
          <w:p w:rsidR="002D76F8" w:rsidRPr="00980D3E" w:rsidRDefault="002D76F8" w:rsidP="00486223">
            <w:pPr>
              <w:pStyle w:val="TableText0"/>
              <w:keepLines/>
              <w:rPr>
                <w:rFonts w:cstheme="minorBidi"/>
                <w:szCs w:val="20"/>
              </w:rPr>
            </w:pPr>
            <w:r w:rsidRPr="00980D3E">
              <w:rPr>
                <w:rFonts w:eastAsiaTheme="minorHAnsi" w:cstheme="minorBidi"/>
                <w:szCs w:val="20"/>
                <w:lang w:eastAsia="en-US"/>
              </w:rPr>
              <w:t>P</w:t>
            </w:r>
            <w:r w:rsidRPr="00980D3E">
              <w:rPr>
                <w:rFonts w:cstheme="minorBidi"/>
                <w:szCs w:val="20"/>
              </w:rPr>
              <w:t>re-progression 0.750</w:t>
            </w:r>
            <w:r w:rsidRPr="00980D3E">
              <w:rPr>
                <w:rFonts w:cstheme="minorBidi"/>
                <w:szCs w:val="20"/>
                <w:vertAlign w:val="superscript"/>
              </w:rPr>
              <w:t>c</w:t>
            </w:r>
          </w:p>
          <w:p w:rsidR="002D76F8" w:rsidRPr="00980D3E" w:rsidRDefault="002D76F8" w:rsidP="002D76F8">
            <w:pPr>
              <w:pStyle w:val="TableText0"/>
              <w:keepLines/>
              <w:rPr>
                <w:rFonts w:eastAsiaTheme="minorHAnsi" w:cstheme="minorBidi"/>
                <w:bCs w:val="0"/>
                <w:szCs w:val="20"/>
              </w:rPr>
            </w:pPr>
            <w:r w:rsidRPr="00980D3E">
              <w:rPr>
                <w:rFonts w:cstheme="minorBidi"/>
                <w:szCs w:val="20"/>
              </w:rPr>
              <w:t>Post-progression 0.645</w:t>
            </w:r>
            <w:r w:rsidRPr="00980D3E">
              <w:rPr>
                <w:rFonts w:cstheme="minorBidi"/>
                <w:szCs w:val="20"/>
                <w:vertAlign w:val="superscript"/>
              </w:rPr>
              <w:t>c</w:t>
            </w:r>
          </w:p>
        </w:tc>
      </w:tr>
      <w:tr w:rsidR="00C47645" w:rsidRPr="00980D3E" w:rsidTr="00D443C2">
        <w:trPr>
          <w:trHeight w:val="239"/>
        </w:trPr>
        <w:tc>
          <w:tcPr>
            <w:tcW w:w="1177" w:type="pct"/>
            <w:shd w:val="clear" w:color="auto" w:fill="auto"/>
          </w:tcPr>
          <w:p w:rsidR="00C47645" w:rsidRPr="00980D3E" w:rsidRDefault="00C47645" w:rsidP="00B96906">
            <w:pPr>
              <w:pStyle w:val="TableText0"/>
              <w:keepLines/>
              <w:rPr>
                <w:szCs w:val="20"/>
              </w:rPr>
            </w:pPr>
            <w:r w:rsidRPr="00980D3E">
              <w:rPr>
                <w:szCs w:val="20"/>
              </w:rPr>
              <w:t>Disutility for AEs</w:t>
            </w:r>
          </w:p>
        </w:tc>
        <w:tc>
          <w:tcPr>
            <w:tcW w:w="943" w:type="pct"/>
            <w:shd w:val="clear" w:color="auto" w:fill="auto"/>
          </w:tcPr>
          <w:p w:rsidR="00C47645" w:rsidRPr="00980D3E" w:rsidRDefault="00C47645" w:rsidP="002D76F8">
            <w:pPr>
              <w:pStyle w:val="TableText0"/>
              <w:keepLines/>
              <w:rPr>
                <w:rFonts w:cstheme="minorBidi"/>
                <w:szCs w:val="20"/>
              </w:rPr>
            </w:pPr>
            <w:r w:rsidRPr="00980D3E">
              <w:rPr>
                <w:rFonts w:cstheme="minorBidi"/>
                <w:szCs w:val="20"/>
              </w:rPr>
              <w:t>0.010</w:t>
            </w:r>
            <w:r w:rsidR="00AC5A74" w:rsidRPr="00980D3E">
              <w:rPr>
                <w:rFonts w:cstheme="minorBidi"/>
                <w:szCs w:val="20"/>
                <w:vertAlign w:val="superscript"/>
              </w:rPr>
              <w:t>d</w:t>
            </w:r>
          </w:p>
        </w:tc>
        <w:tc>
          <w:tcPr>
            <w:tcW w:w="1021" w:type="pct"/>
            <w:shd w:val="clear" w:color="auto" w:fill="auto"/>
            <w:vAlign w:val="center"/>
          </w:tcPr>
          <w:p w:rsidR="00C47645" w:rsidRPr="00980D3E" w:rsidRDefault="00C47645" w:rsidP="002D76F8">
            <w:pPr>
              <w:pStyle w:val="TableText0"/>
              <w:rPr>
                <w:szCs w:val="20"/>
              </w:rPr>
            </w:pPr>
            <w:r w:rsidRPr="00980D3E">
              <w:rPr>
                <w:szCs w:val="20"/>
              </w:rPr>
              <w:t>0.0002</w:t>
            </w:r>
            <w:r w:rsidR="00AC5A74" w:rsidRPr="00980D3E">
              <w:rPr>
                <w:szCs w:val="20"/>
                <w:vertAlign w:val="superscript"/>
              </w:rPr>
              <w:t>d</w:t>
            </w:r>
          </w:p>
        </w:tc>
        <w:tc>
          <w:tcPr>
            <w:tcW w:w="851" w:type="pct"/>
            <w:shd w:val="clear" w:color="auto" w:fill="auto"/>
            <w:vAlign w:val="center"/>
          </w:tcPr>
          <w:p w:rsidR="00C47645" w:rsidRPr="00980D3E" w:rsidRDefault="00C47645" w:rsidP="002D76F8">
            <w:pPr>
              <w:pStyle w:val="TableText0"/>
              <w:keepLines/>
              <w:rPr>
                <w:rFonts w:cstheme="minorBidi"/>
                <w:szCs w:val="20"/>
              </w:rPr>
            </w:pPr>
            <w:r w:rsidRPr="00980D3E">
              <w:rPr>
                <w:rFonts w:cstheme="minorBidi"/>
                <w:szCs w:val="20"/>
              </w:rPr>
              <w:t>0.011</w:t>
            </w:r>
            <w:r w:rsidR="00AC5A74" w:rsidRPr="00980D3E">
              <w:rPr>
                <w:rFonts w:cstheme="minorBidi"/>
                <w:szCs w:val="20"/>
                <w:vertAlign w:val="superscript"/>
              </w:rPr>
              <w:t>d</w:t>
            </w:r>
          </w:p>
        </w:tc>
        <w:tc>
          <w:tcPr>
            <w:tcW w:w="1008" w:type="pct"/>
            <w:shd w:val="clear" w:color="auto" w:fill="auto"/>
            <w:vAlign w:val="center"/>
          </w:tcPr>
          <w:p w:rsidR="00C47645" w:rsidRPr="00980D3E" w:rsidRDefault="00C47645" w:rsidP="002D76F8">
            <w:pPr>
              <w:pStyle w:val="TableText0"/>
              <w:keepLines/>
              <w:rPr>
                <w:rFonts w:cstheme="minorBidi"/>
                <w:szCs w:val="20"/>
              </w:rPr>
            </w:pPr>
            <w:r w:rsidRPr="00980D3E">
              <w:rPr>
                <w:rFonts w:cstheme="minorBidi"/>
                <w:szCs w:val="20"/>
              </w:rPr>
              <w:t>0.001</w:t>
            </w:r>
            <w:r w:rsidR="00AC5A74" w:rsidRPr="00980D3E">
              <w:rPr>
                <w:rFonts w:cstheme="minorBidi"/>
                <w:szCs w:val="20"/>
                <w:vertAlign w:val="superscript"/>
              </w:rPr>
              <w:t>d</w:t>
            </w:r>
          </w:p>
        </w:tc>
      </w:tr>
    </w:tbl>
    <w:p w:rsidR="00C47645" w:rsidRPr="00980D3E" w:rsidRDefault="00C47645" w:rsidP="00FD4D80">
      <w:pPr>
        <w:pStyle w:val="TableFigureFooter"/>
        <w:keepNext/>
        <w:keepLines/>
        <w:jc w:val="left"/>
      </w:pPr>
      <w:r w:rsidRPr="00980D3E">
        <w:t>Source: Table 1, pp2-6 of the resubmission.</w:t>
      </w:r>
    </w:p>
    <w:p w:rsidR="00C47645" w:rsidRPr="00980D3E" w:rsidRDefault="00C47645" w:rsidP="00FD4D80">
      <w:pPr>
        <w:pStyle w:val="TableFigureFooter"/>
        <w:keepNext/>
        <w:keepLines/>
        <w:jc w:val="left"/>
        <w:rPr>
          <w:szCs w:val="20"/>
        </w:rPr>
      </w:pPr>
      <w:r w:rsidRPr="00980D3E">
        <w:rPr>
          <w:szCs w:val="20"/>
        </w:rPr>
        <w:t xml:space="preserve">AE = adverse event; CUA = cost-utility analysis; DPMA = Dispensed Price for Maximum Quantity; </w:t>
      </w:r>
      <w:r w:rsidR="00C50AE9" w:rsidRPr="00980D3E">
        <w:rPr>
          <w:szCs w:val="20"/>
        </w:rPr>
        <w:t>Dxm</w:t>
      </w:r>
      <w:r w:rsidRPr="00980D3E">
        <w:rPr>
          <w:szCs w:val="20"/>
        </w:rPr>
        <w:t xml:space="preserve"> = dexamethasone; IRC = independent review committee; IMWG = international myeloma working group; </w:t>
      </w:r>
      <w:r w:rsidR="004543E4" w:rsidRPr="00980D3E">
        <w:rPr>
          <w:szCs w:val="20"/>
        </w:rPr>
        <w:t xml:space="preserve">Lys = life years; </w:t>
      </w:r>
      <w:r w:rsidR="00615468" w:rsidRPr="00980D3E">
        <w:rPr>
          <w:szCs w:val="20"/>
        </w:rPr>
        <w:t>KM = Kaplan-Meier; OS = overall survival;</w:t>
      </w:r>
      <w:r w:rsidR="004543E4" w:rsidRPr="00980D3E">
        <w:rPr>
          <w:szCs w:val="20"/>
        </w:rPr>
        <w:t xml:space="preserve"> QALY = quality-adjusted life years; </w:t>
      </w:r>
      <w:r w:rsidRPr="00980D3E">
        <w:rPr>
          <w:szCs w:val="20"/>
        </w:rPr>
        <w:t xml:space="preserve">PD = progressive disease; PFS = progression-free survival; </w:t>
      </w:r>
      <w:r w:rsidR="0035789B" w:rsidRPr="00980D3E">
        <w:rPr>
          <w:szCs w:val="20"/>
        </w:rPr>
        <w:t>TTF = time to treatment failure</w:t>
      </w:r>
      <w:r w:rsidR="003A6399" w:rsidRPr="00980D3E">
        <w:rPr>
          <w:szCs w:val="20"/>
        </w:rPr>
        <w:t xml:space="preserve"> </w:t>
      </w:r>
    </w:p>
    <w:p w:rsidR="00AC5A74" w:rsidRPr="00980D3E" w:rsidRDefault="00486223" w:rsidP="00FD4D80">
      <w:pPr>
        <w:pStyle w:val="TableFigureFooter"/>
        <w:keepNext/>
        <w:keepLines/>
        <w:jc w:val="left"/>
        <w:rPr>
          <w:szCs w:val="20"/>
        </w:rPr>
      </w:pPr>
      <w:r w:rsidRPr="00980D3E">
        <w:rPr>
          <w:szCs w:val="20"/>
          <w:vertAlign w:val="superscript"/>
        </w:rPr>
        <w:t>a</w:t>
      </w:r>
      <w:r w:rsidRPr="00980D3E">
        <w:rPr>
          <w:szCs w:val="20"/>
        </w:rPr>
        <w:t xml:space="preserve"> Extrapolation was applied at time points that differed from median follow-up. Referred to as extrapolation from median follow-up for brevity.</w:t>
      </w:r>
    </w:p>
    <w:p w:rsidR="00AC5A74" w:rsidRPr="00980D3E" w:rsidRDefault="00AC5A74" w:rsidP="00FD4D80">
      <w:pPr>
        <w:pStyle w:val="TableFigureFooter"/>
        <w:keepNext/>
        <w:keepLines/>
        <w:jc w:val="left"/>
        <w:rPr>
          <w:szCs w:val="20"/>
        </w:rPr>
      </w:pPr>
      <w:r w:rsidRPr="00980D3E">
        <w:rPr>
          <w:szCs w:val="20"/>
          <w:vertAlign w:val="superscript"/>
        </w:rPr>
        <w:t>b</w:t>
      </w:r>
      <w:r w:rsidRPr="00980D3E">
        <w:rPr>
          <w:szCs w:val="20"/>
        </w:rPr>
        <w:t xml:space="preserve"> Proposed fourth-line price</w:t>
      </w:r>
    </w:p>
    <w:p w:rsidR="00486223" w:rsidRPr="00980D3E" w:rsidRDefault="00AC5A74" w:rsidP="00FD4D80">
      <w:pPr>
        <w:pStyle w:val="TableFigureFooter"/>
        <w:keepNext/>
        <w:keepLines/>
        <w:jc w:val="left"/>
        <w:rPr>
          <w:szCs w:val="20"/>
        </w:rPr>
      </w:pPr>
      <w:r w:rsidRPr="00980D3E">
        <w:rPr>
          <w:szCs w:val="20"/>
          <w:vertAlign w:val="superscript"/>
        </w:rPr>
        <w:t>c</w:t>
      </w:r>
      <w:r w:rsidRPr="00980D3E">
        <w:rPr>
          <w:szCs w:val="20"/>
        </w:rPr>
        <w:t xml:space="preserve"> </w:t>
      </w:r>
      <w:r w:rsidR="00F6541F" w:rsidRPr="00980D3E">
        <w:rPr>
          <w:szCs w:val="20"/>
        </w:rPr>
        <w:t>A</w:t>
      </w:r>
      <w:r w:rsidR="00486223" w:rsidRPr="00980D3E">
        <w:rPr>
          <w:szCs w:val="20"/>
        </w:rPr>
        <w:t>ctual values used in the economic model</w:t>
      </w:r>
      <w:r w:rsidR="00CC4094" w:rsidRPr="00980D3E">
        <w:rPr>
          <w:szCs w:val="20"/>
        </w:rPr>
        <w:t xml:space="preserve">. The </w:t>
      </w:r>
      <w:r w:rsidR="00486223" w:rsidRPr="00980D3E">
        <w:rPr>
          <w:szCs w:val="20"/>
        </w:rPr>
        <w:t xml:space="preserve">resubmission stated that it used utility </w:t>
      </w:r>
      <w:r w:rsidR="00CC4094" w:rsidRPr="00980D3E">
        <w:rPr>
          <w:szCs w:val="20"/>
        </w:rPr>
        <w:t>values</w:t>
      </w:r>
      <w:r w:rsidR="00CC53F7" w:rsidRPr="00980D3E">
        <w:rPr>
          <w:szCs w:val="20"/>
        </w:rPr>
        <w:t xml:space="preserve"> recalculated in the</w:t>
      </w:r>
      <w:r w:rsidR="00486223" w:rsidRPr="00980D3E">
        <w:rPr>
          <w:szCs w:val="20"/>
        </w:rPr>
        <w:t xml:space="preserve"> July 2019 commentary.</w:t>
      </w:r>
    </w:p>
    <w:p w:rsidR="005F08DF" w:rsidRPr="00980D3E" w:rsidRDefault="00AC5A74" w:rsidP="00C2673A">
      <w:pPr>
        <w:pStyle w:val="TableFigureFooter"/>
        <w:keepNext/>
        <w:keepLines/>
        <w:jc w:val="left"/>
        <w:rPr>
          <w:szCs w:val="20"/>
        </w:rPr>
      </w:pPr>
      <w:r w:rsidRPr="00980D3E">
        <w:rPr>
          <w:szCs w:val="20"/>
          <w:vertAlign w:val="superscript"/>
        </w:rPr>
        <w:t>d</w:t>
      </w:r>
      <w:r w:rsidRPr="00980D3E">
        <w:rPr>
          <w:szCs w:val="20"/>
        </w:rPr>
        <w:t xml:space="preserve"> </w:t>
      </w:r>
      <w:r w:rsidR="00486223" w:rsidRPr="00980D3E">
        <w:rPr>
          <w:szCs w:val="20"/>
        </w:rPr>
        <w:t>Annualised as: weekly disutility × 365.25/7</w:t>
      </w:r>
    </w:p>
    <w:p w:rsidR="00C47645" w:rsidRPr="00980D3E" w:rsidRDefault="00C2673A" w:rsidP="00C2673A">
      <w:pPr>
        <w:pStyle w:val="3-BodyText"/>
      </w:pPr>
      <w:r w:rsidRPr="00980D3E">
        <w:t xml:space="preserve">Table 17 </w:t>
      </w:r>
      <w:r w:rsidR="00C47645" w:rsidRPr="00980D3E">
        <w:t xml:space="preserve">presents the key drivers of economic model. </w:t>
      </w:r>
    </w:p>
    <w:p w:rsidR="00C47645" w:rsidRPr="00980D3E" w:rsidRDefault="00C2673A" w:rsidP="00D443C2">
      <w:pPr>
        <w:pStyle w:val="TableHeading"/>
      </w:pPr>
      <w:bookmarkStart w:id="49" w:name="_Ref33524975"/>
      <w:r w:rsidRPr="00980D3E">
        <w:t>Table 17</w:t>
      </w:r>
      <w:bookmarkEnd w:id="49"/>
      <w:r w:rsidR="00C47645" w:rsidRPr="00980D3E">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4"/>
        <w:gridCol w:w="5387"/>
        <w:gridCol w:w="2076"/>
      </w:tblGrid>
      <w:tr w:rsidR="00C47645" w:rsidRPr="00980D3E" w:rsidTr="00D443C2">
        <w:trPr>
          <w:tblHeader/>
        </w:trPr>
        <w:tc>
          <w:tcPr>
            <w:tcW w:w="862" w:type="pct"/>
            <w:shd w:val="clear" w:color="auto" w:fill="auto"/>
            <w:vAlign w:val="center"/>
          </w:tcPr>
          <w:p w:rsidR="00C47645" w:rsidRPr="00980D3E" w:rsidRDefault="00C47645" w:rsidP="00B96906">
            <w:pPr>
              <w:pStyle w:val="In-tableHeading"/>
              <w:rPr>
                <w:lang w:val="en-AU"/>
              </w:rPr>
            </w:pPr>
            <w:r w:rsidRPr="00980D3E">
              <w:rPr>
                <w:lang w:val="en-AU"/>
              </w:rPr>
              <w:t>Component</w:t>
            </w:r>
          </w:p>
        </w:tc>
        <w:tc>
          <w:tcPr>
            <w:tcW w:w="2987" w:type="pct"/>
            <w:shd w:val="clear" w:color="auto" w:fill="auto"/>
            <w:vAlign w:val="center"/>
          </w:tcPr>
          <w:p w:rsidR="00C47645" w:rsidRPr="00980D3E" w:rsidRDefault="00C47645" w:rsidP="00C87BCA">
            <w:pPr>
              <w:pStyle w:val="In-tableHeading"/>
              <w:jc w:val="center"/>
              <w:rPr>
                <w:lang w:val="en-AU"/>
              </w:rPr>
            </w:pPr>
            <w:r w:rsidRPr="00980D3E">
              <w:rPr>
                <w:lang w:val="en-AU"/>
              </w:rPr>
              <w:t>Summary</w:t>
            </w:r>
          </w:p>
        </w:tc>
        <w:tc>
          <w:tcPr>
            <w:tcW w:w="1151" w:type="pct"/>
          </w:tcPr>
          <w:p w:rsidR="00C47645" w:rsidRPr="00980D3E" w:rsidRDefault="00C47645" w:rsidP="00C87BCA">
            <w:pPr>
              <w:pStyle w:val="In-tableHeading"/>
              <w:jc w:val="center"/>
              <w:rPr>
                <w:lang w:val="en-AU"/>
              </w:rPr>
            </w:pPr>
            <w:r w:rsidRPr="00980D3E">
              <w:rPr>
                <w:lang w:val="en-AU"/>
              </w:rPr>
              <w:t>Impact</w:t>
            </w:r>
          </w:p>
        </w:tc>
      </w:tr>
      <w:tr w:rsidR="00C47645" w:rsidRPr="00980D3E" w:rsidTr="00D443C2">
        <w:tc>
          <w:tcPr>
            <w:tcW w:w="862" w:type="pct"/>
            <w:shd w:val="clear" w:color="auto" w:fill="auto"/>
            <w:vAlign w:val="center"/>
          </w:tcPr>
          <w:p w:rsidR="00C47645" w:rsidRPr="00980D3E" w:rsidRDefault="00C47645" w:rsidP="00B96906">
            <w:pPr>
              <w:pStyle w:val="TableText0"/>
            </w:pPr>
            <w:r w:rsidRPr="00980D3E">
              <w:t>Post-progression costs</w:t>
            </w:r>
          </w:p>
        </w:tc>
        <w:tc>
          <w:tcPr>
            <w:tcW w:w="2987" w:type="pct"/>
            <w:shd w:val="clear" w:color="auto" w:fill="auto"/>
            <w:vAlign w:val="center"/>
          </w:tcPr>
          <w:p w:rsidR="00C47645" w:rsidRPr="00980D3E" w:rsidRDefault="00CC4094" w:rsidP="00CC4094">
            <w:pPr>
              <w:pStyle w:val="TableText0"/>
            </w:pPr>
            <w:r w:rsidRPr="00980D3E">
              <w:t xml:space="preserve">Plitidepsin + Dxm arm: </w:t>
            </w:r>
            <w:r w:rsidR="00C47645" w:rsidRPr="00980D3E">
              <w:t>$</w:t>
            </w:r>
            <w:r w:rsidR="00F11546">
              <w:rPr>
                <w:noProof/>
                <w:color w:val="000000"/>
                <w:highlight w:val="black"/>
              </w:rPr>
              <w:t>''''''''''''</w:t>
            </w:r>
            <w:r w:rsidRPr="00980D3E">
              <w:t>;</w:t>
            </w:r>
            <w:r w:rsidR="00C47645" w:rsidRPr="00980D3E">
              <w:t xml:space="preserve"> </w:t>
            </w:r>
            <w:r w:rsidRPr="00980D3E">
              <w:t xml:space="preserve">Dxm monotherapy arm: </w:t>
            </w:r>
            <w:r w:rsidR="00C47645" w:rsidRPr="00980D3E">
              <w:t>$</w:t>
            </w:r>
            <w:r w:rsidR="00F11546">
              <w:rPr>
                <w:noProof/>
                <w:color w:val="000000"/>
                <w:highlight w:val="black"/>
              </w:rPr>
              <w:t>''''''''''''''''</w:t>
            </w:r>
            <w:r w:rsidRPr="00980D3E">
              <w:t>,</w:t>
            </w:r>
            <w:r w:rsidR="00C47645" w:rsidRPr="00980D3E">
              <w:t xml:space="preserve"> including post</w:t>
            </w:r>
            <w:r w:rsidR="00C47645" w:rsidRPr="00980D3E">
              <w:noBreakHyphen/>
              <w:t xml:space="preserve">progression plitidepsin use. </w:t>
            </w:r>
          </w:p>
        </w:tc>
        <w:tc>
          <w:tcPr>
            <w:tcW w:w="1151" w:type="pct"/>
          </w:tcPr>
          <w:p w:rsidR="00C47645" w:rsidRPr="00980D3E" w:rsidRDefault="00C47645" w:rsidP="00B96906">
            <w:pPr>
              <w:pStyle w:val="TableText0"/>
            </w:pPr>
            <w:r w:rsidRPr="00980D3E">
              <w:t xml:space="preserve">High. Favoured plitidepsin </w:t>
            </w:r>
          </w:p>
        </w:tc>
      </w:tr>
      <w:tr w:rsidR="00405A89" w:rsidRPr="00980D3E" w:rsidTr="00D443C2">
        <w:tc>
          <w:tcPr>
            <w:tcW w:w="862" w:type="pct"/>
            <w:shd w:val="clear" w:color="auto" w:fill="auto"/>
            <w:vAlign w:val="center"/>
          </w:tcPr>
          <w:p w:rsidR="00405A89" w:rsidRPr="00980D3E" w:rsidRDefault="00405A89" w:rsidP="00405A89">
            <w:pPr>
              <w:pStyle w:val="TableText0"/>
            </w:pPr>
            <w:r w:rsidRPr="00980D3E">
              <w:t>OS data</w:t>
            </w:r>
          </w:p>
        </w:tc>
        <w:tc>
          <w:tcPr>
            <w:tcW w:w="2987" w:type="pct"/>
            <w:shd w:val="clear" w:color="auto" w:fill="auto"/>
            <w:vAlign w:val="center"/>
          </w:tcPr>
          <w:p w:rsidR="00405A89" w:rsidRPr="00980D3E" w:rsidRDefault="00405A89" w:rsidP="00535406">
            <w:pPr>
              <w:pStyle w:val="TableText0"/>
            </w:pPr>
            <w:r w:rsidRPr="00980D3E">
              <w:t>OS data was adjusted for crossover.</w:t>
            </w:r>
          </w:p>
        </w:tc>
        <w:tc>
          <w:tcPr>
            <w:tcW w:w="1151" w:type="pct"/>
          </w:tcPr>
          <w:p w:rsidR="00405A89" w:rsidRPr="00980D3E" w:rsidRDefault="00405A89" w:rsidP="00535406">
            <w:pPr>
              <w:pStyle w:val="TableText0"/>
            </w:pPr>
            <w:r w:rsidRPr="00980D3E">
              <w:t>High, Favoured pli</w:t>
            </w:r>
            <w:r w:rsidR="00DF203C" w:rsidRPr="00980D3E">
              <w:t>ti</w:t>
            </w:r>
            <w:r w:rsidRPr="00980D3E">
              <w:t>depsin</w:t>
            </w:r>
          </w:p>
        </w:tc>
      </w:tr>
      <w:tr w:rsidR="00C47645" w:rsidRPr="00980D3E" w:rsidTr="00D443C2">
        <w:tc>
          <w:tcPr>
            <w:tcW w:w="862" w:type="pct"/>
            <w:shd w:val="clear" w:color="auto" w:fill="auto"/>
            <w:vAlign w:val="center"/>
          </w:tcPr>
          <w:p w:rsidR="00C47645" w:rsidRPr="00980D3E" w:rsidRDefault="00C47645" w:rsidP="00B96906">
            <w:pPr>
              <w:pStyle w:val="TableText0"/>
            </w:pPr>
            <w:r w:rsidRPr="00980D3E">
              <w:t>PFS data</w:t>
            </w:r>
          </w:p>
        </w:tc>
        <w:tc>
          <w:tcPr>
            <w:tcW w:w="2987" w:type="pct"/>
            <w:shd w:val="clear" w:color="auto" w:fill="auto"/>
            <w:vAlign w:val="center"/>
          </w:tcPr>
          <w:p w:rsidR="00C47645" w:rsidRPr="00980D3E" w:rsidRDefault="00916889" w:rsidP="002D76F8">
            <w:pPr>
              <w:pStyle w:val="TableText0"/>
            </w:pPr>
            <w:r w:rsidRPr="00980D3E">
              <w:t xml:space="preserve">IRC </w:t>
            </w:r>
            <w:r w:rsidR="00C47645" w:rsidRPr="00980D3E">
              <w:t>assessed PFS with PD confirmation used rather than primary outcome (</w:t>
            </w:r>
            <w:r w:rsidRPr="00980D3E">
              <w:t xml:space="preserve">IRC </w:t>
            </w:r>
            <w:r w:rsidR="00C47645" w:rsidRPr="00980D3E">
              <w:t>assessed PFS without PD conf</w:t>
            </w:r>
            <w:r w:rsidR="002D76F8" w:rsidRPr="00980D3E">
              <w:t>i</w:t>
            </w:r>
            <w:r w:rsidR="00C47645" w:rsidRPr="00980D3E">
              <w:t>rmation)</w:t>
            </w:r>
          </w:p>
        </w:tc>
        <w:tc>
          <w:tcPr>
            <w:tcW w:w="1151" w:type="pct"/>
          </w:tcPr>
          <w:p w:rsidR="00C47645" w:rsidRPr="00980D3E" w:rsidRDefault="003321BA" w:rsidP="00B96906">
            <w:pPr>
              <w:pStyle w:val="TableText0"/>
            </w:pPr>
            <w:r w:rsidRPr="00980D3E">
              <w:t>Moderate</w:t>
            </w:r>
            <w:r w:rsidR="00C47645" w:rsidRPr="00980D3E">
              <w:t>. Favoured plitidepsin</w:t>
            </w:r>
          </w:p>
        </w:tc>
      </w:tr>
      <w:tr w:rsidR="00C47645" w:rsidRPr="00980D3E" w:rsidTr="00D443C2">
        <w:tc>
          <w:tcPr>
            <w:tcW w:w="862" w:type="pct"/>
            <w:shd w:val="clear" w:color="auto" w:fill="auto"/>
            <w:vAlign w:val="center"/>
          </w:tcPr>
          <w:p w:rsidR="00C47645" w:rsidRPr="00980D3E" w:rsidRDefault="00C47645" w:rsidP="00B96906">
            <w:pPr>
              <w:pStyle w:val="TableText0"/>
            </w:pPr>
            <w:r w:rsidRPr="00980D3E">
              <w:t xml:space="preserve">Utilities </w:t>
            </w:r>
          </w:p>
        </w:tc>
        <w:tc>
          <w:tcPr>
            <w:tcW w:w="2987" w:type="pct"/>
            <w:shd w:val="clear" w:color="auto" w:fill="auto"/>
            <w:vAlign w:val="center"/>
          </w:tcPr>
          <w:p w:rsidR="00C47645" w:rsidRPr="00980D3E" w:rsidRDefault="00C47645" w:rsidP="00B96906">
            <w:pPr>
              <w:pStyle w:val="TableText0"/>
            </w:pPr>
            <w:r w:rsidRPr="00980D3E">
              <w:t>Pre-progression: 0.750</w:t>
            </w:r>
          </w:p>
          <w:p w:rsidR="00C47645" w:rsidRPr="00980D3E" w:rsidRDefault="00C47645" w:rsidP="00B96906">
            <w:pPr>
              <w:pStyle w:val="TableText0"/>
            </w:pPr>
            <w:r w:rsidRPr="00980D3E">
              <w:t>Post progression: 0.645</w:t>
            </w:r>
          </w:p>
        </w:tc>
        <w:tc>
          <w:tcPr>
            <w:tcW w:w="1151" w:type="pct"/>
          </w:tcPr>
          <w:p w:rsidR="00C47645" w:rsidRPr="00980D3E" w:rsidRDefault="00C47645" w:rsidP="00B96906">
            <w:pPr>
              <w:pStyle w:val="TableText0"/>
            </w:pPr>
            <w:r w:rsidRPr="00980D3E">
              <w:t xml:space="preserve">Moderate. Favoured plitidepsin </w:t>
            </w:r>
          </w:p>
        </w:tc>
      </w:tr>
      <w:tr w:rsidR="00C47645" w:rsidRPr="00980D3E" w:rsidTr="00D443C2">
        <w:tc>
          <w:tcPr>
            <w:tcW w:w="862" w:type="pct"/>
            <w:shd w:val="clear" w:color="auto" w:fill="auto"/>
            <w:vAlign w:val="center"/>
          </w:tcPr>
          <w:p w:rsidR="00C47645" w:rsidRPr="00980D3E" w:rsidRDefault="00C47645" w:rsidP="00B96906">
            <w:pPr>
              <w:pStyle w:val="TableText0"/>
            </w:pPr>
            <w:r w:rsidRPr="00980D3E">
              <w:t>Operational errors</w:t>
            </w:r>
          </w:p>
        </w:tc>
        <w:tc>
          <w:tcPr>
            <w:tcW w:w="2987" w:type="pct"/>
            <w:shd w:val="clear" w:color="auto" w:fill="auto"/>
            <w:vAlign w:val="center"/>
          </w:tcPr>
          <w:p w:rsidR="00C47645" w:rsidRPr="00980D3E" w:rsidRDefault="00C47645" w:rsidP="00B96906">
            <w:pPr>
              <w:pStyle w:val="TableText0"/>
            </w:pPr>
            <w:r w:rsidRPr="00980D3E">
              <w:t xml:space="preserve">Operational validity errors resulting implausible proportions of patients in health states and the proportion of patients across health states exceeding 100%. </w:t>
            </w:r>
          </w:p>
        </w:tc>
        <w:tc>
          <w:tcPr>
            <w:tcW w:w="1151" w:type="pct"/>
          </w:tcPr>
          <w:p w:rsidR="00C47645" w:rsidRPr="00980D3E" w:rsidRDefault="00C47645" w:rsidP="00B96906">
            <w:pPr>
              <w:pStyle w:val="TableText0"/>
            </w:pPr>
            <w:r w:rsidRPr="00980D3E">
              <w:t xml:space="preserve">Low. Favoured plitidepsin </w:t>
            </w:r>
          </w:p>
        </w:tc>
      </w:tr>
    </w:tbl>
    <w:p w:rsidR="00C87BCA" w:rsidRPr="00980D3E" w:rsidRDefault="00C87BCA" w:rsidP="001F2C06">
      <w:pPr>
        <w:pStyle w:val="TableFigureFooter"/>
        <w:jc w:val="left"/>
      </w:pPr>
      <w:r w:rsidRPr="00980D3E">
        <w:t xml:space="preserve">Dxm = dexamethasone; IRC = independent review committee; </w:t>
      </w:r>
      <w:r w:rsidR="00BC66CA" w:rsidRPr="00980D3E">
        <w:t xml:space="preserve">OS = overall survival; </w:t>
      </w:r>
      <w:r w:rsidRPr="00980D3E">
        <w:t>PD = progressive disease; PFS = progression free survival.</w:t>
      </w:r>
    </w:p>
    <w:p w:rsidR="00C47645" w:rsidRPr="00980D3E" w:rsidRDefault="00C87BCA" w:rsidP="00C2673A">
      <w:pPr>
        <w:pStyle w:val="TableFigureFooter"/>
      </w:pPr>
      <w:r w:rsidRPr="00980D3E">
        <w:t>Source: Excel spreadsheet ‘Aplidin_EconomicModel_November2019_PRIMARY’.</w:t>
      </w:r>
    </w:p>
    <w:p w:rsidR="005014DA" w:rsidRPr="00980D3E" w:rsidRDefault="00C47645" w:rsidP="005014DA">
      <w:pPr>
        <w:pStyle w:val="3-BodyText"/>
      </w:pPr>
      <w:r w:rsidRPr="00980D3E">
        <w:t xml:space="preserve">The resubmission assumed patients in the </w:t>
      </w:r>
      <w:r w:rsidR="00C50AE9" w:rsidRPr="00980D3E">
        <w:t>Dxm</w:t>
      </w:r>
      <w:r w:rsidRPr="00980D3E">
        <w:t xml:space="preserve"> monotherapy arm would incur post</w:t>
      </w:r>
      <w:r w:rsidRPr="00980D3E">
        <w:noBreakHyphen/>
        <w:t xml:space="preserve">progression treatment costs </w:t>
      </w:r>
      <w:r w:rsidRPr="00902658">
        <w:t xml:space="preserve">of </w:t>
      </w:r>
      <w:r w:rsidR="00902658">
        <w:t xml:space="preserve">less than </w:t>
      </w:r>
      <w:r w:rsidRPr="00902658">
        <w:t>$</w:t>
      </w:r>
      <w:r w:rsidR="00902658">
        <w:t>10 million</w:t>
      </w:r>
      <w:r w:rsidRPr="00980D3E">
        <w:t xml:space="preserve"> per patient</w:t>
      </w:r>
      <w:r w:rsidR="004A62FB" w:rsidRPr="00980D3E">
        <w:t>,</w:t>
      </w:r>
      <w:r w:rsidRPr="00980D3E">
        <w:t xml:space="preserve"> which included the cost of post-progression plitidepsin use. This was inconsistent with the use of OS</w:t>
      </w:r>
      <w:r w:rsidR="00190F2D" w:rsidRPr="00980D3E">
        <w:t xml:space="preserve"> </w:t>
      </w:r>
      <w:r w:rsidRPr="00980D3E">
        <w:t>adjusted for the effect of crossover to plitidepsin using the two-stage method. Post-</w:t>
      </w:r>
      <w:r w:rsidRPr="00980D3E">
        <w:lastRenderedPageBreak/>
        <w:t xml:space="preserve">progression costs for the plitidepsin + </w:t>
      </w:r>
      <w:r w:rsidR="00C50AE9" w:rsidRPr="00980D3E">
        <w:t>Dxm</w:t>
      </w:r>
      <w:r w:rsidRPr="00980D3E">
        <w:t xml:space="preserve"> arm w</w:t>
      </w:r>
      <w:r w:rsidR="005F08DF" w:rsidRPr="00980D3E">
        <w:t>ere</w:t>
      </w:r>
      <w:r w:rsidRPr="00980D3E">
        <w:t xml:space="preserve"> </w:t>
      </w:r>
      <w:r w:rsidR="00902658">
        <w:t xml:space="preserve">less than </w:t>
      </w:r>
      <w:r w:rsidRPr="00902658">
        <w:t>$</w:t>
      </w:r>
      <w:r w:rsidR="00902658">
        <w:t>10 million</w:t>
      </w:r>
      <w:r w:rsidRPr="00980D3E">
        <w:t xml:space="preserve"> per patient. The large difference in post-progression treatment costs was the key driver of the </w:t>
      </w:r>
      <w:r w:rsidR="00833951" w:rsidRPr="00980D3E">
        <w:t>ICER</w:t>
      </w:r>
      <w:r w:rsidRPr="00980D3E">
        <w:t xml:space="preserve">. </w:t>
      </w:r>
      <w:r w:rsidR="005014DA" w:rsidRPr="00980D3E">
        <w:t xml:space="preserve">The PSCR stated that post-progression treatment costs were based on the actual treatments patients received in each treatment arm of the ADMYRE trial. The PSCR also stated that the July 2019 submission applied similar post-treatment costs to both arms of the analysis, but this was amended in the resubmission as a result of feedback </w:t>
      </w:r>
      <w:r w:rsidR="00985D27" w:rsidRPr="00980D3E">
        <w:t xml:space="preserve">from the evaluators. </w:t>
      </w:r>
      <w:r w:rsidR="005014DA" w:rsidRPr="00980D3E">
        <w:t xml:space="preserve">The </w:t>
      </w:r>
      <w:r w:rsidR="00884A2E" w:rsidRPr="00980D3E">
        <w:t>ESC</w:t>
      </w:r>
      <w:r w:rsidR="005014DA" w:rsidRPr="00980D3E">
        <w:t xml:space="preserve"> </w:t>
      </w:r>
      <w:r w:rsidR="004A7A5C" w:rsidRPr="00980D3E">
        <w:t xml:space="preserve">noted </w:t>
      </w:r>
      <w:r w:rsidR="00985D27" w:rsidRPr="00980D3E">
        <w:t>that the post-progression costs were</w:t>
      </w:r>
      <w:r w:rsidR="005014DA" w:rsidRPr="00980D3E">
        <w:t xml:space="preserve"> </w:t>
      </w:r>
      <w:r w:rsidR="00AA3A79" w:rsidRPr="00980D3E">
        <w:t xml:space="preserve">substantially </w:t>
      </w:r>
      <w:r w:rsidR="005014DA" w:rsidRPr="00980D3E">
        <w:t>higher in the Dxm arm, favouring plitidepsin.</w:t>
      </w:r>
    </w:p>
    <w:p w:rsidR="00C47645" w:rsidRPr="00980D3E" w:rsidRDefault="005F08DF" w:rsidP="00C2673A">
      <w:pPr>
        <w:pStyle w:val="3-BodyText"/>
        <w:ind w:left="709"/>
      </w:pPr>
      <w:r w:rsidRPr="00980D3E">
        <w:t>In addition, t</w:t>
      </w:r>
      <w:r w:rsidR="00687E24" w:rsidRPr="00980D3E">
        <w:t xml:space="preserve">he resubmission applied post-progression treatment costs to all </w:t>
      </w:r>
      <w:r w:rsidR="00DD1247" w:rsidRPr="00980D3E">
        <w:t xml:space="preserve">patients </w:t>
      </w:r>
      <w:r w:rsidR="00687E24" w:rsidRPr="00980D3E">
        <w:t xml:space="preserve">exiting the </w:t>
      </w:r>
      <w:r w:rsidR="00600578" w:rsidRPr="00980D3E">
        <w:t>p</w:t>
      </w:r>
      <w:r w:rsidR="00687E24" w:rsidRPr="00980D3E">
        <w:t>re-progression on</w:t>
      </w:r>
      <w:r w:rsidR="00CC53F7" w:rsidRPr="00980D3E">
        <w:t>-</w:t>
      </w:r>
      <w:r w:rsidR="00687E24" w:rsidRPr="00980D3E">
        <w:t>treatment health state. Th</w:t>
      </w:r>
      <w:r w:rsidR="003321BA" w:rsidRPr="00980D3E">
        <w:t xml:space="preserve">e </w:t>
      </w:r>
      <w:r w:rsidR="00884A2E" w:rsidRPr="00980D3E">
        <w:t>ESC</w:t>
      </w:r>
      <w:r w:rsidR="003321BA" w:rsidRPr="00980D3E">
        <w:t xml:space="preserve"> noted that th</w:t>
      </w:r>
      <w:r w:rsidR="00687E24" w:rsidRPr="00980D3E">
        <w:t xml:space="preserve">is was inconsistent with </w:t>
      </w:r>
      <w:r w:rsidRPr="00980D3E">
        <w:t xml:space="preserve">the results of the ADMYRE trial, in which </w:t>
      </w:r>
      <w:r w:rsidR="00687E24" w:rsidRPr="00980D3E">
        <w:t xml:space="preserve">39.5% and 48.2% of patients in the plitidepsin and Dxm arms, respectively, </w:t>
      </w:r>
      <w:r w:rsidRPr="00980D3E">
        <w:t>received</w:t>
      </w:r>
      <w:r w:rsidR="00687E24" w:rsidRPr="00980D3E">
        <w:t xml:space="preserve"> subsequent therapies. </w:t>
      </w:r>
      <w:r w:rsidR="00CC53F7" w:rsidRPr="00980D3E">
        <w:t xml:space="preserve">Data from the Australian Myeloma and Related Diseases Registry reported 43% (20/46) of patients who </w:t>
      </w:r>
      <w:r w:rsidRPr="00980D3E">
        <w:t>received a</w:t>
      </w:r>
      <w:r w:rsidR="00CC53F7" w:rsidRPr="00980D3E">
        <w:t xml:space="preserve"> fourth</w:t>
      </w:r>
      <w:r w:rsidRPr="00980D3E">
        <w:t>-</w:t>
      </w:r>
      <w:r w:rsidR="00CC53F7" w:rsidRPr="00980D3E">
        <w:t>line therapy</w:t>
      </w:r>
      <w:r w:rsidRPr="00980D3E">
        <w:t xml:space="preserve"> went on to receive a</w:t>
      </w:r>
      <w:r w:rsidR="00CC53F7" w:rsidRPr="00980D3E">
        <w:t xml:space="preserve"> fifth</w:t>
      </w:r>
      <w:r w:rsidRPr="00980D3E">
        <w:t>-</w:t>
      </w:r>
      <w:r w:rsidR="00CC53F7" w:rsidRPr="00980D3E">
        <w:t>line therapy (Zhao 2019</w:t>
      </w:r>
      <w:r w:rsidRPr="00980D3E">
        <w:rPr>
          <w:rStyle w:val="FootnoteReference"/>
        </w:rPr>
        <w:footnoteReference w:id="2"/>
      </w:r>
      <w:r w:rsidR="00CC53F7" w:rsidRPr="00980D3E">
        <w:t>).</w:t>
      </w:r>
    </w:p>
    <w:p w:rsidR="005F08DF" w:rsidRPr="00980D3E" w:rsidRDefault="00C47645" w:rsidP="00C2673A">
      <w:pPr>
        <w:pStyle w:val="3-BodyText"/>
        <w:ind w:left="709"/>
      </w:pPr>
      <w:r w:rsidRPr="00980D3E">
        <w:t xml:space="preserve">Unchanged from the previous submission, </w:t>
      </w:r>
      <w:r w:rsidR="00916889" w:rsidRPr="00980D3E">
        <w:t xml:space="preserve">IRC </w:t>
      </w:r>
      <w:r w:rsidRPr="00980D3E">
        <w:t>assessed PFS with PD confirmation was the PFS outcome used in the base case. Th</w:t>
      </w:r>
      <w:r w:rsidR="000C7833" w:rsidRPr="00980D3E">
        <w:t xml:space="preserve">e </w:t>
      </w:r>
      <w:r w:rsidR="00884A2E" w:rsidRPr="00980D3E">
        <w:t>ESC</w:t>
      </w:r>
      <w:r w:rsidR="000C7833" w:rsidRPr="00980D3E">
        <w:t xml:space="preserve"> considered that this was not </w:t>
      </w:r>
      <w:r w:rsidRPr="00980D3E">
        <w:t xml:space="preserve">appropriate </w:t>
      </w:r>
      <w:r w:rsidR="000C7833" w:rsidRPr="00980D3E">
        <w:t xml:space="preserve">as this outcome was a preplanned sensitivity analysis. The </w:t>
      </w:r>
      <w:r w:rsidR="00884A2E" w:rsidRPr="00980D3E">
        <w:t>ESC</w:t>
      </w:r>
      <w:r w:rsidR="000C7833" w:rsidRPr="00980D3E">
        <w:t xml:space="preserve"> considered that the model should have utilised </w:t>
      </w:r>
      <w:r w:rsidR="007826BB" w:rsidRPr="00980D3E">
        <w:t xml:space="preserve">the </w:t>
      </w:r>
      <w:r w:rsidR="00BC7750" w:rsidRPr="00980D3E">
        <w:t>primary</w:t>
      </w:r>
      <w:r w:rsidR="007826BB" w:rsidRPr="00980D3E">
        <w:t xml:space="preserve"> outcome from the trial, </w:t>
      </w:r>
      <w:r w:rsidR="000C7833" w:rsidRPr="00980D3E">
        <w:t xml:space="preserve">PFS without PD </w:t>
      </w:r>
      <w:r w:rsidR="00DF203C" w:rsidRPr="00980D3E">
        <w:t>confirmation</w:t>
      </w:r>
      <w:r w:rsidR="00FD42A2" w:rsidRPr="00980D3E">
        <w:t>.</w:t>
      </w:r>
      <w:r w:rsidRPr="00980D3E">
        <w:t xml:space="preserve"> </w:t>
      </w:r>
    </w:p>
    <w:p w:rsidR="00C47645" w:rsidRDefault="00C2673A" w:rsidP="00C2673A">
      <w:pPr>
        <w:pStyle w:val="3-BodyText"/>
      </w:pPr>
      <w:r w:rsidRPr="00980D3E">
        <w:t xml:space="preserve">Figure 4 </w:t>
      </w:r>
      <w:r w:rsidR="00C47645" w:rsidRPr="00980D3E">
        <w:t xml:space="preserve">presents a comparison of PFS in the model (based on </w:t>
      </w:r>
      <w:r w:rsidR="00916889" w:rsidRPr="00980D3E">
        <w:t xml:space="preserve">IRC </w:t>
      </w:r>
      <w:r w:rsidR="00C47645" w:rsidRPr="00980D3E">
        <w:t>assessed PFS with PD confirmation) and the primary outcome the ADMYRE trial</w:t>
      </w:r>
      <w:r w:rsidR="005F08DF" w:rsidRPr="00980D3E">
        <w:t>,</w:t>
      </w:r>
      <w:r w:rsidR="00C47645" w:rsidRPr="00980D3E">
        <w:t xml:space="preserve"> </w:t>
      </w:r>
      <w:r w:rsidR="00916889" w:rsidRPr="00980D3E">
        <w:t xml:space="preserve">IRC </w:t>
      </w:r>
      <w:r w:rsidR="00C47645" w:rsidRPr="00980D3E">
        <w:t xml:space="preserve">assessed PFS without PD confirmation. The </w:t>
      </w:r>
      <w:r w:rsidR="00884A2E" w:rsidRPr="00980D3E">
        <w:t>ESC</w:t>
      </w:r>
      <w:r w:rsidR="001E7EE1" w:rsidRPr="00980D3E">
        <w:t xml:space="preserve"> noted that the </w:t>
      </w:r>
      <w:r w:rsidR="00C47645" w:rsidRPr="00980D3E">
        <w:t xml:space="preserve">incremental benefit of plitidepsin + </w:t>
      </w:r>
      <w:r w:rsidR="00C50AE9" w:rsidRPr="00980D3E">
        <w:t>Dxm</w:t>
      </w:r>
      <w:r w:rsidR="00C47645" w:rsidRPr="00980D3E">
        <w:t xml:space="preserve"> in term of PFS was higher in the </w:t>
      </w:r>
      <w:r w:rsidR="00916889" w:rsidRPr="00980D3E">
        <w:t xml:space="preserve">IRC </w:t>
      </w:r>
      <w:r w:rsidR="00C47645" w:rsidRPr="00980D3E">
        <w:t xml:space="preserve">assessed PFS with PD confirmation analysis. </w:t>
      </w:r>
      <w:r w:rsidR="0053225B" w:rsidRPr="00980D3E">
        <w:t xml:space="preserve">Results using the </w:t>
      </w:r>
      <w:r w:rsidR="00916889" w:rsidRPr="00980D3E">
        <w:t xml:space="preserve">IRC </w:t>
      </w:r>
      <w:r w:rsidR="0053225B" w:rsidRPr="00980D3E">
        <w:t>assessed PFS without PD confirmation are presented in the sensitivity analysis.</w:t>
      </w:r>
    </w:p>
    <w:p w:rsidR="00CA4529" w:rsidRDefault="00CA4529">
      <w:pPr>
        <w:jc w:val="left"/>
        <w:rPr>
          <w:rFonts w:asciiTheme="minorHAnsi" w:hAnsiTheme="minorHAnsi"/>
          <w:snapToGrid w:val="0"/>
        </w:rPr>
      </w:pPr>
      <w:r>
        <w:br w:type="page"/>
      </w:r>
    </w:p>
    <w:p w:rsidR="00CA4529" w:rsidRPr="00CA4529" w:rsidRDefault="00CA4529" w:rsidP="00CA4529">
      <w:pPr>
        <w:pStyle w:val="3-BodyText"/>
        <w:numPr>
          <w:ilvl w:val="0"/>
          <w:numId w:val="0"/>
        </w:numPr>
        <w:rPr>
          <w:rFonts w:ascii="Arial Narrow" w:hAnsi="Arial Narrow"/>
          <w:b/>
          <w:sz w:val="20"/>
          <w:szCs w:val="20"/>
        </w:rPr>
      </w:pPr>
      <w:r w:rsidRPr="00CA4529">
        <w:rPr>
          <w:rFonts w:ascii="Arial Narrow" w:hAnsi="Arial Narrow"/>
          <w:b/>
          <w:sz w:val="20"/>
          <w:szCs w:val="20"/>
          <w:lang w:eastAsia="en-US"/>
        </w:rPr>
        <w:lastRenderedPageBreak/>
        <w:t>Figure 4: Comparison of IRC PFS with PD confirmation in the economic model (green and red lines) with IRC PFS without PD confirmation (primary outcome) in the ADMYRE trial (blue and grey lines).</w:t>
      </w:r>
    </w:p>
    <w:p w:rsidR="00C47645" w:rsidRPr="00980D3E" w:rsidRDefault="00092697" w:rsidP="00D443C2">
      <w:pPr>
        <w:pStyle w:val="TableHeading"/>
        <w:rPr>
          <w:lang w:eastAsia="en-US"/>
        </w:rPr>
      </w:pPr>
      <w:bookmarkStart w:id="50" w:name="_Ref33525052"/>
      <w:r w:rsidRPr="00980D3E">
        <w:rPr>
          <w:noProof/>
        </w:rPr>
        <w:drawing>
          <wp:inline distT="0" distB="0" distL="0" distR="0">
            <wp:extent cx="4847590" cy="2962910"/>
            <wp:effectExtent l="0" t="0" r="0" b="8890"/>
            <wp:docPr id="32" name="Picture 32" title="Figure 4: Comparison of IRC PFS with PD confirmation in the economic model (green and red lines) with IRC PFS without PD confirmation (primary outcome) in the ADMYRE trial (blue and grey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47590" cy="2962910"/>
                    </a:xfrm>
                    <a:prstGeom prst="rect">
                      <a:avLst/>
                    </a:prstGeom>
                    <a:noFill/>
                  </pic:spPr>
                </pic:pic>
              </a:graphicData>
            </a:graphic>
          </wp:inline>
        </w:drawing>
      </w:r>
      <w:bookmarkEnd w:id="50"/>
    </w:p>
    <w:p w:rsidR="00C95A5C" w:rsidRPr="00980D3E" w:rsidRDefault="00C95A5C" w:rsidP="00D443C2">
      <w:pPr>
        <w:pStyle w:val="TableFigureFooter"/>
      </w:pPr>
      <w:r w:rsidRPr="00980D3E">
        <w:t>Source: Constructed during the evaluation using the Section 3 spreadsheet and Figure 34, p122 of the resubmission</w:t>
      </w:r>
      <w:r w:rsidR="00B173E1" w:rsidRPr="00980D3E">
        <w:t>.</w:t>
      </w:r>
      <w:r w:rsidRPr="00980D3E">
        <w:t xml:space="preserve"> </w:t>
      </w:r>
    </w:p>
    <w:p w:rsidR="00D50268" w:rsidRPr="00980D3E" w:rsidRDefault="00C95A5C" w:rsidP="00D443C2">
      <w:pPr>
        <w:pStyle w:val="TableFigureFooter"/>
      </w:pPr>
      <w:r w:rsidRPr="00980D3E">
        <w:t>A = plitidepsin + dexamethasone treatment arm; B = dexamethasone monotherapy treatment arm; C = censored patients in each arm;</w:t>
      </w:r>
      <w:r w:rsidR="00244833" w:rsidRPr="00980D3E">
        <w:t xml:space="preserve"> Dxm = dexamethasone; ITT</w:t>
      </w:r>
      <w:r w:rsidRPr="00980D3E">
        <w:t xml:space="preserve"> = intention to treat; IRC = independent review committee; N = total patients in each arm; PFS = progression-free survival</w:t>
      </w:r>
      <w:r w:rsidR="00244833" w:rsidRPr="00980D3E">
        <w:t>; PD = disease progression</w:t>
      </w:r>
      <w:r w:rsidRPr="00980D3E">
        <w:t>.</w:t>
      </w:r>
    </w:p>
    <w:p w:rsidR="001020C9" w:rsidRPr="00980D3E" w:rsidRDefault="00D0202E" w:rsidP="00575673">
      <w:pPr>
        <w:pStyle w:val="3-BodyText"/>
      </w:pPr>
      <w:r w:rsidRPr="00980D3E">
        <w:t xml:space="preserve">In the previous submission, modelled extrapolations were used for the entire time horizon. The </w:t>
      </w:r>
      <w:r w:rsidR="00884A2E" w:rsidRPr="00980D3E">
        <w:t>ESC</w:t>
      </w:r>
      <w:r w:rsidRPr="00980D3E">
        <w:t xml:space="preserve"> </w:t>
      </w:r>
      <w:r w:rsidR="008B69B7" w:rsidRPr="00980D3E">
        <w:t xml:space="preserve">previously </w:t>
      </w:r>
      <w:r w:rsidRPr="00980D3E">
        <w:t>noted that t</w:t>
      </w:r>
      <w:r w:rsidR="008206B3" w:rsidRPr="00980D3E">
        <w:t>he available KM data should have been applied for the period in the model up to the time when there is uncertainty due to small number of patients remaining event-free (typically the median duration of follow-up), with the extrapolated data applied thereafter (</w:t>
      </w:r>
      <w:r w:rsidR="00534072" w:rsidRPr="00980D3E">
        <w:t>paragraph</w:t>
      </w:r>
      <w:r w:rsidR="008206B3" w:rsidRPr="00980D3E">
        <w:t xml:space="preserve"> 6.41, plitidepsin </w:t>
      </w:r>
      <w:r w:rsidR="00534072" w:rsidRPr="00980D3E">
        <w:t>P</w:t>
      </w:r>
      <w:r w:rsidR="008B69B7" w:rsidRPr="00980D3E">
        <w:t>SD</w:t>
      </w:r>
      <w:r w:rsidR="008206B3" w:rsidRPr="00980D3E">
        <w:t xml:space="preserve">, July 2019 PBAC meeting). </w:t>
      </w:r>
      <w:r w:rsidR="003F0E19" w:rsidRPr="00980D3E">
        <w:t>In response, the</w:t>
      </w:r>
      <w:r w:rsidR="00C47645" w:rsidRPr="00980D3E">
        <w:t xml:space="preserve"> resubmission </w:t>
      </w:r>
      <w:r w:rsidR="00063151" w:rsidRPr="00980D3E">
        <w:t>presented base case results with extrapolation applied from the trial median follow-up</w:t>
      </w:r>
      <w:r w:rsidR="00BD5C62" w:rsidRPr="00980D3E">
        <w:t xml:space="preserve"> at the 20 November 2015 data cut</w:t>
      </w:r>
      <w:r w:rsidR="00063151" w:rsidRPr="00980D3E">
        <w:t xml:space="preserve"> (17.1 months for the plitidepsin arm and 20.7 months for the Dxm arm) for TTF and OS. For PFS extrapolation was applied from </w:t>
      </w:r>
      <w:r w:rsidR="00BD5C62" w:rsidRPr="00980D3E">
        <w:t xml:space="preserve">the median follow-up at the 19 May 2017 data cut, </w:t>
      </w:r>
      <w:r w:rsidR="00063151" w:rsidRPr="00980D3E">
        <w:t xml:space="preserve">33.4 months for the plitidepsin arm and from 36.3 months for the Dxm arm. </w:t>
      </w:r>
      <w:r w:rsidR="00405D75" w:rsidRPr="00980D3E">
        <w:t xml:space="preserve">The </w:t>
      </w:r>
      <w:r w:rsidR="00B76E42" w:rsidRPr="00980D3E">
        <w:t xml:space="preserve">extrapolation </w:t>
      </w:r>
      <w:r w:rsidR="00405D75" w:rsidRPr="00980D3E">
        <w:t xml:space="preserve">point for PFS (and for the Dxm arm of TTF) appeared to be an error, as extrapolation commenced after the end of the digitised Kaplan-Meier data, resulting in the proportion of patients in these states equal to zero for a period of time. </w:t>
      </w:r>
      <w:r w:rsidR="00E94234" w:rsidRPr="00980D3E">
        <w:t>Correcting the base case</w:t>
      </w:r>
      <w:r w:rsidR="001020C9" w:rsidRPr="00980D3E">
        <w:t xml:space="preserve"> modestly decreased the ICER. The changes </w:t>
      </w:r>
      <w:r w:rsidR="00E94234" w:rsidRPr="00980D3E">
        <w:t xml:space="preserve">to correct the base case </w:t>
      </w:r>
      <w:r w:rsidR="001020C9" w:rsidRPr="00980D3E">
        <w:t>included:</w:t>
      </w:r>
    </w:p>
    <w:p w:rsidR="001020C9" w:rsidRPr="00980D3E" w:rsidRDefault="001020C9" w:rsidP="00B77C86">
      <w:pPr>
        <w:pStyle w:val="3-BodyText"/>
        <w:numPr>
          <w:ilvl w:val="0"/>
          <w:numId w:val="22"/>
        </w:numPr>
        <w:ind w:left="1077" w:hanging="357"/>
      </w:pPr>
      <w:r w:rsidRPr="00980D3E">
        <w:t>extrapolation of PFS and TTF from 6</w:t>
      </w:r>
      <w:r w:rsidR="00BD5C62" w:rsidRPr="00980D3E">
        <w:t>.0</w:t>
      </w:r>
      <w:r w:rsidRPr="00980D3E">
        <w:t xml:space="preserve"> </w:t>
      </w:r>
      <w:r w:rsidR="006D6AE9" w:rsidRPr="00980D3E">
        <w:t>months for</w:t>
      </w:r>
      <w:r w:rsidR="00BD5C62" w:rsidRPr="00980D3E">
        <w:t xml:space="preserve"> the plitidepsin arms </w:t>
      </w:r>
      <w:r w:rsidRPr="00980D3E">
        <w:t xml:space="preserve">and 3.46 months for </w:t>
      </w:r>
      <w:r w:rsidR="00BD5C62" w:rsidRPr="00980D3E">
        <w:t xml:space="preserve">the </w:t>
      </w:r>
      <w:r w:rsidRPr="00980D3E">
        <w:t>Dxm</w:t>
      </w:r>
      <w:r w:rsidR="00BD5C62" w:rsidRPr="00980D3E">
        <w:t xml:space="preserve"> arms.</w:t>
      </w:r>
      <w:r w:rsidR="009B092E" w:rsidRPr="00980D3E">
        <w:t xml:space="preserve"> Extrapolating from </w:t>
      </w:r>
      <w:r w:rsidR="00BD5C62" w:rsidRPr="00980D3E">
        <w:t xml:space="preserve">later follow-up points resulted in validity errors (inappropriate negative </w:t>
      </w:r>
      <w:r w:rsidR="00B31588" w:rsidRPr="00980D3E">
        <w:t>patient numbers in the pre-progression off treatment state in the plitidepsin and Dxm arms</w:t>
      </w:r>
      <w:r w:rsidR="00143D0B" w:rsidRPr="00980D3E">
        <w:t>)</w:t>
      </w:r>
      <w:r w:rsidR="00883DAA" w:rsidRPr="00980D3E">
        <w:t>;</w:t>
      </w:r>
    </w:p>
    <w:p w:rsidR="001020C9" w:rsidRPr="00980D3E" w:rsidRDefault="001020C9" w:rsidP="00B77C86">
      <w:pPr>
        <w:pStyle w:val="3-BodyText"/>
        <w:numPr>
          <w:ilvl w:val="0"/>
          <w:numId w:val="22"/>
        </w:numPr>
        <w:ind w:left="1077" w:hanging="357"/>
      </w:pPr>
      <w:r w:rsidRPr="00980D3E">
        <w:t>extrapola</w:t>
      </w:r>
      <w:r w:rsidR="006D6AE9" w:rsidRPr="00980D3E">
        <w:t xml:space="preserve">tion of </w:t>
      </w:r>
      <w:r w:rsidRPr="00980D3E">
        <w:t>OS from</w:t>
      </w:r>
      <w:r w:rsidR="00BD5C62" w:rsidRPr="00980D3E">
        <w:t xml:space="preserve"> the</w:t>
      </w:r>
      <w:r w:rsidRPr="00980D3E">
        <w:t xml:space="preserve"> median follow-up </w:t>
      </w:r>
      <w:r w:rsidR="00BD5C62" w:rsidRPr="00980D3E">
        <w:t xml:space="preserve">reported at the 19 May 2017 data cut </w:t>
      </w:r>
      <w:r w:rsidRPr="00980D3E">
        <w:t>(33.4 months for plitidepsin and 36.3 months for the Dxm</w:t>
      </w:r>
      <w:r w:rsidR="00BD5C62" w:rsidRPr="00980D3E">
        <w:t>)</w:t>
      </w:r>
      <w:r w:rsidRPr="00980D3E">
        <w:t>.</w:t>
      </w:r>
    </w:p>
    <w:p w:rsidR="00A05FC9" w:rsidRPr="00980D3E" w:rsidRDefault="00A6625A" w:rsidP="00A05FC9">
      <w:pPr>
        <w:pStyle w:val="3-BodyText"/>
        <w:rPr>
          <w:rStyle w:val="CommentReference"/>
          <w:rFonts w:asciiTheme="minorHAnsi" w:hAnsiTheme="minorHAnsi"/>
          <w:b w:val="0"/>
          <w:sz w:val="24"/>
          <w:szCs w:val="24"/>
        </w:rPr>
      </w:pPr>
      <w:r w:rsidRPr="00980D3E">
        <w:lastRenderedPageBreak/>
        <w:t>The July 2019 submission calculated utility values</w:t>
      </w:r>
      <w:r w:rsidR="008C7B7D" w:rsidRPr="00980D3E">
        <w:t xml:space="preserve"> using a</w:t>
      </w:r>
      <w:r w:rsidRPr="00980D3E">
        <w:t xml:space="preserve"> regression </w:t>
      </w:r>
      <w:r w:rsidR="008C7B7D" w:rsidRPr="00980D3E">
        <w:t xml:space="preserve">equation from </w:t>
      </w:r>
      <w:r w:rsidRPr="00980D3E">
        <w:t xml:space="preserve">the </w:t>
      </w:r>
      <w:r w:rsidR="008C7B7D" w:rsidRPr="00980D3E">
        <w:t xml:space="preserve">2015 </w:t>
      </w:r>
      <w:r w:rsidRPr="00980D3E">
        <w:t>pomalidomide submission to NICE</w:t>
      </w:r>
      <w:r w:rsidR="008C7B7D" w:rsidRPr="00980D3E">
        <w:t>. The aim of applying the method was to estimate a utility value for each of the relevant health states, e.g. time without progression.</w:t>
      </w:r>
      <w:r w:rsidRPr="00980D3E">
        <w:t xml:space="preserve"> </w:t>
      </w:r>
      <w:r w:rsidR="008C7B7D" w:rsidRPr="00980D3E">
        <w:t xml:space="preserve">However, the submission included the proportions of patients who have progressive disease as an input for calculating the utility for pre-progression health states, and vice versa. </w:t>
      </w:r>
      <w:r w:rsidR="00E77012" w:rsidRPr="00980D3E">
        <w:t xml:space="preserve">The July 2019 commentary recalculated utility values assuming the health states were mutually exclusive. </w:t>
      </w:r>
      <w:r w:rsidR="00DF2A80" w:rsidRPr="00980D3E">
        <w:t xml:space="preserve">The resubmission </w:t>
      </w:r>
      <w:r w:rsidR="003321BA" w:rsidRPr="00980D3E">
        <w:t xml:space="preserve">and PSCR </w:t>
      </w:r>
      <w:r w:rsidR="00DF2A80" w:rsidRPr="00980D3E">
        <w:t>stated it used the recalculated utility values from the July 2019 commentary</w:t>
      </w:r>
      <w:r w:rsidR="00EF26FD" w:rsidRPr="00980D3E">
        <w:t>;</w:t>
      </w:r>
      <w:r w:rsidR="00DF2A80" w:rsidRPr="00980D3E">
        <w:t xml:space="preserve"> </w:t>
      </w:r>
      <w:r w:rsidR="00E77012" w:rsidRPr="00980D3E">
        <w:t>however</w:t>
      </w:r>
      <w:r w:rsidR="00DF2A80" w:rsidRPr="00980D3E">
        <w:t xml:space="preserve">, the base case used utility values from the July 2017 carfilzomib </w:t>
      </w:r>
      <w:r w:rsidR="00EF26FD" w:rsidRPr="00980D3E">
        <w:t>PSD</w:t>
      </w:r>
      <w:r w:rsidR="00DF2A80" w:rsidRPr="00980D3E">
        <w:t xml:space="preserve">. </w:t>
      </w:r>
      <w:r w:rsidR="00E77012" w:rsidRPr="00980D3E">
        <w:t xml:space="preserve">A comparison of the utility values used in the </w:t>
      </w:r>
      <w:r w:rsidR="00EF26FD" w:rsidRPr="00980D3E">
        <w:t xml:space="preserve">July 2019 submission, the recalculated values from the July 2019 commentary </w:t>
      </w:r>
      <w:r w:rsidR="008B38E3" w:rsidRPr="00980D3E">
        <w:t xml:space="preserve">and </w:t>
      </w:r>
      <w:r w:rsidR="00EF26FD" w:rsidRPr="00980D3E">
        <w:t xml:space="preserve">those actually used in the March 2020 </w:t>
      </w:r>
      <w:r w:rsidR="008B38E3" w:rsidRPr="00980D3E">
        <w:t xml:space="preserve">resubmission </w:t>
      </w:r>
      <w:r w:rsidR="00EF26FD" w:rsidRPr="00980D3E">
        <w:t>are</w:t>
      </w:r>
      <w:r w:rsidR="008B38E3" w:rsidRPr="00980D3E">
        <w:t xml:space="preserve"> presented in </w:t>
      </w:r>
      <w:r w:rsidR="00C2673A" w:rsidRPr="00980D3E">
        <w:t>Table 18</w:t>
      </w:r>
      <w:r w:rsidR="008B38E3" w:rsidRPr="00980D3E">
        <w:t xml:space="preserve">. </w:t>
      </w:r>
      <w:r w:rsidR="005014DA" w:rsidRPr="00980D3E">
        <w:t xml:space="preserve">The </w:t>
      </w:r>
      <w:r w:rsidR="00884A2E" w:rsidRPr="00980D3E">
        <w:t>ESC</w:t>
      </w:r>
      <w:r w:rsidR="005014DA" w:rsidRPr="00980D3E">
        <w:t xml:space="preserve"> considered that i</w:t>
      </w:r>
      <w:r w:rsidR="00EF26FD" w:rsidRPr="00980D3E">
        <w:t xml:space="preserve">t would have been more appropriate for the resubmission to have used the </w:t>
      </w:r>
      <w:r w:rsidR="00DF2A80" w:rsidRPr="00980D3E">
        <w:t>utilities</w:t>
      </w:r>
      <w:r w:rsidR="00EF26FD" w:rsidRPr="00980D3E">
        <w:t xml:space="preserve"> values that were </w:t>
      </w:r>
      <w:r w:rsidR="00DF2A80" w:rsidRPr="00980D3E">
        <w:t>recalculated in the July 2019 commentary</w:t>
      </w:r>
      <w:r w:rsidR="00EF26FD" w:rsidRPr="00980D3E">
        <w:t>, as the utility values from the July 2017 carfilzomib PSD</w:t>
      </w:r>
      <w:r w:rsidR="00DF2A80" w:rsidRPr="00980D3E">
        <w:t xml:space="preserve"> were for an earlier line of treatment.</w:t>
      </w:r>
      <w:r w:rsidR="00EF26FD" w:rsidRPr="00980D3E">
        <w:t xml:space="preserve"> These values are tested in the sensitivity analysis.</w:t>
      </w:r>
    </w:p>
    <w:p w:rsidR="00A05FC9" w:rsidRPr="00980D3E" w:rsidRDefault="00A05FC9" w:rsidP="00D443C2">
      <w:pPr>
        <w:pStyle w:val="TableHeading"/>
        <w:rPr>
          <w:rStyle w:val="CommentReference"/>
          <w:b/>
          <w:szCs w:val="24"/>
        </w:rPr>
      </w:pPr>
      <w:bookmarkStart w:id="51" w:name="_Ref33525096"/>
      <w:r w:rsidRPr="00980D3E">
        <w:rPr>
          <w:rStyle w:val="CommentReference"/>
          <w:b/>
          <w:szCs w:val="24"/>
        </w:rPr>
        <w:t xml:space="preserve">Table </w:t>
      </w:r>
      <w:r w:rsidR="00C2673A" w:rsidRPr="00980D3E">
        <w:rPr>
          <w:rStyle w:val="CommentReference"/>
          <w:b/>
          <w:szCs w:val="24"/>
        </w:rPr>
        <w:t>18</w:t>
      </w:r>
      <w:bookmarkEnd w:id="51"/>
      <w:r w:rsidRPr="00980D3E">
        <w:rPr>
          <w:rStyle w:val="CommentReference"/>
          <w:b/>
          <w:szCs w:val="24"/>
        </w:rPr>
        <w:t>: Comparison of utility values used in the previous submission and the resubmission</w:t>
      </w:r>
    </w:p>
    <w:tbl>
      <w:tblPr>
        <w:tblStyle w:val="TableGrid"/>
        <w:tblW w:w="5000" w:type="pct"/>
        <w:tblLook w:val="04A0" w:firstRow="1" w:lastRow="0" w:firstColumn="1" w:lastColumn="0" w:noHBand="0" w:noVBand="1"/>
        <w:tblCaption w:val="Table 18: Comparison of utility values used in the previous submission and the resubmission"/>
      </w:tblPr>
      <w:tblGrid>
        <w:gridCol w:w="1483"/>
        <w:gridCol w:w="779"/>
        <w:gridCol w:w="1701"/>
        <w:gridCol w:w="709"/>
        <w:gridCol w:w="1843"/>
        <w:gridCol w:w="709"/>
        <w:gridCol w:w="1793"/>
      </w:tblGrid>
      <w:tr w:rsidR="00A05FC9" w:rsidRPr="00980D3E" w:rsidTr="00D443C2">
        <w:trPr>
          <w:tblHeader/>
        </w:trPr>
        <w:tc>
          <w:tcPr>
            <w:tcW w:w="823" w:type="pct"/>
            <w:vMerge w:val="restart"/>
            <w:tcMar>
              <w:left w:w="28" w:type="dxa"/>
              <w:right w:w="28" w:type="dxa"/>
            </w:tcMar>
            <w:vAlign w:val="center"/>
          </w:tcPr>
          <w:p w:rsidR="00A05FC9" w:rsidRPr="00980D3E" w:rsidRDefault="00A05FC9" w:rsidP="00A85E1A">
            <w:pPr>
              <w:pStyle w:val="Tabletext"/>
              <w:keepNext/>
              <w:keepLines/>
              <w:jc w:val="center"/>
              <w:rPr>
                <w:b/>
                <w:szCs w:val="20"/>
              </w:rPr>
            </w:pPr>
            <w:r w:rsidRPr="00980D3E">
              <w:rPr>
                <w:b/>
                <w:szCs w:val="20"/>
              </w:rPr>
              <w:t>Health state</w:t>
            </w:r>
          </w:p>
        </w:tc>
        <w:tc>
          <w:tcPr>
            <w:tcW w:w="1375" w:type="pct"/>
            <w:gridSpan w:val="2"/>
            <w:tcMar>
              <w:left w:w="28" w:type="dxa"/>
              <w:right w:w="28" w:type="dxa"/>
            </w:tcMar>
            <w:vAlign w:val="center"/>
          </w:tcPr>
          <w:p w:rsidR="00A05FC9" w:rsidRPr="00980D3E" w:rsidRDefault="00EF26FD" w:rsidP="00A85E1A">
            <w:pPr>
              <w:pStyle w:val="Tabletext"/>
              <w:keepNext/>
              <w:keepLines/>
              <w:jc w:val="center"/>
              <w:rPr>
                <w:b/>
                <w:szCs w:val="20"/>
              </w:rPr>
            </w:pPr>
            <w:r w:rsidRPr="00980D3E">
              <w:rPr>
                <w:b/>
                <w:szCs w:val="20"/>
              </w:rPr>
              <w:t>July 2019 values used</w:t>
            </w:r>
          </w:p>
        </w:tc>
        <w:tc>
          <w:tcPr>
            <w:tcW w:w="1415" w:type="pct"/>
            <w:gridSpan w:val="2"/>
            <w:tcMar>
              <w:left w:w="28" w:type="dxa"/>
              <w:right w:w="28" w:type="dxa"/>
            </w:tcMar>
            <w:vAlign w:val="center"/>
          </w:tcPr>
          <w:p w:rsidR="00A05FC9" w:rsidRPr="00980D3E" w:rsidRDefault="00D772EB" w:rsidP="00A85E1A">
            <w:pPr>
              <w:pStyle w:val="Tabletext"/>
              <w:keepNext/>
              <w:keepLines/>
              <w:jc w:val="center"/>
              <w:rPr>
                <w:b/>
                <w:szCs w:val="20"/>
              </w:rPr>
            </w:pPr>
            <w:r w:rsidRPr="00980D3E">
              <w:rPr>
                <w:b/>
                <w:szCs w:val="20"/>
              </w:rPr>
              <w:t>July 2019 values recalculated in the Commentary</w:t>
            </w:r>
          </w:p>
        </w:tc>
        <w:tc>
          <w:tcPr>
            <w:tcW w:w="1387" w:type="pct"/>
            <w:gridSpan w:val="2"/>
            <w:tcMar>
              <w:left w:w="28" w:type="dxa"/>
              <w:right w:w="28" w:type="dxa"/>
            </w:tcMar>
            <w:vAlign w:val="center"/>
          </w:tcPr>
          <w:p w:rsidR="00A05FC9" w:rsidRPr="00980D3E" w:rsidRDefault="00D772EB" w:rsidP="00A85E1A">
            <w:pPr>
              <w:pStyle w:val="Tabletext"/>
              <w:keepNext/>
              <w:keepLines/>
              <w:jc w:val="center"/>
              <w:rPr>
                <w:b/>
                <w:szCs w:val="20"/>
              </w:rPr>
            </w:pPr>
            <w:r w:rsidRPr="00980D3E">
              <w:rPr>
                <w:b/>
                <w:szCs w:val="20"/>
              </w:rPr>
              <w:t>March 2020 values used</w:t>
            </w:r>
          </w:p>
        </w:tc>
      </w:tr>
      <w:tr w:rsidR="00A05FC9" w:rsidRPr="00980D3E" w:rsidTr="00D443C2">
        <w:tc>
          <w:tcPr>
            <w:tcW w:w="823" w:type="pct"/>
            <w:vMerge/>
            <w:tcMar>
              <w:left w:w="28" w:type="dxa"/>
              <w:right w:w="28" w:type="dxa"/>
            </w:tcMar>
          </w:tcPr>
          <w:p w:rsidR="00A05FC9" w:rsidRPr="00980D3E" w:rsidRDefault="00A05FC9" w:rsidP="00A85E1A">
            <w:pPr>
              <w:pStyle w:val="Tabletext"/>
              <w:keepNext/>
              <w:keepLines/>
              <w:rPr>
                <w:b/>
                <w:szCs w:val="20"/>
              </w:rPr>
            </w:pPr>
          </w:p>
        </w:tc>
        <w:tc>
          <w:tcPr>
            <w:tcW w:w="432" w:type="pct"/>
            <w:tcMar>
              <w:left w:w="28" w:type="dxa"/>
              <w:right w:w="28" w:type="dxa"/>
            </w:tcMar>
            <w:vAlign w:val="center"/>
          </w:tcPr>
          <w:p w:rsidR="00A05FC9" w:rsidRPr="00980D3E" w:rsidRDefault="00A05FC9" w:rsidP="00A85E1A">
            <w:pPr>
              <w:pStyle w:val="Tabletext"/>
              <w:keepNext/>
              <w:keepLines/>
              <w:jc w:val="center"/>
              <w:rPr>
                <w:b/>
                <w:szCs w:val="20"/>
              </w:rPr>
            </w:pPr>
            <w:r w:rsidRPr="00980D3E">
              <w:rPr>
                <w:b/>
                <w:szCs w:val="20"/>
              </w:rPr>
              <w:t>Value</w:t>
            </w:r>
          </w:p>
        </w:tc>
        <w:tc>
          <w:tcPr>
            <w:tcW w:w="943" w:type="pct"/>
            <w:tcMar>
              <w:left w:w="28" w:type="dxa"/>
              <w:right w:w="28" w:type="dxa"/>
            </w:tcMar>
            <w:vAlign w:val="center"/>
          </w:tcPr>
          <w:p w:rsidR="00A05FC9" w:rsidRPr="00980D3E" w:rsidRDefault="00A05FC9" w:rsidP="00A85E1A">
            <w:pPr>
              <w:pStyle w:val="Tabletext"/>
              <w:keepNext/>
              <w:keepLines/>
              <w:jc w:val="center"/>
              <w:rPr>
                <w:b/>
                <w:szCs w:val="20"/>
              </w:rPr>
            </w:pPr>
            <w:r w:rsidRPr="00980D3E">
              <w:rPr>
                <w:b/>
                <w:szCs w:val="20"/>
              </w:rPr>
              <w:t>Source</w:t>
            </w:r>
          </w:p>
        </w:tc>
        <w:tc>
          <w:tcPr>
            <w:tcW w:w="393" w:type="pct"/>
            <w:tcMar>
              <w:left w:w="28" w:type="dxa"/>
              <w:right w:w="28" w:type="dxa"/>
            </w:tcMar>
            <w:vAlign w:val="center"/>
          </w:tcPr>
          <w:p w:rsidR="00A05FC9" w:rsidRPr="00980D3E" w:rsidRDefault="00A05FC9" w:rsidP="00A85E1A">
            <w:pPr>
              <w:pStyle w:val="Tabletext"/>
              <w:keepNext/>
              <w:keepLines/>
              <w:jc w:val="center"/>
              <w:rPr>
                <w:b/>
                <w:szCs w:val="20"/>
              </w:rPr>
            </w:pPr>
            <w:r w:rsidRPr="00980D3E">
              <w:rPr>
                <w:b/>
                <w:szCs w:val="20"/>
              </w:rPr>
              <w:t>Value</w:t>
            </w:r>
          </w:p>
        </w:tc>
        <w:tc>
          <w:tcPr>
            <w:tcW w:w="1022" w:type="pct"/>
            <w:tcMar>
              <w:left w:w="28" w:type="dxa"/>
              <w:right w:w="28" w:type="dxa"/>
            </w:tcMar>
            <w:vAlign w:val="center"/>
          </w:tcPr>
          <w:p w:rsidR="00A05FC9" w:rsidRPr="00980D3E" w:rsidRDefault="00A05FC9" w:rsidP="00A85E1A">
            <w:pPr>
              <w:pStyle w:val="Tabletext"/>
              <w:keepNext/>
              <w:keepLines/>
              <w:jc w:val="center"/>
              <w:rPr>
                <w:b/>
                <w:szCs w:val="20"/>
              </w:rPr>
            </w:pPr>
            <w:r w:rsidRPr="00980D3E">
              <w:rPr>
                <w:b/>
                <w:szCs w:val="20"/>
              </w:rPr>
              <w:t>Source</w:t>
            </w:r>
          </w:p>
        </w:tc>
        <w:tc>
          <w:tcPr>
            <w:tcW w:w="393" w:type="pct"/>
            <w:tcMar>
              <w:left w:w="28" w:type="dxa"/>
              <w:right w:w="28" w:type="dxa"/>
            </w:tcMar>
            <w:vAlign w:val="center"/>
          </w:tcPr>
          <w:p w:rsidR="00A05FC9" w:rsidRPr="00980D3E" w:rsidRDefault="00A05FC9" w:rsidP="00A85E1A">
            <w:pPr>
              <w:pStyle w:val="Tabletext"/>
              <w:keepNext/>
              <w:keepLines/>
              <w:jc w:val="center"/>
              <w:rPr>
                <w:b/>
                <w:szCs w:val="20"/>
              </w:rPr>
            </w:pPr>
            <w:r w:rsidRPr="00980D3E">
              <w:rPr>
                <w:b/>
                <w:szCs w:val="20"/>
              </w:rPr>
              <w:t>Value</w:t>
            </w:r>
          </w:p>
        </w:tc>
        <w:tc>
          <w:tcPr>
            <w:tcW w:w="994" w:type="pct"/>
            <w:tcMar>
              <w:left w:w="28" w:type="dxa"/>
              <w:right w:w="28" w:type="dxa"/>
            </w:tcMar>
            <w:vAlign w:val="center"/>
          </w:tcPr>
          <w:p w:rsidR="00A05FC9" w:rsidRPr="00980D3E" w:rsidRDefault="00A05FC9" w:rsidP="00A85E1A">
            <w:pPr>
              <w:pStyle w:val="Tabletext"/>
              <w:keepNext/>
              <w:keepLines/>
              <w:jc w:val="center"/>
              <w:rPr>
                <w:b/>
                <w:szCs w:val="20"/>
              </w:rPr>
            </w:pPr>
            <w:r w:rsidRPr="00980D3E">
              <w:rPr>
                <w:b/>
                <w:szCs w:val="20"/>
              </w:rPr>
              <w:t>Source</w:t>
            </w:r>
          </w:p>
        </w:tc>
      </w:tr>
      <w:tr w:rsidR="00A05FC9" w:rsidRPr="00980D3E" w:rsidTr="00D443C2">
        <w:tc>
          <w:tcPr>
            <w:tcW w:w="5000" w:type="pct"/>
            <w:gridSpan w:val="7"/>
            <w:tcMar>
              <w:left w:w="28" w:type="dxa"/>
              <w:right w:w="28" w:type="dxa"/>
            </w:tcMar>
          </w:tcPr>
          <w:p w:rsidR="00A05FC9" w:rsidRPr="00980D3E" w:rsidRDefault="00A05FC9" w:rsidP="00A85E1A">
            <w:pPr>
              <w:pStyle w:val="Tabletext"/>
              <w:keepNext/>
              <w:keepLines/>
              <w:rPr>
                <w:b/>
                <w:szCs w:val="20"/>
              </w:rPr>
            </w:pPr>
            <w:r w:rsidRPr="00980D3E">
              <w:rPr>
                <w:b/>
                <w:szCs w:val="20"/>
              </w:rPr>
              <w:t xml:space="preserve">Plitidepsin + Dxm </w:t>
            </w:r>
          </w:p>
        </w:tc>
      </w:tr>
      <w:tr w:rsidR="00D772EB" w:rsidRPr="00980D3E" w:rsidTr="00D443C2">
        <w:trPr>
          <w:trHeight w:val="179"/>
        </w:trPr>
        <w:tc>
          <w:tcPr>
            <w:tcW w:w="823" w:type="pct"/>
            <w:tcMar>
              <w:left w:w="28" w:type="dxa"/>
              <w:right w:w="28" w:type="dxa"/>
            </w:tcMar>
          </w:tcPr>
          <w:p w:rsidR="00D772EB" w:rsidRPr="00980D3E" w:rsidRDefault="00D772EB" w:rsidP="00A85E1A">
            <w:pPr>
              <w:pStyle w:val="Tabletext"/>
              <w:keepNext/>
              <w:keepLines/>
              <w:rPr>
                <w:szCs w:val="20"/>
              </w:rPr>
            </w:pPr>
            <w:r w:rsidRPr="00980D3E">
              <w:rPr>
                <w:szCs w:val="20"/>
              </w:rPr>
              <w:t>Pre-progression</w:t>
            </w:r>
          </w:p>
        </w:tc>
        <w:tc>
          <w:tcPr>
            <w:tcW w:w="432"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0.718</w:t>
            </w:r>
          </w:p>
        </w:tc>
        <w:tc>
          <w:tcPr>
            <w:tcW w:w="943" w:type="pct"/>
            <w:vMerge w:val="restart"/>
            <w:tcMar>
              <w:left w:w="28" w:type="dxa"/>
              <w:right w:w="28" w:type="dxa"/>
            </w:tcMar>
          </w:tcPr>
          <w:p w:rsidR="00D772EB" w:rsidRPr="00980D3E" w:rsidRDefault="00D772EB" w:rsidP="00A85E1A">
            <w:pPr>
              <w:pStyle w:val="Tabletext"/>
              <w:keepNext/>
              <w:keepLines/>
              <w:rPr>
                <w:szCs w:val="20"/>
              </w:rPr>
            </w:pPr>
            <w:r w:rsidRPr="00980D3E">
              <w:rPr>
                <w:szCs w:val="20"/>
              </w:rPr>
              <w:t>NICE pomalidomide regression with ADMYRE trial values</w:t>
            </w:r>
          </w:p>
        </w:tc>
        <w:tc>
          <w:tcPr>
            <w:tcW w:w="393"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0.7051</w:t>
            </w:r>
          </w:p>
        </w:tc>
        <w:tc>
          <w:tcPr>
            <w:tcW w:w="1022" w:type="pct"/>
            <w:vMerge w:val="restart"/>
            <w:tcMar>
              <w:left w:w="28" w:type="dxa"/>
              <w:right w:w="28" w:type="dxa"/>
            </w:tcMar>
          </w:tcPr>
          <w:p w:rsidR="00D772EB" w:rsidRPr="00980D3E" w:rsidRDefault="00D772EB" w:rsidP="005D40F8">
            <w:pPr>
              <w:pStyle w:val="Tabletext"/>
              <w:keepNext/>
              <w:keepLines/>
              <w:rPr>
                <w:szCs w:val="20"/>
              </w:rPr>
            </w:pPr>
            <w:r w:rsidRPr="00980D3E">
              <w:rPr>
                <w:szCs w:val="20"/>
              </w:rPr>
              <w:t xml:space="preserve">Recalculation of NICE pomalidomide regression </w:t>
            </w:r>
          </w:p>
        </w:tc>
        <w:tc>
          <w:tcPr>
            <w:tcW w:w="393"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0.750</w:t>
            </w:r>
          </w:p>
        </w:tc>
        <w:tc>
          <w:tcPr>
            <w:tcW w:w="994" w:type="pct"/>
            <w:vMerge w:val="restart"/>
            <w:tcMar>
              <w:left w:w="28" w:type="dxa"/>
              <w:right w:w="28" w:type="dxa"/>
            </w:tcMar>
          </w:tcPr>
          <w:p w:rsidR="00D772EB" w:rsidRPr="00980D3E" w:rsidRDefault="00D772EB" w:rsidP="00A85E1A">
            <w:pPr>
              <w:pStyle w:val="Tabletext"/>
              <w:keepNext/>
              <w:keepLines/>
              <w:rPr>
                <w:szCs w:val="20"/>
              </w:rPr>
            </w:pPr>
            <w:r w:rsidRPr="00980D3E">
              <w:rPr>
                <w:szCs w:val="20"/>
              </w:rPr>
              <w:t>Carfilzomib PBAC PSD, July 2017</w:t>
            </w:r>
          </w:p>
        </w:tc>
      </w:tr>
      <w:tr w:rsidR="00D772EB" w:rsidRPr="00980D3E" w:rsidTr="00D443C2">
        <w:tc>
          <w:tcPr>
            <w:tcW w:w="823" w:type="pct"/>
            <w:tcMar>
              <w:left w:w="28" w:type="dxa"/>
              <w:right w:w="28" w:type="dxa"/>
            </w:tcMar>
          </w:tcPr>
          <w:p w:rsidR="00D772EB" w:rsidRPr="00980D3E" w:rsidRDefault="00D772EB" w:rsidP="00A85E1A">
            <w:pPr>
              <w:pStyle w:val="Tabletext"/>
              <w:keepNext/>
              <w:keepLines/>
              <w:rPr>
                <w:szCs w:val="20"/>
              </w:rPr>
            </w:pPr>
            <w:r w:rsidRPr="00980D3E">
              <w:rPr>
                <w:szCs w:val="20"/>
              </w:rPr>
              <w:t>Post-progression</w:t>
            </w:r>
          </w:p>
        </w:tc>
        <w:tc>
          <w:tcPr>
            <w:tcW w:w="432"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0.681</w:t>
            </w:r>
          </w:p>
        </w:tc>
        <w:tc>
          <w:tcPr>
            <w:tcW w:w="943" w:type="pct"/>
            <w:vMerge/>
            <w:tcMar>
              <w:left w:w="28" w:type="dxa"/>
              <w:right w:w="28" w:type="dxa"/>
            </w:tcMar>
          </w:tcPr>
          <w:p w:rsidR="00D772EB" w:rsidRPr="00980D3E" w:rsidRDefault="00D772EB" w:rsidP="00A85E1A">
            <w:pPr>
              <w:pStyle w:val="Tabletext"/>
              <w:keepNext/>
              <w:keepLines/>
              <w:rPr>
                <w:szCs w:val="20"/>
              </w:rPr>
            </w:pPr>
          </w:p>
        </w:tc>
        <w:tc>
          <w:tcPr>
            <w:tcW w:w="393"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0.6241</w:t>
            </w:r>
          </w:p>
        </w:tc>
        <w:tc>
          <w:tcPr>
            <w:tcW w:w="1022" w:type="pct"/>
            <w:vMerge/>
            <w:tcMar>
              <w:left w:w="28" w:type="dxa"/>
              <w:right w:w="28" w:type="dxa"/>
            </w:tcMar>
          </w:tcPr>
          <w:p w:rsidR="00D772EB" w:rsidRPr="00980D3E" w:rsidRDefault="00D772EB" w:rsidP="00A85E1A">
            <w:pPr>
              <w:pStyle w:val="Tabletext"/>
              <w:keepNext/>
              <w:keepLines/>
              <w:rPr>
                <w:szCs w:val="20"/>
              </w:rPr>
            </w:pPr>
          </w:p>
        </w:tc>
        <w:tc>
          <w:tcPr>
            <w:tcW w:w="393"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0.645</w:t>
            </w:r>
          </w:p>
        </w:tc>
        <w:tc>
          <w:tcPr>
            <w:tcW w:w="994" w:type="pct"/>
            <w:vMerge/>
            <w:tcMar>
              <w:left w:w="28" w:type="dxa"/>
              <w:right w:w="28" w:type="dxa"/>
            </w:tcMar>
          </w:tcPr>
          <w:p w:rsidR="00D772EB" w:rsidRPr="00980D3E" w:rsidRDefault="00D772EB" w:rsidP="00A85E1A">
            <w:pPr>
              <w:pStyle w:val="Tabletext"/>
              <w:keepNext/>
              <w:keepLines/>
              <w:rPr>
                <w:szCs w:val="20"/>
              </w:rPr>
            </w:pPr>
          </w:p>
        </w:tc>
      </w:tr>
      <w:tr w:rsidR="00D772EB" w:rsidRPr="00980D3E" w:rsidTr="00D443C2">
        <w:tc>
          <w:tcPr>
            <w:tcW w:w="823" w:type="pct"/>
            <w:tcMar>
              <w:left w:w="28" w:type="dxa"/>
              <w:right w:w="28" w:type="dxa"/>
            </w:tcMar>
          </w:tcPr>
          <w:p w:rsidR="00D772EB" w:rsidRPr="00980D3E" w:rsidRDefault="00D772EB" w:rsidP="00A85E1A">
            <w:pPr>
              <w:pStyle w:val="Tabletext"/>
              <w:keepNext/>
              <w:keepLines/>
              <w:rPr>
                <w:szCs w:val="20"/>
              </w:rPr>
            </w:pPr>
            <w:r w:rsidRPr="00980D3E">
              <w:rPr>
                <w:szCs w:val="20"/>
              </w:rPr>
              <w:t>AEs</w:t>
            </w:r>
          </w:p>
        </w:tc>
        <w:tc>
          <w:tcPr>
            <w:tcW w:w="432"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0.010</w:t>
            </w:r>
            <w:r w:rsidRPr="00980D3E">
              <w:rPr>
                <w:szCs w:val="20"/>
                <w:vertAlign w:val="superscript"/>
              </w:rPr>
              <w:t>a</w:t>
            </w:r>
          </w:p>
        </w:tc>
        <w:tc>
          <w:tcPr>
            <w:tcW w:w="943" w:type="pct"/>
            <w:tcMar>
              <w:left w:w="28" w:type="dxa"/>
              <w:right w:w="28" w:type="dxa"/>
            </w:tcMar>
          </w:tcPr>
          <w:p w:rsidR="00D772EB" w:rsidRPr="00980D3E" w:rsidRDefault="00D772EB" w:rsidP="00A85E1A">
            <w:pPr>
              <w:pStyle w:val="Tabletext"/>
              <w:keepNext/>
              <w:keepLines/>
              <w:rPr>
                <w:szCs w:val="20"/>
              </w:rPr>
            </w:pPr>
            <w:r w:rsidRPr="00980D3E">
              <w:rPr>
                <w:szCs w:val="20"/>
              </w:rPr>
              <w:t>Nord (1997)</w:t>
            </w:r>
          </w:p>
        </w:tc>
        <w:tc>
          <w:tcPr>
            <w:tcW w:w="393" w:type="pct"/>
            <w:tcMar>
              <w:left w:w="28" w:type="dxa"/>
              <w:right w:w="28" w:type="dxa"/>
            </w:tcMar>
          </w:tcPr>
          <w:p w:rsidR="00D772EB" w:rsidRPr="00980D3E" w:rsidRDefault="00D772EB" w:rsidP="00A85E1A">
            <w:pPr>
              <w:pStyle w:val="Tabletext"/>
              <w:keepNext/>
              <w:keepLines/>
              <w:jc w:val="center"/>
              <w:rPr>
                <w:szCs w:val="20"/>
                <w:vertAlign w:val="superscript"/>
              </w:rPr>
            </w:pPr>
            <w:r w:rsidRPr="00980D3E">
              <w:rPr>
                <w:szCs w:val="20"/>
              </w:rPr>
              <w:t>0.011</w:t>
            </w:r>
            <w:r w:rsidRPr="00980D3E">
              <w:rPr>
                <w:szCs w:val="20"/>
                <w:vertAlign w:val="superscript"/>
              </w:rPr>
              <w:t>a</w:t>
            </w:r>
          </w:p>
        </w:tc>
        <w:tc>
          <w:tcPr>
            <w:tcW w:w="1022" w:type="pct"/>
            <w:tcMar>
              <w:left w:w="28" w:type="dxa"/>
              <w:right w:w="28" w:type="dxa"/>
            </w:tcMar>
          </w:tcPr>
          <w:p w:rsidR="00D772EB" w:rsidRPr="00980D3E" w:rsidRDefault="00D772EB" w:rsidP="00A85E1A">
            <w:pPr>
              <w:pStyle w:val="Tabletext"/>
              <w:keepNext/>
              <w:keepLines/>
              <w:rPr>
                <w:szCs w:val="20"/>
              </w:rPr>
            </w:pPr>
            <w:r w:rsidRPr="00980D3E">
              <w:rPr>
                <w:szCs w:val="20"/>
              </w:rPr>
              <w:t>Nord (1997)</w:t>
            </w:r>
          </w:p>
        </w:tc>
        <w:tc>
          <w:tcPr>
            <w:tcW w:w="393"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0.011</w:t>
            </w:r>
            <w:r w:rsidRPr="00980D3E">
              <w:rPr>
                <w:szCs w:val="20"/>
                <w:vertAlign w:val="superscript"/>
              </w:rPr>
              <w:t>a</w:t>
            </w:r>
          </w:p>
        </w:tc>
        <w:tc>
          <w:tcPr>
            <w:tcW w:w="994" w:type="pct"/>
            <w:tcMar>
              <w:left w:w="28" w:type="dxa"/>
              <w:right w:w="28" w:type="dxa"/>
            </w:tcMar>
          </w:tcPr>
          <w:p w:rsidR="00D772EB" w:rsidRPr="00980D3E" w:rsidRDefault="00D772EB" w:rsidP="00A85E1A">
            <w:pPr>
              <w:pStyle w:val="Tabletext"/>
              <w:keepNext/>
              <w:keepLines/>
              <w:rPr>
                <w:szCs w:val="20"/>
              </w:rPr>
            </w:pPr>
            <w:r w:rsidRPr="00980D3E">
              <w:rPr>
                <w:szCs w:val="20"/>
              </w:rPr>
              <w:t>Nord (1997)</w:t>
            </w:r>
          </w:p>
        </w:tc>
      </w:tr>
      <w:tr w:rsidR="00A05FC9" w:rsidRPr="00980D3E" w:rsidTr="00D443C2">
        <w:tc>
          <w:tcPr>
            <w:tcW w:w="5000" w:type="pct"/>
            <w:gridSpan w:val="7"/>
            <w:tcMar>
              <w:left w:w="28" w:type="dxa"/>
              <w:right w:w="28" w:type="dxa"/>
            </w:tcMar>
          </w:tcPr>
          <w:p w:rsidR="00A05FC9" w:rsidRPr="00980D3E" w:rsidRDefault="00A05FC9" w:rsidP="00A85E1A">
            <w:pPr>
              <w:pStyle w:val="Tabletext"/>
              <w:keepNext/>
              <w:keepLines/>
              <w:rPr>
                <w:szCs w:val="20"/>
              </w:rPr>
            </w:pPr>
            <w:r w:rsidRPr="00980D3E">
              <w:rPr>
                <w:b/>
                <w:szCs w:val="20"/>
              </w:rPr>
              <w:t>Dxm monotherapy</w:t>
            </w:r>
          </w:p>
        </w:tc>
      </w:tr>
      <w:tr w:rsidR="00D772EB" w:rsidRPr="00980D3E" w:rsidTr="00D443C2">
        <w:tc>
          <w:tcPr>
            <w:tcW w:w="823" w:type="pct"/>
            <w:tcMar>
              <w:left w:w="28" w:type="dxa"/>
              <w:right w:w="28" w:type="dxa"/>
            </w:tcMar>
          </w:tcPr>
          <w:p w:rsidR="00D772EB" w:rsidRPr="00980D3E" w:rsidRDefault="00D772EB" w:rsidP="00A85E1A">
            <w:pPr>
              <w:pStyle w:val="Tabletext"/>
              <w:keepNext/>
              <w:keepLines/>
              <w:rPr>
                <w:szCs w:val="20"/>
              </w:rPr>
            </w:pPr>
            <w:r w:rsidRPr="00980D3E">
              <w:rPr>
                <w:szCs w:val="20"/>
              </w:rPr>
              <w:t>Pre-progression</w:t>
            </w:r>
          </w:p>
        </w:tc>
        <w:tc>
          <w:tcPr>
            <w:tcW w:w="432"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0.679</w:t>
            </w:r>
          </w:p>
        </w:tc>
        <w:tc>
          <w:tcPr>
            <w:tcW w:w="943" w:type="pct"/>
            <w:vMerge w:val="restart"/>
            <w:tcMar>
              <w:left w:w="28" w:type="dxa"/>
              <w:right w:w="28" w:type="dxa"/>
            </w:tcMar>
          </w:tcPr>
          <w:p w:rsidR="00D772EB" w:rsidRPr="00980D3E" w:rsidRDefault="00D772EB" w:rsidP="00A85E1A">
            <w:pPr>
              <w:pStyle w:val="Tabletext"/>
              <w:keepNext/>
              <w:keepLines/>
              <w:rPr>
                <w:szCs w:val="20"/>
              </w:rPr>
            </w:pPr>
            <w:r w:rsidRPr="00980D3E">
              <w:rPr>
                <w:szCs w:val="20"/>
              </w:rPr>
              <w:t>NICE pomalidomide regression with ADMYRE trial values</w:t>
            </w:r>
          </w:p>
        </w:tc>
        <w:tc>
          <w:tcPr>
            <w:tcW w:w="393"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0.7051</w:t>
            </w:r>
          </w:p>
        </w:tc>
        <w:tc>
          <w:tcPr>
            <w:tcW w:w="1022" w:type="pct"/>
            <w:vMerge w:val="restart"/>
            <w:tcMar>
              <w:left w:w="28" w:type="dxa"/>
              <w:right w:w="28" w:type="dxa"/>
            </w:tcMar>
          </w:tcPr>
          <w:p w:rsidR="00D772EB" w:rsidRPr="00980D3E" w:rsidRDefault="00D772EB" w:rsidP="003A0C8A">
            <w:pPr>
              <w:pStyle w:val="Tabletext"/>
              <w:keepNext/>
              <w:keepLines/>
              <w:rPr>
                <w:szCs w:val="20"/>
              </w:rPr>
            </w:pPr>
            <w:r w:rsidRPr="00980D3E">
              <w:rPr>
                <w:szCs w:val="20"/>
              </w:rPr>
              <w:t xml:space="preserve">Recalculation of </w:t>
            </w:r>
            <w:r w:rsidR="003A0C8A" w:rsidRPr="00980D3E">
              <w:rPr>
                <w:szCs w:val="20"/>
              </w:rPr>
              <w:t>NICE pomalidomide regression</w:t>
            </w:r>
          </w:p>
        </w:tc>
        <w:tc>
          <w:tcPr>
            <w:tcW w:w="393"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0.750</w:t>
            </w:r>
          </w:p>
        </w:tc>
        <w:tc>
          <w:tcPr>
            <w:tcW w:w="994" w:type="pct"/>
            <w:vMerge w:val="restart"/>
            <w:tcMar>
              <w:left w:w="28" w:type="dxa"/>
              <w:right w:w="28" w:type="dxa"/>
            </w:tcMar>
          </w:tcPr>
          <w:p w:rsidR="00D772EB" w:rsidRPr="00980D3E" w:rsidRDefault="00D772EB" w:rsidP="00A85E1A">
            <w:pPr>
              <w:pStyle w:val="Tabletext"/>
              <w:keepNext/>
              <w:keepLines/>
              <w:rPr>
                <w:szCs w:val="20"/>
              </w:rPr>
            </w:pPr>
            <w:r w:rsidRPr="00980D3E">
              <w:rPr>
                <w:szCs w:val="20"/>
              </w:rPr>
              <w:t>Carfilzomib PBAC PSD, July 2017</w:t>
            </w:r>
          </w:p>
        </w:tc>
      </w:tr>
      <w:tr w:rsidR="00D772EB" w:rsidRPr="00980D3E" w:rsidTr="00D443C2">
        <w:tc>
          <w:tcPr>
            <w:tcW w:w="823" w:type="pct"/>
            <w:tcMar>
              <w:left w:w="28" w:type="dxa"/>
              <w:right w:w="28" w:type="dxa"/>
            </w:tcMar>
          </w:tcPr>
          <w:p w:rsidR="00D772EB" w:rsidRPr="00980D3E" w:rsidRDefault="00D772EB" w:rsidP="00A85E1A">
            <w:pPr>
              <w:pStyle w:val="Tabletext"/>
              <w:keepNext/>
              <w:keepLines/>
              <w:rPr>
                <w:szCs w:val="20"/>
              </w:rPr>
            </w:pPr>
            <w:r w:rsidRPr="00980D3E">
              <w:rPr>
                <w:szCs w:val="20"/>
              </w:rPr>
              <w:t>Post-progression</w:t>
            </w:r>
          </w:p>
        </w:tc>
        <w:tc>
          <w:tcPr>
            <w:tcW w:w="432"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0.642</w:t>
            </w:r>
          </w:p>
        </w:tc>
        <w:tc>
          <w:tcPr>
            <w:tcW w:w="943" w:type="pct"/>
            <w:vMerge/>
            <w:tcMar>
              <w:left w:w="28" w:type="dxa"/>
              <w:right w:w="28" w:type="dxa"/>
            </w:tcMar>
          </w:tcPr>
          <w:p w:rsidR="00D772EB" w:rsidRPr="00980D3E" w:rsidRDefault="00D772EB" w:rsidP="00A85E1A">
            <w:pPr>
              <w:pStyle w:val="Tabletext"/>
              <w:keepNext/>
              <w:keepLines/>
              <w:rPr>
                <w:szCs w:val="20"/>
              </w:rPr>
            </w:pPr>
          </w:p>
        </w:tc>
        <w:tc>
          <w:tcPr>
            <w:tcW w:w="393"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0.6238</w:t>
            </w:r>
          </w:p>
        </w:tc>
        <w:tc>
          <w:tcPr>
            <w:tcW w:w="1022" w:type="pct"/>
            <w:vMerge/>
            <w:tcMar>
              <w:left w:w="28" w:type="dxa"/>
              <w:right w:w="28" w:type="dxa"/>
            </w:tcMar>
          </w:tcPr>
          <w:p w:rsidR="00D772EB" w:rsidRPr="00980D3E" w:rsidRDefault="00D772EB" w:rsidP="00A85E1A">
            <w:pPr>
              <w:pStyle w:val="Tabletext"/>
              <w:keepNext/>
              <w:keepLines/>
              <w:rPr>
                <w:szCs w:val="20"/>
              </w:rPr>
            </w:pPr>
          </w:p>
        </w:tc>
        <w:tc>
          <w:tcPr>
            <w:tcW w:w="393"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0.645</w:t>
            </w:r>
          </w:p>
        </w:tc>
        <w:tc>
          <w:tcPr>
            <w:tcW w:w="994" w:type="pct"/>
            <w:vMerge/>
            <w:tcMar>
              <w:left w:w="28" w:type="dxa"/>
              <w:right w:w="28" w:type="dxa"/>
            </w:tcMar>
          </w:tcPr>
          <w:p w:rsidR="00D772EB" w:rsidRPr="00980D3E" w:rsidRDefault="00D772EB" w:rsidP="00A85E1A">
            <w:pPr>
              <w:pStyle w:val="Tabletext"/>
              <w:keepNext/>
              <w:keepLines/>
              <w:rPr>
                <w:szCs w:val="20"/>
              </w:rPr>
            </w:pPr>
          </w:p>
        </w:tc>
      </w:tr>
      <w:tr w:rsidR="00D772EB" w:rsidRPr="00980D3E" w:rsidTr="00D443C2">
        <w:tc>
          <w:tcPr>
            <w:tcW w:w="823" w:type="pct"/>
            <w:tcMar>
              <w:left w:w="28" w:type="dxa"/>
              <w:right w:w="28" w:type="dxa"/>
            </w:tcMar>
          </w:tcPr>
          <w:p w:rsidR="00D772EB" w:rsidRPr="00980D3E" w:rsidRDefault="00D772EB" w:rsidP="00A85E1A">
            <w:pPr>
              <w:pStyle w:val="Tabletext"/>
              <w:keepNext/>
              <w:keepLines/>
              <w:rPr>
                <w:szCs w:val="20"/>
              </w:rPr>
            </w:pPr>
            <w:r w:rsidRPr="00980D3E">
              <w:rPr>
                <w:szCs w:val="20"/>
              </w:rPr>
              <w:t>AEs</w:t>
            </w:r>
          </w:p>
        </w:tc>
        <w:tc>
          <w:tcPr>
            <w:tcW w:w="432"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0.002</w:t>
            </w:r>
            <w:r w:rsidRPr="00980D3E">
              <w:rPr>
                <w:szCs w:val="20"/>
                <w:vertAlign w:val="superscript"/>
              </w:rPr>
              <w:t>a</w:t>
            </w:r>
          </w:p>
        </w:tc>
        <w:tc>
          <w:tcPr>
            <w:tcW w:w="943" w:type="pct"/>
            <w:tcMar>
              <w:left w:w="28" w:type="dxa"/>
              <w:right w:w="28" w:type="dxa"/>
            </w:tcMar>
          </w:tcPr>
          <w:p w:rsidR="00D772EB" w:rsidRPr="00980D3E" w:rsidRDefault="00D772EB" w:rsidP="00A85E1A">
            <w:pPr>
              <w:pStyle w:val="Tabletext"/>
              <w:keepNext/>
              <w:keepLines/>
              <w:rPr>
                <w:szCs w:val="20"/>
              </w:rPr>
            </w:pPr>
            <w:r w:rsidRPr="00980D3E">
              <w:rPr>
                <w:szCs w:val="20"/>
              </w:rPr>
              <w:t>Nord (1997)</w:t>
            </w:r>
          </w:p>
        </w:tc>
        <w:tc>
          <w:tcPr>
            <w:tcW w:w="393"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0.001</w:t>
            </w:r>
            <w:r w:rsidRPr="00980D3E">
              <w:rPr>
                <w:szCs w:val="20"/>
                <w:vertAlign w:val="superscript"/>
              </w:rPr>
              <w:t>a</w:t>
            </w:r>
          </w:p>
        </w:tc>
        <w:tc>
          <w:tcPr>
            <w:tcW w:w="1022" w:type="pct"/>
            <w:tcMar>
              <w:left w:w="28" w:type="dxa"/>
              <w:right w:w="28" w:type="dxa"/>
            </w:tcMar>
          </w:tcPr>
          <w:p w:rsidR="00D772EB" w:rsidRPr="00980D3E" w:rsidRDefault="00D772EB" w:rsidP="00A85E1A">
            <w:pPr>
              <w:pStyle w:val="Tabletext"/>
              <w:keepNext/>
              <w:keepLines/>
              <w:rPr>
                <w:szCs w:val="20"/>
              </w:rPr>
            </w:pPr>
            <w:r w:rsidRPr="00980D3E">
              <w:rPr>
                <w:szCs w:val="20"/>
              </w:rPr>
              <w:t>Nord (1997)</w:t>
            </w:r>
          </w:p>
        </w:tc>
        <w:tc>
          <w:tcPr>
            <w:tcW w:w="393" w:type="pct"/>
            <w:tcMar>
              <w:left w:w="28" w:type="dxa"/>
              <w:right w:w="28" w:type="dxa"/>
            </w:tcMar>
          </w:tcPr>
          <w:p w:rsidR="00D772EB" w:rsidRPr="00980D3E" w:rsidRDefault="00D772EB" w:rsidP="00A85E1A">
            <w:pPr>
              <w:pStyle w:val="Tabletext"/>
              <w:keepNext/>
              <w:keepLines/>
              <w:jc w:val="center"/>
              <w:rPr>
                <w:szCs w:val="20"/>
              </w:rPr>
            </w:pPr>
            <w:r w:rsidRPr="00980D3E">
              <w:rPr>
                <w:szCs w:val="20"/>
              </w:rPr>
              <w:t>0.001</w:t>
            </w:r>
            <w:r w:rsidRPr="00980D3E">
              <w:rPr>
                <w:szCs w:val="20"/>
                <w:vertAlign w:val="superscript"/>
              </w:rPr>
              <w:t>a</w:t>
            </w:r>
          </w:p>
        </w:tc>
        <w:tc>
          <w:tcPr>
            <w:tcW w:w="994" w:type="pct"/>
            <w:tcMar>
              <w:left w:w="28" w:type="dxa"/>
              <w:right w:w="28" w:type="dxa"/>
            </w:tcMar>
          </w:tcPr>
          <w:p w:rsidR="00D772EB" w:rsidRPr="00980D3E" w:rsidRDefault="00D772EB" w:rsidP="00A85E1A">
            <w:pPr>
              <w:pStyle w:val="Tabletext"/>
              <w:keepNext/>
              <w:keepLines/>
              <w:rPr>
                <w:szCs w:val="20"/>
              </w:rPr>
            </w:pPr>
            <w:r w:rsidRPr="00980D3E">
              <w:rPr>
                <w:szCs w:val="20"/>
              </w:rPr>
              <w:t>Nord (1997)</w:t>
            </w:r>
          </w:p>
        </w:tc>
      </w:tr>
    </w:tbl>
    <w:p w:rsidR="00A05FC9" w:rsidRPr="00980D3E" w:rsidRDefault="00A05FC9" w:rsidP="00D443C2">
      <w:pPr>
        <w:pStyle w:val="TableFigureFooter"/>
        <w:rPr>
          <w:i/>
        </w:rPr>
      </w:pPr>
      <w:r w:rsidRPr="00980D3E">
        <w:t>Source: Tables 99-101, pp232-234 of the resubmission; Section 3 spreadsheet.</w:t>
      </w:r>
    </w:p>
    <w:p w:rsidR="00A05FC9" w:rsidRPr="00980D3E" w:rsidRDefault="00A05FC9" w:rsidP="00D443C2">
      <w:pPr>
        <w:pStyle w:val="TableFigureFooter"/>
      </w:pPr>
      <w:r w:rsidRPr="00980D3E">
        <w:t xml:space="preserve">AE = adverse events; Dxm = dexamethasone; NICE = National Institute for Health and Care Excellence. </w:t>
      </w:r>
    </w:p>
    <w:p w:rsidR="00A05FC9" w:rsidRPr="00980D3E" w:rsidRDefault="00A05FC9" w:rsidP="00D443C2">
      <w:pPr>
        <w:pStyle w:val="TableFigureFooter"/>
      </w:pPr>
      <w:r w:rsidRPr="00980D3E">
        <w:rPr>
          <w:vertAlign w:val="superscript"/>
        </w:rPr>
        <w:t>a</w:t>
      </w:r>
      <w:r w:rsidRPr="00980D3E">
        <w:t xml:space="preserve"> Annualised as: weekly disutility × 365.25/7.</w:t>
      </w:r>
    </w:p>
    <w:p w:rsidR="00C47645" w:rsidRPr="00980D3E" w:rsidRDefault="00DD584E" w:rsidP="00C47645">
      <w:pPr>
        <w:pStyle w:val="3-BodyText"/>
      </w:pPr>
      <w:r w:rsidRPr="00980D3E">
        <w:t xml:space="preserve">The </w:t>
      </w:r>
      <w:r w:rsidR="00884A2E" w:rsidRPr="00980D3E">
        <w:t>ESC</w:t>
      </w:r>
      <w:r w:rsidR="001E7EE1" w:rsidRPr="00980D3E">
        <w:t xml:space="preserve"> noted that the </w:t>
      </w:r>
      <w:r w:rsidRPr="00980D3E">
        <w:t xml:space="preserve">time horizon in the resubmission was reduced from </w:t>
      </w:r>
      <w:r w:rsidR="00D772EB" w:rsidRPr="00980D3E">
        <w:t>seven to five</w:t>
      </w:r>
      <w:r w:rsidRPr="00980D3E">
        <w:t xml:space="preserve"> years</w:t>
      </w:r>
      <w:r w:rsidR="007826BB" w:rsidRPr="00980D3E">
        <w:t xml:space="preserve"> which </w:t>
      </w:r>
      <w:r w:rsidRPr="00980D3E">
        <w:t xml:space="preserve">was consistent with the </w:t>
      </w:r>
      <w:r w:rsidR="00D772EB" w:rsidRPr="00980D3E">
        <w:t>time horizon</w:t>
      </w:r>
      <w:r w:rsidR="00C47645" w:rsidRPr="00980D3E">
        <w:t xml:space="preserve"> accepted by the PBAC as reasonable for pomalidomide (</w:t>
      </w:r>
      <w:r w:rsidR="00534072" w:rsidRPr="00980D3E">
        <w:t>paragraph</w:t>
      </w:r>
      <w:r w:rsidR="00C47645" w:rsidRPr="00980D3E">
        <w:t xml:space="preserve"> 6.45, plitidepsin </w:t>
      </w:r>
      <w:r w:rsidR="00534072" w:rsidRPr="00980D3E">
        <w:t>P</w:t>
      </w:r>
      <w:r w:rsidR="00D772EB" w:rsidRPr="00980D3E">
        <w:t>SD</w:t>
      </w:r>
      <w:r w:rsidR="00C47645" w:rsidRPr="00980D3E">
        <w:t>, July 2019 PBAC meeting).</w:t>
      </w:r>
      <w:r w:rsidRPr="00980D3E">
        <w:t xml:space="preserve"> </w:t>
      </w:r>
    </w:p>
    <w:p w:rsidR="00C47645" w:rsidRPr="00980D3E" w:rsidRDefault="00C47645" w:rsidP="00C2673A">
      <w:pPr>
        <w:pStyle w:val="3-BodyText"/>
        <w:ind w:left="709"/>
        <w:rPr>
          <w:i/>
          <w:color w:val="0066FF"/>
        </w:rPr>
      </w:pPr>
      <w:r w:rsidRPr="00980D3E">
        <w:t>Unchanged from the previous submission, the resubmission did not present the underlying TTF data. The PBAC previously noted that</w:t>
      </w:r>
      <w:r w:rsidR="00232049" w:rsidRPr="00980D3E">
        <w:t xml:space="preserve"> </w:t>
      </w:r>
      <w:r w:rsidRPr="00980D3E">
        <w:t>the data underlying the TTF could not be verified as it was not an outcome of the ADMYRE trial and may have underestimated treatment exposure (</w:t>
      </w:r>
      <w:r w:rsidR="00534072" w:rsidRPr="00980D3E">
        <w:t>paragraph</w:t>
      </w:r>
      <w:r w:rsidRPr="00980D3E">
        <w:t xml:space="preserve"> 7.10, plitidepsin </w:t>
      </w:r>
      <w:r w:rsidR="00534072" w:rsidRPr="00980D3E">
        <w:t>P</w:t>
      </w:r>
      <w:r w:rsidR="00D772EB" w:rsidRPr="00980D3E">
        <w:t>SD,</w:t>
      </w:r>
      <w:r w:rsidR="006D221E" w:rsidRPr="00980D3E">
        <w:t xml:space="preserve"> July 2019 PBAC meeting). </w:t>
      </w:r>
      <w:r w:rsidR="001E5427" w:rsidRPr="00980D3E">
        <w:t>The resubmission stated that TTF was a mathematical construct derived from the PFS data and the proportion of patients on treatment at each time point.</w:t>
      </w:r>
    </w:p>
    <w:p w:rsidR="00C47645" w:rsidRPr="00980D3E" w:rsidRDefault="00C47645" w:rsidP="00C47645">
      <w:pPr>
        <w:pStyle w:val="3-BodyText"/>
      </w:pPr>
      <w:r w:rsidRPr="00980D3E">
        <w:t xml:space="preserve">The base case results of the economic model are provided in </w:t>
      </w:r>
      <w:r w:rsidR="00C2673A" w:rsidRPr="00980D3E">
        <w:t>Table 19</w:t>
      </w:r>
      <w:r w:rsidRPr="00980D3E">
        <w:t xml:space="preserve">. </w:t>
      </w:r>
      <w:r w:rsidR="004A5C78" w:rsidRPr="00980D3E">
        <w:t xml:space="preserve">The price of plitidepsin used in the CUA model was based on the CMA presented above, </w:t>
      </w:r>
      <w:r w:rsidR="009C1085" w:rsidRPr="00980D3E">
        <w:t>which</w:t>
      </w:r>
      <w:r w:rsidR="00510838" w:rsidRPr="00980D3E">
        <w:t xml:space="preserve"> relied</w:t>
      </w:r>
      <w:r w:rsidR="00232049" w:rsidRPr="00980D3E">
        <w:t xml:space="preserve"> </w:t>
      </w:r>
      <w:r w:rsidR="004A5C78" w:rsidRPr="00980D3E">
        <w:t>on the published price of pomalidomide.</w:t>
      </w:r>
      <w:bookmarkStart w:id="52" w:name="_Hlk28615168"/>
    </w:p>
    <w:p w:rsidR="00C47645" w:rsidRPr="00980D3E" w:rsidRDefault="00C47645" w:rsidP="00D443C2">
      <w:pPr>
        <w:pStyle w:val="TableHeading"/>
      </w:pPr>
      <w:bookmarkStart w:id="53" w:name="_Ref33525145"/>
      <w:r w:rsidRPr="00980D3E">
        <w:lastRenderedPageBreak/>
        <w:t xml:space="preserve">Table </w:t>
      </w:r>
      <w:r w:rsidR="00C2673A" w:rsidRPr="00980D3E">
        <w:t>19</w:t>
      </w:r>
      <w:bookmarkEnd w:id="53"/>
      <w:r w:rsidRPr="00980D3E">
        <w:t>: Results of the economic analysis</w:t>
      </w:r>
    </w:p>
    <w:tbl>
      <w:tblPr>
        <w:tblStyle w:val="TableGrid22"/>
        <w:tblW w:w="5000" w:type="pct"/>
        <w:tblInd w:w="0" w:type="dxa"/>
        <w:tblLook w:val="04A0" w:firstRow="1" w:lastRow="0" w:firstColumn="1" w:lastColumn="0" w:noHBand="0" w:noVBand="1"/>
        <w:tblCaption w:val="Table 19: Results of the economic analysis"/>
      </w:tblPr>
      <w:tblGrid>
        <w:gridCol w:w="2255"/>
        <w:gridCol w:w="2254"/>
        <w:gridCol w:w="2254"/>
        <w:gridCol w:w="2254"/>
      </w:tblGrid>
      <w:tr w:rsidR="00C47645" w:rsidRPr="00980D3E" w:rsidTr="00D443C2">
        <w:trPr>
          <w:tblHeader/>
        </w:trPr>
        <w:tc>
          <w:tcPr>
            <w:tcW w:w="1250" w:type="pct"/>
          </w:tcPr>
          <w:p w:rsidR="00C47645" w:rsidRPr="00980D3E" w:rsidRDefault="00C47645" w:rsidP="00B96906">
            <w:pPr>
              <w:keepNext/>
              <w:jc w:val="left"/>
              <w:rPr>
                <w:rFonts w:ascii="Arial Narrow" w:hAnsi="Arial Narrow" w:cs="Times New Roman"/>
                <w:b/>
                <w:sz w:val="20"/>
                <w:szCs w:val="20"/>
              </w:rPr>
            </w:pPr>
          </w:p>
        </w:tc>
        <w:tc>
          <w:tcPr>
            <w:tcW w:w="1250" w:type="pct"/>
          </w:tcPr>
          <w:p w:rsidR="00C47645" w:rsidRPr="00980D3E" w:rsidRDefault="00C47645" w:rsidP="00B96906">
            <w:pPr>
              <w:keepNext/>
              <w:jc w:val="center"/>
              <w:rPr>
                <w:rFonts w:ascii="Arial Narrow" w:hAnsi="Arial Narrow" w:cs="Times New Roman"/>
                <w:b/>
                <w:sz w:val="20"/>
                <w:szCs w:val="20"/>
              </w:rPr>
            </w:pPr>
            <w:r w:rsidRPr="00980D3E">
              <w:rPr>
                <w:rFonts w:ascii="Arial Narrow" w:hAnsi="Arial Narrow" w:cs="Times New Roman"/>
                <w:b/>
                <w:sz w:val="20"/>
                <w:szCs w:val="20"/>
              </w:rPr>
              <w:t xml:space="preserve">Plitidepsin + </w:t>
            </w:r>
            <w:r w:rsidR="00C50AE9" w:rsidRPr="00980D3E">
              <w:rPr>
                <w:rFonts w:ascii="Arial Narrow" w:hAnsi="Arial Narrow" w:cs="Times New Roman"/>
                <w:b/>
                <w:sz w:val="20"/>
                <w:szCs w:val="20"/>
              </w:rPr>
              <w:t>Dxm</w:t>
            </w:r>
          </w:p>
        </w:tc>
        <w:tc>
          <w:tcPr>
            <w:tcW w:w="1250" w:type="pct"/>
          </w:tcPr>
          <w:p w:rsidR="00C47645" w:rsidRPr="00980D3E" w:rsidRDefault="00C50AE9" w:rsidP="00B96906">
            <w:pPr>
              <w:keepNext/>
              <w:jc w:val="center"/>
              <w:rPr>
                <w:rFonts w:ascii="Arial Narrow" w:hAnsi="Arial Narrow" w:cs="Times New Roman"/>
                <w:b/>
                <w:sz w:val="20"/>
                <w:szCs w:val="20"/>
              </w:rPr>
            </w:pPr>
            <w:r w:rsidRPr="00980D3E">
              <w:rPr>
                <w:rFonts w:ascii="Arial Narrow" w:hAnsi="Arial Narrow" w:cs="Times New Roman"/>
                <w:b/>
                <w:sz w:val="20"/>
                <w:szCs w:val="20"/>
              </w:rPr>
              <w:t>Dxm</w:t>
            </w:r>
          </w:p>
        </w:tc>
        <w:tc>
          <w:tcPr>
            <w:tcW w:w="1250" w:type="pct"/>
          </w:tcPr>
          <w:p w:rsidR="00C47645" w:rsidRPr="00980D3E" w:rsidRDefault="00C47645" w:rsidP="00B96906">
            <w:pPr>
              <w:keepNext/>
              <w:jc w:val="center"/>
              <w:rPr>
                <w:rFonts w:ascii="Arial Narrow" w:hAnsi="Arial Narrow" w:cs="Times New Roman"/>
                <w:b/>
                <w:sz w:val="20"/>
                <w:szCs w:val="20"/>
              </w:rPr>
            </w:pPr>
            <w:r w:rsidRPr="00980D3E">
              <w:rPr>
                <w:rFonts w:ascii="Arial Narrow" w:hAnsi="Arial Narrow" w:cs="Times New Roman"/>
                <w:b/>
                <w:sz w:val="20"/>
                <w:szCs w:val="20"/>
              </w:rPr>
              <w:t>Increment</w:t>
            </w:r>
          </w:p>
        </w:tc>
      </w:tr>
      <w:tr w:rsidR="00C47645" w:rsidRPr="00980D3E" w:rsidTr="00D443C2">
        <w:tc>
          <w:tcPr>
            <w:tcW w:w="5000" w:type="pct"/>
            <w:gridSpan w:val="4"/>
          </w:tcPr>
          <w:p w:rsidR="00C47645" w:rsidRPr="00980D3E" w:rsidRDefault="00C47645" w:rsidP="00B96906">
            <w:pPr>
              <w:keepNext/>
              <w:jc w:val="left"/>
              <w:rPr>
                <w:rFonts w:ascii="Arial Narrow" w:hAnsi="Arial Narrow" w:cs="Times New Roman"/>
                <w:sz w:val="20"/>
                <w:szCs w:val="20"/>
              </w:rPr>
            </w:pPr>
            <w:r w:rsidRPr="00980D3E">
              <w:rPr>
                <w:rFonts w:ascii="Arial Narrow" w:hAnsi="Arial Narrow" w:cs="Times New Roman"/>
                <w:b/>
                <w:sz w:val="20"/>
                <w:szCs w:val="20"/>
              </w:rPr>
              <w:t>Trial-based cost utility analysis</w:t>
            </w:r>
          </w:p>
        </w:tc>
      </w:tr>
      <w:tr w:rsidR="00C47645" w:rsidRPr="00980D3E" w:rsidTr="00D443C2">
        <w:tc>
          <w:tcPr>
            <w:tcW w:w="1250" w:type="pct"/>
          </w:tcPr>
          <w:p w:rsidR="00C47645" w:rsidRPr="00980D3E" w:rsidRDefault="00C47645" w:rsidP="00B96906">
            <w:pPr>
              <w:keepNext/>
              <w:jc w:val="left"/>
              <w:rPr>
                <w:rFonts w:ascii="Arial Narrow" w:hAnsi="Arial Narrow" w:cs="Times New Roman"/>
                <w:sz w:val="20"/>
                <w:szCs w:val="20"/>
              </w:rPr>
            </w:pPr>
            <w:r w:rsidRPr="00980D3E">
              <w:rPr>
                <w:rFonts w:ascii="Arial Narrow" w:hAnsi="Arial Narrow" w:cs="Times New Roman"/>
                <w:sz w:val="20"/>
                <w:szCs w:val="20"/>
              </w:rPr>
              <w:t>Total cost ($)</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r w:rsidRPr="00980D3E">
              <w:rPr>
                <w:rFonts w:ascii="Arial Narrow" w:hAnsi="Arial Narrow" w:cs="Times New Roman"/>
                <w:sz w:val="20"/>
                <w:szCs w:val="20"/>
              </w:rPr>
              <w:t xml:space="preserve"> </w:t>
            </w:r>
          </w:p>
        </w:tc>
      </w:tr>
      <w:tr w:rsidR="00C47645" w:rsidRPr="00980D3E" w:rsidTr="00D443C2">
        <w:tc>
          <w:tcPr>
            <w:tcW w:w="1250" w:type="pct"/>
          </w:tcPr>
          <w:p w:rsidR="00C47645" w:rsidRPr="00980D3E" w:rsidRDefault="00C47645" w:rsidP="00B96906">
            <w:pPr>
              <w:keepNext/>
              <w:jc w:val="left"/>
              <w:rPr>
                <w:rFonts w:ascii="Arial Narrow" w:hAnsi="Arial Narrow" w:cs="Times New Roman"/>
                <w:sz w:val="20"/>
                <w:szCs w:val="20"/>
              </w:rPr>
            </w:pPr>
            <w:r w:rsidRPr="00980D3E">
              <w:rPr>
                <w:rFonts w:ascii="Arial Narrow" w:hAnsi="Arial Narrow" w:cs="Times New Roman"/>
                <w:sz w:val="20"/>
                <w:szCs w:val="20"/>
              </w:rPr>
              <w:t>LYs</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1.589</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1.060</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0.529</w:t>
            </w:r>
          </w:p>
        </w:tc>
      </w:tr>
      <w:tr w:rsidR="00C47645" w:rsidRPr="00980D3E" w:rsidTr="00D443C2">
        <w:tc>
          <w:tcPr>
            <w:tcW w:w="1250" w:type="pct"/>
          </w:tcPr>
          <w:p w:rsidR="00C47645" w:rsidRPr="00980D3E" w:rsidRDefault="00C47645" w:rsidP="00B96906">
            <w:pPr>
              <w:keepNext/>
              <w:jc w:val="left"/>
              <w:rPr>
                <w:rFonts w:ascii="Arial Narrow" w:hAnsi="Arial Narrow" w:cs="Times New Roman"/>
                <w:sz w:val="20"/>
                <w:szCs w:val="20"/>
              </w:rPr>
            </w:pPr>
            <w:r w:rsidRPr="00980D3E">
              <w:rPr>
                <w:rFonts w:ascii="Arial Narrow" w:hAnsi="Arial Narrow" w:cs="Times New Roman"/>
                <w:sz w:val="20"/>
                <w:szCs w:val="20"/>
              </w:rPr>
              <w:t>QALYs</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1.069</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0.723</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0.346</w:t>
            </w:r>
          </w:p>
        </w:tc>
      </w:tr>
      <w:tr w:rsidR="00C47645" w:rsidRPr="00980D3E" w:rsidTr="00D443C2">
        <w:tc>
          <w:tcPr>
            <w:tcW w:w="3750" w:type="pct"/>
            <w:gridSpan w:val="3"/>
          </w:tcPr>
          <w:p w:rsidR="00C47645" w:rsidRPr="00980D3E" w:rsidRDefault="00C47645" w:rsidP="00B96906">
            <w:pPr>
              <w:keepNext/>
              <w:jc w:val="left"/>
              <w:rPr>
                <w:rFonts w:ascii="Arial Narrow" w:hAnsi="Arial Narrow" w:cs="Times New Roman"/>
                <w:sz w:val="20"/>
                <w:szCs w:val="20"/>
              </w:rPr>
            </w:pPr>
            <w:r w:rsidRPr="00980D3E">
              <w:rPr>
                <w:rFonts w:ascii="Arial Narrow" w:hAnsi="Arial Narrow" w:cs="Times New Roman"/>
                <w:sz w:val="20"/>
                <w:szCs w:val="20"/>
              </w:rPr>
              <w:t>Incremental cost per QALY gained</w:t>
            </w:r>
          </w:p>
        </w:tc>
        <w:tc>
          <w:tcPr>
            <w:tcW w:w="1250" w:type="pct"/>
          </w:tcPr>
          <w:p w:rsidR="00C47645" w:rsidRPr="00980D3E" w:rsidRDefault="00C47645" w:rsidP="00B96906">
            <w:pPr>
              <w:keepNext/>
              <w:jc w:val="center"/>
              <w:rPr>
                <w:rFonts w:ascii="Arial Narrow" w:hAnsi="Arial Narrow" w:cs="Times New Roman"/>
                <w:b/>
                <w:sz w:val="20"/>
                <w:szCs w:val="20"/>
              </w:rPr>
            </w:pPr>
            <w:r w:rsidRPr="00980D3E">
              <w:rPr>
                <w:rFonts w:ascii="Arial Narrow" w:hAnsi="Arial Narrow" w:cs="Times New Roman"/>
                <w:b/>
                <w:sz w:val="20"/>
                <w:szCs w:val="20"/>
              </w:rPr>
              <w:t>$</w:t>
            </w:r>
            <w:r w:rsidR="00F11546">
              <w:rPr>
                <w:rFonts w:ascii="Arial Narrow" w:hAnsi="Arial Narrow" w:cs="Times New Roman"/>
                <w:b/>
                <w:noProof/>
                <w:color w:val="000000"/>
                <w:sz w:val="20"/>
                <w:szCs w:val="20"/>
                <w:highlight w:val="black"/>
              </w:rPr>
              <w:t>''''''''''''''</w:t>
            </w:r>
          </w:p>
        </w:tc>
      </w:tr>
      <w:tr w:rsidR="00C47645" w:rsidRPr="00980D3E" w:rsidTr="00D443C2">
        <w:tc>
          <w:tcPr>
            <w:tcW w:w="5000" w:type="pct"/>
            <w:gridSpan w:val="4"/>
          </w:tcPr>
          <w:p w:rsidR="00C47645" w:rsidRPr="00980D3E" w:rsidRDefault="00355B93" w:rsidP="001311B5">
            <w:pPr>
              <w:keepNext/>
              <w:jc w:val="left"/>
              <w:rPr>
                <w:rFonts w:ascii="Arial Narrow" w:hAnsi="Arial Narrow" w:cs="Times New Roman"/>
                <w:sz w:val="20"/>
                <w:szCs w:val="20"/>
              </w:rPr>
            </w:pPr>
            <w:r w:rsidRPr="00980D3E">
              <w:rPr>
                <w:rFonts w:ascii="Arial Narrow" w:hAnsi="Arial Narrow" w:cs="Times New Roman"/>
                <w:b/>
                <w:sz w:val="20"/>
                <w:szCs w:val="20"/>
              </w:rPr>
              <w:t>Modelled</w:t>
            </w:r>
            <w:r w:rsidR="00C47645" w:rsidRPr="00980D3E">
              <w:rPr>
                <w:rFonts w:ascii="Arial Narrow" w:hAnsi="Arial Narrow" w:cs="Times New Roman"/>
                <w:b/>
                <w:sz w:val="20"/>
                <w:szCs w:val="20"/>
                <w:vertAlign w:val="superscript"/>
              </w:rPr>
              <w:t xml:space="preserve">a </w:t>
            </w:r>
            <w:r w:rsidR="00C47645" w:rsidRPr="00980D3E">
              <w:rPr>
                <w:rFonts w:ascii="Arial Narrow" w:hAnsi="Arial Narrow" w:cs="Times New Roman"/>
                <w:b/>
                <w:sz w:val="20"/>
                <w:szCs w:val="20"/>
              </w:rPr>
              <w:t>cost utility analysis (base case)</w:t>
            </w:r>
          </w:p>
        </w:tc>
      </w:tr>
      <w:tr w:rsidR="00C47645" w:rsidRPr="00980D3E" w:rsidTr="00D443C2">
        <w:tc>
          <w:tcPr>
            <w:tcW w:w="1250" w:type="pct"/>
          </w:tcPr>
          <w:p w:rsidR="00C47645" w:rsidRPr="00980D3E" w:rsidRDefault="00C47645" w:rsidP="00B96906">
            <w:pPr>
              <w:keepNext/>
              <w:jc w:val="left"/>
              <w:rPr>
                <w:rFonts w:ascii="Arial Narrow" w:hAnsi="Arial Narrow" w:cs="Times New Roman"/>
                <w:sz w:val="20"/>
                <w:szCs w:val="20"/>
              </w:rPr>
            </w:pPr>
            <w:r w:rsidRPr="00980D3E">
              <w:rPr>
                <w:rFonts w:ascii="Arial Narrow" w:hAnsi="Arial Narrow" w:cs="Times New Roman"/>
                <w:sz w:val="20"/>
                <w:szCs w:val="20"/>
              </w:rPr>
              <w:t>Total cost ($)</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r>
      <w:tr w:rsidR="00C47645" w:rsidRPr="00980D3E" w:rsidTr="00D443C2">
        <w:tc>
          <w:tcPr>
            <w:tcW w:w="1250" w:type="pct"/>
          </w:tcPr>
          <w:p w:rsidR="00C47645" w:rsidRPr="00980D3E" w:rsidRDefault="00C47645" w:rsidP="00B96906">
            <w:pPr>
              <w:keepNext/>
              <w:jc w:val="left"/>
              <w:rPr>
                <w:rFonts w:ascii="Arial Narrow" w:hAnsi="Arial Narrow" w:cs="Times New Roman"/>
                <w:sz w:val="20"/>
                <w:szCs w:val="20"/>
              </w:rPr>
            </w:pPr>
            <w:r w:rsidRPr="00980D3E">
              <w:rPr>
                <w:rFonts w:ascii="Arial Narrow" w:hAnsi="Arial Narrow" w:cs="Times New Roman"/>
                <w:sz w:val="20"/>
                <w:szCs w:val="20"/>
              </w:rPr>
              <w:t>LYs</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1.560</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1.043</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0.517</w:t>
            </w:r>
          </w:p>
        </w:tc>
      </w:tr>
      <w:tr w:rsidR="00C47645" w:rsidRPr="00980D3E" w:rsidTr="00D443C2">
        <w:tc>
          <w:tcPr>
            <w:tcW w:w="1250" w:type="pct"/>
          </w:tcPr>
          <w:p w:rsidR="00C47645" w:rsidRPr="00980D3E" w:rsidRDefault="00C47645" w:rsidP="00B96906">
            <w:pPr>
              <w:keepNext/>
              <w:jc w:val="left"/>
              <w:rPr>
                <w:rFonts w:ascii="Arial Narrow" w:hAnsi="Arial Narrow" w:cs="Times New Roman"/>
                <w:sz w:val="20"/>
                <w:szCs w:val="20"/>
              </w:rPr>
            </w:pPr>
            <w:r w:rsidRPr="00980D3E">
              <w:rPr>
                <w:rFonts w:ascii="Arial Narrow" w:hAnsi="Arial Narrow" w:cs="Times New Roman"/>
                <w:sz w:val="20"/>
                <w:szCs w:val="20"/>
              </w:rPr>
              <w:t>QALYs</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1.060</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0.718</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0.341</w:t>
            </w:r>
          </w:p>
        </w:tc>
      </w:tr>
      <w:tr w:rsidR="003B1690" w:rsidRPr="00980D3E" w:rsidTr="00D443C2">
        <w:tc>
          <w:tcPr>
            <w:tcW w:w="3750" w:type="pct"/>
            <w:gridSpan w:val="3"/>
            <w:vAlign w:val="center"/>
          </w:tcPr>
          <w:p w:rsidR="003B1690" w:rsidRPr="00980D3E" w:rsidRDefault="003B1690" w:rsidP="003B1690">
            <w:pPr>
              <w:keepNext/>
              <w:jc w:val="left"/>
              <w:rPr>
                <w:rFonts w:ascii="Arial Narrow" w:hAnsi="Arial Narrow" w:cs="Times New Roman"/>
                <w:sz w:val="20"/>
                <w:szCs w:val="20"/>
              </w:rPr>
            </w:pPr>
            <w:r w:rsidRPr="00980D3E">
              <w:rPr>
                <w:rFonts w:ascii="Arial Narrow" w:hAnsi="Arial Narrow" w:cs="Times New Roman"/>
                <w:sz w:val="20"/>
                <w:szCs w:val="20"/>
              </w:rPr>
              <w:t>Incremental cost per QALY gained</w:t>
            </w:r>
          </w:p>
        </w:tc>
        <w:tc>
          <w:tcPr>
            <w:tcW w:w="1250" w:type="pct"/>
          </w:tcPr>
          <w:p w:rsidR="003B1690" w:rsidRPr="00980D3E" w:rsidRDefault="003B1690" w:rsidP="00B96906">
            <w:pPr>
              <w:keepNext/>
              <w:jc w:val="center"/>
              <w:rPr>
                <w:rFonts w:ascii="Arial Narrow" w:hAnsi="Arial Narrow" w:cs="Times New Roman"/>
                <w:sz w:val="20"/>
                <w:szCs w:val="20"/>
              </w:rPr>
            </w:pPr>
            <w:r w:rsidRPr="00980D3E">
              <w:rPr>
                <w:rFonts w:ascii="Arial Narrow" w:hAnsi="Arial Narrow" w:cs="Times New Roman"/>
                <w:b/>
                <w:sz w:val="20"/>
                <w:szCs w:val="20"/>
              </w:rPr>
              <w:t>$</w:t>
            </w:r>
            <w:r w:rsidR="00F11546">
              <w:rPr>
                <w:rFonts w:ascii="Arial Narrow" w:hAnsi="Arial Narrow" w:cs="Times New Roman"/>
                <w:b/>
                <w:noProof/>
                <w:color w:val="000000"/>
                <w:sz w:val="20"/>
                <w:szCs w:val="20"/>
                <w:highlight w:val="black"/>
              </w:rPr>
              <w:t>''''''''''''''</w:t>
            </w:r>
          </w:p>
        </w:tc>
      </w:tr>
      <w:tr w:rsidR="003B1690" w:rsidRPr="00980D3E" w:rsidTr="00D443C2">
        <w:tc>
          <w:tcPr>
            <w:tcW w:w="5000" w:type="pct"/>
            <w:gridSpan w:val="4"/>
            <w:vAlign w:val="center"/>
          </w:tcPr>
          <w:p w:rsidR="003B1690" w:rsidRPr="00980D3E" w:rsidRDefault="003B1690" w:rsidP="003B1690">
            <w:pPr>
              <w:keepNext/>
              <w:jc w:val="left"/>
              <w:rPr>
                <w:rFonts w:ascii="Arial Narrow" w:hAnsi="Arial Narrow" w:cs="Times New Roman"/>
                <w:b/>
                <w:sz w:val="20"/>
                <w:szCs w:val="20"/>
                <w:vertAlign w:val="superscript"/>
              </w:rPr>
            </w:pPr>
            <w:r w:rsidRPr="00980D3E">
              <w:rPr>
                <w:rFonts w:ascii="Arial Narrow" w:hAnsi="Arial Narrow" w:cs="Times New Roman"/>
                <w:b/>
                <w:sz w:val="20"/>
                <w:szCs w:val="20"/>
              </w:rPr>
              <w:t>Corrected cost-utility analysis</w:t>
            </w:r>
            <w:r w:rsidR="002041B1" w:rsidRPr="00980D3E">
              <w:rPr>
                <w:rFonts w:ascii="Arial Narrow" w:hAnsi="Arial Narrow" w:cs="Times New Roman"/>
                <w:b/>
                <w:sz w:val="20"/>
                <w:szCs w:val="20"/>
                <w:vertAlign w:val="superscript"/>
              </w:rPr>
              <w:t>b</w:t>
            </w:r>
          </w:p>
        </w:tc>
      </w:tr>
      <w:tr w:rsidR="00AF0ECC" w:rsidRPr="00980D3E" w:rsidTr="00D443C2">
        <w:tc>
          <w:tcPr>
            <w:tcW w:w="1250" w:type="pct"/>
          </w:tcPr>
          <w:p w:rsidR="00AF0ECC" w:rsidRPr="00980D3E" w:rsidRDefault="00AF0ECC" w:rsidP="00AF0ECC">
            <w:pPr>
              <w:keepNext/>
              <w:jc w:val="left"/>
              <w:rPr>
                <w:rFonts w:ascii="Arial Narrow" w:hAnsi="Arial Narrow" w:cs="Times New Roman"/>
                <w:sz w:val="20"/>
                <w:szCs w:val="20"/>
              </w:rPr>
            </w:pPr>
            <w:r w:rsidRPr="00980D3E">
              <w:rPr>
                <w:rFonts w:ascii="Arial Narrow" w:hAnsi="Arial Narrow" w:cs="Times New Roman"/>
                <w:sz w:val="20"/>
                <w:szCs w:val="20"/>
              </w:rPr>
              <w:t>Total cost ($)</w:t>
            </w:r>
          </w:p>
        </w:tc>
        <w:tc>
          <w:tcPr>
            <w:tcW w:w="1250" w:type="pct"/>
          </w:tcPr>
          <w:p w:rsidR="00AF0ECC" w:rsidRPr="00980D3E" w:rsidRDefault="00AF0ECC" w:rsidP="00AF0ECC">
            <w:pPr>
              <w:pStyle w:val="TableText0"/>
              <w:jc w:val="center"/>
              <w:rPr>
                <w:rFonts w:cs="Times New Roman"/>
                <w:szCs w:val="20"/>
              </w:rPr>
            </w:pPr>
            <w:r w:rsidRPr="00980D3E">
              <w:rPr>
                <w:szCs w:val="20"/>
              </w:rPr>
              <w:t>$</w:t>
            </w:r>
            <w:r w:rsidR="00F11546">
              <w:rPr>
                <w:noProof/>
                <w:color w:val="000000"/>
                <w:szCs w:val="20"/>
                <w:highlight w:val="black"/>
              </w:rPr>
              <w:t>''''''''''''''''</w:t>
            </w:r>
          </w:p>
        </w:tc>
        <w:tc>
          <w:tcPr>
            <w:tcW w:w="1250" w:type="pct"/>
          </w:tcPr>
          <w:p w:rsidR="00AF0ECC" w:rsidRPr="00980D3E" w:rsidRDefault="00806EAD" w:rsidP="00AF0ECC">
            <w:pPr>
              <w:pStyle w:val="TableText0"/>
              <w:jc w:val="center"/>
              <w:rPr>
                <w:rFonts w:cs="Times New Roman"/>
                <w:szCs w:val="20"/>
              </w:rPr>
            </w:pPr>
            <w:r w:rsidRPr="00980D3E">
              <w:rPr>
                <w:szCs w:val="20"/>
              </w:rPr>
              <w:t>$</w:t>
            </w:r>
            <w:r w:rsidR="00F11546">
              <w:rPr>
                <w:noProof/>
                <w:color w:val="000000"/>
                <w:szCs w:val="20"/>
                <w:highlight w:val="black"/>
              </w:rPr>
              <w:t>''''''''''''''''''</w:t>
            </w:r>
          </w:p>
        </w:tc>
        <w:tc>
          <w:tcPr>
            <w:tcW w:w="1250" w:type="pct"/>
          </w:tcPr>
          <w:p w:rsidR="00AF0ECC" w:rsidRPr="00980D3E" w:rsidRDefault="00806EAD" w:rsidP="00AF0ECC">
            <w:pPr>
              <w:keepNext/>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r>
      <w:tr w:rsidR="00806EAD" w:rsidRPr="00980D3E" w:rsidTr="00D443C2">
        <w:tc>
          <w:tcPr>
            <w:tcW w:w="1250" w:type="pct"/>
          </w:tcPr>
          <w:p w:rsidR="00806EAD" w:rsidRPr="00980D3E" w:rsidRDefault="00806EAD" w:rsidP="00806EAD">
            <w:pPr>
              <w:keepNext/>
              <w:jc w:val="left"/>
              <w:rPr>
                <w:rFonts w:ascii="Arial Narrow" w:hAnsi="Arial Narrow" w:cs="Times New Roman"/>
                <w:sz w:val="20"/>
                <w:szCs w:val="20"/>
              </w:rPr>
            </w:pPr>
            <w:r w:rsidRPr="00980D3E">
              <w:rPr>
                <w:rFonts w:ascii="Arial Narrow" w:hAnsi="Arial Narrow" w:cs="Times New Roman"/>
                <w:sz w:val="20"/>
                <w:szCs w:val="20"/>
              </w:rPr>
              <w:t>LYs</w:t>
            </w:r>
          </w:p>
        </w:tc>
        <w:tc>
          <w:tcPr>
            <w:tcW w:w="1250" w:type="pct"/>
          </w:tcPr>
          <w:p w:rsidR="00806EAD" w:rsidRPr="00980D3E" w:rsidRDefault="00806EAD" w:rsidP="00806EAD">
            <w:pPr>
              <w:pStyle w:val="TableText0"/>
              <w:jc w:val="center"/>
              <w:rPr>
                <w:rFonts w:cs="Times New Roman"/>
                <w:szCs w:val="20"/>
              </w:rPr>
            </w:pPr>
            <w:r w:rsidRPr="00980D3E">
              <w:rPr>
                <w:szCs w:val="20"/>
              </w:rPr>
              <w:t>1.558</w:t>
            </w:r>
          </w:p>
        </w:tc>
        <w:tc>
          <w:tcPr>
            <w:tcW w:w="1250" w:type="pct"/>
          </w:tcPr>
          <w:p w:rsidR="00806EAD" w:rsidRPr="00980D3E" w:rsidRDefault="00806EAD" w:rsidP="00806EAD">
            <w:pPr>
              <w:pStyle w:val="TableText0"/>
              <w:jc w:val="center"/>
              <w:rPr>
                <w:rFonts w:cs="Times New Roman"/>
                <w:szCs w:val="20"/>
              </w:rPr>
            </w:pPr>
            <w:r w:rsidRPr="00980D3E">
              <w:rPr>
                <w:szCs w:val="20"/>
              </w:rPr>
              <w:t>1.003</w:t>
            </w:r>
          </w:p>
        </w:tc>
        <w:tc>
          <w:tcPr>
            <w:tcW w:w="1250" w:type="pct"/>
          </w:tcPr>
          <w:p w:rsidR="00806EAD" w:rsidRPr="00980D3E" w:rsidRDefault="00806EAD" w:rsidP="00806EAD">
            <w:pPr>
              <w:keepNext/>
              <w:jc w:val="center"/>
              <w:rPr>
                <w:rFonts w:ascii="Arial Narrow" w:hAnsi="Arial Narrow" w:cs="Times New Roman"/>
                <w:sz w:val="20"/>
                <w:szCs w:val="20"/>
              </w:rPr>
            </w:pPr>
            <w:r w:rsidRPr="00980D3E">
              <w:rPr>
                <w:rFonts w:ascii="Arial Narrow" w:hAnsi="Arial Narrow" w:cs="Times New Roman"/>
                <w:sz w:val="20"/>
                <w:szCs w:val="20"/>
              </w:rPr>
              <w:t>0.5</w:t>
            </w:r>
            <w:r w:rsidR="002041B1" w:rsidRPr="00980D3E">
              <w:rPr>
                <w:rFonts w:ascii="Arial Narrow" w:hAnsi="Arial Narrow" w:cs="Times New Roman"/>
                <w:sz w:val="20"/>
                <w:szCs w:val="20"/>
              </w:rPr>
              <w:t>55</w:t>
            </w:r>
          </w:p>
        </w:tc>
      </w:tr>
      <w:tr w:rsidR="002041B1" w:rsidRPr="00980D3E" w:rsidTr="00D443C2">
        <w:tc>
          <w:tcPr>
            <w:tcW w:w="1250" w:type="pct"/>
          </w:tcPr>
          <w:p w:rsidR="002041B1" w:rsidRPr="00980D3E" w:rsidRDefault="002041B1" w:rsidP="002041B1">
            <w:pPr>
              <w:keepNext/>
              <w:jc w:val="left"/>
              <w:rPr>
                <w:rFonts w:ascii="Arial Narrow" w:hAnsi="Arial Narrow" w:cs="Times New Roman"/>
                <w:sz w:val="20"/>
                <w:szCs w:val="20"/>
              </w:rPr>
            </w:pPr>
            <w:r w:rsidRPr="00980D3E">
              <w:rPr>
                <w:rFonts w:ascii="Arial Narrow" w:hAnsi="Arial Narrow" w:cs="Times New Roman"/>
                <w:sz w:val="20"/>
                <w:szCs w:val="20"/>
              </w:rPr>
              <w:t>QALYs</w:t>
            </w:r>
          </w:p>
        </w:tc>
        <w:tc>
          <w:tcPr>
            <w:tcW w:w="1250" w:type="pct"/>
          </w:tcPr>
          <w:p w:rsidR="002041B1" w:rsidRPr="00980D3E" w:rsidRDefault="002041B1" w:rsidP="002041B1">
            <w:pPr>
              <w:pStyle w:val="TableText0"/>
              <w:jc w:val="center"/>
              <w:rPr>
                <w:rFonts w:cs="Times New Roman"/>
                <w:szCs w:val="20"/>
              </w:rPr>
            </w:pPr>
            <w:r w:rsidRPr="00980D3E">
              <w:rPr>
                <w:szCs w:val="20"/>
              </w:rPr>
              <w:t>1.056</w:t>
            </w:r>
          </w:p>
        </w:tc>
        <w:tc>
          <w:tcPr>
            <w:tcW w:w="1250" w:type="pct"/>
          </w:tcPr>
          <w:p w:rsidR="002041B1" w:rsidRPr="00980D3E" w:rsidRDefault="002041B1" w:rsidP="002041B1">
            <w:pPr>
              <w:pStyle w:val="TableText0"/>
              <w:jc w:val="center"/>
              <w:rPr>
                <w:rFonts w:cs="Times New Roman"/>
                <w:szCs w:val="20"/>
              </w:rPr>
            </w:pPr>
            <w:r w:rsidRPr="00980D3E">
              <w:rPr>
                <w:szCs w:val="20"/>
              </w:rPr>
              <w:t>0.700</w:t>
            </w:r>
          </w:p>
        </w:tc>
        <w:tc>
          <w:tcPr>
            <w:tcW w:w="1250" w:type="pct"/>
          </w:tcPr>
          <w:p w:rsidR="002041B1" w:rsidRPr="00980D3E" w:rsidRDefault="002041B1" w:rsidP="002041B1">
            <w:pPr>
              <w:keepNext/>
              <w:jc w:val="center"/>
              <w:rPr>
                <w:rFonts w:ascii="Arial Narrow" w:hAnsi="Arial Narrow" w:cs="Times New Roman"/>
                <w:sz w:val="20"/>
                <w:szCs w:val="20"/>
              </w:rPr>
            </w:pPr>
            <w:r w:rsidRPr="00980D3E">
              <w:rPr>
                <w:rFonts w:ascii="Arial Narrow" w:hAnsi="Arial Narrow" w:cs="Times New Roman"/>
                <w:sz w:val="20"/>
                <w:szCs w:val="20"/>
              </w:rPr>
              <w:t>0.356</w:t>
            </w:r>
          </w:p>
        </w:tc>
      </w:tr>
      <w:tr w:rsidR="00C47645" w:rsidRPr="00980D3E" w:rsidTr="00D443C2">
        <w:tc>
          <w:tcPr>
            <w:tcW w:w="3750" w:type="pct"/>
            <w:gridSpan w:val="3"/>
            <w:vAlign w:val="center"/>
          </w:tcPr>
          <w:p w:rsidR="00C47645" w:rsidRPr="00980D3E" w:rsidRDefault="003B1690" w:rsidP="00B96906">
            <w:pPr>
              <w:keepNext/>
              <w:jc w:val="left"/>
              <w:rPr>
                <w:rFonts w:ascii="Arial Narrow" w:hAnsi="Arial Narrow" w:cs="Times New Roman"/>
                <w:sz w:val="20"/>
                <w:szCs w:val="20"/>
              </w:rPr>
            </w:pPr>
            <w:r w:rsidRPr="00980D3E">
              <w:rPr>
                <w:rFonts w:ascii="Arial Narrow" w:hAnsi="Arial Narrow" w:cs="Times New Roman"/>
                <w:sz w:val="20"/>
                <w:szCs w:val="20"/>
              </w:rPr>
              <w:t>Incremental cost per QALY gained</w:t>
            </w:r>
          </w:p>
        </w:tc>
        <w:tc>
          <w:tcPr>
            <w:tcW w:w="1250" w:type="pct"/>
          </w:tcPr>
          <w:p w:rsidR="00C47645" w:rsidRPr="00980D3E" w:rsidRDefault="002041B1" w:rsidP="00B96906">
            <w:pPr>
              <w:keepNext/>
              <w:jc w:val="center"/>
              <w:rPr>
                <w:rFonts w:ascii="Arial Narrow" w:hAnsi="Arial Narrow" w:cs="Times New Roman"/>
                <w:b/>
                <w:sz w:val="20"/>
                <w:szCs w:val="20"/>
              </w:rPr>
            </w:pPr>
            <w:r w:rsidRPr="00980D3E">
              <w:rPr>
                <w:rFonts w:ascii="Arial Narrow" w:hAnsi="Arial Narrow" w:cs="Times New Roman"/>
                <w:b/>
                <w:sz w:val="20"/>
                <w:szCs w:val="20"/>
              </w:rPr>
              <w:t>$</w:t>
            </w:r>
            <w:r w:rsidR="00F11546">
              <w:rPr>
                <w:rFonts w:ascii="Arial Narrow" w:hAnsi="Arial Narrow" w:cs="Times New Roman"/>
                <w:b/>
                <w:noProof/>
                <w:color w:val="000000"/>
                <w:sz w:val="20"/>
                <w:szCs w:val="20"/>
                <w:highlight w:val="black"/>
              </w:rPr>
              <w:t>'''''''''''''</w:t>
            </w:r>
          </w:p>
        </w:tc>
      </w:tr>
      <w:tr w:rsidR="00C47645" w:rsidRPr="00980D3E" w:rsidTr="00D443C2">
        <w:tc>
          <w:tcPr>
            <w:tcW w:w="5000" w:type="pct"/>
            <w:gridSpan w:val="4"/>
            <w:vAlign w:val="center"/>
          </w:tcPr>
          <w:p w:rsidR="00C47645" w:rsidRPr="00980D3E" w:rsidRDefault="00CF5512" w:rsidP="00CF5512">
            <w:pPr>
              <w:keepNext/>
              <w:jc w:val="left"/>
              <w:rPr>
                <w:rFonts w:ascii="Arial Narrow" w:hAnsi="Arial Narrow" w:cs="Times New Roman"/>
                <w:b/>
                <w:sz w:val="20"/>
                <w:szCs w:val="20"/>
              </w:rPr>
            </w:pPr>
            <w:r w:rsidRPr="00980D3E">
              <w:rPr>
                <w:rFonts w:ascii="Arial Narrow" w:hAnsi="Arial Narrow" w:cs="Times New Roman"/>
                <w:b/>
                <w:sz w:val="20"/>
                <w:szCs w:val="20"/>
              </w:rPr>
              <w:t>July 2019</w:t>
            </w:r>
            <w:r w:rsidR="00C47645" w:rsidRPr="00980D3E">
              <w:rPr>
                <w:rFonts w:ascii="Arial Narrow" w:hAnsi="Arial Narrow" w:cs="Times New Roman"/>
                <w:b/>
                <w:sz w:val="20"/>
                <w:szCs w:val="20"/>
              </w:rPr>
              <w:t xml:space="preserve"> submission (modelled</w:t>
            </w:r>
            <w:r w:rsidR="00424642" w:rsidRPr="00980D3E">
              <w:rPr>
                <w:rFonts w:ascii="Arial Narrow" w:hAnsi="Arial Narrow" w:cs="Times New Roman"/>
                <w:b/>
                <w:sz w:val="20"/>
                <w:szCs w:val="20"/>
              </w:rPr>
              <w:t xml:space="preserve"> base case</w:t>
            </w:r>
            <w:r w:rsidR="00C47645" w:rsidRPr="00980D3E">
              <w:rPr>
                <w:rFonts w:ascii="Arial Narrow" w:hAnsi="Arial Narrow" w:cs="Times New Roman"/>
                <w:b/>
                <w:sz w:val="20"/>
                <w:szCs w:val="20"/>
              </w:rPr>
              <w:t>)</w:t>
            </w:r>
          </w:p>
        </w:tc>
      </w:tr>
      <w:tr w:rsidR="00C47645" w:rsidRPr="00980D3E" w:rsidTr="00D443C2">
        <w:tc>
          <w:tcPr>
            <w:tcW w:w="1250" w:type="pct"/>
          </w:tcPr>
          <w:p w:rsidR="00C47645" w:rsidRPr="00980D3E" w:rsidRDefault="00C47645" w:rsidP="00B96906">
            <w:pPr>
              <w:keepNext/>
              <w:jc w:val="left"/>
              <w:rPr>
                <w:rFonts w:ascii="Arial Narrow" w:hAnsi="Arial Narrow" w:cs="Times New Roman"/>
                <w:sz w:val="20"/>
                <w:szCs w:val="20"/>
              </w:rPr>
            </w:pPr>
            <w:r w:rsidRPr="00980D3E">
              <w:rPr>
                <w:rFonts w:ascii="Arial Narrow" w:hAnsi="Arial Narrow" w:cs="Times New Roman"/>
                <w:sz w:val="20"/>
                <w:szCs w:val="20"/>
              </w:rPr>
              <w:t>Total cost ($)</w:t>
            </w:r>
          </w:p>
        </w:tc>
        <w:tc>
          <w:tcPr>
            <w:tcW w:w="1250" w:type="pct"/>
          </w:tcPr>
          <w:p w:rsidR="00C47645" w:rsidRPr="00980D3E" w:rsidRDefault="00C47645" w:rsidP="003A0C8A">
            <w:pPr>
              <w:keepNext/>
              <w:jc w:val="center"/>
              <w:rPr>
                <w:rFonts w:ascii="Arial Narrow" w:hAnsi="Arial Narrow" w:cs="Times New Roman"/>
                <w:sz w:val="20"/>
                <w:szCs w:val="20"/>
                <w:vertAlign w:val="superscript"/>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r w:rsidRPr="00980D3E">
              <w:rPr>
                <w:rFonts w:ascii="Arial Narrow" w:hAnsi="Arial Narrow" w:cs="Times New Roman"/>
                <w:sz w:val="20"/>
                <w:szCs w:val="20"/>
              </w:rPr>
              <w:t xml:space="preserve"> ($</w:t>
            </w:r>
            <w:r w:rsidR="00F11546">
              <w:rPr>
                <w:rFonts w:ascii="Arial Narrow" w:hAnsi="Arial Narrow" w:cs="Times New Roman"/>
                <w:noProof/>
                <w:color w:val="000000"/>
                <w:sz w:val="20"/>
                <w:szCs w:val="20"/>
                <w:highlight w:val="black"/>
              </w:rPr>
              <w:t>''''''''''''''''</w:t>
            </w:r>
            <w:r w:rsidR="00810EE0" w:rsidRPr="00980D3E">
              <w:rPr>
                <w:rFonts w:ascii="Arial Narrow" w:hAnsi="Arial Narrow" w:cs="Times New Roman"/>
                <w:sz w:val="20"/>
                <w:szCs w:val="20"/>
              </w:rPr>
              <w:t>)</w:t>
            </w:r>
            <w:r w:rsidR="002041B1" w:rsidRPr="00980D3E">
              <w:rPr>
                <w:rFonts w:ascii="Arial Narrow" w:hAnsi="Arial Narrow" w:cs="Times New Roman"/>
                <w:sz w:val="20"/>
                <w:szCs w:val="20"/>
                <w:vertAlign w:val="superscript"/>
              </w:rPr>
              <w:t>c</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r w:rsidRPr="00980D3E">
              <w:rPr>
                <w:rFonts w:ascii="Arial Narrow" w:hAnsi="Arial Narrow" w:cs="Times New Roman"/>
                <w:sz w:val="20"/>
                <w:szCs w:val="20"/>
              </w:rPr>
              <w:t xml:space="preserve"> ($</w:t>
            </w:r>
            <w:r w:rsidR="00F11546">
              <w:rPr>
                <w:rFonts w:ascii="Arial Narrow" w:hAnsi="Arial Narrow" w:cs="Times New Roman"/>
                <w:noProof/>
                <w:color w:val="000000"/>
                <w:sz w:val="20"/>
                <w:szCs w:val="20"/>
                <w:highlight w:val="black"/>
              </w:rPr>
              <w:t>'''''''''''''''</w:t>
            </w:r>
            <w:r w:rsidRPr="00980D3E">
              <w:rPr>
                <w:rFonts w:ascii="Arial Narrow" w:hAnsi="Arial Narrow" w:cs="Times New Roman"/>
                <w:sz w:val="20"/>
                <w:szCs w:val="20"/>
              </w:rPr>
              <w:t>)</w:t>
            </w:r>
            <w:r w:rsidR="002041B1" w:rsidRPr="00980D3E">
              <w:rPr>
                <w:rFonts w:ascii="Arial Narrow" w:hAnsi="Arial Narrow" w:cs="Times New Roman"/>
                <w:sz w:val="20"/>
                <w:szCs w:val="20"/>
                <w:vertAlign w:val="superscript"/>
              </w:rPr>
              <w:t>c</w:t>
            </w:r>
          </w:p>
        </w:tc>
        <w:tc>
          <w:tcPr>
            <w:tcW w:w="1250" w:type="pct"/>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r w:rsidRPr="00980D3E">
              <w:rPr>
                <w:rFonts w:ascii="Arial Narrow" w:hAnsi="Arial Narrow" w:cs="Times New Roman"/>
                <w:sz w:val="20"/>
                <w:szCs w:val="20"/>
              </w:rPr>
              <w:t xml:space="preserve"> ($</w:t>
            </w:r>
            <w:r w:rsidR="00F11546">
              <w:rPr>
                <w:rFonts w:ascii="Arial Narrow" w:hAnsi="Arial Narrow" w:cs="Times New Roman"/>
                <w:noProof/>
                <w:color w:val="000000"/>
                <w:sz w:val="20"/>
                <w:szCs w:val="20"/>
                <w:highlight w:val="black"/>
              </w:rPr>
              <w:t>''''''''''''''''</w:t>
            </w:r>
            <w:r w:rsidRPr="00980D3E">
              <w:rPr>
                <w:rFonts w:ascii="Arial Narrow" w:hAnsi="Arial Narrow" w:cs="Times New Roman"/>
                <w:sz w:val="20"/>
                <w:szCs w:val="20"/>
              </w:rPr>
              <w:t>)</w:t>
            </w:r>
            <w:r w:rsidR="002041B1" w:rsidRPr="00980D3E">
              <w:rPr>
                <w:rFonts w:ascii="Arial Narrow" w:hAnsi="Arial Narrow" w:cs="Times New Roman"/>
                <w:sz w:val="20"/>
                <w:szCs w:val="20"/>
                <w:vertAlign w:val="superscript"/>
              </w:rPr>
              <w:t>c</w:t>
            </w:r>
          </w:p>
        </w:tc>
      </w:tr>
      <w:tr w:rsidR="00C47645" w:rsidRPr="00980D3E" w:rsidTr="00D443C2">
        <w:tc>
          <w:tcPr>
            <w:tcW w:w="1250" w:type="pct"/>
            <w:tcBorders>
              <w:bottom w:val="single" w:sz="4" w:space="0" w:color="auto"/>
            </w:tcBorders>
          </w:tcPr>
          <w:p w:rsidR="00C47645" w:rsidRPr="00980D3E" w:rsidRDefault="00C47645" w:rsidP="00B96906">
            <w:pPr>
              <w:keepNext/>
              <w:jc w:val="left"/>
              <w:rPr>
                <w:rFonts w:ascii="Arial Narrow" w:hAnsi="Arial Narrow" w:cs="Times New Roman"/>
                <w:sz w:val="20"/>
                <w:szCs w:val="20"/>
              </w:rPr>
            </w:pPr>
            <w:r w:rsidRPr="00980D3E">
              <w:rPr>
                <w:rFonts w:ascii="Arial Narrow" w:hAnsi="Arial Narrow" w:cs="Times New Roman"/>
                <w:sz w:val="20"/>
                <w:szCs w:val="20"/>
              </w:rPr>
              <w:t>LYs</w:t>
            </w:r>
          </w:p>
        </w:tc>
        <w:tc>
          <w:tcPr>
            <w:tcW w:w="1250" w:type="pct"/>
            <w:tcBorders>
              <w:bottom w:val="single" w:sz="4" w:space="0" w:color="auto"/>
            </w:tcBorders>
          </w:tcPr>
          <w:p w:rsidR="00C47645" w:rsidRPr="00980D3E" w:rsidRDefault="00C47645" w:rsidP="00B96906">
            <w:pPr>
              <w:pStyle w:val="TableText0"/>
              <w:jc w:val="center"/>
              <w:rPr>
                <w:rFonts w:cs="Times New Roman"/>
                <w:szCs w:val="20"/>
              </w:rPr>
            </w:pPr>
            <w:r w:rsidRPr="00980D3E">
              <w:rPr>
                <w:szCs w:val="20"/>
              </w:rPr>
              <w:t>1.669</w:t>
            </w:r>
          </w:p>
        </w:tc>
        <w:tc>
          <w:tcPr>
            <w:tcW w:w="1250" w:type="pct"/>
            <w:tcBorders>
              <w:bottom w:val="single" w:sz="4" w:space="0" w:color="auto"/>
            </w:tcBorders>
          </w:tcPr>
          <w:p w:rsidR="00C47645" w:rsidRPr="00980D3E" w:rsidRDefault="00C47645" w:rsidP="00B96906">
            <w:pPr>
              <w:pStyle w:val="TableText0"/>
              <w:jc w:val="center"/>
              <w:rPr>
                <w:rFonts w:cs="Times New Roman"/>
                <w:szCs w:val="20"/>
              </w:rPr>
            </w:pPr>
            <w:r w:rsidRPr="00980D3E">
              <w:rPr>
                <w:szCs w:val="20"/>
              </w:rPr>
              <w:t>1.044</w:t>
            </w:r>
          </w:p>
        </w:tc>
        <w:tc>
          <w:tcPr>
            <w:tcW w:w="1250" w:type="pct"/>
            <w:tcBorders>
              <w:bottom w:val="single" w:sz="4" w:space="0" w:color="auto"/>
            </w:tcBorders>
          </w:tcPr>
          <w:p w:rsidR="00C47645" w:rsidRPr="00980D3E" w:rsidRDefault="00C47645" w:rsidP="00B96906">
            <w:pPr>
              <w:pStyle w:val="TableText0"/>
              <w:jc w:val="center"/>
              <w:rPr>
                <w:rFonts w:cs="Times New Roman"/>
                <w:szCs w:val="20"/>
              </w:rPr>
            </w:pPr>
            <w:r w:rsidRPr="00980D3E">
              <w:rPr>
                <w:szCs w:val="20"/>
              </w:rPr>
              <w:t>0.625</w:t>
            </w:r>
          </w:p>
        </w:tc>
      </w:tr>
      <w:tr w:rsidR="00C47645" w:rsidRPr="00980D3E" w:rsidTr="00D443C2">
        <w:tc>
          <w:tcPr>
            <w:tcW w:w="1250" w:type="pct"/>
            <w:tcBorders>
              <w:bottom w:val="single" w:sz="4" w:space="0" w:color="auto"/>
            </w:tcBorders>
          </w:tcPr>
          <w:p w:rsidR="00C47645" w:rsidRPr="00980D3E" w:rsidRDefault="00C47645" w:rsidP="00B96906">
            <w:pPr>
              <w:keepNext/>
              <w:jc w:val="left"/>
              <w:rPr>
                <w:rFonts w:ascii="Arial Narrow" w:hAnsi="Arial Narrow" w:cs="Times New Roman"/>
                <w:sz w:val="20"/>
                <w:szCs w:val="20"/>
              </w:rPr>
            </w:pPr>
            <w:r w:rsidRPr="00980D3E">
              <w:rPr>
                <w:rFonts w:ascii="Arial Narrow" w:hAnsi="Arial Narrow" w:cs="Times New Roman"/>
                <w:sz w:val="20"/>
                <w:szCs w:val="20"/>
              </w:rPr>
              <w:t>QALYs</w:t>
            </w:r>
          </w:p>
        </w:tc>
        <w:tc>
          <w:tcPr>
            <w:tcW w:w="1250" w:type="pct"/>
            <w:tcBorders>
              <w:bottom w:val="single" w:sz="4" w:space="0" w:color="auto"/>
            </w:tcBorders>
            <w:vAlign w:val="bottom"/>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1.138</w:t>
            </w:r>
          </w:p>
        </w:tc>
        <w:tc>
          <w:tcPr>
            <w:tcW w:w="1250" w:type="pct"/>
            <w:tcBorders>
              <w:bottom w:val="single" w:sz="4" w:space="0" w:color="auto"/>
            </w:tcBorders>
            <w:vAlign w:val="bottom"/>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0.690</w:t>
            </w:r>
          </w:p>
        </w:tc>
        <w:tc>
          <w:tcPr>
            <w:tcW w:w="1250" w:type="pct"/>
            <w:tcBorders>
              <w:bottom w:val="single" w:sz="4" w:space="0" w:color="auto"/>
            </w:tcBorders>
          </w:tcPr>
          <w:p w:rsidR="00C47645" w:rsidRPr="00980D3E" w:rsidRDefault="00C47645" w:rsidP="00B96906">
            <w:pPr>
              <w:keepNext/>
              <w:jc w:val="center"/>
              <w:rPr>
                <w:rFonts w:ascii="Arial Narrow" w:hAnsi="Arial Narrow" w:cs="Times New Roman"/>
                <w:sz w:val="20"/>
                <w:szCs w:val="20"/>
              </w:rPr>
            </w:pPr>
            <w:r w:rsidRPr="00980D3E">
              <w:rPr>
                <w:rFonts w:ascii="Arial Narrow" w:hAnsi="Arial Narrow" w:cs="Times New Roman"/>
                <w:sz w:val="20"/>
                <w:szCs w:val="20"/>
              </w:rPr>
              <w:t>0.449</w:t>
            </w:r>
          </w:p>
        </w:tc>
      </w:tr>
      <w:tr w:rsidR="00C47645" w:rsidRPr="00980D3E" w:rsidTr="00D443C2">
        <w:tc>
          <w:tcPr>
            <w:tcW w:w="3750" w:type="pct"/>
            <w:gridSpan w:val="3"/>
          </w:tcPr>
          <w:p w:rsidR="00C47645" w:rsidRPr="00980D3E" w:rsidRDefault="00C47645" w:rsidP="00B96906">
            <w:pPr>
              <w:pStyle w:val="Tabletext"/>
              <w:rPr>
                <w:szCs w:val="20"/>
              </w:rPr>
            </w:pPr>
            <w:r w:rsidRPr="00980D3E">
              <w:rPr>
                <w:szCs w:val="20"/>
              </w:rPr>
              <w:t>Incremental cost per QALY gained</w:t>
            </w:r>
          </w:p>
        </w:tc>
        <w:tc>
          <w:tcPr>
            <w:tcW w:w="1250" w:type="pct"/>
          </w:tcPr>
          <w:p w:rsidR="00C47645" w:rsidRPr="00980D3E" w:rsidRDefault="00C47645" w:rsidP="00B96906">
            <w:pPr>
              <w:pStyle w:val="Tabletext"/>
              <w:jc w:val="center"/>
              <w:rPr>
                <w:b/>
                <w:szCs w:val="20"/>
              </w:rPr>
            </w:pPr>
            <w:r w:rsidRPr="00980D3E">
              <w:rPr>
                <w:szCs w:val="20"/>
              </w:rPr>
              <w:t>$</w:t>
            </w:r>
            <w:r w:rsidR="00F11546">
              <w:rPr>
                <w:noProof/>
                <w:color w:val="000000"/>
                <w:szCs w:val="20"/>
                <w:highlight w:val="black"/>
              </w:rPr>
              <w:t>'''''''''''''''''</w:t>
            </w:r>
            <w:r w:rsidRPr="00980D3E">
              <w:rPr>
                <w:szCs w:val="20"/>
              </w:rPr>
              <w:t xml:space="preserve"> ($</w:t>
            </w:r>
            <w:r w:rsidR="00F11546">
              <w:rPr>
                <w:noProof/>
                <w:color w:val="000000"/>
                <w:szCs w:val="20"/>
                <w:highlight w:val="black"/>
              </w:rPr>
              <w:t>''''''''''''''''</w:t>
            </w:r>
            <w:r w:rsidRPr="00980D3E">
              <w:rPr>
                <w:szCs w:val="20"/>
              </w:rPr>
              <w:t>)</w:t>
            </w:r>
            <w:r w:rsidRPr="00980D3E">
              <w:rPr>
                <w:szCs w:val="20"/>
                <w:vertAlign w:val="superscript"/>
              </w:rPr>
              <w:t>b</w:t>
            </w:r>
          </w:p>
        </w:tc>
      </w:tr>
    </w:tbl>
    <w:p w:rsidR="00C47645" w:rsidRPr="00980D3E" w:rsidRDefault="00C47645" w:rsidP="00D443C2">
      <w:pPr>
        <w:pStyle w:val="TableFigureFooter"/>
      </w:pPr>
      <w:r w:rsidRPr="00980D3E">
        <w:t>Source: Table</w:t>
      </w:r>
      <w:r w:rsidR="00D47120" w:rsidRPr="00980D3E">
        <w:t xml:space="preserve"> </w:t>
      </w:r>
      <w:r w:rsidRPr="00980D3E">
        <w:t>114, p246 of the resubmission; and Table 3B.8.1, p123 July 2019 plitidepsin commentary</w:t>
      </w:r>
      <w:r w:rsidR="00D95846" w:rsidRPr="00980D3E">
        <w:t>.</w:t>
      </w:r>
      <w:r w:rsidRPr="00980D3E">
        <w:t xml:space="preserve"> </w:t>
      </w:r>
    </w:p>
    <w:p w:rsidR="00C47645" w:rsidRPr="00980D3E" w:rsidRDefault="00C47645" w:rsidP="00D443C2">
      <w:pPr>
        <w:pStyle w:val="TableFigureFooter"/>
      </w:pPr>
      <w:r w:rsidRPr="00980D3E">
        <w:t xml:space="preserve">AE = adverse event; </w:t>
      </w:r>
      <w:r w:rsidR="00C50AE9" w:rsidRPr="00980D3E">
        <w:t>Dxm</w:t>
      </w:r>
      <w:r w:rsidRPr="00980D3E">
        <w:t xml:space="preserve"> = dexamethasone; LYs = life years; </w:t>
      </w:r>
      <w:r w:rsidR="00AE1BE2" w:rsidRPr="00980D3E">
        <w:t xml:space="preserve">OS = overall survival; </w:t>
      </w:r>
      <w:r w:rsidRPr="00980D3E">
        <w:t>QALY = quality adjusted life years</w:t>
      </w:r>
      <w:r w:rsidR="00AE1BE2" w:rsidRPr="00980D3E">
        <w:t>; TTF = time to treatment failure</w:t>
      </w:r>
      <w:r w:rsidR="00D95846" w:rsidRPr="00980D3E">
        <w:t>.</w:t>
      </w:r>
    </w:p>
    <w:p w:rsidR="00C47645" w:rsidRPr="00980D3E" w:rsidRDefault="00C47645" w:rsidP="00D443C2">
      <w:pPr>
        <w:pStyle w:val="TableFigureFooter"/>
      </w:pPr>
      <w:r w:rsidRPr="00980D3E">
        <w:rPr>
          <w:rFonts w:cs="Times New Roman"/>
          <w:sz w:val="20"/>
          <w:vertAlign w:val="superscript"/>
        </w:rPr>
        <w:t>a</w:t>
      </w:r>
      <w:r w:rsidRPr="00980D3E">
        <w:t xml:space="preserve"> Extrapolated from </w:t>
      </w:r>
      <w:r w:rsidR="00BF4534" w:rsidRPr="00980D3E">
        <w:t>33.4 months (plitidepsin) and 36.3 months</w:t>
      </w:r>
      <w:r w:rsidRPr="00980D3E">
        <w:t xml:space="preserve"> </w:t>
      </w:r>
      <w:r w:rsidR="00BF4534" w:rsidRPr="00980D3E">
        <w:t xml:space="preserve">(Dxm) for PFS; 17.1 months (plitidepsin) and 20.7 months (Dxm) for TTF and </w:t>
      </w:r>
      <w:r w:rsidR="00AE1BE2" w:rsidRPr="00980D3E">
        <w:t>OS.</w:t>
      </w:r>
    </w:p>
    <w:p w:rsidR="002041B1" w:rsidRPr="00980D3E" w:rsidRDefault="00C47645" w:rsidP="00D443C2">
      <w:pPr>
        <w:pStyle w:val="TableFigureFooter"/>
      </w:pPr>
      <w:r w:rsidRPr="00980D3E">
        <w:rPr>
          <w:rFonts w:cs="Times New Roman"/>
          <w:sz w:val="20"/>
          <w:vertAlign w:val="superscript"/>
        </w:rPr>
        <w:t>b</w:t>
      </w:r>
      <w:r w:rsidRPr="00980D3E">
        <w:t xml:space="preserve"> </w:t>
      </w:r>
      <w:r w:rsidR="002041B1" w:rsidRPr="00980D3E">
        <w:t xml:space="preserve">Plitidepsin TTF and PFS extrapolated from 6 months. Dxm TTF and PFS extrapolated from 3.46 months. Plitidepsin OS extrapolated from 33.4 months. Dxm OS extrapolated from 36.3 months. ‘PF PLIT' cells O13 and Q13 where changed to zero. </w:t>
      </w:r>
    </w:p>
    <w:p w:rsidR="00424642" w:rsidRPr="00980D3E" w:rsidRDefault="002041B1" w:rsidP="00D443C2">
      <w:pPr>
        <w:pStyle w:val="TableFigureFooter"/>
      </w:pPr>
      <w:r w:rsidRPr="00980D3E">
        <w:rPr>
          <w:vertAlign w:val="superscript"/>
        </w:rPr>
        <w:t xml:space="preserve">c </w:t>
      </w:r>
      <w:r w:rsidR="00C47645" w:rsidRPr="00980D3E">
        <w:t>Re</w:t>
      </w:r>
      <w:r w:rsidR="00232049" w:rsidRPr="00980D3E">
        <w:t>calculated</w:t>
      </w:r>
      <w:r w:rsidR="00C47645" w:rsidRPr="00980D3E">
        <w:t xml:space="preserve"> during in the July 2019 commentary when the errors for entering AEs proportions were corrected. </w:t>
      </w:r>
      <w:bookmarkEnd w:id="52"/>
    </w:p>
    <w:p w:rsidR="009E38F2" w:rsidRPr="00980D3E" w:rsidRDefault="00DE7801" w:rsidP="00C47645">
      <w:pPr>
        <w:pStyle w:val="3-BodyText"/>
      </w:pPr>
      <w:r w:rsidRPr="00980D3E">
        <w:t>In July 2019, t</w:t>
      </w:r>
      <w:r w:rsidR="009E38F2" w:rsidRPr="00980D3E">
        <w:t xml:space="preserve">he PBAC considered that any future analysis should result in an ICER of less than $40,000 per QALY to account for the substantial toxicity and minor additional benefit of plitidepsin. The PBAC further considered that the benefit observed in the ADMYRE trial may be reduced due to the poorer prognosis and reduced tolerability of plitidepsin in the PBS population (paragraph 7.13, plitidepsin PSD, July 2019 PBAC meeting). The resubmission argued that the PBAC’s request for the ICER to be less than $40,000 per QALY was inconsistent with previous recommendations for RRMM. The resubmission highlighted that in the </w:t>
      </w:r>
      <w:r w:rsidR="006D221E" w:rsidRPr="00980D3E">
        <w:t>July 2017</w:t>
      </w:r>
      <w:r w:rsidR="009E38F2" w:rsidRPr="00980D3E">
        <w:t xml:space="preserve"> consideration of daratumumab, the PBAC recalled that it recommended Cd [carfilzomib + Dxm] </w:t>
      </w:r>
      <w:r w:rsidRPr="00980D3E">
        <w:t xml:space="preserve">in July 2017 </w:t>
      </w:r>
      <w:r w:rsidR="009E38F2" w:rsidRPr="00980D3E">
        <w:t xml:space="preserve">based on superior efficacy compared to Bd [bortezomib + Dxm] </w:t>
      </w:r>
      <w:r w:rsidRPr="00980D3E">
        <w:t>with an ICER</w:t>
      </w:r>
      <w:r w:rsidR="009E38F2" w:rsidRPr="00980D3E">
        <w:t xml:space="preserve"> in the range of $45,000 per QALY to $75,000 per QALY. The PBAC considered an ICER within this range would be appropriate for DBd [daratumumab + bortezomib + Dxm] (paragraph 6.53, daratumumab PSD, March 2019 PBAC meeting). </w:t>
      </w:r>
      <w:r w:rsidR="007826BB" w:rsidRPr="00980D3E">
        <w:t>The ESC noted that d</w:t>
      </w:r>
      <w:r w:rsidR="009E38F2" w:rsidRPr="00980D3E">
        <w:t>aratumumab and carfilzomib were considered as second-line treatments. Additionally, the resubmission highlighted that pomalidomide (November 2014 PBAC meeting), required price reductions to achieve an ICER of $45,000 to $75,000 per QALY for the same line of therapy as plitidepsin.</w:t>
      </w:r>
    </w:p>
    <w:p w:rsidR="00C47645" w:rsidRPr="00980D3E" w:rsidRDefault="00C47645" w:rsidP="00C47645">
      <w:pPr>
        <w:pStyle w:val="3-BodyText"/>
      </w:pPr>
      <w:r w:rsidRPr="00980D3E">
        <w:lastRenderedPageBreak/>
        <w:t>The ICER for</w:t>
      </w:r>
      <w:r w:rsidR="00DF2A80" w:rsidRPr="00980D3E">
        <w:t xml:space="preserve"> the</w:t>
      </w:r>
      <w:r w:rsidRPr="00980D3E">
        <w:t xml:space="preserve"> </w:t>
      </w:r>
      <w:r w:rsidR="007826BB" w:rsidRPr="00980D3E">
        <w:t xml:space="preserve">corrected </w:t>
      </w:r>
      <w:r w:rsidRPr="00980D3E">
        <w:t xml:space="preserve">base case </w:t>
      </w:r>
      <w:r w:rsidR="00DD1247" w:rsidRPr="00980D3E">
        <w:t xml:space="preserve">cost-utility </w:t>
      </w:r>
      <w:r w:rsidRPr="00980D3E">
        <w:t xml:space="preserve">analysis was </w:t>
      </w:r>
      <w:r w:rsidR="002041B1" w:rsidRPr="00980D3E">
        <w:t>$</w:t>
      </w:r>
      <w:r w:rsidR="001113B4">
        <w:t>45,000 – $75,000</w:t>
      </w:r>
      <w:r w:rsidR="007826BB" w:rsidRPr="00980D3E">
        <w:t xml:space="preserve"> per QALY</w:t>
      </w:r>
      <w:r w:rsidR="002041B1" w:rsidRPr="00980D3E">
        <w:t xml:space="preserve">. </w:t>
      </w:r>
      <w:r w:rsidRPr="00980D3E">
        <w:t xml:space="preserve">The </w:t>
      </w:r>
      <w:r w:rsidR="00884A2E" w:rsidRPr="00980D3E">
        <w:t>ESC</w:t>
      </w:r>
      <w:r w:rsidR="00AA3A79" w:rsidRPr="00980D3E">
        <w:t xml:space="preserve"> considered that the </w:t>
      </w:r>
      <w:r w:rsidRPr="00980D3E">
        <w:t xml:space="preserve">ICER </w:t>
      </w:r>
      <w:r w:rsidR="00500521" w:rsidRPr="00980D3E">
        <w:t>was</w:t>
      </w:r>
      <w:r w:rsidRPr="00980D3E">
        <w:t xml:space="preserve"> likely </w:t>
      </w:r>
      <w:r w:rsidR="006872C2" w:rsidRPr="00980D3E">
        <w:t>under</w:t>
      </w:r>
      <w:r w:rsidRPr="00980D3E">
        <w:t xml:space="preserve">estimated </w:t>
      </w:r>
      <w:r w:rsidR="00EE5E32" w:rsidRPr="00980D3E">
        <w:t>as</w:t>
      </w:r>
      <w:r w:rsidRPr="00980D3E">
        <w:t>:</w:t>
      </w:r>
    </w:p>
    <w:p w:rsidR="00C47645" w:rsidRPr="00980D3E" w:rsidRDefault="00C47645" w:rsidP="00B77C86">
      <w:pPr>
        <w:pStyle w:val="3-BodyText"/>
        <w:numPr>
          <w:ilvl w:val="0"/>
          <w:numId w:val="23"/>
        </w:numPr>
        <w:ind w:left="1077" w:hanging="357"/>
      </w:pPr>
      <w:r w:rsidRPr="00980D3E">
        <w:t>the post-progression treatment</w:t>
      </w:r>
      <w:r w:rsidR="00DD1247" w:rsidRPr="00980D3E">
        <w:t xml:space="preserve"> costs </w:t>
      </w:r>
      <w:r w:rsidRPr="00980D3E">
        <w:t xml:space="preserve">in the </w:t>
      </w:r>
      <w:r w:rsidR="00C50AE9" w:rsidRPr="00980D3E">
        <w:t>Dxm</w:t>
      </w:r>
      <w:r w:rsidRPr="00980D3E">
        <w:t xml:space="preserve"> arm were substantially higher than the plitidepsin arm (</w:t>
      </w:r>
      <w:r w:rsidR="00902658">
        <w:t xml:space="preserve">less than </w:t>
      </w:r>
      <w:r w:rsidRPr="00980D3E">
        <w:t>$</w:t>
      </w:r>
      <w:r w:rsidR="00902658">
        <w:t>10 million</w:t>
      </w:r>
      <w:r w:rsidR="00653F41">
        <w:t xml:space="preserve"> for</w:t>
      </w:r>
      <w:r w:rsidRPr="00980D3E">
        <w:t xml:space="preserve"> plitidepsin v</w:t>
      </w:r>
      <w:r w:rsidR="00D47120" w:rsidRPr="00980D3E">
        <w:t>ersus</w:t>
      </w:r>
      <w:r w:rsidRPr="00980D3E">
        <w:t xml:space="preserve"> </w:t>
      </w:r>
      <w:r w:rsidR="00902658">
        <w:t xml:space="preserve">less than </w:t>
      </w:r>
      <w:r w:rsidRPr="00980D3E">
        <w:t>$</w:t>
      </w:r>
      <w:r w:rsidR="00902658">
        <w:t>10 million</w:t>
      </w:r>
      <w:r w:rsidRPr="00980D3E">
        <w:t xml:space="preserve"> for </w:t>
      </w:r>
      <w:r w:rsidR="00C50AE9" w:rsidRPr="00980D3E">
        <w:t>Dxm</w:t>
      </w:r>
      <w:r w:rsidRPr="00980D3E">
        <w:t>, favour</w:t>
      </w:r>
      <w:r w:rsidR="007826BB" w:rsidRPr="00980D3E">
        <w:t>ing</w:t>
      </w:r>
      <w:r w:rsidRPr="00980D3E">
        <w:t xml:space="preserve"> plitidepsin)</w:t>
      </w:r>
      <w:r w:rsidR="00DD1247" w:rsidRPr="00980D3E">
        <w:t>. Additionally</w:t>
      </w:r>
      <w:r w:rsidR="00BF4534" w:rsidRPr="00980D3E">
        <w:t>,</w:t>
      </w:r>
      <w:r w:rsidR="00DD1247" w:rsidRPr="00980D3E">
        <w:t xml:space="preserve"> post-progression costs were applied to all patients</w:t>
      </w:r>
      <w:r w:rsidR="00BF4534" w:rsidRPr="00980D3E">
        <w:t xml:space="preserve"> exiting the </w:t>
      </w:r>
      <w:r w:rsidR="007826BB" w:rsidRPr="00980D3E">
        <w:t>p</w:t>
      </w:r>
      <w:r w:rsidR="00BF4534" w:rsidRPr="00980D3E">
        <w:t>re-progression on-treatment health state</w:t>
      </w:r>
      <w:r w:rsidR="00DD1247" w:rsidRPr="00980D3E">
        <w:t xml:space="preserve">, </w:t>
      </w:r>
      <w:r w:rsidR="00522E16" w:rsidRPr="00980D3E">
        <w:t xml:space="preserve">which was likely higher than the 43% of </w:t>
      </w:r>
      <w:r w:rsidR="009423C2" w:rsidRPr="00980D3E">
        <w:t>Australian fourth</w:t>
      </w:r>
      <w:r w:rsidR="00355B93" w:rsidRPr="00980D3E">
        <w:t>-</w:t>
      </w:r>
      <w:r w:rsidR="009423C2" w:rsidRPr="00980D3E">
        <w:t xml:space="preserve">line RRMM </w:t>
      </w:r>
      <w:r w:rsidR="00522E16" w:rsidRPr="00980D3E">
        <w:t>patients who</w:t>
      </w:r>
      <w:r w:rsidR="005714BF" w:rsidRPr="00980D3E">
        <w:t xml:space="preserve"> received</w:t>
      </w:r>
      <w:r w:rsidR="00522E16" w:rsidRPr="00980D3E">
        <w:t xml:space="preserve"> fifth</w:t>
      </w:r>
      <w:r w:rsidR="00355B93" w:rsidRPr="00980D3E">
        <w:t>-</w:t>
      </w:r>
      <w:r w:rsidR="00522E16" w:rsidRPr="00980D3E">
        <w:t>line therapy (Zhao 2019)</w:t>
      </w:r>
      <w:r w:rsidRPr="00980D3E">
        <w:t xml:space="preserve">; </w:t>
      </w:r>
    </w:p>
    <w:p w:rsidR="00C47645" w:rsidRPr="00980D3E" w:rsidRDefault="00C47645" w:rsidP="00B77C86">
      <w:pPr>
        <w:pStyle w:val="3-BodyText"/>
        <w:numPr>
          <w:ilvl w:val="0"/>
          <w:numId w:val="23"/>
        </w:numPr>
        <w:ind w:left="1077" w:hanging="357"/>
      </w:pPr>
      <w:r w:rsidRPr="00980D3E">
        <w:t>the PFS outcome used</w:t>
      </w:r>
      <w:r w:rsidR="00355B93" w:rsidRPr="00980D3E">
        <w:t xml:space="preserve">, </w:t>
      </w:r>
      <w:r w:rsidR="00916889" w:rsidRPr="00980D3E">
        <w:t xml:space="preserve">IRC </w:t>
      </w:r>
      <w:r w:rsidRPr="00980D3E">
        <w:t>assessed PFS with PD confirmation</w:t>
      </w:r>
      <w:r w:rsidR="00355B93" w:rsidRPr="00980D3E">
        <w:t>,</w:t>
      </w:r>
      <w:r w:rsidRPr="00980D3E">
        <w:t xml:space="preserve"> which </w:t>
      </w:r>
      <w:r w:rsidR="006B453A" w:rsidRPr="00980D3E">
        <w:t>was a preplanned sensitivity analysis</w:t>
      </w:r>
      <w:r w:rsidR="000D1269" w:rsidRPr="00980D3E">
        <w:t>, not the primary outcome of the trial,</w:t>
      </w:r>
      <w:r w:rsidR="006B453A" w:rsidRPr="00980D3E">
        <w:t xml:space="preserve"> and which </w:t>
      </w:r>
      <w:r w:rsidRPr="00980D3E">
        <w:t xml:space="preserve">estimated </w:t>
      </w:r>
      <w:r w:rsidR="00355B93" w:rsidRPr="00980D3E">
        <w:t xml:space="preserve">a </w:t>
      </w:r>
      <w:r w:rsidRPr="00980D3E">
        <w:t>substantially higher PFS for plitidepsin than the primary outcome of the ADMYRE trial</w:t>
      </w:r>
      <w:r w:rsidR="006B453A" w:rsidRPr="00980D3E">
        <w:t>,</w:t>
      </w:r>
      <w:r w:rsidRPr="00980D3E">
        <w:t xml:space="preserve"> </w:t>
      </w:r>
      <w:r w:rsidR="00916889" w:rsidRPr="00980D3E">
        <w:t xml:space="preserve">IRC </w:t>
      </w:r>
      <w:r w:rsidR="001F2C06" w:rsidRPr="00980D3E">
        <w:t>assessed</w:t>
      </w:r>
      <w:r w:rsidRPr="00980D3E">
        <w:t xml:space="preserve"> PFS without PD confirmation; and </w:t>
      </w:r>
    </w:p>
    <w:p w:rsidR="00C47645" w:rsidRPr="00980D3E" w:rsidRDefault="00BF4534" w:rsidP="00B77C86">
      <w:pPr>
        <w:pStyle w:val="3-BodyText"/>
        <w:numPr>
          <w:ilvl w:val="0"/>
          <w:numId w:val="23"/>
        </w:numPr>
        <w:ind w:left="1077" w:hanging="357"/>
      </w:pPr>
      <w:r w:rsidRPr="00980D3E">
        <w:t xml:space="preserve">the use of utilities from the carfilzomib </w:t>
      </w:r>
      <w:r w:rsidR="00355B93" w:rsidRPr="00980D3E">
        <w:t xml:space="preserve">July 2017 PSD </w:t>
      </w:r>
      <w:r w:rsidRPr="00980D3E">
        <w:t xml:space="preserve">was inappropriate as they </w:t>
      </w:r>
      <w:r w:rsidR="00355B93" w:rsidRPr="00980D3E">
        <w:t xml:space="preserve">represented </w:t>
      </w:r>
      <w:r w:rsidRPr="00980D3E">
        <w:t xml:space="preserve">an earlier line of treatment. The utilities recalculated in the July 2019 commentary would have been more appropriate. </w:t>
      </w:r>
    </w:p>
    <w:p w:rsidR="00C47645" w:rsidRPr="00980D3E" w:rsidRDefault="00C47645" w:rsidP="00C47645">
      <w:pPr>
        <w:pStyle w:val="3-BodyText"/>
      </w:pPr>
      <w:r w:rsidRPr="00980D3E">
        <w:t xml:space="preserve">The results of key sensitivity analyses are presented in </w:t>
      </w:r>
      <w:r w:rsidR="00C2673A" w:rsidRPr="00980D3E">
        <w:t>Table 20</w:t>
      </w:r>
      <w:r w:rsidRPr="00980D3E">
        <w:t>. The ICER was sensitive to the use of lower post-progression treatment costs</w:t>
      </w:r>
      <w:r w:rsidRPr="00980D3E">
        <w:rPr>
          <w:i/>
        </w:rPr>
        <w:t xml:space="preserve"> </w:t>
      </w:r>
      <w:r w:rsidRPr="00980D3E">
        <w:t xml:space="preserve">for the </w:t>
      </w:r>
      <w:r w:rsidR="00C50AE9" w:rsidRPr="00980D3E">
        <w:t>Dxm</w:t>
      </w:r>
      <w:r w:rsidRPr="00980D3E">
        <w:t xml:space="preserve"> arm and the use of the ITT OS analysis (not adjusted for treatment crossover). The ICER also increased modestly using the primary outcome of the ADMYRE trial (</w:t>
      </w:r>
      <w:r w:rsidR="00916889" w:rsidRPr="00980D3E">
        <w:t xml:space="preserve">IRC </w:t>
      </w:r>
      <w:r w:rsidRPr="00980D3E">
        <w:t xml:space="preserve">assessed PFS without PD confirmation) and the recalculated utility values from the July 2019 commentary. </w:t>
      </w:r>
    </w:p>
    <w:p w:rsidR="00C47645" w:rsidRPr="00980D3E" w:rsidRDefault="00C47645" w:rsidP="007715ED">
      <w:pPr>
        <w:pStyle w:val="TableHeading"/>
      </w:pPr>
      <w:bookmarkStart w:id="54" w:name="_Ref33525188"/>
      <w:r w:rsidRPr="00980D3E">
        <w:t xml:space="preserve">Table </w:t>
      </w:r>
      <w:r w:rsidR="00C2673A" w:rsidRPr="00980D3E">
        <w:t>20</w:t>
      </w:r>
      <w:bookmarkEnd w:id="54"/>
      <w:r w:rsidRPr="00980D3E">
        <w:t>: Results of sensitivity analysis</w:t>
      </w:r>
    </w:p>
    <w:tbl>
      <w:tblPr>
        <w:tblStyle w:val="TableGrid22"/>
        <w:tblW w:w="5000" w:type="pct"/>
        <w:tblInd w:w="0" w:type="dxa"/>
        <w:tblLook w:val="04A0" w:firstRow="1" w:lastRow="0" w:firstColumn="1" w:lastColumn="0" w:noHBand="0" w:noVBand="1"/>
        <w:tblCaption w:val="Table 20: Results of sensitivity analysis"/>
      </w:tblPr>
      <w:tblGrid>
        <w:gridCol w:w="3823"/>
        <w:gridCol w:w="1841"/>
        <w:gridCol w:w="1986"/>
        <w:gridCol w:w="1367"/>
      </w:tblGrid>
      <w:tr w:rsidR="00C47645" w:rsidRPr="00980D3E" w:rsidTr="007715ED">
        <w:trPr>
          <w:tblHeader/>
        </w:trPr>
        <w:tc>
          <w:tcPr>
            <w:tcW w:w="2120" w:type="pct"/>
          </w:tcPr>
          <w:p w:rsidR="00C47645" w:rsidRPr="00980D3E" w:rsidRDefault="00C47645" w:rsidP="001311B5">
            <w:pPr>
              <w:keepNext/>
              <w:tabs>
                <w:tab w:val="center" w:pos="1732"/>
              </w:tabs>
              <w:jc w:val="left"/>
              <w:rPr>
                <w:rFonts w:ascii="Arial Narrow" w:hAnsi="Arial Narrow" w:cs="Times New Roman"/>
                <w:sz w:val="20"/>
              </w:rPr>
            </w:pPr>
            <w:r w:rsidRPr="00980D3E">
              <w:rPr>
                <w:rFonts w:ascii="Arial Narrow" w:hAnsi="Arial Narrow" w:cs="Times New Roman"/>
                <w:b/>
                <w:sz w:val="20"/>
              </w:rPr>
              <w:t>Analyses</w:t>
            </w:r>
            <w:r w:rsidR="00A76397" w:rsidRPr="00980D3E">
              <w:rPr>
                <w:rFonts w:ascii="Arial Narrow" w:hAnsi="Arial Narrow" w:cs="Times New Roman"/>
                <w:b/>
                <w:sz w:val="20"/>
              </w:rPr>
              <w:tab/>
            </w:r>
          </w:p>
        </w:tc>
        <w:tc>
          <w:tcPr>
            <w:tcW w:w="1021" w:type="pct"/>
          </w:tcPr>
          <w:p w:rsidR="00C47645" w:rsidRPr="00980D3E" w:rsidRDefault="00C47645" w:rsidP="001311B5">
            <w:pPr>
              <w:keepNext/>
              <w:jc w:val="center"/>
              <w:rPr>
                <w:rFonts w:ascii="Arial Narrow" w:hAnsi="Arial Narrow" w:cs="Times New Roman"/>
                <w:sz w:val="20"/>
              </w:rPr>
            </w:pPr>
            <w:r w:rsidRPr="00980D3E">
              <w:rPr>
                <w:rFonts w:ascii="Arial Narrow" w:hAnsi="Arial Narrow" w:cs="Times New Roman"/>
                <w:b/>
                <w:sz w:val="20"/>
              </w:rPr>
              <w:t>Incremental cost</w:t>
            </w:r>
          </w:p>
        </w:tc>
        <w:tc>
          <w:tcPr>
            <w:tcW w:w="1101" w:type="pct"/>
          </w:tcPr>
          <w:p w:rsidR="00C47645" w:rsidRPr="00980D3E" w:rsidRDefault="00C47645" w:rsidP="001311B5">
            <w:pPr>
              <w:keepNext/>
              <w:jc w:val="center"/>
              <w:rPr>
                <w:rFonts w:ascii="Arial Narrow" w:hAnsi="Arial Narrow" w:cs="Times New Roman"/>
                <w:sz w:val="20"/>
              </w:rPr>
            </w:pPr>
            <w:r w:rsidRPr="00980D3E">
              <w:rPr>
                <w:rFonts w:ascii="Arial Narrow" w:hAnsi="Arial Narrow" w:cs="Times New Roman"/>
                <w:b/>
                <w:sz w:val="20"/>
              </w:rPr>
              <w:t>Incremental QALY</w:t>
            </w:r>
          </w:p>
        </w:tc>
        <w:tc>
          <w:tcPr>
            <w:tcW w:w="758" w:type="pct"/>
          </w:tcPr>
          <w:p w:rsidR="00C47645" w:rsidRPr="00980D3E" w:rsidRDefault="00C47645" w:rsidP="001311B5">
            <w:pPr>
              <w:keepNext/>
              <w:jc w:val="center"/>
              <w:rPr>
                <w:rFonts w:ascii="Arial Narrow" w:hAnsi="Arial Narrow" w:cs="Times New Roman"/>
                <w:sz w:val="20"/>
              </w:rPr>
            </w:pPr>
            <w:r w:rsidRPr="00980D3E">
              <w:rPr>
                <w:rFonts w:ascii="Arial Narrow" w:hAnsi="Arial Narrow" w:cs="Times New Roman"/>
                <w:b/>
                <w:sz w:val="20"/>
              </w:rPr>
              <w:t>ICER</w:t>
            </w:r>
          </w:p>
        </w:tc>
      </w:tr>
      <w:tr w:rsidR="00C47645" w:rsidRPr="00980D3E" w:rsidTr="007715ED">
        <w:tc>
          <w:tcPr>
            <w:tcW w:w="2120" w:type="pct"/>
          </w:tcPr>
          <w:p w:rsidR="00C47645" w:rsidRPr="00980D3E" w:rsidRDefault="00C47645" w:rsidP="001311B5">
            <w:pPr>
              <w:keepNext/>
              <w:jc w:val="left"/>
              <w:rPr>
                <w:rFonts w:ascii="Arial Narrow" w:hAnsi="Arial Narrow" w:cs="Times New Roman"/>
                <w:sz w:val="20"/>
              </w:rPr>
            </w:pPr>
            <w:r w:rsidRPr="00980D3E">
              <w:rPr>
                <w:rFonts w:ascii="Arial Narrow" w:hAnsi="Arial Narrow" w:cs="Times New Roman"/>
                <w:b/>
                <w:sz w:val="20"/>
              </w:rPr>
              <w:t>Modelled Base case</w:t>
            </w:r>
          </w:p>
        </w:tc>
        <w:tc>
          <w:tcPr>
            <w:tcW w:w="1021" w:type="pct"/>
          </w:tcPr>
          <w:p w:rsidR="00C47645" w:rsidRPr="00980D3E" w:rsidRDefault="00C47645" w:rsidP="001311B5">
            <w:pPr>
              <w:keepNext/>
              <w:jc w:val="center"/>
              <w:rPr>
                <w:rFonts w:ascii="Arial Narrow" w:hAnsi="Arial Narrow" w:cs="Times New Roman"/>
                <w:sz w:val="20"/>
              </w:rPr>
            </w:pPr>
            <w:r w:rsidRPr="00980D3E">
              <w:rPr>
                <w:rFonts w:ascii="Arial Narrow" w:hAnsi="Arial Narrow" w:cs="Times New Roman"/>
                <w:b/>
                <w:sz w:val="20"/>
              </w:rPr>
              <w:t>$</w:t>
            </w:r>
            <w:r w:rsidR="00F11546">
              <w:rPr>
                <w:rFonts w:ascii="Arial Narrow" w:hAnsi="Arial Narrow" w:cs="Times New Roman"/>
                <w:b/>
                <w:noProof/>
                <w:color w:val="000000"/>
                <w:sz w:val="20"/>
                <w:highlight w:val="black"/>
              </w:rPr>
              <w:t>'''''''''''''''</w:t>
            </w:r>
          </w:p>
        </w:tc>
        <w:tc>
          <w:tcPr>
            <w:tcW w:w="1101" w:type="pct"/>
          </w:tcPr>
          <w:p w:rsidR="00C47645" w:rsidRPr="00980D3E" w:rsidRDefault="00C47645" w:rsidP="001311B5">
            <w:pPr>
              <w:keepNext/>
              <w:jc w:val="center"/>
              <w:rPr>
                <w:rFonts w:ascii="Arial Narrow" w:hAnsi="Arial Narrow" w:cs="Times New Roman"/>
                <w:sz w:val="20"/>
              </w:rPr>
            </w:pPr>
            <w:r w:rsidRPr="00980D3E">
              <w:rPr>
                <w:rFonts w:ascii="Arial Narrow" w:hAnsi="Arial Narrow" w:cs="Times New Roman"/>
                <w:b/>
                <w:sz w:val="20"/>
              </w:rPr>
              <w:t>0.341</w:t>
            </w:r>
          </w:p>
        </w:tc>
        <w:tc>
          <w:tcPr>
            <w:tcW w:w="758" w:type="pct"/>
          </w:tcPr>
          <w:p w:rsidR="00C47645" w:rsidRPr="00980D3E" w:rsidRDefault="00C47645" w:rsidP="001311B5">
            <w:pPr>
              <w:keepNext/>
              <w:jc w:val="center"/>
              <w:rPr>
                <w:rFonts w:ascii="Arial Narrow" w:hAnsi="Arial Narrow" w:cs="Times New Roman"/>
                <w:sz w:val="20"/>
              </w:rPr>
            </w:pPr>
            <w:r w:rsidRPr="00980D3E">
              <w:rPr>
                <w:rFonts w:ascii="Arial Narrow" w:hAnsi="Arial Narrow" w:cs="Times New Roman"/>
                <w:b/>
                <w:sz w:val="20"/>
              </w:rPr>
              <w:t>$</w:t>
            </w:r>
            <w:r w:rsidR="00F11546">
              <w:rPr>
                <w:rFonts w:ascii="Arial Narrow" w:hAnsi="Arial Narrow" w:cs="Times New Roman"/>
                <w:b/>
                <w:noProof/>
                <w:color w:val="000000"/>
                <w:sz w:val="20"/>
                <w:highlight w:val="black"/>
              </w:rPr>
              <w:t>'''''''''''''</w:t>
            </w:r>
          </w:p>
        </w:tc>
      </w:tr>
      <w:tr w:rsidR="002041B1" w:rsidRPr="00980D3E" w:rsidTr="007715ED">
        <w:tc>
          <w:tcPr>
            <w:tcW w:w="2120" w:type="pct"/>
          </w:tcPr>
          <w:p w:rsidR="002041B1" w:rsidRPr="00980D3E" w:rsidRDefault="002041B1" w:rsidP="001311B5">
            <w:pPr>
              <w:keepNext/>
              <w:jc w:val="left"/>
              <w:rPr>
                <w:rFonts w:ascii="Arial Narrow" w:hAnsi="Arial Narrow" w:cs="Times New Roman"/>
                <w:b/>
                <w:sz w:val="20"/>
              </w:rPr>
            </w:pPr>
            <w:r w:rsidRPr="00980D3E">
              <w:rPr>
                <w:rFonts w:ascii="Arial Narrow" w:hAnsi="Arial Narrow" w:cs="Times New Roman"/>
                <w:b/>
                <w:sz w:val="20"/>
              </w:rPr>
              <w:t>Modelled Base case (corrected)</w:t>
            </w:r>
          </w:p>
        </w:tc>
        <w:tc>
          <w:tcPr>
            <w:tcW w:w="1021" w:type="pct"/>
          </w:tcPr>
          <w:p w:rsidR="002041B1" w:rsidRPr="00980D3E" w:rsidRDefault="00285567" w:rsidP="001311B5">
            <w:pPr>
              <w:keepNext/>
              <w:jc w:val="center"/>
              <w:rPr>
                <w:rFonts w:ascii="Arial Narrow" w:hAnsi="Arial Narrow" w:cs="Times New Roman"/>
                <w:b/>
                <w:sz w:val="20"/>
              </w:rPr>
            </w:pPr>
            <w:r w:rsidRPr="00980D3E">
              <w:rPr>
                <w:rFonts w:ascii="Arial Narrow" w:hAnsi="Arial Narrow" w:cs="Times New Roman"/>
                <w:b/>
                <w:sz w:val="20"/>
              </w:rPr>
              <w:t>$</w:t>
            </w:r>
            <w:r w:rsidR="00F11546">
              <w:rPr>
                <w:rFonts w:ascii="Arial Narrow" w:hAnsi="Arial Narrow" w:cs="Times New Roman"/>
                <w:b/>
                <w:noProof/>
                <w:color w:val="000000"/>
                <w:sz w:val="20"/>
                <w:highlight w:val="black"/>
              </w:rPr>
              <w:t>'''''''''''''</w:t>
            </w:r>
          </w:p>
        </w:tc>
        <w:tc>
          <w:tcPr>
            <w:tcW w:w="1101" w:type="pct"/>
          </w:tcPr>
          <w:p w:rsidR="002041B1" w:rsidRPr="00980D3E" w:rsidRDefault="00285567" w:rsidP="001311B5">
            <w:pPr>
              <w:keepNext/>
              <w:jc w:val="center"/>
              <w:rPr>
                <w:rFonts w:ascii="Arial Narrow" w:hAnsi="Arial Narrow" w:cs="Times New Roman"/>
                <w:b/>
                <w:sz w:val="20"/>
              </w:rPr>
            </w:pPr>
            <w:r w:rsidRPr="00980D3E">
              <w:rPr>
                <w:rFonts w:ascii="Arial Narrow" w:hAnsi="Arial Narrow" w:cs="Times New Roman"/>
                <w:b/>
                <w:sz w:val="20"/>
              </w:rPr>
              <w:t>0.356</w:t>
            </w:r>
          </w:p>
        </w:tc>
        <w:tc>
          <w:tcPr>
            <w:tcW w:w="758" w:type="pct"/>
          </w:tcPr>
          <w:p w:rsidR="002041B1" w:rsidRPr="00980D3E" w:rsidRDefault="00285567" w:rsidP="001311B5">
            <w:pPr>
              <w:keepNext/>
              <w:jc w:val="center"/>
              <w:rPr>
                <w:rFonts w:ascii="Arial Narrow" w:hAnsi="Arial Narrow" w:cs="Times New Roman"/>
                <w:b/>
                <w:sz w:val="20"/>
              </w:rPr>
            </w:pPr>
            <w:r w:rsidRPr="00980D3E">
              <w:rPr>
                <w:rFonts w:ascii="Arial Narrow" w:hAnsi="Arial Narrow" w:cs="Times New Roman"/>
                <w:b/>
                <w:sz w:val="20"/>
              </w:rPr>
              <w:t>$</w:t>
            </w:r>
            <w:r w:rsidR="00F11546">
              <w:rPr>
                <w:rFonts w:ascii="Arial Narrow" w:hAnsi="Arial Narrow" w:cs="Times New Roman"/>
                <w:b/>
                <w:noProof/>
                <w:color w:val="000000"/>
                <w:sz w:val="20"/>
                <w:highlight w:val="black"/>
              </w:rPr>
              <w:t>''''''''''''''</w:t>
            </w:r>
          </w:p>
        </w:tc>
      </w:tr>
      <w:tr w:rsidR="00285567" w:rsidRPr="00980D3E" w:rsidTr="007715ED">
        <w:tc>
          <w:tcPr>
            <w:tcW w:w="5000" w:type="pct"/>
            <w:gridSpan w:val="4"/>
            <w:vAlign w:val="center"/>
          </w:tcPr>
          <w:p w:rsidR="00285567" w:rsidRPr="00980D3E" w:rsidRDefault="00285567" w:rsidP="001311B5">
            <w:pPr>
              <w:keepNext/>
              <w:jc w:val="left"/>
              <w:rPr>
                <w:rFonts w:ascii="Arial Narrow" w:hAnsi="Arial Narrow" w:cs="Times New Roman"/>
                <w:b/>
                <w:sz w:val="20"/>
              </w:rPr>
            </w:pPr>
            <w:r w:rsidRPr="00980D3E">
              <w:rPr>
                <w:rFonts w:ascii="Arial Narrow" w:hAnsi="Arial Narrow" w:cs="Times New Roman"/>
                <w:b/>
                <w:sz w:val="20"/>
              </w:rPr>
              <w:t xml:space="preserve">Sensitivity analyses (using corrected base case) </w:t>
            </w:r>
          </w:p>
        </w:tc>
      </w:tr>
      <w:tr w:rsidR="00C47645" w:rsidRPr="00980D3E" w:rsidTr="007715ED">
        <w:tc>
          <w:tcPr>
            <w:tcW w:w="2120" w:type="pct"/>
          </w:tcPr>
          <w:p w:rsidR="00C47645" w:rsidRPr="00980D3E" w:rsidRDefault="00C47645" w:rsidP="001311B5">
            <w:pPr>
              <w:keepNext/>
              <w:jc w:val="left"/>
              <w:rPr>
                <w:rFonts w:ascii="Arial Narrow" w:hAnsi="Arial Narrow" w:cs="Times New Roman"/>
                <w:sz w:val="20"/>
              </w:rPr>
            </w:pPr>
            <w:r w:rsidRPr="00980D3E">
              <w:rPr>
                <w:rFonts w:ascii="Arial Narrow" w:hAnsi="Arial Narrow" w:cs="Times New Roman"/>
                <w:sz w:val="20"/>
              </w:rPr>
              <w:t>IRC PFS without disease confirmation</w:t>
            </w:r>
          </w:p>
          <w:p w:rsidR="00C47645" w:rsidRPr="00980D3E" w:rsidRDefault="00C47645" w:rsidP="001311B5">
            <w:pPr>
              <w:keepNext/>
              <w:jc w:val="left"/>
              <w:rPr>
                <w:rFonts w:ascii="Arial Narrow" w:hAnsi="Arial Narrow" w:cs="Times New Roman"/>
                <w:sz w:val="20"/>
              </w:rPr>
            </w:pPr>
            <w:r w:rsidRPr="00980D3E">
              <w:rPr>
                <w:rFonts w:ascii="Arial Narrow" w:hAnsi="Arial Narrow" w:cs="Times New Roman"/>
                <w:sz w:val="20"/>
              </w:rPr>
              <w:t>(base case</w:t>
            </w:r>
            <w:r w:rsidR="003F6FCD" w:rsidRPr="00980D3E">
              <w:rPr>
                <w:rFonts w:ascii="Arial Narrow" w:hAnsi="Arial Narrow" w:cs="Times New Roman"/>
                <w:sz w:val="20"/>
              </w:rPr>
              <w:t>:</w:t>
            </w:r>
            <w:r w:rsidRPr="00980D3E">
              <w:rPr>
                <w:rFonts w:ascii="Arial Narrow" w:hAnsi="Arial Narrow" w:cs="Times New Roman"/>
                <w:sz w:val="20"/>
              </w:rPr>
              <w:t xml:space="preserve"> IRC PFS with PD confirmation)</w:t>
            </w:r>
          </w:p>
        </w:tc>
        <w:tc>
          <w:tcPr>
            <w:tcW w:w="1021" w:type="pct"/>
          </w:tcPr>
          <w:p w:rsidR="00C47645" w:rsidRPr="00980D3E" w:rsidRDefault="00634CCE" w:rsidP="001311B5">
            <w:pPr>
              <w:keepNext/>
              <w:jc w:val="center"/>
              <w:rPr>
                <w:rFonts w:ascii="Arial Narrow" w:hAnsi="Arial Narrow" w:cs="Times New Roman"/>
                <w:sz w:val="20"/>
              </w:rPr>
            </w:pPr>
            <w:r w:rsidRPr="00980D3E">
              <w:rPr>
                <w:rFonts w:ascii="Arial Narrow" w:hAnsi="Arial Narrow" w:cs="Times New Roman"/>
                <w:sz w:val="20"/>
              </w:rPr>
              <w:t>$</w:t>
            </w:r>
            <w:r w:rsidR="00F11546">
              <w:rPr>
                <w:rFonts w:ascii="Arial Narrow" w:hAnsi="Arial Narrow" w:cs="Times New Roman"/>
                <w:noProof/>
                <w:color w:val="000000"/>
                <w:sz w:val="20"/>
                <w:highlight w:val="black"/>
              </w:rPr>
              <w:t>'''''''''''''''''</w:t>
            </w:r>
          </w:p>
        </w:tc>
        <w:tc>
          <w:tcPr>
            <w:tcW w:w="1101" w:type="pct"/>
          </w:tcPr>
          <w:p w:rsidR="00C47645" w:rsidRPr="00980D3E" w:rsidRDefault="00634CCE" w:rsidP="001311B5">
            <w:pPr>
              <w:keepNext/>
              <w:jc w:val="center"/>
              <w:rPr>
                <w:rFonts w:ascii="Arial Narrow" w:hAnsi="Arial Narrow" w:cs="Times New Roman"/>
                <w:sz w:val="20"/>
              </w:rPr>
            </w:pPr>
            <w:r w:rsidRPr="00980D3E">
              <w:rPr>
                <w:rFonts w:ascii="Arial Narrow" w:hAnsi="Arial Narrow" w:cs="Times New Roman"/>
                <w:sz w:val="20"/>
              </w:rPr>
              <w:t>0.339</w:t>
            </w:r>
          </w:p>
        </w:tc>
        <w:tc>
          <w:tcPr>
            <w:tcW w:w="758" w:type="pct"/>
          </w:tcPr>
          <w:p w:rsidR="00C47645" w:rsidRPr="00980D3E" w:rsidRDefault="00B21C40" w:rsidP="001311B5">
            <w:pPr>
              <w:keepNext/>
              <w:jc w:val="center"/>
              <w:rPr>
                <w:rFonts w:ascii="Arial Narrow" w:hAnsi="Arial Narrow" w:cs="Times New Roman"/>
                <w:sz w:val="20"/>
              </w:rPr>
            </w:pPr>
            <w:r w:rsidRPr="00980D3E">
              <w:rPr>
                <w:rFonts w:ascii="Arial Narrow" w:hAnsi="Arial Narrow" w:cs="Times New Roman"/>
                <w:sz w:val="20"/>
              </w:rPr>
              <w:t>$</w:t>
            </w:r>
            <w:r w:rsidR="00F11546">
              <w:rPr>
                <w:rFonts w:ascii="Arial Narrow" w:hAnsi="Arial Narrow" w:cs="Times New Roman"/>
                <w:noProof/>
                <w:color w:val="000000"/>
                <w:sz w:val="20"/>
                <w:highlight w:val="black"/>
              </w:rPr>
              <w:t>''''''''''''''''</w:t>
            </w:r>
          </w:p>
        </w:tc>
      </w:tr>
      <w:tr w:rsidR="00C47645" w:rsidRPr="00980D3E" w:rsidTr="007715ED">
        <w:tc>
          <w:tcPr>
            <w:tcW w:w="2120" w:type="pct"/>
          </w:tcPr>
          <w:p w:rsidR="00C47645" w:rsidRPr="00980D3E" w:rsidRDefault="00C47645" w:rsidP="001311B5">
            <w:pPr>
              <w:keepNext/>
              <w:jc w:val="left"/>
              <w:rPr>
                <w:rFonts w:ascii="Arial Narrow" w:hAnsi="Arial Narrow" w:cs="Times New Roman"/>
                <w:sz w:val="20"/>
              </w:rPr>
            </w:pPr>
            <w:r w:rsidRPr="00980D3E">
              <w:rPr>
                <w:rFonts w:ascii="Arial Narrow" w:hAnsi="Arial Narrow" w:cs="Times New Roman"/>
                <w:sz w:val="20"/>
              </w:rPr>
              <w:t xml:space="preserve">July 2019 </w:t>
            </w:r>
            <w:r w:rsidR="0041685F" w:rsidRPr="00980D3E">
              <w:rPr>
                <w:rFonts w:ascii="Arial Narrow" w:hAnsi="Arial Narrow" w:cs="Times New Roman"/>
                <w:sz w:val="20"/>
              </w:rPr>
              <w:t>C</w:t>
            </w:r>
            <w:r w:rsidRPr="00980D3E">
              <w:rPr>
                <w:rFonts w:ascii="Arial Narrow" w:hAnsi="Arial Narrow" w:cs="Times New Roman"/>
                <w:sz w:val="20"/>
              </w:rPr>
              <w:t xml:space="preserve">ommentary utilities: </w:t>
            </w:r>
          </w:p>
          <w:p w:rsidR="00C47645" w:rsidRPr="00980D3E" w:rsidRDefault="00C47645" w:rsidP="001311B5">
            <w:pPr>
              <w:keepNext/>
              <w:jc w:val="left"/>
              <w:rPr>
                <w:rFonts w:ascii="Arial Narrow" w:hAnsi="Arial Narrow" w:cs="Times New Roman"/>
                <w:sz w:val="20"/>
              </w:rPr>
            </w:pPr>
            <w:r w:rsidRPr="00980D3E">
              <w:rPr>
                <w:rFonts w:ascii="Arial Narrow" w:hAnsi="Arial Narrow" w:cs="Times New Roman"/>
                <w:sz w:val="20"/>
              </w:rPr>
              <w:t>0.705 pre</w:t>
            </w:r>
            <w:r w:rsidRPr="00980D3E">
              <w:rPr>
                <w:rFonts w:ascii="Arial Narrow" w:hAnsi="Arial Narrow" w:cs="Times New Roman"/>
                <w:sz w:val="20"/>
              </w:rPr>
              <w:noBreakHyphen/>
              <w:t>progression, 0.624 post</w:t>
            </w:r>
            <w:r w:rsidRPr="00980D3E">
              <w:rPr>
                <w:rFonts w:ascii="Arial Narrow" w:hAnsi="Arial Narrow" w:cs="Times New Roman"/>
                <w:sz w:val="20"/>
              </w:rPr>
              <w:noBreakHyphen/>
              <w:t>progression</w:t>
            </w:r>
          </w:p>
          <w:p w:rsidR="00C47645" w:rsidRPr="00980D3E" w:rsidRDefault="00C47645" w:rsidP="001311B5">
            <w:pPr>
              <w:keepNext/>
              <w:jc w:val="left"/>
              <w:rPr>
                <w:rFonts w:ascii="Arial Narrow" w:hAnsi="Arial Narrow" w:cs="Times New Roman"/>
                <w:sz w:val="20"/>
              </w:rPr>
            </w:pPr>
            <w:r w:rsidRPr="00980D3E">
              <w:rPr>
                <w:rFonts w:ascii="Arial Narrow" w:hAnsi="Arial Narrow" w:cs="Times New Roman"/>
                <w:sz w:val="20"/>
              </w:rPr>
              <w:t>(base case: 0.75</w:t>
            </w:r>
            <w:r w:rsidR="0041685F" w:rsidRPr="00980D3E">
              <w:rPr>
                <w:rFonts w:ascii="Arial Narrow" w:hAnsi="Arial Narrow" w:cs="Times New Roman"/>
                <w:sz w:val="20"/>
              </w:rPr>
              <w:t>0</w:t>
            </w:r>
            <w:r w:rsidRPr="00980D3E">
              <w:rPr>
                <w:rFonts w:ascii="Arial Narrow" w:hAnsi="Arial Narrow" w:cs="Times New Roman"/>
                <w:sz w:val="20"/>
              </w:rPr>
              <w:t>, 0.645)</w:t>
            </w:r>
          </w:p>
        </w:tc>
        <w:tc>
          <w:tcPr>
            <w:tcW w:w="1021" w:type="pct"/>
          </w:tcPr>
          <w:p w:rsidR="00C47645" w:rsidRPr="00980D3E" w:rsidRDefault="00B21C40" w:rsidP="001311B5">
            <w:pPr>
              <w:keepNext/>
              <w:jc w:val="center"/>
              <w:rPr>
                <w:rFonts w:ascii="Arial Narrow" w:hAnsi="Arial Narrow" w:cs="Times New Roman"/>
                <w:sz w:val="20"/>
              </w:rPr>
            </w:pPr>
            <w:r w:rsidRPr="00980D3E">
              <w:rPr>
                <w:rFonts w:ascii="Arial Narrow" w:hAnsi="Arial Narrow" w:cs="Times New Roman"/>
                <w:sz w:val="20"/>
              </w:rPr>
              <w:t>$</w:t>
            </w:r>
            <w:r w:rsidR="00F11546">
              <w:rPr>
                <w:rFonts w:ascii="Arial Narrow" w:hAnsi="Arial Narrow" w:cs="Times New Roman"/>
                <w:noProof/>
                <w:color w:val="000000"/>
                <w:sz w:val="20"/>
                <w:highlight w:val="black"/>
              </w:rPr>
              <w:t>''''''''''''''''</w:t>
            </w:r>
          </w:p>
        </w:tc>
        <w:tc>
          <w:tcPr>
            <w:tcW w:w="1101" w:type="pct"/>
          </w:tcPr>
          <w:p w:rsidR="00C47645" w:rsidRPr="00980D3E" w:rsidRDefault="00B21C40" w:rsidP="001311B5">
            <w:pPr>
              <w:keepNext/>
              <w:jc w:val="center"/>
              <w:rPr>
                <w:rFonts w:ascii="Arial Narrow" w:hAnsi="Arial Narrow" w:cs="Times New Roman"/>
                <w:sz w:val="20"/>
              </w:rPr>
            </w:pPr>
            <w:r w:rsidRPr="00980D3E">
              <w:rPr>
                <w:rFonts w:ascii="Arial Narrow" w:hAnsi="Arial Narrow" w:cs="Times New Roman"/>
                <w:sz w:val="20"/>
              </w:rPr>
              <w:t>0.338</w:t>
            </w:r>
          </w:p>
        </w:tc>
        <w:tc>
          <w:tcPr>
            <w:tcW w:w="758" w:type="pct"/>
          </w:tcPr>
          <w:p w:rsidR="00C47645" w:rsidRPr="00980D3E" w:rsidRDefault="00B21C40" w:rsidP="001311B5">
            <w:pPr>
              <w:keepNext/>
              <w:jc w:val="center"/>
              <w:rPr>
                <w:rFonts w:ascii="Arial Narrow" w:hAnsi="Arial Narrow" w:cs="Times New Roman"/>
                <w:sz w:val="20"/>
              </w:rPr>
            </w:pPr>
            <w:r w:rsidRPr="00980D3E">
              <w:rPr>
                <w:rFonts w:ascii="Arial Narrow" w:hAnsi="Arial Narrow" w:cs="Times New Roman"/>
                <w:sz w:val="20"/>
              </w:rPr>
              <w:t>$</w:t>
            </w:r>
            <w:r w:rsidR="00F11546">
              <w:rPr>
                <w:rFonts w:ascii="Arial Narrow" w:hAnsi="Arial Narrow" w:cs="Times New Roman"/>
                <w:noProof/>
                <w:color w:val="000000"/>
                <w:sz w:val="20"/>
                <w:highlight w:val="black"/>
              </w:rPr>
              <w:t>'''''''''''''''''</w:t>
            </w:r>
          </w:p>
        </w:tc>
      </w:tr>
      <w:tr w:rsidR="00C47645" w:rsidRPr="00980D3E" w:rsidTr="007715ED">
        <w:tc>
          <w:tcPr>
            <w:tcW w:w="2120" w:type="pct"/>
          </w:tcPr>
          <w:p w:rsidR="00C47645" w:rsidRPr="00980D3E" w:rsidRDefault="00C47645" w:rsidP="001311B5">
            <w:pPr>
              <w:keepNext/>
              <w:jc w:val="left"/>
              <w:rPr>
                <w:rFonts w:ascii="Arial Narrow" w:hAnsi="Arial Narrow" w:cs="Times New Roman"/>
                <w:sz w:val="20"/>
              </w:rPr>
            </w:pPr>
            <w:r w:rsidRPr="00980D3E">
              <w:rPr>
                <w:rFonts w:ascii="Arial Narrow" w:hAnsi="Arial Narrow" w:cs="Times New Roman"/>
                <w:sz w:val="20"/>
              </w:rPr>
              <w:t>Lower post-progression treatment costs</w:t>
            </w:r>
            <w:r w:rsidR="003F6FCD" w:rsidRPr="00980D3E">
              <w:rPr>
                <w:rFonts w:ascii="Arial Narrow" w:hAnsi="Arial Narrow" w:cs="Times New Roman"/>
                <w:sz w:val="20"/>
              </w:rPr>
              <w:t xml:space="preserve"> for Dxm arm</w:t>
            </w:r>
            <w:r w:rsidRPr="00980D3E">
              <w:rPr>
                <w:rFonts w:ascii="Arial Narrow" w:hAnsi="Arial Narrow" w:cs="Times New Roman"/>
                <w:sz w:val="20"/>
              </w:rPr>
              <w:t xml:space="preserve">: </w:t>
            </w:r>
            <w:r w:rsidR="00B21C40" w:rsidRPr="00980D3E">
              <w:rPr>
                <w:rFonts w:ascii="Arial Narrow" w:hAnsi="Arial Narrow" w:cs="Times New Roman"/>
                <w:sz w:val="20"/>
              </w:rPr>
              <w:t>$</w:t>
            </w:r>
            <w:r w:rsidR="00F11546">
              <w:rPr>
                <w:rFonts w:ascii="Arial Narrow" w:hAnsi="Arial Narrow" w:cs="Times New Roman"/>
                <w:noProof/>
                <w:color w:val="000000"/>
                <w:sz w:val="20"/>
                <w:highlight w:val="black"/>
              </w:rPr>
              <w:t>''''''''''''</w:t>
            </w:r>
            <w:r w:rsidR="00B21C40" w:rsidRPr="00980D3E">
              <w:rPr>
                <w:rFonts w:ascii="Arial Narrow" w:hAnsi="Arial Narrow" w:cs="Times New Roman"/>
                <w:sz w:val="20"/>
              </w:rPr>
              <w:t xml:space="preserve"> </w:t>
            </w:r>
            <w:r w:rsidRPr="00980D3E">
              <w:rPr>
                <w:rFonts w:ascii="Arial Narrow" w:hAnsi="Arial Narrow" w:cs="Times New Roman"/>
                <w:sz w:val="20"/>
              </w:rPr>
              <w:t>(</w:t>
            </w:r>
            <w:r w:rsidR="003F6FCD" w:rsidRPr="00980D3E">
              <w:rPr>
                <w:rFonts w:ascii="Arial Narrow" w:hAnsi="Arial Narrow" w:cs="Times New Roman"/>
                <w:sz w:val="20"/>
              </w:rPr>
              <w:t>b</w:t>
            </w:r>
            <w:r w:rsidRPr="00980D3E">
              <w:rPr>
                <w:rFonts w:ascii="Arial Narrow" w:hAnsi="Arial Narrow" w:cs="Times New Roman"/>
                <w:sz w:val="20"/>
              </w:rPr>
              <w:t xml:space="preserve">ase case: </w:t>
            </w:r>
            <w:r w:rsidR="003F6FCD" w:rsidRPr="00980D3E">
              <w:rPr>
                <w:rFonts w:ascii="Arial Narrow" w:hAnsi="Arial Narrow" w:cs="Times New Roman"/>
                <w:sz w:val="20"/>
              </w:rPr>
              <w:t>$</w:t>
            </w:r>
            <w:r w:rsidR="00F11546">
              <w:rPr>
                <w:rFonts w:ascii="Arial Narrow" w:hAnsi="Arial Narrow" w:cs="Times New Roman"/>
                <w:noProof/>
                <w:color w:val="000000"/>
                <w:sz w:val="20"/>
                <w:highlight w:val="black"/>
              </w:rPr>
              <w:t>'''''''''''''''''</w:t>
            </w:r>
            <w:r w:rsidRPr="00980D3E">
              <w:rPr>
                <w:rFonts w:ascii="Arial Narrow" w:hAnsi="Arial Narrow" w:cs="Times New Roman"/>
                <w:sz w:val="20"/>
              </w:rPr>
              <w:t xml:space="preserve"> </w:t>
            </w:r>
            <w:r w:rsidR="00C50AE9" w:rsidRPr="00980D3E">
              <w:rPr>
                <w:rFonts w:ascii="Arial Narrow" w:hAnsi="Arial Narrow" w:cs="Times New Roman"/>
                <w:sz w:val="20"/>
              </w:rPr>
              <w:t>Dxm</w:t>
            </w:r>
            <w:r w:rsidRPr="00980D3E">
              <w:rPr>
                <w:rFonts w:ascii="Arial Narrow" w:hAnsi="Arial Narrow" w:cs="Times New Roman"/>
                <w:sz w:val="20"/>
              </w:rPr>
              <w:t>)</w:t>
            </w:r>
          </w:p>
        </w:tc>
        <w:tc>
          <w:tcPr>
            <w:tcW w:w="1021" w:type="pct"/>
          </w:tcPr>
          <w:p w:rsidR="00C47645" w:rsidRPr="00980D3E" w:rsidRDefault="00B21C40" w:rsidP="001311B5">
            <w:pPr>
              <w:keepNext/>
              <w:jc w:val="center"/>
              <w:rPr>
                <w:rFonts w:ascii="Arial Narrow" w:hAnsi="Arial Narrow" w:cs="Times New Roman"/>
                <w:sz w:val="20"/>
              </w:rPr>
            </w:pPr>
            <w:r w:rsidRPr="00980D3E">
              <w:rPr>
                <w:rFonts w:ascii="Arial Narrow" w:hAnsi="Arial Narrow" w:cs="Times New Roman"/>
                <w:sz w:val="20"/>
              </w:rPr>
              <w:t>$</w:t>
            </w:r>
            <w:r w:rsidR="00F11546">
              <w:rPr>
                <w:rFonts w:ascii="Arial Narrow" w:hAnsi="Arial Narrow" w:cs="Times New Roman"/>
                <w:noProof/>
                <w:color w:val="000000"/>
                <w:sz w:val="20"/>
                <w:highlight w:val="black"/>
              </w:rPr>
              <w:t>''''''''''''''''</w:t>
            </w:r>
          </w:p>
        </w:tc>
        <w:tc>
          <w:tcPr>
            <w:tcW w:w="1101" w:type="pct"/>
          </w:tcPr>
          <w:p w:rsidR="00C47645" w:rsidRPr="00980D3E" w:rsidRDefault="00B21C40" w:rsidP="001311B5">
            <w:pPr>
              <w:keepNext/>
              <w:jc w:val="center"/>
              <w:rPr>
                <w:rFonts w:ascii="Arial Narrow" w:hAnsi="Arial Narrow" w:cs="Times New Roman"/>
                <w:sz w:val="20"/>
              </w:rPr>
            </w:pPr>
            <w:r w:rsidRPr="00980D3E">
              <w:rPr>
                <w:rFonts w:ascii="Arial Narrow" w:hAnsi="Arial Narrow" w:cs="Times New Roman"/>
                <w:sz w:val="20"/>
              </w:rPr>
              <w:t>0.356</w:t>
            </w:r>
          </w:p>
        </w:tc>
        <w:tc>
          <w:tcPr>
            <w:tcW w:w="758" w:type="pct"/>
          </w:tcPr>
          <w:p w:rsidR="00C47645" w:rsidRPr="00980D3E" w:rsidRDefault="00B21C40" w:rsidP="001311B5">
            <w:pPr>
              <w:keepNext/>
              <w:jc w:val="center"/>
              <w:rPr>
                <w:rFonts w:ascii="Arial Narrow" w:hAnsi="Arial Narrow" w:cs="Times New Roman"/>
                <w:sz w:val="20"/>
              </w:rPr>
            </w:pPr>
            <w:r w:rsidRPr="00980D3E">
              <w:rPr>
                <w:rFonts w:ascii="Arial Narrow" w:hAnsi="Arial Narrow" w:cs="Times New Roman"/>
                <w:sz w:val="20"/>
              </w:rPr>
              <w:t>$</w:t>
            </w:r>
            <w:r w:rsidR="00F11546">
              <w:rPr>
                <w:rFonts w:ascii="Arial Narrow" w:hAnsi="Arial Narrow" w:cs="Times New Roman"/>
                <w:noProof/>
                <w:color w:val="000000"/>
                <w:sz w:val="20"/>
                <w:highlight w:val="black"/>
              </w:rPr>
              <w:t>''''''''''''''''</w:t>
            </w:r>
          </w:p>
        </w:tc>
      </w:tr>
      <w:tr w:rsidR="00C47645" w:rsidRPr="00980D3E" w:rsidTr="007715ED">
        <w:tc>
          <w:tcPr>
            <w:tcW w:w="2120" w:type="pct"/>
          </w:tcPr>
          <w:p w:rsidR="00C47645" w:rsidRPr="00980D3E" w:rsidRDefault="00C47645" w:rsidP="001311B5">
            <w:pPr>
              <w:keepNext/>
              <w:jc w:val="left"/>
              <w:rPr>
                <w:rFonts w:ascii="Arial Narrow" w:hAnsi="Arial Narrow" w:cs="Times New Roman"/>
                <w:sz w:val="20"/>
              </w:rPr>
            </w:pPr>
            <w:r w:rsidRPr="00980D3E">
              <w:rPr>
                <w:rFonts w:ascii="Arial Narrow" w:hAnsi="Arial Narrow" w:cs="Times New Roman"/>
                <w:sz w:val="20"/>
              </w:rPr>
              <w:t>ITT OS (not adjusted for crossover)</w:t>
            </w:r>
          </w:p>
        </w:tc>
        <w:tc>
          <w:tcPr>
            <w:tcW w:w="1021" w:type="pct"/>
          </w:tcPr>
          <w:p w:rsidR="00C47645" w:rsidRPr="00980D3E" w:rsidRDefault="00C47645" w:rsidP="001311B5">
            <w:pPr>
              <w:keepNext/>
              <w:jc w:val="center"/>
              <w:rPr>
                <w:rFonts w:ascii="Arial Narrow" w:hAnsi="Arial Narrow" w:cs="Times New Roman"/>
                <w:sz w:val="20"/>
              </w:rPr>
            </w:pPr>
            <w:r w:rsidRPr="00980D3E">
              <w:rPr>
                <w:rFonts w:ascii="Arial Narrow" w:hAnsi="Arial Narrow" w:cs="Times New Roman"/>
                <w:sz w:val="20"/>
              </w:rPr>
              <w:t>$</w:t>
            </w:r>
            <w:r w:rsidR="00F11546">
              <w:rPr>
                <w:rFonts w:ascii="Arial Narrow" w:hAnsi="Arial Narrow" w:cs="Times New Roman"/>
                <w:noProof/>
                <w:color w:val="000000"/>
                <w:sz w:val="20"/>
                <w:highlight w:val="black"/>
              </w:rPr>
              <w:t>''''''''''''''''''</w:t>
            </w:r>
          </w:p>
        </w:tc>
        <w:tc>
          <w:tcPr>
            <w:tcW w:w="1101" w:type="pct"/>
          </w:tcPr>
          <w:p w:rsidR="00C47645" w:rsidRPr="00980D3E" w:rsidRDefault="00C47645" w:rsidP="001311B5">
            <w:pPr>
              <w:keepNext/>
              <w:jc w:val="center"/>
              <w:rPr>
                <w:rFonts w:ascii="Arial Narrow" w:hAnsi="Arial Narrow" w:cs="Times New Roman"/>
                <w:sz w:val="20"/>
              </w:rPr>
            </w:pPr>
            <w:r w:rsidRPr="00980D3E">
              <w:rPr>
                <w:rFonts w:ascii="Arial Narrow" w:hAnsi="Arial Narrow" w:cs="Times New Roman"/>
                <w:sz w:val="20"/>
              </w:rPr>
              <w:t>0.129</w:t>
            </w:r>
          </w:p>
        </w:tc>
        <w:tc>
          <w:tcPr>
            <w:tcW w:w="758" w:type="pct"/>
          </w:tcPr>
          <w:p w:rsidR="00C47645" w:rsidRPr="00980D3E" w:rsidRDefault="00C47645" w:rsidP="001311B5">
            <w:pPr>
              <w:keepNext/>
              <w:jc w:val="center"/>
              <w:rPr>
                <w:rFonts w:ascii="Arial Narrow" w:hAnsi="Arial Narrow" w:cs="Times New Roman"/>
                <w:sz w:val="20"/>
              </w:rPr>
            </w:pPr>
            <w:r w:rsidRPr="00980D3E">
              <w:rPr>
                <w:rFonts w:ascii="Arial Narrow" w:hAnsi="Arial Narrow" w:cs="Times New Roman"/>
                <w:sz w:val="20"/>
              </w:rPr>
              <w:t>$</w:t>
            </w:r>
            <w:r w:rsidR="00F11546">
              <w:rPr>
                <w:rFonts w:ascii="Arial Narrow" w:hAnsi="Arial Narrow" w:cs="Times New Roman"/>
                <w:noProof/>
                <w:color w:val="000000"/>
                <w:sz w:val="20"/>
                <w:highlight w:val="black"/>
              </w:rPr>
              <w:t>'''''''''''''''''</w:t>
            </w:r>
          </w:p>
        </w:tc>
      </w:tr>
      <w:tr w:rsidR="00C47645" w:rsidRPr="00980D3E" w:rsidTr="007715ED">
        <w:tc>
          <w:tcPr>
            <w:tcW w:w="5000" w:type="pct"/>
            <w:gridSpan w:val="4"/>
          </w:tcPr>
          <w:p w:rsidR="00C47645" w:rsidRPr="00980D3E" w:rsidRDefault="00C47645" w:rsidP="001311B5">
            <w:pPr>
              <w:keepNext/>
              <w:jc w:val="left"/>
              <w:rPr>
                <w:rFonts w:ascii="Arial Narrow" w:hAnsi="Arial Narrow" w:cs="Times New Roman"/>
                <w:b/>
                <w:sz w:val="20"/>
              </w:rPr>
            </w:pPr>
            <w:r w:rsidRPr="00980D3E">
              <w:rPr>
                <w:rFonts w:ascii="Arial Narrow" w:hAnsi="Arial Narrow" w:cs="Times New Roman"/>
                <w:b/>
                <w:sz w:val="20"/>
              </w:rPr>
              <w:t>Multivariate sensitivity analysis</w:t>
            </w:r>
            <w:r w:rsidR="00634CCE" w:rsidRPr="00980D3E">
              <w:rPr>
                <w:rFonts w:ascii="Arial Narrow" w:hAnsi="Arial Narrow" w:cs="Times New Roman"/>
                <w:b/>
                <w:sz w:val="20"/>
              </w:rPr>
              <w:t xml:space="preserve"> (using corrected base case)</w:t>
            </w:r>
          </w:p>
        </w:tc>
      </w:tr>
      <w:tr w:rsidR="00C47645" w:rsidRPr="00980D3E" w:rsidTr="007715ED">
        <w:tc>
          <w:tcPr>
            <w:tcW w:w="2120" w:type="pct"/>
          </w:tcPr>
          <w:p w:rsidR="00C47645" w:rsidRPr="00980D3E" w:rsidRDefault="00C47645" w:rsidP="001311B5">
            <w:pPr>
              <w:keepNext/>
              <w:jc w:val="left"/>
              <w:rPr>
                <w:rFonts w:ascii="Arial Narrow" w:hAnsi="Arial Narrow" w:cs="Times New Roman"/>
                <w:sz w:val="20"/>
              </w:rPr>
            </w:pPr>
            <w:r w:rsidRPr="00980D3E">
              <w:rPr>
                <w:rFonts w:ascii="Arial Narrow" w:hAnsi="Arial Narrow" w:cs="Times New Roman"/>
                <w:sz w:val="20"/>
              </w:rPr>
              <w:t>IRC PFS without PD confirmation + July 2019 commentary utilities + lower post-progression treatment costs</w:t>
            </w:r>
          </w:p>
        </w:tc>
        <w:tc>
          <w:tcPr>
            <w:tcW w:w="1021" w:type="pct"/>
            <w:vAlign w:val="center"/>
          </w:tcPr>
          <w:p w:rsidR="00C47645" w:rsidRPr="00980D3E" w:rsidRDefault="00570FFC" w:rsidP="001311B5">
            <w:pPr>
              <w:keepNext/>
              <w:jc w:val="center"/>
              <w:rPr>
                <w:rFonts w:ascii="Arial Narrow" w:hAnsi="Arial Narrow" w:cs="Times New Roman"/>
                <w:sz w:val="20"/>
              </w:rPr>
            </w:pPr>
            <w:r w:rsidRPr="00980D3E">
              <w:rPr>
                <w:rFonts w:ascii="Arial Narrow" w:hAnsi="Arial Narrow" w:cs="Times New Roman"/>
                <w:sz w:val="20"/>
              </w:rPr>
              <w:t>$</w:t>
            </w:r>
            <w:r w:rsidR="00F11546">
              <w:rPr>
                <w:rFonts w:ascii="Arial Narrow" w:hAnsi="Arial Narrow" w:cs="Times New Roman"/>
                <w:noProof/>
                <w:color w:val="000000"/>
                <w:sz w:val="20"/>
                <w:highlight w:val="black"/>
              </w:rPr>
              <w:t>''''''''''''''''</w:t>
            </w:r>
          </w:p>
        </w:tc>
        <w:tc>
          <w:tcPr>
            <w:tcW w:w="1101" w:type="pct"/>
            <w:vAlign w:val="center"/>
          </w:tcPr>
          <w:p w:rsidR="00C47645" w:rsidRPr="00980D3E" w:rsidRDefault="00570FFC" w:rsidP="001311B5">
            <w:pPr>
              <w:keepNext/>
              <w:jc w:val="center"/>
              <w:rPr>
                <w:rFonts w:ascii="Arial Narrow" w:hAnsi="Arial Narrow" w:cs="Times New Roman"/>
                <w:sz w:val="20"/>
              </w:rPr>
            </w:pPr>
            <w:r w:rsidRPr="00980D3E">
              <w:rPr>
                <w:rFonts w:ascii="Arial Narrow" w:hAnsi="Arial Narrow" w:cs="Times New Roman"/>
                <w:sz w:val="20"/>
              </w:rPr>
              <w:t>0.325</w:t>
            </w:r>
          </w:p>
        </w:tc>
        <w:tc>
          <w:tcPr>
            <w:tcW w:w="758" w:type="pct"/>
            <w:vAlign w:val="center"/>
          </w:tcPr>
          <w:p w:rsidR="00C47645" w:rsidRPr="00980D3E" w:rsidRDefault="00570FFC" w:rsidP="001311B5">
            <w:pPr>
              <w:keepNext/>
              <w:jc w:val="center"/>
              <w:rPr>
                <w:rFonts w:ascii="Arial Narrow" w:hAnsi="Arial Narrow" w:cs="Times New Roman"/>
                <w:sz w:val="20"/>
              </w:rPr>
            </w:pPr>
            <w:r w:rsidRPr="00980D3E">
              <w:rPr>
                <w:rFonts w:ascii="Arial Narrow" w:hAnsi="Arial Narrow" w:cs="Times New Roman"/>
                <w:sz w:val="20"/>
              </w:rPr>
              <w:t>$</w:t>
            </w:r>
            <w:r w:rsidR="00F11546">
              <w:rPr>
                <w:rFonts w:ascii="Arial Narrow" w:hAnsi="Arial Narrow" w:cs="Times New Roman"/>
                <w:noProof/>
                <w:color w:val="000000"/>
                <w:sz w:val="20"/>
                <w:highlight w:val="black"/>
              </w:rPr>
              <w:t>'''''''''''''''''</w:t>
            </w:r>
          </w:p>
        </w:tc>
      </w:tr>
    </w:tbl>
    <w:p w:rsidR="00D47120" w:rsidRPr="00980D3E" w:rsidRDefault="00D47120" w:rsidP="007715ED">
      <w:pPr>
        <w:pStyle w:val="TableFigureFooter"/>
        <w:rPr>
          <w:i/>
        </w:rPr>
      </w:pPr>
      <w:r w:rsidRPr="00980D3E">
        <w:t>Source: Table 115, p249 in the resubmission</w:t>
      </w:r>
      <w:r w:rsidR="001313EE" w:rsidRPr="00980D3E">
        <w:t>.</w:t>
      </w:r>
    </w:p>
    <w:p w:rsidR="00C47645" w:rsidRDefault="00C50AE9" w:rsidP="007715ED">
      <w:pPr>
        <w:pStyle w:val="TableFigureFooter"/>
      </w:pPr>
      <w:r w:rsidRPr="00980D3E">
        <w:t>Dxm</w:t>
      </w:r>
      <w:r w:rsidR="00C47645" w:rsidRPr="00980D3E">
        <w:t xml:space="preserve"> = dexamethasone; ICER = incremental cost-effectiveness ratio; IRC= Independent Review Committee; KM= Kaplan-Meier; NICE = National Institute for Health and Care Excellence; </w:t>
      </w:r>
      <w:r w:rsidR="001B297C" w:rsidRPr="00980D3E">
        <w:t xml:space="preserve">OS = overall survival; </w:t>
      </w:r>
      <w:r w:rsidR="00C47645" w:rsidRPr="00980D3E">
        <w:t>PBAC = Pharmaceutical Benefit Advisory Committee; PFS = progression-free survival; QALY = quality-adjusted life years</w:t>
      </w:r>
      <w:r w:rsidR="001B297C" w:rsidRPr="00980D3E">
        <w:t>; TTF = time to treatment failure</w:t>
      </w:r>
      <w:r w:rsidR="001313EE" w:rsidRPr="00980D3E">
        <w:t>.</w:t>
      </w:r>
    </w:p>
    <w:p w:rsidR="00902658" w:rsidRDefault="00902658" w:rsidP="007715ED">
      <w:pPr>
        <w:pStyle w:val="TableFigureFooter"/>
      </w:pPr>
    </w:p>
    <w:p w:rsidR="00902658" w:rsidRPr="001657C9" w:rsidRDefault="00902658" w:rsidP="007715ED">
      <w:pPr>
        <w:pStyle w:val="TableFigureFooter"/>
        <w:rPr>
          <w:rFonts w:asciiTheme="minorHAnsi" w:hAnsiTheme="minorHAnsi" w:cstheme="minorHAnsi"/>
          <w:i/>
          <w:sz w:val="24"/>
          <w:szCs w:val="24"/>
        </w:rPr>
      </w:pPr>
      <w:r w:rsidRPr="001657C9">
        <w:rPr>
          <w:rFonts w:asciiTheme="minorHAnsi" w:hAnsiTheme="minorHAnsi" w:cstheme="minorHAnsi"/>
          <w:i/>
          <w:sz w:val="24"/>
          <w:szCs w:val="24"/>
        </w:rPr>
        <w:t xml:space="preserve">The redacted table shows ICERs in the range of $45,000 – $105,000/QALY. </w:t>
      </w:r>
    </w:p>
    <w:p w:rsidR="00C47645" w:rsidRPr="00980D3E" w:rsidRDefault="009E38F2" w:rsidP="001311B5">
      <w:pPr>
        <w:pStyle w:val="3-BodyText"/>
      </w:pPr>
      <w:r w:rsidRPr="00980D3E">
        <w:t xml:space="preserve">The </w:t>
      </w:r>
      <w:r w:rsidR="00884A2E" w:rsidRPr="00980D3E">
        <w:t>ESC</w:t>
      </w:r>
      <w:r w:rsidRPr="00980D3E">
        <w:t xml:space="preserve"> considered that the ICER resulting from the multivariate sensitivity analysis </w:t>
      </w:r>
      <w:r w:rsidR="00131520" w:rsidRPr="00980D3E">
        <w:t xml:space="preserve">which incorporated IRC </w:t>
      </w:r>
      <w:r w:rsidR="006B453A" w:rsidRPr="00980D3E">
        <w:t xml:space="preserve">assessed </w:t>
      </w:r>
      <w:r w:rsidR="00131520" w:rsidRPr="00980D3E">
        <w:t>P</w:t>
      </w:r>
      <w:r w:rsidR="00234614" w:rsidRPr="00980D3E">
        <w:t>F</w:t>
      </w:r>
      <w:r w:rsidR="00131520" w:rsidRPr="00980D3E">
        <w:t xml:space="preserve">S without PD confirmation, the July 2019 </w:t>
      </w:r>
      <w:r w:rsidR="00131520" w:rsidRPr="00980D3E">
        <w:lastRenderedPageBreak/>
        <w:t xml:space="preserve">commentary utilities and lower </w:t>
      </w:r>
      <w:r w:rsidR="00DF203C" w:rsidRPr="00980D3E">
        <w:t>post</w:t>
      </w:r>
      <w:r w:rsidR="00131520" w:rsidRPr="00980D3E">
        <w:t>-progression treatment costs in the D</w:t>
      </w:r>
      <w:r w:rsidR="006B453A" w:rsidRPr="00980D3E">
        <w:t>x</w:t>
      </w:r>
      <w:r w:rsidR="00131520" w:rsidRPr="00980D3E">
        <w:t xml:space="preserve">m arm </w:t>
      </w:r>
      <w:r w:rsidRPr="00980D3E">
        <w:t>(</w:t>
      </w:r>
      <w:r w:rsidR="00131520" w:rsidRPr="00980D3E">
        <w:t xml:space="preserve">ICER = </w:t>
      </w:r>
      <w:r w:rsidRPr="00980D3E">
        <w:t>$</w:t>
      </w:r>
      <w:r w:rsidR="0029550C">
        <w:t>75,000 - $105,000</w:t>
      </w:r>
      <w:r w:rsidRPr="00980D3E">
        <w:t>) was a more appropriate base case</w:t>
      </w:r>
      <w:r w:rsidR="00BC66CA" w:rsidRPr="00980D3E">
        <w:t xml:space="preserve">, although likely </w:t>
      </w:r>
      <w:r w:rsidR="000D1269" w:rsidRPr="00980D3E">
        <w:t xml:space="preserve">still </w:t>
      </w:r>
      <w:r w:rsidR="00BC66CA" w:rsidRPr="00980D3E">
        <w:t>underestimated due to the application of OS adjusted for crossover</w:t>
      </w:r>
      <w:r w:rsidRPr="00980D3E">
        <w:t>.</w:t>
      </w:r>
      <w:r w:rsidR="00BC66CA" w:rsidRPr="00980D3E">
        <w:t xml:space="preserve"> </w:t>
      </w:r>
    </w:p>
    <w:p w:rsidR="00C755C2" w:rsidRPr="00980D3E" w:rsidRDefault="00C755C2" w:rsidP="00C755C2">
      <w:pPr>
        <w:pStyle w:val="4-SubsectionHeading"/>
      </w:pPr>
      <w:bookmarkStart w:id="55" w:name="_Toc30490405"/>
      <w:r w:rsidRPr="00980D3E">
        <w:t>Drug cost/patient</w:t>
      </w:r>
      <w:bookmarkEnd w:id="45"/>
      <w:r w:rsidRPr="00980D3E">
        <w:t>/treatment</w:t>
      </w:r>
      <w:bookmarkEnd w:id="55"/>
    </w:p>
    <w:p w:rsidR="00AE2F60" w:rsidRPr="00980D3E" w:rsidRDefault="00AE2F60" w:rsidP="00AE2F60">
      <w:pPr>
        <w:pStyle w:val="3-BodyText"/>
        <w:rPr>
          <w:rFonts w:ascii="Calibri" w:hAnsi="Calibri"/>
          <w:szCs w:val="22"/>
          <w:lang w:eastAsia="en-US"/>
        </w:rPr>
      </w:pPr>
      <w:r w:rsidRPr="00980D3E">
        <w:rPr>
          <w:rFonts w:ascii="Calibri" w:hAnsi="Calibri"/>
          <w:szCs w:val="22"/>
          <w:lang w:eastAsia="en-US"/>
        </w:rPr>
        <w:t xml:space="preserve">The cost per patient per course is presented </w:t>
      </w:r>
      <w:r w:rsidRPr="00980D3E">
        <w:t xml:space="preserve">in </w:t>
      </w:r>
      <w:r w:rsidR="00C2673A" w:rsidRPr="00980D3E">
        <w:t>Table 21</w:t>
      </w:r>
      <w:r w:rsidRPr="00980D3E">
        <w:t xml:space="preserve">. </w:t>
      </w:r>
      <w:r w:rsidR="008D32F8" w:rsidRPr="00980D3E">
        <w:t xml:space="preserve">The proposed </w:t>
      </w:r>
      <w:r w:rsidR="0041685F" w:rsidRPr="00980D3E">
        <w:t>DPMA</w:t>
      </w:r>
      <w:r w:rsidR="008D32F8" w:rsidRPr="00980D3E">
        <w:t xml:space="preserve"> of plitidepsin </w:t>
      </w:r>
      <w:r w:rsidR="0041685F" w:rsidRPr="00980D3E">
        <w:t>($</w:t>
      </w:r>
      <w:r w:rsidR="00F11546">
        <w:rPr>
          <w:noProof/>
          <w:color w:val="000000"/>
          <w:highlight w:val="black"/>
        </w:rPr>
        <w:t>''''''''''''''''</w:t>
      </w:r>
      <w:r w:rsidR="0041685F" w:rsidRPr="00980D3E">
        <w:t xml:space="preserve">) </w:t>
      </w:r>
      <w:r w:rsidR="008D32F8" w:rsidRPr="00980D3E">
        <w:t xml:space="preserve">was weighted across the third (DPMA </w:t>
      </w:r>
      <w:r w:rsidR="0041685F" w:rsidRPr="00980D3E">
        <w:t xml:space="preserve">= </w:t>
      </w:r>
      <w:r w:rsidR="008D32F8" w:rsidRPr="00980D3E">
        <w:t>$</w:t>
      </w:r>
      <w:r w:rsidR="00F11546">
        <w:rPr>
          <w:rFonts w:ascii="Calibri" w:hAnsi="Calibri"/>
          <w:noProof/>
          <w:color w:val="000000"/>
          <w:szCs w:val="22"/>
          <w:highlight w:val="black"/>
          <w:lang w:eastAsia="en-US"/>
        </w:rPr>
        <w:t>'''''''''''''''''''</w:t>
      </w:r>
      <w:r w:rsidR="008D32F8" w:rsidRPr="00980D3E">
        <w:rPr>
          <w:rFonts w:ascii="Calibri" w:hAnsi="Calibri"/>
          <w:szCs w:val="22"/>
          <w:lang w:eastAsia="en-US"/>
        </w:rPr>
        <w:t>, 53%) and fourth</w:t>
      </w:r>
      <w:r w:rsidR="0041685F" w:rsidRPr="00980D3E">
        <w:rPr>
          <w:rFonts w:ascii="Calibri" w:hAnsi="Calibri"/>
          <w:szCs w:val="22"/>
          <w:lang w:eastAsia="en-US"/>
        </w:rPr>
        <w:t>-</w:t>
      </w:r>
      <w:r w:rsidR="008D32F8" w:rsidRPr="00980D3E">
        <w:rPr>
          <w:rFonts w:ascii="Calibri" w:hAnsi="Calibri"/>
          <w:szCs w:val="22"/>
          <w:lang w:eastAsia="en-US"/>
        </w:rPr>
        <w:t>line (DPM</w:t>
      </w:r>
      <w:r w:rsidR="0041685F" w:rsidRPr="00980D3E">
        <w:rPr>
          <w:rFonts w:ascii="Calibri" w:hAnsi="Calibri"/>
          <w:szCs w:val="22"/>
          <w:lang w:eastAsia="en-US"/>
        </w:rPr>
        <w:t>A</w:t>
      </w:r>
      <w:r w:rsidR="008D32F8" w:rsidRPr="00980D3E">
        <w:rPr>
          <w:rFonts w:ascii="Calibri" w:hAnsi="Calibri"/>
          <w:szCs w:val="22"/>
          <w:lang w:eastAsia="en-US"/>
        </w:rPr>
        <w:t xml:space="preserve"> </w:t>
      </w:r>
      <w:r w:rsidR="0041685F" w:rsidRPr="00980D3E">
        <w:rPr>
          <w:rFonts w:ascii="Calibri" w:hAnsi="Calibri"/>
          <w:szCs w:val="22"/>
          <w:lang w:eastAsia="en-US"/>
        </w:rPr>
        <w:t xml:space="preserve">= </w:t>
      </w:r>
      <w:r w:rsidR="008D32F8" w:rsidRPr="00980D3E">
        <w:rPr>
          <w:rFonts w:ascii="Calibri" w:hAnsi="Calibri"/>
          <w:szCs w:val="22"/>
          <w:lang w:eastAsia="en-US"/>
        </w:rPr>
        <w:t>$</w:t>
      </w:r>
      <w:r w:rsidR="00F11546">
        <w:rPr>
          <w:rFonts w:ascii="Calibri" w:hAnsi="Calibri"/>
          <w:noProof/>
          <w:color w:val="000000"/>
          <w:szCs w:val="22"/>
          <w:highlight w:val="black"/>
          <w:lang w:eastAsia="en-US"/>
        </w:rPr>
        <w:t>'''''''''''''''</w:t>
      </w:r>
      <w:r w:rsidR="008D32F8" w:rsidRPr="00980D3E">
        <w:rPr>
          <w:rFonts w:ascii="Calibri" w:hAnsi="Calibri"/>
          <w:szCs w:val="22"/>
          <w:lang w:eastAsia="en-US"/>
        </w:rPr>
        <w:t>, 47%)</w:t>
      </w:r>
      <w:r w:rsidR="00353679" w:rsidRPr="00980D3E">
        <w:rPr>
          <w:rFonts w:ascii="Calibri" w:hAnsi="Calibri"/>
          <w:szCs w:val="22"/>
          <w:lang w:eastAsia="en-US"/>
        </w:rPr>
        <w:t xml:space="preserve"> settings</w:t>
      </w:r>
      <w:r w:rsidR="008D32F8" w:rsidRPr="00980D3E">
        <w:rPr>
          <w:rFonts w:ascii="Calibri" w:hAnsi="Calibri"/>
          <w:szCs w:val="22"/>
          <w:lang w:eastAsia="en-US"/>
        </w:rPr>
        <w:t xml:space="preserve">. </w:t>
      </w:r>
      <w:r w:rsidR="00AE1BE2" w:rsidRPr="00980D3E">
        <w:rPr>
          <w:rFonts w:ascii="Calibri" w:hAnsi="Calibri"/>
          <w:szCs w:val="22"/>
          <w:lang w:eastAsia="en-US"/>
        </w:rPr>
        <w:t xml:space="preserve">Using the trial-based costs </w:t>
      </w:r>
      <w:r w:rsidR="00A40E15" w:rsidRPr="00980D3E">
        <w:rPr>
          <w:rFonts w:ascii="Calibri" w:hAnsi="Calibri"/>
          <w:szCs w:val="22"/>
          <w:lang w:eastAsia="en-US"/>
        </w:rPr>
        <w:t xml:space="preserve">and the weighted </w:t>
      </w:r>
      <w:r w:rsidR="00F076D8" w:rsidRPr="00980D3E">
        <w:rPr>
          <w:rFonts w:ascii="Calibri" w:hAnsi="Calibri"/>
          <w:szCs w:val="22"/>
          <w:lang w:eastAsia="en-US"/>
        </w:rPr>
        <w:t xml:space="preserve">plitidepsin </w:t>
      </w:r>
      <w:r w:rsidR="00A40E15" w:rsidRPr="00980D3E">
        <w:rPr>
          <w:rFonts w:ascii="Calibri" w:hAnsi="Calibri"/>
          <w:szCs w:val="22"/>
          <w:lang w:eastAsia="en-US"/>
        </w:rPr>
        <w:t xml:space="preserve">DPMA </w:t>
      </w:r>
      <w:r w:rsidR="00AE1BE2" w:rsidRPr="00980D3E">
        <w:rPr>
          <w:rFonts w:ascii="Calibri" w:hAnsi="Calibri"/>
          <w:szCs w:val="22"/>
          <w:lang w:eastAsia="en-US"/>
        </w:rPr>
        <w:t xml:space="preserve">resulted in </w:t>
      </w:r>
      <w:r w:rsidRPr="00980D3E">
        <w:rPr>
          <w:rFonts w:ascii="Calibri" w:hAnsi="Calibri"/>
          <w:szCs w:val="22"/>
          <w:lang w:eastAsia="en-US"/>
        </w:rPr>
        <w:t xml:space="preserve">a higher cost per patient per course for </w:t>
      </w:r>
      <w:r w:rsidR="00EC0DF6" w:rsidRPr="00980D3E">
        <w:rPr>
          <w:rFonts w:ascii="Calibri" w:hAnsi="Calibri"/>
          <w:szCs w:val="22"/>
          <w:lang w:eastAsia="en-US"/>
        </w:rPr>
        <w:t xml:space="preserve">plitidepsin </w:t>
      </w:r>
      <w:r w:rsidRPr="00980D3E">
        <w:rPr>
          <w:rFonts w:ascii="Calibri" w:hAnsi="Calibri"/>
          <w:szCs w:val="22"/>
          <w:lang w:eastAsia="en-US"/>
        </w:rPr>
        <w:t>(</w:t>
      </w:r>
      <w:r w:rsidR="00C3680B" w:rsidRPr="00980D3E">
        <w:rPr>
          <w:rFonts w:ascii="Calibri" w:hAnsi="Calibri"/>
          <w:szCs w:val="22"/>
          <w:lang w:eastAsia="en-US"/>
        </w:rPr>
        <w:t>$</w:t>
      </w:r>
      <w:r w:rsidR="00F11546">
        <w:rPr>
          <w:rFonts w:ascii="Calibri" w:hAnsi="Calibri"/>
          <w:noProof/>
          <w:color w:val="000000"/>
          <w:szCs w:val="22"/>
          <w:highlight w:val="black"/>
          <w:lang w:eastAsia="en-US"/>
        </w:rPr>
        <w:t>''''''''''''</w:t>
      </w:r>
      <w:r w:rsidR="00C3680B" w:rsidRPr="00980D3E">
        <w:rPr>
          <w:rFonts w:ascii="Calibri" w:hAnsi="Calibri"/>
          <w:szCs w:val="22"/>
          <w:lang w:eastAsia="en-US"/>
        </w:rPr>
        <w:t xml:space="preserve">, </w:t>
      </w:r>
      <w:r w:rsidRPr="00980D3E">
        <w:rPr>
          <w:rFonts w:ascii="Calibri" w:hAnsi="Calibri"/>
          <w:szCs w:val="22"/>
          <w:lang w:eastAsia="en-US"/>
        </w:rPr>
        <w:t>mean 5 treatment cycles) compared with the CUA (</w:t>
      </w:r>
      <w:r w:rsidR="00C3680B" w:rsidRPr="00980D3E">
        <w:rPr>
          <w:rFonts w:ascii="Calibri" w:hAnsi="Calibri"/>
          <w:szCs w:val="22"/>
          <w:lang w:eastAsia="en-US"/>
        </w:rPr>
        <w:t>$</w:t>
      </w:r>
      <w:r w:rsidR="00F11546">
        <w:rPr>
          <w:rFonts w:ascii="Calibri" w:hAnsi="Calibri"/>
          <w:noProof/>
          <w:color w:val="000000"/>
          <w:szCs w:val="22"/>
          <w:highlight w:val="black"/>
          <w:lang w:eastAsia="en-US"/>
        </w:rPr>
        <w:t>'''''''''''''</w:t>
      </w:r>
      <w:r w:rsidR="00C3680B" w:rsidRPr="00980D3E">
        <w:rPr>
          <w:rFonts w:ascii="Calibri" w:hAnsi="Calibri"/>
          <w:szCs w:val="22"/>
          <w:lang w:eastAsia="en-US"/>
        </w:rPr>
        <w:t xml:space="preserve">, </w:t>
      </w:r>
      <w:r w:rsidRPr="00980D3E">
        <w:rPr>
          <w:rFonts w:ascii="Calibri" w:hAnsi="Calibri"/>
          <w:szCs w:val="22"/>
          <w:lang w:eastAsia="en-US"/>
        </w:rPr>
        <w:t xml:space="preserve">mean 4.93 treatment cycles). </w:t>
      </w:r>
    </w:p>
    <w:p w:rsidR="008B669E" w:rsidRPr="00980D3E" w:rsidRDefault="008B669E" w:rsidP="007715ED">
      <w:pPr>
        <w:pStyle w:val="TableHeading"/>
      </w:pPr>
      <w:bookmarkStart w:id="56" w:name="_Ref33525238"/>
      <w:r w:rsidRPr="00980D3E">
        <w:t xml:space="preserve">Table </w:t>
      </w:r>
      <w:r w:rsidR="00C2673A" w:rsidRPr="00980D3E">
        <w:t>21</w:t>
      </w:r>
      <w:bookmarkEnd w:id="56"/>
      <w:r w:rsidRPr="00980D3E">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93"/>
        <w:gridCol w:w="1133"/>
        <w:gridCol w:w="994"/>
        <w:gridCol w:w="992"/>
        <w:gridCol w:w="995"/>
        <w:gridCol w:w="1140"/>
        <w:gridCol w:w="988"/>
        <w:gridCol w:w="1082"/>
      </w:tblGrid>
      <w:tr w:rsidR="008B669E" w:rsidRPr="00980D3E" w:rsidTr="007715ED">
        <w:trPr>
          <w:trHeight w:val="60"/>
          <w:jc w:val="center"/>
        </w:trPr>
        <w:tc>
          <w:tcPr>
            <w:tcW w:w="939" w:type="pct"/>
            <w:vMerge w:val="restart"/>
            <w:tcBorders>
              <w:top w:val="single" w:sz="4" w:space="0" w:color="auto"/>
              <w:left w:val="single" w:sz="4" w:space="0" w:color="auto"/>
              <w:right w:val="single" w:sz="4" w:space="0" w:color="auto"/>
            </w:tcBorders>
            <w:vAlign w:val="center"/>
          </w:tcPr>
          <w:p w:rsidR="008B669E" w:rsidRPr="00980D3E" w:rsidRDefault="008B669E" w:rsidP="00A41A76">
            <w:pPr>
              <w:keepNext/>
              <w:spacing w:line="256" w:lineRule="auto"/>
              <w:jc w:val="left"/>
              <w:rPr>
                <w:rFonts w:ascii="Arial Narrow" w:hAnsi="Arial Narrow"/>
                <w:sz w:val="20"/>
                <w:szCs w:val="20"/>
              </w:rPr>
            </w:pPr>
          </w:p>
        </w:tc>
        <w:tc>
          <w:tcPr>
            <w:tcW w:w="2281" w:type="pct"/>
            <w:gridSpan w:val="4"/>
            <w:tcBorders>
              <w:top w:val="single" w:sz="4" w:space="0" w:color="auto"/>
              <w:left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b/>
                <w:sz w:val="20"/>
                <w:szCs w:val="20"/>
              </w:rPr>
            </w:pPr>
            <w:r w:rsidRPr="00980D3E">
              <w:rPr>
                <w:rFonts w:ascii="Arial Narrow" w:hAnsi="Arial Narrow"/>
                <w:b/>
                <w:sz w:val="20"/>
                <w:szCs w:val="20"/>
              </w:rPr>
              <w:t>Plitidepsin</w:t>
            </w:r>
          </w:p>
        </w:tc>
        <w:tc>
          <w:tcPr>
            <w:tcW w:w="1780" w:type="pct"/>
            <w:gridSpan w:val="3"/>
            <w:tcBorders>
              <w:top w:val="single" w:sz="4" w:space="0" w:color="auto"/>
              <w:left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b/>
                <w:sz w:val="20"/>
                <w:szCs w:val="20"/>
              </w:rPr>
            </w:pPr>
            <w:r w:rsidRPr="00980D3E">
              <w:rPr>
                <w:rFonts w:ascii="Arial Narrow" w:hAnsi="Arial Narrow"/>
                <w:b/>
                <w:sz w:val="20"/>
                <w:szCs w:val="20"/>
              </w:rPr>
              <w:t>Pomalidomide</w:t>
            </w:r>
          </w:p>
        </w:tc>
      </w:tr>
      <w:tr w:rsidR="008B669E" w:rsidRPr="00980D3E" w:rsidTr="007715ED">
        <w:trPr>
          <w:trHeight w:val="407"/>
          <w:jc w:val="center"/>
        </w:trPr>
        <w:tc>
          <w:tcPr>
            <w:tcW w:w="939" w:type="pct"/>
            <w:vMerge/>
            <w:tcBorders>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left"/>
              <w:rPr>
                <w:rFonts w:ascii="Arial Narrow" w:hAnsi="Arial Narrow"/>
                <w:sz w:val="20"/>
                <w:szCs w:val="20"/>
              </w:rPr>
            </w:pPr>
          </w:p>
        </w:tc>
        <w:tc>
          <w:tcPr>
            <w:tcW w:w="628" w:type="pct"/>
            <w:tcBorders>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b/>
                <w:sz w:val="20"/>
                <w:szCs w:val="20"/>
              </w:rPr>
            </w:pPr>
            <w:r w:rsidRPr="00980D3E">
              <w:rPr>
                <w:rFonts w:ascii="Arial Narrow" w:hAnsi="Arial Narrow"/>
                <w:b/>
                <w:sz w:val="20"/>
                <w:szCs w:val="20"/>
              </w:rPr>
              <w:t>Trial dose and duration</w:t>
            </w:r>
          </w:p>
        </w:tc>
        <w:tc>
          <w:tcPr>
            <w:tcW w:w="551"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b/>
                <w:sz w:val="20"/>
                <w:szCs w:val="20"/>
              </w:rPr>
            </w:pPr>
            <w:r w:rsidRPr="00980D3E">
              <w:rPr>
                <w:rFonts w:ascii="Arial Narrow" w:hAnsi="Arial Narrow"/>
                <w:b/>
                <w:sz w:val="20"/>
                <w:szCs w:val="20"/>
              </w:rPr>
              <w:t>CMA</w:t>
            </w:r>
          </w:p>
        </w:tc>
        <w:tc>
          <w:tcPr>
            <w:tcW w:w="550" w:type="pct"/>
            <w:tcBorders>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b/>
                <w:sz w:val="20"/>
                <w:szCs w:val="20"/>
              </w:rPr>
            </w:pPr>
            <w:r w:rsidRPr="00980D3E">
              <w:rPr>
                <w:rFonts w:ascii="Arial Narrow" w:hAnsi="Arial Narrow"/>
                <w:b/>
                <w:sz w:val="20"/>
                <w:szCs w:val="20"/>
              </w:rPr>
              <w:t>CUA</w:t>
            </w:r>
          </w:p>
        </w:tc>
        <w:tc>
          <w:tcPr>
            <w:tcW w:w="552" w:type="pct"/>
            <w:tcBorders>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b/>
                <w:sz w:val="20"/>
                <w:szCs w:val="20"/>
              </w:rPr>
            </w:pPr>
            <w:r w:rsidRPr="00980D3E">
              <w:rPr>
                <w:rFonts w:ascii="Arial Narrow" w:hAnsi="Arial Narrow"/>
                <w:b/>
                <w:sz w:val="20"/>
                <w:szCs w:val="20"/>
              </w:rPr>
              <w:t>Financial estimates</w:t>
            </w:r>
          </w:p>
        </w:tc>
        <w:tc>
          <w:tcPr>
            <w:tcW w:w="632" w:type="pct"/>
            <w:tcBorders>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b/>
                <w:sz w:val="20"/>
                <w:szCs w:val="20"/>
              </w:rPr>
            </w:pPr>
            <w:r w:rsidRPr="00980D3E">
              <w:rPr>
                <w:rFonts w:ascii="Arial Narrow" w:hAnsi="Arial Narrow"/>
                <w:b/>
                <w:sz w:val="20"/>
                <w:szCs w:val="20"/>
              </w:rPr>
              <w:t>Trial dose and duration</w:t>
            </w:r>
          </w:p>
        </w:tc>
        <w:tc>
          <w:tcPr>
            <w:tcW w:w="548" w:type="pct"/>
            <w:tcBorders>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b/>
                <w:sz w:val="20"/>
                <w:szCs w:val="20"/>
              </w:rPr>
            </w:pPr>
            <w:r w:rsidRPr="00980D3E">
              <w:rPr>
                <w:rFonts w:ascii="Arial Narrow" w:hAnsi="Arial Narrow"/>
                <w:b/>
                <w:sz w:val="20"/>
                <w:szCs w:val="20"/>
              </w:rPr>
              <w:t>CMA</w:t>
            </w:r>
          </w:p>
        </w:tc>
        <w:tc>
          <w:tcPr>
            <w:tcW w:w="600" w:type="pct"/>
            <w:tcBorders>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b/>
                <w:sz w:val="20"/>
                <w:szCs w:val="20"/>
              </w:rPr>
            </w:pPr>
            <w:r w:rsidRPr="00980D3E">
              <w:rPr>
                <w:rFonts w:ascii="Arial Narrow" w:hAnsi="Arial Narrow"/>
                <w:b/>
                <w:sz w:val="20"/>
                <w:szCs w:val="20"/>
              </w:rPr>
              <w:t>Financial estimates</w:t>
            </w:r>
          </w:p>
        </w:tc>
      </w:tr>
      <w:tr w:rsidR="008B669E" w:rsidRPr="00980D3E" w:rsidTr="007715ED">
        <w:trPr>
          <w:jc w:val="center"/>
        </w:trPr>
        <w:tc>
          <w:tcPr>
            <w:tcW w:w="939"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left"/>
              <w:rPr>
                <w:rFonts w:ascii="Arial Narrow" w:hAnsi="Arial Narrow"/>
                <w:sz w:val="20"/>
                <w:szCs w:val="20"/>
              </w:rPr>
            </w:pPr>
            <w:r w:rsidRPr="00980D3E">
              <w:rPr>
                <w:rFonts w:ascii="Arial Narrow" w:hAnsi="Arial Narrow"/>
                <w:sz w:val="20"/>
                <w:szCs w:val="20"/>
              </w:rPr>
              <w:t>Equi-effective dose (recommended)</w:t>
            </w:r>
          </w:p>
        </w:tc>
        <w:tc>
          <w:tcPr>
            <w:tcW w:w="628"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5 mg/m</w:t>
            </w:r>
            <w:r w:rsidRPr="00980D3E">
              <w:rPr>
                <w:rFonts w:ascii="Arial Narrow" w:hAnsi="Arial Narrow"/>
                <w:sz w:val="20"/>
                <w:szCs w:val="20"/>
                <w:vertAlign w:val="superscript"/>
              </w:rPr>
              <w:t>2</w:t>
            </w:r>
          </w:p>
        </w:tc>
        <w:tc>
          <w:tcPr>
            <w:tcW w:w="551"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5 mg/m</w:t>
            </w:r>
            <w:r w:rsidRPr="00980D3E">
              <w:rPr>
                <w:rFonts w:ascii="Arial Narrow" w:hAnsi="Arial Narrow"/>
                <w:sz w:val="20"/>
                <w:szCs w:val="20"/>
                <w:vertAlign w:val="superscript"/>
              </w:rPr>
              <w:t>2</w:t>
            </w:r>
          </w:p>
        </w:tc>
        <w:tc>
          <w:tcPr>
            <w:tcW w:w="550"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5 mg/m</w:t>
            </w:r>
            <w:r w:rsidRPr="00980D3E">
              <w:rPr>
                <w:rFonts w:ascii="Arial Narrow" w:hAnsi="Arial Narrow"/>
                <w:sz w:val="20"/>
                <w:szCs w:val="20"/>
                <w:vertAlign w:val="superscript"/>
              </w:rPr>
              <w:t>2</w:t>
            </w:r>
          </w:p>
        </w:tc>
        <w:tc>
          <w:tcPr>
            <w:tcW w:w="552"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5 mg/m</w:t>
            </w:r>
            <w:r w:rsidRPr="00980D3E">
              <w:rPr>
                <w:rFonts w:ascii="Arial Narrow" w:hAnsi="Arial Narrow"/>
                <w:sz w:val="20"/>
                <w:szCs w:val="20"/>
                <w:vertAlign w:val="superscript"/>
              </w:rPr>
              <w:t>2</w:t>
            </w:r>
          </w:p>
        </w:tc>
        <w:tc>
          <w:tcPr>
            <w:tcW w:w="632"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4 mg/day</w:t>
            </w:r>
          </w:p>
        </w:tc>
        <w:tc>
          <w:tcPr>
            <w:tcW w:w="548"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4 mg/day</w:t>
            </w:r>
          </w:p>
        </w:tc>
        <w:tc>
          <w:tcPr>
            <w:tcW w:w="600"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4 mg/day</w:t>
            </w:r>
          </w:p>
        </w:tc>
      </w:tr>
      <w:tr w:rsidR="008B669E" w:rsidRPr="00980D3E" w:rsidTr="007715ED">
        <w:trPr>
          <w:jc w:val="center"/>
        </w:trPr>
        <w:tc>
          <w:tcPr>
            <w:tcW w:w="939"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left"/>
              <w:rPr>
                <w:rFonts w:ascii="Arial Narrow" w:hAnsi="Arial Narrow"/>
                <w:sz w:val="20"/>
                <w:szCs w:val="20"/>
              </w:rPr>
            </w:pPr>
            <w:r w:rsidRPr="00980D3E">
              <w:rPr>
                <w:rFonts w:ascii="Arial Narrow" w:hAnsi="Arial Narrow"/>
                <w:sz w:val="20"/>
                <w:szCs w:val="20"/>
              </w:rPr>
              <w:t>Frequency/</w:t>
            </w:r>
            <w:r w:rsidR="00B72512" w:rsidRPr="00980D3E">
              <w:rPr>
                <w:rFonts w:ascii="Arial Narrow" w:hAnsi="Arial Narrow"/>
                <w:sz w:val="20"/>
                <w:szCs w:val="20"/>
              </w:rPr>
              <w:t>28-day</w:t>
            </w:r>
            <w:r w:rsidR="00AC7543" w:rsidRPr="00980D3E">
              <w:rPr>
                <w:rFonts w:ascii="Arial Narrow" w:hAnsi="Arial Narrow"/>
                <w:sz w:val="20"/>
                <w:szCs w:val="20"/>
              </w:rPr>
              <w:t xml:space="preserve"> </w:t>
            </w:r>
            <w:r w:rsidRPr="00980D3E">
              <w:rPr>
                <w:rFonts w:ascii="Arial Narrow" w:hAnsi="Arial Narrow"/>
                <w:sz w:val="20"/>
                <w:szCs w:val="20"/>
              </w:rPr>
              <w:t>cycle</w:t>
            </w:r>
          </w:p>
        </w:tc>
        <w:tc>
          <w:tcPr>
            <w:tcW w:w="628"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2</w:t>
            </w:r>
          </w:p>
        </w:tc>
        <w:tc>
          <w:tcPr>
            <w:tcW w:w="551"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2</w:t>
            </w:r>
          </w:p>
        </w:tc>
        <w:tc>
          <w:tcPr>
            <w:tcW w:w="550"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2</w:t>
            </w:r>
          </w:p>
        </w:tc>
        <w:tc>
          <w:tcPr>
            <w:tcW w:w="552"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2</w:t>
            </w:r>
          </w:p>
        </w:tc>
        <w:tc>
          <w:tcPr>
            <w:tcW w:w="632"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21</w:t>
            </w:r>
          </w:p>
        </w:tc>
        <w:tc>
          <w:tcPr>
            <w:tcW w:w="548"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21</w:t>
            </w:r>
          </w:p>
        </w:tc>
        <w:tc>
          <w:tcPr>
            <w:tcW w:w="600"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21</w:t>
            </w:r>
          </w:p>
        </w:tc>
      </w:tr>
      <w:tr w:rsidR="008B669E" w:rsidRPr="00980D3E" w:rsidTr="007715ED">
        <w:trPr>
          <w:jc w:val="center"/>
        </w:trPr>
        <w:tc>
          <w:tcPr>
            <w:tcW w:w="939"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left"/>
              <w:rPr>
                <w:rFonts w:ascii="Arial Narrow" w:hAnsi="Arial Narrow"/>
                <w:sz w:val="20"/>
                <w:szCs w:val="20"/>
              </w:rPr>
            </w:pPr>
            <w:r w:rsidRPr="00980D3E">
              <w:rPr>
                <w:rFonts w:ascii="Arial Narrow" w:hAnsi="Arial Narrow"/>
                <w:sz w:val="20"/>
                <w:szCs w:val="20"/>
              </w:rPr>
              <w:t>Median treatment cycles</w:t>
            </w:r>
          </w:p>
        </w:tc>
        <w:tc>
          <w:tcPr>
            <w:tcW w:w="628"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3F6FCD">
            <w:pPr>
              <w:keepNext/>
              <w:spacing w:line="256" w:lineRule="auto"/>
              <w:jc w:val="center"/>
              <w:rPr>
                <w:rFonts w:ascii="Arial Narrow" w:hAnsi="Arial Narrow"/>
                <w:sz w:val="20"/>
                <w:szCs w:val="20"/>
              </w:rPr>
            </w:pPr>
            <w:r w:rsidRPr="00980D3E">
              <w:rPr>
                <w:rFonts w:ascii="Arial Narrow" w:hAnsi="Arial Narrow"/>
                <w:sz w:val="20"/>
                <w:szCs w:val="20"/>
              </w:rPr>
              <w:t xml:space="preserve">Mean: </w:t>
            </w:r>
            <w:r w:rsidR="003F6FCD" w:rsidRPr="00980D3E">
              <w:rPr>
                <w:rFonts w:ascii="Arial Narrow" w:hAnsi="Arial Narrow"/>
                <w:sz w:val="20"/>
                <w:szCs w:val="20"/>
              </w:rPr>
              <w:br/>
            </w:r>
            <w:r w:rsidRPr="00980D3E">
              <w:rPr>
                <w:rFonts w:ascii="Arial Narrow" w:hAnsi="Arial Narrow"/>
                <w:sz w:val="20"/>
                <w:szCs w:val="20"/>
              </w:rPr>
              <w:t>5.0 cycles</w:t>
            </w:r>
            <w:r w:rsidR="00273505" w:rsidRPr="00980D3E">
              <w:rPr>
                <w:rFonts w:ascii="Arial Narrow" w:hAnsi="Arial Narrow"/>
                <w:sz w:val="20"/>
                <w:szCs w:val="20"/>
                <w:vertAlign w:val="superscript"/>
              </w:rPr>
              <w:t>a</w:t>
            </w:r>
          </w:p>
        </w:tc>
        <w:tc>
          <w:tcPr>
            <w:tcW w:w="551"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3 cycles</w:t>
            </w:r>
          </w:p>
        </w:tc>
        <w:tc>
          <w:tcPr>
            <w:tcW w:w="550"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 xml:space="preserve">Mean: </w:t>
            </w:r>
            <w:r w:rsidR="003F6FCD" w:rsidRPr="00980D3E">
              <w:rPr>
                <w:rFonts w:ascii="Arial Narrow" w:hAnsi="Arial Narrow"/>
                <w:sz w:val="20"/>
                <w:szCs w:val="20"/>
              </w:rPr>
              <w:br/>
            </w:r>
            <w:r w:rsidRPr="00980D3E">
              <w:rPr>
                <w:rFonts w:ascii="Arial Narrow" w:hAnsi="Arial Narrow"/>
                <w:sz w:val="20"/>
                <w:szCs w:val="20"/>
              </w:rPr>
              <w:t>4.93 cycles</w:t>
            </w:r>
          </w:p>
        </w:tc>
        <w:tc>
          <w:tcPr>
            <w:tcW w:w="552"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3 cycles</w:t>
            </w:r>
          </w:p>
        </w:tc>
        <w:tc>
          <w:tcPr>
            <w:tcW w:w="632"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3 cycles</w:t>
            </w:r>
          </w:p>
        </w:tc>
        <w:tc>
          <w:tcPr>
            <w:tcW w:w="548"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3 cycles</w:t>
            </w:r>
          </w:p>
        </w:tc>
        <w:tc>
          <w:tcPr>
            <w:tcW w:w="600"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3 cycles</w:t>
            </w:r>
          </w:p>
        </w:tc>
      </w:tr>
      <w:tr w:rsidR="00AA1D0B" w:rsidRPr="00980D3E" w:rsidTr="007715ED">
        <w:trPr>
          <w:jc w:val="center"/>
        </w:trPr>
        <w:tc>
          <w:tcPr>
            <w:tcW w:w="939"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AA1D0B">
            <w:pPr>
              <w:keepNext/>
              <w:spacing w:line="256" w:lineRule="auto"/>
              <w:jc w:val="left"/>
              <w:rPr>
                <w:rFonts w:ascii="Arial Narrow" w:hAnsi="Arial Narrow"/>
                <w:sz w:val="20"/>
                <w:szCs w:val="20"/>
              </w:rPr>
            </w:pPr>
            <w:r w:rsidRPr="00980D3E">
              <w:rPr>
                <w:rFonts w:ascii="Arial Narrow" w:hAnsi="Arial Narrow"/>
                <w:sz w:val="20"/>
                <w:szCs w:val="20"/>
              </w:rPr>
              <w:t>BSA</w:t>
            </w:r>
          </w:p>
        </w:tc>
        <w:tc>
          <w:tcPr>
            <w:tcW w:w="628"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AA1D0B">
            <w:pPr>
              <w:keepNext/>
              <w:spacing w:line="256" w:lineRule="auto"/>
              <w:jc w:val="center"/>
              <w:rPr>
                <w:rFonts w:ascii="Arial Narrow" w:hAnsi="Arial Narrow"/>
                <w:sz w:val="20"/>
                <w:szCs w:val="20"/>
                <w:vertAlign w:val="superscript"/>
              </w:rPr>
            </w:pPr>
            <w:r w:rsidRPr="00980D3E">
              <w:rPr>
                <w:rFonts w:ascii="Arial Narrow" w:hAnsi="Arial Narrow"/>
                <w:sz w:val="20"/>
                <w:szCs w:val="20"/>
              </w:rPr>
              <w:t xml:space="preserve">1.81 </w:t>
            </w:r>
          </w:p>
        </w:tc>
        <w:tc>
          <w:tcPr>
            <w:tcW w:w="551"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AA1D0B">
            <w:pPr>
              <w:keepNext/>
              <w:spacing w:line="256" w:lineRule="auto"/>
              <w:jc w:val="center"/>
              <w:rPr>
                <w:rFonts w:ascii="Arial Narrow" w:hAnsi="Arial Narrow"/>
                <w:sz w:val="20"/>
                <w:szCs w:val="20"/>
              </w:rPr>
            </w:pPr>
            <w:r w:rsidRPr="00980D3E">
              <w:rPr>
                <w:rFonts w:ascii="Arial Narrow" w:hAnsi="Arial Narrow"/>
                <w:sz w:val="20"/>
                <w:szCs w:val="20"/>
              </w:rPr>
              <w:t>NR</w:t>
            </w:r>
          </w:p>
        </w:tc>
        <w:tc>
          <w:tcPr>
            <w:tcW w:w="550"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AA1D0B">
            <w:pPr>
              <w:spacing w:line="256" w:lineRule="auto"/>
              <w:jc w:val="center"/>
              <w:rPr>
                <w:rFonts w:ascii="Arial Narrow" w:hAnsi="Arial Narrow"/>
                <w:sz w:val="20"/>
                <w:szCs w:val="20"/>
              </w:rPr>
            </w:pPr>
            <w:r w:rsidRPr="00980D3E">
              <w:rPr>
                <w:rFonts w:ascii="Arial Narrow" w:hAnsi="Arial Narrow"/>
                <w:sz w:val="20"/>
                <w:szCs w:val="20"/>
              </w:rPr>
              <w:t xml:space="preserve">1.81 </w:t>
            </w:r>
          </w:p>
        </w:tc>
        <w:tc>
          <w:tcPr>
            <w:tcW w:w="552" w:type="pct"/>
            <w:tcBorders>
              <w:top w:val="single" w:sz="4" w:space="0" w:color="auto"/>
              <w:left w:val="single" w:sz="4" w:space="0" w:color="auto"/>
              <w:bottom w:val="single" w:sz="4" w:space="0" w:color="auto"/>
              <w:right w:val="single" w:sz="4" w:space="0" w:color="auto"/>
            </w:tcBorders>
            <w:vAlign w:val="center"/>
          </w:tcPr>
          <w:p w:rsidR="00AA1D0B" w:rsidRPr="00980D3E" w:rsidRDefault="003628B6" w:rsidP="00AA1D0B">
            <w:pPr>
              <w:spacing w:line="256" w:lineRule="auto"/>
              <w:jc w:val="center"/>
              <w:rPr>
                <w:rFonts w:ascii="Arial Narrow" w:hAnsi="Arial Narrow"/>
                <w:sz w:val="20"/>
                <w:szCs w:val="20"/>
              </w:rPr>
            </w:pPr>
            <w:r w:rsidRPr="00980D3E">
              <w:rPr>
                <w:rFonts w:ascii="Arial Narrow" w:hAnsi="Arial Narrow"/>
                <w:sz w:val="20"/>
                <w:szCs w:val="20"/>
              </w:rPr>
              <w:t>NR</w:t>
            </w:r>
          </w:p>
        </w:tc>
        <w:tc>
          <w:tcPr>
            <w:tcW w:w="632"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AA1D0B">
            <w:pPr>
              <w:keepNext/>
              <w:spacing w:line="256" w:lineRule="auto"/>
              <w:jc w:val="center"/>
              <w:rPr>
                <w:rFonts w:ascii="Arial Narrow" w:hAnsi="Arial Narrow"/>
                <w:sz w:val="20"/>
                <w:szCs w:val="20"/>
              </w:rPr>
            </w:pPr>
            <w:r w:rsidRPr="00980D3E">
              <w:rPr>
                <w:rFonts w:ascii="Arial Narrow" w:hAnsi="Arial Narrow"/>
                <w:sz w:val="20"/>
                <w:szCs w:val="20"/>
              </w:rPr>
              <w:t>NA</w:t>
            </w:r>
          </w:p>
        </w:tc>
        <w:tc>
          <w:tcPr>
            <w:tcW w:w="548"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AA1D0B">
            <w:pPr>
              <w:keepNext/>
              <w:spacing w:line="256" w:lineRule="auto"/>
              <w:jc w:val="center"/>
              <w:rPr>
                <w:rFonts w:ascii="Arial Narrow" w:hAnsi="Arial Narrow"/>
                <w:sz w:val="20"/>
                <w:szCs w:val="20"/>
              </w:rPr>
            </w:pPr>
            <w:r w:rsidRPr="00980D3E">
              <w:rPr>
                <w:rFonts w:ascii="Arial Narrow" w:hAnsi="Arial Narrow"/>
                <w:sz w:val="20"/>
                <w:szCs w:val="20"/>
              </w:rPr>
              <w:t>NA</w:t>
            </w:r>
          </w:p>
        </w:tc>
        <w:tc>
          <w:tcPr>
            <w:tcW w:w="600"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AA1D0B">
            <w:pPr>
              <w:keepNext/>
              <w:spacing w:line="256" w:lineRule="auto"/>
              <w:jc w:val="center"/>
              <w:rPr>
                <w:rFonts w:ascii="Arial Narrow" w:hAnsi="Arial Narrow"/>
                <w:sz w:val="20"/>
                <w:szCs w:val="20"/>
              </w:rPr>
            </w:pPr>
            <w:r w:rsidRPr="00980D3E">
              <w:rPr>
                <w:rFonts w:ascii="Arial Narrow" w:hAnsi="Arial Narrow"/>
                <w:sz w:val="20"/>
                <w:szCs w:val="20"/>
              </w:rPr>
              <w:t>NA</w:t>
            </w:r>
          </w:p>
        </w:tc>
      </w:tr>
      <w:tr w:rsidR="00AA1D0B" w:rsidRPr="00980D3E" w:rsidTr="007715ED">
        <w:trPr>
          <w:jc w:val="center"/>
        </w:trPr>
        <w:tc>
          <w:tcPr>
            <w:tcW w:w="939" w:type="pct"/>
            <w:tcBorders>
              <w:top w:val="single" w:sz="4" w:space="0" w:color="auto"/>
              <w:left w:val="single" w:sz="4" w:space="0" w:color="auto"/>
              <w:bottom w:val="single" w:sz="4" w:space="0" w:color="auto"/>
              <w:right w:val="single" w:sz="4" w:space="0" w:color="auto"/>
            </w:tcBorders>
            <w:vAlign w:val="center"/>
          </w:tcPr>
          <w:p w:rsidR="00AA1D0B" w:rsidRPr="00980D3E" w:rsidRDefault="003628B6" w:rsidP="00AA1D0B">
            <w:pPr>
              <w:keepNext/>
              <w:spacing w:line="256" w:lineRule="auto"/>
              <w:jc w:val="left"/>
              <w:rPr>
                <w:rFonts w:ascii="Arial Narrow" w:hAnsi="Arial Narrow"/>
                <w:sz w:val="20"/>
                <w:szCs w:val="20"/>
              </w:rPr>
            </w:pPr>
            <w:r w:rsidRPr="00980D3E">
              <w:rPr>
                <w:rFonts w:ascii="Arial Narrow" w:hAnsi="Arial Narrow"/>
                <w:sz w:val="20"/>
                <w:szCs w:val="20"/>
              </w:rPr>
              <w:t>Vials per dose</w:t>
            </w:r>
          </w:p>
        </w:tc>
        <w:tc>
          <w:tcPr>
            <w:tcW w:w="628"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3F6FCD">
            <w:pPr>
              <w:keepNext/>
              <w:spacing w:line="256" w:lineRule="auto"/>
              <w:jc w:val="center"/>
              <w:rPr>
                <w:rFonts w:ascii="Arial Narrow" w:hAnsi="Arial Narrow"/>
                <w:sz w:val="20"/>
                <w:szCs w:val="20"/>
                <w:vertAlign w:val="superscript"/>
              </w:rPr>
            </w:pPr>
            <w:r w:rsidRPr="00980D3E">
              <w:rPr>
                <w:rFonts w:ascii="Arial Narrow" w:hAnsi="Arial Narrow"/>
                <w:sz w:val="20"/>
                <w:szCs w:val="20"/>
              </w:rPr>
              <w:t>4.6</w:t>
            </w:r>
            <w:r w:rsidR="004C4381" w:rsidRPr="00980D3E">
              <w:rPr>
                <w:rFonts w:ascii="Arial Narrow" w:hAnsi="Arial Narrow"/>
                <w:sz w:val="20"/>
                <w:szCs w:val="20"/>
                <w:vertAlign w:val="superscript"/>
              </w:rPr>
              <w:t>b</w:t>
            </w:r>
          </w:p>
        </w:tc>
        <w:tc>
          <w:tcPr>
            <w:tcW w:w="551"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AA1D0B">
            <w:pPr>
              <w:keepNext/>
              <w:spacing w:line="256" w:lineRule="auto"/>
              <w:jc w:val="center"/>
              <w:rPr>
                <w:rFonts w:ascii="Arial Narrow" w:hAnsi="Arial Narrow"/>
                <w:sz w:val="20"/>
                <w:szCs w:val="20"/>
              </w:rPr>
            </w:pPr>
            <w:r w:rsidRPr="00980D3E">
              <w:rPr>
                <w:rFonts w:ascii="Arial Narrow" w:hAnsi="Arial Narrow"/>
                <w:sz w:val="20"/>
                <w:szCs w:val="20"/>
              </w:rPr>
              <w:t>NR</w:t>
            </w:r>
          </w:p>
        </w:tc>
        <w:tc>
          <w:tcPr>
            <w:tcW w:w="550"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3F6FCD">
            <w:pPr>
              <w:spacing w:line="256" w:lineRule="auto"/>
              <w:jc w:val="center"/>
              <w:rPr>
                <w:rFonts w:ascii="Arial Narrow" w:hAnsi="Arial Narrow"/>
                <w:sz w:val="20"/>
                <w:szCs w:val="20"/>
              </w:rPr>
            </w:pPr>
            <w:r w:rsidRPr="00980D3E">
              <w:rPr>
                <w:rFonts w:ascii="Arial Narrow" w:hAnsi="Arial Narrow"/>
                <w:sz w:val="20"/>
                <w:szCs w:val="20"/>
              </w:rPr>
              <w:t>4.6</w:t>
            </w:r>
            <w:r w:rsidR="004C4381" w:rsidRPr="00980D3E">
              <w:rPr>
                <w:rFonts w:ascii="Arial Narrow" w:hAnsi="Arial Narrow"/>
                <w:sz w:val="20"/>
                <w:szCs w:val="20"/>
                <w:vertAlign w:val="superscript"/>
              </w:rPr>
              <w:t>b</w:t>
            </w:r>
          </w:p>
        </w:tc>
        <w:tc>
          <w:tcPr>
            <w:tcW w:w="552" w:type="pct"/>
            <w:tcBorders>
              <w:top w:val="single" w:sz="4" w:space="0" w:color="auto"/>
              <w:left w:val="single" w:sz="4" w:space="0" w:color="auto"/>
              <w:bottom w:val="single" w:sz="4" w:space="0" w:color="auto"/>
              <w:right w:val="single" w:sz="4" w:space="0" w:color="auto"/>
            </w:tcBorders>
            <w:vAlign w:val="center"/>
          </w:tcPr>
          <w:p w:rsidR="00AA1D0B" w:rsidRPr="00980D3E" w:rsidRDefault="003628B6" w:rsidP="00AA1D0B">
            <w:pPr>
              <w:spacing w:line="256" w:lineRule="auto"/>
              <w:jc w:val="center"/>
              <w:rPr>
                <w:rFonts w:ascii="Arial Narrow" w:hAnsi="Arial Narrow"/>
                <w:sz w:val="20"/>
                <w:szCs w:val="20"/>
              </w:rPr>
            </w:pPr>
            <w:r w:rsidRPr="00980D3E">
              <w:rPr>
                <w:rFonts w:ascii="Arial Narrow" w:hAnsi="Arial Narrow"/>
                <w:sz w:val="20"/>
                <w:szCs w:val="20"/>
              </w:rPr>
              <w:t>5</w:t>
            </w:r>
          </w:p>
        </w:tc>
        <w:tc>
          <w:tcPr>
            <w:tcW w:w="632"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AA1D0B">
            <w:pPr>
              <w:keepNext/>
              <w:spacing w:line="256" w:lineRule="auto"/>
              <w:jc w:val="center"/>
              <w:rPr>
                <w:rFonts w:ascii="Arial Narrow" w:hAnsi="Arial Narrow"/>
                <w:sz w:val="20"/>
                <w:szCs w:val="20"/>
              </w:rPr>
            </w:pPr>
            <w:r w:rsidRPr="00980D3E">
              <w:rPr>
                <w:rFonts w:ascii="Arial Narrow" w:hAnsi="Arial Narrow"/>
                <w:sz w:val="20"/>
                <w:szCs w:val="20"/>
              </w:rPr>
              <w:t>NA</w:t>
            </w:r>
          </w:p>
        </w:tc>
        <w:tc>
          <w:tcPr>
            <w:tcW w:w="548"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AA1D0B">
            <w:pPr>
              <w:keepNext/>
              <w:spacing w:line="256" w:lineRule="auto"/>
              <w:jc w:val="center"/>
              <w:rPr>
                <w:rFonts w:ascii="Arial Narrow" w:hAnsi="Arial Narrow"/>
                <w:sz w:val="20"/>
                <w:szCs w:val="20"/>
              </w:rPr>
            </w:pPr>
            <w:r w:rsidRPr="00980D3E">
              <w:rPr>
                <w:rFonts w:ascii="Arial Narrow" w:hAnsi="Arial Narrow"/>
                <w:sz w:val="20"/>
                <w:szCs w:val="20"/>
              </w:rPr>
              <w:t>NA</w:t>
            </w:r>
          </w:p>
        </w:tc>
        <w:tc>
          <w:tcPr>
            <w:tcW w:w="600" w:type="pct"/>
            <w:tcBorders>
              <w:top w:val="single" w:sz="4" w:space="0" w:color="auto"/>
              <w:left w:val="single" w:sz="4" w:space="0" w:color="auto"/>
              <w:bottom w:val="single" w:sz="4" w:space="0" w:color="auto"/>
              <w:right w:val="single" w:sz="4" w:space="0" w:color="auto"/>
            </w:tcBorders>
            <w:vAlign w:val="center"/>
          </w:tcPr>
          <w:p w:rsidR="00AA1D0B" w:rsidRPr="00980D3E" w:rsidRDefault="00AA1D0B" w:rsidP="00AA1D0B">
            <w:pPr>
              <w:keepNext/>
              <w:spacing w:line="256" w:lineRule="auto"/>
              <w:jc w:val="center"/>
              <w:rPr>
                <w:rFonts w:ascii="Arial Narrow" w:hAnsi="Arial Narrow"/>
                <w:sz w:val="20"/>
                <w:szCs w:val="20"/>
              </w:rPr>
            </w:pPr>
            <w:r w:rsidRPr="00980D3E">
              <w:rPr>
                <w:rFonts w:ascii="Arial Narrow" w:hAnsi="Arial Narrow"/>
                <w:sz w:val="20"/>
                <w:szCs w:val="20"/>
              </w:rPr>
              <w:t>NA</w:t>
            </w:r>
          </w:p>
        </w:tc>
      </w:tr>
      <w:tr w:rsidR="008B669E" w:rsidRPr="00980D3E" w:rsidTr="007715ED">
        <w:trPr>
          <w:jc w:val="center"/>
        </w:trPr>
        <w:tc>
          <w:tcPr>
            <w:tcW w:w="939"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A41A76">
            <w:pPr>
              <w:keepNext/>
              <w:spacing w:line="256" w:lineRule="auto"/>
              <w:jc w:val="left"/>
              <w:rPr>
                <w:rFonts w:ascii="Arial Narrow" w:hAnsi="Arial Narrow"/>
                <w:sz w:val="20"/>
                <w:szCs w:val="20"/>
              </w:rPr>
            </w:pPr>
            <w:r w:rsidRPr="00980D3E">
              <w:rPr>
                <w:rFonts w:ascii="Arial Narrow" w:hAnsi="Arial Narrow"/>
                <w:sz w:val="20"/>
                <w:szCs w:val="20"/>
              </w:rPr>
              <w:t>Cost/patient/</w:t>
            </w:r>
          </w:p>
          <w:p w:rsidR="008B669E" w:rsidRPr="00980D3E" w:rsidRDefault="008B669E" w:rsidP="00A41A76">
            <w:pPr>
              <w:keepNext/>
              <w:spacing w:line="256" w:lineRule="auto"/>
              <w:jc w:val="left"/>
              <w:rPr>
                <w:rFonts w:ascii="Arial Narrow" w:hAnsi="Arial Narrow"/>
                <w:sz w:val="20"/>
                <w:szCs w:val="20"/>
              </w:rPr>
            </w:pPr>
            <w:r w:rsidRPr="00980D3E">
              <w:rPr>
                <w:rFonts w:ascii="Arial Narrow" w:hAnsi="Arial Narrow"/>
                <w:sz w:val="20"/>
                <w:szCs w:val="20"/>
              </w:rPr>
              <w:t>cycle</w:t>
            </w:r>
          </w:p>
        </w:tc>
        <w:tc>
          <w:tcPr>
            <w:tcW w:w="628" w:type="pct"/>
            <w:tcBorders>
              <w:top w:val="single" w:sz="4" w:space="0" w:color="auto"/>
              <w:left w:val="single" w:sz="4" w:space="0" w:color="auto"/>
              <w:bottom w:val="single" w:sz="4" w:space="0" w:color="auto"/>
              <w:right w:val="single" w:sz="4" w:space="0" w:color="auto"/>
            </w:tcBorders>
            <w:vAlign w:val="center"/>
          </w:tcPr>
          <w:p w:rsidR="008B669E" w:rsidRPr="00980D3E" w:rsidRDefault="00676FB7" w:rsidP="003F6FCD">
            <w:pPr>
              <w:keepNext/>
              <w:spacing w:line="256" w:lineRule="auto"/>
              <w:jc w:val="center"/>
              <w:rPr>
                <w:rFonts w:ascii="Arial Narrow" w:hAnsi="Arial Narrow"/>
                <w:sz w:val="20"/>
                <w:szCs w:val="20"/>
                <w:vertAlign w:val="superscript"/>
              </w:rPr>
            </w:pPr>
            <w:r w:rsidRPr="00980D3E">
              <w:rPr>
                <w:rFonts w:ascii="Arial Narrow" w:hAnsi="Arial Narrow"/>
                <w:sz w:val="20"/>
                <w:szCs w:val="20"/>
              </w:rPr>
              <w:t>$</w:t>
            </w:r>
            <w:r w:rsidR="00F11546">
              <w:rPr>
                <w:rFonts w:ascii="Arial Narrow" w:hAnsi="Arial Narrow"/>
                <w:noProof/>
                <w:color w:val="000000"/>
                <w:sz w:val="20"/>
                <w:szCs w:val="20"/>
                <w:highlight w:val="black"/>
              </w:rPr>
              <w:t>'''''''''''''''''''''</w:t>
            </w:r>
            <w:r w:rsidR="00BF4035" w:rsidRPr="00980D3E">
              <w:rPr>
                <w:rFonts w:ascii="Arial Narrow" w:hAnsi="Arial Narrow"/>
                <w:sz w:val="20"/>
                <w:szCs w:val="20"/>
                <w:vertAlign w:val="superscript"/>
              </w:rPr>
              <w:t>c</w:t>
            </w:r>
          </w:p>
        </w:tc>
        <w:tc>
          <w:tcPr>
            <w:tcW w:w="551"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D4663C">
            <w:pPr>
              <w:keepNext/>
              <w:spacing w:line="256" w:lineRule="auto"/>
              <w:jc w:val="center"/>
              <w:rPr>
                <w:rFonts w:ascii="Arial Narrow" w:hAnsi="Arial Narrow"/>
                <w:sz w:val="20"/>
                <w:szCs w:val="20"/>
                <w:vertAlign w:val="superscript"/>
              </w:rPr>
            </w:pPr>
            <w:r w:rsidRPr="00C3598E">
              <w:rPr>
                <w:rFonts w:ascii="Arial Narrow" w:hAnsi="Arial Narrow"/>
                <w:sz w:val="20"/>
                <w:szCs w:val="20"/>
              </w:rPr>
              <w:t>$</w:t>
            </w:r>
            <w:r w:rsidR="00F11546">
              <w:rPr>
                <w:rFonts w:ascii="Arial Narrow" w:hAnsi="Arial Narrow"/>
                <w:noProof/>
                <w:color w:val="000000"/>
                <w:sz w:val="20"/>
                <w:szCs w:val="20"/>
                <w:highlight w:val="black"/>
              </w:rPr>
              <w:t>'''''''''''''''''''''''</w:t>
            </w:r>
            <w:r w:rsidR="00BF4035" w:rsidRPr="00C3598E">
              <w:rPr>
                <w:rFonts w:ascii="Arial Narrow" w:hAnsi="Arial Narrow"/>
                <w:sz w:val="20"/>
                <w:szCs w:val="20"/>
                <w:vertAlign w:val="superscript"/>
              </w:rPr>
              <w:t>d</w:t>
            </w:r>
          </w:p>
        </w:tc>
        <w:tc>
          <w:tcPr>
            <w:tcW w:w="550" w:type="pct"/>
            <w:tcBorders>
              <w:top w:val="single" w:sz="4" w:space="0" w:color="auto"/>
              <w:left w:val="single" w:sz="4" w:space="0" w:color="auto"/>
              <w:bottom w:val="single" w:sz="4" w:space="0" w:color="auto"/>
              <w:right w:val="single" w:sz="4" w:space="0" w:color="auto"/>
            </w:tcBorders>
            <w:vAlign w:val="center"/>
          </w:tcPr>
          <w:p w:rsidR="008B669E" w:rsidRPr="00980D3E" w:rsidRDefault="00BC5D53" w:rsidP="00D4663C">
            <w:pPr>
              <w:spacing w:line="256" w:lineRule="auto"/>
              <w:jc w:val="center"/>
              <w:rPr>
                <w:rFonts w:ascii="Arial Narrow" w:hAnsi="Arial Narrow"/>
                <w:sz w:val="20"/>
                <w:szCs w:val="20"/>
                <w:vertAlign w:val="superscript"/>
              </w:rPr>
            </w:pPr>
            <w:r w:rsidRPr="00980D3E">
              <w:rPr>
                <w:rFonts w:ascii="Arial Narrow" w:hAnsi="Arial Narrow"/>
                <w:sz w:val="20"/>
                <w:szCs w:val="20"/>
              </w:rPr>
              <w:t>$</w:t>
            </w:r>
            <w:r w:rsidR="00F11546">
              <w:rPr>
                <w:rFonts w:ascii="Arial Narrow" w:hAnsi="Arial Narrow"/>
                <w:noProof/>
                <w:color w:val="000000"/>
                <w:sz w:val="20"/>
                <w:szCs w:val="20"/>
                <w:highlight w:val="black"/>
              </w:rPr>
              <w:t>''''''''''''''''''''''</w:t>
            </w:r>
            <w:r w:rsidR="003F6FCD" w:rsidRPr="00980D3E">
              <w:rPr>
                <w:rFonts w:ascii="Arial Narrow" w:hAnsi="Arial Narrow"/>
                <w:sz w:val="20"/>
                <w:szCs w:val="20"/>
                <w:vertAlign w:val="superscript"/>
              </w:rPr>
              <w:t>e</w:t>
            </w:r>
          </w:p>
        </w:tc>
        <w:tc>
          <w:tcPr>
            <w:tcW w:w="552"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D4663C">
            <w:pPr>
              <w:spacing w:line="256" w:lineRule="auto"/>
              <w:jc w:val="center"/>
              <w:rPr>
                <w:rFonts w:ascii="Arial Narrow" w:hAnsi="Arial Narrow"/>
                <w:sz w:val="20"/>
                <w:szCs w:val="20"/>
              </w:rPr>
            </w:pPr>
            <w:r w:rsidRPr="00980D3E">
              <w:rPr>
                <w:rFonts w:ascii="Arial Narrow" w:hAnsi="Arial Narrow"/>
                <w:sz w:val="20"/>
                <w:szCs w:val="20"/>
              </w:rPr>
              <w:t>$</w:t>
            </w:r>
            <w:r w:rsidR="00F11546">
              <w:rPr>
                <w:rFonts w:ascii="Arial Narrow" w:hAnsi="Arial Narrow"/>
                <w:noProof/>
                <w:color w:val="000000"/>
                <w:sz w:val="20"/>
                <w:szCs w:val="20"/>
                <w:highlight w:val="black"/>
              </w:rPr>
              <w:t>'''''''''''''''''''''</w:t>
            </w:r>
            <w:r w:rsidR="003F6FCD" w:rsidRPr="00980D3E">
              <w:rPr>
                <w:rFonts w:ascii="Arial Narrow" w:hAnsi="Arial Narrow"/>
                <w:sz w:val="20"/>
                <w:szCs w:val="20"/>
                <w:vertAlign w:val="superscript"/>
              </w:rPr>
              <w:t>f</w:t>
            </w:r>
          </w:p>
        </w:tc>
        <w:tc>
          <w:tcPr>
            <w:tcW w:w="632"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$10,547.29 (private)</w:t>
            </w:r>
          </w:p>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$10,500.00 (public)</w:t>
            </w:r>
          </w:p>
        </w:tc>
        <w:tc>
          <w:tcPr>
            <w:tcW w:w="548" w:type="pct"/>
            <w:tcBorders>
              <w:top w:val="single" w:sz="4" w:space="0" w:color="auto"/>
              <w:left w:val="single" w:sz="4" w:space="0" w:color="auto"/>
              <w:bottom w:val="single" w:sz="4" w:space="0" w:color="auto"/>
              <w:right w:val="single" w:sz="4" w:space="0" w:color="auto"/>
            </w:tcBorders>
            <w:vAlign w:val="center"/>
          </w:tcPr>
          <w:p w:rsidR="008B669E" w:rsidRPr="00980D3E" w:rsidRDefault="00D4663C" w:rsidP="00D4663C">
            <w:pPr>
              <w:keepNext/>
              <w:spacing w:line="256" w:lineRule="auto"/>
              <w:jc w:val="center"/>
              <w:rPr>
                <w:rFonts w:ascii="Arial Narrow" w:hAnsi="Arial Narrow"/>
                <w:sz w:val="20"/>
                <w:szCs w:val="20"/>
              </w:rPr>
            </w:pPr>
            <w:r w:rsidRPr="00980D3E">
              <w:rPr>
                <w:rFonts w:ascii="Arial Narrow" w:hAnsi="Arial Narrow"/>
                <w:sz w:val="20"/>
                <w:szCs w:val="20"/>
              </w:rPr>
              <w:t>$10,547.29</w:t>
            </w:r>
          </w:p>
        </w:tc>
        <w:tc>
          <w:tcPr>
            <w:tcW w:w="600"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$10,547.29 (private)</w:t>
            </w:r>
          </w:p>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$10,500.00 (public)</w:t>
            </w:r>
          </w:p>
        </w:tc>
      </w:tr>
      <w:tr w:rsidR="008B669E" w:rsidRPr="00980D3E" w:rsidTr="007715ED">
        <w:trPr>
          <w:jc w:val="center"/>
        </w:trPr>
        <w:tc>
          <w:tcPr>
            <w:tcW w:w="939" w:type="pct"/>
            <w:tcBorders>
              <w:top w:val="single" w:sz="4" w:space="0" w:color="auto"/>
              <w:left w:val="single" w:sz="4" w:space="0" w:color="auto"/>
              <w:bottom w:val="single" w:sz="4" w:space="0" w:color="auto"/>
              <w:right w:val="single" w:sz="4" w:space="0" w:color="auto"/>
            </w:tcBorders>
            <w:vAlign w:val="center"/>
            <w:hideMark/>
          </w:tcPr>
          <w:p w:rsidR="008B669E" w:rsidRPr="00980D3E" w:rsidRDefault="008B669E" w:rsidP="008B669E">
            <w:pPr>
              <w:keepNext/>
              <w:spacing w:line="256" w:lineRule="auto"/>
              <w:jc w:val="left"/>
              <w:rPr>
                <w:rFonts w:ascii="Arial Narrow" w:hAnsi="Arial Narrow"/>
                <w:sz w:val="20"/>
                <w:szCs w:val="20"/>
              </w:rPr>
            </w:pPr>
            <w:r w:rsidRPr="00980D3E">
              <w:rPr>
                <w:rFonts w:ascii="Arial Narrow" w:hAnsi="Arial Narrow"/>
                <w:sz w:val="20"/>
                <w:szCs w:val="20"/>
              </w:rPr>
              <w:t>Cost/patient/</w:t>
            </w:r>
          </w:p>
          <w:p w:rsidR="008B669E" w:rsidRPr="00980D3E" w:rsidRDefault="008B669E" w:rsidP="008B669E">
            <w:pPr>
              <w:keepNext/>
              <w:spacing w:line="256" w:lineRule="auto"/>
              <w:jc w:val="left"/>
              <w:rPr>
                <w:rFonts w:ascii="Arial Narrow" w:hAnsi="Arial Narrow"/>
                <w:sz w:val="20"/>
                <w:szCs w:val="20"/>
              </w:rPr>
            </w:pPr>
            <w:r w:rsidRPr="00980D3E">
              <w:rPr>
                <w:rFonts w:ascii="Arial Narrow" w:hAnsi="Arial Narrow"/>
                <w:sz w:val="20"/>
                <w:szCs w:val="20"/>
              </w:rPr>
              <w:t>course</w:t>
            </w:r>
          </w:p>
        </w:tc>
        <w:tc>
          <w:tcPr>
            <w:tcW w:w="628" w:type="pct"/>
            <w:tcBorders>
              <w:top w:val="single" w:sz="4" w:space="0" w:color="auto"/>
              <w:left w:val="single" w:sz="4" w:space="0" w:color="auto"/>
              <w:bottom w:val="single" w:sz="4" w:space="0" w:color="auto"/>
              <w:right w:val="single" w:sz="4" w:space="0" w:color="auto"/>
            </w:tcBorders>
            <w:vAlign w:val="center"/>
          </w:tcPr>
          <w:p w:rsidR="008B669E" w:rsidRPr="00980D3E" w:rsidRDefault="0018410F" w:rsidP="00A41A76">
            <w:pPr>
              <w:keepNext/>
              <w:spacing w:line="256" w:lineRule="auto"/>
              <w:jc w:val="center"/>
              <w:rPr>
                <w:rFonts w:ascii="Arial Narrow" w:hAnsi="Arial Narrow"/>
                <w:sz w:val="20"/>
                <w:szCs w:val="20"/>
              </w:rPr>
            </w:pPr>
            <w:r w:rsidRPr="00980D3E">
              <w:rPr>
                <w:rFonts w:ascii="Arial Narrow" w:hAnsi="Arial Narrow"/>
                <w:sz w:val="20"/>
                <w:szCs w:val="20"/>
              </w:rPr>
              <w:t>$</w:t>
            </w:r>
            <w:r w:rsidR="00F11546">
              <w:rPr>
                <w:rFonts w:ascii="Arial Narrow" w:hAnsi="Arial Narrow"/>
                <w:noProof/>
                <w:color w:val="000000"/>
                <w:sz w:val="20"/>
                <w:szCs w:val="20"/>
                <w:highlight w:val="black"/>
              </w:rPr>
              <w:t>''''''''''''''''</w:t>
            </w:r>
          </w:p>
        </w:tc>
        <w:tc>
          <w:tcPr>
            <w:tcW w:w="551"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w:t>
            </w:r>
            <w:r w:rsidR="00F11546">
              <w:rPr>
                <w:rFonts w:ascii="Arial Narrow" w:hAnsi="Arial Narrow"/>
                <w:noProof/>
                <w:color w:val="000000"/>
                <w:sz w:val="20"/>
                <w:szCs w:val="20"/>
                <w:highlight w:val="black"/>
              </w:rPr>
              <w:t>'''''''''''''''''</w:t>
            </w:r>
          </w:p>
        </w:tc>
        <w:tc>
          <w:tcPr>
            <w:tcW w:w="550" w:type="pct"/>
            <w:tcBorders>
              <w:top w:val="single" w:sz="4" w:space="0" w:color="auto"/>
              <w:left w:val="single" w:sz="4" w:space="0" w:color="auto"/>
              <w:bottom w:val="single" w:sz="4" w:space="0" w:color="auto"/>
              <w:right w:val="single" w:sz="4" w:space="0" w:color="auto"/>
            </w:tcBorders>
            <w:vAlign w:val="center"/>
          </w:tcPr>
          <w:p w:rsidR="008B669E" w:rsidRPr="00980D3E" w:rsidRDefault="00C029C2" w:rsidP="00A41A76">
            <w:pPr>
              <w:keepNext/>
              <w:spacing w:line="256" w:lineRule="auto"/>
              <w:jc w:val="center"/>
              <w:rPr>
                <w:rFonts w:ascii="Arial Narrow" w:hAnsi="Arial Narrow"/>
                <w:sz w:val="20"/>
                <w:szCs w:val="20"/>
              </w:rPr>
            </w:pPr>
            <w:r w:rsidRPr="00980D3E">
              <w:rPr>
                <w:rFonts w:ascii="Arial Narrow" w:hAnsi="Arial Narrow"/>
                <w:sz w:val="20"/>
                <w:szCs w:val="20"/>
              </w:rPr>
              <w:t>$</w:t>
            </w:r>
            <w:r w:rsidR="00F11546">
              <w:rPr>
                <w:rFonts w:ascii="Arial Narrow" w:hAnsi="Arial Narrow"/>
                <w:noProof/>
                <w:color w:val="000000"/>
                <w:sz w:val="20"/>
                <w:szCs w:val="20"/>
                <w:highlight w:val="black"/>
              </w:rPr>
              <w:t>'''''''''''''''''</w:t>
            </w:r>
          </w:p>
        </w:tc>
        <w:tc>
          <w:tcPr>
            <w:tcW w:w="552"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A41A76">
            <w:pPr>
              <w:keepNext/>
              <w:spacing w:line="256" w:lineRule="auto"/>
              <w:jc w:val="center"/>
              <w:rPr>
                <w:rFonts w:ascii="Arial Narrow" w:hAnsi="Arial Narrow"/>
                <w:sz w:val="20"/>
                <w:szCs w:val="20"/>
              </w:rPr>
            </w:pPr>
            <w:r w:rsidRPr="00980D3E">
              <w:rPr>
                <w:rFonts w:ascii="Arial Narrow" w:hAnsi="Arial Narrow"/>
                <w:sz w:val="20"/>
                <w:szCs w:val="20"/>
              </w:rPr>
              <w:t>$</w:t>
            </w:r>
            <w:r w:rsidR="00F11546">
              <w:rPr>
                <w:rFonts w:ascii="Arial Narrow" w:hAnsi="Arial Narrow"/>
                <w:noProof/>
                <w:color w:val="000000"/>
                <w:sz w:val="20"/>
                <w:szCs w:val="20"/>
                <w:highlight w:val="black"/>
              </w:rPr>
              <w:t>''''''''''''''''</w:t>
            </w:r>
          </w:p>
        </w:tc>
        <w:tc>
          <w:tcPr>
            <w:tcW w:w="632"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D4663C">
            <w:pPr>
              <w:keepNext/>
              <w:spacing w:line="256" w:lineRule="auto"/>
              <w:jc w:val="center"/>
              <w:rPr>
                <w:rFonts w:ascii="Arial Narrow" w:hAnsi="Arial Narrow"/>
                <w:sz w:val="20"/>
                <w:szCs w:val="20"/>
              </w:rPr>
            </w:pPr>
            <w:r w:rsidRPr="00980D3E">
              <w:rPr>
                <w:rFonts w:ascii="Arial Narrow" w:hAnsi="Arial Narrow"/>
                <w:sz w:val="20"/>
                <w:szCs w:val="20"/>
              </w:rPr>
              <w:t>$31,57</w:t>
            </w:r>
            <w:r w:rsidR="00341FE3" w:rsidRPr="00980D3E">
              <w:rPr>
                <w:rFonts w:ascii="Arial Narrow" w:hAnsi="Arial Narrow"/>
                <w:sz w:val="20"/>
                <w:szCs w:val="20"/>
              </w:rPr>
              <w:t>1</w:t>
            </w:r>
            <w:r w:rsidR="003F6FCD" w:rsidRPr="00980D3E">
              <w:rPr>
                <w:rFonts w:ascii="Arial Narrow" w:hAnsi="Arial Narrow"/>
                <w:sz w:val="20"/>
                <w:szCs w:val="20"/>
                <w:vertAlign w:val="superscript"/>
              </w:rPr>
              <w:t>g</w:t>
            </w:r>
          </w:p>
        </w:tc>
        <w:tc>
          <w:tcPr>
            <w:tcW w:w="548" w:type="pct"/>
            <w:tcBorders>
              <w:top w:val="single" w:sz="4" w:space="0" w:color="auto"/>
              <w:left w:val="single" w:sz="4" w:space="0" w:color="auto"/>
              <w:bottom w:val="single" w:sz="4" w:space="0" w:color="auto"/>
              <w:right w:val="single" w:sz="4" w:space="0" w:color="auto"/>
            </w:tcBorders>
            <w:vAlign w:val="center"/>
          </w:tcPr>
          <w:p w:rsidR="008B669E" w:rsidRPr="00980D3E" w:rsidRDefault="00341FE3" w:rsidP="00A41A76">
            <w:pPr>
              <w:keepNext/>
              <w:spacing w:line="256" w:lineRule="auto"/>
              <w:jc w:val="center"/>
              <w:rPr>
                <w:rFonts w:ascii="Arial Narrow" w:hAnsi="Arial Narrow"/>
                <w:sz w:val="20"/>
                <w:szCs w:val="20"/>
              </w:rPr>
            </w:pPr>
            <w:r w:rsidRPr="00980D3E">
              <w:rPr>
                <w:rFonts w:ascii="Arial Narrow" w:hAnsi="Arial Narrow"/>
                <w:sz w:val="20"/>
                <w:szCs w:val="20"/>
              </w:rPr>
              <w:t>$31,642</w:t>
            </w:r>
          </w:p>
        </w:tc>
        <w:tc>
          <w:tcPr>
            <w:tcW w:w="600" w:type="pct"/>
            <w:tcBorders>
              <w:top w:val="single" w:sz="4" w:space="0" w:color="auto"/>
              <w:left w:val="single" w:sz="4" w:space="0" w:color="auto"/>
              <w:bottom w:val="single" w:sz="4" w:space="0" w:color="auto"/>
              <w:right w:val="single" w:sz="4" w:space="0" w:color="auto"/>
            </w:tcBorders>
            <w:vAlign w:val="center"/>
          </w:tcPr>
          <w:p w:rsidR="008B669E" w:rsidRPr="00980D3E" w:rsidRDefault="008B669E" w:rsidP="00D4663C">
            <w:pPr>
              <w:keepNext/>
              <w:spacing w:line="256" w:lineRule="auto"/>
              <w:jc w:val="center"/>
              <w:rPr>
                <w:rFonts w:ascii="Arial Narrow" w:hAnsi="Arial Narrow"/>
                <w:sz w:val="20"/>
                <w:szCs w:val="20"/>
              </w:rPr>
            </w:pPr>
            <w:r w:rsidRPr="00980D3E">
              <w:rPr>
                <w:rFonts w:ascii="Arial Narrow" w:hAnsi="Arial Narrow"/>
                <w:sz w:val="20"/>
                <w:szCs w:val="20"/>
              </w:rPr>
              <w:t>$31,57</w:t>
            </w:r>
            <w:r w:rsidR="00341FE3" w:rsidRPr="00980D3E">
              <w:rPr>
                <w:rFonts w:ascii="Arial Narrow" w:hAnsi="Arial Narrow"/>
                <w:sz w:val="20"/>
                <w:szCs w:val="20"/>
              </w:rPr>
              <w:t>1</w:t>
            </w:r>
            <w:r w:rsidR="003F6FCD" w:rsidRPr="00980D3E">
              <w:rPr>
                <w:rFonts w:ascii="Arial Narrow" w:hAnsi="Arial Narrow"/>
                <w:sz w:val="20"/>
                <w:szCs w:val="20"/>
                <w:vertAlign w:val="superscript"/>
              </w:rPr>
              <w:t>g</w:t>
            </w:r>
          </w:p>
        </w:tc>
      </w:tr>
    </w:tbl>
    <w:p w:rsidR="00273505" w:rsidRPr="00980D3E" w:rsidRDefault="00273505" w:rsidP="007715ED">
      <w:pPr>
        <w:pStyle w:val="TableFigureFooter"/>
      </w:pPr>
      <w:r w:rsidRPr="00980D3E">
        <w:t>Source: March 2020 resubmission</w:t>
      </w:r>
      <w:r w:rsidR="00980D3E">
        <w:t xml:space="preserve">. </w:t>
      </w:r>
    </w:p>
    <w:p w:rsidR="008B669E" w:rsidRPr="00980D3E" w:rsidRDefault="00FA45B4" w:rsidP="007715ED">
      <w:pPr>
        <w:pStyle w:val="TableFigureFooter"/>
      </w:pPr>
      <w:r w:rsidRPr="00980D3E">
        <w:t xml:space="preserve">AE = adverse event; </w:t>
      </w:r>
      <w:r w:rsidR="008B669E" w:rsidRPr="00980D3E">
        <w:t>CMA = cost minimisation analysis;</w:t>
      </w:r>
      <w:r w:rsidR="00273505" w:rsidRPr="00980D3E">
        <w:t xml:space="preserve"> CSR = clinical study report; CUA</w:t>
      </w:r>
      <w:r w:rsidR="008B669E" w:rsidRPr="00980D3E">
        <w:t xml:space="preserve"> = cost utility analysis</w:t>
      </w:r>
      <w:r w:rsidR="00771519" w:rsidRPr="00980D3E">
        <w:t>; DPMA = dispensed price for maximum amount</w:t>
      </w:r>
      <w:r w:rsidR="0018410F" w:rsidRPr="00980D3E">
        <w:t>; DPMQ = dispensed price for maximum quantity</w:t>
      </w:r>
      <w:r w:rsidR="00675FCF" w:rsidRPr="00980D3E">
        <w:t xml:space="preserve">; </w:t>
      </w:r>
      <w:r w:rsidR="006714FB" w:rsidRPr="00980D3E">
        <w:t xml:space="preserve">NA = not applicable; </w:t>
      </w:r>
      <w:r w:rsidR="00AA1D0B" w:rsidRPr="00980D3E">
        <w:t>NR = not reported</w:t>
      </w:r>
    </w:p>
    <w:p w:rsidR="008B669E" w:rsidRPr="00980D3E" w:rsidRDefault="008B669E" w:rsidP="007715ED">
      <w:pPr>
        <w:pStyle w:val="TableFigureFooter"/>
      </w:pPr>
      <w:r w:rsidRPr="00980D3E">
        <w:rPr>
          <w:vertAlign w:val="superscript"/>
        </w:rPr>
        <w:t>a</w:t>
      </w:r>
      <w:r w:rsidRPr="00980D3E">
        <w:t xml:space="preserve"> 842 cycles/167 patients, Table 43 ADMYRE CSR</w:t>
      </w:r>
      <w:r w:rsidR="00273505" w:rsidRPr="00980D3E">
        <w:t>.</w:t>
      </w:r>
    </w:p>
    <w:p w:rsidR="00AA1D0B" w:rsidRPr="00980D3E" w:rsidRDefault="008B669E" w:rsidP="007715ED">
      <w:pPr>
        <w:pStyle w:val="TableFigureFooter"/>
      </w:pPr>
      <w:r w:rsidRPr="00980D3E">
        <w:rPr>
          <w:vertAlign w:val="superscript"/>
        </w:rPr>
        <w:t>b</w:t>
      </w:r>
      <w:r w:rsidRPr="00980D3E">
        <w:t xml:space="preserve"> </w:t>
      </w:r>
      <w:r w:rsidR="004C4381" w:rsidRPr="00980D3E">
        <w:t>Based on a BSA of 1.8 m</w:t>
      </w:r>
      <w:r w:rsidR="004C4381" w:rsidRPr="00980D3E">
        <w:rPr>
          <w:vertAlign w:val="superscript"/>
        </w:rPr>
        <w:t>2</w:t>
      </w:r>
      <w:r w:rsidR="004C4381" w:rsidRPr="00980D3E">
        <w:t>, 19.8%, 7.8</w:t>
      </w:r>
      <w:r w:rsidR="003F6FCD" w:rsidRPr="00980D3E">
        <w:t xml:space="preserve">% and </w:t>
      </w:r>
      <w:r w:rsidR="004C4381" w:rsidRPr="00980D3E">
        <w:t>1.2% of patients having one, two, or three dose reductions, respectively based on the ADMYRE trial</w:t>
      </w:r>
    </w:p>
    <w:p w:rsidR="008B669E" w:rsidRPr="00980D3E" w:rsidRDefault="00BF4035" w:rsidP="007715ED">
      <w:pPr>
        <w:pStyle w:val="TableFigureFooter"/>
      </w:pPr>
      <w:r w:rsidRPr="00980D3E">
        <w:rPr>
          <w:vertAlign w:val="superscript"/>
        </w:rPr>
        <w:t>c</w:t>
      </w:r>
      <w:r w:rsidRPr="00980D3E">
        <w:t xml:space="preserve"> </w:t>
      </w:r>
      <w:r w:rsidR="00771519" w:rsidRPr="00980D3E">
        <w:t xml:space="preserve">Cost of plitidepsin accounting for dose interruptions and reductions using weighted </w:t>
      </w:r>
      <w:r w:rsidR="0018410F" w:rsidRPr="00980D3E">
        <w:t>DPMA (Drug acquisition costs E48 = $</w:t>
      </w:r>
      <w:r w:rsidR="00F11546">
        <w:rPr>
          <w:noProof/>
          <w:color w:val="000000"/>
          <w:highlight w:val="black"/>
        </w:rPr>
        <w:t>'''''''''''''''''''</w:t>
      </w:r>
      <w:r w:rsidR="0018410F" w:rsidRPr="00980D3E">
        <w:t xml:space="preserve">). Excludes co-administered medicines. </w:t>
      </w:r>
    </w:p>
    <w:p w:rsidR="0018410F" w:rsidRPr="00980D3E" w:rsidRDefault="00BF4035" w:rsidP="007715ED">
      <w:pPr>
        <w:pStyle w:val="TableFigureFooter"/>
      </w:pPr>
      <w:r w:rsidRPr="00980D3E">
        <w:rPr>
          <w:vertAlign w:val="superscript"/>
        </w:rPr>
        <w:t>d</w:t>
      </w:r>
      <w:r w:rsidR="0018410F" w:rsidRPr="00980D3E">
        <w:t xml:space="preserve"> Cost-minimised plitidepsin price presented in resubmission using DPMQ</w:t>
      </w:r>
      <w:r w:rsidR="00F81DFD" w:rsidRPr="00980D3E">
        <w:t>.</w:t>
      </w:r>
      <w:r w:rsidR="00FA45B4" w:rsidRPr="00980D3E">
        <w:t xml:space="preserve"> Calculated in the submission as cost of total cost of pomalidomide therapy including treatment of AEs ($11,090.07) minus the cost of administration and AE costs of plitidepsin ($</w:t>
      </w:r>
      <w:r w:rsidR="00F11546">
        <w:rPr>
          <w:noProof/>
          <w:color w:val="000000"/>
          <w:highlight w:val="black"/>
        </w:rPr>
        <w:t>''''''''''''''''</w:t>
      </w:r>
      <w:r w:rsidR="00FA45B4" w:rsidRPr="00980D3E">
        <w:t>).</w:t>
      </w:r>
    </w:p>
    <w:p w:rsidR="00C029C2" w:rsidRPr="00980D3E" w:rsidRDefault="003F6FCD" w:rsidP="007715ED">
      <w:pPr>
        <w:pStyle w:val="TableFigureFooter"/>
      </w:pPr>
      <w:r w:rsidRPr="00980D3E">
        <w:rPr>
          <w:sz w:val="20"/>
          <w:vertAlign w:val="superscript"/>
        </w:rPr>
        <w:t>e</w:t>
      </w:r>
      <w:r w:rsidR="008B669E" w:rsidRPr="00980D3E">
        <w:rPr>
          <w:vertAlign w:val="superscript"/>
        </w:rPr>
        <w:t xml:space="preserve"> </w:t>
      </w:r>
      <w:r w:rsidR="00BC5D53" w:rsidRPr="00980D3E">
        <w:t xml:space="preserve">Cost of plitidepsin accounting for dose interruptions and reductions </w:t>
      </w:r>
      <w:r w:rsidR="00C029C2" w:rsidRPr="00980D3E">
        <w:t xml:space="preserve">excluding co-administered medicines. </w:t>
      </w:r>
    </w:p>
    <w:p w:rsidR="008B669E" w:rsidRPr="00980D3E" w:rsidRDefault="003F6FCD" w:rsidP="007715ED">
      <w:pPr>
        <w:pStyle w:val="TableFigureFooter"/>
      </w:pPr>
      <w:r w:rsidRPr="00980D3E">
        <w:rPr>
          <w:vertAlign w:val="superscript"/>
        </w:rPr>
        <w:t>f</w:t>
      </w:r>
      <w:r w:rsidR="00C029C2" w:rsidRPr="00980D3E">
        <w:rPr>
          <w:vertAlign w:val="superscript"/>
        </w:rPr>
        <w:t xml:space="preserve"> </w:t>
      </w:r>
      <w:r w:rsidR="00063AEE" w:rsidRPr="00980D3E">
        <w:t>Weighted DPMQ ($</w:t>
      </w:r>
      <w:r w:rsidR="00F11546">
        <w:rPr>
          <w:noProof/>
          <w:color w:val="000000"/>
          <w:highlight w:val="black"/>
        </w:rPr>
        <w:t>'''''''''''''''''''</w:t>
      </w:r>
      <w:r w:rsidR="00063AEE" w:rsidRPr="00980D3E">
        <w:t>) × 3 doses</w:t>
      </w:r>
    </w:p>
    <w:p w:rsidR="00063AEE" w:rsidRPr="00980D3E" w:rsidRDefault="003F6FCD" w:rsidP="007715ED">
      <w:pPr>
        <w:pStyle w:val="TableFigureFooter"/>
      </w:pPr>
      <w:r w:rsidRPr="00980D3E">
        <w:rPr>
          <w:vertAlign w:val="superscript"/>
        </w:rPr>
        <w:t>g</w:t>
      </w:r>
      <w:r w:rsidR="00063AEE" w:rsidRPr="00980D3E">
        <w:rPr>
          <w:vertAlign w:val="superscript"/>
        </w:rPr>
        <w:t xml:space="preserve"> </w:t>
      </w:r>
      <w:r w:rsidR="00063AEE" w:rsidRPr="00980D3E">
        <w:t>Average of public and private prices × 3 cycles, without accounting for co-payment.</w:t>
      </w:r>
    </w:p>
    <w:p w:rsidR="004C7B7E" w:rsidRPr="00980D3E" w:rsidRDefault="00B60939" w:rsidP="00A34279">
      <w:pPr>
        <w:pStyle w:val="4-SubsectionHeading"/>
      </w:pPr>
      <w:bookmarkStart w:id="57" w:name="_Toc30490406"/>
      <w:r w:rsidRPr="00980D3E">
        <w:t>Estimated PBS usage &amp; financial implications</w:t>
      </w:r>
      <w:bookmarkEnd w:id="46"/>
      <w:bookmarkEnd w:id="57"/>
    </w:p>
    <w:p w:rsidR="0046171C" w:rsidRPr="00980D3E" w:rsidRDefault="0046171C" w:rsidP="0046171C">
      <w:pPr>
        <w:pStyle w:val="3-BodyText"/>
      </w:pPr>
      <w:r w:rsidRPr="00980D3E">
        <w:t>This resubmission</w:t>
      </w:r>
      <w:r w:rsidR="00A56DC8" w:rsidRPr="00980D3E">
        <w:t xml:space="preserve"> was</w:t>
      </w:r>
      <w:r w:rsidRPr="00980D3E">
        <w:t xml:space="preserve"> not considered by DUSC. </w:t>
      </w:r>
    </w:p>
    <w:p w:rsidR="00A65168" w:rsidRPr="00980D3E" w:rsidRDefault="00A65168" w:rsidP="00C42698">
      <w:pPr>
        <w:pStyle w:val="3-BodyText"/>
        <w:rPr>
          <w:color w:val="0066FF"/>
        </w:rPr>
      </w:pPr>
      <w:r w:rsidRPr="00980D3E">
        <w:t>T</w:t>
      </w:r>
      <w:r w:rsidR="0046171C" w:rsidRPr="00980D3E">
        <w:t>he resubmission presented an epidemiological approach to estimate the financial implications of plitidepsin on the PBS. A market-share approach was also presented</w:t>
      </w:r>
      <w:r w:rsidR="00AD3473" w:rsidRPr="00980D3E">
        <w:t xml:space="preserve"> to validate the results</w:t>
      </w:r>
      <w:r w:rsidR="0046171C" w:rsidRPr="00980D3E">
        <w:t xml:space="preserve">. </w:t>
      </w:r>
      <w:r w:rsidR="00C42698" w:rsidRPr="00980D3E">
        <w:t>The</w:t>
      </w:r>
      <w:r w:rsidR="003A0C8A" w:rsidRPr="00980D3E">
        <w:t xml:space="preserve"> </w:t>
      </w:r>
      <w:r w:rsidR="00884A2E" w:rsidRPr="00980D3E">
        <w:t>ESC</w:t>
      </w:r>
      <w:r w:rsidR="003A0C8A" w:rsidRPr="00980D3E">
        <w:t xml:space="preserve"> noted that the</w:t>
      </w:r>
      <w:r w:rsidR="00C42698" w:rsidRPr="00980D3E">
        <w:t xml:space="preserve"> key input parameters for </w:t>
      </w:r>
      <w:r w:rsidR="001D7FCE" w:rsidRPr="00980D3E">
        <w:t xml:space="preserve">the </w:t>
      </w:r>
      <w:r w:rsidR="00C42698" w:rsidRPr="00980D3E">
        <w:t>financial estimates</w:t>
      </w:r>
      <w:r w:rsidR="001D7FCE" w:rsidRPr="00980D3E">
        <w:t xml:space="preserve"> </w:t>
      </w:r>
      <w:r w:rsidR="00446177" w:rsidRPr="00980D3E">
        <w:t>were unchanged from the July 2019 submission</w:t>
      </w:r>
      <w:r w:rsidR="003A0C8A" w:rsidRPr="00980D3E">
        <w:t xml:space="preserve"> (</w:t>
      </w:r>
      <w:r w:rsidR="00C2673A" w:rsidRPr="00980D3E">
        <w:t>Table 22</w:t>
      </w:r>
      <w:r w:rsidR="003A0C8A" w:rsidRPr="00980D3E">
        <w:t>)</w:t>
      </w:r>
      <w:r w:rsidR="00C42698" w:rsidRPr="00980D3E">
        <w:t>.</w:t>
      </w:r>
    </w:p>
    <w:p w:rsidR="00241DC4" w:rsidRPr="00980D3E" w:rsidRDefault="00241DC4" w:rsidP="007715ED">
      <w:pPr>
        <w:pStyle w:val="TableHeading"/>
      </w:pPr>
      <w:bookmarkStart w:id="58" w:name="_Ref33525277"/>
      <w:r w:rsidRPr="00980D3E">
        <w:lastRenderedPageBreak/>
        <w:t xml:space="preserve">Table </w:t>
      </w:r>
      <w:r w:rsidR="00C2673A" w:rsidRPr="00980D3E">
        <w:t>22</w:t>
      </w:r>
      <w:bookmarkEnd w:id="58"/>
      <w:r w:rsidR="004F6269" w:rsidRPr="00980D3E">
        <w:t>:</w:t>
      </w:r>
      <w:r w:rsidRPr="00980D3E">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3517"/>
        <w:gridCol w:w="3857"/>
      </w:tblGrid>
      <w:tr w:rsidR="00241DC4" w:rsidRPr="00980D3E" w:rsidTr="007715ED">
        <w:trPr>
          <w:tblHeader/>
        </w:trPr>
        <w:tc>
          <w:tcPr>
            <w:tcW w:w="911" w:type="pct"/>
            <w:tcMar>
              <w:left w:w="28" w:type="dxa"/>
              <w:right w:w="28" w:type="dxa"/>
            </w:tcMar>
            <w:vAlign w:val="center"/>
          </w:tcPr>
          <w:p w:rsidR="00241DC4" w:rsidRPr="00980D3E" w:rsidRDefault="00241DC4" w:rsidP="001311B5">
            <w:pPr>
              <w:keepNext/>
              <w:jc w:val="left"/>
              <w:rPr>
                <w:rFonts w:ascii="Arial Narrow" w:hAnsi="Arial Narrow" w:cs="Times New Roman"/>
                <w:b/>
                <w:sz w:val="20"/>
                <w:szCs w:val="20"/>
              </w:rPr>
            </w:pPr>
            <w:r w:rsidRPr="00980D3E">
              <w:rPr>
                <w:rFonts w:ascii="Arial Narrow" w:hAnsi="Arial Narrow" w:cs="Times New Roman"/>
                <w:b/>
                <w:sz w:val="20"/>
                <w:szCs w:val="20"/>
              </w:rPr>
              <w:t>Parameter</w:t>
            </w:r>
          </w:p>
        </w:tc>
        <w:tc>
          <w:tcPr>
            <w:tcW w:w="1950" w:type="pct"/>
            <w:tcMar>
              <w:left w:w="28" w:type="dxa"/>
              <w:right w:w="28" w:type="dxa"/>
            </w:tcMar>
            <w:vAlign w:val="center"/>
          </w:tcPr>
          <w:p w:rsidR="00241DC4" w:rsidRPr="00980D3E" w:rsidRDefault="00241DC4" w:rsidP="001311B5">
            <w:pPr>
              <w:keepNext/>
              <w:jc w:val="center"/>
              <w:rPr>
                <w:rFonts w:ascii="Arial Narrow" w:hAnsi="Arial Narrow" w:cs="Times New Roman"/>
                <w:b/>
                <w:sz w:val="20"/>
                <w:szCs w:val="20"/>
              </w:rPr>
            </w:pPr>
            <w:r w:rsidRPr="00980D3E">
              <w:rPr>
                <w:rFonts w:ascii="Arial Narrow" w:hAnsi="Arial Narrow" w:cs="Times New Roman"/>
                <w:b/>
                <w:sz w:val="20"/>
                <w:szCs w:val="20"/>
              </w:rPr>
              <w:t>Value applied and source</w:t>
            </w:r>
          </w:p>
        </w:tc>
        <w:tc>
          <w:tcPr>
            <w:tcW w:w="2139" w:type="pct"/>
            <w:tcMar>
              <w:left w:w="28" w:type="dxa"/>
              <w:right w:w="28" w:type="dxa"/>
            </w:tcMar>
            <w:vAlign w:val="center"/>
          </w:tcPr>
          <w:p w:rsidR="00241DC4" w:rsidRPr="00980D3E" w:rsidRDefault="00241DC4" w:rsidP="001311B5">
            <w:pPr>
              <w:keepNext/>
              <w:jc w:val="center"/>
              <w:rPr>
                <w:rFonts w:ascii="Arial Narrow" w:hAnsi="Arial Narrow" w:cs="Times New Roman"/>
                <w:b/>
                <w:sz w:val="20"/>
                <w:szCs w:val="20"/>
              </w:rPr>
            </w:pPr>
            <w:r w:rsidRPr="00980D3E">
              <w:rPr>
                <w:rFonts w:ascii="Arial Narrow" w:hAnsi="Arial Narrow" w:cs="Times New Roman"/>
                <w:b/>
                <w:sz w:val="20"/>
                <w:szCs w:val="20"/>
              </w:rPr>
              <w:t>Comment</w:t>
            </w:r>
          </w:p>
        </w:tc>
      </w:tr>
      <w:tr w:rsidR="00241DC4" w:rsidRPr="00980D3E" w:rsidTr="007715ED">
        <w:tc>
          <w:tcPr>
            <w:tcW w:w="5000" w:type="pct"/>
            <w:gridSpan w:val="3"/>
            <w:tcMar>
              <w:left w:w="28" w:type="dxa"/>
              <w:right w:w="28" w:type="dxa"/>
            </w:tcMar>
          </w:tcPr>
          <w:p w:rsidR="00241DC4" w:rsidRPr="00980D3E" w:rsidRDefault="00241DC4" w:rsidP="001311B5">
            <w:pPr>
              <w:keepNext/>
              <w:jc w:val="left"/>
              <w:rPr>
                <w:rFonts w:ascii="Arial Narrow" w:hAnsi="Arial Narrow" w:cs="Times New Roman"/>
                <w:i/>
                <w:sz w:val="20"/>
                <w:szCs w:val="20"/>
              </w:rPr>
            </w:pPr>
            <w:r w:rsidRPr="00980D3E">
              <w:rPr>
                <w:rFonts w:ascii="Arial Narrow" w:hAnsi="Arial Narrow" w:cs="Times New Roman"/>
                <w:b/>
                <w:sz w:val="20"/>
                <w:szCs w:val="20"/>
              </w:rPr>
              <w:t>Incident population (unchanged from July 2019 submission)</w:t>
            </w:r>
          </w:p>
        </w:tc>
      </w:tr>
      <w:tr w:rsidR="00241DC4" w:rsidRPr="00980D3E" w:rsidTr="007715ED">
        <w:tc>
          <w:tcPr>
            <w:tcW w:w="911" w:type="pct"/>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MM incidence</w:t>
            </w:r>
          </w:p>
        </w:tc>
        <w:tc>
          <w:tcPr>
            <w:tcW w:w="1950" w:type="pct"/>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7.62</w:t>
            </w:r>
            <w:r w:rsidR="00074731" w:rsidRPr="00980D3E">
              <w:rPr>
                <w:rFonts w:ascii="Arial Narrow" w:hAnsi="Arial Narrow" w:cs="Times New Roman"/>
                <w:sz w:val="20"/>
                <w:szCs w:val="20"/>
              </w:rPr>
              <w:t xml:space="preserve"> – 8.08</w:t>
            </w:r>
            <w:r w:rsidRPr="00980D3E">
              <w:rPr>
                <w:rFonts w:ascii="Arial Narrow" w:hAnsi="Arial Narrow" w:cs="Times New Roman"/>
                <w:sz w:val="20"/>
                <w:szCs w:val="20"/>
              </w:rPr>
              <w:t xml:space="preserve"> per 100,000 </w:t>
            </w:r>
            <w:r w:rsidR="00074731" w:rsidRPr="00980D3E">
              <w:rPr>
                <w:rFonts w:ascii="Arial Narrow" w:hAnsi="Arial Narrow" w:cs="Times New Roman"/>
                <w:sz w:val="20"/>
                <w:szCs w:val="20"/>
              </w:rPr>
              <w:t>(</w:t>
            </w:r>
            <w:r w:rsidRPr="00980D3E">
              <w:rPr>
                <w:rFonts w:ascii="Arial Narrow" w:hAnsi="Arial Narrow" w:cs="Times New Roman"/>
                <w:sz w:val="20"/>
                <w:szCs w:val="20"/>
              </w:rPr>
              <w:t>AIHW ACIM 2013</w:t>
            </w:r>
            <w:r w:rsidR="00074731" w:rsidRPr="00980D3E">
              <w:rPr>
                <w:rFonts w:ascii="Arial Narrow" w:hAnsi="Arial Narrow" w:cs="Times New Roman"/>
                <w:sz w:val="20"/>
                <w:szCs w:val="20"/>
              </w:rPr>
              <w:t>)</w:t>
            </w:r>
            <w:r w:rsidRPr="00980D3E">
              <w:rPr>
                <w:rFonts w:ascii="Arial Narrow" w:hAnsi="Arial Narrow" w:cs="Times New Roman"/>
                <w:sz w:val="20"/>
                <w:szCs w:val="20"/>
              </w:rPr>
              <w:t xml:space="preserve"> </w:t>
            </w:r>
          </w:p>
        </w:tc>
        <w:tc>
          <w:tcPr>
            <w:tcW w:w="2139" w:type="pct"/>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The source was appropriate.</w:t>
            </w:r>
          </w:p>
        </w:tc>
      </w:tr>
      <w:tr w:rsidR="00241DC4" w:rsidRPr="00980D3E" w:rsidTr="007715ED">
        <w:tc>
          <w:tcPr>
            <w:tcW w:w="911" w:type="pct"/>
            <w:tcMar>
              <w:left w:w="28" w:type="dxa"/>
              <w:right w:w="28" w:type="dxa"/>
            </w:tcMar>
          </w:tcPr>
          <w:p w:rsidR="00241DC4" w:rsidRPr="00980D3E" w:rsidRDefault="00241DC4" w:rsidP="001311B5">
            <w:pPr>
              <w:keepNext/>
              <w:jc w:val="left"/>
              <w:rPr>
                <w:rFonts w:ascii="Arial Narrow" w:hAnsi="Arial Narrow" w:cs="Times New Roman"/>
                <w:sz w:val="20"/>
                <w:szCs w:val="20"/>
                <w:highlight w:val="yellow"/>
              </w:rPr>
            </w:pPr>
            <w:r w:rsidRPr="00980D3E">
              <w:rPr>
                <w:rFonts w:ascii="Arial Narrow" w:hAnsi="Arial Narrow" w:cs="Times New Roman"/>
                <w:sz w:val="20"/>
                <w:szCs w:val="20"/>
              </w:rPr>
              <w:t>Previously received IMiD and bortezomib</w:t>
            </w:r>
          </w:p>
        </w:tc>
        <w:tc>
          <w:tcPr>
            <w:tcW w:w="1950" w:type="pct"/>
            <w:tcMar>
              <w:left w:w="28" w:type="dxa"/>
              <w:right w:w="28" w:type="dxa"/>
            </w:tcMar>
          </w:tcPr>
          <w:p w:rsidR="0077110F"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 xml:space="preserve">38.2% based on 2017 DUSC report </w:t>
            </w:r>
          </w:p>
          <w:p w:rsidR="00241DC4" w:rsidRPr="00980D3E" w:rsidRDefault="00241DC4" w:rsidP="001311B5">
            <w:pPr>
              <w:keepNext/>
              <w:jc w:val="left"/>
              <w:rPr>
                <w:rFonts w:ascii="Arial Narrow" w:hAnsi="Arial Narrow" w:cs="Times New Roman"/>
                <w:sz w:val="20"/>
                <w:szCs w:val="20"/>
                <w:highlight w:val="yellow"/>
              </w:rPr>
            </w:pPr>
            <w:r w:rsidRPr="00980D3E">
              <w:rPr>
                <w:rFonts w:ascii="Arial Narrow" w:hAnsi="Arial Narrow" w:cs="Times New Roman"/>
                <w:sz w:val="20"/>
                <w:szCs w:val="20"/>
              </w:rPr>
              <w:t>(regimens used over 2-3 y</w:t>
            </w:r>
            <w:r w:rsidR="00286860" w:rsidRPr="00980D3E">
              <w:rPr>
                <w:rFonts w:ascii="Arial Narrow" w:hAnsi="Arial Narrow" w:cs="Times New Roman"/>
                <w:sz w:val="20"/>
                <w:szCs w:val="20"/>
              </w:rPr>
              <w:t>ea</w:t>
            </w:r>
            <w:r w:rsidRPr="00980D3E">
              <w:rPr>
                <w:rFonts w:ascii="Arial Narrow" w:hAnsi="Arial Narrow" w:cs="Times New Roman"/>
                <w:sz w:val="20"/>
                <w:szCs w:val="20"/>
              </w:rPr>
              <w:t>rs from initiation)</w:t>
            </w:r>
          </w:p>
        </w:tc>
        <w:tc>
          <w:tcPr>
            <w:tcW w:w="2139" w:type="pct"/>
            <w:tcMar>
              <w:left w:w="28" w:type="dxa"/>
              <w:right w:w="28" w:type="dxa"/>
            </w:tcMar>
          </w:tcPr>
          <w:p w:rsidR="00241DC4" w:rsidRPr="00980D3E" w:rsidRDefault="00074731" w:rsidP="001311B5">
            <w:pPr>
              <w:keepNext/>
              <w:jc w:val="left"/>
              <w:rPr>
                <w:rFonts w:ascii="Arial Narrow" w:hAnsi="Arial Narrow" w:cs="Times New Roman"/>
                <w:sz w:val="20"/>
                <w:szCs w:val="20"/>
                <w:highlight w:val="yellow"/>
              </w:rPr>
            </w:pPr>
            <w:r w:rsidRPr="00980D3E">
              <w:rPr>
                <w:rFonts w:ascii="Arial Narrow" w:hAnsi="Arial Narrow" w:cs="Times New Roman"/>
                <w:sz w:val="20"/>
                <w:szCs w:val="20"/>
              </w:rPr>
              <w:t>O</w:t>
            </w:r>
            <w:r w:rsidR="00241DC4" w:rsidRPr="00980D3E">
              <w:rPr>
                <w:rFonts w:ascii="Arial Narrow" w:hAnsi="Arial Narrow" w:cs="Times New Roman"/>
                <w:sz w:val="20"/>
                <w:szCs w:val="20"/>
              </w:rPr>
              <w:t xml:space="preserve">verestimated population </w:t>
            </w:r>
            <w:r w:rsidRPr="00980D3E">
              <w:rPr>
                <w:rFonts w:ascii="Arial Narrow" w:hAnsi="Arial Narrow" w:cs="Times New Roman"/>
                <w:sz w:val="20"/>
                <w:szCs w:val="20"/>
              </w:rPr>
              <w:t xml:space="preserve">eligible </w:t>
            </w:r>
            <w:r w:rsidR="00241DC4" w:rsidRPr="00980D3E">
              <w:rPr>
                <w:rFonts w:ascii="Arial Narrow" w:hAnsi="Arial Narrow" w:cs="Times New Roman"/>
                <w:sz w:val="20"/>
                <w:szCs w:val="20"/>
              </w:rPr>
              <w:t xml:space="preserve">in year of </w:t>
            </w:r>
            <w:r w:rsidRPr="00980D3E">
              <w:rPr>
                <w:rFonts w:ascii="Arial Narrow" w:hAnsi="Arial Narrow" w:cs="Times New Roman"/>
                <w:sz w:val="20"/>
                <w:szCs w:val="20"/>
              </w:rPr>
              <w:t xml:space="preserve">MM </w:t>
            </w:r>
            <w:r w:rsidR="00241DC4" w:rsidRPr="00980D3E">
              <w:rPr>
                <w:rFonts w:ascii="Arial Narrow" w:hAnsi="Arial Narrow" w:cs="Times New Roman"/>
                <w:sz w:val="20"/>
                <w:szCs w:val="20"/>
              </w:rPr>
              <w:t>diagnosis. Only 2.3% used pomalidomide after IM</w:t>
            </w:r>
            <w:r w:rsidR="00F40B9E" w:rsidRPr="00980D3E">
              <w:rPr>
                <w:rFonts w:ascii="Arial Narrow" w:hAnsi="Arial Narrow" w:cs="Times New Roman"/>
                <w:sz w:val="20"/>
                <w:szCs w:val="20"/>
              </w:rPr>
              <w:t>i</w:t>
            </w:r>
            <w:r w:rsidR="00241DC4" w:rsidRPr="00980D3E">
              <w:rPr>
                <w:rFonts w:ascii="Arial Narrow" w:hAnsi="Arial Narrow" w:cs="Times New Roman"/>
                <w:sz w:val="20"/>
                <w:szCs w:val="20"/>
              </w:rPr>
              <w:t>D and bortezomib.</w:t>
            </w:r>
          </w:p>
        </w:tc>
      </w:tr>
      <w:tr w:rsidR="00241DC4" w:rsidRPr="00980D3E" w:rsidTr="007715ED">
        <w:tc>
          <w:tcPr>
            <w:tcW w:w="911" w:type="pct"/>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Patients using further treatment</w:t>
            </w:r>
          </w:p>
        </w:tc>
        <w:tc>
          <w:tcPr>
            <w:tcW w:w="1950" w:type="pct"/>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28 - 29% based on 2017 DUSC report. Estimated uptake of pomalidomide from eligible population + 5% market growth.</w:t>
            </w:r>
          </w:p>
        </w:tc>
        <w:tc>
          <w:tcPr>
            <w:tcW w:w="2139" w:type="pct"/>
            <w:tcMar>
              <w:left w:w="28" w:type="dxa"/>
              <w:right w:w="28" w:type="dxa"/>
            </w:tcMar>
          </w:tcPr>
          <w:p w:rsidR="00241DC4" w:rsidRPr="00980D3E" w:rsidRDefault="00074731" w:rsidP="001311B5">
            <w:pPr>
              <w:keepNext/>
              <w:jc w:val="left"/>
              <w:rPr>
                <w:rFonts w:ascii="Arial Narrow" w:hAnsi="Arial Narrow" w:cs="Times New Roman"/>
                <w:sz w:val="20"/>
                <w:szCs w:val="20"/>
              </w:rPr>
            </w:pPr>
            <w:r w:rsidRPr="00980D3E">
              <w:rPr>
                <w:rFonts w:ascii="Arial Narrow" w:hAnsi="Arial Narrow" w:cs="Times New Roman"/>
                <w:sz w:val="20"/>
                <w:szCs w:val="20"/>
              </w:rPr>
              <w:t>Market growth n</w:t>
            </w:r>
            <w:r w:rsidR="00241DC4" w:rsidRPr="00980D3E">
              <w:rPr>
                <w:rFonts w:ascii="Arial Narrow" w:hAnsi="Arial Narrow" w:cs="Times New Roman"/>
                <w:sz w:val="20"/>
                <w:szCs w:val="20"/>
              </w:rPr>
              <w:t>ot supported by effectiveness and safety of plitidepsin (</w:t>
            </w:r>
            <w:r w:rsidR="00534072" w:rsidRPr="00980D3E">
              <w:rPr>
                <w:rFonts w:ascii="Arial Narrow" w:hAnsi="Arial Narrow" w:cs="Times New Roman"/>
                <w:sz w:val="20"/>
                <w:szCs w:val="20"/>
              </w:rPr>
              <w:t>para</w:t>
            </w:r>
            <w:r w:rsidR="00241DC4" w:rsidRPr="00980D3E">
              <w:rPr>
                <w:rFonts w:ascii="Arial Narrow" w:hAnsi="Arial Narrow" w:cs="Times New Roman"/>
                <w:sz w:val="20"/>
                <w:szCs w:val="20"/>
              </w:rPr>
              <w:t xml:space="preserve"> 6.8, plitidepsin </w:t>
            </w:r>
            <w:r w:rsidR="00534072" w:rsidRPr="00980D3E">
              <w:rPr>
                <w:rFonts w:ascii="Arial Narrow" w:hAnsi="Arial Narrow" w:cs="Times New Roman"/>
                <w:sz w:val="20"/>
                <w:szCs w:val="20"/>
              </w:rPr>
              <w:t>Public Summary Document</w:t>
            </w:r>
            <w:r w:rsidR="00241DC4" w:rsidRPr="00980D3E">
              <w:rPr>
                <w:rFonts w:ascii="Arial Narrow" w:hAnsi="Arial Narrow" w:cs="Times New Roman"/>
                <w:sz w:val="20"/>
                <w:szCs w:val="20"/>
              </w:rPr>
              <w:t>, Jul 2019 PBAC meeting)</w:t>
            </w:r>
          </w:p>
        </w:tc>
      </w:tr>
      <w:tr w:rsidR="00241DC4" w:rsidRPr="00980D3E" w:rsidTr="007715ED">
        <w:tc>
          <w:tcPr>
            <w:tcW w:w="5000" w:type="pct"/>
            <w:gridSpan w:val="3"/>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b/>
                <w:sz w:val="20"/>
                <w:szCs w:val="20"/>
              </w:rPr>
              <w:t>Prevalent population (unchanged from July 2019 submission)</w:t>
            </w:r>
          </w:p>
        </w:tc>
      </w:tr>
      <w:tr w:rsidR="00241DC4" w:rsidRPr="00980D3E" w:rsidTr="007715ED">
        <w:trPr>
          <w:trHeight w:val="686"/>
        </w:trPr>
        <w:tc>
          <w:tcPr>
            <w:tcW w:w="911" w:type="pct"/>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 xml:space="preserve">IMID + PI </w:t>
            </w:r>
          </w:p>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(3</w:t>
            </w:r>
            <w:r w:rsidRPr="00980D3E">
              <w:rPr>
                <w:rFonts w:ascii="Arial Narrow" w:hAnsi="Arial Narrow" w:cs="Times New Roman"/>
                <w:sz w:val="20"/>
                <w:szCs w:val="20"/>
                <w:vertAlign w:val="superscript"/>
              </w:rPr>
              <w:t>rd</w:t>
            </w:r>
            <w:r w:rsidRPr="00980D3E">
              <w:rPr>
                <w:rFonts w:ascii="Arial Narrow" w:hAnsi="Arial Narrow" w:cs="Times New Roman"/>
                <w:sz w:val="20"/>
                <w:szCs w:val="20"/>
              </w:rPr>
              <w:t xml:space="preserve"> and 4th line eligible)</w:t>
            </w:r>
          </w:p>
        </w:tc>
        <w:tc>
          <w:tcPr>
            <w:tcW w:w="1950" w:type="pct"/>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 xml:space="preserve">18.8% and 16.2 % based on the </w:t>
            </w:r>
          </w:p>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 xml:space="preserve">PBS 10% sample analysis. </w:t>
            </w:r>
          </w:p>
        </w:tc>
        <w:tc>
          <w:tcPr>
            <w:tcW w:w="2139" w:type="pct"/>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Likely overestimated.</w:t>
            </w:r>
          </w:p>
        </w:tc>
      </w:tr>
      <w:tr w:rsidR="00241DC4" w:rsidRPr="00980D3E" w:rsidTr="007715ED">
        <w:tc>
          <w:tcPr>
            <w:tcW w:w="911" w:type="pct"/>
            <w:tcMar>
              <w:left w:w="28" w:type="dxa"/>
              <w:right w:w="28" w:type="dxa"/>
            </w:tcMar>
            <w:vAlign w:val="cente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Refractory or intolerant of IMiD + PI</w:t>
            </w:r>
          </w:p>
        </w:tc>
        <w:tc>
          <w:tcPr>
            <w:tcW w:w="1950" w:type="pct"/>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42% (</w:t>
            </w:r>
            <w:r w:rsidR="00074731" w:rsidRPr="00980D3E">
              <w:rPr>
                <w:rFonts w:ascii="Arial Narrow" w:hAnsi="Arial Narrow" w:cs="Times New Roman"/>
                <w:sz w:val="20"/>
                <w:szCs w:val="20"/>
              </w:rPr>
              <w:t xml:space="preserve">assumption, </w:t>
            </w:r>
            <w:r w:rsidRPr="00980D3E">
              <w:rPr>
                <w:rFonts w:ascii="Arial Narrow" w:hAnsi="Arial Narrow" w:cs="Times New Roman"/>
                <w:sz w:val="20"/>
                <w:szCs w:val="20"/>
              </w:rPr>
              <w:t>source not stated).</w:t>
            </w:r>
          </w:p>
        </w:tc>
        <w:tc>
          <w:tcPr>
            <w:tcW w:w="2139" w:type="pct"/>
            <w:tcMar>
              <w:left w:w="28" w:type="dxa"/>
              <w:right w:w="28" w:type="dxa"/>
            </w:tcMar>
            <w:vAlign w:val="center"/>
          </w:tcPr>
          <w:p w:rsidR="00241DC4" w:rsidRPr="00980D3E" w:rsidDel="00721FA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 xml:space="preserve">Unclear whether estimate appropriate. Many MM patients will experience treatment failure (disease progression on or 6 months after treatment). </w:t>
            </w:r>
          </w:p>
        </w:tc>
      </w:tr>
      <w:tr w:rsidR="00241DC4" w:rsidRPr="00980D3E" w:rsidTr="007715ED">
        <w:trPr>
          <w:trHeight w:val="564"/>
        </w:trPr>
        <w:tc>
          <w:tcPr>
            <w:tcW w:w="911" w:type="pct"/>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 xml:space="preserve">Uptake </w:t>
            </w:r>
          </w:p>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(3</w:t>
            </w:r>
            <w:r w:rsidRPr="00980D3E">
              <w:rPr>
                <w:rFonts w:ascii="Arial Narrow" w:hAnsi="Arial Narrow" w:cs="Times New Roman"/>
                <w:sz w:val="20"/>
                <w:szCs w:val="20"/>
                <w:vertAlign w:val="superscript"/>
              </w:rPr>
              <w:t>rd</w:t>
            </w:r>
            <w:r w:rsidRPr="00980D3E">
              <w:rPr>
                <w:rFonts w:ascii="Arial Narrow" w:hAnsi="Arial Narrow" w:cs="Times New Roman"/>
                <w:sz w:val="20"/>
                <w:szCs w:val="20"/>
              </w:rPr>
              <w:t xml:space="preserve"> and 4</w:t>
            </w:r>
            <w:r w:rsidRPr="00980D3E">
              <w:rPr>
                <w:rFonts w:ascii="Arial Narrow" w:hAnsi="Arial Narrow" w:cs="Times New Roman"/>
                <w:sz w:val="20"/>
                <w:szCs w:val="20"/>
                <w:vertAlign w:val="superscript"/>
              </w:rPr>
              <w:t>th</w:t>
            </w:r>
            <w:r w:rsidRPr="00980D3E">
              <w:rPr>
                <w:rFonts w:ascii="Arial Narrow" w:hAnsi="Arial Narrow" w:cs="Times New Roman"/>
                <w:sz w:val="20"/>
                <w:szCs w:val="20"/>
              </w:rPr>
              <w:t xml:space="preserve"> line)</w:t>
            </w:r>
          </w:p>
        </w:tc>
        <w:tc>
          <w:tcPr>
            <w:tcW w:w="1950" w:type="pct"/>
            <w:tcMar>
              <w:left w:w="28" w:type="dxa"/>
              <w:right w:w="28" w:type="dxa"/>
            </w:tcMar>
          </w:tcPr>
          <w:p w:rsidR="00241DC4" w:rsidRPr="00980D3E" w:rsidRDefault="00241DC4" w:rsidP="001311B5">
            <w:pPr>
              <w:keepNext/>
              <w:jc w:val="left"/>
              <w:rPr>
                <w:rFonts w:ascii="Arial Narrow" w:hAnsi="Arial Narrow" w:cs="Times New Roman"/>
                <w:sz w:val="20"/>
                <w:szCs w:val="20"/>
              </w:rPr>
            </w:pPr>
            <w:r w:rsidRPr="00980D3E">
              <w:rPr>
                <w:rFonts w:ascii="Arial Narrow" w:hAnsi="Arial Narrow" w:cs="Times New Roman"/>
                <w:sz w:val="20"/>
                <w:szCs w:val="20"/>
              </w:rPr>
              <w:t>81.9% and 45% based on PBS 10% sample analysis.</w:t>
            </w:r>
          </w:p>
        </w:tc>
        <w:tc>
          <w:tcPr>
            <w:tcW w:w="2139" w:type="pct"/>
            <w:tcMar>
              <w:left w:w="28" w:type="dxa"/>
              <w:right w:w="28" w:type="dxa"/>
            </w:tcMar>
          </w:tcPr>
          <w:p w:rsidR="00241DC4" w:rsidRPr="00980D3E" w:rsidRDefault="00323CA2" w:rsidP="001311B5">
            <w:pPr>
              <w:keepNext/>
              <w:jc w:val="left"/>
              <w:rPr>
                <w:rFonts w:ascii="Arial Narrow" w:hAnsi="Arial Narrow" w:cs="Times New Roman"/>
                <w:sz w:val="20"/>
                <w:szCs w:val="20"/>
              </w:rPr>
            </w:pPr>
            <w:r w:rsidRPr="00980D3E">
              <w:rPr>
                <w:rFonts w:ascii="Arial Narrow" w:hAnsi="Arial Narrow" w:cs="Times New Roman"/>
                <w:sz w:val="20"/>
                <w:szCs w:val="20"/>
              </w:rPr>
              <w:t xml:space="preserve">Inappropriate and </w:t>
            </w:r>
            <w:r w:rsidR="00241DC4" w:rsidRPr="00980D3E">
              <w:rPr>
                <w:rFonts w:ascii="Arial Narrow" w:hAnsi="Arial Narrow" w:cs="Times New Roman"/>
                <w:sz w:val="20"/>
                <w:szCs w:val="20"/>
              </w:rPr>
              <w:t>overestimated</w:t>
            </w:r>
            <w:r w:rsidR="005977EB" w:rsidRPr="00980D3E">
              <w:rPr>
                <w:rFonts w:ascii="Arial Narrow" w:hAnsi="Arial Narrow" w:cs="Times New Roman"/>
                <w:sz w:val="20"/>
                <w:szCs w:val="20"/>
              </w:rPr>
              <w:t xml:space="preserve">. </w:t>
            </w:r>
            <w:r w:rsidRPr="00980D3E">
              <w:rPr>
                <w:rFonts w:ascii="Arial Narrow" w:hAnsi="Arial Narrow" w:cs="Times New Roman"/>
                <w:sz w:val="20"/>
                <w:szCs w:val="20"/>
              </w:rPr>
              <w:t xml:space="preserve">Based on </w:t>
            </w:r>
            <w:r w:rsidR="005F071D" w:rsidRPr="00980D3E">
              <w:rPr>
                <w:rFonts w:ascii="Arial Narrow" w:hAnsi="Arial Narrow" w:cs="Times New Roman"/>
                <w:sz w:val="20"/>
                <w:szCs w:val="20"/>
              </w:rPr>
              <w:t>use of any third-line treatment (bortezomib, carfilzomib, lenalidomide and thalidomide) not just pomalidomide.</w:t>
            </w:r>
          </w:p>
        </w:tc>
      </w:tr>
      <w:tr w:rsidR="00337157" w:rsidRPr="00980D3E" w:rsidTr="007715ED">
        <w:trPr>
          <w:trHeight w:val="256"/>
        </w:trPr>
        <w:tc>
          <w:tcPr>
            <w:tcW w:w="911" w:type="pct"/>
            <w:tcMar>
              <w:left w:w="28" w:type="dxa"/>
              <w:right w:w="28" w:type="dxa"/>
            </w:tcMar>
          </w:tcPr>
          <w:p w:rsidR="00337157" w:rsidRPr="00980D3E" w:rsidRDefault="00337157" w:rsidP="0046171C">
            <w:pPr>
              <w:jc w:val="left"/>
              <w:rPr>
                <w:rFonts w:ascii="Arial Narrow" w:hAnsi="Arial Narrow" w:cs="Times New Roman"/>
                <w:sz w:val="20"/>
                <w:szCs w:val="20"/>
              </w:rPr>
            </w:pPr>
            <w:r w:rsidRPr="00980D3E">
              <w:rPr>
                <w:rFonts w:ascii="Arial Narrow" w:hAnsi="Arial Narrow" w:cs="Times New Roman"/>
                <w:sz w:val="20"/>
                <w:szCs w:val="20"/>
              </w:rPr>
              <w:t>Grandfathered patients</w:t>
            </w:r>
          </w:p>
        </w:tc>
        <w:tc>
          <w:tcPr>
            <w:tcW w:w="1950" w:type="pct"/>
            <w:tcMar>
              <w:left w:w="28" w:type="dxa"/>
              <w:right w:w="28" w:type="dxa"/>
            </w:tcMar>
          </w:tcPr>
          <w:p w:rsidR="00337157" w:rsidRPr="00980D3E" w:rsidRDefault="00FE23B8" w:rsidP="0046171C">
            <w:pPr>
              <w:jc w:val="left"/>
              <w:rPr>
                <w:rFonts w:ascii="Arial Narrow" w:hAnsi="Arial Narrow" w:cs="Times New Roman"/>
                <w:sz w:val="20"/>
                <w:szCs w:val="20"/>
              </w:rPr>
            </w:pPr>
            <w:r w:rsidRPr="00980D3E">
              <w:rPr>
                <w:rFonts w:ascii="Arial Narrow" w:hAnsi="Arial Narrow" w:cs="Times New Roman"/>
                <w:sz w:val="20"/>
                <w:szCs w:val="20"/>
              </w:rPr>
              <w:t>22 in Year 1 based on the Aplidin Access Program.</w:t>
            </w:r>
          </w:p>
        </w:tc>
        <w:tc>
          <w:tcPr>
            <w:tcW w:w="2139" w:type="pct"/>
            <w:tcMar>
              <w:left w:w="28" w:type="dxa"/>
              <w:right w:w="28" w:type="dxa"/>
            </w:tcMar>
          </w:tcPr>
          <w:p w:rsidR="00337157" w:rsidRPr="00980D3E" w:rsidRDefault="00FE23B8" w:rsidP="0046171C">
            <w:pPr>
              <w:jc w:val="left"/>
              <w:rPr>
                <w:rFonts w:ascii="Arial Narrow" w:hAnsi="Arial Narrow" w:cs="Times New Roman"/>
                <w:sz w:val="20"/>
                <w:szCs w:val="20"/>
              </w:rPr>
            </w:pPr>
            <w:r w:rsidRPr="00980D3E">
              <w:rPr>
                <w:rFonts w:ascii="Arial Narrow" w:hAnsi="Arial Narrow" w:cs="Times New Roman"/>
                <w:sz w:val="20"/>
                <w:szCs w:val="20"/>
              </w:rPr>
              <w:t>Previously 20.</w:t>
            </w:r>
          </w:p>
        </w:tc>
      </w:tr>
      <w:tr w:rsidR="005F071D" w:rsidRPr="00980D3E" w:rsidTr="007715ED">
        <w:tc>
          <w:tcPr>
            <w:tcW w:w="5000" w:type="pct"/>
            <w:gridSpan w:val="3"/>
            <w:tcMar>
              <w:left w:w="28" w:type="dxa"/>
              <w:right w:w="28" w:type="dxa"/>
            </w:tcMar>
          </w:tcPr>
          <w:p w:rsidR="005F071D" w:rsidRPr="00980D3E" w:rsidRDefault="005F071D" w:rsidP="005F071D">
            <w:pPr>
              <w:jc w:val="left"/>
              <w:rPr>
                <w:rFonts w:ascii="Arial Narrow" w:hAnsi="Arial Narrow" w:cs="Times New Roman"/>
                <w:b/>
                <w:sz w:val="20"/>
                <w:szCs w:val="20"/>
              </w:rPr>
            </w:pPr>
            <w:r w:rsidRPr="00980D3E">
              <w:rPr>
                <w:rFonts w:ascii="Arial Narrow" w:hAnsi="Arial Narrow" w:cs="Times New Roman"/>
                <w:b/>
                <w:sz w:val="20"/>
                <w:szCs w:val="20"/>
              </w:rPr>
              <w:t>Uptake (incident and prevalent patients)</w:t>
            </w:r>
          </w:p>
        </w:tc>
      </w:tr>
      <w:tr w:rsidR="005F071D" w:rsidRPr="00980D3E" w:rsidTr="007715ED">
        <w:tc>
          <w:tcPr>
            <w:tcW w:w="911" w:type="pct"/>
            <w:tcMar>
              <w:left w:w="28" w:type="dxa"/>
              <w:right w:w="28" w:type="dxa"/>
            </w:tcMar>
          </w:tcPr>
          <w:p w:rsidR="005F071D" w:rsidRPr="00980D3E" w:rsidRDefault="005F071D" w:rsidP="005F071D">
            <w:pPr>
              <w:jc w:val="left"/>
              <w:rPr>
                <w:rFonts w:ascii="Arial Narrow" w:hAnsi="Arial Narrow" w:cs="Times New Roman"/>
                <w:sz w:val="20"/>
                <w:szCs w:val="20"/>
              </w:rPr>
            </w:pPr>
            <w:r w:rsidRPr="00980D3E">
              <w:rPr>
                <w:rFonts w:ascii="Arial Narrow" w:hAnsi="Arial Narrow" w:cs="Times New Roman"/>
                <w:sz w:val="20"/>
                <w:szCs w:val="20"/>
              </w:rPr>
              <w:t>Uptake rate</w:t>
            </w:r>
          </w:p>
        </w:tc>
        <w:tc>
          <w:tcPr>
            <w:tcW w:w="1950" w:type="pct"/>
            <w:tcMar>
              <w:left w:w="28" w:type="dxa"/>
              <w:right w:w="28" w:type="dxa"/>
            </w:tcMar>
          </w:tcPr>
          <w:p w:rsidR="005F071D" w:rsidRPr="00980D3E" w:rsidRDefault="005F071D" w:rsidP="005F071D">
            <w:pPr>
              <w:jc w:val="left"/>
              <w:rPr>
                <w:rFonts w:ascii="Arial Narrow" w:hAnsi="Arial Narrow" w:cs="Times New Roman"/>
                <w:sz w:val="20"/>
                <w:szCs w:val="20"/>
              </w:rPr>
            </w:pPr>
            <w:r w:rsidRPr="00980D3E">
              <w:rPr>
                <w:rFonts w:ascii="Arial Narrow" w:hAnsi="Arial Narrow" w:cs="Times New Roman"/>
                <w:sz w:val="20"/>
                <w:szCs w:val="20"/>
              </w:rPr>
              <w:t>Yr 1: 22% to Yr 6: 45%. Calculated based on the difference in forecast versus actual patients using therapy with pomalidomide (DUSC 2017).</w:t>
            </w:r>
          </w:p>
        </w:tc>
        <w:tc>
          <w:tcPr>
            <w:tcW w:w="2139" w:type="pct"/>
            <w:tcMar>
              <w:left w:w="28" w:type="dxa"/>
              <w:right w:w="28" w:type="dxa"/>
            </w:tcMar>
          </w:tcPr>
          <w:p w:rsidR="005F071D" w:rsidRPr="00980D3E" w:rsidRDefault="005F071D" w:rsidP="005F071D">
            <w:pPr>
              <w:jc w:val="left"/>
              <w:rPr>
                <w:rFonts w:ascii="Arial Narrow" w:hAnsi="Arial Narrow" w:cs="Times New Roman"/>
                <w:sz w:val="20"/>
                <w:szCs w:val="20"/>
              </w:rPr>
            </w:pPr>
            <w:r w:rsidRPr="00980D3E">
              <w:rPr>
                <w:rFonts w:ascii="Arial Narrow" w:hAnsi="Arial Narrow" w:cs="Times New Roman"/>
                <w:sz w:val="20"/>
                <w:szCs w:val="20"/>
              </w:rPr>
              <w:t>Uptake uncertain and overestimated due to plitidepsin toxicity and clinically meaningful effect observed in only a small and undefinable subgroup of patients (</w:t>
            </w:r>
            <w:r w:rsidR="00534072" w:rsidRPr="00980D3E">
              <w:rPr>
                <w:rFonts w:ascii="Arial Narrow" w:hAnsi="Arial Narrow" w:cs="Times New Roman"/>
                <w:sz w:val="20"/>
                <w:szCs w:val="20"/>
              </w:rPr>
              <w:t>para</w:t>
            </w:r>
            <w:r w:rsidRPr="00980D3E">
              <w:rPr>
                <w:rFonts w:ascii="Arial Narrow" w:hAnsi="Arial Narrow" w:cs="Times New Roman"/>
                <w:sz w:val="20"/>
                <w:szCs w:val="20"/>
              </w:rPr>
              <w:t xml:space="preserve"> 7.12, plitidepsin </w:t>
            </w:r>
            <w:r w:rsidR="00534072" w:rsidRPr="00980D3E">
              <w:rPr>
                <w:rFonts w:ascii="Arial Narrow" w:hAnsi="Arial Narrow" w:cs="Times New Roman"/>
                <w:sz w:val="20"/>
                <w:szCs w:val="20"/>
              </w:rPr>
              <w:t>Public Summary Document</w:t>
            </w:r>
            <w:r w:rsidRPr="00980D3E">
              <w:rPr>
                <w:rFonts w:ascii="Arial Narrow" w:hAnsi="Arial Narrow" w:cs="Times New Roman"/>
                <w:sz w:val="20"/>
                <w:szCs w:val="20"/>
              </w:rPr>
              <w:t>, Jul 2019 PBAC meeting).</w:t>
            </w:r>
          </w:p>
        </w:tc>
      </w:tr>
      <w:tr w:rsidR="00337157" w:rsidRPr="00980D3E" w:rsidTr="007715ED">
        <w:tc>
          <w:tcPr>
            <w:tcW w:w="5000" w:type="pct"/>
            <w:gridSpan w:val="3"/>
            <w:tcMar>
              <w:left w:w="28" w:type="dxa"/>
              <w:right w:w="28" w:type="dxa"/>
            </w:tcMar>
          </w:tcPr>
          <w:p w:rsidR="00337157" w:rsidRPr="00980D3E" w:rsidRDefault="00337157" w:rsidP="005F071D">
            <w:pPr>
              <w:jc w:val="left"/>
              <w:rPr>
                <w:rFonts w:ascii="Arial Narrow" w:hAnsi="Arial Narrow" w:cs="Times New Roman"/>
                <w:b/>
                <w:sz w:val="20"/>
                <w:szCs w:val="20"/>
              </w:rPr>
            </w:pPr>
            <w:r w:rsidRPr="00980D3E">
              <w:rPr>
                <w:rFonts w:ascii="Arial Narrow" w:hAnsi="Arial Narrow" w:cs="Times New Roman"/>
                <w:b/>
                <w:sz w:val="20"/>
                <w:szCs w:val="20"/>
              </w:rPr>
              <w:t>Changes in use of other medicines</w:t>
            </w:r>
          </w:p>
        </w:tc>
      </w:tr>
      <w:tr w:rsidR="00337157" w:rsidRPr="00980D3E" w:rsidTr="007715ED">
        <w:tc>
          <w:tcPr>
            <w:tcW w:w="911" w:type="pct"/>
            <w:tcMar>
              <w:left w:w="28" w:type="dxa"/>
              <w:right w:w="28" w:type="dxa"/>
            </w:tcMar>
          </w:tcPr>
          <w:p w:rsidR="00337157" w:rsidRPr="00980D3E" w:rsidRDefault="00A41A76" w:rsidP="005F071D">
            <w:pPr>
              <w:jc w:val="left"/>
              <w:rPr>
                <w:rFonts w:ascii="Arial Narrow" w:hAnsi="Arial Narrow" w:cs="Times New Roman"/>
                <w:sz w:val="20"/>
                <w:szCs w:val="20"/>
              </w:rPr>
            </w:pPr>
            <w:r w:rsidRPr="00980D3E">
              <w:rPr>
                <w:rFonts w:ascii="Arial Narrow" w:hAnsi="Arial Narrow" w:cs="Times New Roman"/>
                <w:sz w:val="20"/>
                <w:szCs w:val="20"/>
              </w:rPr>
              <w:t xml:space="preserve">Scripts </w:t>
            </w:r>
            <w:r w:rsidR="00AF3A6C" w:rsidRPr="00980D3E">
              <w:rPr>
                <w:rFonts w:ascii="Arial Narrow" w:hAnsi="Arial Narrow" w:cs="Times New Roman"/>
                <w:sz w:val="20"/>
                <w:szCs w:val="20"/>
              </w:rPr>
              <w:t>changed</w:t>
            </w:r>
          </w:p>
        </w:tc>
        <w:tc>
          <w:tcPr>
            <w:tcW w:w="1950" w:type="pct"/>
            <w:tcMar>
              <w:left w:w="28" w:type="dxa"/>
              <w:right w:w="28" w:type="dxa"/>
            </w:tcMar>
          </w:tcPr>
          <w:p w:rsidR="00AF3A6C" w:rsidRPr="00980D3E" w:rsidRDefault="00FF3894" w:rsidP="005F071D">
            <w:pPr>
              <w:jc w:val="left"/>
              <w:rPr>
                <w:rFonts w:ascii="Arial Narrow" w:hAnsi="Arial Narrow" w:cs="Times New Roman"/>
                <w:sz w:val="20"/>
                <w:szCs w:val="20"/>
              </w:rPr>
            </w:pPr>
            <w:r w:rsidRPr="00980D3E">
              <w:rPr>
                <w:rFonts w:ascii="Arial Narrow" w:hAnsi="Arial Narrow" w:cs="Times New Roman"/>
                <w:sz w:val="20"/>
                <w:szCs w:val="20"/>
              </w:rPr>
              <w:t xml:space="preserve">Increase: </w:t>
            </w:r>
            <w:r w:rsidR="001C7741" w:rsidRPr="00980D3E">
              <w:rPr>
                <w:rFonts w:ascii="Arial Narrow" w:hAnsi="Arial Narrow" w:cs="Times New Roman"/>
                <w:sz w:val="20"/>
                <w:szCs w:val="20"/>
              </w:rPr>
              <w:t>Dxm</w:t>
            </w:r>
            <w:r w:rsidRPr="00980D3E">
              <w:rPr>
                <w:rFonts w:ascii="Arial Narrow" w:hAnsi="Arial Narrow" w:cs="Times New Roman"/>
                <w:sz w:val="20"/>
                <w:szCs w:val="20"/>
              </w:rPr>
              <w:t xml:space="preserve">, </w:t>
            </w:r>
            <w:r w:rsidRPr="00980D3E">
              <w:rPr>
                <w:rFonts w:ascii="Arial Narrow" w:hAnsi="Arial Narrow"/>
                <w:color w:val="000000" w:themeColor="text1"/>
                <w:sz w:val="20"/>
                <w:szCs w:val="20"/>
                <w:lang w:eastAsia="zh-TW"/>
              </w:rPr>
              <w:t xml:space="preserve">ondansetron, </w:t>
            </w:r>
            <w:r w:rsidRPr="00980D3E">
              <w:rPr>
                <w:rFonts w:ascii="Arial Narrow" w:hAnsi="Arial Narrow"/>
                <w:color w:val="000000" w:themeColor="text1"/>
                <w:sz w:val="20"/>
                <w:szCs w:val="20"/>
              </w:rPr>
              <w:t>promethazine,</w:t>
            </w:r>
            <w:r w:rsidR="00FA329F" w:rsidRPr="00980D3E">
              <w:rPr>
                <w:rFonts w:ascii="Arial Narrow" w:hAnsi="Arial Narrow"/>
                <w:color w:val="000000" w:themeColor="text1"/>
                <w:sz w:val="20"/>
                <w:szCs w:val="20"/>
              </w:rPr>
              <w:t xml:space="preserve"> and</w:t>
            </w:r>
            <w:r w:rsidRPr="00980D3E">
              <w:rPr>
                <w:rFonts w:ascii="Arial Narrow" w:hAnsi="Arial Narrow"/>
                <w:color w:val="000000" w:themeColor="text1"/>
                <w:sz w:val="20"/>
                <w:szCs w:val="20"/>
              </w:rPr>
              <w:t xml:space="preserve"> prochlorperazine.</w:t>
            </w:r>
          </w:p>
          <w:p w:rsidR="00337157" w:rsidRPr="00980D3E" w:rsidRDefault="00FF3894" w:rsidP="005F071D">
            <w:pPr>
              <w:jc w:val="left"/>
              <w:rPr>
                <w:rFonts w:ascii="Arial Narrow" w:hAnsi="Arial Narrow" w:cs="Times New Roman"/>
                <w:sz w:val="20"/>
                <w:szCs w:val="20"/>
              </w:rPr>
            </w:pPr>
            <w:r w:rsidRPr="00980D3E">
              <w:rPr>
                <w:rFonts w:ascii="Arial Narrow" w:hAnsi="Arial Narrow" w:cs="Times New Roman"/>
                <w:sz w:val="20"/>
                <w:szCs w:val="20"/>
              </w:rPr>
              <w:t>Decrease: pomalidomide</w:t>
            </w:r>
            <w:r w:rsidR="00D50BAE" w:rsidRPr="00980D3E">
              <w:rPr>
                <w:rFonts w:ascii="Arial Narrow" w:hAnsi="Arial Narrow" w:cs="Times New Roman"/>
                <w:sz w:val="20"/>
                <w:szCs w:val="20"/>
              </w:rPr>
              <w:t xml:space="preserve"> and aspirin</w:t>
            </w:r>
            <w:r w:rsidRPr="00980D3E">
              <w:rPr>
                <w:rFonts w:ascii="Arial Narrow" w:hAnsi="Arial Narrow" w:cs="Times New Roman"/>
                <w:sz w:val="20"/>
                <w:szCs w:val="20"/>
              </w:rPr>
              <w:t>.</w:t>
            </w:r>
          </w:p>
        </w:tc>
        <w:tc>
          <w:tcPr>
            <w:tcW w:w="2139" w:type="pct"/>
            <w:tcMar>
              <w:left w:w="28" w:type="dxa"/>
              <w:right w:w="28" w:type="dxa"/>
            </w:tcMar>
          </w:tcPr>
          <w:p w:rsidR="00337157" w:rsidRPr="00980D3E" w:rsidRDefault="00803B69" w:rsidP="005F071D">
            <w:pPr>
              <w:jc w:val="left"/>
              <w:rPr>
                <w:rFonts w:ascii="Arial Narrow" w:hAnsi="Arial Narrow" w:cs="Times New Roman"/>
                <w:sz w:val="20"/>
                <w:szCs w:val="20"/>
              </w:rPr>
            </w:pPr>
            <w:r w:rsidRPr="00980D3E">
              <w:rPr>
                <w:rFonts w:ascii="Arial Narrow" w:hAnsi="Arial Narrow" w:cs="Times New Roman"/>
                <w:sz w:val="20"/>
                <w:szCs w:val="20"/>
              </w:rPr>
              <w:t>This was appropriate</w:t>
            </w:r>
            <w:r w:rsidR="00AD2E4B" w:rsidRPr="00980D3E">
              <w:rPr>
                <w:rFonts w:ascii="Arial Narrow" w:hAnsi="Arial Narrow" w:cs="Times New Roman"/>
                <w:sz w:val="20"/>
                <w:szCs w:val="20"/>
              </w:rPr>
              <w:t>.</w:t>
            </w:r>
          </w:p>
        </w:tc>
      </w:tr>
    </w:tbl>
    <w:p w:rsidR="00FF3894" w:rsidRPr="00980D3E" w:rsidRDefault="00FF3894" w:rsidP="007715ED">
      <w:pPr>
        <w:pStyle w:val="TableFigureFooter"/>
      </w:pPr>
      <w:r w:rsidRPr="00980D3E">
        <w:t xml:space="preserve">Source: pp252-269 in the resubmission. </w:t>
      </w:r>
    </w:p>
    <w:p w:rsidR="00241DC4" w:rsidRPr="00980D3E" w:rsidRDefault="00241DC4" w:rsidP="007715ED">
      <w:pPr>
        <w:pStyle w:val="TableFigureFooter"/>
      </w:pPr>
      <w:r w:rsidRPr="00980D3E">
        <w:t>A</w:t>
      </w:r>
      <w:r w:rsidR="00793BB0" w:rsidRPr="00980D3E">
        <w:t>C</w:t>
      </w:r>
      <w:r w:rsidR="00FF3894" w:rsidRPr="00980D3E">
        <w:t>I</w:t>
      </w:r>
      <w:r w:rsidRPr="00980D3E">
        <w:t xml:space="preserve">M = Australia Cancer Incidence and Mortality; AIHW = Australian Institute of Health and Welfare; </w:t>
      </w:r>
      <w:r w:rsidR="00C50AE9" w:rsidRPr="00980D3E">
        <w:t>Dxm</w:t>
      </w:r>
      <w:r w:rsidRPr="00980D3E">
        <w:t xml:space="preserve"> = dexamethasone; </w:t>
      </w:r>
      <w:r w:rsidRPr="00980D3E">
        <w:rPr>
          <w:szCs w:val="18"/>
        </w:rPr>
        <w:t>DUSC = drug utilisation sub-committee; IMiD</w:t>
      </w:r>
      <w:r w:rsidRPr="00980D3E">
        <w:t xml:space="preserve"> = immunomodulator; MBS = Medicare Benefit Schedule; MM</w:t>
      </w:r>
      <w:r w:rsidR="00F66FD3" w:rsidRPr="00980D3E">
        <w:t xml:space="preserve"> =</w:t>
      </w:r>
      <w:r w:rsidRPr="00980D3E">
        <w:t xml:space="preserve"> multiple myeloma; PBS = Pharmaceutical Benefits Scheme; PI = proteasome inhibitor; Yr = year</w:t>
      </w:r>
      <w:r w:rsidR="00B20D34" w:rsidRPr="00980D3E">
        <w:t>.</w:t>
      </w:r>
    </w:p>
    <w:p w:rsidR="00CE625C" w:rsidRPr="00980D3E" w:rsidRDefault="007B6E8C" w:rsidP="0046171C">
      <w:pPr>
        <w:pStyle w:val="3-BodyText"/>
      </w:pPr>
      <w:r w:rsidRPr="00980D3E">
        <w:t>T</w:t>
      </w:r>
      <w:r w:rsidR="00DE7801" w:rsidRPr="00980D3E">
        <w:t xml:space="preserve">he </w:t>
      </w:r>
      <w:r w:rsidRPr="00980D3E">
        <w:t xml:space="preserve">methodology, data sources and key assumptions were unchanged from the previous submission. </w:t>
      </w:r>
      <w:r w:rsidR="00CE625C" w:rsidRPr="00980D3E">
        <w:t>Therefore, the following issues remain:</w:t>
      </w:r>
    </w:p>
    <w:p w:rsidR="002D7DFF" w:rsidRPr="00980D3E" w:rsidRDefault="002D7DFF" w:rsidP="00B77C86">
      <w:pPr>
        <w:pStyle w:val="3-BodyText"/>
        <w:numPr>
          <w:ilvl w:val="0"/>
          <w:numId w:val="18"/>
        </w:numPr>
        <w:ind w:left="1077" w:hanging="357"/>
      </w:pPr>
      <w:r w:rsidRPr="00980D3E">
        <w:t xml:space="preserve">Plitidepsin uptake and market growth was likely overestimated due to </w:t>
      </w:r>
      <w:r w:rsidR="000154D6" w:rsidRPr="00980D3E">
        <w:t>the</w:t>
      </w:r>
      <w:r w:rsidRPr="00980D3E">
        <w:t xml:space="preserve"> additional toxicity and relatively small clinical benefit. This applied to:</w:t>
      </w:r>
    </w:p>
    <w:p w:rsidR="002D7DFF" w:rsidRPr="00980D3E" w:rsidRDefault="000154D6" w:rsidP="00B77C86">
      <w:pPr>
        <w:pStyle w:val="3-BodyText"/>
        <w:numPr>
          <w:ilvl w:val="1"/>
          <w:numId w:val="18"/>
        </w:numPr>
        <w:ind w:left="1434" w:hanging="357"/>
      </w:pPr>
      <w:r w:rsidRPr="00980D3E">
        <w:t xml:space="preserve">the </w:t>
      </w:r>
      <w:r w:rsidR="00CE625C" w:rsidRPr="00980D3E">
        <w:t>plitidepsin uptake rates</w:t>
      </w:r>
      <w:r w:rsidR="002D7DFF" w:rsidRPr="00980D3E">
        <w:t xml:space="preserve"> </w:t>
      </w:r>
      <w:r w:rsidRPr="00980D3E">
        <w:t>(</w:t>
      </w:r>
      <w:r w:rsidR="002D7DFF" w:rsidRPr="00980D3E">
        <w:t>22% in Year 1, increasing to 45% in Year 6</w:t>
      </w:r>
      <w:r w:rsidRPr="00980D3E">
        <w:t>);</w:t>
      </w:r>
      <w:r w:rsidR="002D7DFF" w:rsidRPr="00980D3E">
        <w:t xml:space="preserve"> </w:t>
      </w:r>
    </w:p>
    <w:p w:rsidR="00CE625C" w:rsidRPr="00980D3E" w:rsidRDefault="00CE625C" w:rsidP="00B77C86">
      <w:pPr>
        <w:pStyle w:val="3-BodyText"/>
        <w:numPr>
          <w:ilvl w:val="1"/>
          <w:numId w:val="18"/>
        </w:numPr>
        <w:ind w:left="1434" w:hanging="357"/>
      </w:pPr>
      <w:r w:rsidRPr="00980D3E">
        <w:t>the assumption that 44.4% of pomalidomide patients would receive subsequent therapy with plitidepsin</w:t>
      </w:r>
      <w:r w:rsidR="002D7DFF" w:rsidRPr="00980D3E">
        <w:t>, and,</w:t>
      </w:r>
    </w:p>
    <w:p w:rsidR="002D7DFF" w:rsidRPr="00980D3E" w:rsidRDefault="000154D6" w:rsidP="00B77C86">
      <w:pPr>
        <w:pStyle w:val="3-BodyText"/>
        <w:numPr>
          <w:ilvl w:val="1"/>
          <w:numId w:val="18"/>
        </w:numPr>
        <w:ind w:left="1434" w:hanging="357"/>
      </w:pPr>
      <w:r w:rsidRPr="00980D3E">
        <w:t xml:space="preserve">the assumption of </w:t>
      </w:r>
      <w:r w:rsidR="002D7DFF" w:rsidRPr="00980D3E">
        <w:t xml:space="preserve">5% market growth due to the PBS listing of plitidepsin; </w:t>
      </w:r>
    </w:p>
    <w:p w:rsidR="002D7DFF" w:rsidRPr="00980D3E" w:rsidRDefault="002D7DFF" w:rsidP="00B77C86">
      <w:pPr>
        <w:pStyle w:val="3-BodyText"/>
        <w:numPr>
          <w:ilvl w:val="0"/>
          <w:numId w:val="18"/>
        </w:numPr>
        <w:ind w:left="1077" w:hanging="357"/>
      </w:pPr>
      <w:r w:rsidRPr="00980D3E">
        <w:t xml:space="preserve">The eligible </w:t>
      </w:r>
      <w:r w:rsidR="00977581" w:rsidRPr="00980D3E">
        <w:t xml:space="preserve">third-line </w:t>
      </w:r>
      <w:r w:rsidRPr="00980D3E">
        <w:t>patient population was</w:t>
      </w:r>
      <w:r w:rsidR="00977581" w:rsidRPr="00980D3E">
        <w:t xml:space="preserve"> calculated </w:t>
      </w:r>
      <w:r w:rsidR="000154D6" w:rsidRPr="00980D3E">
        <w:t xml:space="preserve">based on </w:t>
      </w:r>
      <w:r w:rsidR="00977581" w:rsidRPr="00980D3E">
        <w:t xml:space="preserve">all </w:t>
      </w:r>
      <w:r w:rsidRPr="00980D3E">
        <w:t xml:space="preserve">patients currently receiving </w:t>
      </w:r>
      <w:r w:rsidR="00977581" w:rsidRPr="00980D3E">
        <w:t xml:space="preserve">any </w:t>
      </w:r>
      <w:r w:rsidRPr="00980D3E">
        <w:t>third-line therapy</w:t>
      </w:r>
      <w:r w:rsidR="00977581" w:rsidRPr="00980D3E">
        <w:t xml:space="preserve"> </w:t>
      </w:r>
      <w:r w:rsidR="000154D6" w:rsidRPr="00980D3E">
        <w:t>(including pomalidomide, bortezomib, carfilzomib, lenalidomide and thalidomide) rather than</w:t>
      </w:r>
      <w:r w:rsidR="00977581" w:rsidRPr="00980D3E">
        <w:t xml:space="preserve"> patients </w:t>
      </w:r>
      <w:r w:rsidR="000154D6" w:rsidRPr="00980D3E">
        <w:t xml:space="preserve">only receiving </w:t>
      </w:r>
      <w:r w:rsidR="00977581" w:rsidRPr="00980D3E">
        <w:lastRenderedPageBreak/>
        <w:t>pomalidomide. This approach likely underestimated the extent of substitution</w:t>
      </w:r>
      <w:r w:rsidR="00977581" w:rsidRPr="00980D3E">
        <w:rPr>
          <w:i/>
        </w:rPr>
        <w:t xml:space="preserve"> </w:t>
      </w:r>
      <w:r w:rsidR="00977581" w:rsidRPr="00980D3E">
        <w:t xml:space="preserve">(assumed to be pomalidomide only) relative to the estimated number of patients (all third line treatment); </w:t>
      </w:r>
    </w:p>
    <w:p w:rsidR="00977581" w:rsidRPr="00980D3E" w:rsidRDefault="00977581" w:rsidP="00B77C86">
      <w:pPr>
        <w:pStyle w:val="3-BodyText"/>
        <w:numPr>
          <w:ilvl w:val="0"/>
          <w:numId w:val="18"/>
        </w:numPr>
        <w:ind w:left="1077" w:hanging="357"/>
      </w:pPr>
      <w:r w:rsidRPr="00980D3E">
        <w:t xml:space="preserve">Estimated plitidepsin utilisation was </w:t>
      </w:r>
      <w:r w:rsidR="009F21A4" w:rsidRPr="00980D3E">
        <w:t xml:space="preserve">substantially </w:t>
      </w:r>
      <w:r w:rsidRPr="00980D3E">
        <w:t xml:space="preserve">higher than </w:t>
      </w:r>
      <w:r w:rsidR="009F21A4" w:rsidRPr="00980D3E">
        <w:t>the supplementary</w:t>
      </w:r>
      <w:r w:rsidRPr="00980D3E">
        <w:t xml:space="preserve"> market-share approach</w:t>
      </w:r>
      <w:r w:rsidR="000154D6" w:rsidRPr="00980D3E">
        <w:t>,</w:t>
      </w:r>
      <w:r w:rsidRPr="00980D3E">
        <w:t xml:space="preserve"> </w:t>
      </w:r>
      <w:r w:rsidR="000154D6" w:rsidRPr="00980D3E">
        <w:t>which</w:t>
      </w:r>
      <w:r w:rsidR="009F21A4" w:rsidRPr="00980D3E">
        <w:t xml:space="preserve"> was </w:t>
      </w:r>
      <w:r w:rsidRPr="00980D3E">
        <w:t xml:space="preserve">based on the </w:t>
      </w:r>
      <w:r w:rsidR="009F21A4" w:rsidRPr="00980D3E">
        <w:t>prescription</w:t>
      </w:r>
      <w:r w:rsidRPr="00980D3E">
        <w:t xml:space="preserve"> volumes </w:t>
      </w:r>
      <w:r w:rsidR="000154D6" w:rsidRPr="00980D3E">
        <w:t>of</w:t>
      </w:r>
      <w:r w:rsidRPr="00980D3E">
        <w:t xml:space="preserve"> pomalidomide (unchanged from the previous submission)</w:t>
      </w:r>
      <w:r w:rsidR="000A3564" w:rsidRPr="00980D3E">
        <w:t>.</w:t>
      </w:r>
      <w:r w:rsidR="009167E2" w:rsidRPr="00980D3E">
        <w:t xml:space="preserve"> These estimates could be considered as a separate validation of the </w:t>
      </w:r>
      <w:r w:rsidR="006E5CD0" w:rsidRPr="00980D3E">
        <w:t>epidemiological approach</w:t>
      </w:r>
      <w:r w:rsidR="009167E2" w:rsidRPr="00980D3E">
        <w:t xml:space="preserve">, but were not </w:t>
      </w:r>
      <w:r w:rsidR="006E5CD0" w:rsidRPr="00980D3E">
        <w:t xml:space="preserve">used </w:t>
      </w:r>
      <w:r w:rsidR="009167E2" w:rsidRPr="00980D3E">
        <w:t>as such by the resubmission</w:t>
      </w:r>
      <w:r w:rsidR="009F21A4" w:rsidRPr="00980D3E">
        <w:t xml:space="preserve">; </w:t>
      </w:r>
      <w:r w:rsidR="00150382" w:rsidRPr="00980D3E">
        <w:t xml:space="preserve">and </w:t>
      </w:r>
    </w:p>
    <w:p w:rsidR="000154D6" w:rsidRPr="00980D3E" w:rsidRDefault="00E92ECA" w:rsidP="00B77C86">
      <w:pPr>
        <w:pStyle w:val="3-BodyText"/>
        <w:numPr>
          <w:ilvl w:val="1"/>
          <w:numId w:val="19"/>
        </w:numPr>
        <w:ind w:left="1077" w:hanging="357"/>
      </w:pPr>
      <w:r w:rsidRPr="00980D3E">
        <w:t xml:space="preserve">The financial estimates added the estimated incidence and prevalent patients, likely overestimating the eligible population. </w:t>
      </w:r>
    </w:p>
    <w:p w:rsidR="00CE625C" w:rsidRPr="00980D3E" w:rsidRDefault="007B6E8C" w:rsidP="0046171C">
      <w:pPr>
        <w:pStyle w:val="3-BodyText"/>
      </w:pPr>
      <w:r w:rsidRPr="00980D3E">
        <w:t xml:space="preserve">The resubmission used the </w:t>
      </w:r>
      <w:r w:rsidR="00152ABB" w:rsidRPr="00980D3E">
        <w:t xml:space="preserve">proposed </w:t>
      </w:r>
      <w:r w:rsidRPr="00980D3E">
        <w:t>weighted DMPA of $</w:t>
      </w:r>
      <w:r w:rsidR="00F11546">
        <w:rPr>
          <w:noProof/>
          <w:color w:val="000000"/>
          <w:highlight w:val="black"/>
        </w:rPr>
        <w:t>''''''''''''''''''</w:t>
      </w:r>
      <w:r w:rsidRPr="00980D3E">
        <w:t xml:space="preserve"> ($</w:t>
      </w:r>
      <w:r w:rsidR="00F11546">
        <w:rPr>
          <w:noProof/>
          <w:color w:val="000000"/>
          <w:highlight w:val="black"/>
        </w:rPr>
        <w:t>'''''''''''''''''</w:t>
      </w:r>
      <w:r w:rsidRPr="00980D3E">
        <w:t xml:space="preserve"> in the previous submission) and assumed increased use of promethazine and prochlorperazine (rather than decreased use). This was appropriate as promethazine and </w:t>
      </w:r>
      <w:r w:rsidR="00286860" w:rsidRPr="00980D3E">
        <w:t>prochlorperazine</w:t>
      </w:r>
      <w:r w:rsidRPr="00980D3E">
        <w:t xml:space="preserve"> are administered with plitidepsin but not with pomalidomide. </w:t>
      </w:r>
    </w:p>
    <w:p w:rsidR="0046171C" w:rsidRPr="00980D3E" w:rsidRDefault="0046171C" w:rsidP="007E3FC4">
      <w:pPr>
        <w:pStyle w:val="3-BodyText"/>
      </w:pPr>
      <w:r w:rsidRPr="00980D3E">
        <w:t xml:space="preserve">The net financial implications to PBS/RPBS of </w:t>
      </w:r>
      <w:r w:rsidR="00817699" w:rsidRPr="00980D3E">
        <w:t>listing</w:t>
      </w:r>
      <w:r w:rsidRPr="00980D3E">
        <w:t xml:space="preserve"> plitidepsin on PBS </w:t>
      </w:r>
      <w:r w:rsidR="000831AA" w:rsidRPr="00980D3E">
        <w:t>are presented</w:t>
      </w:r>
      <w:r w:rsidRPr="00980D3E">
        <w:t xml:space="preserve"> in </w:t>
      </w:r>
      <w:r w:rsidR="00C2673A" w:rsidRPr="00980D3E">
        <w:t>Table 23</w:t>
      </w:r>
      <w:r w:rsidRPr="00980D3E">
        <w:t>.</w:t>
      </w:r>
      <w:r w:rsidR="007E3FC4" w:rsidRPr="00980D3E">
        <w:t xml:space="preserve"> </w:t>
      </w:r>
    </w:p>
    <w:p w:rsidR="0046171C" w:rsidRPr="00980D3E" w:rsidRDefault="0046171C" w:rsidP="007715ED">
      <w:pPr>
        <w:pStyle w:val="TableHeading"/>
        <w:keepLines/>
        <w:widowControl w:val="0"/>
      </w:pPr>
      <w:bookmarkStart w:id="59" w:name="_Ref33525338"/>
      <w:r w:rsidRPr="00980D3E">
        <w:lastRenderedPageBreak/>
        <w:t xml:space="preserve">Table </w:t>
      </w:r>
      <w:r w:rsidR="00C2673A" w:rsidRPr="00980D3E">
        <w:t>23</w:t>
      </w:r>
      <w:bookmarkEnd w:id="59"/>
      <w:r w:rsidRPr="00980D3E">
        <w:t xml:space="preserve">: </w:t>
      </w:r>
      <w:r w:rsidR="00817699" w:rsidRPr="00980D3E">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1050"/>
        <w:gridCol w:w="1051"/>
        <w:gridCol w:w="1051"/>
        <w:gridCol w:w="1051"/>
        <w:gridCol w:w="1051"/>
        <w:gridCol w:w="999"/>
      </w:tblGrid>
      <w:tr w:rsidR="0046171C" w:rsidRPr="00980D3E" w:rsidTr="007715ED">
        <w:trPr>
          <w:trHeight w:val="170"/>
          <w:tblHeader/>
        </w:trPr>
        <w:tc>
          <w:tcPr>
            <w:tcW w:w="1255" w:type="pct"/>
            <w:shd w:val="clear" w:color="auto" w:fill="auto"/>
            <w:noWrap/>
            <w:tcMar>
              <w:left w:w="28" w:type="dxa"/>
              <w:right w:w="28" w:type="dxa"/>
            </w:tcMar>
            <w:vAlign w:val="center"/>
            <w:hideMark/>
          </w:tcPr>
          <w:p w:rsidR="0046171C" w:rsidRPr="00980D3E" w:rsidRDefault="0046171C" w:rsidP="007715ED">
            <w:pPr>
              <w:keepNext/>
              <w:keepLines/>
              <w:widowControl w:val="0"/>
              <w:jc w:val="left"/>
              <w:rPr>
                <w:rFonts w:ascii="Arial Narrow" w:hAnsi="Arial Narrow"/>
                <w:b/>
                <w:bCs/>
                <w:color w:val="000000" w:themeColor="text1"/>
                <w:sz w:val="20"/>
                <w:szCs w:val="20"/>
                <w:lang w:eastAsia="zh-TW"/>
              </w:rPr>
            </w:pPr>
          </w:p>
        </w:tc>
        <w:tc>
          <w:tcPr>
            <w:tcW w:w="629" w:type="pct"/>
            <w:shd w:val="clear" w:color="auto" w:fill="auto"/>
            <w:noWrap/>
            <w:tcMar>
              <w:left w:w="28" w:type="dxa"/>
              <w:right w:w="28" w:type="dxa"/>
            </w:tcMar>
            <w:vAlign w:val="center"/>
            <w:hideMark/>
          </w:tcPr>
          <w:p w:rsidR="0046171C" w:rsidRPr="00980D3E" w:rsidRDefault="0046171C" w:rsidP="007715ED">
            <w:pPr>
              <w:keepNext/>
              <w:keepLines/>
              <w:widowControl w:val="0"/>
              <w:jc w:val="center"/>
              <w:rPr>
                <w:rFonts w:ascii="Arial Narrow" w:hAnsi="Arial Narrow"/>
                <w:b/>
                <w:bCs/>
                <w:color w:val="000000" w:themeColor="text1"/>
                <w:sz w:val="20"/>
                <w:szCs w:val="20"/>
                <w:lang w:eastAsia="zh-TW"/>
              </w:rPr>
            </w:pPr>
            <w:r w:rsidRPr="00980D3E">
              <w:rPr>
                <w:rFonts w:ascii="Arial Narrow" w:hAnsi="Arial Narrow"/>
                <w:b/>
                <w:bCs/>
                <w:color w:val="000000" w:themeColor="text1"/>
                <w:sz w:val="20"/>
                <w:szCs w:val="20"/>
                <w:lang w:eastAsia="zh-TW"/>
              </w:rPr>
              <w:t>Year 1</w:t>
            </w:r>
          </w:p>
        </w:tc>
        <w:tc>
          <w:tcPr>
            <w:tcW w:w="629" w:type="pct"/>
            <w:shd w:val="clear" w:color="auto" w:fill="auto"/>
            <w:noWrap/>
            <w:tcMar>
              <w:left w:w="28" w:type="dxa"/>
              <w:right w:w="28" w:type="dxa"/>
            </w:tcMar>
            <w:vAlign w:val="center"/>
            <w:hideMark/>
          </w:tcPr>
          <w:p w:rsidR="0046171C" w:rsidRPr="00980D3E" w:rsidRDefault="0046171C" w:rsidP="007715ED">
            <w:pPr>
              <w:keepNext/>
              <w:keepLines/>
              <w:widowControl w:val="0"/>
              <w:jc w:val="center"/>
              <w:rPr>
                <w:rFonts w:ascii="Arial Narrow" w:hAnsi="Arial Narrow"/>
                <w:b/>
                <w:bCs/>
                <w:color w:val="000000" w:themeColor="text1"/>
                <w:sz w:val="20"/>
                <w:szCs w:val="20"/>
                <w:lang w:eastAsia="zh-TW"/>
              </w:rPr>
            </w:pPr>
            <w:r w:rsidRPr="00980D3E">
              <w:rPr>
                <w:rFonts w:ascii="Arial Narrow" w:hAnsi="Arial Narrow"/>
                <w:b/>
                <w:bCs/>
                <w:color w:val="000000" w:themeColor="text1"/>
                <w:sz w:val="20"/>
                <w:szCs w:val="20"/>
                <w:lang w:eastAsia="zh-TW"/>
              </w:rPr>
              <w:t>Year 2</w:t>
            </w:r>
          </w:p>
        </w:tc>
        <w:tc>
          <w:tcPr>
            <w:tcW w:w="629" w:type="pct"/>
            <w:shd w:val="clear" w:color="auto" w:fill="auto"/>
            <w:noWrap/>
            <w:tcMar>
              <w:left w:w="28" w:type="dxa"/>
              <w:right w:w="28" w:type="dxa"/>
            </w:tcMar>
            <w:vAlign w:val="center"/>
            <w:hideMark/>
          </w:tcPr>
          <w:p w:rsidR="0046171C" w:rsidRPr="00980D3E" w:rsidRDefault="0046171C" w:rsidP="007715ED">
            <w:pPr>
              <w:keepNext/>
              <w:keepLines/>
              <w:widowControl w:val="0"/>
              <w:jc w:val="center"/>
              <w:rPr>
                <w:rFonts w:ascii="Arial Narrow" w:hAnsi="Arial Narrow"/>
                <w:b/>
                <w:bCs/>
                <w:color w:val="000000" w:themeColor="text1"/>
                <w:sz w:val="20"/>
                <w:szCs w:val="20"/>
                <w:lang w:eastAsia="zh-TW"/>
              </w:rPr>
            </w:pPr>
            <w:r w:rsidRPr="00980D3E">
              <w:rPr>
                <w:rFonts w:ascii="Arial Narrow" w:hAnsi="Arial Narrow"/>
                <w:b/>
                <w:bCs/>
                <w:color w:val="000000" w:themeColor="text1"/>
                <w:sz w:val="20"/>
                <w:szCs w:val="20"/>
                <w:lang w:eastAsia="zh-TW"/>
              </w:rPr>
              <w:t>Year 3</w:t>
            </w:r>
          </w:p>
        </w:tc>
        <w:tc>
          <w:tcPr>
            <w:tcW w:w="629" w:type="pct"/>
            <w:shd w:val="clear" w:color="auto" w:fill="auto"/>
            <w:noWrap/>
            <w:tcMar>
              <w:left w:w="28" w:type="dxa"/>
              <w:right w:w="28" w:type="dxa"/>
            </w:tcMar>
            <w:vAlign w:val="center"/>
            <w:hideMark/>
          </w:tcPr>
          <w:p w:rsidR="0046171C" w:rsidRPr="00980D3E" w:rsidRDefault="0046171C" w:rsidP="007715ED">
            <w:pPr>
              <w:keepNext/>
              <w:keepLines/>
              <w:widowControl w:val="0"/>
              <w:jc w:val="center"/>
              <w:rPr>
                <w:rFonts w:ascii="Arial Narrow" w:hAnsi="Arial Narrow"/>
                <w:b/>
                <w:bCs/>
                <w:color w:val="000000" w:themeColor="text1"/>
                <w:sz w:val="20"/>
                <w:szCs w:val="20"/>
                <w:lang w:eastAsia="zh-TW"/>
              </w:rPr>
            </w:pPr>
            <w:r w:rsidRPr="00980D3E">
              <w:rPr>
                <w:rFonts w:ascii="Arial Narrow" w:hAnsi="Arial Narrow"/>
                <w:b/>
                <w:bCs/>
                <w:color w:val="000000" w:themeColor="text1"/>
                <w:sz w:val="20"/>
                <w:szCs w:val="20"/>
                <w:lang w:eastAsia="zh-TW"/>
              </w:rPr>
              <w:t>Year 4</w:t>
            </w:r>
          </w:p>
        </w:tc>
        <w:tc>
          <w:tcPr>
            <w:tcW w:w="629" w:type="pct"/>
            <w:shd w:val="clear" w:color="auto" w:fill="auto"/>
            <w:noWrap/>
            <w:tcMar>
              <w:left w:w="28" w:type="dxa"/>
              <w:right w:w="28" w:type="dxa"/>
            </w:tcMar>
            <w:vAlign w:val="center"/>
            <w:hideMark/>
          </w:tcPr>
          <w:p w:rsidR="0046171C" w:rsidRPr="00980D3E" w:rsidRDefault="0046171C" w:rsidP="007715ED">
            <w:pPr>
              <w:keepNext/>
              <w:keepLines/>
              <w:widowControl w:val="0"/>
              <w:jc w:val="center"/>
              <w:rPr>
                <w:rFonts w:ascii="Arial Narrow" w:hAnsi="Arial Narrow"/>
                <w:b/>
                <w:bCs/>
                <w:color w:val="000000" w:themeColor="text1"/>
                <w:sz w:val="20"/>
                <w:szCs w:val="20"/>
                <w:lang w:eastAsia="zh-TW"/>
              </w:rPr>
            </w:pPr>
            <w:r w:rsidRPr="00980D3E">
              <w:rPr>
                <w:rFonts w:ascii="Arial Narrow" w:hAnsi="Arial Narrow"/>
                <w:b/>
                <w:bCs/>
                <w:color w:val="000000" w:themeColor="text1"/>
                <w:sz w:val="20"/>
                <w:szCs w:val="20"/>
                <w:lang w:eastAsia="zh-TW"/>
              </w:rPr>
              <w:t>Year 5</w:t>
            </w:r>
          </w:p>
        </w:tc>
        <w:tc>
          <w:tcPr>
            <w:tcW w:w="601" w:type="pct"/>
            <w:shd w:val="clear" w:color="auto" w:fill="auto"/>
            <w:noWrap/>
            <w:tcMar>
              <w:left w:w="28" w:type="dxa"/>
              <w:right w:w="28" w:type="dxa"/>
            </w:tcMar>
            <w:vAlign w:val="center"/>
            <w:hideMark/>
          </w:tcPr>
          <w:p w:rsidR="0046171C" w:rsidRPr="00980D3E" w:rsidRDefault="0046171C" w:rsidP="007715ED">
            <w:pPr>
              <w:keepNext/>
              <w:keepLines/>
              <w:widowControl w:val="0"/>
              <w:jc w:val="center"/>
              <w:rPr>
                <w:rFonts w:ascii="Arial Narrow" w:hAnsi="Arial Narrow"/>
                <w:b/>
                <w:bCs/>
                <w:color w:val="000000" w:themeColor="text1"/>
                <w:sz w:val="20"/>
                <w:szCs w:val="20"/>
                <w:lang w:eastAsia="zh-TW"/>
              </w:rPr>
            </w:pPr>
            <w:r w:rsidRPr="00980D3E">
              <w:rPr>
                <w:rFonts w:ascii="Arial Narrow" w:hAnsi="Arial Narrow"/>
                <w:b/>
                <w:bCs/>
                <w:color w:val="000000" w:themeColor="text1"/>
                <w:sz w:val="20"/>
                <w:szCs w:val="20"/>
                <w:lang w:eastAsia="zh-TW"/>
              </w:rPr>
              <w:t>Year 6</w:t>
            </w:r>
          </w:p>
        </w:tc>
      </w:tr>
      <w:tr w:rsidR="00817699" w:rsidRPr="00980D3E" w:rsidTr="007715ED">
        <w:trPr>
          <w:trHeight w:val="170"/>
        </w:trPr>
        <w:tc>
          <w:tcPr>
            <w:tcW w:w="5000" w:type="pct"/>
            <w:gridSpan w:val="7"/>
            <w:shd w:val="clear" w:color="auto" w:fill="auto"/>
            <w:noWrap/>
            <w:tcMar>
              <w:left w:w="28" w:type="dxa"/>
              <w:right w:w="28" w:type="dxa"/>
            </w:tcMar>
            <w:vAlign w:val="center"/>
          </w:tcPr>
          <w:p w:rsidR="00817699" w:rsidRPr="00980D3E" w:rsidRDefault="00C42698" w:rsidP="007715ED">
            <w:pPr>
              <w:keepNext/>
              <w:keepLines/>
              <w:widowControl w:val="0"/>
              <w:jc w:val="left"/>
              <w:rPr>
                <w:rFonts w:ascii="Arial Narrow" w:hAnsi="Arial Narrow"/>
                <w:b/>
                <w:bCs/>
                <w:color w:val="000000" w:themeColor="text1"/>
                <w:sz w:val="20"/>
                <w:szCs w:val="20"/>
                <w:lang w:eastAsia="zh-TW"/>
              </w:rPr>
            </w:pPr>
            <w:r w:rsidRPr="00980D3E">
              <w:rPr>
                <w:rFonts w:ascii="Arial Narrow" w:hAnsi="Arial Narrow"/>
                <w:b/>
                <w:bCs/>
                <w:color w:val="000000" w:themeColor="text1"/>
                <w:sz w:val="20"/>
                <w:szCs w:val="20"/>
                <w:lang w:eastAsia="zh-TW"/>
              </w:rPr>
              <w:t>Eligible population</w:t>
            </w:r>
          </w:p>
        </w:tc>
      </w:tr>
      <w:tr w:rsidR="00C42698" w:rsidRPr="00980D3E" w:rsidTr="007715ED">
        <w:trPr>
          <w:trHeight w:val="170"/>
        </w:trPr>
        <w:tc>
          <w:tcPr>
            <w:tcW w:w="1255" w:type="pct"/>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sz w:val="20"/>
                <w:szCs w:val="20"/>
              </w:rPr>
            </w:pPr>
            <w:r w:rsidRPr="00980D3E">
              <w:rPr>
                <w:rFonts w:ascii="Arial Narrow" w:hAnsi="Arial Narrow"/>
                <w:sz w:val="20"/>
                <w:szCs w:val="20"/>
              </w:rPr>
              <w:t>Incident</w:t>
            </w:r>
          </w:p>
        </w:tc>
        <w:tc>
          <w:tcPr>
            <w:tcW w:w="629" w:type="pct"/>
            <w:shd w:val="clear" w:color="auto" w:fill="auto"/>
            <w:noWrap/>
            <w:tcMar>
              <w:left w:w="28" w:type="dxa"/>
              <w:right w:w="28" w:type="dxa"/>
            </w:tcMar>
          </w:tcPr>
          <w:p w:rsidR="00C42698" w:rsidRPr="00F11546" w:rsidRDefault="00F11546" w:rsidP="007715ED">
            <w:pPr>
              <w:pStyle w:val="TableText0"/>
              <w:keepLines/>
              <w:widowControl w:val="0"/>
              <w:jc w:val="center"/>
              <w:rPr>
                <w:szCs w:val="20"/>
                <w:highlight w:val="black"/>
              </w:rPr>
            </w:pPr>
            <w:r>
              <w:rPr>
                <w:noProof/>
                <w:color w:val="000000"/>
                <w:szCs w:val="20"/>
                <w:highlight w:val="black"/>
              </w:rPr>
              <w:t xml:space="preserve">'''''''''' </w:t>
            </w:r>
          </w:p>
        </w:tc>
        <w:tc>
          <w:tcPr>
            <w:tcW w:w="629" w:type="pct"/>
            <w:shd w:val="clear" w:color="auto" w:fill="auto"/>
            <w:noWrap/>
            <w:tcMar>
              <w:left w:w="28" w:type="dxa"/>
              <w:right w:w="28" w:type="dxa"/>
            </w:tcMar>
          </w:tcPr>
          <w:p w:rsidR="00C42698" w:rsidRPr="00F11546" w:rsidRDefault="00F11546" w:rsidP="007715ED">
            <w:pPr>
              <w:pStyle w:val="TableText0"/>
              <w:keepLines/>
              <w:widowControl w:val="0"/>
              <w:jc w:val="center"/>
              <w:rPr>
                <w:szCs w:val="20"/>
                <w:highlight w:val="black"/>
              </w:rPr>
            </w:pPr>
            <w:r>
              <w:rPr>
                <w:noProof/>
                <w:color w:val="000000"/>
                <w:szCs w:val="20"/>
                <w:highlight w:val="black"/>
              </w:rPr>
              <w:t xml:space="preserve">'''''''''' </w:t>
            </w:r>
          </w:p>
        </w:tc>
        <w:tc>
          <w:tcPr>
            <w:tcW w:w="629" w:type="pct"/>
            <w:shd w:val="clear" w:color="auto" w:fill="auto"/>
            <w:noWrap/>
            <w:tcMar>
              <w:left w:w="28" w:type="dxa"/>
              <w:right w:w="28" w:type="dxa"/>
            </w:tcMar>
          </w:tcPr>
          <w:p w:rsidR="00C42698" w:rsidRPr="00F11546" w:rsidRDefault="00F11546" w:rsidP="007715ED">
            <w:pPr>
              <w:pStyle w:val="TableText0"/>
              <w:keepLines/>
              <w:widowControl w:val="0"/>
              <w:jc w:val="center"/>
              <w:rPr>
                <w:szCs w:val="20"/>
                <w:highlight w:val="black"/>
              </w:rPr>
            </w:pPr>
            <w:r>
              <w:rPr>
                <w:noProof/>
                <w:color w:val="000000"/>
                <w:szCs w:val="20"/>
                <w:highlight w:val="black"/>
              </w:rPr>
              <w:t xml:space="preserve">''''''''' </w:t>
            </w:r>
          </w:p>
        </w:tc>
        <w:tc>
          <w:tcPr>
            <w:tcW w:w="629" w:type="pct"/>
            <w:shd w:val="clear" w:color="auto" w:fill="auto"/>
            <w:noWrap/>
            <w:tcMar>
              <w:left w:w="28" w:type="dxa"/>
              <w:right w:w="28" w:type="dxa"/>
            </w:tcMar>
          </w:tcPr>
          <w:p w:rsidR="00C42698" w:rsidRPr="00F11546" w:rsidRDefault="00F11546" w:rsidP="007715ED">
            <w:pPr>
              <w:pStyle w:val="TableText0"/>
              <w:keepLines/>
              <w:widowControl w:val="0"/>
              <w:jc w:val="center"/>
              <w:rPr>
                <w:szCs w:val="20"/>
                <w:highlight w:val="black"/>
              </w:rPr>
            </w:pPr>
            <w:r>
              <w:rPr>
                <w:noProof/>
                <w:color w:val="000000"/>
                <w:szCs w:val="20"/>
                <w:highlight w:val="black"/>
              </w:rPr>
              <w:t xml:space="preserve">'''''''''' </w:t>
            </w:r>
          </w:p>
        </w:tc>
        <w:tc>
          <w:tcPr>
            <w:tcW w:w="629" w:type="pct"/>
            <w:shd w:val="clear" w:color="auto" w:fill="auto"/>
            <w:noWrap/>
            <w:tcMar>
              <w:left w:w="28" w:type="dxa"/>
              <w:right w:w="28" w:type="dxa"/>
            </w:tcMar>
          </w:tcPr>
          <w:p w:rsidR="00C42698" w:rsidRPr="00F11546" w:rsidRDefault="00F11546" w:rsidP="007715ED">
            <w:pPr>
              <w:pStyle w:val="TableText0"/>
              <w:keepLines/>
              <w:widowControl w:val="0"/>
              <w:jc w:val="center"/>
              <w:rPr>
                <w:szCs w:val="20"/>
                <w:highlight w:val="black"/>
              </w:rPr>
            </w:pPr>
            <w:r>
              <w:rPr>
                <w:noProof/>
                <w:color w:val="000000"/>
                <w:szCs w:val="20"/>
                <w:highlight w:val="black"/>
              </w:rPr>
              <w:t xml:space="preserve">''''''''' </w:t>
            </w:r>
          </w:p>
        </w:tc>
        <w:tc>
          <w:tcPr>
            <w:tcW w:w="601" w:type="pct"/>
            <w:shd w:val="clear" w:color="auto" w:fill="auto"/>
            <w:noWrap/>
            <w:tcMar>
              <w:left w:w="28" w:type="dxa"/>
              <w:right w:w="28" w:type="dxa"/>
            </w:tcMar>
          </w:tcPr>
          <w:p w:rsidR="00C42698" w:rsidRPr="00F11546" w:rsidRDefault="00F11546" w:rsidP="007715ED">
            <w:pPr>
              <w:pStyle w:val="TableText0"/>
              <w:keepLines/>
              <w:widowControl w:val="0"/>
              <w:jc w:val="center"/>
              <w:rPr>
                <w:szCs w:val="20"/>
                <w:highlight w:val="black"/>
              </w:rPr>
            </w:pPr>
            <w:r>
              <w:rPr>
                <w:noProof/>
                <w:color w:val="000000"/>
                <w:szCs w:val="20"/>
                <w:highlight w:val="black"/>
              </w:rPr>
              <w:t xml:space="preserve">'''''''' </w:t>
            </w:r>
          </w:p>
        </w:tc>
      </w:tr>
      <w:tr w:rsidR="00C42698" w:rsidRPr="00980D3E" w:rsidTr="007715ED">
        <w:trPr>
          <w:trHeight w:val="170"/>
        </w:trPr>
        <w:tc>
          <w:tcPr>
            <w:tcW w:w="1255" w:type="pct"/>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sz w:val="20"/>
                <w:szCs w:val="20"/>
              </w:rPr>
            </w:pPr>
            <w:r w:rsidRPr="00980D3E">
              <w:rPr>
                <w:rFonts w:ascii="Arial Narrow" w:hAnsi="Arial Narrow"/>
                <w:sz w:val="20"/>
                <w:szCs w:val="20"/>
              </w:rPr>
              <w:t>Prevalent population</w:t>
            </w:r>
          </w:p>
        </w:tc>
        <w:tc>
          <w:tcPr>
            <w:tcW w:w="629" w:type="pct"/>
            <w:shd w:val="clear" w:color="auto" w:fill="auto"/>
            <w:noWrap/>
            <w:tcMar>
              <w:left w:w="28" w:type="dxa"/>
              <w:right w:w="28" w:type="dxa"/>
            </w:tcMar>
          </w:tcPr>
          <w:p w:rsidR="00C42698" w:rsidRPr="00F11546" w:rsidRDefault="00F11546" w:rsidP="007715ED">
            <w:pPr>
              <w:pStyle w:val="Tabletext"/>
              <w:keepNext/>
              <w:keepLines/>
              <w:widowControl w:val="0"/>
              <w:jc w:val="center"/>
              <w:rPr>
                <w:szCs w:val="20"/>
                <w:highlight w:val="black"/>
              </w:rPr>
            </w:pPr>
            <w:r>
              <w:rPr>
                <w:noProof/>
                <w:color w:val="000000"/>
                <w:szCs w:val="20"/>
                <w:highlight w:val="black"/>
              </w:rPr>
              <w:t>'''''''''''''''</w:t>
            </w:r>
          </w:p>
        </w:tc>
        <w:tc>
          <w:tcPr>
            <w:tcW w:w="629" w:type="pct"/>
            <w:shd w:val="clear" w:color="auto" w:fill="auto"/>
            <w:noWrap/>
            <w:tcMar>
              <w:left w:w="28" w:type="dxa"/>
              <w:right w:w="28" w:type="dxa"/>
            </w:tcMar>
          </w:tcPr>
          <w:p w:rsidR="00C42698" w:rsidRPr="00F11546" w:rsidRDefault="00F11546" w:rsidP="007715ED">
            <w:pPr>
              <w:pStyle w:val="Tabletext"/>
              <w:keepNext/>
              <w:keepLines/>
              <w:widowControl w:val="0"/>
              <w:jc w:val="center"/>
              <w:rPr>
                <w:szCs w:val="20"/>
                <w:highlight w:val="black"/>
              </w:rPr>
            </w:pPr>
            <w:r>
              <w:rPr>
                <w:noProof/>
                <w:color w:val="000000"/>
                <w:szCs w:val="20"/>
                <w:highlight w:val="black"/>
              </w:rPr>
              <w:t>'''''''''''''''</w:t>
            </w:r>
          </w:p>
        </w:tc>
        <w:tc>
          <w:tcPr>
            <w:tcW w:w="629" w:type="pct"/>
            <w:shd w:val="clear" w:color="auto" w:fill="auto"/>
            <w:noWrap/>
            <w:tcMar>
              <w:left w:w="28" w:type="dxa"/>
              <w:right w:w="28" w:type="dxa"/>
            </w:tcMar>
          </w:tcPr>
          <w:p w:rsidR="00C42698" w:rsidRPr="00F11546" w:rsidRDefault="00F11546" w:rsidP="007715ED">
            <w:pPr>
              <w:pStyle w:val="Tabletext"/>
              <w:keepNext/>
              <w:keepLines/>
              <w:widowControl w:val="0"/>
              <w:jc w:val="center"/>
              <w:rPr>
                <w:szCs w:val="20"/>
                <w:highlight w:val="black"/>
              </w:rPr>
            </w:pPr>
            <w:r>
              <w:rPr>
                <w:noProof/>
                <w:color w:val="000000"/>
                <w:szCs w:val="20"/>
                <w:highlight w:val="black"/>
              </w:rPr>
              <w:t>''''''''''''</w:t>
            </w:r>
          </w:p>
        </w:tc>
        <w:tc>
          <w:tcPr>
            <w:tcW w:w="629" w:type="pct"/>
            <w:shd w:val="clear" w:color="auto" w:fill="auto"/>
            <w:noWrap/>
            <w:tcMar>
              <w:left w:w="28" w:type="dxa"/>
              <w:right w:w="28" w:type="dxa"/>
            </w:tcMar>
          </w:tcPr>
          <w:p w:rsidR="00C42698" w:rsidRPr="00F11546" w:rsidRDefault="00F11546" w:rsidP="007715ED">
            <w:pPr>
              <w:pStyle w:val="Tabletext"/>
              <w:keepNext/>
              <w:keepLines/>
              <w:widowControl w:val="0"/>
              <w:jc w:val="center"/>
              <w:rPr>
                <w:szCs w:val="20"/>
                <w:highlight w:val="black"/>
              </w:rPr>
            </w:pPr>
            <w:r>
              <w:rPr>
                <w:noProof/>
                <w:color w:val="000000"/>
                <w:szCs w:val="20"/>
                <w:highlight w:val="black"/>
              </w:rPr>
              <w:t>'''''''''''''</w:t>
            </w:r>
          </w:p>
        </w:tc>
        <w:tc>
          <w:tcPr>
            <w:tcW w:w="629" w:type="pct"/>
            <w:shd w:val="clear" w:color="auto" w:fill="auto"/>
            <w:noWrap/>
            <w:tcMar>
              <w:left w:w="28" w:type="dxa"/>
              <w:right w:w="28" w:type="dxa"/>
            </w:tcMar>
          </w:tcPr>
          <w:p w:rsidR="00C42698" w:rsidRPr="00F11546" w:rsidRDefault="00F11546" w:rsidP="007715ED">
            <w:pPr>
              <w:pStyle w:val="Tabletext"/>
              <w:keepNext/>
              <w:keepLines/>
              <w:widowControl w:val="0"/>
              <w:jc w:val="center"/>
              <w:rPr>
                <w:szCs w:val="20"/>
                <w:highlight w:val="black"/>
              </w:rPr>
            </w:pPr>
            <w:r>
              <w:rPr>
                <w:noProof/>
                <w:color w:val="000000"/>
                <w:szCs w:val="20"/>
                <w:highlight w:val="black"/>
              </w:rPr>
              <w:t>'''''''''''''</w:t>
            </w:r>
          </w:p>
        </w:tc>
        <w:tc>
          <w:tcPr>
            <w:tcW w:w="601" w:type="pct"/>
            <w:shd w:val="clear" w:color="auto" w:fill="auto"/>
            <w:noWrap/>
            <w:tcMar>
              <w:left w:w="28" w:type="dxa"/>
              <w:right w:w="28" w:type="dxa"/>
            </w:tcMar>
          </w:tcPr>
          <w:p w:rsidR="00C42698" w:rsidRPr="00F11546" w:rsidRDefault="00F11546" w:rsidP="007715ED">
            <w:pPr>
              <w:pStyle w:val="Tabletext"/>
              <w:keepNext/>
              <w:keepLines/>
              <w:widowControl w:val="0"/>
              <w:jc w:val="center"/>
              <w:rPr>
                <w:szCs w:val="20"/>
                <w:highlight w:val="black"/>
              </w:rPr>
            </w:pPr>
            <w:r>
              <w:rPr>
                <w:noProof/>
                <w:color w:val="000000"/>
                <w:szCs w:val="20"/>
                <w:highlight w:val="black"/>
              </w:rPr>
              <w:t>'''''''''''''</w:t>
            </w:r>
          </w:p>
        </w:tc>
      </w:tr>
      <w:tr w:rsidR="00C42698" w:rsidRPr="00980D3E" w:rsidTr="007715ED">
        <w:trPr>
          <w:trHeight w:val="170"/>
        </w:trPr>
        <w:tc>
          <w:tcPr>
            <w:tcW w:w="1255" w:type="pct"/>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sz w:val="20"/>
                <w:szCs w:val="20"/>
              </w:rPr>
            </w:pPr>
            <w:r w:rsidRPr="00980D3E">
              <w:rPr>
                <w:rFonts w:ascii="Arial Narrow" w:hAnsi="Arial Narrow"/>
                <w:sz w:val="20"/>
                <w:szCs w:val="20"/>
              </w:rPr>
              <w:t>Grandfathered</w:t>
            </w:r>
          </w:p>
        </w:tc>
        <w:tc>
          <w:tcPr>
            <w:tcW w:w="629" w:type="pct"/>
            <w:shd w:val="clear" w:color="auto" w:fill="auto"/>
            <w:noWrap/>
            <w:tcMar>
              <w:left w:w="28" w:type="dxa"/>
              <w:right w:w="28" w:type="dxa"/>
            </w:tcMar>
          </w:tcPr>
          <w:p w:rsidR="00C42698" w:rsidRPr="00980D3E" w:rsidRDefault="00F11546" w:rsidP="007715ED">
            <w:pPr>
              <w:keepNext/>
              <w:keepLines/>
              <w:widowControl w:val="0"/>
              <w:jc w:val="center"/>
              <w:rPr>
                <w:rFonts w:ascii="Arial Narrow" w:hAnsi="Arial Narrow"/>
                <w:sz w:val="20"/>
                <w:szCs w:val="20"/>
                <w:vertAlign w:val="superscript"/>
              </w:rPr>
            </w:pPr>
            <w:r>
              <w:rPr>
                <w:rFonts w:ascii="Arial Narrow" w:hAnsi="Arial Narrow"/>
                <w:noProof/>
                <w:color w:val="000000"/>
                <w:sz w:val="20"/>
                <w:szCs w:val="20"/>
                <w:highlight w:val="black"/>
              </w:rPr>
              <w:t>''''''</w:t>
            </w:r>
            <w:r w:rsidR="00BB5919" w:rsidRPr="00980D3E">
              <w:rPr>
                <w:rFonts w:ascii="Arial Narrow" w:hAnsi="Arial Narrow"/>
                <w:sz w:val="20"/>
                <w:szCs w:val="20"/>
                <w:vertAlign w:val="superscript"/>
              </w:rPr>
              <w:t>a</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sz w:val="20"/>
                <w:szCs w:val="20"/>
              </w:rPr>
            </w:pPr>
            <w:r w:rsidRPr="00980D3E">
              <w:rPr>
                <w:rFonts w:ascii="Arial Narrow" w:hAnsi="Arial Narrow"/>
                <w:sz w:val="20"/>
                <w:szCs w:val="20"/>
              </w:rPr>
              <w:t>-</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sz w:val="20"/>
                <w:szCs w:val="20"/>
              </w:rPr>
            </w:pPr>
            <w:r w:rsidRPr="00980D3E">
              <w:rPr>
                <w:rFonts w:ascii="Arial Narrow" w:hAnsi="Arial Narrow"/>
                <w:sz w:val="20"/>
                <w:szCs w:val="20"/>
              </w:rPr>
              <w:t>-</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sz w:val="20"/>
                <w:szCs w:val="20"/>
              </w:rPr>
            </w:pPr>
            <w:r w:rsidRPr="00980D3E">
              <w:rPr>
                <w:rFonts w:ascii="Arial Narrow" w:hAnsi="Arial Narrow"/>
                <w:sz w:val="20"/>
                <w:szCs w:val="20"/>
              </w:rPr>
              <w:t>-</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sz w:val="20"/>
                <w:szCs w:val="20"/>
              </w:rPr>
            </w:pPr>
            <w:r w:rsidRPr="00980D3E">
              <w:rPr>
                <w:rFonts w:ascii="Arial Narrow" w:hAnsi="Arial Narrow"/>
                <w:sz w:val="20"/>
                <w:szCs w:val="20"/>
              </w:rPr>
              <w:t>-</w:t>
            </w:r>
          </w:p>
        </w:tc>
        <w:tc>
          <w:tcPr>
            <w:tcW w:w="601"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sz w:val="20"/>
                <w:szCs w:val="20"/>
              </w:rPr>
            </w:pPr>
            <w:r w:rsidRPr="00980D3E">
              <w:rPr>
                <w:rFonts w:ascii="Arial Narrow" w:hAnsi="Arial Narrow"/>
                <w:sz w:val="20"/>
                <w:szCs w:val="20"/>
              </w:rPr>
              <w:t>-</w:t>
            </w:r>
          </w:p>
        </w:tc>
      </w:tr>
      <w:tr w:rsidR="00C42698" w:rsidRPr="00980D3E" w:rsidTr="007715ED">
        <w:trPr>
          <w:trHeight w:val="170"/>
        </w:trPr>
        <w:tc>
          <w:tcPr>
            <w:tcW w:w="5000" w:type="pct"/>
            <w:gridSpan w:val="7"/>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sz w:val="20"/>
                <w:szCs w:val="20"/>
              </w:rPr>
            </w:pPr>
            <w:r w:rsidRPr="00980D3E">
              <w:rPr>
                <w:rFonts w:ascii="Arial Narrow" w:hAnsi="Arial Narrow"/>
                <w:b/>
                <w:bCs/>
                <w:color w:val="000000" w:themeColor="text1"/>
                <w:sz w:val="20"/>
                <w:szCs w:val="20"/>
                <w:lang w:eastAsia="zh-TW"/>
              </w:rPr>
              <w:t>Estimated extent of use</w:t>
            </w:r>
          </w:p>
        </w:tc>
      </w:tr>
      <w:tr w:rsidR="00C42698" w:rsidRPr="00980D3E" w:rsidTr="007715ED">
        <w:trPr>
          <w:trHeight w:val="170"/>
        </w:trPr>
        <w:tc>
          <w:tcPr>
            <w:tcW w:w="1255" w:type="pct"/>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bCs/>
                <w:i/>
                <w:color w:val="000000" w:themeColor="text1"/>
                <w:sz w:val="20"/>
                <w:szCs w:val="20"/>
                <w:lang w:eastAsia="zh-TW"/>
              </w:rPr>
            </w:pPr>
            <w:r w:rsidRPr="00980D3E">
              <w:rPr>
                <w:rFonts w:ascii="Arial Narrow" w:hAnsi="Arial Narrow"/>
                <w:sz w:val="20"/>
                <w:szCs w:val="20"/>
              </w:rPr>
              <w:t>Number of patients treated</w:t>
            </w:r>
          </w:p>
        </w:tc>
        <w:tc>
          <w:tcPr>
            <w:tcW w:w="629" w:type="pct"/>
            <w:shd w:val="clear" w:color="auto" w:fill="auto"/>
            <w:noWrap/>
            <w:tcMar>
              <w:left w:w="28" w:type="dxa"/>
              <w:right w:w="28" w:type="dxa"/>
            </w:tcMar>
            <w:vAlign w:val="center"/>
          </w:tcPr>
          <w:p w:rsidR="00C42698" w:rsidRPr="00980D3E" w:rsidRDefault="00F11546" w:rsidP="007715ED">
            <w:pPr>
              <w:keepNext/>
              <w:keepLines/>
              <w:widowControl w:val="0"/>
              <w:jc w:val="center"/>
              <w:rPr>
                <w:rFonts w:ascii="Arial Narrow" w:hAnsi="Arial Narrow"/>
                <w:sz w:val="20"/>
                <w:szCs w:val="20"/>
                <w:vertAlign w:val="superscript"/>
              </w:rPr>
            </w:pPr>
            <w:r>
              <w:rPr>
                <w:rFonts w:ascii="Arial Narrow" w:hAnsi="Arial Narrow"/>
                <w:noProof/>
                <w:color w:val="000000"/>
                <w:sz w:val="20"/>
                <w:szCs w:val="20"/>
                <w:highlight w:val="black"/>
              </w:rPr>
              <w:t>''''''''''</w:t>
            </w:r>
            <w:r w:rsidR="008E0A71" w:rsidRPr="00980D3E">
              <w:rPr>
                <w:rFonts w:ascii="Arial Narrow" w:hAnsi="Arial Narrow"/>
                <w:sz w:val="20"/>
                <w:szCs w:val="20"/>
                <w:vertAlign w:val="superscript"/>
              </w:rPr>
              <w:t>b</w:t>
            </w:r>
          </w:p>
        </w:tc>
        <w:tc>
          <w:tcPr>
            <w:tcW w:w="629" w:type="pct"/>
            <w:shd w:val="clear" w:color="auto" w:fill="auto"/>
            <w:noWrap/>
            <w:tcMar>
              <w:left w:w="28" w:type="dxa"/>
              <w:right w:w="28" w:type="dxa"/>
            </w:tcMar>
            <w:vAlign w:val="center"/>
          </w:tcPr>
          <w:p w:rsidR="00C42698" w:rsidRPr="00F11546" w:rsidRDefault="00F11546" w:rsidP="007715ED">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9" w:type="pct"/>
            <w:shd w:val="clear" w:color="auto" w:fill="auto"/>
            <w:noWrap/>
            <w:tcMar>
              <w:left w:w="28" w:type="dxa"/>
              <w:right w:w="28" w:type="dxa"/>
            </w:tcMar>
            <w:vAlign w:val="center"/>
          </w:tcPr>
          <w:p w:rsidR="00C42698" w:rsidRPr="00F11546" w:rsidRDefault="00F11546" w:rsidP="007715ED">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9" w:type="pct"/>
            <w:shd w:val="clear" w:color="auto" w:fill="auto"/>
            <w:noWrap/>
            <w:tcMar>
              <w:left w:w="28" w:type="dxa"/>
              <w:right w:w="28" w:type="dxa"/>
            </w:tcMar>
            <w:vAlign w:val="center"/>
          </w:tcPr>
          <w:p w:rsidR="00C42698" w:rsidRPr="00F11546" w:rsidRDefault="00F11546" w:rsidP="007715ED">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9" w:type="pct"/>
            <w:shd w:val="clear" w:color="auto" w:fill="auto"/>
            <w:noWrap/>
            <w:tcMar>
              <w:left w:w="28" w:type="dxa"/>
              <w:right w:w="28" w:type="dxa"/>
            </w:tcMar>
            <w:vAlign w:val="center"/>
          </w:tcPr>
          <w:p w:rsidR="00C42698" w:rsidRPr="00F11546" w:rsidRDefault="00F11546" w:rsidP="007715ED">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1" w:type="pct"/>
            <w:shd w:val="clear" w:color="auto" w:fill="auto"/>
            <w:noWrap/>
            <w:tcMar>
              <w:left w:w="28" w:type="dxa"/>
              <w:right w:w="28" w:type="dxa"/>
            </w:tcMar>
            <w:vAlign w:val="center"/>
          </w:tcPr>
          <w:p w:rsidR="00C42698" w:rsidRPr="00F11546" w:rsidRDefault="00F11546" w:rsidP="007715ED">
            <w:pPr>
              <w:keepNext/>
              <w:keepLines/>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C42698" w:rsidRPr="00980D3E" w:rsidTr="00C3598E">
        <w:trPr>
          <w:trHeight w:val="170"/>
        </w:trPr>
        <w:tc>
          <w:tcPr>
            <w:tcW w:w="1255" w:type="pct"/>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bCs/>
                <w:color w:val="000000" w:themeColor="text1"/>
                <w:sz w:val="20"/>
                <w:szCs w:val="20"/>
                <w:lang w:eastAsia="zh-TW"/>
              </w:rPr>
            </w:pPr>
            <w:r w:rsidRPr="00980D3E">
              <w:rPr>
                <w:rFonts w:ascii="Arial Narrow" w:hAnsi="Arial Narrow"/>
                <w:bCs/>
                <w:color w:val="000000" w:themeColor="text1"/>
                <w:sz w:val="20"/>
                <w:szCs w:val="20"/>
                <w:lang w:eastAsia="zh-TW"/>
              </w:rPr>
              <w:t>Number of scripts dispensed</w:t>
            </w:r>
          </w:p>
        </w:tc>
        <w:tc>
          <w:tcPr>
            <w:tcW w:w="629" w:type="pct"/>
            <w:tcBorders>
              <w:bottom w:val="single" w:sz="4" w:space="0" w:color="auto"/>
            </w:tcBorders>
            <w:shd w:val="clear" w:color="auto" w:fill="auto"/>
            <w:noWrap/>
            <w:tcMar>
              <w:left w:w="28" w:type="dxa"/>
              <w:right w:w="28" w:type="dxa"/>
            </w:tcMar>
            <w:vAlign w:val="center"/>
          </w:tcPr>
          <w:p w:rsidR="00C42698" w:rsidRPr="00980D3E" w:rsidRDefault="00F11546" w:rsidP="007715ED">
            <w:pPr>
              <w:keepNext/>
              <w:keepLines/>
              <w:widowControl w:val="0"/>
              <w:jc w:val="center"/>
              <w:rPr>
                <w:rFonts w:ascii="Arial Narrow" w:hAnsi="Arial Narrow" w:cs="Times New Roman"/>
                <w:i/>
                <w:sz w:val="20"/>
                <w:szCs w:val="20"/>
                <w:vertAlign w:val="superscript"/>
              </w:rPr>
            </w:pPr>
            <w:r>
              <w:rPr>
                <w:rFonts w:ascii="Arial Narrow" w:hAnsi="Arial Narrow"/>
                <w:noProof/>
                <w:color w:val="000000"/>
                <w:sz w:val="20"/>
                <w:szCs w:val="20"/>
                <w:highlight w:val="black"/>
              </w:rPr>
              <w:t>''''''''</w:t>
            </w:r>
            <w:r w:rsidR="008E0A71" w:rsidRPr="00980D3E">
              <w:rPr>
                <w:rFonts w:ascii="Arial Narrow" w:hAnsi="Arial Narrow"/>
                <w:sz w:val="20"/>
                <w:szCs w:val="20"/>
                <w:vertAlign w:val="superscript"/>
              </w:rPr>
              <w:t>c</w:t>
            </w:r>
          </w:p>
        </w:tc>
        <w:tc>
          <w:tcPr>
            <w:tcW w:w="629" w:type="pct"/>
            <w:tcBorders>
              <w:bottom w:val="single" w:sz="4" w:space="0" w:color="auto"/>
            </w:tcBorders>
            <w:shd w:val="clear" w:color="auto" w:fill="auto"/>
            <w:noWrap/>
            <w:tcMar>
              <w:left w:w="28" w:type="dxa"/>
              <w:right w:w="28" w:type="dxa"/>
            </w:tcMar>
            <w:vAlign w:val="center"/>
          </w:tcPr>
          <w:p w:rsidR="00C42698" w:rsidRPr="00F11546" w:rsidRDefault="00F11546" w:rsidP="007715ED">
            <w:pPr>
              <w:keepNext/>
              <w:keepLines/>
              <w:widowControl w:val="0"/>
              <w:jc w:val="center"/>
              <w:rPr>
                <w:rFonts w:ascii="Arial Narrow" w:hAnsi="Arial Narrow" w:cs="Times New Roman"/>
                <w:i/>
                <w:sz w:val="20"/>
                <w:szCs w:val="20"/>
                <w:highlight w:val="black"/>
              </w:rPr>
            </w:pPr>
            <w:r>
              <w:rPr>
                <w:rFonts w:ascii="Arial Narrow" w:hAnsi="Arial Narrow"/>
                <w:noProof/>
                <w:color w:val="000000"/>
                <w:sz w:val="20"/>
                <w:szCs w:val="20"/>
                <w:highlight w:val="black"/>
              </w:rPr>
              <w:t>''''''''''''</w:t>
            </w:r>
          </w:p>
        </w:tc>
        <w:tc>
          <w:tcPr>
            <w:tcW w:w="629" w:type="pct"/>
            <w:tcBorders>
              <w:bottom w:val="single" w:sz="4" w:space="0" w:color="auto"/>
            </w:tcBorders>
            <w:shd w:val="clear" w:color="auto" w:fill="auto"/>
            <w:noWrap/>
            <w:tcMar>
              <w:left w:w="28" w:type="dxa"/>
              <w:right w:w="28" w:type="dxa"/>
            </w:tcMar>
            <w:vAlign w:val="center"/>
          </w:tcPr>
          <w:p w:rsidR="00C42698" w:rsidRPr="00F11546" w:rsidRDefault="00F11546" w:rsidP="007715ED">
            <w:pPr>
              <w:keepNext/>
              <w:keepLines/>
              <w:widowControl w:val="0"/>
              <w:jc w:val="center"/>
              <w:rPr>
                <w:rFonts w:ascii="Arial Narrow" w:hAnsi="Arial Narrow" w:cs="Times New Roman"/>
                <w:i/>
                <w:sz w:val="20"/>
                <w:szCs w:val="20"/>
                <w:highlight w:val="black"/>
              </w:rPr>
            </w:pPr>
            <w:r>
              <w:rPr>
                <w:rFonts w:ascii="Arial Narrow" w:hAnsi="Arial Narrow"/>
                <w:noProof/>
                <w:color w:val="000000"/>
                <w:sz w:val="20"/>
                <w:szCs w:val="20"/>
                <w:highlight w:val="black"/>
              </w:rPr>
              <w:t>'''''''''''''</w:t>
            </w:r>
          </w:p>
        </w:tc>
        <w:tc>
          <w:tcPr>
            <w:tcW w:w="629" w:type="pct"/>
            <w:tcBorders>
              <w:bottom w:val="single" w:sz="4" w:space="0" w:color="auto"/>
            </w:tcBorders>
            <w:shd w:val="clear" w:color="auto" w:fill="auto"/>
            <w:noWrap/>
            <w:tcMar>
              <w:left w:w="28" w:type="dxa"/>
              <w:right w:w="28" w:type="dxa"/>
            </w:tcMar>
            <w:vAlign w:val="center"/>
          </w:tcPr>
          <w:p w:rsidR="00C42698" w:rsidRPr="00F11546" w:rsidRDefault="00F11546" w:rsidP="007715ED">
            <w:pPr>
              <w:keepNext/>
              <w:keepLines/>
              <w:widowControl w:val="0"/>
              <w:jc w:val="center"/>
              <w:rPr>
                <w:rFonts w:ascii="Arial Narrow" w:hAnsi="Arial Narrow" w:cs="Times New Roman"/>
                <w:i/>
                <w:sz w:val="20"/>
                <w:szCs w:val="20"/>
                <w:highlight w:val="black"/>
              </w:rPr>
            </w:pPr>
            <w:r>
              <w:rPr>
                <w:rFonts w:ascii="Arial Narrow" w:hAnsi="Arial Narrow"/>
                <w:noProof/>
                <w:color w:val="000000"/>
                <w:sz w:val="20"/>
                <w:szCs w:val="20"/>
                <w:highlight w:val="black"/>
              </w:rPr>
              <w:t>''''''''''''</w:t>
            </w:r>
          </w:p>
        </w:tc>
        <w:tc>
          <w:tcPr>
            <w:tcW w:w="629" w:type="pct"/>
            <w:tcBorders>
              <w:bottom w:val="single" w:sz="4" w:space="0" w:color="auto"/>
            </w:tcBorders>
            <w:shd w:val="clear" w:color="auto" w:fill="auto"/>
            <w:noWrap/>
            <w:tcMar>
              <w:left w:w="28" w:type="dxa"/>
              <w:right w:w="28" w:type="dxa"/>
            </w:tcMar>
            <w:vAlign w:val="center"/>
          </w:tcPr>
          <w:p w:rsidR="00C42698" w:rsidRPr="00F11546" w:rsidRDefault="00F11546" w:rsidP="007715ED">
            <w:pPr>
              <w:keepNext/>
              <w:keepLines/>
              <w:widowControl w:val="0"/>
              <w:jc w:val="center"/>
              <w:rPr>
                <w:rFonts w:ascii="Arial Narrow" w:hAnsi="Arial Narrow" w:cs="Times New Roman"/>
                <w:i/>
                <w:sz w:val="20"/>
                <w:szCs w:val="20"/>
                <w:highlight w:val="black"/>
              </w:rPr>
            </w:pPr>
            <w:r>
              <w:rPr>
                <w:rFonts w:ascii="Arial Narrow" w:hAnsi="Arial Narrow"/>
                <w:noProof/>
                <w:color w:val="000000"/>
                <w:sz w:val="20"/>
                <w:szCs w:val="20"/>
                <w:highlight w:val="black"/>
              </w:rPr>
              <w:t>'''''''''''''</w:t>
            </w:r>
          </w:p>
        </w:tc>
        <w:tc>
          <w:tcPr>
            <w:tcW w:w="601" w:type="pct"/>
            <w:tcBorders>
              <w:bottom w:val="single" w:sz="4" w:space="0" w:color="auto"/>
            </w:tcBorders>
            <w:shd w:val="clear" w:color="auto" w:fill="auto"/>
            <w:noWrap/>
            <w:tcMar>
              <w:left w:w="28" w:type="dxa"/>
              <w:right w:w="28" w:type="dxa"/>
            </w:tcMar>
            <w:vAlign w:val="center"/>
          </w:tcPr>
          <w:p w:rsidR="00C42698" w:rsidRPr="00F11546" w:rsidRDefault="00F11546" w:rsidP="007715ED">
            <w:pPr>
              <w:keepNext/>
              <w:keepLines/>
              <w:widowControl w:val="0"/>
              <w:jc w:val="center"/>
              <w:rPr>
                <w:rFonts w:ascii="Arial Narrow" w:hAnsi="Arial Narrow" w:cs="Times New Roman"/>
                <w:i/>
                <w:sz w:val="20"/>
                <w:szCs w:val="20"/>
                <w:highlight w:val="black"/>
              </w:rPr>
            </w:pPr>
            <w:r>
              <w:rPr>
                <w:rFonts w:ascii="Arial Narrow" w:hAnsi="Arial Narrow"/>
                <w:noProof/>
                <w:color w:val="000000"/>
                <w:sz w:val="20"/>
                <w:szCs w:val="20"/>
                <w:highlight w:val="black"/>
              </w:rPr>
              <w:t>''''''''''''''</w:t>
            </w:r>
          </w:p>
        </w:tc>
      </w:tr>
      <w:tr w:rsidR="00977581" w:rsidRPr="00980D3E" w:rsidTr="00C3598E">
        <w:trPr>
          <w:trHeight w:val="170"/>
        </w:trPr>
        <w:tc>
          <w:tcPr>
            <w:tcW w:w="1255" w:type="pct"/>
            <w:shd w:val="clear" w:color="auto" w:fill="auto"/>
            <w:noWrap/>
            <w:tcMar>
              <w:left w:w="28" w:type="dxa"/>
              <w:right w:w="28" w:type="dxa"/>
            </w:tcMar>
            <w:vAlign w:val="center"/>
          </w:tcPr>
          <w:p w:rsidR="00977581" w:rsidRPr="00980D3E" w:rsidRDefault="00977581" w:rsidP="007715ED">
            <w:pPr>
              <w:keepNext/>
              <w:keepLines/>
              <w:widowControl w:val="0"/>
              <w:jc w:val="left"/>
              <w:rPr>
                <w:rFonts w:ascii="Arial Narrow" w:hAnsi="Arial Narrow"/>
                <w:bCs/>
                <w:color w:val="000000" w:themeColor="text1"/>
                <w:sz w:val="20"/>
                <w:szCs w:val="20"/>
                <w:vertAlign w:val="superscript"/>
                <w:lang w:eastAsia="zh-TW"/>
              </w:rPr>
            </w:pPr>
            <w:r w:rsidRPr="00980D3E">
              <w:rPr>
                <w:rFonts w:ascii="Arial Narrow" w:hAnsi="Arial Narrow"/>
                <w:bCs/>
                <w:color w:val="000000" w:themeColor="text1"/>
                <w:sz w:val="20"/>
                <w:szCs w:val="20"/>
                <w:lang w:eastAsia="zh-TW"/>
              </w:rPr>
              <w:t>Market-share approach</w:t>
            </w:r>
            <w:r w:rsidR="005203CB" w:rsidRPr="00980D3E">
              <w:rPr>
                <w:rFonts w:ascii="Arial Narrow" w:hAnsi="Arial Narrow"/>
                <w:bCs/>
                <w:color w:val="000000" w:themeColor="text1"/>
                <w:sz w:val="20"/>
                <w:szCs w:val="20"/>
                <w:vertAlign w:val="superscript"/>
                <w:lang w:eastAsia="zh-TW"/>
              </w:rPr>
              <w:t>d</w:t>
            </w:r>
          </w:p>
        </w:tc>
        <w:tc>
          <w:tcPr>
            <w:tcW w:w="629" w:type="pct"/>
            <w:tcBorders>
              <w:top w:val="single" w:sz="4" w:space="0" w:color="auto"/>
              <w:left w:val="single" w:sz="4" w:space="0" w:color="auto"/>
              <w:bottom w:val="single" w:sz="4" w:space="0" w:color="auto"/>
              <w:right w:val="single" w:sz="4" w:space="0" w:color="auto"/>
            </w:tcBorders>
            <w:shd w:val="clear" w:color="000000" w:fill="auto"/>
            <w:noWrap/>
            <w:tcMar>
              <w:left w:w="28" w:type="dxa"/>
              <w:right w:w="28" w:type="dxa"/>
            </w:tcMar>
            <w:vAlign w:val="center"/>
          </w:tcPr>
          <w:p w:rsidR="00977581" w:rsidRPr="00F11546" w:rsidRDefault="00F11546" w:rsidP="007715ED">
            <w:pPr>
              <w:pStyle w:val="TableText0"/>
              <w:keepLines/>
              <w:widowControl w:val="0"/>
              <w:jc w:val="center"/>
              <w:rPr>
                <w:szCs w:val="20"/>
                <w:highlight w:val="black"/>
              </w:rPr>
            </w:pPr>
            <w:r>
              <w:rPr>
                <w:noProof/>
                <w:color w:val="000000"/>
                <w:szCs w:val="20"/>
                <w:highlight w:val="black"/>
              </w:rPr>
              <w:t>''''''''''</w:t>
            </w:r>
          </w:p>
        </w:tc>
        <w:tc>
          <w:tcPr>
            <w:tcW w:w="629" w:type="pct"/>
            <w:tcBorders>
              <w:top w:val="single" w:sz="4" w:space="0" w:color="auto"/>
              <w:left w:val="nil"/>
              <w:bottom w:val="single" w:sz="4" w:space="0" w:color="auto"/>
              <w:right w:val="single" w:sz="4" w:space="0" w:color="auto"/>
            </w:tcBorders>
            <w:shd w:val="clear" w:color="000000" w:fill="auto"/>
            <w:noWrap/>
            <w:tcMar>
              <w:left w:w="28" w:type="dxa"/>
              <w:right w:w="28" w:type="dxa"/>
            </w:tcMar>
            <w:vAlign w:val="center"/>
          </w:tcPr>
          <w:p w:rsidR="00977581" w:rsidRPr="00F11546" w:rsidRDefault="00F11546" w:rsidP="007715ED">
            <w:pPr>
              <w:pStyle w:val="TableText0"/>
              <w:keepLines/>
              <w:widowControl w:val="0"/>
              <w:jc w:val="center"/>
              <w:rPr>
                <w:szCs w:val="20"/>
                <w:highlight w:val="black"/>
              </w:rPr>
            </w:pPr>
            <w:r>
              <w:rPr>
                <w:noProof/>
                <w:color w:val="000000"/>
                <w:szCs w:val="20"/>
                <w:highlight w:val="black"/>
              </w:rPr>
              <w:t>'''''''''</w:t>
            </w:r>
          </w:p>
        </w:tc>
        <w:tc>
          <w:tcPr>
            <w:tcW w:w="629" w:type="pct"/>
            <w:tcBorders>
              <w:top w:val="single" w:sz="4" w:space="0" w:color="auto"/>
              <w:left w:val="nil"/>
              <w:bottom w:val="single" w:sz="4" w:space="0" w:color="auto"/>
              <w:right w:val="single" w:sz="4" w:space="0" w:color="auto"/>
            </w:tcBorders>
            <w:shd w:val="clear" w:color="000000" w:fill="auto"/>
            <w:noWrap/>
            <w:tcMar>
              <w:left w:w="28" w:type="dxa"/>
              <w:right w:w="28" w:type="dxa"/>
            </w:tcMar>
            <w:vAlign w:val="center"/>
          </w:tcPr>
          <w:p w:rsidR="00977581" w:rsidRPr="00F11546" w:rsidRDefault="00F11546" w:rsidP="007715ED">
            <w:pPr>
              <w:pStyle w:val="TableText0"/>
              <w:keepLines/>
              <w:widowControl w:val="0"/>
              <w:jc w:val="center"/>
              <w:rPr>
                <w:szCs w:val="20"/>
                <w:highlight w:val="black"/>
              </w:rPr>
            </w:pPr>
            <w:r>
              <w:rPr>
                <w:noProof/>
                <w:color w:val="000000"/>
                <w:szCs w:val="20"/>
                <w:highlight w:val="black"/>
              </w:rPr>
              <w:t>'''''''''''''''</w:t>
            </w:r>
          </w:p>
        </w:tc>
        <w:tc>
          <w:tcPr>
            <w:tcW w:w="629" w:type="pct"/>
            <w:tcBorders>
              <w:top w:val="single" w:sz="4" w:space="0" w:color="auto"/>
              <w:left w:val="nil"/>
              <w:bottom w:val="single" w:sz="4" w:space="0" w:color="auto"/>
              <w:right w:val="single" w:sz="4" w:space="0" w:color="auto"/>
            </w:tcBorders>
            <w:shd w:val="clear" w:color="000000" w:fill="auto"/>
            <w:noWrap/>
            <w:tcMar>
              <w:left w:w="28" w:type="dxa"/>
              <w:right w:w="28" w:type="dxa"/>
            </w:tcMar>
            <w:vAlign w:val="center"/>
          </w:tcPr>
          <w:p w:rsidR="00977581" w:rsidRPr="00F11546" w:rsidRDefault="00F11546" w:rsidP="007715ED">
            <w:pPr>
              <w:pStyle w:val="TableText0"/>
              <w:keepLines/>
              <w:widowControl w:val="0"/>
              <w:jc w:val="center"/>
              <w:rPr>
                <w:szCs w:val="20"/>
                <w:highlight w:val="black"/>
              </w:rPr>
            </w:pPr>
            <w:r>
              <w:rPr>
                <w:noProof/>
                <w:color w:val="000000"/>
                <w:szCs w:val="20"/>
                <w:highlight w:val="black"/>
              </w:rPr>
              <w:t>''''''''''''</w:t>
            </w:r>
          </w:p>
        </w:tc>
        <w:tc>
          <w:tcPr>
            <w:tcW w:w="629" w:type="pct"/>
            <w:tcBorders>
              <w:top w:val="single" w:sz="4" w:space="0" w:color="auto"/>
              <w:left w:val="nil"/>
              <w:bottom w:val="single" w:sz="4" w:space="0" w:color="auto"/>
              <w:right w:val="single" w:sz="4" w:space="0" w:color="auto"/>
            </w:tcBorders>
            <w:shd w:val="clear" w:color="000000" w:fill="auto"/>
            <w:noWrap/>
            <w:tcMar>
              <w:left w:w="28" w:type="dxa"/>
              <w:right w:w="28" w:type="dxa"/>
            </w:tcMar>
            <w:vAlign w:val="center"/>
          </w:tcPr>
          <w:p w:rsidR="00977581" w:rsidRPr="00F11546" w:rsidRDefault="00F11546" w:rsidP="007715ED">
            <w:pPr>
              <w:pStyle w:val="TableText0"/>
              <w:keepLines/>
              <w:widowControl w:val="0"/>
              <w:jc w:val="center"/>
              <w:rPr>
                <w:szCs w:val="20"/>
                <w:highlight w:val="black"/>
              </w:rPr>
            </w:pPr>
            <w:r>
              <w:rPr>
                <w:noProof/>
                <w:color w:val="000000"/>
                <w:szCs w:val="20"/>
                <w:highlight w:val="black"/>
              </w:rPr>
              <w:t>'''''''''''''</w:t>
            </w:r>
          </w:p>
        </w:tc>
        <w:tc>
          <w:tcPr>
            <w:tcW w:w="601" w:type="pct"/>
            <w:tcBorders>
              <w:top w:val="single" w:sz="4" w:space="0" w:color="auto"/>
              <w:left w:val="nil"/>
              <w:bottom w:val="single" w:sz="4" w:space="0" w:color="auto"/>
              <w:right w:val="single" w:sz="4" w:space="0" w:color="auto"/>
            </w:tcBorders>
            <w:shd w:val="clear" w:color="000000" w:fill="auto"/>
            <w:noWrap/>
            <w:tcMar>
              <w:left w:w="28" w:type="dxa"/>
              <w:right w:w="28" w:type="dxa"/>
            </w:tcMar>
            <w:vAlign w:val="center"/>
          </w:tcPr>
          <w:p w:rsidR="00977581" w:rsidRPr="00F11546" w:rsidRDefault="00F11546" w:rsidP="007715ED">
            <w:pPr>
              <w:pStyle w:val="TableText0"/>
              <w:keepLines/>
              <w:widowControl w:val="0"/>
              <w:jc w:val="center"/>
              <w:rPr>
                <w:szCs w:val="20"/>
                <w:highlight w:val="black"/>
              </w:rPr>
            </w:pPr>
            <w:r>
              <w:rPr>
                <w:noProof/>
                <w:color w:val="000000"/>
                <w:szCs w:val="20"/>
                <w:highlight w:val="black"/>
              </w:rPr>
              <w:t>'''''''''''''</w:t>
            </w:r>
          </w:p>
        </w:tc>
      </w:tr>
      <w:tr w:rsidR="00C42698" w:rsidRPr="00980D3E" w:rsidTr="007715ED">
        <w:trPr>
          <w:trHeight w:val="170"/>
        </w:trPr>
        <w:tc>
          <w:tcPr>
            <w:tcW w:w="5000" w:type="pct"/>
            <w:gridSpan w:val="7"/>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cs="Times New Roman"/>
                <w:i/>
                <w:sz w:val="20"/>
                <w:szCs w:val="20"/>
              </w:rPr>
            </w:pPr>
            <w:r w:rsidRPr="00980D3E">
              <w:rPr>
                <w:rFonts w:ascii="Arial Narrow" w:hAnsi="Arial Narrow"/>
                <w:b/>
                <w:bCs/>
                <w:color w:val="000000" w:themeColor="text1"/>
                <w:sz w:val="20"/>
                <w:szCs w:val="20"/>
                <w:lang w:eastAsia="zh-TW"/>
              </w:rPr>
              <w:t>Estimated financial implications of plitidepsin</w:t>
            </w:r>
          </w:p>
        </w:tc>
      </w:tr>
      <w:tr w:rsidR="00C42698" w:rsidRPr="00980D3E" w:rsidTr="007715ED">
        <w:trPr>
          <w:trHeight w:val="107"/>
        </w:trPr>
        <w:tc>
          <w:tcPr>
            <w:tcW w:w="1255" w:type="pct"/>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bCs/>
                <w:color w:val="000000" w:themeColor="text1"/>
                <w:sz w:val="20"/>
                <w:szCs w:val="20"/>
                <w:lang w:eastAsia="zh-TW"/>
              </w:rPr>
            </w:pPr>
            <w:r w:rsidRPr="00980D3E">
              <w:rPr>
                <w:rFonts w:ascii="Arial Narrow" w:hAnsi="Arial Narrow"/>
                <w:bCs/>
                <w:color w:val="000000" w:themeColor="text1"/>
                <w:sz w:val="20"/>
                <w:szCs w:val="20"/>
                <w:lang w:eastAsia="zh-TW"/>
              </w:rPr>
              <w:t>Cost to PBS/RPBS less co-payments</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sz w:val="20"/>
                <w:szCs w:val="20"/>
              </w:rPr>
            </w:pPr>
            <w:r w:rsidRPr="00980D3E">
              <w:rPr>
                <w:rFonts w:ascii="Arial Narrow" w:hAnsi="Arial Narrow"/>
                <w:sz w:val="20"/>
                <w:szCs w:val="20"/>
              </w:rPr>
              <w:t>$</w:t>
            </w:r>
            <w:r w:rsidR="00F11546">
              <w:rPr>
                <w:rFonts w:ascii="Arial Narrow" w:hAnsi="Arial Narrow"/>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sz w:val="20"/>
                <w:szCs w:val="20"/>
              </w:rPr>
            </w:pPr>
            <w:r w:rsidRPr="00980D3E">
              <w:rPr>
                <w:rFonts w:ascii="Arial Narrow" w:hAnsi="Arial Narrow"/>
                <w:sz w:val="20"/>
                <w:szCs w:val="20"/>
              </w:rPr>
              <w:t>$</w:t>
            </w:r>
            <w:r w:rsidR="00F11546">
              <w:rPr>
                <w:rFonts w:ascii="Arial Narrow" w:hAnsi="Arial Narrow"/>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sz w:val="20"/>
                <w:szCs w:val="20"/>
              </w:rPr>
            </w:pPr>
            <w:r w:rsidRPr="00980D3E">
              <w:rPr>
                <w:rFonts w:ascii="Arial Narrow" w:hAnsi="Arial Narrow"/>
                <w:sz w:val="20"/>
                <w:szCs w:val="20"/>
              </w:rPr>
              <w:t>$</w:t>
            </w:r>
            <w:r w:rsidR="00F11546">
              <w:rPr>
                <w:rFonts w:ascii="Arial Narrow" w:hAnsi="Arial Narrow"/>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sz w:val="20"/>
                <w:szCs w:val="20"/>
              </w:rPr>
            </w:pPr>
            <w:r w:rsidRPr="00980D3E">
              <w:rPr>
                <w:rFonts w:ascii="Arial Narrow" w:hAnsi="Arial Narrow"/>
                <w:sz w:val="20"/>
                <w:szCs w:val="20"/>
              </w:rPr>
              <w:t>$</w:t>
            </w:r>
            <w:r w:rsidR="00F11546">
              <w:rPr>
                <w:rFonts w:ascii="Arial Narrow" w:hAnsi="Arial Narrow"/>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sz w:val="20"/>
                <w:szCs w:val="20"/>
              </w:rPr>
            </w:pPr>
            <w:r w:rsidRPr="00980D3E">
              <w:rPr>
                <w:rFonts w:ascii="Arial Narrow" w:hAnsi="Arial Narrow"/>
                <w:sz w:val="20"/>
                <w:szCs w:val="20"/>
              </w:rPr>
              <w:t>$</w:t>
            </w:r>
            <w:r w:rsidR="00F11546">
              <w:rPr>
                <w:rFonts w:ascii="Arial Narrow" w:hAnsi="Arial Narrow"/>
                <w:noProof/>
                <w:color w:val="000000"/>
                <w:sz w:val="20"/>
                <w:szCs w:val="20"/>
                <w:highlight w:val="black"/>
              </w:rPr>
              <w:t>''''''''''''''''''''''''''</w:t>
            </w:r>
          </w:p>
        </w:tc>
        <w:tc>
          <w:tcPr>
            <w:tcW w:w="601"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sz w:val="20"/>
                <w:szCs w:val="20"/>
              </w:rPr>
            </w:pPr>
            <w:r w:rsidRPr="00980D3E">
              <w:rPr>
                <w:rFonts w:ascii="Arial Narrow" w:hAnsi="Arial Narrow"/>
                <w:sz w:val="20"/>
                <w:szCs w:val="20"/>
              </w:rPr>
              <w:t>$</w:t>
            </w:r>
            <w:r w:rsidR="00F11546">
              <w:rPr>
                <w:rFonts w:ascii="Arial Narrow" w:hAnsi="Arial Narrow"/>
                <w:noProof/>
                <w:color w:val="000000"/>
                <w:sz w:val="20"/>
                <w:szCs w:val="20"/>
                <w:highlight w:val="black"/>
              </w:rPr>
              <w:t>''''''''''''''''''''''''</w:t>
            </w:r>
          </w:p>
        </w:tc>
      </w:tr>
      <w:tr w:rsidR="00C42698" w:rsidRPr="00980D3E" w:rsidTr="007715ED">
        <w:trPr>
          <w:trHeight w:val="170"/>
        </w:trPr>
        <w:tc>
          <w:tcPr>
            <w:tcW w:w="5000" w:type="pct"/>
            <w:gridSpan w:val="7"/>
            <w:shd w:val="clear" w:color="auto" w:fill="auto"/>
            <w:noWrap/>
            <w:tcMar>
              <w:left w:w="28" w:type="dxa"/>
              <w:right w:w="28" w:type="dxa"/>
            </w:tcMar>
          </w:tcPr>
          <w:p w:rsidR="00C42698" w:rsidRPr="00980D3E" w:rsidRDefault="00C42698" w:rsidP="007715ED">
            <w:pPr>
              <w:keepNext/>
              <w:keepLines/>
              <w:widowControl w:val="0"/>
              <w:jc w:val="left"/>
              <w:rPr>
                <w:rFonts w:ascii="Arial Narrow" w:hAnsi="Arial Narrow"/>
                <w:i/>
                <w:sz w:val="20"/>
                <w:szCs w:val="20"/>
              </w:rPr>
            </w:pPr>
            <w:r w:rsidRPr="00980D3E">
              <w:rPr>
                <w:rFonts w:ascii="Arial Narrow" w:hAnsi="Arial Narrow"/>
                <w:b/>
                <w:bCs/>
                <w:color w:val="000000" w:themeColor="text1"/>
                <w:sz w:val="20"/>
                <w:szCs w:val="20"/>
                <w:lang w:eastAsia="zh-TW"/>
              </w:rPr>
              <w:t>Estimated financial implications of other medicines</w:t>
            </w:r>
            <w:r w:rsidR="005203CB" w:rsidRPr="00980D3E">
              <w:rPr>
                <w:rFonts w:ascii="Arial Narrow" w:hAnsi="Arial Narrow"/>
                <w:b/>
                <w:bCs/>
                <w:color w:val="000000" w:themeColor="text1"/>
                <w:sz w:val="20"/>
                <w:szCs w:val="20"/>
                <w:vertAlign w:val="superscript"/>
                <w:lang w:eastAsia="zh-TW"/>
              </w:rPr>
              <w:t>e</w:t>
            </w:r>
          </w:p>
        </w:tc>
      </w:tr>
      <w:tr w:rsidR="00C42698" w:rsidRPr="00980D3E" w:rsidTr="007715ED">
        <w:trPr>
          <w:trHeight w:val="170"/>
        </w:trPr>
        <w:tc>
          <w:tcPr>
            <w:tcW w:w="1255" w:type="pct"/>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bCs/>
                <w:i/>
                <w:color w:val="000000" w:themeColor="text1"/>
                <w:sz w:val="20"/>
                <w:szCs w:val="20"/>
                <w:lang w:eastAsia="zh-TW"/>
              </w:rPr>
            </w:pPr>
            <w:r w:rsidRPr="00980D3E">
              <w:rPr>
                <w:rFonts w:ascii="Arial Narrow" w:hAnsi="Arial Narrow"/>
                <w:bCs/>
                <w:color w:val="000000" w:themeColor="text1"/>
                <w:sz w:val="20"/>
                <w:szCs w:val="20"/>
                <w:lang w:eastAsia="zh-TW"/>
              </w:rPr>
              <w:t>Cost to PBS/RPBS less co-payments</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i/>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i/>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i/>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i/>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i/>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01"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i/>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r>
      <w:tr w:rsidR="00C42698" w:rsidRPr="00980D3E" w:rsidTr="007715ED">
        <w:trPr>
          <w:trHeight w:val="170"/>
        </w:trPr>
        <w:tc>
          <w:tcPr>
            <w:tcW w:w="5000" w:type="pct"/>
            <w:gridSpan w:val="7"/>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cs="Times New Roman"/>
                <w:i/>
                <w:sz w:val="20"/>
                <w:szCs w:val="20"/>
              </w:rPr>
            </w:pPr>
            <w:r w:rsidRPr="00980D3E">
              <w:rPr>
                <w:rFonts w:ascii="Arial Narrow" w:hAnsi="Arial Narrow"/>
                <w:b/>
                <w:bCs/>
                <w:color w:val="000000" w:themeColor="text1"/>
                <w:sz w:val="20"/>
                <w:szCs w:val="20"/>
                <w:lang w:eastAsia="zh-TW"/>
              </w:rPr>
              <w:t>Net financial implications</w:t>
            </w:r>
          </w:p>
        </w:tc>
      </w:tr>
      <w:tr w:rsidR="00A8328E" w:rsidRPr="00980D3E" w:rsidTr="007715ED">
        <w:trPr>
          <w:trHeight w:val="170"/>
        </w:trPr>
        <w:tc>
          <w:tcPr>
            <w:tcW w:w="1255" w:type="pct"/>
            <w:shd w:val="clear" w:color="auto" w:fill="auto"/>
            <w:noWrap/>
            <w:tcMar>
              <w:left w:w="28" w:type="dxa"/>
              <w:right w:w="28" w:type="dxa"/>
            </w:tcMar>
            <w:vAlign w:val="center"/>
          </w:tcPr>
          <w:p w:rsidR="00A8328E" w:rsidRPr="00980D3E" w:rsidRDefault="00A8328E" w:rsidP="007715ED">
            <w:pPr>
              <w:keepNext/>
              <w:keepLines/>
              <w:widowControl w:val="0"/>
              <w:jc w:val="left"/>
              <w:rPr>
                <w:rFonts w:ascii="Arial Narrow" w:hAnsi="Arial Narrow"/>
                <w:bCs/>
                <w:color w:val="000000" w:themeColor="text1"/>
                <w:sz w:val="20"/>
                <w:szCs w:val="20"/>
                <w:vertAlign w:val="superscript"/>
                <w:lang w:eastAsia="zh-TW"/>
              </w:rPr>
            </w:pPr>
            <w:r w:rsidRPr="00980D3E">
              <w:rPr>
                <w:rFonts w:ascii="Arial Narrow" w:hAnsi="Arial Narrow"/>
                <w:bCs/>
                <w:color w:val="000000" w:themeColor="text1"/>
                <w:sz w:val="20"/>
                <w:szCs w:val="20"/>
                <w:lang w:eastAsia="zh-TW"/>
              </w:rPr>
              <w:t>3</w:t>
            </w:r>
            <w:r w:rsidRPr="00980D3E">
              <w:rPr>
                <w:rFonts w:ascii="Arial Narrow" w:hAnsi="Arial Narrow"/>
                <w:bCs/>
                <w:color w:val="000000" w:themeColor="text1"/>
                <w:sz w:val="20"/>
                <w:szCs w:val="20"/>
                <w:vertAlign w:val="superscript"/>
                <w:lang w:eastAsia="zh-TW"/>
              </w:rPr>
              <w:t>rd</w:t>
            </w:r>
            <w:r w:rsidRPr="00980D3E">
              <w:rPr>
                <w:rFonts w:ascii="Arial Narrow" w:hAnsi="Arial Narrow"/>
                <w:bCs/>
                <w:color w:val="000000" w:themeColor="text1"/>
                <w:sz w:val="20"/>
                <w:szCs w:val="20"/>
                <w:lang w:eastAsia="zh-TW"/>
              </w:rPr>
              <w:t xml:space="preserve"> line</w:t>
            </w:r>
            <w:r w:rsidR="005203CB" w:rsidRPr="00980D3E">
              <w:rPr>
                <w:rFonts w:ascii="Arial Narrow" w:hAnsi="Arial Narrow"/>
                <w:bCs/>
                <w:color w:val="000000" w:themeColor="text1"/>
                <w:sz w:val="20"/>
                <w:szCs w:val="20"/>
                <w:vertAlign w:val="superscript"/>
                <w:lang w:eastAsia="zh-TW"/>
              </w:rPr>
              <w:t>f</w:t>
            </w:r>
          </w:p>
        </w:tc>
        <w:tc>
          <w:tcPr>
            <w:tcW w:w="629"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c>
          <w:tcPr>
            <w:tcW w:w="629"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c>
          <w:tcPr>
            <w:tcW w:w="629"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c>
          <w:tcPr>
            <w:tcW w:w="629"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c>
          <w:tcPr>
            <w:tcW w:w="629"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c>
          <w:tcPr>
            <w:tcW w:w="601"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r>
      <w:tr w:rsidR="00A8328E" w:rsidRPr="00980D3E" w:rsidTr="007715ED">
        <w:trPr>
          <w:trHeight w:val="170"/>
        </w:trPr>
        <w:tc>
          <w:tcPr>
            <w:tcW w:w="1255" w:type="pct"/>
            <w:shd w:val="clear" w:color="auto" w:fill="auto"/>
            <w:noWrap/>
            <w:tcMar>
              <w:left w:w="28" w:type="dxa"/>
              <w:right w:w="28" w:type="dxa"/>
            </w:tcMar>
            <w:vAlign w:val="center"/>
          </w:tcPr>
          <w:p w:rsidR="00A8328E" w:rsidRPr="00980D3E" w:rsidRDefault="00A8328E" w:rsidP="007715ED">
            <w:pPr>
              <w:keepNext/>
              <w:keepLines/>
              <w:widowControl w:val="0"/>
              <w:jc w:val="left"/>
              <w:rPr>
                <w:rFonts w:ascii="Arial Narrow" w:hAnsi="Arial Narrow"/>
                <w:bCs/>
                <w:color w:val="000000" w:themeColor="text1"/>
                <w:sz w:val="20"/>
                <w:szCs w:val="20"/>
                <w:lang w:eastAsia="zh-TW"/>
              </w:rPr>
            </w:pPr>
            <w:r w:rsidRPr="00980D3E">
              <w:rPr>
                <w:rFonts w:ascii="Arial Narrow" w:hAnsi="Arial Narrow"/>
                <w:bCs/>
                <w:color w:val="000000" w:themeColor="text1"/>
                <w:sz w:val="20"/>
                <w:szCs w:val="20"/>
                <w:lang w:eastAsia="zh-TW"/>
              </w:rPr>
              <w:t>4</w:t>
            </w:r>
            <w:r w:rsidRPr="00980D3E">
              <w:rPr>
                <w:rFonts w:ascii="Arial Narrow" w:hAnsi="Arial Narrow"/>
                <w:bCs/>
                <w:color w:val="000000" w:themeColor="text1"/>
                <w:sz w:val="20"/>
                <w:szCs w:val="20"/>
                <w:vertAlign w:val="superscript"/>
                <w:lang w:eastAsia="zh-TW"/>
              </w:rPr>
              <w:t xml:space="preserve">th </w:t>
            </w:r>
            <w:r w:rsidRPr="00980D3E">
              <w:rPr>
                <w:rFonts w:ascii="Arial Narrow" w:hAnsi="Arial Narrow"/>
                <w:bCs/>
                <w:color w:val="000000" w:themeColor="text1"/>
                <w:sz w:val="20"/>
                <w:szCs w:val="20"/>
                <w:lang w:eastAsia="zh-TW"/>
              </w:rPr>
              <w:t>line</w:t>
            </w:r>
            <w:r w:rsidR="005203CB" w:rsidRPr="00980D3E">
              <w:rPr>
                <w:rFonts w:ascii="Arial Narrow" w:hAnsi="Arial Narrow"/>
                <w:bCs/>
                <w:color w:val="000000" w:themeColor="text1"/>
                <w:sz w:val="20"/>
                <w:szCs w:val="20"/>
                <w:vertAlign w:val="superscript"/>
                <w:lang w:eastAsia="zh-TW"/>
              </w:rPr>
              <w:t>f</w:t>
            </w:r>
          </w:p>
        </w:tc>
        <w:tc>
          <w:tcPr>
            <w:tcW w:w="629"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c>
          <w:tcPr>
            <w:tcW w:w="629"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c>
          <w:tcPr>
            <w:tcW w:w="629"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c>
          <w:tcPr>
            <w:tcW w:w="629"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c>
          <w:tcPr>
            <w:tcW w:w="629"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c>
          <w:tcPr>
            <w:tcW w:w="601" w:type="pct"/>
            <w:shd w:val="clear" w:color="auto" w:fill="auto"/>
            <w:noWrap/>
            <w:tcMar>
              <w:left w:w="28" w:type="dxa"/>
              <w:right w:w="28" w:type="dxa"/>
            </w:tcMar>
          </w:tcPr>
          <w:p w:rsidR="00A8328E" w:rsidRPr="00980D3E" w:rsidRDefault="00A8328E" w:rsidP="007715ED">
            <w:pPr>
              <w:pStyle w:val="TableText0"/>
              <w:keepLines/>
              <w:widowControl w:val="0"/>
              <w:jc w:val="center"/>
              <w:rPr>
                <w:rFonts w:cs="Times New Roman"/>
                <w:szCs w:val="20"/>
              </w:rPr>
            </w:pPr>
            <w:r w:rsidRPr="00980D3E">
              <w:rPr>
                <w:szCs w:val="20"/>
              </w:rPr>
              <w:t>$</w:t>
            </w:r>
            <w:r w:rsidR="00F11546">
              <w:rPr>
                <w:noProof/>
                <w:color w:val="000000"/>
                <w:szCs w:val="20"/>
                <w:highlight w:val="black"/>
              </w:rPr>
              <w:t>''''''''''''''''''''''''</w:t>
            </w:r>
          </w:p>
        </w:tc>
      </w:tr>
      <w:tr w:rsidR="00C42698" w:rsidRPr="00980D3E" w:rsidTr="007715ED">
        <w:trPr>
          <w:trHeight w:val="170"/>
        </w:trPr>
        <w:tc>
          <w:tcPr>
            <w:tcW w:w="1255" w:type="pct"/>
            <w:shd w:val="clear" w:color="auto" w:fill="auto"/>
            <w:noWrap/>
            <w:tcMar>
              <w:left w:w="28" w:type="dxa"/>
              <w:right w:w="28" w:type="dxa"/>
            </w:tcMar>
          </w:tcPr>
          <w:p w:rsidR="00C42698" w:rsidRPr="00980D3E" w:rsidRDefault="00C42698" w:rsidP="007715ED">
            <w:pPr>
              <w:keepNext/>
              <w:keepLines/>
              <w:widowControl w:val="0"/>
              <w:jc w:val="left"/>
              <w:rPr>
                <w:rFonts w:ascii="Arial Narrow" w:hAnsi="Arial Narrow"/>
                <w:b/>
                <w:bCs/>
                <w:color w:val="000000" w:themeColor="text1"/>
                <w:sz w:val="20"/>
                <w:szCs w:val="20"/>
                <w:lang w:eastAsia="zh-TW"/>
              </w:rPr>
            </w:pPr>
            <w:r w:rsidRPr="00980D3E">
              <w:rPr>
                <w:rFonts w:ascii="Arial Narrow" w:hAnsi="Arial Narrow"/>
                <w:b/>
                <w:bCs/>
                <w:color w:val="000000" w:themeColor="text1"/>
                <w:sz w:val="20"/>
                <w:szCs w:val="20"/>
                <w:lang w:eastAsia="zh-TW"/>
              </w:rPr>
              <w:t>Net cost to PBS/RPBS</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cs="Times New Roman"/>
                <w:b/>
                <w:sz w:val="20"/>
                <w:szCs w:val="20"/>
              </w:rPr>
            </w:pPr>
            <w:r w:rsidRPr="00980D3E">
              <w:rPr>
                <w:rFonts w:ascii="Arial Narrow" w:hAnsi="Arial Narrow" w:cs="Times New Roman"/>
                <w:b/>
                <w:sz w:val="20"/>
                <w:szCs w:val="20"/>
              </w:rPr>
              <w:t>$</w:t>
            </w:r>
            <w:r w:rsidR="00F11546">
              <w:rPr>
                <w:rFonts w:ascii="Arial Narrow" w:hAnsi="Arial Narrow" w:cs="Times New Roman"/>
                <w:b/>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cs="Times New Roman"/>
                <w:b/>
                <w:sz w:val="20"/>
                <w:szCs w:val="20"/>
              </w:rPr>
            </w:pPr>
            <w:r w:rsidRPr="00980D3E">
              <w:rPr>
                <w:rFonts w:ascii="Arial Narrow" w:hAnsi="Arial Narrow" w:cs="Times New Roman"/>
                <w:b/>
                <w:sz w:val="20"/>
                <w:szCs w:val="20"/>
              </w:rPr>
              <w:t>$</w:t>
            </w:r>
            <w:r w:rsidR="00F11546">
              <w:rPr>
                <w:rFonts w:ascii="Arial Narrow" w:hAnsi="Arial Narrow" w:cs="Times New Roman"/>
                <w:b/>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cs="Times New Roman"/>
                <w:b/>
                <w:sz w:val="20"/>
                <w:szCs w:val="20"/>
              </w:rPr>
            </w:pPr>
            <w:r w:rsidRPr="00980D3E">
              <w:rPr>
                <w:rFonts w:ascii="Arial Narrow" w:hAnsi="Arial Narrow" w:cs="Times New Roman"/>
                <w:b/>
                <w:sz w:val="20"/>
                <w:szCs w:val="20"/>
              </w:rPr>
              <w:t>$</w:t>
            </w:r>
            <w:r w:rsidR="00F11546">
              <w:rPr>
                <w:rFonts w:ascii="Arial Narrow" w:hAnsi="Arial Narrow" w:cs="Times New Roman"/>
                <w:b/>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cs="Times New Roman"/>
                <w:b/>
                <w:sz w:val="20"/>
                <w:szCs w:val="20"/>
              </w:rPr>
            </w:pPr>
            <w:r w:rsidRPr="00980D3E">
              <w:rPr>
                <w:rFonts w:ascii="Arial Narrow" w:hAnsi="Arial Narrow" w:cs="Times New Roman"/>
                <w:b/>
                <w:sz w:val="20"/>
                <w:szCs w:val="20"/>
              </w:rPr>
              <w:t>$</w:t>
            </w:r>
            <w:r w:rsidR="00F11546">
              <w:rPr>
                <w:rFonts w:ascii="Arial Narrow" w:hAnsi="Arial Narrow" w:cs="Times New Roman"/>
                <w:b/>
                <w:noProof/>
                <w:color w:val="000000"/>
                <w:sz w:val="20"/>
                <w:szCs w:val="20"/>
                <w:highlight w:val="black"/>
              </w:rPr>
              <w:t>'''''''''''''''''</w:t>
            </w:r>
          </w:p>
        </w:tc>
        <w:tc>
          <w:tcPr>
            <w:tcW w:w="629"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cs="Times New Roman"/>
                <w:b/>
                <w:sz w:val="20"/>
                <w:szCs w:val="20"/>
              </w:rPr>
            </w:pPr>
            <w:r w:rsidRPr="00980D3E">
              <w:rPr>
                <w:rFonts w:ascii="Arial Narrow" w:hAnsi="Arial Narrow" w:cs="Times New Roman"/>
                <w:b/>
                <w:sz w:val="20"/>
                <w:szCs w:val="20"/>
              </w:rPr>
              <w:t>$</w:t>
            </w:r>
            <w:r w:rsidR="00F11546">
              <w:rPr>
                <w:rFonts w:ascii="Arial Narrow" w:hAnsi="Arial Narrow" w:cs="Times New Roman"/>
                <w:b/>
                <w:noProof/>
                <w:color w:val="000000"/>
                <w:sz w:val="20"/>
                <w:szCs w:val="20"/>
                <w:highlight w:val="black"/>
              </w:rPr>
              <w:t>'''''''''''''''''''''</w:t>
            </w:r>
          </w:p>
        </w:tc>
        <w:tc>
          <w:tcPr>
            <w:tcW w:w="601" w:type="pct"/>
            <w:shd w:val="clear" w:color="auto" w:fill="auto"/>
            <w:noWrap/>
            <w:tcMar>
              <w:left w:w="28" w:type="dxa"/>
              <w:right w:w="28" w:type="dxa"/>
            </w:tcMar>
            <w:vAlign w:val="center"/>
          </w:tcPr>
          <w:p w:rsidR="00C42698" w:rsidRPr="00980D3E" w:rsidRDefault="00C42698" w:rsidP="007715ED">
            <w:pPr>
              <w:keepNext/>
              <w:keepLines/>
              <w:widowControl w:val="0"/>
              <w:jc w:val="center"/>
              <w:rPr>
                <w:rFonts w:ascii="Arial Narrow" w:hAnsi="Arial Narrow" w:cs="Times New Roman"/>
                <w:b/>
                <w:sz w:val="20"/>
                <w:szCs w:val="20"/>
              </w:rPr>
            </w:pPr>
            <w:r w:rsidRPr="00980D3E">
              <w:rPr>
                <w:rFonts w:ascii="Arial Narrow" w:hAnsi="Arial Narrow" w:cs="Times New Roman"/>
                <w:b/>
                <w:sz w:val="20"/>
                <w:szCs w:val="20"/>
              </w:rPr>
              <w:t>$</w:t>
            </w:r>
            <w:r w:rsidR="00F11546">
              <w:rPr>
                <w:rFonts w:ascii="Arial Narrow" w:hAnsi="Arial Narrow" w:cs="Times New Roman"/>
                <w:b/>
                <w:noProof/>
                <w:color w:val="000000"/>
                <w:sz w:val="20"/>
                <w:szCs w:val="20"/>
                <w:highlight w:val="black"/>
              </w:rPr>
              <w:t>'''''''''''''''''''</w:t>
            </w:r>
          </w:p>
        </w:tc>
      </w:tr>
      <w:tr w:rsidR="00C42698" w:rsidRPr="00980D3E" w:rsidTr="007715ED">
        <w:trPr>
          <w:trHeight w:val="170"/>
        </w:trPr>
        <w:tc>
          <w:tcPr>
            <w:tcW w:w="1255" w:type="pct"/>
            <w:shd w:val="clear" w:color="auto" w:fill="auto"/>
            <w:noWrap/>
            <w:tcMar>
              <w:left w:w="28" w:type="dxa"/>
              <w:right w:w="28" w:type="dxa"/>
            </w:tcMar>
          </w:tcPr>
          <w:p w:rsidR="00C42698" w:rsidRPr="00980D3E" w:rsidRDefault="00C42698" w:rsidP="007715ED">
            <w:pPr>
              <w:keepNext/>
              <w:keepLines/>
              <w:widowControl w:val="0"/>
              <w:jc w:val="left"/>
              <w:rPr>
                <w:rFonts w:ascii="Arial Narrow" w:hAnsi="Arial Narrow"/>
                <w:bCs/>
                <w:color w:val="000000" w:themeColor="text1"/>
                <w:sz w:val="20"/>
                <w:szCs w:val="20"/>
                <w:lang w:eastAsia="zh-TW"/>
              </w:rPr>
            </w:pPr>
            <w:r w:rsidRPr="00980D3E">
              <w:rPr>
                <w:rFonts w:ascii="Arial Narrow" w:hAnsi="Arial Narrow"/>
                <w:bCs/>
                <w:color w:val="000000" w:themeColor="text1"/>
                <w:sz w:val="20"/>
                <w:szCs w:val="20"/>
                <w:lang w:eastAsia="zh-TW"/>
              </w:rPr>
              <w:t>Net cost to MBS</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01"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r>
      <w:tr w:rsidR="00C75B76" w:rsidRPr="00980D3E" w:rsidTr="007715ED">
        <w:trPr>
          <w:trHeight w:val="170"/>
        </w:trPr>
        <w:tc>
          <w:tcPr>
            <w:tcW w:w="1255" w:type="pct"/>
            <w:shd w:val="clear" w:color="auto" w:fill="auto"/>
            <w:noWrap/>
            <w:tcMar>
              <w:left w:w="28" w:type="dxa"/>
              <w:right w:w="28" w:type="dxa"/>
            </w:tcMar>
          </w:tcPr>
          <w:p w:rsidR="00C75B76" w:rsidRPr="00980D3E" w:rsidRDefault="00C75B76" w:rsidP="007715ED">
            <w:pPr>
              <w:keepNext/>
              <w:keepLines/>
              <w:widowControl w:val="0"/>
              <w:jc w:val="left"/>
              <w:rPr>
                <w:rFonts w:ascii="Arial Narrow" w:hAnsi="Arial Narrow"/>
                <w:bCs/>
                <w:color w:val="000000" w:themeColor="text1"/>
                <w:sz w:val="20"/>
                <w:szCs w:val="20"/>
                <w:lang w:eastAsia="zh-TW"/>
              </w:rPr>
            </w:pPr>
            <w:r w:rsidRPr="00980D3E">
              <w:rPr>
                <w:rFonts w:ascii="Arial Narrow" w:hAnsi="Arial Narrow"/>
                <w:bCs/>
                <w:color w:val="000000" w:themeColor="text1"/>
                <w:sz w:val="20"/>
                <w:szCs w:val="20"/>
                <w:lang w:eastAsia="zh-TW"/>
              </w:rPr>
              <w:t>Net cost to PBS/RPBS/MBS</w:t>
            </w:r>
          </w:p>
        </w:tc>
        <w:tc>
          <w:tcPr>
            <w:tcW w:w="629" w:type="pct"/>
            <w:shd w:val="clear" w:color="auto" w:fill="auto"/>
            <w:noWrap/>
            <w:tcMar>
              <w:left w:w="28" w:type="dxa"/>
              <w:right w:w="28" w:type="dxa"/>
            </w:tcMar>
            <w:vAlign w:val="center"/>
          </w:tcPr>
          <w:p w:rsidR="00C75B76" w:rsidRPr="00980D3E" w:rsidRDefault="00C75B76"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vAlign w:val="center"/>
          </w:tcPr>
          <w:p w:rsidR="00C75B76" w:rsidRPr="00980D3E" w:rsidRDefault="00C75B76"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vAlign w:val="center"/>
          </w:tcPr>
          <w:p w:rsidR="00C75B76" w:rsidRPr="00980D3E" w:rsidRDefault="00C75B76"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vAlign w:val="center"/>
          </w:tcPr>
          <w:p w:rsidR="00C75B76" w:rsidRPr="00980D3E" w:rsidRDefault="00C75B76"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vAlign w:val="center"/>
          </w:tcPr>
          <w:p w:rsidR="00C75B76" w:rsidRPr="00980D3E" w:rsidRDefault="00C75B76"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01" w:type="pct"/>
            <w:shd w:val="clear" w:color="auto" w:fill="auto"/>
            <w:noWrap/>
            <w:tcMar>
              <w:left w:w="28" w:type="dxa"/>
              <w:right w:w="28" w:type="dxa"/>
            </w:tcMar>
            <w:vAlign w:val="center"/>
          </w:tcPr>
          <w:p w:rsidR="00C75B76" w:rsidRPr="00980D3E" w:rsidRDefault="00C75B76"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r>
      <w:tr w:rsidR="00C42698" w:rsidRPr="00980D3E" w:rsidTr="007715ED">
        <w:trPr>
          <w:trHeight w:val="170"/>
        </w:trPr>
        <w:tc>
          <w:tcPr>
            <w:tcW w:w="5000" w:type="pct"/>
            <w:gridSpan w:val="7"/>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cs="Times New Roman"/>
                <w:b/>
                <w:sz w:val="20"/>
                <w:szCs w:val="20"/>
              </w:rPr>
            </w:pPr>
            <w:r w:rsidRPr="00980D3E">
              <w:rPr>
                <w:rFonts w:ascii="Arial Narrow" w:hAnsi="Arial Narrow" w:cs="Times New Roman"/>
                <w:b/>
                <w:sz w:val="20"/>
                <w:szCs w:val="20"/>
              </w:rPr>
              <w:t>Previous submission</w:t>
            </w:r>
            <w:r w:rsidR="00A8328E" w:rsidRPr="00980D3E">
              <w:rPr>
                <w:rFonts w:ascii="Arial Narrow" w:hAnsi="Arial Narrow" w:cs="Times New Roman"/>
                <w:b/>
                <w:sz w:val="20"/>
                <w:szCs w:val="20"/>
              </w:rPr>
              <w:t xml:space="preserve"> (Net cost to PBS/RPBS)</w:t>
            </w:r>
          </w:p>
        </w:tc>
      </w:tr>
      <w:tr w:rsidR="00A8328E" w:rsidRPr="00980D3E" w:rsidTr="007715ED">
        <w:trPr>
          <w:trHeight w:val="170"/>
        </w:trPr>
        <w:tc>
          <w:tcPr>
            <w:tcW w:w="1255" w:type="pct"/>
            <w:shd w:val="clear" w:color="auto" w:fill="auto"/>
            <w:noWrap/>
            <w:tcMar>
              <w:left w:w="28" w:type="dxa"/>
              <w:right w:w="28" w:type="dxa"/>
            </w:tcMar>
            <w:vAlign w:val="center"/>
          </w:tcPr>
          <w:p w:rsidR="00A8328E" w:rsidRPr="00980D3E" w:rsidRDefault="00A8328E" w:rsidP="007715ED">
            <w:pPr>
              <w:keepNext/>
              <w:keepLines/>
              <w:widowControl w:val="0"/>
              <w:jc w:val="left"/>
              <w:rPr>
                <w:rFonts w:ascii="Arial Narrow" w:hAnsi="Arial Narrow"/>
                <w:bCs/>
                <w:color w:val="000000" w:themeColor="text1"/>
                <w:sz w:val="20"/>
                <w:szCs w:val="20"/>
                <w:lang w:eastAsia="zh-TW"/>
              </w:rPr>
            </w:pPr>
            <w:r w:rsidRPr="00980D3E">
              <w:rPr>
                <w:rFonts w:ascii="Arial Narrow" w:hAnsi="Arial Narrow"/>
                <w:bCs/>
                <w:color w:val="000000" w:themeColor="text1"/>
                <w:sz w:val="20"/>
                <w:szCs w:val="20"/>
                <w:lang w:eastAsia="zh-TW"/>
              </w:rPr>
              <w:t>3</w:t>
            </w:r>
            <w:r w:rsidRPr="00980D3E">
              <w:rPr>
                <w:rFonts w:ascii="Arial Narrow" w:hAnsi="Arial Narrow"/>
                <w:bCs/>
                <w:color w:val="000000" w:themeColor="text1"/>
                <w:sz w:val="20"/>
                <w:szCs w:val="20"/>
                <w:vertAlign w:val="superscript"/>
                <w:lang w:eastAsia="zh-TW"/>
              </w:rPr>
              <w:t>rd</w:t>
            </w:r>
            <w:r w:rsidRPr="00980D3E">
              <w:rPr>
                <w:rFonts w:ascii="Arial Narrow" w:hAnsi="Arial Narrow"/>
                <w:bCs/>
                <w:color w:val="000000" w:themeColor="text1"/>
                <w:sz w:val="20"/>
                <w:szCs w:val="20"/>
                <w:lang w:eastAsia="zh-TW"/>
              </w:rPr>
              <w:t xml:space="preserve"> line </w:t>
            </w:r>
          </w:p>
        </w:tc>
        <w:tc>
          <w:tcPr>
            <w:tcW w:w="62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c>
          <w:tcPr>
            <w:tcW w:w="601"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r>
      <w:tr w:rsidR="00A8328E" w:rsidRPr="00980D3E" w:rsidTr="007715ED">
        <w:trPr>
          <w:trHeight w:val="170"/>
        </w:trPr>
        <w:tc>
          <w:tcPr>
            <w:tcW w:w="1255" w:type="pct"/>
            <w:shd w:val="clear" w:color="auto" w:fill="auto"/>
            <w:noWrap/>
            <w:tcMar>
              <w:left w:w="28" w:type="dxa"/>
              <w:right w:w="28" w:type="dxa"/>
            </w:tcMar>
            <w:vAlign w:val="center"/>
          </w:tcPr>
          <w:p w:rsidR="00A8328E" w:rsidRPr="00980D3E" w:rsidRDefault="00A8328E" w:rsidP="007715ED">
            <w:pPr>
              <w:keepNext/>
              <w:keepLines/>
              <w:widowControl w:val="0"/>
              <w:jc w:val="left"/>
              <w:rPr>
                <w:rFonts w:ascii="Arial Narrow" w:hAnsi="Arial Narrow"/>
                <w:bCs/>
                <w:color w:val="000000" w:themeColor="text1"/>
                <w:sz w:val="20"/>
                <w:szCs w:val="20"/>
                <w:lang w:eastAsia="zh-TW"/>
              </w:rPr>
            </w:pPr>
            <w:r w:rsidRPr="00980D3E">
              <w:rPr>
                <w:rFonts w:ascii="Arial Narrow" w:hAnsi="Arial Narrow"/>
                <w:bCs/>
                <w:color w:val="000000" w:themeColor="text1"/>
                <w:sz w:val="20"/>
                <w:szCs w:val="20"/>
                <w:lang w:eastAsia="zh-TW"/>
              </w:rPr>
              <w:t>4</w:t>
            </w:r>
            <w:r w:rsidRPr="00980D3E">
              <w:rPr>
                <w:rFonts w:ascii="Arial Narrow" w:hAnsi="Arial Narrow"/>
                <w:bCs/>
                <w:color w:val="000000" w:themeColor="text1"/>
                <w:sz w:val="20"/>
                <w:szCs w:val="20"/>
                <w:vertAlign w:val="superscript"/>
                <w:lang w:eastAsia="zh-TW"/>
              </w:rPr>
              <w:t xml:space="preserve">th </w:t>
            </w:r>
            <w:r w:rsidRPr="00980D3E">
              <w:rPr>
                <w:rFonts w:ascii="Arial Narrow" w:hAnsi="Arial Narrow"/>
                <w:bCs/>
                <w:color w:val="000000" w:themeColor="text1"/>
                <w:sz w:val="20"/>
                <w:szCs w:val="20"/>
                <w:lang w:eastAsia="zh-TW"/>
              </w:rPr>
              <w:t xml:space="preserve">line </w:t>
            </w:r>
          </w:p>
        </w:tc>
        <w:tc>
          <w:tcPr>
            <w:tcW w:w="629" w:type="pct"/>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c>
          <w:tcPr>
            <w:tcW w:w="629"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c>
          <w:tcPr>
            <w:tcW w:w="601" w:type="pc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A8328E" w:rsidRPr="00980D3E" w:rsidRDefault="00A8328E" w:rsidP="007715ED">
            <w:pPr>
              <w:keepNext/>
              <w:keepLines/>
              <w:widowControl w:val="0"/>
              <w:jc w:val="center"/>
              <w:rPr>
                <w:rFonts w:ascii="Arial Narrow" w:hAnsi="Arial Narrow" w:cs="Times New Roman"/>
                <w:sz w:val="20"/>
                <w:szCs w:val="20"/>
              </w:rPr>
            </w:pPr>
            <w:r w:rsidRPr="00980D3E">
              <w:rPr>
                <w:rFonts w:ascii="Arial Narrow" w:hAnsi="Arial Narrow" w:cs="Calibri"/>
                <w:bCs/>
                <w:iCs/>
                <w:sz w:val="20"/>
                <w:szCs w:val="20"/>
              </w:rPr>
              <w:t>$</w:t>
            </w:r>
            <w:r w:rsidR="00F11546">
              <w:rPr>
                <w:rFonts w:ascii="Arial Narrow" w:hAnsi="Arial Narrow" w:cs="Calibri"/>
                <w:bCs/>
                <w:iCs/>
                <w:noProof/>
                <w:color w:val="000000"/>
                <w:sz w:val="20"/>
                <w:szCs w:val="20"/>
                <w:highlight w:val="black"/>
              </w:rPr>
              <w:t>'''''''''''''''''''''''''</w:t>
            </w:r>
          </w:p>
        </w:tc>
      </w:tr>
      <w:tr w:rsidR="00C42698" w:rsidRPr="00980D3E" w:rsidTr="007715ED">
        <w:trPr>
          <w:trHeight w:val="170"/>
        </w:trPr>
        <w:tc>
          <w:tcPr>
            <w:tcW w:w="1255" w:type="pct"/>
            <w:shd w:val="clear" w:color="auto" w:fill="auto"/>
            <w:noWrap/>
            <w:tcMar>
              <w:left w:w="28" w:type="dxa"/>
              <w:right w:w="28" w:type="dxa"/>
            </w:tcMar>
            <w:vAlign w:val="center"/>
          </w:tcPr>
          <w:p w:rsidR="00C42698" w:rsidRPr="00980D3E" w:rsidRDefault="00C42698" w:rsidP="007715ED">
            <w:pPr>
              <w:keepNext/>
              <w:keepLines/>
              <w:widowControl w:val="0"/>
              <w:jc w:val="left"/>
              <w:rPr>
                <w:rFonts w:ascii="Arial Narrow" w:hAnsi="Arial Narrow" w:cs="Times New Roman"/>
                <w:sz w:val="20"/>
                <w:szCs w:val="20"/>
              </w:rPr>
            </w:pPr>
            <w:r w:rsidRPr="00980D3E">
              <w:rPr>
                <w:rFonts w:ascii="Arial Narrow" w:hAnsi="Arial Narrow"/>
                <w:bCs/>
                <w:color w:val="000000" w:themeColor="text1"/>
                <w:sz w:val="20"/>
                <w:szCs w:val="20"/>
                <w:lang w:eastAsia="zh-TW"/>
              </w:rPr>
              <w:t>Net cost to PBS/RPBS</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29"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c>
          <w:tcPr>
            <w:tcW w:w="601" w:type="pct"/>
            <w:shd w:val="clear" w:color="auto" w:fill="auto"/>
            <w:noWrap/>
            <w:tcMar>
              <w:left w:w="28" w:type="dxa"/>
              <w:right w:w="28" w:type="dxa"/>
            </w:tcMar>
          </w:tcPr>
          <w:p w:rsidR="00C42698" w:rsidRPr="00980D3E" w:rsidRDefault="00C42698" w:rsidP="007715ED">
            <w:pPr>
              <w:keepNext/>
              <w:keepLines/>
              <w:widowControl w:val="0"/>
              <w:jc w:val="center"/>
              <w:rPr>
                <w:rFonts w:ascii="Arial Narrow" w:hAnsi="Arial Narrow" w:cs="Times New Roman"/>
                <w:sz w:val="20"/>
                <w:szCs w:val="20"/>
              </w:rPr>
            </w:pPr>
            <w:r w:rsidRPr="00980D3E">
              <w:rPr>
                <w:rFonts w:ascii="Arial Narrow" w:hAnsi="Arial Narrow" w:cs="Times New Roman"/>
                <w:sz w:val="20"/>
                <w:szCs w:val="20"/>
              </w:rPr>
              <w:t>$</w:t>
            </w:r>
            <w:r w:rsidR="00F11546">
              <w:rPr>
                <w:rFonts w:ascii="Arial Narrow" w:hAnsi="Arial Narrow" w:cs="Times New Roman"/>
                <w:noProof/>
                <w:color w:val="000000"/>
                <w:sz w:val="20"/>
                <w:szCs w:val="20"/>
                <w:highlight w:val="black"/>
              </w:rPr>
              <w:t>'''''''''''''''''''''''''</w:t>
            </w:r>
          </w:p>
        </w:tc>
      </w:tr>
    </w:tbl>
    <w:p w:rsidR="00D14893" w:rsidRPr="00980D3E" w:rsidRDefault="00D14893" w:rsidP="007715ED">
      <w:pPr>
        <w:pStyle w:val="TableFigureFooter"/>
        <w:keepNext/>
        <w:keepLines/>
        <w:widowControl w:val="0"/>
      </w:pPr>
      <w:r w:rsidRPr="00980D3E">
        <w:t xml:space="preserve">Source: Table 125, p262; and </w:t>
      </w:r>
      <w:r w:rsidR="009D79B2" w:rsidRPr="00980D3E">
        <w:t>Section 4 spreadsheet</w:t>
      </w:r>
      <w:r w:rsidRPr="00980D3E">
        <w:t xml:space="preserve"> of the resubmission</w:t>
      </w:r>
      <w:r w:rsidRPr="00980D3E">
        <w:rPr>
          <w:i/>
        </w:rPr>
        <w:t>.</w:t>
      </w:r>
      <w:r w:rsidRPr="00980D3E">
        <w:t xml:space="preserve"> </w:t>
      </w:r>
    </w:p>
    <w:p w:rsidR="0046171C" w:rsidRPr="00980D3E" w:rsidRDefault="00A8328E" w:rsidP="007715ED">
      <w:pPr>
        <w:pStyle w:val="TableFigureFooter"/>
        <w:keepNext/>
        <w:keepLines/>
        <w:widowControl w:val="0"/>
      </w:pPr>
      <w:r w:rsidRPr="00980D3E">
        <w:t xml:space="preserve">IMiD = immunomodulatory agent; </w:t>
      </w:r>
      <w:r w:rsidR="00F76786" w:rsidRPr="00980D3E">
        <w:t xml:space="preserve">MBS = Medicare Benefit Schedule; </w:t>
      </w:r>
      <w:r w:rsidR="0046171C" w:rsidRPr="00980D3E">
        <w:t xml:space="preserve">PBS = Pharmaceutical Benefits Scheme; </w:t>
      </w:r>
      <w:r w:rsidRPr="00980D3E">
        <w:t xml:space="preserve">PI = proteasome inhibitor; </w:t>
      </w:r>
      <w:r w:rsidR="0046171C" w:rsidRPr="00980D3E">
        <w:t>RPBS = Repatriation Pharmaceutical Benefits Scheme</w:t>
      </w:r>
      <w:r w:rsidR="00AE7AC5" w:rsidRPr="00980D3E">
        <w:t>.</w:t>
      </w:r>
    </w:p>
    <w:p w:rsidR="008E0A71" w:rsidRPr="00980D3E" w:rsidRDefault="004B3BD1" w:rsidP="007715ED">
      <w:pPr>
        <w:pStyle w:val="TableFigureFooter"/>
        <w:keepNext/>
        <w:keepLines/>
        <w:widowControl w:val="0"/>
      </w:pPr>
      <w:r w:rsidRPr="00980D3E">
        <w:rPr>
          <w:vertAlign w:val="superscript"/>
        </w:rPr>
        <w:t>a</w:t>
      </w:r>
      <w:r w:rsidR="00C75B76" w:rsidRPr="00980D3E">
        <w:rPr>
          <w:vertAlign w:val="superscript"/>
        </w:rPr>
        <w:t xml:space="preserve"> </w:t>
      </w:r>
      <w:r w:rsidR="008E0A71" w:rsidRPr="00980D3E">
        <w:t xml:space="preserve">Changed from 20 in the previous submission </w:t>
      </w:r>
    </w:p>
    <w:p w:rsidR="008E0A71" w:rsidRPr="00980D3E" w:rsidRDefault="008E0A71" w:rsidP="007715ED">
      <w:pPr>
        <w:pStyle w:val="TableFigureFooter"/>
        <w:keepNext/>
        <w:keepLines/>
        <w:widowControl w:val="0"/>
      </w:pPr>
      <w:r w:rsidRPr="00980D3E">
        <w:rPr>
          <w:vertAlign w:val="superscript"/>
        </w:rPr>
        <w:t xml:space="preserve">b </w:t>
      </w:r>
      <w:r w:rsidRPr="00980D3E">
        <w:t xml:space="preserve">Changed from 287 in the previous submission </w:t>
      </w:r>
    </w:p>
    <w:p w:rsidR="008E0A71" w:rsidRPr="00980D3E" w:rsidRDefault="008E0A71" w:rsidP="007715ED">
      <w:pPr>
        <w:pStyle w:val="TableFigureFooter"/>
        <w:keepNext/>
        <w:keepLines/>
        <w:widowControl w:val="0"/>
      </w:pPr>
      <w:r w:rsidRPr="00980D3E">
        <w:rPr>
          <w:vertAlign w:val="superscript"/>
        </w:rPr>
        <w:t>c</w:t>
      </w:r>
      <w:r w:rsidRPr="00980D3E">
        <w:t xml:space="preserve"> </w:t>
      </w:r>
      <w:r w:rsidR="00152ABB" w:rsidRPr="00980D3E">
        <w:t>Changed from 860 in the previous submission</w:t>
      </w:r>
    </w:p>
    <w:p w:rsidR="005203CB" w:rsidRPr="00980D3E" w:rsidRDefault="005203CB" w:rsidP="007715ED">
      <w:pPr>
        <w:pStyle w:val="TableFigureFooter"/>
        <w:keepNext/>
        <w:keepLines/>
        <w:widowControl w:val="0"/>
      </w:pPr>
      <w:r w:rsidRPr="00980D3E">
        <w:rPr>
          <w:vertAlign w:val="superscript"/>
        </w:rPr>
        <w:t xml:space="preserve">d </w:t>
      </w:r>
      <w:r w:rsidRPr="00980D3E">
        <w:t xml:space="preserve">Based on plitidepsin capturing 22% to 45% of the pomalidomide market and 44.4% of patients using plitidepsin after pomalidomide. Not used to estimate financial implications in the resubmission. </w:t>
      </w:r>
    </w:p>
    <w:p w:rsidR="008E0A71" w:rsidRPr="00980D3E" w:rsidRDefault="005203CB" w:rsidP="007715ED">
      <w:pPr>
        <w:pStyle w:val="TableFigureFooter"/>
        <w:keepNext/>
        <w:keepLines/>
        <w:widowControl w:val="0"/>
        <w:rPr>
          <w:vertAlign w:val="superscript"/>
        </w:rPr>
      </w:pPr>
      <w:r w:rsidRPr="00980D3E">
        <w:rPr>
          <w:vertAlign w:val="superscript"/>
        </w:rPr>
        <w:t xml:space="preserve">e </w:t>
      </w:r>
      <w:r w:rsidR="008E0A71" w:rsidRPr="00980D3E">
        <w:t>Displaced medicine included pomalidomide, dexamethasone, ondansetron, promethazine, prochlorperazine and aspirin.</w:t>
      </w:r>
      <w:r w:rsidR="008E0A71" w:rsidRPr="00980D3E">
        <w:rPr>
          <w:vertAlign w:val="superscript"/>
        </w:rPr>
        <w:t xml:space="preserve"> </w:t>
      </w:r>
    </w:p>
    <w:p w:rsidR="00152ABB" w:rsidRDefault="005203CB" w:rsidP="007715ED">
      <w:pPr>
        <w:pStyle w:val="TableFigureFooter"/>
        <w:keepNext/>
        <w:keepLines/>
        <w:widowControl w:val="0"/>
        <w:rPr>
          <w:i/>
        </w:rPr>
      </w:pPr>
      <w:r w:rsidRPr="00980D3E">
        <w:rPr>
          <w:vertAlign w:val="superscript"/>
        </w:rPr>
        <w:t>f</w:t>
      </w:r>
      <w:r w:rsidR="00A8328E" w:rsidRPr="00980D3E">
        <w:rPr>
          <w:vertAlign w:val="superscript"/>
        </w:rPr>
        <w:t xml:space="preserve"> </w:t>
      </w:r>
      <w:r w:rsidR="00A8328E" w:rsidRPr="00980D3E">
        <w:t xml:space="preserve">Disaggregated during evaluation using the model from the resubmission, for 3rd-line treatment, the % of patients who have received both PI and IMiD (3+) and % of patients electing </w:t>
      </w:r>
      <w:r w:rsidR="00152ABB" w:rsidRPr="00980D3E">
        <w:t xml:space="preserve">to receive </w:t>
      </w:r>
      <w:r w:rsidR="00A8328E" w:rsidRPr="00980D3E">
        <w:t>4</w:t>
      </w:r>
      <w:r w:rsidR="00A8328E" w:rsidRPr="00980D3E">
        <w:rPr>
          <w:vertAlign w:val="superscript"/>
        </w:rPr>
        <w:t>th</w:t>
      </w:r>
      <w:r w:rsidR="00152ABB" w:rsidRPr="00980D3E">
        <w:t>-</w:t>
      </w:r>
      <w:r w:rsidR="00A8328E" w:rsidRPr="00980D3E">
        <w:t>line treatment w</w:t>
      </w:r>
      <w:r w:rsidR="00152ABB" w:rsidRPr="00980D3E">
        <w:t>as</w:t>
      </w:r>
      <w:r w:rsidR="00A8328E" w:rsidRPr="00980D3E">
        <w:t xml:space="preserve"> assumed to be 0%. The 22 grandfathered patients were included in this treatment setting. For 4th-line treatment, the % of patients who have received both PI and IMiD (2 only) and % of patients electing </w:t>
      </w:r>
      <w:r w:rsidR="00152ABB" w:rsidRPr="00980D3E">
        <w:t xml:space="preserve">to receive </w:t>
      </w:r>
      <w:r w:rsidR="00A8328E" w:rsidRPr="00980D3E">
        <w:t>3</w:t>
      </w:r>
      <w:r w:rsidR="00A8328E" w:rsidRPr="00980D3E">
        <w:rPr>
          <w:vertAlign w:val="superscript"/>
        </w:rPr>
        <w:t>rd</w:t>
      </w:r>
      <w:r w:rsidR="00152ABB" w:rsidRPr="00980D3E">
        <w:t>-</w:t>
      </w:r>
      <w:r w:rsidR="00A8328E" w:rsidRPr="00980D3E">
        <w:t>line treatment were assumed to be 0%. Sheet 3b. Impact - PUB cell G73 = $9,811.87</w:t>
      </w:r>
      <w:r w:rsidR="00A8328E" w:rsidRPr="00980D3E">
        <w:rPr>
          <w:i/>
        </w:rPr>
        <w:t>.</w:t>
      </w:r>
    </w:p>
    <w:p w:rsidR="0029550C" w:rsidRPr="00CD2B0B" w:rsidRDefault="0029550C" w:rsidP="0029550C">
      <w:pPr>
        <w:spacing w:after="120"/>
        <w:contextualSpacing/>
        <w:rPr>
          <w:rFonts w:ascii="Arial Narrow" w:hAnsi="Arial Narrow"/>
          <w:i/>
          <w:iCs/>
          <w:snapToGrid w:val="0"/>
        </w:rPr>
      </w:pPr>
      <w:r w:rsidRPr="00CD2B0B">
        <w:rPr>
          <w:i/>
        </w:rPr>
        <w:t>The redacted table shows that at Year 6, the estimated number of patients was less than 10,000.</w:t>
      </w:r>
    </w:p>
    <w:p w:rsidR="0029550C" w:rsidRPr="00980D3E" w:rsidRDefault="0029550C" w:rsidP="007715ED">
      <w:pPr>
        <w:pStyle w:val="TableFigureFooter"/>
        <w:keepNext/>
        <w:keepLines/>
        <w:widowControl w:val="0"/>
        <w:rPr>
          <w:i/>
        </w:rPr>
      </w:pPr>
    </w:p>
    <w:p w:rsidR="00BD15FA" w:rsidRPr="00980D3E" w:rsidRDefault="0046171C" w:rsidP="00BD15FA">
      <w:pPr>
        <w:pStyle w:val="3-BodyText"/>
      </w:pPr>
      <w:r w:rsidRPr="00980D3E">
        <w:t xml:space="preserve">The resubmission estimated net cost to PBS/RPBS for listing plitidepsin was </w:t>
      </w:r>
      <w:r w:rsidR="002E5A4D">
        <w:t xml:space="preserve">less than </w:t>
      </w:r>
      <w:r w:rsidRPr="00980D3E">
        <w:t>$</w:t>
      </w:r>
      <w:r w:rsidR="002E5A4D">
        <w:t>10</w:t>
      </w:r>
      <w:r w:rsidRPr="00980D3E">
        <w:t xml:space="preserve"> million in </w:t>
      </w:r>
      <w:r w:rsidR="00E77170" w:rsidRPr="00980D3E">
        <w:t>Y</w:t>
      </w:r>
      <w:r w:rsidRPr="00980D3E">
        <w:t>ear 1 increasing to $</w:t>
      </w:r>
      <w:r w:rsidR="002E5A4D">
        <w:t>10 – $20</w:t>
      </w:r>
      <w:r w:rsidRPr="00980D3E">
        <w:t xml:space="preserve"> million in Year 6. </w:t>
      </w:r>
      <w:r w:rsidR="00DE7801" w:rsidRPr="00980D3E">
        <w:t>As t</w:t>
      </w:r>
      <w:r w:rsidR="00BD15FA" w:rsidRPr="00980D3E">
        <w:t>he financial estimates were broadly similar to July 2019 submission</w:t>
      </w:r>
      <w:r w:rsidR="00DE7801" w:rsidRPr="00980D3E">
        <w:t xml:space="preserve">, the </w:t>
      </w:r>
      <w:r w:rsidR="00884A2E" w:rsidRPr="00980D3E">
        <w:t>ESC</w:t>
      </w:r>
      <w:r w:rsidR="00DE7801" w:rsidRPr="00980D3E">
        <w:t xml:space="preserve"> considered that they remained</w:t>
      </w:r>
      <w:r w:rsidR="00BD15FA" w:rsidRPr="00980D3E">
        <w:t xml:space="preserve"> overestimated. </w:t>
      </w:r>
    </w:p>
    <w:p w:rsidR="00B77C86" w:rsidRPr="00980D3E" w:rsidRDefault="00535B8E" w:rsidP="00050547">
      <w:pPr>
        <w:pStyle w:val="3-BodyText"/>
        <w:rPr>
          <w:i/>
        </w:rPr>
      </w:pPr>
      <w:r w:rsidRPr="00980D3E">
        <w:t>The</w:t>
      </w:r>
      <w:r w:rsidR="00BD15FA" w:rsidRPr="00980D3E">
        <w:t xml:space="preserve"> supplementary</w:t>
      </w:r>
      <w:r w:rsidRPr="00980D3E">
        <w:t xml:space="preserve"> market-share approach presented in the resubmission estimated lower utilisation and may provide a better estimate </w:t>
      </w:r>
      <w:r w:rsidR="00FF44AB" w:rsidRPr="00980D3E">
        <w:t xml:space="preserve">of plitidepsin utilisation. </w:t>
      </w:r>
    </w:p>
    <w:p w:rsidR="00576972" w:rsidRPr="00980D3E" w:rsidRDefault="00576972" w:rsidP="00606FBA">
      <w:pPr>
        <w:pStyle w:val="4-SubsectionHeading"/>
      </w:pPr>
      <w:bookmarkStart w:id="60" w:name="_Toc22897648"/>
      <w:bookmarkStart w:id="61" w:name="_Toc30490407"/>
      <w:r w:rsidRPr="00980D3E">
        <w:lastRenderedPageBreak/>
        <w:t>Quality Use of Medicines</w:t>
      </w:r>
      <w:bookmarkEnd w:id="60"/>
      <w:bookmarkEnd w:id="61"/>
    </w:p>
    <w:p w:rsidR="00576972" w:rsidRPr="00980D3E" w:rsidRDefault="001816B4" w:rsidP="001816B4">
      <w:pPr>
        <w:pStyle w:val="3-BodyText"/>
        <w:rPr>
          <w:color w:val="0066FF"/>
        </w:rPr>
      </w:pPr>
      <w:r w:rsidRPr="00980D3E">
        <w:t xml:space="preserve">The resubmission did not identify any new quality use of medicines issues. The resubmission provided </w:t>
      </w:r>
      <w:r w:rsidR="008D37E4" w:rsidRPr="00980D3E">
        <w:t xml:space="preserve">the </w:t>
      </w:r>
      <w:r w:rsidRPr="00980D3E">
        <w:t>summary of safety concerns and planned pharmacovigilance actions for plitidepsin</w:t>
      </w:r>
      <w:r w:rsidR="008D37E4" w:rsidRPr="00980D3E">
        <w:t xml:space="preserve"> as presented in the July 2019 submission</w:t>
      </w:r>
      <w:r w:rsidRPr="00980D3E">
        <w:t>.</w:t>
      </w:r>
    </w:p>
    <w:p w:rsidR="00576972" w:rsidRPr="00980D3E" w:rsidRDefault="00576972" w:rsidP="00606FBA">
      <w:pPr>
        <w:pStyle w:val="4-SubsectionHeading"/>
      </w:pPr>
      <w:bookmarkStart w:id="62" w:name="_Toc22897649"/>
      <w:bookmarkStart w:id="63" w:name="_Toc30490408"/>
      <w:r w:rsidRPr="00980D3E">
        <w:t>Financial Management – Risk Sharing Arrangements</w:t>
      </w:r>
      <w:bookmarkEnd w:id="62"/>
      <w:bookmarkEnd w:id="63"/>
    </w:p>
    <w:p w:rsidR="00576972" w:rsidRPr="00980D3E" w:rsidRDefault="001816B4" w:rsidP="00B77C86">
      <w:pPr>
        <w:pStyle w:val="ListParagraph"/>
        <w:numPr>
          <w:ilvl w:val="1"/>
          <w:numId w:val="1"/>
        </w:numPr>
        <w:ind w:left="709"/>
      </w:pPr>
      <w:bookmarkStart w:id="64" w:name="_Hlk27226238"/>
      <w:r w:rsidRPr="00980D3E">
        <w:t xml:space="preserve">Unchanged from the previous submission, no </w:t>
      </w:r>
      <w:r w:rsidR="001D7FCE" w:rsidRPr="00980D3E">
        <w:t>R</w:t>
      </w:r>
      <w:r w:rsidRPr="00980D3E">
        <w:t>isk</w:t>
      </w:r>
      <w:r w:rsidR="001D7FCE" w:rsidRPr="00980D3E">
        <w:t xml:space="preserve"> S</w:t>
      </w:r>
      <w:r w:rsidRPr="00980D3E">
        <w:t xml:space="preserve">haring </w:t>
      </w:r>
      <w:r w:rsidR="001D7FCE" w:rsidRPr="00980D3E">
        <w:t>A</w:t>
      </w:r>
      <w:r w:rsidRPr="00980D3E">
        <w:t xml:space="preserve">rrangement </w:t>
      </w:r>
      <w:r w:rsidR="001D7FCE" w:rsidRPr="00980D3E">
        <w:t xml:space="preserve">(RSA) </w:t>
      </w:r>
      <w:r w:rsidRPr="00980D3E">
        <w:t xml:space="preserve">was proposed in the resubmission. </w:t>
      </w:r>
      <w:r w:rsidR="00DD11D6" w:rsidRPr="00980D3E">
        <w:t xml:space="preserve">An RSA with subsidisation caps is currently in place for pomalidomide. </w:t>
      </w:r>
    </w:p>
    <w:bookmarkEnd w:id="64"/>
    <w:p w:rsidR="00353679" w:rsidRPr="00980D3E" w:rsidRDefault="00CB4F53" w:rsidP="006A5DA0">
      <w:pPr>
        <w:rPr>
          <w:rFonts w:asciiTheme="minorHAnsi" w:hAnsiTheme="minorHAnsi" w:cstheme="minorHAnsi"/>
          <w:i/>
        </w:rPr>
      </w:pPr>
      <w:r w:rsidRPr="00980D3E">
        <w:tab/>
      </w:r>
      <w:r w:rsidRPr="00980D3E">
        <w:rPr>
          <w:rFonts w:asciiTheme="minorHAnsi" w:hAnsiTheme="minorHAnsi" w:cstheme="minorHAnsi"/>
          <w:i/>
        </w:rPr>
        <w:t>For more detail on PBAC’s view, see section 7 PBAC outcome.</w:t>
      </w:r>
    </w:p>
    <w:p w:rsidR="00353679" w:rsidRPr="00980D3E" w:rsidRDefault="00353679" w:rsidP="006A5DA0">
      <w:pPr>
        <w:rPr>
          <w:rFonts w:asciiTheme="minorHAnsi" w:hAnsiTheme="minorHAnsi" w:cstheme="minorHAnsi"/>
          <w:i/>
        </w:rPr>
      </w:pPr>
    </w:p>
    <w:p w:rsidR="003C246C" w:rsidRPr="00980D3E" w:rsidRDefault="003C246C" w:rsidP="00200888">
      <w:pPr>
        <w:pStyle w:val="2-SectionHeading"/>
      </w:pPr>
      <w:r w:rsidRPr="00980D3E">
        <w:t>PBAC Outcome</w:t>
      </w:r>
    </w:p>
    <w:p w:rsidR="00AB12B6" w:rsidRPr="00980D3E" w:rsidRDefault="00AB12B6" w:rsidP="009804CB">
      <w:pPr>
        <w:widowControl w:val="0"/>
        <w:numPr>
          <w:ilvl w:val="1"/>
          <w:numId w:val="1"/>
        </w:numPr>
        <w:spacing w:after="120"/>
        <w:ind w:left="720"/>
        <w:rPr>
          <w:rFonts w:asciiTheme="minorHAnsi" w:hAnsiTheme="minorHAnsi"/>
          <w:bCs/>
        </w:rPr>
      </w:pPr>
      <w:r w:rsidRPr="00980D3E">
        <w:rPr>
          <w:rFonts w:asciiTheme="minorHAnsi" w:hAnsiTheme="minorHAnsi"/>
          <w:bCs/>
        </w:rPr>
        <w:t xml:space="preserve">The PBAC did not recommend the listing of plitidepsin in patients who are refractory to a </w:t>
      </w:r>
      <w:r w:rsidR="00EE62EF" w:rsidRPr="00980D3E">
        <w:rPr>
          <w:rFonts w:asciiTheme="minorHAnsi" w:hAnsiTheme="minorHAnsi"/>
          <w:bCs/>
        </w:rPr>
        <w:t>proteasome inhibitor (</w:t>
      </w:r>
      <w:r w:rsidRPr="00980D3E">
        <w:rPr>
          <w:rFonts w:asciiTheme="minorHAnsi" w:hAnsiTheme="minorHAnsi"/>
          <w:bCs/>
        </w:rPr>
        <w:t>PI</w:t>
      </w:r>
      <w:r w:rsidR="00EE62EF" w:rsidRPr="00980D3E">
        <w:rPr>
          <w:rFonts w:asciiTheme="minorHAnsi" w:hAnsiTheme="minorHAnsi"/>
          <w:bCs/>
        </w:rPr>
        <w:t>)</w:t>
      </w:r>
      <w:r w:rsidRPr="00980D3E">
        <w:rPr>
          <w:rFonts w:asciiTheme="minorHAnsi" w:hAnsiTheme="minorHAnsi"/>
          <w:bCs/>
        </w:rPr>
        <w:t xml:space="preserve"> and an </w:t>
      </w:r>
      <w:r w:rsidR="00EE62EF" w:rsidRPr="00980D3E">
        <w:rPr>
          <w:rFonts w:asciiTheme="minorHAnsi" w:hAnsiTheme="minorHAnsi"/>
          <w:bCs/>
        </w:rPr>
        <w:t>immunomodulatory drug (</w:t>
      </w:r>
      <w:r w:rsidRPr="00980D3E">
        <w:rPr>
          <w:rFonts w:asciiTheme="minorHAnsi" w:hAnsiTheme="minorHAnsi"/>
          <w:bCs/>
        </w:rPr>
        <w:t>IMiD</w:t>
      </w:r>
      <w:r w:rsidR="00EE62EF" w:rsidRPr="00980D3E">
        <w:rPr>
          <w:rFonts w:asciiTheme="minorHAnsi" w:hAnsiTheme="minorHAnsi"/>
          <w:bCs/>
        </w:rPr>
        <w:t>)</w:t>
      </w:r>
      <w:r w:rsidRPr="00980D3E">
        <w:rPr>
          <w:rFonts w:asciiTheme="minorHAnsi" w:hAnsiTheme="minorHAnsi"/>
          <w:bCs/>
        </w:rPr>
        <w:t xml:space="preserve"> (third-line</w:t>
      </w:r>
      <w:r w:rsidR="00515644" w:rsidRPr="00980D3E">
        <w:rPr>
          <w:rFonts w:asciiTheme="minorHAnsi" w:hAnsiTheme="minorHAnsi"/>
          <w:bCs/>
        </w:rPr>
        <w:t xml:space="preserve"> setting</w:t>
      </w:r>
      <w:r w:rsidRPr="00980D3E">
        <w:rPr>
          <w:rFonts w:asciiTheme="minorHAnsi" w:hAnsiTheme="minorHAnsi"/>
          <w:bCs/>
        </w:rPr>
        <w:t>) or in patients who have received at least three prior treatment regimens including both a PI and an IMiD (fourth-line setting). The PBAC considered that, for the comparison of plitidepsin</w:t>
      </w:r>
      <w:r w:rsidR="002D08BC" w:rsidRPr="00980D3E">
        <w:rPr>
          <w:rFonts w:asciiTheme="minorHAnsi" w:hAnsiTheme="minorHAnsi"/>
          <w:bCs/>
        </w:rPr>
        <w:t xml:space="preserve"> </w:t>
      </w:r>
      <w:r w:rsidRPr="00980D3E">
        <w:rPr>
          <w:rFonts w:asciiTheme="minorHAnsi" w:hAnsiTheme="minorHAnsi"/>
          <w:bCs/>
        </w:rPr>
        <w:t>+</w:t>
      </w:r>
      <w:r w:rsidR="002D08BC" w:rsidRPr="00980D3E">
        <w:rPr>
          <w:rFonts w:asciiTheme="minorHAnsi" w:hAnsiTheme="minorHAnsi"/>
          <w:bCs/>
        </w:rPr>
        <w:t xml:space="preserve"> </w:t>
      </w:r>
      <w:r w:rsidR="00EE62EF" w:rsidRPr="00980D3E">
        <w:rPr>
          <w:rFonts w:asciiTheme="minorHAnsi" w:hAnsiTheme="minorHAnsi"/>
          <w:bCs/>
        </w:rPr>
        <w:t>dexamethasone (</w:t>
      </w:r>
      <w:r w:rsidRPr="00980D3E">
        <w:rPr>
          <w:rFonts w:asciiTheme="minorHAnsi" w:hAnsiTheme="minorHAnsi"/>
          <w:bCs/>
        </w:rPr>
        <w:t>Dxm</w:t>
      </w:r>
      <w:r w:rsidR="00EE62EF" w:rsidRPr="00980D3E">
        <w:rPr>
          <w:rFonts w:asciiTheme="minorHAnsi" w:hAnsiTheme="minorHAnsi"/>
          <w:bCs/>
        </w:rPr>
        <w:t>)</w:t>
      </w:r>
      <w:r w:rsidRPr="00980D3E">
        <w:rPr>
          <w:rFonts w:asciiTheme="minorHAnsi" w:hAnsiTheme="minorHAnsi"/>
          <w:bCs/>
        </w:rPr>
        <w:t xml:space="preserve"> versus Dxm </w:t>
      </w:r>
      <w:r w:rsidR="00EE62EF" w:rsidRPr="00980D3E">
        <w:rPr>
          <w:rFonts w:asciiTheme="minorHAnsi" w:hAnsiTheme="minorHAnsi"/>
          <w:bCs/>
        </w:rPr>
        <w:t>monotherapy</w:t>
      </w:r>
      <w:r w:rsidR="00BC2862" w:rsidRPr="00980D3E">
        <w:rPr>
          <w:rFonts w:asciiTheme="minorHAnsi" w:hAnsiTheme="minorHAnsi"/>
          <w:bCs/>
        </w:rPr>
        <w:t xml:space="preserve"> (fourth-line setting)</w:t>
      </w:r>
      <w:r w:rsidRPr="00980D3E">
        <w:rPr>
          <w:rFonts w:asciiTheme="minorHAnsi" w:hAnsiTheme="minorHAnsi"/>
          <w:bCs/>
        </w:rPr>
        <w:t xml:space="preserve">, the magnitude of the clinical benefit in terms of </w:t>
      </w:r>
      <w:r w:rsidR="00EE62EF" w:rsidRPr="00980D3E">
        <w:rPr>
          <w:rFonts w:asciiTheme="minorHAnsi" w:hAnsiTheme="minorHAnsi"/>
          <w:bCs/>
        </w:rPr>
        <w:t>progression free survival (</w:t>
      </w:r>
      <w:r w:rsidRPr="00980D3E">
        <w:rPr>
          <w:rFonts w:asciiTheme="minorHAnsi" w:hAnsiTheme="minorHAnsi"/>
          <w:bCs/>
        </w:rPr>
        <w:t>PFS</w:t>
      </w:r>
      <w:r w:rsidR="00EE62EF" w:rsidRPr="00980D3E">
        <w:rPr>
          <w:rFonts w:asciiTheme="minorHAnsi" w:hAnsiTheme="minorHAnsi"/>
          <w:bCs/>
        </w:rPr>
        <w:t>)</w:t>
      </w:r>
      <w:r w:rsidR="00755979" w:rsidRPr="00980D3E">
        <w:rPr>
          <w:rFonts w:asciiTheme="minorHAnsi" w:hAnsiTheme="minorHAnsi"/>
          <w:bCs/>
        </w:rPr>
        <w:t xml:space="preserve"> without </w:t>
      </w:r>
      <w:r w:rsidR="00EE62EF" w:rsidRPr="00980D3E">
        <w:rPr>
          <w:rFonts w:asciiTheme="minorHAnsi" w:hAnsiTheme="minorHAnsi"/>
          <w:bCs/>
        </w:rPr>
        <w:t>progressive disease (</w:t>
      </w:r>
      <w:r w:rsidR="00755979" w:rsidRPr="00980D3E">
        <w:rPr>
          <w:rFonts w:asciiTheme="minorHAnsi" w:hAnsiTheme="minorHAnsi"/>
          <w:bCs/>
        </w:rPr>
        <w:t>PD</w:t>
      </w:r>
      <w:r w:rsidR="00EE62EF" w:rsidRPr="00980D3E">
        <w:rPr>
          <w:rFonts w:asciiTheme="minorHAnsi" w:hAnsiTheme="minorHAnsi"/>
          <w:bCs/>
        </w:rPr>
        <w:t>)</w:t>
      </w:r>
      <w:r w:rsidR="00755979" w:rsidRPr="00980D3E">
        <w:rPr>
          <w:rFonts w:asciiTheme="minorHAnsi" w:hAnsiTheme="minorHAnsi"/>
          <w:bCs/>
        </w:rPr>
        <w:t xml:space="preserve"> confirmation</w:t>
      </w:r>
      <w:r w:rsidRPr="00980D3E">
        <w:rPr>
          <w:rFonts w:asciiTheme="minorHAnsi" w:hAnsiTheme="minorHAnsi"/>
          <w:bCs/>
        </w:rPr>
        <w:t xml:space="preserve"> (median increase of 0.9 months) was marginal</w:t>
      </w:r>
      <w:r w:rsidR="00755979" w:rsidRPr="00980D3E">
        <w:rPr>
          <w:rFonts w:asciiTheme="minorHAnsi" w:hAnsiTheme="minorHAnsi"/>
          <w:bCs/>
        </w:rPr>
        <w:t>,</w:t>
      </w:r>
      <w:r w:rsidRPr="00980D3E">
        <w:rPr>
          <w:rFonts w:asciiTheme="minorHAnsi" w:hAnsiTheme="minorHAnsi"/>
          <w:bCs/>
        </w:rPr>
        <w:t xml:space="preserve"> and</w:t>
      </w:r>
      <w:r w:rsidR="00755979" w:rsidRPr="00980D3E">
        <w:rPr>
          <w:rFonts w:asciiTheme="minorHAnsi" w:hAnsiTheme="minorHAnsi"/>
          <w:bCs/>
        </w:rPr>
        <w:t xml:space="preserve"> the magnitude of the clinical benefit in terms of PFS with PD confirmation (median increase of 3.0 months) was not reliable.</w:t>
      </w:r>
      <w:r w:rsidRPr="00980D3E">
        <w:rPr>
          <w:rFonts w:asciiTheme="minorHAnsi" w:hAnsiTheme="minorHAnsi"/>
          <w:bCs/>
        </w:rPr>
        <w:t xml:space="preserve"> </w:t>
      </w:r>
      <w:r w:rsidR="00755979" w:rsidRPr="00980D3E">
        <w:rPr>
          <w:rFonts w:asciiTheme="minorHAnsi" w:hAnsiTheme="minorHAnsi"/>
          <w:bCs/>
        </w:rPr>
        <w:t xml:space="preserve">The PBAC considered that </w:t>
      </w:r>
      <w:r w:rsidRPr="00980D3E">
        <w:rPr>
          <w:rFonts w:asciiTheme="minorHAnsi" w:hAnsiTheme="minorHAnsi"/>
          <w:bCs/>
        </w:rPr>
        <w:t xml:space="preserve">the </w:t>
      </w:r>
      <w:r w:rsidR="00EE62EF" w:rsidRPr="00980D3E">
        <w:rPr>
          <w:rFonts w:asciiTheme="minorHAnsi" w:hAnsiTheme="minorHAnsi"/>
          <w:bCs/>
        </w:rPr>
        <w:t>overall survival (</w:t>
      </w:r>
      <w:r w:rsidRPr="00980D3E">
        <w:rPr>
          <w:rFonts w:asciiTheme="minorHAnsi" w:hAnsiTheme="minorHAnsi"/>
          <w:bCs/>
        </w:rPr>
        <w:t>OS</w:t>
      </w:r>
      <w:r w:rsidR="00EE62EF" w:rsidRPr="00980D3E">
        <w:rPr>
          <w:rFonts w:asciiTheme="minorHAnsi" w:hAnsiTheme="minorHAnsi"/>
          <w:bCs/>
        </w:rPr>
        <w:t>)</w:t>
      </w:r>
      <w:r w:rsidRPr="00980D3E">
        <w:rPr>
          <w:rFonts w:asciiTheme="minorHAnsi" w:hAnsiTheme="minorHAnsi"/>
          <w:bCs/>
        </w:rPr>
        <w:t xml:space="preserve"> gain was uncertain given it was statistically significant only when adjusted for cross-over. The PBAC considered that the </w:t>
      </w:r>
      <w:r w:rsidR="00EE62EF" w:rsidRPr="00980D3E">
        <w:rPr>
          <w:rFonts w:asciiTheme="minorHAnsi" w:hAnsiTheme="minorHAnsi"/>
          <w:bCs/>
        </w:rPr>
        <w:t>incremental cost-effectiveness ratio (</w:t>
      </w:r>
      <w:r w:rsidR="002A371E" w:rsidRPr="00980D3E">
        <w:rPr>
          <w:rFonts w:asciiTheme="minorHAnsi" w:hAnsiTheme="minorHAnsi"/>
          <w:bCs/>
        </w:rPr>
        <w:t>ICER</w:t>
      </w:r>
      <w:r w:rsidR="00EE62EF" w:rsidRPr="00980D3E">
        <w:rPr>
          <w:rFonts w:asciiTheme="minorHAnsi" w:hAnsiTheme="minorHAnsi"/>
          <w:bCs/>
        </w:rPr>
        <w:t>)</w:t>
      </w:r>
      <w:r w:rsidR="002A371E" w:rsidRPr="00980D3E">
        <w:rPr>
          <w:rFonts w:asciiTheme="minorHAnsi" w:hAnsiTheme="minorHAnsi"/>
          <w:bCs/>
        </w:rPr>
        <w:t xml:space="preserve"> for plitidepsin versus Dxm</w:t>
      </w:r>
      <w:r w:rsidR="00836249" w:rsidRPr="00980D3E">
        <w:rPr>
          <w:rFonts w:asciiTheme="minorHAnsi" w:hAnsiTheme="minorHAnsi"/>
          <w:bCs/>
        </w:rPr>
        <w:t xml:space="preserve"> </w:t>
      </w:r>
      <w:r w:rsidR="00213207" w:rsidRPr="00980D3E">
        <w:rPr>
          <w:rFonts w:asciiTheme="minorHAnsi" w:hAnsiTheme="minorHAnsi"/>
          <w:bCs/>
        </w:rPr>
        <w:t>remained</w:t>
      </w:r>
      <w:r w:rsidRPr="00980D3E">
        <w:rPr>
          <w:rFonts w:asciiTheme="minorHAnsi" w:hAnsiTheme="minorHAnsi"/>
          <w:bCs/>
        </w:rPr>
        <w:t xml:space="preserve"> high</w:t>
      </w:r>
      <w:r w:rsidR="002A371E" w:rsidRPr="00980D3E">
        <w:rPr>
          <w:rFonts w:asciiTheme="minorHAnsi" w:hAnsiTheme="minorHAnsi"/>
          <w:bCs/>
        </w:rPr>
        <w:t xml:space="preserve"> and underestimated</w:t>
      </w:r>
      <w:r w:rsidRPr="00980D3E">
        <w:rPr>
          <w:rFonts w:asciiTheme="minorHAnsi" w:hAnsiTheme="minorHAnsi"/>
          <w:bCs/>
        </w:rPr>
        <w:t>. The PBAC considered that for the comparison against pomalidomide</w:t>
      </w:r>
      <w:r w:rsidR="002D08BC" w:rsidRPr="00980D3E">
        <w:rPr>
          <w:rFonts w:asciiTheme="minorHAnsi" w:hAnsiTheme="minorHAnsi"/>
          <w:bCs/>
        </w:rPr>
        <w:t xml:space="preserve"> </w:t>
      </w:r>
      <w:r w:rsidRPr="00980D3E">
        <w:rPr>
          <w:rFonts w:asciiTheme="minorHAnsi" w:hAnsiTheme="minorHAnsi"/>
          <w:bCs/>
        </w:rPr>
        <w:t>+</w:t>
      </w:r>
      <w:r w:rsidR="002D08BC" w:rsidRPr="00980D3E">
        <w:rPr>
          <w:rFonts w:asciiTheme="minorHAnsi" w:hAnsiTheme="minorHAnsi"/>
          <w:bCs/>
        </w:rPr>
        <w:t xml:space="preserve"> </w:t>
      </w:r>
      <w:r w:rsidRPr="00980D3E">
        <w:rPr>
          <w:rFonts w:asciiTheme="minorHAnsi" w:hAnsiTheme="minorHAnsi"/>
          <w:bCs/>
        </w:rPr>
        <w:t>Dxm</w:t>
      </w:r>
      <w:r w:rsidR="00BC2862" w:rsidRPr="00980D3E">
        <w:rPr>
          <w:rFonts w:asciiTheme="minorHAnsi" w:hAnsiTheme="minorHAnsi"/>
          <w:bCs/>
        </w:rPr>
        <w:t xml:space="preserve"> (third-line setting)</w:t>
      </w:r>
      <w:r w:rsidRPr="00980D3E">
        <w:rPr>
          <w:rFonts w:asciiTheme="minorHAnsi" w:hAnsiTheme="minorHAnsi"/>
          <w:bCs/>
        </w:rPr>
        <w:t xml:space="preserve">, the claim of non-inferior efficacy was uncertain and the claim of non-inferior safety was </w:t>
      </w:r>
      <w:r w:rsidR="00836249" w:rsidRPr="00980D3E">
        <w:rPr>
          <w:rFonts w:asciiTheme="minorHAnsi" w:hAnsiTheme="minorHAnsi"/>
          <w:bCs/>
        </w:rPr>
        <w:t xml:space="preserve">unable to be assessed. Therefore the PBAC considered that the </w:t>
      </w:r>
      <w:r w:rsidR="00EE62EF" w:rsidRPr="00980D3E">
        <w:rPr>
          <w:rFonts w:asciiTheme="minorHAnsi" w:hAnsiTheme="minorHAnsi"/>
          <w:bCs/>
        </w:rPr>
        <w:t>cost-minimisation analysis (</w:t>
      </w:r>
      <w:r w:rsidR="00836249" w:rsidRPr="00980D3E">
        <w:rPr>
          <w:rFonts w:asciiTheme="minorHAnsi" w:hAnsiTheme="minorHAnsi"/>
          <w:bCs/>
        </w:rPr>
        <w:t>CMA</w:t>
      </w:r>
      <w:r w:rsidR="00EE62EF" w:rsidRPr="00980D3E">
        <w:rPr>
          <w:rFonts w:asciiTheme="minorHAnsi" w:hAnsiTheme="minorHAnsi"/>
          <w:bCs/>
        </w:rPr>
        <w:t>)</w:t>
      </w:r>
      <w:r w:rsidR="00836249" w:rsidRPr="00980D3E">
        <w:rPr>
          <w:rFonts w:asciiTheme="minorHAnsi" w:hAnsiTheme="minorHAnsi"/>
          <w:bCs/>
        </w:rPr>
        <w:t xml:space="preserve"> for this comparison was </w:t>
      </w:r>
      <w:r w:rsidRPr="00980D3E">
        <w:rPr>
          <w:rFonts w:asciiTheme="minorHAnsi" w:hAnsiTheme="minorHAnsi"/>
          <w:bCs/>
        </w:rPr>
        <w:t xml:space="preserve">not adequately supported. </w:t>
      </w:r>
    </w:p>
    <w:p w:rsidR="007E5F8E" w:rsidRPr="00980D3E" w:rsidRDefault="003A5C6C" w:rsidP="009804CB">
      <w:pPr>
        <w:widowControl w:val="0"/>
        <w:numPr>
          <w:ilvl w:val="1"/>
          <w:numId w:val="1"/>
        </w:numPr>
        <w:spacing w:after="120"/>
        <w:ind w:left="720"/>
        <w:rPr>
          <w:rFonts w:asciiTheme="minorHAnsi" w:hAnsiTheme="minorHAnsi"/>
          <w:bCs/>
        </w:rPr>
      </w:pPr>
      <w:r w:rsidRPr="00980D3E">
        <w:rPr>
          <w:rFonts w:asciiTheme="minorHAnsi" w:hAnsiTheme="minorHAnsi"/>
          <w:bCs/>
        </w:rPr>
        <w:t>The</w:t>
      </w:r>
      <w:r w:rsidR="007E5F8E" w:rsidRPr="00980D3E">
        <w:rPr>
          <w:rFonts w:asciiTheme="minorHAnsi" w:hAnsiTheme="minorHAnsi"/>
          <w:bCs/>
        </w:rPr>
        <w:t xml:space="preserve"> PBAC not</w:t>
      </w:r>
      <w:r w:rsidRPr="00980D3E">
        <w:rPr>
          <w:rFonts w:asciiTheme="minorHAnsi" w:hAnsiTheme="minorHAnsi"/>
          <w:bCs/>
        </w:rPr>
        <w:t>ed the large number of consumer comments describing the desire for another treatment option in this setting</w:t>
      </w:r>
      <w:r w:rsidR="00836249" w:rsidRPr="00980D3E">
        <w:rPr>
          <w:rFonts w:asciiTheme="minorHAnsi" w:hAnsiTheme="minorHAnsi"/>
          <w:bCs/>
        </w:rPr>
        <w:t>.</w:t>
      </w:r>
    </w:p>
    <w:p w:rsidR="00220B74" w:rsidRPr="00980D3E" w:rsidRDefault="00220B74" w:rsidP="009804CB">
      <w:pPr>
        <w:widowControl w:val="0"/>
        <w:numPr>
          <w:ilvl w:val="1"/>
          <w:numId w:val="1"/>
        </w:numPr>
        <w:spacing w:after="120"/>
        <w:ind w:left="720"/>
        <w:rPr>
          <w:rFonts w:asciiTheme="minorHAnsi" w:hAnsiTheme="minorHAnsi"/>
          <w:bCs/>
        </w:rPr>
      </w:pPr>
      <w:r w:rsidRPr="00980D3E">
        <w:rPr>
          <w:rFonts w:asciiTheme="minorHAnsi" w:hAnsiTheme="minorHAnsi"/>
          <w:bCs/>
        </w:rPr>
        <w:t>The PBAC noted that</w:t>
      </w:r>
      <w:r w:rsidR="000C22E0" w:rsidRPr="00980D3E">
        <w:rPr>
          <w:rFonts w:asciiTheme="minorHAnsi" w:hAnsiTheme="minorHAnsi"/>
          <w:bCs/>
        </w:rPr>
        <w:t>,</w:t>
      </w:r>
      <w:r w:rsidRPr="00980D3E">
        <w:rPr>
          <w:rFonts w:asciiTheme="minorHAnsi" w:hAnsiTheme="minorHAnsi"/>
          <w:bCs/>
        </w:rPr>
        <w:t xml:space="preserve"> </w:t>
      </w:r>
      <w:r w:rsidR="000C22E0" w:rsidRPr="00980D3E">
        <w:rPr>
          <w:rFonts w:asciiTheme="minorHAnsi" w:hAnsiTheme="minorHAnsi"/>
          <w:bCs/>
        </w:rPr>
        <w:t xml:space="preserve">although registered by the TGA, </w:t>
      </w:r>
      <w:r w:rsidRPr="00980D3E">
        <w:rPr>
          <w:rFonts w:asciiTheme="minorHAnsi" w:hAnsiTheme="minorHAnsi"/>
          <w:bCs/>
        </w:rPr>
        <w:t xml:space="preserve">plitidepsin </w:t>
      </w:r>
      <w:r w:rsidR="00EE62EF" w:rsidRPr="00980D3E">
        <w:rPr>
          <w:rFonts w:asciiTheme="minorHAnsi" w:hAnsiTheme="minorHAnsi"/>
          <w:bCs/>
        </w:rPr>
        <w:t>was</w:t>
      </w:r>
      <w:r w:rsidRPr="00980D3E">
        <w:rPr>
          <w:rFonts w:asciiTheme="minorHAnsi" w:hAnsiTheme="minorHAnsi"/>
          <w:bCs/>
        </w:rPr>
        <w:t xml:space="preserve"> rejected by the </w:t>
      </w:r>
      <w:r w:rsidR="00EE62EF" w:rsidRPr="00980D3E">
        <w:rPr>
          <w:rFonts w:asciiTheme="minorHAnsi" w:hAnsiTheme="minorHAnsi"/>
          <w:bCs/>
        </w:rPr>
        <w:t>European Medicines Agency (</w:t>
      </w:r>
      <w:r w:rsidRPr="00980D3E">
        <w:rPr>
          <w:rFonts w:asciiTheme="minorHAnsi" w:hAnsiTheme="minorHAnsi"/>
          <w:bCs/>
        </w:rPr>
        <w:t>EMA</w:t>
      </w:r>
      <w:r w:rsidR="00EE62EF" w:rsidRPr="00980D3E">
        <w:rPr>
          <w:rFonts w:asciiTheme="minorHAnsi" w:hAnsiTheme="minorHAnsi"/>
          <w:bCs/>
        </w:rPr>
        <w:t xml:space="preserve">) in December 2017 </w:t>
      </w:r>
      <w:r w:rsidR="003E0B3D" w:rsidRPr="00980D3E">
        <w:rPr>
          <w:rFonts w:asciiTheme="minorHAnsi" w:hAnsiTheme="minorHAnsi"/>
          <w:bCs/>
        </w:rPr>
        <w:t>as</w:t>
      </w:r>
      <w:r w:rsidR="003E0B3D" w:rsidRPr="00980D3E">
        <w:t xml:space="preserve"> the EMA considered that the benefits of plitidepsin did not outweigh its risks. Plitidepsin </w:t>
      </w:r>
      <w:r w:rsidR="00D23423" w:rsidRPr="00980D3E">
        <w:rPr>
          <w:rFonts w:asciiTheme="minorHAnsi" w:hAnsiTheme="minorHAnsi"/>
          <w:bCs/>
        </w:rPr>
        <w:t xml:space="preserve">is yet to be considered by the </w:t>
      </w:r>
      <w:r w:rsidR="00EE62EF" w:rsidRPr="00980D3E">
        <w:rPr>
          <w:rFonts w:asciiTheme="minorHAnsi" w:hAnsiTheme="minorHAnsi"/>
          <w:bCs/>
        </w:rPr>
        <w:t>Food and Drug Administration (</w:t>
      </w:r>
      <w:r w:rsidR="00D23423" w:rsidRPr="00980D3E">
        <w:rPr>
          <w:rFonts w:asciiTheme="minorHAnsi" w:hAnsiTheme="minorHAnsi"/>
          <w:bCs/>
        </w:rPr>
        <w:t>FDA</w:t>
      </w:r>
      <w:r w:rsidR="00EE62EF" w:rsidRPr="00980D3E">
        <w:rPr>
          <w:rFonts w:asciiTheme="minorHAnsi" w:hAnsiTheme="minorHAnsi"/>
          <w:bCs/>
        </w:rPr>
        <w:t>) in the USA</w:t>
      </w:r>
      <w:r w:rsidR="00D23423" w:rsidRPr="00980D3E">
        <w:rPr>
          <w:rFonts w:asciiTheme="minorHAnsi" w:hAnsiTheme="minorHAnsi"/>
          <w:bCs/>
        </w:rPr>
        <w:t>.</w:t>
      </w:r>
    </w:p>
    <w:p w:rsidR="00AB12B6" w:rsidRPr="00980D3E" w:rsidRDefault="002D08BC" w:rsidP="008D5B6E">
      <w:pPr>
        <w:widowControl w:val="0"/>
        <w:numPr>
          <w:ilvl w:val="1"/>
          <w:numId w:val="1"/>
        </w:numPr>
        <w:spacing w:after="120"/>
        <w:ind w:left="720"/>
        <w:rPr>
          <w:rFonts w:asciiTheme="minorHAnsi" w:hAnsiTheme="minorHAnsi"/>
          <w:bCs/>
        </w:rPr>
      </w:pPr>
      <w:r w:rsidRPr="00980D3E">
        <w:rPr>
          <w:rFonts w:asciiTheme="minorHAnsi" w:hAnsiTheme="minorHAnsi"/>
          <w:bCs/>
        </w:rPr>
        <w:t xml:space="preserve">Unchanged from the </w:t>
      </w:r>
      <w:r w:rsidR="00213207" w:rsidRPr="00980D3E">
        <w:rPr>
          <w:rFonts w:asciiTheme="minorHAnsi" w:hAnsiTheme="minorHAnsi"/>
          <w:bCs/>
        </w:rPr>
        <w:t>July 2019</w:t>
      </w:r>
      <w:r w:rsidRPr="00980D3E">
        <w:rPr>
          <w:rFonts w:asciiTheme="minorHAnsi" w:hAnsiTheme="minorHAnsi"/>
          <w:bCs/>
        </w:rPr>
        <w:t xml:space="preserve"> submission, </w:t>
      </w:r>
      <w:r w:rsidR="00AB12B6" w:rsidRPr="00980D3E">
        <w:rPr>
          <w:rFonts w:asciiTheme="minorHAnsi" w:hAnsiTheme="minorHAnsi"/>
          <w:bCs/>
        </w:rPr>
        <w:t>pomalidomide</w:t>
      </w:r>
      <w:r w:rsidRPr="00980D3E">
        <w:rPr>
          <w:rFonts w:asciiTheme="minorHAnsi" w:hAnsiTheme="minorHAnsi"/>
          <w:bCs/>
        </w:rPr>
        <w:t xml:space="preserve"> </w:t>
      </w:r>
      <w:r w:rsidR="00AB12B6" w:rsidRPr="00980D3E">
        <w:rPr>
          <w:rFonts w:asciiTheme="minorHAnsi" w:hAnsiTheme="minorHAnsi"/>
          <w:bCs/>
        </w:rPr>
        <w:t>+</w:t>
      </w:r>
      <w:r w:rsidRPr="00980D3E">
        <w:rPr>
          <w:rFonts w:asciiTheme="minorHAnsi" w:hAnsiTheme="minorHAnsi"/>
          <w:bCs/>
        </w:rPr>
        <w:t xml:space="preserve"> </w:t>
      </w:r>
      <w:r w:rsidR="00AB12B6" w:rsidRPr="00980D3E">
        <w:rPr>
          <w:rFonts w:asciiTheme="minorHAnsi" w:hAnsiTheme="minorHAnsi"/>
          <w:bCs/>
        </w:rPr>
        <w:t>Dxm</w:t>
      </w:r>
      <w:r w:rsidR="00AF5569" w:rsidRPr="00980D3E">
        <w:rPr>
          <w:rFonts w:asciiTheme="minorHAnsi" w:hAnsiTheme="minorHAnsi"/>
          <w:bCs/>
        </w:rPr>
        <w:t xml:space="preserve"> was nominated</w:t>
      </w:r>
      <w:r w:rsidR="00AB12B6" w:rsidRPr="00980D3E">
        <w:rPr>
          <w:rFonts w:asciiTheme="minorHAnsi" w:hAnsiTheme="minorHAnsi"/>
          <w:bCs/>
        </w:rPr>
        <w:t xml:space="preserve"> as the third-line comparator and Dxm</w:t>
      </w:r>
      <w:r w:rsidR="00AF5569" w:rsidRPr="00980D3E">
        <w:rPr>
          <w:rFonts w:asciiTheme="minorHAnsi" w:hAnsiTheme="minorHAnsi"/>
          <w:bCs/>
        </w:rPr>
        <w:t xml:space="preserve"> </w:t>
      </w:r>
      <w:r w:rsidR="00D97F96" w:rsidRPr="00980D3E">
        <w:rPr>
          <w:rFonts w:asciiTheme="minorHAnsi" w:hAnsiTheme="minorHAnsi"/>
          <w:bCs/>
        </w:rPr>
        <w:t xml:space="preserve">monotherapy </w:t>
      </w:r>
      <w:r w:rsidR="00AF5569" w:rsidRPr="00980D3E">
        <w:rPr>
          <w:rFonts w:asciiTheme="minorHAnsi" w:hAnsiTheme="minorHAnsi"/>
          <w:bCs/>
        </w:rPr>
        <w:t>was nominated</w:t>
      </w:r>
      <w:r w:rsidR="00AB12B6" w:rsidRPr="00980D3E">
        <w:rPr>
          <w:rFonts w:asciiTheme="minorHAnsi" w:hAnsiTheme="minorHAnsi"/>
          <w:bCs/>
        </w:rPr>
        <w:t xml:space="preserve"> as the fourth-line comparator. The PBAC </w:t>
      </w:r>
      <w:r w:rsidR="00D675DF" w:rsidRPr="00980D3E">
        <w:rPr>
          <w:rFonts w:asciiTheme="minorHAnsi" w:hAnsiTheme="minorHAnsi"/>
          <w:bCs/>
        </w:rPr>
        <w:t xml:space="preserve">again </w:t>
      </w:r>
      <w:r w:rsidR="00AB12B6" w:rsidRPr="00980D3E">
        <w:rPr>
          <w:rFonts w:asciiTheme="minorHAnsi" w:hAnsiTheme="minorHAnsi"/>
          <w:bCs/>
        </w:rPr>
        <w:t xml:space="preserve">considered </w:t>
      </w:r>
      <w:r w:rsidR="007E5F8E" w:rsidRPr="00980D3E">
        <w:rPr>
          <w:rFonts w:asciiTheme="minorHAnsi" w:hAnsiTheme="minorHAnsi"/>
          <w:bCs/>
        </w:rPr>
        <w:t xml:space="preserve">that </w:t>
      </w:r>
      <w:r w:rsidR="00AB12B6" w:rsidRPr="00980D3E">
        <w:rPr>
          <w:rFonts w:asciiTheme="minorHAnsi" w:hAnsiTheme="minorHAnsi"/>
          <w:bCs/>
        </w:rPr>
        <w:t>both comparators were appropriate.</w:t>
      </w:r>
    </w:p>
    <w:p w:rsidR="00017E96" w:rsidRPr="00980D3E" w:rsidRDefault="007E5F8E" w:rsidP="002C6E50">
      <w:pPr>
        <w:widowControl w:val="0"/>
        <w:numPr>
          <w:ilvl w:val="1"/>
          <w:numId w:val="1"/>
        </w:numPr>
        <w:spacing w:after="120"/>
        <w:ind w:left="720"/>
        <w:rPr>
          <w:bCs/>
        </w:rPr>
      </w:pPr>
      <w:r w:rsidRPr="00980D3E">
        <w:rPr>
          <w:rFonts w:asciiTheme="minorHAnsi" w:hAnsiTheme="minorHAnsi"/>
          <w:bCs/>
        </w:rPr>
        <w:t>For the comparison between plitidepsin + Dxm and Dxm monotherapy, t</w:t>
      </w:r>
      <w:r w:rsidR="00676D02" w:rsidRPr="00980D3E">
        <w:rPr>
          <w:rFonts w:asciiTheme="minorHAnsi" w:hAnsiTheme="minorHAnsi"/>
          <w:bCs/>
        </w:rPr>
        <w:t xml:space="preserve">he PBAC </w:t>
      </w:r>
      <w:r w:rsidR="00676D02" w:rsidRPr="00980D3E">
        <w:rPr>
          <w:rFonts w:asciiTheme="minorHAnsi" w:hAnsiTheme="minorHAnsi"/>
          <w:bCs/>
        </w:rPr>
        <w:lastRenderedPageBreak/>
        <w:t xml:space="preserve">noted that </w:t>
      </w:r>
      <w:r w:rsidR="00AF5569" w:rsidRPr="00980D3E">
        <w:rPr>
          <w:bCs/>
        </w:rPr>
        <w:t xml:space="preserve">no new </w:t>
      </w:r>
      <w:r w:rsidRPr="00980D3E">
        <w:rPr>
          <w:bCs/>
        </w:rPr>
        <w:t xml:space="preserve">clinical </w:t>
      </w:r>
      <w:r w:rsidR="00AF5569" w:rsidRPr="00980D3E">
        <w:rPr>
          <w:bCs/>
        </w:rPr>
        <w:t xml:space="preserve">data </w:t>
      </w:r>
      <w:r w:rsidR="00676D02" w:rsidRPr="00980D3E">
        <w:rPr>
          <w:bCs/>
        </w:rPr>
        <w:t>were</w:t>
      </w:r>
      <w:r w:rsidR="00AF5569" w:rsidRPr="00980D3E">
        <w:rPr>
          <w:bCs/>
        </w:rPr>
        <w:t xml:space="preserve"> presented</w:t>
      </w:r>
      <w:r w:rsidR="00676D02" w:rsidRPr="00980D3E">
        <w:rPr>
          <w:bCs/>
        </w:rPr>
        <w:t xml:space="preserve"> in the resubmission</w:t>
      </w:r>
      <w:r w:rsidRPr="00980D3E">
        <w:rPr>
          <w:bCs/>
        </w:rPr>
        <w:t xml:space="preserve">. The resubmission did present a </w:t>
      </w:r>
      <w:r w:rsidR="00213207" w:rsidRPr="00980D3E">
        <w:rPr>
          <w:bCs/>
        </w:rPr>
        <w:t>preplanned sensitivity analysis</w:t>
      </w:r>
      <w:r w:rsidR="00676D02" w:rsidRPr="00980D3E">
        <w:rPr>
          <w:bCs/>
        </w:rPr>
        <w:t xml:space="preserve"> from the </w:t>
      </w:r>
      <w:r w:rsidR="00676D02" w:rsidRPr="00980D3E">
        <w:rPr>
          <w:rFonts w:asciiTheme="minorHAnsi" w:hAnsiTheme="minorHAnsi"/>
          <w:bCs/>
        </w:rPr>
        <w:t>ADMYRE trial</w:t>
      </w:r>
      <w:r w:rsidR="00AF5569" w:rsidRPr="00980D3E">
        <w:rPr>
          <w:bCs/>
        </w:rPr>
        <w:t xml:space="preserve"> </w:t>
      </w:r>
      <w:r w:rsidR="00676D02" w:rsidRPr="00980D3E">
        <w:rPr>
          <w:bCs/>
        </w:rPr>
        <w:t>that reported PFS with</w:t>
      </w:r>
      <w:r w:rsidR="00AF5569" w:rsidRPr="00980D3E">
        <w:rPr>
          <w:bCs/>
        </w:rPr>
        <w:t xml:space="preserve"> PD confirmation</w:t>
      </w:r>
      <w:r w:rsidR="00213207" w:rsidRPr="00980D3E">
        <w:rPr>
          <w:bCs/>
        </w:rPr>
        <w:t>.</w:t>
      </w:r>
      <w:r w:rsidR="002C6E50" w:rsidRPr="00980D3E">
        <w:rPr>
          <w:bCs/>
        </w:rPr>
        <w:t xml:space="preserve"> </w:t>
      </w:r>
      <w:r w:rsidR="002C6E50" w:rsidRPr="00980D3E">
        <w:rPr>
          <w:rFonts w:asciiTheme="minorHAnsi" w:hAnsiTheme="minorHAnsi"/>
          <w:bCs/>
        </w:rPr>
        <w:t>The PBAC considered that the clinical benefit from PFS</w:t>
      </w:r>
      <w:r w:rsidR="00953B65" w:rsidRPr="00980D3E">
        <w:rPr>
          <w:rFonts w:asciiTheme="minorHAnsi" w:hAnsiTheme="minorHAnsi"/>
          <w:bCs/>
        </w:rPr>
        <w:t xml:space="preserve"> with PD confirmation</w:t>
      </w:r>
      <w:r w:rsidR="002C6E50" w:rsidRPr="00980D3E">
        <w:rPr>
          <w:rFonts w:asciiTheme="minorHAnsi" w:hAnsiTheme="minorHAnsi"/>
          <w:bCs/>
        </w:rPr>
        <w:t xml:space="preserve"> (HR</w:t>
      </w:r>
      <w:r w:rsidR="00D97F96" w:rsidRPr="00980D3E">
        <w:rPr>
          <w:rFonts w:asciiTheme="minorHAnsi" w:hAnsiTheme="minorHAnsi"/>
          <w:bCs/>
        </w:rPr>
        <w:t xml:space="preserve"> </w:t>
      </w:r>
      <w:r w:rsidR="002C6E50" w:rsidRPr="00980D3E">
        <w:rPr>
          <w:rFonts w:asciiTheme="minorHAnsi" w:hAnsiTheme="minorHAnsi"/>
          <w:bCs/>
        </w:rPr>
        <w:t>=</w:t>
      </w:r>
      <w:r w:rsidR="00D97F96" w:rsidRPr="00980D3E">
        <w:rPr>
          <w:rFonts w:asciiTheme="minorHAnsi" w:hAnsiTheme="minorHAnsi"/>
          <w:bCs/>
        </w:rPr>
        <w:t xml:space="preserve"> </w:t>
      </w:r>
      <w:r w:rsidR="002C6E50" w:rsidRPr="00980D3E">
        <w:rPr>
          <w:rFonts w:asciiTheme="minorHAnsi" w:hAnsiTheme="minorHAnsi"/>
          <w:bCs/>
        </w:rPr>
        <w:t>0.52; 95% CI</w:t>
      </w:r>
      <w:r w:rsidR="00213207" w:rsidRPr="00980D3E">
        <w:rPr>
          <w:rFonts w:asciiTheme="minorHAnsi" w:hAnsiTheme="minorHAnsi"/>
          <w:bCs/>
        </w:rPr>
        <w:t>:</w:t>
      </w:r>
      <w:r w:rsidR="002C6E50" w:rsidRPr="00980D3E">
        <w:rPr>
          <w:rFonts w:asciiTheme="minorHAnsi" w:hAnsiTheme="minorHAnsi"/>
          <w:bCs/>
        </w:rPr>
        <w:t xml:space="preserve"> 0.35, 0.76), with an increase in media</w:t>
      </w:r>
      <w:r w:rsidR="00953B65" w:rsidRPr="00980D3E">
        <w:rPr>
          <w:rFonts w:asciiTheme="minorHAnsi" w:hAnsiTheme="minorHAnsi"/>
          <w:bCs/>
        </w:rPr>
        <w:t>n PFS</w:t>
      </w:r>
      <w:r w:rsidR="002C6E50" w:rsidRPr="00980D3E">
        <w:rPr>
          <w:rFonts w:asciiTheme="minorHAnsi" w:hAnsiTheme="minorHAnsi"/>
          <w:bCs/>
        </w:rPr>
        <w:t xml:space="preserve"> of 3.0 months, was not reliable </w:t>
      </w:r>
      <w:r w:rsidR="00836249" w:rsidRPr="00980D3E">
        <w:rPr>
          <w:rFonts w:asciiTheme="minorHAnsi" w:hAnsiTheme="minorHAnsi"/>
          <w:bCs/>
        </w:rPr>
        <w:t>as</w:t>
      </w:r>
      <w:r w:rsidR="002C6E50" w:rsidRPr="00980D3E">
        <w:rPr>
          <w:rFonts w:asciiTheme="minorHAnsi" w:hAnsiTheme="minorHAnsi"/>
          <w:bCs/>
        </w:rPr>
        <w:t xml:space="preserve"> </w:t>
      </w:r>
      <w:r w:rsidR="00213207" w:rsidRPr="00980D3E">
        <w:rPr>
          <w:rFonts w:asciiTheme="minorHAnsi" w:hAnsiTheme="minorHAnsi"/>
          <w:bCs/>
        </w:rPr>
        <w:t xml:space="preserve">the analysis was </w:t>
      </w:r>
      <w:r w:rsidR="00836249" w:rsidRPr="00980D3E">
        <w:rPr>
          <w:rFonts w:asciiTheme="minorHAnsi" w:hAnsiTheme="minorHAnsi"/>
          <w:bCs/>
        </w:rPr>
        <w:t xml:space="preserve">a preplanned sensitivity analysis </w:t>
      </w:r>
      <w:r w:rsidR="00213207" w:rsidRPr="00980D3E">
        <w:rPr>
          <w:rFonts w:asciiTheme="minorHAnsi" w:hAnsiTheme="minorHAnsi"/>
          <w:bCs/>
        </w:rPr>
        <w:t xml:space="preserve">conducted to test the consistency of the primary PFS outcome, PFS without PD confirmation. </w:t>
      </w:r>
      <w:r w:rsidR="00AB12B6" w:rsidRPr="00980D3E">
        <w:rPr>
          <w:rFonts w:asciiTheme="minorHAnsi" w:hAnsiTheme="minorHAnsi"/>
          <w:bCs/>
        </w:rPr>
        <w:t>The PBAC</w:t>
      </w:r>
      <w:r w:rsidR="00017E96" w:rsidRPr="00980D3E">
        <w:rPr>
          <w:rFonts w:asciiTheme="minorHAnsi" w:hAnsiTheme="minorHAnsi"/>
          <w:bCs/>
        </w:rPr>
        <w:t xml:space="preserve"> </w:t>
      </w:r>
      <w:r w:rsidR="00213207" w:rsidRPr="00980D3E">
        <w:rPr>
          <w:rFonts w:asciiTheme="minorHAnsi" w:hAnsiTheme="minorHAnsi"/>
          <w:bCs/>
        </w:rPr>
        <w:t xml:space="preserve">considered that based on the primary outcome of the trial, </w:t>
      </w:r>
      <w:r w:rsidR="001C1A8F" w:rsidRPr="00980D3E">
        <w:rPr>
          <w:rFonts w:asciiTheme="minorHAnsi" w:hAnsiTheme="minorHAnsi"/>
          <w:bCs/>
        </w:rPr>
        <w:t>PFS</w:t>
      </w:r>
      <w:r w:rsidR="00953B65" w:rsidRPr="00980D3E">
        <w:rPr>
          <w:rFonts w:asciiTheme="minorHAnsi" w:hAnsiTheme="minorHAnsi"/>
          <w:bCs/>
        </w:rPr>
        <w:t xml:space="preserve"> without PD confirmation</w:t>
      </w:r>
      <w:r w:rsidR="00213207" w:rsidRPr="00980D3E">
        <w:rPr>
          <w:rFonts w:asciiTheme="minorHAnsi" w:hAnsiTheme="minorHAnsi"/>
          <w:bCs/>
        </w:rPr>
        <w:t xml:space="preserve">, plitidepsin + Dxm resulted in a marginal increase in clinical benefit over Dxm monotherapy </w:t>
      </w:r>
      <w:r w:rsidR="001C1A8F" w:rsidRPr="00980D3E">
        <w:rPr>
          <w:rFonts w:asciiTheme="minorHAnsi" w:hAnsiTheme="minorHAnsi"/>
          <w:bCs/>
        </w:rPr>
        <w:t>(HR</w:t>
      </w:r>
      <w:r w:rsidR="00D97F96" w:rsidRPr="00980D3E">
        <w:rPr>
          <w:rFonts w:asciiTheme="minorHAnsi" w:hAnsiTheme="minorHAnsi"/>
          <w:bCs/>
        </w:rPr>
        <w:t xml:space="preserve"> </w:t>
      </w:r>
      <w:r w:rsidR="001C1A8F" w:rsidRPr="00980D3E">
        <w:rPr>
          <w:rFonts w:asciiTheme="minorHAnsi" w:hAnsiTheme="minorHAnsi"/>
          <w:bCs/>
        </w:rPr>
        <w:t>=</w:t>
      </w:r>
      <w:r w:rsidR="00D97F96" w:rsidRPr="00980D3E">
        <w:rPr>
          <w:rFonts w:asciiTheme="minorHAnsi" w:hAnsiTheme="minorHAnsi"/>
          <w:bCs/>
        </w:rPr>
        <w:t xml:space="preserve"> </w:t>
      </w:r>
      <w:r w:rsidR="001C1A8F" w:rsidRPr="00980D3E">
        <w:rPr>
          <w:rFonts w:asciiTheme="minorHAnsi" w:hAnsiTheme="minorHAnsi"/>
          <w:bCs/>
        </w:rPr>
        <w:t>0.65; 95% CI 0.48, 0.89</w:t>
      </w:r>
      <w:r w:rsidR="00213207" w:rsidRPr="00980D3E">
        <w:rPr>
          <w:rFonts w:asciiTheme="minorHAnsi" w:hAnsiTheme="minorHAnsi"/>
          <w:bCs/>
        </w:rPr>
        <w:t>;</w:t>
      </w:r>
      <w:r w:rsidR="00AB12B6" w:rsidRPr="00980D3E">
        <w:rPr>
          <w:rFonts w:asciiTheme="minorHAnsi" w:hAnsiTheme="minorHAnsi"/>
          <w:bCs/>
        </w:rPr>
        <w:t xml:space="preserve"> increase in median PFS</w:t>
      </w:r>
      <w:r w:rsidR="00017E96" w:rsidRPr="00980D3E">
        <w:rPr>
          <w:rFonts w:asciiTheme="minorHAnsi" w:hAnsiTheme="minorHAnsi"/>
          <w:bCs/>
        </w:rPr>
        <w:t xml:space="preserve"> </w:t>
      </w:r>
      <w:r w:rsidR="00213207" w:rsidRPr="00980D3E">
        <w:rPr>
          <w:rFonts w:asciiTheme="minorHAnsi" w:hAnsiTheme="minorHAnsi"/>
          <w:bCs/>
        </w:rPr>
        <w:t>=</w:t>
      </w:r>
      <w:r w:rsidR="00017E96" w:rsidRPr="00980D3E">
        <w:rPr>
          <w:rFonts w:asciiTheme="minorHAnsi" w:hAnsiTheme="minorHAnsi"/>
          <w:bCs/>
        </w:rPr>
        <w:t xml:space="preserve"> 0.9 months</w:t>
      </w:r>
      <w:r w:rsidR="00213207" w:rsidRPr="00980D3E">
        <w:rPr>
          <w:rFonts w:asciiTheme="minorHAnsi" w:hAnsiTheme="minorHAnsi"/>
          <w:bCs/>
        </w:rPr>
        <w:t>)</w:t>
      </w:r>
      <w:r w:rsidR="00017E96" w:rsidRPr="00980D3E">
        <w:rPr>
          <w:rFonts w:asciiTheme="minorHAnsi" w:hAnsiTheme="minorHAnsi"/>
          <w:bCs/>
        </w:rPr>
        <w:t xml:space="preserve">. </w:t>
      </w:r>
      <w:r w:rsidR="002C6E50" w:rsidRPr="00980D3E">
        <w:rPr>
          <w:rFonts w:asciiTheme="minorHAnsi" w:hAnsiTheme="minorHAnsi"/>
          <w:bCs/>
        </w:rPr>
        <w:t>T</w:t>
      </w:r>
      <w:r w:rsidR="00AB12B6" w:rsidRPr="00980D3E">
        <w:rPr>
          <w:rFonts w:asciiTheme="minorHAnsi" w:hAnsiTheme="minorHAnsi"/>
          <w:bCs/>
        </w:rPr>
        <w:t xml:space="preserve">he PBAC </w:t>
      </w:r>
      <w:r w:rsidR="00213207" w:rsidRPr="00980D3E">
        <w:rPr>
          <w:rFonts w:asciiTheme="minorHAnsi" w:hAnsiTheme="minorHAnsi"/>
          <w:bCs/>
        </w:rPr>
        <w:t xml:space="preserve">again noted that the </w:t>
      </w:r>
      <w:r w:rsidR="00AB12B6" w:rsidRPr="00980D3E">
        <w:rPr>
          <w:rFonts w:asciiTheme="minorHAnsi" w:hAnsiTheme="minorHAnsi"/>
          <w:bCs/>
        </w:rPr>
        <w:t>OS benefit was only statistically significant when adjusted for crossover (H</w:t>
      </w:r>
      <w:r w:rsidR="00185E0C" w:rsidRPr="00980D3E">
        <w:rPr>
          <w:rFonts w:asciiTheme="minorHAnsi" w:hAnsiTheme="minorHAnsi"/>
          <w:bCs/>
        </w:rPr>
        <w:t>R</w:t>
      </w:r>
      <w:r w:rsidR="00D97F96" w:rsidRPr="00980D3E">
        <w:rPr>
          <w:rFonts w:asciiTheme="minorHAnsi" w:hAnsiTheme="minorHAnsi"/>
          <w:bCs/>
        </w:rPr>
        <w:t xml:space="preserve"> </w:t>
      </w:r>
      <w:r w:rsidR="00185E0C" w:rsidRPr="00980D3E">
        <w:rPr>
          <w:rFonts w:asciiTheme="minorHAnsi" w:hAnsiTheme="minorHAnsi"/>
          <w:bCs/>
        </w:rPr>
        <w:t>=</w:t>
      </w:r>
      <w:r w:rsidR="00D97F96" w:rsidRPr="00980D3E">
        <w:rPr>
          <w:rFonts w:asciiTheme="minorHAnsi" w:hAnsiTheme="minorHAnsi"/>
          <w:bCs/>
        </w:rPr>
        <w:t xml:space="preserve"> </w:t>
      </w:r>
      <w:r w:rsidR="00185E0C" w:rsidRPr="00980D3E">
        <w:rPr>
          <w:rFonts w:asciiTheme="minorHAnsi" w:hAnsiTheme="minorHAnsi"/>
          <w:bCs/>
        </w:rPr>
        <w:t>0.67; 95% CI 0.50, 0.90</w:t>
      </w:r>
      <w:r w:rsidR="00AB12B6" w:rsidRPr="00980D3E">
        <w:rPr>
          <w:rFonts w:asciiTheme="minorHAnsi" w:hAnsiTheme="minorHAnsi"/>
          <w:bCs/>
        </w:rPr>
        <w:t>)</w:t>
      </w:r>
      <w:r w:rsidR="00DA0DCC" w:rsidRPr="00980D3E">
        <w:rPr>
          <w:rFonts w:asciiTheme="minorHAnsi" w:hAnsiTheme="minorHAnsi"/>
          <w:bCs/>
        </w:rPr>
        <w:t>.</w:t>
      </w:r>
    </w:p>
    <w:p w:rsidR="00AB12B6" w:rsidRPr="00980D3E" w:rsidRDefault="00AB12B6" w:rsidP="00AB12B6">
      <w:pPr>
        <w:widowControl w:val="0"/>
        <w:numPr>
          <w:ilvl w:val="1"/>
          <w:numId w:val="1"/>
        </w:numPr>
        <w:spacing w:after="120"/>
        <w:ind w:left="720"/>
        <w:rPr>
          <w:rFonts w:asciiTheme="minorHAnsi" w:hAnsiTheme="minorHAnsi"/>
          <w:bCs/>
        </w:rPr>
      </w:pPr>
      <w:r w:rsidRPr="00980D3E">
        <w:rPr>
          <w:rFonts w:asciiTheme="minorHAnsi" w:hAnsiTheme="minorHAnsi"/>
          <w:bCs/>
        </w:rPr>
        <w:t xml:space="preserve">Overall, the </w:t>
      </w:r>
      <w:r w:rsidR="00DC4D46" w:rsidRPr="00980D3E">
        <w:rPr>
          <w:rFonts w:asciiTheme="minorHAnsi" w:hAnsiTheme="minorHAnsi"/>
          <w:bCs/>
        </w:rPr>
        <w:t>PBAC maintained its view</w:t>
      </w:r>
      <w:r w:rsidR="00E949D4" w:rsidRPr="00980D3E">
        <w:rPr>
          <w:rFonts w:asciiTheme="minorHAnsi" w:hAnsiTheme="minorHAnsi"/>
          <w:bCs/>
        </w:rPr>
        <w:t xml:space="preserve"> from July 2019</w:t>
      </w:r>
      <w:r w:rsidR="00213207" w:rsidRPr="00980D3E">
        <w:rPr>
          <w:rFonts w:asciiTheme="minorHAnsi" w:hAnsiTheme="minorHAnsi"/>
          <w:bCs/>
        </w:rPr>
        <w:t xml:space="preserve"> and considered </w:t>
      </w:r>
      <w:r w:rsidR="00E949D4" w:rsidRPr="00980D3E">
        <w:rPr>
          <w:rFonts w:asciiTheme="minorHAnsi" w:hAnsiTheme="minorHAnsi"/>
          <w:bCs/>
        </w:rPr>
        <w:t>that</w:t>
      </w:r>
      <w:r w:rsidRPr="00980D3E">
        <w:rPr>
          <w:rFonts w:asciiTheme="minorHAnsi" w:hAnsiTheme="minorHAnsi"/>
          <w:bCs/>
        </w:rPr>
        <w:t xml:space="preserve"> plitidepsin resulted in an incremental benefit versus Dxm in a small subset of patients who experienced a prolonged response. The PBAC noted that there was no way to target treatment with plitidepsin to those patients who are most likely to respond. </w:t>
      </w:r>
    </w:p>
    <w:p w:rsidR="008F0A12" w:rsidRPr="00980D3E" w:rsidRDefault="008F0A12" w:rsidP="00AB12B6">
      <w:pPr>
        <w:widowControl w:val="0"/>
        <w:numPr>
          <w:ilvl w:val="1"/>
          <w:numId w:val="1"/>
        </w:numPr>
        <w:spacing w:after="120"/>
        <w:ind w:left="720"/>
        <w:rPr>
          <w:rFonts w:asciiTheme="minorHAnsi" w:hAnsiTheme="minorHAnsi"/>
          <w:bCs/>
        </w:rPr>
      </w:pPr>
      <w:r w:rsidRPr="00980D3E">
        <w:rPr>
          <w:rFonts w:asciiTheme="minorHAnsi" w:hAnsiTheme="minorHAnsi"/>
          <w:bCs/>
        </w:rPr>
        <w:t>In terms of safety, the PBAC noted that the resubmission had updated its claim and stated that plitidepsin + Dxm was inferior compared to Dxm monotherapy. The PBAC considered that this was appropriate</w:t>
      </w:r>
      <w:r w:rsidR="00EF2E97" w:rsidRPr="00980D3E">
        <w:rPr>
          <w:rFonts w:asciiTheme="minorHAnsi" w:hAnsiTheme="minorHAnsi"/>
          <w:bCs/>
        </w:rPr>
        <w:t xml:space="preserve">, noting that plitidepsin + Dxm resulted in statistically significant increases in any </w:t>
      </w:r>
      <w:r w:rsidR="001D0160">
        <w:rPr>
          <w:rFonts w:asciiTheme="minorHAnsi" w:hAnsiTheme="minorHAnsi"/>
          <w:bCs/>
        </w:rPr>
        <w:t>treatment emergent adv</w:t>
      </w:r>
      <w:r w:rsidR="00EE62EF" w:rsidRPr="00980D3E">
        <w:rPr>
          <w:rFonts w:asciiTheme="minorHAnsi" w:hAnsiTheme="minorHAnsi"/>
          <w:bCs/>
        </w:rPr>
        <w:t>erse events (TEAE</w:t>
      </w:r>
      <w:r w:rsidR="00B04AF4" w:rsidRPr="00980D3E">
        <w:rPr>
          <w:rFonts w:asciiTheme="minorHAnsi" w:hAnsiTheme="minorHAnsi"/>
          <w:bCs/>
        </w:rPr>
        <w:t>s</w:t>
      </w:r>
      <w:r w:rsidR="00EE62EF" w:rsidRPr="00980D3E">
        <w:rPr>
          <w:rFonts w:asciiTheme="minorHAnsi" w:hAnsiTheme="minorHAnsi"/>
          <w:bCs/>
        </w:rPr>
        <w:t>)</w:t>
      </w:r>
      <w:r w:rsidR="00EF2E97" w:rsidRPr="00980D3E">
        <w:rPr>
          <w:rFonts w:asciiTheme="minorHAnsi" w:hAnsiTheme="minorHAnsi"/>
          <w:bCs/>
        </w:rPr>
        <w:t xml:space="preserve">, serious </w:t>
      </w:r>
      <w:r w:rsidR="00EE62EF" w:rsidRPr="00980D3E">
        <w:rPr>
          <w:rFonts w:asciiTheme="minorHAnsi" w:hAnsiTheme="minorHAnsi"/>
          <w:bCs/>
        </w:rPr>
        <w:t>adverse events (AE</w:t>
      </w:r>
      <w:r w:rsidR="00B04AF4" w:rsidRPr="00980D3E">
        <w:rPr>
          <w:rFonts w:asciiTheme="minorHAnsi" w:hAnsiTheme="minorHAnsi"/>
          <w:bCs/>
        </w:rPr>
        <w:t>s</w:t>
      </w:r>
      <w:r w:rsidR="00EE62EF" w:rsidRPr="00980D3E">
        <w:rPr>
          <w:rFonts w:asciiTheme="minorHAnsi" w:hAnsiTheme="minorHAnsi"/>
          <w:bCs/>
        </w:rPr>
        <w:t>)</w:t>
      </w:r>
      <w:r w:rsidR="00EF2E97" w:rsidRPr="00980D3E">
        <w:rPr>
          <w:rFonts w:asciiTheme="minorHAnsi" w:hAnsiTheme="minorHAnsi"/>
          <w:bCs/>
        </w:rPr>
        <w:t xml:space="preserve"> and Grade 3 or higher </w:t>
      </w:r>
      <w:r w:rsidR="00EE62EF" w:rsidRPr="00980D3E">
        <w:rPr>
          <w:rFonts w:asciiTheme="minorHAnsi" w:hAnsiTheme="minorHAnsi"/>
          <w:bCs/>
        </w:rPr>
        <w:t>TEAEs</w:t>
      </w:r>
      <w:r w:rsidR="00EF2E97" w:rsidRPr="00980D3E">
        <w:rPr>
          <w:rFonts w:asciiTheme="minorHAnsi" w:hAnsiTheme="minorHAnsi"/>
          <w:bCs/>
        </w:rPr>
        <w:t xml:space="preserve"> compared to Dxm monotherapy.</w:t>
      </w:r>
    </w:p>
    <w:p w:rsidR="00933149" w:rsidRPr="00980D3E" w:rsidRDefault="00933149" w:rsidP="000611B2">
      <w:pPr>
        <w:widowControl w:val="0"/>
        <w:numPr>
          <w:ilvl w:val="1"/>
          <w:numId w:val="1"/>
        </w:numPr>
        <w:ind w:left="720"/>
        <w:rPr>
          <w:rFonts w:asciiTheme="minorHAnsi" w:hAnsiTheme="minorHAnsi"/>
          <w:bCs/>
        </w:rPr>
      </w:pPr>
      <w:r w:rsidRPr="00980D3E">
        <w:rPr>
          <w:rFonts w:asciiTheme="minorHAnsi" w:hAnsiTheme="minorHAnsi"/>
          <w:bCs/>
        </w:rPr>
        <w:t xml:space="preserve">Unchanged from the </w:t>
      </w:r>
      <w:r w:rsidR="0012680E" w:rsidRPr="00980D3E">
        <w:rPr>
          <w:rFonts w:asciiTheme="minorHAnsi" w:hAnsiTheme="minorHAnsi"/>
          <w:bCs/>
        </w:rPr>
        <w:t>July 2019</w:t>
      </w:r>
      <w:r w:rsidRPr="00980D3E">
        <w:rPr>
          <w:rFonts w:asciiTheme="minorHAnsi" w:hAnsiTheme="minorHAnsi"/>
          <w:bCs/>
        </w:rPr>
        <w:t xml:space="preserve"> submission, </w:t>
      </w:r>
      <w:r w:rsidR="00AB12B6" w:rsidRPr="00980D3E">
        <w:rPr>
          <w:rFonts w:asciiTheme="minorHAnsi" w:hAnsiTheme="minorHAnsi"/>
          <w:bCs/>
        </w:rPr>
        <w:t xml:space="preserve">the </w:t>
      </w:r>
      <w:r w:rsidR="0012680E" w:rsidRPr="00980D3E">
        <w:rPr>
          <w:rFonts w:asciiTheme="minorHAnsi" w:hAnsiTheme="minorHAnsi"/>
          <w:bCs/>
        </w:rPr>
        <w:t>re</w:t>
      </w:r>
      <w:r w:rsidR="00AB12B6" w:rsidRPr="00980D3E">
        <w:rPr>
          <w:rFonts w:asciiTheme="minorHAnsi" w:hAnsiTheme="minorHAnsi"/>
          <w:bCs/>
        </w:rPr>
        <w:t xml:space="preserve">submission presented an indirect comparison of </w:t>
      </w:r>
      <w:r w:rsidR="00AB12B6" w:rsidRPr="00980D3E">
        <w:rPr>
          <w:rFonts w:cs="Calibri"/>
        </w:rPr>
        <w:t>plitidepsin + Dxm and pomalidomide + Dxm</w:t>
      </w:r>
      <w:r w:rsidR="001D0160">
        <w:rPr>
          <w:rFonts w:cs="Calibri"/>
        </w:rPr>
        <w:t xml:space="preserve"> based on the results of th</w:t>
      </w:r>
      <w:r w:rsidR="0012680E" w:rsidRPr="00980D3E">
        <w:rPr>
          <w:rFonts w:cs="Calibri"/>
        </w:rPr>
        <w:t>e ADMYRE and NIMBUS trials</w:t>
      </w:r>
      <w:r w:rsidR="00AB12B6" w:rsidRPr="00980D3E">
        <w:rPr>
          <w:rFonts w:cs="Calibri"/>
        </w:rPr>
        <w:t xml:space="preserve">. The PBAC </w:t>
      </w:r>
      <w:r w:rsidR="0012680E" w:rsidRPr="00980D3E">
        <w:rPr>
          <w:rFonts w:cs="Calibri"/>
        </w:rPr>
        <w:t xml:space="preserve">again </w:t>
      </w:r>
      <w:r w:rsidR="00AB12B6" w:rsidRPr="00980D3E">
        <w:rPr>
          <w:rFonts w:cs="Calibri"/>
        </w:rPr>
        <w:t>considered the</w:t>
      </w:r>
      <w:r w:rsidR="00F42271" w:rsidRPr="00980D3E">
        <w:rPr>
          <w:rFonts w:cs="Calibri"/>
        </w:rPr>
        <w:t xml:space="preserve"> </w:t>
      </w:r>
      <w:r w:rsidR="00AB12B6" w:rsidRPr="00980D3E">
        <w:rPr>
          <w:rFonts w:cs="Calibri"/>
        </w:rPr>
        <w:t xml:space="preserve">claim </w:t>
      </w:r>
      <w:r w:rsidR="0012680E" w:rsidRPr="00980D3E">
        <w:rPr>
          <w:rFonts w:cs="Calibri"/>
        </w:rPr>
        <w:t>that plitidepsin + Dxm was non-inferior in terms of</w:t>
      </w:r>
      <w:r w:rsidR="00AB12B6" w:rsidRPr="00980D3E">
        <w:rPr>
          <w:rFonts w:cs="Calibri"/>
        </w:rPr>
        <w:t xml:space="preserve"> efficacy compared to pomalidomide + Dxm in the third-line setting was </w:t>
      </w:r>
      <w:r w:rsidR="008F0A12" w:rsidRPr="00980D3E">
        <w:rPr>
          <w:rFonts w:cs="Calibri"/>
        </w:rPr>
        <w:t>uncertain as</w:t>
      </w:r>
      <w:r w:rsidRPr="00980D3E">
        <w:rPr>
          <w:rFonts w:cs="Calibri"/>
        </w:rPr>
        <w:t>:</w:t>
      </w:r>
      <w:r w:rsidR="00AB12B6" w:rsidRPr="00980D3E">
        <w:rPr>
          <w:rFonts w:cs="Calibri"/>
        </w:rPr>
        <w:t xml:space="preserve"> </w:t>
      </w:r>
    </w:p>
    <w:p w:rsidR="00933149" w:rsidRPr="00980D3E" w:rsidRDefault="00AB12B6" w:rsidP="00EF2E97">
      <w:pPr>
        <w:pStyle w:val="ListParagraph"/>
        <w:widowControl w:val="0"/>
        <w:numPr>
          <w:ilvl w:val="0"/>
          <w:numId w:val="39"/>
        </w:numPr>
        <w:spacing w:before="120"/>
        <w:ind w:left="1077" w:hanging="357"/>
        <w:rPr>
          <w:bCs/>
        </w:rPr>
      </w:pPr>
      <w:r w:rsidRPr="00980D3E">
        <w:rPr>
          <w:rFonts w:cs="Calibri"/>
        </w:rPr>
        <w:t>a non-infe</w:t>
      </w:r>
      <w:r w:rsidR="008C3F5A" w:rsidRPr="00980D3E">
        <w:rPr>
          <w:rFonts w:cs="Calibri"/>
        </w:rPr>
        <w:t>riority margin was not proposed;</w:t>
      </w:r>
      <w:r w:rsidRPr="00980D3E">
        <w:rPr>
          <w:rFonts w:cs="Calibri"/>
        </w:rPr>
        <w:t xml:space="preserve"> </w:t>
      </w:r>
    </w:p>
    <w:p w:rsidR="00933149" w:rsidRPr="00980D3E" w:rsidRDefault="00AB12B6" w:rsidP="00EF2E97">
      <w:pPr>
        <w:pStyle w:val="ListParagraph"/>
        <w:widowControl w:val="0"/>
        <w:numPr>
          <w:ilvl w:val="0"/>
          <w:numId w:val="39"/>
        </w:numPr>
        <w:ind w:left="1077" w:hanging="357"/>
        <w:rPr>
          <w:bCs/>
        </w:rPr>
      </w:pPr>
      <w:r w:rsidRPr="00980D3E">
        <w:rPr>
          <w:rFonts w:cs="Calibri"/>
        </w:rPr>
        <w:t xml:space="preserve">the point estimates </w:t>
      </w:r>
      <w:r w:rsidR="008F0A12" w:rsidRPr="00980D3E">
        <w:rPr>
          <w:rFonts w:cs="Calibri"/>
        </w:rPr>
        <w:t>of the hazard ratios</w:t>
      </w:r>
      <w:r w:rsidRPr="00980D3E">
        <w:rPr>
          <w:rFonts w:cs="Calibri"/>
        </w:rPr>
        <w:t xml:space="preserve"> favoured pomalidomide</w:t>
      </w:r>
      <w:r w:rsidR="008C3F5A" w:rsidRPr="00980D3E">
        <w:rPr>
          <w:rFonts w:cs="Calibri"/>
        </w:rPr>
        <w:t xml:space="preserve"> + Dxm over plitidepsin + Dxm;</w:t>
      </w:r>
      <w:r w:rsidRPr="00980D3E">
        <w:rPr>
          <w:rFonts w:cs="Calibri"/>
        </w:rPr>
        <w:t xml:space="preserve"> </w:t>
      </w:r>
      <w:r w:rsidR="008F0A12" w:rsidRPr="00980D3E">
        <w:rPr>
          <w:rFonts w:cs="Calibri"/>
        </w:rPr>
        <w:t>and</w:t>
      </w:r>
    </w:p>
    <w:p w:rsidR="00933149" w:rsidRPr="00980D3E" w:rsidRDefault="00AB12B6" w:rsidP="00EF2E97">
      <w:pPr>
        <w:pStyle w:val="ListParagraph"/>
        <w:widowControl w:val="0"/>
        <w:numPr>
          <w:ilvl w:val="0"/>
          <w:numId w:val="39"/>
        </w:numPr>
        <w:ind w:left="1077" w:hanging="357"/>
        <w:rPr>
          <w:bCs/>
        </w:rPr>
      </w:pPr>
      <w:r w:rsidRPr="00980D3E">
        <w:rPr>
          <w:rFonts w:cs="Calibri"/>
        </w:rPr>
        <w:t>the 95% confidence intervals were wide</w:t>
      </w:r>
      <w:r w:rsidR="008C3F5A" w:rsidRPr="00980D3E">
        <w:rPr>
          <w:rFonts w:cs="Calibri"/>
        </w:rPr>
        <w:t>, with the upper limits exceeding 2.0 for PFS without PD confirmation, and 1.6 for OS</w:t>
      </w:r>
      <w:r w:rsidR="00933149" w:rsidRPr="00980D3E">
        <w:rPr>
          <w:rFonts w:cs="Calibri"/>
        </w:rPr>
        <w:t xml:space="preserve">. </w:t>
      </w:r>
    </w:p>
    <w:p w:rsidR="00933149" w:rsidRPr="00980D3E" w:rsidRDefault="006D4266" w:rsidP="00AB12B6">
      <w:pPr>
        <w:widowControl w:val="0"/>
        <w:numPr>
          <w:ilvl w:val="1"/>
          <w:numId w:val="1"/>
        </w:numPr>
        <w:spacing w:after="120"/>
        <w:ind w:left="720"/>
        <w:rPr>
          <w:rFonts w:asciiTheme="minorHAnsi" w:hAnsiTheme="minorHAnsi"/>
          <w:bCs/>
        </w:rPr>
      </w:pPr>
      <w:r w:rsidRPr="00980D3E">
        <w:rPr>
          <w:rFonts w:cs="Calibri"/>
        </w:rPr>
        <w:t xml:space="preserve">The PBAC again noted that the </w:t>
      </w:r>
      <w:r w:rsidR="00933149" w:rsidRPr="00980D3E">
        <w:rPr>
          <w:rFonts w:cs="Calibri"/>
        </w:rPr>
        <w:t xml:space="preserve">higher toxicity profile of HI-Dxm (NIMBUS trial) compared to Dxm (ADMYRE trial) </w:t>
      </w:r>
      <w:r w:rsidRPr="00980D3E">
        <w:rPr>
          <w:rFonts w:cs="Calibri"/>
        </w:rPr>
        <w:t xml:space="preserve">made it difficult to assess </w:t>
      </w:r>
      <w:r w:rsidR="00933149" w:rsidRPr="00980D3E">
        <w:rPr>
          <w:rFonts w:cs="Calibri"/>
        </w:rPr>
        <w:t>the comparability of the common comparator arms</w:t>
      </w:r>
      <w:r w:rsidR="00EF2E97" w:rsidRPr="00980D3E">
        <w:rPr>
          <w:rFonts w:cs="Calibri"/>
        </w:rPr>
        <w:t xml:space="preserve"> in the indirect comparison </w:t>
      </w:r>
      <w:r w:rsidRPr="00980D3E">
        <w:rPr>
          <w:rFonts w:cs="Calibri"/>
        </w:rPr>
        <w:t xml:space="preserve">in terms </w:t>
      </w:r>
      <w:r w:rsidR="00EF2E97" w:rsidRPr="00980D3E">
        <w:rPr>
          <w:rFonts w:cs="Calibri"/>
        </w:rPr>
        <w:t>of safety. The</w:t>
      </w:r>
      <w:r w:rsidR="00933149" w:rsidRPr="00980D3E">
        <w:rPr>
          <w:rFonts w:cs="Calibri"/>
        </w:rPr>
        <w:t xml:space="preserve"> PBAC </w:t>
      </w:r>
      <w:r w:rsidRPr="00980D3E">
        <w:rPr>
          <w:rFonts w:cs="Calibri"/>
        </w:rPr>
        <w:t>reiterated that the</w:t>
      </w:r>
      <w:r w:rsidR="00EF2E97" w:rsidRPr="00980D3E">
        <w:rPr>
          <w:rFonts w:cs="Calibri"/>
        </w:rPr>
        <w:t xml:space="preserve"> claim that plitidepsin + Dxm was </w:t>
      </w:r>
      <w:r w:rsidR="00933149" w:rsidRPr="00980D3E">
        <w:rPr>
          <w:rFonts w:cs="Calibri"/>
        </w:rPr>
        <w:t xml:space="preserve">non-inferior </w:t>
      </w:r>
      <w:r w:rsidR="00EF2E97" w:rsidRPr="00980D3E">
        <w:rPr>
          <w:rFonts w:cs="Calibri"/>
        </w:rPr>
        <w:t xml:space="preserve">in terms of </w:t>
      </w:r>
      <w:r w:rsidR="00933149" w:rsidRPr="00980D3E">
        <w:rPr>
          <w:rFonts w:cs="Calibri"/>
        </w:rPr>
        <w:t xml:space="preserve">safety </w:t>
      </w:r>
      <w:r w:rsidR="00EF2E97" w:rsidRPr="00980D3E">
        <w:rPr>
          <w:rFonts w:cs="Calibri"/>
        </w:rPr>
        <w:t xml:space="preserve">compared to pomalidomide + Dxm </w:t>
      </w:r>
      <w:r w:rsidR="00933149" w:rsidRPr="00980D3E">
        <w:rPr>
          <w:rFonts w:cs="Calibri"/>
        </w:rPr>
        <w:t>could not be adequately assessed</w:t>
      </w:r>
      <w:r w:rsidR="00836249" w:rsidRPr="00980D3E">
        <w:rPr>
          <w:rFonts w:cs="Calibri"/>
        </w:rPr>
        <w:t>.</w:t>
      </w:r>
    </w:p>
    <w:p w:rsidR="000611B2" w:rsidRPr="00980D3E" w:rsidRDefault="00EB20BF" w:rsidP="000611B2">
      <w:pPr>
        <w:widowControl w:val="0"/>
        <w:numPr>
          <w:ilvl w:val="1"/>
          <w:numId w:val="1"/>
        </w:numPr>
        <w:spacing w:after="120"/>
        <w:ind w:left="720"/>
        <w:rPr>
          <w:rFonts w:asciiTheme="minorHAnsi" w:hAnsiTheme="minorHAnsi"/>
          <w:bCs/>
        </w:rPr>
      </w:pPr>
      <w:r w:rsidRPr="00980D3E">
        <w:t>T</w:t>
      </w:r>
      <w:r w:rsidR="004F53D6" w:rsidRPr="00980D3E">
        <w:t xml:space="preserve">he PBAC </w:t>
      </w:r>
      <w:r w:rsidR="005116D2" w:rsidRPr="00980D3E">
        <w:t xml:space="preserve">noted that the resubmission presented a revised CMA, which </w:t>
      </w:r>
      <w:r w:rsidR="00340A62" w:rsidRPr="00980D3E">
        <w:t xml:space="preserve">appropriately </w:t>
      </w:r>
      <w:r w:rsidR="005116D2" w:rsidRPr="00980D3E">
        <w:t xml:space="preserve">included updated </w:t>
      </w:r>
      <w:r w:rsidR="00DB7709" w:rsidRPr="00980D3E">
        <w:t>AE</w:t>
      </w:r>
      <w:r w:rsidR="005116D2" w:rsidRPr="00980D3E">
        <w:t xml:space="preserve"> costs</w:t>
      </w:r>
      <w:r w:rsidR="00340A62" w:rsidRPr="00980D3E">
        <w:t>, that</w:t>
      </w:r>
      <w:r w:rsidR="005116D2" w:rsidRPr="00980D3E">
        <w:t xml:space="preserve"> w</w:t>
      </w:r>
      <w:r w:rsidR="00DB7709" w:rsidRPr="00980D3E">
        <w:t>ere</w:t>
      </w:r>
      <w:r w:rsidR="005116D2" w:rsidRPr="00980D3E">
        <w:t xml:space="preserve"> based on the indirect comparison of plitidepsin + Dxm and pomalidomide + Dxm in the third-line setting. </w:t>
      </w:r>
      <w:r w:rsidR="003B30DB" w:rsidRPr="00980D3E">
        <w:t xml:space="preserve">The PBAC noted that </w:t>
      </w:r>
      <w:r w:rsidR="00770EEA" w:rsidRPr="00980D3E">
        <w:t xml:space="preserve">uncertainty remained relating to the dose of plitidepsin used in the CMA. </w:t>
      </w:r>
      <w:r w:rsidR="005116D2" w:rsidRPr="00980D3E">
        <w:t xml:space="preserve">As the claim </w:t>
      </w:r>
      <w:r w:rsidR="005116D2" w:rsidRPr="00980D3E">
        <w:lastRenderedPageBreak/>
        <w:t xml:space="preserve">of non-inferior safety was highly uncertain and the claim of non-inferior safety could not be assessed, the PBAC considered that the basis of the CMA was not adequately supported. </w:t>
      </w:r>
    </w:p>
    <w:p w:rsidR="000B1F3F" w:rsidRPr="00980D3E" w:rsidRDefault="000B1F3F" w:rsidP="000611B2">
      <w:pPr>
        <w:widowControl w:val="0"/>
        <w:numPr>
          <w:ilvl w:val="1"/>
          <w:numId w:val="1"/>
        </w:numPr>
        <w:spacing w:after="120"/>
        <w:ind w:left="720"/>
        <w:rPr>
          <w:rFonts w:asciiTheme="minorHAnsi" w:hAnsiTheme="minorHAnsi"/>
          <w:bCs/>
        </w:rPr>
      </w:pPr>
      <w:r w:rsidRPr="00980D3E">
        <w:rPr>
          <w:rFonts w:asciiTheme="minorHAnsi" w:hAnsiTheme="minorHAnsi"/>
          <w:bCs/>
        </w:rPr>
        <w:t>The PBAC noted the submission did not nominate an effective price for plitidepsin</w:t>
      </w:r>
      <w:r w:rsidR="005116D2" w:rsidRPr="00980D3E">
        <w:rPr>
          <w:rFonts w:asciiTheme="minorHAnsi" w:hAnsiTheme="minorHAnsi"/>
          <w:bCs/>
        </w:rPr>
        <w:t xml:space="preserve">, </w:t>
      </w:r>
      <w:r w:rsidRPr="00980D3E">
        <w:rPr>
          <w:rFonts w:asciiTheme="minorHAnsi" w:hAnsiTheme="minorHAnsi"/>
          <w:bCs/>
        </w:rPr>
        <w:t>instead rel</w:t>
      </w:r>
      <w:r w:rsidR="005116D2" w:rsidRPr="00980D3E">
        <w:rPr>
          <w:rFonts w:asciiTheme="minorHAnsi" w:hAnsiTheme="minorHAnsi"/>
          <w:bCs/>
        </w:rPr>
        <w:t>ying</w:t>
      </w:r>
      <w:r w:rsidRPr="00980D3E">
        <w:rPr>
          <w:rFonts w:asciiTheme="minorHAnsi" w:hAnsiTheme="minorHAnsi"/>
          <w:bCs/>
        </w:rPr>
        <w:t xml:space="preserve"> on the price </w:t>
      </w:r>
      <w:r w:rsidR="005116D2" w:rsidRPr="00980D3E">
        <w:rPr>
          <w:rFonts w:asciiTheme="minorHAnsi" w:hAnsiTheme="minorHAnsi"/>
          <w:bCs/>
        </w:rPr>
        <w:t xml:space="preserve">determined in the </w:t>
      </w:r>
      <w:r w:rsidRPr="00980D3E">
        <w:rPr>
          <w:rFonts w:asciiTheme="minorHAnsi" w:hAnsiTheme="minorHAnsi"/>
          <w:bCs/>
        </w:rPr>
        <w:t>CMA.</w:t>
      </w:r>
    </w:p>
    <w:p w:rsidR="000611B2" w:rsidRPr="00980D3E" w:rsidRDefault="00E6492A" w:rsidP="000611B2">
      <w:pPr>
        <w:widowControl w:val="0"/>
        <w:numPr>
          <w:ilvl w:val="1"/>
          <w:numId w:val="1"/>
        </w:numPr>
        <w:spacing w:after="120"/>
        <w:ind w:left="720"/>
        <w:rPr>
          <w:rFonts w:asciiTheme="minorHAnsi" w:hAnsiTheme="minorHAnsi"/>
          <w:bCs/>
        </w:rPr>
      </w:pPr>
      <w:r w:rsidRPr="00980D3E">
        <w:t xml:space="preserve">The resubmission presented a revised </w:t>
      </w:r>
      <w:r w:rsidR="00EE62EF" w:rsidRPr="00980D3E">
        <w:t>cost-utility analysis (</w:t>
      </w:r>
      <w:r w:rsidR="000611B2" w:rsidRPr="00980D3E">
        <w:t>CUA</w:t>
      </w:r>
      <w:r w:rsidR="00EE62EF" w:rsidRPr="00980D3E">
        <w:t>)</w:t>
      </w:r>
      <w:r w:rsidR="000611B2" w:rsidRPr="00980D3E">
        <w:t xml:space="preserve"> </w:t>
      </w:r>
      <w:r w:rsidRPr="00980D3E">
        <w:t xml:space="preserve">comparing plitidepsin + Dxm with Dxm monotherapy </w:t>
      </w:r>
      <w:r w:rsidR="000611B2" w:rsidRPr="00980D3E">
        <w:t>in the fourth-line setting</w:t>
      </w:r>
      <w:r w:rsidRPr="00980D3E">
        <w:t xml:space="preserve">. The PBAC noted that </w:t>
      </w:r>
      <w:r w:rsidR="00340A62" w:rsidRPr="00980D3E">
        <w:t xml:space="preserve">the resubmission appropriately reduced the time horizon from seven to five years; however, noted that there were errors in the extrapolation of PFS, </w:t>
      </w:r>
      <w:r w:rsidR="00EE62EF" w:rsidRPr="00980D3E">
        <w:t>time to treatment failure (</w:t>
      </w:r>
      <w:r w:rsidR="00340A62" w:rsidRPr="00980D3E">
        <w:t>TTF</w:t>
      </w:r>
      <w:r w:rsidR="00EE62EF" w:rsidRPr="00980D3E">
        <w:t>)</w:t>
      </w:r>
      <w:r w:rsidR="00340A62" w:rsidRPr="00980D3E">
        <w:t xml:space="preserve"> and OS and the utility values applied</w:t>
      </w:r>
      <w:r w:rsidR="00B04AF4" w:rsidRPr="00980D3E">
        <w:t>,</w:t>
      </w:r>
      <w:r w:rsidR="003B30DB" w:rsidRPr="00980D3E">
        <w:t xml:space="preserve"> and that TTF remained unable to be verified. </w:t>
      </w:r>
    </w:p>
    <w:p w:rsidR="000611B2" w:rsidRPr="00980D3E" w:rsidRDefault="000611B2" w:rsidP="000611B2">
      <w:pPr>
        <w:widowControl w:val="0"/>
        <w:numPr>
          <w:ilvl w:val="1"/>
          <w:numId w:val="1"/>
        </w:numPr>
        <w:spacing w:after="120"/>
        <w:ind w:left="720"/>
        <w:rPr>
          <w:rFonts w:asciiTheme="minorHAnsi" w:hAnsiTheme="minorHAnsi"/>
          <w:bCs/>
        </w:rPr>
      </w:pPr>
      <w:r w:rsidRPr="00980D3E">
        <w:t>The PBAC considered that the base case ICER of $</w:t>
      </w:r>
      <w:r w:rsidR="0029550C">
        <w:t>45,000 – $75,000</w:t>
      </w:r>
      <w:r w:rsidR="0033152C" w:rsidRPr="00980D3E">
        <w:t xml:space="preserve"> per </w:t>
      </w:r>
      <w:r w:rsidR="00EE62EF" w:rsidRPr="00980D3E">
        <w:t>quality adjusted life year (</w:t>
      </w:r>
      <w:r w:rsidR="0033152C" w:rsidRPr="00980D3E">
        <w:t>QALY</w:t>
      </w:r>
      <w:r w:rsidR="00EE62EF" w:rsidRPr="00980D3E">
        <w:t>),</w:t>
      </w:r>
      <w:r w:rsidRPr="00980D3E">
        <w:t xml:space="preserve"> </w:t>
      </w:r>
      <w:r w:rsidR="003B30DB" w:rsidRPr="00980D3E">
        <w:t xml:space="preserve">using the </w:t>
      </w:r>
      <w:r w:rsidR="00AF3A13" w:rsidRPr="00980D3E">
        <w:t>published price</w:t>
      </w:r>
      <w:r w:rsidR="003B30DB" w:rsidRPr="00980D3E">
        <w:t xml:space="preserve"> and corrected for the extrapolation errors</w:t>
      </w:r>
      <w:r w:rsidR="00AF3A13" w:rsidRPr="00980D3E">
        <w:t xml:space="preserve">, </w:t>
      </w:r>
      <w:r w:rsidRPr="00980D3E">
        <w:t>was underestimated as:</w:t>
      </w:r>
    </w:p>
    <w:p w:rsidR="000611B2" w:rsidRPr="00980D3E" w:rsidRDefault="000611B2" w:rsidP="003B30DB">
      <w:pPr>
        <w:pStyle w:val="ListParagraph"/>
        <w:widowControl w:val="0"/>
        <w:numPr>
          <w:ilvl w:val="0"/>
          <w:numId w:val="40"/>
        </w:numPr>
        <w:ind w:left="1077" w:hanging="357"/>
      </w:pPr>
      <w:r w:rsidRPr="00980D3E">
        <w:t xml:space="preserve">PFS with PD confirmation overestimated PFS for plitidepsin compared to </w:t>
      </w:r>
      <w:r w:rsidR="003B30DB" w:rsidRPr="00980D3E">
        <w:t>the ADMYRE</w:t>
      </w:r>
      <w:r w:rsidRPr="00980D3E">
        <w:t xml:space="preserve"> trial’s primary outcome</w:t>
      </w:r>
      <w:r w:rsidR="003B30DB" w:rsidRPr="00980D3E">
        <w:t>, PFS</w:t>
      </w:r>
      <w:r w:rsidRPr="00980D3E">
        <w:t xml:space="preserve"> without PD confirmation;</w:t>
      </w:r>
    </w:p>
    <w:p w:rsidR="00E66770" w:rsidRPr="00980D3E" w:rsidRDefault="00E66770" w:rsidP="003B30DB">
      <w:pPr>
        <w:pStyle w:val="ListBullet"/>
        <w:numPr>
          <w:ilvl w:val="0"/>
          <w:numId w:val="40"/>
        </w:numPr>
        <w:spacing w:after="120"/>
        <w:ind w:left="1077" w:hanging="357"/>
        <w:contextualSpacing w:val="0"/>
      </w:pPr>
      <w:r w:rsidRPr="00980D3E">
        <w:t>the post-progression treatment costs were substantially higher in the Dxm arm (</w:t>
      </w:r>
      <w:r w:rsidR="00902658">
        <w:t>less than $10 million</w:t>
      </w:r>
      <w:r w:rsidRPr="00902658">
        <w:t xml:space="preserve"> for plitidepsin versus </w:t>
      </w:r>
      <w:r w:rsidR="00902658">
        <w:t>less than $10 million</w:t>
      </w:r>
      <w:r w:rsidRPr="00980D3E">
        <w:t xml:space="preserve"> for Dxm) and applied to all patients who progressed; and</w:t>
      </w:r>
    </w:p>
    <w:p w:rsidR="000611B2" w:rsidRPr="00980D3E" w:rsidRDefault="000611B2" w:rsidP="003B30DB">
      <w:pPr>
        <w:pStyle w:val="ListBullet"/>
        <w:numPr>
          <w:ilvl w:val="0"/>
          <w:numId w:val="40"/>
        </w:numPr>
        <w:spacing w:after="120"/>
        <w:ind w:left="1077" w:hanging="357"/>
        <w:contextualSpacing w:val="0"/>
      </w:pPr>
      <w:r w:rsidRPr="00980D3E">
        <w:t>the resubmission mistakenly applied utility values sourced from the carfilzomib PSD (July 2017), which were for second-line therapy.</w:t>
      </w:r>
    </w:p>
    <w:p w:rsidR="006260FA" w:rsidRPr="00980D3E" w:rsidRDefault="006260FA" w:rsidP="00B121D1">
      <w:pPr>
        <w:widowControl w:val="0"/>
        <w:numPr>
          <w:ilvl w:val="1"/>
          <w:numId w:val="1"/>
        </w:numPr>
        <w:spacing w:after="120"/>
        <w:ind w:left="720"/>
        <w:rPr>
          <w:rFonts w:asciiTheme="minorHAnsi" w:hAnsiTheme="minorHAnsi"/>
          <w:bCs/>
        </w:rPr>
      </w:pPr>
      <w:r w:rsidRPr="00980D3E">
        <w:rPr>
          <w:rFonts w:asciiTheme="minorHAnsi" w:hAnsiTheme="minorHAnsi"/>
          <w:bCs/>
        </w:rPr>
        <w:t>The PBAC also considered that the ICER was uncertain as the model applied OS data adjusted for crossover effects.</w:t>
      </w:r>
    </w:p>
    <w:p w:rsidR="000611B2" w:rsidRPr="00980D3E" w:rsidRDefault="000611B2" w:rsidP="00B121D1">
      <w:pPr>
        <w:widowControl w:val="0"/>
        <w:numPr>
          <w:ilvl w:val="1"/>
          <w:numId w:val="1"/>
        </w:numPr>
        <w:spacing w:after="120"/>
        <w:ind w:left="720"/>
        <w:rPr>
          <w:rFonts w:asciiTheme="minorHAnsi" w:hAnsiTheme="minorHAnsi"/>
          <w:bCs/>
        </w:rPr>
      </w:pPr>
      <w:r w:rsidRPr="00980D3E">
        <w:t xml:space="preserve">The </w:t>
      </w:r>
      <w:r w:rsidR="00AF3A13" w:rsidRPr="00980D3E">
        <w:t>PBAC</w:t>
      </w:r>
      <w:r w:rsidRPr="00980D3E">
        <w:t xml:space="preserve"> considered that</w:t>
      </w:r>
      <w:r w:rsidR="00731B78">
        <w:t xml:space="preserve"> the clinical uncertainties were magnified in the economic evaluation an</w:t>
      </w:r>
      <w:r w:rsidR="001D0160">
        <w:t>d</w:t>
      </w:r>
      <w:r w:rsidR="00731B78">
        <w:t>, as suc</w:t>
      </w:r>
      <w:r w:rsidR="001D0160">
        <w:t>h, a substantially more conserv</w:t>
      </w:r>
      <w:r w:rsidR="00731B78">
        <w:t>ative economic evaluation with respect to both the incremental efficacy and implication of the additional toxicity would be appropriate.</w:t>
      </w:r>
      <w:r w:rsidRPr="00980D3E">
        <w:t xml:space="preserve"> </w:t>
      </w:r>
      <w:r w:rsidR="0033152C" w:rsidRPr="00980D3E">
        <w:t>The PBAC reiterated that an appropriate ICER would be less than $40,000 per QALY to account for the substantial toxicity and minor additional benefit of plitidepsin.</w:t>
      </w:r>
    </w:p>
    <w:p w:rsidR="00AB12B6" w:rsidRPr="00980D3E" w:rsidRDefault="000611B2" w:rsidP="00EA1CDC">
      <w:pPr>
        <w:widowControl w:val="0"/>
        <w:numPr>
          <w:ilvl w:val="1"/>
          <w:numId w:val="1"/>
        </w:numPr>
        <w:spacing w:after="120"/>
        <w:ind w:left="720"/>
        <w:rPr>
          <w:rFonts w:asciiTheme="minorHAnsi" w:hAnsiTheme="minorHAnsi"/>
          <w:bCs/>
        </w:rPr>
      </w:pPr>
      <w:r w:rsidRPr="00980D3E">
        <w:t xml:space="preserve">The </w:t>
      </w:r>
      <w:r w:rsidR="00EA1CDC" w:rsidRPr="00980D3E">
        <w:t>PBAC</w:t>
      </w:r>
      <w:r w:rsidRPr="00980D3E">
        <w:t xml:space="preserve"> noted that as the majority of the issues with the usage and financial implication estimates identified in July 2019 were not addressed in the resubmission, the results remained overestimated.</w:t>
      </w:r>
      <w:r w:rsidR="00EA1CDC" w:rsidRPr="00980D3E">
        <w:t xml:space="preserve"> The </w:t>
      </w:r>
      <w:r w:rsidR="0033152C" w:rsidRPr="00980D3E">
        <w:t xml:space="preserve">identified </w:t>
      </w:r>
      <w:r w:rsidR="00EA1CDC" w:rsidRPr="00980D3E">
        <w:t xml:space="preserve">issues included plitidepsin uptake </w:t>
      </w:r>
      <w:r w:rsidR="0033152C" w:rsidRPr="00980D3E">
        <w:t xml:space="preserve">rates, </w:t>
      </w:r>
      <w:r w:rsidR="00EA1CDC" w:rsidRPr="00980D3E">
        <w:t xml:space="preserve">market growth, </w:t>
      </w:r>
      <w:r w:rsidR="0033152C" w:rsidRPr="00980D3E">
        <w:t xml:space="preserve">the </w:t>
      </w:r>
      <w:r w:rsidR="00EA1CDC" w:rsidRPr="00980D3E">
        <w:t xml:space="preserve">eligible third-line patient population, </w:t>
      </w:r>
      <w:r w:rsidR="0033152C" w:rsidRPr="00980D3E">
        <w:t xml:space="preserve">and the </w:t>
      </w:r>
      <w:r w:rsidR="00EA1CDC" w:rsidRPr="00980D3E">
        <w:t>eligible overall patient population.</w:t>
      </w:r>
    </w:p>
    <w:p w:rsidR="0035240F" w:rsidRPr="00980D3E" w:rsidRDefault="0035240F" w:rsidP="00EA1CDC">
      <w:pPr>
        <w:widowControl w:val="0"/>
        <w:numPr>
          <w:ilvl w:val="1"/>
          <w:numId w:val="1"/>
        </w:numPr>
        <w:spacing w:after="120"/>
        <w:ind w:left="720"/>
        <w:rPr>
          <w:rFonts w:asciiTheme="minorHAnsi" w:hAnsiTheme="minorHAnsi"/>
          <w:bCs/>
        </w:rPr>
      </w:pPr>
      <w:r w:rsidRPr="00980D3E">
        <w:t>The PBAC noted that the restriction changes suggested in July 2019 were not addressed in the resubmission. The PBAC considered that the restriction level for initial treatment with plitidepsin should be Authority Required (written).</w:t>
      </w:r>
    </w:p>
    <w:p w:rsidR="00AB12B6" w:rsidRPr="00980D3E" w:rsidRDefault="00AB12B6" w:rsidP="00AB12B6">
      <w:pPr>
        <w:widowControl w:val="0"/>
        <w:numPr>
          <w:ilvl w:val="1"/>
          <w:numId w:val="1"/>
        </w:numPr>
        <w:spacing w:after="120"/>
        <w:ind w:left="720"/>
        <w:rPr>
          <w:rFonts w:asciiTheme="minorHAnsi" w:hAnsiTheme="minorHAnsi"/>
          <w:bCs/>
        </w:rPr>
      </w:pPr>
      <w:r w:rsidRPr="00980D3E">
        <w:rPr>
          <w:rFonts w:asciiTheme="minorHAnsi" w:hAnsiTheme="minorHAnsi"/>
          <w:bCs/>
        </w:rPr>
        <w:t>The PBAC noted that this submission is eligible for an Independent Review.</w:t>
      </w:r>
    </w:p>
    <w:p w:rsidR="00AB12B6" w:rsidRPr="00980D3E" w:rsidRDefault="00AB12B6" w:rsidP="00AB12B6">
      <w:pPr>
        <w:spacing w:before="240"/>
        <w:rPr>
          <w:rFonts w:asciiTheme="minorHAnsi" w:hAnsiTheme="minorHAnsi"/>
          <w:b/>
          <w:bCs/>
        </w:rPr>
      </w:pPr>
      <w:r w:rsidRPr="00980D3E">
        <w:rPr>
          <w:rFonts w:asciiTheme="minorHAnsi" w:hAnsiTheme="minorHAnsi"/>
          <w:b/>
          <w:bCs/>
        </w:rPr>
        <w:lastRenderedPageBreak/>
        <w:t>Outcome:</w:t>
      </w:r>
    </w:p>
    <w:p w:rsidR="00DA520A" w:rsidRDefault="00AB12B6" w:rsidP="008E534F">
      <w:pPr>
        <w:rPr>
          <w:rFonts w:asciiTheme="minorHAnsi" w:hAnsiTheme="minorHAnsi"/>
          <w:bCs/>
        </w:rPr>
      </w:pPr>
      <w:r w:rsidRPr="00980D3E">
        <w:rPr>
          <w:rFonts w:asciiTheme="minorHAnsi" w:hAnsiTheme="minorHAnsi"/>
          <w:bCs/>
        </w:rPr>
        <w:t>Rejected</w:t>
      </w:r>
    </w:p>
    <w:p w:rsidR="00DB418E" w:rsidRDefault="00DB418E" w:rsidP="008E534F">
      <w:pPr>
        <w:rPr>
          <w:rFonts w:asciiTheme="minorHAnsi" w:hAnsiTheme="minorHAnsi"/>
          <w:bCs/>
        </w:rPr>
      </w:pPr>
    </w:p>
    <w:p w:rsidR="00DB418E" w:rsidRDefault="00DB418E" w:rsidP="008E534F">
      <w:pPr>
        <w:rPr>
          <w:rFonts w:asciiTheme="minorHAnsi" w:hAnsiTheme="minorHAnsi"/>
          <w:bCs/>
        </w:rPr>
      </w:pPr>
    </w:p>
    <w:p w:rsidR="00DB418E" w:rsidRPr="00920A65" w:rsidRDefault="00DB418E" w:rsidP="00DB418E">
      <w:pPr>
        <w:pStyle w:val="PBACHeading1"/>
        <w:numPr>
          <w:ilvl w:val="0"/>
          <w:numId w:val="1"/>
        </w:numPr>
        <w:spacing w:before="240" w:after="120"/>
        <w:ind w:left="709" w:hanging="709"/>
        <w:jc w:val="both"/>
        <w:rPr>
          <w:rFonts w:asciiTheme="minorHAnsi" w:hAnsiTheme="minorHAnsi"/>
          <w:szCs w:val="32"/>
        </w:rPr>
      </w:pPr>
      <w:r w:rsidRPr="00920A65">
        <w:rPr>
          <w:rFonts w:asciiTheme="minorHAnsi" w:hAnsiTheme="minorHAnsi"/>
          <w:szCs w:val="32"/>
        </w:rPr>
        <w:t>Context for Decision</w:t>
      </w:r>
    </w:p>
    <w:p w:rsidR="00DB418E" w:rsidRPr="007129F2" w:rsidRDefault="00DB418E" w:rsidP="00DB418E">
      <w:pPr>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DB418E" w:rsidRDefault="00DB418E" w:rsidP="00DB418E">
      <w:pPr>
        <w:rPr>
          <w:rFonts w:cs="Calibri"/>
        </w:rPr>
      </w:pPr>
    </w:p>
    <w:p w:rsidR="00DB418E" w:rsidRPr="00920A65" w:rsidRDefault="00DB418E" w:rsidP="00DB418E">
      <w:pPr>
        <w:pStyle w:val="PBACHeading1"/>
        <w:numPr>
          <w:ilvl w:val="0"/>
          <w:numId w:val="1"/>
        </w:numPr>
        <w:spacing w:before="240" w:after="120"/>
        <w:ind w:left="709" w:hanging="709"/>
        <w:jc w:val="both"/>
        <w:rPr>
          <w:rFonts w:asciiTheme="minorHAnsi" w:hAnsiTheme="minorHAnsi"/>
          <w:szCs w:val="32"/>
        </w:rPr>
      </w:pPr>
      <w:r w:rsidRPr="00920A65">
        <w:rPr>
          <w:rFonts w:asciiTheme="minorHAnsi" w:hAnsiTheme="minorHAnsi"/>
          <w:szCs w:val="32"/>
        </w:rPr>
        <w:t>Sponsor’s Comment</w:t>
      </w:r>
    </w:p>
    <w:p w:rsidR="00DB418E" w:rsidRPr="001179AC" w:rsidRDefault="00DB418E" w:rsidP="00DB418E">
      <w:pPr>
        <w:spacing w:after="120"/>
        <w:rPr>
          <w:rFonts w:asciiTheme="minorHAnsi" w:hAnsiTheme="minorHAnsi"/>
          <w:bCs/>
        </w:rPr>
      </w:pPr>
      <w:r w:rsidRPr="00C07617">
        <w:rPr>
          <w:rFonts w:asciiTheme="minorHAnsi" w:hAnsiTheme="minorHAnsi"/>
          <w:bCs/>
        </w:rPr>
        <w:t>The sponsor had no comment.</w:t>
      </w:r>
    </w:p>
    <w:p w:rsidR="00DB418E" w:rsidRPr="008E534F" w:rsidRDefault="00DB418E" w:rsidP="008E534F">
      <w:pPr>
        <w:rPr>
          <w:rFonts w:asciiTheme="minorHAnsi" w:hAnsiTheme="minorHAnsi"/>
          <w:bCs/>
        </w:rPr>
      </w:pPr>
    </w:p>
    <w:sectPr w:rsidR="00DB418E" w:rsidRPr="008E534F" w:rsidSect="00F674EF">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F5933" w16cex:dateUtc="2020-04-13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C47EAB" w16cid:durableId="223F5933"/>
  <w16cid:commentId w16cid:paraId="767B1119" w16cid:durableId="223AD723"/>
  <w16cid:commentId w16cid:paraId="14B3B70D" w16cid:durableId="223AE2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ED5" w:rsidRDefault="00A26ED5" w:rsidP="00124A51">
      <w:r>
        <w:separator/>
      </w:r>
    </w:p>
    <w:p w:rsidR="00A26ED5" w:rsidRDefault="00A26ED5"/>
  </w:endnote>
  <w:endnote w:type="continuationSeparator" w:id="0">
    <w:p w:rsidR="00A26ED5" w:rsidRDefault="00A26ED5" w:rsidP="00124A51">
      <w:r>
        <w:continuationSeparator/>
      </w:r>
    </w:p>
    <w:p w:rsidR="00A26ED5" w:rsidRDefault="00A26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MS Reference Sans Serif"/>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5" w:rsidRDefault="00A26E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5" w:rsidRDefault="00A26ED5">
    <w:pPr>
      <w:pStyle w:val="Footer"/>
      <w:jc w:val="center"/>
    </w:pPr>
  </w:p>
  <w:p w:rsidR="00A26ED5" w:rsidRPr="00D0066D" w:rsidRDefault="00A26ED5" w:rsidP="00D0066D">
    <w:pPr>
      <w:pStyle w:val="Footer"/>
      <w:jc w:val="center"/>
    </w:pPr>
    <w:sdt>
      <w:sdtPr>
        <w:id w:val="1799881319"/>
        <w:docPartObj>
          <w:docPartGallery w:val="Page Numbers (Bottom of Page)"/>
          <w:docPartUnique/>
        </w:docPartObj>
      </w:sdtPr>
      <w:sdtEndPr>
        <w:rPr>
          <w:noProof/>
        </w:rPr>
      </w:sdtEndPr>
      <w:sdtContent>
        <w:r w:rsidRPr="00FF12D6">
          <w:rPr>
            <w:b/>
          </w:rPr>
          <w:fldChar w:fldCharType="begin"/>
        </w:r>
        <w:r w:rsidRPr="00FF12D6">
          <w:rPr>
            <w:b/>
          </w:rPr>
          <w:instrText xml:space="preserve"> PAGE   \* MERGEFORMAT </w:instrText>
        </w:r>
        <w:r w:rsidRPr="00FF12D6">
          <w:rPr>
            <w:b/>
          </w:rPr>
          <w:fldChar w:fldCharType="separate"/>
        </w:r>
        <w:r w:rsidR="003525AE">
          <w:rPr>
            <w:b/>
            <w:noProof/>
          </w:rPr>
          <w:t>39</w:t>
        </w:r>
        <w:r w:rsidRPr="00FF12D6">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5" w:rsidRDefault="00A26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ED5" w:rsidRDefault="00A26ED5" w:rsidP="00124A51">
      <w:r>
        <w:separator/>
      </w:r>
    </w:p>
    <w:p w:rsidR="00A26ED5" w:rsidRDefault="00A26ED5"/>
  </w:footnote>
  <w:footnote w:type="continuationSeparator" w:id="0">
    <w:p w:rsidR="00A26ED5" w:rsidRDefault="00A26ED5" w:rsidP="00124A51">
      <w:r>
        <w:continuationSeparator/>
      </w:r>
    </w:p>
    <w:p w:rsidR="00A26ED5" w:rsidRDefault="00A26ED5"/>
  </w:footnote>
  <w:footnote w:id="1">
    <w:p w:rsidR="00A26ED5" w:rsidRDefault="00A26ED5">
      <w:pPr>
        <w:pStyle w:val="FootnoteText"/>
      </w:pPr>
      <w:r>
        <w:rPr>
          <w:rStyle w:val="FootnoteReference"/>
        </w:rPr>
        <w:footnoteRef/>
      </w:r>
      <w:r>
        <w:t xml:space="preserve"> </w:t>
      </w:r>
      <w:hyperlink r:id="rId1" w:tooltip="The Sponsor requested a re-examination of the initial opinion, and after re-examination the Committee for Medicinal Products for Human Use (CHMP) confirmed the refusal of the marketing authorisation in March 2018." w:history="1">
        <w:r>
          <w:rPr>
            <w:rStyle w:val="Hyperlink"/>
          </w:rPr>
          <w:t>https://www.ema.europa.eu/en/medicines/human/EPAR/aplidin</w:t>
        </w:r>
      </w:hyperlink>
    </w:p>
  </w:footnote>
  <w:footnote w:id="2">
    <w:p w:rsidR="00A26ED5" w:rsidRDefault="00A26ED5">
      <w:pPr>
        <w:pStyle w:val="FootnoteText"/>
      </w:pPr>
      <w:r>
        <w:rPr>
          <w:rStyle w:val="FootnoteReference"/>
        </w:rPr>
        <w:footnoteRef/>
      </w:r>
      <w:r>
        <w:t xml:space="preserve"> Zhao J et al 2019. Real-world treatment patterns in relapsed/refractory multiple myeloma in Australia: results from the Myeloma and Related Diseases Registry. Abstract accepted for oral presentation at Blood 2019 on 21/10/2019, Perth Convention &amp; Exhibition Centre, 20 - 23 October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5" w:rsidRDefault="00A26E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5" w:rsidRPr="00DB418E" w:rsidRDefault="00A26ED5" w:rsidP="00DB418E">
    <w:pPr>
      <w:pStyle w:val="Header"/>
      <w:ind w:left="360"/>
      <w:rPr>
        <w:rFonts w:asciiTheme="minorHAnsi" w:hAnsiTheme="minorHAnsi"/>
        <w:i/>
      </w:rPr>
    </w:pPr>
    <w:r>
      <w:rPr>
        <w:rFonts w:asciiTheme="minorHAnsi" w:hAnsiTheme="minorHAnsi"/>
        <w:i/>
      </w:rPr>
      <w:t xml:space="preserve">Public Summary Document </w:t>
    </w:r>
    <w:r w:rsidRPr="00E773B1">
      <w:rPr>
        <w:rFonts w:asciiTheme="minorHAnsi" w:hAnsiTheme="minorHAnsi"/>
        <w:i/>
      </w:rPr>
      <w:t xml:space="preserve">– </w:t>
    </w:r>
    <w:r>
      <w:rPr>
        <w:rFonts w:asciiTheme="minorHAnsi" w:hAnsiTheme="minorHAnsi"/>
        <w:i/>
      </w:rPr>
      <w:t>March 2020</w:t>
    </w:r>
    <w:r w:rsidRPr="00E773B1">
      <w:rPr>
        <w:rFonts w:asciiTheme="minorHAnsi" w:hAnsiTheme="minorHAnsi"/>
        <w:i/>
      </w:rPr>
      <w:t xml:space="preserve"> PBAC Meeting</w:t>
    </w:r>
  </w:p>
  <w:p w:rsidR="00A26ED5" w:rsidRDefault="00A26ED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ED5" w:rsidRDefault="00A26E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923EF6"/>
    <w:multiLevelType w:val="hybridMultilevel"/>
    <w:tmpl w:val="41D2A7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761D8"/>
    <w:multiLevelType w:val="hybridMultilevel"/>
    <w:tmpl w:val="B562E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165516"/>
    <w:multiLevelType w:val="hybridMultilevel"/>
    <w:tmpl w:val="0F9AE2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50F1A00"/>
    <w:multiLevelType w:val="hybridMultilevel"/>
    <w:tmpl w:val="4FFE55B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161EDDBC">
      <w:numFmt w:val="bullet"/>
      <w:lvlText w:val="•"/>
      <w:lvlJc w:val="left"/>
      <w:pPr>
        <w:ind w:left="2160" w:hanging="360"/>
      </w:pPr>
      <w:rPr>
        <w:rFonts w:ascii="Calibri" w:eastAsia="Times New Roman"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FA12B0"/>
    <w:multiLevelType w:val="hybridMultilevel"/>
    <w:tmpl w:val="42C856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A0B4F4B"/>
    <w:multiLevelType w:val="hybridMultilevel"/>
    <w:tmpl w:val="52B8C01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A6C66A3"/>
    <w:multiLevelType w:val="hybridMultilevel"/>
    <w:tmpl w:val="8CBEF15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A663848"/>
    <w:multiLevelType w:val="hybridMultilevel"/>
    <w:tmpl w:val="C8C856C4"/>
    <w:lvl w:ilvl="0" w:tplc="0C090017">
      <w:start w:val="1"/>
      <w:numFmt w:val="lowerLetter"/>
      <w:pStyle w:val="ListBullet3"/>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9F1269"/>
    <w:multiLevelType w:val="hybridMultilevel"/>
    <w:tmpl w:val="D68A1A4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5EE1CE1"/>
    <w:multiLevelType w:val="hybridMultilevel"/>
    <w:tmpl w:val="3522C44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61331F1"/>
    <w:multiLevelType w:val="multilevel"/>
    <w:tmpl w:val="9D2636A8"/>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heme="minorHAnsi" w:eastAsiaTheme="minorHAnsi" w:hAnsiTheme="minorHAnsi" w:cstheme="minorHAns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A4939E9"/>
    <w:multiLevelType w:val="hybridMultilevel"/>
    <w:tmpl w:val="AF9206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DCF771F"/>
    <w:multiLevelType w:val="multilevel"/>
    <w:tmpl w:val="8006085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121FD5"/>
    <w:multiLevelType w:val="hybridMultilevel"/>
    <w:tmpl w:val="E2E859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CC1150"/>
    <w:multiLevelType w:val="hybridMultilevel"/>
    <w:tmpl w:val="C3CCE94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AE86A5A"/>
    <w:multiLevelType w:val="hybridMultilevel"/>
    <w:tmpl w:val="8D242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683891"/>
    <w:multiLevelType w:val="hybridMultilevel"/>
    <w:tmpl w:val="ADF4D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DD57BB"/>
    <w:multiLevelType w:val="hybridMultilevel"/>
    <w:tmpl w:val="EFF674D0"/>
    <w:lvl w:ilvl="0" w:tplc="E388775C">
      <w:start w:val="1"/>
      <w:numFmt w:val="bullet"/>
      <w:lvlText w:val="•"/>
      <w:lvlJc w:val="left"/>
      <w:pPr>
        <w:tabs>
          <w:tab w:val="num" w:pos="720"/>
        </w:tabs>
        <w:ind w:left="720" w:hanging="360"/>
      </w:pPr>
      <w:rPr>
        <w:rFonts w:ascii="Arial" w:hAnsi="Arial" w:hint="default"/>
      </w:rPr>
    </w:lvl>
    <w:lvl w:ilvl="1" w:tplc="A77CD284">
      <w:start w:val="1"/>
      <w:numFmt w:val="bullet"/>
      <w:lvlText w:val="•"/>
      <w:lvlJc w:val="left"/>
      <w:pPr>
        <w:tabs>
          <w:tab w:val="num" w:pos="1440"/>
        </w:tabs>
        <w:ind w:left="1440" w:hanging="360"/>
      </w:pPr>
      <w:rPr>
        <w:rFonts w:ascii="Arial" w:hAnsi="Arial" w:hint="default"/>
      </w:rPr>
    </w:lvl>
    <w:lvl w:ilvl="2" w:tplc="C120974A" w:tentative="1">
      <w:start w:val="1"/>
      <w:numFmt w:val="bullet"/>
      <w:lvlText w:val="•"/>
      <w:lvlJc w:val="left"/>
      <w:pPr>
        <w:tabs>
          <w:tab w:val="num" w:pos="2160"/>
        </w:tabs>
        <w:ind w:left="2160" w:hanging="360"/>
      </w:pPr>
      <w:rPr>
        <w:rFonts w:ascii="Arial" w:hAnsi="Arial" w:hint="default"/>
      </w:rPr>
    </w:lvl>
    <w:lvl w:ilvl="3" w:tplc="937A5942" w:tentative="1">
      <w:start w:val="1"/>
      <w:numFmt w:val="bullet"/>
      <w:lvlText w:val="•"/>
      <w:lvlJc w:val="left"/>
      <w:pPr>
        <w:tabs>
          <w:tab w:val="num" w:pos="2880"/>
        </w:tabs>
        <w:ind w:left="2880" w:hanging="360"/>
      </w:pPr>
      <w:rPr>
        <w:rFonts w:ascii="Arial" w:hAnsi="Arial" w:hint="default"/>
      </w:rPr>
    </w:lvl>
    <w:lvl w:ilvl="4" w:tplc="BEAA0B64" w:tentative="1">
      <w:start w:val="1"/>
      <w:numFmt w:val="bullet"/>
      <w:lvlText w:val="•"/>
      <w:lvlJc w:val="left"/>
      <w:pPr>
        <w:tabs>
          <w:tab w:val="num" w:pos="3600"/>
        </w:tabs>
        <w:ind w:left="3600" w:hanging="360"/>
      </w:pPr>
      <w:rPr>
        <w:rFonts w:ascii="Arial" w:hAnsi="Arial" w:hint="default"/>
      </w:rPr>
    </w:lvl>
    <w:lvl w:ilvl="5" w:tplc="6902D150" w:tentative="1">
      <w:start w:val="1"/>
      <w:numFmt w:val="bullet"/>
      <w:lvlText w:val="•"/>
      <w:lvlJc w:val="left"/>
      <w:pPr>
        <w:tabs>
          <w:tab w:val="num" w:pos="4320"/>
        </w:tabs>
        <w:ind w:left="4320" w:hanging="360"/>
      </w:pPr>
      <w:rPr>
        <w:rFonts w:ascii="Arial" w:hAnsi="Arial" w:hint="default"/>
      </w:rPr>
    </w:lvl>
    <w:lvl w:ilvl="6" w:tplc="8F508266" w:tentative="1">
      <w:start w:val="1"/>
      <w:numFmt w:val="bullet"/>
      <w:lvlText w:val="•"/>
      <w:lvlJc w:val="left"/>
      <w:pPr>
        <w:tabs>
          <w:tab w:val="num" w:pos="5040"/>
        </w:tabs>
        <w:ind w:left="5040" w:hanging="360"/>
      </w:pPr>
      <w:rPr>
        <w:rFonts w:ascii="Arial" w:hAnsi="Arial" w:hint="default"/>
      </w:rPr>
    </w:lvl>
    <w:lvl w:ilvl="7" w:tplc="09E86B28" w:tentative="1">
      <w:start w:val="1"/>
      <w:numFmt w:val="bullet"/>
      <w:lvlText w:val="•"/>
      <w:lvlJc w:val="left"/>
      <w:pPr>
        <w:tabs>
          <w:tab w:val="num" w:pos="5760"/>
        </w:tabs>
        <w:ind w:left="5760" w:hanging="360"/>
      </w:pPr>
      <w:rPr>
        <w:rFonts w:ascii="Arial" w:hAnsi="Arial" w:hint="default"/>
      </w:rPr>
    </w:lvl>
    <w:lvl w:ilvl="8" w:tplc="4C70F77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144CAD"/>
    <w:multiLevelType w:val="hybridMultilevel"/>
    <w:tmpl w:val="0714E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4C04E5"/>
    <w:multiLevelType w:val="hybridMultilevel"/>
    <w:tmpl w:val="0DB4FF5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1151DDA"/>
    <w:multiLevelType w:val="hybridMultilevel"/>
    <w:tmpl w:val="DAC8DA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5843B62"/>
    <w:multiLevelType w:val="hybridMultilevel"/>
    <w:tmpl w:val="36525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043462"/>
    <w:multiLevelType w:val="hybridMultilevel"/>
    <w:tmpl w:val="974A9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AF61E8"/>
    <w:multiLevelType w:val="hybridMultilevel"/>
    <w:tmpl w:val="8D0C6B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4650AFE"/>
    <w:multiLevelType w:val="hybridMultilevel"/>
    <w:tmpl w:val="A2365C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84D033C"/>
    <w:multiLevelType w:val="multilevel"/>
    <w:tmpl w:val="9690A8A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228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EC272B"/>
    <w:multiLevelType w:val="hybridMultilevel"/>
    <w:tmpl w:val="8FF09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61EDDBC">
      <w:numFmt w:val="bullet"/>
      <w:lvlText w:val="•"/>
      <w:lvlJc w:val="left"/>
      <w:pPr>
        <w:ind w:left="2160" w:hanging="360"/>
      </w:pPr>
      <w:rPr>
        <w:rFonts w:ascii="Calibri" w:eastAsia="Times New Roman" w:hAnsi="Calibri" w:cs="Calibr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175B81"/>
    <w:multiLevelType w:val="hybridMultilevel"/>
    <w:tmpl w:val="F7668E3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35"/>
  </w:num>
  <w:num w:numId="2">
    <w:abstractNumId w:val="21"/>
  </w:num>
  <w:num w:numId="3">
    <w:abstractNumId w:val="22"/>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2"/>
  </w:num>
  <w:num w:numId="10">
    <w:abstractNumId w:val="32"/>
  </w:num>
  <w:num w:numId="11">
    <w:abstractNumId w:val="9"/>
  </w:num>
  <w:num w:numId="12">
    <w:abstractNumId w:val="28"/>
  </w:num>
  <w:num w:numId="13">
    <w:abstractNumId w:val="34"/>
  </w:num>
  <w:num w:numId="14">
    <w:abstractNumId w:val="37"/>
  </w:num>
  <w:num w:numId="15">
    <w:abstractNumId w:val="25"/>
  </w:num>
  <w:num w:numId="16">
    <w:abstractNumId w:val="17"/>
  </w:num>
  <w:num w:numId="17">
    <w:abstractNumId w:val="31"/>
  </w:num>
  <w:num w:numId="18">
    <w:abstractNumId w:val="10"/>
  </w:num>
  <w:num w:numId="19">
    <w:abstractNumId w:val="19"/>
  </w:num>
  <w:num w:numId="20">
    <w:abstractNumId w:val="23"/>
  </w:num>
  <w:num w:numId="21">
    <w:abstractNumId w:val="30"/>
  </w:num>
  <w:num w:numId="22">
    <w:abstractNumId w:val="8"/>
  </w:num>
  <w:num w:numId="23">
    <w:abstractNumId w:val="20"/>
  </w:num>
  <w:num w:numId="24">
    <w:abstractNumId w:val="29"/>
  </w:num>
  <w:num w:numId="25">
    <w:abstractNumId w:val="24"/>
  </w:num>
  <w:num w:numId="26">
    <w:abstractNumId w:val="13"/>
  </w:num>
  <w:num w:numId="27">
    <w:abstractNumId w:val="3"/>
  </w:num>
  <w:num w:numId="28">
    <w:abstractNumId w:val="7"/>
  </w:num>
  <w:num w:numId="29">
    <w:abstractNumId w:val="18"/>
  </w:num>
  <w:num w:numId="30">
    <w:abstractNumId w:val="4"/>
  </w:num>
  <w:num w:numId="31">
    <w:abstractNumId w:val="26"/>
  </w:num>
  <w:num w:numId="32">
    <w:abstractNumId w:val="5"/>
  </w:num>
  <w:num w:numId="33">
    <w:abstractNumId w:val="0"/>
  </w:num>
  <w:num w:numId="34">
    <w:abstractNumId w:val="12"/>
  </w:num>
  <w:num w:numId="35">
    <w:abstractNumId w:val="14"/>
  </w:num>
  <w:num w:numId="36">
    <w:abstractNumId w:val="11"/>
  </w:num>
  <w:num w:numId="37">
    <w:abstractNumId w:val="6"/>
  </w:num>
  <w:num w:numId="38">
    <w:abstractNumId w:val="27"/>
  </w:num>
  <w:num w:numId="39">
    <w:abstractNumId w:val="33"/>
  </w:num>
  <w:num w:numId="4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ra5pdtwwpddwe2wzp5afexz0x52ee5efd2&quot;&gt;Full list RCTs Copy&lt;record-ids&gt;&lt;item&gt;2&lt;/item&gt;&lt;item&gt;552&lt;/item&gt;&lt;/record-ids&gt;&lt;/item&gt;&lt;/Libraries&gt;"/>
  </w:docVars>
  <w:rsids>
    <w:rsidRoot w:val="00E65E79"/>
    <w:rsid w:val="000004B2"/>
    <w:rsid w:val="00000790"/>
    <w:rsid w:val="0000110B"/>
    <w:rsid w:val="000019DA"/>
    <w:rsid w:val="00003499"/>
    <w:rsid w:val="00003672"/>
    <w:rsid w:val="000039B7"/>
    <w:rsid w:val="000041C1"/>
    <w:rsid w:val="00005F91"/>
    <w:rsid w:val="00005FC2"/>
    <w:rsid w:val="00006198"/>
    <w:rsid w:val="0000639A"/>
    <w:rsid w:val="000071C5"/>
    <w:rsid w:val="0000777E"/>
    <w:rsid w:val="00007DB5"/>
    <w:rsid w:val="000108FA"/>
    <w:rsid w:val="0001261A"/>
    <w:rsid w:val="00013247"/>
    <w:rsid w:val="00014622"/>
    <w:rsid w:val="00014A16"/>
    <w:rsid w:val="000154D6"/>
    <w:rsid w:val="00015629"/>
    <w:rsid w:val="000157D6"/>
    <w:rsid w:val="00015886"/>
    <w:rsid w:val="000162EF"/>
    <w:rsid w:val="000170BC"/>
    <w:rsid w:val="00017312"/>
    <w:rsid w:val="000179EE"/>
    <w:rsid w:val="00017E96"/>
    <w:rsid w:val="0002000E"/>
    <w:rsid w:val="000206B3"/>
    <w:rsid w:val="000207C9"/>
    <w:rsid w:val="00020B69"/>
    <w:rsid w:val="00021AB4"/>
    <w:rsid w:val="0002225F"/>
    <w:rsid w:val="00022595"/>
    <w:rsid w:val="000227BD"/>
    <w:rsid w:val="00022ACC"/>
    <w:rsid w:val="00022C58"/>
    <w:rsid w:val="000231C8"/>
    <w:rsid w:val="00023763"/>
    <w:rsid w:val="000241A3"/>
    <w:rsid w:val="00026987"/>
    <w:rsid w:val="000272E7"/>
    <w:rsid w:val="000274B8"/>
    <w:rsid w:val="00027ABF"/>
    <w:rsid w:val="0003030A"/>
    <w:rsid w:val="000326D3"/>
    <w:rsid w:val="00033863"/>
    <w:rsid w:val="0003418B"/>
    <w:rsid w:val="000359C4"/>
    <w:rsid w:val="00035AE1"/>
    <w:rsid w:val="00035CA5"/>
    <w:rsid w:val="00035DC0"/>
    <w:rsid w:val="0003635A"/>
    <w:rsid w:val="000366F4"/>
    <w:rsid w:val="00036829"/>
    <w:rsid w:val="00037E12"/>
    <w:rsid w:val="00037E27"/>
    <w:rsid w:val="0004022C"/>
    <w:rsid w:val="000407BF"/>
    <w:rsid w:val="00040895"/>
    <w:rsid w:val="000415A2"/>
    <w:rsid w:val="0004221F"/>
    <w:rsid w:val="000435EE"/>
    <w:rsid w:val="00043C37"/>
    <w:rsid w:val="00043E4A"/>
    <w:rsid w:val="00044340"/>
    <w:rsid w:val="00045017"/>
    <w:rsid w:val="00045A2B"/>
    <w:rsid w:val="00045BFF"/>
    <w:rsid w:val="0004667D"/>
    <w:rsid w:val="0004698F"/>
    <w:rsid w:val="00047C55"/>
    <w:rsid w:val="0005024D"/>
    <w:rsid w:val="00050547"/>
    <w:rsid w:val="00051908"/>
    <w:rsid w:val="000521F6"/>
    <w:rsid w:val="000539D0"/>
    <w:rsid w:val="00054621"/>
    <w:rsid w:val="000546D7"/>
    <w:rsid w:val="00054E74"/>
    <w:rsid w:val="00055882"/>
    <w:rsid w:val="00056ECF"/>
    <w:rsid w:val="00057063"/>
    <w:rsid w:val="0005737D"/>
    <w:rsid w:val="00057476"/>
    <w:rsid w:val="000575E8"/>
    <w:rsid w:val="000604DF"/>
    <w:rsid w:val="000608BA"/>
    <w:rsid w:val="00060FCE"/>
    <w:rsid w:val="000611B2"/>
    <w:rsid w:val="00062C92"/>
    <w:rsid w:val="00063151"/>
    <w:rsid w:val="000631A9"/>
    <w:rsid w:val="00063AEE"/>
    <w:rsid w:val="00063F4D"/>
    <w:rsid w:val="0006419B"/>
    <w:rsid w:val="00064331"/>
    <w:rsid w:val="00065297"/>
    <w:rsid w:val="000653B5"/>
    <w:rsid w:val="00065439"/>
    <w:rsid w:val="00065C6D"/>
    <w:rsid w:val="00066360"/>
    <w:rsid w:val="00066533"/>
    <w:rsid w:val="00066AF8"/>
    <w:rsid w:val="00066B0C"/>
    <w:rsid w:val="00067AB1"/>
    <w:rsid w:val="00067C15"/>
    <w:rsid w:val="00067FCF"/>
    <w:rsid w:val="00070111"/>
    <w:rsid w:val="00071248"/>
    <w:rsid w:val="000720B9"/>
    <w:rsid w:val="000737F7"/>
    <w:rsid w:val="00074731"/>
    <w:rsid w:val="00074EAA"/>
    <w:rsid w:val="000752BE"/>
    <w:rsid w:val="00076681"/>
    <w:rsid w:val="0007672F"/>
    <w:rsid w:val="00076A25"/>
    <w:rsid w:val="00076B54"/>
    <w:rsid w:val="000772E2"/>
    <w:rsid w:val="000772F8"/>
    <w:rsid w:val="000774F0"/>
    <w:rsid w:val="00077529"/>
    <w:rsid w:val="000775D6"/>
    <w:rsid w:val="000779AA"/>
    <w:rsid w:val="00080904"/>
    <w:rsid w:val="00080909"/>
    <w:rsid w:val="00080E65"/>
    <w:rsid w:val="000812CA"/>
    <w:rsid w:val="0008187F"/>
    <w:rsid w:val="00081E63"/>
    <w:rsid w:val="000823E4"/>
    <w:rsid w:val="0008258D"/>
    <w:rsid w:val="000831AA"/>
    <w:rsid w:val="00083E99"/>
    <w:rsid w:val="00084397"/>
    <w:rsid w:val="00084B22"/>
    <w:rsid w:val="00084FA8"/>
    <w:rsid w:val="00084FBA"/>
    <w:rsid w:val="0008549F"/>
    <w:rsid w:val="000855EB"/>
    <w:rsid w:val="000856C5"/>
    <w:rsid w:val="000859C0"/>
    <w:rsid w:val="00085C11"/>
    <w:rsid w:val="00085C31"/>
    <w:rsid w:val="00086FB9"/>
    <w:rsid w:val="00087913"/>
    <w:rsid w:val="000902D9"/>
    <w:rsid w:val="00090A34"/>
    <w:rsid w:val="00090C7E"/>
    <w:rsid w:val="00091906"/>
    <w:rsid w:val="00092600"/>
    <w:rsid w:val="0009262B"/>
    <w:rsid w:val="00092697"/>
    <w:rsid w:val="00093310"/>
    <w:rsid w:val="00093D8B"/>
    <w:rsid w:val="000941BA"/>
    <w:rsid w:val="00094449"/>
    <w:rsid w:val="0009445C"/>
    <w:rsid w:val="000948B9"/>
    <w:rsid w:val="00095200"/>
    <w:rsid w:val="000955B5"/>
    <w:rsid w:val="00095F3F"/>
    <w:rsid w:val="00095FE5"/>
    <w:rsid w:val="00096284"/>
    <w:rsid w:val="00096B9F"/>
    <w:rsid w:val="00097132"/>
    <w:rsid w:val="000A0BBF"/>
    <w:rsid w:val="000A0ED7"/>
    <w:rsid w:val="000A1689"/>
    <w:rsid w:val="000A1BC0"/>
    <w:rsid w:val="000A2248"/>
    <w:rsid w:val="000A29CD"/>
    <w:rsid w:val="000A33FE"/>
    <w:rsid w:val="000A3564"/>
    <w:rsid w:val="000A37D7"/>
    <w:rsid w:val="000A3BB9"/>
    <w:rsid w:val="000A42F5"/>
    <w:rsid w:val="000A556C"/>
    <w:rsid w:val="000A6039"/>
    <w:rsid w:val="000A7453"/>
    <w:rsid w:val="000A777B"/>
    <w:rsid w:val="000A7D08"/>
    <w:rsid w:val="000B0121"/>
    <w:rsid w:val="000B01E9"/>
    <w:rsid w:val="000B029C"/>
    <w:rsid w:val="000B0670"/>
    <w:rsid w:val="000B0E75"/>
    <w:rsid w:val="000B1F3F"/>
    <w:rsid w:val="000B2B22"/>
    <w:rsid w:val="000B2DCB"/>
    <w:rsid w:val="000B4E49"/>
    <w:rsid w:val="000B5693"/>
    <w:rsid w:val="000B5CE0"/>
    <w:rsid w:val="000B5CE2"/>
    <w:rsid w:val="000B67D4"/>
    <w:rsid w:val="000B6CAC"/>
    <w:rsid w:val="000B7612"/>
    <w:rsid w:val="000B78AE"/>
    <w:rsid w:val="000C01A8"/>
    <w:rsid w:val="000C0341"/>
    <w:rsid w:val="000C2077"/>
    <w:rsid w:val="000C22E0"/>
    <w:rsid w:val="000C2CE6"/>
    <w:rsid w:val="000C2F80"/>
    <w:rsid w:val="000C318C"/>
    <w:rsid w:val="000C385D"/>
    <w:rsid w:val="000C3D39"/>
    <w:rsid w:val="000C3DF9"/>
    <w:rsid w:val="000C487E"/>
    <w:rsid w:val="000C4ED6"/>
    <w:rsid w:val="000C6713"/>
    <w:rsid w:val="000C73B1"/>
    <w:rsid w:val="000C7833"/>
    <w:rsid w:val="000C791F"/>
    <w:rsid w:val="000C7C32"/>
    <w:rsid w:val="000D0ABD"/>
    <w:rsid w:val="000D1269"/>
    <w:rsid w:val="000D1BFC"/>
    <w:rsid w:val="000D1D0B"/>
    <w:rsid w:val="000D1D5D"/>
    <w:rsid w:val="000D1DEA"/>
    <w:rsid w:val="000D206D"/>
    <w:rsid w:val="000D2390"/>
    <w:rsid w:val="000D281A"/>
    <w:rsid w:val="000D2848"/>
    <w:rsid w:val="000D326A"/>
    <w:rsid w:val="000D43C0"/>
    <w:rsid w:val="000D4634"/>
    <w:rsid w:val="000D4666"/>
    <w:rsid w:val="000D49B9"/>
    <w:rsid w:val="000D4C8E"/>
    <w:rsid w:val="000D51FB"/>
    <w:rsid w:val="000D576A"/>
    <w:rsid w:val="000D5783"/>
    <w:rsid w:val="000D68F4"/>
    <w:rsid w:val="000D6A35"/>
    <w:rsid w:val="000D6DB6"/>
    <w:rsid w:val="000E0640"/>
    <w:rsid w:val="000E07E0"/>
    <w:rsid w:val="000E0954"/>
    <w:rsid w:val="000E124B"/>
    <w:rsid w:val="000E135D"/>
    <w:rsid w:val="000E1602"/>
    <w:rsid w:val="000E2E89"/>
    <w:rsid w:val="000E3962"/>
    <w:rsid w:val="000E3B6D"/>
    <w:rsid w:val="000E3D7D"/>
    <w:rsid w:val="000E47A0"/>
    <w:rsid w:val="000E5376"/>
    <w:rsid w:val="000E699E"/>
    <w:rsid w:val="000E7047"/>
    <w:rsid w:val="000F00BA"/>
    <w:rsid w:val="000F02C4"/>
    <w:rsid w:val="000F03AA"/>
    <w:rsid w:val="000F18BD"/>
    <w:rsid w:val="000F1B86"/>
    <w:rsid w:val="000F2126"/>
    <w:rsid w:val="000F289A"/>
    <w:rsid w:val="000F2950"/>
    <w:rsid w:val="000F2F02"/>
    <w:rsid w:val="000F316A"/>
    <w:rsid w:val="000F3C74"/>
    <w:rsid w:val="000F4B79"/>
    <w:rsid w:val="000F4BB8"/>
    <w:rsid w:val="000F4FA9"/>
    <w:rsid w:val="000F53FB"/>
    <w:rsid w:val="000F69CA"/>
    <w:rsid w:val="000F6C4A"/>
    <w:rsid w:val="000F7127"/>
    <w:rsid w:val="000F7B54"/>
    <w:rsid w:val="000F7E60"/>
    <w:rsid w:val="0010009D"/>
    <w:rsid w:val="001002A2"/>
    <w:rsid w:val="0010036A"/>
    <w:rsid w:val="00100808"/>
    <w:rsid w:val="00100E7C"/>
    <w:rsid w:val="00100F8A"/>
    <w:rsid w:val="001020C9"/>
    <w:rsid w:val="001023EB"/>
    <w:rsid w:val="001025BA"/>
    <w:rsid w:val="00103B4D"/>
    <w:rsid w:val="00103DCF"/>
    <w:rsid w:val="001043B0"/>
    <w:rsid w:val="0010452E"/>
    <w:rsid w:val="00105AE2"/>
    <w:rsid w:val="001060C6"/>
    <w:rsid w:val="00106A82"/>
    <w:rsid w:val="00106B80"/>
    <w:rsid w:val="00106CBB"/>
    <w:rsid w:val="00106FF5"/>
    <w:rsid w:val="00107F8B"/>
    <w:rsid w:val="0011032E"/>
    <w:rsid w:val="001111CD"/>
    <w:rsid w:val="001113B4"/>
    <w:rsid w:val="00111AAF"/>
    <w:rsid w:val="00111E2C"/>
    <w:rsid w:val="001130B7"/>
    <w:rsid w:val="0011348B"/>
    <w:rsid w:val="00114244"/>
    <w:rsid w:val="00114625"/>
    <w:rsid w:val="001151C1"/>
    <w:rsid w:val="00115872"/>
    <w:rsid w:val="00115982"/>
    <w:rsid w:val="00115C37"/>
    <w:rsid w:val="00116BA8"/>
    <w:rsid w:val="00116C53"/>
    <w:rsid w:val="00116DB2"/>
    <w:rsid w:val="00117537"/>
    <w:rsid w:val="00120262"/>
    <w:rsid w:val="00120334"/>
    <w:rsid w:val="001211F4"/>
    <w:rsid w:val="00121799"/>
    <w:rsid w:val="00121EB4"/>
    <w:rsid w:val="001221A4"/>
    <w:rsid w:val="001222FC"/>
    <w:rsid w:val="00123902"/>
    <w:rsid w:val="001239EF"/>
    <w:rsid w:val="00124A51"/>
    <w:rsid w:val="00124CB7"/>
    <w:rsid w:val="00124DD6"/>
    <w:rsid w:val="0012565E"/>
    <w:rsid w:val="00126621"/>
    <w:rsid w:val="0012680E"/>
    <w:rsid w:val="00126B1D"/>
    <w:rsid w:val="001271CB"/>
    <w:rsid w:val="00127376"/>
    <w:rsid w:val="00127AD6"/>
    <w:rsid w:val="001301E9"/>
    <w:rsid w:val="0013029B"/>
    <w:rsid w:val="00130DD7"/>
    <w:rsid w:val="001311B5"/>
    <w:rsid w:val="001313EE"/>
    <w:rsid w:val="00131520"/>
    <w:rsid w:val="00131D82"/>
    <w:rsid w:val="00132A83"/>
    <w:rsid w:val="00132B22"/>
    <w:rsid w:val="00133D36"/>
    <w:rsid w:val="001349E3"/>
    <w:rsid w:val="00134CF5"/>
    <w:rsid w:val="00134DBD"/>
    <w:rsid w:val="00136C2B"/>
    <w:rsid w:val="001375FC"/>
    <w:rsid w:val="00137645"/>
    <w:rsid w:val="00137796"/>
    <w:rsid w:val="00137C32"/>
    <w:rsid w:val="00140112"/>
    <w:rsid w:val="0014015A"/>
    <w:rsid w:val="00140E99"/>
    <w:rsid w:val="00140F35"/>
    <w:rsid w:val="00141227"/>
    <w:rsid w:val="001412D6"/>
    <w:rsid w:val="001418AA"/>
    <w:rsid w:val="0014219F"/>
    <w:rsid w:val="00143984"/>
    <w:rsid w:val="00143D0B"/>
    <w:rsid w:val="00143F67"/>
    <w:rsid w:val="00144D71"/>
    <w:rsid w:val="00145540"/>
    <w:rsid w:val="001456B0"/>
    <w:rsid w:val="00146947"/>
    <w:rsid w:val="00147BA0"/>
    <w:rsid w:val="00150382"/>
    <w:rsid w:val="001523B8"/>
    <w:rsid w:val="00152ABB"/>
    <w:rsid w:val="001530FC"/>
    <w:rsid w:val="00154712"/>
    <w:rsid w:val="00154E79"/>
    <w:rsid w:val="00155A8D"/>
    <w:rsid w:val="00156660"/>
    <w:rsid w:val="00156AA1"/>
    <w:rsid w:val="00156F8F"/>
    <w:rsid w:val="00157130"/>
    <w:rsid w:val="0015727C"/>
    <w:rsid w:val="001576B1"/>
    <w:rsid w:val="0016047B"/>
    <w:rsid w:val="00160A47"/>
    <w:rsid w:val="00160A4C"/>
    <w:rsid w:val="00161269"/>
    <w:rsid w:val="00162201"/>
    <w:rsid w:val="001622BA"/>
    <w:rsid w:val="00162913"/>
    <w:rsid w:val="00162DEE"/>
    <w:rsid w:val="00163EFF"/>
    <w:rsid w:val="00163F66"/>
    <w:rsid w:val="001645F0"/>
    <w:rsid w:val="001647A1"/>
    <w:rsid w:val="001648D9"/>
    <w:rsid w:val="001657C9"/>
    <w:rsid w:val="001661FB"/>
    <w:rsid w:val="00166EB1"/>
    <w:rsid w:val="001671A0"/>
    <w:rsid w:val="0016767F"/>
    <w:rsid w:val="00167A7E"/>
    <w:rsid w:val="00167A8A"/>
    <w:rsid w:val="00170591"/>
    <w:rsid w:val="00171B8F"/>
    <w:rsid w:val="00171F14"/>
    <w:rsid w:val="00172562"/>
    <w:rsid w:val="001725CA"/>
    <w:rsid w:val="00172F38"/>
    <w:rsid w:val="00173565"/>
    <w:rsid w:val="00173B07"/>
    <w:rsid w:val="00173D9C"/>
    <w:rsid w:val="0017493C"/>
    <w:rsid w:val="001751FA"/>
    <w:rsid w:val="00176522"/>
    <w:rsid w:val="00177437"/>
    <w:rsid w:val="00177D7C"/>
    <w:rsid w:val="00177FEA"/>
    <w:rsid w:val="0018080F"/>
    <w:rsid w:val="001816B4"/>
    <w:rsid w:val="00181D9C"/>
    <w:rsid w:val="0018204B"/>
    <w:rsid w:val="00182E7B"/>
    <w:rsid w:val="00183FCF"/>
    <w:rsid w:val="0018410F"/>
    <w:rsid w:val="001844D1"/>
    <w:rsid w:val="0018489C"/>
    <w:rsid w:val="00184916"/>
    <w:rsid w:val="00184B0E"/>
    <w:rsid w:val="00184EDA"/>
    <w:rsid w:val="00185134"/>
    <w:rsid w:val="00185E0C"/>
    <w:rsid w:val="00185F36"/>
    <w:rsid w:val="0018629A"/>
    <w:rsid w:val="0018752F"/>
    <w:rsid w:val="00187D2B"/>
    <w:rsid w:val="00190C40"/>
    <w:rsid w:val="00190F2D"/>
    <w:rsid w:val="001914FD"/>
    <w:rsid w:val="00192B48"/>
    <w:rsid w:val="00192E40"/>
    <w:rsid w:val="00193838"/>
    <w:rsid w:val="001943E2"/>
    <w:rsid w:val="001946CD"/>
    <w:rsid w:val="00194AD8"/>
    <w:rsid w:val="00194EAE"/>
    <w:rsid w:val="00195222"/>
    <w:rsid w:val="001955C3"/>
    <w:rsid w:val="00195A7B"/>
    <w:rsid w:val="0019615F"/>
    <w:rsid w:val="00196221"/>
    <w:rsid w:val="001962B4"/>
    <w:rsid w:val="001964DF"/>
    <w:rsid w:val="001965AB"/>
    <w:rsid w:val="00196836"/>
    <w:rsid w:val="00197513"/>
    <w:rsid w:val="001975D8"/>
    <w:rsid w:val="001A0583"/>
    <w:rsid w:val="001A0D51"/>
    <w:rsid w:val="001A0FC7"/>
    <w:rsid w:val="001A178E"/>
    <w:rsid w:val="001A20A2"/>
    <w:rsid w:val="001A43FA"/>
    <w:rsid w:val="001A46B4"/>
    <w:rsid w:val="001A47C5"/>
    <w:rsid w:val="001A4F25"/>
    <w:rsid w:val="001A59FB"/>
    <w:rsid w:val="001A5E9E"/>
    <w:rsid w:val="001A5F75"/>
    <w:rsid w:val="001A6354"/>
    <w:rsid w:val="001A6366"/>
    <w:rsid w:val="001A69D0"/>
    <w:rsid w:val="001A6C81"/>
    <w:rsid w:val="001A6D55"/>
    <w:rsid w:val="001A7AE8"/>
    <w:rsid w:val="001B0F06"/>
    <w:rsid w:val="001B121F"/>
    <w:rsid w:val="001B204E"/>
    <w:rsid w:val="001B2372"/>
    <w:rsid w:val="001B297C"/>
    <w:rsid w:val="001B2AA4"/>
    <w:rsid w:val="001B30F2"/>
    <w:rsid w:val="001B3254"/>
    <w:rsid w:val="001B3443"/>
    <w:rsid w:val="001B4D20"/>
    <w:rsid w:val="001B4D33"/>
    <w:rsid w:val="001B4F1F"/>
    <w:rsid w:val="001B65B7"/>
    <w:rsid w:val="001B6866"/>
    <w:rsid w:val="001B696C"/>
    <w:rsid w:val="001B6B6A"/>
    <w:rsid w:val="001B701B"/>
    <w:rsid w:val="001B716E"/>
    <w:rsid w:val="001B737B"/>
    <w:rsid w:val="001B7CD9"/>
    <w:rsid w:val="001C1A8F"/>
    <w:rsid w:val="001C1A92"/>
    <w:rsid w:val="001C1C96"/>
    <w:rsid w:val="001C2348"/>
    <w:rsid w:val="001C2A9B"/>
    <w:rsid w:val="001C2D9A"/>
    <w:rsid w:val="001C4299"/>
    <w:rsid w:val="001C473A"/>
    <w:rsid w:val="001C47B3"/>
    <w:rsid w:val="001C4874"/>
    <w:rsid w:val="001C4F83"/>
    <w:rsid w:val="001C5315"/>
    <w:rsid w:val="001C5F94"/>
    <w:rsid w:val="001C6400"/>
    <w:rsid w:val="001C6E66"/>
    <w:rsid w:val="001C74A2"/>
    <w:rsid w:val="001C7502"/>
    <w:rsid w:val="001C7741"/>
    <w:rsid w:val="001D0160"/>
    <w:rsid w:val="001D0EF4"/>
    <w:rsid w:val="001D1004"/>
    <w:rsid w:val="001D1100"/>
    <w:rsid w:val="001D1126"/>
    <w:rsid w:val="001D1391"/>
    <w:rsid w:val="001D169E"/>
    <w:rsid w:val="001D2421"/>
    <w:rsid w:val="001D25D7"/>
    <w:rsid w:val="001D2C6F"/>
    <w:rsid w:val="001D50B2"/>
    <w:rsid w:val="001D571B"/>
    <w:rsid w:val="001D6670"/>
    <w:rsid w:val="001D67E6"/>
    <w:rsid w:val="001D6AA6"/>
    <w:rsid w:val="001D7366"/>
    <w:rsid w:val="001D7645"/>
    <w:rsid w:val="001D7A35"/>
    <w:rsid w:val="001D7FCE"/>
    <w:rsid w:val="001E078C"/>
    <w:rsid w:val="001E1717"/>
    <w:rsid w:val="001E1963"/>
    <w:rsid w:val="001E1E86"/>
    <w:rsid w:val="001E238E"/>
    <w:rsid w:val="001E2483"/>
    <w:rsid w:val="001E2B1E"/>
    <w:rsid w:val="001E2B73"/>
    <w:rsid w:val="001E2BEF"/>
    <w:rsid w:val="001E2CFF"/>
    <w:rsid w:val="001E2F24"/>
    <w:rsid w:val="001E30D4"/>
    <w:rsid w:val="001E34DF"/>
    <w:rsid w:val="001E3570"/>
    <w:rsid w:val="001E3957"/>
    <w:rsid w:val="001E41BF"/>
    <w:rsid w:val="001E52EB"/>
    <w:rsid w:val="001E5427"/>
    <w:rsid w:val="001E59C3"/>
    <w:rsid w:val="001E5C11"/>
    <w:rsid w:val="001E5F69"/>
    <w:rsid w:val="001E61D2"/>
    <w:rsid w:val="001E6C95"/>
    <w:rsid w:val="001E740C"/>
    <w:rsid w:val="001E7EE1"/>
    <w:rsid w:val="001E7EE8"/>
    <w:rsid w:val="001F020B"/>
    <w:rsid w:val="001F1235"/>
    <w:rsid w:val="001F1A76"/>
    <w:rsid w:val="001F1CB3"/>
    <w:rsid w:val="001F2565"/>
    <w:rsid w:val="001F2C06"/>
    <w:rsid w:val="001F2F49"/>
    <w:rsid w:val="001F3634"/>
    <w:rsid w:val="001F37CC"/>
    <w:rsid w:val="001F38B5"/>
    <w:rsid w:val="001F3BEE"/>
    <w:rsid w:val="001F4081"/>
    <w:rsid w:val="001F5220"/>
    <w:rsid w:val="001F7361"/>
    <w:rsid w:val="001F76A9"/>
    <w:rsid w:val="001F7AD8"/>
    <w:rsid w:val="001F7FEE"/>
    <w:rsid w:val="00200127"/>
    <w:rsid w:val="002005BD"/>
    <w:rsid w:val="00200888"/>
    <w:rsid w:val="002011B0"/>
    <w:rsid w:val="00201317"/>
    <w:rsid w:val="0020151C"/>
    <w:rsid w:val="00202C40"/>
    <w:rsid w:val="002030F8"/>
    <w:rsid w:val="0020310D"/>
    <w:rsid w:val="00203181"/>
    <w:rsid w:val="002032D6"/>
    <w:rsid w:val="002036EA"/>
    <w:rsid w:val="00203783"/>
    <w:rsid w:val="0020385F"/>
    <w:rsid w:val="00203F29"/>
    <w:rsid w:val="00203F46"/>
    <w:rsid w:val="002041B1"/>
    <w:rsid w:val="0020582D"/>
    <w:rsid w:val="00205E2C"/>
    <w:rsid w:val="002068A0"/>
    <w:rsid w:val="00206AB4"/>
    <w:rsid w:val="00207021"/>
    <w:rsid w:val="0020732F"/>
    <w:rsid w:val="00207713"/>
    <w:rsid w:val="00207D00"/>
    <w:rsid w:val="002105C1"/>
    <w:rsid w:val="002109D3"/>
    <w:rsid w:val="00210DC9"/>
    <w:rsid w:val="00211EBB"/>
    <w:rsid w:val="0021209F"/>
    <w:rsid w:val="00213207"/>
    <w:rsid w:val="00213602"/>
    <w:rsid w:val="00213EF5"/>
    <w:rsid w:val="00214113"/>
    <w:rsid w:val="0021563C"/>
    <w:rsid w:val="002157A5"/>
    <w:rsid w:val="0021591C"/>
    <w:rsid w:val="0021684C"/>
    <w:rsid w:val="00216BF5"/>
    <w:rsid w:val="002173CC"/>
    <w:rsid w:val="00220090"/>
    <w:rsid w:val="00220970"/>
    <w:rsid w:val="00220B74"/>
    <w:rsid w:val="00222758"/>
    <w:rsid w:val="00222DE8"/>
    <w:rsid w:val="00223414"/>
    <w:rsid w:val="00223730"/>
    <w:rsid w:val="00223B49"/>
    <w:rsid w:val="00223D5A"/>
    <w:rsid w:val="002248DD"/>
    <w:rsid w:val="00224DD4"/>
    <w:rsid w:val="00224F84"/>
    <w:rsid w:val="002259C1"/>
    <w:rsid w:val="002265D4"/>
    <w:rsid w:val="00226C25"/>
    <w:rsid w:val="0022728D"/>
    <w:rsid w:val="00227389"/>
    <w:rsid w:val="00227548"/>
    <w:rsid w:val="002278A0"/>
    <w:rsid w:val="002309CC"/>
    <w:rsid w:val="00230ACC"/>
    <w:rsid w:val="00230EE9"/>
    <w:rsid w:val="002310B1"/>
    <w:rsid w:val="00231D97"/>
    <w:rsid w:val="00232049"/>
    <w:rsid w:val="0023209F"/>
    <w:rsid w:val="002321FB"/>
    <w:rsid w:val="00233C01"/>
    <w:rsid w:val="0023413C"/>
    <w:rsid w:val="00234614"/>
    <w:rsid w:val="002346F0"/>
    <w:rsid w:val="00234738"/>
    <w:rsid w:val="00234F27"/>
    <w:rsid w:val="002355F4"/>
    <w:rsid w:val="002361DE"/>
    <w:rsid w:val="0023629D"/>
    <w:rsid w:val="00237083"/>
    <w:rsid w:val="00237255"/>
    <w:rsid w:val="002379DD"/>
    <w:rsid w:val="00237D6A"/>
    <w:rsid w:val="00241DC4"/>
    <w:rsid w:val="002424AF"/>
    <w:rsid w:val="00242A43"/>
    <w:rsid w:val="0024330D"/>
    <w:rsid w:val="002439DC"/>
    <w:rsid w:val="002441D2"/>
    <w:rsid w:val="002443D3"/>
    <w:rsid w:val="00244833"/>
    <w:rsid w:val="00244CDA"/>
    <w:rsid w:val="00244DC8"/>
    <w:rsid w:val="0024577A"/>
    <w:rsid w:val="002458BA"/>
    <w:rsid w:val="00245CE9"/>
    <w:rsid w:val="0024636C"/>
    <w:rsid w:val="00247925"/>
    <w:rsid w:val="002504F0"/>
    <w:rsid w:val="00250BC8"/>
    <w:rsid w:val="00251006"/>
    <w:rsid w:val="002521EC"/>
    <w:rsid w:val="00252472"/>
    <w:rsid w:val="002524D5"/>
    <w:rsid w:val="0025254D"/>
    <w:rsid w:val="0025293C"/>
    <w:rsid w:val="00252C22"/>
    <w:rsid w:val="00253029"/>
    <w:rsid w:val="002538BA"/>
    <w:rsid w:val="00253B1D"/>
    <w:rsid w:val="00253C87"/>
    <w:rsid w:val="002543B0"/>
    <w:rsid w:val="00254729"/>
    <w:rsid w:val="00254A5D"/>
    <w:rsid w:val="00254BA2"/>
    <w:rsid w:val="00254DCF"/>
    <w:rsid w:val="00254F8F"/>
    <w:rsid w:val="002550CE"/>
    <w:rsid w:val="0025534B"/>
    <w:rsid w:val="002555C9"/>
    <w:rsid w:val="00255BB7"/>
    <w:rsid w:val="00257022"/>
    <w:rsid w:val="00257541"/>
    <w:rsid w:val="00257A39"/>
    <w:rsid w:val="00257AC4"/>
    <w:rsid w:val="0026067C"/>
    <w:rsid w:val="00260A69"/>
    <w:rsid w:val="00260D26"/>
    <w:rsid w:val="00260D42"/>
    <w:rsid w:val="00261EEF"/>
    <w:rsid w:val="00262525"/>
    <w:rsid w:val="00262827"/>
    <w:rsid w:val="00262A1A"/>
    <w:rsid w:val="00262A87"/>
    <w:rsid w:val="00262C3B"/>
    <w:rsid w:val="00262F6C"/>
    <w:rsid w:val="00264587"/>
    <w:rsid w:val="00264D26"/>
    <w:rsid w:val="00264EA2"/>
    <w:rsid w:val="00265E3F"/>
    <w:rsid w:val="0026604C"/>
    <w:rsid w:val="00266287"/>
    <w:rsid w:val="00267642"/>
    <w:rsid w:val="00267AEA"/>
    <w:rsid w:val="002700E6"/>
    <w:rsid w:val="0027119A"/>
    <w:rsid w:val="0027177B"/>
    <w:rsid w:val="00271ED8"/>
    <w:rsid w:val="002727C5"/>
    <w:rsid w:val="0027294B"/>
    <w:rsid w:val="00273505"/>
    <w:rsid w:val="00273A38"/>
    <w:rsid w:val="00273EB4"/>
    <w:rsid w:val="00274682"/>
    <w:rsid w:val="00275C5A"/>
    <w:rsid w:val="002765C0"/>
    <w:rsid w:val="002774CC"/>
    <w:rsid w:val="00277E36"/>
    <w:rsid w:val="00281014"/>
    <w:rsid w:val="00281655"/>
    <w:rsid w:val="002818AC"/>
    <w:rsid w:val="00282E00"/>
    <w:rsid w:val="002830D9"/>
    <w:rsid w:val="00283191"/>
    <w:rsid w:val="00283237"/>
    <w:rsid w:val="00283953"/>
    <w:rsid w:val="00283AD7"/>
    <w:rsid w:val="00283BC9"/>
    <w:rsid w:val="00284233"/>
    <w:rsid w:val="002846CB"/>
    <w:rsid w:val="00285567"/>
    <w:rsid w:val="00285D3C"/>
    <w:rsid w:val="00285E14"/>
    <w:rsid w:val="00285EA3"/>
    <w:rsid w:val="0028665D"/>
    <w:rsid w:val="00286860"/>
    <w:rsid w:val="00286A89"/>
    <w:rsid w:val="00286B88"/>
    <w:rsid w:val="00286BC3"/>
    <w:rsid w:val="0028712C"/>
    <w:rsid w:val="002901DC"/>
    <w:rsid w:val="00290788"/>
    <w:rsid w:val="002909E6"/>
    <w:rsid w:val="00290A43"/>
    <w:rsid w:val="00290CC5"/>
    <w:rsid w:val="0029116B"/>
    <w:rsid w:val="00292F77"/>
    <w:rsid w:val="00294154"/>
    <w:rsid w:val="00295285"/>
    <w:rsid w:val="0029550C"/>
    <w:rsid w:val="0029570F"/>
    <w:rsid w:val="00295F92"/>
    <w:rsid w:val="0029650B"/>
    <w:rsid w:val="0029716E"/>
    <w:rsid w:val="002976F6"/>
    <w:rsid w:val="0029780E"/>
    <w:rsid w:val="002A02E7"/>
    <w:rsid w:val="002A0B5C"/>
    <w:rsid w:val="002A14AB"/>
    <w:rsid w:val="002A172D"/>
    <w:rsid w:val="002A2ADE"/>
    <w:rsid w:val="002A2F50"/>
    <w:rsid w:val="002A31B9"/>
    <w:rsid w:val="002A371E"/>
    <w:rsid w:val="002A3B6D"/>
    <w:rsid w:val="002A3D0F"/>
    <w:rsid w:val="002A47A8"/>
    <w:rsid w:val="002A58B5"/>
    <w:rsid w:val="002A6431"/>
    <w:rsid w:val="002B00DB"/>
    <w:rsid w:val="002B05A1"/>
    <w:rsid w:val="002B09A4"/>
    <w:rsid w:val="002B0A22"/>
    <w:rsid w:val="002B1774"/>
    <w:rsid w:val="002B1C1F"/>
    <w:rsid w:val="002B1E69"/>
    <w:rsid w:val="002B23C4"/>
    <w:rsid w:val="002B2460"/>
    <w:rsid w:val="002B2912"/>
    <w:rsid w:val="002B2A11"/>
    <w:rsid w:val="002B3286"/>
    <w:rsid w:val="002B432F"/>
    <w:rsid w:val="002B5F5E"/>
    <w:rsid w:val="002B6132"/>
    <w:rsid w:val="002B61CB"/>
    <w:rsid w:val="002B62B3"/>
    <w:rsid w:val="002B6754"/>
    <w:rsid w:val="002B6CCE"/>
    <w:rsid w:val="002B7A74"/>
    <w:rsid w:val="002B7B66"/>
    <w:rsid w:val="002C042B"/>
    <w:rsid w:val="002C0646"/>
    <w:rsid w:val="002C17BA"/>
    <w:rsid w:val="002C1F5C"/>
    <w:rsid w:val="002C2510"/>
    <w:rsid w:val="002C26E0"/>
    <w:rsid w:val="002C2775"/>
    <w:rsid w:val="002C27C1"/>
    <w:rsid w:val="002C2AD2"/>
    <w:rsid w:val="002C2FCE"/>
    <w:rsid w:val="002C3EC3"/>
    <w:rsid w:val="002C4948"/>
    <w:rsid w:val="002C4A50"/>
    <w:rsid w:val="002C5099"/>
    <w:rsid w:val="002C5889"/>
    <w:rsid w:val="002C5B4F"/>
    <w:rsid w:val="002C6C3A"/>
    <w:rsid w:val="002C6E50"/>
    <w:rsid w:val="002C71CE"/>
    <w:rsid w:val="002D08BC"/>
    <w:rsid w:val="002D08F8"/>
    <w:rsid w:val="002D12D2"/>
    <w:rsid w:val="002D1AD6"/>
    <w:rsid w:val="002D23D7"/>
    <w:rsid w:val="002D3981"/>
    <w:rsid w:val="002D3BD7"/>
    <w:rsid w:val="002D554E"/>
    <w:rsid w:val="002D577C"/>
    <w:rsid w:val="002D621F"/>
    <w:rsid w:val="002D6882"/>
    <w:rsid w:val="002D6B6A"/>
    <w:rsid w:val="002D76F8"/>
    <w:rsid w:val="002D7DFF"/>
    <w:rsid w:val="002E0BDA"/>
    <w:rsid w:val="002E1071"/>
    <w:rsid w:val="002E15A1"/>
    <w:rsid w:val="002E15B9"/>
    <w:rsid w:val="002E2158"/>
    <w:rsid w:val="002E2ADE"/>
    <w:rsid w:val="002E360F"/>
    <w:rsid w:val="002E4D81"/>
    <w:rsid w:val="002E4F02"/>
    <w:rsid w:val="002E52B3"/>
    <w:rsid w:val="002E5A4D"/>
    <w:rsid w:val="002E7722"/>
    <w:rsid w:val="002F07BA"/>
    <w:rsid w:val="002F0BCA"/>
    <w:rsid w:val="002F0DA9"/>
    <w:rsid w:val="002F1014"/>
    <w:rsid w:val="002F3A3B"/>
    <w:rsid w:val="002F49D4"/>
    <w:rsid w:val="002F52E3"/>
    <w:rsid w:val="002F5AB9"/>
    <w:rsid w:val="002F5BAD"/>
    <w:rsid w:val="002F643C"/>
    <w:rsid w:val="002F6B7E"/>
    <w:rsid w:val="002F6CE8"/>
    <w:rsid w:val="002F71C0"/>
    <w:rsid w:val="002F74F1"/>
    <w:rsid w:val="002F75FA"/>
    <w:rsid w:val="002F78F3"/>
    <w:rsid w:val="00300766"/>
    <w:rsid w:val="00301017"/>
    <w:rsid w:val="0030155F"/>
    <w:rsid w:val="00302FD0"/>
    <w:rsid w:val="003031DD"/>
    <w:rsid w:val="003052B2"/>
    <w:rsid w:val="0030587B"/>
    <w:rsid w:val="00306D98"/>
    <w:rsid w:val="00307165"/>
    <w:rsid w:val="00307569"/>
    <w:rsid w:val="0030786C"/>
    <w:rsid w:val="003079F7"/>
    <w:rsid w:val="0031031A"/>
    <w:rsid w:val="00310402"/>
    <w:rsid w:val="00310981"/>
    <w:rsid w:val="003124D9"/>
    <w:rsid w:val="00312594"/>
    <w:rsid w:val="0031377D"/>
    <w:rsid w:val="00314282"/>
    <w:rsid w:val="00314D88"/>
    <w:rsid w:val="00315498"/>
    <w:rsid w:val="00316474"/>
    <w:rsid w:val="00320C8E"/>
    <w:rsid w:val="003212D5"/>
    <w:rsid w:val="0032151C"/>
    <w:rsid w:val="0032165E"/>
    <w:rsid w:val="00321C1A"/>
    <w:rsid w:val="00322107"/>
    <w:rsid w:val="00322355"/>
    <w:rsid w:val="00322846"/>
    <w:rsid w:val="00323CA2"/>
    <w:rsid w:val="00324B9D"/>
    <w:rsid w:val="00326DA7"/>
    <w:rsid w:val="003270E4"/>
    <w:rsid w:val="003309D3"/>
    <w:rsid w:val="00330DAA"/>
    <w:rsid w:val="00330F5C"/>
    <w:rsid w:val="0033152C"/>
    <w:rsid w:val="00331890"/>
    <w:rsid w:val="003319A7"/>
    <w:rsid w:val="003321BA"/>
    <w:rsid w:val="00332DA8"/>
    <w:rsid w:val="003333FB"/>
    <w:rsid w:val="003337F4"/>
    <w:rsid w:val="00333E00"/>
    <w:rsid w:val="003347D1"/>
    <w:rsid w:val="00334A4D"/>
    <w:rsid w:val="00334CEB"/>
    <w:rsid w:val="00334D01"/>
    <w:rsid w:val="00335054"/>
    <w:rsid w:val="00335BE2"/>
    <w:rsid w:val="003362DC"/>
    <w:rsid w:val="0033655C"/>
    <w:rsid w:val="003366C9"/>
    <w:rsid w:val="003370FD"/>
    <w:rsid w:val="00337157"/>
    <w:rsid w:val="003371B0"/>
    <w:rsid w:val="00337C18"/>
    <w:rsid w:val="00337D74"/>
    <w:rsid w:val="00340A62"/>
    <w:rsid w:val="00340DF1"/>
    <w:rsid w:val="00341F7E"/>
    <w:rsid w:val="00341FE3"/>
    <w:rsid w:val="00342BAB"/>
    <w:rsid w:val="00343CEB"/>
    <w:rsid w:val="00345875"/>
    <w:rsid w:val="0034616B"/>
    <w:rsid w:val="0034773C"/>
    <w:rsid w:val="003478C5"/>
    <w:rsid w:val="00347B51"/>
    <w:rsid w:val="00347FC7"/>
    <w:rsid w:val="00350732"/>
    <w:rsid w:val="00350852"/>
    <w:rsid w:val="003517F9"/>
    <w:rsid w:val="00351AAF"/>
    <w:rsid w:val="00351BA9"/>
    <w:rsid w:val="00351DA0"/>
    <w:rsid w:val="00351F6F"/>
    <w:rsid w:val="0035240F"/>
    <w:rsid w:val="003525AE"/>
    <w:rsid w:val="00352B08"/>
    <w:rsid w:val="003531E0"/>
    <w:rsid w:val="00353679"/>
    <w:rsid w:val="00353BC3"/>
    <w:rsid w:val="00353EAB"/>
    <w:rsid w:val="00354018"/>
    <w:rsid w:val="00354A8A"/>
    <w:rsid w:val="00354F64"/>
    <w:rsid w:val="003553DB"/>
    <w:rsid w:val="0035585A"/>
    <w:rsid w:val="00355B93"/>
    <w:rsid w:val="00355F74"/>
    <w:rsid w:val="003561D7"/>
    <w:rsid w:val="0035620E"/>
    <w:rsid w:val="0035789B"/>
    <w:rsid w:val="00357EBA"/>
    <w:rsid w:val="00360345"/>
    <w:rsid w:val="003614E5"/>
    <w:rsid w:val="003615E5"/>
    <w:rsid w:val="00361A05"/>
    <w:rsid w:val="00362093"/>
    <w:rsid w:val="003624C4"/>
    <w:rsid w:val="0036256C"/>
    <w:rsid w:val="003628B6"/>
    <w:rsid w:val="00362F1D"/>
    <w:rsid w:val="00363B00"/>
    <w:rsid w:val="00364169"/>
    <w:rsid w:val="00364BA1"/>
    <w:rsid w:val="00364D82"/>
    <w:rsid w:val="003654AC"/>
    <w:rsid w:val="003656FF"/>
    <w:rsid w:val="00365C5E"/>
    <w:rsid w:val="003665D2"/>
    <w:rsid w:val="003668E4"/>
    <w:rsid w:val="00366C4B"/>
    <w:rsid w:val="0036733C"/>
    <w:rsid w:val="003678DB"/>
    <w:rsid w:val="00367C51"/>
    <w:rsid w:val="00367DA4"/>
    <w:rsid w:val="0037036C"/>
    <w:rsid w:val="003703BB"/>
    <w:rsid w:val="003710CF"/>
    <w:rsid w:val="003719D9"/>
    <w:rsid w:val="0037272E"/>
    <w:rsid w:val="00372EFF"/>
    <w:rsid w:val="0037338C"/>
    <w:rsid w:val="0037358A"/>
    <w:rsid w:val="00373665"/>
    <w:rsid w:val="00374BD0"/>
    <w:rsid w:val="003750F6"/>
    <w:rsid w:val="00375606"/>
    <w:rsid w:val="00375669"/>
    <w:rsid w:val="00375FB2"/>
    <w:rsid w:val="00376006"/>
    <w:rsid w:val="003760FC"/>
    <w:rsid w:val="00377337"/>
    <w:rsid w:val="00377854"/>
    <w:rsid w:val="003800F7"/>
    <w:rsid w:val="00380FA2"/>
    <w:rsid w:val="00381909"/>
    <w:rsid w:val="00383360"/>
    <w:rsid w:val="0038365C"/>
    <w:rsid w:val="0038369B"/>
    <w:rsid w:val="00383B78"/>
    <w:rsid w:val="00383E3F"/>
    <w:rsid w:val="00383F2A"/>
    <w:rsid w:val="003845FA"/>
    <w:rsid w:val="00384B03"/>
    <w:rsid w:val="003854D8"/>
    <w:rsid w:val="00385708"/>
    <w:rsid w:val="00385A20"/>
    <w:rsid w:val="00385A9D"/>
    <w:rsid w:val="0038747F"/>
    <w:rsid w:val="00387541"/>
    <w:rsid w:val="003902B1"/>
    <w:rsid w:val="003905F9"/>
    <w:rsid w:val="0039179C"/>
    <w:rsid w:val="0039181C"/>
    <w:rsid w:val="00391F3F"/>
    <w:rsid w:val="00392962"/>
    <w:rsid w:val="00392DE2"/>
    <w:rsid w:val="00393304"/>
    <w:rsid w:val="00393943"/>
    <w:rsid w:val="00394350"/>
    <w:rsid w:val="00394638"/>
    <w:rsid w:val="0039541D"/>
    <w:rsid w:val="00395BDA"/>
    <w:rsid w:val="00396489"/>
    <w:rsid w:val="00396896"/>
    <w:rsid w:val="00396FD0"/>
    <w:rsid w:val="003970B5"/>
    <w:rsid w:val="00397794"/>
    <w:rsid w:val="003A02B7"/>
    <w:rsid w:val="003A0C8A"/>
    <w:rsid w:val="003A1A7A"/>
    <w:rsid w:val="003A1B83"/>
    <w:rsid w:val="003A1C2E"/>
    <w:rsid w:val="003A1F58"/>
    <w:rsid w:val="003A2392"/>
    <w:rsid w:val="003A2775"/>
    <w:rsid w:val="003A2831"/>
    <w:rsid w:val="003A32F8"/>
    <w:rsid w:val="003A3CB6"/>
    <w:rsid w:val="003A3ED1"/>
    <w:rsid w:val="003A44DB"/>
    <w:rsid w:val="003A5C6C"/>
    <w:rsid w:val="003A5C97"/>
    <w:rsid w:val="003A5FDB"/>
    <w:rsid w:val="003A6399"/>
    <w:rsid w:val="003A6A0E"/>
    <w:rsid w:val="003B0D14"/>
    <w:rsid w:val="003B0EB9"/>
    <w:rsid w:val="003B1274"/>
    <w:rsid w:val="003B1690"/>
    <w:rsid w:val="003B1F15"/>
    <w:rsid w:val="003B1F6C"/>
    <w:rsid w:val="003B2233"/>
    <w:rsid w:val="003B2755"/>
    <w:rsid w:val="003B2F35"/>
    <w:rsid w:val="003B30DB"/>
    <w:rsid w:val="003B3971"/>
    <w:rsid w:val="003B4852"/>
    <w:rsid w:val="003B4C75"/>
    <w:rsid w:val="003B4E94"/>
    <w:rsid w:val="003B55D1"/>
    <w:rsid w:val="003B5B61"/>
    <w:rsid w:val="003B63DF"/>
    <w:rsid w:val="003B69AA"/>
    <w:rsid w:val="003B7A4B"/>
    <w:rsid w:val="003C000A"/>
    <w:rsid w:val="003C0660"/>
    <w:rsid w:val="003C0A87"/>
    <w:rsid w:val="003C0F1D"/>
    <w:rsid w:val="003C1299"/>
    <w:rsid w:val="003C1654"/>
    <w:rsid w:val="003C1DFE"/>
    <w:rsid w:val="003C246C"/>
    <w:rsid w:val="003C332F"/>
    <w:rsid w:val="003C46E8"/>
    <w:rsid w:val="003C5542"/>
    <w:rsid w:val="003C5618"/>
    <w:rsid w:val="003C6A08"/>
    <w:rsid w:val="003C6EF2"/>
    <w:rsid w:val="003C73D2"/>
    <w:rsid w:val="003C73DC"/>
    <w:rsid w:val="003C7D19"/>
    <w:rsid w:val="003C7D2F"/>
    <w:rsid w:val="003D12ED"/>
    <w:rsid w:val="003D16F0"/>
    <w:rsid w:val="003D1828"/>
    <w:rsid w:val="003D1DE4"/>
    <w:rsid w:val="003D1E9A"/>
    <w:rsid w:val="003D22B0"/>
    <w:rsid w:val="003D2422"/>
    <w:rsid w:val="003D2B6E"/>
    <w:rsid w:val="003D39A1"/>
    <w:rsid w:val="003D3A7E"/>
    <w:rsid w:val="003D3FBF"/>
    <w:rsid w:val="003D4971"/>
    <w:rsid w:val="003D4A30"/>
    <w:rsid w:val="003D4DCC"/>
    <w:rsid w:val="003D6051"/>
    <w:rsid w:val="003D6C4E"/>
    <w:rsid w:val="003D7452"/>
    <w:rsid w:val="003D79BB"/>
    <w:rsid w:val="003D7C98"/>
    <w:rsid w:val="003D7D9D"/>
    <w:rsid w:val="003E0543"/>
    <w:rsid w:val="003E0B3D"/>
    <w:rsid w:val="003E0ED2"/>
    <w:rsid w:val="003E1CA2"/>
    <w:rsid w:val="003E1EA4"/>
    <w:rsid w:val="003E37AD"/>
    <w:rsid w:val="003E4657"/>
    <w:rsid w:val="003E6545"/>
    <w:rsid w:val="003E6C9C"/>
    <w:rsid w:val="003E749E"/>
    <w:rsid w:val="003E79EF"/>
    <w:rsid w:val="003F0760"/>
    <w:rsid w:val="003F0844"/>
    <w:rsid w:val="003F0E19"/>
    <w:rsid w:val="003F138D"/>
    <w:rsid w:val="003F145D"/>
    <w:rsid w:val="003F24E8"/>
    <w:rsid w:val="003F3105"/>
    <w:rsid w:val="003F364D"/>
    <w:rsid w:val="003F4156"/>
    <w:rsid w:val="003F4B63"/>
    <w:rsid w:val="003F5ADF"/>
    <w:rsid w:val="003F6561"/>
    <w:rsid w:val="003F6715"/>
    <w:rsid w:val="003F6FCD"/>
    <w:rsid w:val="003F7342"/>
    <w:rsid w:val="00400B29"/>
    <w:rsid w:val="004014FD"/>
    <w:rsid w:val="00401A30"/>
    <w:rsid w:val="00402935"/>
    <w:rsid w:val="00402B43"/>
    <w:rsid w:val="00403A06"/>
    <w:rsid w:val="00404284"/>
    <w:rsid w:val="004046BC"/>
    <w:rsid w:val="00404D03"/>
    <w:rsid w:val="0040504B"/>
    <w:rsid w:val="004059F4"/>
    <w:rsid w:val="00405A89"/>
    <w:rsid w:val="00405D75"/>
    <w:rsid w:val="0040695C"/>
    <w:rsid w:val="00406F17"/>
    <w:rsid w:val="0040724B"/>
    <w:rsid w:val="00407659"/>
    <w:rsid w:val="00407FE5"/>
    <w:rsid w:val="004101B0"/>
    <w:rsid w:val="00410326"/>
    <w:rsid w:val="00410708"/>
    <w:rsid w:val="00410EC7"/>
    <w:rsid w:val="00411239"/>
    <w:rsid w:val="004117AC"/>
    <w:rsid w:val="00411B39"/>
    <w:rsid w:val="004127A7"/>
    <w:rsid w:val="00413A1E"/>
    <w:rsid w:val="00413CCB"/>
    <w:rsid w:val="00414476"/>
    <w:rsid w:val="00414C2E"/>
    <w:rsid w:val="00414F2E"/>
    <w:rsid w:val="004151CF"/>
    <w:rsid w:val="00416364"/>
    <w:rsid w:val="0041685F"/>
    <w:rsid w:val="004168AB"/>
    <w:rsid w:val="0041703F"/>
    <w:rsid w:val="0042047F"/>
    <w:rsid w:val="00420AA6"/>
    <w:rsid w:val="00420B9F"/>
    <w:rsid w:val="0042192C"/>
    <w:rsid w:val="00422260"/>
    <w:rsid w:val="00422805"/>
    <w:rsid w:val="00423460"/>
    <w:rsid w:val="004234E7"/>
    <w:rsid w:val="00423E77"/>
    <w:rsid w:val="0042413F"/>
    <w:rsid w:val="00424642"/>
    <w:rsid w:val="00425626"/>
    <w:rsid w:val="00425F15"/>
    <w:rsid w:val="004266DF"/>
    <w:rsid w:val="004268AF"/>
    <w:rsid w:val="004270D0"/>
    <w:rsid w:val="0043087B"/>
    <w:rsid w:val="00430DBB"/>
    <w:rsid w:val="00431475"/>
    <w:rsid w:val="004319F8"/>
    <w:rsid w:val="00431E55"/>
    <w:rsid w:val="004321F6"/>
    <w:rsid w:val="0043288B"/>
    <w:rsid w:val="00433044"/>
    <w:rsid w:val="00433717"/>
    <w:rsid w:val="00433754"/>
    <w:rsid w:val="00433EEB"/>
    <w:rsid w:val="00434088"/>
    <w:rsid w:val="0043621B"/>
    <w:rsid w:val="00436284"/>
    <w:rsid w:val="0043636F"/>
    <w:rsid w:val="004371F9"/>
    <w:rsid w:val="004375B9"/>
    <w:rsid w:val="00437FBA"/>
    <w:rsid w:val="00440368"/>
    <w:rsid w:val="004408A9"/>
    <w:rsid w:val="0044135A"/>
    <w:rsid w:val="004417E6"/>
    <w:rsid w:val="00441C69"/>
    <w:rsid w:val="004428D0"/>
    <w:rsid w:val="00443444"/>
    <w:rsid w:val="00443CB7"/>
    <w:rsid w:val="00444185"/>
    <w:rsid w:val="004443A7"/>
    <w:rsid w:val="0044442C"/>
    <w:rsid w:val="00444A27"/>
    <w:rsid w:val="00445529"/>
    <w:rsid w:val="00445591"/>
    <w:rsid w:val="00445689"/>
    <w:rsid w:val="00445941"/>
    <w:rsid w:val="00446177"/>
    <w:rsid w:val="004464E9"/>
    <w:rsid w:val="004464EB"/>
    <w:rsid w:val="00446646"/>
    <w:rsid w:val="00446DFA"/>
    <w:rsid w:val="00447556"/>
    <w:rsid w:val="00447D26"/>
    <w:rsid w:val="00447DFC"/>
    <w:rsid w:val="00450889"/>
    <w:rsid w:val="00450C86"/>
    <w:rsid w:val="00451D66"/>
    <w:rsid w:val="00452786"/>
    <w:rsid w:val="004536B6"/>
    <w:rsid w:val="00453FBC"/>
    <w:rsid w:val="0045400C"/>
    <w:rsid w:val="004543E4"/>
    <w:rsid w:val="00454A56"/>
    <w:rsid w:val="0045597A"/>
    <w:rsid w:val="00455AF9"/>
    <w:rsid w:val="00455CC7"/>
    <w:rsid w:val="00455D10"/>
    <w:rsid w:val="00455D45"/>
    <w:rsid w:val="004564C6"/>
    <w:rsid w:val="00456F79"/>
    <w:rsid w:val="00457202"/>
    <w:rsid w:val="0045760B"/>
    <w:rsid w:val="00457752"/>
    <w:rsid w:val="004606AC"/>
    <w:rsid w:val="004611A4"/>
    <w:rsid w:val="0046171C"/>
    <w:rsid w:val="00461892"/>
    <w:rsid w:val="00463988"/>
    <w:rsid w:val="00463B4F"/>
    <w:rsid w:val="00464595"/>
    <w:rsid w:val="00464631"/>
    <w:rsid w:val="004658B5"/>
    <w:rsid w:val="00466502"/>
    <w:rsid w:val="00467901"/>
    <w:rsid w:val="00470142"/>
    <w:rsid w:val="00470A33"/>
    <w:rsid w:val="00471965"/>
    <w:rsid w:val="00471EA5"/>
    <w:rsid w:val="004720DD"/>
    <w:rsid w:val="00472A79"/>
    <w:rsid w:val="00473F19"/>
    <w:rsid w:val="004742FD"/>
    <w:rsid w:val="00474D8F"/>
    <w:rsid w:val="00475744"/>
    <w:rsid w:val="00475E22"/>
    <w:rsid w:val="00475F0B"/>
    <w:rsid w:val="00476062"/>
    <w:rsid w:val="00476C55"/>
    <w:rsid w:val="00476E3C"/>
    <w:rsid w:val="00477A4F"/>
    <w:rsid w:val="00480548"/>
    <w:rsid w:val="0048088E"/>
    <w:rsid w:val="00480F2B"/>
    <w:rsid w:val="0048147B"/>
    <w:rsid w:val="00481BCE"/>
    <w:rsid w:val="004823A2"/>
    <w:rsid w:val="00482720"/>
    <w:rsid w:val="004835E7"/>
    <w:rsid w:val="00483F5B"/>
    <w:rsid w:val="00484AAC"/>
    <w:rsid w:val="004860C9"/>
    <w:rsid w:val="00486223"/>
    <w:rsid w:val="004867E2"/>
    <w:rsid w:val="00486E40"/>
    <w:rsid w:val="00487091"/>
    <w:rsid w:val="00490B17"/>
    <w:rsid w:val="00490E62"/>
    <w:rsid w:val="00491278"/>
    <w:rsid w:val="00491A41"/>
    <w:rsid w:val="00491B3A"/>
    <w:rsid w:val="00492CFD"/>
    <w:rsid w:val="0049389B"/>
    <w:rsid w:val="00493BD5"/>
    <w:rsid w:val="00494207"/>
    <w:rsid w:val="00494DD5"/>
    <w:rsid w:val="0049585A"/>
    <w:rsid w:val="00495A27"/>
    <w:rsid w:val="004962D2"/>
    <w:rsid w:val="00496EF3"/>
    <w:rsid w:val="004A00D8"/>
    <w:rsid w:val="004A0173"/>
    <w:rsid w:val="004A0A63"/>
    <w:rsid w:val="004A0DA1"/>
    <w:rsid w:val="004A13D6"/>
    <w:rsid w:val="004A34EF"/>
    <w:rsid w:val="004A38C0"/>
    <w:rsid w:val="004A3A86"/>
    <w:rsid w:val="004A3F31"/>
    <w:rsid w:val="004A4BDE"/>
    <w:rsid w:val="004A52E9"/>
    <w:rsid w:val="004A5C78"/>
    <w:rsid w:val="004A6040"/>
    <w:rsid w:val="004A62FB"/>
    <w:rsid w:val="004A6355"/>
    <w:rsid w:val="004A6597"/>
    <w:rsid w:val="004A66AA"/>
    <w:rsid w:val="004A7848"/>
    <w:rsid w:val="004A7A5C"/>
    <w:rsid w:val="004A7D04"/>
    <w:rsid w:val="004A7EEF"/>
    <w:rsid w:val="004B0488"/>
    <w:rsid w:val="004B06E9"/>
    <w:rsid w:val="004B180C"/>
    <w:rsid w:val="004B1CB4"/>
    <w:rsid w:val="004B2275"/>
    <w:rsid w:val="004B2F18"/>
    <w:rsid w:val="004B3BD1"/>
    <w:rsid w:val="004B3DDB"/>
    <w:rsid w:val="004B408F"/>
    <w:rsid w:val="004B4157"/>
    <w:rsid w:val="004B44FD"/>
    <w:rsid w:val="004B4EBA"/>
    <w:rsid w:val="004B5317"/>
    <w:rsid w:val="004B583E"/>
    <w:rsid w:val="004B5CFC"/>
    <w:rsid w:val="004B6F79"/>
    <w:rsid w:val="004B774D"/>
    <w:rsid w:val="004C00EE"/>
    <w:rsid w:val="004C05E9"/>
    <w:rsid w:val="004C0B3D"/>
    <w:rsid w:val="004C1C34"/>
    <w:rsid w:val="004C1F3F"/>
    <w:rsid w:val="004C37C2"/>
    <w:rsid w:val="004C4381"/>
    <w:rsid w:val="004C4AED"/>
    <w:rsid w:val="004C54F2"/>
    <w:rsid w:val="004C5897"/>
    <w:rsid w:val="004C5CAA"/>
    <w:rsid w:val="004C6965"/>
    <w:rsid w:val="004C7A23"/>
    <w:rsid w:val="004C7B7E"/>
    <w:rsid w:val="004C7EC1"/>
    <w:rsid w:val="004D160A"/>
    <w:rsid w:val="004D18C6"/>
    <w:rsid w:val="004D2C2D"/>
    <w:rsid w:val="004D2EA3"/>
    <w:rsid w:val="004D3227"/>
    <w:rsid w:val="004D3630"/>
    <w:rsid w:val="004D4F1C"/>
    <w:rsid w:val="004D5546"/>
    <w:rsid w:val="004D5B53"/>
    <w:rsid w:val="004D6758"/>
    <w:rsid w:val="004D69B5"/>
    <w:rsid w:val="004D7227"/>
    <w:rsid w:val="004E05EF"/>
    <w:rsid w:val="004E0883"/>
    <w:rsid w:val="004E0E7F"/>
    <w:rsid w:val="004E0EB8"/>
    <w:rsid w:val="004E104C"/>
    <w:rsid w:val="004E1781"/>
    <w:rsid w:val="004E18E9"/>
    <w:rsid w:val="004E1AAB"/>
    <w:rsid w:val="004E2249"/>
    <w:rsid w:val="004E2341"/>
    <w:rsid w:val="004E2617"/>
    <w:rsid w:val="004E2ADC"/>
    <w:rsid w:val="004E431C"/>
    <w:rsid w:val="004E436E"/>
    <w:rsid w:val="004E43B2"/>
    <w:rsid w:val="004E4433"/>
    <w:rsid w:val="004E4EDE"/>
    <w:rsid w:val="004E5054"/>
    <w:rsid w:val="004E54DB"/>
    <w:rsid w:val="004E58AE"/>
    <w:rsid w:val="004E6662"/>
    <w:rsid w:val="004E6CB1"/>
    <w:rsid w:val="004F0256"/>
    <w:rsid w:val="004F0C3D"/>
    <w:rsid w:val="004F0D86"/>
    <w:rsid w:val="004F17EC"/>
    <w:rsid w:val="004F1D02"/>
    <w:rsid w:val="004F2679"/>
    <w:rsid w:val="004F2B9A"/>
    <w:rsid w:val="004F2F21"/>
    <w:rsid w:val="004F3984"/>
    <w:rsid w:val="004F3DE5"/>
    <w:rsid w:val="004F53D6"/>
    <w:rsid w:val="004F5664"/>
    <w:rsid w:val="004F6269"/>
    <w:rsid w:val="004F6913"/>
    <w:rsid w:val="004F6A6A"/>
    <w:rsid w:val="004F7865"/>
    <w:rsid w:val="004F7B1B"/>
    <w:rsid w:val="004F7F07"/>
    <w:rsid w:val="00500521"/>
    <w:rsid w:val="00500E3A"/>
    <w:rsid w:val="005014DA"/>
    <w:rsid w:val="0050154A"/>
    <w:rsid w:val="00501638"/>
    <w:rsid w:val="0050174E"/>
    <w:rsid w:val="00501854"/>
    <w:rsid w:val="00501E2C"/>
    <w:rsid w:val="0050219B"/>
    <w:rsid w:val="005037D7"/>
    <w:rsid w:val="00503AC7"/>
    <w:rsid w:val="00503EF3"/>
    <w:rsid w:val="00503F17"/>
    <w:rsid w:val="00504F36"/>
    <w:rsid w:val="005052A7"/>
    <w:rsid w:val="005053B6"/>
    <w:rsid w:val="00505A02"/>
    <w:rsid w:val="00505CA3"/>
    <w:rsid w:val="00506156"/>
    <w:rsid w:val="00506928"/>
    <w:rsid w:val="005077EF"/>
    <w:rsid w:val="005101EF"/>
    <w:rsid w:val="00510838"/>
    <w:rsid w:val="005110D5"/>
    <w:rsid w:val="005116D2"/>
    <w:rsid w:val="00511AD5"/>
    <w:rsid w:val="00511DC7"/>
    <w:rsid w:val="00512896"/>
    <w:rsid w:val="005133BC"/>
    <w:rsid w:val="00513BFB"/>
    <w:rsid w:val="005142C5"/>
    <w:rsid w:val="00514529"/>
    <w:rsid w:val="0051501B"/>
    <w:rsid w:val="005152B5"/>
    <w:rsid w:val="00515644"/>
    <w:rsid w:val="00515F22"/>
    <w:rsid w:val="005162F0"/>
    <w:rsid w:val="00516965"/>
    <w:rsid w:val="00517570"/>
    <w:rsid w:val="00517F21"/>
    <w:rsid w:val="005203CB"/>
    <w:rsid w:val="00520579"/>
    <w:rsid w:val="00521237"/>
    <w:rsid w:val="0052123C"/>
    <w:rsid w:val="00521319"/>
    <w:rsid w:val="00522082"/>
    <w:rsid w:val="0052291D"/>
    <w:rsid w:val="00522BC8"/>
    <w:rsid w:val="00522E16"/>
    <w:rsid w:val="005230F8"/>
    <w:rsid w:val="00523C28"/>
    <w:rsid w:val="005240ED"/>
    <w:rsid w:val="005245E3"/>
    <w:rsid w:val="00524DDF"/>
    <w:rsid w:val="00527354"/>
    <w:rsid w:val="00530390"/>
    <w:rsid w:val="005304E5"/>
    <w:rsid w:val="00531235"/>
    <w:rsid w:val="0053176B"/>
    <w:rsid w:val="0053225B"/>
    <w:rsid w:val="005330AB"/>
    <w:rsid w:val="005331DB"/>
    <w:rsid w:val="00534072"/>
    <w:rsid w:val="00534A84"/>
    <w:rsid w:val="00535406"/>
    <w:rsid w:val="00535B8E"/>
    <w:rsid w:val="00535DD9"/>
    <w:rsid w:val="00535E26"/>
    <w:rsid w:val="00535F4F"/>
    <w:rsid w:val="0053605D"/>
    <w:rsid w:val="00536B2C"/>
    <w:rsid w:val="00536F42"/>
    <w:rsid w:val="00537182"/>
    <w:rsid w:val="00537405"/>
    <w:rsid w:val="00540982"/>
    <w:rsid w:val="00541EDD"/>
    <w:rsid w:val="00542148"/>
    <w:rsid w:val="00542743"/>
    <w:rsid w:val="00542C2D"/>
    <w:rsid w:val="005431A8"/>
    <w:rsid w:val="00544B76"/>
    <w:rsid w:val="00545933"/>
    <w:rsid w:val="0054688F"/>
    <w:rsid w:val="00546C08"/>
    <w:rsid w:val="005471F9"/>
    <w:rsid w:val="005478BD"/>
    <w:rsid w:val="005478D8"/>
    <w:rsid w:val="005479E3"/>
    <w:rsid w:val="00547F5F"/>
    <w:rsid w:val="00550E88"/>
    <w:rsid w:val="005510B9"/>
    <w:rsid w:val="005514D5"/>
    <w:rsid w:val="00551985"/>
    <w:rsid w:val="00551D76"/>
    <w:rsid w:val="00552B2D"/>
    <w:rsid w:val="00552BD3"/>
    <w:rsid w:val="005532A0"/>
    <w:rsid w:val="005540BA"/>
    <w:rsid w:val="0055419F"/>
    <w:rsid w:val="00555109"/>
    <w:rsid w:val="00555374"/>
    <w:rsid w:val="00556162"/>
    <w:rsid w:val="00556985"/>
    <w:rsid w:val="00556B35"/>
    <w:rsid w:val="00556BB1"/>
    <w:rsid w:val="00557022"/>
    <w:rsid w:val="0055741A"/>
    <w:rsid w:val="00557C40"/>
    <w:rsid w:val="00560074"/>
    <w:rsid w:val="00560738"/>
    <w:rsid w:val="00560B08"/>
    <w:rsid w:val="005611B7"/>
    <w:rsid w:val="005618D4"/>
    <w:rsid w:val="00562C25"/>
    <w:rsid w:val="005638A7"/>
    <w:rsid w:val="00563C7C"/>
    <w:rsid w:val="0056500A"/>
    <w:rsid w:val="00565D35"/>
    <w:rsid w:val="00565DF0"/>
    <w:rsid w:val="005665C3"/>
    <w:rsid w:val="0056696F"/>
    <w:rsid w:val="005676E4"/>
    <w:rsid w:val="0056778B"/>
    <w:rsid w:val="00570381"/>
    <w:rsid w:val="005705F2"/>
    <w:rsid w:val="00570E97"/>
    <w:rsid w:val="00570FFC"/>
    <w:rsid w:val="0057112F"/>
    <w:rsid w:val="005714BF"/>
    <w:rsid w:val="00572269"/>
    <w:rsid w:val="0057244A"/>
    <w:rsid w:val="00572E52"/>
    <w:rsid w:val="00572F26"/>
    <w:rsid w:val="00572FCC"/>
    <w:rsid w:val="005750C5"/>
    <w:rsid w:val="005752DE"/>
    <w:rsid w:val="00575673"/>
    <w:rsid w:val="00575D8D"/>
    <w:rsid w:val="00576972"/>
    <w:rsid w:val="00576B02"/>
    <w:rsid w:val="00576C60"/>
    <w:rsid w:val="0057738D"/>
    <w:rsid w:val="005773FA"/>
    <w:rsid w:val="00577BC6"/>
    <w:rsid w:val="00581C27"/>
    <w:rsid w:val="005832A0"/>
    <w:rsid w:val="00583699"/>
    <w:rsid w:val="00583BD9"/>
    <w:rsid w:val="00584192"/>
    <w:rsid w:val="00584C90"/>
    <w:rsid w:val="00585CDD"/>
    <w:rsid w:val="0058644D"/>
    <w:rsid w:val="00587058"/>
    <w:rsid w:val="0058720D"/>
    <w:rsid w:val="005873B4"/>
    <w:rsid w:val="005903D9"/>
    <w:rsid w:val="00591957"/>
    <w:rsid w:val="00591BFC"/>
    <w:rsid w:val="0059254C"/>
    <w:rsid w:val="00592601"/>
    <w:rsid w:val="00593442"/>
    <w:rsid w:val="0059371B"/>
    <w:rsid w:val="005938E0"/>
    <w:rsid w:val="0059559B"/>
    <w:rsid w:val="005968A2"/>
    <w:rsid w:val="005977EB"/>
    <w:rsid w:val="00597BF9"/>
    <w:rsid w:val="005A0DF4"/>
    <w:rsid w:val="005A0E3F"/>
    <w:rsid w:val="005A0F4F"/>
    <w:rsid w:val="005A1136"/>
    <w:rsid w:val="005A1634"/>
    <w:rsid w:val="005A1CD7"/>
    <w:rsid w:val="005A1FCE"/>
    <w:rsid w:val="005A24CF"/>
    <w:rsid w:val="005A26D3"/>
    <w:rsid w:val="005A2BDA"/>
    <w:rsid w:val="005A2DBD"/>
    <w:rsid w:val="005A309A"/>
    <w:rsid w:val="005A373D"/>
    <w:rsid w:val="005A55B0"/>
    <w:rsid w:val="005A5711"/>
    <w:rsid w:val="005A613A"/>
    <w:rsid w:val="005A7079"/>
    <w:rsid w:val="005A7159"/>
    <w:rsid w:val="005A7D25"/>
    <w:rsid w:val="005B0754"/>
    <w:rsid w:val="005B0B58"/>
    <w:rsid w:val="005B2D84"/>
    <w:rsid w:val="005B3167"/>
    <w:rsid w:val="005B3E7E"/>
    <w:rsid w:val="005B4B41"/>
    <w:rsid w:val="005B4E53"/>
    <w:rsid w:val="005B54CD"/>
    <w:rsid w:val="005B57D5"/>
    <w:rsid w:val="005B5846"/>
    <w:rsid w:val="005B5857"/>
    <w:rsid w:val="005B5977"/>
    <w:rsid w:val="005B5F57"/>
    <w:rsid w:val="005B6156"/>
    <w:rsid w:val="005B70DD"/>
    <w:rsid w:val="005C0BFD"/>
    <w:rsid w:val="005C0ED8"/>
    <w:rsid w:val="005C13BE"/>
    <w:rsid w:val="005C1B83"/>
    <w:rsid w:val="005C25FF"/>
    <w:rsid w:val="005C2D55"/>
    <w:rsid w:val="005C346B"/>
    <w:rsid w:val="005C5157"/>
    <w:rsid w:val="005C5274"/>
    <w:rsid w:val="005C559B"/>
    <w:rsid w:val="005C69C6"/>
    <w:rsid w:val="005C7027"/>
    <w:rsid w:val="005C7A9C"/>
    <w:rsid w:val="005D044D"/>
    <w:rsid w:val="005D045D"/>
    <w:rsid w:val="005D0ABD"/>
    <w:rsid w:val="005D11F5"/>
    <w:rsid w:val="005D16AD"/>
    <w:rsid w:val="005D18AD"/>
    <w:rsid w:val="005D1DA4"/>
    <w:rsid w:val="005D24CF"/>
    <w:rsid w:val="005D26B4"/>
    <w:rsid w:val="005D2B1B"/>
    <w:rsid w:val="005D36E7"/>
    <w:rsid w:val="005D3A92"/>
    <w:rsid w:val="005D4091"/>
    <w:rsid w:val="005D40F8"/>
    <w:rsid w:val="005D4BDE"/>
    <w:rsid w:val="005D4FD9"/>
    <w:rsid w:val="005D5C3A"/>
    <w:rsid w:val="005D6D2E"/>
    <w:rsid w:val="005D6E21"/>
    <w:rsid w:val="005E0061"/>
    <w:rsid w:val="005E07A8"/>
    <w:rsid w:val="005E0814"/>
    <w:rsid w:val="005E0E3D"/>
    <w:rsid w:val="005E1390"/>
    <w:rsid w:val="005E2C82"/>
    <w:rsid w:val="005E4089"/>
    <w:rsid w:val="005E6AF2"/>
    <w:rsid w:val="005E6CBC"/>
    <w:rsid w:val="005E72FF"/>
    <w:rsid w:val="005E73C0"/>
    <w:rsid w:val="005E7E3B"/>
    <w:rsid w:val="005F0455"/>
    <w:rsid w:val="005F071D"/>
    <w:rsid w:val="005F087F"/>
    <w:rsid w:val="005F08DF"/>
    <w:rsid w:val="005F14BB"/>
    <w:rsid w:val="005F1859"/>
    <w:rsid w:val="005F1A2F"/>
    <w:rsid w:val="005F2706"/>
    <w:rsid w:val="005F28ED"/>
    <w:rsid w:val="005F405B"/>
    <w:rsid w:val="005F4366"/>
    <w:rsid w:val="005F46C6"/>
    <w:rsid w:val="005F498C"/>
    <w:rsid w:val="005F504D"/>
    <w:rsid w:val="005F52E6"/>
    <w:rsid w:val="005F5322"/>
    <w:rsid w:val="005F667B"/>
    <w:rsid w:val="005F6A8F"/>
    <w:rsid w:val="005F6BB7"/>
    <w:rsid w:val="005F6E0F"/>
    <w:rsid w:val="005F7472"/>
    <w:rsid w:val="005F7588"/>
    <w:rsid w:val="005F76C5"/>
    <w:rsid w:val="005F7768"/>
    <w:rsid w:val="005F7EF5"/>
    <w:rsid w:val="00600578"/>
    <w:rsid w:val="00600E08"/>
    <w:rsid w:val="006016E1"/>
    <w:rsid w:val="00601D9B"/>
    <w:rsid w:val="00602508"/>
    <w:rsid w:val="00602ACA"/>
    <w:rsid w:val="00602C47"/>
    <w:rsid w:val="0060325C"/>
    <w:rsid w:val="00603407"/>
    <w:rsid w:val="00603DB9"/>
    <w:rsid w:val="00604D0E"/>
    <w:rsid w:val="00604F96"/>
    <w:rsid w:val="00605A57"/>
    <w:rsid w:val="00606FBA"/>
    <w:rsid w:val="00607669"/>
    <w:rsid w:val="006076F4"/>
    <w:rsid w:val="00607929"/>
    <w:rsid w:val="00607AFD"/>
    <w:rsid w:val="00607E30"/>
    <w:rsid w:val="0061047E"/>
    <w:rsid w:val="00610C67"/>
    <w:rsid w:val="00611896"/>
    <w:rsid w:val="00611A9B"/>
    <w:rsid w:val="00611C44"/>
    <w:rsid w:val="00612F97"/>
    <w:rsid w:val="0061345D"/>
    <w:rsid w:val="0061349C"/>
    <w:rsid w:val="006136C8"/>
    <w:rsid w:val="00613DB0"/>
    <w:rsid w:val="00613F88"/>
    <w:rsid w:val="006148CC"/>
    <w:rsid w:val="00615468"/>
    <w:rsid w:val="0061549B"/>
    <w:rsid w:val="00616122"/>
    <w:rsid w:val="00616802"/>
    <w:rsid w:val="00616B0D"/>
    <w:rsid w:val="00617E12"/>
    <w:rsid w:val="0062047E"/>
    <w:rsid w:val="00620C25"/>
    <w:rsid w:val="0062122D"/>
    <w:rsid w:val="00621453"/>
    <w:rsid w:val="00621477"/>
    <w:rsid w:val="0062147A"/>
    <w:rsid w:val="00621ADA"/>
    <w:rsid w:val="00621EB0"/>
    <w:rsid w:val="0062306E"/>
    <w:rsid w:val="00623F7B"/>
    <w:rsid w:val="00623FF4"/>
    <w:rsid w:val="0062538F"/>
    <w:rsid w:val="00625EC9"/>
    <w:rsid w:val="006260FA"/>
    <w:rsid w:val="00626CFB"/>
    <w:rsid w:val="00626D2F"/>
    <w:rsid w:val="00627894"/>
    <w:rsid w:val="00627ED6"/>
    <w:rsid w:val="0063158F"/>
    <w:rsid w:val="00631D6B"/>
    <w:rsid w:val="00632021"/>
    <w:rsid w:val="00632183"/>
    <w:rsid w:val="00632ABD"/>
    <w:rsid w:val="00632BF8"/>
    <w:rsid w:val="00632F55"/>
    <w:rsid w:val="006330A1"/>
    <w:rsid w:val="00633AE6"/>
    <w:rsid w:val="00634224"/>
    <w:rsid w:val="006344B0"/>
    <w:rsid w:val="0063479F"/>
    <w:rsid w:val="00634B20"/>
    <w:rsid w:val="00634BD3"/>
    <w:rsid w:val="00634CCE"/>
    <w:rsid w:val="006353D2"/>
    <w:rsid w:val="006353F0"/>
    <w:rsid w:val="006357B5"/>
    <w:rsid w:val="00635BF6"/>
    <w:rsid w:val="00635F3A"/>
    <w:rsid w:val="00636138"/>
    <w:rsid w:val="006364A1"/>
    <w:rsid w:val="0063678E"/>
    <w:rsid w:val="00636A14"/>
    <w:rsid w:val="00636D75"/>
    <w:rsid w:val="006370AB"/>
    <w:rsid w:val="00637BFD"/>
    <w:rsid w:val="00640ED3"/>
    <w:rsid w:val="0064172A"/>
    <w:rsid w:val="006419B4"/>
    <w:rsid w:val="00641C4E"/>
    <w:rsid w:val="00641FB3"/>
    <w:rsid w:val="00642409"/>
    <w:rsid w:val="00642543"/>
    <w:rsid w:val="0064285C"/>
    <w:rsid w:val="00642FE9"/>
    <w:rsid w:val="00643415"/>
    <w:rsid w:val="00643C17"/>
    <w:rsid w:val="0064416B"/>
    <w:rsid w:val="00644233"/>
    <w:rsid w:val="0064434C"/>
    <w:rsid w:val="006448D8"/>
    <w:rsid w:val="00644C05"/>
    <w:rsid w:val="00644D6B"/>
    <w:rsid w:val="006457F7"/>
    <w:rsid w:val="006461F6"/>
    <w:rsid w:val="00646A53"/>
    <w:rsid w:val="006471CC"/>
    <w:rsid w:val="00647A11"/>
    <w:rsid w:val="00647A29"/>
    <w:rsid w:val="00647E11"/>
    <w:rsid w:val="00650503"/>
    <w:rsid w:val="00650586"/>
    <w:rsid w:val="0065079F"/>
    <w:rsid w:val="00650B50"/>
    <w:rsid w:val="00651372"/>
    <w:rsid w:val="00651BD1"/>
    <w:rsid w:val="00652A28"/>
    <w:rsid w:val="0065379F"/>
    <w:rsid w:val="00653F41"/>
    <w:rsid w:val="00653F5F"/>
    <w:rsid w:val="006550CD"/>
    <w:rsid w:val="00655AF6"/>
    <w:rsid w:val="00655FEC"/>
    <w:rsid w:val="00656188"/>
    <w:rsid w:val="00656F4A"/>
    <w:rsid w:val="0065715A"/>
    <w:rsid w:val="0065753A"/>
    <w:rsid w:val="0065754A"/>
    <w:rsid w:val="006610F1"/>
    <w:rsid w:val="00661C6B"/>
    <w:rsid w:val="0066275E"/>
    <w:rsid w:val="0066285A"/>
    <w:rsid w:val="006648F2"/>
    <w:rsid w:val="006654FE"/>
    <w:rsid w:val="006655B8"/>
    <w:rsid w:val="00666C0C"/>
    <w:rsid w:val="00667E73"/>
    <w:rsid w:val="0067057F"/>
    <w:rsid w:val="00670787"/>
    <w:rsid w:val="006707F1"/>
    <w:rsid w:val="00671004"/>
    <w:rsid w:val="006714FB"/>
    <w:rsid w:val="00671A9B"/>
    <w:rsid w:val="006720ED"/>
    <w:rsid w:val="00672646"/>
    <w:rsid w:val="00672CCF"/>
    <w:rsid w:val="00673EA8"/>
    <w:rsid w:val="00674E42"/>
    <w:rsid w:val="00675637"/>
    <w:rsid w:val="00675712"/>
    <w:rsid w:val="00675FCF"/>
    <w:rsid w:val="00676834"/>
    <w:rsid w:val="00676D02"/>
    <w:rsid w:val="00676FB7"/>
    <w:rsid w:val="006771B8"/>
    <w:rsid w:val="00680AE7"/>
    <w:rsid w:val="006813F8"/>
    <w:rsid w:val="00681DB3"/>
    <w:rsid w:val="006820D9"/>
    <w:rsid w:val="00682112"/>
    <w:rsid w:val="006823F5"/>
    <w:rsid w:val="00682AF0"/>
    <w:rsid w:val="00682BA6"/>
    <w:rsid w:val="00682D52"/>
    <w:rsid w:val="00683E63"/>
    <w:rsid w:val="00684141"/>
    <w:rsid w:val="00684148"/>
    <w:rsid w:val="00685B8D"/>
    <w:rsid w:val="00686957"/>
    <w:rsid w:val="006872BA"/>
    <w:rsid w:val="006872C2"/>
    <w:rsid w:val="00687398"/>
    <w:rsid w:val="00687E24"/>
    <w:rsid w:val="00690104"/>
    <w:rsid w:val="00690750"/>
    <w:rsid w:val="00690795"/>
    <w:rsid w:val="006907FC"/>
    <w:rsid w:val="0069092E"/>
    <w:rsid w:val="00690992"/>
    <w:rsid w:val="006914E7"/>
    <w:rsid w:val="00691648"/>
    <w:rsid w:val="006917D7"/>
    <w:rsid w:val="00691B55"/>
    <w:rsid w:val="006921FA"/>
    <w:rsid w:val="00692438"/>
    <w:rsid w:val="00692DDB"/>
    <w:rsid w:val="00693719"/>
    <w:rsid w:val="0069382F"/>
    <w:rsid w:val="0069434C"/>
    <w:rsid w:val="0069499A"/>
    <w:rsid w:val="00694F44"/>
    <w:rsid w:val="0069588A"/>
    <w:rsid w:val="00696597"/>
    <w:rsid w:val="00696F51"/>
    <w:rsid w:val="00697987"/>
    <w:rsid w:val="006979A5"/>
    <w:rsid w:val="006A4251"/>
    <w:rsid w:val="006A4704"/>
    <w:rsid w:val="006A5DA0"/>
    <w:rsid w:val="006A65C7"/>
    <w:rsid w:val="006A69E3"/>
    <w:rsid w:val="006A6B99"/>
    <w:rsid w:val="006A74A6"/>
    <w:rsid w:val="006A7E5F"/>
    <w:rsid w:val="006B0FD9"/>
    <w:rsid w:val="006B261B"/>
    <w:rsid w:val="006B2C90"/>
    <w:rsid w:val="006B34BC"/>
    <w:rsid w:val="006B35E6"/>
    <w:rsid w:val="006B3E4B"/>
    <w:rsid w:val="006B453A"/>
    <w:rsid w:val="006B45BB"/>
    <w:rsid w:val="006B465A"/>
    <w:rsid w:val="006B590E"/>
    <w:rsid w:val="006B6357"/>
    <w:rsid w:val="006B6A94"/>
    <w:rsid w:val="006B6DD0"/>
    <w:rsid w:val="006B7C21"/>
    <w:rsid w:val="006C0399"/>
    <w:rsid w:val="006C060F"/>
    <w:rsid w:val="006C0A02"/>
    <w:rsid w:val="006C1634"/>
    <w:rsid w:val="006C1E17"/>
    <w:rsid w:val="006C1FD0"/>
    <w:rsid w:val="006C25D1"/>
    <w:rsid w:val="006C2A8E"/>
    <w:rsid w:val="006C3255"/>
    <w:rsid w:val="006C3F26"/>
    <w:rsid w:val="006C3F87"/>
    <w:rsid w:val="006C4237"/>
    <w:rsid w:val="006C4299"/>
    <w:rsid w:val="006C4DA4"/>
    <w:rsid w:val="006C4F04"/>
    <w:rsid w:val="006C52BA"/>
    <w:rsid w:val="006C6405"/>
    <w:rsid w:val="006C6ABE"/>
    <w:rsid w:val="006C77B0"/>
    <w:rsid w:val="006D0D17"/>
    <w:rsid w:val="006D221E"/>
    <w:rsid w:val="006D31A3"/>
    <w:rsid w:val="006D32B7"/>
    <w:rsid w:val="006D3761"/>
    <w:rsid w:val="006D3C7D"/>
    <w:rsid w:val="006D4266"/>
    <w:rsid w:val="006D43B2"/>
    <w:rsid w:val="006D4643"/>
    <w:rsid w:val="006D4659"/>
    <w:rsid w:val="006D47CE"/>
    <w:rsid w:val="006D4F28"/>
    <w:rsid w:val="006D5D5F"/>
    <w:rsid w:val="006D68FB"/>
    <w:rsid w:val="006D6AE9"/>
    <w:rsid w:val="006D7325"/>
    <w:rsid w:val="006E0AB3"/>
    <w:rsid w:val="006E0F16"/>
    <w:rsid w:val="006E1223"/>
    <w:rsid w:val="006E16D1"/>
    <w:rsid w:val="006E1AA0"/>
    <w:rsid w:val="006E221C"/>
    <w:rsid w:val="006E2868"/>
    <w:rsid w:val="006E2984"/>
    <w:rsid w:val="006E41F5"/>
    <w:rsid w:val="006E4EEE"/>
    <w:rsid w:val="006E5CD0"/>
    <w:rsid w:val="006E6F11"/>
    <w:rsid w:val="006E73C2"/>
    <w:rsid w:val="006E74E9"/>
    <w:rsid w:val="006F023B"/>
    <w:rsid w:val="006F0612"/>
    <w:rsid w:val="006F1212"/>
    <w:rsid w:val="006F1AEB"/>
    <w:rsid w:val="006F1D93"/>
    <w:rsid w:val="006F306C"/>
    <w:rsid w:val="006F3240"/>
    <w:rsid w:val="006F346D"/>
    <w:rsid w:val="006F36EE"/>
    <w:rsid w:val="006F5457"/>
    <w:rsid w:val="006F63A5"/>
    <w:rsid w:val="006F651C"/>
    <w:rsid w:val="006F7263"/>
    <w:rsid w:val="006F7C6D"/>
    <w:rsid w:val="0070142B"/>
    <w:rsid w:val="007014B4"/>
    <w:rsid w:val="00701A41"/>
    <w:rsid w:val="0070276E"/>
    <w:rsid w:val="00702F8F"/>
    <w:rsid w:val="007030B8"/>
    <w:rsid w:val="00703332"/>
    <w:rsid w:val="007051A8"/>
    <w:rsid w:val="00706B03"/>
    <w:rsid w:val="007079FC"/>
    <w:rsid w:val="00707F88"/>
    <w:rsid w:val="00710CB3"/>
    <w:rsid w:val="00711A36"/>
    <w:rsid w:val="0071310F"/>
    <w:rsid w:val="00713A26"/>
    <w:rsid w:val="00714598"/>
    <w:rsid w:val="00714C26"/>
    <w:rsid w:val="0071529C"/>
    <w:rsid w:val="0071549F"/>
    <w:rsid w:val="00715A71"/>
    <w:rsid w:val="00715CF8"/>
    <w:rsid w:val="007161C4"/>
    <w:rsid w:val="007166D6"/>
    <w:rsid w:val="007167E8"/>
    <w:rsid w:val="007169EF"/>
    <w:rsid w:val="00716FA9"/>
    <w:rsid w:val="00717044"/>
    <w:rsid w:val="007170B4"/>
    <w:rsid w:val="007170DA"/>
    <w:rsid w:val="007172AD"/>
    <w:rsid w:val="00717425"/>
    <w:rsid w:val="00717517"/>
    <w:rsid w:val="0072003E"/>
    <w:rsid w:val="00720801"/>
    <w:rsid w:val="00721937"/>
    <w:rsid w:val="00722B1B"/>
    <w:rsid w:val="00722DC5"/>
    <w:rsid w:val="007236C2"/>
    <w:rsid w:val="00723D26"/>
    <w:rsid w:val="00724019"/>
    <w:rsid w:val="0072416F"/>
    <w:rsid w:val="00724769"/>
    <w:rsid w:val="00725055"/>
    <w:rsid w:val="00725E6A"/>
    <w:rsid w:val="007264D2"/>
    <w:rsid w:val="00727048"/>
    <w:rsid w:val="0072793A"/>
    <w:rsid w:val="00727C94"/>
    <w:rsid w:val="00727DA3"/>
    <w:rsid w:val="007305B3"/>
    <w:rsid w:val="0073090B"/>
    <w:rsid w:val="00730CA2"/>
    <w:rsid w:val="00731AA9"/>
    <w:rsid w:val="00731B0A"/>
    <w:rsid w:val="00731B78"/>
    <w:rsid w:val="00731EAE"/>
    <w:rsid w:val="007322E6"/>
    <w:rsid w:val="007323C5"/>
    <w:rsid w:val="0073250D"/>
    <w:rsid w:val="0073271C"/>
    <w:rsid w:val="00733073"/>
    <w:rsid w:val="007342C9"/>
    <w:rsid w:val="00735033"/>
    <w:rsid w:val="00735328"/>
    <w:rsid w:val="00735675"/>
    <w:rsid w:val="0073593E"/>
    <w:rsid w:val="007359C8"/>
    <w:rsid w:val="0073685B"/>
    <w:rsid w:val="0073690A"/>
    <w:rsid w:val="00737572"/>
    <w:rsid w:val="00737B89"/>
    <w:rsid w:val="0074018B"/>
    <w:rsid w:val="00741212"/>
    <w:rsid w:val="00742C6C"/>
    <w:rsid w:val="0074342A"/>
    <w:rsid w:val="00744887"/>
    <w:rsid w:val="007449BF"/>
    <w:rsid w:val="00744AD0"/>
    <w:rsid w:val="00744EEB"/>
    <w:rsid w:val="007452E6"/>
    <w:rsid w:val="007453A6"/>
    <w:rsid w:val="00746762"/>
    <w:rsid w:val="00746BC0"/>
    <w:rsid w:val="00747AD6"/>
    <w:rsid w:val="00747DEA"/>
    <w:rsid w:val="00750FFF"/>
    <w:rsid w:val="00751034"/>
    <w:rsid w:val="007510B4"/>
    <w:rsid w:val="00752142"/>
    <w:rsid w:val="007523F9"/>
    <w:rsid w:val="00752613"/>
    <w:rsid w:val="007527EA"/>
    <w:rsid w:val="0075357E"/>
    <w:rsid w:val="00753B22"/>
    <w:rsid w:val="00754465"/>
    <w:rsid w:val="00754EDD"/>
    <w:rsid w:val="00755911"/>
    <w:rsid w:val="00755979"/>
    <w:rsid w:val="00757184"/>
    <w:rsid w:val="007573E8"/>
    <w:rsid w:val="00760C4C"/>
    <w:rsid w:val="00760C4E"/>
    <w:rsid w:val="00760F9E"/>
    <w:rsid w:val="007625FB"/>
    <w:rsid w:val="007627BE"/>
    <w:rsid w:val="007627C1"/>
    <w:rsid w:val="00763AB8"/>
    <w:rsid w:val="00763BC3"/>
    <w:rsid w:val="00764D32"/>
    <w:rsid w:val="00764D90"/>
    <w:rsid w:val="00764F03"/>
    <w:rsid w:val="007655CC"/>
    <w:rsid w:val="00765B1A"/>
    <w:rsid w:val="00766339"/>
    <w:rsid w:val="007671E4"/>
    <w:rsid w:val="007676EA"/>
    <w:rsid w:val="00767F60"/>
    <w:rsid w:val="0077073B"/>
    <w:rsid w:val="00770EEA"/>
    <w:rsid w:val="0077110F"/>
    <w:rsid w:val="00771248"/>
    <w:rsid w:val="00771519"/>
    <w:rsid w:val="007715ED"/>
    <w:rsid w:val="007738CD"/>
    <w:rsid w:val="00773B4B"/>
    <w:rsid w:val="00774A0F"/>
    <w:rsid w:val="00774B11"/>
    <w:rsid w:val="00774F09"/>
    <w:rsid w:val="00776339"/>
    <w:rsid w:val="007767DC"/>
    <w:rsid w:val="00777072"/>
    <w:rsid w:val="00777335"/>
    <w:rsid w:val="007774EC"/>
    <w:rsid w:val="00777894"/>
    <w:rsid w:val="00777E82"/>
    <w:rsid w:val="00782677"/>
    <w:rsid w:val="007826BB"/>
    <w:rsid w:val="00782DAF"/>
    <w:rsid w:val="00783C3A"/>
    <w:rsid w:val="007843D0"/>
    <w:rsid w:val="007843F2"/>
    <w:rsid w:val="0078458A"/>
    <w:rsid w:val="00785A9F"/>
    <w:rsid w:val="007865B6"/>
    <w:rsid w:val="007871B1"/>
    <w:rsid w:val="0079001E"/>
    <w:rsid w:val="00790329"/>
    <w:rsid w:val="0079075D"/>
    <w:rsid w:val="00790F45"/>
    <w:rsid w:val="007925DF"/>
    <w:rsid w:val="00792836"/>
    <w:rsid w:val="007936D5"/>
    <w:rsid w:val="00793BB0"/>
    <w:rsid w:val="007942AF"/>
    <w:rsid w:val="007943D3"/>
    <w:rsid w:val="007948A1"/>
    <w:rsid w:val="00794DF8"/>
    <w:rsid w:val="007958B1"/>
    <w:rsid w:val="00796297"/>
    <w:rsid w:val="00797176"/>
    <w:rsid w:val="00797692"/>
    <w:rsid w:val="00797817"/>
    <w:rsid w:val="007A06FA"/>
    <w:rsid w:val="007A07DD"/>
    <w:rsid w:val="007A08AA"/>
    <w:rsid w:val="007A0A12"/>
    <w:rsid w:val="007A0F9A"/>
    <w:rsid w:val="007A132D"/>
    <w:rsid w:val="007A1345"/>
    <w:rsid w:val="007A1378"/>
    <w:rsid w:val="007A2DDB"/>
    <w:rsid w:val="007A32DF"/>
    <w:rsid w:val="007A32E6"/>
    <w:rsid w:val="007A3405"/>
    <w:rsid w:val="007A3830"/>
    <w:rsid w:val="007A4266"/>
    <w:rsid w:val="007A44D4"/>
    <w:rsid w:val="007A6FFA"/>
    <w:rsid w:val="007A70BA"/>
    <w:rsid w:val="007A7910"/>
    <w:rsid w:val="007A7FB4"/>
    <w:rsid w:val="007A7FE3"/>
    <w:rsid w:val="007B0418"/>
    <w:rsid w:val="007B0D68"/>
    <w:rsid w:val="007B1147"/>
    <w:rsid w:val="007B1486"/>
    <w:rsid w:val="007B18F7"/>
    <w:rsid w:val="007B2020"/>
    <w:rsid w:val="007B23DD"/>
    <w:rsid w:val="007B251D"/>
    <w:rsid w:val="007B25C8"/>
    <w:rsid w:val="007B41A5"/>
    <w:rsid w:val="007B44E0"/>
    <w:rsid w:val="007B48C1"/>
    <w:rsid w:val="007B4D43"/>
    <w:rsid w:val="007B4F58"/>
    <w:rsid w:val="007B51AE"/>
    <w:rsid w:val="007B528D"/>
    <w:rsid w:val="007B5C55"/>
    <w:rsid w:val="007B6050"/>
    <w:rsid w:val="007B625A"/>
    <w:rsid w:val="007B63CA"/>
    <w:rsid w:val="007B6AE4"/>
    <w:rsid w:val="007B6B48"/>
    <w:rsid w:val="007B6E8C"/>
    <w:rsid w:val="007B72C9"/>
    <w:rsid w:val="007B77D1"/>
    <w:rsid w:val="007B77E8"/>
    <w:rsid w:val="007B7E33"/>
    <w:rsid w:val="007C045E"/>
    <w:rsid w:val="007C068D"/>
    <w:rsid w:val="007C07C7"/>
    <w:rsid w:val="007C0B96"/>
    <w:rsid w:val="007C14FD"/>
    <w:rsid w:val="007C1CD9"/>
    <w:rsid w:val="007C22D2"/>
    <w:rsid w:val="007C2B76"/>
    <w:rsid w:val="007C32EF"/>
    <w:rsid w:val="007C361D"/>
    <w:rsid w:val="007C4B84"/>
    <w:rsid w:val="007C4F8A"/>
    <w:rsid w:val="007C58B3"/>
    <w:rsid w:val="007C5B26"/>
    <w:rsid w:val="007C66F9"/>
    <w:rsid w:val="007C6A43"/>
    <w:rsid w:val="007C70FF"/>
    <w:rsid w:val="007C7622"/>
    <w:rsid w:val="007C7C25"/>
    <w:rsid w:val="007C7D0B"/>
    <w:rsid w:val="007D004F"/>
    <w:rsid w:val="007D0B38"/>
    <w:rsid w:val="007D338E"/>
    <w:rsid w:val="007D3A76"/>
    <w:rsid w:val="007D42F8"/>
    <w:rsid w:val="007D5440"/>
    <w:rsid w:val="007D685D"/>
    <w:rsid w:val="007D69EB"/>
    <w:rsid w:val="007D72FF"/>
    <w:rsid w:val="007E128F"/>
    <w:rsid w:val="007E1871"/>
    <w:rsid w:val="007E20F8"/>
    <w:rsid w:val="007E20FB"/>
    <w:rsid w:val="007E2CDD"/>
    <w:rsid w:val="007E2E0B"/>
    <w:rsid w:val="007E2E50"/>
    <w:rsid w:val="007E3FC4"/>
    <w:rsid w:val="007E42EF"/>
    <w:rsid w:val="007E4E1F"/>
    <w:rsid w:val="007E5027"/>
    <w:rsid w:val="007E520F"/>
    <w:rsid w:val="007E5F8E"/>
    <w:rsid w:val="007E6742"/>
    <w:rsid w:val="007E6C45"/>
    <w:rsid w:val="007E6F5B"/>
    <w:rsid w:val="007E764C"/>
    <w:rsid w:val="007F07BD"/>
    <w:rsid w:val="007F0BDF"/>
    <w:rsid w:val="007F1017"/>
    <w:rsid w:val="007F10B7"/>
    <w:rsid w:val="007F167B"/>
    <w:rsid w:val="007F23F7"/>
    <w:rsid w:val="007F33D0"/>
    <w:rsid w:val="007F4031"/>
    <w:rsid w:val="007F4505"/>
    <w:rsid w:val="007F4A3F"/>
    <w:rsid w:val="007F4A61"/>
    <w:rsid w:val="007F4E77"/>
    <w:rsid w:val="007F5255"/>
    <w:rsid w:val="007F56CC"/>
    <w:rsid w:val="007F61C2"/>
    <w:rsid w:val="007F6344"/>
    <w:rsid w:val="007F670D"/>
    <w:rsid w:val="007F6AFE"/>
    <w:rsid w:val="0080014B"/>
    <w:rsid w:val="0080052C"/>
    <w:rsid w:val="0080188D"/>
    <w:rsid w:val="00801D53"/>
    <w:rsid w:val="00803B69"/>
    <w:rsid w:val="00803BDC"/>
    <w:rsid w:val="00805098"/>
    <w:rsid w:val="00805142"/>
    <w:rsid w:val="008056F8"/>
    <w:rsid w:val="00805FCE"/>
    <w:rsid w:val="008063ED"/>
    <w:rsid w:val="00806EAD"/>
    <w:rsid w:val="00807060"/>
    <w:rsid w:val="00807633"/>
    <w:rsid w:val="00807A8B"/>
    <w:rsid w:val="00810303"/>
    <w:rsid w:val="00810B87"/>
    <w:rsid w:val="00810EE0"/>
    <w:rsid w:val="00811383"/>
    <w:rsid w:val="00811B60"/>
    <w:rsid w:val="00812149"/>
    <w:rsid w:val="00812CAC"/>
    <w:rsid w:val="00815601"/>
    <w:rsid w:val="00816361"/>
    <w:rsid w:val="008166EF"/>
    <w:rsid w:val="00816EE9"/>
    <w:rsid w:val="00816FEF"/>
    <w:rsid w:val="00817699"/>
    <w:rsid w:val="00817DB8"/>
    <w:rsid w:val="008206B3"/>
    <w:rsid w:val="00820A8C"/>
    <w:rsid w:val="00820C9B"/>
    <w:rsid w:val="00820EF3"/>
    <w:rsid w:val="008215FB"/>
    <w:rsid w:val="00821A1B"/>
    <w:rsid w:val="00822567"/>
    <w:rsid w:val="00822B48"/>
    <w:rsid w:val="00823174"/>
    <w:rsid w:val="00824BE2"/>
    <w:rsid w:val="0082524F"/>
    <w:rsid w:val="0082547F"/>
    <w:rsid w:val="00825751"/>
    <w:rsid w:val="008260F8"/>
    <w:rsid w:val="008264EB"/>
    <w:rsid w:val="0082654A"/>
    <w:rsid w:val="00826C41"/>
    <w:rsid w:val="00827B81"/>
    <w:rsid w:val="00827C44"/>
    <w:rsid w:val="00830A74"/>
    <w:rsid w:val="0083197F"/>
    <w:rsid w:val="00831E24"/>
    <w:rsid w:val="00832665"/>
    <w:rsid w:val="00833951"/>
    <w:rsid w:val="00833B05"/>
    <w:rsid w:val="00833E27"/>
    <w:rsid w:val="00833EE3"/>
    <w:rsid w:val="0083484B"/>
    <w:rsid w:val="00834AC2"/>
    <w:rsid w:val="008352EB"/>
    <w:rsid w:val="00835355"/>
    <w:rsid w:val="00836249"/>
    <w:rsid w:val="008362B4"/>
    <w:rsid w:val="00837CE2"/>
    <w:rsid w:val="008401A0"/>
    <w:rsid w:val="00840501"/>
    <w:rsid w:val="00840A21"/>
    <w:rsid w:val="00840CA2"/>
    <w:rsid w:val="008429D4"/>
    <w:rsid w:val="0084368B"/>
    <w:rsid w:val="0084374F"/>
    <w:rsid w:val="00843DCA"/>
    <w:rsid w:val="00844554"/>
    <w:rsid w:val="0084464D"/>
    <w:rsid w:val="00844863"/>
    <w:rsid w:val="00844A22"/>
    <w:rsid w:val="00845BAC"/>
    <w:rsid w:val="00845CB5"/>
    <w:rsid w:val="008473E6"/>
    <w:rsid w:val="00847703"/>
    <w:rsid w:val="00847DF5"/>
    <w:rsid w:val="00850963"/>
    <w:rsid w:val="00851218"/>
    <w:rsid w:val="0085181D"/>
    <w:rsid w:val="0085309D"/>
    <w:rsid w:val="00853AB7"/>
    <w:rsid w:val="008541C3"/>
    <w:rsid w:val="00854498"/>
    <w:rsid w:val="00855F3F"/>
    <w:rsid w:val="008561E2"/>
    <w:rsid w:val="00856897"/>
    <w:rsid w:val="0085690E"/>
    <w:rsid w:val="00856E9A"/>
    <w:rsid w:val="00856EDF"/>
    <w:rsid w:val="00860040"/>
    <w:rsid w:val="0086075D"/>
    <w:rsid w:val="00860C46"/>
    <w:rsid w:val="00862502"/>
    <w:rsid w:val="00862CC1"/>
    <w:rsid w:val="00862EAB"/>
    <w:rsid w:val="00863314"/>
    <w:rsid w:val="0086353D"/>
    <w:rsid w:val="00863886"/>
    <w:rsid w:val="008640AB"/>
    <w:rsid w:val="00864DF4"/>
    <w:rsid w:val="00865DEC"/>
    <w:rsid w:val="008660D4"/>
    <w:rsid w:val="0086629D"/>
    <w:rsid w:val="008666C5"/>
    <w:rsid w:val="0086714A"/>
    <w:rsid w:val="008678E2"/>
    <w:rsid w:val="00867DFF"/>
    <w:rsid w:val="008705E3"/>
    <w:rsid w:val="0087105B"/>
    <w:rsid w:val="00871FA9"/>
    <w:rsid w:val="0087269D"/>
    <w:rsid w:val="008728E9"/>
    <w:rsid w:val="00872A75"/>
    <w:rsid w:val="0087311D"/>
    <w:rsid w:val="00873BB4"/>
    <w:rsid w:val="008741A6"/>
    <w:rsid w:val="0087779F"/>
    <w:rsid w:val="00880BC0"/>
    <w:rsid w:val="008814F3"/>
    <w:rsid w:val="00882864"/>
    <w:rsid w:val="00882874"/>
    <w:rsid w:val="00882E3C"/>
    <w:rsid w:val="00882E3E"/>
    <w:rsid w:val="00883787"/>
    <w:rsid w:val="00883B33"/>
    <w:rsid w:val="00883D97"/>
    <w:rsid w:val="00883DAA"/>
    <w:rsid w:val="00884187"/>
    <w:rsid w:val="00884621"/>
    <w:rsid w:val="00884A2E"/>
    <w:rsid w:val="0088538B"/>
    <w:rsid w:val="008855E4"/>
    <w:rsid w:val="008869D9"/>
    <w:rsid w:val="00886CD2"/>
    <w:rsid w:val="0088735D"/>
    <w:rsid w:val="008877C0"/>
    <w:rsid w:val="00890682"/>
    <w:rsid w:val="00891A99"/>
    <w:rsid w:val="00891E6F"/>
    <w:rsid w:val="0089275D"/>
    <w:rsid w:val="00892A36"/>
    <w:rsid w:val="00893239"/>
    <w:rsid w:val="0089441A"/>
    <w:rsid w:val="00894489"/>
    <w:rsid w:val="00894743"/>
    <w:rsid w:val="0089482E"/>
    <w:rsid w:val="00894A34"/>
    <w:rsid w:val="00894A5D"/>
    <w:rsid w:val="00894ABC"/>
    <w:rsid w:val="00895C78"/>
    <w:rsid w:val="008963A5"/>
    <w:rsid w:val="00896740"/>
    <w:rsid w:val="00896D5D"/>
    <w:rsid w:val="008A13B7"/>
    <w:rsid w:val="008A1722"/>
    <w:rsid w:val="008A17DA"/>
    <w:rsid w:val="008A1C6B"/>
    <w:rsid w:val="008A225F"/>
    <w:rsid w:val="008A3363"/>
    <w:rsid w:val="008A3371"/>
    <w:rsid w:val="008A3C3E"/>
    <w:rsid w:val="008A79DE"/>
    <w:rsid w:val="008B15E0"/>
    <w:rsid w:val="008B1757"/>
    <w:rsid w:val="008B38E3"/>
    <w:rsid w:val="008B42EE"/>
    <w:rsid w:val="008B5DB0"/>
    <w:rsid w:val="008B6368"/>
    <w:rsid w:val="008B669E"/>
    <w:rsid w:val="008B69B7"/>
    <w:rsid w:val="008B7913"/>
    <w:rsid w:val="008B7992"/>
    <w:rsid w:val="008B7D7E"/>
    <w:rsid w:val="008C085D"/>
    <w:rsid w:val="008C16FD"/>
    <w:rsid w:val="008C18D4"/>
    <w:rsid w:val="008C1F6C"/>
    <w:rsid w:val="008C2481"/>
    <w:rsid w:val="008C2BE5"/>
    <w:rsid w:val="008C3F5A"/>
    <w:rsid w:val="008C4738"/>
    <w:rsid w:val="008C4998"/>
    <w:rsid w:val="008C5610"/>
    <w:rsid w:val="008C5739"/>
    <w:rsid w:val="008C5838"/>
    <w:rsid w:val="008C6A33"/>
    <w:rsid w:val="008C6CE0"/>
    <w:rsid w:val="008C7B7D"/>
    <w:rsid w:val="008C7ECB"/>
    <w:rsid w:val="008D1E1A"/>
    <w:rsid w:val="008D2375"/>
    <w:rsid w:val="008D247E"/>
    <w:rsid w:val="008D28E3"/>
    <w:rsid w:val="008D32F8"/>
    <w:rsid w:val="008D37E4"/>
    <w:rsid w:val="008D37F4"/>
    <w:rsid w:val="008D3B86"/>
    <w:rsid w:val="008D4068"/>
    <w:rsid w:val="008D42DD"/>
    <w:rsid w:val="008D4755"/>
    <w:rsid w:val="008D49AA"/>
    <w:rsid w:val="008D4C3D"/>
    <w:rsid w:val="008D4D29"/>
    <w:rsid w:val="008D5574"/>
    <w:rsid w:val="008D5634"/>
    <w:rsid w:val="008D58F4"/>
    <w:rsid w:val="008D5A80"/>
    <w:rsid w:val="008D5B6E"/>
    <w:rsid w:val="008D743C"/>
    <w:rsid w:val="008D750C"/>
    <w:rsid w:val="008E014F"/>
    <w:rsid w:val="008E0368"/>
    <w:rsid w:val="008E0A71"/>
    <w:rsid w:val="008E0C13"/>
    <w:rsid w:val="008E0D3C"/>
    <w:rsid w:val="008E1255"/>
    <w:rsid w:val="008E144E"/>
    <w:rsid w:val="008E16EC"/>
    <w:rsid w:val="008E1B9E"/>
    <w:rsid w:val="008E2006"/>
    <w:rsid w:val="008E35D8"/>
    <w:rsid w:val="008E375F"/>
    <w:rsid w:val="008E3FFB"/>
    <w:rsid w:val="008E4B3B"/>
    <w:rsid w:val="008E534F"/>
    <w:rsid w:val="008E55AB"/>
    <w:rsid w:val="008E58D8"/>
    <w:rsid w:val="008E624B"/>
    <w:rsid w:val="008E78BC"/>
    <w:rsid w:val="008E7A90"/>
    <w:rsid w:val="008E7ACA"/>
    <w:rsid w:val="008F0A12"/>
    <w:rsid w:val="008F120A"/>
    <w:rsid w:val="008F22B1"/>
    <w:rsid w:val="008F27E0"/>
    <w:rsid w:val="008F2E09"/>
    <w:rsid w:val="008F4048"/>
    <w:rsid w:val="008F48EB"/>
    <w:rsid w:val="008F4AF6"/>
    <w:rsid w:val="008F4DB6"/>
    <w:rsid w:val="008F4F0B"/>
    <w:rsid w:val="008F6C33"/>
    <w:rsid w:val="008F7488"/>
    <w:rsid w:val="008F77AB"/>
    <w:rsid w:val="00900087"/>
    <w:rsid w:val="0090157A"/>
    <w:rsid w:val="00901AE3"/>
    <w:rsid w:val="00902658"/>
    <w:rsid w:val="009030A5"/>
    <w:rsid w:val="00903E86"/>
    <w:rsid w:val="009046C4"/>
    <w:rsid w:val="00904747"/>
    <w:rsid w:val="0090492B"/>
    <w:rsid w:val="00904CE6"/>
    <w:rsid w:val="0090534D"/>
    <w:rsid w:val="009062A5"/>
    <w:rsid w:val="00907189"/>
    <w:rsid w:val="009079B1"/>
    <w:rsid w:val="00907F32"/>
    <w:rsid w:val="00910FA7"/>
    <w:rsid w:val="00911272"/>
    <w:rsid w:val="009113C7"/>
    <w:rsid w:val="00911C7D"/>
    <w:rsid w:val="00912231"/>
    <w:rsid w:val="0091274D"/>
    <w:rsid w:val="009135D6"/>
    <w:rsid w:val="009146E1"/>
    <w:rsid w:val="00914C77"/>
    <w:rsid w:val="00915524"/>
    <w:rsid w:val="00915EB9"/>
    <w:rsid w:val="009167E2"/>
    <w:rsid w:val="00916889"/>
    <w:rsid w:val="00917005"/>
    <w:rsid w:val="0091769E"/>
    <w:rsid w:val="00921979"/>
    <w:rsid w:val="00921ACB"/>
    <w:rsid w:val="00922003"/>
    <w:rsid w:val="0092294E"/>
    <w:rsid w:val="0092369B"/>
    <w:rsid w:val="00923DCD"/>
    <w:rsid w:val="00924FD4"/>
    <w:rsid w:val="009255C1"/>
    <w:rsid w:val="00927FD8"/>
    <w:rsid w:val="00930A26"/>
    <w:rsid w:val="009311D3"/>
    <w:rsid w:val="00932437"/>
    <w:rsid w:val="00932AAA"/>
    <w:rsid w:val="009330B2"/>
    <w:rsid w:val="00933149"/>
    <w:rsid w:val="00933BA4"/>
    <w:rsid w:val="0093418E"/>
    <w:rsid w:val="0093442D"/>
    <w:rsid w:val="00934988"/>
    <w:rsid w:val="00936403"/>
    <w:rsid w:val="00937089"/>
    <w:rsid w:val="00937AA3"/>
    <w:rsid w:val="00937C78"/>
    <w:rsid w:val="00937F37"/>
    <w:rsid w:val="00941E85"/>
    <w:rsid w:val="009423C2"/>
    <w:rsid w:val="00942721"/>
    <w:rsid w:val="009439A6"/>
    <w:rsid w:val="00943D52"/>
    <w:rsid w:val="0094406F"/>
    <w:rsid w:val="009448CC"/>
    <w:rsid w:val="00944EEE"/>
    <w:rsid w:val="00944F8A"/>
    <w:rsid w:val="00945388"/>
    <w:rsid w:val="00945841"/>
    <w:rsid w:val="00945A6F"/>
    <w:rsid w:val="00946823"/>
    <w:rsid w:val="00947260"/>
    <w:rsid w:val="00947D02"/>
    <w:rsid w:val="00950855"/>
    <w:rsid w:val="009510A2"/>
    <w:rsid w:val="00953257"/>
    <w:rsid w:val="00953349"/>
    <w:rsid w:val="00953B65"/>
    <w:rsid w:val="00953EC8"/>
    <w:rsid w:val="0095419F"/>
    <w:rsid w:val="009546E9"/>
    <w:rsid w:val="0095474C"/>
    <w:rsid w:val="00954933"/>
    <w:rsid w:val="009549BE"/>
    <w:rsid w:val="009560FF"/>
    <w:rsid w:val="0095721B"/>
    <w:rsid w:val="00957B1E"/>
    <w:rsid w:val="00960C96"/>
    <w:rsid w:val="009610D9"/>
    <w:rsid w:val="00961B8D"/>
    <w:rsid w:val="00961F1F"/>
    <w:rsid w:val="00962A69"/>
    <w:rsid w:val="00962CB9"/>
    <w:rsid w:val="00963273"/>
    <w:rsid w:val="0096333C"/>
    <w:rsid w:val="00963E3D"/>
    <w:rsid w:val="0096427D"/>
    <w:rsid w:val="00964312"/>
    <w:rsid w:val="0096465E"/>
    <w:rsid w:val="00964C04"/>
    <w:rsid w:val="009653D3"/>
    <w:rsid w:val="009655B6"/>
    <w:rsid w:val="00965B6A"/>
    <w:rsid w:val="00965B8A"/>
    <w:rsid w:val="0097071F"/>
    <w:rsid w:val="009708C9"/>
    <w:rsid w:val="00970F2D"/>
    <w:rsid w:val="00971295"/>
    <w:rsid w:val="009717AC"/>
    <w:rsid w:val="0097214E"/>
    <w:rsid w:val="009725CC"/>
    <w:rsid w:val="00972E77"/>
    <w:rsid w:val="00973F36"/>
    <w:rsid w:val="009742E5"/>
    <w:rsid w:val="00974BF3"/>
    <w:rsid w:val="00974D0B"/>
    <w:rsid w:val="00974E45"/>
    <w:rsid w:val="009751C1"/>
    <w:rsid w:val="00975310"/>
    <w:rsid w:val="0097571A"/>
    <w:rsid w:val="00975C50"/>
    <w:rsid w:val="00976C6A"/>
    <w:rsid w:val="00977581"/>
    <w:rsid w:val="00977CBF"/>
    <w:rsid w:val="009804CB"/>
    <w:rsid w:val="00980D3E"/>
    <w:rsid w:val="009811F1"/>
    <w:rsid w:val="0098184C"/>
    <w:rsid w:val="009830BC"/>
    <w:rsid w:val="009836FD"/>
    <w:rsid w:val="00983E57"/>
    <w:rsid w:val="0098430D"/>
    <w:rsid w:val="0098570D"/>
    <w:rsid w:val="00985CFC"/>
    <w:rsid w:val="00985D27"/>
    <w:rsid w:val="00985DE2"/>
    <w:rsid w:val="0098666F"/>
    <w:rsid w:val="009866E7"/>
    <w:rsid w:val="009866FA"/>
    <w:rsid w:val="0098675D"/>
    <w:rsid w:val="009869FB"/>
    <w:rsid w:val="00987989"/>
    <w:rsid w:val="00990864"/>
    <w:rsid w:val="00990C17"/>
    <w:rsid w:val="009917F1"/>
    <w:rsid w:val="009926E0"/>
    <w:rsid w:val="00992AC4"/>
    <w:rsid w:val="009934F5"/>
    <w:rsid w:val="009937C2"/>
    <w:rsid w:val="00993BF7"/>
    <w:rsid w:val="0099451E"/>
    <w:rsid w:val="00994F31"/>
    <w:rsid w:val="00995990"/>
    <w:rsid w:val="0099638E"/>
    <w:rsid w:val="00996B1A"/>
    <w:rsid w:val="0099703C"/>
    <w:rsid w:val="00997199"/>
    <w:rsid w:val="009A1B01"/>
    <w:rsid w:val="009A2007"/>
    <w:rsid w:val="009A2A01"/>
    <w:rsid w:val="009A2DCC"/>
    <w:rsid w:val="009A2E75"/>
    <w:rsid w:val="009A3BC8"/>
    <w:rsid w:val="009A44EB"/>
    <w:rsid w:val="009A5ABC"/>
    <w:rsid w:val="009A6458"/>
    <w:rsid w:val="009A75E6"/>
    <w:rsid w:val="009A7F10"/>
    <w:rsid w:val="009B08F8"/>
    <w:rsid w:val="009B0915"/>
    <w:rsid w:val="009B092E"/>
    <w:rsid w:val="009B0E0C"/>
    <w:rsid w:val="009B1C0C"/>
    <w:rsid w:val="009B1C34"/>
    <w:rsid w:val="009B2439"/>
    <w:rsid w:val="009B2570"/>
    <w:rsid w:val="009B2F78"/>
    <w:rsid w:val="009B35B9"/>
    <w:rsid w:val="009B3E26"/>
    <w:rsid w:val="009B43B6"/>
    <w:rsid w:val="009B5F68"/>
    <w:rsid w:val="009B675B"/>
    <w:rsid w:val="009B6D8C"/>
    <w:rsid w:val="009C1085"/>
    <w:rsid w:val="009C1799"/>
    <w:rsid w:val="009C3681"/>
    <w:rsid w:val="009C3706"/>
    <w:rsid w:val="009C373D"/>
    <w:rsid w:val="009C3A3A"/>
    <w:rsid w:val="009C4BDA"/>
    <w:rsid w:val="009C4EB7"/>
    <w:rsid w:val="009C5AE2"/>
    <w:rsid w:val="009C5CAA"/>
    <w:rsid w:val="009C6CEA"/>
    <w:rsid w:val="009C735F"/>
    <w:rsid w:val="009C7B85"/>
    <w:rsid w:val="009C7E53"/>
    <w:rsid w:val="009D0254"/>
    <w:rsid w:val="009D160E"/>
    <w:rsid w:val="009D1A64"/>
    <w:rsid w:val="009D1C2D"/>
    <w:rsid w:val="009D489C"/>
    <w:rsid w:val="009D48E8"/>
    <w:rsid w:val="009D4BB6"/>
    <w:rsid w:val="009D4F68"/>
    <w:rsid w:val="009D5B91"/>
    <w:rsid w:val="009D6C6F"/>
    <w:rsid w:val="009D792E"/>
    <w:rsid w:val="009D79B2"/>
    <w:rsid w:val="009E0DFE"/>
    <w:rsid w:val="009E1022"/>
    <w:rsid w:val="009E1D54"/>
    <w:rsid w:val="009E282B"/>
    <w:rsid w:val="009E31F6"/>
    <w:rsid w:val="009E38F2"/>
    <w:rsid w:val="009E4C07"/>
    <w:rsid w:val="009E511E"/>
    <w:rsid w:val="009E515B"/>
    <w:rsid w:val="009E6811"/>
    <w:rsid w:val="009E7393"/>
    <w:rsid w:val="009F0C85"/>
    <w:rsid w:val="009F0DD2"/>
    <w:rsid w:val="009F1FD5"/>
    <w:rsid w:val="009F21A4"/>
    <w:rsid w:val="009F36DF"/>
    <w:rsid w:val="009F40FF"/>
    <w:rsid w:val="009F5854"/>
    <w:rsid w:val="009F5FE6"/>
    <w:rsid w:val="009F724A"/>
    <w:rsid w:val="009F755A"/>
    <w:rsid w:val="00A00364"/>
    <w:rsid w:val="00A00DE7"/>
    <w:rsid w:val="00A01061"/>
    <w:rsid w:val="00A01184"/>
    <w:rsid w:val="00A016C1"/>
    <w:rsid w:val="00A02708"/>
    <w:rsid w:val="00A02D7F"/>
    <w:rsid w:val="00A032B9"/>
    <w:rsid w:val="00A032EE"/>
    <w:rsid w:val="00A037C2"/>
    <w:rsid w:val="00A03D43"/>
    <w:rsid w:val="00A03EFF"/>
    <w:rsid w:val="00A04380"/>
    <w:rsid w:val="00A05472"/>
    <w:rsid w:val="00A05C32"/>
    <w:rsid w:val="00A05FA3"/>
    <w:rsid w:val="00A05FC9"/>
    <w:rsid w:val="00A0653F"/>
    <w:rsid w:val="00A06DED"/>
    <w:rsid w:val="00A101FF"/>
    <w:rsid w:val="00A10582"/>
    <w:rsid w:val="00A1075C"/>
    <w:rsid w:val="00A114E8"/>
    <w:rsid w:val="00A11667"/>
    <w:rsid w:val="00A11A48"/>
    <w:rsid w:val="00A11CD0"/>
    <w:rsid w:val="00A129E6"/>
    <w:rsid w:val="00A1335E"/>
    <w:rsid w:val="00A13948"/>
    <w:rsid w:val="00A13988"/>
    <w:rsid w:val="00A13AFC"/>
    <w:rsid w:val="00A1555B"/>
    <w:rsid w:val="00A155C5"/>
    <w:rsid w:val="00A16595"/>
    <w:rsid w:val="00A16A62"/>
    <w:rsid w:val="00A16AD8"/>
    <w:rsid w:val="00A17FF2"/>
    <w:rsid w:val="00A206E4"/>
    <w:rsid w:val="00A20E06"/>
    <w:rsid w:val="00A20F40"/>
    <w:rsid w:val="00A21C95"/>
    <w:rsid w:val="00A21CF3"/>
    <w:rsid w:val="00A22783"/>
    <w:rsid w:val="00A229F0"/>
    <w:rsid w:val="00A23522"/>
    <w:rsid w:val="00A24813"/>
    <w:rsid w:val="00A258B0"/>
    <w:rsid w:val="00A25C97"/>
    <w:rsid w:val="00A26706"/>
    <w:rsid w:val="00A26A5E"/>
    <w:rsid w:val="00A26ED5"/>
    <w:rsid w:val="00A27990"/>
    <w:rsid w:val="00A27AEC"/>
    <w:rsid w:val="00A30ABC"/>
    <w:rsid w:val="00A311D9"/>
    <w:rsid w:val="00A312E1"/>
    <w:rsid w:val="00A31C06"/>
    <w:rsid w:val="00A31CFF"/>
    <w:rsid w:val="00A320DB"/>
    <w:rsid w:val="00A321B3"/>
    <w:rsid w:val="00A32C07"/>
    <w:rsid w:val="00A33F01"/>
    <w:rsid w:val="00A34279"/>
    <w:rsid w:val="00A34318"/>
    <w:rsid w:val="00A35D16"/>
    <w:rsid w:val="00A35DA6"/>
    <w:rsid w:val="00A373D0"/>
    <w:rsid w:val="00A37BCD"/>
    <w:rsid w:val="00A40CCA"/>
    <w:rsid w:val="00A40E15"/>
    <w:rsid w:val="00A40F20"/>
    <w:rsid w:val="00A41482"/>
    <w:rsid w:val="00A41689"/>
    <w:rsid w:val="00A4169E"/>
    <w:rsid w:val="00A41A76"/>
    <w:rsid w:val="00A42592"/>
    <w:rsid w:val="00A437BD"/>
    <w:rsid w:val="00A43C59"/>
    <w:rsid w:val="00A468D2"/>
    <w:rsid w:val="00A4698A"/>
    <w:rsid w:val="00A46A67"/>
    <w:rsid w:val="00A47965"/>
    <w:rsid w:val="00A50C59"/>
    <w:rsid w:val="00A50ECD"/>
    <w:rsid w:val="00A518B7"/>
    <w:rsid w:val="00A518F3"/>
    <w:rsid w:val="00A521EB"/>
    <w:rsid w:val="00A524B2"/>
    <w:rsid w:val="00A52729"/>
    <w:rsid w:val="00A533AF"/>
    <w:rsid w:val="00A53675"/>
    <w:rsid w:val="00A53CD0"/>
    <w:rsid w:val="00A54B34"/>
    <w:rsid w:val="00A54E1C"/>
    <w:rsid w:val="00A55C28"/>
    <w:rsid w:val="00A56160"/>
    <w:rsid w:val="00A563E0"/>
    <w:rsid w:val="00A564D7"/>
    <w:rsid w:val="00A56619"/>
    <w:rsid w:val="00A56921"/>
    <w:rsid w:val="00A56B6A"/>
    <w:rsid w:val="00A56DC8"/>
    <w:rsid w:val="00A578DC"/>
    <w:rsid w:val="00A6042F"/>
    <w:rsid w:val="00A6155A"/>
    <w:rsid w:val="00A618EF"/>
    <w:rsid w:val="00A624F0"/>
    <w:rsid w:val="00A627CC"/>
    <w:rsid w:val="00A63B60"/>
    <w:rsid w:val="00A640E2"/>
    <w:rsid w:val="00A64D65"/>
    <w:rsid w:val="00A65168"/>
    <w:rsid w:val="00A6625A"/>
    <w:rsid w:val="00A668F2"/>
    <w:rsid w:val="00A67060"/>
    <w:rsid w:val="00A6725B"/>
    <w:rsid w:val="00A67494"/>
    <w:rsid w:val="00A7013F"/>
    <w:rsid w:val="00A7058D"/>
    <w:rsid w:val="00A70605"/>
    <w:rsid w:val="00A71F44"/>
    <w:rsid w:val="00A72C18"/>
    <w:rsid w:val="00A73134"/>
    <w:rsid w:val="00A73CE9"/>
    <w:rsid w:val="00A74654"/>
    <w:rsid w:val="00A74AD9"/>
    <w:rsid w:val="00A76001"/>
    <w:rsid w:val="00A76397"/>
    <w:rsid w:val="00A76789"/>
    <w:rsid w:val="00A76A5E"/>
    <w:rsid w:val="00A777B2"/>
    <w:rsid w:val="00A77AB3"/>
    <w:rsid w:val="00A80958"/>
    <w:rsid w:val="00A81A8E"/>
    <w:rsid w:val="00A8205B"/>
    <w:rsid w:val="00A825D4"/>
    <w:rsid w:val="00A82833"/>
    <w:rsid w:val="00A828F6"/>
    <w:rsid w:val="00A82B73"/>
    <w:rsid w:val="00A831E0"/>
    <w:rsid w:val="00A8328E"/>
    <w:rsid w:val="00A85E1A"/>
    <w:rsid w:val="00A862B5"/>
    <w:rsid w:val="00A86E8B"/>
    <w:rsid w:val="00A87164"/>
    <w:rsid w:val="00A9064C"/>
    <w:rsid w:val="00A90B67"/>
    <w:rsid w:val="00A90D14"/>
    <w:rsid w:val="00A916D0"/>
    <w:rsid w:val="00A917C1"/>
    <w:rsid w:val="00A91F86"/>
    <w:rsid w:val="00A9295E"/>
    <w:rsid w:val="00A93072"/>
    <w:rsid w:val="00A9382C"/>
    <w:rsid w:val="00A938BD"/>
    <w:rsid w:val="00A93953"/>
    <w:rsid w:val="00A9450A"/>
    <w:rsid w:val="00A94D2F"/>
    <w:rsid w:val="00A959D8"/>
    <w:rsid w:val="00A95BA0"/>
    <w:rsid w:val="00A96B72"/>
    <w:rsid w:val="00A9731C"/>
    <w:rsid w:val="00A97950"/>
    <w:rsid w:val="00A97C5E"/>
    <w:rsid w:val="00AA058D"/>
    <w:rsid w:val="00AA113D"/>
    <w:rsid w:val="00AA1D0B"/>
    <w:rsid w:val="00AA3A79"/>
    <w:rsid w:val="00AA48C6"/>
    <w:rsid w:val="00AA5A59"/>
    <w:rsid w:val="00AA5F5F"/>
    <w:rsid w:val="00AA6BD5"/>
    <w:rsid w:val="00AA6BD8"/>
    <w:rsid w:val="00AA6C7D"/>
    <w:rsid w:val="00AA71C0"/>
    <w:rsid w:val="00AA7284"/>
    <w:rsid w:val="00AA7FD6"/>
    <w:rsid w:val="00AB0136"/>
    <w:rsid w:val="00AB042A"/>
    <w:rsid w:val="00AB088E"/>
    <w:rsid w:val="00AB12B6"/>
    <w:rsid w:val="00AB1541"/>
    <w:rsid w:val="00AB156E"/>
    <w:rsid w:val="00AB17D9"/>
    <w:rsid w:val="00AB19EF"/>
    <w:rsid w:val="00AB1CE3"/>
    <w:rsid w:val="00AB251E"/>
    <w:rsid w:val="00AB2D34"/>
    <w:rsid w:val="00AB3430"/>
    <w:rsid w:val="00AB3798"/>
    <w:rsid w:val="00AB37B9"/>
    <w:rsid w:val="00AB4AD1"/>
    <w:rsid w:val="00AB5068"/>
    <w:rsid w:val="00AB5E07"/>
    <w:rsid w:val="00AB6ABF"/>
    <w:rsid w:val="00AB6C7A"/>
    <w:rsid w:val="00AB7CFA"/>
    <w:rsid w:val="00AB7D4A"/>
    <w:rsid w:val="00AB7FE4"/>
    <w:rsid w:val="00AC043E"/>
    <w:rsid w:val="00AC09AB"/>
    <w:rsid w:val="00AC2E0F"/>
    <w:rsid w:val="00AC327B"/>
    <w:rsid w:val="00AC3FF3"/>
    <w:rsid w:val="00AC409B"/>
    <w:rsid w:val="00AC4709"/>
    <w:rsid w:val="00AC515E"/>
    <w:rsid w:val="00AC5A74"/>
    <w:rsid w:val="00AC5B48"/>
    <w:rsid w:val="00AC5B5D"/>
    <w:rsid w:val="00AC7543"/>
    <w:rsid w:val="00AC7B0C"/>
    <w:rsid w:val="00AD01F8"/>
    <w:rsid w:val="00AD070B"/>
    <w:rsid w:val="00AD0BDC"/>
    <w:rsid w:val="00AD12D0"/>
    <w:rsid w:val="00AD1450"/>
    <w:rsid w:val="00AD2E4B"/>
    <w:rsid w:val="00AD3473"/>
    <w:rsid w:val="00AD3E9A"/>
    <w:rsid w:val="00AD3F76"/>
    <w:rsid w:val="00AD4362"/>
    <w:rsid w:val="00AD43B9"/>
    <w:rsid w:val="00AD64A4"/>
    <w:rsid w:val="00AD6502"/>
    <w:rsid w:val="00AD662A"/>
    <w:rsid w:val="00AD796B"/>
    <w:rsid w:val="00AE01E8"/>
    <w:rsid w:val="00AE01FF"/>
    <w:rsid w:val="00AE03A0"/>
    <w:rsid w:val="00AE04EE"/>
    <w:rsid w:val="00AE0695"/>
    <w:rsid w:val="00AE0FA2"/>
    <w:rsid w:val="00AE1BE2"/>
    <w:rsid w:val="00AE2CB1"/>
    <w:rsid w:val="00AE2F60"/>
    <w:rsid w:val="00AE3C69"/>
    <w:rsid w:val="00AE3E7E"/>
    <w:rsid w:val="00AE3E97"/>
    <w:rsid w:val="00AE3F3A"/>
    <w:rsid w:val="00AE4339"/>
    <w:rsid w:val="00AE46B2"/>
    <w:rsid w:val="00AE48BD"/>
    <w:rsid w:val="00AE5DBA"/>
    <w:rsid w:val="00AE5E0F"/>
    <w:rsid w:val="00AE6D55"/>
    <w:rsid w:val="00AE7287"/>
    <w:rsid w:val="00AE7AC5"/>
    <w:rsid w:val="00AE7FFB"/>
    <w:rsid w:val="00AF0742"/>
    <w:rsid w:val="00AF0C1C"/>
    <w:rsid w:val="00AF0ECC"/>
    <w:rsid w:val="00AF1315"/>
    <w:rsid w:val="00AF16CA"/>
    <w:rsid w:val="00AF16D2"/>
    <w:rsid w:val="00AF19BF"/>
    <w:rsid w:val="00AF1E2C"/>
    <w:rsid w:val="00AF2D97"/>
    <w:rsid w:val="00AF2DC3"/>
    <w:rsid w:val="00AF3A13"/>
    <w:rsid w:val="00AF3A6C"/>
    <w:rsid w:val="00AF46F2"/>
    <w:rsid w:val="00AF4F87"/>
    <w:rsid w:val="00AF5569"/>
    <w:rsid w:val="00AF5D79"/>
    <w:rsid w:val="00AF64AC"/>
    <w:rsid w:val="00AF65B7"/>
    <w:rsid w:val="00AF68C2"/>
    <w:rsid w:val="00AF7987"/>
    <w:rsid w:val="00B00016"/>
    <w:rsid w:val="00B00CB2"/>
    <w:rsid w:val="00B033E5"/>
    <w:rsid w:val="00B03A63"/>
    <w:rsid w:val="00B04AF4"/>
    <w:rsid w:val="00B052C7"/>
    <w:rsid w:val="00B05B57"/>
    <w:rsid w:val="00B0655F"/>
    <w:rsid w:val="00B06715"/>
    <w:rsid w:val="00B11489"/>
    <w:rsid w:val="00B121D1"/>
    <w:rsid w:val="00B129C0"/>
    <w:rsid w:val="00B12CA6"/>
    <w:rsid w:val="00B1445E"/>
    <w:rsid w:val="00B144FB"/>
    <w:rsid w:val="00B17315"/>
    <w:rsid w:val="00B173E1"/>
    <w:rsid w:val="00B201A4"/>
    <w:rsid w:val="00B201D1"/>
    <w:rsid w:val="00B2071F"/>
    <w:rsid w:val="00B20D34"/>
    <w:rsid w:val="00B20EDB"/>
    <w:rsid w:val="00B21136"/>
    <w:rsid w:val="00B213A6"/>
    <w:rsid w:val="00B21C40"/>
    <w:rsid w:val="00B21F65"/>
    <w:rsid w:val="00B22BCF"/>
    <w:rsid w:val="00B235B0"/>
    <w:rsid w:val="00B239CE"/>
    <w:rsid w:val="00B23A4C"/>
    <w:rsid w:val="00B23B39"/>
    <w:rsid w:val="00B24022"/>
    <w:rsid w:val="00B242A9"/>
    <w:rsid w:val="00B24BFD"/>
    <w:rsid w:val="00B24DF6"/>
    <w:rsid w:val="00B25131"/>
    <w:rsid w:val="00B26CD5"/>
    <w:rsid w:val="00B27879"/>
    <w:rsid w:val="00B3008F"/>
    <w:rsid w:val="00B30DFC"/>
    <w:rsid w:val="00B31057"/>
    <w:rsid w:val="00B31521"/>
    <w:rsid w:val="00B31588"/>
    <w:rsid w:val="00B32AFF"/>
    <w:rsid w:val="00B32B25"/>
    <w:rsid w:val="00B32C98"/>
    <w:rsid w:val="00B34535"/>
    <w:rsid w:val="00B34FE2"/>
    <w:rsid w:val="00B35166"/>
    <w:rsid w:val="00B357D8"/>
    <w:rsid w:val="00B360F4"/>
    <w:rsid w:val="00B3610E"/>
    <w:rsid w:val="00B36207"/>
    <w:rsid w:val="00B36A00"/>
    <w:rsid w:val="00B36BF9"/>
    <w:rsid w:val="00B36E13"/>
    <w:rsid w:val="00B374D5"/>
    <w:rsid w:val="00B375E9"/>
    <w:rsid w:val="00B37BFC"/>
    <w:rsid w:val="00B4030B"/>
    <w:rsid w:val="00B40358"/>
    <w:rsid w:val="00B4037C"/>
    <w:rsid w:val="00B40AAE"/>
    <w:rsid w:val="00B40EDA"/>
    <w:rsid w:val="00B414CC"/>
    <w:rsid w:val="00B415CB"/>
    <w:rsid w:val="00B41614"/>
    <w:rsid w:val="00B42472"/>
    <w:rsid w:val="00B42549"/>
    <w:rsid w:val="00B4263B"/>
    <w:rsid w:val="00B42851"/>
    <w:rsid w:val="00B42F80"/>
    <w:rsid w:val="00B435CB"/>
    <w:rsid w:val="00B43673"/>
    <w:rsid w:val="00B440EB"/>
    <w:rsid w:val="00B449E1"/>
    <w:rsid w:val="00B44F03"/>
    <w:rsid w:val="00B45671"/>
    <w:rsid w:val="00B505C8"/>
    <w:rsid w:val="00B50DB8"/>
    <w:rsid w:val="00B51DD7"/>
    <w:rsid w:val="00B52017"/>
    <w:rsid w:val="00B52099"/>
    <w:rsid w:val="00B526C4"/>
    <w:rsid w:val="00B53654"/>
    <w:rsid w:val="00B53905"/>
    <w:rsid w:val="00B53A4A"/>
    <w:rsid w:val="00B54631"/>
    <w:rsid w:val="00B54B5B"/>
    <w:rsid w:val="00B554FF"/>
    <w:rsid w:val="00B5562E"/>
    <w:rsid w:val="00B55D65"/>
    <w:rsid w:val="00B56EA3"/>
    <w:rsid w:val="00B57000"/>
    <w:rsid w:val="00B573D3"/>
    <w:rsid w:val="00B57524"/>
    <w:rsid w:val="00B5784D"/>
    <w:rsid w:val="00B604FF"/>
    <w:rsid w:val="00B60939"/>
    <w:rsid w:val="00B60AFD"/>
    <w:rsid w:val="00B60DAE"/>
    <w:rsid w:val="00B611E7"/>
    <w:rsid w:val="00B619C4"/>
    <w:rsid w:val="00B62715"/>
    <w:rsid w:val="00B62A5E"/>
    <w:rsid w:val="00B63218"/>
    <w:rsid w:val="00B633C3"/>
    <w:rsid w:val="00B63C77"/>
    <w:rsid w:val="00B64511"/>
    <w:rsid w:val="00B6511C"/>
    <w:rsid w:val="00B65611"/>
    <w:rsid w:val="00B65D41"/>
    <w:rsid w:val="00B66299"/>
    <w:rsid w:val="00B662D7"/>
    <w:rsid w:val="00B7010C"/>
    <w:rsid w:val="00B701DC"/>
    <w:rsid w:val="00B70644"/>
    <w:rsid w:val="00B70A28"/>
    <w:rsid w:val="00B70E8E"/>
    <w:rsid w:val="00B71E0F"/>
    <w:rsid w:val="00B72269"/>
    <w:rsid w:val="00B72512"/>
    <w:rsid w:val="00B72FE1"/>
    <w:rsid w:val="00B7456D"/>
    <w:rsid w:val="00B75705"/>
    <w:rsid w:val="00B76C92"/>
    <w:rsid w:val="00B76E42"/>
    <w:rsid w:val="00B7792D"/>
    <w:rsid w:val="00B77C86"/>
    <w:rsid w:val="00B818A4"/>
    <w:rsid w:val="00B8241A"/>
    <w:rsid w:val="00B83033"/>
    <w:rsid w:val="00B838F4"/>
    <w:rsid w:val="00B84117"/>
    <w:rsid w:val="00B84491"/>
    <w:rsid w:val="00B858F0"/>
    <w:rsid w:val="00B85A0A"/>
    <w:rsid w:val="00B85AA2"/>
    <w:rsid w:val="00B8611E"/>
    <w:rsid w:val="00B8649C"/>
    <w:rsid w:val="00B86826"/>
    <w:rsid w:val="00B8695D"/>
    <w:rsid w:val="00B876AF"/>
    <w:rsid w:val="00B87F0A"/>
    <w:rsid w:val="00B908D9"/>
    <w:rsid w:val="00B92BBF"/>
    <w:rsid w:val="00B92D0B"/>
    <w:rsid w:val="00B92E94"/>
    <w:rsid w:val="00B93118"/>
    <w:rsid w:val="00B93CF5"/>
    <w:rsid w:val="00B93E06"/>
    <w:rsid w:val="00B94945"/>
    <w:rsid w:val="00B94BFB"/>
    <w:rsid w:val="00B94D25"/>
    <w:rsid w:val="00B94DD6"/>
    <w:rsid w:val="00B9557F"/>
    <w:rsid w:val="00B95E42"/>
    <w:rsid w:val="00B96906"/>
    <w:rsid w:val="00B979B3"/>
    <w:rsid w:val="00B97C90"/>
    <w:rsid w:val="00BA0138"/>
    <w:rsid w:val="00BA0A69"/>
    <w:rsid w:val="00BA0AE0"/>
    <w:rsid w:val="00BA0D49"/>
    <w:rsid w:val="00BA24E7"/>
    <w:rsid w:val="00BA2919"/>
    <w:rsid w:val="00BA2AFF"/>
    <w:rsid w:val="00BA322D"/>
    <w:rsid w:val="00BA3492"/>
    <w:rsid w:val="00BA4771"/>
    <w:rsid w:val="00BA49B2"/>
    <w:rsid w:val="00BA63FA"/>
    <w:rsid w:val="00BA6BDA"/>
    <w:rsid w:val="00BA6DFB"/>
    <w:rsid w:val="00BB00B3"/>
    <w:rsid w:val="00BB0BDD"/>
    <w:rsid w:val="00BB0C36"/>
    <w:rsid w:val="00BB0E28"/>
    <w:rsid w:val="00BB0EDE"/>
    <w:rsid w:val="00BB0F5A"/>
    <w:rsid w:val="00BB10F6"/>
    <w:rsid w:val="00BB12E8"/>
    <w:rsid w:val="00BB176C"/>
    <w:rsid w:val="00BB1796"/>
    <w:rsid w:val="00BB1A2E"/>
    <w:rsid w:val="00BB234E"/>
    <w:rsid w:val="00BB2A73"/>
    <w:rsid w:val="00BB357A"/>
    <w:rsid w:val="00BB3A45"/>
    <w:rsid w:val="00BB4ACC"/>
    <w:rsid w:val="00BB5919"/>
    <w:rsid w:val="00BB6554"/>
    <w:rsid w:val="00BB6BCE"/>
    <w:rsid w:val="00BB703E"/>
    <w:rsid w:val="00BB717F"/>
    <w:rsid w:val="00BB728E"/>
    <w:rsid w:val="00BB732D"/>
    <w:rsid w:val="00BB7405"/>
    <w:rsid w:val="00BB7829"/>
    <w:rsid w:val="00BC171E"/>
    <w:rsid w:val="00BC2862"/>
    <w:rsid w:val="00BC3631"/>
    <w:rsid w:val="00BC3ADF"/>
    <w:rsid w:val="00BC4213"/>
    <w:rsid w:val="00BC4423"/>
    <w:rsid w:val="00BC4A9F"/>
    <w:rsid w:val="00BC5625"/>
    <w:rsid w:val="00BC591F"/>
    <w:rsid w:val="00BC5D53"/>
    <w:rsid w:val="00BC66CA"/>
    <w:rsid w:val="00BC6EDA"/>
    <w:rsid w:val="00BC7540"/>
    <w:rsid w:val="00BC7750"/>
    <w:rsid w:val="00BC7A56"/>
    <w:rsid w:val="00BC7D6D"/>
    <w:rsid w:val="00BD15FA"/>
    <w:rsid w:val="00BD2108"/>
    <w:rsid w:val="00BD3091"/>
    <w:rsid w:val="00BD33A1"/>
    <w:rsid w:val="00BD3B06"/>
    <w:rsid w:val="00BD5058"/>
    <w:rsid w:val="00BD5398"/>
    <w:rsid w:val="00BD54C1"/>
    <w:rsid w:val="00BD5651"/>
    <w:rsid w:val="00BD5C62"/>
    <w:rsid w:val="00BD68A3"/>
    <w:rsid w:val="00BD6938"/>
    <w:rsid w:val="00BD6BFA"/>
    <w:rsid w:val="00BD6CF3"/>
    <w:rsid w:val="00BD6DD5"/>
    <w:rsid w:val="00BD6EC9"/>
    <w:rsid w:val="00BD700D"/>
    <w:rsid w:val="00BD79E5"/>
    <w:rsid w:val="00BD7CFA"/>
    <w:rsid w:val="00BD7D65"/>
    <w:rsid w:val="00BE0ECA"/>
    <w:rsid w:val="00BE1A26"/>
    <w:rsid w:val="00BE1C9D"/>
    <w:rsid w:val="00BE1CA2"/>
    <w:rsid w:val="00BE2180"/>
    <w:rsid w:val="00BE21F2"/>
    <w:rsid w:val="00BE27F3"/>
    <w:rsid w:val="00BE3406"/>
    <w:rsid w:val="00BE4275"/>
    <w:rsid w:val="00BE5388"/>
    <w:rsid w:val="00BE5479"/>
    <w:rsid w:val="00BE63B7"/>
    <w:rsid w:val="00BF06AE"/>
    <w:rsid w:val="00BF0F95"/>
    <w:rsid w:val="00BF1774"/>
    <w:rsid w:val="00BF2433"/>
    <w:rsid w:val="00BF316D"/>
    <w:rsid w:val="00BF4035"/>
    <w:rsid w:val="00BF4534"/>
    <w:rsid w:val="00BF47BE"/>
    <w:rsid w:val="00BF61C9"/>
    <w:rsid w:val="00BF6C94"/>
    <w:rsid w:val="00BF79D5"/>
    <w:rsid w:val="00C00424"/>
    <w:rsid w:val="00C00654"/>
    <w:rsid w:val="00C019CA"/>
    <w:rsid w:val="00C01A07"/>
    <w:rsid w:val="00C01EE2"/>
    <w:rsid w:val="00C02828"/>
    <w:rsid w:val="00C0295D"/>
    <w:rsid w:val="00C029C2"/>
    <w:rsid w:val="00C03F2F"/>
    <w:rsid w:val="00C043DB"/>
    <w:rsid w:val="00C04ACE"/>
    <w:rsid w:val="00C06874"/>
    <w:rsid w:val="00C06ECA"/>
    <w:rsid w:val="00C1179F"/>
    <w:rsid w:val="00C11BBF"/>
    <w:rsid w:val="00C1236A"/>
    <w:rsid w:val="00C12B84"/>
    <w:rsid w:val="00C12BA5"/>
    <w:rsid w:val="00C12C14"/>
    <w:rsid w:val="00C134D7"/>
    <w:rsid w:val="00C138EF"/>
    <w:rsid w:val="00C140FC"/>
    <w:rsid w:val="00C15AEE"/>
    <w:rsid w:val="00C15DCB"/>
    <w:rsid w:val="00C15F04"/>
    <w:rsid w:val="00C17470"/>
    <w:rsid w:val="00C179B3"/>
    <w:rsid w:val="00C17E28"/>
    <w:rsid w:val="00C17E3F"/>
    <w:rsid w:val="00C200AA"/>
    <w:rsid w:val="00C2150B"/>
    <w:rsid w:val="00C21F51"/>
    <w:rsid w:val="00C237ED"/>
    <w:rsid w:val="00C24391"/>
    <w:rsid w:val="00C243CD"/>
    <w:rsid w:val="00C24632"/>
    <w:rsid w:val="00C25418"/>
    <w:rsid w:val="00C25D9C"/>
    <w:rsid w:val="00C2673A"/>
    <w:rsid w:val="00C2778B"/>
    <w:rsid w:val="00C31649"/>
    <w:rsid w:val="00C3164C"/>
    <w:rsid w:val="00C319FD"/>
    <w:rsid w:val="00C31C91"/>
    <w:rsid w:val="00C32AF1"/>
    <w:rsid w:val="00C3339A"/>
    <w:rsid w:val="00C338C7"/>
    <w:rsid w:val="00C33CCE"/>
    <w:rsid w:val="00C33F40"/>
    <w:rsid w:val="00C3434C"/>
    <w:rsid w:val="00C3537B"/>
    <w:rsid w:val="00C3598E"/>
    <w:rsid w:val="00C3680B"/>
    <w:rsid w:val="00C374FA"/>
    <w:rsid w:val="00C37A67"/>
    <w:rsid w:val="00C40385"/>
    <w:rsid w:val="00C40BC1"/>
    <w:rsid w:val="00C41768"/>
    <w:rsid w:val="00C41EA6"/>
    <w:rsid w:val="00C42698"/>
    <w:rsid w:val="00C43692"/>
    <w:rsid w:val="00C43707"/>
    <w:rsid w:val="00C44473"/>
    <w:rsid w:val="00C4653F"/>
    <w:rsid w:val="00C475AA"/>
    <w:rsid w:val="00C47645"/>
    <w:rsid w:val="00C4789B"/>
    <w:rsid w:val="00C47CD0"/>
    <w:rsid w:val="00C50AE9"/>
    <w:rsid w:val="00C50CDB"/>
    <w:rsid w:val="00C51873"/>
    <w:rsid w:val="00C51EC9"/>
    <w:rsid w:val="00C5361B"/>
    <w:rsid w:val="00C53C81"/>
    <w:rsid w:val="00C53C98"/>
    <w:rsid w:val="00C545FE"/>
    <w:rsid w:val="00C5477F"/>
    <w:rsid w:val="00C54A82"/>
    <w:rsid w:val="00C5621A"/>
    <w:rsid w:val="00C56BFB"/>
    <w:rsid w:val="00C56FCF"/>
    <w:rsid w:val="00C57149"/>
    <w:rsid w:val="00C57B6C"/>
    <w:rsid w:val="00C606E6"/>
    <w:rsid w:val="00C61204"/>
    <w:rsid w:val="00C628A6"/>
    <w:rsid w:val="00C62956"/>
    <w:rsid w:val="00C62A25"/>
    <w:rsid w:val="00C637E4"/>
    <w:rsid w:val="00C63F00"/>
    <w:rsid w:val="00C64344"/>
    <w:rsid w:val="00C645AE"/>
    <w:rsid w:val="00C64BF6"/>
    <w:rsid w:val="00C64C08"/>
    <w:rsid w:val="00C65108"/>
    <w:rsid w:val="00C65576"/>
    <w:rsid w:val="00C66165"/>
    <w:rsid w:val="00C66D23"/>
    <w:rsid w:val="00C7060A"/>
    <w:rsid w:val="00C70A76"/>
    <w:rsid w:val="00C70F29"/>
    <w:rsid w:val="00C713CA"/>
    <w:rsid w:val="00C7151A"/>
    <w:rsid w:val="00C716AC"/>
    <w:rsid w:val="00C717E3"/>
    <w:rsid w:val="00C71C33"/>
    <w:rsid w:val="00C71F60"/>
    <w:rsid w:val="00C72241"/>
    <w:rsid w:val="00C72B39"/>
    <w:rsid w:val="00C736F1"/>
    <w:rsid w:val="00C740F2"/>
    <w:rsid w:val="00C74670"/>
    <w:rsid w:val="00C750C8"/>
    <w:rsid w:val="00C755C2"/>
    <w:rsid w:val="00C7560F"/>
    <w:rsid w:val="00C75B76"/>
    <w:rsid w:val="00C75BE3"/>
    <w:rsid w:val="00C768FC"/>
    <w:rsid w:val="00C80A0E"/>
    <w:rsid w:val="00C81B28"/>
    <w:rsid w:val="00C8213F"/>
    <w:rsid w:val="00C82673"/>
    <w:rsid w:val="00C839B4"/>
    <w:rsid w:val="00C84147"/>
    <w:rsid w:val="00C85154"/>
    <w:rsid w:val="00C85B89"/>
    <w:rsid w:val="00C872A8"/>
    <w:rsid w:val="00C8797A"/>
    <w:rsid w:val="00C87A10"/>
    <w:rsid w:val="00C87BCA"/>
    <w:rsid w:val="00C900B8"/>
    <w:rsid w:val="00C903C1"/>
    <w:rsid w:val="00C90946"/>
    <w:rsid w:val="00C90C71"/>
    <w:rsid w:val="00C91838"/>
    <w:rsid w:val="00C91FD1"/>
    <w:rsid w:val="00C92216"/>
    <w:rsid w:val="00C929E5"/>
    <w:rsid w:val="00C931CF"/>
    <w:rsid w:val="00C935E5"/>
    <w:rsid w:val="00C93671"/>
    <w:rsid w:val="00C938CF"/>
    <w:rsid w:val="00C93FE9"/>
    <w:rsid w:val="00C94053"/>
    <w:rsid w:val="00C94D49"/>
    <w:rsid w:val="00C94FB4"/>
    <w:rsid w:val="00C95A28"/>
    <w:rsid w:val="00C95A5C"/>
    <w:rsid w:val="00C9624D"/>
    <w:rsid w:val="00C963A2"/>
    <w:rsid w:val="00C969DA"/>
    <w:rsid w:val="00C97280"/>
    <w:rsid w:val="00CA00AA"/>
    <w:rsid w:val="00CA0481"/>
    <w:rsid w:val="00CA1BC4"/>
    <w:rsid w:val="00CA29BA"/>
    <w:rsid w:val="00CA2C77"/>
    <w:rsid w:val="00CA3FC6"/>
    <w:rsid w:val="00CA4152"/>
    <w:rsid w:val="00CA444F"/>
    <w:rsid w:val="00CA44CE"/>
    <w:rsid w:val="00CA4529"/>
    <w:rsid w:val="00CA5245"/>
    <w:rsid w:val="00CA5AFE"/>
    <w:rsid w:val="00CA6205"/>
    <w:rsid w:val="00CA625A"/>
    <w:rsid w:val="00CA71F4"/>
    <w:rsid w:val="00CA79DE"/>
    <w:rsid w:val="00CA7B09"/>
    <w:rsid w:val="00CB08FD"/>
    <w:rsid w:val="00CB0D3B"/>
    <w:rsid w:val="00CB12A5"/>
    <w:rsid w:val="00CB12C6"/>
    <w:rsid w:val="00CB1CAC"/>
    <w:rsid w:val="00CB1DF3"/>
    <w:rsid w:val="00CB1E49"/>
    <w:rsid w:val="00CB1EA4"/>
    <w:rsid w:val="00CB2F2A"/>
    <w:rsid w:val="00CB3596"/>
    <w:rsid w:val="00CB3943"/>
    <w:rsid w:val="00CB3BEE"/>
    <w:rsid w:val="00CB4D83"/>
    <w:rsid w:val="00CB4F53"/>
    <w:rsid w:val="00CB5B1A"/>
    <w:rsid w:val="00CB6B22"/>
    <w:rsid w:val="00CB7EEA"/>
    <w:rsid w:val="00CB7F5F"/>
    <w:rsid w:val="00CC1B39"/>
    <w:rsid w:val="00CC35EA"/>
    <w:rsid w:val="00CC3848"/>
    <w:rsid w:val="00CC4011"/>
    <w:rsid w:val="00CC4094"/>
    <w:rsid w:val="00CC53F7"/>
    <w:rsid w:val="00CC57FC"/>
    <w:rsid w:val="00CC5E1B"/>
    <w:rsid w:val="00CC64AD"/>
    <w:rsid w:val="00CC72EF"/>
    <w:rsid w:val="00CC738A"/>
    <w:rsid w:val="00CC7540"/>
    <w:rsid w:val="00CD0211"/>
    <w:rsid w:val="00CD0480"/>
    <w:rsid w:val="00CD16C9"/>
    <w:rsid w:val="00CD1A23"/>
    <w:rsid w:val="00CD2562"/>
    <w:rsid w:val="00CD2B0B"/>
    <w:rsid w:val="00CD33A1"/>
    <w:rsid w:val="00CD34F6"/>
    <w:rsid w:val="00CD3F77"/>
    <w:rsid w:val="00CD400C"/>
    <w:rsid w:val="00CD531D"/>
    <w:rsid w:val="00CD5642"/>
    <w:rsid w:val="00CD5EAF"/>
    <w:rsid w:val="00CD6ADC"/>
    <w:rsid w:val="00CD7193"/>
    <w:rsid w:val="00CD7E60"/>
    <w:rsid w:val="00CE122D"/>
    <w:rsid w:val="00CE2BF8"/>
    <w:rsid w:val="00CE3484"/>
    <w:rsid w:val="00CE38C8"/>
    <w:rsid w:val="00CE625C"/>
    <w:rsid w:val="00CE6274"/>
    <w:rsid w:val="00CE64DA"/>
    <w:rsid w:val="00CE674E"/>
    <w:rsid w:val="00CE6946"/>
    <w:rsid w:val="00CE6DDE"/>
    <w:rsid w:val="00CE73A6"/>
    <w:rsid w:val="00CE7508"/>
    <w:rsid w:val="00CE77B6"/>
    <w:rsid w:val="00CF01D0"/>
    <w:rsid w:val="00CF1005"/>
    <w:rsid w:val="00CF18BD"/>
    <w:rsid w:val="00CF2168"/>
    <w:rsid w:val="00CF2B8D"/>
    <w:rsid w:val="00CF2E0D"/>
    <w:rsid w:val="00CF3B41"/>
    <w:rsid w:val="00CF456B"/>
    <w:rsid w:val="00CF517E"/>
    <w:rsid w:val="00CF5512"/>
    <w:rsid w:val="00CF590B"/>
    <w:rsid w:val="00CF5A22"/>
    <w:rsid w:val="00CF6E79"/>
    <w:rsid w:val="00CF7123"/>
    <w:rsid w:val="00CF72EE"/>
    <w:rsid w:val="00CF7803"/>
    <w:rsid w:val="00CF780F"/>
    <w:rsid w:val="00D0066D"/>
    <w:rsid w:val="00D01343"/>
    <w:rsid w:val="00D019F6"/>
    <w:rsid w:val="00D01D63"/>
    <w:rsid w:val="00D01F87"/>
    <w:rsid w:val="00D0202E"/>
    <w:rsid w:val="00D0225D"/>
    <w:rsid w:val="00D02362"/>
    <w:rsid w:val="00D0262E"/>
    <w:rsid w:val="00D026A0"/>
    <w:rsid w:val="00D03134"/>
    <w:rsid w:val="00D037BA"/>
    <w:rsid w:val="00D03BA9"/>
    <w:rsid w:val="00D03D93"/>
    <w:rsid w:val="00D0471D"/>
    <w:rsid w:val="00D05E3D"/>
    <w:rsid w:val="00D06139"/>
    <w:rsid w:val="00D06661"/>
    <w:rsid w:val="00D06676"/>
    <w:rsid w:val="00D06679"/>
    <w:rsid w:val="00D068E0"/>
    <w:rsid w:val="00D07DB5"/>
    <w:rsid w:val="00D1022B"/>
    <w:rsid w:val="00D10D45"/>
    <w:rsid w:val="00D110BD"/>
    <w:rsid w:val="00D112FE"/>
    <w:rsid w:val="00D12198"/>
    <w:rsid w:val="00D12A6E"/>
    <w:rsid w:val="00D13675"/>
    <w:rsid w:val="00D1376E"/>
    <w:rsid w:val="00D141E1"/>
    <w:rsid w:val="00D142B2"/>
    <w:rsid w:val="00D14893"/>
    <w:rsid w:val="00D15314"/>
    <w:rsid w:val="00D15E67"/>
    <w:rsid w:val="00D15F34"/>
    <w:rsid w:val="00D15F5F"/>
    <w:rsid w:val="00D1668E"/>
    <w:rsid w:val="00D168DC"/>
    <w:rsid w:val="00D1766B"/>
    <w:rsid w:val="00D17D6C"/>
    <w:rsid w:val="00D200F2"/>
    <w:rsid w:val="00D2041B"/>
    <w:rsid w:val="00D214F0"/>
    <w:rsid w:val="00D2155B"/>
    <w:rsid w:val="00D21AC6"/>
    <w:rsid w:val="00D2203A"/>
    <w:rsid w:val="00D23423"/>
    <w:rsid w:val="00D23D11"/>
    <w:rsid w:val="00D24224"/>
    <w:rsid w:val="00D244B6"/>
    <w:rsid w:val="00D250F9"/>
    <w:rsid w:val="00D25947"/>
    <w:rsid w:val="00D26444"/>
    <w:rsid w:val="00D267F6"/>
    <w:rsid w:val="00D2754D"/>
    <w:rsid w:val="00D27980"/>
    <w:rsid w:val="00D27B27"/>
    <w:rsid w:val="00D3028C"/>
    <w:rsid w:val="00D307C4"/>
    <w:rsid w:val="00D31189"/>
    <w:rsid w:val="00D31EC6"/>
    <w:rsid w:val="00D322FF"/>
    <w:rsid w:val="00D32A30"/>
    <w:rsid w:val="00D33BE9"/>
    <w:rsid w:val="00D33F93"/>
    <w:rsid w:val="00D34B5C"/>
    <w:rsid w:val="00D34BDA"/>
    <w:rsid w:val="00D357FF"/>
    <w:rsid w:val="00D36488"/>
    <w:rsid w:val="00D36A34"/>
    <w:rsid w:val="00D3742B"/>
    <w:rsid w:val="00D37761"/>
    <w:rsid w:val="00D4098C"/>
    <w:rsid w:val="00D40B60"/>
    <w:rsid w:val="00D40B73"/>
    <w:rsid w:val="00D40D64"/>
    <w:rsid w:val="00D413C7"/>
    <w:rsid w:val="00D41953"/>
    <w:rsid w:val="00D424C7"/>
    <w:rsid w:val="00D42CD0"/>
    <w:rsid w:val="00D43B2A"/>
    <w:rsid w:val="00D43D83"/>
    <w:rsid w:val="00D43ED3"/>
    <w:rsid w:val="00D43F41"/>
    <w:rsid w:val="00D43FCB"/>
    <w:rsid w:val="00D443C2"/>
    <w:rsid w:val="00D446D0"/>
    <w:rsid w:val="00D4570E"/>
    <w:rsid w:val="00D4663C"/>
    <w:rsid w:val="00D47120"/>
    <w:rsid w:val="00D4724C"/>
    <w:rsid w:val="00D47575"/>
    <w:rsid w:val="00D47913"/>
    <w:rsid w:val="00D47A05"/>
    <w:rsid w:val="00D47FE1"/>
    <w:rsid w:val="00D50268"/>
    <w:rsid w:val="00D504DB"/>
    <w:rsid w:val="00D507C5"/>
    <w:rsid w:val="00D50BAE"/>
    <w:rsid w:val="00D510CD"/>
    <w:rsid w:val="00D513D7"/>
    <w:rsid w:val="00D52139"/>
    <w:rsid w:val="00D5243B"/>
    <w:rsid w:val="00D53182"/>
    <w:rsid w:val="00D533EC"/>
    <w:rsid w:val="00D53771"/>
    <w:rsid w:val="00D53D35"/>
    <w:rsid w:val="00D54A07"/>
    <w:rsid w:val="00D54A50"/>
    <w:rsid w:val="00D55E07"/>
    <w:rsid w:val="00D55EA4"/>
    <w:rsid w:val="00D55FB0"/>
    <w:rsid w:val="00D568E1"/>
    <w:rsid w:val="00D56A95"/>
    <w:rsid w:val="00D56B40"/>
    <w:rsid w:val="00D57141"/>
    <w:rsid w:val="00D6086A"/>
    <w:rsid w:val="00D60E6C"/>
    <w:rsid w:val="00D612ED"/>
    <w:rsid w:val="00D6226B"/>
    <w:rsid w:val="00D62A2F"/>
    <w:rsid w:val="00D63389"/>
    <w:rsid w:val="00D64516"/>
    <w:rsid w:val="00D64D85"/>
    <w:rsid w:val="00D6573A"/>
    <w:rsid w:val="00D668EA"/>
    <w:rsid w:val="00D66BEB"/>
    <w:rsid w:val="00D66CCA"/>
    <w:rsid w:val="00D675DF"/>
    <w:rsid w:val="00D706F2"/>
    <w:rsid w:val="00D70874"/>
    <w:rsid w:val="00D70F16"/>
    <w:rsid w:val="00D71848"/>
    <w:rsid w:val="00D71D3D"/>
    <w:rsid w:val="00D72F57"/>
    <w:rsid w:val="00D7311B"/>
    <w:rsid w:val="00D73229"/>
    <w:rsid w:val="00D73285"/>
    <w:rsid w:val="00D74390"/>
    <w:rsid w:val="00D74570"/>
    <w:rsid w:val="00D75A48"/>
    <w:rsid w:val="00D75A9A"/>
    <w:rsid w:val="00D76151"/>
    <w:rsid w:val="00D76A44"/>
    <w:rsid w:val="00D76ED2"/>
    <w:rsid w:val="00D772EB"/>
    <w:rsid w:val="00D77E28"/>
    <w:rsid w:val="00D802A8"/>
    <w:rsid w:val="00D80EF4"/>
    <w:rsid w:val="00D81433"/>
    <w:rsid w:val="00D815EF"/>
    <w:rsid w:val="00D81AD2"/>
    <w:rsid w:val="00D81F26"/>
    <w:rsid w:val="00D834B1"/>
    <w:rsid w:val="00D8383C"/>
    <w:rsid w:val="00D84048"/>
    <w:rsid w:val="00D849A8"/>
    <w:rsid w:val="00D860FD"/>
    <w:rsid w:val="00D86231"/>
    <w:rsid w:val="00D86573"/>
    <w:rsid w:val="00D87A5C"/>
    <w:rsid w:val="00D87EE5"/>
    <w:rsid w:val="00D9016B"/>
    <w:rsid w:val="00D90558"/>
    <w:rsid w:val="00D90EBC"/>
    <w:rsid w:val="00D91923"/>
    <w:rsid w:val="00D91F66"/>
    <w:rsid w:val="00D92222"/>
    <w:rsid w:val="00D93753"/>
    <w:rsid w:val="00D9466B"/>
    <w:rsid w:val="00D9486E"/>
    <w:rsid w:val="00D94F7E"/>
    <w:rsid w:val="00D95336"/>
    <w:rsid w:val="00D95846"/>
    <w:rsid w:val="00D95A42"/>
    <w:rsid w:val="00D95D12"/>
    <w:rsid w:val="00D975DD"/>
    <w:rsid w:val="00D97AC1"/>
    <w:rsid w:val="00D97F1C"/>
    <w:rsid w:val="00D97F96"/>
    <w:rsid w:val="00DA0DCC"/>
    <w:rsid w:val="00DA0E34"/>
    <w:rsid w:val="00DA1293"/>
    <w:rsid w:val="00DA16C0"/>
    <w:rsid w:val="00DA292C"/>
    <w:rsid w:val="00DA3167"/>
    <w:rsid w:val="00DA3808"/>
    <w:rsid w:val="00DA3DD3"/>
    <w:rsid w:val="00DA49D0"/>
    <w:rsid w:val="00DA4A9F"/>
    <w:rsid w:val="00DA4DC3"/>
    <w:rsid w:val="00DA4E2B"/>
    <w:rsid w:val="00DA520A"/>
    <w:rsid w:val="00DA58E3"/>
    <w:rsid w:val="00DA5A3E"/>
    <w:rsid w:val="00DA5AFE"/>
    <w:rsid w:val="00DA62AB"/>
    <w:rsid w:val="00DA77A5"/>
    <w:rsid w:val="00DA7B5B"/>
    <w:rsid w:val="00DB0CAB"/>
    <w:rsid w:val="00DB21F1"/>
    <w:rsid w:val="00DB222F"/>
    <w:rsid w:val="00DB2494"/>
    <w:rsid w:val="00DB3DBF"/>
    <w:rsid w:val="00DB418E"/>
    <w:rsid w:val="00DB484F"/>
    <w:rsid w:val="00DB4B7A"/>
    <w:rsid w:val="00DB4CE0"/>
    <w:rsid w:val="00DB756E"/>
    <w:rsid w:val="00DB7709"/>
    <w:rsid w:val="00DC04F6"/>
    <w:rsid w:val="00DC0690"/>
    <w:rsid w:val="00DC1ACC"/>
    <w:rsid w:val="00DC1D65"/>
    <w:rsid w:val="00DC2E51"/>
    <w:rsid w:val="00DC36F7"/>
    <w:rsid w:val="00DC3C57"/>
    <w:rsid w:val="00DC4808"/>
    <w:rsid w:val="00DC4B61"/>
    <w:rsid w:val="00DC4B66"/>
    <w:rsid w:val="00DC4D46"/>
    <w:rsid w:val="00DC5501"/>
    <w:rsid w:val="00DC6B99"/>
    <w:rsid w:val="00DC7154"/>
    <w:rsid w:val="00DC7DB3"/>
    <w:rsid w:val="00DC7E8A"/>
    <w:rsid w:val="00DC7F59"/>
    <w:rsid w:val="00DD0222"/>
    <w:rsid w:val="00DD0BEC"/>
    <w:rsid w:val="00DD0F78"/>
    <w:rsid w:val="00DD11D6"/>
    <w:rsid w:val="00DD1247"/>
    <w:rsid w:val="00DD1441"/>
    <w:rsid w:val="00DD2102"/>
    <w:rsid w:val="00DD273C"/>
    <w:rsid w:val="00DD2883"/>
    <w:rsid w:val="00DD36E8"/>
    <w:rsid w:val="00DD3F28"/>
    <w:rsid w:val="00DD4329"/>
    <w:rsid w:val="00DD4537"/>
    <w:rsid w:val="00DD4E15"/>
    <w:rsid w:val="00DD584E"/>
    <w:rsid w:val="00DD58D2"/>
    <w:rsid w:val="00DD611F"/>
    <w:rsid w:val="00DD6446"/>
    <w:rsid w:val="00DD673C"/>
    <w:rsid w:val="00DD6798"/>
    <w:rsid w:val="00DD68BF"/>
    <w:rsid w:val="00DD6D07"/>
    <w:rsid w:val="00DE1C78"/>
    <w:rsid w:val="00DE22C2"/>
    <w:rsid w:val="00DE2304"/>
    <w:rsid w:val="00DE2FC9"/>
    <w:rsid w:val="00DE3138"/>
    <w:rsid w:val="00DE3546"/>
    <w:rsid w:val="00DE37F8"/>
    <w:rsid w:val="00DE3F3B"/>
    <w:rsid w:val="00DE4A35"/>
    <w:rsid w:val="00DE4FCB"/>
    <w:rsid w:val="00DE57B4"/>
    <w:rsid w:val="00DE5A40"/>
    <w:rsid w:val="00DE5D07"/>
    <w:rsid w:val="00DE66F9"/>
    <w:rsid w:val="00DE6F0C"/>
    <w:rsid w:val="00DE72A7"/>
    <w:rsid w:val="00DE74DD"/>
    <w:rsid w:val="00DE75A7"/>
    <w:rsid w:val="00DE7801"/>
    <w:rsid w:val="00DE7832"/>
    <w:rsid w:val="00DF05BA"/>
    <w:rsid w:val="00DF18FC"/>
    <w:rsid w:val="00DF203C"/>
    <w:rsid w:val="00DF20C0"/>
    <w:rsid w:val="00DF2A80"/>
    <w:rsid w:val="00DF3F8C"/>
    <w:rsid w:val="00DF4A94"/>
    <w:rsid w:val="00DF5561"/>
    <w:rsid w:val="00DF5D2B"/>
    <w:rsid w:val="00DF6103"/>
    <w:rsid w:val="00E00E52"/>
    <w:rsid w:val="00E00E8E"/>
    <w:rsid w:val="00E0252B"/>
    <w:rsid w:val="00E042B8"/>
    <w:rsid w:val="00E04948"/>
    <w:rsid w:val="00E04A4C"/>
    <w:rsid w:val="00E04BE5"/>
    <w:rsid w:val="00E05630"/>
    <w:rsid w:val="00E06DBB"/>
    <w:rsid w:val="00E077C1"/>
    <w:rsid w:val="00E07DB8"/>
    <w:rsid w:val="00E10149"/>
    <w:rsid w:val="00E1124E"/>
    <w:rsid w:val="00E11340"/>
    <w:rsid w:val="00E12257"/>
    <w:rsid w:val="00E122A1"/>
    <w:rsid w:val="00E130AB"/>
    <w:rsid w:val="00E1312C"/>
    <w:rsid w:val="00E13CE6"/>
    <w:rsid w:val="00E15D40"/>
    <w:rsid w:val="00E16372"/>
    <w:rsid w:val="00E172C7"/>
    <w:rsid w:val="00E20351"/>
    <w:rsid w:val="00E20673"/>
    <w:rsid w:val="00E20E4D"/>
    <w:rsid w:val="00E20ED6"/>
    <w:rsid w:val="00E21358"/>
    <w:rsid w:val="00E215D0"/>
    <w:rsid w:val="00E21A35"/>
    <w:rsid w:val="00E21F51"/>
    <w:rsid w:val="00E2249B"/>
    <w:rsid w:val="00E22A0D"/>
    <w:rsid w:val="00E22EF2"/>
    <w:rsid w:val="00E2323B"/>
    <w:rsid w:val="00E235AD"/>
    <w:rsid w:val="00E23F75"/>
    <w:rsid w:val="00E244F6"/>
    <w:rsid w:val="00E250EC"/>
    <w:rsid w:val="00E265C3"/>
    <w:rsid w:val="00E26B14"/>
    <w:rsid w:val="00E2771E"/>
    <w:rsid w:val="00E278B3"/>
    <w:rsid w:val="00E27942"/>
    <w:rsid w:val="00E27A0B"/>
    <w:rsid w:val="00E27A34"/>
    <w:rsid w:val="00E301F3"/>
    <w:rsid w:val="00E30404"/>
    <w:rsid w:val="00E311EF"/>
    <w:rsid w:val="00E31B3C"/>
    <w:rsid w:val="00E32180"/>
    <w:rsid w:val="00E3438B"/>
    <w:rsid w:val="00E34948"/>
    <w:rsid w:val="00E3557A"/>
    <w:rsid w:val="00E36089"/>
    <w:rsid w:val="00E36627"/>
    <w:rsid w:val="00E36A13"/>
    <w:rsid w:val="00E374D3"/>
    <w:rsid w:val="00E37569"/>
    <w:rsid w:val="00E376B1"/>
    <w:rsid w:val="00E37EBD"/>
    <w:rsid w:val="00E401B2"/>
    <w:rsid w:val="00E405B7"/>
    <w:rsid w:val="00E406C1"/>
    <w:rsid w:val="00E40E9A"/>
    <w:rsid w:val="00E41CE3"/>
    <w:rsid w:val="00E41E30"/>
    <w:rsid w:val="00E42B4B"/>
    <w:rsid w:val="00E42F73"/>
    <w:rsid w:val="00E4306D"/>
    <w:rsid w:val="00E43903"/>
    <w:rsid w:val="00E43D70"/>
    <w:rsid w:val="00E459B3"/>
    <w:rsid w:val="00E466F3"/>
    <w:rsid w:val="00E46CA0"/>
    <w:rsid w:val="00E47A74"/>
    <w:rsid w:val="00E47B2C"/>
    <w:rsid w:val="00E50375"/>
    <w:rsid w:val="00E51560"/>
    <w:rsid w:val="00E521CA"/>
    <w:rsid w:val="00E52A78"/>
    <w:rsid w:val="00E534ED"/>
    <w:rsid w:val="00E53CE8"/>
    <w:rsid w:val="00E53FC8"/>
    <w:rsid w:val="00E54347"/>
    <w:rsid w:val="00E545B1"/>
    <w:rsid w:val="00E5513F"/>
    <w:rsid w:val="00E55424"/>
    <w:rsid w:val="00E55915"/>
    <w:rsid w:val="00E55BB5"/>
    <w:rsid w:val="00E56681"/>
    <w:rsid w:val="00E575A2"/>
    <w:rsid w:val="00E57903"/>
    <w:rsid w:val="00E609B5"/>
    <w:rsid w:val="00E61961"/>
    <w:rsid w:val="00E62A1D"/>
    <w:rsid w:val="00E632C8"/>
    <w:rsid w:val="00E63341"/>
    <w:rsid w:val="00E63A69"/>
    <w:rsid w:val="00E64157"/>
    <w:rsid w:val="00E6492A"/>
    <w:rsid w:val="00E654F5"/>
    <w:rsid w:val="00E65E79"/>
    <w:rsid w:val="00E66036"/>
    <w:rsid w:val="00E66770"/>
    <w:rsid w:val="00E66BA2"/>
    <w:rsid w:val="00E66C69"/>
    <w:rsid w:val="00E67416"/>
    <w:rsid w:val="00E7084C"/>
    <w:rsid w:val="00E716A6"/>
    <w:rsid w:val="00E718B6"/>
    <w:rsid w:val="00E71D40"/>
    <w:rsid w:val="00E723BA"/>
    <w:rsid w:val="00E72804"/>
    <w:rsid w:val="00E72A3A"/>
    <w:rsid w:val="00E7320D"/>
    <w:rsid w:val="00E733DC"/>
    <w:rsid w:val="00E73581"/>
    <w:rsid w:val="00E73BEB"/>
    <w:rsid w:val="00E74A5E"/>
    <w:rsid w:val="00E74DA8"/>
    <w:rsid w:val="00E74DDA"/>
    <w:rsid w:val="00E75A72"/>
    <w:rsid w:val="00E76F4B"/>
    <w:rsid w:val="00E77012"/>
    <w:rsid w:val="00E77170"/>
    <w:rsid w:val="00E7732B"/>
    <w:rsid w:val="00E776DE"/>
    <w:rsid w:val="00E77AD4"/>
    <w:rsid w:val="00E81786"/>
    <w:rsid w:val="00E82EA1"/>
    <w:rsid w:val="00E832D5"/>
    <w:rsid w:val="00E833F7"/>
    <w:rsid w:val="00E8343F"/>
    <w:rsid w:val="00E83BDF"/>
    <w:rsid w:val="00E843B9"/>
    <w:rsid w:val="00E84896"/>
    <w:rsid w:val="00E86598"/>
    <w:rsid w:val="00E876F5"/>
    <w:rsid w:val="00E87A1D"/>
    <w:rsid w:val="00E90515"/>
    <w:rsid w:val="00E9094A"/>
    <w:rsid w:val="00E91D35"/>
    <w:rsid w:val="00E926A5"/>
    <w:rsid w:val="00E92798"/>
    <w:rsid w:val="00E92ECA"/>
    <w:rsid w:val="00E94234"/>
    <w:rsid w:val="00E942B0"/>
    <w:rsid w:val="00E949D4"/>
    <w:rsid w:val="00E954FD"/>
    <w:rsid w:val="00E9564C"/>
    <w:rsid w:val="00E96D42"/>
    <w:rsid w:val="00E97312"/>
    <w:rsid w:val="00E97501"/>
    <w:rsid w:val="00EA1435"/>
    <w:rsid w:val="00EA17C3"/>
    <w:rsid w:val="00EA1CDC"/>
    <w:rsid w:val="00EA201A"/>
    <w:rsid w:val="00EA2CAA"/>
    <w:rsid w:val="00EA3203"/>
    <w:rsid w:val="00EA3864"/>
    <w:rsid w:val="00EA4FA4"/>
    <w:rsid w:val="00EA6B62"/>
    <w:rsid w:val="00EA741D"/>
    <w:rsid w:val="00EA7C97"/>
    <w:rsid w:val="00EA7F1C"/>
    <w:rsid w:val="00EA7FAD"/>
    <w:rsid w:val="00EB04E2"/>
    <w:rsid w:val="00EB0D61"/>
    <w:rsid w:val="00EB15B6"/>
    <w:rsid w:val="00EB1B50"/>
    <w:rsid w:val="00EB20BF"/>
    <w:rsid w:val="00EB2984"/>
    <w:rsid w:val="00EB3D06"/>
    <w:rsid w:val="00EB3E9B"/>
    <w:rsid w:val="00EB428C"/>
    <w:rsid w:val="00EB4916"/>
    <w:rsid w:val="00EB5396"/>
    <w:rsid w:val="00EB5499"/>
    <w:rsid w:val="00EB5E3A"/>
    <w:rsid w:val="00EB6726"/>
    <w:rsid w:val="00EB696E"/>
    <w:rsid w:val="00EB6AA4"/>
    <w:rsid w:val="00EB7278"/>
    <w:rsid w:val="00EB7B3D"/>
    <w:rsid w:val="00EC00C9"/>
    <w:rsid w:val="00EC0392"/>
    <w:rsid w:val="00EC0DD9"/>
    <w:rsid w:val="00EC0DF6"/>
    <w:rsid w:val="00EC2649"/>
    <w:rsid w:val="00EC2F1A"/>
    <w:rsid w:val="00EC3096"/>
    <w:rsid w:val="00EC31ED"/>
    <w:rsid w:val="00EC39B8"/>
    <w:rsid w:val="00EC5045"/>
    <w:rsid w:val="00EC50F5"/>
    <w:rsid w:val="00EC5836"/>
    <w:rsid w:val="00EC63F5"/>
    <w:rsid w:val="00EC688C"/>
    <w:rsid w:val="00EC731A"/>
    <w:rsid w:val="00ED0021"/>
    <w:rsid w:val="00ED085B"/>
    <w:rsid w:val="00ED2A7C"/>
    <w:rsid w:val="00ED4914"/>
    <w:rsid w:val="00ED548D"/>
    <w:rsid w:val="00ED57EA"/>
    <w:rsid w:val="00ED5BD4"/>
    <w:rsid w:val="00ED6303"/>
    <w:rsid w:val="00ED64FA"/>
    <w:rsid w:val="00ED7015"/>
    <w:rsid w:val="00EE03FB"/>
    <w:rsid w:val="00EE07D3"/>
    <w:rsid w:val="00EE1996"/>
    <w:rsid w:val="00EE1C01"/>
    <w:rsid w:val="00EE22AF"/>
    <w:rsid w:val="00EE2506"/>
    <w:rsid w:val="00EE25DE"/>
    <w:rsid w:val="00EE31C4"/>
    <w:rsid w:val="00EE3363"/>
    <w:rsid w:val="00EE3442"/>
    <w:rsid w:val="00EE37AD"/>
    <w:rsid w:val="00EE5E32"/>
    <w:rsid w:val="00EE62EF"/>
    <w:rsid w:val="00EE6784"/>
    <w:rsid w:val="00EE681B"/>
    <w:rsid w:val="00EE72AE"/>
    <w:rsid w:val="00EF0007"/>
    <w:rsid w:val="00EF0171"/>
    <w:rsid w:val="00EF1441"/>
    <w:rsid w:val="00EF1B25"/>
    <w:rsid w:val="00EF1DA0"/>
    <w:rsid w:val="00EF1DCB"/>
    <w:rsid w:val="00EF26FD"/>
    <w:rsid w:val="00EF2E97"/>
    <w:rsid w:val="00EF3E2B"/>
    <w:rsid w:val="00EF40BE"/>
    <w:rsid w:val="00EF427E"/>
    <w:rsid w:val="00EF435C"/>
    <w:rsid w:val="00EF4747"/>
    <w:rsid w:val="00EF47F2"/>
    <w:rsid w:val="00EF4BF8"/>
    <w:rsid w:val="00EF4EF1"/>
    <w:rsid w:val="00EF5899"/>
    <w:rsid w:val="00EF629A"/>
    <w:rsid w:val="00EF6DC9"/>
    <w:rsid w:val="00EF6E74"/>
    <w:rsid w:val="00F00F90"/>
    <w:rsid w:val="00F00FF4"/>
    <w:rsid w:val="00F02253"/>
    <w:rsid w:val="00F03C2E"/>
    <w:rsid w:val="00F03F0C"/>
    <w:rsid w:val="00F0496F"/>
    <w:rsid w:val="00F04A66"/>
    <w:rsid w:val="00F04B4B"/>
    <w:rsid w:val="00F0516C"/>
    <w:rsid w:val="00F067A2"/>
    <w:rsid w:val="00F06865"/>
    <w:rsid w:val="00F07159"/>
    <w:rsid w:val="00F072BF"/>
    <w:rsid w:val="00F076D8"/>
    <w:rsid w:val="00F07B9E"/>
    <w:rsid w:val="00F10448"/>
    <w:rsid w:val="00F10612"/>
    <w:rsid w:val="00F10F01"/>
    <w:rsid w:val="00F1116F"/>
    <w:rsid w:val="00F11546"/>
    <w:rsid w:val="00F1249B"/>
    <w:rsid w:val="00F1263A"/>
    <w:rsid w:val="00F1333E"/>
    <w:rsid w:val="00F13B12"/>
    <w:rsid w:val="00F143F1"/>
    <w:rsid w:val="00F14434"/>
    <w:rsid w:val="00F152F7"/>
    <w:rsid w:val="00F15B77"/>
    <w:rsid w:val="00F15FB0"/>
    <w:rsid w:val="00F1778A"/>
    <w:rsid w:val="00F17935"/>
    <w:rsid w:val="00F17EDF"/>
    <w:rsid w:val="00F223C8"/>
    <w:rsid w:val="00F2260B"/>
    <w:rsid w:val="00F22623"/>
    <w:rsid w:val="00F244F2"/>
    <w:rsid w:val="00F24837"/>
    <w:rsid w:val="00F24E11"/>
    <w:rsid w:val="00F2575F"/>
    <w:rsid w:val="00F266FB"/>
    <w:rsid w:val="00F26E02"/>
    <w:rsid w:val="00F27565"/>
    <w:rsid w:val="00F27BD8"/>
    <w:rsid w:val="00F30085"/>
    <w:rsid w:val="00F307CB"/>
    <w:rsid w:val="00F30CAF"/>
    <w:rsid w:val="00F310D4"/>
    <w:rsid w:val="00F31D5A"/>
    <w:rsid w:val="00F32280"/>
    <w:rsid w:val="00F33820"/>
    <w:rsid w:val="00F33975"/>
    <w:rsid w:val="00F33DE9"/>
    <w:rsid w:val="00F3460E"/>
    <w:rsid w:val="00F355D1"/>
    <w:rsid w:val="00F35E6D"/>
    <w:rsid w:val="00F3619A"/>
    <w:rsid w:val="00F36A06"/>
    <w:rsid w:val="00F36F9B"/>
    <w:rsid w:val="00F37140"/>
    <w:rsid w:val="00F37A3C"/>
    <w:rsid w:val="00F40AAA"/>
    <w:rsid w:val="00F40B9E"/>
    <w:rsid w:val="00F40BA7"/>
    <w:rsid w:val="00F40F9D"/>
    <w:rsid w:val="00F41164"/>
    <w:rsid w:val="00F41ACD"/>
    <w:rsid w:val="00F420AB"/>
    <w:rsid w:val="00F42271"/>
    <w:rsid w:val="00F42664"/>
    <w:rsid w:val="00F4295A"/>
    <w:rsid w:val="00F4321A"/>
    <w:rsid w:val="00F43CEC"/>
    <w:rsid w:val="00F446F4"/>
    <w:rsid w:val="00F450D5"/>
    <w:rsid w:val="00F45132"/>
    <w:rsid w:val="00F45CAE"/>
    <w:rsid w:val="00F45DB1"/>
    <w:rsid w:val="00F46427"/>
    <w:rsid w:val="00F46A59"/>
    <w:rsid w:val="00F46CB6"/>
    <w:rsid w:val="00F46E68"/>
    <w:rsid w:val="00F47165"/>
    <w:rsid w:val="00F4756D"/>
    <w:rsid w:val="00F47DE8"/>
    <w:rsid w:val="00F52905"/>
    <w:rsid w:val="00F52E8A"/>
    <w:rsid w:val="00F53284"/>
    <w:rsid w:val="00F53EAC"/>
    <w:rsid w:val="00F53FFF"/>
    <w:rsid w:val="00F542C1"/>
    <w:rsid w:val="00F54ECC"/>
    <w:rsid w:val="00F54FA7"/>
    <w:rsid w:val="00F55640"/>
    <w:rsid w:val="00F556F5"/>
    <w:rsid w:val="00F557DD"/>
    <w:rsid w:val="00F55A92"/>
    <w:rsid w:val="00F55ACC"/>
    <w:rsid w:val="00F55E73"/>
    <w:rsid w:val="00F55EDA"/>
    <w:rsid w:val="00F561ED"/>
    <w:rsid w:val="00F56884"/>
    <w:rsid w:val="00F56928"/>
    <w:rsid w:val="00F569BD"/>
    <w:rsid w:val="00F56C80"/>
    <w:rsid w:val="00F57D25"/>
    <w:rsid w:val="00F60092"/>
    <w:rsid w:val="00F60D3F"/>
    <w:rsid w:val="00F6136E"/>
    <w:rsid w:val="00F61582"/>
    <w:rsid w:val="00F61C18"/>
    <w:rsid w:val="00F63042"/>
    <w:rsid w:val="00F6405C"/>
    <w:rsid w:val="00F6478B"/>
    <w:rsid w:val="00F6541F"/>
    <w:rsid w:val="00F65465"/>
    <w:rsid w:val="00F65485"/>
    <w:rsid w:val="00F65833"/>
    <w:rsid w:val="00F65F29"/>
    <w:rsid w:val="00F65F4B"/>
    <w:rsid w:val="00F662EA"/>
    <w:rsid w:val="00F669B6"/>
    <w:rsid w:val="00F66FD3"/>
    <w:rsid w:val="00F674EF"/>
    <w:rsid w:val="00F67A69"/>
    <w:rsid w:val="00F67A95"/>
    <w:rsid w:val="00F70BFF"/>
    <w:rsid w:val="00F70C9D"/>
    <w:rsid w:val="00F71288"/>
    <w:rsid w:val="00F73CDD"/>
    <w:rsid w:val="00F74CD9"/>
    <w:rsid w:val="00F75C7A"/>
    <w:rsid w:val="00F76786"/>
    <w:rsid w:val="00F77593"/>
    <w:rsid w:val="00F80A7B"/>
    <w:rsid w:val="00F80E5D"/>
    <w:rsid w:val="00F81DFD"/>
    <w:rsid w:val="00F81E78"/>
    <w:rsid w:val="00F829DD"/>
    <w:rsid w:val="00F833E4"/>
    <w:rsid w:val="00F84C77"/>
    <w:rsid w:val="00F84E9B"/>
    <w:rsid w:val="00F84FD1"/>
    <w:rsid w:val="00F851CE"/>
    <w:rsid w:val="00F86A6F"/>
    <w:rsid w:val="00F87575"/>
    <w:rsid w:val="00F87726"/>
    <w:rsid w:val="00F9001D"/>
    <w:rsid w:val="00F90561"/>
    <w:rsid w:val="00F906FE"/>
    <w:rsid w:val="00F90888"/>
    <w:rsid w:val="00F91219"/>
    <w:rsid w:val="00F92444"/>
    <w:rsid w:val="00F92856"/>
    <w:rsid w:val="00F934E7"/>
    <w:rsid w:val="00F9393E"/>
    <w:rsid w:val="00F93C56"/>
    <w:rsid w:val="00F940F8"/>
    <w:rsid w:val="00F96592"/>
    <w:rsid w:val="00F96FD0"/>
    <w:rsid w:val="00F9733D"/>
    <w:rsid w:val="00F97A78"/>
    <w:rsid w:val="00FA0534"/>
    <w:rsid w:val="00FA0B20"/>
    <w:rsid w:val="00FA11E2"/>
    <w:rsid w:val="00FA23B9"/>
    <w:rsid w:val="00FA24E7"/>
    <w:rsid w:val="00FA2586"/>
    <w:rsid w:val="00FA329F"/>
    <w:rsid w:val="00FA398C"/>
    <w:rsid w:val="00FA45B4"/>
    <w:rsid w:val="00FA5EE6"/>
    <w:rsid w:val="00FA6706"/>
    <w:rsid w:val="00FA7644"/>
    <w:rsid w:val="00FA7956"/>
    <w:rsid w:val="00FB019C"/>
    <w:rsid w:val="00FB040B"/>
    <w:rsid w:val="00FB18F3"/>
    <w:rsid w:val="00FB1AC4"/>
    <w:rsid w:val="00FB2019"/>
    <w:rsid w:val="00FB2524"/>
    <w:rsid w:val="00FB2999"/>
    <w:rsid w:val="00FB2FCB"/>
    <w:rsid w:val="00FB3704"/>
    <w:rsid w:val="00FB38DD"/>
    <w:rsid w:val="00FB3C05"/>
    <w:rsid w:val="00FB41B4"/>
    <w:rsid w:val="00FB438D"/>
    <w:rsid w:val="00FB4672"/>
    <w:rsid w:val="00FB4A9B"/>
    <w:rsid w:val="00FB525E"/>
    <w:rsid w:val="00FB53D8"/>
    <w:rsid w:val="00FB553C"/>
    <w:rsid w:val="00FB5700"/>
    <w:rsid w:val="00FB6292"/>
    <w:rsid w:val="00FB7C55"/>
    <w:rsid w:val="00FB7E3F"/>
    <w:rsid w:val="00FC078A"/>
    <w:rsid w:val="00FC0928"/>
    <w:rsid w:val="00FC1074"/>
    <w:rsid w:val="00FC1884"/>
    <w:rsid w:val="00FC1C7D"/>
    <w:rsid w:val="00FC3125"/>
    <w:rsid w:val="00FC371D"/>
    <w:rsid w:val="00FC446B"/>
    <w:rsid w:val="00FC56CF"/>
    <w:rsid w:val="00FC5F0B"/>
    <w:rsid w:val="00FC6CCD"/>
    <w:rsid w:val="00FD05F4"/>
    <w:rsid w:val="00FD0C2E"/>
    <w:rsid w:val="00FD0C5B"/>
    <w:rsid w:val="00FD0E6B"/>
    <w:rsid w:val="00FD2100"/>
    <w:rsid w:val="00FD22F5"/>
    <w:rsid w:val="00FD2599"/>
    <w:rsid w:val="00FD2E98"/>
    <w:rsid w:val="00FD3994"/>
    <w:rsid w:val="00FD3A47"/>
    <w:rsid w:val="00FD42A2"/>
    <w:rsid w:val="00FD436C"/>
    <w:rsid w:val="00FD446D"/>
    <w:rsid w:val="00FD4D80"/>
    <w:rsid w:val="00FD4F2C"/>
    <w:rsid w:val="00FD4FD8"/>
    <w:rsid w:val="00FD526A"/>
    <w:rsid w:val="00FD57B7"/>
    <w:rsid w:val="00FD6098"/>
    <w:rsid w:val="00FD6394"/>
    <w:rsid w:val="00FD6CEB"/>
    <w:rsid w:val="00FD6FA3"/>
    <w:rsid w:val="00FE0AC9"/>
    <w:rsid w:val="00FE0E6C"/>
    <w:rsid w:val="00FE1366"/>
    <w:rsid w:val="00FE1CDC"/>
    <w:rsid w:val="00FE1E7D"/>
    <w:rsid w:val="00FE23B8"/>
    <w:rsid w:val="00FE30EA"/>
    <w:rsid w:val="00FE502A"/>
    <w:rsid w:val="00FE64C0"/>
    <w:rsid w:val="00FE6862"/>
    <w:rsid w:val="00FE6C88"/>
    <w:rsid w:val="00FE6CEF"/>
    <w:rsid w:val="00FE70C3"/>
    <w:rsid w:val="00FE7E42"/>
    <w:rsid w:val="00FF053B"/>
    <w:rsid w:val="00FF12D6"/>
    <w:rsid w:val="00FF1F8C"/>
    <w:rsid w:val="00FF254E"/>
    <w:rsid w:val="00FF281A"/>
    <w:rsid w:val="00FF2AD9"/>
    <w:rsid w:val="00FF2E0D"/>
    <w:rsid w:val="00FF359F"/>
    <w:rsid w:val="00FF3894"/>
    <w:rsid w:val="00FF3DCF"/>
    <w:rsid w:val="00FF4011"/>
    <w:rsid w:val="00FF4192"/>
    <w:rsid w:val="00FF44AB"/>
    <w:rsid w:val="00FF4603"/>
    <w:rsid w:val="00FF492C"/>
    <w:rsid w:val="00FF4A21"/>
    <w:rsid w:val="00FF4A57"/>
    <w:rsid w:val="00FF5AA3"/>
    <w:rsid w:val="00FF5AD8"/>
    <w:rsid w:val="00FF5AEE"/>
    <w:rsid w:val="00FF637A"/>
    <w:rsid w:val="00FF63B2"/>
    <w:rsid w:val="00FF66F5"/>
    <w:rsid w:val="00FF6E7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30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5F4"/>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Lengende,figure,caption,Caption-FUSA,Caption Char Char Char Char,Caption Char Char Char Char Char Char,Caption Char1 Char Char,Caption Char1 Char Char Char Char,Char,12,Caption 12pt+,Caption 12pt,1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1,Caption Char Char Char1,Lengende Char1,figure Char1,caption Char1,Caption-FUSA Char1,Caption Char Char Char Char Char1,Caption Char Char Char Char Char Char Char1,Caption Char1 Char Char Char1,Char Char1,12 Char,1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Bullets Points,Styl moj,Akapit z listą1,Akapit z listą11,ES Paragraph,PBAC ES Paragraph"/>
    <w:next w:val="ListBullet"/>
    <w:link w:val="ListParagraphChar"/>
    <w:uiPriority w:val="72"/>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Bullets Points Char,Styl moj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ind w:left="720"/>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ListBullet3">
    <w:name w:val="List Bullet 3"/>
    <w:basedOn w:val="Normal"/>
    <w:uiPriority w:val="99"/>
    <w:unhideWhenUsed/>
    <w:rsid w:val="008429D4"/>
    <w:pPr>
      <w:numPr>
        <w:numId w:val="6"/>
      </w:numPr>
      <w:spacing w:after="200" w:line="360" w:lineRule="auto"/>
      <w:contextualSpacing/>
      <w:jc w:val="left"/>
    </w:pPr>
    <w:rPr>
      <w:rFonts w:ascii="Cambria" w:hAnsi="Cambria" w:cs="Times New Roman"/>
      <w:sz w:val="22"/>
      <w:lang w:eastAsia="en-US"/>
    </w:rPr>
  </w:style>
  <w:style w:type="character" w:customStyle="1" w:styleId="Heading1Char">
    <w:name w:val="Heading 1 Char"/>
    <w:basedOn w:val="DefaultParagraphFont"/>
    <w:link w:val="Heading1"/>
    <w:uiPriority w:val="1"/>
    <w:rsid w:val="00754EDD"/>
    <w:rPr>
      <w:rFonts w:ascii="Calibri" w:hAnsi="Calibri" w:cs="Arial"/>
      <w:b/>
      <w:caps/>
      <w:sz w:val="32"/>
      <w:szCs w:val="24"/>
    </w:rPr>
  </w:style>
  <w:style w:type="paragraph" w:customStyle="1" w:styleId="Default">
    <w:name w:val="Default"/>
    <w:rsid w:val="00D47A05"/>
    <w:pPr>
      <w:autoSpaceDE w:val="0"/>
      <w:autoSpaceDN w:val="0"/>
      <w:adjustRightInd w:val="0"/>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F90888"/>
    <w:pPr>
      <w:jc w:val="center"/>
    </w:pPr>
    <w:rPr>
      <w:rFonts w:cs="Calibri"/>
      <w:noProof/>
    </w:rPr>
  </w:style>
  <w:style w:type="character" w:customStyle="1" w:styleId="EndNoteBibliographyTitleChar">
    <w:name w:val="EndNote Bibliography Title Char"/>
    <w:basedOn w:val="TableFigureHeadingChar"/>
    <w:link w:val="EndNoteBibliographyTitle"/>
    <w:rsid w:val="00F90888"/>
    <w:rPr>
      <w:rFonts w:ascii="Calibri" w:eastAsiaTheme="majorEastAsia" w:hAnsi="Calibri" w:cs="Calibri"/>
      <w:b w:val="0"/>
      <w:bCs w:val="0"/>
      <w:noProof/>
      <w:sz w:val="24"/>
      <w:szCs w:val="24"/>
    </w:rPr>
  </w:style>
  <w:style w:type="paragraph" w:customStyle="1" w:styleId="EndNoteBibliography">
    <w:name w:val="EndNote Bibliography"/>
    <w:basedOn w:val="Normal"/>
    <w:link w:val="EndNoteBibliographyChar"/>
    <w:rsid w:val="00F90888"/>
    <w:rPr>
      <w:rFonts w:cs="Calibri"/>
      <w:noProof/>
    </w:rPr>
  </w:style>
  <w:style w:type="character" w:customStyle="1" w:styleId="EndNoteBibliographyChar">
    <w:name w:val="EndNote Bibliography Char"/>
    <w:basedOn w:val="TableFigureHeadingChar"/>
    <w:link w:val="EndNoteBibliography"/>
    <w:rsid w:val="00F90888"/>
    <w:rPr>
      <w:rFonts w:ascii="Calibri" w:eastAsiaTheme="majorEastAsia" w:hAnsi="Calibri" w:cs="Calibri"/>
      <w:b w:val="0"/>
      <w:bCs w:val="0"/>
      <w:noProof/>
      <w:sz w:val="24"/>
      <w:szCs w:val="24"/>
    </w:rPr>
  </w:style>
  <w:style w:type="character" w:customStyle="1" w:styleId="UnresolvedMention1">
    <w:name w:val="Unresolved Mention1"/>
    <w:basedOn w:val="DefaultParagraphFont"/>
    <w:uiPriority w:val="99"/>
    <w:semiHidden/>
    <w:unhideWhenUsed/>
    <w:rsid w:val="001647A1"/>
    <w:rPr>
      <w:color w:val="605E5C"/>
      <w:shd w:val="clear" w:color="auto" w:fill="E1DFDD"/>
    </w:rPr>
  </w:style>
  <w:style w:type="character" w:customStyle="1" w:styleId="CaptionChar2">
    <w:name w:val="Caption Char2"/>
    <w:aliases w:val="Caption Char1 Char,Caption Char Char Char,Caption Char Char1,Lengende Char,figure Char,caption Char,Caption-FUSA Char,Caption Char Char Char Char Char,Caption Char Char Char Char Char Char Char,Caption Char1 Char Char Char,Char Char"/>
    <w:rsid w:val="000E3D7D"/>
    <w:rPr>
      <w:rFonts w:ascii="Cambria" w:hAnsi="Cambria"/>
      <w:b/>
      <w:sz w:val="22"/>
      <w:szCs w:val="22"/>
      <w:lang w:eastAsia="en-US"/>
    </w:rPr>
  </w:style>
  <w:style w:type="paragraph" w:customStyle="1" w:styleId="TableFigNote">
    <w:name w:val="TableFigNote"/>
    <w:basedOn w:val="Normal"/>
    <w:qFormat/>
    <w:rsid w:val="005F667B"/>
    <w:pPr>
      <w:jc w:val="left"/>
    </w:pPr>
    <w:rPr>
      <w:rFonts w:asciiTheme="minorHAnsi" w:eastAsiaTheme="minorHAnsi" w:hAnsiTheme="minorHAnsi" w:cstheme="minorBidi"/>
      <w:sz w:val="18"/>
      <w:szCs w:val="22"/>
      <w:lang w:eastAsia="en-US"/>
    </w:rPr>
  </w:style>
  <w:style w:type="table" w:customStyle="1" w:styleId="TableGrid22">
    <w:name w:val="Table Grid22"/>
    <w:basedOn w:val="TableNormal"/>
    <w:uiPriority w:val="39"/>
    <w:rsid w:val="000C791F"/>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Last">
    <w:name w:val="TableFigNote Last"/>
    <w:basedOn w:val="Normal"/>
    <w:qFormat/>
    <w:rsid w:val="00DF6103"/>
    <w:pPr>
      <w:spacing w:after="360"/>
      <w:jc w:val="left"/>
    </w:pPr>
    <w:rPr>
      <w:rFonts w:asciiTheme="minorHAnsi" w:eastAsiaTheme="minorHAnsi" w:hAnsiTheme="minorHAnsi" w:cstheme="minorBidi"/>
      <w:sz w:val="18"/>
      <w:szCs w:val="22"/>
      <w:lang w:eastAsia="en-US"/>
    </w:rPr>
  </w:style>
  <w:style w:type="paragraph" w:customStyle="1" w:styleId="TableHeading0">
    <w:name w:val="Table Heading"/>
    <w:basedOn w:val="Normal"/>
    <w:qFormat/>
    <w:rsid w:val="00C545FE"/>
    <w:pPr>
      <w:keepNext/>
      <w:spacing w:after="60"/>
      <w:jc w:val="left"/>
    </w:pPr>
    <w:rPr>
      <w:rFonts w:ascii="Arial Narrow" w:eastAsiaTheme="minorHAnsi" w:hAnsi="Arial Narrow" w:cstheme="minorBidi"/>
      <w:b/>
      <w:sz w:val="20"/>
      <w:szCs w:val="22"/>
      <w:lang w:eastAsia="en-US"/>
    </w:rPr>
  </w:style>
  <w:style w:type="character" w:customStyle="1" w:styleId="UnresolvedMention2">
    <w:name w:val="Unresolved Mention2"/>
    <w:basedOn w:val="DefaultParagraphFont"/>
    <w:uiPriority w:val="99"/>
    <w:semiHidden/>
    <w:unhideWhenUsed/>
    <w:rsid w:val="00F4295A"/>
    <w:rPr>
      <w:color w:val="605E5C"/>
      <w:shd w:val="clear" w:color="auto" w:fill="E1DFDD"/>
    </w:rPr>
  </w:style>
  <w:style w:type="paragraph" w:styleId="FootnoteText">
    <w:name w:val="footnote text"/>
    <w:basedOn w:val="Normal"/>
    <w:link w:val="FootnoteTextChar"/>
    <w:semiHidden/>
    <w:unhideWhenUsed/>
    <w:rsid w:val="005F08DF"/>
    <w:rPr>
      <w:sz w:val="20"/>
      <w:szCs w:val="20"/>
    </w:rPr>
  </w:style>
  <w:style w:type="character" w:customStyle="1" w:styleId="FootnoteTextChar">
    <w:name w:val="Footnote Text Char"/>
    <w:basedOn w:val="DefaultParagraphFont"/>
    <w:link w:val="FootnoteText"/>
    <w:semiHidden/>
    <w:rsid w:val="005F08DF"/>
    <w:rPr>
      <w:rFonts w:ascii="Calibri" w:hAnsi="Calibri" w:cs="Arial"/>
    </w:rPr>
  </w:style>
  <w:style w:type="character" w:styleId="FootnoteReference">
    <w:name w:val="footnote reference"/>
    <w:basedOn w:val="DefaultParagraphFont"/>
    <w:semiHidden/>
    <w:unhideWhenUsed/>
    <w:rsid w:val="005F0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4927456">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75160054">
      <w:bodyDiv w:val="1"/>
      <w:marLeft w:val="0"/>
      <w:marRight w:val="0"/>
      <w:marTop w:val="0"/>
      <w:marBottom w:val="0"/>
      <w:divBdr>
        <w:top w:val="none" w:sz="0" w:space="0" w:color="auto"/>
        <w:left w:val="none" w:sz="0" w:space="0" w:color="auto"/>
        <w:bottom w:val="none" w:sz="0" w:space="0" w:color="auto"/>
        <w:right w:val="none" w:sz="0" w:space="0" w:color="auto"/>
      </w:divBdr>
    </w:div>
    <w:div w:id="385761673">
      <w:bodyDiv w:val="1"/>
      <w:marLeft w:val="0"/>
      <w:marRight w:val="0"/>
      <w:marTop w:val="0"/>
      <w:marBottom w:val="0"/>
      <w:divBdr>
        <w:top w:val="none" w:sz="0" w:space="0" w:color="auto"/>
        <w:left w:val="none" w:sz="0" w:space="0" w:color="auto"/>
        <w:bottom w:val="none" w:sz="0" w:space="0" w:color="auto"/>
        <w:right w:val="none" w:sz="0" w:space="0" w:color="auto"/>
      </w:divBdr>
    </w:div>
    <w:div w:id="506822117">
      <w:bodyDiv w:val="1"/>
      <w:marLeft w:val="0"/>
      <w:marRight w:val="0"/>
      <w:marTop w:val="0"/>
      <w:marBottom w:val="0"/>
      <w:divBdr>
        <w:top w:val="none" w:sz="0" w:space="0" w:color="auto"/>
        <w:left w:val="none" w:sz="0" w:space="0" w:color="auto"/>
        <w:bottom w:val="none" w:sz="0" w:space="0" w:color="auto"/>
        <w:right w:val="none" w:sz="0" w:space="0" w:color="auto"/>
      </w:divBdr>
    </w:div>
    <w:div w:id="566575955">
      <w:bodyDiv w:val="1"/>
      <w:marLeft w:val="0"/>
      <w:marRight w:val="0"/>
      <w:marTop w:val="0"/>
      <w:marBottom w:val="0"/>
      <w:divBdr>
        <w:top w:val="none" w:sz="0" w:space="0" w:color="auto"/>
        <w:left w:val="none" w:sz="0" w:space="0" w:color="auto"/>
        <w:bottom w:val="none" w:sz="0" w:space="0" w:color="auto"/>
        <w:right w:val="none" w:sz="0" w:space="0" w:color="auto"/>
      </w:divBdr>
    </w:div>
    <w:div w:id="570776424">
      <w:bodyDiv w:val="1"/>
      <w:marLeft w:val="0"/>
      <w:marRight w:val="0"/>
      <w:marTop w:val="0"/>
      <w:marBottom w:val="0"/>
      <w:divBdr>
        <w:top w:val="none" w:sz="0" w:space="0" w:color="auto"/>
        <w:left w:val="none" w:sz="0" w:space="0" w:color="auto"/>
        <w:bottom w:val="none" w:sz="0" w:space="0" w:color="auto"/>
        <w:right w:val="none" w:sz="0" w:space="0" w:color="auto"/>
      </w:divBdr>
    </w:div>
    <w:div w:id="736560295">
      <w:bodyDiv w:val="1"/>
      <w:marLeft w:val="0"/>
      <w:marRight w:val="0"/>
      <w:marTop w:val="0"/>
      <w:marBottom w:val="0"/>
      <w:divBdr>
        <w:top w:val="none" w:sz="0" w:space="0" w:color="auto"/>
        <w:left w:val="none" w:sz="0" w:space="0" w:color="auto"/>
        <w:bottom w:val="none" w:sz="0" w:space="0" w:color="auto"/>
        <w:right w:val="none" w:sz="0" w:space="0" w:color="auto"/>
      </w:divBdr>
    </w:div>
    <w:div w:id="825321664">
      <w:bodyDiv w:val="1"/>
      <w:marLeft w:val="0"/>
      <w:marRight w:val="0"/>
      <w:marTop w:val="0"/>
      <w:marBottom w:val="0"/>
      <w:divBdr>
        <w:top w:val="none" w:sz="0" w:space="0" w:color="auto"/>
        <w:left w:val="none" w:sz="0" w:space="0" w:color="auto"/>
        <w:bottom w:val="none" w:sz="0" w:space="0" w:color="auto"/>
        <w:right w:val="none" w:sz="0" w:space="0" w:color="auto"/>
      </w:divBdr>
    </w:div>
    <w:div w:id="991179923">
      <w:bodyDiv w:val="1"/>
      <w:marLeft w:val="0"/>
      <w:marRight w:val="0"/>
      <w:marTop w:val="0"/>
      <w:marBottom w:val="0"/>
      <w:divBdr>
        <w:top w:val="none" w:sz="0" w:space="0" w:color="auto"/>
        <w:left w:val="none" w:sz="0" w:space="0" w:color="auto"/>
        <w:bottom w:val="none" w:sz="0" w:space="0" w:color="auto"/>
        <w:right w:val="none" w:sz="0" w:space="0" w:color="auto"/>
      </w:divBdr>
    </w:div>
    <w:div w:id="999118129">
      <w:bodyDiv w:val="1"/>
      <w:marLeft w:val="0"/>
      <w:marRight w:val="0"/>
      <w:marTop w:val="0"/>
      <w:marBottom w:val="0"/>
      <w:divBdr>
        <w:top w:val="none" w:sz="0" w:space="0" w:color="auto"/>
        <w:left w:val="none" w:sz="0" w:space="0" w:color="auto"/>
        <w:bottom w:val="none" w:sz="0" w:space="0" w:color="auto"/>
        <w:right w:val="none" w:sz="0" w:space="0" w:color="auto"/>
      </w:divBdr>
    </w:div>
    <w:div w:id="1084716770">
      <w:bodyDiv w:val="1"/>
      <w:marLeft w:val="0"/>
      <w:marRight w:val="0"/>
      <w:marTop w:val="0"/>
      <w:marBottom w:val="0"/>
      <w:divBdr>
        <w:top w:val="none" w:sz="0" w:space="0" w:color="auto"/>
        <w:left w:val="none" w:sz="0" w:space="0" w:color="auto"/>
        <w:bottom w:val="none" w:sz="0" w:space="0" w:color="auto"/>
        <w:right w:val="none" w:sz="0" w:space="0" w:color="auto"/>
      </w:divBdr>
    </w:div>
    <w:div w:id="115803359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10997">
      <w:bodyDiv w:val="1"/>
      <w:marLeft w:val="0"/>
      <w:marRight w:val="0"/>
      <w:marTop w:val="0"/>
      <w:marBottom w:val="0"/>
      <w:divBdr>
        <w:top w:val="none" w:sz="0" w:space="0" w:color="auto"/>
        <w:left w:val="none" w:sz="0" w:space="0" w:color="auto"/>
        <w:bottom w:val="none" w:sz="0" w:space="0" w:color="auto"/>
        <w:right w:val="none" w:sz="0" w:space="0" w:color="auto"/>
      </w:divBdr>
    </w:div>
    <w:div w:id="1254513904">
      <w:bodyDiv w:val="1"/>
      <w:marLeft w:val="0"/>
      <w:marRight w:val="0"/>
      <w:marTop w:val="0"/>
      <w:marBottom w:val="0"/>
      <w:divBdr>
        <w:top w:val="none" w:sz="0" w:space="0" w:color="auto"/>
        <w:left w:val="none" w:sz="0" w:space="0" w:color="auto"/>
        <w:bottom w:val="none" w:sz="0" w:space="0" w:color="auto"/>
        <w:right w:val="none" w:sz="0" w:space="0" w:color="auto"/>
      </w:divBdr>
    </w:div>
    <w:div w:id="1307585582">
      <w:bodyDiv w:val="1"/>
      <w:marLeft w:val="0"/>
      <w:marRight w:val="0"/>
      <w:marTop w:val="0"/>
      <w:marBottom w:val="0"/>
      <w:divBdr>
        <w:top w:val="none" w:sz="0" w:space="0" w:color="auto"/>
        <w:left w:val="none" w:sz="0" w:space="0" w:color="auto"/>
        <w:bottom w:val="none" w:sz="0" w:space="0" w:color="auto"/>
        <w:right w:val="none" w:sz="0" w:space="0" w:color="auto"/>
      </w:divBdr>
    </w:div>
    <w:div w:id="1384215377">
      <w:bodyDiv w:val="1"/>
      <w:marLeft w:val="0"/>
      <w:marRight w:val="0"/>
      <w:marTop w:val="0"/>
      <w:marBottom w:val="0"/>
      <w:divBdr>
        <w:top w:val="none" w:sz="0" w:space="0" w:color="auto"/>
        <w:left w:val="none" w:sz="0" w:space="0" w:color="auto"/>
        <w:bottom w:val="none" w:sz="0" w:space="0" w:color="auto"/>
        <w:right w:val="none" w:sz="0" w:space="0" w:color="auto"/>
      </w:divBdr>
      <w:divsChild>
        <w:div w:id="1871916891">
          <w:marLeft w:val="1080"/>
          <w:marRight w:val="0"/>
          <w:marTop w:val="100"/>
          <w:marBottom w:val="0"/>
          <w:divBdr>
            <w:top w:val="none" w:sz="0" w:space="0" w:color="auto"/>
            <w:left w:val="none" w:sz="0" w:space="0" w:color="auto"/>
            <w:bottom w:val="none" w:sz="0" w:space="0" w:color="auto"/>
            <w:right w:val="none" w:sz="0" w:space="0" w:color="auto"/>
          </w:divBdr>
        </w:div>
      </w:divsChild>
    </w:div>
    <w:div w:id="1386414912">
      <w:bodyDiv w:val="1"/>
      <w:marLeft w:val="0"/>
      <w:marRight w:val="0"/>
      <w:marTop w:val="0"/>
      <w:marBottom w:val="0"/>
      <w:divBdr>
        <w:top w:val="none" w:sz="0" w:space="0" w:color="auto"/>
        <w:left w:val="none" w:sz="0" w:space="0" w:color="auto"/>
        <w:bottom w:val="none" w:sz="0" w:space="0" w:color="auto"/>
        <w:right w:val="none" w:sz="0" w:space="0" w:color="auto"/>
      </w:divBdr>
    </w:div>
    <w:div w:id="1548836515">
      <w:bodyDiv w:val="1"/>
      <w:marLeft w:val="0"/>
      <w:marRight w:val="0"/>
      <w:marTop w:val="0"/>
      <w:marBottom w:val="0"/>
      <w:divBdr>
        <w:top w:val="none" w:sz="0" w:space="0" w:color="auto"/>
        <w:left w:val="none" w:sz="0" w:space="0" w:color="auto"/>
        <w:bottom w:val="none" w:sz="0" w:space="0" w:color="auto"/>
        <w:right w:val="none" w:sz="0" w:space="0" w:color="auto"/>
      </w:divBdr>
    </w:div>
    <w:div w:id="1598899668">
      <w:bodyDiv w:val="1"/>
      <w:marLeft w:val="0"/>
      <w:marRight w:val="0"/>
      <w:marTop w:val="0"/>
      <w:marBottom w:val="0"/>
      <w:divBdr>
        <w:top w:val="none" w:sz="0" w:space="0" w:color="auto"/>
        <w:left w:val="none" w:sz="0" w:space="0" w:color="auto"/>
        <w:bottom w:val="none" w:sz="0" w:space="0" w:color="auto"/>
        <w:right w:val="none" w:sz="0" w:space="0" w:color="auto"/>
      </w:divBdr>
    </w:div>
    <w:div w:id="1819607150">
      <w:bodyDiv w:val="1"/>
      <w:marLeft w:val="0"/>
      <w:marRight w:val="0"/>
      <w:marTop w:val="0"/>
      <w:marBottom w:val="0"/>
      <w:divBdr>
        <w:top w:val="none" w:sz="0" w:space="0" w:color="auto"/>
        <w:left w:val="none" w:sz="0" w:space="0" w:color="auto"/>
        <w:bottom w:val="none" w:sz="0" w:space="0" w:color="auto"/>
        <w:right w:val="none" w:sz="0" w:space="0" w:color="auto"/>
      </w:divBdr>
    </w:div>
    <w:div w:id="1867937476">
      <w:bodyDiv w:val="1"/>
      <w:marLeft w:val="0"/>
      <w:marRight w:val="0"/>
      <w:marTop w:val="0"/>
      <w:marBottom w:val="0"/>
      <w:divBdr>
        <w:top w:val="none" w:sz="0" w:space="0" w:color="auto"/>
        <w:left w:val="none" w:sz="0" w:space="0" w:color="auto"/>
        <w:bottom w:val="none" w:sz="0" w:space="0" w:color="auto"/>
        <w:right w:val="none" w:sz="0" w:space="0" w:color="auto"/>
      </w:divBdr>
    </w:div>
    <w:div w:id="194827114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1304580">
      <w:bodyDiv w:val="1"/>
      <w:marLeft w:val="0"/>
      <w:marRight w:val="0"/>
      <w:marTop w:val="0"/>
      <w:marBottom w:val="0"/>
      <w:divBdr>
        <w:top w:val="none" w:sz="0" w:space="0" w:color="auto"/>
        <w:left w:val="none" w:sz="0" w:space="0" w:color="auto"/>
        <w:bottom w:val="none" w:sz="0" w:space="0" w:color="auto"/>
        <w:right w:val="none" w:sz="0" w:space="0" w:color="auto"/>
      </w:divBdr>
    </w:div>
    <w:div w:id="2042439870">
      <w:bodyDiv w:val="1"/>
      <w:marLeft w:val="0"/>
      <w:marRight w:val="0"/>
      <w:marTop w:val="0"/>
      <w:marBottom w:val="0"/>
      <w:divBdr>
        <w:top w:val="none" w:sz="0" w:space="0" w:color="auto"/>
        <w:left w:val="none" w:sz="0" w:space="0" w:color="auto"/>
        <w:bottom w:val="none" w:sz="0" w:space="0" w:color="auto"/>
        <w:right w:val="none" w:sz="0" w:space="0" w:color="auto"/>
      </w:divBdr>
    </w:div>
    <w:div w:id="2091073921">
      <w:bodyDiv w:val="1"/>
      <w:marLeft w:val="0"/>
      <w:marRight w:val="0"/>
      <w:marTop w:val="0"/>
      <w:marBottom w:val="0"/>
      <w:divBdr>
        <w:top w:val="none" w:sz="0" w:space="0" w:color="auto"/>
        <w:left w:val="none" w:sz="0" w:space="0" w:color="auto"/>
        <w:bottom w:val="none" w:sz="0" w:space="0" w:color="auto"/>
        <w:right w:val="none" w:sz="0" w:space="0" w:color="auto"/>
      </w:divBdr>
    </w:div>
    <w:div w:id="209875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medicines/human/EPAR/apli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AE05DB-D31F-44B9-8078-18B2FF2B21EA}">
  <we:reference id="wa104043061" version="1.1.1.0" store="en-US" storeType="OMEX"/>
  <we:alternateReferences>
    <we:reference id="wa104043061" version="1.1.1.0" store="wa10404306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88F74-EE60-4FDA-A519-68496467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15988</Words>
  <Characters>90350</Characters>
  <Application>Microsoft Office Word</Application>
  <DocSecurity>0</DocSecurity>
  <Lines>752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2020-06-16T01:41:00Z</dcterms:created>
  <dcterms:modified xsi:type="dcterms:W3CDTF">2020-06-19T06:04:00Z</dcterms:modified>
</cp:coreProperties>
</file>