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AAD" w:rsidRPr="002E4957" w:rsidRDefault="00BB33F9" w:rsidP="004B4251">
      <w:pPr>
        <w:pStyle w:val="1-MainHeading"/>
      </w:pPr>
      <w:bookmarkStart w:id="0" w:name="_Toc22898881"/>
      <w:r>
        <w:t>6.0</w:t>
      </w:r>
      <w:r w:rsidR="00875500">
        <w:t>4</w:t>
      </w:r>
      <w:r w:rsidR="00872AAD" w:rsidRPr="002E4957">
        <w:tab/>
        <w:t>PERTUZUMAB,</w:t>
      </w:r>
      <w:r w:rsidR="00872AAD" w:rsidRPr="002E4957">
        <w:br/>
      </w:r>
      <w:r w:rsidR="00985AD9">
        <w:t>S</w:t>
      </w:r>
      <w:r w:rsidR="00872AAD" w:rsidRPr="002E4957">
        <w:t xml:space="preserve">olution for </w:t>
      </w:r>
      <w:r w:rsidR="00985AD9">
        <w:t>I.V</w:t>
      </w:r>
      <w:r w:rsidR="00A4460D">
        <w:t>.</w:t>
      </w:r>
      <w:r w:rsidR="00985AD9">
        <w:t xml:space="preserve"> </w:t>
      </w:r>
      <w:r w:rsidR="00872AAD" w:rsidRPr="002E4957">
        <w:t>infusion</w:t>
      </w:r>
      <w:r w:rsidR="00985AD9">
        <w:t xml:space="preserve">, </w:t>
      </w:r>
      <w:r w:rsidR="00872AAD" w:rsidRPr="002E4957">
        <w:t>420 mg in 14 mL,</w:t>
      </w:r>
      <w:r w:rsidR="00872AAD" w:rsidRPr="002E4957">
        <w:br/>
        <w:t>Perjeta</w:t>
      </w:r>
      <w:r w:rsidR="00872AAD" w:rsidRPr="002E4957">
        <w:rPr>
          <w:rFonts w:cstheme="minorHAnsi"/>
        </w:rPr>
        <w:t>®</w:t>
      </w:r>
      <w:r w:rsidR="00872AAD" w:rsidRPr="002E4957">
        <w:t>,</w:t>
      </w:r>
      <w:r w:rsidR="00872AAD" w:rsidRPr="002E4957">
        <w:br/>
        <w:t>Roche Products Pty Ltd.</w:t>
      </w:r>
    </w:p>
    <w:p w:rsidR="00872AAD" w:rsidRPr="00407F2D" w:rsidRDefault="00872AAD" w:rsidP="00872AAD">
      <w:pPr>
        <w:pStyle w:val="ES-Section"/>
        <w:numPr>
          <w:ilvl w:val="0"/>
          <w:numId w:val="4"/>
        </w:numPr>
      </w:pPr>
      <w:bookmarkStart w:id="1" w:name="_Toc30594504"/>
      <w:r w:rsidRPr="00407F2D">
        <w:t xml:space="preserve">Purpose of </w:t>
      </w:r>
      <w:r>
        <w:t>submission</w:t>
      </w:r>
      <w:bookmarkEnd w:id="1"/>
    </w:p>
    <w:p w:rsidR="00872AAD" w:rsidRPr="008B1757" w:rsidRDefault="00872AAD" w:rsidP="00872AAD">
      <w:pPr>
        <w:pStyle w:val="3-BodyText"/>
      </w:pPr>
      <w:r>
        <w:t xml:space="preserve">The submission </w:t>
      </w:r>
      <w:r w:rsidRPr="004E18E9">
        <w:t xml:space="preserve">requested Section 100, Authority Required, Restricted Benefit listing for </w:t>
      </w:r>
      <w:r>
        <w:t xml:space="preserve">pertuzumab, in combination with </w:t>
      </w:r>
      <w:r w:rsidR="00A436C5">
        <w:t>trastuzumab and chemotherapy (</w:t>
      </w:r>
      <w:r w:rsidR="00820265">
        <w:t>T+Chemo</w:t>
      </w:r>
      <w:r w:rsidR="00A436C5">
        <w:t>)</w:t>
      </w:r>
      <w:r>
        <w:t xml:space="preserve">, as neoadjuvant </w:t>
      </w:r>
      <w:r w:rsidRPr="004E18E9">
        <w:t xml:space="preserve">treatment </w:t>
      </w:r>
      <w:r>
        <w:t>in</w:t>
      </w:r>
      <w:r w:rsidRPr="004E18E9">
        <w:t xml:space="preserve"> </w:t>
      </w:r>
      <w:r>
        <w:t>patients with HER2-positive locally advanced, inflammatory</w:t>
      </w:r>
      <w:r w:rsidR="0015200C">
        <w:t xml:space="preserve"> or</w:t>
      </w:r>
      <w:r>
        <w:t xml:space="preserve"> early stage (</w:t>
      </w:r>
      <w:r>
        <w:rPr>
          <w:rFonts w:cstheme="minorHAnsi"/>
        </w:rPr>
        <w:t>≥</w:t>
      </w:r>
      <w:r>
        <w:t>2 cm in diameter or node positive) breast cancer</w:t>
      </w:r>
      <w:r w:rsidR="00E8726A">
        <w:t xml:space="preserve"> (Table 1)</w:t>
      </w:r>
      <w:r w:rsidRPr="004E18E9">
        <w:t xml:space="preserve">. </w:t>
      </w:r>
    </w:p>
    <w:p w:rsidR="00872AAD" w:rsidRDefault="00872AAD" w:rsidP="00872AAD">
      <w:pPr>
        <w:pStyle w:val="3-BodyText"/>
      </w:pPr>
      <w:r>
        <w:t>The requested l</w:t>
      </w:r>
      <w:r w:rsidRPr="005750C5">
        <w:t xml:space="preserve">isting </w:t>
      </w:r>
      <w:proofErr w:type="gramStart"/>
      <w:r w:rsidRPr="005750C5">
        <w:t xml:space="preserve">was </w:t>
      </w:r>
      <w:r>
        <w:t>based</w:t>
      </w:r>
      <w:proofErr w:type="gramEnd"/>
      <w:r>
        <w:t xml:space="preserve"> on </w:t>
      </w:r>
      <w:r w:rsidRPr="005750C5">
        <w:t xml:space="preserve">a </w:t>
      </w:r>
      <w:r>
        <w:t>cost-utility</w:t>
      </w:r>
      <w:r w:rsidRPr="005750C5">
        <w:t xml:space="preserve"> analysis versus</w:t>
      </w:r>
      <w:r>
        <w:t xml:space="preserve"> </w:t>
      </w:r>
      <w:r w:rsidR="00820265">
        <w:t>T+Chemo</w:t>
      </w:r>
      <w:r>
        <w:t>.</w:t>
      </w:r>
    </w:p>
    <w:p w:rsidR="00872AAD" w:rsidRPr="009E19E1" w:rsidRDefault="000D09D2" w:rsidP="00872AAD">
      <w:pPr>
        <w:pStyle w:val="TableFigureHeading"/>
      </w:pPr>
      <w:r>
        <w:t xml:space="preserve">Table </w:t>
      </w:r>
      <w:r w:rsidR="00550A5E">
        <w:rPr>
          <w:noProof/>
        </w:rPr>
        <w:t>1</w:t>
      </w:r>
      <w:r w:rsidR="00872AAD" w:rsidRPr="009E19E1">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872AAD" w:rsidRPr="00691913" w:rsidTr="00872AAD">
        <w:trPr>
          <w:cantSplit/>
          <w:tblHeader/>
        </w:trPr>
        <w:tc>
          <w:tcPr>
            <w:tcW w:w="705" w:type="pct"/>
            <w:shd w:val="clear" w:color="auto" w:fill="auto"/>
          </w:tcPr>
          <w:p w:rsidR="00872AAD" w:rsidRPr="008B1757" w:rsidRDefault="00872AAD" w:rsidP="00872AAD">
            <w:pPr>
              <w:pStyle w:val="In-tableHeading"/>
              <w:rPr>
                <w:szCs w:val="20"/>
              </w:rPr>
            </w:pPr>
            <w:r w:rsidRPr="008B1757">
              <w:t>Component</w:t>
            </w:r>
          </w:p>
        </w:tc>
        <w:tc>
          <w:tcPr>
            <w:tcW w:w="4295" w:type="pct"/>
            <w:shd w:val="clear" w:color="auto" w:fill="auto"/>
          </w:tcPr>
          <w:p w:rsidR="00872AAD" w:rsidRPr="008B1757" w:rsidRDefault="00872AAD" w:rsidP="00872AAD">
            <w:pPr>
              <w:pStyle w:val="In-tableHeading"/>
            </w:pPr>
            <w:r w:rsidRPr="008B1757">
              <w:t>Description</w:t>
            </w:r>
          </w:p>
        </w:tc>
      </w:tr>
      <w:tr w:rsidR="00872AAD" w:rsidRPr="00691913" w:rsidTr="00872AAD">
        <w:trPr>
          <w:cantSplit/>
        </w:trPr>
        <w:tc>
          <w:tcPr>
            <w:tcW w:w="705" w:type="pct"/>
            <w:shd w:val="clear" w:color="auto" w:fill="auto"/>
          </w:tcPr>
          <w:p w:rsidR="00872AAD" w:rsidRPr="00691913" w:rsidRDefault="00872AAD" w:rsidP="00872AAD">
            <w:pPr>
              <w:pStyle w:val="TableText0"/>
            </w:pPr>
            <w:r w:rsidRPr="00691913">
              <w:t>Population</w:t>
            </w:r>
          </w:p>
        </w:tc>
        <w:tc>
          <w:tcPr>
            <w:tcW w:w="4295" w:type="pct"/>
            <w:shd w:val="clear" w:color="auto" w:fill="auto"/>
          </w:tcPr>
          <w:p w:rsidR="00872AAD" w:rsidRPr="00140FC0" w:rsidRDefault="00872AAD" w:rsidP="00872AAD">
            <w:pPr>
              <w:pStyle w:val="TableText0"/>
              <w:rPr>
                <w:szCs w:val="20"/>
              </w:rPr>
            </w:pPr>
            <w:r w:rsidRPr="00140FC0">
              <w:t xml:space="preserve">Patients with HER2 positive, locally advanced, inflammatory or early stage (&gt;2 cm in diameter or node positive) early breast cancer (referred to as </w:t>
            </w:r>
            <w:proofErr w:type="gramStart"/>
            <w:r w:rsidRPr="00140FC0">
              <w:t>high risk</w:t>
            </w:r>
            <w:proofErr w:type="gramEnd"/>
            <w:r w:rsidRPr="00140FC0">
              <w:t xml:space="preserve"> eBC).</w:t>
            </w:r>
          </w:p>
        </w:tc>
      </w:tr>
      <w:tr w:rsidR="00872AAD" w:rsidRPr="00691913" w:rsidTr="00872AAD">
        <w:trPr>
          <w:cantSplit/>
        </w:trPr>
        <w:tc>
          <w:tcPr>
            <w:tcW w:w="705" w:type="pct"/>
            <w:shd w:val="clear" w:color="auto" w:fill="auto"/>
          </w:tcPr>
          <w:p w:rsidR="00872AAD" w:rsidRPr="00691913" w:rsidRDefault="00872AAD" w:rsidP="00872AAD">
            <w:pPr>
              <w:pStyle w:val="TableText0"/>
            </w:pPr>
            <w:r w:rsidRPr="00691913">
              <w:t>Intervention</w:t>
            </w:r>
          </w:p>
        </w:tc>
        <w:tc>
          <w:tcPr>
            <w:tcW w:w="4295" w:type="pct"/>
            <w:shd w:val="clear" w:color="auto" w:fill="auto"/>
          </w:tcPr>
          <w:p w:rsidR="00872AAD" w:rsidRPr="00140FC0" w:rsidRDefault="00872AAD" w:rsidP="00872AAD">
            <w:pPr>
              <w:pStyle w:val="TableText0"/>
            </w:pPr>
            <w:r w:rsidRPr="00140FC0">
              <w:t xml:space="preserve">Pertuzumab in combination with trastuzumab and chemotherapy for the neoadjuvant treatment of </w:t>
            </w:r>
            <w:proofErr w:type="gramStart"/>
            <w:r w:rsidRPr="00140FC0">
              <w:t>high risk</w:t>
            </w:r>
            <w:proofErr w:type="gramEnd"/>
            <w:r w:rsidRPr="00140FC0">
              <w:t xml:space="preserve"> eBC for up to 6 cycles.</w:t>
            </w:r>
          </w:p>
        </w:tc>
      </w:tr>
      <w:tr w:rsidR="00872AAD" w:rsidRPr="00691913" w:rsidTr="00872AAD">
        <w:trPr>
          <w:cantSplit/>
        </w:trPr>
        <w:tc>
          <w:tcPr>
            <w:tcW w:w="705" w:type="pct"/>
            <w:shd w:val="clear" w:color="auto" w:fill="auto"/>
          </w:tcPr>
          <w:p w:rsidR="00872AAD" w:rsidRPr="00691913" w:rsidRDefault="00872AAD" w:rsidP="00872AAD">
            <w:pPr>
              <w:pStyle w:val="TableText0"/>
            </w:pPr>
            <w:r w:rsidRPr="00691913">
              <w:t>Comparator</w:t>
            </w:r>
          </w:p>
        </w:tc>
        <w:tc>
          <w:tcPr>
            <w:tcW w:w="4295" w:type="pct"/>
            <w:shd w:val="clear" w:color="auto" w:fill="auto"/>
          </w:tcPr>
          <w:p w:rsidR="00872AAD" w:rsidRPr="00140FC0" w:rsidRDefault="00872AAD" w:rsidP="00872AAD">
            <w:pPr>
              <w:pStyle w:val="TableText0"/>
            </w:pPr>
            <w:r w:rsidRPr="00140FC0">
              <w:t>Trastuzumab in combination with chemotherapy</w:t>
            </w:r>
          </w:p>
        </w:tc>
      </w:tr>
      <w:tr w:rsidR="00872AAD" w:rsidRPr="00691913" w:rsidTr="00872AAD">
        <w:trPr>
          <w:cantSplit/>
        </w:trPr>
        <w:tc>
          <w:tcPr>
            <w:tcW w:w="705" w:type="pct"/>
            <w:shd w:val="clear" w:color="auto" w:fill="auto"/>
          </w:tcPr>
          <w:p w:rsidR="00872AAD" w:rsidRPr="00691913" w:rsidRDefault="00872AAD" w:rsidP="00872AAD">
            <w:pPr>
              <w:pStyle w:val="TableText0"/>
            </w:pPr>
            <w:r w:rsidRPr="00691913">
              <w:t>Outcomes</w:t>
            </w:r>
          </w:p>
        </w:tc>
        <w:tc>
          <w:tcPr>
            <w:tcW w:w="4295" w:type="pct"/>
            <w:shd w:val="clear" w:color="auto" w:fill="auto"/>
          </w:tcPr>
          <w:p w:rsidR="00872AAD" w:rsidRPr="00140FC0" w:rsidRDefault="00872AAD" w:rsidP="00872AAD">
            <w:pPr>
              <w:pStyle w:val="TableText0"/>
            </w:pPr>
            <w:r w:rsidRPr="00140FC0">
              <w:t>Primary endpoint: pathological complete response (</w:t>
            </w:r>
            <w:r w:rsidR="00DE34EB" w:rsidRPr="00140FC0">
              <w:t>b</w:t>
            </w:r>
            <w:r w:rsidRPr="00140FC0">
              <w:t>pCR</w:t>
            </w:r>
            <w:r w:rsidR="00984DD4" w:rsidRPr="00140FC0">
              <w:t xml:space="preserve"> in the breast</w:t>
            </w:r>
            <w:r w:rsidRPr="00140FC0">
              <w:t>)</w:t>
            </w:r>
          </w:p>
          <w:p w:rsidR="00872AAD" w:rsidRPr="00140FC0" w:rsidRDefault="00872AAD" w:rsidP="00872AAD">
            <w:pPr>
              <w:pStyle w:val="TableText0"/>
            </w:pPr>
            <w:r w:rsidRPr="00140FC0">
              <w:t xml:space="preserve">Secondary endpoints: </w:t>
            </w:r>
            <w:r w:rsidR="00DE34EB" w:rsidRPr="00140FC0">
              <w:t xml:space="preserve">total pCR (in the breast and nodes), </w:t>
            </w:r>
            <w:r w:rsidRPr="00140FC0">
              <w:t>overall survival, progression-free survival, disease-free survival, adverse events</w:t>
            </w:r>
          </w:p>
        </w:tc>
      </w:tr>
      <w:tr w:rsidR="00872AAD" w:rsidRPr="00691913" w:rsidTr="00872AAD">
        <w:trPr>
          <w:cantSplit/>
        </w:trPr>
        <w:tc>
          <w:tcPr>
            <w:tcW w:w="705" w:type="pct"/>
            <w:shd w:val="clear" w:color="auto" w:fill="auto"/>
          </w:tcPr>
          <w:p w:rsidR="00872AAD" w:rsidRPr="00691913" w:rsidRDefault="00872AAD" w:rsidP="00872AAD">
            <w:pPr>
              <w:pStyle w:val="TableText0"/>
            </w:pPr>
            <w:r w:rsidRPr="00691913">
              <w:t>Clinical claim</w:t>
            </w:r>
          </w:p>
        </w:tc>
        <w:tc>
          <w:tcPr>
            <w:tcW w:w="4295" w:type="pct"/>
            <w:shd w:val="clear" w:color="auto" w:fill="auto"/>
          </w:tcPr>
          <w:p w:rsidR="00872AAD" w:rsidRPr="00140FC0" w:rsidRDefault="00872AAD" w:rsidP="000F57E7">
            <w:pPr>
              <w:pStyle w:val="TableText0"/>
              <w:rPr>
                <w:rFonts w:eastAsia="Times New Roman" w:cs="Arial"/>
                <w:bCs w:val="0"/>
                <w:snapToGrid w:val="0"/>
                <w:color w:val="0066FF"/>
                <w:szCs w:val="20"/>
              </w:rPr>
            </w:pPr>
            <w:r w:rsidRPr="00140FC0">
              <w:t xml:space="preserve">Pertuzumab significantly improves pCR among patients with </w:t>
            </w:r>
            <w:proofErr w:type="gramStart"/>
            <w:r w:rsidRPr="00140FC0">
              <w:t>high risk</w:t>
            </w:r>
            <w:proofErr w:type="gramEnd"/>
            <w:r w:rsidRPr="00140FC0">
              <w:t xml:space="preserve"> early breast cancer when added to trastuzumab and chemotherapy in the neoadjuvant setting.</w:t>
            </w:r>
          </w:p>
        </w:tc>
      </w:tr>
    </w:tbl>
    <w:p w:rsidR="00872AAD" w:rsidRDefault="00872AAD" w:rsidP="00872AAD">
      <w:pPr>
        <w:pStyle w:val="TableFigureFooter"/>
      </w:pPr>
      <w:r>
        <w:t xml:space="preserve">Source: Table 1.1, p14 </w:t>
      </w:r>
      <w:r w:rsidRPr="00D13A3E">
        <w:t xml:space="preserve">of the </w:t>
      </w:r>
      <w:r>
        <w:t>submission.</w:t>
      </w:r>
    </w:p>
    <w:p w:rsidR="00872AAD" w:rsidRDefault="00872AAD" w:rsidP="00872AAD">
      <w:pPr>
        <w:pStyle w:val="TableFigureFooter"/>
      </w:pPr>
      <w:proofErr w:type="gramStart"/>
      <w:r>
        <w:t>eBC</w:t>
      </w:r>
      <w:proofErr w:type="gramEnd"/>
      <w:r>
        <w:t xml:space="preserve"> = early breast cancer; HER2 = </w:t>
      </w:r>
      <w:r w:rsidRPr="00CD3C89">
        <w:t>human epidermal growth factor receptor 2</w:t>
      </w:r>
      <w:r>
        <w:t>; IV = intravenous</w:t>
      </w:r>
    </w:p>
    <w:p w:rsidR="00872AAD" w:rsidRPr="00407F2D" w:rsidRDefault="00872AAD" w:rsidP="000D09D2">
      <w:pPr>
        <w:pStyle w:val="2-SectionHeading"/>
      </w:pPr>
      <w:bookmarkStart w:id="2" w:name="_Toc30594505"/>
      <w:r w:rsidRPr="00407F2D">
        <w:t>Background</w:t>
      </w:r>
      <w:bookmarkEnd w:id="2"/>
    </w:p>
    <w:p w:rsidR="00872AAD" w:rsidRPr="004151CF" w:rsidRDefault="00872AAD" w:rsidP="000D09D2">
      <w:pPr>
        <w:pStyle w:val="ES-SubSection"/>
      </w:pPr>
      <w:bookmarkStart w:id="3" w:name="_Toc22897638"/>
      <w:bookmarkStart w:id="4" w:name="_Toc30594506"/>
      <w:r w:rsidRPr="000D09D2">
        <w:t>Registration</w:t>
      </w:r>
      <w:r w:rsidRPr="004151CF">
        <w:t xml:space="preserve"> status</w:t>
      </w:r>
      <w:bookmarkEnd w:id="3"/>
      <w:bookmarkEnd w:id="4"/>
    </w:p>
    <w:p w:rsidR="00872AAD" w:rsidRDefault="00872AAD" w:rsidP="00872AAD">
      <w:pPr>
        <w:pStyle w:val="3-BodyText"/>
        <w:contextualSpacing/>
      </w:pPr>
      <w:r>
        <w:t>Pertuzumab</w:t>
      </w:r>
      <w:r w:rsidR="00286CB6">
        <w:t xml:space="preserve"> is TGA registered </w:t>
      </w:r>
      <w:r w:rsidRPr="004E18E9">
        <w:t xml:space="preserve">for </w:t>
      </w:r>
      <w:r>
        <w:t xml:space="preserve">the following </w:t>
      </w:r>
      <w:r w:rsidRPr="004E18E9">
        <w:t>indications</w:t>
      </w:r>
      <w:r>
        <w:t>:</w:t>
      </w:r>
    </w:p>
    <w:tbl>
      <w:tblPr>
        <w:tblW w:w="0" w:type="auto"/>
        <w:tblInd w:w="70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313"/>
      </w:tblGrid>
      <w:tr w:rsidR="00872AAD" w:rsidRPr="00F95C1D" w:rsidTr="00872AAD">
        <w:tc>
          <w:tcPr>
            <w:tcW w:w="8313" w:type="dxa"/>
            <w:shd w:val="clear" w:color="auto" w:fill="auto"/>
            <w:vAlign w:val="center"/>
          </w:tcPr>
          <w:p w:rsidR="00872AAD" w:rsidRPr="00F95C1D" w:rsidRDefault="00872AAD" w:rsidP="00872AAD">
            <w:pPr>
              <w:spacing w:before="20" w:after="20"/>
              <w:jc w:val="left"/>
              <w:rPr>
                <w:b/>
                <w:bCs/>
              </w:rPr>
            </w:pPr>
            <w:r w:rsidRPr="00F95C1D">
              <w:rPr>
                <w:b/>
                <w:bCs/>
              </w:rPr>
              <w:t>Early breast cancer</w:t>
            </w:r>
          </w:p>
        </w:tc>
      </w:tr>
      <w:tr w:rsidR="00872AAD" w:rsidRPr="00F95C1D" w:rsidTr="00872AAD">
        <w:tc>
          <w:tcPr>
            <w:tcW w:w="8313" w:type="dxa"/>
            <w:shd w:val="clear" w:color="auto" w:fill="auto"/>
            <w:vAlign w:val="center"/>
          </w:tcPr>
          <w:p w:rsidR="00872AAD" w:rsidRPr="00F95C1D" w:rsidRDefault="00872AAD" w:rsidP="00872AAD">
            <w:pPr>
              <w:spacing w:before="20" w:after="20"/>
              <w:jc w:val="left"/>
            </w:pPr>
            <w:r w:rsidRPr="00F95C1D">
              <w:t>P</w:t>
            </w:r>
            <w:r>
              <w:t>ertuzumab</w:t>
            </w:r>
            <w:r w:rsidRPr="00F95C1D">
              <w:t xml:space="preserve"> is indicated in combination with trastuzumab and chemotherapy for:</w:t>
            </w:r>
          </w:p>
          <w:p w:rsidR="00872AAD" w:rsidRPr="003C69E7" w:rsidRDefault="00872AAD" w:rsidP="00F06FC1">
            <w:pPr>
              <w:pStyle w:val="ListParagraph"/>
              <w:numPr>
                <w:ilvl w:val="0"/>
                <w:numId w:val="5"/>
              </w:numPr>
              <w:spacing w:before="20" w:after="20"/>
              <w:contextualSpacing/>
              <w:jc w:val="left"/>
            </w:pPr>
            <w:r w:rsidRPr="00F95C1D">
              <w:t xml:space="preserve">the neoadjuvant treatment of patients with HER2-positive inflammatory or locally advanced, or </w:t>
            </w:r>
            <w:r w:rsidRPr="003C69E7">
              <w:t>early stage (either &gt;2 cm in diameter or node positive) breast cancer as part of a complete treatment regimen for early breast cancer;</w:t>
            </w:r>
          </w:p>
          <w:p w:rsidR="005E0C61" w:rsidRPr="005E0C61" w:rsidRDefault="00872AAD" w:rsidP="005E0C61">
            <w:pPr>
              <w:pStyle w:val="ListParagraph"/>
              <w:numPr>
                <w:ilvl w:val="0"/>
                <w:numId w:val="5"/>
              </w:numPr>
              <w:spacing w:before="20" w:after="20"/>
              <w:contextualSpacing/>
              <w:jc w:val="left"/>
            </w:pPr>
            <w:proofErr w:type="gramStart"/>
            <w:r w:rsidRPr="003C69E7">
              <w:t>the</w:t>
            </w:r>
            <w:proofErr w:type="gramEnd"/>
            <w:r w:rsidRPr="003C69E7">
              <w:t xml:space="preserve"> adjuvant treatment of patients with HER2-positive early breast cancer at high risk of recurrence</w:t>
            </w:r>
            <w:r w:rsidRPr="00F95C1D">
              <w:t>.</w:t>
            </w:r>
          </w:p>
        </w:tc>
      </w:tr>
      <w:tr w:rsidR="00872AAD" w:rsidRPr="00F95C1D" w:rsidTr="00872AAD">
        <w:tc>
          <w:tcPr>
            <w:tcW w:w="8313" w:type="dxa"/>
            <w:shd w:val="clear" w:color="auto" w:fill="auto"/>
            <w:vAlign w:val="center"/>
          </w:tcPr>
          <w:p w:rsidR="00872AAD" w:rsidRPr="00F95C1D" w:rsidRDefault="00872AAD" w:rsidP="00872AAD">
            <w:pPr>
              <w:spacing w:before="20" w:after="20"/>
              <w:jc w:val="left"/>
              <w:rPr>
                <w:b/>
                <w:bCs/>
              </w:rPr>
            </w:pPr>
            <w:r w:rsidRPr="00F95C1D">
              <w:rPr>
                <w:b/>
                <w:bCs/>
              </w:rPr>
              <w:t>Metastatic breast cancer</w:t>
            </w:r>
          </w:p>
        </w:tc>
      </w:tr>
      <w:tr w:rsidR="00872AAD" w:rsidTr="00872AAD">
        <w:tc>
          <w:tcPr>
            <w:tcW w:w="8313" w:type="dxa"/>
            <w:shd w:val="clear" w:color="auto" w:fill="auto"/>
            <w:vAlign w:val="center"/>
          </w:tcPr>
          <w:p w:rsidR="00872AAD" w:rsidRPr="002E6AF5" w:rsidRDefault="00872AAD" w:rsidP="00872AAD">
            <w:pPr>
              <w:spacing w:before="20" w:after="20"/>
              <w:jc w:val="left"/>
            </w:pPr>
            <w:r w:rsidRPr="00F95C1D">
              <w:lastRenderedPageBreak/>
              <w:t>Per</w:t>
            </w:r>
            <w:r>
              <w:t>tuzumab</w:t>
            </w:r>
            <w:r w:rsidRPr="00F95C1D">
              <w:t xml:space="preserve"> </w:t>
            </w:r>
            <w:proofErr w:type="gramStart"/>
            <w:r w:rsidRPr="00F95C1D">
              <w:t>is indicated</w:t>
            </w:r>
            <w:proofErr w:type="gramEnd"/>
            <w:r w:rsidRPr="00F95C1D">
              <w:t xml:space="preserve"> in combination with trastuzumab and docetaxel for patients with metastatic HER2-positive breast cancer who have not received prior anti-HER2 therapy or chemotherapy for their metastatic disease.</w:t>
            </w:r>
          </w:p>
        </w:tc>
      </w:tr>
    </w:tbl>
    <w:p w:rsidR="00872AAD" w:rsidRPr="008B24D0" w:rsidRDefault="00872AAD" w:rsidP="000D09D2">
      <w:pPr>
        <w:pStyle w:val="ES-SubSection"/>
      </w:pPr>
      <w:bookmarkStart w:id="5" w:name="_Toc22897639"/>
      <w:bookmarkStart w:id="6" w:name="_Toc30594507"/>
      <w:bookmarkStart w:id="7" w:name="_Hlk24117209"/>
      <w:r w:rsidRPr="008B24D0">
        <w:t>Previous PBAC consideration</w:t>
      </w:r>
      <w:bookmarkEnd w:id="5"/>
      <w:bookmarkEnd w:id="6"/>
    </w:p>
    <w:bookmarkEnd w:id="7"/>
    <w:p w:rsidR="00872AAD" w:rsidRPr="00FE0A27" w:rsidRDefault="00872AAD" w:rsidP="00FE0A27">
      <w:pPr>
        <w:pStyle w:val="3-BodyText"/>
        <w:rPr>
          <w:snapToGrid/>
          <w:lang w:val="en-US"/>
        </w:rPr>
      </w:pPr>
      <w:r w:rsidRPr="00FE0A27">
        <w:rPr>
          <w:snapToGrid/>
          <w:lang w:val="en-US"/>
        </w:rPr>
        <w:t xml:space="preserve">This is the first submission for the proposed use of pertuzumab in the neoadjuvant setting. </w:t>
      </w:r>
    </w:p>
    <w:p w:rsidR="00FE0A27" w:rsidRPr="00D30567" w:rsidRDefault="00FE0A27" w:rsidP="00FE0A27">
      <w:pPr>
        <w:pStyle w:val="3-BodyText"/>
        <w:rPr>
          <w:snapToGrid/>
          <w:lang w:val="en-US"/>
        </w:rPr>
      </w:pPr>
      <w:r w:rsidRPr="00FE0A27">
        <w:rPr>
          <w:snapToGrid/>
          <w:lang w:val="en-US"/>
        </w:rPr>
        <w:t xml:space="preserve">Submissions for pertuzumab in the adjuvant setting </w:t>
      </w:r>
      <w:proofErr w:type="gramStart"/>
      <w:r w:rsidRPr="00FE0A27">
        <w:rPr>
          <w:snapToGrid/>
          <w:lang w:val="en-US"/>
        </w:rPr>
        <w:t>were considered</w:t>
      </w:r>
      <w:proofErr w:type="gramEnd"/>
      <w:r w:rsidRPr="00FE0A27">
        <w:rPr>
          <w:snapToGrid/>
          <w:lang w:val="en-US"/>
        </w:rPr>
        <w:t xml:space="preserve"> at the July 2018 and March 2019 PBAC meetings. Pertuzumab </w:t>
      </w:r>
      <w:proofErr w:type="gramStart"/>
      <w:r w:rsidRPr="00FE0A27">
        <w:rPr>
          <w:snapToGrid/>
          <w:lang w:val="en-US"/>
        </w:rPr>
        <w:t>was not recommended</w:t>
      </w:r>
      <w:proofErr w:type="gramEnd"/>
      <w:r w:rsidRPr="00FE0A27">
        <w:rPr>
          <w:snapToGrid/>
          <w:lang w:val="en-US"/>
        </w:rPr>
        <w:t xml:space="preserve"> </w:t>
      </w:r>
      <w:r>
        <w:t xml:space="preserve">due </w:t>
      </w:r>
      <w:r w:rsidR="000262B7">
        <w:t>to limited clinical benefit, an</w:t>
      </w:r>
      <w:r>
        <w:t xml:space="preserve"> uncertain ICER and unclear clinical place. The PBAC</w:t>
      </w:r>
      <w:r w:rsidRPr="00FE0A27">
        <w:t xml:space="preserve"> considered that the clinical place for pertuzumab in the adjuvant setting </w:t>
      </w:r>
      <w:r>
        <w:t>wa</w:t>
      </w:r>
      <w:r w:rsidRPr="00FE0A27">
        <w:t xml:space="preserve">s unclear, </w:t>
      </w:r>
      <w:r>
        <w:t>“</w:t>
      </w:r>
      <w:r w:rsidRPr="00FE0A27">
        <w:t>given the shift toward treating high-risk patients in the neoadjuvant setting and the lack of data for adjuvant pertuzumab following neoadjuvant treatment</w:t>
      </w:r>
      <w:r>
        <w:t>” (</w:t>
      </w:r>
      <w:r w:rsidR="000262B7">
        <w:t>paragraph 7.1, pertuzumab Public Summary Document</w:t>
      </w:r>
      <w:r w:rsidR="00F26ED7">
        <w:t xml:space="preserve"> (PSD)</w:t>
      </w:r>
      <w:r w:rsidR="000262B7">
        <w:t>, March 2019 PBAC meeting).</w:t>
      </w:r>
      <w:r>
        <w:t xml:space="preserve"> </w:t>
      </w:r>
    </w:p>
    <w:p w:rsidR="0096567E" w:rsidRDefault="00872AAD" w:rsidP="0096567E">
      <w:pPr>
        <w:pStyle w:val="ES-Section"/>
        <w:numPr>
          <w:ilvl w:val="0"/>
          <w:numId w:val="4"/>
        </w:numPr>
      </w:pPr>
      <w:bookmarkStart w:id="8" w:name="_Toc30594508"/>
      <w:r w:rsidRPr="00D836DC">
        <w:t>Requested listing</w:t>
      </w:r>
      <w:bookmarkEnd w:id="8"/>
    </w:p>
    <w:p w:rsidR="00F70833" w:rsidRPr="005E0C61" w:rsidRDefault="00F70833" w:rsidP="005E0C61">
      <w:pPr>
        <w:pStyle w:val="3-BodyText"/>
      </w:pPr>
      <w:r w:rsidRPr="0096567E">
        <w:rPr>
          <w:snapToGrid/>
          <w:lang w:val="en-US"/>
        </w:rPr>
        <w:t>Suggestions</w:t>
      </w:r>
      <w:r w:rsidRPr="0096567E">
        <w:rPr>
          <w:rFonts w:cstheme="minorHAnsi"/>
        </w:rPr>
        <w:t xml:space="preserve"> and additions proposed by the Secretariat </w:t>
      </w:r>
      <w:proofErr w:type="gramStart"/>
      <w:r w:rsidRPr="0096567E">
        <w:rPr>
          <w:rFonts w:cstheme="minorHAnsi"/>
        </w:rPr>
        <w:t>are added</w:t>
      </w:r>
      <w:proofErr w:type="gramEnd"/>
      <w:r w:rsidRPr="0096567E">
        <w:rPr>
          <w:rFonts w:cstheme="minorHAnsi"/>
        </w:rPr>
        <w:t xml:space="preserve"> in italics and suggested deletions are crossed out with strikethrough.</w:t>
      </w:r>
    </w:p>
    <w:tbl>
      <w:tblPr>
        <w:tblW w:w="4994" w:type="pct"/>
        <w:tblInd w:w="5" w:type="dxa"/>
        <w:tblLayout w:type="fixed"/>
        <w:tblCellMar>
          <w:left w:w="28" w:type="dxa"/>
          <w:right w:w="28" w:type="dxa"/>
        </w:tblCellMar>
        <w:tblLook w:val="0000" w:firstRow="0" w:lastRow="0" w:firstColumn="0" w:lastColumn="0" w:noHBand="0" w:noVBand="0"/>
      </w:tblPr>
      <w:tblGrid>
        <w:gridCol w:w="3379"/>
        <w:gridCol w:w="1086"/>
        <w:gridCol w:w="842"/>
        <w:gridCol w:w="1516"/>
        <w:gridCol w:w="698"/>
        <w:gridCol w:w="1495"/>
      </w:tblGrid>
      <w:tr w:rsidR="0078581C" w:rsidRPr="00413860" w:rsidTr="0078581C">
        <w:trPr>
          <w:cantSplit/>
          <w:trHeight w:val="463"/>
        </w:trPr>
        <w:tc>
          <w:tcPr>
            <w:tcW w:w="1868" w:type="pct"/>
            <w:tcBorders>
              <w:top w:val="single" w:sz="4" w:space="0" w:color="auto"/>
              <w:bottom w:val="single" w:sz="4" w:space="0" w:color="auto"/>
            </w:tcBorders>
            <w:vAlign w:val="center"/>
          </w:tcPr>
          <w:p w:rsidR="0078581C" w:rsidRPr="00C7151A" w:rsidRDefault="0078581C" w:rsidP="0078581C">
            <w:pPr>
              <w:keepNext/>
              <w:jc w:val="left"/>
              <w:rPr>
                <w:rFonts w:ascii="Arial Narrow" w:hAnsi="Arial Narrow"/>
                <w:b/>
                <w:sz w:val="20"/>
              </w:rPr>
            </w:pPr>
            <w:r w:rsidRPr="00C7151A">
              <w:rPr>
                <w:rFonts w:ascii="Arial Narrow" w:hAnsi="Arial Narrow"/>
                <w:b/>
                <w:sz w:val="20"/>
              </w:rPr>
              <w:t>Name, Restriction,</w:t>
            </w:r>
          </w:p>
          <w:p w:rsidR="0078581C" w:rsidRPr="00C7151A" w:rsidRDefault="0078581C" w:rsidP="0078581C">
            <w:pPr>
              <w:keepNext/>
              <w:jc w:val="left"/>
              <w:rPr>
                <w:rFonts w:ascii="Arial Narrow" w:hAnsi="Arial Narrow"/>
                <w:b/>
                <w:sz w:val="20"/>
              </w:rPr>
            </w:pPr>
            <w:r w:rsidRPr="00C7151A">
              <w:rPr>
                <w:rFonts w:ascii="Arial Narrow" w:hAnsi="Arial Narrow"/>
                <w:b/>
                <w:sz w:val="20"/>
              </w:rPr>
              <w:t>Manner of administration and form</w:t>
            </w:r>
          </w:p>
        </w:tc>
        <w:tc>
          <w:tcPr>
            <w:tcW w:w="600" w:type="pct"/>
            <w:tcBorders>
              <w:top w:val="single" w:sz="4" w:space="0" w:color="auto"/>
              <w:bottom w:val="single" w:sz="4" w:space="0" w:color="auto"/>
            </w:tcBorders>
            <w:vAlign w:val="center"/>
          </w:tcPr>
          <w:p w:rsidR="0078581C" w:rsidRPr="00C7151A" w:rsidRDefault="0078581C" w:rsidP="0078581C">
            <w:pPr>
              <w:keepNext/>
              <w:jc w:val="center"/>
              <w:rPr>
                <w:rFonts w:ascii="Arial Narrow" w:hAnsi="Arial Narrow"/>
                <w:b/>
                <w:sz w:val="20"/>
              </w:rPr>
            </w:pPr>
            <w:r w:rsidRPr="00C7151A">
              <w:rPr>
                <w:rFonts w:ascii="Arial Narrow" w:hAnsi="Arial Narrow"/>
                <w:b/>
                <w:sz w:val="20"/>
              </w:rPr>
              <w:t>Max. Amt</w:t>
            </w:r>
          </w:p>
        </w:tc>
        <w:tc>
          <w:tcPr>
            <w:tcW w:w="465" w:type="pct"/>
            <w:tcBorders>
              <w:top w:val="single" w:sz="4" w:space="0" w:color="auto"/>
              <w:bottom w:val="single" w:sz="4" w:space="0" w:color="auto"/>
            </w:tcBorders>
            <w:vAlign w:val="center"/>
          </w:tcPr>
          <w:p w:rsidR="0078581C" w:rsidRPr="00C7151A" w:rsidRDefault="0078581C" w:rsidP="0078581C">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w:t>
            </w:r>
            <w:r>
              <w:rPr>
                <w:rFonts w:ascii="Arial Narrow" w:hAnsi="Arial Narrow"/>
                <w:b/>
                <w:sz w:val="20"/>
              </w:rPr>
              <w:t xml:space="preserve"> </w:t>
            </w:r>
            <w:r w:rsidRPr="00C7151A">
              <w:rPr>
                <w:rFonts w:ascii="Arial Narrow" w:hAnsi="Arial Narrow"/>
                <w:b/>
                <w:sz w:val="20"/>
              </w:rPr>
              <w:t>of</w:t>
            </w:r>
          </w:p>
          <w:p w:rsidR="0078581C" w:rsidRPr="00C7151A" w:rsidRDefault="0078581C" w:rsidP="0078581C">
            <w:pPr>
              <w:keepNext/>
              <w:jc w:val="center"/>
              <w:rPr>
                <w:rFonts w:ascii="Arial Narrow" w:hAnsi="Arial Narrow"/>
                <w:b/>
                <w:sz w:val="20"/>
              </w:rPr>
            </w:pPr>
            <w:r w:rsidRPr="00C7151A">
              <w:rPr>
                <w:rFonts w:ascii="Arial Narrow" w:hAnsi="Arial Narrow"/>
                <w:b/>
                <w:sz w:val="20"/>
              </w:rPr>
              <w:t>Rpts</w:t>
            </w:r>
          </w:p>
        </w:tc>
        <w:tc>
          <w:tcPr>
            <w:tcW w:w="838" w:type="pct"/>
            <w:tcBorders>
              <w:top w:val="single" w:sz="4" w:space="0" w:color="auto"/>
              <w:bottom w:val="single" w:sz="4" w:space="0" w:color="auto"/>
            </w:tcBorders>
            <w:vAlign w:val="center"/>
          </w:tcPr>
          <w:p w:rsidR="0078581C" w:rsidRDefault="0078581C" w:rsidP="0078581C">
            <w:pPr>
              <w:keepNext/>
              <w:jc w:val="center"/>
              <w:rPr>
                <w:rFonts w:ascii="Arial Narrow" w:hAnsi="Arial Narrow"/>
                <w:b/>
                <w:sz w:val="20"/>
              </w:rPr>
            </w:pPr>
            <w:r w:rsidRPr="00C7151A">
              <w:rPr>
                <w:rFonts w:ascii="Arial Narrow" w:hAnsi="Arial Narrow"/>
                <w:b/>
                <w:sz w:val="20"/>
              </w:rPr>
              <w:t>Dispensed Price Max Amt</w:t>
            </w:r>
          </w:p>
          <w:p w:rsidR="0078581C" w:rsidRDefault="0078581C" w:rsidP="0078581C">
            <w:pPr>
              <w:keepNext/>
              <w:jc w:val="center"/>
              <w:rPr>
                <w:rFonts w:ascii="Arial Narrow" w:hAnsi="Arial Narrow"/>
                <w:b/>
                <w:sz w:val="20"/>
              </w:rPr>
            </w:pPr>
            <w:r>
              <w:rPr>
                <w:rFonts w:ascii="Arial Narrow" w:hAnsi="Arial Narrow"/>
                <w:b/>
                <w:sz w:val="20"/>
              </w:rPr>
              <w:t>Public Hospital</w:t>
            </w:r>
          </w:p>
          <w:p w:rsidR="0078581C" w:rsidRPr="00C7151A" w:rsidRDefault="0078581C" w:rsidP="0078581C">
            <w:pPr>
              <w:keepNext/>
              <w:jc w:val="center"/>
              <w:rPr>
                <w:rFonts w:ascii="Arial Narrow" w:hAnsi="Arial Narrow"/>
                <w:b/>
                <w:sz w:val="20"/>
              </w:rPr>
            </w:pPr>
            <w:r>
              <w:rPr>
                <w:rFonts w:ascii="Arial Narrow" w:hAnsi="Arial Narrow"/>
                <w:b/>
                <w:sz w:val="20"/>
              </w:rPr>
              <w:t>(Private Hospital)</w:t>
            </w:r>
          </w:p>
        </w:tc>
        <w:tc>
          <w:tcPr>
            <w:tcW w:w="1212" w:type="pct"/>
            <w:gridSpan w:val="2"/>
            <w:tcBorders>
              <w:top w:val="single" w:sz="4" w:space="0" w:color="auto"/>
              <w:bottom w:val="single" w:sz="4" w:space="0" w:color="auto"/>
            </w:tcBorders>
            <w:vAlign w:val="center"/>
          </w:tcPr>
          <w:p w:rsidR="0078581C" w:rsidRPr="00C7151A" w:rsidRDefault="0078581C" w:rsidP="0078581C">
            <w:pPr>
              <w:keepNext/>
              <w:jc w:val="center"/>
              <w:rPr>
                <w:rFonts w:ascii="Arial Narrow" w:hAnsi="Arial Narrow"/>
                <w:b/>
                <w:sz w:val="20"/>
                <w:lang w:val="fr-FR"/>
              </w:rPr>
            </w:pPr>
            <w:r w:rsidRPr="00C7151A">
              <w:rPr>
                <w:rFonts w:ascii="Arial Narrow" w:hAnsi="Arial Narrow"/>
                <w:b/>
                <w:sz w:val="20"/>
              </w:rPr>
              <w:t>Proprietary Name and Manufacturer</w:t>
            </w:r>
          </w:p>
        </w:tc>
      </w:tr>
      <w:tr w:rsidR="0078581C" w:rsidRPr="00413860" w:rsidTr="0078581C">
        <w:trPr>
          <w:cantSplit/>
          <w:trHeight w:val="567"/>
        </w:trPr>
        <w:tc>
          <w:tcPr>
            <w:tcW w:w="1868" w:type="pct"/>
            <w:tcBorders>
              <w:top w:val="single" w:sz="4" w:space="0" w:color="auto"/>
              <w:bottom w:val="single" w:sz="4" w:space="0" w:color="auto"/>
            </w:tcBorders>
            <w:vAlign w:val="center"/>
          </w:tcPr>
          <w:p w:rsidR="0078581C" w:rsidRPr="0050604A" w:rsidRDefault="0078581C" w:rsidP="0078581C">
            <w:pPr>
              <w:keepNext/>
              <w:jc w:val="left"/>
              <w:rPr>
                <w:rFonts w:ascii="Arial Narrow" w:hAnsi="Arial Narrow"/>
                <w:sz w:val="20"/>
              </w:rPr>
            </w:pPr>
            <w:r w:rsidRPr="0050604A">
              <w:rPr>
                <w:rFonts w:ascii="Arial Narrow" w:hAnsi="Arial Narrow"/>
                <w:sz w:val="20"/>
              </w:rPr>
              <w:t>PERTUZUMAB</w:t>
            </w:r>
          </w:p>
          <w:p w:rsidR="0078581C" w:rsidRPr="0050604A" w:rsidRDefault="0078581C" w:rsidP="0078581C">
            <w:pPr>
              <w:keepNext/>
              <w:jc w:val="left"/>
              <w:rPr>
                <w:rFonts w:ascii="Arial Narrow" w:hAnsi="Arial Narrow"/>
                <w:sz w:val="20"/>
              </w:rPr>
            </w:pPr>
            <w:r w:rsidRPr="0050604A">
              <w:rPr>
                <w:rFonts w:ascii="Arial Narrow" w:hAnsi="Arial Narrow"/>
                <w:sz w:val="20"/>
              </w:rPr>
              <w:t>Solution for IV infusion</w:t>
            </w:r>
          </w:p>
          <w:p w:rsidR="0078581C" w:rsidRPr="00591957" w:rsidRDefault="0078581C" w:rsidP="0078581C">
            <w:pPr>
              <w:keepNext/>
              <w:jc w:val="left"/>
              <w:rPr>
                <w:rFonts w:ascii="Arial Narrow" w:hAnsi="Arial Narrow"/>
                <w:sz w:val="20"/>
              </w:rPr>
            </w:pPr>
            <w:r w:rsidRPr="0050604A">
              <w:rPr>
                <w:rFonts w:ascii="Arial Narrow" w:hAnsi="Arial Narrow"/>
                <w:sz w:val="20"/>
              </w:rPr>
              <w:t>420 mg/14 mL, 14 mL vial</w:t>
            </w:r>
          </w:p>
        </w:tc>
        <w:tc>
          <w:tcPr>
            <w:tcW w:w="600" w:type="pct"/>
            <w:tcBorders>
              <w:top w:val="single" w:sz="4" w:space="0" w:color="auto"/>
              <w:bottom w:val="single" w:sz="4" w:space="0" w:color="auto"/>
            </w:tcBorders>
            <w:vAlign w:val="center"/>
          </w:tcPr>
          <w:p w:rsidR="0078581C" w:rsidRPr="00591957" w:rsidRDefault="0078581C" w:rsidP="0078581C">
            <w:pPr>
              <w:keepNext/>
              <w:jc w:val="center"/>
              <w:rPr>
                <w:rFonts w:ascii="Arial Narrow" w:hAnsi="Arial Narrow"/>
                <w:sz w:val="20"/>
              </w:rPr>
            </w:pPr>
            <w:r>
              <w:rPr>
                <w:rFonts w:ascii="Arial Narrow" w:hAnsi="Arial Narrow"/>
                <w:sz w:val="20"/>
              </w:rPr>
              <w:t>840 mg</w:t>
            </w:r>
          </w:p>
        </w:tc>
        <w:tc>
          <w:tcPr>
            <w:tcW w:w="465" w:type="pct"/>
            <w:tcBorders>
              <w:top w:val="single" w:sz="4" w:space="0" w:color="auto"/>
              <w:bottom w:val="single" w:sz="4" w:space="0" w:color="auto"/>
            </w:tcBorders>
            <w:vAlign w:val="center"/>
          </w:tcPr>
          <w:p w:rsidR="0078581C" w:rsidRPr="00591957" w:rsidRDefault="0078581C" w:rsidP="0078581C">
            <w:pPr>
              <w:keepNext/>
              <w:jc w:val="center"/>
              <w:rPr>
                <w:rFonts w:ascii="Arial Narrow" w:hAnsi="Arial Narrow"/>
                <w:sz w:val="20"/>
              </w:rPr>
            </w:pPr>
            <w:r>
              <w:rPr>
                <w:rFonts w:ascii="Arial Narrow" w:hAnsi="Arial Narrow"/>
                <w:sz w:val="20"/>
              </w:rPr>
              <w:t>0</w:t>
            </w:r>
          </w:p>
        </w:tc>
        <w:tc>
          <w:tcPr>
            <w:tcW w:w="838" w:type="pct"/>
            <w:tcBorders>
              <w:top w:val="single" w:sz="4" w:space="0" w:color="auto"/>
              <w:bottom w:val="single" w:sz="4" w:space="0" w:color="auto"/>
            </w:tcBorders>
            <w:vAlign w:val="center"/>
          </w:tcPr>
          <w:p w:rsidR="0078581C" w:rsidRPr="0050604A" w:rsidRDefault="0078581C" w:rsidP="0078581C">
            <w:pPr>
              <w:keepNext/>
              <w:jc w:val="center"/>
              <w:rPr>
                <w:rFonts w:ascii="Arial Narrow" w:hAnsi="Arial Narrow"/>
                <w:bCs/>
                <w:sz w:val="20"/>
              </w:rPr>
            </w:pPr>
            <w:r w:rsidRPr="0050604A">
              <w:rPr>
                <w:rFonts w:ascii="Arial Narrow" w:hAnsi="Arial Narrow"/>
                <w:bCs/>
                <w:sz w:val="20"/>
              </w:rPr>
              <w:t>$6,229.80</w:t>
            </w:r>
          </w:p>
          <w:p w:rsidR="0078581C" w:rsidRPr="00591957" w:rsidRDefault="0078581C" w:rsidP="0078581C">
            <w:pPr>
              <w:keepNext/>
              <w:jc w:val="center"/>
              <w:rPr>
                <w:rFonts w:ascii="Arial Narrow" w:hAnsi="Arial Narrow"/>
                <w:sz w:val="20"/>
              </w:rPr>
            </w:pPr>
            <w:r w:rsidRPr="0050604A">
              <w:rPr>
                <w:rFonts w:ascii="Arial Narrow" w:hAnsi="Arial Narrow"/>
                <w:sz w:val="20"/>
              </w:rPr>
              <w:t>($6,355.59)</w:t>
            </w:r>
          </w:p>
        </w:tc>
        <w:tc>
          <w:tcPr>
            <w:tcW w:w="386" w:type="pct"/>
            <w:tcBorders>
              <w:top w:val="single" w:sz="4" w:space="0" w:color="auto"/>
              <w:bottom w:val="single" w:sz="4" w:space="0" w:color="auto"/>
            </w:tcBorders>
            <w:vAlign w:val="center"/>
          </w:tcPr>
          <w:p w:rsidR="0078581C" w:rsidRPr="00591957" w:rsidRDefault="0078581C" w:rsidP="0078581C">
            <w:pPr>
              <w:keepNext/>
              <w:jc w:val="center"/>
              <w:rPr>
                <w:rFonts w:ascii="Arial Narrow" w:hAnsi="Arial Narrow"/>
                <w:sz w:val="20"/>
              </w:rPr>
            </w:pPr>
            <w:r w:rsidRPr="0050604A">
              <w:rPr>
                <w:rFonts w:ascii="Arial Narrow" w:hAnsi="Arial Narrow"/>
                <w:bCs/>
                <w:sz w:val="20"/>
              </w:rPr>
              <w:t>Perjeta®</w:t>
            </w:r>
          </w:p>
        </w:tc>
        <w:tc>
          <w:tcPr>
            <w:tcW w:w="825" w:type="pct"/>
            <w:tcBorders>
              <w:top w:val="single" w:sz="4" w:space="0" w:color="auto"/>
              <w:bottom w:val="single" w:sz="4" w:space="0" w:color="auto"/>
            </w:tcBorders>
            <w:vAlign w:val="center"/>
          </w:tcPr>
          <w:p w:rsidR="0078581C" w:rsidRPr="00591957" w:rsidRDefault="0078581C" w:rsidP="0078581C">
            <w:pPr>
              <w:keepNext/>
              <w:jc w:val="center"/>
              <w:rPr>
                <w:rFonts w:ascii="Arial Narrow" w:hAnsi="Arial Narrow"/>
                <w:sz w:val="20"/>
              </w:rPr>
            </w:pPr>
            <w:r w:rsidRPr="0050604A">
              <w:rPr>
                <w:rFonts w:ascii="Arial Narrow" w:hAnsi="Arial Narrow"/>
                <w:sz w:val="20"/>
              </w:rPr>
              <w:t>Roche Products Pty Ltd</w:t>
            </w:r>
          </w:p>
        </w:tc>
      </w:tr>
    </w:tbl>
    <w:p w:rsidR="00F70833" w:rsidRDefault="00F70833" w:rsidP="0078581C">
      <w:pPr>
        <w:pStyle w:val="2-SectionHeading"/>
        <w:numPr>
          <w:ilvl w:val="0"/>
          <w:numId w:val="0"/>
        </w:numPr>
        <w:spacing w:before="0"/>
        <w:ind w:left="720" w:hanging="720"/>
        <w:outlineLvl w:val="9"/>
        <w:rPr>
          <w:rFonts w:ascii="Arial Narrow" w:hAnsi="Arial Narrow"/>
          <w:snapToGrid/>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95387B" w:rsidRPr="00C45ACD" w:rsidTr="0091419F">
        <w:tc>
          <w:tcPr>
            <w:tcW w:w="5000" w:type="pct"/>
          </w:tcPr>
          <w:p w:rsidR="0095387B" w:rsidRPr="00C45ACD" w:rsidRDefault="0095387B" w:rsidP="0091419F">
            <w:pPr>
              <w:rPr>
                <w:rFonts w:ascii="Arial Narrow" w:hAnsi="Arial Narrow"/>
                <w:b/>
                <w:color w:val="000000" w:themeColor="text1"/>
                <w:sz w:val="20"/>
                <w:szCs w:val="20"/>
              </w:rPr>
            </w:pPr>
            <w:r w:rsidRPr="00C45ACD">
              <w:rPr>
                <w:rFonts w:ascii="Arial Narrow" w:hAnsi="Arial Narrow" w:cstheme="minorHAnsi"/>
                <w:b/>
                <w:bCs/>
                <w:color w:val="000000" w:themeColor="text1"/>
                <w:sz w:val="20"/>
                <w:szCs w:val="20"/>
              </w:rPr>
              <w:t>Category/Program:</w:t>
            </w:r>
            <w:r w:rsidRPr="00C45ACD">
              <w:rPr>
                <w:rFonts w:ascii="Arial Narrow" w:hAnsi="Arial Narrow" w:cstheme="minorHAnsi"/>
                <w:bCs/>
                <w:color w:val="000000" w:themeColor="text1"/>
                <w:sz w:val="20"/>
                <w:szCs w:val="20"/>
              </w:rPr>
              <w:t xml:space="preserve">  Section 100 – Efficient Funding of Chemotherapy; Public/Private Hospital</w:t>
            </w:r>
          </w:p>
        </w:tc>
      </w:tr>
      <w:tr w:rsidR="0095387B" w:rsidRPr="00C45ACD" w:rsidTr="0091419F">
        <w:tc>
          <w:tcPr>
            <w:tcW w:w="5000" w:type="pct"/>
          </w:tcPr>
          <w:p w:rsidR="0095387B" w:rsidRPr="00C45ACD" w:rsidRDefault="0095387B" w:rsidP="0091419F">
            <w:pPr>
              <w:rPr>
                <w:rFonts w:ascii="Arial Narrow" w:hAnsi="Arial Narrow"/>
                <w:b/>
                <w:color w:val="000000" w:themeColor="text1"/>
                <w:sz w:val="20"/>
                <w:szCs w:val="20"/>
              </w:rPr>
            </w:pPr>
            <w:r w:rsidRPr="00C45ACD">
              <w:rPr>
                <w:rFonts w:ascii="Arial Narrow" w:hAnsi="Arial Narrow" w:cstheme="minorHAnsi"/>
                <w:b/>
                <w:color w:val="000000" w:themeColor="text1"/>
                <w:sz w:val="20"/>
                <w:szCs w:val="20"/>
              </w:rPr>
              <w:t>Prescriber type:</w:t>
            </w:r>
            <w:r w:rsidR="005E0C61">
              <w:rPr>
                <w:rFonts w:ascii="Arial Narrow" w:hAnsi="Arial Narrow" w:cstheme="minorHAnsi"/>
                <w:b/>
                <w:color w:val="000000" w:themeColor="text1"/>
                <w:sz w:val="20"/>
                <w:szCs w:val="20"/>
              </w:rPr>
              <w:t xml:space="preserve"> </w:t>
            </w:r>
            <w:r w:rsidRPr="00C45ACD">
              <w:rPr>
                <w:rFonts w:ascii="Arial Narrow" w:hAnsi="Arial Narrow" w:cstheme="minorHAnsi"/>
                <w:b/>
                <w:color w:val="000000" w:themeColor="text1"/>
                <w:sz w:val="20"/>
                <w:szCs w:val="20"/>
              </w:rPr>
              <w:t xml:space="preserve"> </w:t>
            </w:r>
            <w:r w:rsidRPr="00C45ACD">
              <w:rPr>
                <w:rFonts w:ascii="Arial Narrow" w:hAnsi="Arial Narrow" w:cstheme="minorHAnsi"/>
                <w:color w:val="000000" w:themeColor="text1"/>
                <w:sz w:val="20"/>
                <w:szCs w:val="20"/>
              </w:rPr>
              <w:fldChar w:fldCharType="begin">
                <w:ffData>
                  <w:name w:val="Check1"/>
                  <w:enabled/>
                  <w:calcOnExit w:val="0"/>
                  <w:checkBox>
                    <w:sizeAuto/>
                    <w:default w:val="0"/>
                  </w:checkBox>
                </w:ffData>
              </w:fldChar>
            </w:r>
            <w:r w:rsidRPr="00C45ACD">
              <w:rPr>
                <w:rFonts w:ascii="Arial Narrow" w:hAnsi="Arial Narrow" w:cstheme="minorHAnsi"/>
                <w:color w:val="000000" w:themeColor="text1"/>
                <w:sz w:val="20"/>
                <w:szCs w:val="20"/>
              </w:rPr>
              <w:instrText xml:space="preserve"> FORMCHECKBOX </w:instrText>
            </w:r>
            <w:r w:rsidR="00F4482D">
              <w:rPr>
                <w:rFonts w:ascii="Arial Narrow" w:hAnsi="Arial Narrow" w:cstheme="minorHAnsi"/>
                <w:color w:val="000000" w:themeColor="text1"/>
                <w:sz w:val="20"/>
                <w:szCs w:val="20"/>
              </w:rPr>
            </w:r>
            <w:r w:rsidR="00F4482D">
              <w:rPr>
                <w:rFonts w:ascii="Arial Narrow" w:hAnsi="Arial Narrow" w:cstheme="minorHAnsi"/>
                <w:color w:val="000000" w:themeColor="text1"/>
                <w:sz w:val="20"/>
                <w:szCs w:val="20"/>
              </w:rPr>
              <w:fldChar w:fldCharType="separate"/>
            </w:r>
            <w:r w:rsidRPr="00C45ACD">
              <w:rPr>
                <w:rFonts w:ascii="Arial Narrow" w:hAnsi="Arial Narrow" w:cstheme="minorHAnsi"/>
                <w:color w:val="000000" w:themeColor="text1"/>
                <w:sz w:val="20"/>
                <w:szCs w:val="20"/>
              </w:rPr>
              <w:fldChar w:fldCharType="end"/>
            </w:r>
            <w:r w:rsidRPr="00C45ACD">
              <w:rPr>
                <w:rFonts w:ascii="Arial Narrow" w:hAnsi="Arial Narrow" w:cstheme="minorHAnsi"/>
                <w:color w:val="000000" w:themeColor="text1"/>
                <w:sz w:val="20"/>
                <w:szCs w:val="20"/>
              </w:rPr>
              <w:t xml:space="preserve"> Dental   </w:t>
            </w:r>
            <w:r w:rsidRPr="00C45ACD">
              <w:rPr>
                <w:rFonts w:ascii="Arial Narrow" w:hAnsi="Arial Narrow" w:cstheme="minorHAnsi"/>
                <w:color w:val="000000" w:themeColor="text1"/>
                <w:sz w:val="20"/>
                <w:szCs w:val="20"/>
              </w:rPr>
              <w:fldChar w:fldCharType="begin">
                <w:ffData>
                  <w:name w:val=""/>
                  <w:enabled/>
                  <w:calcOnExit w:val="0"/>
                  <w:checkBox>
                    <w:sizeAuto/>
                    <w:default w:val="1"/>
                  </w:checkBox>
                </w:ffData>
              </w:fldChar>
            </w:r>
            <w:r w:rsidRPr="00C45ACD">
              <w:rPr>
                <w:rFonts w:ascii="Arial Narrow" w:hAnsi="Arial Narrow" w:cstheme="minorHAnsi"/>
                <w:color w:val="000000" w:themeColor="text1"/>
                <w:sz w:val="20"/>
                <w:szCs w:val="20"/>
              </w:rPr>
              <w:instrText xml:space="preserve"> FORMCHECKBOX </w:instrText>
            </w:r>
            <w:r w:rsidR="00F4482D">
              <w:rPr>
                <w:rFonts w:ascii="Arial Narrow" w:hAnsi="Arial Narrow" w:cstheme="minorHAnsi"/>
                <w:color w:val="000000" w:themeColor="text1"/>
                <w:sz w:val="20"/>
                <w:szCs w:val="20"/>
              </w:rPr>
            </w:r>
            <w:r w:rsidR="00F4482D">
              <w:rPr>
                <w:rFonts w:ascii="Arial Narrow" w:hAnsi="Arial Narrow" w:cstheme="minorHAnsi"/>
                <w:color w:val="000000" w:themeColor="text1"/>
                <w:sz w:val="20"/>
                <w:szCs w:val="20"/>
              </w:rPr>
              <w:fldChar w:fldCharType="separate"/>
            </w:r>
            <w:r w:rsidRPr="00C45ACD">
              <w:rPr>
                <w:rFonts w:ascii="Arial Narrow" w:hAnsi="Arial Narrow" w:cstheme="minorHAnsi"/>
                <w:color w:val="000000" w:themeColor="text1"/>
                <w:sz w:val="20"/>
                <w:szCs w:val="20"/>
              </w:rPr>
              <w:fldChar w:fldCharType="end"/>
            </w:r>
            <w:r w:rsidRPr="00C45ACD">
              <w:rPr>
                <w:rFonts w:ascii="Arial Narrow" w:hAnsi="Arial Narrow" w:cstheme="minorHAnsi"/>
                <w:color w:val="000000" w:themeColor="text1"/>
                <w:sz w:val="20"/>
                <w:szCs w:val="20"/>
              </w:rPr>
              <w:t xml:space="preserve"> Medical Practitioners  </w:t>
            </w:r>
            <w:r w:rsidRPr="00C45ACD">
              <w:rPr>
                <w:rFonts w:ascii="Arial Narrow" w:hAnsi="Arial Narrow" w:cstheme="minorHAnsi"/>
                <w:color w:val="000000" w:themeColor="text1"/>
                <w:sz w:val="20"/>
                <w:szCs w:val="20"/>
              </w:rPr>
              <w:fldChar w:fldCharType="begin">
                <w:ffData>
                  <w:name w:val="Check3"/>
                  <w:enabled/>
                  <w:calcOnExit w:val="0"/>
                  <w:checkBox>
                    <w:sizeAuto/>
                    <w:default w:val="0"/>
                  </w:checkBox>
                </w:ffData>
              </w:fldChar>
            </w:r>
            <w:r w:rsidRPr="00C45ACD">
              <w:rPr>
                <w:rFonts w:ascii="Arial Narrow" w:hAnsi="Arial Narrow" w:cstheme="minorHAnsi"/>
                <w:color w:val="000000" w:themeColor="text1"/>
                <w:sz w:val="20"/>
                <w:szCs w:val="20"/>
              </w:rPr>
              <w:instrText xml:space="preserve"> FORMCHECKBOX </w:instrText>
            </w:r>
            <w:r w:rsidR="00F4482D">
              <w:rPr>
                <w:rFonts w:ascii="Arial Narrow" w:hAnsi="Arial Narrow" w:cstheme="minorHAnsi"/>
                <w:color w:val="000000" w:themeColor="text1"/>
                <w:sz w:val="20"/>
                <w:szCs w:val="20"/>
              </w:rPr>
            </w:r>
            <w:r w:rsidR="00F4482D">
              <w:rPr>
                <w:rFonts w:ascii="Arial Narrow" w:hAnsi="Arial Narrow" w:cstheme="minorHAnsi"/>
                <w:color w:val="000000" w:themeColor="text1"/>
                <w:sz w:val="20"/>
                <w:szCs w:val="20"/>
              </w:rPr>
              <w:fldChar w:fldCharType="separate"/>
            </w:r>
            <w:r w:rsidRPr="00C45ACD">
              <w:rPr>
                <w:rFonts w:ascii="Arial Narrow" w:hAnsi="Arial Narrow" w:cstheme="minorHAnsi"/>
                <w:color w:val="000000" w:themeColor="text1"/>
                <w:sz w:val="20"/>
                <w:szCs w:val="20"/>
              </w:rPr>
              <w:fldChar w:fldCharType="end"/>
            </w:r>
            <w:r w:rsidRPr="00C45ACD">
              <w:rPr>
                <w:rFonts w:ascii="Arial Narrow" w:hAnsi="Arial Narrow" w:cstheme="minorHAnsi"/>
                <w:color w:val="000000" w:themeColor="text1"/>
                <w:sz w:val="20"/>
                <w:szCs w:val="20"/>
              </w:rPr>
              <w:t xml:space="preserve"> Nurse practitioners  </w:t>
            </w:r>
            <w:r w:rsidRPr="00C45ACD">
              <w:rPr>
                <w:rFonts w:ascii="Arial Narrow" w:hAnsi="Arial Narrow" w:cstheme="minorHAnsi"/>
                <w:color w:val="000000" w:themeColor="text1"/>
                <w:sz w:val="20"/>
                <w:szCs w:val="20"/>
              </w:rPr>
              <w:fldChar w:fldCharType="begin">
                <w:ffData>
                  <w:name w:val=""/>
                  <w:enabled/>
                  <w:calcOnExit w:val="0"/>
                  <w:checkBox>
                    <w:sizeAuto/>
                    <w:default w:val="0"/>
                  </w:checkBox>
                </w:ffData>
              </w:fldChar>
            </w:r>
            <w:r w:rsidRPr="00C45ACD">
              <w:rPr>
                <w:rFonts w:ascii="Arial Narrow" w:hAnsi="Arial Narrow" w:cstheme="minorHAnsi"/>
                <w:color w:val="000000" w:themeColor="text1"/>
                <w:sz w:val="20"/>
                <w:szCs w:val="20"/>
              </w:rPr>
              <w:instrText xml:space="preserve"> FORMCHECKBOX </w:instrText>
            </w:r>
            <w:r w:rsidR="00F4482D">
              <w:rPr>
                <w:rFonts w:ascii="Arial Narrow" w:hAnsi="Arial Narrow" w:cstheme="minorHAnsi"/>
                <w:color w:val="000000" w:themeColor="text1"/>
                <w:sz w:val="20"/>
                <w:szCs w:val="20"/>
              </w:rPr>
            </w:r>
            <w:r w:rsidR="00F4482D">
              <w:rPr>
                <w:rFonts w:ascii="Arial Narrow" w:hAnsi="Arial Narrow" w:cstheme="minorHAnsi"/>
                <w:color w:val="000000" w:themeColor="text1"/>
                <w:sz w:val="20"/>
                <w:szCs w:val="20"/>
              </w:rPr>
              <w:fldChar w:fldCharType="separate"/>
            </w:r>
            <w:r w:rsidRPr="00C45ACD">
              <w:rPr>
                <w:rFonts w:ascii="Arial Narrow" w:hAnsi="Arial Narrow" w:cstheme="minorHAnsi"/>
                <w:color w:val="000000" w:themeColor="text1"/>
                <w:sz w:val="20"/>
                <w:szCs w:val="20"/>
              </w:rPr>
              <w:fldChar w:fldCharType="end"/>
            </w:r>
            <w:r w:rsidRPr="00C45ACD">
              <w:rPr>
                <w:rFonts w:ascii="Arial Narrow" w:hAnsi="Arial Narrow" w:cstheme="minorHAnsi"/>
                <w:color w:val="000000" w:themeColor="text1"/>
                <w:sz w:val="20"/>
                <w:szCs w:val="20"/>
              </w:rPr>
              <w:t xml:space="preserve"> Optometrists  </w:t>
            </w:r>
            <w:r w:rsidRPr="00C45ACD">
              <w:rPr>
                <w:rFonts w:ascii="Arial Narrow" w:hAnsi="Arial Narrow" w:cstheme="minorHAnsi"/>
                <w:color w:val="000000" w:themeColor="text1"/>
                <w:sz w:val="20"/>
                <w:szCs w:val="20"/>
              </w:rPr>
              <w:fldChar w:fldCharType="begin">
                <w:ffData>
                  <w:name w:val="Check5"/>
                  <w:enabled/>
                  <w:calcOnExit w:val="0"/>
                  <w:checkBox>
                    <w:sizeAuto/>
                    <w:default w:val="0"/>
                  </w:checkBox>
                </w:ffData>
              </w:fldChar>
            </w:r>
            <w:r w:rsidRPr="00C45ACD">
              <w:rPr>
                <w:rFonts w:ascii="Arial Narrow" w:hAnsi="Arial Narrow" w:cstheme="minorHAnsi"/>
                <w:color w:val="000000" w:themeColor="text1"/>
                <w:sz w:val="20"/>
                <w:szCs w:val="20"/>
              </w:rPr>
              <w:instrText xml:space="preserve"> FORMCHECKBOX </w:instrText>
            </w:r>
            <w:r w:rsidR="00F4482D">
              <w:rPr>
                <w:rFonts w:ascii="Arial Narrow" w:hAnsi="Arial Narrow" w:cstheme="minorHAnsi"/>
                <w:color w:val="000000" w:themeColor="text1"/>
                <w:sz w:val="20"/>
                <w:szCs w:val="20"/>
              </w:rPr>
            </w:r>
            <w:r w:rsidR="00F4482D">
              <w:rPr>
                <w:rFonts w:ascii="Arial Narrow" w:hAnsi="Arial Narrow" w:cstheme="minorHAnsi"/>
                <w:color w:val="000000" w:themeColor="text1"/>
                <w:sz w:val="20"/>
                <w:szCs w:val="20"/>
              </w:rPr>
              <w:fldChar w:fldCharType="separate"/>
            </w:r>
            <w:r w:rsidRPr="00C45ACD">
              <w:rPr>
                <w:rFonts w:ascii="Arial Narrow" w:hAnsi="Arial Narrow" w:cstheme="minorHAnsi"/>
                <w:color w:val="000000" w:themeColor="text1"/>
                <w:sz w:val="20"/>
                <w:szCs w:val="20"/>
              </w:rPr>
              <w:fldChar w:fldCharType="end"/>
            </w:r>
            <w:r w:rsidRPr="00C45ACD">
              <w:rPr>
                <w:rFonts w:ascii="Arial Narrow" w:hAnsi="Arial Narrow" w:cstheme="minorHAnsi"/>
                <w:color w:val="000000" w:themeColor="text1"/>
                <w:sz w:val="20"/>
                <w:szCs w:val="20"/>
              </w:rPr>
              <w:t xml:space="preserve"> Midwives</w:t>
            </w:r>
          </w:p>
        </w:tc>
      </w:tr>
      <w:tr w:rsidR="0095387B" w:rsidRPr="00C45ACD" w:rsidTr="0091419F">
        <w:tc>
          <w:tcPr>
            <w:tcW w:w="5000" w:type="pct"/>
            <w:vAlign w:val="center"/>
          </w:tcPr>
          <w:p w:rsidR="0095387B" w:rsidRPr="00500614" w:rsidRDefault="0095387B" w:rsidP="0091419F">
            <w:pPr>
              <w:rPr>
                <w:rFonts w:ascii="Arial Narrow" w:hAnsi="Arial Narrow"/>
                <w:color w:val="000000" w:themeColor="text1"/>
                <w:sz w:val="20"/>
                <w:szCs w:val="20"/>
              </w:rPr>
            </w:pPr>
            <w:r w:rsidRPr="00C45ACD">
              <w:rPr>
                <w:rFonts w:ascii="Arial Narrow" w:hAnsi="Arial Narrow"/>
                <w:b/>
                <w:color w:val="000000" w:themeColor="text1"/>
                <w:sz w:val="20"/>
                <w:szCs w:val="20"/>
              </w:rPr>
              <w:t>Restriction Level / Method:</w:t>
            </w:r>
            <w:r>
              <w:rPr>
                <w:rFonts w:ascii="Arial Narrow" w:hAnsi="Arial Narrow"/>
                <w:color w:val="000000" w:themeColor="text1"/>
                <w:sz w:val="20"/>
                <w:szCs w:val="20"/>
              </w:rPr>
              <w:t xml:space="preserve"> </w:t>
            </w:r>
            <w:r w:rsidRPr="00C45ACD">
              <w:rPr>
                <w:rFonts w:ascii="Arial Narrow" w:hAnsi="Arial Narrow"/>
                <w:color w:val="000000" w:themeColor="text1"/>
                <w:sz w:val="20"/>
                <w:szCs w:val="20"/>
              </w:rPr>
              <w:fldChar w:fldCharType="begin">
                <w:ffData>
                  <w:name w:val=""/>
                  <w:enabled/>
                  <w:calcOnExit w:val="0"/>
                  <w:checkBox>
                    <w:sizeAuto/>
                    <w:default w:val="1"/>
                  </w:checkBox>
                </w:ffData>
              </w:fldChar>
            </w:r>
            <w:r w:rsidRPr="00C45ACD">
              <w:rPr>
                <w:rFonts w:ascii="Arial Narrow" w:hAnsi="Arial Narrow"/>
                <w:color w:val="000000" w:themeColor="text1"/>
                <w:sz w:val="20"/>
                <w:szCs w:val="20"/>
              </w:rPr>
              <w:instrText xml:space="preserve"> FORMCHECKBOX </w:instrText>
            </w:r>
            <w:r w:rsidR="00F4482D">
              <w:rPr>
                <w:rFonts w:ascii="Arial Narrow" w:hAnsi="Arial Narrow"/>
                <w:color w:val="000000" w:themeColor="text1"/>
                <w:sz w:val="20"/>
                <w:szCs w:val="20"/>
              </w:rPr>
            </w:r>
            <w:r w:rsidR="00F4482D">
              <w:rPr>
                <w:rFonts w:ascii="Arial Narrow" w:hAnsi="Arial Narrow"/>
                <w:color w:val="000000" w:themeColor="text1"/>
                <w:sz w:val="20"/>
                <w:szCs w:val="20"/>
              </w:rPr>
              <w:fldChar w:fldCharType="separate"/>
            </w:r>
            <w:r w:rsidRPr="00C45ACD">
              <w:rPr>
                <w:rFonts w:ascii="Arial Narrow" w:hAnsi="Arial Narrow"/>
                <w:color w:val="000000" w:themeColor="text1"/>
                <w:sz w:val="20"/>
                <w:szCs w:val="20"/>
              </w:rPr>
              <w:fldChar w:fldCharType="end"/>
            </w:r>
            <w:r w:rsidRPr="00C45ACD">
              <w:rPr>
                <w:rFonts w:ascii="Arial Narrow" w:hAnsi="Arial Narrow"/>
                <w:color w:val="000000" w:themeColor="text1"/>
                <w:sz w:val="20"/>
                <w:szCs w:val="20"/>
              </w:rPr>
              <w:t>Authority Required - In Writing</w:t>
            </w:r>
            <w:r>
              <w:rPr>
                <w:rFonts w:ascii="Arial Narrow" w:hAnsi="Arial Narrow"/>
                <w:color w:val="000000" w:themeColor="text1"/>
                <w:sz w:val="20"/>
                <w:szCs w:val="20"/>
              </w:rPr>
              <w:t xml:space="preserve"> Only</w:t>
            </w:r>
          </w:p>
        </w:tc>
      </w:tr>
      <w:tr w:rsidR="0095387B" w:rsidRPr="00C45ACD" w:rsidTr="0091419F">
        <w:tc>
          <w:tcPr>
            <w:tcW w:w="5000" w:type="pct"/>
            <w:vAlign w:val="center"/>
            <w:hideMark/>
          </w:tcPr>
          <w:p w:rsidR="0095387B" w:rsidRPr="00251958" w:rsidRDefault="0095387B" w:rsidP="0091419F">
            <w:pPr>
              <w:rPr>
                <w:rFonts w:ascii="Arial Narrow" w:hAnsi="Arial Narrow"/>
                <w:color w:val="000000" w:themeColor="text1"/>
                <w:sz w:val="20"/>
                <w:szCs w:val="20"/>
              </w:rPr>
            </w:pPr>
            <w:r w:rsidRPr="00C45ACD">
              <w:rPr>
                <w:rFonts w:ascii="Arial Narrow" w:hAnsi="Arial Narrow"/>
                <w:b/>
                <w:bCs/>
                <w:color w:val="000000" w:themeColor="text1"/>
                <w:sz w:val="20"/>
                <w:szCs w:val="20"/>
              </w:rPr>
              <w:t>Indication:</w:t>
            </w:r>
            <w:r>
              <w:rPr>
                <w:rFonts w:ascii="Arial Narrow" w:hAnsi="Arial Narrow"/>
                <w:b/>
                <w:bCs/>
                <w:color w:val="000000" w:themeColor="text1"/>
                <w:sz w:val="20"/>
                <w:szCs w:val="20"/>
              </w:rPr>
              <w:t xml:space="preserve"> </w:t>
            </w:r>
            <w:r w:rsidRPr="00C45ACD">
              <w:rPr>
                <w:rFonts w:ascii="Arial Narrow" w:hAnsi="Arial Narrow" w:cstheme="minorHAnsi"/>
                <w:i/>
                <w:snapToGrid w:val="0"/>
                <w:color w:val="000000" w:themeColor="text1"/>
                <w:sz w:val="20"/>
                <w:szCs w:val="20"/>
              </w:rPr>
              <w:t>Early HER2 positive breast cancer</w:t>
            </w:r>
          </w:p>
        </w:tc>
      </w:tr>
      <w:tr w:rsidR="0095387B" w:rsidRPr="00C45ACD" w:rsidTr="0091419F">
        <w:tc>
          <w:tcPr>
            <w:tcW w:w="5000" w:type="pct"/>
            <w:tcBorders>
              <w:bottom w:val="single" w:sz="4" w:space="0" w:color="auto"/>
            </w:tcBorders>
            <w:vAlign w:val="center"/>
            <w:hideMark/>
          </w:tcPr>
          <w:p w:rsidR="0095387B" w:rsidRPr="00C45ACD" w:rsidRDefault="0095387B" w:rsidP="0091419F">
            <w:pPr>
              <w:rPr>
                <w:rFonts w:ascii="Arial Narrow" w:hAnsi="Arial Narrow"/>
                <w:color w:val="000000" w:themeColor="text1"/>
                <w:sz w:val="20"/>
                <w:szCs w:val="20"/>
              </w:rPr>
            </w:pPr>
            <w:r w:rsidRPr="00C45ACD">
              <w:rPr>
                <w:rFonts w:ascii="Arial Narrow" w:hAnsi="Arial Narrow"/>
                <w:b/>
                <w:bCs/>
                <w:color w:val="000000" w:themeColor="text1"/>
                <w:sz w:val="20"/>
                <w:szCs w:val="20"/>
              </w:rPr>
              <w:t>Treatment Phase:</w:t>
            </w:r>
            <w:r>
              <w:rPr>
                <w:rFonts w:ascii="Arial Narrow" w:hAnsi="Arial Narrow"/>
                <w:color w:val="000000" w:themeColor="text1"/>
                <w:sz w:val="20"/>
                <w:szCs w:val="20"/>
              </w:rPr>
              <w:t xml:space="preserve"> </w:t>
            </w:r>
            <w:r w:rsidRPr="00C45ACD">
              <w:rPr>
                <w:rFonts w:ascii="Arial Narrow" w:hAnsi="Arial Narrow"/>
                <w:color w:val="000000" w:themeColor="text1"/>
                <w:sz w:val="20"/>
                <w:szCs w:val="20"/>
              </w:rPr>
              <w:t xml:space="preserve">Initial treatment </w:t>
            </w:r>
            <w:r w:rsidRPr="00C45ACD">
              <w:rPr>
                <w:rFonts w:ascii="Arial Narrow" w:hAnsi="Arial Narrow"/>
                <w:i/>
                <w:color w:val="000000" w:themeColor="text1"/>
                <w:sz w:val="20"/>
                <w:szCs w:val="20"/>
              </w:rPr>
              <w:t>– neoadjuvant treatment</w:t>
            </w:r>
          </w:p>
        </w:tc>
      </w:tr>
      <w:tr w:rsidR="0095387B" w:rsidRPr="00C45ACD" w:rsidTr="0091419F">
        <w:tc>
          <w:tcPr>
            <w:tcW w:w="5000" w:type="pct"/>
            <w:tcBorders>
              <w:bottom w:val="nil"/>
            </w:tcBorders>
            <w:vAlign w:val="center"/>
          </w:tcPr>
          <w:p w:rsidR="0095387B" w:rsidRPr="00C45ACD" w:rsidRDefault="0095387B" w:rsidP="0091419F">
            <w:pPr>
              <w:rPr>
                <w:rFonts w:ascii="Arial Narrow" w:hAnsi="Arial Narrow"/>
                <w:b/>
                <w:bCs/>
                <w:color w:val="000000" w:themeColor="text1"/>
                <w:sz w:val="20"/>
                <w:szCs w:val="20"/>
              </w:rPr>
            </w:pPr>
            <w:r w:rsidRPr="00C45ACD">
              <w:rPr>
                <w:rFonts w:ascii="Arial Narrow" w:hAnsi="Arial Narrow"/>
                <w:b/>
                <w:bCs/>
                <w:i/>
                <w:color w:val="000000" w:themeColor="text1"/>
                <w:sz w:val="20"/>
                <w:szCs w:val="20"/>
              </w:rPr>
              <w:t>Clinical criteria:</w:t>
            </w:r>
          </w:p>
        </w:tc>
      </w:tr>
      <w:tr w:rsidR="0095387B" w:rsidRPr="00C45ACD" w:rsidTr="0091419F">
        <w:tc>
          <w:tcPr>
            <w:tcW w:w="5000" w:type="pct"/>
            <w:tcBorders>
              <w:top w:val="nil"/>
              <w:bottom w:val="nil"/>
            </w:tcBorders>
            <w:vAlign w:val="center"/>
          </w:tcPr>
          <w:p w:rsidR="0095387B" w:rsidRPr="00C45ACD" w:rsidRDefault="0095387B" w:rsidP="0091419F">
            <w:pPr>
              <w:rPr>
                <w:rFonts w:ascii="Arial Narrow" w:hAnsi="Arial Narrow"/>
                <w:b/>
                <w:bCs/>
                <w:color w:val="000000" w:themeColor="text1"/>
                <w:sz w:val="20"/>
                <w:szCs w:val="20"/>
              </w:rPr>
            </w:pPr>
            <w:r w:rsidRPr="00C45ACD">
              <w:rPr>
                <w:rFonts w:ascii="Arial Narrow" w:hAnsi="Arial Narrow"/>
                <w:i/>
                <w:color w:val="000000" w:themeColor="text1"/>
                <w:sz w:val="20"/>
                <w:szCs w:val="20"/>
              </w:rPr>
              <w:t>Patient must have evidence of human epidermal growth factor receptor 2 (HER2) gene amplification as demonstrated by in situ hybridisation (ISH) either in the primary tumour or a metastatic lesion</w:t>
            </w:r>
          </w:p>
        </w:tc>
      </w:tr>
      <w:tr w:rsidR="0095387B" w:rsidRPr="00C45ACD" w:rsidTr="0091419F">
        <w:tc>
          <w:tcPr>
            <w:tcW w:w="5000" w:type="pct"/>
            <w:tcBorders>
              <w:top w:val="nil"/>
              <w:bottom w:val="nil"/>
            </w:tcBorders>
            <w:vAlign w:val="center"/>
          </w:tcPr>
          <w:p w:rsidR="0095387B" w:rsidRPr="00C45ACD" w:rsidRDefault="0095387B" w:rsidP="0091419F">
            <w:pPr>
              <w:rPr>
                <w:rFonts w:ascii="Arial Narrow" w:hAnsi="Arial Narrow"/>
                <w:b/>
                <w:bCs/>
                <w:i/>
                <w:color w:val="000000" w:themeColor="text1"/>
                <w:sz w:val="20"/>
                <w:szCs w:val="20"/>
              </w:rPr>
            </w:pPr>
            <w:r w:rsidRPr="00C45ACD">
              <w:rPr>
                <w:rFonts w:ascii="Arial Narrow" w:hAnsi="Arial Narrow"/>
                <w:b/>
                <w:bCs/>
                <w:i/>
                <w:color w:val="000000" w:themeColor="text1"/>
                <w:sz w:val="20"/>
                <w:szCs w:val="20"/>
              </w:rPr>
              <w:t>AND</w:t>
            </w:r>
          </w:p>
        </w:tc>
      </w:tr>
      <w:tr w:rsidR="0095387B" w:rsidRPr="00C45ACD" w:rsidTr="0091419F">
        <w:tc>
          <w:tcPr>
            <w:tcW w:w="5000" w:type="pct"/>
            <w:tcBorders>
              <w:top w:val="nil"/>
              <w:bottom w:val="nil"/>
            </w:tcBorders>
            <w:vAlign w:val="center"/>
          </w:tcPr>
          <w:p w:rsidR="0095387B" w:rsidRPr="00C45ACD" w:rsidRDefault="0095387B" w:rsidP="0091419F">
            <w:pPr>
              <w:rPr>
                <w:rFonts w:ascii="Arial Narrow" w:hAnsi="Arial Narrow"/>
                <w:bCs/>
                <w:color w:val="000000" w:themeColor="text1"/>
                <w:sz w:val="20"/>
                <w:szCs w:val="20"/>
              </w:rPr>
            </w:pPr>
            <w:r w:rsidRPr="00C45ACD">
              <w:rPr>
                <w:rFonts w:ascii="Arial Narrow" w:hAnsi="Arial Narrow"/>
                <w:bCs/>
                <w:color w:val="000000" w:themeColor="text1"/>
                <w:sz w:val="20"/>
                <w:szCs w:val="20"/>
              </w:rPr>
              <w:t>Patient must have locally advanced, inflammatory or early stage (tumour &gt;2 cm in diameter or lymph node positive) breast cancer</w:t>
            </w:r>
          </w:p>
        </w:tc>
      </w:tr>
      <w:tr w:rsidR="0095387B" w:rsidRPr="00C45ACD" w:rsidTr="0091419F">
        <w:tc>
          <w:tcPr>
            <w:tcW w:w="5000" w:type="pct"/>
            <w:tcBorders>
              <w:top w:val="nil"/>
              <w:bottom w:val="nil"/>
            </w:tcBorders>
            <w:vAlign w:val="center"/>
          </w:tcPr>
          <w:p w:rsidR="0095387B" w:rsidRPr="00C45ACD" w:rsidRDefault="0095387B" w:rsidP="0091419F">
            <w:pPr>
              <w:rPr>
                <w:rFonts w:ascii="Arial Narrow" w:hAnsi="Arial Narrow"/>
                <w:b/>
                <w:bCs/>
                <w:color w:val="000000" w:themeColor="text1"/>
                <w:sz w:val="20"/>
                <w:szCs w:val="20"/>
              </w:rPr>
            </w:pPr>
            <w:r w:rsidRPr="00C45ACD">
              <w:rPr>
                <w:rFonts w:ascii="Arial Narrow" w:hAnsi="Arial Narrow"/>
                <w:b/>
                <w:bCs/>
                <w:color w:val="000000" w:themeColor="text1"/>
                <w:sz w:val="20"/>
                <w:szCs w:val="20"/>
              </w:rPr>
              <w:t>AND</w:t>
            </w:r>
          </w:p>
        </w:tc>
      </w:tr>
      <w:tr w:rsidR="0095387B" w:rsidRPr="00C45ACD" w:rsidTr="0091419F">
        <w:tc>
          <w:tcPr>
            <w:tcW w:w="5000" w:type="pct"/>
            <w:tcBorders>
              <w:top w:val="nil"/>
              <w:bottom w:val="nil"/>
            </w:tcBorders>
            <w:vAlign w:val="center"/>
          </w:tcPr>
          <w:p w:rsidR="0095387B" w:rsidRPr="00C45ACD" w:rsidRDefault="0095387B" w:rsidP="0091419F">
            <w:pPr>
              <w:pStyle w:val="m7887592922032761919gmail-tabletext"/>
              <w:shd w:val="clear" w:color="auto" w:fill="FFFFFF"/>
              <w:spacing w:before="40" w:beforeAutospacing="0" w:after="40" w:afterAutospacing="0" w:line="264" w:lineRule="auto"/>
              <w:rPr>
                <w:rFonts w:ascii="Arial Narrow" w:hAnsi="Arial Narrow" w:cstheme="minorHAnsi"/>
                <w:i/>
                <w:iCs/>
                <w:color w:val="000000" w:themeColor="text1"/>
                <w:sz w:val="20"/>
                <w:szCs w:val="20"/>
                <w:lang w:val="en-AU"/>
              </w:rPr>
            </w:pPr>
            <w:r w:rsidRPr="00C45ACD">
              <w:rPr>
                <w:rFonts w:ascii="Arial Narrow" w:hAnsi="Arial Narrow" w:cstheme="minorHAnsi"/>
                <w:i/>
                <w:iCs/>
                <w:color w:val="000000" w:themeColor="text1"/>
                <w:sz w:val="20"/>
                <w:szCs w:val="20"/>
                <w:lang w:val="en-AU"/>
              </w:rPr>
              <w:t>Patient must not have undergone surgery for this condition</w:t>
            </w:r>
            <w:r w:rsidRPr="00C45ACD">
              <w:rPr>
                <w:i/>
                <w:color w:val="000000" w:themeColor="text1"/>
              </w:rPr>
              <w:t xml:space="preserve"> </w:t>
            </w:r>
          </w:p>
        </w:tc>
      </w:tr>
      <w:tr w:rsidR="0095387B" w:rsidRPr="00C45ACD" w:rsidTr="0091419F">
        <w:tc>
          <w:tcPr>
            <w:tcW w:w="5000" w:type="pct"/>
            <w:tcBorders>
              <w:top w:val="nil"/>
              <w:bottom w:val="nil"/>
            </w:tcBorders>
            <w:vAlign w:val="center"/>
          </w:tcPr>
          <w:p w:rsidR="0095387B" w:rsidRPr="00C45ACD" w:rsidRDefault="0095387B" w:rsidP="0091419F">
            <w:pPr>
              <w:rPr>
                <w:rFonts w:ascii="Arial Narrow" w:hAnsi="Arial Narrow"/>
                <w:b/>
                <w:bCs/>
                <w:color w:val="000000" w:themeColor="text1"/>
                <w:sz w:val="20"/>
                <w:szCs w:val="20"/>
              </w:rPr>
            </w:pPr>
            <w:r w:rsidRPr="00C45ACD">
              <w:rPr>
                <w:rFonts w:ascii="Arial Narrow" w:hAnsi="Arial Narrow"/>
                <w:b/>
                <w:bCs/>
                <w:color w:val="000000" w:themeColor="text1"/>
                <w:sz w:val="20"/>
                <w:szCs w:val="20"/>
              </w:rPr>
              <w:t>AND</w:t>
            </w:r>
          </w:p>
        </w:tc>
      </w:tr>
      <w:tr w:rsidR="0095387B" w:rsidRPr="00C45ACD" w:rsidTr="0091419F">
        <w:tc>
          <w:tcPr>
            <w:tcW w:w="5000" w:type="pct"/>
            <w:tcBorders>
              <w:top w:val="nil"/>
              <w:bottom w:val="nil"/>
            </w:tcBorders>
            <w:vAlign w:val="center"/>
          </w:tcPr>
          <w:p w:rsidR="0095387B" w:rsidRPr="00C45ACD" w:rsidRDefault="0095387B" w:rsidP="0091419F">
            <w:pPr>
              <w:rPr>
                <w:rFonts w:ascii="Arial Narrow" w:hAnsi="Arial Narrow"/>
                <w:bCs/>
                <w:strike/>
                <w:color w:val="000000" w:themeColor="text1"/>
                <w:sz w:val="20"/>
                <w:szCs w:val="20"/>
              </w:rPr>
            </w:pPr>
            <w:r w:rsidRPr="00C45ACD">
              <w:rPr>
                <w:rFonts w:ascii="Arial Narrow" w:hAnsi="Arial Narrow"/>
                <w:bCs/>
                <w:strike/>
                <w:color w:val="000000" w:themeColor="text1"/>
                <w:sz w:val="20"/>
                <w:szCs w:val="20"/>
              </w:rPr>
              <w:t>Patient must commence treatment concurrently with trastuzumab</w:t>
            </w:r>
          </w:p>
          <w:p w:rsidR="0095387B" w:rsidRPr="00C45ACD" w:rsidRDefault="0095387B" w:rsidP="0091419F">
            <w:pPr>
              <w:rPr>
                <w:rFonts w:ascii="Arial Narrow" w:hAnsi="Arial Narrow"/>
                <w:bCs/>
                <w:i/>
                <w:strike/>
                <w:color w:val="000000" w:themeColor="text1"/>
                <w:sz w:val="20"/>
                <w:szCs w:val="20"/>
              </w:rPr>
            </w:pPr>
            <w:r w:rsidRPr="00C45ACD">
              <w:rPr>
                <w:rFonts w:ascii="Arial Narrow" w:hAnsi="Arial Narrow"/>
                <w:i/>
                <w:color w:val="000000" w:themeColor="text1"/>
                <w:sz w:val="20"/>
                <w:szCs w:val="20"/>
              </w:rPr>
              <w:t>The treatment must be in combination with trastuzumab.</w:t>
            </w:r>
          </w:p>
        </w:tc>
      </w:tr>
      <w:tr w:rsidR="0095387B" w:rsidRPr="00C45ACD" w:rsidTr="0091419F">
        <w:tc>
          <w:tcPr>
            <w:tcW w:w="5000" w:type="pct"/>
            <w:tcBorders>
              <w:top w:val="nil"/>
              <w:bottom w:val="nil"/>
            </w:tcBorders>
            <w:vAlign w:val="center"/>
          </w:tcPr>
          <w:p w:rsidR="0095387B" w:rsidRPr="00C45ACD" w:rsidRDefault="0095387B" w:rsidP="0091419F">
            <w:pPr>
              <w:rPr>
                <w:rFonts w:ascii="Arial Narrow" w:hAnsi="Arial Narrow"/>
                <w:b/>
                <w:bCs/>
                <w:color w:val="000000" w:themeColor="text1"/>
                <w:sz w:val="20"/>
                <w:szCs w:val="20"/>
              </w:rPr>
            </w:pPr>
            <w:r w:rsidRPr="00C45ACD">
              <w:rPr>
                <w:rFonts w:ascii="Arial Narrow" w:hAnsi="Arial Narrow"/>
                <w:b/>
                <w:bCs/>
                <w:color w:val="000000" w:themeColor="text1"/>
                <w:sz w:val="20"/>
                <w:szCs w:val="20"/>
              </w:rPr>
              <w:t>AND</w:t>
            </w:r>
          </w:p>
        </w:tc>
      </w:tr>
      <w:tr w:rsidR="0095387B" w:rsidRPr="00C45ACD" w:rsidTr="0091419F">
        <w:tc>
          <w:tcPr>
            <w:tcW w:w="5000" w:type="pct"/>
            <w:tcBorders>
              <w:top w:val="nil"/>
              <w:bottom w:val="nil"/>
            </w:tcBorders>
            <w:vAlign w:val="center"/>
          </w:tcPr>
          <w:p w:rsidR="0095387B" w:rsidRPr="00C45ACD" w:rsidRDefault="0095387B" w:rsidP="0091419F">
            <w:pPr>
              <w:rPr>
                <w:rFonts w:ascii="Arial Narrow" w:hAnsi="Arial Narrow"/>
                <w:b/>
                <w:bCs/>
                <w:color w:val="000000" w:themeColor="text1"/>
                <w:sz w:val="20"/>
                <w:szCs w:val="20"/>
              </w:rPr>
            </w:pPr>
            <w:r w:rsidRPr="00C45ACD">
              <w:rPr>
                <w:rFonts w:ascii="Arial Narrow" w:hAnsi="Arial Narrow"/>
                <w:bCs/>
                <w:strike/>
                <w:color w:val="000000" w:themeColor="text1"/>
                <w:sz w:val="20"/>
                <w:szCs w:val="20"/>
              </w:rPr>
              <w:t>Patient must commence treatment concurrently with chemotherapy</w:t>
            </w:r>
          </w:p>
          <w:p w:rsidR="0095387B" w:rsidRPr="00C45ACD" w:rsidRDefault="0095387B" w:rsidP="0091419F">
            <w:pPr>
              <w:rPr>
                <w:rFonts w:ascii="Arial Narrow" w:hAnsi="Arial Narrow"/>
                <w:b/>
                <w:bCs/>
                <w:i/>
                <w:strike/>
                <w:color w:val="000000" w:themeColor="text1"/>
                <w:sz w:val="20"/>
                <w:szCs w:val="20"/>
              </w:rPr>
            </w:pPr>
            <w:r w:rsidRPr="00C45ACD">
              <w:rPr>
                <w:rFonts w:ascii="Arial Narrow" w:hAnsi="Arial Narrow"/>
                <w:i/>
                <w:color w:val="000000" w:themeColor="text1"/>
                <w:sz w:val="20"/>
                <w:szCs w:val="20"/>
              </w:rPr>
              <w:t>The treatment must be in combination with chemotherapy.</w:t>
            </w:r>
          </w:p>
        </w:tc>
      </w:tr>
      <w:tr w:rsidR="0095387B" w:rsidRPr="00C45ACD" w:rsidTr="0091419F">
        <w:tc>
          <w:tcPr>
            <w:tcW w:w="5000" w:type="pct"/>
            <w:tcBorders>
              <w:top w:val="nil"/>
              <w:bottom w:val="nil"/>
            </w:tcBorders>
            <w:vAlign w:val="center"/>
          </w:tcPr>
          <w:p w:rsidR="0095387B" w:rsidRPr="00C45ACD" w:rsidRDefault="0095387B" w:rsidP="0091419F">
            <w:pPr>
              <w:rPr>
                <w:rFonts w:ascii="Arial Narrow" w:hAnsi="Arial Narrow"/>
                <w:b/>
                <w:bCs/>
                <w:color w:val="000000" w:themeColor="text1"/>
                <w:sz w:val="20"/>
                <w:szCs w:val="20"/>
              </w:rPr>
            </w:pPr>
            <w:r w:rsidRPr="00C45ACD">
              <w:rPr>
                <w:rFonts w:ascii="Arial Narrow" w:hAnsi="Arial Narrow"/>
                <w:b/>
                <w:bCs/>
                <w:color w:val="000000" w:themeColor="text1"/>
                <w:sz w:val="20"/>
                <w:szCs w:val="20"/>
              </w:rPr>
              <w:lastRenderedPageBreak/>
              <w:t>AND</w:t>
            </w:r>
          </w:p>
        </w:tc>
      </w:tr>
      <w:tr w:rsidR="0095387B" w:rsidRPr="00C45ACD" w:rsidTr="0091419F">
        <w:tc>
          <w:tcPr>
            <w:tcW w:w="5000" w:type="pct"/>
            <w:tcBorders>
              <w:top w:val="nil"/>
              <w:bottom w:val="nil"/>
            </w:tcBorders>
            <w:vAlign w:val="center"/>
          </w:tcPr>
          <w:p w:rsidR="0095387B" w:rsidRPr="00C45ACD" w:rsidRDefault="0095387B" w:rsidP="0091419F">
            <w:pPr>
              <w:rPr>
                <w:rFonts w:ascii="Arial Narrow" w:hAnsi="Arial Narrow"/>
                <w:b/>
                <w:bCs/>
                <w:color w:val="000000" w:themeColor="text1"/>
                <w:sz w:val="20"/>
                <w:szCs w:val="20"/>
              </w:rPr>
            </w:pPr>
            <w:r w:rsidRPr="00C45ACD">
              <w:rPr>
                <w:rFonts w:ascii="Arial Narrow" w:hAnsi="Arial Narrow"/>
                <w:color w:val="000000" w:themeColor="text1"/>
                <w:sz w:val="20"/>
                <w:szCs w:val="20"/>
              </w:rPr>
              <w:t>The treatment must not be used in a patient with a left ventricular ejection fraction (LVEF) of less than 45% and/or with symptomatic heart failure</w:t>
            </w:r>
          </w:p>
        </w:tc>
      </w:tr>
      <w:tr w:rsidR="0095387B" w:rsidRPr="00C45ACD" w:rsidTr="0091419F">
        <w:tc>
          <w:tcPr>
            <w:tcW w:w="5000" w:type="pct"/>
            <w:tcBorders>
              <w:top w:val="nil"/>
              <w:bottom w:val="nil"/>
            </w:tcBorders>
            <w:vAlign w:val="center"/>
          </w:tcPr>
          <w:p w:rsidR="0095387B" w:rsidRPr="00C45ACD" w:rsidRDefault="0095387B" w:rsidP="0091419F">
            <w:pPr>
              <w:rPr>
                <w:rFonts w:ascii="Arial Narrow" w:hAnsi="Arial Narrow"/>
                <w:b/>
                <w:bCs/>
                <w:color w:val="000000" w:themeColor="text1"/>
                <w:sz w:val="20"/>
                <w:szCs w:val="20"/>
              </w:rPr>
            </w:pPr>
            <w:r w:rsidRPr="00C45ACD">
              <w:rPr>
                <w:rFonts w:ascii="Arial Narrow" w:hAnsi="Arial Narrow"/>
                <w:b/>
                <w:bCs/>
                <w:color w:val="000000" w:themeColor="text1"/>
                <w:sz w:val="20"/>
                <w:szCs w:val="20"/>
              </w:rPr>
              <w:t>AND</w:t>
            </w:r>
          </w:p>
        </w:tc>
      </w:tr>
      <w:tr w:rsidR="0095387B" w:rsidRPr="00C45ACD" w:rsidTr="0091419F">
        <w:tc>
          <w:tcPr>
            <w:tcW w:w="5000" w:type="pct"/>
            <w:tcBorders>
              <w:top w:val="nil"/>
            </w:tcBorders>
            <w:vAlign w:val="center"/>
          </w:tcPr>
          <w:p w:rsidR="0095387B" w:rsidRPr="00C45ACD" w:rsidRDefault="0095387B" w:rsidP="0091419F">
            <w:pPr>
              <w:rPr>
                <w:rFonts w:ascii="Arial Narrow" w:hAnsi="Arial Narrow"/>
                <w:bCs/>
                <w:i/>
                <w:color w:val="000000" w:themeColor="text1"/>
                <w:sz w:val="20"/>
                <w:szCs w:val="20"/>
              </w:rPr>
            </w:pPr>
            <w:r w:rsidRPr="00C45ACD">
              <w:rPr>
                <w:rFonts w:ascii="Arial Narrow" w:hAnsi="Arial Narrow"/>
                <w:i/>
                <w:color w:val="000000" w:themeColor="text1"/>
                <w:sz w:val="20"/>
                <w:szCs w:val="20"/>
              </w:rPr>
              <w:t>Patient must not receive more than 1 treatment cycle under this restriction.</w:t>
            </w:r>
          </w:p>
        </w:tc>
      </w:tr>
      <w:tr w:rsidR="0095387B" w:rsidRPr="00C45ACD" w:rsidTr="0091419F">
        <w:tc>
          <w:tcPr>
            <w:tcW w:w="5000" w:type="pct"/>
            <w:tcBorders>
              <w:bottom w:val="single" w:sz="4" w:space="0" w:color="auto"/>
            </w:tcBorders>
            <w:vAlign w:val="center"/>
            <w:hideMark/>
          </w:tcPr>
          <w:p w:rsidR="0095387B" w:rsidRPr="00C45ACD" w:rsidRDefault="0095387B" w:rsidP="0091419F">
            <w:pPr>
              <w:rPr>
                <w:rFonts w:ascii="Arial Narrow" w:hAnsi="Arial Narrow"/>
                <w:color w:val="000000" w:themeColor="text1"/>
                <w:sz w:val="20"/>
                <w:szCs w:val="20"/>
              </w:rPr>
            </w:pPr>
            <w:r w:rsidRPr="00C45ACD">
              <w:rPr>
                <w:rFonts w:ascii="Arial Narrow" w:hAnsi="Arial Narrow"/>
                <w:b/>
                <w:bCs/>
                <w:color w:val="000000" w:themeColor="text1"/>
                <w:sz w:val="20"/>
                <w:szCs w:val="20"/>
              </w:rPr>
              <w:t>Prescribing Instructions:</w:t>
            </w:r>
          </w:p>
          <w:p w:rsidR="0095387B" w:rsidRPr="00C45ACD" w:rsidRDefault="0095387B" w:rsidP="0091419F">
            <w:pPr>
              <w:pStyle w:val="TableText0"/>
              <w:spacing w:line="264" w:lineRule="auto"/>
              <w:rPr>
                <w:rFonts w:cstheme="minorHAnsi"/>
                <w:i/>
                <w:color w:val="000000" w:themeColor="text1"/>
                <w:szCs w:val="20"/>
              </w:rPr>
            </w:pPr>
            <w:r w:rsidRPr="00C45ACD">
              <w:rPr>
                <w:rFonts w:cstheme="minorHAnsi"/>
                <w:i/>
                <w:color w:val="000000" w:themeColor="text1"/>
                <w:szCs w:val="20"/>
              </w:rPr>
              <w:t>Authority applications for initial treatment must be made in writing and must include:</w:t>
            </w:r>
          </w:p>
          <w:p w:rsidR="0095387B" w:rsidRPr="00C45ACD" w:rsidRDefault="0095387B" w:rsidP="0091419F">
            <w:pPr>
              <w:pStyle w:val="TableText0"/>
              <w:spacing w:line="264" w:lineRule="auto"/>
              <w:rPr>
                <w:rFonts w:cstheme="minorHAnsi"/>
                <w:i/>
                <w:color w:val="000000" w:themeColor="text1"/>
                <w:szCs w:val="20"/>
              </w:rPr>
            </w:pPr>
            <w:r w:rsidRPr="00C45ACD">
              <w:rPr>
                <w:rFonts w:cstheme="minorHAnsi"/>
                <w:i/>
                <w:color w:val="000000" w:themeColor="text1"/>
                <w:szCs w:val="20"/>
              </w:rPr>
              <w:t>(a) a completed authority prescription form; and</w:t>
            </w:r>
          </w:p>
          <w:p w:rsidR="0095387B" w:rsidRPr="00C45ACD" w:rsidRDefault="0095387B" w:rsidP="0091419F">
            <w:pPr>
              <w:pStyle w:val="TableText0"/>
              <w:spacing w:line="264" w:lineRule="auto"/>
              <w:rPr>
                <w:rFonts w:cstheme="minorHAnsi"/>
                <w:i/>
                <w:color w:val="000000" w:themeColor="text1"/>
                <w:szCs w:val="20"/>
              </w:rPr>
            </w:pPr>
            <w:r w:rsidRPr="00C45ACD">
              <w:rPr>
                <w:rFonts w:cstheme="minorHAnsi"/>
                <w:i/>
                <w:color w:val="000000" w:themeColor="text1"/>
                <w:szCs w:val="20"/>
              </w:rPr>
              <w:t>(b) a completed Early Breast Cancer - PBS Supporting Information Form which includes:</w:t>
            </w:r>
          </w:p>
          <w:p w:rsidR="0095387B" w:rsidRPr="00C45ACD" w:rsidRDefault="0095387B" w:rsidP="0091419F">
            <w:pPr>
              <w:pStyle w:val="TableText0"/>
              <w:spacing w:line="264" w:lineRule="auto"/>
              <w:rPr>
                <w:rFonts w:cstheme="minorHAnsi"/>
                <w:i/>
                <w:color w:val="000000" w:themeColor="text1"/>
                <w:szCs w:val="20"/>
              </w:rPr>
            </w:pPr>
            <w:r w:rsidRPr="00C45ACD">
              <w:rPr>
                <w:rFonts w:cstheme="minorHAnsi"/>
                <w:i/>
                <w:color w:val="000000" w:themeColor="text1"/>
                <w:szCs w:val="20"/>
              </w:rPr>
              <w:t xml:space="preserve">(i) a copy of the pathology report from an Approved Pathology Authority confirming the presence of HER2 gene amplification by in situ hybridisation (ISH) </w:t>
            </w:r>
          </w:p>
          <w:p w:rsidR="0095387B" w:rsidRPr="00C45ACD" w:rsidRDefault="0095387B" w:rsidP="0091419F">
            <w:pPr>
              <w:rPr>
                <w:rFonts w:ascii="Arial Narrow" w:hAnsi="Arial Narrow"/>
                <w:strike/>
                <w:color w:val="000000" w:themeColor="text1"/>
                <w:sz w:val="20"/>
                <w:szCs w:val="20"/>
              </w:rPr>
            </w:pPr>
            <w:r w:rsidRPr="00C45ACD">
              <w:rPr>
                <w:rFonts w:ascii="Arial Narrow" w:hAnsi="Arial Narrow" w:cstheme="minorHAnsi"/>
                <w:i/>
                <w:strike/>
                <w:color w:val="000000" w:themeColor="text1"/>
                <w:sz w:val="20"/>
                <w:szCs w:val="20"/>
              </w:rPr>
              <w:t xml:space="preserve">(ii) </w:t>
            </w:r>
            <w:proofErr w:type="gramStart"/>
            <w:r w:rsidRPr="00C45ACD">
              <w:rPr>
                <w:rFonts w:ascii="Arial Narrow" w:hAnsi="Arial Narrow" w:cstheme="minorHAnsi"/>
                <w:i/>
                <w:strike/>
                <w:color w:val="000000" w:themeColor="text1"/>
                <w:sz w:val="20"/>
                <w:szCs w:val="20"/>
              </w:rPr>
              <w:t>a</w:t>
            </w:r>
            <w:proofErr w:type="gramEnd"/>
            <w:r w:rsidRPr="00C45ACD">
              <w:rPr>
                <w:rFonts w:ascii="Arial Narrow" w:hAnsi="Arial Narrow" w:cstheme="minorHAnsi"/>
                <w:i/>
                <w:strike/>
                <w:color w:val="000000" w:themeColor="text1"/>
                <w:sz w:val="20"/>
                <w:szCs w:val="20"/>
              </w:rPr>
              <w:t xml:space="preserve"> copy of the signed patient acknowledgement form.</w:t>
            </w:r>
          </w:p>
        </w:tc>
      </w:tr>
      <w:tr w:rsidR="0095387B" w:rsidRPr="00C45ACD" w:rsidTr="0091419F">
        <w:tc>
          <w:tcPr>
            <w:tcW w:w="5000" w:type="pct"/>
            <w:tcBorders>
              <w:bottom w:val="nil"/>
            </w:tcBorders>
            <w:vAlign w:val="center"/>
          </w:tcPr>
          <w:p w:rsidR="0095387B" w:rsidRPr="00C45ACD" w:rsidRDefault="0095387B" w:rsidP="0091419F">
            <w:pPr>
              <w:pStyle w:val="TableText0"/>
              <w:spacing w:line="264" w:lineRule="auto"/>
              <w:rPr>
                <w:rFonts w:cstheme="minorHAnsi"/>
                <w:strike/>
                <w:color w:val="000000" w:themeColor="text1"/>
                <w:szCs w:val="20"/>
              </w:rPr>
            </w:pPr>
            <w:r w:rsidRPr="00C45ACD">
              <w:rPr>
                <w:rFonts w:cstheme="minorHAnsi"/>
                <w:strike/>
                <w:color w:val="000000" w:themeColor="text1"/>
                <w:szCs w:val="20"/>
              </w:rPr>
              <w:t xml:space="preserve">HER2 positivity </w:t>
            </w:r>
            <w:proofErr w:type="gramStart"/>
            <w:r w:rsidRPr="00C45ACD">
              <w:rPr>
                <w:rFonts w:cstheme="minorHAnsi"/>
                <w:strike/>
                <w:color w:val="000000" w:themeColor="text1"/>
                <w:szCs w:val="20"/>
              </w:rPr>
              <w:t>must be demonstrated</w:t>
            </w:r>
            <w:proofErr w:type="gramEnd"/>
            <w:r w:rsidRPr="00C45ACD">
              <w:rPr>
                <w:rFonts w:cstheme="minorHAnsi"/>
                <w:strike/>
                <w:color w:val="000000" w:themeColor="text1"/>
                <w:szCs w:val="20"/>
              </w:rPr>
              <w:t xml:space="preserve"> by in situ hybridisation (ISH).</w:t>
            </w:r>
          </w:p>
        </w:tc>
      </w:tr>
      <w:tr w:rsidR="0095387B" w:rsidRPr="00C45ACD" w:rsidTr="0091419F">
        <w:trPr>
          <w:trHeight w:val="614"/>
        </w:trPr>
        <w:tc>
          <w:tcPr>
            <w:tcW w:w="5000" w:type="pct"/>
            <w:tcBorders>
              <w:top w:val="nil"/>
              <w:bottom w:val="nil"/>
            </w:tcBorders>
            <w:vAlign w:val="center"/>
            <w:hideMark/>
          </w:tcPr>
          <w:p w:rsidR="0095387B" w:rsidRPr="00C45ACD" w:rsidRDefault="0095387B" w:rsidP="0091419F">
            <w:pPr>
              <w:rPr>
                <w:rFonts w:ascii="Arial Narrow" w:hAnsi="Arial Narrow"/>
                <w:color w:val="000000" w:themeColor="text1"/>
                <w:sz w:val="20"/>
                <w:szCs w:val="20"/>
              </w:rPr>
            </w:pPr>
            <w:proofErr w:type="gramStart"/>
            <w:r w:rsidRPr="00C45ACD">
              <w:rPr>
                <w:rFonts w:ascii="Arial Narrow" w:hAnsi="Arial Narrow"/>
                <w:color w:val="000000" w:themeColor="text1"/>
                <w:sz w:val="20"/>
                <w:szCs w:val="20"/>
              </w:rPr>
              <w:t>Cardiac function must be tested by echocardiography (ECHO) or multigated acquisition (MUGA), prior to seeking the initial authority approval</w:t>
            </w:r>
            <w:proofErr w:type="gramEnd"/>
            <w:r w:rsidRPr="00C45ACD">
              <w:rPr>
                <w:rFonts w:ascii="Arial Narrow" w:hAnsi="Arial Narrow"/>
                <w:color w:val="000000" w:themeColor="text1"/>
                <w:sz w:val="20"/>
                <w:szCs w:val="20"/>
              </w:rPr>
              <w:t>.</w:t>
            </w:r>
          </w:p>
        </w:tc>
      </w:tr>
      <w:tr w:rsidR="0095387B" w:rsidRPr="00C45ACD" w:rsidTr="0091419F">
        <w:trPr>
          <w:trHeight w:val="620"/>
        </w:trPr>
        <w:tc>
          <w:tcPr>
            <w:tcW w:w="5000" w:type="pct"/>
            <w:tcBorders>
              <w:top w:val="nil"/>
            </w:tcBorders>
            <w:vAlign w:val="center"/>
          </w:tcPr>
          <w:p w:rsidR="0095387B" w:rsidRPr="00C45ACD" w:rsidRDefault="0095387B" w:rsidP="0091419F">
            <w:pPr>
              <w:rPr>
                <w:rFonts w:ascii="Arial Narrow" w:hAnsi="Arial Narrow"/>
                <w:b/>
                <w:bCs/>
                <w:color w:val="000000" w:themeColor="text1"/>
                <w:sz w:val="20"/>
                <w:szCs w:val="20"/>
              </w:rPr>
            </w:pPr>
            <w:r w:rsidRPr="00C45ACD">
              <w:rPr>
                <w:rFonts w:ascii="Arial Narrow" w:hAnsi="Arial Narrow"/>
                <w:i/>
                <w:color w:val="000000" w:themeColor="text1"/>
                <w:sz w:val="20"/>
                <w:szCs w:val="20"/>
              </w:rPr>
              <w:t>Treatment with this drug for this condition must not exceed 6 treatment cycles (18 weeks) of combined initial and continuing treatment</w:t>
            </w:r>
          </w:p>
        </w:tc>
      </w:tr>
      <w:tr w:rsidR="0095387B" w:rsidRPr="00C45ACD" w:rsidTr="0091419F">
        <w:tc>
          <w:tcPr>
            <w:tcW w:w="5000" w:type="pct"/>
            <w:vAlign w:val="center"/>
          </w:tcPr>
          <w:p w:rsidR="0095387B" w:rsidRPr="00C45ACD" w:rsidRDefault="0095387B" w:rsidP="0091419F">
            <w:pPr>
              <w:rPr>
                <w:rFonts w:ascii="Arial Narrow" w:hAnsi="Arial Narrow"/>
                <w:color w:val="000000" w:themeColor="text1"/>
                <w:sz w:val="20"/>
                <w:szCs w:val="20"/>
              </w:rPr>
            </w:pPr>
            <w:r w:rsidRPr="00C45ACD">
              <w:rPr>
                <w:rFonts w:ascii="Arial Narrow" w:hAnsi="Arial Narrow"/>
                <w:b/>
                <w:bCs/>
                <w:color w:val="000000" w:themeColor="text1"/>
                <w:sz w:val="20"/>
                <w:szCs w:val="20"/>
              </w:rPr>
              <w:t>Administrative Advice:</w:t>
            </w:r>
          </w:p>
          <w:p w:rsidR="0095387B" w:rsidRPr="00C45ACD" w:rsidRDefault="0095387B" w:rsidP="0091419F">
            <w:pPr>
              <w:pStyle w:val="TableText0"/>
              <w:spacing w:line="264" w:lineRule="auto"/>
              <w:rPr>
                <w:rFonts w:cstheme="minorHAnsi"/>
                <w:strike/>
                <w:color w:val="000000" w:themeColor="text1"/>
                <w:szCs w:val="20"/>
              </w:rPr>
            </w:pPr>
            <w:r w:rsidRPr="00C45ACD">
              <w:rPr>
                <w:rFonts w:cstheme="minorHAnsi"/>
                <w:strike/>
                <w:color w:val="000000" w:themeColor="text1"/>
                <w:szCs w:val="20"/>
              </w:rPr>
              <w:t>Authority applications for initial treatment must be made in writing and must include:</w:t>
            </w:r>
          </w:p>
          <w:p w:rsidR="0095387B" w:rsidRPr="00C45ACD" w:rsidRDefault="0095387B" w:rsidP="0091419F">
            <w:pPr>
              <w:pStyle w:val="TableText0"/>
              <w:spacing w:line="264" w:lineRule="auto"/>
              <w:rPr>
                <w:rFonts w:cstheme="minorHAnsi"/>
                <w:strike/>
                <w:color w:val="000000" w:themeColor="text1"/>
                <w:szCs w:val="20"/>
              </w:rPr>
            </w:pPr>
            <w:r w:rsidRPr="00C45ACD">
              <w:rPr>
                <w:rFonts w:cstheme="minorHAnsi"/>
                <w:strike/>
                <w:color w:val="000000" w:themeColor="text1"/>
                <w:szCs w:val="20"/>
              </w:rPr>
              <w:t>(a) a completed authority prescription form; and</w:t>
            </w:r>
          </w:p>
          <w:p w:rsidR="0095387B" w:rsidRPr="00C45ACD" w:rsidRDefault="0095387B" w:rsidP="0091419F">
            <w:pPr>
              <w:pStyle w:val="TableText0"/>
              <w:spacing w:line="264" w:lineRule="auto"/>
              <w:rPr>
                <w:rFonts w:cstheme="minorHAnsi"/>
                <w:strike/>
                <w:color w:val="000000" w:themeColor="text1"/>
                <w:szCs w:val="20"/>
              </w:rPr>
            </w:pPr>
            <w:r w:rsidRPr="00C45ACD">
              <w:rPr>
                <w:rFonts w:cstheme="minorHAnsi"/>
                <w:strike/>
                <w:color w:val="000000" w:themeColor="text1"/>
                <w:szCs w:val="20"/>
              </w:rPr>
              <w:t>(b) a completed Early Breast Cancer - PBS Supporting Information Form which includes:</w:t>
            </w:r>
          </w:p>
          <w:p w:rsidR="0095387B" w:rsidRPr="00C45ACD" w:rsidRDefault="0095387B" w:rsidP="0091419F">
            <w:pPr>
              <w:pStyle w:val="TableText0"/>
              <w:spacing w:line="264" w:lineRule="auto"/>
              <w:rPr>
                <w:rFonts w:cstheme="minorHAnsi"/>
                <w:strike/>
                <w:color w:val="000000" w:themeColor="text1"/>
                <w:szCs w:val="20"/>
              </w:rPr>
            </w:pPr>
            <w:r w:rsidRPr="00C45ACD">
              <w:rPr>
                <w:rFonts w:cstheme="minorHAnsi"/>
                <w:strike/>
                <w:color w:val="000000" w:themeColor="text1"/>
                <w:szCs w:val="20"/>
              </w:rPr>
              <w:t xml:space="preserve">(i) a copy of the pathology report from an Approved Pathology Authority confirming the presence of HER2 gene amplification by in situ hybridisation (ISH); and </w:t>
            </w:r>
          </w:p>
          <w:p w:rsidR="0095387B" w:rsidRPr="00C45ACD" w:rsidRDefault="0095387B" w:rsidP="0091419F">
            <w:pPr>
              <w:pStyle w:val="TableText0"/>
              <w:spacing w:line="264" w:lineRule="auto"/>
              <w:rPr>
                <w:rFonts w:cstheme="minorHAnsi"/>
                <w:color w:val="000000" w:themeColor="text1"/>
                <w:szCs w:val="20"/>
              </w:rPr>
            </w:pPr>
            <w:r w:rsidRPr="00C45ACD">
              <w:rPr>
                <w:rFonts w:cstheme="minorHAnsi"/>
                <w:strike/>
                <w:color w:val="000000" w:themeColor="text1"/>
                <w:szCs w:val="20"/>
              </w:rPr>
              <w:t xml:space="preserve">(ii) </w:t>
            </w:r>
            <w:proofErr w:type="gramStart"/>
            <w:r w:rsidRPr="00C45ACD">
              <w:rPr>
                <w:rFonts w:cstheme="minorHAnsi"/>
                <w:strike/>
                <w:color w:val="000000" w:themeColor="text1"/>
                <w:szCs w:val="20"/>
              </w:rPr>
              <w:t>a</w:t>
            </w:r>
            <w:proofErr w:type="gramEnd"/>
            <w:r w:rsidRPr="00C45ACD">
              <w:rPr>
                <w:rFonts w:cstheme="minorHAnsi"/>
                <w:strike/>
                <w:color w:val="000000" w:themeColor="text1"/>
                <w:szCs w:val="20"/>
              </w:rPr>
              <w:t xml:space="preserve"> copy of the signed patient acknowledgement form.</w:t>
            </w:r>
            <w:r w:rsidRPr="00C45ACD">
              <w:rPr>
                <w:rFonts w:cstheme="minorHAnsi"/>
                <w:color w:val="000000" w:themeColor="text1"/>
                <w:szCs w:val="20"/>
              </w:rPr>
              <w:t xml:space="preserve"> </w:t>
            </w:r>
          </w:p>
        </w:tc>
      </w:tr>
      <w:tr w:rsidR="0095387B" w:rsidRPr="00C45ACD" w:rsidTr="0091419F">
        <w:tc>
          <w:tcPr>
            <w:tcW w:w="5000" w:type="pct"/>
            <w:tcBorders>
              <w:bottom w:val="single" w:sz="4" w:space="0" w:color="auto"/>
            </w:tcBorders>
            <w:vAlign w:val="center"/>
            <w:hideMark/>
          </w:tcPr>
          <w:p w:rsidR="0095387B" w:rsidRPr="00C45ACD" w:rsidRDefault="0095387B" w:rsidP="0091419F">
            <w:pPr>
              <w:rPr>
                <w:rFonts w:ascii="Arial Narrow" w:hAnsi="Arial Narrow"/>
                <w:i/>
                <w:color w:val="000000" w:themeColor="text1"/>
                <w:sz w:val="20"/>
                <w:szCs w:val="20"/>
              </w:rPr>
            </w:pPr>
            <w:r w:rsidRPr="00C45ACD">
              <w:rPr>
                <w:rFonts w:ascii="Arial Narrow" w:hAnsi="Arial Narrow"/>
                <w:i/>
                <w:color w:val="000000" w:themeColor="text1"/>
                <w:sz w:val="20"/>
                <w:szCs w:val="20"/>
              </w:rPr>
              <w:t xml:space="preserve">Any queries concerning the arrangements to prescribe may be directed to the Department of Human Services on 1800 700 270 (hours of operation 8 a.m. to 5 p.m. EST Monday to Friday). </w:t>
            </w:r>
          </w:p>
          <w:p w:rsidR="0095387B" w:rsidRPr="00C45ACD" w:rsidRDefault="0095387B" w:rsidP="0091419F">
            <w:pPr>
              <w:rPr>
                <w:rFonts w:ascii="Arial Narrow" w:hAnsi="Arial Narrow"/>
                <w:i/>
                <w:color w:val="000000" w:themeColor="text1"/>
                <w:sz w:val="20"/>
                <w:szCs w:val="20"/>
              </w:rPr>
            </w:pPr>
            <w:r w:rsidRPr="00C45ACD">
              <w:rPr>
                <w:rFonts w:ascii="Arial Narrow" w:hAnsi="Arial Narrow"/>
                <w:i/>
                <w:color w:val="000000" w:themeColor="text1"/>
                <w:sz w:val="20"/>
                <w:szCs w:val="20"/>
              </w:rPr>
              <w:t>Prescribing information (including Authority Application forms and other relevant documentation as applicable) is available on the Department of Human Services website at www.humanservices.gov.au</w:t>
            </w:r>
          </w:p>
          <w:p w:rsidR="0095387B" w:rsidRPr="00C45ACD" w:rsidRDefault="0095387B" w:rsidP="0091419F">
            <w:pPr>
              <w:rPr>
                <w:rFonts w:ascii="Arial Narrow" w:hAnsi="Arial Narrow"/>
                <w:i/>
                <w:color w:val="000000" w:themeColor="text1"/>
                <w:sz w:val="20"/>
                <w:szCs w:val="20"/>
              </w:rPr>
            </w:pPr>
            <w:r w:rsidRPr="00C45ACD">
              <w:rPr>
                <w:rFonts w:ascii="Arial Narrow" w:hAnsi="Arial Narrow"/>
                <w:i/>
                <w:color w:val="000000" w:themeColor="text1"/>
                <w:sz w:val="20"/>
                <w:szCs w:val="20"/>
              </w:rPr>
              <w:t xml:space="preserve">Applications for authority to prescribe should be forwarded to: </w:t>
            </w:r>
          </w:p>
          <w:p w:rsidR="0095387B" w:rsidRPr="00C45ACD" w:rsidRDefault="0095387B" w:rsidP="0091419F">
            <w:pPr>
              <w:rPr>
                <w:rFonts w:ascii="Arial Narrow" w:hAnsi="Arial Narrow"/>
                <w:i/>
                <w:color w:val="000000" w:themeColor="text1"/>
                <w:sz w:val="20"/>
                <w:szCs w:val="20"/>
              </w:rPr>
            </w:pPr>
            <w:r w:rsidRPr="00C45ACD">
              <w:rPr>
                <w:rFonts w:ascii="Arial Narrow" w:hAnsi="Arial Narrow"/>
                <w:i/>
                <w:color w:val="000000" w:themeColor="text1"/>
                <w:sz w:val="20"/>
                <w:szCs w:val="20"/>
              </w:rPr>
              <w:t>Department of Human Services</w:t>
            </w:r>
          </w:p>
          <w:p w:rsidR="0095387B" w:rsidRPr="00C45ACD" w:rsidRDefault="0095387B" w:rsidP="0091419F">
            <w:pPr>
              <w:rPr>
                <w:rFonts w:ascii="Arial Narrow" w:hAnsi="Arial Narrow"/>
                <w:i/>
                <w:color w:val="000000" w:themeColor="text1"/>
                <w:sz w:val="20"/>
                <w:szCs w:val="20"/>
              </w:rPr>
            </w:pPr>
            <w:r w:rsidRPr="00C45ACD">
              <w:rPr>
                <w:rFonts w:ascii="Arial Narrow" w:hAnsi="Arial Narrow"/>
                <w:i/>
                <w:color w:val="000000" w:themeColor="text1"/>
                <w:sz w:val="20"/>
                <w:szCs w:val="20"/>
              </w:rPr>
              <w:t xml:space="preserve">Complex Drugs </w:t>
            </w:r>
          </w:p>
          <w:p w:rsidR="0095387B" w:rsidRPr="00C45ACD" w:rsidRDefault="0095387B" w:rsidP="0091419F">
            <w:pPr>
              <w:rPr>
                <w:rFonts w:ascii="Arial Narrow" w:hAnsi="Arial Narrow"/>
                <w:i/>
                <w:color w:val="000000" w:themeColor="text1"/>
                <w:sz w:val="20"/>
                <w:szCs w:val="20"/>
              </w:rPr>
            </w:pPr>
            <w:r w:rsidRPr="00C45ACD">
              <w:rPr>
                <w:rFonts w:ascii="Arial Narrow" w:hAnsi="Arial Narrow"/>
                <w:i/>
                <w:color w:val="000000" w:themeColor="text1"/>
                <w:sz w:val="20"/>
                <w:szCs w:val="20"/>
              </w:rPr>
              <w:t xml:space="preserve">Reply Paid 9826 </w:t>
            </w:r>
          </w:p>
          <w:p w:rsidR="0095387B" w:rsidRPr="00C45ACD" w:rsidRDefault="0095387B" w:rsidP="0091419F">
            <w:pPr>
              <w:rPr>
                <w:rFonts w:ascii="Arial Narrow" w:hAnsi="Arial Narrow"/>
                <w:color w:val="000000" w:themeColor="text1"/>
                <w:sz w:val="20"/>
                <w:szCs w:val="20"/>
              </w:rPr>
            </w:pPr>
            <w:r w:rsidRPr="00C45ACD">
              <w:rPr>
                <w:rFonts w:ascii="Arial Narrow" w:hAnsi="Arial Narrow"/>
                <w:i/>
                <w:color w:val="000000" w:themeColor="text1"/>
                <w:sz w:val="20"/>
                <w:szCs w:val="20"/>
              </w:rPr>
              <w:t>HOBART TAS 7001</w:t>
            </w:r>
          </w:p>
        </w:tc>
      </w:tr>
      <w:tr w:rsidR="0095387B" w:rsidRPr="00C45ACD" w:rsidTr="0091419F">
        <w:tc>
          <w:tcPr>
            <w:tcW w:w="5000" w:type="pct"/>
            <w:tcBorders>
              <w:bottom w:val="nil"/>
            </w:tcBorders>
            <w:shd w:val="clear" w:color="auto" w:fill="auto"/>
            <w:vAlign w:val="center"/>
            <w:hideMark/>
          </w:tcPr>
          <w:p w:rsidR="0095387B" w:rsidRPr="00C45ACD" w:rsidRDefault="0095387B" w:rsidP="0091419F">
            <w:pPr>
              <w:rPr>
                <w:rFonts w:ascii="Arial Narrow" w:hAnsi="Arial Narrow"/>
                <w:b/>
                <w:bCs/>
                <w:i/>
                <w:color w:val="000000" w:themeColor="text1"/>
                <w:sz w:val="20"/>
                <w:szCs w:val="20"/>
              </w:rPr>
            </w:pPr>
            <w:r w:rsidRPr="00C45ACD">
              <w:rPr>
                <w:rFonts w:ascii="Arial Narrow" w:hAnsi="Arial Narrow"/>
                <w:b/>
                <w:bCs/>
                <w:i/>
                <w:color w:val="000000" w:themeColor="text1"/>
                <w:sz w:val="20"/>
                <w:szCs w:val="20"/>
              </w:rPr>
              <w:t>Administrative Advice:</w:t>
            </w:r>
          </w:p>
          <w:p w:rsidR="0095387B" w:rsidRPr="00C45ACD" w:rsidRDefault="0095387B" w:rsidP="0091419F">
            <w:pPr>
              <w:rPr>
                <w:rFonts w:ascii="Arial Narrow" w:hAnsi="Arial Narrow"/>
                <w:bCs/>
                <w:i/>
                <w:color w:val="000000" w:themeColor="text1"/>
                <w:sz w:val="20"/>
                <w:szCs w:val="20"/>
              </w:rPr>
            </w:pPr>
            <w:r w:rsidRPr="00C45ACD">
              <w:rPr>
                <w:rFonts w:ascii="Arial Narrow" w:hAnsi="Arial Narrow"/>
                <w:bCs/>
                <w:i/>
                <w:color w:val="000000" w:themeColor="text1"/>
                <w:sz w:val="20"/>
                <w:szCs w:val="20"/>
              </w:rPr>
              <w:t>No increase in the maximum quantity or number of units may be authorised.</w:t>
            </w:r>
          </w:p>
        </w:tc>
      </w:tr>
      <w:tr w:rsidR="0095387B" w:rsidRPr="00C45ACD" w:rsidTr="0091419F">
        <w:trPr>
          <w:trHeight w:val="80"/>
        </w:trPr>
        <w:tc>
          <w:tcPr>
            <w:tcW w:w="5000" w:type="pct"/>
            <w:tcBorders>
              <w:top w:val="nil"/>
            </w:tcBorders>
            <w:shd w:val="clear" w:color="auto" w:fill="auto"/>
            <w:vAlign w:val="center"/>
            <w:hideMark/>
          </w:tcPr>
          <w:p w:rsidR="0095387B" w:rsidRPr="00C45ACD" w:rsidRDefault="0095387B" w:rsidP="0091419F">
            <w:pPr>
              <w:rPr>
                <w:rFonts w:ascii="Arial Narrow" w:hAnsi="Arial Narrow"/>
                <w:b/>
                <w:bCs/>
                <w:i/>
                <w:color w:val="000000" w:themeColor="text1"/>
                <w:sz w:val="20"/>
                <w:szCs w:val="20"/>
              </w:rPr>
            </w:pPr>
            <w:r w:rsidRPr="00C45ACD">
              <w:rPr>
                <w:rFonts w:ascii="Arial Narrow" w:hAnsi="Arial Narrow"/>
                <w:bCs/>
                <w:i/>
                <w:color w:val="000000" w:themeColor="text1"/>
                <w:sz w:val="20"/>
                <w:szCs w:val="20"/>
              </w:rPr>
              <w:t>No increase in the maximum number of repeats may be authorised.</w:t>
            </w:r>
          </w:p>
        </w:tc>
      </w:tr>
    </w:tbl>
    <w:p w:rsidR="00F70833" w:rsidRPr="00D836DC" w:rsidRDefault="00F70833" w:rsidP="0066147F">
      <w:pPr>
        <w:pStyle w:val="2-SectionHeading"/>
        <w:numPr>
          <w:ilvl w:val="0"/>
          <w:numId w:val="0"/>
        </w:numPr>
        <w:ind w:left="720" w:hanging="720"/>
        <w:outlineLvl w:val="9"/>
        <w:rPr>
          <w:rFonts w:ascii="Arial Narrow" w:hAnsi="Arial Narrow"/>
          <w:snapToGrid/>
          <w:sz w:val="20"/>
          <w:szCs w:val="20"/>
        </w:rPr>
      </w:pPr>
    </w:p>
    <w:tbl>
      <w:tblPr>
        <w:tblW w:w="4977" w:type="pct"/>
        <w:tblInd w:w="28" w:type="dxa"/>
        <w:tblLayout w:type="fixed"/>
        <w:tblCellMar>
          <w:left w:w="28" w:type="dxa"/>
          <w:right w:w="28" w:type="dxa"/>
        </w:tblCellMar>
        <w:tblLook w:val="0000" w:firstRow="0" w:lastRow="0" w:firstColumn="0" w:lastColumn="0" w:noHBand="0" w:noVBand="0"/>
      </w:tblPr>
      <w:tblGrid>
        <w:gridCol w:w="3368"/>
        <w:gridCol w:w="1082"/>
        <w:gridCol w:w="839"/>
        <w:gridCol w:w="1511"/>
        <w:gridCol w:w="697"/>
        <w:gridCol w:w="1488"/>
      </w:tblGrid>
      <w:tr w:rsidR="0078581C" w:rsidRPr="00413860" w:rsidTr="0078581C">
        <w:trPr>
          <w:cantSplit/>
          <w:trHeight w:val="463"/>
        </w:trPr>
        <w:tc>
          <w:tcPr>
            <w:tcW w:w="1874" w:type="pct"/>
            <w:tcBorders>
              <w:top w:val="single" w:sz="4" w:space="0" w:color="auto"/>
              <w:bottom w:val="single" w:sz="4" w:space="0" w:color="auto"/>
            </w:tcBorders>
            <w:vAlign w:val="center"/>
          </w:tcPr>
          <w:p w:rsidR="0078581C" w:rsidRPr="00C7151A" w:rsidRDefault="0078581C" w:rsidP="0078581C">
            <w:pPr>
              <w:keepNext/>
              <w:jc w:val="left"/>
              <w:rPr>
                <w:rFonts w:ascii="Arial Narrow" w:hAnsi="Arial Narrow"/>
                <w:b/>
                <w:sz w:val="20"/>
              </w:rPr>
            </w:pPr>
            <w:r w:rsidRPr="00C7151A">
              <w:rPr>
                <w:rFonts w:ascii="Arial Narrow" w:hAnsi="Arial Narrow"/>
                <w:b/>
                <w:sz w:val="20"/>
              </w:rPr>
              <w:t>Name, Restriction,</w:t>
            </w:r>
          </w:p>
          <w:p w:rsidR="0078581C" w:rsidRPr="00C7151A" w:rsidRDefault="0078581C" w:rsidP="0078581C">
            <w:pPr>
              <w:keepNext/>
              <w:jc w:val="left"/>
              <w:rPr>
                <w:rFonts w:ascii="Arial Narrow" w:hAnsi="Arial Narrow"/>
                <w:b/>
                <w:sz w:val="20"/>
              </w:rPr>
            </w:pPr>
            <w:r w:rsidRPr="00C7151A">
              <w:rPr>
                <w:rFonts w:ascii="Arial Narrow" w:hAnsi="Arial Narrow"/>
                <w:b/>
                <w:sz w:val="20"/>
              </w:rPr>
              <w:t>Manner of administration and form</w:t>
            </w:r>
          </w:p>
        </w:tc>
        <w:tc>
          <w:tcPr>
            <w:tcW w:w="602" w:type="pct"/>
            <w:tcBorders>
              <w:top w:val="single" w:sz="4" w:space="0" w:color="auto"/>
              <w:bottom w:val="single" w:sz="4" w:space="0" w:color="auto"/>
            </w:tcBorders>
            <w:vAlign w:val="center"/>
          </w:tcPr>
          <w:p w:rsidR="0078581C" w:rsidRPr="00C7151A" w:rsidRDefault="0078581C" w:rsidP="0078581C">
            <w:pPr>
              <w:keepNext/>
              <w:jc w:val="center"/>
              <w:rPr>
                <w:rFonts w:ascii="Arial Narrow" w:hAnsi="Arial Narrow"/>
                <w:b/>
                <w:sz w:val="20"/>
              </w:rPr>
            </w:pPr>
            <w:r w:rsidRPr="00C7151A">
              <w:rPr>
                <w:rFonts w:ascii="Arial Narrow" w:hAnsi="Arial Narrow"/>
                <w:b/>
                <w:sz w:val="20"/>
              </w:rPr>
              <w:t>Max. Amt</w:t>
            </w:r>
          </w:p>
        </w:tc>
        <w:tc>
          <w:tcPr>
            <w:tcW w:w="467" w:type="pct"/>
            <w:tcBorders>
              <w:top w:val="single" w:sz="4" w:space="0" w:color="auto"/>
              <w:bottom w:val="single" w:sz="4" w:space="0" w:color="auto"/>
            </w:tcBorders>
            <w:vAlign w:val="center"/>
          </w:tcPr>
          <w:p w:rsidR="0078581C" w:rsidRPr="00C7151A" w:rsidRDefault="0078581C" w:rsidP="0078581C">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w:t>
            </w:r>
            <w:r>
              <w:rPr>
                <w:rFonts w:ascii="Arial Narrow" w:hAnsi="Arial Narrow"/>
                <w:b/>
                <w:sz w:val="20"/>
              </w:rPr>
              <w:t xml:space="preserve"> </w:t>
            </w:r>
            <w:r w:rsidRPr="00C7151A">
              <w:rPr>
                <w:rFonts w:ascii="Arial Narrow" w:hAnsi="Arial Narrow"/>
                <w:b/>
                <w:sz w:val="20"/>
              </w:rPr>
              <w:t>of</w:t>
            </w:r>
          </w:p>
          <w:p w:rsidR="0078581C" w:rsidRPr="00C7151A" w:rsidRDefault="0078581C" w:rsidP="0078581C">
            <w:pPr>
              <w:keepNext/>
              <w:jc w:val="center"/>
              <w:rPr>
                <w:rFonts w:ascii="Arial Narrow" w:hAnsi="Arial Narrow"/>
                <w:b/>
                <w:sz w:val="20"/>
              </w:rPr>
            </w:pPr>
            <w:r w:rsidRPr="00C7151A">
              <w:rPr>
                <w:rFonts w:ascii="Arial Narrow" w:hAnsi="Arial Narrow"/>
                <w:b/>
                <w:sz w:val="20"/>
              </w:rPr>
              <w:t>Rpts</w:t>
            </w:r>
          </w:p>
        </w:tc>
        <w:tc>
          <w:tcPr>
            <w:tcW w:w="841" w:type="pct"/>
            <w:tcBorders>
              <w:top w:val="single" w:sz="4" w:space="0" w:color="auto"/>
              <w:bottom w:val="single" w:sz="4" w:space="0" w:color="auto"/>
            </w:tcBorders>
            <w:vAlign w:val="center"/>
          </w:tcPr>
          <w:p w:rsidR="0078581C" w:rsidRDefault="0078581C" w:rsidP="0078581C">
            <w:pPr>
              <w:keepNext/>
              <w:jc w:val="center"/>
              <w:rPr>
                <w:rFonts w:ascii="Arial Narrow" w:hAnsi="Arial Narrow"/>
                <w:b/>
                <w:sz w:val="20"/>
              </w:rPr>
            </w:pPr>
            <w:r w:rsidRPr="00C7151A">
              <w:rPr>
                <w:rFonts w:ascii="Arial Narrow" w:hAnsi="Arial Narrow"/>
                <w:b/>
                <w:sz w:val="20"/>
              </w:rPr>
              <w:t>Dispensed Price Max Amt</w:t>
            </w:r>
          </w:p>
          <w:p w:rsidR="0078581C" w:rsidRDefault="0078581C" w:rsidP="0078581C">
            <w:pPr>
              <w:keepNext/>
              <w:jc w:val="center"/>
              <w:rPr>
                <w:rFonts w:ascii="Arial Narrow" w:hAnsi="Arial Narrow"/>
                <w:b/>
                <w:sz w:val="20"/>
              </w:rPr>
            </w:pPr>
            <w:r>
              <w:rPr>
                <w:rFonts w:ascii="Arial Narrow" w:hAnsi="Arial Narrow"/>
                <w:b/>
                <w:sz w:val="20"/>
              </w:rPr>
              <w:t>Public Hospital</w:t>
            </w:r>
          </w:p>
          <w:p w:rsidR="0078581C" w:rsidRPr="00C7151A" w:rsidRDefault="0078581C" w:rsidP="0078581C">
            <w:pPr>
              <w:keepNext/>
              <w:jc w:val="center"/>
              <w:rPr>
                <w:rFonts w:ascii="Arial Narrow" w:hAnsi="Arial Narrow"/>
                <w:b/>
                <w:sz w:val="20"/>
              </w:rPr>
            </w:pPr>
            <w:r>
              <w:rPr>
                <w:rFonts w:ascii="Arial Narrow" w:hAnsi="Arial Narrow"/>
                <w:b/>
                <w:sz w:val="20"/>
              </w:rPr>
              <w:t>(Private Hospital)</w:t>
            </w:r>
          </w:p>
        </w:tc>
        <w:tc>
          <w:tcPr>
            <w:tcW w:w="1216" w:type="pct"/>
            <w:gridSpan w:val="2"/>
            <w:tcBorders>
              <w:top w:val="single" w:sz="4" w:space="0" w:color="auto"/>
              <w:bottom w:val="single" w:sz="4" w:space="0" w:color="auto"/>
            </w:tcBorders>
            <w:vAlign w:val="center"/>
          </w:tcPr>
          <w:p w:rsidR="0078581C" w:rsidRPr="00C7151A" w:rsidRDefault="0078581C" w:rsidP="0078581C">
            <w:pPr>
              <w:keepNext/>
              <w:jc w:val="center"/>
              <w:rPr>
                <w:rFonts w:ascii="Arial Narrow" w:hAnsi="Arial Narrow"/>
                <w:b/>
                <w:sz w:val="20"/>
                <w:lang w:val="fr-FR"/>
              </w:rPr>
            </w:pPr>
            <w:r w:rsidRPr="00C7151A">
              <w:rPr>
                <w:rFonts w:ascii="Arial Narrow" w:hAnsi="Arial Narrow"/>
                <w:b/>
                <w:sz w:val="20"/>
              </w:rPr>
              <w:t>Proprietary Name and Manufacturer</w:t>
            </w:r>
          </w:p>
        </w:tc>
      </w:tr>
      <w:tr w:rsidR="0078581C" w:rsidRPr="00413860" w:rsidTr="0078581C">
        <w:trPr>
          <w:cantSplit/>
          <w:trHeight w:val="567"/>
        </w:trPr>
        <w:tc>
          <w:tcPr>
            <w:tcW w:w="1874" w:type="pct"/>
            <w:tcBorders>
              <w:top w:val="single" w:sz="4" w:space="0" w:color="auto"/>
            </w:tcBorders>
            <w:vAlign w:val="center"/>
          </w:tcPr>
          <w:p w:rsidR="0078581C" w:rsidRDefault="0078581C" w:rsidP="0078581C">
            <w:pPr>
              <w:pStyle w:val="TableText0"/>
            </w:pPr>
            <w:r>
              <w:t>PERTUZUMAB</w:t>
            </w:r>
          </w:p>
          <w:p w:rsidR="0078581C" w:rsidRPr="0050604A" w:rsidRDefault="0078581C" w:rsidP="0078581C">
            <w:pPr>
              <w:pStyle w:val="TableText0"/>
              <w:rPr>
                <w:szCs w:val="20"/>
              </w:rPr>
            </w:pPr>
            <w:r w:rsidRPr="0050604A">
              <w:rPr>
                <w:szCs w:val="20"/>
              </w:rPr>
              <w:t>Solution for IV infusion</w:t>
            </w:r>
          </w:p>
          <w:p w:rsidR="0078581C" w:rsidRPr="0050604A" w:rsidRDefault="0078581C" w:rsidP="0078581C">
            <w:pPr>
              <w:pStyle w:val="TableText0"/>
            </w:pPr>
            <w:r w:rsidRPr="0050604A">
              <w:rPr>
                <w:szCs w:val="20"/>
              </w:rPr>
              <w:t>420 mg/14 mL, 14 mL vial</w:t>
            </w:r>
          </w:p>
        </w:tc>
        <w:tc>
          <w:tcPr>
            <w:tcW w:w="602" w:type="pct"/>
            <w:tcBorders>
              <w:top w:val="single" w:sz="4" w:space="0" w:color="auto"/>
            </w:tcBorders>
            <w:vAlign w:val="center"/>
          </w:tcPr>
          <w:p w:rsidR="0078581C" w:rsidRPr="00591957" w:rsidRDefault="0078581C" w:rsidP="0078581C">
            <w:pPr>
              <w:keepNext/>
              <w:jc w:val="center"/>
              <w:rPr>
                <w:rFonts w:ascii="Arial Narrow" w:hAnsi="Arial Narrow"/>
                <w:sz w:val="20"/>
              </w:rPr>
            </w:pPr>
            <w:r>
              <w:rPr>
                <w:rFonts w:ascii="Arial Narrow" w:hAnsi="Arial Narrow"/>
                <w:sz w:val="20"/>
              </w:rPr>
              <w:t>420 mg</w:t>
            </w:r>
          </w:p>
        </w:tc>
        <w:tc>
          <w:tcPr>
            <w:tcW w:w="467" w:type="pct"/>
            <w:tcBorders>
              <w:top w:val="single" w:sz="4" w:space="0" w:color="auto"/>
            </w:tcBorders>
            <w:vAlign w:val="center"/>
          </w:tcPr>
          <w:p w:rsidR="0078581C" w:rsidRPr="00591957" w:rsidRDefault="0078581C" w:rsidP="0078581C">
            <w:pPr>
              <w:keepNext/>
              <w:jc w:val="center"/>
              <w:rPr>
                <w:rFonts w:ascii="Arial Narrow" w:hAnsi="Arial Narrow"/>
                <w:sz w:val="20"/>
              </w:rPr>
            </w:pPr>
            <w:r>
              <w:rPr>
                <w:rFonts w:ascii="Arial Narrow" w:hAnsi="Arial Narrow"/>
                <w:sz w:val="20"/>
              </w:rPr>
              <w:t>4</w:t>
            </w:r>
          </w:p>
        </w:tc>
        <w:tc>
          <w:tcPr>
            <w:tcW w:w="841" w:type="pct"/>
            <w:tcBorders>
              <w:top w:val="single" w:sz="4" w:space="0" w:color="auto"/>
            </w:tcBorders>
            <w:vAlign w:val="center"/>
          </w:tcPr>
          <w:p w:rsidR="0078581C" w:rsidRPr="0050604A" w:rsidRDefault="0078581C" w:rsidP="0078581C">
            <w:pPr>
              <w:keepNext/>
              <w:jc w:val="center"/>
              <w:rPr>
                <w:rFonts w:ascii="Arial Narrow" w:hAnsi="Arial Narrow"/>
                <w:bCs/>
                <w:sz w:val="20"/>
              </w:rPr>
            </w:pPr>
            <w:r w:rsidRPr="0050604A">
              <w:rPr>
                <w:rFonts w:ascii="Arial Narrow" w:hAnsi="Arial Narrow"/>
                <w:bCs/>
                <w:sz w:val="20"/>
              </w:rPr>
              <w:t>$3,157.43</w:t>
            </w:r>
          </w:p>
          <w:p w:rsidR="0078581C" w:rsidRPr="00591957" w:rsidRDefault="0078581C" w:rsidP="0078581C">
            <w:pPr>
              <w:keepNext/>
              <w:jc w:val="center"/>
              <w:rPr>
                <w:rFonts w:ascii="Arial Narrow" w:hAnsi="Arial Narrow"/>
                <w:sz w:val="20"/>
              </w:rPr>
            </w:pPr>
            <w:r w:rsidRPr="0050604A">
              <w:rPr>
                <w:rFonts w:ascii="Arial Narrow" w:hAnsi="Arial Narrow"/>
                <w:sz w:val="20"/>
              </w:rPr>
              <w:t>($3,240.20)</w:t>
            </w:r>
          </w:p>
        </w:tc>
        <w:tc>
          <w:tcPr>
            <w:tcW w:w="388" w:type="pct"/>
            <w:tcBorders>
              <w:top w:val="single" w:sz="4" w:space="0" w:color="auto"/>
            </w:tcBorders>
            <w:vAlign w:val="center"/>
          </w:tcPr>
          <w:p w:rsidR="0078581C" w:rsidRPr="00591957" w:rsidRDefault="0078581C" w:rsidP="0078581C">
            <w:pPr>
              <w:keepNext/>
              <w:jc w:val="center"/>
              <w:rPr>
                <w:rFonts w:ascii="Arial Narrow" w:hAnsi="Arial Narrow"/>
                <w:sz w:val="20"/>
              </w:rPr>
            </w:pPr>
            <w:r w:rsidRPr="0050604A">
              <w:rPr>
                <w:rFonts w:ascii="Arial Narrow" w:hAnsi="Arial Narrow"/>
                <w:bCs/>
                <w:sz w:val="20"/>
              </w:rPr>
              <w:t>Perjeta®</w:t>
            </w:r>
          </w:p>
        </w:tc>
        <w:tc>
          <w:tcPr>
            <w:tcW w:w="828" w:type="pct"/>
            <w:tcBorders>
              <w:top w:val="single" w:sz="4" w:space="0" w:color="auto"/>
            </w:tcBorders>
            <w:vAlign w:val="center"/>
          </w:tcPr>
          <w:p w:rsidR="0078581C" w:rsidRPr="00591957" w:rsidRDefault="0078581C" w:rsidP="0078581C">
            <w:pPr>
              <w:keepNext/>
              <w:jc w:val="center"/>
              <w:rPr>
                <w:rFonts w:ascii="Arial Narrow" w:hAnsi="Arial Narrow"/>
                <w:sz w:val="20"/>
              </w:rPr>
            </w:pPr>
            <w:r w:rsidRPr="0050604A">
              <w:rPr>
                <w:rFonts w:ascii="Arial Narrow" w:hAnsi="Arial Narrow"/>
                <w:sz w:val="20"/>
              </w:rPr>
              <w:t>Roche Products Pty Ltd</w:t>
            </w:r>
          </w:p>
        </w:tc>
      </w:tr>
    </w:tbl>
    <w:p w:rsidR="00F70833" w:rsidRDefault="00F70833" w:rsidP="0066147F">
      <w:pPr>
        <w:pStyle w:val="2-SectionHeading"/>
        <w:numPr>
          <w:ilvl w:val="0"/>
          <w:numId w:val="0"/>
        </w:numPr>
        <w:spacing w:before="0" w:after="0"/>
        <w:ind w:left="720" w:hanging="720"/>
        <w:outlineLvl w:val="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1D5AC4" w:rsidRPr="0078581C" w:rsidTr="0091419F">
        <w:tc>
          <w:tcPr>
            <w:tcW w:w="5000" w:type="pct"/>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cstheme="minorHAnsi"/>
                <w:b/>
                <w:bCs/>
                <w:color w:val="000000" w:themeColor="text1"/>
                <w:sz w:val="20"/>
                <w:szCs w:val="20"/>
              </w:rPr>
              <w:t>Category/Program:</w:t>
            </w:r>
            <w:r w:rsidRPr="0078581C">
              <w:rPr>
                <w:rFonts w:ascii="Arial Narrow" w:hAnsi="Arial Narrow" w:cstheme="minorHAnsi"/>
                <w:bCs/>
                <w:color w:val="000000" w:themeColor="text1"/>
                <w:sz w:val="20"/>
                <w:szCs w:val="20"/>
              </w:rPr>
              <w:t xml:space="preserve">  Section 100 – Efficient Funding of Chemotherapy; Public/Private Hospital</w:t>
            </w:r>
          </w:p>
        </w:tc>
      </w:tr>
      <w:tr w:rsidR="001D5AC4" w:rsidRPr="0078581C" w:rsidTr="0091419F">
        <w:tc>
          <w:tcPr>
            <w:tcW w:w="5000" w:type="pct"/>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cstheme="minorHAnsi"/>
                <w:b/>
                <w:color w:val="000000" w:themeColor="text1"/>
                <w:sz w:val="20"/>
                <w:szCs w:val="20"/>
              </w:rPr>
              <w:t>Prescriber type:</w:t>
            </w:r>
            <w:r w:rsidR="005E0C61">
              <w:rPr>
                <w:rFonts w:ascii="Arial Narrow" w:hAnsi="Arial Narrow" w:cstheme="minorHAnsi"/>
                <w:b/>
                <w:color w:val="000000" w:themeColor="text1"/>
                <w:sz w:val="20"/>
                <w:szCs w:val="20"/>
              </w:rPr>
              <w:t xml:space="preserve">  </w:t>
            </w:r>
            <w:r w:rsidRPr="0078581C">
              <w:rPr>
                <w:rFonts w:ascii="Arial Narrow" w:hAnsi="Arial Narrow" w:cstheme="minorHAnsi"/>
                <w:b/>
                <w:color w:val="000000" w:themeColor="text1"/>
                <w:sz w:val="20"/>
                <w:szCs w:val="20"/>
              </w:rPr>
              <w:t xml:space="preserve"> </w:t>
            </w:r>
            <w:r w:rsidRPr="0078581C">
              <w:rPr>
                <w:rFonts w:ascii="Arial Narrow" w:hAnsi="Arial Narrow" w:cstheme="minorHAnsi"/>
                <w:color w:val="000000" w:themeColor="text1"/>
                <w:sz w:val="20"/>
                <w:szCs w:val="20"/>
              </w:rPr>
              <w:fldChar w:fldCharType="begin">
                <w:ffData>
                  <w:name w:val="Check1"/>
                  <w:enabled/>
                  <w:calcOnExit w:val="0"/>
                  <w:checkBox>
                    <w:sizeAuto/>
                    <w:default w:val="0"/>
                  </w:checkBox>
                </w:ffData>
              </w:fldChar>
            </w:r>
            <w:r w:rsidRPr="0078581C">
              <w:rPr>
                <w:rFonts w:ascii="Arial Narrow" w:hAnsi="Arial Narrow" w:cstheme="minorHAnsi"/>
                <w:color w:val="000000" w:themeColor="text1"/>
                <w:sz w:val="20"/>
                <w:szCs w:val="20"/>
              </w:rPr>
              <w:instrText xml:space="preserve"> FORMCHECKBOX </w:instrText>
            </w:r>
            <w:r w:rsidR="00F4482D">
              <w:rPr>
                <w:rFonts w:ascii="Arial Narrow" w:hAnsi="Arial Narrow" w:cstheme="minorHAnsi"/>
                <w:color w:val="000000" w:themeColor="text1"/>
                <w:sz w:val="20"/>
                <w:szCs w:val="20"/>
              </w:rPr>
            </w:r>
            <w:r w:rsidR="00F4482D">
              <w:rPr>
                <w:rFonts w:ascii="Arial Narrow" w:hAnsi="Arial Narrow" w:cstheme="minorHAnsi"/>
                <w:color w:val="000000" w:themeColor="text1"/>
                <w:sz w:val="20"/>
                <w:szCs w:val="20"/>
              </w:rPr>
              <w:fldChar w:fldCharType="separate"/>
            </w:r>
            <w:r w:rsidRPr="0078581C">
              <w:rPr>
                <w:rFonts w:ascii="Arial Narrow" w:hAnsi="Arial Narrow" w:cstheme="minorHAnsi"/>
                <w:color w:val="000000" w:themeColor="text1"/>
                <w:sz w:val="20"/>
                <w:szCs w:val="20"/>
              </w:rPr>
              <w:fldChar w:fldCharType="end"/>
            </w:r>
            <w:r w:rsidRPr="0078581C">
              <w:rPr>
                <w:rFonts w:ascii="Arial Narrow" w:hAnsi="Arial Narrow" w:cstheme="minorHAnsi"/>
                <w:color w:val="000000" w:themeColor="text1"/>
                <w:sz w:val="20"/>
                <w:szCs w:val="20"/>
              </w:rPr>
              <w:t xml:space="preserve"> Dental</w:t>
            </w:r>
            <w:r w:rsidR="005E0C61">
              <w:rPr>
                <w:rFonts w:ascii="Arial Narrow" w:hAnsi="Arial Narrow" w:cstheme="minorHAnsi"/>
                <w:color w:val="000000" w:themeColor="text1"/>
                <w:sz w:val="20"/>
                <w:szCs w:val="20"/>
              </w:rPr>
              <w:t xml:space="preserve"> </w:t>
            </w:r>
            <w:r w:rsidRPr="0078581C">
              <w:rPr>
                <w:rFonts w:ascii="Arial Narrow" w:hAnsi="Arial Narrow" w:cstheme="minorHAnsi"/>
                <w:color w:val="000000" w:themeColor="text1"/>
                <w:sz w:val="20"/>
                <w:szCs w:val="20"/>
              </w:rPr>
              <w:t xml:space="preserve"> </w:t>
            </w:r>
            <w:r w:rsidRPr="0078581C">
              <w:rPr>
                <w:rFonts w:ascii="Arial Narrow" w:hAnsi="Arial Narrow" w:cstheme="minorHAnsi"/>
                <w:color w:val="000000" w:themeColor="text1"/>
                <w:sz w:val="20"/>
                <w:szCs w:val="20"/>
              </w:rPr>
              <w:fldChar w:fldCharType="begin">
                <w:ffData>
                  <w:name w:val=""/>
                  <w:enabled/>
                  <w:calcOnExit w:val="0"/>
                  <w:checkBox>
                    <w:sizeAuto/>
                    <w:default w:val="1"/>
                  </w:checkBox>
                </w:ffData>
              </w:fldChar>
            </w:r>
            <w:r w:rsidRPr="0078581C">
              <w:rPr>
                <w:rFonts w:ascii="Arial Narrow" w:hAnsi="Arial Narrow" w:cstheme="minorHAnsi"/>
                <w:color w:val="000000" w:themeColor="text1"/>
                <w:sz w:val="20"/>
                <w:szCs w:val="20"/>
              </w:rPr>
              <w:instrText xml:space="preserve"> FORMCHECKBOX </w:instrText>
            </w:r>
            <w:r w:rsidR="00F4482D">
              <w:rPr>
                <w:rFonts w:ascii="Arial Narrow" w:hAnsi="Arial Narrow" w:cstheme="minorHAnsi"/>
                <w:color w:val="000000" w:themeColor="text1"/>
                <w:sz w:val="20"/>
                <w:szCs w:val="20"/>
              </w:rPr>
            </w:r>
            <w:r w:rsidR="00F4482D">
              <w:rPr>
                <w:rFonts w:ascii="Arial Narrow" w:hAnsi="Arial Narrow" w:cstheme="minorHAnsi"/>
                <w:color w:val="000000" w:themeColor="text1"/>
                <w:sz w:val="20"/>
                <w:szCs w:val="20"/>
              </w:rPr>
              <w:fldChar w:fldCharType="separate"/>
            </w:r>
            <w:r w:rsidRPr="0078581C">
              <w:rPr>
                <w:rFonts w:ascii="Arial Narrow" w:hAnsi="Arial Narrow" w:cstheme="minorHAnsi"/>
                <w:color w:val="000000" w:themeColor="text1"/>
                <w:sz w:val="20"/>
                <w:szCs w:val="20"/>
              </w:rPr>
              <w:fldChar w:fldCharType="end"/>
            </w:r>
            <w:r w:rsidRPr="0078581C">
              <w:rPr>
                <w:rFonts w:ascii="Arial Narrow" w:hAnsi="Arial Narrow" w:cstheme="minorHAnsi"/>
                <w:color w:val="000000" w:themeColor="text1"/>
                <w:sz w:val="20"/>
                <w:szCs w:val="20"/>
              </w:rPr>
              <w:t xml:space="preserve"> Medical Practitioners  </w:t>
            </w:r>
            <w:r w:rsidRPr="0078581C">
              <w:rPr>
                <w:rFonts w:ascii="Arial Narrow" w:hAnsi="Arial Narrow" w:cstheme="minorHAnsi"/>
                <w:color w:val="000000" w:themeColor="text1"/>
                <w:sz w:val="20"/>
                <w:szCs w:val="20"/>
              </w:rPr>
              <w:fldChar w:fldCharType="begin">
                <w:ffData>
                  <w:name w:val="Check3"/>
                  <w:enabled/>
                  <w:calcOnExit w:val="0"/>
                  <w:checkBox>
                    <w:sizeAuto/>
                    <w:default w:val="0"/>
                  </w:checkBox>
                </w:ffData>
              </w:fldChar>
            </w:r>
            <w:r w:rsidRPr="0078581C">
              <w:rPr>
                <w:rFonts w:ascii="Arial Narrow" w:hAnsi="Arial Narrow" w:cstheme="minorHAnsi"/>
                <w:color w:val="000000" w:themeColor="text1"/>
                <w:sz w:val="20"/>
                <w:szCs w:val="20"/>
              </w:rPr>
              <w:instrText xml:space="preserve"> FORMCHECKBOX </w:instrText>
            </w:r>
            <w:r w:rsidR="00F4482D">
              <w:rPr>
                <w:rFonts w:ascii="Arial Narrow" w:hAnsi="Arial Narrow" w:cstheme="minorHAnsi"/>
                <w:color w:val="000000" w:themeColor="text1"/>
                <w:sz w:val="20"/>
                <w:szCs w:val="20"/>
              </w:rPr>
            </w:r>
            <w:r w:rsidR="00F4482D">
              <w:rPr>
                <w:rFonts w:ascii="Arial Narrow" w:hAnsi="Arial Narrow" w:cstheme="minorHAnsi"/>
                <w:color w:val="000000" w:themeColor="text1"/>
                <w:sz w:val="20"/>
                <w:szCs w:val="20"/>
              </w:rPr>
              <w:fldChar w:fldCharType="separate"/>
            </w:r>
            <w:r w:rsidRPr="0078581C">
              <w:rPr>
                <w:rFonts w:ascii="Arial Narrow" w:hAnsi="Arial Narrow" w:cstheme="minorHAnsi"/>
                <w:color w:val="000000" w:themeColor="text1"/>
                <w:sz w:val="20"/>
                <w:szCs w:val="20"/>
              </w:rPr>
              <w:fldChar w:fldCharType="end"/>
            </w:r>
            <w:r w:rsidRPr="0078581C">
              <w:rPr>
                <w:rFonts w:ascii="Arial Narrow" w:hAnsi="Arial Narrow" w:cstheme="minorHAnsi"/>
                <w:color w:val="000000" w:themeColor="text1"/>
                <w:sz w:val="20"/>
                <w:szCs w:val="20"/>
              </w:rPr>
              <w:t xml:space="preserve"> Nurse practitioners  </w:t>
            </w:r>
            <w:r w:rsidRPr="0078581C">
              <w:rPr>
                <w:rFonts w:ascii="Arial Narrow" w:hAnsi="Arial Narrow" w:cstheme="minorHAnsi"/>
                <w:color w:val="000000" w:themeColor="text1"/>
                <w:sz w:val="20"/>
                <w:szCs w:val="20"/>
              </w:rPr>
              <w:fldChar w:fldCharType="begin">
                <w:ffData>
                  <w:name w:val=""/>
                  <w:enabled/>
                  <w:calcOnExit w:val="0"/>
                  <w:checkBox>
                    <w:sizeAuto/>
                    <w:default w:val="0"/>
                  </w:checkBox>
                </w:ffData>
              </w:fldChar>
            </w:r>
            <w:r w:rsidRPr="0078581C">
              <w:rPr>
                <w:rFonts w:ascii="Arial Narrow" w:hAnsi="Arial Narrow" w:cstheme="minorHAnsi"/>
                <w:color w:val="000000" w:themeColor="text1"/>
                <w:sz w:val="20"/>
                <w:szCs w:val="20"/>
              </w:rPr>
              <w:instrText xml:space="preserve"> FORMCHECKBOX </w:instrText>
            </w:r>
            <w:r w:rsidR="00F4482D">
              <w:rPr>
                <w:rFonts w:ascii="Arial Narrow" w:hAnsi="Arial Narrow" w:cstheme="minorHAnsi"/>
                <w:color w:val="000000" w:themeColor="text1"/>
                <w:sz w:val="20"/>
                <w:szCs w:val="20"/>
              </w:rPr>
            </w:r>
            <w:r w:rsidR="00F4482D">
              <w:rPr>
                <w:rFonts w:ascii="Arial Narrow" w:hAnsi="Arial Narrow" w:cstheme="minorHAnsi"/>
                <w:color w:val="000000" w:themeColor="text1"/>
                <w:sz w:val="20"/>
                <w:szCs w:val="20"/>
              </w:rPr>
              <w:fldChar w:fldCharType="separate"/>
            </w:r>
            <w:r w:rsidRPr="0078581C">
              <w:rPr>
                <w:rFonts w:ascii="Arial Narrow" w:hAnsi="Arial Narrow" w:cstheme="minorHAnsi"/>
                <w:color w:val="000000" w:themeColor="text1"/>
                <w:sz w:val="20"/>
                <w:szCs w:val="20"/>
              </w:rPr>
              <w:fldChar w:fldCharType="end"/>
            </w:r>
            <w:r w:rsidRPr="0078581C">
              <w:rPr>
                <w:rFonts w:ascii="Arial Narrow" w:hAnsi="Arial Narrow" w:cstheme="minorHAnsi"/>
                <w:color w:val="000000" w:themeColor="text1"/>
                <w:sz w:val="20"/>
                <w:szCs w:val="20"/>
              </w:rPr>
              <w:t xml:space="preserve"> Optometrists  </w:t>
            </w:r>
            <w:r w:rsidRPr="0078581C">
              <w:rPr>
                <w:rFonts w:ascii="Arial Narrow" w:hAnsi="Arial Narrow" w:cstheme="minorHAnsi"/>
                <w:color w:val="000000" w:themeColor="text1"/>
                <w:sz w:val="20"/>
                <w:szCs w:val="20"/>
              </w:rPr>
              <w:fldChar w:fldCharType="begin">
                <w:ffData>
                  <w:name w:val="Check5"/>
                  <w:enabled/>
                  <w:calcOnExit w:val="0"/>
                  <w:checkBox>
                    <w:sizeAuto/>
                    <w:default w:val="0"/>
                  </w:checkBox>
                </w:ffData>
              </w:fldChar>
            </w:r>
            <w:r w:rsidRPr="0078581C">
              <w:rPr>
                <w:rFonts w:ascii="Arial Narrow" w:hAnsi="Arial Narrow" w:cstheme="minorHAnsi"/>
                <w:color w:val="000000" w:themeColor="text1"/>
                <w:sz w:val="20"/>
                <w:szCs w:val="20"/>
              </w:rPr>
              <w:instrText xml:space="preserve"> FORMCHECKBOX </w:instrText>
            </w:r>
            <w:r w:rsidR="00F4482D">
              <w:rPr>
                <w:rFonts w:ascii="Arial Narrow" w:hAnsi="Arial Narrow" w:cstheme="minorHAnsi"/>
                <w:color w:val="000000" w:themeColor="text1"/>
                <w:sz w:val="20"/>
                <w:szCs w:val="20"/>
              </w:rPr>
            </w:r>
            <w:r w:rsidR="00F4482D">
              <w:rPr>
                <w:rFonts w:ascii="Arial Narrow" w:hAnsi="Arial Narrow" w:cstheme="minorHAnsi"/>
                <w:color w:val="000000" w:themeColor="text1"/>
                <w:sz w:val="20"/>
                <w:szCs w:val="20"/>
              </w:rPr>
              <w:fldChar w:fldCharType="separate"/>
            </w:r>
            <w:r w:rsidRPr="0078581C">
              <w:rPr>
                <w:rFonts w:ascii="Arial Narrow" w:hAnsi="Arial Narrow" w:cstheme="minorHAnsi"/>
                <w:color w:val="000000" w:themeColor="text1"/>
                <w:sz w:val="20"/>
                <w:szCs w:val="20"/>
              </w:rPr>
              <w:fldChar w:fldCharType="end"/>
            </w:r>
            <w:r w:rsidRPr="0078581C">
              <w:rPr>
                <w:rFonts w:ascii="Arial Narrow" w:hAnsi="Arial Narrow" w:cstheme="minorHAnsi"/>
                <w:color w:val="000000" w:themeColor="text1"/>
                <w:sz w:val="20"/>
                <w:szCs w:val="20"/>
              </w:rPr>
              <w:t xml:space="preserve"> Midwives</w:t>
            </w:r>
          </w:p>
        </w:tc>
      </w:tr>
      <w:tr w:rsidR="001D5AC4" w:rsidRPr="0078581C" w:rsidTr="0091419F">
        <w:tc>
          <w:tcPr>
            <w:tcW w:w="5000" w:type="pct"/>
          </w:tcPr>
          <w:p w:rsidR="001D5AC4" w:rsidRPr="00500614" w:rsidRDefault="001D5AC4" w:rsidP="0091419F">
            <w:pPr>
              <w:rPr>
                <w:rFonts w:ascii="Arial Narrow" w:hAnsi="Arial Narrow"/>
                <w:color w:val="000000" w:themeColor="text1"/>
                <w:sz w:val="20"/>
                <w:szCs w:val="20"/>
              </w:rPr>
            </w:pPr>
            <w:r w:rsidRPr="0078581C">
              <w:rPr>
                <w:rFonts w:ascii="Arial Narrow" w:hAnsi="Arial Narrow"/>
                <w:b/>
                <w:color w:val="000000" w:themeColor="text1"/>
                <w:sz w:val="20"/>
                <w:szCs w:val="20"/>
              </w:rPr>
              <w:t>Restriction Level / Method:</w:t>
            </w:r>
            <w:r>
              <w:rPr>
                <w:rFonts w:ascii="Arial Narrow" w:hAnsi="Arial Narrow"/>
                <w:color w:val="000000" w:themeColor="text1"/>
                <w:sz w:val="20"/>
                <w:szCs w:val="20"/>
              </w:rPr>
              <w:t xml:space="preserve"> </w:t>
            </w:r>
            <w:r w:rsidRPr="0078581C">
              <w:rPr>
                <w:rFonts w:ascii="Arial Narrow" w:hAnsi="Arial Narrow"/>
                <w:color w:val="000000" w:themeColor="text1"/>
                <w:sz w:val="20"/>
                <w:szCs w:val="20"/>
              </w:rPr>
              <w:fldChar w:fldCharType="begin">
                <w:ffData>
                  <w:name w:val=""/>
                  <w:enabled/>
                  <w:calcOnExit w:val="0"/>
                  <w:checkBox>
                    <w:sizeAuto/>
                    <w:default w:val="1"/>
                  </w:checkBox>
                </w:ffData>
              </w:fldChar>
            </w:r>
            <w:r w:rsidRPr="0078581C">
              <w:rPr>
                <w:rFonts w:ascii="Arial Narrow" w:hAnsi="Arial Narrow"/>
                <w:color w:val="000000" w:themeColor="text1"/>
                <w:sz w:val="20"/>
                <w:szCs w:val="20"/>
              </w:rPr>
              <w:instrText xml:space="preserve"> FORMCHECKBOX </w:instrText>
            </w:r>
            <w:r w:rsidR="00F4482D">
              <w:rPr>
                <w:rFonts w:ascii="Arial Narrow" w:hAnsi="Arial Narrow"/>
                <w:color w:val="000000" w:themeColor="text1"/>
                <w:sz w:val="20"/>
                <w:szCs w:val="20"/>
              </w:rPr>
            </w:r>
            <w:r w:rsidR="00F4482D">
              <w:rPr>
                <w:rFonts w:ascii="Arial Narrow" w:hAnsi="Arial Narrow"/>
                <w:color w:val="000000" w:themeColor="text1"/>
                <w:sz w:val="20"/>
                <w:szCs w:val="20"/>
              </w:rPr>
              <w:fldChar w:fldCharType="separate"/>
            </w:r>
            <w:r w:rsidRPr="0078581C">
              <w:rPr>
                <w:rFonts w:ascii="Arial Narrow" w:hAnsi="Arial Narrow"/>
                <w:color w:val="000000" w:themeColor="text1"/>
                <w:sz w:val="20"/>
                <w:szCs w:val="20"/>
              </w:rPr>
              <w:fldChar w:fldCharType="end"/>
            </w:r>
            <w:r>
              <w:rPr>
                <w:rFonts w:ascii="Arial Narrow" w:hAnsi="Arial Narrow"/>
                <w:color w:val="000000" w:themeColor="text1"/>
                <w:sz w:val="20"/>
                <w:szCs w:val="20"/>
              </w:rPr>
              <w:t xml:space="preserve"> </w:t>
            </w:r>
            <w:r w:rsidRPr="0078581C">
              <w:rPr>
                <w:rFonts w:ascii="Arial Narrow" w:hAnsi="Arial Narrow"/>
                <w:color w:val="000000" w:themeColor="text1"/>
                <w:sz w:val="20"/>
                <w:szCs w:val="20"/>
              </w:rPr>
              <w:t>Authority Required – Telephone/Emergency/Electronic</w:t>
            </w:r>
          </w:p>
        </w:tc>
      </w:tr>
      <w:tr w:rsidR="001D5AC4" w:rsidRPr="0078581C" w:rsidTr="0091419F">
        <w:tc>
          <w:tcPr>
            <w:tcW w:w="5000" w:type="pct"/>
            <w:vAlign w:val="center"/>
          </w:tcPr>
          <w:p w:rsidR="001D5AC4" w:rsidRPr="00251958" w:rsidRDefault="001D5AC4" w:rsidP="0091419F">
            <w:pPr>
              <w:rPr>
                <w:rFonts w:ascii="Arial Narrow" w:hAnsi="Arial Narrow"/>
                <w:b/>
                <w:bCs/>
                <w:color w:val="000000" w:themeColor="text1"/>
                <w:sz w:val="20"/>
                <w:szCs w:val="20"/>
              </w:rPr>
            </w:pPr>
            <w:r w:rsidRPr="0078581C">
              <w:rPr>
                <w:rFonts w:ascii="Arial Narrow" w:hAnsi="Arial Narrow"/>
                <w:b/>
                <w:bCs/>
                <w:color w:val="000000" w:themeColor="text1"/>
                <w:sz w:val="20"/>
                <w:szCs w:val="20"/>
              </w:rPr>
              <w:lastRenderedPageBreak/>
              <w:t>Episodicity:</w:t>
            </w:r>
            <w:r>
              <w:rPr>
                <w:rFonts w:ascii="Arial Narrow" w:hAnsi="Arial Narrow"/>
                <w:b/>
                <w:bCs/>
                <w:color w:val="000000" w:themeColor="text1"/>
                <w:sz w:val="20"/>
                <w:szCs w:val="20"/>
              </w:rPr>
              <w:t xml:space="preserve"> </w:t>
            </w:r>
            <w:r w:rsidRPr="0078581C">
              <w:rPr>
                <w:rFonts w:ascii="Arial Narrow" w:hAnsi="Arial Narrow" w:cstheme="minorHAnsi"/>
                <w:strike/>
                <w:color w:val="000000" w:themeColor="text1"/>
                <w:sz w:val="20"/>
                <w:szCs w:val="20"/>
              </w:rPr>
              <w:t>Neoadjuvant treatment</w:t>
            </w:r>
          </w:p>
        </w:tc>
      </w:tr>
      <w:tr w:rsidR="001D5AC4" w:rsidRPr="0078581C" w:rsidTr="0091419F">
        <w:tc>
          <w:tcPr>
            <w:tcW w:w="5000" w:type="pct"/>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b/>
                <w:bCs/>
                <w:color w:val="000000" w:themeColor="text1"/>
                <w:sz w:val="20"/>
                <w:szCs w:val="20"/>
              </w:rPr>
              <w:t>Condition:</w:t>
            </w:r>
            <w:r>
              <w:rPr>
                <w:rFonts w:ascii="Arial Narrow" w:hAnsi="Arial Narrow"/>
                <w:b/>
                <w:bCs/>
                <w:color w:val="000000" w:themeColor="text1"/>
                <w:sz w:val="20"/>
                <w:szCs w:val="20"/>
              </w:rPr>
              <w:t xml:space="preserve"> </w:t>
            </w:r>
            <w:r w:rsidRPr="0078581C">
              <w:rPr>
                <w:rFonts w:ascii="Arial Narrow" w:hAnsi="Arial Narrow" w:cstheme="minorHAnsi"/>
                <w:strike/>
                <w:color w:val="000000" w:themeColor="text1"/>
                <w:sz w:val="20"/>
                <w:szCs w:val="20"/>
              </w:rPr>
              <w:t>HER2 positive early breast cancer</w:t>
            </w:r>
          </w:p>
        </w:tc>
      </w:tr>
      <w:tr w:rsidR="001D5AC4" w:rsidRPr="0078581C" w:rsidTr="0091419F">
        <w:tc>
          <w:tcPr>
            <w:tcW w:w="5000" w:type="pct"/>
            <w:vAlign w:val="center"/>
            <w:hideMark/>
          </w:tcPr>
          <w:p w:rsidR="001D5AC4" w:rsidRPr="0078581C" w:rsidRDefault="001D5AC4" w:rsidP="0091419F">
            <w:pPr>
              <w:rPr>
                <w:rFonts w:ascii="Arial Narrow" w:hAnsi="Arial Narrow"/>
                <w:color w:val="000000" w:themeColor="text1"/>
                <w:sz w:val="20"/>
                <w:szCs w:val="20"/>
              </w:rPr>
            </w:pPr>
            <w:r w:rsidRPr="0078581C">
              <w:rPr>
                <w:rFonts w:ascii="Arial Narrow" w:hAnsi="Arial Narrow"/>
                <w:b/>
                <w:bCs/>
                <w:color w:val="000000" w:themeColor="text1"/>
                <w:sz w:val="20"/>
                <w:szCs w:val="20"/>
              </w:rPr>
              <w:t>Indication:</w:t>
            </w:r>
            <w:r>
              <w:rPr>
                <w:rFonts w:ascii="Arial Narrow" w:hAnsi="Arial Narrow"/>
                <w:color w:val="000000" w:themeColor="text1"/>
                <w:sz w:val="20"/>
                <w:szCs w:val="20"/>
              </w:rPr>
              <w:t xml:space="preserve"> </w:t>
            </w:r>
            <w:r w:rsidRPr="0078581C">
              <w:rPr>
                <w:rFonts w:ascii="Arial Narrow" w:hAnsi="Arial Narrow" w:cstheme="minorHAnsi"/>
                <w:i/>
                <w:snapToGrid w:val="0"/>
                <w:color w:val="000000" w:themeColor="text1"/>
                <w:sz w:val="20"/>
                <w:szCs w:val="20"/>
              </w:rPr>
              <w:t>Early HER2 positive breast cancer</w:t>
            </w:r>
          </w:p>
        </w:tc>
      </w:tr>
      <w:tr w:rsidR="001D5AC4" w:rsidRPr="0078581C" w:rsidTr="0091419F">
        <w:tc>
          <w:tcPr>
            <w:tcW w:w="5000" w:type="pct"/>
            <w:tcBorders>
              <w:bottom w:val="single" w:sz="4" w:space="0" w:color="auto"/>
            </w:tcBorders>
            <w:vAlign w:val="center"/>
            <w:hideMark/>
          </w:tcPr>
          <w:p w:rsidR="001D5AC4" w:rsidRPr="0078581C" w:rsidRDefault="001D5AC4" w:rsidP="0091419F">
            <w:pPr>
              <w:rPr>
                <w:rFonts w:ascii="Arial Narrow" w:hAnsi="Arial Narrow"/>
                <w:color w:val="000000" w:themeColor="text1"/>
                <w:sz w:val="20"/>
                <w:szCs w:val="20"/>
              </w:rPr>
            </w:pPr>
            <w:r w:rsidRPr="0078581C">
              <w:rPr>
                <w:rFonts w:ascii="Arial Narrow" w:hAnsi="Arial Narrow"/>
                <w:b/>
                <w:bCs/>
                <w:color w:val="000000" w:themeColor="text1"/>
                <w:sz w:val="20"/>
                <w:szCs w:val="20"/>
              </w:rPr>
              <w:t>Treatment Phase:</w:t>
            </w:r>
            <w:r>
              <w:rPr>
                <w:rFonts w:ascii="Arial Narrow" w:hAnsi="Arial Narrow"/>
                <w:color w:val="000000" w:themeColor="text1"/>
                <w:sz w:val="20"/>
                <w:szCs w:val="20"/>
              </w:rPr>
              <w:t xml:space="preserve"> </w:t>
            </w:r>
            <w:r w:rsidRPr="0078581C">
              <w:rPr>
                <w:rFonts w:ascii="Arial Narrow" w:hAnsi="Arial Narrow"/>
                <w:color w:val="000000" w:themeColor="text1"/>
                <w:sz w:val="20"/>
                <w:szCs w:val="20"/>
              </w:rPr>
              <w:t xml:space="preserve">Continuing treatment </w:t>
            </w:r>
            <w:r w:rsidRPr="0078581C">
              <w:rPr>
                <w:rFonts w:ascii="Arial Narrow" w:hAnsi="Arial Narrow"/>
                <w:i/>
                <w:color w:val="000000" w:themeColor="text1"/>
                <w:sz w:val="20"/>
                <w:szCs w:val="20"/>
              </w:rPr>
              <w:t>– neoadjuvant treatment</w:t>
            </w:r>
          </w:p>
        </w:tc>
      </w:tr>
      <w:tr w:rsidR="001D5AC4" w:rsidRPr="0078581C" w:rsidTr="0091419F">
        <w:tc>
          <w:tcPr>
            <w:tcW w:w="5000" w:type="pct"/>
            <w:tcBorders>
              <w:top w:val="single" w:sz="4" w:space="0" w:color="auto"/>
              <w:left w:val="single" w:sz="4" w:space="0" w:color="auto"/>
              <w:bottom w:val="nil"/>
              <w:right w:val="single" w:sz="4" w:space="0" w:color="auto"/>
            </w:tcBorders>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b/>
                <w:bCs/>
                <w:color w:val="000000" w:themeColor="text1"/>
                <w:sz w:val="20"/>
                <w:szCs w:val="20"/>
              </w:rPr>
              <w:t>Clinical criteria:</w:t>
            </w:r>
          </w:p>
        </w:tc>
      </w:tr>
      <w:tr w:rsidR="001D5AC4" w:rsidRPr="0078581C" w:rsidTr="0091419F">
        <w:tc>
          <w:tcPr>
            <w:tcW w:w="5000" w:type="pct"/>
            <w:tcBorders>
              <w:top w:val="nil"/>
              <w:left w:val="single" w:sz="4" w:space="0" w:color="auto"/>
              <w:bottom w:val="nil"/>
              <w:right w:val="single" w:sz="4" w:space="0" w:color="auto"/>
            </w:tcBorders>
            <w:vAlign w:val="center"/>
          </w:tcPr>
          <w:p w:rsidR="001D5AC4" w:rsidRPr="0078581C" w:rsidRDefault="001D5AC4" w:rsidP="0091419F">
            <w:pPr>
              <w:pStyle w:val="TableText0"/>
              <w:spacing w:line="264" w:lineRule="auto"/>
              <w:rPr>
                <w:rFonts w:cstheme="minorHAnsi"/>
                <w:iCs/>
                <w:color w:val="000000" w:themeColor="text1"/>
                <w:szCs w:val="20"/>
              </w:rPr>
            </w:pPr>
            <w:r w:rsidRPr="0078581C">
              <w:rPr>
                <w:rFonts w:cstheme="minorHAnsi"/>
                <w:iCs/>
                <w:color w:val="000000" w:themeColor="text1"/>
                <w:szCs w:val="20"/>
              </w:rPr>
              <w:t>Patient must have previously received PBS-subsidised treatment with this drug for this condition,</w:t>
            </w:r>
          </w:p>
        </w:tc>
      </w:tr>
      <w:tr w:rsidR="001D5AC4" w:rsidRPr="0078581C" w:rsidTr="0091419F">
        <w:tc>
          <w:tcPr>
            <w:tcW w:w="5000" w:type="pct"/>
            <w:tcBorders>
              <w:top w:val="nil"/>
              <w:left w:val="single" w:sz="4" w:space="0" w:color="auto"/>
              <w:bottom w:val="nil"/>
              <w:right w:val="single" w:sz="4" w:space="0" w:color="auto"/>
            </w:tcBorders>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b/>
                <w:bCs/>
                <w:color w:val="000000" w:themeColor="text1"/>
                <w:sz w:val="20"/>
                <w:szCs w:val="20"/>
              </w:rPr>
              <w:t>AND</w:t>
            </w:r>
          </w:p>
        </w:tc>
      </w:tr>
      <w:tr w:rsidR="001D5AC4" w:rsidRPr="0078581C" w:rsidTr="0091419F">
        <w:tc>
          <w:tcPr>
            <w:tcW w:w="5000" w:type="pct"/>
            <w:tcBorders>
              <w:top w:val="nil"/>
              <w:left w:val="single" w:sz="4" w:space="0" w:color="auto"/>
              <w:bottom w:val="nil"/>
              <w:right w:val="single" w:sz="4" w:space="0" w:color="auto"/>
            </w:tcBorders>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cstheme="minorHAnsi"/>
                <w:i/>
                <w:iCs/>
                <w:color w:val="000000" w:themeColor="text1"/>
                <w:sz w:val="20"/>
                <w:szCs w:val="20"/>
              </w:rPr>
              <w:t>Patient must not have developed disease progression while receiving PBS-subsidised treatment with this drug for this condition.</w:t>
            </w:r>
          </w:p>
        </w:tc>
      </w:tr>
      <w:tr w:rsidR="001D5AC4" w:rsidRPr="0078581C" w:rsidTr="0091419F">
        <w:tc>
          <w:tcPr>
            <w:tcW w:w="5000" w:type="pct"/>
            <w:tcBorders>
              <w:top w:val="nil"/>
              <w:left w:val="single" w:sz="4" w:space="0" w:color="auto"/>
              <w:bottom w:val="nil"/>
              <w:right w:val="single" w:sz="4" w:space="0" w:color="auto"/>
            </w:tcBorders>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b/>
                <w:bCs/>
                <w:color w:val="000000" w:themeColor="text1"/>
                <w:sz w:val="20"/>
                <w:szCs w:val="20"/>
              </w:rPr>
              <w:t>AND</w:t>
            </w:r>
          </w:p>
        </w:tc>
      </w:tr>
      <w:tr w:rsidR="001D5AC4" w:rsidRPr="0078581C" w:rsidTr="0091419F">
        <w:tc>
          <w:tcPr>
            <w:tcW w:w="5000" w:type="pct"/>
            <w:tcBorders>
              <w:top w:val="nil"/>
              <w:left w:val="single" w:sz="4" w:space="0" w:color="auto"/>
              <w:bottom w:val="nil"/>
              <w:right w:val="single" w:sz="4" w:space="0" w:color="auto"/>
            </w:tcBorders>
            <w:vAlign w:val="center"/>
          </w:tcPr>
          <w:p w:rsidR="001D5AC4" w:rsidRPr="0078581C" w:rsidRDefault="001D5AC4" w:rsidP="0091419F">
            <w:pPr>
              <w:rPr>
                <w:rFonts w:ascii="Arial Narrow" w:hAnsi="Arial Narrow"/>
                <w:bCs/>
                <w:strike/>
                <w:color w:val="000000" w:themeColor="text1"/>
                <w:sz w:val="20"/>
                <w:szCs w:val="20"/>
              </w:rPr>
            </w:pPr>
            <w:r w:rsidRPr="0078581C">
              <w:rPr>
                <w:rFonts w:ascii="Arial Narrow" w:hAnsi="Arial Narrow"/>
                <w:bCs/>
                <w:strike/>
                <w:color w:val="000000" w:themeColor="text1"/>
                <w:sz w:val="20"/>
                <w:szCs w:val="20"/>
              </w:rPr>
              <w:t>Patient must commence treatment concurrently with trastuzumab</w:t>
            </w:r>
          </w:p>
          <w:p w:rsidR="001D5AC4" w:rsidRPr="0078581C" w:rsidRDefault="001D5AC4" w:rsidP="0091419F">
            <w:pPr>
              <w:pStyle w:val="m7887592922032761919gmail-tabletext"/>
              <w:shd w:val="clear" w:color="auto" w:fill="FFFFFF"/>
              <w:spacing w:before="40" w:beforeAutospacing="0" w:after="40" w:afterAutospacing="0" w:line="264" w:lineRule="auto"/>
              <w:rPr>
                <w:rFonts w:ascii="Arial Narrow" w:hAnsi="Arial Narrow" w:cstheme="minorHAnsi"/>
                <w:color w:val="000000" w:themeColor="text1"/>
                <w:sz w:val="20"/>
                <w:szCs w:val="20"/>
              </w:rPr>
            </w:pPr>
            <w:r w:rsidRPr="0078581C">
              <w:rPr>
                <w:rFonts w:ascii="Arial Narrow" w:hAnsi="Arial Narrow"/>
                <w:color w:val="000000" w:themeColor="text1"/>
                <w:sz w:val="20"/>
                <w:szCs w:val="20"/>
              </w:rPr>
              <w:t>The treatment must be in combination with trastuzumab.</w:t>
            </w:r>
          </w:p>
        </w:tc>
      </w:tr>
      <w:tr w:rsidR="001D5AC4" w:rsidRPr="0078581C" w:rsidTr="0091419F">
        <w:tc>
          <w:tcPr>
            <w:tcW w:w="5000" w:type="pct"/>
            <w:tcBorders>
              <w:top w:val="nil"/>
              <w:left w:val="single" w:sz="4" w:space="0" w:color="auto"/>
              <w:bottom w:val="nil"/>
              <w:right w:val="single" w:sz="4" w:space="0" w:color="auto"/>
            </w:tcBorders>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b/>
                <w:bCs/>
                <w:color w:val="000000" w:themeColor="text1"/>
                <w:sz w:val="20"/>
                <w:szCs w:val="20"/>
              </w:rPr>
              <w:t>AND</w:t>
            </w:r>
          </w:p>
        </w:tc>
      </w:tr>
      <w:tr w:rsidR="001D5AC4" w:rsidRPr="0078581C" w:rsidTr="0091419F">
        <w:tc>
          <w:tcPr>
            <w:tcW w:w="5000" w:type="pct"/>
            <w:tcBorders>
              <w:top w:val="nil"/>
              <w:left w:val="single" w:sz="4" w:space="0" w:color="auto"/>
              <w:bottom w:val="nil"/>
              <w:right w:val="single" w:sz="4" w:space="0" w:color="auto"/>
            </w:tcBorders>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bCs/>
                <w:strike/>
                <w:color w:val="000000" w:themeColor="text1"/>
                <w:sz w:val="20"/>
                <w:szCs w:val="20"/>
              </w:rPr>
              <w:t>Patient must commence treatment concurrently with chemotherapy</w:t>
            </w:r>
          </w:p>
          <w:p w:rsidR="001D5AC4" w:rsidRPr="0078581C" w:rsidRDefault="001D5AC4" w:rsidP="0091419F">
            <w:pPr>
              <w:pStyle w:val="m7887592922032761919gmail-tabletext"/>
              <w:shd w:val="clear" w:color="auto" w:fill="FFFFFF"/>
              <w:spacing w:before="40" w:beforeAutospacing="0" w:after="40" w:afterAutospacing="0" w:line="264" w:lineRule="auto"/>
              <w:rPr>
                <w:rFonts w:ascii="Arial Narrow" w:hAnsi="Arial Narrow" w:cstheme="minorHAnsi"/>
                <w:color w:val="000000" w:themeColor="text1"/>
                <w:sz w:val="20"/>
                <w:szCs w:val="20"/>
              </w:rPr>
            </w:pPr>
            <w:r w:rsidRPr="0078581C">
              <w:rPr>
                <w:rFonts w:ascii="Arial Narrow" w:hAnsi="Arial Narrow"/>
                <w:color w:val="000000" w:themeColor="text1"/>
                <w:sz w:val="20"/>
                <w:szCs w:val="20"/>
              </w:rPr>
              <w:t>The treatment must be in combination with chemotherapy.</w:t>
            </w:r>
          </w:p>
        </w:tc>
      </w:tr>
      <w:tr w:rsidR="001D5AC4" w:rsidRPr="0078581C" w:rsidTr="0091419F">
        <w:tc>
          <w:tcPr>
            <w:tcW w:w="5000" w:type="pct"/>
            <w:tcBorders>
              <w:top w:val="nil"/>
              <w:left w:val="single" w:sz="4" w:space="0" w:color="auto"/>
              <w:bottom w:val="nil"/>
              <w:right w:val="single" w:sz="4" w:space="0" w:color="auto"/>
            </w:tcBorders>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b/>
                <w:bCs/>
                <w:color w:val="000000" w:themeColor="text1"/>
                <w:sz w:val="20"/>
                <w:szCs w:val="20"/>
              </w:rPr>
              <w:t>AND</w:t>
            </w:r>
          </w:p>
        </w:tc>
      </w:tr>
      <w:tr w:rsidR="001D5AC4" w:rsidRPr="0078581C" w:rsidTr="0091419F">
        <w:tc>
          <w:tcPr>
            <w:tcW w:w="5000" w:type="pct"/>
            <w:tcBorders>
              <w:top w:val="nil"/>
              <w:left w:val="single" w:sz="4" w:space="0" w:color="auto"/>
              <w:bottom w:val="nil"/>
              <w:right w:val="single" w:sz="4" w:space="0" w:color="auto"/>
            </w:tcBorders>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color w:val="000000" w:themeColor="text1"/>
                <w:sz w:val="20"/>
                <w:szCs w:val="20"/>
              </w:rPr>
              <w:t>The treatment must not be used in a patient with a left ventricular ejection fraction (LVEF) of less than 45% and/or with symptomatic heart failure</w:t>
            </w:r>
          </w:p>
        </w:tc>
      </w:tr>
      <w:tr w:rsidR="001D5AC4" w:rsidRPr="0078581C" w:rsidTr="0091419F">
        <w:tc>
          <w:tcPr>
            <w:tcW w:w="5000" w:type="pct"/>
            <w:tcBorders>
              <w:top w:val="nil"/>
              <w:left w:val="single" w:sz="4" w:space="0" w:color="auto"/>
              <w:bottom w:val="nil"/>
              <w:right w:val="single" w:sz="4" w:space="0" w:color="auto"/>
            </w:tcBorders>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b/>
                <w:bCs/>
                <w:color w:val="000000" w:themeColor="text1"/>
                <w:sz w:val="20"/>
                <w:szCs w:val="20"/>
              </w:rPr>
              <w:t>AND</w:t>
            </w:r>
          </w:p>
        </w:tc>
      </w:tr>
      <w:tr w:rsidR="001D5AC4" w:rsidRPr="0078581C" w:rsidTr="0091419F">
        <w:tc>
          <w:tcPr>
            <w:tcW w:w="5000" w:type="pct"/>
            <w:tcBorders>
              <w:top w:val="nil"/>
              <w:left w:val="single" w:sz="4" w:space="0" w:color="auto"/>
              <w:bottom w:val="single" w:sz="4" w:space="0" w:color="auto"/>
              <w:right w:val="single" w:sz="4" w:space="0" w:color="auto"/>
            </w:tcBorders>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cstheme="minorHAnsi"/>
                <w:i/>
                <w:color w:val="000000" w:themeColor="text1"/>
                <w:sz w:val="20"/>
                <w:szCs w:val="20"/>
              </w:rPr>
              <w:t>Patient must not receive more than 5 treatment cycles under this restriction</w:t>
            </w:r>
          </w:p>
        </w:tc>
      </w:tr>
      <w:tr w:rsidR="001D5AC4" w:rsidRPr="0078581C" w:rsidTr="0091419F">
        <w:trPr>
          <w:trHeight w:val="804"/>
        </w:trPr>
        <w:tc>
          <w:tcPr>
            <w:tcW w:w="5000" w:type="pct"/>
            <w:tcBorders>
              <w:bottom w:val="nil"/>
            </w:tcBorders>
            <w:vAlign w:val="center"/>
            <w:hideMark/>
          </w:tcPr>
          <w:p w:rsidR="001D5AC4" w:rsidRPr="0078581C" w:rsidRDefault="001D5AC4" w:rsidP="0091419F">
            <w:pPr>
              <w:rPr>
                <w:rFonts w:ascii="Arial Narrow" w:hAnsi="Arial Narrow"/>
                <w:color w:val="000000" w:themeColor="text1"/>
                <w:sz w:val="20"/>
                <w:szCs w:val="20"/>
              </w:rPr>
            </w:pPr>
            <w:r w:rsidRPr="0078581C">
              <w:rPr>
                <w:rFonts w:ascii="Arial Narrow" w:hAnsi="Arial Narrow"/>
                <w:b/>
                <w:bCs/>
                <w:color w:val="000000" w:themeColor="text1"/>
                <w:sz w:val="20"/>
                <w:szCs w:val="20"/>
              </w:rPr>
              <w:t>Prescribing Instructions:</w:t>
            </w:r>
          </w:p>
          <w:p w:rsidR="001D5AC4" w:rsidRPr="0078581C" w:rsidRDefault="001D5AC4" w:rsidP="0091419F">
            <w:pPr>
              <w:rPr>
                <w:rFonts w:ascii="Arial Narrow" w:hAnsi="Arial Narrow" w:cstheme="minorHAnsi"/>
                <w:strike/>
                <w:color w:val="000000" w:themeColor="text1"/>
                <w:sz w:val="20"/>
                <w:szCs w:val="20"/>
              </w:rPr>
            </w:pPr>
            <w:r w:rsidRPr="0078581C">
              <w:rPr>
                <w:rFonts w:ascii="Arial Narrow" w:hAnsi="Arial Narrow" w:cstheme="minorHAnsi"/>
                <w:strike/>
                <w:color w:val="000000" w:themeColor="text1"/>
                <w:sz w:val="20"/>
                <w:szCs w:val="20"/>
              </w:rPr>
              <w:t>Increased maximum quantity will be authorised where a patient requires a new loading dose due to a break in therapy of more than 1 week but less than 6 weeks from the last dose.</w:t>
            </w:r>
          </w:p>
        </w:tc>
      </w:tr>
      <w:tr w:rsidR="001D5AC4" w:rsidRPr="0078581C" w:rsidTr="0091419F">
        <w:trPr>
          <w:trHeight w:val="569"/>
        </w:trPr>
        <w:tc>
          <w:tcPr>
            <w:tcW w:w="5000" w:type="pct"/>
            <w:tcBorders>
              <w:top w:val="nil"/>
              <w:bottom w:val="single" w:sz="4" w:space="0" w:color="auto"/>
            </w:tcBorders>
            <w:vAlign w:val="center"/>
          </w:tcPr>
          <w:p w:rsidR="001D5AC4" w:rsidRPr="0078581C" w:rsidRDefault="001D5AC4" w:rsidP="0091419F">
            <w:pPr>
              <w:rPr>
                <w:rFonts w:ascii="Arial Narrow" w:hAnsi="Arial Narrow"/>
                <w:b/>
                <w:bCs/>
                <w:color w:val="000000" w:themeColor="text1"/>
                <w:sz w:val="20"/>
                <w:szCs w:val="20"/>
              </w:rPr>
            </w:pPr>
            <w:r w:rsidRPr="0078581C">
              <w:rPr>
                <w:rFonts w:ascii="Arial Narrow" w:hAnsi="Arial Narrow"/>
                <w:i/>
                <w:color w:val="000000" w:themeColor="text1"/>
                <w:sz w:val="20"/>
                <w:szCs w:val="20"/>
              </w:rPr>
              <w:t>Treatment with this drug for this condition must not exceed 6 treatment cycles (18 weeks) of combined initial and continuing treatment</w:t>
            </w:r>
          </w:p>
        </w:tc>
      </w:tr>
      <w:tr w:rsidR="001D5AC4" w:rsidRPr="0078581C" w:rsidTr="0091419F">
        <w:tc>
          <w:tcPr>
            <w:tcW w:w="5000" w:type="pct"/>
            <w:tcBorders>
              <w:bottom w:val="nil"/>
            </w:tcBorders>
            <w:vAlign w:val="center"/>
            <w:hideMark/>
          </w:tcPr>
          <w:p w:rsidR="001D5AC4" w:rsidRPr="0078581C" w:rsidRDefault="001D5AC4" w:rsidP="0091419F">
            <w:pPr>
              <w:rPr>
                <w:rFonts w:ascii="Arial Narrow" w:hAnsi="Arial Narrow"/>
                <w:color w:val="000000" w:themeColor="text1"/>
                <w:sz w:val="20"/>
                <w:szCs w:val="20"/>
              </w:rPr>
            </w:pPr>
            <w:r w:rsidRPr="0078581C">
              <w:rPr>
                <w:rFonts w:ascii="Arial Narrow" w:hAnsi="Arial Narrow"/>
                <w:b/>
                <w:bCs/>
                <w:color w:val="000000" w:themeColor="text1"/>
                <w:sz w:val="20"/>
                <w:szCs w:val="20"/>
              </w:rPr>
              <w:t>Administrative Advice:</w:t>
            </w:r>
          </w:p>
          <w:p w:rsidR="001D5AC4" w:rsidRPr="0078581C" w:rsidRDefault="001D5AC4" w:rsidP="0091419F">
            <w:pPr>
              <w:rPr>
                <w:rFonts w:ascii="Arial Narrow" w:hAnsi="Arial Narrow"/>
                <w:color w:val="000000" w:themeColor="text1"/>
                <w:sz w:val="20"/>
                <w:szCs w:val="20"/>
              </w:rPr>
            </w:pPr>
            <w:r w:rsidRPr="0078581C">
              <w:rPr>
                <w:rFonts w:ascii="Arial Narrow" w:hAnsi="Arial Narrow"/>
                <w:color w:val="000000" w:themeColor="text1"/>
                <w:sz w:val="20"/>
                <w:szCs w:val="20"/>
              </w:rPr>
              <w:t xml:space="preserve">Authority applications for increased quantities/repeats (where relevant) may be made by telephone to the Department of Human Services on 1800 700 270 (hours of operation 8 a.m. to 5 p.m. EST Monday to Friday)  </w:t>
            </w:r>
          </w:p>
        </w:tc>
      </w:tr>
      <w:tr w:rsidR="001D5AC4" w:rsidRPr="0078581C" w:rsidTr="0091419F">
        <w:tc>
          <w:tcPr>
            <w:tcW w:w="5000" w:type="pct"/>
            <w:tcBorders>
              <w:top w:val="nil"/>
              <w:bottom w:val="nil"/>
            </w:tcBorders>
            <w:vAlign w:val="center"/>
            <w:hideMark/>
          </w:tcPr>
          <w:p w:rsidR="001D5AC4" w:rsidRPr="0078581C" w:rsidRDefault="001D5AC4" w:rsidP="0091419F">
            <w:pPr>
              <w:rPr>
                <w:rFonts w:ascii="Arial Narrow" w:hAnsi="Arial Narrow"/>
                <w:bCs/>
                <w:i/>
                <w:color w:val="000000" w:themeColor="text1"/>
                <w:sz w:val="20"/>
                <w:szCs w:val="20"/>
              </w:rPr>
            </w:pPr>
            <w:r w:rsidRPr="0078581C">
              <w:rPr>
                <w:rFonts w:ascii="Arial Narrow" w:hAnsi="Arial Narrow"/>
                <w:bCs/>
                <w:i/>
                <w:color w:val="000000" w:themeColor="text1"/>
                <w:sz w:val="20"/>
                <w:szCs w:val="20"/>
              </w:rPr>
              <w:t>No increase in the maximum quantity or number of units may be authorised.</w:t>
            </w:r>
          </w:p>
        </w:tc>
      </w:tr>
      <w:tr w:rsidR="001D5AC4" w:rsidRPr="0078581C" w:rsidTr="0091419F">
        <w:tc>
          <w:tcPr>
            <w:tcW w:w="5000" w:type="pct"/>
            <w:tcBorders>
              <w:top w:val="nil"/>
            </w:tcBorders>
            <w:vAlign w:val="center"/>
            <w:hideMark/>
          </w:tcPr>
          <w:p w:rsidR="001D5AC4" w:rsidRPr="0078581C" w:rsidRDefault="001D5AC4" w:rsidP="0091419F">
            <w:pPr>
              <w:rPr>
                <w:rFonts w:ascii="Arial Narrow" w:hAnsi="Arial Narrow"/>
                <w:bCs/>
                <w:i/>
                <w:color w:val="000000" w:themeColor="text1"/>
                <w:sz w:val="20"/>
                <w:szCs w:val="20"/>
              </w:rPr>
            </w:pPr>
            <w:r w:rsidRPr="0078581C">
              <w:rPr>
                <w:rFonts w:ascii="Arial Narrow" w:hAnsi="Arial Narrow"/>
                <w:bCs/>
                <w:i/>
                <w:color w:val="000000" w:themeColor="text1"/>
                <w:sz w:val="20"/>
                <w:szCs w:val="20"/>
              </w:rPr>
              <w:t>No increase in the maximum number of repeats may be authorised.</w:t>
            </w:r>
          </w:p>
        </w:tc>
      </w:tr>
    </w:tbl>
    <w:p w:rsidR="001D5AC4" w:rsidRPr="00D836DC" w:rsidRDefault="001D5AC4" w:rsidP="0066147F">
      <w:pPr>
        <w:pStyle w:val="2-SectionHeading"/>
        <w:numPr>
          <w:ilvl w:val="0"/>
          <w:numId w:val="0"/>
        </w:numPr>
        <w:spacing w:before="0" w:after="0"/>
        <w:ind w:left="720" w:hanging="720"/>
        <w:outlineLvl w:val="9"/>
        <w:rPr>
          <w:sz w:val="24"/>
          <w:szCs w:val="24"/>
        </w:rPr>
      </w:pPr>
    </w:p>
    <w:p w:rsidR="00872AAD" w:rsidRPr="006A526E" w:rsidRDefault="00872AAD" w:rsidP="000D09D2">
      <w:pPr>
        <w:pStyle w:val="3-BodyText"/>
        <w:spacing w:before="120"/>
        <w:rPr>
          <w:color w:val="0066FF"/>
        </w:rPr>
      </w:pPr>
      <w:r w:rsidRPr="006A526E">
        <w:t>The submission did not propose a special pricing arrangement.</w:t>
      </w:r>
    </w:p>
    <w:p w:rsidR="00872AAD" w:rsidRPr="006A526E" w:rsidRDefault="00872AAD" w:rsidP="00872AAD">
      <w:pPr>
        <w:pStyle w:val="3-BodyText"/>
      </w:pPr>
      <w:r w:rsidRPr="006A526E">
        <w:t>The proposed price for pertuzumab in the neoadjuvant setting is the same as the current price for pertuzumab in the metastatic setting (AEMP = $3,072.37 per 420 mg vial)</w:t>
      </w:r>
      <w:r w:rsidRPr="006A526E">
        <w:rPr>
          <w:iCs/>
        </w:rPr>
        <w:t>.</w:t>
      </w:r>
    </w:p>
    <w:p w:rsidR="00561C27" w:rsidRPr="00140FC0" w:rsidRDefault="00561C27" w:rsidP="00E319C9">
      <w:pPr>
        <w:pStyle w:val="3-BodyText"/>
      </w:pPr>
      <w:r w:rsidRPr="00140FC0">
        <w:t xml:space="preserve">There were inconsistencies </w:t>
      </w:r>
      <w:r w:rsidR="00E763E1" w:rsidRPr="00140FC0">
        <w:t>between</w:t>
      </w:r>
      <w:r w:rsidRPr="00140FC0">
        <w:t xml:space="preserve"> the </w:t>
      </w:r>
      <w:r w:rsidR="000F57E7">
        <w:t xml:space="preserve">proposed </w:t>
      </w:r>
      <w:r w:rsidRPr="00140FC0">
        <w:t xml:space="preserve">restrictions </w:t>
      </w:r>
      <w:r w:rsidR="00E763E1" w:rsidRPr="00140FC0">
        <w:t>and</w:t>
      </w:r>
      <w:r w:rsidRPr="00140FC0">
        <w:t xml:space="preserve"> the clinical evidence</w:t>
      </w:r>
      <w:r w:rsidR="00E763E1" w:rsidRPr="00140FC0">
        <w:t xml:space="preserve"> presented</w:t>
      </w:r>
      <w:r w:rsidRPr="00140FC0">
        <w:t xml:space="preserve">, including: </w:t>
      </w:r>
    </w:p>
    <w:p w:rsidR="00FA48E2" w:rsidRPr="00140FC0" w:rsidRDefault="00811CD3" w:rsidP="00F06FC1">
      <w:pPr>
        <w:pStyle w:val="3-BodyText"/>
        <w:numPr>
          <w:ilvl w:val="0"/>
          <w:numId w:val="7"/>
        </w:numPr>
        <w:ind w:left="1134" w:hanging="425"/>
      </w:pPr>
      <w:r>
        <w:t>O</w:t>
      </w:r>
      <w:r w:rsidR="00B46C76" w:rsidRPr="00140FC0">
        <w:t>nly</w:t>
      </w:r>
      <w:r w:rsidR="00FA48E2" w:rsidRPr="00140FC0">
        <w:t xml:space="preserve"> treatment naïve patients were included in the clinical trials</w:t>
      </w:r>
      <w:r w:rsidR="00B46C76" w:rsidRPr="00140FC0">
        <w:t xml:space="preserve">. While implied in the </w:t>
      </w:r>
      <w:r w:rsidR="00E177BD" w:rsidRPr="00140FC0">
        <w:t>restrictions</w:t>
      </w:r>
      <w:r w:rsidR="00B46C76" w:rsidRPr="00140FC0">
        <w:t>, the ESC considered this</w:t>
      </w:r>
      <w:r w:rsidR="00FA48E2" w:rsidRPr="00140FC0">
        <w:t xml:space="preserve"> </w:t>
      </w:r>
      <w:proofErr w:type="gramStart"/>
      <w:r w:rsidR="00FA48E2" w:rsidRPr="00140FC0">
        <w:t xml:space="preserve">should be </w:t>
      </w:r>
      <w:r w:rsidR="00B46C76" w:rsidRPr="00140FC0">
        <w:t>made</w:t>
      </w:r>
      <w:proofErr w:type="gramEnd"/>
      <w:r w:rsidR="00B46C76" w:rsidRPr="00140FC0">
        <w:t xml:space="preserve"> clear</w:t>
      </w:r>
      <w:r w:rsidR="00FA48E2" w:rsidRPr="00140FC0">
        <w:t xml:space="preserve"> in the restrictions.</w:t>
      </w:r>
    </w:p>
    <w:p w:rsidR="00561C27" w:rsidRPr="00140FC0" w:rsidRDefault="002A0DCB" w:rsidP="00F06FC1">
      <w:pPr>
        <w:pStyle w:val="3-BodyText"/>
        <w:numPr>
          <w:ilvl w:val="0"/>
          <w:numId w:val="7"/>
        </w:numPr>
        <w:ind w:left="1134" w:hanging="425"/>
      </w:pPr>
      <w:r w:rsidRPr="00140FC0">
        <w:t xml:space="preserve">The </w:t>
      </w:r>
      <w:r w:rsidR="00FC3E11">
        <w:t>proposed threshold</w:t>
      </w:r>
      <w:r w:rsidRPr="00140FC0">
        <w:t xml:space="preserve"> for left ventricular ejection fraction (LVEF) is </w:t>
      </w:r>
      <w:r w:rsidR="000F57E7" w:rsidRPr="00140FC0">
        <w:t>≥</w:t>
      </w:r>
      <w:proofErr w:type="gramStart"/>
      <w:r w:rsidRPr="00140FC0">
        <w:t>45%</w:t>
      </w:r>
      <w:proofErr w:type="gramEnd"/>
      <w:r w:rsidRPr="00140FC0">
        <w:t xml:space="preserve"> before initiating treatment with pertuzumab. </w:t>
      </w:r>
      <w:r w:rsidR="000F57E7">
        <w:t>T</w:t>
      </w:r>
      <w:r w:rsidRPr="00140FC0">
        <w:t>he included trials recruited patients with LVEF ≥</w:t>
      </w:r>
      <w:proofErr w:type="gramStart"/>
      <w:r w:rsidRPr="00140FC0">
        <w:t>55%</w:t>
      </w:r>
      <w:proofErr w:type="gramEnd"/>
      <w:r w:rsidRPr="00140FC0">
        <w:t xml:space="preserve"> at baseline. The proposed threshold of ≥</w:t>
      </w:r>
      <w:proofErr w:type="gramStart"/>
      <w:r w:rsidRPr="00140FC0">
        <w:t>45%</w:t>
      </w:r>
      <w:proofErr w:type="gramEnd"/>
      <w:r w:rsidRPr="00140FC0">
        <w:t xml:space="preserve"> is also inconsistent with the TGA Product Information which recommends a pre-treatment LVEF of ≥55% in patients with early breast cancer.</w:t>
      </w:r>
      <w:r w:rsidR="003C7B37" w:rsidRPr="00140FC0">
        <w:t xml:space="preserve"> During the previous consideration of </w:t>
      </w:r>
      <w:r w:rsidR="003C7B37" w:rsidRPr="00140FC0">
        <w:lastRenderedPageBreak/>
        <w:t>pertuzumab</w:t>
      </w:r>
      <w:r w:rsidR="000E3868" w:rsidRPr="00140FC0">
        <w:t xml:space="preserve"> for adjuvant treatment</w:t>
      </w:r>
      <w:r w:rsidR="003C7B37" w:rsidRPr="00140FC0">
        <w:t xml:space="preserve">, the ESC noted that the change in LVEF is the clinically important measure, rather than the absolute value. Further, it </w:t>
      </w:r>
      <w:proofErr w:type="gramStart"/>
      <w:r w:rsidR="003C7B37" w:rsidRPr="00140FC0">
        <w:t>was considered</w:t>
      </w:r>
      <w:proofErr w:type="gramEnd"/>
      <w:r w:rsidR="003C7B37" w:rsidRPr="00140FC0">
        <w:t xml:space="preserve"> unlikely that clinicians would treat patients with serious cardiac disease/illness with pertuzumab, noting that these patients were excluded from the APHINITY trial. The ESC</w:t>
      </w:r>
      <w:r w:rsidR="00D02BBB" w:rsidRPr="00140FC0">
        <w:t xml:space="preserve"> previously </w:t>
      </w:r>
      <w:r w:rsidR="003C7B37" w:rsidRPr="00140FC0">
        <w:t xml:space="preserve">considered that on balance, it would be </w:t>
      </w:r>
      <w:r w:rsidR="00CA1004">
        <w:t>appropriate</w:t>
      </w:r>
      <w:r w:rsidR="00CA1004" w:rsidRPr="00140FC0">
        <w:t xml:space="preserve"> </w:t>
      </w:r>
      <w:r w:rsidR="003C7B37" w:rsidRPr="00140FC0">
        <w:t xml:space="preserve">to align the LVEF criteria with the current trastuzumab listing (LVEF </w:t>
      </w:r>
      <w:r w:rsidR="00CA1004">
        <w:rPr>
          <w:rFonts w:cstheme="minorHAnsi"/>
        </w:rPr>
        <w:t>≥</w:t>
      </w:r>
      <w:r w:rsidR="003C7B37" w:rsidRPr="00140FC0">
        <w:t>45%) to allow patients to be eligible for both drugs if they are to be used concurrently (paragraph 2.3, pertuzumab, Public Summary Document, March 2019 PBAC meeting).</w:t>
      </w:r>
      <w:r w:rsidR="009C17EF" w:rsidRPr="00140FC0">
        <w:t xml:space="preserve"> The Pre-Sub-Committee Response (</w:t>
      </w:r>
      <w:r w:rsidR="00D02BBB" w:rsidRPr="00140FC0">
        <w:t>PSCR</w:t>
      </w:r>
      <w:r w:rsidR="009C17EF" w:rsidRPr="00140FC0">
        <w:t xml:space="preserve">) </w:t>
      </w:r>
      <w:r w:rsidR="000E3868" w:rsidRPr="00140FC0">
        <w:t>note</w:t>
      </w:r>
      <w:r w:rsidR="00915E49" w:rsidRPr="00140FC0">
        <w:t>d,</w:t>
      </w:r>
      <w:r w:rsidR="000E3868" w:rsidRPr="00140FC0">
        <w:t xml:space="preserve"> and </w:t>
      </w:r>
      <w:r w:rsidR="009C17EF" w:rsidRPr="00140FC0">
        <w:t>agreed with</w:t>
      </w:r>
      <w:r w:rsidR="00915E49" w:rsidRPr="00140FC0">
        <w:t>,</w:t>
      </w:r>
      <w:r w:rsidR="009C17EF" w:rsidRPr="00140FC0">
        <w:t xml:space="preserve"> the</w:t>
      </w:r>
      <w:r w:rsidR="000E3868" w:rsidRPr="00140FC0">
        <w:t>se comments</w:t>
      </w:r>
      <w:r w:rsidR="009C17EF" w:rsidRPr="00140FC0">
        <w:t>.</w:t>
      </w:r>
    </w:p>
    <w:p w:rsidR="00561C27" w:rsidRPr="00140FC0" w:rsidRDefault="001C0A78" w:rsidP="00F06FC1">
      <w:pPr>
        <w:pStyle w:val="3-BodyText"/>
        <w:numPr>
          <w:ilvl w:val="0"/>
          <w:numId w:val="7"/>
        </w:numPr>
        <w:ind w:left="1134" w:hanging="425"/>
      </w:pPr>
      <w:r w:rsidRPr="00140FC0">
        <w:t>T</w:t>
      </w:r>
      <w:r w:rsidR="00417300" w:rsidRPr="00140FC0">
        <w:t xml:space="preserve">he restriction </w:t>
      </w:r>
      <w:proofErr w:type="gramStart"/>
      <w:r w:rsidR="00417300" w:rsidRPr="00140FC0">
        <w:t>is based</w:t>
      </w:r>
      <w:proofErr w:type="gramEnd"/>
      <w:r w:rsidR="00417300" w:rsidRPr="00140FC0">
        <w:t xml:space="preserve"> on six cycles of pertuzumab, whereas the trials that measured comparative effectiveness, NEOSPHERE and PEONY, used only four cycles. </w:t>
      </w:r>
    </w:p>
    <w:p w:rsidR="003C7B37" w:rsidRPr="00140FC0" w:rsidRDefault="001C0A78" w:rsidP="00F06FC1">
      <w:pPr>
        <w:pStyle w:val="3-BodyText"/>
        <w:numPr>
          <w:ilvl w:val="0"/>
          <w:numId w:val="7"/>
        </w:numPr>
        <w:ind w:left="1134" w:hanging="425"/>
      </w:pPr>
      <w:r w:rsidRPr="00140FC0">
        <w:t>T</w:t>
      </w:r>
      <w:r w:rsidR="00417300" w:rsidRPr="00140FC0">
        <w:t xml:space="preserve">he restriction did not specify the chemotherapy agent or regimen to </w:t>
      </w:r>
      <w:proofErr w:type="gramStart"/>
      <w:r w:rsidR="00417300" w:rsidRPr="00140FC0">
        <w:t>be used</w:t>
      </w:r>
      <w:proofErr w:type="gramEnd"/>
      <w:r w:rsidR="00417300" w:rsidRPr="00140FC0">
        <w:t xml:space="preserve"> in combination with </w:t>
      </w:r>
      <w:r w:rsidR="00BD26D5" w:rsidRPr="00140FC0">
        <w:t>Ptz+T</w:t>
      </w:r>
      <w:r w:rsidR="00417300" w:rsidRPr="00140FC0">
        <w:t>. Docetaxel</w:t>
      </w:r>
      <w:r w:rsidR="00CA1004">
        <w:t xml:space="preserve"> (D)</w:t>
      </w:r>
      <w:r w:rsidR="00417300" w:rsidRPr="00140FC0">
        <w:t xml:space="preserve"> was used in both the NEOSPHERE and PEONY trials. The benefits and/or harms of Ptz+T+Chemo may differ from those of Ptz+T+D. </w:t>
      </w:r>
      <w:r w:rsidR="00D02BBB" w:rsidRPr="00140FC0">
        <w:t xml:space="preserve">The PSCR argued that </w:t>
      </w:r>
      <w:proofErr w:type="spellStart"/>
      <w:r w:rsidR="00D02BBB" w:rsidRPr="00140FC0">
        <w:t>taxanes</w:t>
      </w:r>
      <w:proofErr w:type="spellEnd"/>
      <w:r w:rsidR="00D02BBB" w:rsidRPr="00140FC0">
        <w:t xml:space="preserve"> are the most commonly used neoadjuvant chemotherapy backbone, and in Australia paclitaxel </w:t>
      </w:r>
      <w:proofErr w:type="gramStart"/>
      <w:r w:rsidR="00D02BBB" w:rsidRPr="00140FC0">
        <w:t>is considered</w:t>
      </w:r>
      <w:proofErr w:type="gramEnd"/>
      <w:r w:rsidR="00D02BBB" w:rsidRPr="00140FC0">
        <w:t xml:space="preserve"> the taxane of choice to avoid diarrhoea (IPSOS 2018). The ESC </w:t>
      </w:r>
      <w:r w:rsidR="00253D94">
        <w:t xml:space="preserve">and DUSC </w:t>
      </w:r>
      <w:r w:rsidR="004234A3" w:rsidRPr="00140FC0">
        <w:t xml:space="preserve">considered it was reasonable </w:t>
      </w:r>
      <w:proofErr w:type="gramStart"/>
      <w:r w:rsidR="004234A3" w:rsidRPr="00140FC0">
        <w:t>to not specify</w:t>
      </w:r>
      <w:proofErr w:type="gramEnd"/>
      <w:r w:rsidR="004234A3" w:rsidRPr="00140FC0">
        <w:t xml:space="preserve"> the chemotherapy</w:t>
      </w:r>
      <w:r w:rsidR="00D7783E" w:rsidRPr="00140FC0">
        <w:t xml:space="preserve"> regimen</w:t>
      </w:r>
      <w:r w:rsidR="004234A3" w:rsidRPr="00140FC0">
        <w:t xml:space="preserve"> in the restriction. </w:t>
      </w:r>
    </w:p>
    <w:p w:rsidR="00872AAD" w:rsidRDefault="001C0A78" w:rsidP="00F06FC1">
      <w:pPr>
        <w:pStyle w:val="3-BodyText"/>
        <w:numPr>
          <w:ilvl w:val="0"/>
          <w:numId w:val="7"/>
        </w:numPr>
        <w:ind w:left="1134" w:hanging="425"/>
      </w:pPr>
      <w:r w:rsidRPr="00140FC0">
        <w:t>T</w:t>
      </w:r>
      <w:r w:rsidR="00872AAD" w:rsidRPr="00140FC0">
        <w:t xml:space="preserve">he requested listing </w:t>
      </w:r>
      <w:r w:rsidR="00FF109E" w:rsidRPr="00140FC0">
        <w:t>for</w:t>
      </w:r>
      <w:r w:rsidR="00872AAD" w:rsidRPr="00140FC0">
        <w:t xml:space="preserve"> patients with inflammatory breast cancer </w:t>
      </w:r>
      <w:proofErr w:type="gramStart"/>
      <w:r w:rsidR="00872AAD" w:rsidRPr="00140FC0">
        <w:t>was based</w:t>
      </w:r>
      <w:proofErr w:type="gramEnd"/>
      <w:r w:rsidR="00872AAD" w:rsidRPr="00140FC0">
        <w:t xml:space="preserve"> on comparative effectiveness data from only 17 patients in NEOSPHERE</w:t>
      </w:r>
      <w:r w:rsidR="002A0DCB" w:rsidRPr="00140FC0">
        <w:t xml:space="preserve"> (patients with inflammatory breast cancer were excluded from PEONY).</w:t>
      </w:r>
      <w:r w:rsidR="00CD2788" w:rsidRPr="00140FC0">
        <w:t xml:space="preserve"> The PSCR noted </w:t>
      </w:r>
      <w:r w:rsidR="00D96285" w:rsidRPr="00140FC0">
        <w:t xml:space="preserve">inflammatory breast cancer </w:t>
      </w:r>
      <w:proofErr w:type="gramStart"/>
      <w:r w:rsidR="00D96285" w:rsidRPr="00140FC0">
        <w:t>is expected</w:t>
      </w:r>
      <w:proofErr w:type="gramEnd"/>
      <w:r w:rsidR="00D96285" w:rsidRPr="00140FC0">
        <w:t xml:space="preserve"> to account for 1-2% of new BC cases in Australia and has a disproportionately higher death rate than other BC types. I</w:t>
      </w:r>
      <w:r w:rsidR="00CD2788" w:rsidRPr="00140FC0">
        <w:t xml:space="preserve">n NEOSPHERE, patients with inflammatory breast cancer comprised 17/214 (7.9%) of the combined Ptz+T+Chemo and T+Chemo arms and were </w:t>
      </w:r>
      <w:r w:rsidR="00D96285" w:rsidRPr="00140FC0">
        <w:t xml:space="preserve">therefore </w:t>
      </w:r>
      <w:r w:rsidR="00CD2788" w:rsidRPr="00140FC0">
        <w:t>overrepresented</w:t>
      </w:r>
      <w:r w:rsidR="004A6C1F" w:rsidRPr="00140FC0">
        <w:t xml:space="preserve"> in the trial</w:t>
      </w:r>
      <w:r w:rsidR="00D96285" w:rsidRPr="00140FC0">
        <w:t xml:space="preserve">. The PSCR argued that, although the patient sample size is small, the evidence for </w:t>
      </w:r>
      <w:r w:rsidR="00CA1004" w:rsidRPr="00140FC0">
        <w:t xml:space="preserve">Ptz+T+Chemo </w:t>
      </w:r>
      <w:r w:rsidR="00CA1004">
        <w:t xml:space="preserve">in </w:t>
      </w:r>
      <w:r w:rsidR="00D96285" w:rsidRPr="00140FC0">
        <w:t>inflammatory BC in NEOSPHERE is a good representation of outcomes in this patient cohort.</w:t>
      </w:r>
      <w:r w:rsidR="00CD2788" w:rsidRPr="00140FC0">
        <w:t xml:space="preserve"> </w:t>
      </w:r>
    </w:p>
    <w:p w:rsidR="00D30567" w:rsidRPr="00140FC0" w:rsidRDefault="00D30567" w:rsidP="00D30567">
      <w:pPr>
        <w:pStyle w:val="3-BodyText"/>
        <w:numPr>
          <w:ilvl w:val="0"/>
          <w:numId w:val="0"/>
        </w:numPr>
        <w:ind w:left="709"/>
      </w:pPr>
      <w:r w:rsidRPr="00525B39">
        <w:rPr>
          <w:i/>
        </w:rPr>
        <w:t>For more detail on PBAC’s view, see section 7 PBAC outcome.</w:t>
      </w:r>
    </w:p>
    <w:p w:rsidR="00872AAD" w:rsidRPr="00407F2D" w:rsidRDefault="00872AAD" w:rsidP="00872AAD">
      <w:pPr>
        <w:pStyle w:val="ES-Section"/>
        <w:numPr>
          <w:ilvl w:val="0"/>
          <w:numId w:val="4"/>
        </w:numPr>
      </w:pPr>
      <w:bookmarkStart w:id="9" w:name="_Toc30594509"/>
      <w:r>
        <w:t>Population and disease</w:t>
      </w:r>
      <w:bookmarkEnd w:id="9"/>
    </w:p>
    <w:p w:rsidR="00872AAD" w:rsidRPr="006A526E" w:rsidRDefault="00872AAD" w:rsidP="00872AAD">
      <w:pPr>
        <w:pStyle w:val="3-BodyText"/>
      </w:pPr>
      <w:r w:rsidRPr="006A526E">
        <w:t xml:space="preserve">Breast cancer was the most common cancer diagnosis for women in Australia in 2018. It </w:t>
      </w:r>
      <w:proofErr w:type="gramStart"/>
      <w:r w:rsidRPr="006A526E">
        <w:t>was estimated</w:t>
      </w:r>
      <w:proofErr w:type="gramEnd"/>
      <w:r w:rsidRPr="006A526E">
        <w:t xml:space="preserve"> that 19,371 females and 164 males</w:t>
      </w:r>
      <w:r w:rsidR="003B252B" w:rsidRPr="006A526E">
        <w:rPr>
          <w:rStyle w:val="FootnoteReference"/>
        </w:rPr>
        <w:footnoteReference w:id="1"/>
      </w:r>
      <w:r w:rsidRPr="006A526E">
        <w:t xml:space="preserve"> would be newly diagnosed with breast cancer in 2019 in Australia, representing 14% of all new cancer diagnoses in the year. The estimated number of deaths from breast cancer </w:t>
      </w:r>
      <w:proofErr w:type="gramStart"/>
      <w:r w:rsidRPr="006A526E">
        <w:t>was estimated</w:t>
      </w:r>
      <w:proofErr w:type="gramEnd"/>
      <w:r w:rsidRPr="006A526E">
        <w:t xml:space="preserve"> to be 3,058 </w:t>
      </w:r>
      <w:r w:rsidRPr="006A526E">
        <w:lastRenderedPageBreak/>
        <w:t>females and 32 males</w:t>
      </w:r>
      <w:r w:rsidR="003B252B" w:rsidRPr="006A526E">
        <w:rPr>
          <w:rStyle w:val="FootnoteReference"/>
        </w:rPr>
        <w:footnoteReference w:id="2"/>
      </w:r>
      <w:r w:rsidRPr="006A526E">
        <w:t xml:space="preserve"> in 2019, contributing to 6.2% of all cancer deaths.</w:t>
      </w:r>
      <w:r w:rsidR="003B252B" w:rsidRPr="006A526E">
        <w:rPr>
          <w:rStyle w:val="FootnoteReference"/>
        </w:rPr>
        <w:footnoteReference w:id="3"/>
      </w:r>
      <w:r w:rsidRPr="006A526E">
        <w:t xml:space="preserve"> </w:t>
      </w:r>
      <w:bookmarkStart w:id="10" w:name="_Hlk24117716"/>
      <w:r w:rsidRPr="006A526E">
        <w:t xml:space="preserve">The submission reported that about 94% of breast cancer patients </w:t>
      </w:r>
      <w:proofErr w:type="gramStart"/>
      <w:r w:rsidRPr="006A526E">
        <w:t>are diagnosed</w:t>
      </w:r>
      <w:proofErr w:type="gramEnd"/>
      <w:r w:rsidRPr="006A526E">
        <w:t xml:space="preserve"> with early breast cancer and 15% of the patients are HER2-positive. </w:t>
      </w:r>
      <w:bookmarkEnd w:id="10"/>
    </w:p>
    <w:p w:rsidR="000E3868" w:rsidRDefault="000E3868" w:rsidP="000E3868">
      <w:pPr>
        <w:pStyle w:val="3-BodyText"/>
      </w:pPr>
      <w:r w:rsidRPr="006A526E">
        <w:t xml:space="preserve">Pertuzumab is a recombinant humanised monoclonal </w:t>
      </w:r>
      <w:proofErr w:type="gramStart"/>
      <w:r w:rsidRPr="006A526E">
        <w:t>antibody which</w:t>
      </w:r>
      <w:proofErr w:type="gramEnd"/>
      <w:r w:rsidRPr="006A526E">
        <w:t xml:space="preserve"> targets a subdomain of the HER2 receptor. </w:t>
      </w:r>
    </w:p>
    <w:p w:rsidR="00872AAD" w:rsidRPr="000D09D2" w:rsidRDefault="00872AAD" w:rsidP="000D09D2">
      <w:pPr>
        <w:pStyle w:val="3-BodyText"/>
      </w:pPr>
      <w:r w:rsidRPr="000D09D2">
        <w:t xml:space="preserve">The submission proposed the addition of pertuzumab to </w:t>
      </w:r>
      <w:r w:rsidR="00B77C31" w:rsidRPr="000D09D2">
        <w:t>T+Chemo</w:t>
      </w:r>
      <w:r w:rsidRPr="000D09D2">
        <w:t xml:space="preserve"> as neoadjuvant treatment in patients with HER2-positive, locally advanced, inflammatory or early stage (tumour &gt;2 cm in diameter or lymph node positive) breast cancer (referred to in the submission as </w:t>
      </w:r>
      <w:proofErr w:type="gramStart"/>
      <w:r w:rsidRPr="000D09D2">
        <w:t>high risk</w:t>
      </w:r>
      <w:proofErr w:type="gramEnd"/>
      <w:r w:rsidRPr="000D09D2">
        <w:t xml:space="preserve"> early breast cancer)</w:t>
      </w:r>
      <w:r w:rsidR="007A5783" w:rsidRPr="000D09D2">
        <w:t xml:space="preserve"> (</w:t>
      </w:r>
      <w:r w:rsidR="00550A5E" w:rsidRPr="00550A5E">
        <w:t>Figure 1</w:t>
      </w:r>
      <w:r w:rsidR="007A5783" w:rsidRPr="000D09D2">
        <w:t>)</w:t>
      </w:r>
      <w:r w:rsidRPr="000D09D2">
        <w:t>.</w:t>
      </w:r>
      <w:r w:rsidR="004129F1" w:rsidRPr="000D09D2">
        <w:t xml:space="preserve"> </w:t>
      </w:r>
      <w:bookmarkStart w:id="11" w:name="_Hlk30175150"/>
      <w:r w:rsidR="004129F1" w:rsidRPr="000D09D2">
        <w:t xml:space="preserve">The proposed clinical management algorithm included two adjuvant treatment arms: </w:t>
      </w:r>
      <w:r w:rsidR="00AB4730" w:rsidRPr="000D09D2">
        <w:t xml:space="preserve">(a) </w:t>
      </w:r>
      <w:r w:rsidR="004129F1" w:rsidRPr="000D09D2">
        <w:t xml:space="preserve">trastuzumab treatment for patients who achieve </w:t>
      </w:r>
      <w:r w:rsidR="009D6B77">
        <w:t>pathological complete response (</w:t>
      </w:r>
      <w:r w:rsidR="004129F1" w:rsidRPr="000D09D2">
        <w:t>pCR</w:t>
      </w:r>
      <w:r w:rsidR="009D6B77">
        <w:t>)</w:t>
      </w:r>
      <w:r w:rsidR="00AB4730" w:rsidRPr="000D09D2">
        <w:t>,</w:t>
      </w:r>
      <w:r w:rsidR="004129F1" w:rsidRPr="000D09D2">
        <w:t xml:space="preserve"> or </w:t>
      </w:r>
      <w:r w:rsidR="00AB4730" w:rsidRPr="000D09D2">
        <w:t xml:space="preserve">(b) </w:t>
      </w:r>
      <w:r w:rsidR="004129F1" w:rsidRPr="000D09D2">
        <w:t xml:space="preserve">trastuzumab emtansine (T-DM1) for patients who have residual disease. T-DM1 </w:t>
      </w:r>
      <w:proofErr w:type="gramStart"/>
      <w:r w:rsidR="0057511D" w:rsidRPr="000D09D2">
        <w:t>was recommended by the PBAC at the November 2019 meeting</w:t>
      </w:r>
      <w:r w:rsidR="00852452">
        <w:t xml:space="preserve"> and listed on the PBS from 1 April 2020 for the</w:t>
      </w:r>
      <w:r w:rsidR="004129F1" w:rsidRPr="000D09D2">
        <w:t xml:space="preserve"> adjuvant treatment of patients with HER2-positive early breast cancer with residual disease following neoadjuvant treatment with HER2-targeted therapy</w:t>
      </w:r>
      <w:proofErr w:type="gramEnd"/>
      <w:r w:rsidR="0057511D" w:rsidRPr="000D09D2">
        <w:t>.</w:t>
      </w:r>
    </w:p>
    <w:p w:rsidR="0057511D" w:rsidRDefault="004A6C1F" w:rsidP="006A26F8">
      <w:pPr>
        <w:pStyle w:val="3-BodyText"/>
      </w:pPr>
      <w:bookmarkStart w:id="12" w:name="_Hlk29745934"/>
      <w:bookmarkEnd w:id="11"/>
      <w:r w:rsidRPr="00140FC0">
        <w:t xml:space="preserve">Anthracyclines are a key component of neoadjuvant chemotherapy in clinical </w:t>
      </w:r>
      <w:r w:rsidRPr="00140FC0">
        <w:rPr>
          <w:bCs/>
        </w:rPr>
        <w:t>practice</w:t>
      </w:r>
      <w:r w:rsidRPr="00140FC0">
        <w:t xml:space="preserve"> as they improve pCR rates. The ESC noted the addition of neoadjuvant pertuzumab may reduce the extent of use of anthracyclines in the neoadjuvant setting due to an increased risk of cardiac toxicity</w:t>
      </w:r>
      <w:r w:rsidR="00F3191A">
        <w:t xml:space="preserve"> and </w:t>
      </w:r>
      <w:r w:rsidR="00B87CEE">
        <w:t>may</w:t>
      </w:r>
      <w:r w:rsidR="00F3191A" w:rsidRPr="00F3191A">
        <w:t xml:space="preserve"> </w:t>
      </w:r>
      <w:r w:rsidR="00B87CEE">
        <w:t>move</w:t>
      </w:r>
      <w:r w:rsidR="00F3191A" w:rsidRPr="00F3191A">
        <w:t xml:space="preserve"> the use of anthracycline</w:t>
      </w:r>
      <w:r w:rsidR="00B87CEE">
        <w:t>s</w:t>
      </w:r>
      <w:r w:rsidR="00F3191A" w:rsidRPr="00F3191A">
        <w:t xml:space="preserve"> to the adjuvant setting (as in the NEOSPHERE and PEONY trials).</w:t>
      </w:r>
      <w:r w:rsidR="0008476C">
        <w:t xml:space="preserve"> </w:t>
      </w:r>
      <w:r w:rsidR="00384BF0">
        <w:t>T</w:t>
      </w:r>
      <w:r w:rsidR="00384BF0" w:rsidRPr="00140FC0">
        <w:t xml:space="preserve">he </w:t>
      </w:r>
      <w:r w:rsidR="0057511D" w:rsidRPr="00140FC0">
        <w:t xml:space="preserve">ESC noted that </w:t>
      </w:r>
      <w:r w:rsidR="00B87CEE">
        <w:t>the</w:t>
      </w:r>
      <w:r w:rsidR="0057511D" w:rsidRPr="00140FC0">
        <w:t xml:space="preserve"> impact </w:t>
      </w:r>
      <w:r w:rsidR="00FC78A8">
        <w:t xml:space="preserve">of </w:t>
      </w:r>
      <w:r w:rsidR="0057511D" w:rsidRPr="00140FC0">
        <w:t xml:space="preserve">this </w:t>
      </w:r>
      <w:r w:rsidR="007361DC" w:rsidRPr="00140FC0">
        <w:t xml:space="preserve">change </w:t>
      </w:r>
      <w:r w:rsidR="0057511D" w:rsidRPr="00140FC0">
        <w:t>on clinical outcomes</w:t>
      </w:r>
      <w:r w:rsidR="00B87CEE">
        <w:t xml:space="preserve"> is unknown</w:t>
      </w:r>
      <w:r w:rsidR="00F521B6">
        <w:t>.</w:t>
      </w:r>
      <w:r w:rsidR="00384BF0" w:rsidRPr="00384BF0">
        <w:t xml:space="preserve"> </w:t>
      </w:r>
      <w:proofErr w:type="gramStart"/>
      <w:r w:rsidR="00E74015">
        <w:t xml:space="preserve">The pre-PBAC response </w:t>
      </w:r>
      <w:r w:rsidR="00E74015">
        <w:rPr>
          <w:rFonts w:cstheme="minorHAnsi"/>
        </w:rPr>
        <w:t>agreed</w:t>
      </w:r>
      <w:r w:rsidR="00E74015" w:rsidRPr="00C517E6">
        <w:rPr>
          <w:rFonts w:cstheme="minorHAnsi"/>
        </w:rPr>
        <w:t xml:space="preserve"> that the use of anthracyclines </w:t>
      </w:r>
      <w:r w:rsidR="00841D84">
        <w:rPr>
          <w:rFonts w:cstheme="minorHAnsi"/>
        </w:rPr>
        <w:t xml:space="preserve">sequentially </w:t>
      </w:r>
      <w:r w:rsidR="00E74015" w:rsidRPr="00C517E6">
        <w:rPr>
          <w:rFonts w:cstheme="minorHAnsi"/>
        </w:rPr>
        <w:t xml:space="preserve">prior to </w:t>
      </w:r>
      <w:r w:rsidR="00E74015">
        <w:rPr>
          <w:rFonts w:cstheme="minorHAnsi"/>
        </w:rPr>
        <w:t>T</w:t>
      </w:r>
      <w:r w:rsidR="00E74015" w:rsidRPr="00C517E6">
        <w:rPr>
          <w:rFonts w:cstheme="minorHAnsi"/>
        </w:rPr>
        <w:t xml:space="preserve">+Chemo is part of standard of care and </w:t>
      </w:r>
      <w:r w:rsidR="00E74015">
        <w:rPr>
          <w:rFonts w:cstheme="minorHAnsi"/>
        </w:rPr>
        <w:t xml:space="preserve">anthracyclines </w:t>
      </w:r>
      <w:r w:rsidR="00E74015" w:rsidRPr="00C517E6">
        <w:rPr>
          <w:rFonts w:cstheme="minorHAnsi"/>
        </w:rPr>
        <w:t xml:space="preserve">are most commonly used in </w:t>
      </w:r>
      <w:r w:rsidR="00E74015" w:rsidRPr="00384BF0">
        <w:rPr>
          <w:rFonts w:cstheme="minorHAnsi"/>
        </w:rPr>
        <w:t>high risk</w:t>
      </w:r>
      <w:r w:rsidR="00E74015">
        <w:t xml:space="preserve"> eBC patients</w:t>
      </w:r>
      <w:r w:rsidR="00B87CEE">
        <w:t>, however</w:t>
      </w:r>
      <w:r w:rsidR="0008476C">
        <w:t xml:space="preserve"> the sponsor maintained that </w:t>
      </w:r>
      <w:r w:rsidR="00B87CEE">
        <w:t xml:space="preserve">the </w:t>
      </w:r>
      <w:r w:rsidR="0008476C">
        <w:t>PBS listing of pertuzumab would not impact on clinicians’ use of anthracyclines</w:t>
      </w:r>
      <w:r w:rsidR="00B87CEE">
        <w:t xml:space="preserve"> in the neoadjuvant setting</w:t>
      </w:r>
      <w:r w:rsidR="0008476C">
        <w:t xml:space="preserve"> and</w:t>
      </w:r>
      <w:r w:rsidR="00B87CEE">
        <w:t xml:space="preserve"> hence</w:t>
      </w:r>
      <w:r w:rsidR="0008476C">
        <w:t xml:space="preserve"> </w:t>
      </w:r>
      <w:r w:rsidR="004D356E">
        <w:t>is not anticipated to increase the use of anthracyclines in the adjuvant setting</w:t>
      </w:r>
      <w:r w:rsidR="00F3191A">
        <w:t>.</w:t>
      </w:r>
      <w:proofErr w:type="gramEnd"/>
    </w:p>
    <w:p w:rsidR="00CA043F" w:rsidRPr="00143235" w:rsidRDefault="00CA043F" w:rsidP="009C6ACD">
      <w:pPr>
        <w:keepNext/>
        <w:rPr>
          <w:rFonts w:ascii="Arial Narrow" w:hAnsi="Arial Narrow"/>
          <w:b/>
          <w:bCs/>
          <w:sz w:val="20"/>
          <w:szCs w:val="20"/>
        </w:rPr>
      </w:pPr>
      <w:bookmarkStart w:id="13" w:name="_Ref33606959"/>
      <w:r>
        <w:rPr>
          <w:rFonts w:ascii="Arial Narrow" w:hAnsi="Arial Narrow"/>
          <w:b/>
          <w:bCs/>
          <w:sz w:val="20"/>
          <w:szCs w:val="20"/>
        </w:rPr>
        <w:lastRenderedPageBreak/>
        <w:t xml:space="preserve">Figure </w:t>
      </w:r>
      <w:r w:rsidR="00550A5E">
        <w:rPr>
          <w:rFonts w:ascii="Arial Narrow" w:hAnsi="Arial Narrow"/>
          <w:b/>
          <w:bCs/>
          <w:noProof/>
          <w:sz w:val="20"/>
          <w:szCs w:val="20"/>
        </w:rPr>
        <w:t>1</w:t>
      </w:r>
      <w:bookmarkEnd w:id="13"/>
      <w:r w:rsidR="000D09D2">
        <w:rPr>
          <w:rFonts w:ascii="Arial Narrow" w:hAnsi="Arial Narrow"/>
          <w:b/>
          <w:bCs/>
          <w:sz w:val="20"/>
          <w:szCs w:val="20"/>
        </w:rPr>
        <w:t>:</w:t>
      </w:r>
      <w:r>
        <w:rPr>
          <w:rFonts w:ascii="Arial Narrow" w:hAnsi="Arial Narrow"/>
          <w:b/>
          <w:bCs/>
          <w:sz w:val="20"/>
          <w:szCs w:val="20"/>
        </w:rPr>
        <w:t xml:space="preserve"> Proposed </w:t>
      </w:r>
      <w:r w:rsidRPr="00143235">
        <w:rPr>
          <w:rFonts w:ascii="Arial Narrow" w:hAnsi="Arial Narrow"/>
          <w:b/>
          <w:bCs/>
          <w:sz w:val="20"/>
          <w:szCs w:val="20"/>
        </w:rPr>
        <w:t xml:space="preserve">clinical management algorithm </w:t>
      </w:r>
    </w:p>
    <w:p w:rsidR="00CA043F" w:rsidRDefault="00CA043F" w:rsidP="00CA043F">
      <w:r>
        <w:rPr>
          <w:noProof/>
        </w:rPr>
        <w:drawing>
          <wp:inline distT="0" distB="0" distL="0" distR="0" wp14:anchorId="72F74C3F" wp14:editId="069B99FA">
            <wp:extent cx="5379886" cy="2882900"/>
            <wp:effectExtent l="19050" t="19050" r="11430" b="12700"/>
            <wp:docPr id="6" name="Picture 6" title="Figure 1: Proposed clinical management algorith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2561" cy="2889692"/>
                    </a:xfrm>
                    <a:prstGeom prst="rect">
                      <a:avLst/>
                    </a:prstGeom>
                    <a:noFill/>
                    <a:ln w="3175">
                      <a:solidFill>
                        <a:schemeClr val="tx1"/>
                      </a:solidFill>
                    </a:ln>
                  </pic:spPr>
                </pic:pic>
              </a:graphicData>
            </a:graphic>
          </wp:inline>
        </w:drawing>
      </w:r>
    </w:p>
    <w:p w:rsidR="00CA043F" w:rsidRDefault="00CA043F" w:rsidP="00CA043F">
      <w:pPr>
        <w:pStyle w:val="TableFigureFooter"/>
      </w:pPr>
      <w:r w:rsidRPr="00050D10">
        <w:t>Source: Figure 1.</w:t>
      </w:r>
      <w:r>
        <w:t>3</w:t>
      </w:r>
      <w:r w:rsidRPr="00050D10">
        <w:t>, p2</w:t>
      </w:r>
      <w:r>
        <w:t>3</w:t>
      </w:r>
      <w:r w:rsidRPr="00050D10">
        <w:t xml:space="preserve"> of the submission</w:t>
      </w:r>
    </w:p>
    <w:p w:rsidR="00D30567" w:rsidRDefault="00D30567" w:rsidP="00075261">
      <w:pPr>
        <w:ind w:firstLine="720"/>
      </w:pPr>
      <w:bookmarkStart w:id="14" w:name="_Toc30594510"/>
      <w:bookmarkEnd w:id="12"/>
      <w:r w:rsidRPr="00525B39">
        <w:rPr>
          <w:rFonts w:asciiTheme="minorHAnsi" w:hAnsiTheme="minorHAnsi"/>
          <w:i/>
        </w:rPr>
        <w:t>For more detail on PBAC’s view, see section 7 PBAC outcome.</w:t>
      </w:r>
    </w:p>
    <w:p w:rsidR="00872AAD" w:rsidRPr="00407F2D" w:rsidRDefault="00872AAD" w:rsidP="00872AAD">
      <w:pPr>
        <w:pStyle w:val="ES-Section"/>
        <w:numPr>
          <w:ilvl w:val="0"/>
          <w:numId w:val="4"/>
        </w:numPr>
      </w:pPr>
      <w:r w:rsidRPr="00407F2D">
        <w:t>Comparator</w:t>
      </w:r>
      <w:bookmarkEnd w:id="14"/>
    </w:p>
    <w:p w:rsidR="005B08C3" w:rsidRPr="005B08C3" w:rsidRDefault="00872AAD" w:rsidP="00872AAD">
      <w:pPr>
        <w:pStyle w:val="3-BodyText"/>
        <w:rPr>
          <w:iCs/>
          <w:snapToGrid/>
          <w:lang w:val="en-US"/>
        </w:rPr>
      </w:pPr>
      <w:r w:rsidRPr="006A526E">
        <w:t xml:space="preserve">The submission nominated the combination therapy of </w:t>
      </w:r>
      <w:r w:rsidR="003F4008" w:rsidRPr="006A526E">
        <w:t>T+Chemo</w:t>
      </w:r>
      <w:r w:rsidRPr="006A526E">
        <w:t xml:space="preserve"> as the main comparator. Trastuzumab and taxane-based chemotherapy is the current standard of care in the target population according to Australian and international guidelines. </w:t>
      </w:r>
    </w:p>
    <w:p w:rsidR="00872AAD" w:rsidRPr="00D30567" w:rsidRDefault="00485D19" w:rsidP="0067786D">
      <w:pPr>
        <w:pStyle w:val="3-BodyText"/>
        <w:rPr>
          <w:iCs/>
          <w:snapToGrid/>
          <w:lang w:val="en-US"/>
        </w:rPr>
      </w:pPr>
      <w:r w:rsidRPr="00140FC0">
        <w:t xml:space="preserve">At the November 2019 meeting, the PBAC ‘noted </w:t>
      </w:r>
      <w:r w:rsidRPr="00140FC0">
        <w:rPr>
          <w:bCs/>
        </w:rPr>
        <w:t xml:space="preserve">that the availability of T-DM1 in the adjuvant setting would change the treatment algorithm and improve patient outcomes. The PBAC considered that any future submissions for therapies for HER2+ eBC would need to account for the availability and efficacy of T-DM1 and demonstrate benefit in a treatment algorithm that includes T-DM1’ </w:t>
      </w:r>
      <w:r w:rsidRPr="00140FC0">
        <w:t>(para 7.3, trastuzumab emtansine, Public Summary Document, November 2019).</w:t>
      </w:r>
      <w:r w:rsidRPr="00140FC0">
        <w:rPr>
          <w:bCs/>
        </w:rPr>
        <w:t xml:space="preserve"> Thus</w:t>
      </w:r>
      <w:r w:rsidR="005E2AAB" w:rsidRPr="00140FC0">
        <w:rPr>
          <w:bCs/>
        </w:rPr>
        <w:t xml:space="preserve"> the</w:t>
      </w:r>
      <w:r w:rsidRPr="00140FC0">
        <w:rPr>
          <w:bCs/>
        </w:rPr>
        <w:t xml:space="preserve"> </w:t>
      </w:r>
      <w:r w:rsidR="005E2AAB" w:rsidRPr="00140FC0">
        <w:rPr>
          <w:bCs/>
        </w:rPr>
        <w:t xml:space="preserve">ESC considered </w:t>
      </w:r>
      <w:r w:rsidRPr="00140FC0">
        <w:rPr>
          <w:bCs/>
        </w:rPr>
        <w:t xml:space="preserve">the relevant comparison </w:t>
      </w:r>
      <w:r w:rsidR="005E2AAB" w:rsidRPr="00140FC0">
        <w:rPr>
          <w:bCs/>
        </w:rPr>
        <w:t>was</w:t>
      </w:r>
      <w:r w:rsidRPr="00140FC0">
        <w:rPr>
          <w:bCs/>
        </w:rPr>
        <w:t xml:space="preserve"> sequential pertuzumab and T-DM1</w:t>
      </w:r>
      <w:r w:rsidR="005E2AAB" w:rsidRPr="00140FC0">
        <w:rPr>
          <w:bCs/>
        </w:rPr>
        <w:t xml:space="preserve"> (Ptz+T+Chemo followed by T-DM1 in the adjuvant setting for patients without a pCR)</w:t>
      </w:r>
      <w:r w:rsidRPr="00140FC0">
        <w:rPr>
          <w:bCs/>
        </w:rPr>
        <w:t xml:space="preserve"> </w:t>
      </w:r>
      <w:r w:rsidR="005E2AAB" w:rsidRPr="00140FC0">
        <w:rPr>
          <w:bCs/>
        </w:rPr>
        <w:t>compared with</w:t>
      </w:r>
      <w:r w:rsidRPr="00140FC0">
        <w:rPr>
          <w:bCs/>
        </w:rPr>
        <w:t xml:space="preserve"> T-DM1</w:t>
      </w:r>
      <w:r w:rsidR="005E2AAB" w:rsidRPr="00140FC0">
        <w:rPr>
          <w:bCs/>
        </w:rPr>
        <w:t xml:space="preserve"> (T+Chemo followed by T-DM1 in the adjuvant setting for patients without a pCR)</w:t>
      </w:r>
      <w:r w:rsidRPr="00140FC0">
        <w:rPr>
          <w:bCs/>
        </w:rPr>
        <w:t>.</w:t>
      </w:r>
      <w:r w:rsidR="008013C9" w:rsidRPr="00140FC0">
        <w:rPr>
          <w:bCs/>
        </w:rPr>
        <w:t xml:space="preserve"> </w:t>
      </w:r>
      <w:r w:rsidR="00E177BD" w:rsidRPr="00140FC0">
        <w:t>The P</w:t>
      </w:r>
      <w:r w:rsidR="00D54D25" w:rsidRPr="00140FC0">
        <w:t>S</w:t>
      </w:r>
      <w:r w:rsidR="00E177BD" w:rsidRPr="00140FC0">
        <w:t>C</w:t>
      </w:r>
      <w:r w:rsidR="00D54D25" w:rsidRPr="00140FC0">
        <w:t xml:space="preserve">R argued that adjuvant T-DM1 </w:t>
      </w:r>
      <w:proofErr w:type="gramStart"/>
      <w:r w:rsidR="00D54D25" w:rsidRPr="00140FC0">
        <w:t>is intended</w:t>
      </w:r>
      <w:proofErr w:type="gramEnd"/>
      <w:r w:rsidR="00D54D25" w:rsidRPr="00140FC0">
        <w:t xml:space="preserve"> for use in only a small proportion of patients with a specific type of early breast cancer. The ESC noted that the population eligible for T-DM1 </w:t>
      </w:r>
      <w:proofErr w:type="gramStart"/>
      <w:r w:rsidR="00D54D25" w:rsidRPr="00140FC0">
        <w:t>may</w:t>
      </w:r>
      <w:proofErr w:type="gramEnd"/>
      <w:r w:rsidR="00D54D25" w:rsidRPr="00140FC0">
        <w:t xml:space="preserve"> be up to half the patients eligible for pertuzumab</w:t>
      </w:r>
      <w:r w:rsidR="0021001C" w:rsidRPr="00140FC0">
        <w:t xml:space="preserve"> based on pCR rates in NEOSPHERE</w:t>
      </w:r>
      <w:r w:rsidR="00D54D25" w:rsidRPr="00140FC0">
        <w:t xml:space="preserve">. </w:t>
      </w:r>
      <w:r w:rsidR="00A30311" w:rsidRPr="00140FC0">
        <w:rPr>
          <w:iCs/>
        </w:rPr>
        <w:t>The ESC noted that the KATHERINE</w:t>
      </w:r>
      <w:r w:rsidR="00B87CEE">
        <w:rPr>
          <w:iCs/>
        </w:rPr>
        <w:t xml:space="preserve"> T-DM1</w:t>
      </w:r>
      <w:r w:rsidR="00A30311" w:rsidRPr="00140FC0">
        <w:rPr>
          <w:iCs/>
        </w:rPr>
        <w:t xml:space="preserve"> trial included some patients (18%) who </w:t>
      </w:r>
      <w:proofErr w:type="gramStart"/>
      <w:r w:rsidR="00A30311" w:rsidRPr="00140FC0">
        <w:rPr>
          <w:iCs/>
        </w:rPr>
        <w:t>were treated with neoadjuvant pertuzumab and considered this trial could provide context regarding sequential use of pertuzumab and T-DM1</w:t>
      </w:r>
      <w:proofErr w:type="gramEnd"/>
      <w:r w:rsidR="00A30311" w:rsidRPr="00140FC0">
        <w:rPr>
          <w:iCs/>
        </w:rPr>
        <w:t xml:space="preserve">. </w:t>
      </w:r>
    </w:p>
    <w:p w:rsidR="00D30567" w:rsidRPr="00140FC0" w:rsidRDefault="00D30567" w:rsidP="00075261">
      <w:pPr>
        <w:pStyle w:val="3-BodyText"/>
        <w:numPr>
          <w:ilvl w:val="0"/>
          <w:numId w:val="0"/>
        </w:numPr>
        <w:ind w:firstLine="720"/>
        <w:rPr>
          <w:iCs/>
          <w:snapToGrid/>
          <w:lang w:val="en-US"/>
        </w:rPr>
      </w:pPr>
      <w:r w:rsidRPr="00525B39">
        <w:rPr>
          <w:i/>
        </w:rPr>
        <w:t>For more detail on PBAC’s view, see section 7 PBAC outcome.</w:t>
      </w:r>
    </w:p>
    <w:p w:rsidR="00872AAD" w:rsidRPr="00407F2D" w:rsidRDefault="00872AAD" w:rsidP="00FD5195">
      <w:pPr>
        <w:pStyle w:val="ES-Section"/>
        <w:keepLines/>
        <w:numPr>
          <w:ilvl w:val="0"/>
          <w:numId w:val="4"/>
        </w:numPr>
      </w:pPr>
      <w:bookmarkStart w:id="15" w:name="_Toc30594511"/>
      <w:bookmarkStart w:id="16" w:name="_Toc22897640"/>
      <w:r>
        <w:lastRenderedPageBreak/>
        <w:t>C</w:t>
      </w:r>
      <w:r w:rsidRPr="00407F2D">
        <w:t>onsideration of the evidence</w:t>
      </w:r>
      <w:bookmarkEnd w:id="15"/>
    </w:p>
    <w:p w:rsidR="00152B43" w:rsidRPr="00836F75" w:rsidRDefault="00152B43" w:rsidP="00D313F0">
      <w:pPr>
        <w:widowControl w:val="0"/>
        <w:spacing w:before="240" w:line="276" w:lineRule="auto"/>
        <w:outlineLvl w:val="1"/>
        <w:rPr>
          <w:rFonts w:asciiTheme="minorHAnsi" w:hAnsiTheme="minorHAnsi"/>
          <w:b/>
          <w:bCs/>
          <w:i/>
          <w:snapToGrid w:val="0"/>
          <w:sz w:val="28"/>
          <w:szCs w:val="28"/>
        </w:rPr>
      </w:pPr>
      <w:bookmarkStart w:id="17" w:name="_Toc30594512"/>
      <w:r w:rsidRPr="00836F75">
        <w:rPr>
          <w:rFonts w:asciiTheme="minorHAnsi" w:hAnsiTheme="minorHAnsi"/>
          <w:b/>
          <w:bCs/>
          <w:i/>
          <w:snapToGrid w:val="0"/>
          <w:sz w:val="28"/>
          <w:szCs w:val="28"/>
        </w:rPr>
        <w:t>Sponsor hearing</w:t>
      </w:r>
    </w:p>
    <w:p w:rsidR="00152B43" w:rsidRPr="00836F75" w:rsidRDefault="00152B43" w:rsidP="00152B43">
      <w:pPr>
        <w:widowControl w:val="0"/>
        <w:numPr>
          <w:ilvl w:val="1"/>
          <w:numId w:val="4"/>
        </w:numPr>
        <w:spacing w:after="120"/>
        <w:rPr>
          <w:rFonts w:asciiTheme="minorHAnsi" w:hAnsiTheme="minorHAnsi"/>
          <w:bCs/>
          <w:snapToGrid w:val="0"/>
        </w:rPr>
      </w:pPr>
      <w:r w:rsidRPr="00836F75">
        <w:rPr>
          <w:rFonts w:asciiTheme="minorHAnsi" w:hAnsiTheme="minorHAnsi"/>
          <w:bCs/>
          <w:snapToGrid w:val="0"/>
        </w:rPr>
        <w:t>There was no hearing for this item.</w:t>
      </w:r>
    </w:p>
    <w:p w:rsidR="00152B43" w:rsidRPr="00836F75" w:rsidRDefault="00152B43" w:rsidP="00D313F0">
      <w:pPr>
        <w:widowControl w:val="0"/>
        <w:spacing w:before="240" w:line="276" w:lineRule="auto"/>
        <w:outlineLvl w:val="1"/>
        <w:rPr>
          <w:rFonts w:asciiTheme="minorHAnsi" w:hAnsiTheme="minorHAnsi"/>
          <w:b/>
          <w:bCs/>
          <w:i/>
          <w:snapToGrid w:val="0"/>
          <w:sz w:val="28"/>
          <w:szCs w:val="28"/>
        </w:rPr>
      </w:pPr>
      <w:r w:rsidRPr="00836F75">
        <w:rPr>
          <w:rFonts w:asciiTheme="minorHAnsi" w:hAnsiTheme="minorHAnsi"/>
          <w:b/>
          <w:bCs/>
          <w:i/>
          <w:snapToGrid w:val="0"/>
          <w:sz w:val="28"/>
          <w:szCs w:val="28"/>
        </w:rPr>
        <w:t>Consumer comments</w:t>
      </w:r>
    </w:p>
    <w:p w:rsidR="00152B43" w:rsidRPr="00836F75" w:rsidRDefault="00152B43" w:rsidP="00152B43">
      <w:pPr>
        <w:widowControl w:val="0"/>
        <w:numPr>
          <w:ilvl w:val="1"/>
          <w:numId w:val="4"/>
        </w:numPr>
        <w:spacing w:after="120"/>
        <w:rPr>
          <w:rFonts w:asciiTheme="minorHAnsi" w:hAnsiTheme="minorHAnsi"/>
          <w:bCs/>
          <w:snapToGrid w:val="0"/>
        </w:rPr>
      </w:pPr>
      <w:r w:rsidRPr="00836F75">
        <w:rPr>
          <w:rFonts w:asciiTheme="minorHAnsi" w:hAnsiTheme="minorHAnsi"/>
          <w:bCs/>
          <w:snapToGrid w:val="0"/>
        </w:rPr>
        <w:t xml:space="preserve">The PBAC noted and welcomed the input from </w:t>
      </w:r>
      <w:r w:rsidR="00D313F0">
        <w:rPr>
          <w:rFonts w:asciiTheme="minorHAnsi" w:hAnsiTheme="minorHAnsi"/>
          <w:bCs/>
          <w:snapToGrid w:val="0"/>
        </w:rPr>
        <w:t>health care professionals (</w:t>
      </w:r>
      <w:r w:rsidRPr="00836F75">
        <w:rPr>
          <w:rFonts w:asciiTheme="minorHAnsi" w:hAnsiTheme="minorHAnsi"/>
          <w:bCs/>
          <w:snapToGrid w:val="0"/>
        </w:rPr>
        <w:t xml:space="preserve">7) and organisations (1) via the Consumer Comments facility on the PBS website. The comments described a range of benefits of treatment with </w:t>
      </w:r>
      <w:r w:rsidR="003302E4">
        <w:rPr>
          <w:rFonts w:asciiTheme="minorHAnsi" w:hAnsiTheme="minorHAnsi"/>
          <w:bCs/>
          <w:snapToGrid w:val="0"/>
        </w:rPr>
        <w:t xml:space="preserve">neoadjuvant </w:t>
      </w:r>
      <w:r w:rsidR="00D313F0">
        <w:rPr>
          <w:rFonts w:asciiTheme="minorHAnsi" w:hAnsiTheme="minorHAnsi"/>
          <w:bCs/>
          <w:snapToGrid w:val="0"/>
        </w:rPr>
        <w:t>pertuzumab</w:t>
      </w:r>
      <w:r w:rsidR="008E4BFB">
        <w:rPr>
          <w:rFonts w:asciiTheme="minorHAnsi" w:hAnsiTheme="minorHAnsi"/>
          <w:bCs/>
          <w:snapToGrid w:val="0"/>
        </w:rPr>
        <w:t xml:space="preserve">, noting potential </w:t>
      </w:r>
      <w:r w:rsidR="003302E4">
        <w:rPr>
          <w:rFonts w:asciiTheme="minorHAnsi" w:hAnsiTheme="minorHAnsi"/>
          <w:bCs/>
          <w:snapToGrid w:val="0"/>
        </w:rPr>
        <w:t xml:space="preserve">improvements in pCR </w:t>
      </w:r>
      <w:r w:rsidR="0056099E">
        <w:rPr>
          <w:rFonts w:asciiTheme="minorHAnsi" w:hAnsiTheme="minorHAnsi"/>
          <w:bCs/>
          <w:snapToGrid w:val="0"/>
        </w:rPr>
        <w:t>and associated</w:t>
      </w:r>
      <w:r w:rsidR="003302E4">
        <w:rPr>
          <w:rFonts w:asciiTheme="minorHAnsi" w:hAnsiTheme="minorHAnsi"/>
          <w:bCs/>
          <w:snapToGrid w:val="0"/>
        </w:rPr>
        <w:t xml:space="preserve"> tumour shrinkage and better surgical options for patients</w:t>
      </w:r>
      <w:r w:rsidR="0056099E">
        <w:rPr>
          <w:rFonts w:asciiTheme="minorHAnsi" w:hAnsiTheme="minorHAnsi"/>
          <w:bCs/>
          <w:snapToGrid w:val="0"/>
        </w:rPr>
        <w:t>,</w:t>
      </w:r>
      <w:r w:rsidR="003302E4">
        <w:rPr>
          <w:rFonts w:asciiTheme="minorHAnsi" w:hAnsiTheme="minorHAnsi"/>
          <w:bCs/>
          <w:snapToGrid w:val="0"/>
        </w:rPr>
        <w:t xml:space="preserve"> </w:t>
      </w:r>
      <w:r w:rsidR="00D836DC">
        <w:rPr>
          <w:rFonts w:asciiTheme="minorHAnsi" w:hAnsiTheme="minorHAnsi"/>
          <w:bCs/>
          <w:snapToGrid w:val="0"/>
        </w:rPr>
        <w:t>as well as</w:t>
      </w:r>
      <w:r w:rsidR="003302E4">
        <w:rPr>
          <w:rFonts w:asciiTheme="minorHAnsi" w:hAnsiTheme="minorHAnsi"/>
          <w:bCs/>
          <w:snapToGrid w:val="0"/>
        </w:rPr>
        <w:t xml:space="preserve"> improvements in prognosis and quality of life. The comments noted that pertuzumab </w:t>
      </w:r>
      <w:proofErr w:type="gramStart"/>
      <w:r w:rsidR="003302E4">
        <w:rPr>
          <w:rFonts w:asciiTheme="minorHAnsi" w:hAnsiTheme="minorHAnsi"/>
          <w:bCs/>
          <w:snapToGrid w:val="0"/>
        </w:rPr>
        <w:t xml:space="preserve">is </w:t>
      </w:r>
      <w:r w:rsidR="008E4BFB">
        <w:rPr>
          <w:rFonts w:asciiTheme="minorHAnsi" w:hAnsiTheme="minorHAnsi"/>
          <w:bCs/>
          <w:snapToGrid w:val="0"/>
        </w:rPr>
        <w:t xml:space="preserve">currently </w:t>
      </w:r>
      <w:r w:rsidR="003302E4">
        <w:rPr>
          <w:rFonts w:asciiTheme="minorHAnsi" w:hAnsiTheme="minorHAnsi"/>
          <w:bCs/>
          <w:snapToGrid w:val="0"/>
        </w:rPr>
        <w:t>well tolerated</w:t>
      </w:r>
      <w:proofErr w:type="gramEnd"/>
      <w:r w:rsidR="003302E4">
        <w:rPr>
          <w:rFonts w:asciiTheme="minorHAnsi" w:hAnsiTheme="minorHAnsi"/>
          <w:bCs/>
          <w:snapToGrid w:val="0"/>
        </w:rPr>
        <w:t xml:space="preserve"> and the toxicities are manageable. </w:t>
      </w:r>
    </w:p>
    <w:p w:rsidR="00152B43" w:rsidRDefault="00152B43" w:rsidP="00152B43">
      <w:pPr>
        <w:widowControl w:val="0"/>
        <w:numPr>
          <w:ilvl w:val="1"/>
          <w:numId w:val="4"/>
        </w:numPr>
        <w:spacing w:after="120"/>
        <w:rPr>
          <w:rFonts w:asciiTheme="minorHAnsi" w:hAnsiTheme="minorHAnsi"/>
          <w:bCs/>
          <w:snapToGrid w:val="0"/>
        </w:rPr>
      </w:pPr>
      <w:r w:rsidRPr="00836F75">
        <w:rPr>
          <w:rFonts w:asciiTheme="minorHAnsi" w:hAnsiTheme="minorHAnsi"/>
          <w:bCs/>
          <w:snapToGrid w:val="0"/>
        </w:rPr>
        <w:t xml:space="preserve">The PBAC noted the advice received from </w:t>
      </w:r>
      <w:r w:rsidR="00DD3D36">
        <w:rPr>
          <w:rFonts w:asciiTheme="minorHAnsi" w:hAnsiTheme="minorHAnsi"/>
          <w:bCs/>
          <w:snapToGrid w:val="0"/>
        </w:rPr>
        <w:t>Breast Cancer Network Australia</w:t>
      </w:r>
      <w:r w:rsidRPr="00836F75">
        <w:rPr>
          <w:rFonts w:asciiTheme="minorHAnsi" w:hAnsiTheme="minorHAnsi"/>
          <w:bCs/>
          <w:snapToGrid w:val="0"/>
        </w:rPr>
        <w:t xml:space="preserve"> </w:t>
      </w:r>
      <w:r w:rsidR="00DD3D36">
        <w:rPr>
          <w:rFonts w:asciiTheme="minorHAnsi" w:hAnsiTheme="minorHAnsi"/>
          <w:bCs/>
          <w:snapToGrid w:val="0"/>
        </w:rPr>
        <w:t>(BCNA)</w:t>
      </w:r>
      <w:r w:rsidR="00C43D95">
        <w:rPr>
          <w:rFonts w:asciiTheme="minorHAnsi" w:hAnsiTheme="minorHAnsi"/>
          <w:bCs/>
          <w:snapToGrid w:val="0"/>
        </w:rPr>
        <w:t xml:space="preserve"> that </w:t>
      </w:r>
      <w:r w:rsidR="003302E4" w:rsidRPr="00C43D95">
        <w:rPr>
          <w:rFonts w:asciiTheme="minorHAnsi" w:hAnsiTheme="minorHAnsi"/>
          <w:bCs/>
          <w:snapToGrid w:val="0"/>
        </w:rPr>
        <w:t xml:space="preserve">extending </w:t>
      </w:r>
      <w:r w:rsidRPr="00C43D95">
        <w:rPr>
          <w:rFonts w:asciiTheme="minorHAnsi" w:hAnsiTheme="minorHAnsi"/>
          <w:bCs/>
          <w:snapToGrid w:val="0"/>
        </w:rPr>
        <w:t xml:space="preserve">the </w:t>
      </w:r>
      <w:r w:rsidR="00CE3DD6" w:rsidRPr="00C43D95">
        <w:rPr>
          <w:rFonts w:asciiTheme="minorHAnsi" w:hAnsiTheme="minorHAnsi"/>
          <w:bCs/>
          <w:snapToGrid w:val="0"/>
        </w:rPr>
        <w:t xml:space="preserve">availability </w:t>
      </w:r>
      <w:r w:rsidRPr="00C43D95">
        <w:rPr>
          <w:rFonts w:asciiTheme="minorHAnsi" w:hAnsiTheme="minorHAnsi"/>
          <w:bCs/>
          <w:snapToGrid w:val="0"/>
        </w:rPr>
        <w:t xml:space="preserve">of </w:t>
      </w:r>
      <w:r w:rsidR="00840280" w:rsidRPr="00C43D95">
        <w:rPr>
          <w:rFonts w:asciiTheme="minorHAnsi" w:hAnsiTheme="minorHAnsi"/>
          <w:bCs/>
          <w:snapToGrid w:val="0"/>
        </w:rPr>
        <w:t>pertuzumab</w:t>
      </w:r>
      <w:r w:rsidRPr="00C43D95">
        <w:rPr>
          <w:rFonts w:asciiTheme="minorHAnsi" w:hAnsiTheme="minorHAnsi"/>
          <w:bCs/>
          <w:snapToGrid w:val="0"/>
        </w:rPr>
        <w:t xml:space="preserve"> </w:t>
      </w:r>
      <w:r w:rsidR="00CE3DD6" w:rsidRPr="00C43D95">
        <w:rPr>
          <w:rFonts w:asciiTheme="minorHAnsi" w:hAnsiTheme="minorHAnsi"/>
          <w:bCs/>
          <w:snapToGrid w:val="0"/>
        </w:rPr>
        <w:t xml:space="preserve">to the neoadjuvant setting </w:t>
      </w:r>
      <w:proofErr w:type="gramStart"/>
      <w:r w:rsidR="00CE3DD6" w:rsidRPr="00C43D95">
        <w:rPr>
          <w:rFonts w:asciiTheme="minorHAnsi" w:hAnsiTheme="minorHAnsi"/>
          <w:bCs/>
          <w:snapToGrid w:val="0"/>
        </w:rPr>
        <w:t>was supported</w:t>
      </w:r>
      <w:proofErr w:type="gramEnd"/>
      <w:r w:rsidR="00CE3DD6" w:rsidRPr="00C43D95">
        <w:rPr>
          <w:rFonts w:asciiTheme="minorHAnsi" w:hAnsiTheme="minorHAnsi"/>
          <w:bCs/>
          <w:snapToGrid w:val="0"/>
        </w:rPr>
        <w:t xml:space="preserve"> by the NEOSPHERE trial</w:t>
      </w:r>
      <w:r w:rsidR="00C43D95" w:rsidRPr="00C43D95">
        <w:rPr>
          <w:rFonts w:asciiTheme="minorHAnsi" w:hAnsiTheme="minorHAnsi"/>
          <w:bCs/>
          <w:snapToGrid w:val="0"/>
        </w:rPr>
        <w:t xml:space="preserve">. </w:t>
      </w:r>
      <w:r w:rsidR="00C65982">
        <w:rPr>
          <w:rFonts w:asciiTheme="minorHAnsi" w:hAnsiTheme="minorHAnsi"/>
          <w:bCs/>
          <w:snapToGrid w:val="0"/>
        </w:rPr>
        <w:t xml:space="preserve">The BCNA noted that T-DM1 in the adjuvant setting was recently recommended by the PBAC and </w:t>
      </w:r>
      <w:proofErr w:type="gramStart"/>
      <w:r w:rsidR="00C65982">
        <w:rPr>
          <w:rFonts w:asciiTheme="minorHAnsi" w:hAnsiTheme="minorHAnsi"/>
          <w:bCs/>
          <w:snapToGrid w:val="0"/>
        </w:rPr>
        <w:t>that pertuzumab in the neoadjuvant setting would be welcomed by the community</w:t>
      </w:r>
      <w:proofErr w:type="gramEnd"/>
      <w:r w:rsidR="00C65982">
        <w:rPr>
          <w:rFonts w:asciiTheme="minorHAnsi" w:hAnsiTheme="minorHAnsi"/>
          <w:bCs/>
          <w:snapToGrid w:val="0"/>
        </w:rPr>
        <w:t xml:space="preserve"> as it would provide another option for early breast cancer patients. </w:t>
      </w:r>
    </w:p>
    <w:p w:rsidR="00152B43" w:rsidRPr="005C3A2A" w:rsidRDefault="005C3A2A" w:rsidP="00045B24">
      <w:pPr>
        <w:pStyle w:val="3-BodyText"/>
      </w:pPr>
      <w:proofErr w:type="gramStart"/>
      <w:r w:rsidRPr="00A74363">
        <w:t xml:space="preserve">The Medical Oncology Group of Australia (MOGA) also expressed its strong support for the </w:t>
      </w:r>
      <w:r w:rsidR="00045B24">
        <w:t>pertuzumab</w:t>
      </w:r>
      <w:r w:rsidRPr="00A74363">
        <w:t xml:space="preserve"> submission, categorising it as one of the therapies of “high priority for PBS listing” on the basis of </w:t>
      </w:r>
      <w:r w:rsidR="0009469D">
        <w:t xml:space="preserve">increased pCR in </w:t>
      </w:r>
      <w:r w:rsidRPr="00A74363">
        <w:t xml:space="preserve">the </w:t>
      </w:r>
      <w:r w:rsidR="003121F9">
        <w:t xml:space="preserve">NEOSPHERE </w:t>
      </w:r>
      <w:r w:rsidRPr="00A74363">
        <w:t>trial</w:t>
      </w:r>
      <w:r w:rsidR="00CA4A52">
        <w:t xml:space="preserve">, </w:t>
      </w:r>
      <w:r w:rsidR="002E4D3E">
        <w:t>while noting that it was demonstrated that</w:t>
      </w:r>
      <w:r w:rsidR="002E4D3E" w:rsidRPr="002E4D3E">
        <w:t xml:space="preserve"> </w:t>
      </w:r>
      <w:r w:rsidR="002E4D3E">
        <w:t xml:space="preserve">pertuzumab had unknown </w:t>
      </w:r>
      <w:r w:rsidR="00B302EF">
        <w:t>overall survival (</w:t>
      </w:r>
      <w:r w:rsidR="002E4D3E">
        <w:t>OS</w:t>
      </w:r>
      <w:r w:rsidR="00B302EF">
        <w:t>)</w:t>
      </w:r>
      <w:r w:rsidR="002E4D3E">
        <w:t xml:space="preserve"> benefit, </w:t>
      </w:r>
      <w:r w:rsidR="0036224C">
        <w:t xml:space="preserve">and </w:t>
      </w:r>
      <w:r w:rsidR="002E4D3E">
        <w:t>no</w:t>
      </w:r>
      <w:r w:rsidR="00B302EF">
        <w:t xml:space="preserve"> progression free survival</w:t>
      </w:r>
      <w:r w:rsidR="002E4D3E">
        <w:t xml:space="preserve"> </w:t>
      </w:r>
      <w:r w:rsidR="00B302EF">
        <w:t>(</w:t>
      </w:r>
      <w:r w:rsidR="002E4D3E">
        <w:t>PFS</w:t>
      </w:r>
      <w:r w:rsidR="00B302EF">
        <w:t>)</w:t>
      </w:r>
      <w:r w:rsidR="002E4D3E">
        <w:t xml:space="preserve"> </w:t>
      </w:r>
      <w:r w:rsidR="0009469D">
        <w:t>or</w:t>
      </w:r>
      <w:r w:rsidR="002E4D3E">
        <w:t xml:space="preserve"> quality of life benefit</w:t>
      </w:r>
      <w:r w:rsidRPr="00A74363">
        <w:t>.</w:t>
      </w:r>
      <w:proofErr w:type="gramEnd"/>
      <w:r w:rsidRPr="00A74363">
        <w:t xml:space="preserve"> </w:t>
      </w:r>
      <w:proofErr w:type="gramStart"/>
      <w:r w:rsidRPr="00A74363">
        <w:t xml:space="preserve">The PBAC noted that the MOGA presented a European Society for Medical Oncology Magnitude of Clinical Benefit Scale (ESMO-MCBS) </w:t>
      </w:r>
      <w:r w:rsidRPr="00525B39">
        <w:t xml:space="preserve">for </w:t>
      </w:r>
      <w:r w:rsidR="00045B24">
        <w:t>Ptz+</w:t>
      </w:r>
      <w:r w:rsidR="00A436C5">
        <w:t>T+Chemo</w:t>
      </w:r>
      <w:r w:rsidR="003121F9">
        <w:t>, which was limited to C</w:t>
      </w:r>
      <w:r w:rsidRPr="00525B39">
        <w:t xml:space="preserve"> (</w:t>
      </w:r>
      <w:r w:rsidR="00045B24" w:rsidRPr="00045B24">
        <w:rPr>
          <w:bCs/>
        </w:rPr>
        <w:t>out of A, B and C, where A and B represent the grades with substantial improvement for new approaches to adjuvant therapy or new potentially curative therapies</w:t>
      </w:r>
      <w:r w:rsidRPr="00525B39">
        <w:t>)</w:t>
      </w:r>
      <w:r>
        <w:rPr>
          <w:rStyle w:val="FootnoteReference"/>
          <w:bCs/>
        </w:rPr>
        <w:footnoteReference w:id="4"/>
      </w:r>
      <w:r w:rsidRPr="00525B39">
        <w:t xml:space="preserve">, based on a comparison with </w:t>
      </w:r>
      <w:r w:rsidR="00045B24">
        <w:t>T+Chemo</w:t>
      </w:r>
      <w:r>
        <w:t>.</w:t>
      </w:r>
      <w:proofErr w:type="gramEnd"/>
      <w:r w:rsidR="00C52728">
        <w:t xml:space="preserve"> </w:t>
      </w:r>
    </w:p>
    <w:p w:rsidR="00872AAD" w:rsidRPr="00C9624D" w:rsidRDefault="00872AAD" w:rsidP="000D09D2">
      <w:pPr>
        <w:pStyle w:val="ES-SubSection"/>
      </w:pPr>
      <w:r w:rsidRPr="00C9624D">
        <w:t>Clinical trials</w:t>
      </w:r>
      <w:bookmarkEnd w:id="16"/>
      <w:bookmarkEnd w:id="17"/>
    </w:p>
    <w:p w:rsidR="00872AAD" w:rsidRPr="006A526E" w:rsidRDefault="00872AAD" w:rsidP="00C059E3">
      <w:pPr>
        <w:pStyle w:val="3-BodyText"/>
      </w:pPr>
      <w:r w:rsidRPr="006A526E">
        <w:rPr>
          <w:snapToGrid/>
          <w:lang w:val="en-US"/>
        </w:rPr>
        <w:t xml:space="preserve">The submission based comparative efficacy on one Phase II, open label, randomised four-arm trial, NEOSPHERE, comparing four cycles of </w:t>
      </w:r>
      <w:r w:rsidR="003B252B" w:rsidRPr="006A526E">
        <w:rPr>
          <w:snapToGrid/>
          <w:lang w:val="en-US"/>
        </w:rPr>
        <w:t>Ptz+T</w:t>
      </w:r>
      <w:r w:rsidR="00A36E79">
        <w:rPr>
          <w:snapToGrid/>
          <w:lang w:val="en-US"/>
        </w:rPr>
        <w:t>+D</w:t>
      </w:r>
      <w:r w:rsidRPr="006A526E">
        <w:rPr>
          <w:snapToGrid/>
          <w:lang w:val="en-US"/>
        </w:rPr>
        <w:t xml:space="preserve"> (N=107) versus four cycles of </w:t>
      </w:r>
      <w:r w:rsidR="00FD5195" w:rsidRPr="006A526E">
        <w:rPr>
          <w:snapToGrid/>
          <w:lang w:val="en-US"/>
        </w:rPr>
        <w:t>T+D</w:t>
      </w:r>
      <w:r w:rsidRPr="006A526E">
        <w:rPr>
          <w:snapToGrid/>
          <w:lang w:val="en-US"/>
        </w:rPr>
        <w:t xml:space="preserve"> (N=107) in the neoadjuvant setting, in treatment-naïve women with HER2-positive breast cancer. </w:t>
      </w:r>
    </w:p>
    <w:p w:rsidR="00872AAD" w:rsidRPr="006A526E" w:rsidRDefault="0067786D" w:rsidP="000D01A4">
      <w:pPr>
        <w:pStyle w:val="3-BodyText"/>
      </w:pPr>
      <w:r>
        <w:rPr>
          <w:snapToGrid/>
          <w:lang w:val="en-US"/>
        </w:rPr>
        <w:t>The submission identified a second</w:t>
      </w:r>
      <w:r w:rsidRPr="006A526E">
        <w:rPr>
          <w:snapToGrid/>
          <w:lang w:val="en-US"/>
        </w:rPr>
        <w:t xml:space="preserve"> </w:t>
      </w:r>
      <w:r>
        <w:rPr>
          <w:snapToGrid/>
          <w:lang w:val="en-US"/>
        </w:rPr>
        <w:t>p</w:t>
      </w:r>
      <w:r w:rsidR="00872AAD" w:rsidRPr="006A526E">
        <w:rPr>
          <w:snapToGrid/>
          <w:lang w:val="en-US"/>
        </w:rPr>
        <w:t>hase II, open label, randomised three-arm trial,</w:t>
      </w:r>
      <w:r w:rsidR="00075261">
        <w:rPr>
          <w:snapToGrid/>
          <w:lang w:val="en-US"/>
        </w:rPr>
        <w:t xml:space="preserve"> </w:t>
      </w:r>
      <w:r w:rsidR="00872AAD" w:rsidRPr="006A526E">
        <w:rPr>
          <w:snapToGrid/>
          <w:lang w:val="en-US"/>
        </w:rPr>
        <w:t xml:space="preserve">TRYPHAENA, </w:t>
      </w:r>
      <w:r>
        <w:rPr>
          <w:snapToGrid/>
          <w:lang w:val="en-US"/>
        </w:rPr>
        <w:t xml:space="preserve">which </w:t>
      </w:r>
      <w:r w:rsidR="00872AAD" w:rsidRPr="006A526E">
        <w:rPr>
          <w:snapToGrid/>
          <w:lang w:val="en-US"/>
        </w:rPr>
        <w:t xml:space="preserve">compared six cycles of pertuzumab, trastuzumab and either anthracycline-based (N=73) or carboplatin-based (N=77) chemotherapy, as </w:t>
      </w:r>
      <w:r w:rsidR="00872AAD" w:rsidRPr="006A526E">
        <w:rPr>
          <w:snapToGrid/>
          <w:lang w:val="en-US"/>
        </w:rPr>
        <w:lastRenderedPageBreak/>
        <w:t xml:space="preserve">neoadjuvant treatment, in women with early and advanced HER2 breast cancer. Results </w:t>
      </w:r>
      <w:proofErr w:type="gramStart"/>
      <w:r w:rsidR="00872AAD" w:rsidRPr="006A526E">
        <w:rPr>
          <w:snapToGrid/>
          <w:lang w:val="en-US"/>
        </w:rPr>
        <w:t>were used</w:t>
      </w:r>
      <w:proofErr w:type="gramEnd"/>
      <w:r w:rsidR="00872AAD" w:rsidRPr="006A526E">
        <w:rPr>
          <w:snapToGrid/>
          <w:lang w:val="en-US"/>
        </w:rPr>
        <w:t xml:space="preserve"> as supportive evidence for tolerability and safety</w:t>
      </w:r>
      <w:r w:rsidR="00872AAD" w:rsidRPr="006A526E">
        <w:t xml:space="preserve">. </w:t>
      </w:r>
    </w:p>
    <w:p w:rsidR="00872AAD" w:rsidRPr="00140FC0" w:rsidRDefault="00872AAD" w:rsidP="00CE3BBC">
      <w:pPr>
        <w:pStyle w:val="3-BodyText"/>
      </w:pPr>
      <w:r w:rsidRPr="006A526E">
        <w:t xml:space="preserve">PEONY is a Phase III, double-blind, randomised trial comparing four cycles of </w:t>
      </w:r>
      <w:r w:rsidR="00E40577" w:rsidRPr="006A526E">
        <w:t>Ptz+T+D</w:t>
      </w:r>
      <w:r w:rsidRPr="006A526E">
        <w:t xml:space="preserve"> (N=219) versus four cycles of </w:t>
      </w:r>
      <w:r w:rsidR="00E40577" w:rsidRPr="006A526E">
        <w:t>T+D</w:t>
      </w:r>
      <w:r w:rsidRPr="006A526E">
        <w:t xml:space="preserve"> (N=110) as neoadjuvant treatment in chemotherapy-naïve Asian patients with </w:t>
      </w:r>
      <w:r w:rsidR="009556D7">
        <w:t>HER2+</w:t>
      </w:r>
      <w:r w:rsidRPr="006A526E">
        <w:t xml:space="preserve"> early or locally advanced </w:t>
      </w:r>
      <w:r w:rsidRPr="006A526E">
        <w:rPr>
          <w:snapToGrid/>
          <w:lang w:val="en-US"/>
        </w:rPr>
        <w:t>breast cancer</w:t>
      </w:r>
      <w:r w:rsidRPr="006A526E" w:rsidDel="00DC32D9">
        <w:t xml:space="preserve"> </w:t>
      </w:r>
      <w:r w:rsidRPr="006A526E">
        <w:t>(Shao 2019). The submission excluded the PEONY trial on the grounds of “incorrect intervention”</w:t>
      </w:r>
      <w:r w:rsidR="006E6351">
        <w:t>. As the</w:t>
      </w:r>
      <w:r w:rsidRPr="006A526E">
        <w:t xml:space="preserve"> results of total</w:t>
      </w:r>
      <w:r w:rsidR="008869AC">
        <w:t xml:space="preserve"> pCR</w:t>
      </w:r>
      <w:r w:rsidRPr="006A526E">
        <w:t xml:space="preserve"> after neoadjuvant treatment and surgery are relevant to the current </w:t>
      </w:r>
      <w:proofErr w:type="gramStart"/>
      <w:r w:rsidRPr="006A526E">
        <w:t>submission</w:t>
      </w:r>
      <w:proofErr w:type="gramEnd"/>
      <w:r w:rsidR="0067786D">
        <w:t xml:space="preserve"> th</w:t>
      </w:r>
      <w:r w:rsidRPr="006A526E">
        <w:t>e</w:t>
      </w:r>
      <w:r w:rsidR="0067786D">
        <w:t xml:space="preserve"> evaluators included the</w:t>
      </w:r>
      <w:r w:rsidRPr="006A526E">
        <w:t xml:space="preserve"> </w:t>
      </w:r>
      <w:r w:rsidR="0067786D">
        <w:t xml:space="preserve">results from the </w:t>
      </w:r>
      <w:r w:rsidRPr="006A526E">
        <w:t xml:space="preserve">PEONY trial </w:t>
      </w:r>
      <w:r w:rsidR="0067786D">
        <w:t xml:space="preserve">in the </w:t>
      </w:r>
      <w:r w:rsidRPr="00140FC0">
        <w:t>Commentary.</w:t>
      </w:r>
      <w:r w:rsidR="000E0348" w:rsidRPr="00140FC0">
        <w:t xml:space="preserve"> The PSCR </w:t>
      </w:r>
      <w:r w:rsidR="00CE3BBC" w:rsidRPr="00140FC0">
        <w:t>claimed that d</w:t>
      </w:r>
      <w:r w:rsidR="00CE3BBC" w:rsidRPr="00140FC0">
        <w:rPr>
          <w:iCs/>
        </w:rPr>
        <w:t xml:space="preserve">espite not being formally included in the submission, the results of PEONY support the main claim of superior efficacy </w:t>
      </w:r>
      <w:r w:rsidR="0067786D" w:rsidRPr="00140FC0">
        <w:rPr>
          <w:iCs/>
        </w:rPr>
        <w:t>with</w:t>
      </w:r>
      <w:r w:rsidR="00CE3BBC" w:rsidRPr="00140FC0">
        <w:rPr>
          <w:iCs/>
        </w:rPr>
        <w:t xml:space="preserve"> the addition of pertuzumab to neoadjuvant trastuzumab and chemotherapy. </w:t>
      </w:r>
      <w:r w:rsidR="00652047" w:rsidRPr="00140FC0">
        <w:rPr>
          <w:iCs/>
        </w:rPr>
        <w:t xml:space="preserve">The ESC considered it was </w:t>
      </w:r>
      <w:r w:rsidR="0067786D" w:rsidRPr="00140FC0">
        <w:rPr>
          <w:iCs/>
        </w:rPr>
        <w:t>appropriate</w:t>
      </w:r>
      <w:r w:rsidR="00652047" w:rsidRPr="00140FC0">
        <w:rPr>
          <w:iCs/>
        </w:rPr>
        <w:t xml:space="preserve"> for this trial to be included.</w:t>
      </w:r>
      <w:r w:rsidR="00CE3BBC" w:rsidRPr="00140FC0">
        <w:rPr>
          <w:iCs/>
        </w:rPr>
        <w:t xml:space="preserve"> </w:t>
      </w:r>
    </w:p>
    <w:p w:rsidR="00872AAD" w:rsidRPr="00B50DB8" w:rsidRDefault="00872AAD" w:rsidP="000D01A4">
      <w:pPr>
        <w:pStyle w:val="3-BodyText"/>
      </w:pPr>
      <w:r>
        <w:rPr>
          <w:snapToGrid/>
          <w:lang w:val="en-US"/>
        </w:rPr>
        <w:t>Details of the trials presented in the submission</w:t>
      </w:r>
      <w:r w:rsidRPr="00C80F0B">
        <w:rPr>
          <w:snapToGrid/>
          <w:lang w:val="en-US"/>
        </w:rPr>
        <w:t xml:space="preserve">, </w:t>
      </w:r>
      <w:r w:rsidRPr="00C80F0B">
        <w:rPr>
          <w:iCs/>
          <w:snapToGrid/>
          <w:lang w:val="en-US"/>
        </w:rPr>
        <w:t xml:space="preserve">together with PEONY, </w:t>
      </w:r>
      <w:proofErr w:type="gramStart"/>
      <w:r w:rsidRPr="00C80F0B">
        <w:rPr>
          <w:snapToGrid/>
          <w:lang w:val="en-US"/>
        </w:rPr>
        <w:t>a</w:t>
      </w:r>
      <w:r w:rsidR="00344028" w:rsidRPr="00C80F0B">
        <w:rPr>
          <w:snapToGrid/>
          <w:lang w:val="en-US"/>
        </w:rPr>
        <w:t>re</w:t>
      </w:r>
      <w:r w:rsidR="00E8726A">
        <w:rPr>
          <w:snapToGrid/>
          <w:lang w:val="en-US"/>
        </w:rPr>
        <w:t xml:space="preserve"> provided</w:t>
      </w:r>
      <w:proofErr w:type="gramEnd"/>
      <w:r w:rsidR="00E8726A">
        <w:rPr>
          <w:snapToGrid/>
          <w:lang w:val="en-US"/>
        </w:rPr>
        <w:t xml:space="preserve"> in Table 2</w:t>
      </w:r>
      <w:r w:rsidR="00344028">
        <w:rPr>
          <w:snapToGrid/>
          <w:lang w:val="en-US"/>
        </w:rPr>
        <w:t>.</w:t>
      </w:r>
    </w:p>
    <w:p w:rsidR="00872AAD" w:rsidRPr="009E19E1" w:rsidRDefault="000D09D2" w:rsidP="00075261">
      <w:pPr>
        <w:pStyle w:val="TableFigureHeading"/>
        <w:widowControl w:val="0"/>
      </w:pPr>
      <w:bookmarkStart w:id="18" w:name="_Hlk28506273"/>
      <w:r w:rsidRPr="000D09D2">
        <w:t xml:space="preserve">Table </w:t>
      </w:r>
      <w:r w:rsidR="00550A5E">
        <w:rPr>
          <w:noProof/>
        </w:rPr>
        <w:t>2</w:t>
      </w:r>
      <w:r w:rsidR="00872AAD" w:rsidRPr="000D09D2">
        <w:t>:</w:t>
      </w:r>
      <w:r w:rsidR="00872AAD" w:rsidRPr="009E19E1">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5"/>
        <w:gridCol w:w="6344"/>
        <w:gridCol w:w="1408"/>
      </w:tblGrid>
      <w:tr w:rsidR="00872AAD" w:rsidRPr="00B41614" w:rsidTr="00C059E3">
        <w:trPr>
          <w:cantSplit/>
          <w:tblHeader/>
        </w:trPr>
        <w:tc>
          <w:tcPr>
            <w:tcW w:w="701" w:type="pct"/>
            <w:vAlign w:val="center"/>
          </w:tcPr>
          <w:p w:rsidR="00872AAD" w:rsidRPr="00B41614" w:rsidRDefault="00872AAD" w:rsidP="00075261">
            <w:pPr>
              <w:pStyle w:val="In-tableHeading"/>
              <w:widowControl w:val="0"/>
              <w:contextualSpacing/>
            </w:pPr>
            <w:r w:rsidRPr="00B41614">
              <w:t>Trial ID</w:t>
            </w:r>
          </w:p>
        </w:tc>
        <w:tc>
          <w:tcPr>
            <w:tcW w:w="3518" w:type="pct"/>
            <w:tcBorders>
              <w:bottom w:val="single" w:sz="4" w:space="0" w:color="auto"/>
            </w:tcBorders>
            <w:vAlign w:val="center"/>
          </w:tcPr>
          <w:p w:rsidR="00872AAD" w:rsidRPr="00B41614" w:rsidRDefault="00872AAD" w:rsidP="00075261">
            <w:pPr>
              <w:pStyle w:val="In-tableHeading"/>
              <w:widowControl w:val="0"/>
              <w:contextualSpacing/>
            </w:pPr>
            <w:r w:rsidRPr="00B41614">
              <w:t>Protocol title/ Publication title</w:t>
            </w:r>
          </w:p>
        </w:tc>
        <w:tc>
          <w:tcPr>
            <w:tcW w:w="781" w:type="pct"/>
            <w:tcBorders>
              <w:bottom w:val="single" w:sz="4" w:space="0" w:color="auto"/>
            </w:tcBorders>
            <w:vAlign w:val="center"/>
          </w:tcPr>
          <w:p w:rsidR="00872AAD" w:rsidRPr="00B41614" w:rsidRDefault="00872AAD" w:rsidP="00075261">
            <w:pPr>
              <w:pStyle w:val="In-tableHeading"/>
              <w:widowControl w:val="0"/>
              <w:contextualSpacing/>
            </w:pPr>
            <w:r w:rsidRPr="00B41614">
              <w:t>Publication citation</w:t>
            </w:r>
          </w:p>
        </w:tc>
      </w:tr>
      <w:tr w:rsidR="00872AAD" w:rsidRPr="00CB38A8" w:rsidTr="00C059E3">
        <w:trPr>
          <w:cantSplit/>
        </w:trPr>
        <w:tc>
          <w:tcPr>
            <w:tcW w:w="701" w:type="pct"/>
            <w:vMerge w:val="restart"/>
            <w:vAlign w:val="center"/>
          </w:tcPr>
          <w:p w:rsidR="00872AAD" w:rsidRPr="00CB38A8" w:rsidRDefault="00872AAD" w:rsidP="00075261">
            <w:pPr>
              <w:pStyle w:val="TableText0"/>
              <w:widowControl w:val="0"/>
              <w:contextualSpacing/>
            </w:pPr>
            <w:r>
              <w:t>NEOSPHERE (</w:t>
            </w:r>
            <w:r w:rsidRPr="0021648C">
              <w:t>NCT00545688</w:t>
            </w:r>
            <w:r>
              <w:t>)</w:t>
            </w:r>
          </w:p>
        </w:tc>
        <w:tc>
          <w:tcPr>
            <w:tcW w:w="3518" w:type="pct"/>
            <w:tcBorders>
              <w:bottom w:val="nil"/>
            </w:tcBorders>
            <w:vAlign w:val="center"/>
          </w:tcPr>
          <w:p w:rsidR="00872AAD" w:rsidRDefault="00872AAD" w:rsidP="00075261">
            <w:pPr>
              <w:pStyle w:val="TableText0"/>
              <w:widowControl w:val="0"/>
              <w:contextualSpacing/>
              <w:rPr>
                <w:szCs w:val="20"/>
              </w:rPr>
            </w:pPr>
            <w:r w:rsidRPr="001F17A6">
              <w:rPr>
                <w:szCs w:val="20"/>
              </w:rPr>
              <w:t xml:space="preserve">Clinical Study Report WO20697 - A randomised, </w:t>
            </w:r>
            <w:proofErr w:type="spellStart"/>
            <w:r w:rsidRPr="001F17A6">
              <w:rPr>
                <w:szCs w:val="20"/>
              </w:rPr>
              <w:t>multicenter</w:t>
            </w:r>
            <w:proofErr w:type="spellEnd"/>
            <w:r w:rsidRPr="001F17A6">
              <w:rPr>
                <w:szCs w:val="20"/>
              </w:rPr>
              <w:t>, multinational Phase II study on trastuzumab plus docetaxel versus trastuzumab plus docetaxel plus pertuzumab versus trastuzumab plus pertuzumab versus pertuzumab and docetaxel in patients with locally advanced, inflammatory or early stage HER2 positive breast cancer.</w:t>
            </w:r>
          </w:p>
          <w:p w:rsidR="00872AAD" w:rsidRDefault="00872AAD" w:rsidP="00075261">
            <w:pPr>
              <w:pStyle w:val="TableText0"/>
              <w:widowControl w:val="0"/>
              <w:contextualSpacing/>
              <w:rPr>
                <w:szCs w:val="20"/>
              </w:rPr>
            </w:pPr>
            <w:r w:rsidRPr="001F17A6">
              <w:rPr>
                <w:szCs w:val="20"/>
              </w:rPr>
              <w:t>Primary CSR</w:t>
            </w:r>
            <w:r>
              <w:t xml:space="preserve"> </w:t>
            </w:r>
            <w:r w:rsidRPr="007A51A3">
              <w:rPr>
                <w:szCs w:val="20"/>
              </w:rPr>
              <w:t>WO20697</w:t>
            </w:r>
            <w:r>
              <w:rPr>
                <w:szCs w:val="20"/>
              </w:rPr>
              <w:t xml:space="preserve"> (</w:t>
            </w:r>
            <w:r w:rsidRPr="001F17A6">
              <w:rPr>
                <w:szCs w:val="20"/>
              </w:rPr>
              <w:t>Report No. 1032196</w:t>
            </w:r>
            <w:r>
              <w:rPr>
                <w:szCs w:val="20"/>
              </w:rPr>
              <w:t>)</w:t>
            </w:r>
            <w:r w:rsidRPr="001F17A6">
              <w:rPr>
                <w:szCs w:val="20"/>
              </w:rPr>
              <w:t>, version 3</w:t>
            </w:r>
            <w:r>
              <w:rPr>
                <w:szCs w:val="20"/>
              </w:rPr>
              <w:t>, June 2011</w:t>
            </w:r>
          </w:p>
          <w:p w:rsidR="00872AAD" w:rsidRDefault="00872AAD" w:rsidP="00075261">
            <w:pPr>
              <w:pStyle w:val="TableText0"/>
              <w:widowControl w:val="0"/>
              <w:contextualSpacing/>
              <w:rPr>
                <w:szCs w:val="20"/>
              </w:rPr>
            </w:pPr>
            <w:r w:rsidRPr="001F17A6">
              <w:rPr>
                <w:szCs w:val="20"/>
              </w:rPr>
              <w:t>Update CSR</w:t>
            </w:r>
            <w:r>
              <w:t xml:space="preserve"> </w:t>
            </w:r>
            <w:r w:rsidRPr="007A51A3">
              <w:rPr>
                <w:szCs w:val="20"/>
              </w:rPr>
              <w:t>WO20697</w:t>
            </w:r>
            <w:r>
              <w:rPr>
                <w:szCs w:val="20"/>
              </w:rPr>
              <w:t xml:space="preserve"> (</w:t>
            </w:r>
            <w:r w:rsidRPr="001F17A6">
              <w:rPr>
                <w:szCs w:val="20"/>
              </w:rPr>
              <w:t>Report No. 1053542</w:t>
            </w:r>
            <w:r>
              <w:rPr>
                <w:szCs w:val="20"/>
              </w:rPr>
              <w:t>), March 2013.</w:t>
            </w:r>
          </w:p>
          <w:p w:rsidR="00872AAD" w:rsidRDefault="00872AAD" w:rsidP="00075261">
            <w:pPr>
              <w:pStyle w:val="TableText0"/>
              <w:widowControl w:val="0"/>
              <w:contextualSpacing/>
              <w:rPr>
                <w:szCs w:val="20"/>
              </w:rPr>
            </w:pPr>
            <w:r w:rsidRPr="001F17A6">
              <w:rPr>
                <w:szCs w:val="20"/>
              </w:rPr>
              <w:t>Second Update CSR</w:t>
            </w:r>
            <w:r>
              <w:rPr>
                <w:szCs w:val="20"/>
              </w:rPr>
              <w:t xml:space="preserve"> </w:t>
            </w:r>
            <w:r w:rsidRPr="007A51A3">
              <w:rPr>
                <w:szCs w:val="20"/>
              </w:rPr>
              <w:t xml:space="preserve">WO20697 </w:t>
            </w:r>
            <w:r>
              <w:rPr>
                <w:szCs w:val="20"/>
              </w:rPr>
              <w:t>(</w:t>
            </w:r>
            <w:r w:rsidRPr="001F17A6">
              <w:rPr>
                <w:szCs w:val="20"/>
              </w:rPr>
              <w:t>Report No. 1057938</w:t>
            </w:r>
            <w:r>
              <w:rPr>
                <w:szCs w:val="20"/>
              </w:rPr>
              <w:t>), February 2014.</w:t>
            </w:r>
          </w:p>
          <w:p w:rsidR="00872AAD" w:rsidRPr="001F17A6" w:rsidRDefault="00872AAD" w:rsidP="00075261">
            <w:pPr>
              <w:pStyle w:val="TableText0"/>
              <w:widowControl w:val="0"/>
              <w:contextualSpacing/>
              <w:rPr>
                <w:szCs w:val="20"/>
              </w:rPr>
            </w:pPr>
            <w:r w:rsidRPr="001F17A6">
              <w:rPr>
                <w:szCs w:val="20"/>
              </w:rPr>
              <w:t>Final CSR</w:t>
            </w:r>
            <w:r>
              <w:rPr>
                <w:szCs w:val="20"/>
              </w:rPr>
              <w:t xml:space="preserve"> </w:t>
            </w:r>
            <w:r w:rsidRPr="001F17A6">
              <w:rPr>
                <w:szCs w:val="20"/>
              </w:rPr>
              <w:t>WO20697</w:t>
            </w:r>
            <w:r>
              <w:rPr>
                <w:szCs w:val="20"/>
              </w:rPr>
              <w:t xml:space="preserve"> (</w:t>
            </w:r>
            <w:r w:rsidRPr="001F17A6">
              <w:rPr>
                <w:szCs w:val="20"/>
              </w:rPr>
              <w:t>Report No. 1062345</w:t>
            </w:r>
            <w:r>
              <w:rPr>
                <w:szCs w:val="20"/>
              </w:rPr>
              <w:t>), February 2015.</w:t>
            </w:r>
          </w:p>
        </w:tc>
        <w:tc>
          <w:tcPr>
            <w:tcW w:w="781" w:type="pct"/>
            <w:tcBorders>
              <w:bottom w:val="nil"/>
            </w:tcBorders>
            <w:vAlign w:val="center"/>
          </w:tcPr>
          <w:p w:rsidR="00872AAD" w:rsidRPr="00CB38A8" w:rsidRDefault="00872AAD" w:rsidP="00075261">
            <w:pPr>
              <w:pStyle w:val="TableText0"/>
              <w:widowControl w:val="0"/>
              <w:contextualSpacing/>
            </w:pPr>
          </w:p>
        </w:tc>
      </w:tr>
      <w:tr w:rsidR="00872AAD" w:rsidRPr="00CB38A8" w:rsidTr="00C059E3">
        <w:trPr>
          <w:cantSplit/>
        </w:trPr>
        <w:tc>
          <w:tcPr>
            <w:tcW w:w="701" w:type="pct"/>
            <w:vMerge/>
            <w:vAlign w:val="center"/>
          </w:tcPr>
          <w:p w:rsidR="00872AAD" w:rsidRPr="00CB38A8" w:rsidRDefault="00872AAD" w:rsidP="00344028">
            <w:pPr>
              <w:pStyle w:val="TableText0"/>
              <w:keepNext w:val="0"/>
              <w:widowControl w:val="0"/>
              <w:contextualSpacing/>
            </w:pPr>
          </w:p>
        </w:tc>
        <w:tc>
          <w:tcPr>
            <w:tcW w:w="3518" w:type="pct"/>
            <w:tcBorders>
              <w:top w:val="nil"/>
              <w:bottom w:val="nil"/>
            </w:tcBorders>
            <w:vAlign w:val="center"/>
          </w:tcPr>
          <w:p w:rsidR="00872AAD" w:rsidRPr="001F17A6" w:rsidRDefault="00872AAD" w:rsidP="00344028">
            <w:pPr>
              <w:pStyle w:val="TableText0"/>
              <w:keepNext w:val="0"/>
              <w:widowControl w:val="0"/>
              <w:contextualSpacing/>
              <w:rPr>
                <w:szCs w:val="20"/>
              </w:rPr>
            </w:pPr>
            <w:r w:rsidRPr="001F17A6">
              <w:rPr>
                <w:szCs w:val="20"/>
                <w:lang w:val="en-US"/>
              </w:rPr>
              <w:t xml:space="preserve">Gianni L, Pienkowski T, et al. </w:t>
            </w:r>
            <w:r w:rsidRPr="001F17A6">
              <w:rPr>
                <w:szCs w:val="20"/>
              </w:rPr>
              <w:t>Efficacy and safety of neoadjuvant pertuzumab and trastuzumab in women with locally advanced, inflammatory, or early HER2-positive breast cancer (NeoSphere): a randomised multicentre, open-label, phase 2 trial.</w:t>
            </w:r>
          </w:p>
        </w:tc>
        <w:tc>
          <w:tcPr>
            <w:tcW w:w="781" w:type="pct"/>
            <w:tcBorders>
              <w:top w:val="nil"/>
              <w:bottom w:val="nil"/>
            </w:tcBorders>
            <w:vAlign w:val="center"/>
          </w:tcPr>
          <w:p w:rsidR="00872AAD" w:rsidRDefault="00872AAD" w:rsidP="00344028">
            <w:pPr>
              <w:pStyle w:val="TableText0"/>
              <w:keepNext w:val="0"/>
              <w:widowControl w:val="0"/>
              <w:contextualSpacing/>
              <w:rPr>
                <w:i/>
                <w:szCs w:val="18"/>
              </w:rPr>
            </w:pPr>
            <w:r>
              <w:rPr>
                <w:i/>
                <w:szCs w:val="18"/>
                <w:lang w:val="en-US"/>
              </w:rPr>
              <w:t>Lancet</w:t>
            </w:r>
            <w:r>
              <w:rPr>
                <w:iCs/>
                <w:szCs w:val="18"/>
                <w:lang w:val="en-US"/>
              </w:rPr>
              <w:t xml:space="preserve"> 2012; 13(1):25-32</w:t>
            </w:r>
          </w:p>
        </w:tc>
      </w:tr>
      <w:tr w:rsidR="00872AAD" w:rsidRPr="00CB38A8" w:rsidTr="00C059E3">
        <w:trPr>
          <w:cantSplit/>
        </w:trPr>
        <w:tc>
          <w:tcPr>
            <w:tcW w:w="701" w:type="pct"/>
            <w:vMerge/>
            <w:vAlign w:val="center"/>
          </w:tcPr>
          <w:p w:rsidR="00872AAD" w:rsidRPr="00CB38A8" w:rsidRDefault="00872AAD" w:rsidP="00344028">
            <w:pPr>
              <w:pStyle w:val="TableText0"/>
              <w:keepNext w:val="0"/>
              <w:widowControl w:val="0"/>
              <w:contextualSpacing/>
            </w:pPr>
          </w:p>
        </w:tc>
        <w:tc>
          <w:tcPr>
            <w:tcW w:w="3518" w:type="pct"/>
            <w:tcBorders>
              <w:top w:val="nil"/>
              <w:bottom w:val="nil"/>
            </w:tcBorders>
            <w:vAlign w:val="center"/>
          </w:tcPr>
          <w:p w:rsidR="00872AAD" w:rsidRPr="001F17A6" w:rsidRDefault="00872AAD" w:rsidP="00344028">
            <w:pPr>
              <w:pStyle w:val="TableText0"/>
              <w:keepNext w:val="0"/>
              <w:widowControl w:val="0"/>
              <w:contextualSpacing/>
              <w:rPr>
                <w:szCs w:val="20"/>
              </w:rPr>
            </w:pPr>
            <w:r w:rsidRPr="001F17A6">
              <w:rPr>
                <w:szCs w:val="20"/>
              </w:rPr>
              <w:t>Gianni L, De La Haba-Rodriguez J, et al. Cardiac safety of pertuzumab-and trastuzumab-based therapy: Neosphere and tryphaena joint analysis [Conference Abstract]</w:t>
            </w:r>
          </w:p>
        </w:tc>
        <w:tc>
          <w:tcPr>
            <w:tcW w:w="781" w:type="pct"/>
            <w:tcBorders>
              <w:top w:val="nil"/>
              <w:bottom w:val="nil"/>
            </w:tcBorders>
            <w:vAlign w:val="center"/>
          </w:tcPr>
          <w:p w:rsidR="00872AAD" w:rsidRPr="00E34A35" w:rsidRDefault="00872AAD" w:rsidP="00344028">
            <w:pPr>
              <w:pStyle w:val="TableText0"/>
              <w:keepNext w:val="0"/>
              <w:widowControl w:val="0"/>
              <w:contextualSpacing/>
              <w:rPr>
                <w:szCs w:val="18"/>
              </w:rPr>
            </w:pPr>
            <w:r>
              <w:rPr>
                <w:i/>
                <w:szCs w:val="18"/>
              </w:rPr>
              <w:t xml:space="preserve">Breast </w:t>
            </w:r>
            <w:r w:rsidRPr="00E34A35">
              <w:rPr>
                <w:szCs w:val="18"/>
              </w:rPr>
              <w:t>201</w:t>
            </w:r>
            <w:r>
              <w:rPr>
                <w:szCs w:val="18"/>
              </w:rPr>
              <w:t>3</w:t>
            </w:r>
            <w:r w:rsidRPr="00E34A35">
              <w:rPr>
                <w:szCs w:val="18"/>
              </w:rPr>
              <w:t xml:space="preserve">; </w:t>
            </w:r>
            <w:r>
              <w:rPr>
                <w:szCs w:val="18"/>
              </w:rPr>
              <w:t>22(S1): S102</w:t>
            </w:r>
          </w:p>
        </w:tc>
      </w:tr>
      <w:tr w:rsidR="00872AAD" w:rsidRPr="00CB38A8" w:rsidTr="00C059E3">
        <w:trPr>
          <w:cantSplit/>
        </w:trPr>
        <w:tc>
          <w:tcPr>
            <w:tcW w:w="701" w:type="pct"/>
            <w:vMerge/>
            <w:vAlign w:val="center"/>
          </w:tcPr>
          <w:p w:rsidR="00872AAD" w:rsidRPr="00CB38A8" w:rsidRDefault="00872AAD" w:rsidP="00344028">
            <w:pPr>
              <w:pStyle w:val="TableText0"/>
              <w:keepNext w:val="0"/>
              <w:widowControl w:val="0"/>
              <w:contextualSpacing/>
            </w:pPr>
          </w:p>
        </w:tc>
        <w:tc>
          <w:tcPr>
            <w:tcW w:w="3518" w:type="pct"/>
            <w:tcBorders>
              <w:top w:val="nil"/>
              <w:bottom w:val="single" w:sz="4" w:space="0" w:color="auto"/>
            </w:tcBorders>
            <w:vAlign w:val="center"/>
          </w:tcPr>
          <w:p w:rsidR="00872AAD" w:rsidRPr="001F17A6" w:rsidRDefault="00872AAD" w:rsidP="00344028">
            <w:pPr>
              <w:pStyle w:val="TableText0"/>
              <w:keepNext w:val="0"/>
              <w:widowControl w:val="0"/>
              <w:contextualSpacing/>
              <w:rPr>
                <w:szCs w:val="20"/>
                <w:lang w:val="en-US"/>
              </w:rPr>
            </w:pPr>
            <w:r w:rsidRPr="001F17A6">
              <w:rPr>
                <w:szCs w:val="20"/>
                <w:lang w:val="en-US"/>
              </w:rPr>
              <w:t>Gianni L, Pienkowski T, et al. 5-year analysis of neoadjuvant pertuzumab and trastuzumab in patients with locally advanced, inflammatory, or early-stage HER2-positive breast cancer (NeoS</w:t>
            </w:r>
            <w:r>
              <w:rPr>
                <w:szCs w:val="20"/>
                <w:lang w:val="en-US"/>
              </w:rPr>
              <w:t>p</w:t>
            </w:r>
            <w:r w:rsidRPr="001F17A6">
              <w:rPr>
                <w:szCs w:val="20"/>
                <w:lang w:val="en-US"/>
              </w:rPr>
              <w:t>here): a multicentre, open-label, phase 2 randomised trial.</w:t>
            </w:r>
          </w:p>
        </w:tc>
        <w:tc>
          <w:tcPr>
            <w:tcW w:w="781" w:type="pct"/>
            <w:tcBorders>
              <w:top w:val="nil"/>
              <w:bottom w:val="single" w:sz="4" w:space="0" w:color="auto"/>
            </w:tcBorders>
            <w:vAlign w:val="center"/>
          </w:tcPr>
          <w:p w:rsidR="00872AAD" w:rsidRPr="007F2301" w:rsidRDefault="00872AAD" w:rsidP="00344028">
            <w:pPr>
              <w:pStyle w:val="TableText0"/>
              <w:keepNext w:val="0"/>
              <w:widowControl w:val="0"/>
              <w:contextualSpacing/>
              <w:rPr>
                <w:iCs/>
                <w:szCs w:val="18"/>
                <w:lang w:val="en-US"/>
              </w:rPr>
            </w:pPr>
            <w:r>
              <w:rPr>
                <w:i/>
                <w:szCs w:val="18"/>
                <w:lang w:val="en-US"/>
              </w:rPr>
              <w:t>Lancet</w:t>
            </w:r>
            <w:r>
              <w:rPr>
                <w:iCs/>
                <w:szCs w:val="18"/>
                <w:lang w:val="en-US"/>
              </w:rPr>
              <w:t xml:space="preserve"> 2016; 17(6):791-800</w:t>
            </w:r>
          </w:p>
        </w:tc>
      </w:tr>
      <w:tr w:rsidR="00872AAD" w:rsidRPr="00CB38A8" w:rsidTr="00C059E3">
        <w:trPr>
          <w:cantSplit/>
        </w:trPr>
        <w:tc>
          <w:tcPr>
            <w:tcW w:w="701" w:type="pct"/>
            <w:vMerge w:val="restart"/>
            <w:vAlign w:val="center"/>
          </w:tcPr>
          <w:p w:rsidR="00872AAD" w:rsidRPr="00CB38A8" w:rsidRDefault="00872AAD" w:rsidP="00344028">
            <w:pPr>
              <w:pStyle w:val="TableText0"/>
              <w:keepNext w:val="0"/>
              <w:widowControl w:val="0"/>
              <w:contextualSpacing/>
            </w:pPr>
            <w:r>
              <w:t>TRYPHAENA (</w:t>
            </w:r>
            <w:r w:rsidRPr="0004173F">
              <w:t>NCT00976989</w:t>
            </w:r>
            <w:r>
              <w:t>)</w:t>
            </w:r>
          </w:p>
        </w:tc>
        <w:tc>
          <w:tcPr>
            <w:tcW w:w="3518" w:type="pct"/>
            <w:tcBorders>
              <w:bottom w:val="nil"/>
            </w:tcBorders>
            <w:vAlign w:val="center"/>
          </w:tcPr>
          <w:p w:rsidR="00872AAD" w:rsidRDefault="00872AAD" w:rsidP="00344028">
            <w:pPr>
              <w:pStyle w:val="TableText0"/>
              <w:keepNext w:val="0"/>
              <w:widowControl w:val="0"/>
              <w:contextualSpacing/>
              <w:rPr>
                <w:szCs w:val="18"/>
              </w:rPr>
            </w:pPr>
            <w:r w:rsidRPr="00645157">
              <w:rPr>
                <w:szCs w:val="18"/>
              </w:rPr>
              <w:t xml:space="preserve">Clinical Study Report BO22280 - A randomised, multicentre, multinational Phase II study to evaluate pertuzumab in combination with trastuzumab, given </w:t>
            </w:r>
            <w:proofErr w:type="gramStart"/>
            <w:r w:rsidRPr="00645157">
              <w:rPr>
                <w:szCs w:val="18"/>
              </w:rPr>
              <w:t>either concomitantly or sequentially</w:t>
            </w:r>
            <w:proofErr w:type="gramEnd"/>
            <w:r w:rsidRPr="00645157">
              <w:rPr>
                <w:szCs w:val="18"/>
              </w:rPr>
              <w:t xml:space="preserve"> with standard anthracycline-based chemotherapy or concomitantly with a non-anthracycline-based chemotherapy regimen, as neoadjuvant therapy for patients with locally advanced, inflammatory or early stage HER2-positive breast cancer.</w:t>
            </w:r>
          </w:p>
          <w:p w:rsidR="00872AAD" w:rsidRDefault="00872AAD" w:rsidP="00344028">
            <w:pPr>
              <w:pStyle w:val="TableText0"/>
              <w:keepNext w:val="0"/>
              <w:widowControl w:val="0"/>
              <w:contextualSpacing/>
              <w:rPr>
                <w:szCs w:val="18"/>
              </w:rPr>
            </w:pPr>
            <w:r w:rsidRPr="00645157">
              <w:rPr>
                <w:szCs w:val="18"/>
              </w:rPr>
              <w:t>Primary CSR</w:t>
            </w:r>
            <w:r>
              <w:rPr>
                <w:szCs w:val="18"/>
              </w:rPr>
              <w:t xml:space="preserve"> </w:t>
            </w:r>
            <w:r w:rsidRPr="00645157">
              <w:rPr>
                <w:szCs w:val="18"/>
              </w:rPr>
              <w:t>BO22280</w:t>
            </w:r>
            <w:r>
              <w:rPr>
                <w:szCs w:val="18"/>
              </w:rPr>
              <w:t xml:space="preserve"> (</w:t>
            </w:r>
            <w:r w:rsidRPr="00645157">
              <w:rPr>
                <w:szCs w:val="18"/>
              </w:rPr>
              <w:t>Report No. 1046609</w:t>
            </w:r>
            <w:r>
              <w:rPr>
                <w:szCs w:val="18"/>
              </w:rPr>
              <w:t>), May 2012.</w:t>
            </w:r>
          </w:p>
          <w:p w:rsidR="00872AAD" w:rsidRDefault="00872AAD" w:rsidP="00344028">
            <w:pPr>
              <w:pStyle w:val="TableText0"/>
              <w:keepNext w:val="0"/>
              <w:widowControl w:val="0"/>
              <w:contextualSpacing/>
              <w:rPr>
                <w:szCs w:val="18"/>
              </w:rPr>
            </w:pPr>
            <w:r w:rsidRPr="00645157">
              <w:rPr>
                <w:szCs w:val="18"/>
              </w:rPr>
              <w:t>Update CSR</w:t>
            </w:r>
            <w:r>
              <w:rPr>
                <w:szCs w:val="18"/>
              </w:rPr>
              <w:t xml:space="preserve"> </w:t>
            </w:r>
            <w:r w:rsidRPr="00645157">
              <w:rPr>
                <w:szCs w:val="18"/>
              </w:rPr>
              <w:t>BO22280</w:t>
            </w:r>
            <w:r>
              <w:rPr>
                <w:szCs w:val="18"/>
              </w:rPr>
              <w:t xml:space="preserve"> (</w:t>
            </w:r>
            <w:r w:rsidRPr="00645157">
              <w:rPr>
                <w:szCs w:val="18"/>
              </w:rPr>
              <w:t>Report No. 1052838</w:t>
            </w:r>
            <w:r>
              <w:rPr>
                <w:szCs w:val="18"/>
              </w:rPr>
              <w:t>), December 2012.</w:t>
            </w:r>
          </w:p>
          <w:p w:rsidR="00872AAD" w:rsidRDefault="00872AAD" w:rsidP="00344028">
            <w:pPr>
              <w:pStyle w:val="TableText0"/>
              <w:keepNext w:val="0"/>
              <w:widowControl w:val="0"/>
              <w:contextualSpacing/>
              <w:rPr>
                <w:szCs w:val="18"/>
              </w:rPr>
            </w:pPr>
            <w:r w:rsidRPr="00645157">
              <w:rPr>
                <w:szCs w:val="18"/>
              </w:rPr>
              <w:t>Second Update CSR</w:t>
            </w:r>
            <w:r>
              <w:rPr>
                <w:szCs w:val="18"/>
              </w:rPr>
              <w:t xml:space="preserve"> </w:t>
            </w:r>
            <w:r w:rsidRPr="00645157">
              <w:rPr>
                <w:szCs w:val="18"/>
              </w:rPr>
              <w:t>BO22280</w:t>
            </w:r>
            <w:r>
              <w:rPr>
                <w:szCs w:val="18"/>
              </w:rPr>
              <w:t xml:space="preserve"> (</w:t>
            </w:r>
            <w:r w:rsidRPr="00645157">
              <w:rPr>
                <w:szCs w:val="18"/>
              </w:rPr>
              <w:t>Report No. 1058102</w:t>
            </w:r>
            <w:r>
              <w:rPr>
                <w:szCs w:val="18"/>
              </w:rPr>
              <w:t>), January 2014.</w:t>
            </w:r>
          </w:p>
          <w:p w:rsidR="00872AAD" w:rsidRPr="00CB38A8" w:rsidRDefault="00872AAD" w:rsidP="00344028">
            <w:pPr>
              <w:pStyle w:val="TableText0"/>
              <w:keepNext w:val="0"/>
              <w:widowControl w:val="0"/>
              <w:contextualSpacing/>
            </w:pPr>
            <w:r w:rsidRPr="00645157">
              <w:rPr>
                <w:szCs w:val="18"/>
              </w:rPr>
              <w:t>Final CSR</w:t>
            </w:r>
            <w:r>
              <w:rPr>
                <w:szCs w:val="18"/>
              </w:rPr>
              <w:t xml:space="preserve"> </w:t>
            </w:r>
            <w:r w:rsidRPr="00645157">
              <w:rPr>
                <w:szCs w:val="18"/>
              </w:rPr>
              <w:t>BO22280</w:t>
            </w:r>
            <w:r>
              <w:rPr>
                <w:szCs w:val="18"/>
              </w:rPr>
              <w:t xml:space="preserve"> (</w:t>
            </w:r>
            <w:r w:rsidRPr="00645157">
              <w:rPr>
                <w:szCs w:val="18"/>
              </w:rPr>
              <w:t>Report No. 1069778</w:t>
            </w:r>
            <w:r>
              <w:rPr>
                <w:szCs w:val="18"/>
              </w:rPr>
              <w:t>), September 2016.</w:t>
            </w:r>
          </w:p>
        </w:tc>
        <w:tc>
          <w:tcPr>
            <w:tcW w:w="781" w:type="pct"/>
            <w:tcBorders>
              <w:bottom w:val="nil"/>
            </w:tcBorders>
            <w:vAlign w:val="center"/>
          </w:tcPr>
          <w:p w:rsidR="00872AAD" w:rsidRPr="004A2558" w:rsidRDefault="00872AAD" w:rsidP="00344028">
            <w:pPr>
              <w:pStyle w:val="TableText0"/>
              <w:keepNext w:val="0"/>
              <w:widowControl w:val="0"/>
              <w:contextualSpacing/>
            </w:pPr>
          </w:p>
        </w:tc>
      </w:tr>
      <w:tr w:rsidR="00872AAD" w:rsidRPr="00CB38A8" w:rsidTr="00C059E3">
        <w:trPr>
          <w:cantSplit/>
        </w:trPr>
        <w:tc>
          <w:tcPr>
            <w:tcW w:w="701" w:type="pct"/>
            <w:vMerge/>
            <w:vAlign w:val="center"/>
          </w:tcPr>
          <w:p w:rsidR="00872AAD" w:rsidRPr="00CB38A8" w:rsidRDefault="00872AAD" w:rsidP="00344028">
            <w:pPr>
              <w:pStyle w:val="TableText0"/>
              <w:keepNext w:val="0"/>
              <w:widowControl w:val="0"/>
              <w:contextualSpacing/>
            </w:pPr>
          </w:p>
        </w:tc>
        <w:tc>
          <w:tcPr>
            <w:tcW w:w="3518" w:type="pct"/>
            <w:tcBorders>
              <w:top w:val="nil"/>
              <w:bottom w:val="nil"/>
            </w:tcBorders>
            <w:vAlign w:val="center"/>
          </w:tcPr>
          <w:p w:rsidR="00872AAD" w:rsidRPr="00E34A35" w:rsidRDefault="00872AAD" w:rsidP="00344028">
            <w:pPr>
              <w:pStyle w:val="TableText0"/>
              <w:keepNext w:val="0"/>
              <w:widowControl w:val="0"/>
              <w:contextualSpacing/>
              <w:rPr>
                <w:szCs w:val="18"/>
              </w:rPr>
            </w:pPr>
            <w:r>
              <w:rPr>
                <w:szCs w:val="18"/>
              </w:rPr>
              <w:t xml:space="preserve">Schneeweiss A, Chia S, et al. </w:t>
            </w:r>
            <w:r w:rsidRPr="007A4285">
              <w:rPr>
                <w:szCs w:val="18"/>
              </w:rPr>
              <w:t>Pertuzumab plus trastuzumab in combination with</w:t>
            </w:r>
            <w:r>
              <w:rPr>
                <w:szCs w:val="18"/>
              </w:rPr>
              <w:t xml:space="preserve"> </w:t>
            </w:r>
            <w:r w:rsidRPr="007A4285">
              <w:rPr>
                <w:szCs w:val="18"/>
              </w:rPr>
              <w:t>standard neoadjuvant anthracycline-containing and</w:t>
            </w:r>
            <w:r>
              <w:rPr>
                <w:szCs w:val="18"/>
              </w:rPr>
              <w:t xml:space="preserve"> </w:t>
            </w:r>
            <w:r w:rsidRPr="007A4285">
              <w:rPr>
                <w:szCs w:val="18"/>
              </w:rPr>
              <w:t>anthracycline-free chemotherapy regimens in patients</w:t>
            </w:r>
            <w:r>
              <w:rPr>
                <w:szCs w:val="18"/>
              </w:rPr>
              <w:t xml:space="preserve"> </w:t>
            </w:r>
            <w:r w:rsidRPr="007A4285">
              <w:rPr>
                <w:szCs w:val="18"/>
              </w:rPr>
              <w:t>with HER2-positive early breast cancer: a randomized</w:t>
            </w:r>
            <w:r>
              <w:rPr>
                <w:szCs w:val="18"/>
              </w:rPr>
              <w:t xml:space="preserve"> </w:t>
            </w:r>
            <w:r w:rsidRPr="007A4285">
              <w:rPr>
                <w:szCs w:val="18"/>
              </w:rPr>
              <w:t>phase II cardiac safety study (TRYPHAENA)</w:t>
            </w:r>
          </w:p>
        </w:tc>
        <w:tc>
          <w:tcPr>
            <w:tcW w:w="781" w:type="pct"/>
            <w:tcBorders>
              <w:top w:val="nil"/>
              <w:bottom w:val="nil"/>
            </w:tcBorders>
            <w:vAlign w:val="center"/>
          </w:tcPr>
          <w:p w:rsidR="00872AAD" w:rsidRPr="00CB38A8" w:rsidRDefault="00872AAD" w:rsidP="00344028">
            <w:pPr>
              <w:pStyle w:val="TableText0"/>
              <w:keepNext w:val="0"/>
              <w:widowControl w:val="0"/>
              <w:contextualSpacing/>
              <w:rPr>
                <w:i/>
              </w:rPr>
            </w:pPr>
            <w:r>
              <w:rPr>
                <w:i/>
                <w:szCs w:val="18"/>
              </w:rPr>
              <w:t xml:space="preserve">Annals of Oncology </w:t>
            </w:r>
            <w:r>
              <w:rPr>
                <w:szCs w:val="18"/>
              </w:rPr>
              <w:t>2013; 24(9): 2278-2284.</w:t>
            </w:r>
          </w:p>
        </w:tc>
      </w:tr>
      <w:tr w:rsidR="00872AAD" w:rsidRPr="00CB38A8" w:rsidTr="00C059E3">
        <w:trPr>
          <w:cantSplit/>
        </w:trPr>
        <w:tc>
          <w:tcPr>
            <w:tcW w:w="701" w:type="pct"/>
            <w:vMerge/>
            <w:vAlign w:val="center"/>
          </w:tcPr>
          <w:p w:rsidR="00872AAD" w:rsidRPr="00CB38A8" w:rsidRDefault="00872AAD" w:rsidP="00344028">
            <w:pPr>
              <w:pStyle w:val="TableText0"/>
              <w:keepNext w:val="0"/>
              <w:widowControl w:val="0"/>
              <w:contextualSpacing/>
            </w:pPr>
          </w:p>
        </w:tc>
        <w:tc>
          <w:tcPr>
            <w:tcW w:w="3518" w:type="pct"/>
            <w:tcBorders>
              <w:top w:val="nil"/>
              <w:bottom w:val="nil"/>
            </w:tcBorders>
            <w:vAlign w:val="center"/>
          </w:tcPr>
          <w:p w:rsidR="00872AAD" w:rsidRDefault="00872AAD" w:rsidP="00344028">
            <w:pPr>
              <w:pStyle w:val="TableText0"/>
              <w:keepNext w:val="0"/>
              <w:widowControl w:val="0"/>
              <w:contextualSpacing/>
              <w:rPr>
                <w:szCs w:val="18"/>
              </w:rPr>
            </w:pPr>
            <w:r>
              <w:rPr>
                <w:szCs w:val="18"/>
              </w:rPr>
              <w:t xml:space="preserve">Schneeweiss A, Chia S, et al. </w:t>
            </w:r>
            <w:r w:rsidRPr="00700257">
              <w:rPr>
                <w:szCs w:val="18"/>
              </w:rPr>
              <w:t>Abstract P4-21-02: Pertuzumab and trastuzumab plus standard neoadjuvant anthracycline-containing and anthracycline-free chemotherapy regimens in patients with HER2-positive early breast cancer: Efficacy analysis of a phase II cardiac safety study (TRYPHAENA)</w:t>
            </w:r>
            <w:r>
              <w:rPr>
                <w:szCs w:val="18"/>
              </w:rPr>
              <w:t xml:space="preserve"> [</w:t>
            </w:r>
            <w:r w:rsidRPr="00150BD9">
              <w:rPr>
                <w:szCs w:val="18"/>
              </w:rPr>
              <w:t xml:space="preserve">abstract]. In: </w:t>
            </w:r>
            <w:r w:rsidRPr="00150BD9">
              <w:rPr>
                <w:i/>
                <w:iCs/>
                <w:szCs w:val="18"/>
              </w:rPr>
              <w:t>Proceedings of the 2016 San Antonio Breast Cancer Symposium</w:t>
            </w:r>
            <w:r w:rsidRPr="00150BD9">
              <w:rPr>
                <w:szCs w:val="18"/>
              </w:rPr>
              <w:t>; 2016 Dec 6-10; San Antonio, TX. Philadelphia (PA): A</w:t>
            </w:r>
            <w:r>
              <w:rPr>
                <w:szCs w:val="18"/>
              </w:rPr>
              <w:t>merican Association for Cancer Research.</w:t>
            </w:r>
          </w:p>
        </w:tc>
        <w:tc>
          <w:tcPr>
            <w:tcW w:w="781" w:type="pct"/>
            <w:tcBorders>
              <w:top w:val="nil"/>
              <w:bottom w:val="nil"/>
            </w:tcBorders>
            <w:vAlign w:val="center"/>
          </w:tcPr>
          <w:p w:rsidR="00872AAD" w:rsidRPr="00700257" w:rsidRDefault="00872AAD" w:rsidP="00344028">
            <w:pPr>
              <w:pStyle w:val="TableText0"/>
              <w:keepNext w:val="0"/>
              <w:widowControl w:val="0"/>
              <w:contextualSpacing/>
              <w:rPr>
                <w:iCs/>
                <w:szCs w:val="18"/>
              </w:rPr>
            </w:pPr>
            <w:r>
              <w:rPr>
                <w:i/>
                <w:szCs w:val="18"/>
              </w:rPr>
              <w:t>Cancer Research</w:t>
            </w:r>
            <w:r>
              <w:rPr>
                <w:iCs/>
                <w:szCs w:val="18"/>
              </w:rPr>
              <w:t xml:space="preserve"> 2017</w:t>
            </w:r>
            <w:proofErr w:type="gramStart"/>
            <w:r>
              <w:rPr>
                <w:iCs/>
                <w:szCs w:val="18"/>
              </w:rPr>
              <w:t>;</w:t>
            </w:r>
            <w:proofErr w:type="gramEnd"/>
            <w:r>
              <w:rPr>
                <w:iCs/>
                <w:szCs w:val="18"/>
              </w:rPr>
              <w:t xml:space="preserve"> 77(4 Suppl): Abstract nr P4-21-02.</w:t>
            </w:r>
          </w:p>
        </w:tc>
      </w:tr>
      <w:tr w:rsidR="00872AAD" w:rsidRPr="00CB38A8" w:rsidTr="00C059E3">
        <w:trPr>
          <w:cantSplit/>
        </w:trPr>
        <w:tc>
          <w:tcPr>
            <w:tcW w:w="701" w:type="pct"/>
            <w:vMerge/>
            <w:tcBorders>
              <w:bottom w:val="single" w:sz="4" w:space="0" w:color="auto"/>
            </w:tcBorders>
            <w:vAlign w:val="center"/>
          </w:tcPr>
          <w:p w:rsidR="00872AAD" w:rsidRPr="00CB38A8" w:rsidRDefault="00872AAD" w:rsidP="00344028">
            <w:pPr>
              <w:pStyle w:val="TableText0"/>
              <w:keepNext w:val="0"/>
              <w:widowControl w:val="0"/>
              <w:contextualSpacing/>
            </w:pPr>
          </w:p>
        </w:tc>
        <w:tc>
          <w:tcPr>
            <w:tcW w:w="3518" w:type="pct"/>
            <w:tcBorders>
              <w:top w:val="nil"/>
              <w:bottom w:val="single" w:sz="4" w:space="0" w:color="auto"/>
            </w:tcBorders>
            <w:vAlign w:val="center"/>
          </w:tcPr>
          <w:p w:rsidR="00872AAD" w:rsidRPr="00804917" w:rsidRDefault="00872AAD" w:rsidP="00344028">
            <w:pPr>
              <w:pStyle w:val="TableText0"/>
              <w:keepNext w:val="0"/>
              <w:widowControl w:val="0"/>
              <w:contextualSpacing/>
              <w:rPr>
                <w:szCs w:val="18"/>
              </w:rPr>
            </w:pPr>
            <w:r w:rsidRPr="007F700A">
              <w:rPr>
                <w:szCs w:val="18"/>
              </w:rPr>
              <w:t>Schneeweiss A, Chia S, et al.</w:t>
            </w:r>
            <w:r>
              <w:rPr>
                <w:szCs w:val="18"/>
              </w:rPr>
              <w:t xml:space="preserve"> </w:t>
            </w:r>
            <w:r w:rsidRPr="007F700A">
              <w:rPr>
                <w:szCs w:val="18"/>
              </w:rPr>
              <w:t>Long-term efficacy analysis of the randomised, phase II TRYPHAENA cardiac safety study: Evaluating pertuzumab and trastuzumab plus standard neoadjuvant anthracycline-containing and anthracycline-free chemotherapy regimens in patients with HER2-positive early breast cancer</w:t>
            </w:r>
            <w:r>
              <w:rPr>
                <w:szCs w:val="18"/>
              </w:rPr>
              <w:t>.</w:t>
            </w:r>
          </w:p>
        </w:tc>
        <w:tc>
          <w:tcPr>
            <w:tcW w:w="781" w:type="pct"/>
            <w:tcBorders>
              <w:top w:val="nil"/>
              <w:bottom w:val="single" w:sz="4" w:space="0" w:color="auto"/>
            </w:tcBorders>
            <w:vAlign w:val="center"/>
          </w:tcPr>
          <w:p w:rsidR="00872AAD" w:rsidRPr="007F700A" w:rsidRDefault="00872AAD" w:rsidP="00344028">
            <w:pPr>
              <w:pStyle w:val="TableText0"/>
              <w:keepNext w:val="0"/>
              <w:widowControl w:val="0"/>
              <w:contextualSpacing/>
            </w:pPr>
            <w:r>
              <w:rPr>
                <w:i/>
                <w:iCs/>
              </w:rPr>
              <w:t>European Journal of Cancer</w:t>
            </w:r>
            <w:r>
              <w:t xml:space="preserve"> 2018; 89:27-35.</w:t>
            </w:r>
          </w:p>
        </w:tc>
      </w:tr>
      <w:tr w:rsidR="00872AAD" w:rsidRPr="00CB38A8" w:rsidTr="00C059E3">
        <w:trPr>
          <w:cantSplit/>
        </w:trPr>
        <w:tc>
          <w:tcPr>
            <w:tcW w:w="701" w:type="pct"/>
            <w:vMerge w:val="restart"/>
            <w:tcBorders>
              <w:top w:val="single" w:sz="4" w:space="0" w:color="auto"/>
            </w:tcBorders>
            <w:vAlign w:val="center"/>
          </w:tcPr>
          <w:p w:rsidR="00872AAD" w:rsidRPr="006A526E" w:rsidRDefault="00872AAD" w:rsidP="00344028">
            <w:pPr>
              <w:pStyle w:val="TableText0"/>
              <w:keepNext w:val="0"/>
              <w:widowControl w:val="0"/>
              <w:contextualSpacing/>
              <w:rPr>
                <w:iCs/>
              </w:rPr>
            </w:pPr>
            <w:r w:rsidRPr="006A526E">
              <w:rPr>
                <w:iCs/>
              </w:rPr>
              <w:t>PEONY (NCT02586025)</w:t>
            </w:r>
          </w:p>
        </w:tc>
        <w:tc>
          <w:tcPr>
            <w:tcW w:w="3518" w:type="pct"/>
            <w:tcBorders>
              <w:top w:val="single" w:sz="4" w:space="0" w:color="auto"/>
              <w:bottom w:val="nil"/>
            </w:tcBorders>
            <w:vAlign w:val="center"/>
          </w:tcPr>
          <w:p w:rsidR="00872AAD" w:rsidRPr="006A526E" w:rsidRDefault="00872AAD" w:rsidP="00344028">
            <w:pPr>
              <w:pStyle w:val="TableText0"/>
              <w:keepNext w:val="0"/>
              <w:widowControl w:val="0"/>
              <w:contextualSpacing/>
              <w:rPr>
                <w:iCs/>
                <w:szCs w:val="18"/>
              </w:rPr>
            </w:pPr>
            <w:r w:rsidRPr="006A526E">
              <w:rPr>
                <w:iCs/>
                <w:szCs w:val="18"/>
              </w:rPr>
              <w:t>Protocol title: A randomised, multicentre, double-blind, placebo-controlled, Phase III study to evaluate pertuzumab in combination with docetaxel and trastuzumab as adjuvant therapy, and pertuzumab in combination with trastuzumab as adjuvant therapy after surgery and chemotherapy in patients with early-stage or locally advanced HER2-positive breast cancer, December 2016.</w:t>
            </w:r>
          </w:p>
        </w:tc>
        <w:tc>
          <w:tcPr>
            <w:tcW w:w="781" w:type="pct"/>
            <w:tcBorders>
              <w:top w:val="single" w:sz="4" w:space="0" w:color="auto"/>
              <w:bottom w:val="nil"/>
            </w:tcBorders>
            <w:vAlign w:val="center"/>
          </w:tcPr>
          <w:p w:rsidR="00872AAD" w:rsidRPr="006A526E" w:rsidRDefault="00872AAD" w:rsidP="00344028">
            <w:pPr>
              <w:pStyle w:val="TableText0"/>
              <w:keepNext w:val="0"/>
              <w:widowControl w:val="0"/>
              <w:contextualSpacing/>
            </w:pPr>
          </w:p>
        </w:tc>
      </w:tr>
      <w:tr w:rsidR="00872AAD" w:rsidRPr="00CB38A8" w:rsidTr="00C059E3">
        <w:trPr>
          <w:cantSplit/>
        </w:trPr>
        <w:tc>
          <w:tcPr>
            <w:tcW w:w="701" w:type="pct"/>
            <w:vMerge/>
            <w:vAlign w:val="center"/>
          </w:tcPr>
          <w:p w:rsidR="00872AAD" w:rsidRPr="006A526E" w:rsidRDefault="00872AAD" w:rsidP="00344028">
            <w:pPr>
              <w:pStyle w:val="TableText0"/>
              <w:keepNext w:val="0"/>
              <w:widowControl w:val="0"/>
              <w:contextualSpacing/>
            </w:pPr>
          </w:p>
        </w:tc>
        <w:tc>
          <w:tcPr>
            <w:tcW w:w="3518" w:type="pct"/>
            <w:tcBorders>
              <w:top w:val="nil"/>
            </w:tcBorders>
            <w:vAlign w:val="center"/>
          </w:tcPr>
          <w:p w:rsidR="00872AAD" w:rsidRPr="006A526E" w:rsidRDefault="00872AAD" w:rsidP="00344028">
            <w:pPr>
              <w:pStyle w:val="TableText0"/>
              <w:keepNext w:val="0"/>
              <w:widowControl w:val="0"/>
              <w:contextualSpacing/>
              <w:rPr>
                <w:szCs w:val="18"/>
              </w:rPr>
            </w:pPr>
            <w:r w:rsidRPr="006A526E">
              <w:rPr>
                <w:iCs/>
                <w:szCs w:val="18"/>
              </w:rPr>
              <w:t>Shao Z, Pang D, et al. Efficacy, Safety, and tolerability of pertuzumab, trastuzumab, and docetaxel for patients with early or locally advanced ERBB2-positive breast cancer in Asia - the PEONY phase 3 randomized clinical trial.</w:t>
            </w:r>
          </w:p>
        </w:tc>
        <w:tc>
          <w:tcPr>
            <w:tcW w:w="781" w:type="pct"/>
            <w:tcBorders>
              <w:top w:val="nil"/>
            </w:tcBorders>
            <w:vAlign w:val="center"/>
          </w:tcPr>
          <w:p w:rsidR="00872AAD" w:rsidRPr="006A526E" w:rsidRDefault="00872AAD" w:rsidP="00344028">
            <w:pPr>
              <w:pStyle w:val="TableText0"/>
              <w:keepNext w:val="0"/>
              <w:widowControl w:val="0"/>
              <w:contextualSpacing/>
              <w:rPr>
                <w:iCs/>
              </w:rPr>
            </w:pPr>
            <w:r w:rsidRPr="006A526E">
              <w:t>JAMA Oncology</w:t>
            </w:r>
            <w:r w:rsidRPr="006A526E">
              <w:rPr>
                <w:iCs/>
              </w:rPr>
              <w:t xml:space="preserve"> Published online October 24, 2019. doi:https://doi.org/10.1001/jamaoncol.2019.3692</w:t>
            </w:r>
          </w:p>
        </w:tc>
      </w:tr>
    </w:tbl>
    <w:p w:rsidR="00872AAD" w:rsidRDefault="00872AAD" w:rsidP="00344028">
      <w:pPr>
        <w:pStyle w:val="TableFigureFooter"/>
        <w:widowControl w:val="0"/>
      </w:pPr>
      <w:r>
        <w:t xml:space="preserve">Source: Table 2.4, p37 </w:t>
      </w:r>
      <w:r w:rsidRPr="00D13A3E">
        <w:t xml:space="preserve">of the </w:t>
      </w:r>
      <w:r>
        <w:t>submission.</w:t>
      </w:r>
    </w:p>
    <w:p w:rsidR="00872AAD" w:rsidRDefault="00872AAD" w:rsidP="00344028">
      <w:pPr>
        <w:pStyle w:val="TableFigureFooter"/>
        <w:widowControl w:val="0"/>
      </w:pPr>
      <w:r>
        <w:t>CSR = Clinical Study Report; HER2 = human</w:t>
      </w:r>
      <w:r w:rsidRPr="00535BC4">
        <w:t xml:space="preserve"> epidermal growth factor receptor 2</w:t>
      </w:r>
    </w:p>
    <w:bookmarkEnd w:id="18"/>
    <w:p w:rsidR="00872AAD" w:rsidRPr="00E37B4A" w:rsidRDefault="00872AAD" w:rsidP="00872AAD">
      <w:pPr>
        <w:pStyle w:val="3-BodyText"/>
        <w:contextualSpacing/>
      </w:pPr>
      <w:r w:rsidRPr="00B50DB8">
        <w:t>The key features of the randomised trials</w:t>
      </w:r>
      <w:r>
        <w:t xml:space="preserve"> </w:t>
      </w:r>
      <w:r w:rsidRPr="00B50DB8">
        <w:t xml:space="preserve">are summarised in </w:t>
      </w:r>
      <w:r w:rsidR="00E8726A">
        <w:t>Table 3</w:t>
      </w:r>
      <w:r w:rsidRPr="00B50DB8">
        <w:t>.</w:t>
      </w:r>
      <w:r>
        <w:t xml:space="preserve"> </w:t>
      </w:r>
    </w:p>
    <w:p w:rsidR="00872AAD" w:rsidRPr="009E19E1" w:rsidRDefault="000D09D2" w:rsidP="00872AAD">
      <w:pPr>
        <w:pStyle w:val="TableFigureHeading"/>
      </w:pPr>
      <w:r>
        <w:lastRenderedPageBreak/>
        <w:t xml:space="preserve">Table </w:t>
      </w:r>
      <w:r w:rsidR="00550A5E">
        <w:rPr>
          <w:noProof/>
        </w:rPr>
        <w:t>3</w:t>
      </w:r>
      <w:r w:rsidR="00872AAD" w:rsidRPr="009E19E1">
        <w:t xml:space="preserve">: Key features of the included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4"/>
        <w:gridCol w:w="563"/>
        <w:gridCol w:w="1416"/>
        <w:gridCol w:w="844"/>
        <w:gridCol w:w="2539"/>
        <w:gridCol w:w="1549"/>
        <w:gridCol w:w="992"/>
      </w:tblGrid>
      <w:tr w:rsidR="00872AAD" w:rsidRPr="00B41614" w:rsidTr="005E7EB8">
        <w:trPr>
          <w:cantSplit/>
          <w:tblHeader/>
        </w:trPr>
        <w:tc>
          <w:tcPr>
            <w:tcW w:w="618" w:type="pct"/>
            <w:shd w:val="clear" w:color="auto" w:fill="auto"/>
            <w:vAlign w:val="center"/>
          </w:tcPr>
          <w:p w:rsidR="00872AAD" w:rsidRPr="00B41614" w:rsidRDefault="00872AAD" w:rsidP="00872AAD">
            <w:pPr>
              <w:pStyle w:val="In-tableHeading"/>
            </w:pPr>
            <w:r w:rsidRPr="00B41614">
              <w:t>Trial</w:t>
            </w:r>
          </w:p>
        </w:tc>
        <w:tc>
          <w:tcPr>
            <w:tcW w:w="312" w:type="pct"/>
            <w:shd w:val="clear" w:color="auto" w:fill="auto"/>
            <w:vAlign w:val="center"/>
          </w:tcPr>
          <w:p w:rsidR="00872AAD" w:rsidRPr="00B41614" w:rsidRDefault="00872AAD" w:rsidP="00872AAD">
            <w:pPr>
              <w:pStyle w:val="In-tableHeading"/>
              <w:jc w:val="center"/>
            </w:pPr>
            <w:r w:rsidRPr="00B41614">
              <w:t>N</w:t>
            </w:r>
          </w:p>
        </w:tc>
        <w:tc>
          <w:tcPr>
            <w:tcW w:w="785" w:type="pct"/>
            <w:shd w:val="clear" w:color="auto" w:fill="auto"/>
            <w:vAlign w:val="center"/>
          </w:tcPr>
          <w:p w:rsidR="00872AAD" w:rsidRPr="00B41614" w:rsidRDefault="00872AAD" w:rsidP="00872AAD">
            <w:pPr>
              <w:pStyle w:val="In-tableHeading"/>
              <w:jc w:val="center"/>
            </w:pPr>
            <w:r w:rsidRPr="00B41614">
              <w:t>Design/ duration</w:t>
            </w:r>
            <w:r>
              <w:t>^</w:t>
            </w:r>
          </w:p>
        </w:tc>
        <w:tc>
          <w:tcPr>
            <w:tcW w:w="468" w:type="pct"/>
            <w:shd w:val="clear" w:color="auto" w:fill="auto"/>
            <w:vAlign w:val="center"/>
          </w:tcPr>
          <w:p w:rsidR="00872AAD" w:rsidRPr="00B41614" w:rsidRDefault="00872AAD" w:rsidP="00872AAD">
            <w:pPr>
              <w:pStyle w:val="In-tableHeading"/>
              <w:jc w:val="center"/>
            </w:pPr>
            <w:r w:rsidRPr="00B41614">
              <w:t>Risk of bias</w:t>
            </w:r>
          </w:p>
        </w:tc>
        <w:tc>
          <w:tcPr>
            <w:tcW w:w="1408" w:type="pct"/>
            <w:shd w:val="clear" w:color="auto" w:fill="auto"/>
            <w:vAlign w:val="center"/>
          </w:tcPr>
          <w:p w:rsidR="00872AAD" w:rsidRPr="00B41614" w:rsidRDefault="00872AAD" w:rsidP="00872AAD">
            <w:pPr>
              <w:pStyle w:val="In-tableHeading"/>
              <w:jc w:val="center"/>
            </w:pPr>
            <w:r w:rsidRPr="00B41614">
              <w:t>Patient population</w:t>
            </w:r>
          </w:p>
        </w:tc>
        <w:tc>
          <w:tcPr>
            <w:tcW w:w="859" w:type="pct"/>
            <w:shd w:val="clear" w:color="auto" w:fill="auto"/>
            <w:vAlign w:val="center"/>
          </w:tcPr>
          <w:p w:rsidR="00872AAD" w:rsidRPr="00B41614" w:rsidRDefault="00872AAD" w:rsidP="00872AAD">
            <w:pPr>
              <w:pStyle w:val="In-tableHeading"/>
              <w:jc w:val="center"/>
            </w:pPr>
            <w:r w:rsidRPr="00B41614">
              <w:t>Outcome(s)</w:t>
            </w:r>
          </w:p>
        </w:tc>
        <w:tc>
          <w:tcPr>
            <w:tcW w:w="550" w:type="pct"/>
            <w:shd w:val="clear" w:color="auto" w:fill="auto"/>
            <w:vAlign w:val="center"/>
          </w:tcPr>
          <w:p w:rsidR="00872AAD" w:rsidRPr="00B41614" w:rsidRDefault="00872AAD" w:rsidP="00872AAD">
            <w:pPr>
              <w:pStyle w:val="In-tableHeading"/>
              <w:jc w:val="center"/>
            </w:pPr>
            <w:r w:rsidRPr="00B41614">
              <w:t>Use in modelled evaluation</w:t>
            </w:r>
          </w:p>
        </w:tc>
      </w:tr>
      <w:tr w:rsidR="00872AAD" w:rsidRPr="00E2771E" w:rsidTr="005E7EB8">
        <w:trPr>
          <w:cantSplit/>
        </w:trPr>
        <w:tc>
          <w:tcPr>
            <w:tcW w:w="5000" w:type="pct"/>
            <w:gridSpan w:val="7"/>
            <w:shd w:val="clear" w:color="auto" w:fill="auto"/>
            <w:vAlign w:val="center"/>
          </w:tcPr>
          <w:p w:rsidR="00D04C61" w:rsidRDefault="00872AAD" w:rsidP="00D04C61">
            <w:pPr>
              <w:pStyle w:val="In-tableHeading"/>
            </w:pPr>
            <w:bookmarkStart w:id="19" w:name="_Hlk27585813"/>
            <w:r>
              <w:t xml:space="preserve">Neoadjuvant setting: </w:t>
            </w:r>
            <w:r w:rsidR="00BD26D5">
              <w:t>Ptz</w:t>
            </w:r>
            <w:r w:rsidR="0070010E">
              <w:t>+T+</w:t>
            </w:r>
            <w:r w:rsidR="00BD26D5">
              <w:t>D</w:t>
            </w:r>
            <w:r>
              <w:t xml:space="preserve"> vs. </w:t>
            </w:r>
            <w:r w:rsidR="0070010E">
              <w:t>T+D</w:t>
            </w:r>
            <w:r w:rsidR="00E04C15">
              <w:t xml:space="preserve"> </w:t>
            </w:r>
          </w:p>
          <w:p w:rsidR="00872AAD" w:rsidRPr="00EC5836" w:rsidRDefault="00E04C15" w:rsidP="00D04C61">
            <w:pPr>
              <w:pStyle w:val="In-tableHeading"/>
            </w:pPr>
            <w:r>
              <w:t xml:space="preserve">Adjuvant </w:t>
            </w:r>
            <w:r w:rsidR="00D04C61">
              <w:t>setting: FEC</w:t>
            </w:r>
            <w:r w:rsidR="00984B69">
              <w:t>+T</w:t>
            </w:r>
            <w:r>
              <w:t xml:space="preserve"> (3 </w:t>
            </w:r>
            <w:r w:rsidR="00D04C61">
              <w:t>cycles</w:t>
            </w:r>
            <w:r>
              <w:t>) followed by T</w:t>
            </w:r>
            <w:r w:rsidR="00984B69">
              <w:t xml:space="preserve"> (10</w:t>
            </w:r>
            <w:r w:rsidR="00D04C61">
              <w:t xml:space="preserve"> cycles)</w:t>
            </w:r>
          </w:p>
        </w:tc>
      </w:tr>
      <w:bookmarkEnd w:id="19"/>
      <w:tr w:rsidR="00872AAD" w:rsidRPr="00E2771E" w:rsidTr="005E7EB8">
        <w:trPr>
          <w:cantSplit/>
        </w:trPr>
        <w:tc>
          <w:tcPr>
            <w:tcW w:w="618" w:type="pct"/>
            <w:vMerge w:val="restart"/>
            <w:shd w:val="clear" w:color="auto" w:fill="auto"/>
            <w:vAlign w:val="center"/>
          </w:tcPr>
          <w:p w:rsidR="00872AAD" w:rsidRPr="00E2771E" w:rsidRDefault="00872AAD" w:rsidP="00872AAD">
            <w:pPr>
              <w:pStyle w:val="TableText0"/>
              <w:rPr>
                <w:lang w:val="en-US"/>
              </w:rPr>
            </w:pPr>
            <w:r>
              <w:rPr>
                <w:lang w:val="en-US"/>
              </w:rPr>
              <w:t>NEOSPHERE</w:t>
            </w:r>
          </w:p>
        </w:tc>
        <w:tc>
          <w:tcPr>
            <w:tcW w:w="312" w:type="pct"/>
            <w:vMerge w:val="restart"/>
            <w:shd w:val="clear" w:color="auto" w:fill="auto"/>
            <w:vAlign w:val="center"/>
          </w:tcPr>
          <w:p w:rsidR="00872AAD" w:rsidRPr="00E2771E" w:rsidRDefault="00872AAD" w:rsidP="00872AAD">
            <w:pPr>
              <w:pStyle w:val="TableText0"/>
              <w:jc w:val="center"/>
              <w:rPr>
                <w:lang w:val="en-US"/>
              </w:rPr>
            </w:pPr>
            <w:r>
              <w:rPr>
                <w:lang w:val="en-US"/>
              </w:rPr>
              <w:t>107 vs. 107</w:t>
            </w:r>
          </w:p>
        </w:tc>
        <w:tc>
          <w:tcPr>
            <w:tcW w:w="785" w:type="pct"/>
            <w:vMerge w:val="restart"/>
            <w:shd w:val="clear" w:color="auto" w:fill="auto"/>
            <w:vAlign w:val="center"/>
          </w:tcPr>
          <w:p w:rsidR="00872AAD" w:rsidRDefault="00872AAD" w:rsidP="00872AAD">
            <w:pPr>
              <w:pStyle w:val="TableText0"/>
              <w:rPr>
                <w:lang w:val="en-US"/>
              </w:rPr>
            </w:pPr>
            <w:r w:rsidRPr="00E2771E">
              <w:rPr>
                <w:lang w:val="en-US"/>
              </w:rPr>
              <w:t>R</w:t>
            </w:r>
            <w:r>
              <w:rPr>
                <w:lang w:val="en-US"/>
              </w:rPr>
              <w:t xml:space="preserve">andomised, open label, </w:t>
            </w:r>
          </w:p>
          <w:p w:rsidR="00872AAD" w:rsidRPr="00E2771E" w:rsidRDefault="00872AAD" w:rsidP="00872AAD">
            <w:pPr>
              <w:pStyle w:val="TableText0"/>
              <w:rPr>
                <w:lang w:val="en-US"/>
              </w:rPr>
            </w:pPr>
            <w:r>
              <w:rPr>
                <w:lang w:val="en-US"/>
              </w:rPr>
              <w:t xml:space="preserve">Phase II; </w:t>
            </w:r>
          </w:p>
          <w:p w:rsidR="00872AAD" w:rsidRPr="00E2771E" w:rsidRDefault="00872AAD" w:rsidP="00872AAD">
            <w:pPr>
              <w:pStyle w:val="TableText0"/>
              <w:rPr>
                <w:lang w:val="en-US"/>
              </w:rPr>
            </w:pPr>
            <w:r>
              <w:rPr>
                <w:lang w:val="en-US"/>
              </w:rPr>
              <w:t xml:space="preserve">4 cycles (q3w) </w:t>
            </w:r>
          </w:p>
        </w:tc>
        <w:tc>
          <w:tcPr>
            <w:tcW w:w="468" w:type="pct"/>
            <w:vMerge w:val="restart"/>
            <w:shd w:val="clear" w:color="auto" w:fill="auto"/>
            <w:vAlign w:val="center"/>
          </w:tcPr>
          <w:p w:rsidR="00872AAD" w:rsidRPr="008626E9" w:rsidRDefault="00872AAD" w:rsidP="00872AAD">
            <w:pPr>
              <w:pStyle w:val="TableText0"/>
              <w:jc w:val="center"/>
              <w:rPr>
                <w:iCs/>
                <w:lang w:val="en-US"/>
              </w:rPr>
            </w:pPr>
            <w:r>
              <w:rPr>
                <w:iCs/>
                <w:lang w:val="en-US"/>
              </w:rPr>
              <w:t>Moderate</w:t>
            </w:r>
          </w:p>
        </w:tc>
        <w:tc>
          <w:tcPr>
            <w:tcW w:w="1408" w:type="pct"/>
            <w:vMerge w:val="restart"/>
            <w:shd w:val="clear" w:color="auto" w:fill="auto"/>
            <w:vAlign w:val="center"/>
          </w:tcPr>
          <w:p w:rsidR="00872AAD" w:rsidRPr="00E2771E" w:rsidRDefault="00872AAD" w:rsidP="00872AAD">
            <w:pPr>
              <w:pStyle w:val="TableText0"/>
              <w:rPr>
                <w:lang w:val="en-US"/>
              </w:rPr>
            </w:pPr>
            <w:r>
              <w:rPr>
                <w:lang w:val="en-US"/>
              </w:rPr>
              <w:t xml:space="preserve">HER2-positive </w:t>
            </w:r>
            <w:r w:rsidRPr="00785ED4">
              <w:rPr>
                <w:lang w:val="en-US"/>
              </w:rPr>
              <w:t>operable (T2–3, N0–1, M0), locally advanced (T2–3, N2–3,</w:t>
            </w:r>
            <w:r>
              <w:rPr>
                <w:lang w:val="en-US"/>
              </w:rPr>
              <w:t xml:space="preserve"> </w:t>
            </w:r>
            <w:r w:rsidRPr="00785ED4">
              <w:rPr>
                <w:lang w:val="en-US"/>
              </w:rPr>
              <w:t>M0 or T4a–c, any N, M0), or inflammatory (T4d, any N,</w:t>
            </w:r>
            <w:r>
              <w:rPr>
                <w:lang w:val="en-US"/>
              </w:rPr>
              <w:t xml:space="preserve"> </w:t>
            </w:r>
            <w:r w:rsidRPr="00785ED4">
              <w:rPr>
                <w:lang w:val="en-US"/>
              </w:rPr>
              <w:t xml:space="preserve">M0) </w:t>
            </w:r>
            <w:r>
              <w:rPr>
                <w:lang w:val="en-US"/>
              </w:rPr>
              <w:t>BC; primary tumour &gt;2 cm chemotherapy-naïve</w:t>
            </w:r>
          </w:p>
        </w:tc>
        <w:tc>
          <w:tcPr>
            <w:tcW w:w="859" w:type="pct"/>
            <w:tcBorders>
              <w:bottom w:val="nil"/>
            </w:tcBorders>
            <w:shd w:val="clear" w:color="auto" w:fill="auto"/>
            <w:vAlign w:val="center"/>
          </w:tcPr>
          <w:p w:rsidR="00872AAD" w:rsidRPr="00E2771E" w:rsidRDefault="00872AAD" w:rsidP="00872AAD">
            <w:pPr>
              <w:pStyle w:val="TableText0"/>
              <w:rPr>
                <w:lang w:val="en-US"/>
              </w:rPr>
            </w:pPr>
            <w:r>
              <w:rPr>
                <w:lang w:val="en-US"/>
              </w:rPr>
              <w:t>Primary: bpCR</w:t>
            </w:r>
            <w:r w:rsidRPr="00F861A1">
              <w:rPr>
                <w:vertAlign w:val="superscript"/>
                <w:lang w:val="en-US"/>
              </w:rPr>
              <w:t>~</w:t>
            </w:r>
          </w:p>
        </w:tc>
        <w:tc>
          <w:tcPr>
            <w:tcW w:w="550" w:type="pct"/>
            <w:tcBorders>
              <w:bottom w:val="nil"/>
            </w:tcBorders>
            <w:shd w:val="clear" w:color="auto" w:fill="auto"/>
            <w:vAlign w:val="center"/>
          </w:tcPr>
          <w:p w:rsidR="00872AAD" w:rsidRPr="00E2771E" w:rsidRDefault="00872AAD" w:rsidP="00872AAD">
            <w:pPr>
              <w:pStyle w:val="TableText0"/>
              <w:jc w:val="center"/>
              <w:rPr>
                <w:lang w:val="en-US"/>
              </w:rPr>
            </w:pPr>
            <w:r w:rsidRPr="00E2771E">
              <w:rPr>
                <w:lang w:val="en-US"/>
              </w:rPr>
              <w:t>Not used</w:t>
            </w:r>
          </w:p>
        </w:tc>
      </w:tr>
      <w:tr w:rsidR="00872AAD" w:rsidRPr="00E2771E" w:rsidTr="005E7EB8">
        <w:trPr>
          <w:cantSplit/>
        </w:trPr>
        <w:tc>
          <w:tcPr>
            <w:tcW w:w="618" w:type="pct"/>
            <w:vMerge/>
            <w:shd w:val="clear" w:color="auto" w:fill="auto"/>
            <w:vAlign w:val="center"/>
          </w:tcPr>
          <w:p w:rsidR="00872AAD" w:rsidRDefault="00872AAD" w:rsidP="00872AAD">
            <w:pPr>
              <w:pStyle w:val="TableText0"/>
              <w:rPr>
                <w:lang w:val="en-US"/>
              </w:rPr>
            </w:pPr>
          </w:p>
        </w:tc>
        <w:tc>
          <w:tcPr>
            <w:tcW w:w="312" w:type="pct"/>
            <w:vMerge/>
            <w:shd w:val="clear" w:color="auto" w:fill="auto"/>
            <w:vAlign w:val="center"/>
          </w:tcPr>
          <w:p w:rsidR="00872AAD" w:rsidRDefault="00872AAD" w:rsidP="00872AAD">
            <w:pPr>
              <w:pStyle w:val="TableText0"/>
              <w:jc w:val="center"/>
              <w:rPr>
                <w:lang w:val="en-US"/>
              </w:rPr>
            </w:pPr>
          </w:p>
        </w:tc>
        <w:tc>
          <w:tcPr>
            <w:tcW w:w="785" w:type="pct"/>
            <w:vMerge/>
            <w:shd w:val="clear" w:color="auto" w:fill="auto"/>
            <w:vAlign w:val="center"/>
          </w:tcPr>
          <w:p w:rsidR="00872AAD" w:rsidRPr="00E2771E" w:rsidRDefault="00872AAD" w:rsidP="00872AAD">
            <w:pPr>
              <w:pStyle w:val="TableText0"/>
              <w:rPr>
                <w:lang w:val="en-US"/>
              </w:rPr>
            </w:pPr>
          </w:p>
        </w:tc>
        <w:tc>
          <w:tcPr>
            <w:tcW w:w="468" w:type="pct"/>
            <w:vMerge/>
            <w:shd w:val="clear" w:color="auto" w:fill="auto"/>
            <w:vAlign w:val="center"/>
          </w:tcPr>
          <w:p w:rsidR="00872AAD" w:rsidRPr="00123902" w:rsidRDefault="00872AAD" w:rsidP="00872AAD">
            <w:pPr>
              <w:pStyle w:val="TableText0"/>
              <w:jc w:val="center"/>
              <w:rPr>
                <w:i/>
                <w:lang w:val="en-US"/>
              </w:rPr>
            </w:pPr>
          </w:p>
        </w:tc>
        <w:tc>
          <w:tcPr>
            <w:tcW w:w="1408" w:type="pct"/>
            <w:vMerge/>
            <w:shd w:val="clear" w:color="auto" w:fill="auto"/>
            <w:vAlign w:val="center"/>
          </w:tcPr>
          <w:p w:rsidR="00872AAD" w:rsidRDefault="00872AAD" w:rsidP="00872AAD">
            <w:pPr>
              <w:pStyle w:val="TableText0"/>
              <w:jc w:val="center"/>
              <w:rPr>
                <w:lang w:val="en-US"/>
              </w:rPr>
            </w:pPr>
          </w:p>
        </w:tc>
        <w:tc>
          <w:tcPr>
            <w:tcW w:w="859" w:type="pct"/>
            <w:tcBorders>
              <w:top w:val="nil"/>
              <w:bottom w:val="nil"/>
            </w:tcBorders>
            <w:shd w:val="clear" w:color="auto" w:fill="auto"/>
            <w:vAlign w:val="center"/>
          </w:tcPr>
          <w:p w:rsidR="00872AAD" w:rsidRPr="000076A5" w:rsidRDefault="00872AAD" w:rsidP="00872AAD">
            <w:pPr>
              <w:pStyle w:val="TableText0"/>
              <w:rPr>
                <w:lang w:val="en-US"/>
              </w:rPr>
            </w:pPr>
            <w:r w:rsidRPr="000076A5">
              <w:rPr>
                <w:lang w:val="en-US"/>
              </w:rPr>
              <w:t>tpCR</w:t>
            </w:r>
            <w:r w:rsidRPr="000076A5">
              <w:rPr>
                <w:vertAlign w:val="superscript"/>
                <w:lang w:val="en-US"/>
              </w:rPr>
              <w:t>~</w:t>
            </w:r>
            <w:r w:rsidRPr="000076A5">
              <w:rPr>
                <w:lang w:val="en-US"/>
              </w:rPr>
              <w:t xml:space="preserve"> (</w:t>
            </w:r>
            <w:r w:rsidRPr="000076A5">
              <w:rPr>
                <w:iCs/>
                <w:lang w:val="en-US"/>
              </w:rPr>
              <w:t>post-hoc</w:t>
            </w:r>
            <w:r w:rsidRPr="000076A5">
              <w:rPr>
                <w:lang w:val="en-US"/>
              </w:rPr>
              <w:t>)</w:t>
            </w:r>
          </w:p>
        </w:tc>
        <w:tc>
          <w:tcPr>
            <w:tcW w:w="550" w:type="pct"/>
            <w:tcBorders>
              <w:top w:val="nil"/>
              <w:bottom w:val="nil"/>
            </w:tcBorders>
            <w:shd w:val="clear" w:color="auto" w:fill="auto"/>
            <w:vAlign w:val="center"/>
          </w:tcPr>
          <w:p w:rsidR="00872AAD" w:rsidRPr="00E2771E" w:rsidRDefault="00872AAD" w:rsidP="00872AAD">
            <w:pPr>
              <w:pStyle w:val="TableText0"/>
              <w:jc w:val="center"/>
              <w:rPr>
                <w:lang w:val="en-US"/>
              </w:rPr>
            </w:pPr>
            <w:r>
              <w:rPr>
                <w:lang w:val="en-US"/>
              </w:rPr>
              <w:t>Not used</w:t>
            </w:r>
          </w:p>
        </w:tc>
      </w:tr>
      <w:tr w:rsidR="00872AAD" w:rsidRPr="00E2771E" w:rsidTr="005E7EB8">
        <w:trPr>
          <w:cantSplit/>
        </w:trPr>
        <w:tc>
          <w:tcPr>
            <w:tcW w:w="618" w:type="pct"/>
            <w:vMerge/>
            <w:shd w:val="clear" w:color="auto" w:fill="auto"/>
            <w:vAlign w:val="center"/>
          </w:tcPr>
          <w:p w:rsidR="00872AAD" w:rsidRDefault="00872AAD" w:rsidP="00872AAD">
            <w:pPr>
              <w:pStyle w:val="TableText0"/>
              <w:rPr>
                <w:lang w:val="en-US"/>
              </w:rPr>
            </w:pPr>
          </w:p>
        </w:tc>
        <w:tc>
          <w:tcPr>
            <w:tcW w:w="312" w:type="pct"/>
            <w:vMerge/>
            <w:shd w:val="clear" w:color="auto" w:fill="auto"/>
            <w:vAlign w:val="center"/>
          </w:tcPr>
          <w:p w:rsidR="00872AAD" w:rsidRDefault="00872AAD" w:rsidP="00872AAD">
            <w:pPr>
              <w:pStyle w:val="TableText0"/>
              <w:jc w:val="center"/>
              <w:rPr>
                <w:lang w:val="en-US"/>
              </w:rPr>
            </w:pPr>
          </w:p>
        </w:tc>
        <w:tc>
          <w:tcPr>
            <w:tcW w:w="785" w:type="pct"/>
            <w:vMerge/>
            <w:shd w:val="clear" w:color="auto" w:fill="auto"/>
            <w:vAlign w:val="center"/>
          </w:tcPr>
          <w:p w:rsidR="00872AAD" w:rsidRPr="00E2771E" w:rsidRDefault="00872AAD" w:rsidP="00872AAD">
            <w:pPr>
              <w:pStyle w:val="TableText0"/>
              <w:rPr>
                <w:lang w:val="en-US"/>
              </w:rPr>
            </w:pPr>
          </w:p>
        </w:tc>
        <w:tc>
          <w:tcPr>
            <w:tcW w:w="468" w:type="pct"/>
            <w:vMerge/>
            <w:shd w:val="clear" w:color="auto" w:fill="auto"/>
            <w:vAlign w:val="center"/>
          </w:tcPr>
          <w:p w:rsidR="00872AAD" w:rsidRPr="00123902" w:rsidRDefault="00872AAD" w:rsidP="00872AAD">
            <w:pPr>
              <w:pStyle w:val="TableText0"/>
              <w:jc w:val="center"/>
              <w:rPr>
                <w:i/>
                <w:lang w:val="en-US"/>
              </w:rPr>
            </w:pPr>
          </w:p>
        </w:tc>
        <w:tc>
          <w:tcPr>
            <w:tcW w:w="1408" w:type="pct"/>
            <w:vMerge/>
            <w:shd w:val="clear" w:color="auto" w:fill="auto"/>
            <w:vAlign w:val="center"/>
          </w:tcPr>
          <w:p w:rsidR="00872AAD" w:rsidRDefault="00872AAD" w:rsidP="00872AAD">
            <w:pPr>
              <w:pStyle w:val="TableText0"/>
              <w:jc w:val="center"/>
              <w:rPr>
                <w:lang w:val="en-US"/>
              </w:rPr>
            </w:pPr>
          </w:p>
        </w:tc>
        <w:tc>
          <w:tcPr>
            <w:tcW w:w="859" w:type="pct"/>
            <w:tcBorders>
              <w:top w:val="nil"/>
            </w:tcBorders>
            <w:shd w:val="clear" w:color="auto" w:fill="auto"/>
            <w:vAlign w:val="center"/>
          </w:tcPr>
          <w:p w:rsidR="00872AAD" w:rsidRDefault="00872AAD" w:rsidP="00872AAD">
            <w:pPr>
              <w:pStyle w:val="TableText0"/>
              <w:rPr>
                <w:lang w:val="en-US"/>
              </w:rPr>
            </w:pPr>
            <w:r>
              <w:rPr>
                <w:lang w:val="en-US"/>
              </w:rPr>
              <w:t>Secondary: PFS</w:t>
            </w:r>
          </w:p>
        </w:tc>
        <w:tc>
          <w:tcPr>
            <w:tcW w:w="550" w:type="pct"/>
            <w:tcBorders>
              <w:top w:val="nil"/>
            </w:tcBorders>
            <w:shd w:val="clear" w:color="auto" w:fill="auto"/>
            <w:vAlign w:val="center"/>
          </w:tcPr>
          <w:p w:rsidR="00872AAD" w:rsidRDefault="00872AAD" w:rsidP="00872AAD">
            <w:pPr>
              <w:pStyle w:val="TableText0"/>
              <w:jc w:val="center"/>
              <w:rPr>
                <w:lang w:val="en-US"/>
              </w:rPr>
            </w:pPr>
            <w:r>
              <w:rPr>
                <w:lang w:val="en-US"/>
              </w:rPr>
              <w:t>Yes</w:t>
            </w:r>
          </w:p>
        </w:tc>
      </w:tr>
      <w:tr w:rsidR="00872AAD" w:rsidRPr="00A14F8A" w:rsidTr="005E7EB8">
        <w:trPr>
          <w:cantSplit/>
        </w:trPr>
        <w:tc>
          <w:tcPr>
            <w:tcW w:w="618" w:type="pct"/>
            <w:shd w:val="clear" w:color="auto" w:fill="auto"/>
            <w:vAlign w:val="center"/>
          </w:tcPr>
          <w:p w:rsidR="00872AAD" w:rsidRPr="006A526E" w:rsidRDefault="00872AAD" w:rsidP="00872AAD">
            <w:pPr>
              <w:pStyle w:val="TableText0"/>
              <w:rPr>
                <w:iCs/>
                <w:lang w:val="en-US"/>
              </w:rPr>
            </w:pPr>
            <w:r w:rsidRPr="006A526E">
              <w:rPr>
                <w:iCs/>
                <w:lang w:val="en-US"/>
              </w:rPr>
              <w:t>PEONY</w:t>
            </w:r>
          </w:p>
        </w:tc>
        <w:tc>
          <w:tcPr>
            <w:tcW w:w="312" w:type="pct"/>
            <w:shd w:val="clear" w:color="auto" w:fill="auto"/>
            <w:vAlign w:val="center"/>
          </w:tcPr>
          <w:p w:rsidR="00872AAD" w:rsidRPr="006A526E" w:rsidRDefault="00872AAD" w:rsidP="00872AAD">
            <w:pPr>
              <w:pStyle w:val="TableText0"/>
              <w:jc w:val="center"/>
              <w:rPr>
                <w:iCs/>
                <w:lang w:val="en-US"/>
              </w:rPr>
            </w:pPr>
            <w:r w:rsidRPr="006A526E">
              <w:rPr>
                <w:iCs/>
                <w:lang w:val="en-US"/>
              </w:rPr>
              <w:t>219 vs. 110</w:t>
            </w:r>
          </w:p>
        </w:tc>
        <w:tc>
          <w:tcPr>
            <w:tcW w:w="785" w:type="pct"/>
            <w:shd w:val="clear" w:color="auto" w:fill="auto"/>
            <w:vAlign w:val="center"/>
          </w:tcPr>
          <w:p w:rsidR="00872AAD" w:rsidRPr="006A526E" w:rsidRDefault="00872AAD" w:rsidP="00872AAD">
            <w:pPr>
              <w:pStyle w:val="TableText0"/>
              <w:rPr>
                <w:iCs/>
                <w:lang w:val="en-US"/>
              </w:rPr>
            </w:pPr>
            <w:r w:rsidRPr="006A526E">
              <w:rPr>
                <w:iCs/>
                <w:lang w:val="en-US"/>
              </w:rPr>
              <w:t xml:space="preserve">Randomised, double-blind, placebo-controlled, </w:t>
            </w:r>
          </w:p>
          <w:p w:rsidR="00872AAD" w:rsidRPr="006A526E" w:rsidRDefault="00872AAD" w:rsidP="00872AAD">
            <w:pPr>
              <w:pStyle w:val="TableText0"/>
              <w:rPr>
                <w:iCs/>
                <w:lang w:val="en-US"/>
              </w:rPr>
            </w:pPr>
            <w:r w:rsidRPr="006A526E">
              <w:rPr>
                <w:iCs/>
                <w:lang w:val="en-US"/>
              </w:rPr>
              <w:t>Phase III;</w:t>
            </w:r>
          </w:p>
          <w:p w:rsidR="00872AAD" w:rsidRPr="006A526E" w:rsidRDefault="00872AAD" w:rsidP="00872AAD">
            <w:pPr>
              <w:pStyle w:val="TableText0"/>
              <w:rPr>
                <w:iCs/>
                <w:lang w:val="en-US"/>
              </w:rPr>
            </w:pPr>
            <w:r w:rsidRPr="006A526E">
              <w:rPr>
                <w:iCs/>
                <w:lang w:val="en-US"/>
              </w:rPr>
              <w:t>4 cycles (q3w)</w:t>
            </w:r>
          </w:p>
        </w:tc>
        <w:tc>
          <w:tcPr>
            <w:tcW w:w="468" w:type="pct"/>
            <w:shd w:val="clear" w:color="auto" w:fill="auto"/>
            <w:vAlign w:val="center"/>
          </w:tcPr>
          <w:p w:rsidR="00872AAD" w:rsidRPr="006A526E" w:rsidRDefault="00872AAD" w:rsidP="00872AAD">
            <w:pPr>
              <w:pStyle w:val="TableText0"/>
              <w:jc w:val="center"/>
              <w:rPr>
                <w:iCs/>
                <w:lang w:val="en-US"/>
              </w:rPr>
            </w:pPr>
            <w:r w:rsidRPr="006A526E">
              <w:rPr>
                <w:iCs/>
                <w:lang w:val="en-US"/>
              </w:rPr>
              <w:t>Low</w:t>
            </w:r>
          </w:p>
        </w:tc>
        <w:tc>
          <w:tcPr>
            <w:tcW w:w="1408" w:type="pct"/>
            <w:shd w:val="clear" w:color="auto" w:fill="auto"/>
            <w:vAlign w:val="center"/>
          </w:tcPr>
          <w:p w:rsidR="00872AAD" w:rsidRPr="006A526E" w:rsidRDefault="00872AAD" w:rsidP="00872AAD">
            <w:pPr>
              <w:pStyle w:val="TableText0"/>
              <w:rPr>
                <w:iCs/>
                <w:lang w:val="en-US"/>
              </w:rPr>
            </w:pPr>
            <w:r w:rsidRPr="006A526E">
              <w:rPr>
                <w:iCs/>
                <w:lang w:val="en-US"/>
              </w:rPr>
              <w:t>HER2-positive; early-stage (T2-3, N0-1, M0) or locally advanced (T2-3, N2 or N3, M0; T4, any N, M0) BC; primary tumour &gt;2 cm; chemotherapy-naïve; Asia-Pacific</w:t>
            </w:r>
          </w:p>
        </w:tc>
        <w:tc>
          <w:tcPr>
            <w:tcW w:w="859" w:type="pct"/>
            <w:shd w:val="clear" w:color="auto" w:fill="auto"/>
            <w:vAlign w:val="center"/>
          </w:tcPr>
          <w:p w:rsidR="00872AAD" w:rsidRPr="006A526E" w:rsidRDefault="00872AAD" w:rsidP="00872AAD">
            <w:pPr>
              <w:pStyle w:val="TableText0"/>
              <w:rPr>
                <w:iCs/>
                <w:lang w:val="en-US"/>
              </w:rPr>
            </w:pPr>
            <w:r w:rsidRPr="006A526E">
              <w:rPr>
                <w:iCs/>
                <w:lang w:val="en-US"/>
              </w:rPr>
              <w:t>Primary: tpCR</w:t>
            </w:r>
            <w:r w:rsidRPr="006A526E">
              <w:rPr>
                <w:iCs/>
                <w:vertAlign w:val="superscript"/>
                <w:lang w:val="en-US"/>
              </w:rPr>
              <w:t>#</w:t>
            </w:r>
          </w:p>
        </w:tc>
        <w:tc>
          <w:tcPr>
            <w:tcW w:w="550" w:type="pct"/>
            <w:shd w:val="clear" w:color="auto" w:fill="auto"/>
            <w:vAlign w:val="center"/>
          </w:tcPr>
          <w:p w:rsidR="00872AAD" w:rsidRPr="006A526E" w:rsidRDefault="00872AAD" w:rsidP="00872AAD">
            <w:pPr>
              <w:pStyle w:val="TableText0"/>
              <w:jc w:val="center"/>
              <w:rPr>
                <w:iCs/>
                <w:lang w:val="en-US"/>
              </w:rPr>
            </w:pPr>
            <w:r w:rsidRPr="006A526E">
              <w:rPr>
                <w:iCs/>
                <w:lang w:val="en-US"/>
              </w:rPr>
              <w:t>Not used</w:t>
            </w:r>
          </w:p>
        </w:tc>
      </w:tr>
      <w:tr w:rsidR="00872AAD" w:rsidRPr="00E2771E" w:rsidTr="005E7EB8">
        <w:trPr>
          <w:cantSplit/>
        </w:trPr>
        <w:tc>
          <w:tcPr>
            <w:tcW w:w="5000" w:type="pct"/>
            <w:gridSpan w:val="7"/>
            <w:shd w:val="clear" w:color="auto" w:fill="auto"/>
            <w:vAlign w:val="center"/>
          </w:tcPr>
          <w:p w:rsidR="00D04C61" w:rsidRDefault="00872AAD" w:rsidP="00872AAD">
            <w:pPr>
              <w:pStyle w:val="In-tableHeading"/>
            </w:pPr>
            <w:r>
              <w:t xml:space="preserve">Neoadjuvant setting: </w:t>
            </w:r>
            <w:r w:rsidR="00BD26D5">
              <w:t>Ptz</w:t>
            </w:r>
            <w:r w:rsidR="0070010E">
              <w:t>+T</w:t>
            </w:r>
            <w:r>
              <w:t>+ FEC</w:t>
            </w:r>
            <w:r w:rsidR="0070010E">
              <w:t>,</w:t>
            </w:r>
            <w:r w:rsidR="00BD26D5">
              <w:t>D</w:t>
            </w:r>
            <w:r>
              <w:t xml:space="preserve"> vs. </w:t>
            </w:r>
            <w:r w:rsidR="00BD26D5">
              <w:t>Ptz</w:t>
            </w:r>
            <w:r w:rsidR="0070010E">
              <w:t>+T+</w:t>
            </w:r>
            <w:r>
              <w:t>carboplatin</w:t>
            </w:r>
            <w:r w:rsidR="0070010E">
              <w:t>,</w:t>
            </w:r>
            <w:r w:rsidR="00BD26D5">
              <w:t>D</w:t>
            </w:r>
          </w:p>
          <w:p w:rsidR="00872AAD" w:rsidRPr="00EC5836" w:rsidRDefault="00D04C61" w:rsidP="00872AAD">
            <w:pPr>
              <w:pStyle w:val="In-tableHeading"/>
            </w:pPr>
            <w:r>
              <w:t>Adjuvant setting: T</w:t>
            </w:r>
            <w:r w:rsidR="00872AAD">
              <w:t xml:space="preserve"> </w:t>
            </w:r>
            <w:r>
              <w:t>(11 cycles)</w:t>
            </w:r>
          </w:p>
        </w:tc>
      </w:tr>
      <w:tr w:rsidR="00872AAD" w:rsidRPr="00E2771E" w:rsidTr="005E7EB8">
        <w:trPr>
          <w:cantSplit/>
        </w:trPr>
        <w:tc>
          <w:tcPr>
            <w:tcW w:w="618" w:type="pct"/>
            <w:shd w:val="clear" w:color="auto" w:fill="auto"/>
            <w:vAlign w:val="center"/>
          </w:tcPr>
          <w:p w:rsidR="00872AAD" w:rsidRPr="00E2771E" w:rsidRDefault="00872AAD" w:rsidP="00872AAD">
            <w:pPr>
              <w:pStyle w:val="TableText0"/>
              <w:rPr>
                <w:lang w:val="en-US"/>
              </w:rPr>
            </w:pPr>
            <w:r>
              <w:rPr>
                <w:lang w:val="en-US"/>
              </w:rPr>
              <w:t>TRYPHAENA</w:t>
            </w:r>
          </w:p>
        </w:tc>
        <w:tc>
          <w:tcPr>
            <w:tcW w:w="312" w:type="pct"/>
            <w:shd w:val="clear" w:color="auto" w:fill="auto"/>
            <w:vAlign w:val="center"/>
          </w:tcPr>
          <w:p w:rsidR="00872AAD" w:rsidRPr="00E2771E" w:rsidRDefault="00872AAD" w:rsidP="00872AAD">
            <w:pPr>
              <w:pStyle w:val="TableText0"/>
              <w:jc w:val="center"/>
              <w:rPr>
                <w:lang w:val="en-US"/>
              </w:rPr>
            </w:pPr>
            <w:r>
              <w:rPr>
                <w:lang w:val="en-US"/>
              </w:rPr>
              <w:t>73 vs. 77</w:t>
            </w:r>
          </w:p>
        </w:tc>
        <w:tc>
          <w:tcPr>
            <w:tcW w:w="785" w:type="pct"/>
            <w:shd w:val="clear" w:color="auto" w:fill="auto"/>
            <w:vAlign w:val="center"/>
          </w:tcPr>
          <w:p w:rsidR="00872AAD" w:rsidRDefault="00872AAD" w:rsidP="00872AAD">
            <w:pPr>
              <w:pStyle w:val="TableText0"/>
              <w:rPr>
                <w:lang w:val="en-US"/>
              </w:rPr>
            </w:pPr>
            <w:r w:rsidRPr="00A14D27">
              <w:rPr>
                <w:lang w:val="en-US"/>
              </w:rPr>
              <w:t xml:space="preserve">Randomised, open label, </w:t>
            </w:r>
          </w:p>
          <w:p w:rsidR="00872AAD" w:rsidRPr="00E2771E" w:rsidRDefault="00872AAD" w:rsidP="00872AAD">
            <w:pPr>
              <w:pStyle w:val="TableText0"/>
              <w:rPr>
                <w:lang w:val="en-US"/>
              </w:rPr>
            </w:pPr>
            <w:r>
              <w:rPr>
                <w:lang w:val="en-US"/>
              </w:rPr>
              <w:t xml:space="preserve">Phase II; </w:t>
            </w:r>
          </w:p>
          <w:p w:rsidR="00872AAD" w:rsidRPr="00E2771E" w:rsidRDefault="00872AAD" w:rsidP="00872AAD">
            <w:pPr>
              <w:pStyle w:val="TableText0"/>
              <w:rPr>
                <w:lang w:val="en-US"/>
              </w:rPr>
            </w:pPr>
            <w:r>
              <w:rPr>
                <w:lang w:val="en-US"/>
              </w:rPr>
              <w:t xml:space="preserve">6 cycles (q3w) </w:t>
            </w:r>
          </w:p>
        </w:tc>
        <w:tc>
          <w:tcPr>
            <w:tcW w:w="468" w:type="pct"/>
            <w:shd w:val="clear" w:color="auto" w:fill="auto"/>
            <w:vAlign w:val="center"/>
          </w:tcPr>
          <w:p w:rsidR="00872AAD" w:rsidRPr="008626E9" w:rsidRDefault="00872AAD" w:rsidP="00872AAD">
            <w:pPr>
              <w:pStyle w:val="TableText0"/>
              <w:jc w:val="center"/>
              <w:rPr>
                <w:iCs/>
                <w:lang w:val="en-US"/>
              </w:rPr>
            </w:pPr>
            <w:r>
              <w:rPr>
                <w:iCs/>
                <w:lang w:val="en-US"/>
              </w:rPr>
              <w:t>Moderate</w:t>
            </w:r>
          </w:p>
        </w:tc>
        <w:tc>
          <w:tcPr>
            <w:tcW w:w="1408" w:type="pct"/>
            <w:shd w:val="clear" w:color="auto" w:fill="auto"/>
            <w:vAlign w:val="center"/>
          </w:tcPr>
          <w:p w:rsidR="00872AAD" w:rsidRPr="006476A3" w:rsidRDefault="00872AAD" w:rsidP="00872AAD">
            <w:pPr>
              <w:pStyle w:val="TableText0"/>
              <w:rPr>
                <w:szCs w:val="20"/>
                <w:lang w:val="en-US"/>
              </w:rPr>
            </w:pPr>
            <w:r>
              <w:rPr>
                <w:lang w:val="en-US"/>
              </w:rPr>
              <w:t xml:space="preserve">HER2-positive </w:t>
            </w:r>
            <w:r w:rsidRPr="006476A3">
              <w:rPr>
                <w:szCs w:val="20"/>
                <w:lang w:val="en-US"/>
              </w:rPr>
              <w:t>operable (T2-3, N0-1, M0), locally advanced (T2-3, N2 or N3, M0; T4a-c, any N, M0) and inflammatory (T4d, any N, M0)</w:t>
            </w:r>
          </w:p>
        </w:tc>
        <w:tc>
          <w:tcPr>
            <w:tcW w:w="859" w:type="pct"/>
            <w:shd w:val="clear" w:color="auto" w:fill="auto"/>
            <w:vAlign w:val="center"/>
          </w:tcPr>
          <w:p w:rsidR="00872AAD" w:rsidRPr="00E2771E" w:rsidRDefault="00872AAD" w:rsidP="00872AAD">
            <w:pPr>
              <w:pStyle w:val="TableText0"/>
              <w:rPr>
                <w:lang w:val="en-US"/>
              </w:rPr>
            </w:pPr>
            <w:r>
              <w:rPr>
                <w:lang w:val="en-US"/>
              </w:rPr>
              <w:t>Primary: bpCR</w:t>
            </w:r>
            <w:r w:rsidRPr="00F861A1">
              <w:rPr>
                <w:vertAlign w:val="superscript"/>
                <w:lang w:val="en-US"/>
              </w:rPr>
              <w:t>~</w:t>
            </w:r>
          </w:p>
        </w:tc>
        <w:tc>
          <w:tcPr>
            <w:tcW w:w="550" w:type="pct"/>
            <w:shd w:val="clear" w:color="auto" w:fill="auto"/>
            <w:vAlign w:val="center"/>
          </w:tcPr>
          <w:p w:rsidR="00872AAD" w:rsidRPr="00E2771E" w:rsidRDefault="00872AAD" w:rsidP="00872AAD">
            <w:pPr>
              <w:pStyle w:val="TableText0"/>
              <w:jc w:val="center"/>
              <w:rPr>
                <w:lang w:val="en-US"/>
              </w:rPr>
            </w:pPr>
            <w:r w:rsidRPr="00E2771E">
              <w:rPr>
                <w:lang w:val="en-US"/>
              </w:rPr>
              <w:t>Not used</w:t>
            </w:r>
          </w:p>
        </w:tc>
      </w:tr>
    </w:tbl>
    <w:p w:rsidR="00872AAD" w:rsidRDefault="00872AAD" w:rsidP="00872AAD">
      <w:pPr>
        <w:pStyle w:val="TableFigureFooter"/>
      </w:pPr>
      <w:r>
        <w:t xml:space="preserve">Source: </w:t>
      </w:r>
      <w:r w:rsidRPr="00D5394D">
        <w:t xml:space="preserve">Table 1, Attachment 2 of the submission; </w:t>
      </w:r>
      <w:r>
        <w:t xml:space="preserve">Schneeweiss (2013); Shao (2019); </w:t>
      </w:r>
      <w:r w:rsidRPr="00DA6C7F">
        <w:t>pp</w:t>
      </w:r>
      <w:r>
        <w:t>48-49</w:t>
      </w:r>
      <w:r w:rsidRPr="00DA6C7F">
        <w:t xml:space="preserve"> in Protocol for PEONY (YO28762), version 4, December 2016 (available at: </w:t>
      </w:r>
      <w:r w:rsidRPr="00E81857">
        <w:t>https://clinicaltrials.gov/ct2/show/NCT02586025</w:t>
      </w:r>
      <w:r>
        <w:t xml:space="preserve">; </w:t>
      </w:r>
      <w:r w:rsidRPr="00DA6C7F">
        <w:t>accessed 16 December 2016).</w:t>
      </w:r>
    </w:p>
    <w:p w:rsidR="00872AAD" w:rsidRDefault="00872AAD" w:rsidP="00872AAD">
      <w:pPr>
        <w:pStyle w:val="TableFigureFooter"/>
      </w:pPr>
      <w:r>
        <w:t xml:space="preserve">BC = breast cancer; bpCR = pCR in the breast; </w:t>
      </w:r>
      <w:r w:rsidR="0070010E">
        <w:t xml:space="preserve">D = docetaxel; </w:t>
      </w:r>
      <w:r>
        <w:t xml:space="preserve">DFS = disease-free survival; EFS = event-free survival; N = number randomised; </w:t>
      </w:r>
      <w:r w:rsidRPr="0072416F">
        <w:t>OL</w:t>
      </w:r>
      <w:r>
        <w:t xml:space="preserve"> </w:t>
      </w:r>
      <w:r w:rsidRPr="0072416F">
        <w:t>=</w:t>
      </w:r>
      <w:r>
        <w:t xml:space="preserve"> </w:t>
      </w:r>
      <w:r w:rsidRPr="0072416F">
        <w:t xml:space="preserve">open label; </w:t>
      </w:r>
      <w:r>
        <w:t xml:space="preserve">OS = overall survival; pCR = </w:t>
      </w:r>
      <w:r w:rsidRPr="004C1360">
        <w:t>pathological complete response</w:t>
      </w:r>
      <w:r>
        <w:t xml:space="preserve">; PFS = progression-free survival; </w:t>
      </w:r>
      <w:r w:rsidR="0070010E">
        <w:t xml:space="preserve">Ptz = pertuzumab; </w:t>
      </w:r>
      <w:r>
        <w:t>q3w = once every 3 weeks;</w:t>
      </w:r>
      <w:r w:rsidR="0070010E">
        <w:t xml:space="preserve"> T = trastuzumab;</w:t>
      </w:r>
      <w:r>
        <w:t xml:space="preserve"> tpCR = total pCR; vs = versus.</w:t>
      </w:r>
    </w:p>
    <w:p w:rsidR="00872AAD" w:rsidRDefault="00872AAD" w:rsidP="00872AAD">
      <w:pPr>
        <w:pStyle w:val="TableFigureFooter"/>
      </w:pPr>
      <w:r>
        <w:t xml:space="preserve">^ Duration of neoadjuvant treatment </w:t>
      </w:r>
    </w:p>
    <w:p w:rsidR="00872AAD" w:rsidRPr="002B1DF7" w:rsidRDefault="00872AAD" w:rsidP="00872AAD">
      <w:pPr>
        <w:pStyle w:val="TableFigureFooter"/>
      </w:pPr>
      <w:r w:rsidRPr="002B1DF7">
        <w:t xml:space="preserve">In NEOSPHERE, adjuvant treatment: both Arm </w:t>
      </w:r>
      <w:r w:rsidR="00BD26D5">
        <w:t>Ptz</w:t>
      </w:r>
      <w:r w:rsidR="00FB431C">
        <w:t>+</w:t>
      </w:r>
      <w:r w:rsidRPr="002B1DF7">
        <w:t>T+</w:t>
      </w:r>
      <w:r w:rsidR="00BD26D5">
        <w:t xml:space="preserve">D and Arm </w:t>
      </w:r>
      <w:r w:rsidRPr="002B1DF7">
        <w:t xml:space="preserve">T+D: FEC x3 cycles (cycle 5-7); and T x13 cycles (cycle 5-17); post-treatment follow-up = 5 years post-randomisation. </w:t>
      </w:r>
    </w:p>
    <w:p w:rsidR="00872AAD" w:rsidRPr="002B1DF7" w:rsidRDefault="00872AAD" w:rsidP="00872AAD">
      <w:pPr>
        <w:pStyle w:val="TableFigureFooter"/>
      </w:pPr>
      <w:r w:rsidRPr="002B1DF7">
        <w:t xml:space="preserve">In </w:t>
      </w:r>
      <w:r w:rsidR="00FB431C">
        <w:t>PEONY</w:t>
      </w:r>
      <w:r w:rsidRPr="002B1DF7">
        <w:t xml:space="preserve">, adjuvant treatment: Arm </w:t>
      </w:r>
      <w:r w:rsidR="00BD26D5">
        <w:t>Ptz</w:t>
      </w:r>
      <w:r w:rsidR="00FB431C">
        <w:t>+</w:t>
      </w:r>
      <w:r w:rsidRPr="002B1DF7">
        <w:t>T+</w:t>
      </w:r>
      <w:r w:rsidR="00BD26D5">
        <w:t>D</w:t>
      </w:r>
      <w:r w:rsidRPr="002B1DF7">
        <w:t xml:space="preserve">: FEC x3 cycles (cycle 5-7); and </w:t>
      </w:r>
      <w:r w:rsidR="00BD26D5">
        <w:t>Ptz+T</w:t>
      </w:r>
      <w:r w:rsidRPr="002B1DF7">
        <w:t xml:space="preserve"> x13 (cycle 8-20); Arm </w:t>
      </w:r>
      <w:r w:rsidR="00BD26D5">
        <w:t>Placebo</w:t>
      </w:r>
      <w:r w:rsidR="00FB431C">
        <w:t>+</w:t>
      </w:r>
      <w:r w:rsidRPr="002B1DF7">
        <w:t>T+</w:t>
      </w:r>
      <w:r w:rsidR="00BD26D5">
        <w:t>D</w:t>
      </w:r>
      <w:r w:rsidRPr="002B1DF7">
        <w:t xml:space="preserve">: FEC x3 cycles (cycle 5-7); and </w:t>
      </w:r>
      <w:r w:rsidR="00BD26D5">
        <w:t>Placebo+T</w:t>
      </w:r>
      <w:r w:rsidRPr="002B1DF7">
        <w:t xml:space="preserve"> x13 (cycle 8-20)</w:t>
      </w:r>
      <w:proofErr w:type="gramStart"/>
      <w:r w:rsidRPr="002B1DF7">
        <w:t>;</w:t>
      </w:r>
      <w:proofErr w:type="gramEnd"/>
      <w:r w:rsidRPr="002B1DF7">
        <w:t xml:space="preserve"> post-treatment follow-up up to one year in total.</w:t>
      </w:r>
      <w:bookmarkStart w:id="20" w:name="_Hlk27596372"/>
    </w:p>
    <w:p w:rsidR="00872AAD" w:rsidRPr="002B1DF7" w:rsidRDefault="00872AAD" w:rsidP="00872AAD">
      <w:pPr>
        <w:pStyle w:val="TableFigureFooter"/>
      </w:pPr>
      <w:r w:rsidRPr="002B1DF7">
        <w:rPr>
          <w:vertAlign w:val="superscript"/>
        </w:rPr>
        <w:t>~</w:t>
      </w:r>
      <w:r w:rsidRPr="002B1DF7">
        <w:t xml:space="preserve"> Assessed by local pathologist, </w:t>
      </w:r>
      <w:proofErr w:type="gramStart"/>
      <w:r w:rsidRPr="002B1DF7">
        <w:t>no independent</w:t>
      </w:r>
      <w:proofErr w:type="gramEnd"/>
      <w:r w:rsidRPr="002B1DF7">
        <w:t xml:space="preserve"> review.</w:t>
      </w:r>
    </w:p>
    <w:p w:rsidR="00872AAD" w:rsidRPr="002B1DF7" w:rsidRDefault="00872AAD" w:rsidP="00872AAD">
      <w:pPr>
        <w:pStyle w:val="TableFigureFooter"/>
      </w:pPr>
      <w:r w:rsidRPr="002B1DF7">
        <w:rPr>
          <w:vertAlign w:val="superscript"/>
        </w:rPr>
        <w:t>#</w:t>
      </w:r>
      <w:r w:rsidRPr="002B1DF7">
        <w:t xml:space="preserve"> Assessed by an Independent Review Committee (IRC).</w:t>
      </w:r>
    </w:p>
    <w:bookmarkEnd w:id="20"/>
    <w:p w:rsidR="00872AAD" w:rsidRPr="002B1DF7" w:rsidRDefault="00872AAD" w:rsidP="00872AAD">
      <w:pPr>
        <w:pStyle w:val="TableFigureFooter"/>
      </w:pPr>
      <w:r w:rsidRPr="002B1DF7">
        <w:t>In NEOSPHERE, adjuvant FEC = 5-fluorouracil 600 mg/m</w:t>
      </w:r>
      <w:r w:rsidRPr="002B1DF7">
        <w:rPr>
          <w:vertAlign w:val="superscript"/>
        </w:rPr>
        <w:t>2</w:t>
      </w:r>
      <w:r w:rsidRPr="002B1DF7">
        <w:t>, epirubicin 90 mg/m</w:t>
      </w:r>
      <w:r w:rsidRPr="002B1DF7">
        <w:rPr>
          <w:vertAlign w:val="superscript"/>
        </w:rPr>
        <w:t>2</w:t>
      </w:r>
      <w:r w:rsidRPr="002B1DF7">
        <w:t xml:space="preserve"> and cyclophosphamide 600 mg/m</w:t>
      </w:r>
      <w:r w:rsidRPr="002B1DF7">
        <w:rPr>
          <w:vertAlign w:val="superscript"/>
        </w:rPr>
        <w:t>2</w:t>
      </w:r>
      <w:r w:rsidRPr="002B1DF7">
        <w:t xml:space="preserve">. </w:t>
      </w:r>
    </w:p>
    <w:p w:rsidR="00872AAD" w:rsidRPr="002B1DF7" w:rsidRDefault="00872AAD" w:rsidP="00872AAD">
      <w:pPr>
        <w:pStyle w:val="TableFigureFooter"/>
      </w:pPr>
      <w:r w:rsidRPr="002B1DF7">
        <w:t>In TRYPHAENA (Arm A), neoadjuvant FEC = 5-fluorouracil 500 mg/m</w:t>
      </w:r>
      <w:r w:rsidRPr="002B1DF7">
        <w:rPr>
          <w:vertAlign w:val="superscript"/>
        </w:rPr>
        <w:t>2</w:t>
      </w:r>
      <w:r w:rsidRPr="002B1DF7">
        <w:t>, epirubicin 100 mg/m</w:t>
      </w:r>
      <w:r w:rsidRPr="002B1DF7">
        <w:rPr>
          <w:vertAlign w:val="superscript"/>
        </w:rPr>
        <w:t>2</w:t>
      </w:r>
      <w:r w:rsidRPr="002B1DF7">
        <w:t xml:space="preserve"> and cyclophosphamide 600 mg/m</w:t>
      </w:r>
      <w:r w:rsidRPr="002B1DF7">
        <w:rPr>
          <w:vertAlign w:val="superscript"/>
        </w:rPr>
        <w:t>2</w:t>
      </w:r>
      <w:r w:rsidRPr="002B1DF7">
        <w:t>.</w:t>
      </w:r>
    </w:p>
    <w:p w:rsidR="00872AAD" w:rsidRPr="002B1DF7" w:rsidRDefault="00872AAD" w:rsidP="00872AAD">
      <w:pPr>
        <w:pStyle w:val="TableFigureFooter"/>
      </w:pPr>
      <w:r w:rsidRPr="002B1DF7">
        <w:t>In PEONY, adjuvant FEC = 500−600 mg/m</w:t>
      </w:r>
      <w:r w:rsidRPr="002B1DF7">
        <w:rPr>
          <w:vertAlign w:val="superscript"/>
        </w:rPr>
        <w:t>2</w:t>
      </w:r>
      <w:r w:rsidRPr="002B1DF7">
        <w:t xml:space="preserve"> 5-fluorouracil (5-FU), 90−120 mg/m</w:t>
      </w:r>
      <w:r w:rsidRPr="002B1DF7">
        <w:rPr>
          <w:vertAlign w:val="superscript"/>
        </w:rPr>
        <w:t>2</w:t>
      </w:r>
      <w:r w:rsidRPr="002B1DF7">
        <w:t xml:space="preserve"> epirubicin, and 500−600 mg/m</w:t>
      </w:r>
      <w:r w:rsidRPr="002B1DF7">
        <w:rPr>
          <w:vertAlign w:val="superscript"/>
        </w:rPr>
        <w:t>2</w:t>
      </w:r>
      <w:r w:rsidRPr="002B1DF7">
        <w:t xml:space="preserve"> cyclophosphamide.</w:t>
      </w:r>
    </w:p>
    <w:p w:rsidR="00872AAD" w:rsidRDefault="00872AAD" w:rsidP="00872AAD">
      <w:pPr>
        <w:pStyle w:val="3-BodyText"/>
      </w:pPr>
      <w:r>
        <w:t>Both NEOSPHERE and TRYPHAENA were open label trials</w:t>
      </w:r>
      <w:r w:rsidR="009778E3">
        <w:t xml:space="preserve"> with</w:t>
      </w:r>
      <w:r>
        <w:t xml:space="preserve"> </w:t>
      </w:r>
      <w:r w:rsidR="009778E3">
        <w:t>t</w:t>
      </w:r>
      <w:r>
        <w:t xml:space="preserve">reatment allocation not concealed from the patients, investigators or outcome assessors. Assessors of clinical tumour response </w:t>
      </w:r>
      <w:proofErr w:type="gramStart"/>
      <w:r>
        <w:t>were not blinded</w:t>
      </w:r>
      <w:proofErr w:type="gramEnd"/>
      <w:r>
        <w:t xml:space="preserve">. </w:t>
      </w:r>
      <w:proofErr w:type="gramStart"/>
      <w:r>
        <w:t>Pathological tumour response was assessed by a local pathologist who was considered unlikely to know the treatment allocation</w:t>
      </w:r>
      <w:proofErr w:type="gramEnd"/>
      <w:r>
        <w:t xml:space="preserve">. There was no central/independent review of the accuracy of the pathology results. Risk of bias </w:t>
      </w:r>
      <w:proofErr w:type="gramStart"/>
      <w:r>
        <w:t>is therefore considered</w:t>
      </w:r>
      <w:proofErr w:type="gramEnd"/>
      <w:r>
        <w:t xml:space="preserve"> moderate in both NEOSPHERE and TRYPHAENA. PEONY </w:t>
      </w:r>
      <w:r w:rsidR="00FA3340">
        <w:t>wa</w:t>
      </w:r>
      <w:r>
        <w:t xml:space="preserve">s a double-blind trial and </w:t>
      </w:r>
      <w:proofErr w:type="gramStart"/>
      <w:r>
        <w:t xml:space="preserve">the primary outcome of total </w:t>
      </w:r>
      <w:r>
        <w:lastRenderedPageBreak/>
        <w:t xml:space="preserve">pathological complete response </w:t>
      </w:r>
      <w:r w:rsidR="008869AC">
        <w:t xml:space="preserve">(tpCR) </w:t>
      </w:r>
      <w:r>
        <w:t>was determined by an Independent Review Committee (IRC</w:t>
      </w:r>
      <w:proofErr w:type="gramEnd"/>
      <w:r>
        <w:t>)</w:t>
      </w:r>
      <w:r>
        <w:rPr>
          <w:rStyle w:val="FootnoteReference"/>
        </w:rPr>
        <w:footnoteReference w:id="5"/>
      </w:r>
      <w:r>
        <w:t xml:space="preserve">. Risk of bias in PEONY </w:t>
      </w:r>
      <w:proofErr w:type="gramStart"/>
      <w:r>
        <w:t>is therefore considered</w:t>
      </w:r>
      <w:proofErr w:type="gramEnd"/>
      <w:r>
        <w:t xml:space="preserve"> low.</w:t>
      </w:r>
    </w:p>
    <w:p w:rsidR="00691783" w:rsidRPr="006A526E" w:rsidRDefault="00691783" w:rsidP="00691783">
      <w:pPr>
        <w:pStyle w:val="3-BodyText"/>
        <w:rPr>
          <w:iCs/>
        </w:rPr>
      </w:pPr>
      <w:r w:rsidRPr="006A526E">
        <w:rPr>
          <w:iCs/>
          <w:snapToGrid/>
          <w:lang w:val="en-US"/>
        </w:rPr>
        <w:t xml:space="preserve">The </w:t>
      </w:r>
      <w:r w:rsidR="00FA3340">
        <w:rPr>
          <w:iCs/>
          <w:snapToGrid/>
          <w:lang w:val="en-US"/>
        </w:rPr>
        <w:t>proposed</w:t>
      </w:r>
      <w:r w:rsidRPr="006A526E">
        <w:rPr>
          <w:iCs/>
          <w:snapToGrid/>
          <w:lang w:val="en-US"/>
        </w:rPr>
        <w:t xml:space="preserve"> </w:t>
      </w:r>
      <w:r w:rsidR="00FA3340">
        <w:rPr>
          <w:iCs/>
          <w:snapToGrid/>
          <w:lang w:val="en-US"/>
        </w:rPr>
        <w:t xml:space="preserve">PBS </w:t>
      </w:r>
      <w:r w:rsidRPr="006A526E">
        <w:rPr>
          <w:iCs/>
          <w:snapToGrid/>
          <w:lang w:val="en-US"/>
        </w:rPr>
        <w:t>population includes females and males</w:t>
      </w:r>
      <w:r w:rsidR="00FA3340">
        <w:rPr>
          <w:iCs/>
          <w:snapToGrid/>
          <w:lang w:val="en-US"/>
        </w:rPr>
        <w:t>, and</w:t>
      </w:r>
      <w:r w:rsidRPr="006A526E">
        <w:rPr>
          <w:iCs/>
          <w:snapToGrid/>
          <w:lang w:val="en-US"/>
        </w:rPr>
        <w:t xml:space="preserve"> according to Cancer Australia statistics</w:t>
      </w:r>
      <w:r w:rsidR="00FA3340">
        <w:rPr>
          <w:iCs/>
          <w:snapToGrid/>
          <w:lang w:val="en-US"/>
        </w:rPr>
        <w:t xml:space="preserve"> approximately 1% of breast cancer patients are male</w:t>
      </w:r>
      <w:r w:rsidRPr="006A526E">
        <w:rPr>
          <w:iCs/>
          <w:snapToGrid/>
          <w:lang w:val="en-US"/>
        </w:rPr>
        <w:t xml:space="preserve"> (para. 4.1).</w:t>
      </w:r>
      <w:r w:rsidRPr="006A526E">
        <w:rPr>
          <w:rStyle w:val="FootnoteReference"/>
          <w:iCs/>
          <w:snapToGrid/>
          <w:lang w:val="en-US"/>
        </w:rPr>
        <w:footnoteReference w:id="6"/>
      </w:r>
      <w:r w:rsidRPr="006A526E">
        <w:rPr>
          <w:iCs/>
          <w:snapToGrid/>
          <w:lang w:val="en-US"/>
        </w:rPr>
        <w:t xml:space="preserve"> However, NEOSPHERE and TRYPHAENA excluded males and while PEONY did not exclude males, </w:t>
      </w:r>
      <w:r w:rsidR="00FA3340">
        <w:rPr>
          <w:iCs/>
          <w:snapToGrid/>
          <w:lang w:val="en-US"/>
        </w:rPr>
        <w:t xml:space="preserve">100% of </w:t>
      </w:r>
      <w:r w:rsidRPr="006A526E">
        <w:rPr>
          <w:iCs/>
          <w:snapToGrid/>
          <w:lang w:val="en-US"/>
        </w:rPr>
        <w:t>the trial participants were female.</w:t>
      </w:r>
    </w:p>
    <w:p w:rsidR="00485D19" w:rsidRPr="00140FC0" w:rsidRDefault="00485D19" w:rsidP="008869AC">
      <w:pPr>
        <w:pStyle w:val="3-BodyText"/>
      </w:pPr>
      <w:r w:rsidRPr="00140FC0">
        <w:t xml:space="preserve">The ESC </w:t>
      </w:r>
      <w:r w:rsidR="00BE162A">
        <w:t xml:space="preserve">and DUSC </w:t>
      </w:r>
      <w:r w:rsidRPr="00140FC0">
        <w:t xml:space="preserve">noted </w:t>
      </w:r>
      <w:r w:rsidRPr="00140FC0">
        <w:rPr>
          <w:iCs/>
        </w:rPr>
        <w:t xml:space="preserve">that </w:t>
      </w:r>
      <w:r w:rsidR="000B2371" w:rsidRPr="00140FC0">
        <w:rPr>
          <w:iCs/>
        </w:rPr>
        <w:t xml:space="preserve">in clinical practice </w:t>
      </w:r>
      <w:r w:rsidRPr="00140FC0">
        <w:rPr>
          <w:iCs/>
        </w:rPr>
        <w:t>anthracycline</w:t>
      </w:r>
      <w:r w:rsidR="000B2371" w:rsidRPr="00140FC0">
        <w:rPr>
          <w:iCs/>
        </w:rPr>
        <w:t xml:space="preserve">s </w:t>
      </w:r>
      <w:proofErr w:type="gramStart"/>
      <w:r w:rsidR="000B2371" w:rsidRPr="00140FC0">
        <w:rPr>
          <w:iCs/>
        </w:rPr>
        <w:t xml:space="preserve">are </w:t>
      </w:r>
      <w:r w:rsidR="00042E33" w:rsidRPr="00140FC0">
        <w:rPr>
          <w:iCs/>
        </w:rPr>
        <w:t xml:space="preserve">frequently </w:t>
      </w:r>
      <w:r w:rsidR="000B2371" w:rsidRPr="00140FC0">
        <w:rPr>
          <w:iCs/>
        </w:rPr>
        <w:t>used</w:t>
      </w:r>
      <w:proofErr w:type="gramEnd"/>
      <w:r w:rsidR="000B2371" w:rsidRPr="00140FC0">
        <w:rPr>
          <w:iCs/>
        </w:rPr>
        <w:t xml:space="preserve"> in the neoadjuvant setting </w:t>
      </w:r>
      <w:r w:rsidRPr="00140FC0">
        <w:rPr>
          <w:iCs/>
        </w:rPr>
        <w:t xml:space="preserve">as </w:t>
      </w:r>
      <w:r w:rsidR="000B2371" w:rsidRPr="00140FC0">
        <w:rPr>
          <w:iCs/>
        </w:rPr>
        <w:t>they improve</w:t>
      </w:r>
      <w:r w:rsidRPr="00140FC0">
        <w:rPr>
          <w:iCs/>
        </w:rPr>
        <w:t xml:space="preserve"> pCR rates.</w:t>
      </w:r>
      <w:r w:rsidRPr="00140FC0">
        <w:t xml:space="preserve"> </w:t>
      </w:r>
      <w:r w:rsidRPr="00140FC0">
        <w:rPr>
          <w:iCs/>
        </w:rPr>
        <w:t>However,</w:t>
      </w:r>
      <w:r w:rsidRPr="00140FC0">
        <w:t xml:space="preserve"> neoadjuvant anthracycline </w:t>
      </w:r>
      <w:proofErr w:type="gramStart"/>
      <w:r w:rsidRPr="00140FC0">
        <w:t>was omitted</w:t>
      </w:r>
      <w:proofErr w:type="gramEnd"/>
      <w:r w:rsidRPr="00140FC0">
        <w:t xml:space="preserve"> from the trial protocol</w:t>
      </w:r>
      <w:r w:rsidR="008869AC" w:rsidRPr="00140FC0">
        <w:t>s</w:t>
      </w:r>
      <w:r w:rsidRPr="00140FC0">
        <w:t xml:space="preserve"> for NEOSPHERE</w:t>
      </w:r>
      <w:r w:rsidR="008869AC" w:rsidRPr="00140FC0">
        <w:t xml:space="preserve"> and PEONY, where anthracyclines were given following surgery. T</w:t>
      </w:r>
      <w:r w:rsidR="002875D9" w:rsidRPr="00140FC0">
        <w:t>hus</w:t>
      </w:r>
      <w:r w:rsidR="009556D7">
        <w:t>,</w:t>
      </w:r>
      <w:r w:rsidR="002875D9" w:rsidRPr="00140FC0">
        <w:t xml:space="preserve"> t</w:t>
      </w:r>
      <w:r w:rsidRPr="00140FC0">
        <w:rPr>
          <w:iCs/>
        </w:rPr>
        <w:t xml:space="preserve">he </w:t>
      </w:r>
      <w:r w:rsidR="00BE162A">
        <w:rPr>
          <w:iCs/>
        </w:rPr>
        <w:t>ESC and DUSC</w:t>
      </w:r>
      <w:r w:rsidRPr="00140FC0">
        <w:rPr>
          <w:iCs/>
        </w:rPr>
        <w:t xml:space="preserve"> considered that it was uncertain whether the results from the trials would be reflective of clinical outcomes in practice.</w:t>
      </w:r>
      <w:r w:rsidR="001C0C3D">
        <w:rPr>
          <w:iCs/>
        </w:rPr>
        <w:t xml:space="preserve"> The PBAC </w:t>
      </w:r>
      <w:r w:rsidR="00BE162A">
        <w:rPr>
          <w:iCs/>
        </w:rPr>
        <w:t xml:space="preserve">agreed </w:t>
      </w:r>
      <w:r w:rsidR="003F5B98">
        <w:rPr>
          <w:iCs/>
        </w:rPr>
        <w:t xml:space="preserve">and considered this </w:t>
      </w:r>
      <w:proofErr w:type="gramStart"/>
      <w:r w:rsidR="003F5B98">
        <w:rPr>
          <w:iCs/>
        </w:rPr>
        <w:t>to be a</w:t>
      </w:r>
      <w:proofErr w:type="gramEnd"/>
      <w:r w:rsidR="003F5B98">
        <w:rPr>
          <w:iCs/>
        </w:rPr>
        <w:t xml:space="preserve"> key </w:t>
      </w:r>
      <w:r w:rsidR="0013261A">
        <w:rPr>
          <w:iCs/>
        </w:rPr>
        <w:t xml:space="preserve">concern in terms of </w:t>
      </w:r>
      <w:r w:rsidR="00BE162A">
        <w:rPr>
          <w:iCs/>
        </w:rPr>
        <w:t xml:space="preserve">applicability </w:t>
      </w:r>
      <w:r w:rsidR="0013261A">
        <w:rPr>
          <w:iCs/>
        </w:rPr>
        <w:t xml:space="preserve">of the evidence </w:t>
      </w:r>
      <w:r w:rsidR="000A5721">
        <w:rPr>
          <w:iCs/>
        </w:rPr>
        <w:t>to</w:t>
      </w:r>
      <w:r w:rsidR="0013261A">
        <w:rPr>
          <w:iCs/>
        </w:rPr>
        <w:t xml:space="preserve"> clinical practice</w:t>
      </w:r>
      <w:r w:rsidR="001C0C3D">
        <w:rPr>
          <w:iCs/>
        </w:rPr>
        <w:t xml:space="preserve">. </w:t>
      </w:r>
    </w:p>
    <w:p w:rsidR="008013C9" w:rsidRPr="00140FC0" w:rsidRDefault="002875D9" w:rsidP="008869AC">
      <w:pPr>
        <w:pStyle w:val="3-BodyText"/>
        <w:rPr>
          <w:iCs/>
          <w:snapToGrid/>
          <w:lang w:val="en-US"/>
        </w:rPr>
      </w:pPr>
      <w:r w:rsidRPr="00140FC0">
        <w:rPr>
          <w:iCs/>
          <w:snapToGrid/>
          <w:lang w:val="en-US"/>
        </w:rPr>
        <w:t xml:space="preserve">The proposed PBS listing is for pertuzumab in combination with T+Chemo. </w:t>
      </w:r>
      <w:r w:rsidR="008013C9" w:rsidRPr="00140FC0">
        <w:rPr>
          <w:iCs/>
          <w:snapToGrid/>
          <w:lang w:val="en-US"/>
        </w:rPr>
        <w:t>Docetaxel was the chemotherapy agent used in both the NEOSPHERE and PEONY trials.</w:t>
      </w:r>
      <w:r w:rsidR="008D40DB" w:rsidRPr="00140FC0">
        <w:rPr>
          <w:iCs/>
          <w:snapToGrid/>
          <w:lang w:val="en-US"/>
        </w:rPr>
        <w:t xml:space="preserve"> The applicability of the trial results to the PBS population</w:t>
      </w:r>
      <w:r w:rsidR="000A5721">
        <w:rPr>
          <w:iCs/>
          <w:snapToGrid/>
          <w:lang w:val="en-US"/>
        </w:rPr>
        <w:t xml:space="preserve"> when other chemotherapy agents are used</w:t>
      </w:r>
      <w:r w:rsidR="008D40DB" w:rsidRPr="00140FC0">
        <w:rPr>
          <w:iCs/>
          <w:snapToGrid/>
          <w:lang w:val="en-US"/>
        </w:rPr>
        <w:t xml:space="preserve"> is therefore uncertain.</w:t>
      </w:r>
      <w:r w:rsidR="008013C9" w:rsidRPr="00140FC0">
        <w:rPr>
          <w:iCs/>
          <w:snapToGrid/>
          <w:lang w:val="en-US"/>
        </w:rPr>
        <w:t xml:space="preserve"> The PSCR argued that efficacy </w:t>
      </w:r>
      <w:proofErr w:type="gramStart"/>
      <w:r w:rsidR="008013C9" w:rsidRPr="00140FC0">
        <w:rPr>
          <w:iCs/>
          <w:snapToGrid/>
          <w:lang w:val="en-US"/>
        </w:rPr>
        <w:t>has been demonstrated</w:t>
      </w:r>
      <w:proofErr w:type="gramEnd"/>
      <w:r w:rsidR="008013C9" w:rsidRPr="00140FC0">
        <w:rPr>
          <w:iCs/>
          <w:snapToGrid/>
          <w:lang w:val="en-US"/>
        </w:rPr>
        <w:t xml:space="preserve"> with a range of chemotherapy regimens in combination with </w:t>
      </w:r>
      <w:r w:rsidR="00E84964" w:rsidRPr="00140FC0">
        <w:rPr>
          <w:iCs/>
          <w:snapToGrid/>
          <w:lang w:val="en-US"/>
        </w:rPr>
        <w:t>trastuzumab</w:t>
      </w:r>
      <w:r w:rsidR="008013C9" w:rsidRPr="00140FC0">
        <w:rPr>
          <w:iCs/>
          <w:snapToGrid/>
          <w:lang w:val="en-US"/>
        </w:rPr>
        <w:t xml:space="preserve"> and pertuzumab. The ESC considered that not all chemotherapy regimens </w:t>
      </w:r>
      <w:proofErr w:type="gramStart"/>
      <w:r w:rsidR="008013C9" w:rsidRPr="00140FC0">
        <w:rPr>
          <w:iCs/>
          <w:snapToGrid/>
          <w:lang w:val="en-US"/>
        </w:rPr>
        <w:t>would be expected</w:t>
      </w:r>
      <w:proofErr w:type="gramEnd"/>
      <w:r w:rsidR="008013C9" w:rsidRPr="00140FC0">
        <w:rPr>
          <w:iCs/>
          <w:snapToGrid/>
          <w:lang w:val="en-US"/>
        </w:rPr>
        <w:t xml:space="preserve"> to be equally effective.</w:t>
      </w:r>
    </w:p>
    <w:p w:rsidR="00872AAD" w:rsidRPr="00C9624D" w:rsidRDefault="00872AAD" w:rsidP="000D09D2">
      <w:pPr>
        <w:pStyle w:val="ES-SubSection"/>
      </w:pPr>
      <w:bookmarkStart w:id="21" w:name="_Toc22897641"/>
      <w:bookmarkStart w:id="22" w:name="_Toc30594513"/>
      <w:r w:rsidRPr="00C9624D">
        <w:t>Comparative effectiveness</w:t>
      </w:r>
      <w:bookmarkEnd w:id="21"/>
      <w:bookmarkEnd w:id="22"/>
    </w:p>
    <w:p w:rsidR="005444F2" w:rsidRPr="006A526E" w:rsidRDefault="00550A5E" w:rsidP="005444F2">
      <w:pPr>
        <w:pStyle w:val="3-BodyText"/>
        <w:rPr>
          <w:iCs/>
          <w:snapToGrid/>
          <w:lang w:val="en-US"/>
        </w:rPr>
      </w:pPr>
      <w:r>
        <w:t xml:space="preserve">Table </w:t>
      </w:r>
      <w:r>
        <w:rPr>
          <w:noProof/>
        </w:rPr>
        <w:t>4</w:t>
      </w:r>
      <w:r w:rsidR="000D09D2">
        <w:rPr>
          <w:snapToGrid/>
          <w:lang w:val="en-US"/>
        </w:rPr>
        <w:t xml:space="preserve"> </w:t>
      </w:r>
      <w:r w:rsidR="00872AAD">
        <w:rPr>
          <w:snapToGrid/>
          <w:lang w:val="en-US"/>
        </w:rPr>
        <w:t xml:space="preserve">presents a </w:t>
      </w:r>
      <w:r w:rsidR="00872AAD" w:rsidRPr="002C4791">
        <w:rPr>
          <w:snapToGrid/>
          <w:lang w:val="en-US"/>
        </w:rPr>
        <w:t xml:space="preserve">summary of the </w:t>
      </w:r>
      <w:r w:rsidR="009778E3">
        <w:rPr>
          <w:snapToGrid/>
          <w:lang w:val="en-US"/>
        </w:rPr>
        <w:t>pCR</w:t>
      </w:r>
      <w:r w:rsidR="009778E3" w:rsidRPr="002C4791">
        <w:rPr>
          <w:snapToGrid/>
          <w:lang w:val="en-US"/>
        </w:rPr>
        <w:t xml:space="preserve"> and clinical tumour response</w:t>
      </w:r>
      <w:r w:rsidR="009778E3" w:rsidRPr="002C4791" w:rsidDel="009778E3">
        <w:rPr>
          <w:snapToGrid/>
          <w:lang w:val="en-US"/>
        </w:rPr>
        <w:t xml:space="preserve"> </w:t>
      </w:r>
      <w:r w:rsidR="00872AAD" w:rsidRPr="002C4791">
        <w:rPr>
          <w:snapToGrid/>
          <w:lang w:val="en-US"/>
        </w:rPr>
        <w:t xml:space="preserve">outcomes across the three trials. </w:t>
      </w:r>
      <w:r>
        <w:t xml:space="preserve">Table </w:t>
      </w:r>
      <w:r>
        <w:rPr>
          <w:noProof/>
        </w:rPr>
        <w:t>5</w:t>
      </w:r>
      <w:r w:rsidR="000D09D2">
        <w:rPr>
          <w:snapToGrid/>
          <w:lang w:val="en-US"/>
        </w:rPr>
        <w:t xml:space="preserve"> </w:t>
      </w:r>
      <w:r w:rsidR="00872AAD" w:rsidRPr="002C4791">
        <w:rPr>
          <w:snapToGrid/>
          <w:lang w:val="en-US"/>
        </w:rPr>
        <w:t>presents a summary of the survival outcomes: OS, PFS and disease-free survival (DFS)</w:t>
      </w:r>
      <w:r w:rsidR="00872AAD">
        <w:rPr>
          <w:snapToGrid/>
          <w:lang w:val="en-US"/>
        </w:rPr>
        <w:t xml:space="preserve"> for NEOSPHERE and TRYPHAENA</w:t>
      </w:r>
      <w:r w:rsidR="00872AAD" w:rsidRPr="002C4791">
        <w:rPr>
          <w:snapToGrid/>
          <w:lang w:val="en-US"/>
        </w:rPr>
        <w:t xml:space="preserve">. </w:t>
      </w:r>
      <w:r>
        <w:t xml:space="preserve">Figure </w:t>
      </w:r>
      <w:r>
        <w:rPr>
          <w:noProof/>
        </w:rPr>
        <w:t>2</w:t>
      </w:r>
      <w:r w:rsidR="000D09D2">
        <w:rPr>
          <w:snapToGrid/>
          <w:lang w:val="en-US"/>
        </w:rPr>
        <w:t xml:space="preserve"> </w:t>
      </w:r>
      <w:r w:rsidR="00872AAD" w:rsidRPr="002C4791">
        <w:rPr>
          <w:snapToGrid/>
          <w:lang w:val="en-US"/>
        </w:rPr>
        <w:t xml:space="preserve">presents the </w:t>
      </w:r>
      <w:r w:rsidR="00872AAD" w:rsidRPr="002C4791">
        <w:t xml:space="preserve">Kaplan-Meier estimates of PFS by treatment arm </w:t>
      </w:r>
      <w:r w:rsidR="000A5721">
        <w:t>for</w:t>
      </w:r>
      <w:r w:rsidR="000A5721" w:rsidRPr="002C4791">
        <w:t xml:space="preserve"> </w:t>
      </w:r>
      <w:r w:rsidR="00872AAD" w:rsidRPr="002C4791">
        <w:t xml:space="preserve">NEOSPHERE. </w:t>
      </w:r>
      <w:r w:rsidR="005444F2">
        <w:rPr>
          <w:iCs/>
          <w:snapToGrid/>
          <w:lang w:val="en-US"/>
        </w:rPr>
        <w:t>T</w:t>
      </w:r>
      <w:r w:rsidR="005444F2" w:rsidRPr="006A526E">
        <w:rPr>
          <w:iCs/>
          <w:snapToGrid/>
          <w:lang w:val="en-US"/>
        </w:rPr>
        <w:t xml:space="preserve">he </w:t>
      </w:r>
      <w:r w:rsidR="005444F2">
        <w:rPr>
          <w:iCs/>
          <w:snapToGrid/>
          <w:lang w:val="en-US"/>
        </w:rPr>
        <w:t xml:space="preserve">only outcome included in the </w:t>
      </w:r>
      <w:r w:rsidR="005444F2" w:rsidRPr="006A526E">
        <w:rPr>
          <w:iCs/>
          <w:snapToGrid/>
          <w:lang w:val="en-US"/>
        </w:rPr>
        <w:t xml:space="preserve">economic analysis </w:t>
      </w:r>
      <w:r w:rsidR="005444F2">
        <w:rPr>
          <w:iCs/>
          <w:snapToGrid/>
          <w:lang w:val="en-US"/>
        </w:rPr>
        <w:t>was</w:t>
      </w:r>
      <w:r w:rsidR="005444F2" w:rsidRPr="006A526E">
        <w:rPr>
          <w:iCs/>
          <w:snapToGrid/>
          <w:lang w:val="en-US"/>
        </w:rPr>
        <w:t xml:space="preserve"> </w:t>
      </w:r>
      <w:r w:rsidR="00A23B1D">
        <w:rPr>
          <w:iCs/>
          <w:snapToGrid/>
          <w:lang w:val="en-US"/>
        </w:rPr>
        <w:t>PFS</w:t>
      </w:r>
      <w:r w:rsidR="005444F2" w:rsidRPr="006A526E">
        <w:rPr>
          <w:iCs/>
          <w:snapToGrid/>
          <w:lang w:val="en-US"/>
        </w:rPr>
        <w:t xml:space="preserve"> from NEOSPHERE</w:t>
      </w:r>
      <w:r w:rsidR="005444F2" w:rsidRPr="006A526E">
        <w:rPr>
          <w:snapToGrid/>
          <w:lang w:val="en-US"/>
        </w:rPr>
        <w:t>.</w:t>
      </w:r>
      <w:r w:rsidR="0089527C">
        <w:rPr>
          <w:snapToGrid/>
          <w:lang w:val="en-US"/>
        </w:rPr>
        <w:t xml:space="preserve"> The PBAC noted that the primary endpoint in NEOSPHERE was bpCR and tpCR </w:t>
      </w:r>
      <w:proofErr w:type="gramStart"/>
      <w:r w:rsidR="0089527C">
        <w:rPr>
          <w:snapToGrid/>
          <w:lang w:val="en-US"/>
        </w:rPr>
        <w:t>was presented</w:t>
      </w:r>
      <w:proofErr w:type="gramEnd"/>
      <w:r w:rsidR="0089527C">
        <w:rPr>
          <w:snapToGrid/>
          <w:lang w:val="en-US"/>
        </w:rPr>
        <w:t xml:space="preserve"> as an exploratory ana</w:t>
      </w:r>
      <w:r w:rsidR="00075261">
        <w:rPr>
          <w:snapToGrid/>
          <w:lang w:val="en-US"/>
        </w:rPr>
        <w:t>l</w:t>
      </w:r>
      <w:r w:rsidR="0089527C">
        <w:rPr>
          <w:snapToGrid/>
          <w:lang w:val="en-US"/>
        </w:rPr>
        <w:t>ysis only.</w:t>
      </w:r>
    </w:p>
    <w:p w:rsidR="00872AAD" w:rsidRPr="009E19E1" w:rsidRDefault="000D09D2" w:rsidP="009E19E1">
      <w:pPr>
        <w:pStyle w:val="TableFigureHeading"/>
      </w:pPr>
      <w:bookmarkStart w:id="23" w:name="_Ref33607104"/>
      <w:r>
        <w:lastRenderedPageBreak/>
        <w:t xml:space="preserve">Table </w:t>
      </w:r>
      <w:r w:rsidR="00550A5E">
        <w:rPr>
          <w:noProof/>
        </w:rPr>
        <w:t>4</w:t>
      </w:r>
      <w:bookmarkEnd w:id="23"/>
      <w:r w:rsidR="00872AAD" w:rsidRPr="009E19E1">
        <w:t xml:space="preserve">: Summary of efficacy outcomes in NEOSPHERE, </w:t>
      </w:r>
      <w:r w:rsidR="00872AAD" w:rsidRPr="00034C05">
        <w:rPr>
          <w:iCs/>
        </w:rPr>
        <w:t>PEONY</w:t>
      </w:r>
      <w:r w:rsidR="00872AAD" w:rsidRPr="00034C05">
        <w:t xml:space="preserve"> and TRYPHAENA</w:t>
      </w:r>
      <w:r w:rsidR="00872AAD" w:rsidRPr="009E19E1">
        <w:t xml:space="preserve"> (Note 1)</w:t>
      </w:r>
    </w:p>
    <w:tbl>
      <w:tblPr>
        <w:tblStyle w:val="ASDTable18"/>
        <w:tblW w:w="5000" w:type="pct"/>
        <w:tblLook w:val="04A0" w:firstRow="1" w:lastRow="0" w:firstColumn="1" w:lastColumn="0" w:noHBand="0" w:noVBand="1"/>
        <w:tblCaption w:val="Table 4: Summary of efficacy outcomes in NEOSPHERE, PEONY and TRYPHAENA (Note 1)"/>
      </w:tblPr>
      <w:tblGrid>
        <w:gridCol w:w="1969"/>
        <w:gridCol w:w="1551"/>
        <w:gridCol w:w="1832"/>
        <w:gridCol w:w="1551"/>
        <w:gridCol w:w="2114"/>
      </w:tblGrid>
      <w:tr w:rsidR="00872AAD" w:rsidRPr="008869AC" w:rsidTr="005E0C61">
        <w:trPr>
          <w:tblHeader/>
        </w:trPr>
        <w:tc>
          <w:tcPr>
            <w:tcW w:w="1092" w:type="pct"/>
            <w:tcBorders>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
                <w:sz w:val="20"/>
                <w:lang w:val="en-US"/>
              </w:rPr>
            </w:pPr>
          </w:p>
        </w:tc>
        <w:tc>
          <w:tcPr>
            <w:tcW w:w="860" w:type="pct"/>
            <w:tcBorders>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lang w:val="en-US"/>
              </w:rPr>
            </w:pPr>
            <w:r w:rsidRPr="008869AC">
              <w:rPr>
                <w:rFonts w:ascii="Arial Narrow" w:eastAsia="MS Gothic" w:hAnsi="Arial Narrow" w:cs="Times New Roman"/>
                <w:b/>
                <w:sz w:val="20"/>
                <w:lang w:val="en-US"/>
              </w:rPr>
              <w:t>Pertuzumab</w:t>
            </w:r>
          </w:p>
          <w:p w:rsidR="00872AAD" w:rsidRPr="008869AC" w:rsidRDefault="00872AAD" w:rsidP="00872AAD">
            <w:pPr>
              <w:keepNext/>
              <w:jc w:val="center"/>
              <w:rPr>
                <w:rFonts w:ascii="Arial Narrow" w:eastAsia="MS Gothic" w:hAnsi="Arial Narrow" w:cs="Times New Roman"/>
                <w:b/>
                <w:sz w:val="20"/>
                <w:lang w:val="en-US"/>
              </w:rPr>
            </w:pPr>
            <w:proofErr w:type="gramStart"/>
            <w:r w:rsidRPr="008869AC">
              <w:rPr>
                <w:rFonts w:ascii="Arial Narrow" w:eastAsia="MS Gothic" w:hAnsi="Arial Narrow" w:cs="Times New Roman"/>
                <w:b/>
                <w:sz w:val="20"/>
                <w:lang w:val="en-US"/>
              </w:rPr>
              <w:t>n/N</w:t>
            </w:r>
            <w:proofErr w:type="gramEnd"/>
            <w:r w:rsidRPr="008869AC">
              <w:rPr>
                <w:rFonts w:ascii="Arial Narrow" w:eastAsia="MS Gothic" w:hAnsi="Arial Narrow" w:cs="Times New Roman"/>
                <w:b/>
                <w:sz w:val="20"/>
                <w:lang w:val="en-US"/>
              </w:rPr>
              <w:t xml:space="preserve"> (%)</w:t>
            </w:r>
          </w:p>
        </w:tc>
        <w:tc>
          <w:tcPr>
            <w:tcW w:w="1016" w:type="pct"/>
            <w:tcBorders>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lang w:val="en-US"/>
              </w:rPr>
            </w:pPr>
            <w:r w:rsidRPr="008869AC">
              <w:rPr>
                <w:rFonts w:ascii="Arial Narrow" w:eastAsia="MS Gothic" w:hAnsi="Arial Narrow" w:cs="Times New Roman"/>
                <w:b/>
                <w:sz w:val="20"/>
                <w:lang w:val="en-US"/>
              </w:rPr>
              <w:t>Comparator</w:t>
            </w:r>
          </w:p>
          <w:p w:rsidR="00872AAD" w:rsidRPr="008869AC" w:rsidRDefault="00872AAD" w:rsidP="00872AAD">
            <w:pPr>
              <w:keepNext/>
              <w:jc w:val="center"/>
              <w:rPr>
                <w:rFonts w:ascii="Arial Narrow" w:eastAsia="MS Gothic" w:hAnsi="Arial Narrow" w:cs="Times New Roman"/>
                <w:b/>
                <w:sz w:val="20"/>
                <w:lang w:val="en-US"/>
              </w:rPr>
            </w:pPr>
            <w:proofErr w:type="gramStart"/>
            <w:r w:rsidRPr="008869AC">
              <w:rPr>
                <w:rFonts w:ascii="Arial Narrow" w:eastAsia="MS Gothic" w:hAnsi="Arial Narrow" w:cs="Times New Roman"/>
                <w:b/>
                <w:sz w:val="20"/>
                <w:lang w:val="en-US"/>
              </w:rPr>
              <w:t>n/N</w:t>
            </w:r>
            <w:proofErr w:type="gramEnd"/>
            <w:r w:rsidRPr="008869AC">
              <w:rPr>
                <w:rFonts w:ascii="Arial Narrow" w:eastAsia="MS Gothic" w:hAnsi="Arial Narrow" w:cs="Times New Roman"/>
                <w:b/>
                <w:sz w:val="20"/>
                <w:lang w:val="en-US"/>
              </w:rPr>
              <w:t xml:space="preserve"> (%)</w:t>
            </w:r>
          </w:p>
        </w:tc>
        <w:tc>
          <w:tcPr>
            <w:tcW w:w="860" w:type="pct"/>
            <w:tcBorders>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lang w:val="en-US"/>
              </w:rPr>
            </w:pPr>
            <w:r w:rsidRPr="008869AC">
              <w:rPr>
                <w:rFonts w:ascii="Arial Narrow" w:eastAsia="MS Gothic" w:hAnsi="Arial Narrow" w:cs="Times New Roman"/>
                <w:b/>
                <w:sz w:val="20"/>
                <w:lang w:val="en-US"/>
              </w:rPr>
              <w:t xml:space="preserve">RR </w:t>
            </w:r>
          </w:p>
          <w:p w:rsidR="00872AAD" w:rsidRPr="008869AC" w:rsidRDefault="00872AAD" w:rsidP="00872AAD">
            <w:pPr>
              <w:keepNext/>
              <w:jc w:val="center"/>
              <w:rPr>
                <w:rFonts w:ascii="Arial Narrow" w:eastAsia="MS Gothic" w:hAnsi="Arial Narrow" w:cs="Times New Roman"/>
                <w:b/>
                <w:sz w:val="20"/>
                <w:lang w:val="en-US"/>
              </w:rPr>
            </w:pPr>
            <w:r w:rsidRPr="008869AC">
              <w:rPr>
                <w:rFonts w:ascii="Arial Narrow" w:eastAsia="MS Gothic" w:hAnsi="Arial Narrow" w:cs="Times New Roman"/>
                <w:b/>
                <w:sz w:val="20"/>
                <w:lang w:val="en-US"/>
              </w:rPr>
              <w:t>(95% CI)</w:t>
            </w:r>
          </w:p>
        </w:tc>
        <w:tc>
          <w:tcPr>
            <w:tcW w:w="1172" w:type="pct"/>
            <w:tcBorders>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lang w:val="en-US"/>
              </w:rPr>
            </w:pPr>
            <w:r w:rsidRPr="008869AC">
              <w:rPr>
                <w:rFonts w:ascii="Arial Narrow" w:eastAsia="MS Gothic" w:hAnsi="Arial Narrow" w:cs="Times New Roman"/>
                <w:b/>
                <w:sz w:val="20"/>
                <w:lang w:val="en-US"/>
              </w:rPr>
              <w:t xml:space="preserve">Difference </w:t>
            </w:r>
          </w:p>
          <w:p w:rsidR="00872AAD" w:rsidRPr="008869AC" w:rsidRDefault="00872AAD" w:rsidP="00872AAD">
            <w:pPr>
              <w:keepNext/>
              <w:jc w:val="center"/>
              <w:rPr>
                <w:rFonts w:ascii="Arial Narrow" w:eastAsia="MS Gothic" w:hAnsi="Arial Narrow" w:cs="Times New Roman"/>
                <w:b/>
                <w:sz w:val="20"/>
                <w:lang w:val="en-US"/>
              </w:rPr>
            </w:pPr>
            <w:r w:rsidRPr="008869AC">
              <w:rPr>
                <w:rFonts w:ascii="Arial Narrow" w:eastAsia="MS Gothic" w:hAnsi="Arial Narrow" w:cs="Times New Roman"/>
                <w:b/>
                <w:sz w:val="20"/>
                <w:lang w:val="en-US"/>
              </w:rPr>
              <w:t xml:space="preserve">% (95% CI), </w:t>
            </w:r>
            <w:r w:rsidRPr="008869AC">
              <w:rPr>
                <w:rFonts w:ascii="Arial Narrow" w:eastAsia="MS Gothic" w:hAnsi="Arial Narrow" w:cs="Times New Roman"/>
                <w:b/>
                <w:iCs/>
                <w:sz w:val="20"/>
                <w:lang w:val="en-US"/>
              </w:rPr>
              <w:t>p</w:t>
            </w:r>
            <w:r w:rsidRPr="008869AC">
              <w:rPr>
                <w:rFonts w:ascii="Arial Narrow" w:eastAsia="MS Gothic" w:hAnsi="Arial Narrow" w:cs="Times New Roman"/>
                <w:b/>
                <w:sz w:val="20"/>
                <w:lang w:val="en-US"/>
              </w:rPr>
              <w:t>-value</w:t>
            </w:r>
          </w:p>
        </w:tc>
      </w:tr>
      <w:tr w:rsidR="00872AAD" w:rsidRPr="008869AC" w:rsidTr="005E0C61">
        <w:tc>
          <w:tcPr>
            <w:tcW w:w="5000" w:type="pct"/>
            <w:gridSpan w:val="5"/>
            <w:tcBorders>
              <w:top w:val="single" w:sz="4" w:space="0" w:color="auto"/>
              <w:bottom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
                <w:bCs/>
                <w:iCs/>
                <w:sz w:val="20"/>
              </w:rPr>
            </w:pPr>
            <w:r w:rsidRPr="008869AC">
              <w:rPr>
                <w:rFonts w:ascii="Arial Narrow" w:eastAsia="MS Gothic" w:hAnsi="Arial Narrow" w:cs="Times New Roman"/>
                <w:b/>
                <w:bCs/>
                <w:sz w:val="20"/>
              </w:rPr>
              <w:t>Pathological complete response in the breast (bpCR)</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NEOSPHERE</w:t>
            </w:r>
          </w:p>
        </w:tc>
        <w:tc>
          <w:tcPr>
            <w:tcW w:w="860" w:type="pct"/>
            <w:tcBorders>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49/107 (45.8)</w:t>
            </w:r>
          </w:p>
        </w:tc>
        <w:tc>
          <w:tcPr>
            <w:tcW w:w="1016" w:type="pct"/>
            <w:tcBorders>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31/107 (29.0)</w:t>
            </w:r>
          </w:p>
        </w:tc>
        <w:tc>
          <w:tcPr>
            <w:tcW w:w="860" w:type="pct"/>
            <w:tcBorders>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iCs/>
                <w:sz w:val="20"/>
              </w:rPr>
            </w:pPr>
            <w:r w:rsidRPr="008869AC">
              <w:rPr>
                <w:rFonts w:ascii="Arial Narrow" w:eastAsia="MS Gothic" w:hAnsi="Arial Narrow" w:cs="Times New Roman"/>
                <w:b/>
                <w:iCs/>
                <w:sz w:val="20"/>
              </w:rPr>
              <w:t>1.58 (1.10, 2.27)</w:t>
            </w:r>
          </w:p>
        </w:tc>
        <w:tc>
          <w:tcPr>
            <w:tcW w:w="1172" w:type="pct"/>
            <w:tcBorders>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
                <w:sz w:val="20"/>
              </w:rPr>
              <w:t xml:space="preserve">16.8 (3.5, 30.1), </w:t>
            </w:r>
            <w:r w:rsidRPr="008869AC">
              <w:rPr>
                <w:rFonts w:ascii="Arial Narrow" w:eastAsia="MS Gothic" w:hAnsi="Arial Narrow" w:cs="Times New Roman"/>
                <w:bCs/>
                <w:iCs/>
                <w:sz w:val="20"/>
              </w:rPr>
              <w:t>p</w:t>
            </w:r>
            <w:r w:rsidRPr="008869AC">
              <w:rPr>
                <w:rFonts w:ascii="Arial Narrow" w:eastAsia="MS Gothic" w:hAnsi="Arial Narrow" w:cs="Times New Roman"/>
                <w:bCs/>
                <w:sz w:val="20"/>
              </w:rPr>
              <w:t>=0.0141*</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iCs/>
                <w:sz w:val="20"/>
              </w:rPr>
            </w:pPr>
            <w:r w:rsidRPr="008869AC">
              <w:rPr>
                <w:rFonts w:ascii="Arial Narrow" w:eastAsia="MS Gothic" w:hAnsi="Arial Narrow" w:cs="Times New Roman"/>
                <w:bCs/>
                <w:iCs/>
                <w:sz w:val="20"/>
              </w:rPr>
              <w:t>PEONY</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NR</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NR</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iCs/>
                <w:sz w:val="20"/>
              </w:rPr>
            </w:pPr>
            <w:r w:rsidRPr="008869AC">
              <w:rPr>
                <w:rFonts w:ascii="Arial Narrow" w:eastAsia="MS Gothic" w:hAnsi="Arial Narrow" w:cs="Times New Roman"/>
                <w:bCs/>
                <w:i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TRYPHAENA-Arm A</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45/73 (61.6)</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TRYPHAENA-Arm C</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51/77 (66.2)</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r>
      <w:tr w:rsidR="00872AAD" w:rsidRPr="008869AC" w:rsidTr="005E0C61">
        <w:tc>
          <w:tcPr>
            <w:tcW w:w="5000" w:type="pct"/>
            <w:gridSpan w:val="5"/>
            <w:tcBorders>
              <w:top w:val="single" w:sz="4" w:space="0" w:color="auto"/>
              <w:bottom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
                <w:bCs/>
                <w:iCs/>
                <w:sz w:val="20"/>
              </w:rPr>
            </w:pPr>
            <w:r w:rsidRPr="008869AC">
              <w:rPr>
                <w:rFonts w:ascii="Arial Narrow" w:eastAsia="MS Gothic" w:hAnsi="Arial Narrow" w:cs="Times New Roman"/>
                <w:b/>
                <w:bCs/>
                <w:sz w:val="20"/>
              </w:rPr>
              <w:t>Total pathological complete response (tpCR)</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NEOSPHERE</w:t>
            </w:r>
          </w:p>
        </w:tc>
        <w:tc>
          <w:tcPr>
            <w:tcW w:w="860" w:type="pct"/>
            <w:tcBorders>
              <w:left w:val="single" w:sz="4" w:space="0" w:color="auto"/>
              <w:bottom w:val="nil"/>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42/107 (39.3)</w:t>
            </w:r>
          </w:p>
        </w:tc>
        <w:tc>
          <w:tcPr>
            <w:tcW w:w="1016" w:type="pct"/>
            <w:tcBorders>
              <w:left w:val="single" w:sz="4" w:space="0" w:color="auto"/>
              <w:bottom w:val="nil"/>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23/107 (21.5)</w:t>
            </w:r>
          </w:p>
        </w:tc>
        <w:tc>
          <w:tcPr>
            <w:tcW w:w="860" w:type="pct"/>
            <w:tcBorders>
              <w:left w:val="single" w:sz="4" w:space="0" w:color="auto"/>
              <w:bottom w:val="nil"/>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iCs/>
                <w:sz w:val="20"/>
              </w:rPr>
            </w:pPr>
            <w:r w:rsidRPr="008869AC">
              <w:rPr>
                <w:rFonts w:ascii="Arial Narrow" w:eastAsia="MS Gothic" w:hAnsi="Arial Narrow" w:cs="Times New Roman"/>
                <w:b/>
                <w:iCs/>
                <w:sz w:val="20"/>
              </w:rPr>
              <w:t>1.83 (1.19, 2.81)</w:t>
            </w:r>
          </w:p>
        </w:tc>
        <w:tc>
          <w:tcPr>
            <w:tcW w:w="1172" w:type="pct"/>
            <w:tcBorders>
              <w:left w:val="single" w:sz="4" w:space="0" w:color="auto"/>
              <w:bottom w:val="nil"/>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
                <w:sz w:val="20"/>
              </w:rPr>
              <w:t xml:space="preserve">17.8 (4.6, 31.0), </w:t>
            </w:r>
            <w:r w:rsidRPr="008869AC">
              <w:rPr>
                <w:rFonts w:ascii="Arial Narrow" w:eastAsia="MS Gothic" w:hAnsi="Arial Narrow" w:cs="Times New Roman"/>
                <w:bCs/>
                <w:iCs/>
                <w:sz w:val="20"/>
              </w:rPr>
              <w:t>p</w:t>
            </w:r>
            <w:r w:rsidRPr="008869AC">
              <w:rPr>
                <w:rFonts w:ascii="Arial Narrow" w:eastAsia="MS Gothic" w:hAnsi="Arial Narrow" w:cs="Times New Roman"/>
                <w:bCs/>
                <w:sz w:val="20"/>
              </w:rPr>
              <w:t>=.008^</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iCs/>
                <w:sz w:val="20"/>
              </w:rPr>
            </w:pPr>
            <w:proofErr w:type="spellStart"/>
            <w:r w:rsidRPr="008869AC">
              <w:rPr>
                <w:rFonts w:ascii="Arial Narrow" w:eastAsia="MS Gothic" w:hAnsi="Arial Narrow" w:cs="Times New Roman"/>
                <w:bCs/>
                <w:iCs/>
                <w:sz w:val="20"/>
              </w:rPr>
              <w:t>PEONY</w:t>
            </w:r>
            <w:r w:rsidRPr="008869AC">
              <w:rPr>
                <w:rFonts w:ascii="Arial" w:eastAsia="MS Gothic" w:hAnsi="Arial"/>
                <w:bCs/>
                <w:iCs/>
                <w:sz w:val="20"/>
                <w:vertAlign w:val="superscript"/>
              </w:rPr>
              <w:t>ǂ</w:t>
            </w:r>
            <w:proofErr w:type="spellEnd"/>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86/219 (39.3)</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24/110 (21.8)</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iCs/>
                <w:sz w:val="20"/>
              </w:rPr>
            </w:pPr>
            <w:r w:rsidRPr="008869AC">
              <w:rPr>
                <w:rFonts w:ascii="Arial Narrow" w:eastAsia="MS Gothic" w:hAnsi="Arial Narrow" w:cs="Times New Roman"/>
                <w:b/>
                <w:iCs/>
                <w:sz w:val="20"/>
              </w:rPr>
              <w:t>1.80 (1.22, 2.66)</w:t>
            </w:r>
          </w:p>
        </w:tc>
        <w:tc>
          <w:tcPr>
            <w:tcW w:w="1172" w:type="pct"/>
            <w:tcBorders>
              <w:top w:val="single" w:sz="4" w:space="0" w:color="auto"/>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
                <w:iCs/>
                <w:sz w:val="20"/>
              </w:rPr>
              <w:t xml:space="preserve">17.5 (6.9, 28.0), </w:t>
            </w:r>
            <w:r w:rsidRPr="008869AC">
              <w:rPr>
                <w:rFonts w:ascii="Arial Narrow" w:eastAsia="MS Gothic" w:hAnsi="Arial Narrow" w:cs="Times New Roman"/>
                <w:bCs/>
                <w:iCs/>
                <w:sz w:val="20"/>
              </w:rPr>
              <w:t>p=.001</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TRYPHAENA-Arm A</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41/73 (56.2)</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TRYPHAENA-Arm C</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49/77 (63.6)</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r>
      <w:tr w:rsidR="00872AAD" w:rsidRPr="008869AC" w:rsidTr="005E0C61">
        <w:tc>
          <w:tcPr>
            <w:tcW w:w="5000" w:type="pct"/>
            <w:gridSpan w:val="5"/>
            <w:tcBorders>
              <w:bottom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
                <w:bCs/>
                <w:sz w:val="20"/>
              </w:rPr>
            </w:pPr>
            <w:r w:rsidRPr="008869AC">
              <w:rPr>
                <w:rFonts w:ascii="Arial Narrow" w:eastAsia="MS Gothic" w:hAnsi="Arial Narrow" w:cs="Times New Roman"/>
                <w:b/>
                <w:bCs/>
                <w:sz w:val="20"/>
              </w:rPr>
              <w:t>Clinical response (best tumour response</w:t>
            </w:r>
            <w:r w:rsidRPr="008869AC">
              <w:rPr>
                <w:rFonts w:ascii="Arial" w:eastAsia="MS Gothic" w:hAnsi="Arial"/>
                <w:b/>
                <w:bCs/>
                <w:sz w:val="20"/>
                <w:vertAlign w:val="superscript"/>
              </w:rPr>
              <w:t>λ</w:t>
            </w:r>
            <w:r w:rsidRPr="008869AC">
              <w:rPr>
                <w:rFonts w:ascii="Arial Narrow" w:eastAsia="MS Gothic" w:hAnsi="Arial Narrow" w:cs="Times New Roman"/>
                <w:b/>
                <w:bCs/>
                <w:sz w:val="20"/>
              </w:rPr>
              <w:t xml:space="preserve"> = complete response or partial response)</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NEOSPHERE</w:t>
            </w:r>
          </w:p>
        </w:tc>
        <w:tc>
          <w:tcPr>
            <w:tcW w:w="860" w:type="pct"/>
            <w:tcBorders>
              <w:left w:val="nil"/>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89/101 (88.1)</w:t>
            </w:r>
          </w:p>
        </w:tc>
        <w:tc>
          <w:tcPr>
            <w:tcW w:w="1016" w:type="pct"/>
            <w:tcBorders>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79/99 (79.8)</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1.10 (0.98, 1.25)</w:t>
            </w:r>
          </w:p>
        </w:tc>
        <w:tc>
          <w:tcPr>
            <w:tcW w:w="1172" w:type="pct"/>
            <w:tcBorders>
              <w:top w:val="single" w:sz="4" w:space="0" w:color="auto"/>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8.3 (−2.4, 19.0)</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iCs/>
                <w:sz w:val="20"/>
              </w:rPr>
            </w:pPr>
            <w:r w:rsidRPr="008869AC">
              <w:rPr>
                <w:rFonts w:ascii="Arial Narrow" w:eastAsia="MS Gothic" w:hAnsi="Arial Narrow" w:cs="Times New Roman"/>
                <w:bCs/>
                <w:iCs/>
                <w:sz w:val="20"/>
              </w:rPr>
              <w:t>PEONY</w:t>
            </w:r>
          </w:p>
        </w:tc>
        <w:tc>
          <w:tcPr>
            <w:tcW w:w="860" w:type="pct"/>
            <w:tcBorders>
              <w:top w:val="single" w:sz="4" w:space="0" w:color="auto"/>
              <w:left w:val="nil"/>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194/219 (88.6)</w:t>
            </w:r>
          </w:p>
        </w:tc>
        <w:tc>
          <w:tcPr>
            <w:tcW w:w="1016" w:type="pct"/>
            <w:tcBorders>
              <w:top w:val="single" w:sz="4" w:space="0" w:color="auto"/>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86/110 (78.2)</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iCs/>
                <w:sz w:val="20"/>
              </w:rPr>
            </w:pPr>
            <w:r w:rsidRPr="008869AC">
              <w:rPr>
                <w:rFonts w:ascii="Arial Narrow" w:eastAsia="MS Gothic" w:hAnsi="Arial Narrow" w:cs="Times New Roman"/>
                <w:b/>
                <w:iCs/>
                <w:sz w:val="20"/>
              </w:rPr>
              <w:t>1.13 (1.02, 1.26)</w:t>
            </w:r>
          </w:p>
        </w:tc>
        <w:tc>
          <w:tcPr>
            <w:tcW w:w="1172" w:type="pct"/>
            <w:tcBorders>
              <w:top w:val="single" w:sz="4" w:space="0" w:color="auto"/>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iCs/>
                <w:sz w:val="20"/>
              </w:rPr>
            </w:pPr>
            <w:r w:rsidRPr="008869AC">
              <w:rPr>
                <w:rFonts w:ascii="Arial Narrow" w:eastAsia="MS Gothic" w:hAnsi="Arial Narrow" w:cs="Times New Roman"/>
                <w:b/>
                <w:iCs/>
                <w:sz w:val="20"/>
              </w:rPr>
              <w:t>10.4 (1.1, 19.4)</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TRYPHAENA-Arm A</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67 (92.1)</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TRYPHAENA-Arm C</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69/ (89.7)</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r>
      <w:tr w:rsidR="00872AAD" w:rsidRPr="008869AC" w:rsidTr="005E0C61">
        <w:tc>
          <w:tcPr>
            <w:tcW w:w="5000" w:type="pct"/>
            <w:gridSpan w:val="5"/>
            <w:tcBorders>
              <w:bottom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
                <w:bCs/>
                <w:sz w:val="20"/>
              </w:rPr>
            </w:pPr>
            <w:r w:rsidRPr="008869AC">
              <w:rPr>
                <w:rFonts w:ascii="Arial Narrow" w:eastAsia="MS Gothic" w:hAnsi="Arial Narrow" w:cs="Times New Roman"/>
                <w:b/>
                <w:bCs/>
                <w:sz w:val="20"/>
              </w:rPr>
              <w:t>Clinical complete response (best tumour response</w:t>
            </w:r>
            <w:r w:rsidRPr="008869AC">
              <w:rPr>
                <w:rFonts w:ascii="Arial" w:eastAsia="MS Gothic" w:hAnsi="Arial"/>
                <w:b/>
                <w:bCs/>
                <w:sz w:val="20"/>
                <w:vertAlign w:val="superscript"/>
              </w:rPr>
              <w:t>λ</w:t>
            </w:r>
            <w:r w:rsidRPr="008869AC">
              <w:rPr>
                <w:rFonts w:ascii="Arial Narrow" w:eastAsia="MS Gothic" w:hAnsi="Arial Narrow" w:cs="Times New Roman"/>
                <w:b/>
                <w:bCs/>
                <w:sz w:val="20"/>
              </w:rPr>
              <w:t xml:space="preserve"> = complete response)</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NEOSPHERE</w:t>
            </w:r>
          </w:p>
        </w:tc>
        <w:tc>
          <w:tcPr>
            <w:tcW w:w="860" w:type="pct"/>
            <w:tcBorders>
              <w:left w:val="nil"/>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31/101 (30.7)</w:t>
            </w:r>
          </w:p>
        </w:tc>
        <w:tc>
          <w:tcPr>
            <w:tcW w:w="1016" w:type="pct"/>
            <w:tcBorders>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23/99 (23.2)</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1.32 (0.83, 2.10)</w:t>
            </w:r>
          </w:p>
        </w:tc>
        <w:tc>
          <w:tcPr>
            <w:tcW w:w="1172" w:type="pct"/>
            <w:tcBorders>
              <w:top w:val="single" w:sz="4" w:space="0" w:color="auto"/>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7.5 (−5.4, 20.3)</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iCs/>
                <w:sz w:val="20"/>
              </w:rPr>
            </w:pPr>
            <w:r w:rsidRPr="008869AC">
              <w:rPr>
                <w:rFonts w:ascii="Arial Narrow" w:eastAsia="MS Gothic" w:hAnsi="Arial Narrow" w:cs="Times New Roman"/>
                <w:bCs/>
                <w:iCs/>
                <w:sz w:val="20"/>
              </w:rPr>
              <w:t>PEONY</w:t>
            </w:r>
          </w:p>
        </w:tc>
        <w:tc>
          <w:tcPr>
            <w:tcW w:w="860" w:type="pct"/>
            <w:tcBorders>
              <w:top w:val="single" w:sz="4" w:space="0" w:color="auto"/>
              <w:left w:val="nil"/>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24/219 (11.0)</w:t>
            </w:r>
          </w:p>
        </w:tc>
        <w:tc>
          <w:tcPr>
            <w:tcW w:w="1016" w:type="pct"/>
            <w:tcBorders>
              <w:top w:val="single" w:sz="4" w:space="0" w:color="auto"/>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11/110 (10.0)</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1.10 (0.56, 2.15)</w:t>
            </w:r>
          </w:p>
        </w:tc>
        <w:tc>
          <w:tcPr>
            <w:tcW w:w="1172" w:type="pct"/>
            <w:tcBorders>
              <w:top w:val="single" w:sz="4" w:space="0" w:color="auto"/>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1.0 (−6.5, 8.4)</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TRYPHAENA-Arm A</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37/73 (50.7)</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TRYPHAENA-Arm C</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31/77 (40.3)</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r>
      <w:tr w:rsidR="00872AAD" w:rsidRPr="008869AC" w:rsidTr="005E0C61">
        <w:tc>
          <w:tcPr>
            <w:tcW w:w="5000" w:type="pct"/>
            <w:gridSpan w:val="5"/>
            <w:tcBorders>
              <w:bottom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
                <w:bCs/>
                <w:sz w:val="20"/>
              </w:rPr>
            </w:pPr>
            <w:r w:rsidRPr="008869AC">
              <w:rPr>
                <w:rFonts w:ascii="Arial Narrow" w:eastAsia="MS Gothic" w:hAnsi="Arial Narrow" w:cs="Times New Roman"/>
                <w:b/>
                <w:bCs/>
                <w:sz w:val="20"/>
              </w:rPr>
              <w:t>Time to clinical response, primary breast lesion, weeks, median (80% CI) [min, max]</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NEOSPHERE</w:t>
            </w:r>
          </w:p>
        </w:tc>
        <w:tc>
          <w:tcPr>
            <w:tcW w:w="860" w:type="pct"/>
            <w:tcBorders>
              <w:left w:val="nil"/>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6.3 (4, 7) [3, 13]</w:t>
            </w:r>
          </w:p>
        </w:tc>
        <w:tc>
          <w:tcPr>
            <w:tcW w:w="1016" w:type="pct"/>
            <w:tcBorders>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6.3 (6, 7) [3, 13]</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iCs/>
                <w:sz w:val="20"/>
              </w:rPr>
            </w:pPr>
            <w:r w:rsidRPr="008869AC">
              <w:rPr>
                <w:rFonts w:ascii="Arial Narrow" w:eastAsia="MS Gothic" w:hAnsi="Arial Narrow" w:cs="Times New Roman"/>
                <w:bCs/>
                <w:iCs/>
                <w:sz w:val="20"/>
              </w:rPr>
              <w:t>PEONY</w:t>
            </w:r>
          </w:p>
        </w:tc>
        <w:tc>
          <w:tcPr>
            <w:tcW w:w="860" w:type="pct"/>
            <w:tcBorders>
              <w:top w:val="single" w:sz="4" w:space="0" w:color="auto"/>
              <w:left w:val="nil"/>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NR</w:t>
            </w:r>
          </w:p>
        </w:tc>
        <w:tc>
          <w:tcPr>
            <w:tcW w:w="1016" w:type="pct"/>
            <w:tcBorders>
              <w:top w:val="single" w:sz="4" w:space="0" w:color="auto"/>
              <w:left w:val="single" w:sz="4" w:space="0" w:color="auto"/>
              <w:bottom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iCs/>
                <w:sz w:val="20"/>
              </w:rPr>
            </w:pPr>
            <w:r w:rsidRPr="008869AC">
              <w:rPr>
                <w:rFonts w:ascii="Arial Narrow" w:eastAsia="MS Gothic" w:hAnsi="Arial Narrow" w:cs="Times New Roman"/>
                <w:bCs/>
                <w:iCs/>
                <w:sz w:val="20"/>
              </w:rPr>
              <w:t>NR</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iCs/>
                <w:sz w:val="20"/>
              </w:rPr>
            </w:pPr>
            <w:r w:rsidRPr="008869AC">
              <w:rPr>
                <w:rFonts w:ascii="Arial Narrow" w:eastAsia="MS Gothic" w:hAnsi="Arial Narrow" w:cs="Times New Roman"/>
                <w:bCs/>
                <w:i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iCs/>
                <w:sz w:val="20"/>
              </w:rPr>
            </w:pPr>
            <w:r w:rsidRPr="008869AC">
              <w:rPr>
                <w:rFonts w:ascii="Arial Narrow" w:eastAsia="MS Gothic" w:hAnsi="Arial Narrow" w:cs="Times New Roman"/>
                <w:bCs/>
                <w:iCs/>
                <w:sz w:val="20"/>
              </w:rPr>
              <w:t>−</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TRYPHAENA-Arm A</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3.6 (3, 6) [3, 18]</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r>
      <w:tr w:rsidR="00872AAD" w:rsidRPr="008869AC" w:rsidTr="005E0C61">
        <w:tc>
          <w:tcPr>
            <w:tcW w:w="1092" w:type="pct"/>
            <w:tcBorders>
              <w:top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left"/>
              <w:rPr>
                <w:rFonts w:ascii="Arial Narrow" w:eastAsia="MS Gothic" w:hAnsi="Arial Narrow" w:cs="Times New Roman"/>
                <w:bCs/>
                <w:sz w:val="20"/>
              </w:rPr>
            </w:pPr>
            <w:r w:rsidRPr="008869AC">
              <w:rPr>
                <w:rFonts w:ascii="Arial Narrow" w:eastAsia="MS Gothic" w:hAnsi="Arial Narrow" w:cs="Times New Roman"/>
                <w:bCs/>
                <w:sz w:val="20"/>
              </w:rPr>
              <w:t>TRYPHAENA-Arm C</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4.9 (4, 6) [3, 18]</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Cs/>
                <w:sz w:val="20"/>
              </w:rPr>
            </w:pPr>
            <w:r w:rsidRPr="008869AC">
              <w:rPr>
                <w:rFonts w:ascii="Arial Narrow" w:eastAsia="MS Gothic" w:hAnsi="Arial Narrow" w:cs="Times New Roman"/>
                <w:bCs/>
                <w:sz w:val="20"/>
              </w:rPr>
              <w:t>−</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8869AC" w:rsidRDefault="00872AAD" w:rsidP="00872AAD">
            <w:pPr>
              <w:keepNext/>
              <w:jc w:val="center"/>
              <w:rPr>
                <w:rFonts w:ascii="Arial Narrow" w:eastAsia="MS Gothic" w:hAnsi="Arial Narrow" w:cs="Times New Roman"/>
                <w:b/>
                <w:sz w:val="20"/>
              </w:rPr>
            </w:pPr>
            <w:r w:rsidRPr="008869AC">
              <w:rPr>
                <w:rFonts w:ascii="Arial Narrow" w:eastAsia="MS Gothic" w:hAnsi="Arial Narrow" w:cs="Times New Roman"/>
                <w:bCs/>
                <w:sz w:val="20"/>
              </w:rPr>
              <w:t>−</w:t>
            </w:r>
          </w:p>
        </w:tc>
      </w:tr>
    </w:tbl>
    <w:p w:rsidR="00872AAD" w:rsidRPr="00FB7A6E" w:rsidRDefault="00872AAD" w:rsidP="00872AAD">
      <w:pPr>
        <w:pStyle w:val="TableFigureFooter"/>
        <w:rPr>
          <w:sz w:val="20"/>
        </w:rPr>
      </w:pPr>
      <w:r w:rsidRPr="00FB7A6E">
        <w:t>Source: Table 2.45, pp84-85 of the submission; Shao (2019)</w:t>
      </w:r>
      <w:r>
        <w:t xml:space="preserve"> for PEONY</w:t>
      </w:r>
      <w:r w:rsidRPr="00FB7A6E">
        <w:t>.</w:t>
      </w:r>
    </w:p>
    <w:p w:rsidR="00872AAD" w:rsidRPr="00FB7A6E" w:rsidRDefault="00872AAD" w:rsidP="00872AAD">
      <w:pPr>
        <w:pStyle w:val="TableFigureFooter"/>
        <w:rPr>
          <w:rFonts w:eastAsia="Calibri"/>
        </w:rPr>
      </w:pPr>
      <w:r w:rsidRPr="00FB7A6E">
        <w:t xml:space="preserve">C = carboplatin; </w:t>
      </w:r>
      <w:r w:rsidRPr="00FB7A6E">
        <w:rPr>
          <w:rFonts w:eastAsia="Calibri"/>
        </w:rPr>
        <w:t>CI = confidence interval; D = docetaxel; n = number of participants with event; N = total participants in group; NR = not reported; P = pertuzumab, bpCR = pathological complete response in the breast (</w:t>
      </w:r>
      <w:r w:rsidRPr="00FB7A6E">
        <w:t>ypT0/is)</w:t>
      </w:r>
      <w:r w:rsidRPr="00FB7A6E">
        <w:rPr>
          <w:rFonts w:eastAsia="Calibri"/>
        </w:rPr>
        <w:t>; RD = ris</w:t>
      </w:r>
      <w:r w:rsidR="00F90BC5">
        <w:rPr>
          <w:rFonts w:eastAsia="Calibri"/>
        </w:rPr>
        <w:t xml:space="preserve">k difference; RR = rate ratio; </w:t>
      </w:r>
      <w:r w:rsidRPr="00FB7A6E">
        <w:rPr>
          <w:rFonts w:eastAsia="Calibri"/>
        </w:rPr>
        <w:t>T = trastuzumab; tpCR = total pathological complete response (</w:t>
      </w:r>
      <w:r w:rsidRPr="00FB7A6E">
        <w:t>ypT0/is ypN0)</w:t>
      </w:r>
    </w:p>
    <w:p w:rsidR="00872AAD" w:rsidRPr="00FB7A6E" w:rsidRDefault="00872AAD" w:rsidP="00872AAD">
      <w:pPr>
        <w:pStyle w:val="TableFigureFooter"/>
        <w:rPr>
          <w:rFonts w:eastAsia="Calibri"/>
        </w:rPr>
      </w:pPr>
      <w:r w:rsidRPr="00FB7A6E">
        <w:rPr>
          <w:rFonts w:eastAsia="Calibri"/>
          <w:b/>
        </w:rPr>
        <w:t>Bold</w:t>
      </w:r>
      <w:r w:rsidRPr="00FB7A6E">
        <w:rPr>
          <w:rFonts w:eastAsia="Calibri"/>
        </w:rPr>
        <w:t xml:space="preserve"> indicates statistically significant results.</w:t>
      </w:r>
    </w:p>
    <w:p w:rsidR="00872AAD" w:rsidRPr="00FB7A6E" w:rsidRDefault="00872AAD" w:rsidP="00872AAD">
      <w:pPr>
        <w:pStyle w:val="TableFigureFooter"/>
      </w:pPr>
      <w:r w:rsidRPr="00FB7A6E">
        <w:t>*</w:t>
      </w:r>
      <w:r w:rsidRPr="00FB7A6E">
        <w:rPr>
          <w:i/>
        </w:rPr>
        <w:t>p</w:t>
      </w:r>
      <w:r w:rsidRPr="00FB7A6E">
        <w:t>-value from Cochran-Mantel-Haenszel test, with Simes multiplicity adjustment</w:t>
      </w:r>
    </w:p>
    <w:p w:rsidR="00872AAD" w:rsidRPr="00FB7A6E" w:rsidRDefault="00872AAD" w:rsidP="00872AAD">
      <w:pPr>
        <w:pStyle w:val="TableFigureFooter"/>
        <w:rPr>
          <w:rFonts w:eastAsia="Calibri"/>
        </w:rPr>
      </w:pPr>
      <w:r w:rsidRPr="00FB7A6E">
        <w:rPr>
          <w:rFonts w:eastAsia="Calibri"/>
        </w:rPr>
        <w:t>^ The submission reported that results were calculated post-hoc and not adjusted for multiplicity (p57 of the submission).</w:t>
      </w:r>
    </w:p>
    <w:p w:rsidR="00872AAD" w:rsidRPr="00FB7A6E" w:rsidRDefault="00872AAD" w:rsidP="00872AAD">
      <w:pPr>
        <w:pStyle w:val="TableFigureFooter"/>
        <w:rPr>
          <w:rFonts w:eastAsia="Calibri"/>
        </w:rPr>
      </w:pPr>
      <w:proofErr w:type="gramStart"/>
      <w:r w:rsidRPr="00FB7A6E">
        <w:rPr>
          <w:rFonts w:ascii="Arial" w:eastAsia="Calibri" w:hAnsi="Arial"/>
          <w:vertAlign w:val="superscript"/>
        </w:rPr>
        <w:t>ǂ</w:t>
      </w:r>
      <w:r w:rsidRPr="00FB7A6E">
        <w:rPr>
          <w:rFonts w:eastAsia="Calibri"/>
        </w:rPr>
        <w:t xml:space="preserve"> tpCR was determined by an Independent Review Committee (IRC) in PEONY</w:t>
      </w:r>
      <w:proofErr w:type="gramEnd"/>
      <w:r w:rsidRPr="00FB7A6E">
        <w:rPr>
          <w:rFonts w:eastAsia="Calibri"/>
        </w:rPr>
        <w:t>.</w:t>
      </w:r>
    </w:p>
    <w:p w:rsidR="00872AAD" w:rsidRPr="00FB7A6E" w:rsidRDefault="00872AAD" w:rsidP="00872AAD">
      <w:pPr>
        <w:pStyle w:val="TableFigureFooter"/>
      </w:pPr>
      <w:proofErr w:type="gramStart"/>
      <w:r w:rsidRPr="00FB7A6E">
        <w:rPr>
          <w:rFonts w:ascii="Arial" w:eastAsia="Calibri" w:hAnsi="Arial"/>
          <w:vertAlign w:val="superscript"/>
        </w:rPr>
        <w:t>λ</w:t>
      </w:r>
      <w:proofErr w:type="gramEnd"/>
      <w:r w:rsidRPr="00FB7A6E">
        <w:rPr>
          <w:rFonts w:eastAsia="Calibri"/>
          <w:vertAlign w:val="superscript"/>
        </w:rPr>
        <w:t xml:space="preserve"> </w:t>
      </w:r>
      <w:r w:rsidRPr="00FB7A6E">
        <w:rPr>
          <w:rFonts w:eastAsia="Calibri"/>
        </w:rPr>
        <w:t>Tumour response was by clinical breast examination (CBE) in NEOSPHERE and/or mammogram in TRYPHAENA. Tumour response in PEONY was by a breast magnetic resonance imaging (MRI) and CBE at baseline, with disease status evaluated by additional conventional methods (mammogram, ultrasound, CT scans or x-rays as per local clinical practice (p13, Protocol YO28762, version 4). B</w:t>
      </w:r>
      <w:r w:rsidRPr="00FB7A6E">
        <w:t>est tumour response represents the best overall response during the neoadjuvant period.</w:t>
      </w:r>
    </w:p>
    <w:p w:rsidR="00872AAD" w:rsidRPr="00FB7A6E" w:rsidRDefault="00872AAD" w:rsidP="00872AAD">
      <w:pPr>
        <w:pStyle w:val="TableFigureFooter"/>
        <w:rPr>
          <w:rFonts w:eastAsia="Calibri"/>
        </w:rPr>
      </w:pPr>
      <w:r w:rsidRPr="00FB7A6E">
        <w:rPr>
          <w:rFonts w:eastAsia="Calibri"/>
        </w:rPr>
        <w:t xml:space="preserve">Note 1: Neoadjuvant treatment evaluated: </w:t>
      </w:r>
    </w:p>
    <w:p w:rsidR="00872AAD" w:rsidRPr="00FB7A6E" w:rsidRDefault="00872AAD" w:rsidP="00872AAD">
      <w:pPr>
        <w:pStyle w:val="TableFigureFooter"/>
        <w:rPr>
          <w:rFonts w:eastAsia="Calibri"/>
        </w:rPr>
      </w:pPr>
      <w:r w:rsidRPr="00FB7A6E">
        <w:rPr>
          <w:rFonts w:eastAsia="Calibri"/>
        </w:rPr>
        <w:t xml:space="preserve">NEOSPHERE: </w:t>
      </w:r>
      <w:r>
        <w:rPr>
          <w:rFonts w:eastAsia="Calibri"/>
        </w:rPr>
        <w:t xml:space="preserve">four cycles of </w:t>
      </w:r>
      <w:r w:rsidR="00BD26D5">
        <w:rPr>
          <w:rFonts w:eastAsia="Calibri"/>
        </w:rPr>
        <w:t>Ptz</w:t>
      </w:r>
      <w:r>
        <w:rPr>
          <w:rFonts w:eastAsia="Calibri"/>
        </w:rPr>
        <w:t>+</w:t>
      </w:r>
      <w:r w:rsidRPr="00FB7A6E">
        <w:rPr>
          <w:rFonts w:eastAsia="Calibri"/>
        </w:rPr>
        <w:t>T+</w:t>
      </w:r>
      <w:r w:rsidR="00BD26D5">
        <w:rPr>
          <w:rFonts w:eastAsia="Calibri"/>
        </w:rPr>
        <w:t>D</w:t>
      </w:r>
      <w:r w:rsidRPr="00FB7A6E">
        <w:rPr>
          <w:rFonts w:eastAsia="Calibri"/>
        </w:rPr>
        <w:t xml:space="preserve"> versus</w:t>
      </w:r>
      <w:r>
        <w:rPr>
          <w:rFonts w:eastAsia="Calibri"/>
        </w:rPr>
        <w:t xml:space="preserve"> four cycles of</w:t>
      </w:r>
      <w:r w:rsidRPr="00FB7A6E">
        <w:rPr>
          <w:rFonts w:eastAsia="Calibri"/>
        </w:rPr>
        <w:t xml:space="preserve"> </w:t>
      </w:r>
      <w:r w:rsidR="00BD26D5">
        <w:rPr>
          <w:rFonts w:eastAsia="Calibri"/>
        </w:rPr>
        <w:t>Ptz+D</w:t>
      </w:r>
      <w:r w:rsidRPr="00FB7A6E">
        <w:rPr>
          <w:rFonts w:eastAsia="Calibri"/>
        </w:rPr>
        <w:t xml:space="preserve">; </w:t>
      </w:r>
    </w:p>
    <w:p w:rsidR="00872AAD" w:rsidRPr="00FB7A6E" w:rsidRDefault="00872AAD" w:rsidP="00872AAD">
      <w:pPr>
        <w:pStyle w:val="TableFigureFooter"/>
        <w:rPr>
          <w:rFonts w:eastAsia="Calibri"/>
        </w:rPr>
      </w:pPr>
      <w:r w:rsidRPr="00FB7A6E">
        <w:rPr>
          <w:rFonts w:eastAsia="Calibri"/>
        </w:rPr>
        <w:t xml:space="preserve">PEONY: </w:t>
      </w:r>
      <w:r>
        <w:rPr>
          <w:rFonts w:eastAsia="Calibri"/>
        </w:rPr>
        <w:t xml:space="preserve">four cycles of </w:t>
      </w:r>
      <w:r w:rsidR="00BD26D5">
        <w:rPr>
          <w:rFonts w:eastAsia="Calibri"/>
        </w:rPr>
        <w:t>Ptz</w:t>
      </w:r>
      <w:r>
        <w:rPr>
          <w:rFonts w:eastAsia="Calibri"/>
        </w:rPr>
        <w:t>+</w:t>
      </w:r>
      <w:r w:rsidRPr="00FB7A6E">
        <w:rPr>
          <w:rFonts w:eastAsia="Calibri"/>
        </w:rPr>
        <w:t>T+</w:t>
      </w:r>
      <w:r w:rsidR="00BD26D5">
        <w:rPr>
          <w:rFonts w:eastAsia="Calibri"/>
        </w:rPr>
        <w:t>D</w:t>
      </w:r>
      <w:r w:rsidRPr="00FB7A6E">
        <w:rPr>
          <w:rFonts w:eastAsia="Calibri"/>
        </w:rPr>
        <w:t xml:space="preserve"> versus </w:t>
      </w:r>
      <w:r>
        <w:rPr>
          <w:rFonts w:eastAsia="Calibri"/>
        </w:rPr>
        <w:t>four cycles of Placebo+</w:t>
      </w:r>
      <w:r w:rsidRPr="00FB7A6E">
        <w:rPr>
          <w:rFonts w:eastAsia="Calibri"/>
        </w:rPr>
        <w:t>T+</w:t>
      </w:r>
      <w:r w:rsidR="00BD26D5">
        <w:rPr>
          <w:rFonts w:eastAsia="Calibri"/>
        </w:rPr>
        <w:t>D</w:t>
      </w:r>
      <w:r w:rsidRPr="00FB7A6E">
        <w:rPr>
          <w:rFonts w:eastAsia="Calibri"/>
        </w:rPr>
        <w:t xml:space="preserve">; and </w:t>
      </w:r>
    </w:p>
    <w:p w:rsidR="00872AAD" w:rsidRDefault="00872AAD" w:rsidP="00872AAD">
      <w:pPr>
        <w:pStyle w:val="TableFigureFooter"/>
      </w:pPr>
      <w:r w:rsidRPr="00FB7A6E">
        <w:rPr>
          <w:rFonts w:eastAsia="Calibri"/>
        </w:rPr>
        <w:t xml:space="preserve">TRYPHAENA: </w:t>
      </w:r>
      <w:r>
        <w:rPr>
          <w:rFonts w:eastAsia="Calibri"/>
        </w:rPr>
        <w:t xml:space="preserve">three cycles of </w:t>
      </w:r>
      <w:r w:rsidR="00BD26D5">
        <w:rPr>
          <w:rFonts w:eastAsia="Calibri"/>
        </w:rPr>
        <w:t>Ptz</w:t>
      </w:r>
      <w:r>
        <w:rPr>
          <w:rFonts w:eastAsia="Calibri"/>
        </w:rPr>
        <w:t>+</w:t>
      </w:r>
      <w:r w:rsidR="00BD26D5">
        <w:rPr>
          <w:rFonts w:eastAsia="Calibri"/>
        </w:rPr>
        <w:t>T+FEC</w:t>
      </w:r>
      <w:r w:rsidRPr="00FB7A6E">
        <w:rPr>
          <w:rFonts w:eastAsia="Calibri"/>
        </w:rPr>
        <w:t xml:space="preserve"> </w:t>
      </w:r>
      <w:r>
        <w:rPr>
          <w:rFonts w:eastAsia="Calibri"/>
        </w:rPr>
        <w:t xml:space="preserve">followed by three cycles of </w:t>
      </w:r>
      <w:r w:rsidR="00BD26D5">
        <w:rPr>
          <w:rFonts w:eastAsia="Calibri"/>
        </w:rPr>
        <w:t>Ptz</w:t>
      </w:r>
      <w:r>
        <w:rPr>
          <w:rFonts w:eastAsia="Calibri"/>
        </w:rPr>
        <w:t>+</w:t>
      </w:r>
      <w:r w:rsidRPr="00FB7A6E">
        <w:rPr>
          <w:rFonts w:eastAsia="Calibri"/>
        </w:rPr>
        <w:t>T+</w:t>
      </w:r>
      <w:r w:rsidR="00BD26D5">
        <w:rPr>
          <w:rFonts w:eastAsia="Calibri"/>
        </w:rPr>
        <w:t>D</w:t>
      </w:r>
      <w:r w:rsidRPr="00FB7A6E">
        <w:rPr>
          <w:rFonts w:eastAsia="Calibri"/>
        </w:rPr>
        <w:t xml:space="preserve"> in Arm A, </w:t>
      </w:r>
      <w:r w:rsidR="00BD26D5">
        <w:rPr>
          <w:rFonts w:eastAsia="Calibri"/>
        </w:rPr>
        <w:t>Ptz</w:t>
      </w:r>
      <w:r>
        <w:rPr>
          <w:rFonts w:eastAsia="Calibri"/>
        </w:rPr>
        <w:t>+</w:t>
      </w:r>
      <w:r w:rsidRPr="00FB7A6E">
        <w:rPr>
          <w:rFonts w:eastAsia="Calibri"/>
        </w:rPr>
        <w:t>T+C+</w:t>
      </w:r>
      <w:r w:rsidR="00BD26D5">
        <w:rPr>
          <w:rFonts w:eastAsia="Calibri"/>
        </w:rPr>
        <w:t>D</w:t>
      </w:r>
      <w:r w:rsidRPr="00FB7A6E">
        <w:rPr>
          <w:rFonts w:eastAsia="Calibri"/>
        </w:rPr>
        <w:t xml:space="preserve"> x6 in Arm C (</w:t>
      </w:r>
      <w:r w:rsidRPr="00FB7A6E">
        <w:t>FEC = 5-fluorouracil 500 mg/m</w:t>
      </w:r>
      <w:r w:rsidRPr="00FB7A6E">
        <w:rPr>
          <w:vertAlign w:val="superscript"/>
        </w:rPr>
        <w:t>2</w:t>
      </w:r>
      <w:r w:rsidRPr="00FB7A6E">
        <w:t>, epirubicin 100 mg/m</w:t>
      </w:r>
      <w:r w:rsidRPr="00FB7A6E">
        <w:rPr>
          <w:vertAlign w:val="superscript"/>
        </w:rPr>
        <w:t>2</w:t>
      </w:r>
      <w:r w:rsidRPr="00FB7A6E">
        <w:t xml:space="preserve"> and cyclophosphamide 600 mg/m</w:t>
      </w:r>
      <w:r w:rsidRPr="00FB7A6E">
        <w:rPr>
          <w:vertAlign w:val="superscript"/>
        </w:rPr>
        <w:t>2</w:t>
      </w:r>
      <w:r w:rsidRPr="00FB7A6E">
        <w:t>).</w:t>
      </w:r>
    </w:p>
    <w:p w:rsidR="00872AAD" w:rsidRDefault="00872AAD" w:rsidP="00872AAD">
      <w:pPr>
        <w:pStyle w:val="TableFigureFooter"/>
        <w:rPr>
          <w:rFonts w:eastAsia="Calibri"/>
        </w:rPr>
      </w:pPr>
      <w:r>
        <w:rPr>
          <w:rFonts w:eastAsia="Calibri"/>
        </w:rPr>
        <w:t xml:space="preserve">Raw data from PEONY </w:t>
      </w:r>
      <w:proofErr w:type="gramStart"/>
      <w:r>
        <w:rPr>
          <w:rFonts w:eastAsia="Calibri"/>
        </w:rPr>
        <w:t>are presented</w:t>
      </w:r>
      <w:proofErr w:type="gramEnd"/>
      <w:r>
        <w:rPr>
          <w:rFonts w:eastAsia="Calibri"/>
        </w:rPr>
        <w:t xml:space="preserve"> in </w:t>
      </w:r>
      <w:r w:rsidRPr="00A015E3">
        <w:rPr>
          <w:rFonts w:eastAsia="Calibri"/>
          <w:i/>
        </w:rPr>
        <w:t>italics</w:t>
      </w:r>
      <w:r>
        <w:rPr>
          <w:rFonts w:eastAsia="Calibri"/>
        </w:rPr>
        <w:t xml:space="preserve"> as PEONY was not presented in the submission. Shao (2019) presented the treatment effect estimates (RR, RD) for tpCR in PEONY</w:t>
      </w:r>
      <w:r w:rsidRPr="006A526E">
        <w:rPr>
          <w:rFonts w:eastAsia="Calibri"/>
        </w:rPr>
        <w:t xml:space="preserve">. </w:t>
      </w:r>
      <w:r w:rsidRPr="008869AC">
        <w:rPr>
          <w:rFonts w:eastAsia="Calibri"/>
        </w:rPr>
        <w:t>All the other treatment effect estimates for PEONY were calculated using the raw data reported in Shao (2019) and using the same method as used in Shao (2019)</w:t>
      </w:r>
      <w:r w:rsidR="008869AC">
        <w:rPr>
          <w:rFonts w:eastAsia="Calibri"/>
        </w:rPr>
        <w:t>.</w:t>
      </w:r>
      <w:r w:rsidRPr="008869AC">
        <w:rPr>
          <w:rFonts w:eastAsia="Calibri"/>
        </w:rPr>
        <w:t xml:space="preserve"> </w:t>
      </w:r>
      <w:r w:rsidRPr="006A526E">
        <w:rPr>
          <w:rFonts w:eastAsia="Calibri"/>
        </w:rPr>
        <w:t>Treatment effect estimates (RD for NEOSPHERE were calculated using the same method as in the submission.</w:t>
      </w:r>
    </w:p>
    <w:p w:rsidR="00872AAD" w:rsidRPr="00B42E12" w:rsidRDefault="00872AAD" w:rsidP="00872AAD">
      <w:pPr>
        <w:rPr>
          <w:rFonts w:eastAsia="Calibri"/>
        </w:rPr>
      </w:pPr>
    </w:p>
    <w:p w:rsidR="00872AAD" w:rsidRPr="009E19E1" w:rsidRDefault="000D09D2" w:rsidP="009E19E1">
      <w:pPr>
        <w:pStyle w:val="TableFigureHeading"/>
      </w:pPr>
      <w:bookmarkStart w:id="24" w:name="_Ref33607132"/>
      <w:r>
        <w:lastRenderedPageBreak/>
        <w:t xml:space="preserve">Table </w:t>
      </w:r>
      <w:r w:rsidR="00550A5E">
        <w:rPr>
          <w:noProof/>
        </w:rPr>
        <w:t>5</w:t>
      </w:r>
      <w:bookmarkEnd w:id="24"/>
      <w:r w:rsidR="00872AAD" w:rsidRPr="009E19E1">
        <w:t>: Overview of survival outcomes in NEOSPHERE, TRYPHAENA (Note 1)</w:t>
      </w:r>
    </w:p>
    <w:tbl>
      <w:tblPr>
        <w:tblStyle w:val="ASDTable18"/>
        <w:tblW w:w="5000" w:type="pct"/>
        <w:tblLook w:val="04A0" w:firstRow="1" w:lastRow="0" w:firstColumn="1" w:lastColumn="0" w:noHBand="0" w:noVBand="1"/>
        <w:tblCaption w:val="Table 5: Overview of survival outcomes in NEOSPHERE, TRYPHAENA (Note 1)"/>
      </w:tblPr>
      <w:tblGrid>
        <w:gridCol w:w="3189"/>
        <w:gridCol w:w="555"/>
        <w:gridCol w:w="1387"/>
        <w:gridCol w:w="694"/>
        <w:gridCol w:w="1250"/>
        <w:gridCol w:w="1942"/>
      </w:tblGrid>
      <w:tr w:rsidR="00872AAD" w:rsidRPr="00243DE1" w:rsidTr="00126A44">
        <w:trPr>
          <w:cantSplit/>
          <w:tblHeader/>
        </w:trPr>
        <w:tc>
          <w:tcPr>
            <w:tcW w:w="1768" w:type="pct"/>
            <w:tcBorders>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
                <w:sz w:val="20"/>
                <w:lang w:val="en-US"/>
              </w:rPr>
            </w:pPr>
          </w:p>
        </w:tc>
        <w:tc>
          <w:tcPr>
            <w:tcW w:w="1077" w:type="pct"/>
            <w:gridSpan w:val="2"/>
            <w:tcBorders>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sz w:val="20"/>
                <w:lang w:val="en-US"/>
              </w:rPr>
            </w:pPr>
            <w:r w:rsidRPr="00243DE1">
              <w:rPr>
                <w:rFonts w:ascii="Arial Narrow" w:eastAsia="MS Gothic" w:hAnsi="Arial Narrow" w:cs="Times New Roman"/>
                <w:b/>
                <w:sz w:val="20"/>
                <w:lang w:val="en-US"/>
              </w:rPr>
              <w:t>Pertuzumab</w:t>
            </w:r>
          </w:p>
          <w:p w:rsidR="00872AAD" w:rsidRPr="00243DE1" w:rsidRDefault="00872AAD" w:rsidP="00872AAD">
            <w:pPr>
              <w:keepNext/>
              <w:jc w:val="center"/>
              <w:rPr>
                <w:rFonts w:ascii="Arial Narrow" w:eastAsia="MS Gothic" w:hAnsi="Arial Narrow" w:cs="Times New Roman"/>
                <w:b/>
                <w:sz w:val="20"/>
                <w:lang w:val="en-US"/>
              </w:rPr>
            </w:pPr>
            <w:proofErr w:type="gramStart"/>
            <w:r w:rsidRPr="00243DE1">
              <w:rPr>
                <w:rFonts w:ascii="Arial Narrow" w:eastAsia="MS Gothic" w:hAnsi="Arial Narrow" w:cs="Times New Roman"/>
                <w:b/>
                <w:sz w:val="20"/>
                <w:lang w:val="en-US"/>
              </w:rPr>
              <w:t>n/N</w:t>
            </w:r>
            <w:proofErr w:type="gramEnd"/>
            <w:r w:rsidRPr="00243DE1">
              <w:rPr>
                <w:rFonts w:ascii="Arial Narrow" w:eastAsia="MS Gothic" w:hAnsi="Arial Narrow" w:cs="Times New Roman"/>
                <w:b/>
                <w:sz w:val="20"/>
                <w:lang w:val="en-US"/>
              </w:rPr>
              <w:t xml:space="preserve"> (%)</w:t>
            </w:r>
          </w:p>
        </w:tc>
        <w:tc>
          <w:tcPr>
            <w:tcW w:w="1078" w:type="pct"/>
            <w:gridSpan w:val="2"/>
            <w:tcBorders>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sz w:val="20"/>
                <w:lang w:val="en-US"/>
              </w:rPr>
            </w:pPr>
            <w:r w:rsidRPr="00243DE1">
              <w:rPr>
                <w:rFonts w:ascii="Arial Narrow" w:eastAsia="MS Gothic" w:hAnsi="Arial Narrow" w:cs="Times New Roman"/>
                <w:b/>
                <w:sz w:val="20"/>
                <w:lang w:val="en-US"/>
              </w:rPr>
              <w:t>Nothing or Placebo</w:t>
            </w:r>
          </w:p>
          <w:p w:rsidR="00872AAD" w:rsidRPr="00243DE1" w:rsidRDefault="00872AAD" w:rsidP="00872AAD">
            <w:pPr>
              <w:keepNext/>
              <w:jc w:val="center"/>
              <w:rPr>
                <w:rFonts w:ascii="Arial Narrow" w:eastAsia="MS Gothic" w:hAnsi="Arial Narrow" w:cs="Times New Roman"/>
                <w:b/>
                <w:sz w:val="20"/>
                <w:lang w:val="en-US"/>
              </w:rPr>
            </w:pPr>
            <w:proofErr w:type="gramStart"/>
            <w:r w:rsidRPr="00243DE1">
              <w:rPr>
                <w:rFonts w:ascii="Arial Narrow" w:eastAsia="MS Gothic" w:hAnsi="Arial Narrow" w:cs="Times New Roman"/>
                <w:b/>
                <w:sz w:val="20"/>
                <w:lang w:val="en-US"/>
              </w:rPr>
              <w:t>n/N</w:t>
            </w:r>
            <w:proofErr w:type="gramEnd"/>
            <w:r w:rsidRPr="00243DE1">
              <w:rPr>
                <w:rFonts w:ascii="Arial Narrow" w:eastAsia="MS Gothic" w:hAnsi="Arial Narrow" w:cs="Times New Roman"/>
                <w:b/>
                <w:sz w:val="20"/>
                <w:lang w:val="en-US"/>
              </w:rPr>
              <w:t xml:space="preserve"> (%)</w:t>
            </w:r>
          </w:p>
        </w:tc>
        <w:tc>
          <w:tcPr>
            <w:tcW w:w="1077" w:type="pct"/>
            <w:tcBorders>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sz w:val="20"/>
                <w:lang w:val="en-US"/>
              </w:rPr>
            </w:pPr>
            <w:r w:rsidRPr="00243DE1">
              <w:rPr>
                <w:rFonts w:ascii="Arial Narrow" w:eastAsia="MS Gothic" w:hAnsi="Arial Narrow" w:cs="Times New Roman"/>
                <w:b/>
                <w:sz w:val="20"/>
                <w:lang w:val="en-US"/>
              </w:rPr>
              <w:t xml:space="preserve">RR </w:t>
            </w:r>
          </w:p>
          <w:p w:rsidR="00872AAD" w:rsidRPr="00243DE1" w:rsidRDefault="00872AAD" w:rsidP="00872AAD">
            <w:pPr>
              <w:keepNext/>
              <w:jc w:val="center"/>
              <w:rPr>
                <w:rFonts w:ascii="Arial Narrow" w:eastAsia="MS Gothic" w:hAnsi="Arial Narrow" w:cs="Times New Roman"/>
                <w:b/>
                <w:sz w:val="20"/>
                <w:lang w:val="en-US"/>
              </w:rPr>
            </w:pPr>
            <w:r w:rsidRPr="00243DE1">
              <w:rPr>
                <w:rFonts w:ascii="Arial Narrow" w:eastAsia="MS Gothic" w:hAnsi="Arial Narrow" w:cs="Times New Roman"/>
                <w:b/>
                <w:sz w:val="20"/>
                <w:lang w:val="en-US"/>
              </w:rPr>
              <w:t>(95% CI)</w:t>
            </w:r>
          </w:p>
        </w:tc>
      </w:tr>
      <w:tr w:rsidR="00872AAD" w:rsidRPr="00344028"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344028" w:rsidRDefault="00872AAD" w:rsidP="00872AAD">
            <w:pPr>
              <w:keepNext/>
              <w:jc w:val="left"/>
              <w:rPr>
                <w:rFonts w:ascii="Arial Narrow" w:eastAsia="MS Gothic" w:hAnsi="Arial Narrow" w:cs="Times New Roman"/>
                <w:b/>
                <w:bCs/>
                <w:sz w:val="20"/>
              </w:rPr>
            </w:pPr>
            <w:r w:rsidRPr="00344028">
              <w:rPr>
                <w:rFonts w:ascii="Arial Narrow" w:eastAsia="MS Gothic" w:hAnsi="Arial Narrow" w:cs="Times New Roman"/>
                <w:b/>
                <w:bCs/>
                <w:sz w:val="20"/>
              </w:rPr>
              <w:t>OS (events, total treatment period), n (%)</w:t>
            </w:r>
          </w:p>
        </w:tc>
        <w:tc>
          <w:tcPr>
            <w:tcW w:w="308" w:type="pct"/>
            <w:tcBorders>
              <w:top w:val="single" w:sz="4" w:space="0" w:color="auto"/>
              <w:left w:val="single" w:sz="4" w:space="0" w:color="auto"/>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769" w:type="pct"/>
            <w:tcBorders>
              <w:left w:val="nil"/>
              <w:bottom w:val="single" w:sz="4" w:space="0" w:color="auto"/>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385" w:type="pct"/>
            <w:tcBorders>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693" w:type="pct"/>
            <w:tcBorders>
              <w:lef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344028" w:rsidRDefault="00872AAD" w:rsidP="00872AAD">
            <w:pPr>
              <w:keepNext/>
              <w:jc w:val="center"/>
              <w:rPr>
                <w:rFonts w:ascii="Arial Narrow" w:eastAsia="MS Gothic" w:hAnsi="Arial Narrow" w:cs="Times New Roman"/>
                <w:b/>
                <w:i/>
                <w:iCs/>
                <w:sz w:val="20"/>
              </w:rPr>
            </w:pP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NEOSPHERE</w:t>
            </w:r>
          </w:p>
        </w:tc>
        <w:tc>
          <w:tcPr>
            <w:tcW w:w="308"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769" w:type="pct"/>
            <w:tcBorders>
              <w:left w:val="nil"/>
              <w:bottom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8 (7.5)</w:t>
            </w:r>
          </w:p>
        </w:tc>
        <w:tc>
          <w:tcPr>
            <w:tcW w:w="385" w:type="pct"/>
            <w:tcBorders>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693" w:type="pct"/>
            <w:tcBorders>
              <w:lef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6 (5.6)</w:t>
            </w:r>
          </w:p>
        </w:tc>
        <w:tc>
          <w:tcPr>
            <w:tcW w:w="1077" w:type="pct"/>
            <w:tcBorders>
              <w:top w:val="single" w:sz="4" w:space="0" w:color="auto"/>
              <w:left w:val="single" w:sz="4" w:space="0" w:color="auto"/>
              <w:bottom w:val="single" w:sz="4" w:space="0" w:color="auto"/>
              <w:right w:val="single" w:sz="4" w:space="0" w:color="auto"/>
            </w:tcBorders>
            <w:shd w:val="clear" w:color="auto" w:fill="auto"/>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NR</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A</w:t>
            </w:r>
          </w:p>
        </w:tc>
        <w:tc>
          <w:tcPr>
            <w:tcW w:w="308" w:type="pct"/>
            <w:tcBorders>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769" w:type="pct"/>
            <w:tcBorders>
              <w:lef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5/73 (6.8)</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C</w:t>
            </w:r>
          </w:p>
        </w:tc>
        <w:tc>
          <w:tcPr>
            <w:tcW w:w="308" w:type="pct"/>
            <w:tcBorders>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769" w:type="pct"/>
            <w:tcBorders>
              <w:left w:val="nil"/>
              <w:bottom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10/77 (13.0)</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344028" w:rsidTr="00126A44">
        <w:trPr>
          <w:cantSplit/>
        </w:trPr>
        <w:tc>
          <w:tcPr>
            <w:tcW w:w="1768" w:type="pct"/>
            <w:tcBorders>
              <w:top w:val="single" w:sz="4" w:space="0" w:color="auto"/>
              <w:bottom w:val="single" w:sz="4" w:space="0" w:color="auto"/>
              <w:right w:val="nil"/>
            </w:tcBorders>
            <w:shd w:val="clear" w:color="auto" w:fill="auto"/>
            <w:vAlign w:val="center"/>
          </w:tcPr>
          <w:p w:rsidR="00872AAD" w:rsidRPr="00344028" w:rsidRDefault="00872AAD" w:rsidP="00872AAD">
            <w:pPr>
              <w:keepNext/>
              <w:jc w:val="left"/>
              <w:rPr>
                <w:rFonts w:ascii="Arial Narrow" w:eastAsia="MS Gothic" w:hAnsi="Arial Narrow" w:cs="Times New Roman"/>
                <w:b/>
                <w:bCs/>
                <w:sz w:val="20"/>
              </w:rPr>
            </w:pPr>
            <w:r w:rsidRPr="00344028">
              <w:rPr>
                <w:rFonts w:ascii="Arial Narrow" w:eastAsia="MS Gothic" w:hAnsi="Arial Narrow" w:cs="Times New Roman"/>
                <w:b/>
                <w:bCs/>
                <w:sz w:val="20"/>
              </w:rPr>
              <w:t>OS (1-year survival), % (95% CI)</w:t>
            </w:r>
          </w:p>
        </w:tc>
        <w:tc>
          <w:tcPr>
            <w:tcW w:w="308"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769"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385"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693"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1077" w:type="pct"/>
            <w:tcBorders>
              <w:top w:val="single" w:sz="4" w:space="0" w:color="auto"/>
              <w:left w:val="nil"/>
              <w:bottom w:val="single" w:sz="4" w:space="0" w:color="auto"/>
              <w:right w:val="single" w:sz="4" w:space="0" w:color="auto"/>
            </w:tcBorders>
            <w:shd w:val="clear" w:color="auto" w:fill="auto"/>
            <w:vAlign w:val="center"/>
          </w:tcPr>
          <w:p w:rsidR="00872AAD" w:rsidRPr="00344028" w:rsidRDefault="00872AAD" w:rsidP="00872AAD">
            <w:pPr>
              <w:keepNext/>
              <w:jc w:val="center"/>
              <w:rPr>
                <w:rFonts w:ascii="Arial Narrow" w:eastAsia="MS Gothic" w:hAnsi="Arial Narrow" w:cs="Times New Roman"/>
                <w:b/>
                <w:i/>
                <w:iCs/>
                <w:sz w:val="20"/>
              </w:rPr>
            </w:pP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NEOSPHERE</w:t>
            </w:r>
          </w:p>
        </w:tc>
        <w:tc>
          <w:tcPr>
            <w:tcW w:w="308"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769"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A</w:t>
            </w:r>
          </w:p>
        </w:tc>
        <w:tc>
          <w:tcPr>
            <w:tcW w:w="308" w:type="pct"/>
            <w:tcBorders>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69</w:t>
            </w:r>
          </w:p>
        </w:tc>
        <w:tc>
          <w:tcPr>
            <w:tcW w:w="769" w:type="pct"/>
            <w:tcBorders>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99 (96, 100)</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C</w:t>
            </w:r>
          </w:p>
        </w:tc>
        <w:tc>
          <w:tcPr>
            <w:tcW w:w="308" w:type="pct"/>
            <w:tcBorders>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72</w:t>
            </w:r>
          </w:p>
        </w:tc>
        <w:tc>
          <w:tcPr>
            <w:tcW w:w="769" w:type="pct"/>
            <w:tcBorders>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99 (96, 100)</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344028" w:rsidTr="00126A44">
        <w:trPr>
          <w:cantSplit/>
        </w:trPr>
        <w:tc>
          <w:tcPr>
            <w:tcW w:w="1768" w:type="pct"/>
            <w:tcBorders>
              <w:top w:val="single" w:sz="4" w:space="0" w:color="auto"/>
              <w:bottom w:val="single" w:sz="4" w:space="0" w:color="auto"/>
              <w:right w:val="nil"/>
            </w:tcBorders>
            <w:shd w:val="clear" w:color="auto" w:fill="auto"/>
            <w:vAlign w:val="center"/>
          </w:tcPr>
          <w:p w:rsidR="00872AAD" w:rsidRPr="00344028" w:rsidRDefault="00872AAD" w:rsidP="00872AAD">
            <w:pPr>
              <w:keepNext/>
              <w:jc w:val="left"/>
              <w:rPr>
                <w:rFonts w:ascii="Arial Narrow" w:eastAsia="MS Gothic" w:hAnsi="Arial Narrow" w:cs="Times New Roman"/>
                <w:b/>
                <w:bCs/>
                <w:sz w:val="20"/>
              </w:rPr>
            </w:pPr>
            <w:r w:rsidRPr="00344028">
              <w:rPr>
                <w:rFonts w:ascii="Arial Narrow" w:eastAsia="MS Gothic" w:hAnsi="Arial Narrow" w:cs="Times New Roman"/>
                <w:b/>
                <w:bCs/>
                <w:sz w:val="20"/>
              </w:rPr>
              <w:t>OS (5-year survival), % (95% CI)</w:t>
            </w:r>
          </w:p>
        </w:tc>
        <w:tc>
          <w:tcPr>
            <w:tcW w:w="308"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769"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385"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693"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1077" w:type="pct"/>
            <w:tcBorders>
              <w:top w:val="single" w:sz="4" w:space="0" w:color="auto"/>
              <w:left w:val="nil"/>
              <w:bottom w:val="single" w:sz="4" w:space="0" w:color="auto"/>
              <w:right w:val="single" w:sz="4" w:space="0" w:color="auto"/>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NEOSPHERE</w:t>
            </w:r>
          </w:p>
        </w:tc>
        <w:tc>
          <w:tcPr>
            <w:tcW w:w="308"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769"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A</w:t>
            </w:r>
          </w:p>
        </w:tc>
        <w:tc>
          <w:tcPr>
            <w:tcW w:w="308" w:type="pct"/>
            <w:tcBorders>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45</w:t>
            </w:r>
          </w:p>
        </w:tc>
        <w:tc>
          <w:tcPr>
            <w:tcW w:w="769" w:type="pct"/>
            <w:tcBorders>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93 (87, 99)</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C</w:t>
            </w:r>
          </w:p>
        </w:tc>
        <w:tc>
          <w:tcPr>
            <w:tcW w:w="308" w:type="pct"/>
            <w:tcBorders>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51</w:t>
            </w:r>
          </w:p>
        </w:tc>
        <w:tc>
          <w:tcPr>
            <w:tcW w:w="769" w:type="pct"/>
            <w:tcBorders>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87 (79, 95)</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344028" w:rsidTr="00126A44">
        <w:trPr>
          <w:cantSplit/>
        </w:trPr>
        <w:tc>
          <w:tcPr>
            <w:tcW w:w="1768" w:type="pct"/>
            <w:tcBorders>
              <w:top w:val="single" w:sz="4" w:space="0" w:color="auto"/>
              <w:bottom w:val="single" w:sz="4" w:space="0" w:color="auto"/>
              <w:right w:val="nil"/>
            </w:tcBorders>
            <w:shd w:val="clear" w:color="auto" w:fill="auto"/>
            <w:vAlign w:val="center"/>
          </w:tcPr>
          <w:p w:rsidR="00872AAD" w:rsidRPr="00344028" w:rsidRDefault="00872AAD" w:rsidP="00872AAD">
            <w:pPr>
              <w:keepNext/>
              <w:jc w:val="left"/>
              <w:rPr>
                <w:rFonts w:ascii="Arial Narrow" w:eastAsia="MS Gothic" w:hAnsi="Arial Narrow" w:cs="Times New Roman"/>
                <w:b/>
                <w:bCs/>
                <w:sz w:val="20"/>
              </w:rPr>
            </w:pPr>
            <w:r w:rsidRPr="00344028">
              <w:rPr>
                <w:rFonts w:ascii="Arial Narrow" w:eastAsia="MS Gothic" w:hAnsi="Arial Narrow" w:cs="Times New Roman"/>
                <w:b/>
                <w:bCs/>
                <w:sz w:val="20"/>
              </w:rPr>
              <w:t>PFS (events), n (%)</w:t>
            </w:r>
          </w:p>
        </w:tc>
        <w:tc>
          <w:tcPr>
            <w:tcW w:w="308"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769"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385"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693"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1077" w:type="pct"/>
            <w:tcBorders>
              <w:top w:val="single" w:sz="4" w:space="0" w:color="auto"/>
              <w:left w:val="nil"/>
              <w:bottom w:val="single" w:sz="4" w:space="0" w:color="auto"/>
              <w:right w:val="single" w:sz="4" w:space="0" w:color="auto"/>
            </w:tcBorders>
            <w:shd w:val="clear" w:color="auto" w:fill="auto"/>
            <w:vAlign w:val="center"/>
          </w:tcPr>
          <w:p w:rsidR="00872AAD" w:rsidRPr="00344028" w:rsidRDefault="00872AAD" w:rsidP="00872AAD">
            <w:pPr>
              <w:keepNext/>
              <w:jc w:val="center"/>
              <w:rPr>
                <w:rFonts w:ascii="Arial Narrow" w:eastAsia="MS Gothic" w:hAnsi="Arial Narrow" w:cs="Times New Roman"/>
                <w:b/>
                <w:i/>
                <w:iCs/>
                <w:sz w:val="20"/>
              </w:rPr>
            </w:pP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NEOSPHERE</w:t>
            </w:r>
          </w:p>
        </w:tc>
        <w:tc>
          <w:tcPr>
            <w:tcW w:w="308"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769"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17/107 (15.9)</w:t>
            </w:r>
          </w:p>
        </w:tc>
        <w:tc>
          <w:tcPr>
            <w:tcW w:w="385"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693"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19/107 (17.8)</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NR</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A</w:t>
            </w:r>
          </w:p>
        </w:tc>
        <w:tc>
          <w:tcPr>
            <w:tcW w:w="308" w:type="pct"/>
            <w:tcBorders>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769" w:type="pct"/>
            <w:tcBorders>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10/73 (13.7)</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C</w:t>
            </w:r>
          </w:p>
        </w:tc>
        <w:tc>
          <w:tcPr>
            <w:tcW w:w="308" w:type="pct"/>
            <w:tcBorders>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769" w:type="pct"/>
            <w:tcBorders>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14/77 (18.2)</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344028" w:rsidTr="00126A44">
        <w:trPr>
          <w:cantSplit/>
        </w:trPr>
        <w:tc>
          <w:tcPr>
            <w:tcW w:w="1768" w:type="pct"/>
            <w:tcBorders>
              <w:top w:val="single" w:sz="4" w:space="0" w:color="auto"/>
              <w:bottom w:val="single" w:sz="4" w:space="0" w:color="auto"/>
              <w:right w:val="nil"/>
            </w:tcBorders>
            <w:shd w:val="clear" w:color="auto" w:fill="auto"/>
            <w:vAlign w:val="center"/>
          </w:tcPr>
          <w:p w:rsidR="00872AAD" w:rsidRPr="00344028" w:rsidRDefault="00872AAD" w:rsidP="00872AAD">
            <w:pPr>
              <w:keepNext/>
              <w:jc w:val="left"/>
              <w:rPr>
                <w:rFonts w:ascii="Arial Narrow" w:eastAsia="MS Gothic" w:hAnsi="Arial Narrow" w:cs="Times New Roman"/>
                <w:b/>
                <w:bCs/>
                <w:sz w:val="20"/>
              </w:rPr>
            </w:pPr>
            <w:r w:rsidRPr="00344028">
              <w:rPr>
                <w:rFonts w:ascii="Arial Narrow" w:eastAsia="MS Gothic" w:hAnsi="Arial Narrow" w:cs="Times New Roman"/>
                <w:b/>
                <w:bCs/>
                <w:sz w:val="20"/>
              </w:rPr>
              <w:t>PFS (1-year survival), % (95% CI)</w:t>
            </w:r>
          </w:p>
        </w:tc>
        <w:tc>
          <w:tcPr>
            <w:tcW w:w="308"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r w:rsidRPr="00344028">
              <w:rPr>
                <w:rFonts w:ascii="Arial Narrow" w:eastAsia="MS Gothic" w:hAnsi="Arial Narrow" w:cs="Times New Roman"/>
                <w:b/>
                <w:bCs/>
                <w:sz w:val="20"/>
              </w:rPr>
              <w:t>N*</w:t>
            </w:r>
          </w:p>
        </w:tc>
        <w:tc>
          <w:tcPr>
            <w:tcW w:w="769"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r w:rsidRPr="00344028">
              <w:rPr>
                <w:rFonts w:ascii="Arial Narrow" w:eastAsia="MS Gothic" w:hAnsi="Arial Narrow" w:cs="Times New Roman"/>
                <w:b/>
                <w:bCs/>
                <w:sz w:val="20"/>
              </w:rPr>
              <w:t>% (95% CI)</w:t>
            </w:r>
          </w:p>
        </w:tc>
        <w:tc>
          <w:tcPr>
            <w:tcW w:w="385"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693"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1077" w:type="pct"/>
            <w:tcBorders>
              <w:top w:val="single" w:sz="4" w:space="0" w:color="auto"/>
              <w:left w:val="nil"/>
              <w:bottom w:val="single" w:sz="4" w:space="0" w:color="auto"/>
              <w:right w:val="single" w:sz="4" w:space="0" w:color="auto"/>
            </w:tcBorders>
            <w:shd w:val="clear" w:color="auto" w:fill="auto"/>
            <w:vAlign w:val="center"/>
          </w:tcPr>
          <w:p w:rsidR="00872AAD" w:rsidRPr="00344028" w:rsidRDefault="00872AAD" w:rsidP="00872AAD">
            <w:pPr>
              <w:keepNext/>
              <w:jc w:val="center"/>
              <w:rPr>
                <w:rFonts w:ascii="Arial Narrow" w:eastAsia="MS Gothic" w:hAnsi="Arial Narrow" w:cs="Times New Roman"/>
                <w:b/>
                <w:i/>
                <w:iCs/>
                <w:sz w:val="20"/>
              </w:rPr>
            </w:pP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NEOSPHERE</w:t>
            </w:r>
          </w:p>
        </w:tc>
        <w:tc>
          <w:tcPr>
            <w:tcW w:w="308"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99</w:t>
            </w:r>
          </w:p>
        </w:tc>
        <w:tc>
          <w:tcPr>
            <w:tcW w:w="769"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96 (92, 100)</w:t>
            </w:r>
          </w:p>
        </w:tc>
        <w:tc>
          <w:tcPr>
            <w:tcW w:w="385"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101</w:t>
            </w:r>
          </w:p>
        </w:tc>
        <w:tc>
          <w:tcPr>
            <w:tcW w:w="693"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98 (95, 100)</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NR</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A</w:t>
            </w:r>
          </w:p>
        </w:tc>
        <w:tc>
          <w:tcPr>
            <w:tcW w:w="308" w:type="pct"/>
            <w:tcBorders>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67</w:t>
            </w:r>
          </w:p>
        </w:tc>
        <w:tc>
          <w:tcPr>
            <w:tcW w:w="769" w:type="pct"/>
            <w:tcBorders>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96 (91, 100)</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C</w:t>
            </w:r>
          </w:p>
        </w:tc>
        <w:tc>
          <w:tcPr>
            <w:tcW w:w="308" w:type="pct"/>
            <w:tcBorders>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72</w:t>
            </w:r>
          </w:p>
        </w:tc>
        <w:tc>
          <w:tcPr>
            <w:tcW w:w="769" w:type="pct"/>
            <w:tcBorders>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99 (96, 100)</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344028" w:rsidTr="00126A44">
        <w:trPr>
          <w:cantSplit/>
        </w:trPr>
        <w:tc>
          <w:tcPr>
            <w:tcW w:w="1768" w:type="pct"/>
            <w:tcBorders>
              <w:top w:val="single" w:sz="4" w:space="0" w:color="auto"/>
              <w:bottom w:val="single" w:sz="4" w:space="0" w:color="auto"/>
              <w:right w:val="nil"/>
            </w:tcBorders>
            <w:shd w:val="clear" w:color="auto" w:fill="auto"/>
            <w:vAlign w:val="center"/>
          </w:tcPr>
          <w:p w:rsidR="00872AAD" w:rsidRPr="00344028" w:rsidRDefault="00872AAD" w:rsidP="00872AAD">
            <w:pPr>
              <w:keepNext/>
              <w:jc w:val="left"/>
              <w:rPr>
                <w:rFonts w:ascii="Arial Narrow" w:eastAsia="MS Gothic" w:hAnsi="Arial Narrow" w:cs="Times New Roman"/>
                <w:b/>
                <w:bCs/>
                <w:sz w:val="20"/>
              </w:rPr>
            </w:pPr>
            <w:r w:rsidRPr="00344028">
              <w:rPr>
                <w:rFonts w:ascii="Arial Narrow" w:eastAsia="MS Gothic" w:hAnsi="Arial Narrow" w:cs="Times New Roman"/>
                <w:b/>
                <w:bCs/>
                <w:sz w:val="20"/>
              </w:rPr>
              <w:t>PFS (5-year survival), % (95% CI)</w:t>
            </w:r>
          </w:p>
        </w:tc>
        <w:tc>
          <w:tcPr>
            <w:tcW w:w="308"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r w:rsidRPr="00344028">
              <w:rPr>
                <w:rFonts w:ascii="Arial Narrow" w:eastAsia="MS Gothic" w:hAnsi="Arial Narrow" w:cs="Times New Roman"/>
                <w:b/>
                <w:bCs/>
                <w:sz w:val="20"/>
              </w:rPr>
              <w:t>N*</w:t>
            </w:r>
          </w:p>
        </w:tc>
        <w:tc>
          <w:tcPr>
            <w:tcW w:w="769"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r w:rsidRPr="00344028">
              <w:rPr>
                <w:rFonts w:ascii="Arial Narrow" w:eastAsia="MS Gothic" w:hAnsi="Arial Narrow" w:cs="Times New Roman"/>
                <w:b/>
                <w:bCs/>
                <w:sz w:val="20"/>
              </w:rPr>
              <w:t>% (95% CI)</w:t>
            </w:r>
          </w:p>
        </w:tc>
        <w:tc>
          <w:tcPr>
            <w:tcW w:w="385"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693"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1077" w:type="pct"/>
            <w:tcBorders>
              <w:top w:val="single" w:sz="4" w:space="0" w:color="auto"/>
              <w:left w:val="nil"/>
              <w:bottom w:val="single" w:sz="4" w:space="0" w:color="auto"/>
              <w:right w:val="single" w:sz="4" w:space="0" w:color="auto"/>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NEOSPHERE</w:t>
            </w:r>
          </w:p>
        </w:tc>
        <w:tc>
          <w:tcPr>
            <w:tcW w:w="308"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63</w:t>
            </w:r>
          </w:p>
        </w:tc>
        <w:tc>
          <w:tcPr>
            <w:tcW w:w="769"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86 (77, 91)</w:t>
            </w:r>
          </w:p>
        </w:tc>
        <w:tc>
          <w:tcPr>
            <w:tcW w:w="385"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58</w:t>
            </w:r>
          </w:p>
        </w:tc>
        <w:tc>
          <w:tcPr>
            <w:tcW w:w="693"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81 (71, 87)</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HR =0.69 (0.34, 1.40)</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A</w:t>
            </w:r>
          </w:p>
        </w:tc>
        <w:tc>
          <w:tcPr>
            <w:tcW w:w="308" w:type="pct"/>
            <w:tcBorders>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37</w:t>
            </w:r>
          </w:p>
        </w:tc>
        <w:tc>
          <w:tcPr>
            <w:tcW w:w="769" w:type="pct"/>
            <w:tcBorders>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85 (77, 94)</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C</w:t>
            </w:r>
          </w:p>
        </w:tc>
        <w:tc>
          <w:tcPr>
            <w:tcW w:w="308" w:type="pct"/>
            <w:tcBorders>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42</w:t>
            </w:r>
          </w:p>
        </w:tc>
        <w:tc>
          <w:tcPr>
            <w:tcW w:w="769" w:type="pct"/>
            <w:tcBorders>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81 (71, 90)</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344028" w:rsidTr="00126A44">
        <w:trPr>
          <w:cantSplit/>
        </w:trPr>
        <w:tc>
          <w:tcPr>
            <w:tcW w:w="1768" w:type="pct"/>
            <w:tcBorders>
              <w:top w:val="single" w:sz="4" w:space="0" w:color="auto"/>
              <w:bottom w:val="single" w:sz="4" w:space="0" w:color="auto"/>
              <w:right w:val="nil"/>
            </w:tcBorders>
            <w:shd w:val="clear" w:color="auto" w:fill="auto"/>
            <w:vAlign w:val="center"/>
          </w:tcPr>
          <w:p w:rsidR="00872AAD" w:rsidRPr="00344028" w:rsidRDefault="00872AAD" w:rsidP="00872AAD">
            <w:pPr>
              <w:keepNext/>
              <w:jc w:val="left"/>
              <w:rPr>
                <w:rFonts w:ascii="Arial Narrow" w:eastAsia="MS Gothic" w:hAnsi="Arial Narrow" w:cs="Times New Roman"/>
                <w:b/>
                <w:bCs/>
                <w:sz w:val="20"/>
              </w:rPr>
            </w:pPr>
            <w:r w:rsidRPr="00344028">
              <w:rPr>
                <w:rFonts w:ascii="Arial Narrow" w:eastAsia="MS Gothic" w:hAnsi="Arial Narrow" w:cs="Times New Roman"/>
                <w:b/>
                <w:bCs/>
                <w:sz w:val="20"/>
              </w:rPr>
              <w:t>DFS (events), n (%)</w:t>
            </w:r>
          </w:p>
        </w:tc>
        <w:tc>
          <w:tcPr>
            <w:tcW w:w="308"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769"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385"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693"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1077" w:type="pct"/>
            <w:tcBorders>
              <w:top w:val="single" w:sz="4" w:space="0" w:color="auto"/>
              <w:left w:val="nil"/>
              <w:bottom w:val="single" w:sz="4" w:space="0" w:color="auto"/>
              <w:right w:val="single" w:sz="4" w:space="0" w:color="auto"/>
            </w:tcBorders>
            <w:shd w:val="clear" w:color="auto" w:fill="auto"/>
            <w:vAlign w:val="center"/>
          </w:tcPr>
          <w:p w:rsidR="00872AAD" w:rsidRPr="00344028" w:rsidRDefault="00872AAD" w:rsidP="00872AAD">
            <w:pPr>
              <w:keepNext/>
              <w:jc w:val="center"/>
              <w:rPr>
                <w:rFonts w:ascii="Arial Narrow" w:eastAsia="MS Gothic" w:hAnsi="Arial Narrow" w:cs="Times New Roman"/>
                <w:b/>
                <w:i/>
                <w:iCs/>
                <w:sz w:val="20"/>
              </w:rPr>
            </w:pP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NEOSPHERE</w:t>
            </w:r>
          </w:p>
        </w:tc>
        <w:tc>
          <w:tcPr>
            <w:tcW w:w="308"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769"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15/107 (14.9)</w:t>
            </w:r>
          </w:p>
        </w:tc>
        <w:tc>
          <w:tcPr>
            <w:tcW w:w="385"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693"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18/107 (17.5)</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NR</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A</w:t>
            </w:r>
          </w:p>
        </w:tc>
        <w:tc>
          <w:tcPr>
            <w:tcW w:w="308" w:type="pct"/>
            <w:tcBorders>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769" w:type="pct"/>
            <w:tcBorders>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10/69 (14.5)</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C</w:t>
            </w:r>
          </w:p>
        </w:tc>
        <w:tc>
          <w:tcPr>
            <w:tcW w:w="308" w:type="pct"/>
            <w:tcBorders>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p>
        </w:tc>
        <w:tc>
          <w:tcPr>
            <w:tcW w:w="769" w:type="pct"/>
            <w:tcBorders>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11/72 (15.3)</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344028" w:rsidTr="00126A44">
        <w:trPr>
          <w:cantSplit/>
        </w:trPr>
        <w:tc>
          <w:tcPr>
            <w:tcW w:w="1768" w:type="pct"/>
            <w:tcBorders>
              <w:top w:val="single" w:sz="4" w:space="0" w:color="auto"/>
              <w:bottom w:val="single" w:sz="4" w:space="0" w:color="auto"/>
              <w:right w:val="nil"/>
            </w:tcBorders>
            <w:shd w:val="clear" w:color="auto" w:fill="auto"/>
            <w:vAlign w:val="center"/>
          </w:tcPr>
          <w:p w:rsidR="00872AAD" w:rsidRPr="00344028" w:rsidRDefault="00872AAD" w:rsidP="00872AAD">
            <w:pPr>
              <w:keepNext/>
              <w:jc w:val="left"/>
              <w:rPr>
                <w:rFonts w:ascii="Arial Narrow" w:eastAsia="MS Gothic" w:hAnsi="Arial Narrow" w:cs="Times New Roman"/>
                <w:b/>
                <w:bCs/>
                <w:sz w:val="20"/>
              </w:rPr>
            </w:pPr>
            <w:r w:rsidRPr="00344028">
              <w:rPr>
                <w:rFonts w:ascii="Arial Narrow" w:eastAsia="MS Gothic" w:hAnsi="Arial Narrow" w:cs="Times New Roman"/>
                <w:b/>
                <w:bCs/>
                <w:sz w:val="20"/>
              </w:rPr>
              <w:t>DFS (1-year survival), % (95% CI)</w:t>
            </w:r>
          </w:p>
        </w:tc>
        <w:tc>
          <w:tcPr>
            <w:tcW w:w="308"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r w:rsidRPr="00344028">
              <w:rPr>
                <w:rFonts w:ascii="Arial Narrow" w:eastAsia="MS Gothic" w:hAnsi="Arial Narrow" w:cs="Times New Roman"/>
                <w:b/>
                <w:bCs/>
                <w:sz w:val="20"/>
              </w:rPr>
              <w:t>N*</w:t>
            </w:r>
          </w:p>
        </w:tc>
        <w:tc>
          <w:tcPr>
            <w:tcW w:w="769"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r w:rsidRPr="00344028">
              <w:rPr>
                <w:rFonts w:ascii="Arial Narrow" w:eastAsia="MS Gothic" w:hAnsi="Arial Narrow" w:cs="Times New Roman"/>
                <w:b/>
                <w:bCs/>
                <w:sz w:val="20"/>
              </w:rPr>
              <w:t>% (95% CI)</w:t>
            </w:r>
          </w:p>
        </w:tc>
        <w:tc>
          <w:tcPr>
            <w:tcW w:w="385"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693"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1077" w:type="pct"/>
            <w:tcBorders>
              <w:top w:val="single" w:sz="4" w:space="0" w:color="auto"/>
              <w:left w:val="nil"/>
              <w:bottom w:val="single" w:sz="4" w:space="0" w:color="auto"/>
              <w:right w:val="single" w:sz="4" w:space="0" w:color="auto"/>
            </w:tcBorders>
            <w:shd w:val="clear" w:color="auto" w:fill="auto"/>
            <w:vAlign w:val="center"/>
          </w:tcPr>
          <w:p w:rsidR="00872AAD" w:rsidRPr="00344028" w:rsidRDefault="00872AAD" w:rsidP="00872AAD">
            <w:pPr>
              <w:keepNext/>
              <w:jc w:val="center"/>
              <w:rPr>
                <w:rFonts w:ascii="Arial Narrow" w:eastAsia="MS Gothic" w:hAnsi="Arial Narrow" w:cs="Times New Roman"/>
                <w:b/>
                <w:i/>
                <w:iCs/>
                <w:sz w:val="20"/>
              </w:rPr>
            </w:pP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NEOSPHERE</w:t>
            </w:r>
          </w:p>
        </w:tc>
        <w:tc>
          <w:tcPr>
            <w:tcW w:w="308"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96</w:t>
            </w:r>
          </w:p>
        </w:tc>
        <w:tc>
          <w:tcPr>
            <w:tcW w:w="769"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96 (92, 100)</w:t>
            </w:r>
          </w:p>
        </w:tc>
        <w:tc>
          <w:tcPr>
            <w:tcW w:w="385"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92</w:t>
            </w:r>
          </w:p>
        </w:tc>
        <w:tc>
          <w:tcPr>
            <w:tcW w:w="693"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95 (91, 99)</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NR</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A</w:t>
            </w:r>
          </w:p>
        </w:tc>
        <w:tc>
          <w:tcPr>
            <w:tcW w:w="308" w:type="pct"/>
            <w:tcBorders>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66</w:t>
            </w:r>
          </w:p>
        </w:tc>
        <w:tc>
          <w:tcPr>
            <w:tcW w:w="769" w:type="pct"/>
            <w:tcBorders>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96 (91, 100)</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C</w:t>
            </w:r>
          </w:p>
        </w:tc>
        <w:tc>
          <w:tcPr>
            <w:tcW w:w="308" w:type="pct"/>
            <w:tcBorders>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67</w:t>
            </w:r>
          </w:p>
        </w:tc>
        <w:tc>
          <w:tcPr>
            <w:tcW w:w="769" w:type="pct"/>
            <w:tcBorders>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96 (91, 100)</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7928E7" w:rsidRPr="00243DE1" w:rsidTr="007928E7">
        <w:trPr>
          <w:cantSplit/>
        </w:trPr>
        <w:tc>
          <w:tcPr>
            <w:tcW w:w="1768" w:type="pct"/>
            <w:tcBorders>
              <w:top w:val="single" w:sz="4" w:space="0" w:color="auto"/>
              <w:bottom w:val="single" w:sz="4" w:space="0" w:color="auto"/>
              <w:right w:val="single" w:sz="4" w:space="0" w:color="FFFFFF" w:themeColor="background1"/>
            </w:tcBorders>
            <w:shd w:val="clear" w:color="auto" w:fill="auto"/>
            <w:vAlign w:val="center"/>
          </w:tcPr>
          <w:p w:rsidR="007928E7" w:rsidRPr="00243DE1" w:rsidRDefault="007928E7" w:rsidP="007928E7">
            <w:pPr>
              <w:keepNext/>
              <w:jc w:val="left"/>
              <w:rPr>
                <w:rFonts w:ascii="Arial Narrow" w:eastAsia="MS Gothic" w:hAnsi="Arial Narrow" w:cs="Times New Roman"/>
                <w:bCs/>
                <w:sz w:val="20"/>
              </w:rPr>
            </w:pPr>
            <w:r>
              <w:rPr>
                <w:rFonts w:ascii="Arial Narrow" w:eastAsia="MS Gothic" w:hAnsi="Arial Narrow" w:cs="Times New Roman"/>
                <w:b/>
                <w:bCs/>
                <w:sz w:val="20"/>
              </w:rPr>
              <w:t>DFS (3</w:t>
            </w:r>
            <w:r w:rsidRPr="00344028">
              <w:rPr>
                <w:rFonts w:ascii="Arial Narrow" w:eastAsia="MS Gothic" w:hAnsi="Arial Narrow" w:cs="Times New Roman"/>
                <w:b/>
                <w:bCs/>
                <w:sz w:val="20"/>
              </w:rPr>
              <w:t>-year survival)</w:t>
            </w:r>
          </w:p>
        </w:tc>
        <w:tc>
          <w:tcPr>
            <w:tcW w:w="308" w:type="pct"/>
            <w:tcBorders>
              <w:left w:val="single" w:sz="4" w:space="0" w:color="FFFFFF" w:themeColor="background1"/>
              <w:bottom w:val="single" w:sz="4" w:space="0" w:color="auto"/>
              <w:right w:val="nil"/>
            </w:tcBorders>
            <w:shd w:val="clear" w:color="auto" w:fill="auto"/>
            <w:vAlign w:val="center"/>
          </w:tcPr>
          <w:p w:rsidR="007928E7" w:rsidRPr="00243DE1" w:rsidRDefault="007928E7" w:rsidP="007928E7">
            <w:pPr>
              <w:keepNext/>
              <w:jc w:val="center"/>
              <w:rPr>
                <w:rFonts w:ascii="Arial Narrow" w:eastAsia="MS Gothic" w:hAnsi="Arial Narrow" w:cs="Times New Roman"/>
                <w:bCs/>
                <w:sz w:val="20"/>
              </w:rPr>
            </w:pPr>
            <w:r w:rsidRPr="00344028">
              <w:rPr>
                <w:rFonts w:ascii="Arial Narrow" w:eastAsia="MS Gothic" w:hAnsi="Arial Narrow" w:cs="Times New Roman"/>
                <w:b/>
                <w:bCs/>
                <w:sz w:val="20"/>
              </w:rPr>
              <w:t>N*</w:t>
            </w:r>
          </w:p>
        </w:tc>
        <w:tc>
          <w:tcPr>
            <w:tcW w:w="769" w:type="pct"/>
            <w:tcBorders>
              <w:left w:val="nil"/>
              <w:bottom w:val="single" w:sz="4" w:space="0" w:color="auto"/>
              <w:right w:val="single" w:sz="4" w:space="0" w:color="FFFFFF" w:themeColor="background1"/>
            </w:tcBorders>
            <w:shd w:val="clear" w:color="auto" w:fill="auto"/>
            <w:vAlign w:val="center"/>
          </w:tcPr>
          <w:p w:rsidR="007928E7" w:rsidRPr="00243DE1" w:rsidRDefault="007928E7" w:rsidP="007928E7">
            <w:pPr>
              <w:keepNext/>
              <w:jc w:val="center"/>
              <w:rPr>
                <w:rFonts w:ascii="Arial Narrow" w:eastAsia="MS Gothic" w:hAnsi="Arial Narrow" w:cs="Times New Roman"/>
                <w:bCs/>
                <w:sz w:val="20"/>
              </w:rPr>
            </w:pPr>
            <w:r w:rsidRPr="00344028">
              <w:rPr>
                <w:rFonts w:ascii="Arial Narrow" w:eastAsia="MS Gothic" w:hAnsi="Arial Narrow" w:cs="Times New Roman"/>
                <w:b/>
                <w:bCs/>
                <w:sz w:val="20"/>
              </w:rPr>
              <w:t>% (95% CI)</w:t>
            </w:r>
          </w:p>
        </w:tc>
        <w:tc>
          <w:tcPr>
            <w:tcW w:w="385" w:type="pct"/>
            <w:tcBorders>
              <w:top w:val="single" w:sz="4" w:space="0" w:color="auto"/>
              <w:left w:val="single" w:sz="4" w:space="0" w:color="FFFFFF" w:themeColor="background1"/>
              <w:bottom w:val="single" w:sz="4" w:space="0" w:color="auto"/>
              <w:right w:val="nil"/>
            </w:tcBorders>
            <w:shd w:val="clear" w:color="auto" w:fill="auto"/>
            <w:vAlign w:val="center"/>
          </w:tcPr>
          <w:p w:rsidR="007928E7" w:rsidRPr="00243DE1" w:rsidRDefault="007928E7" w:rsidP="007928E7">
            <w:pPr>
              <w:keepNext/>
              <w:jc w:val="center"/>
              <w:rPr>
                <w:rFonts w:ascii="Arial Narrow" w:eastAsia="MS Gothic" w:hAnsi="Arial Narrow" w:cs="Times New Roman"/>
                <w:bCs/>
                <w:sz w:val="20"/>
              </w:rPr>
            </w:pPr>
          </w:p>
        </w:tc>
        <w:tc>
          <w:tcPr>
            <w:tcW w:w="693" w:type="pct"/>
            <w:tcBorders>
              <w:top w:val="single" w:sz="4" w:space="0" w:color="auto"/>
              <w:left w:val="nil"/>
              <w:bottom w:val="single" w:sz="4" w:space="0" w:color="auto"/>
              <w:right w:val="single" w:sz="4" w:space="0" w:color="auto"/>
            </w:tcBorders>
            <w:shd w:val="clear" w:color="auto" w:fill="auto"/>
            <w:vAlign w:val="center"/>
          </w:tcPr>
          <w:p w:rsidR="007928E7" w:rsidRPr="00243DE1" w:rsidRDefault="007928E7" w:rsidP="007928E7">
            <w:pPr>
              <w:keepNext/>
              <w:jc w:val="center"/>
              <w:rPr>
                <w:rFonts w:ascii="Arial Narrow" w:eastAsia="MS Gothic" w:hAnsi="Arial Narrow" w:cs="Times New Roman"/>
                <w:bCs/>
                <w:sz w:val="20"/>
              </w:rPr>
            </w:pP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7928E7" w:rsidRPr="00243DE1" w:rsidRDefault="007928E7" w:rsidP="007928E7">
            <w:pPr>
              <w:keepNext/>
              <w:jc w:val="center"/>
              <w:rPr>
                <w:rFonts w:ascii="Arial Narrow" w:eastAsia="MS Gothic" w:hAnsi="Arial Narrow" w:cs="Times New Roman"/>
                <w:bCs/>
                <w:sz w:val="20"/>
              </w:rPr>
            </w:pPr>
          </w:p>
        </w:tc>
      </w:tr>
      <w:tr w:rsidR="007928E7"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7928E7" w:rsidRPr="00243DE1" w:rsidRDefault="007928E7"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NEOSPHERE</w:t>
            </w:r>
          </w:p>
        </w:tc>
        <w:tc>
          <w:tcPr>
            <w:tcW w:w="308" w:type="pct"/>
            <w:tcBorders>
              <w:left w:val="single" w:sz="4" w:space="0" w:color="auto"/>
              <w:bottom w:val="single" w:sz="4" w:space="0" w:color="auto"/>
              <w:right w:val="nil"/>
            </w:tcBorders>
            <w:shd w:val="clear" w:color="auto" w:fill="auto"/>
            <w:vAlign w:val="center"/>
          </w:tcPr>
          <w:p w:rsidR="007928E7" w:rsidRPr="00243DE1" w:rsidRDefault="007928E7" w:rsidP="00872AAD">
            <w:pPr>
              <w:keepNext/>
              <w:jc w:val="center"/>
              <w:rPr>
                <w:rFonts w:ascii="Arial Narrow" w:eastAsia="MS Gothic" w:hAnsi="Arial Narrow" w:cs="Times New Roman"/>
                <w:bCs/>
                <w:sz w:val="20"/>
              </w:rPr>
            </w:pPr>
            <w:r>
              <w:rPr>
                <w:rFonts w:ascii="Arial Narrow" w:eastAsia="MS Gothic" w:hAnsi="Arial Narrow" w:cs="Times New Roman"/>
                <w:bCs/>
                <w:sz w:val="20"/>
              </w:rPr>
              <w:t>88</w:t>
            </w:r>
          </w:p>
        </w:tc>
        <w:tc>
          <w:tcPr>
            <w:tcW w:w="769" w:type="pct"/>
            <w:tcBorders>
              <w:left w:val="nil"/>
              <w:bottom w:val="single" w:sz="4" w:space="0" w:color="auto"/>
              <w:right w:val="single" w:sz="4" w:space="0" w:color="auto"/>
            </w:tcBorders>
            <w:shd w:val="clear" w:color="auto" w:fill="auto"/>
            <w:vAlign w:val="center"/>
          </w:tcPr>
          <w:p w:rsidR="007928E7" w:rsidRPr="00243DE1" w:rsidRDefault="007928E7" w:rsidP="007928E7">
            <w:pPr>
              <w:keepNext/>
              <w:jc w:val="center"/>
              <w:rPr>
                <w:rFonts w:ascii="Arial Narrow" w:eastAsia="MS Gothic" w:hAnsi="Arial Narrow" w:cs="Times New Roman"/>
                <w:bCs/>
                <w:sz w:val="20"/>
              </w:rPr>
            </w:pPr>
            <w:r w:rsidRPr="007928E7">
              <w:rPr>
                <w:rFonts w:ascii="Arial Narrow" w:eastAsia="MS Gothic" w:hAnsi="Arial Narrow" w:cs="Times New Roman"/>
                <w:bCs/>
                <w:sz w:val="20"/>
              </w:rPr>
              <w:t>92 (87, 97)</w:t>
            </w:r>
          </w:p>
        </w:tc>
        <w:tc>
          <w:tcPr>
            <w:tcW w:w="385" w:type="pct"/>
            <w:tcBorders>
              <w:top w:val="single" w:sz="4" w:space="0" w:color="auto"/>
              <w:left w:val="single" w:sz="4" w:space="0" w:color="auto"/>
              <w:bottom w:val="single" w:sz="4" w:space="0" w:color="auto"/>
              <w:right w:val="nil"/>
            </w:tcBorders>
            <w:shd w:val="clear" w:color="auto" w:fill="auto"/>
            <w:vAlign w:val="center"/>
          </w:tcPr>
          <w:p w:rsidR="007928E7" w:rsidRPr="00243DE1" w:rsidRDefault="007928E7" w:rsidP="00872AAD">
            <w:pPr>
              <w:keepNext/>
              <w:jc w:val="center"/>
              <w:rPr>
                <w:rFonts w:ascii="Arial Narrow" w:eastAsia="MS Gothic" w:hAnsi="Arial Narrow" w:cs="Times New Roman"/>
                <w:bCs/>
                <w:sz w:val="20"/>
              </w:rPr>
            </w:pPr>
            <w:r>
              <w:rPr>
                <w:rFonts w:ascii="Arial Narrow" w:eastAsia="MS Gothic" w:hAnsi="Arial Narrow" w:cs="Times New Roman"/>
                <w:bCs/>
                <w:sz w:val="20"/>
              </w:rPr>
              <w:t>79</w:t>
            </w:r>
          </w:p>
        </w:tc>
        <w:tc>
          <w:tcPr>
            <w:tcW w:w="693" w:type="pct"/>
            <w:tcBorders>
              <w:top w:val="single" w:sz="4" w:space="0" w:color="auto"/>
              <w:left w:val="nil"/>
              <w:bottom w:val="single" w:sz="4" w:space="0" w:color="auto"/>
              <w:right w:val="single" w:sz="4" w:space="0" w:color="auto"/>
            </w:tcBorders>
            <w:shd w:val="clear" w:color="auto" w:fill="auto"/>
            <w:vAlign w:val="center"/>
          </w:tcPr>
          <w:p w:rsidR="007928E7" w:rsidRPr="00243DE1" w:rsidRDefault="007928E7" w:rsidP="007928E7">
            <w:pPr>
              <w:keepNext/>
              <w:jc w:val="center"/>
              <w:rPr>
                <w:rFonts w:ascii="Arial Narrow" w:eastAsia="MS Gothic" w:hAnsi="Arial Narrow" w:cs="Times New Roman"/>
                <w:bCs/>
                <w:sz w:val="20"/>
              </w:rPr>
            </w:pPr>
            <w:r w:rsidRPr="007928E7">
              <w:rPr>
                <w:rFonts w:ascii="Arial Narrow" w:eastAsia="MS Gothic" w:hAnsi="Arial Narrow" w:cs="Times New Roman"/>
                <w:bCs/>
                <w:sz w:val="20"/>
              </w:rPr>
              <w:t>85 (77, 92)</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7928E7" w:rsidRPr="00243DE1" w:rsidRDefault="007928E7" w:rsidP="00872AAD">
            <w:pPr>
              <w:keepNext/>
              <w:jc w:val="center"/>
              <w:rPr>
                <w:rFonts w:ascii="Arial Narrow" w:eastAsia="MS Gothic" w:hAnsi="Arial Narrow" w:cs="Times New Roman"/>
                <w:bCs/>
                <w:sz w:val="20"/>
              </w:rPr>
            </w:pPr>
          </w:p>
        </w:tc>
      </w:tr>
      <w:tr w:rsidR="00872AAD" w:rsidRPr="00344028" w:rsidTr="00126A44">
        <w:trPr>
          <w:cantSplit/>
        </w:trPr>
        <w:tc>
          <w:tcPr>
            <w:tcW w:w="1768" w:type="pct"/>
            <w:tcBorders>
              <w:top w:val="single" w:sz="4" w:space="0" w:color="auto"/>
              <w:bottom w:val="single" w:sz="4" w:space="0" w:color="auto"/>
              <w:right w:val="nil"/>
            </w:tcBorders>
            <w:shd w:val="clear" w:color="auto" w:fill="auto"/>
            <w:vAlign w:val="center"/>
          </w:tcPr>
          <w:p w:rsidR="00872AAD" w:rsidRPr="00344028" w:rsidRDefault="00872AAD" w:rsidP="00872AAD">
            <w:pPr>
              <w:keepNext/>
              <w:jc w:val="left"/>
              <w:rPr>
                <w:rFonts w:ascii="Arial Narrow" w:eastAsia="MS Gothic" w:hAnsi="Arial Narrow" w:cs="Times New Roman"/>
                <w:b/>
                <w:bCs/>
                <w:sz w:val="20"/>
              </w:rPr>
            </w:pPr>
            <w:r w:rsidRPr="00344028">
              <w:rPr>
                <w:rFonts w:ascii="Arial Narrow" w:eastAsia="MS Gothic" w:hAnsi="Arial Narrow" w:cs="Times New Roman"/>
                <w:b/>
                <w:bCs/>
                <w:sz w:val="20"/>
              </w:rPr>
              <w:t>DFS (5-year survival)</w:t>
            </w:r>
          </w:p>
        </w:tc>
        <w:tc>
          <w:tcPr>
            <w:tcW w:w="308"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r w:rsidRPr="00344028">
              <w:rPr>
                <w:rFonts w:ascii="Arial Narrow" w:eastAsia="MS Gothic" w:hAnsi="Arial Narrow" w:cs="Times New Roman"/>
                <w:b/>
                <w:bCs/>
                <w:sz w:val="20"/>
              </w:rPr>
              <w:t>N*</w:t>
            </w:r>
          </w:p>
        </w:tc>
        <w:tc>
          <w:tcPr>
            <w:tcW w:w="769"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r w:rsidRPr="00344028">
              <w:rPr>
                <w:rFonts w:ascii="Arial Narrow" w:eastAsia="MS Gothic" w:hAnsi="Arial Narrow" w:cs="Times New Roman"/>
                <w:b/>
                <w:bCs/>
                <w:sz w:val="20"/>
              </w:rPr>
              <w:t>% (95% CI)</w:t>
            </w:r>
          </w:p>
        </w:tc>
        <w:tc>
          <w:tcPr>
            <w:tcW w:w="385"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693" w:type="pct"/>
            <w:tcBorders>
              <w:top w:val="single" w:sz="4" w:space="0" w:color="auto"/>
              <w:left w:val="nil"/>
              <w:right w:val="nil"/>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c>
          <w:tcPr>
            <w:tcW w:w="1077" w:type="pct"/>
            <w:tcBorders>
              <w:top w:val="single" w:sz="4" w:space="0" w:color="auto"/>
              <w:left w:val="nil"/>
              <w:bottom w:val="single" w:sz="4" w:space="0" w:color="auto"/>
              <w:right w:val="single" w:sz="4" w:space="0" w:color="auto"/>
            </w:tcBorders>
            <w:shd w:val="clear" w:color="auto" w:fill="auto"/>
            <w:vAlign w:val="center"/>
          </w:tcPr>
          <w:p w:rsidR="00872AAD" w:rsidRPr="00344028" w:rsidRDefault="00872AAD" w:rsidP="00872AAD">
            <w:pPr>
              <w:keepNext/>
              <w:jc w:val="center"/>
              <w:rPr>
                <w:rFonts w:ascii="Arial Narrow" w:eastAsia="MS Gothic" w:hAnsi="Arial Narrow" w:cs="Times New Roman"/>
                <w:b/>
                <w:bCs/>
                <w:sz w:val="20"/>
              </w:rPr>
            </w:pP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NEOSPHERE</w:t>
            </w:r>
          </w:p>
        </w:tc>
        <w:tc>
          <w:tcPr>
            <w:tcW w:w="308"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17</w:t>
            </w:r>
          </w:p>
        </w:tc>
        <w:tc>
          <w:tcPr>
            <w:tcW w:w="769"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84 (72, 91)</w:t>
            </w:r>
          </w:p>
        </w:tc>
        <w:tc>
          <w:tcPr>
            <w:tcW w:w="385" w:type="pct"/>
            <w:tcBorders>
              <w:top w:val="single" w:sz="4" w:space="0" w:color="auto"/>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12</w:t>
            </w:r>
          </w:p>
        </w:tc>
        <w:tc>
          <w:tcPr>
            <w:tcW w:w="693" w:type="pct"/>
            <w:tcBorders>
              <w:top w:val="single" w:sz="4" w:space="0" w:color="auto"/>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81 (72, 88)</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HR=0.60 (0.28, 1.27)</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A</w:t>
            </w:r>
          </w:p>
        </w:tc>
        <w:tc>
          <w:tcPr>
            <w:tcW w:w="308" w:type="pct"/>
            <w:tcBorders>
              <w:left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2</w:t>
            </w:r>
          </w:p>
        </w:tc>
        <w:tc>
          <w:tcPr>
            <w:tcW w:w="769" w:type="pct"/>
            <w:tcBorders>
              <w:left w:val="nil"/>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85 (77, 94)</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r w:rsidR="00872AAD" w:rsidRPr="00243DE1" w:rsidTr="00126A44">
        <w:trPr>
          <w:cantSplit/>
        </w:trPr>
        <w:tc>
          <w:tcPr>
            <w:tcW w:w="1768" w:type="pct"/>
            <w:tcBorders>
              <w:top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left"/>
              <w:rPr>
                <w:rFonts w:ascii="Arial Narrow" w:eastAsia="MS Gothic" w:hAnsi="Arial Narrow" w:cs="Times New Roman"/>
                <w:bCs/>
                <w:sz w:val="20"/>
              </w:rPr>
            </w:pPr>
            <w:r w:rsidRPr="00243DE1">
              <w:rPr>
                <w:rFonts w:ascii="Arial Narrow" w:eastAsia="MS Gothic" w:hAnsi="Arial Narrow" w:cs="Times New Roman"/>
                <w:bCs/>
                <w:sz w:val="20"/>
              </w:rPr>
              <w:t>TRYPHAENA-Arm C</w:t>
            </w:r>
          </w:p>
        </w:tc>
        <w:tc>
          <w:tcPr>
            <w:tcW w:w="308" w:type="pct"/>
            <w:tcBorders>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0</w:t>
            </w:r>
          </w:p>
        </w:tc>
        <w:tc>
          <w:tcPr>
            <w:tcW w:w="769" w:type="pct"/>
            <w:tcBorders>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Note 2</w:t>
            </w:r>
          </w:p>
        </w:tc>
        <w:tc>
          <w:tcPr>
            <w:tcW w:w="385" w:type="pct"/>
            <w:tcBorders>
              <w:top w:val="single" w:sz="4" w:space="0" w:color="auto"/>
              <w:left w:val="single" w:sz="4" w:space="0" w:color="auto"/>
              <w:bottom w:val="single" w:sz="4" w:space="0" w:color="auto"/>
              <w:right w:val="nil"/>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693" w:type="pct"/>
            <w:tcBorders>
              <w:top w:val="single" w:sz="4" w:space="0" w:color="auto"/>
              <w:left w:val="nil"/>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Cs/>
                <w:sz w:val="20"/>
              </w:rPr>
            </w:pPr>
            <w:r w:rsidRPr="00243DE1">
              <w:rPr>
                <w:rFonts w:ascii="Arial Narrow" w:eastAsia="MS Gothic" w:hAnsi="Arial Narrow" w:cs="Times New Roman"/>
                <w:bCs/>
                <w:sz w:val="20"/>
              </w:rPr>
              <w:t>−</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872AAD" w:rsidRPr="00243DE1" w:rsidRDefault="00872AAD" w:rsidP="00872AAD">
            <w:pPr>
              <w:keepNext/>
              <w:jc w:val="center"/>
              <w:rPr>
                <w:rFonts w:ascii="Arial Narrow" w:eastAsia="MS Gothic" w:hAnsi="Arial Narrow" w:cs="Times New Roman"/>
                <w:b/>
                <w:i/>
                <w:iCs/>
                <w:sz w:val="20"/>
              </w:rPr>
            </w:pPr>
            <w:r w:rsidRPr="00243DE1">
              <w:rPr>
                <w:rFonts w:ascii="Arial Narrow" w:eastAsia="MS Gothic" w:hAnsi="Arial Narrow" w:cs="Times New Roman"/>
                <w:bCs/>
                <w:sz w:val="20"/>
              </w:rPr>
              <w:t>−</w:t>
            </w:r>
          </w:p>
        </w:tc>
      </w:tr>
    </w:tbl>
    <w:p w:rsidR="00872AAD" w:rsidRPr="00243DE1" w:rsidRDefault="00872AAD" w:rsidP="00872AAD">
      <w:pPr>
        <w:spacing w:after="240"/>
        <w:contextualSpacing/>
        <w:rPr>
          <w:rFonts w:ascii="Arial Narrow" w:hAnsi="Arial Narrow"/>
          <w:iCs/>
          <w:snapToGrid w:val="0"/>
          <w:sz w:val="20"/>
          <w:szCs w:val="22"/>
        </w:rPr>
      </w:pPr>
      <w:r w:rsidRPr="00243DE1">
        <w:rPr>
          <w:rFonts w:ascii="Arial Narrow" w:hAnsi="Arial Narrow"/>
          <w:iCs/>
          <w:snapToGrid w:val="0"/>
          <w:sz w:val="18"/>
          <w:szCs w:val="22"/>
        </w:rPr>
        <w:t>Source: Table 2.17, p57 of the submission;</w:t>
      </w:r>
      <w:r w:rsidR="00FF08CF">
        <w:rPr>
          <w:rFonts w:ascii="Arial Narrow" w:hAnsi="Arial Narrow"/>
          <w:iCs/>
          <w:snapToGrid w:val="0"/>
          <w:sz w:val="18"/>
          <w:szCs w:val="22"/>
        </w:rPr>
        <w:t xml:space="preserve"> Table 2.22, p61 of the submission;</w:t>
      </w:r>
      <w:r w:rsidRPr="00243DE1">
        <w:rPr>
          <w:rFonts w:ascii="Arial Narrow" w:hAnsi="Arial Narrow"/>
          <w:iCs/>
          <w:snapToGrid w:val="0"/>
          <w:sz w:val="18"/>
          <w:szCs w:val="22"/>
        </w:rPr>
        <w:t xml:space="preserve"> Shao (2019)</w:t>
      </w:r>
      <w:r>
        <w:rPr>
          <w:rFonts w:ascii="Arial Narrow" w:hAnsi="Arial Narrow"/>
          <w:iCs/>
          <w:snapToGrid w:val="0"/>
          <w:sz w:val="18"/>
          <w:szCs w:val="22"/>
        </w:rPr>
        <w:t>.</w:t>
      </w:r>
    </w:p>
    <w:p w:rsidR="00872AAD" w:rsidRPr="00243DE1" w:rsidRDefault="00872AAD" w:rsidP="00872AAD">
      <w:pPr>
        <w:spacing w:after="240"/>
        <w:contextualSpacing/>
        <w:rPr>
          <w:rFonts w:ascii="Arial Narrow" w:eastAsia="Calibri" w:hAnsi="Arial Narrow"/>
          <w:iCs/>
          <w:snapToGrid w:val="0"/>
          <w:sz w:val="18"/>
          <w:szCs w:val="22"/>
        </w:rPr>
      </w:pPr>
      <w:r w:rsidRPr="00243DE1">
        <w:rPr>
          <w:rFonts w:ascii="Arial Narrow" w:hAnsi="Arial Narrow"/>
          <w:iCs/>
          <w:snapToGrid w:val="0"/>
          <w:sz w:val="18"/>
          <w:szCs w:val="22"/>
        </w:rPr>
        <w:t>C = carboplatin</w:t>
      </w:r>
      <w:r w:rsidR="002A0149">
        <w:rPr>
          <w:rFonts w:ascii="Arial Narrow" w:hAnsi="Arial Narrow"/>
          <w:iCs/>
          <w:snapToGrid w:val="0"/>
          <w:sz w:val="18"/>
          <w:szCs w:val="22"/>
        </w:rPr>
        <w:t>,</w:t>
      </w:r>
      <w:r w:rsidR="002A0149" w:rsidRPr="00243DE1">
        <w:rPr>
          <w:rFonts w:ascii="Arial Narrow" w:hAnsi="Arial Narrow"/>
          <w:iCs/>
          <w:snapToGrid w:val="0"/>
          <w:sz w:val="18"/>
          <w:szCs w:val="22"/>
        </w:rPr>
        <w:t xml:space="preserve"> </w:t>
      </w:r>
      <w:r w:rsidRPr="00243DE1">
        <w:rPr>
          <w:rFonts w:ascii="Arial Narrow" w:eastAsia="Calibri" w:hAnsi="Arial Narrow"/>
          <w:iCs/>
          <w:snapToGrid w:val="0"/>
          <w:sz w:val="18"/>
          <w:szCs w:val="22"/>
        </w:rPr>
        <w:t>CI = confidence interval</w:t>
      </w:r>
      <w:r w:rsidR="002A0149">
        <w:rPr>
          <w:rFonts w:ascii="Arial Narrow" w:eastAsia="Calibri" w:hAnsi="Arial Narrow"/>
          <w:iCs/>
          <w:snapToGrid w:val="0"/>
          <w:sz w:val="18"/>
          <w:szCs w:val="22"/>
        </w:rPr>
        <w:t>,</w:t>
      </w:r>
      <w:r w:rsidR="002A0149" w:rsidRPr="00243DE1">
        <w:rPr>
          <w:rFonts w:ascii="Arial Narrow" w:eastAsia="Calibri" w:hAnsi="Arial Narrow"/>
          <w:iCs/>
          <w:snapToGrid w:val="0"/>
          <w:sz w:val="18"/>
          <w:szCs w:val="22"/>
        </w:rPr>
        <w:t xml:space="preserve"> </w:t>
      </w:r>
      <w:r w:rsidRPr="00243DE1">
        <w:rPr>
          <w:rFonts w:ascii="Arial Narrow" w:eastAsia="Calibri" w:hAnsi="Arial Narrow"/>
          <w:iCs/>
          <w:snapToGrid w:val="0"/>
          <w:sz w:val="18"/>
          <w:szCs w:val="22"/>
        </w:rPr>
        <w:t>D = docetaxel</w:t>
      </w:r>
      <w:r w:rsidR="002A0149">
        <w:rPr>
          <w:rFonts w:ascii="Arial Narrow" w:eastAsia="Calibri" w:hAnsi="Arial Narrow"/>
          <w:iCs/>
          <w:snapToGrid w:val="0"/>
          <w:sz w:val="18"/>
          <w:szCs w:val="22"/>
        </w:rPr>
        <w:t>,</w:t>
      </w:r>
      <w:r w:rsidR="002A0149" w:rsidRPr="00243DE1">
        <w:rPr>
          <w:rFonts w:ascii="Arial Narrow" w:eastAsia="Calibri" w:hAnsi="Arial Narrow"/>
          <w:iCs/>
          <w:snapToGrid w:val="0"/>
          <w:sz w:val="18"/>
          <w:szCs w:val="22"/>
        </w:rPr>
        <w:t xml:space="preserve"> </w:t>
      </w:r>
      <w:r w:rsidR="002A0149">
        <w:rPr>
          <w:rFonts w:ascii="Arial Narrow" w:eastAsia="Calibri" w:hAnsi="Arial Narrow"/>
          <w:iCs/>
          <w:snapToGrid w:val="0"/>
          <w:sz w:val="18"/>
          <w:szCs w:val="22"/>
        </w:rPr>
        <w:t xml:space="preserve">HR = hazard ratio, </w:t>
      </w:r>
      <w:r w:rsidRPr="00243DE1">
        <w:rPr>
          <w:rFonts w:ascii="Arial Narrow" w:eastAsia="Calibri" w:hAnsi="Arial Narrow"/>
          <w:iCs/>
          <w:snapToGrid w:val="0"/>
          <w:sz w:val="18"/>
          <w:szCs w:val="22"/>
        </w:rPr>
        <w:t>n = number of participants with event</w:t>
      </w:r>
      <w:r w:rsidR="002A0149">
        <w:rPr>
          <w:rFonts w:ascii="Arial Narrow" w:eastAsia="Calibri" w:hAnsi="Arial Narrow"/>
          <w:iCs/>
          <w:snapToGrid w:val="0"/>
          <w:sz w:val="18"/>
          <w:szCs w:val="22"/>
        </w:rPr>
        <w:t>,</w:t>
      </w:r>
      <w:r w:rsidR="002A0149" w:rsidRPr="00243DE1">
        <w:rPr>
          <w:rFonts w:ascii="Arial Narrow" w:eastAsia="Calibri" w:hAnsi="Arial Narrow"/>
          <w:iCs/>
          <w:snapToGrid w:val="0"/>
          <w:sz w:val="18"/>
          <w:szCs w:val="22"/>
        </w:rPr>
        <w:t xml:space="preserve"> </w:t>
      </w:r>
      <w:r w:rsidRPr="00243DE1">
        <w:rPr>
          <w:rFonts w:ascii="Arial Narrow" w:eastAsia="Calibri" w:hAnsi="Arial Narrow"/>
          <w:iCs/>
          <w:snapToGrid w:val="0"/>
          <w:sz w:val="18"/>
          <w:szCs w:val="22"/>
        </w:rPr>
        <w:t>N = total participants in group</w:t>
      </w:r>
      <w:r w:rsidR="002A0149">
        <w:rPr>
          <w:rFonts w:ascii="Arial Narrow" w:eastAsia="Calibri" w:hAnsi="Arial Narrow"/>
          <w:iCs/>
          <w:snapToGrid w:val="0"/>
          <w:sz w:val="18"/>
          <w:szCs w:val="22"/>
        </w:rPr>
        <w:t>,</w:t>
      </w:r>
      <w:r w:rsidR="002A0149" w:rsidRPr="00243DE1">
        <w:rPr>
          <w:rFonts w:ascii="Arial Narrow" w:eastAsia="Calibri" w:hAnsi="Arial Narrow"/>
          <w:iCs/>
          <w:snapToGrid w:val="0"/>
          <w:sz w:val="18"/>
          <w:szCs w:val="22"/>
        </w:rPr>
        <w:t xml:space="preserve"> </w:t>
      </w:r>
      <w:r w:rsidRPr="00243DE1">
        <w:rPr>
          <w:rFonts w:ascii="Arial Narrow" w:eastAsia="Calibri" w:hAnsi="Arial Narrow"/>
          <w:iCs/>
          <w:snapToGrid w:val="0"/>
          <w:sz w:val="18"/>
          <w:szCs w:val="22"/>
        </w:rPr>
        <w:t>NR = not reported</w:t>
      </w:r>
      <w:r w:rsidR="002A0149">
        <w:rPr>
          <w:rFonts w:ascii="Arial Narrow" w:eastAsia="Calibri" w:hAnsi="Arial Narrow"/>
          <w:iCs/>
          <w:snapToGrid w:val="0"/>
          <w:sz w:val="18"/>
          <w:szCs w:val="22"/>
        </w:rPr>
        <w:t>,</w:t>
      </w:r>
      <w:r w:rsidR="002A0149" w:rsidRPr="00243DE1">
        <w:rPr>
          <w:rFonts w:ascii="Arial Narrow" w:eastAsia="Calibri" w:hAnsi="Arial Narrow"/>
          <w:iCs/>
          <w:snapToGrid w:val="0"/>
          <w:sz w:val="18"/>
          <w:szCs w:val="22"/>
        </w:rPr>
        <w:t xml:space="preserve"> </w:t>
      </w:r>
      <w:r w:rsidRPr="00243DE1">
        <w:rPr>
          <w:rFonts w:ascii="Arial Narrow" w:eastAsia="Calibri" w:hAnsi="Arial Narrow"/>
          <w:iCs/>
          <w:snapToGrid w:val="0"/>
          <w:sz w:val="18"/>
          <w:szCs w:val="22"/>
        </w:rPr>
        <w:t>P</w:t>
      </w:r>
      <w:r w:rsidR="00AF3BE0">
        <w:rPr>
          <w:rFonts w:ascii="Arial Narrow" w:eastAsia="Calibri" w:hAnsi="Arial Narrow"/>
          <w:iCs/>
          <w:snapToGrid w:val="0"/>
          <w:sz w:val="18"/>
          <w:szCs w:val="22"/>
        </w:rPr>
        <w:t>tz</w:t>
      </w:r>
      <w:r w:rsidRPr="00243DE1">
        <w:rPr>
          <w:rFonts w:ascii="Arial Narrow" w:eastAsia="Calibri" w:hAnsi="Arial Narrow"/>
          <w:iCs/>
          <w:snapToGrid w:val="0"/>
          <w:sz w:val="18"/>
          <w:szCs w:val="22"/>
        </w:rPr>
        <w:t xml:space="preserve"> = pertuzumab, RR = rate ratio</w:t>
      </w:r>
      <w:r w:rsidR="002A0149">
        <w:rPr>
          <w:rFonts w:ascii="Arial Narrow" w:eastAsia="Calibri" w:hAnsi="Arial Narrow"/>
          <w:iCs/>
          <w:snapToGrid w:val="0"/>
          <w:sz w:val="18"/>
          <w:szCs w:val="22"/>
        </w:rPr>
        <w:t>,</w:t>
      </w:r>
      <w:r w:rsidR="002A0149" w:rsidRPr="00243DE1">
        <w:rPr>
          <w:rFonts w:ascii="Arial Narrow" w:eastAsia="Calibri" w:hAnsi="Arial Narrow"/>
          <w:iCs/>
          <w:snapToGrid w:val="0"/>
          <w:sz w:val="18"/>
          <w:szCs w:val="22"/>
        </w:rPr>
        <w:t xml:space="preserve"> </w:t>
      </w:r>
      <w:r w:rsidRPr="00243DE1">
        <w:rPr>
          <w:rFonts w:ascii="Arial Narrow" w:eastAsia="Calibri" w:hAnsi="Arial Narrow"/>
          <w:iCs/>
          <w:snapToGrid w:val="0"/>
          <w:sz w:val="18"/>
          <w:szCs w:val="22"/>
        </w:rPr>
        <w:t>T = trastuzumab</w:t>
      </w:r>
    </w:p>
    <w:p w:rsidR="00872AAD" w:rsidRDefault="00872AAD" w:rsidP="00872AAD">
      <w:pPr>
        <w:spacing w:after="240"/>
        <w:contextualSpacing/>
        <w:rPr>
          <w:rFonts w:ascii="Arial Narrow" w:eastAsia="Calibri" w:hAnsi="Arial Narrow"/>
          <w:iCs/>
          <w:snapToGrid w:val="0"/>
          <w:sz w:val="18"/>
          <w:szCs w:val="22"/>
        </w:rPr>
      </w:pPr>
      <w:r w:rsidRPr="00243DE1">
        <w:rPr>
          <w:rFonts w:ascii="Arial Narrow" w:eastAsia="Calibri" w:hAnsi="Arial Narrow"/>
          <w:b/>
          <w:iCs/>
          <w:snapToGrid w:val="0"/>
          <w:sz w:val="18"/>
          <w:szCs w:val="22"/>
        </w:rPr>
        <w:t>Bold</w:t>
      </w:r>
      <w:r w:rsidRPr="00243DE1">
        <w:rPr>
          <w:rFonts w:ascii="Arial Narrow" w:eastAsia="Calibri" w:hAnsi="Arial Narrow"/>
          <w:iCs/>
          <w:snapToGrid w:val="0"/>
          <w:sz w:val="18"/>
          <w:szCs w:val="22"/>
        </w:rPr>
        <w:t xml:space="preserve"> indicates statistically significant results.</w:t>
      </w:r>
    </w:p>
    <w:p w:rsidR="00B9799D" w:rsidRDefault="00B9799D" w:rsidP="00872AAD">
      <w:pPr>
        <w:spacing w:after="240"/>
        <w:contextualSpacing/>
        <w:rPr>
          <w:rFonts w:ascii="Arial Narrow" w:eastAsia="Calibri" w:hAnsi="Arial Narrow"/>
          <w:iCs/>
          <w:snapToGrid w:val="0"/>
          <w:sz w:val="18"/>
          <w:szCs w:val="22"/>
        </w:rPr>
      </w:pPr>
      <w:r>
        <w:rPr>
          <w:rFonts w:ascii="Arial Narrow" w:eastAsia="Calibri" w:hAnsi="Arial Narrow"/>
          <w:iCs/>
          <w:snapToGrid w:val="0"/>
          <w:sz w:val="18"/>
          <w:szCs w:val="22"/>
        </w:rPr>
        <w:t>* Number at risk</w:t>
      </w:r>
    </w:p>
    <w:p w:rsidR="00872AAD" w:rsidRPr="00243DE1" w:rsidRDefault="00872AAD" w:rsidP="00872AAD">
      <w:pPr>
        <w:spacing w:after="240"/>
        <w:contextualSpacing/>
        <w:rPr>
          <w:rFonts w:ascii="Arial Narrow" w:eastAsia="Calibri" w:hAnsi="Arial Narrow"/>
          <w:iCs/>
          <w:snapToGrid w:val="0"/>
          <w:sz w:val="18"/>
          <w:szCs w:val="22"/>
        </w:rPr>
      </w:pPr>
      <w:r w:rsidRPr="00243DE1">
        <w:rPr>
          <w:rFonts w:ascii="Arial Narrow" w:eastAsia="Calibri" w:hAnsi="Arial Narrow"/>
          <w:iCs/>
          <w:snapToGrid w:val="0"/>
          <w:sz w:val="18"/>
          <w:szCs w:val="22"/>
        </w:rPr>
        <w:t xml:space="preserve">Note 1: Neoadjuvant treatment evaluated: </w:t>
      </w:r>
    </w:p>
    <w:p w:rsidR="00872AAD" w:rsidRPr="00243DE1" w:rsidRDefault="00872AAD" w:rsidP="00872AAD">
      <w:pPr>
        <w:spacing w:after="240"/>
        <w:contextualSpacing/>
        <w:rPr>
          <w:rFonts w:ascii="Arial Narrow" w:eastAsia="Calibri" w:hAnsi="Arial Narrow"/>
          <w:iCs/>
          <w:snapToGrid w:val="0"/>
          <w:sz w:val="18"/>
          <w:szCs w:val="22"/>
        </w:rPr>
      </w:pPr>
      <w:r w:rsidRPr="00243DE1">
        <w:rPr>
          <w:rFonts w:ascii="Arial Narrow" w:eastAsia="Calibri" w:hAnsi="Arial Narrow"/>
          <w:iCs/>
          <w:snapToGrid w:val="0"/>
          <w:sz w:val="18"/>
          <w:szCs w:val="22"/>
        </w:rPr>
        <w:t xml:space="preserve">NEOSPHERE: </w:t>
      </w:r>
      <w:r w:rsidR="00BD26D5">
        <w:rPr>
          <w:rFonts w:ascii="Arial Narrow" w:eastAsia="Calibri" w:hAnsi="Arial Narrow"/>
          <w:iCs/>
          <w:snapToGrid w:val="0"/>
          <w:sz w:val="18"/>
          <w:szCs w:val="22"/>
        </w:rPr>
        <w:t>Ptz</w:t>
      </w:r>
      <w:r w:rsidR="00AF3BE0">
        <w:rPr>
          <w:rFonts w:ascii="Arial Narrow" w:eastAsia="Calibri" w:hAnsi="Arial Narrow"/>
          <w:iCs/>
          <w:snapToGrid w:val="0"/>
          <w:sz w:val="18"/>
          <w:szCs w:val="22"/>
        </w:rPr>
        <w:t>+</w:t>
      </w:r>
      <w:r w:rsidRPr="00243DE1">
        <w:rPr>
          <w:rFonts w:ascii="Arial Narrow" w:eastAsia="Calibri" w:hAnsi="Arial Narrow"/>
          <w:iCs/>
          <w:snapToGrid w:val="0"/>
          <w:sz w:val="18"/>
          <w:szCs w:val="22"/>
        </w:rPr>
        <w:t>T+</w:t>
      </w:r>
      <w:r w:rsidR="00BD26D5">
        <w:rPr>
          <w:rFonts w:ascii="Arial Narrow" w:eastAsia="Calibri" w:hAnsi="Arial Narrow"/>
          <w:iCs/>
          <w:snapToGrid w:val="0"/>
          <w:sz w:val="18"/>
          <w:szCs w:val="22"/>
        </w:rPr>
        <w:t>D</w:t>
      </w:r>
      <w:r w:rsidRPr="00243DE1">
        <w:rPr>
          <w:rFonts w:ascii="Arial Narrow" w:eastAsia="Calibri" w:hAnsi="Arial Narrow"/>
          <w:iCs/>
          <w:snapToGrid w:val="0"/>
          <w:sz w:val="18"/>
          <w:szCs w:val="22"/>
        </w:rPr>
        <w:t xml:space="preserve"> x4 versus </w:t>
      </w:r>
      <w:r w:rsidR="00BD26D5">
        <w:rPr>
          <w:rFonts w:ascii="Arial Narrow" w:eastAsia="Calibri" w:hAnsi="Arial Narrow"/>
          <w:iCs/>
          <w:snapToGrid w:val="0"/>
          <w:sz w:val="18"/>
          <w:szCs w:val="22"/>
        </w:rPr>
        <w:t>Ptz+D</w:t>
      </w:r>
      <w:r w:rsidRPr="00243DE1">
        <w:rPr>
          <w:rFonts w:ascii="Arial Narrow" w:eastAsia="Calibri" w:hAnsi="Arial Narrow"/>
          <w:iCs/>
          <w:snapToGrid w:val="0"/>
          <w:sz w:val="18"/>
          <w:szCs w:val="22"/>
        </w:rPr>
        <w:t xml:space="preserve"> x4; </w:t>
      </w:r>
    </w:p>
    <w:p w:rsidR="00872AAD" w:rsidRPr="00243DE1" w:rsidRDefault="00872AAD" w:rsidP="00872AAD">
      <w:pPr>
        <w:spacing w:after="240"/>
        <w:contextualSpacing/>
        <w:rPr>
          <w:rFonts w:ascii="Arial Narrow" w:hAnsi="Arial Narrow"/>
          <w:iCs/>
          <w:snapToGrid w:val="0"/>
          <w:sz w:val="18"/>
          <w:szCs w:val="22"/>
        </w:rPr>
      </w:pPr>
      <w:r w:rsidRPr="00243DE1">
        <w:rPr>
          <w:rFonts w:ascii="Arial Narrow" w:eastAsia="Calibri" w:hAnsi="Arial Narrow"/>
          <w:iCs/>
          <w:snapToGrid w:val="0"/>
          <w:sz w:val="18"/>
          <w:szCs w:val="22"/>
        </w:rPr>
        <w:t xml:space="preserve">TRYPHAENA: </w:t>
      </w:r>
      <w:r w:rsidR="00BD26D5">
        <w:rPr>
          <w:rFonts w:ascii="Arial Narrow" w:eastAsia="Calibri" w:hAnsi="Arial Narrow"/>
          <w:iCs/>
          <w:snapToGrid w:val="0"/>
          <w:sz w:val="18"/>
          <w:szCs w:val="22"/>
        </w:rPr>
        <w:t>Ptz</w:t>
      </w:r>
      <w:r w:rsidR="00AF3BE0">
        <w:rPr>
          <w:rFonts w:ascii="Arial Narrow" w:eastAsia="Calibri" w:hAnsi="Arial Narrow"/>
          <w:iCs/>
          <w:snapToGrid w:val="0"/>
          <w:sz w:val="18"/>
          <w:szCs w:val="22"/>
        </w:rPr>
        <w:t>+</w:t>
      </w:r>
      <w:r w:rsidRPr="00243DE1">
        <w:rPr>
          <w:rFonts w:ascii="Arial Narrow" w:eastAsia="Calibri" w:hAnsi="Arial Narrow"/>
          <w:iCs/>
          <w:snapToGrid w:val="0"/>
          <w:sz w:val="18"/>
          <w:szCs w:val="22"/>
        </w:rPr>
        <w:t xml:space="preserve">T+FEC x3 → </w:t>
      </w:r>
      <w:r w:rsidR="00BD26D5">
        <w:rPr>
          <w:rFonts w:ascii="Arial Narrow" w:eastAsia="Calibri" w:hAnsi="Arial Narrow"/>
          <w:iCs/>
          <w:snapToGrid w:val="0"/>
          <w:sz w:val="18"/>
          <w:szCs w:val="22"/>
        </w:rPr>
        <w:t>Ptz</w:t>
      </w:r>
      <w:r w:rsidR="000445BF">
        <w:rPr>
          <w:rFonts w:ascii="Arial Narrow" w:eastAsia="Calibri" w:hAnsi="Arial Narrow"/>
          <w:iCs/>
          <w:snapToGrid w:val="0"/>
          <w:sz w:val="18"/>
          <w:szCs w:val="22"/>
        </w:rPr>
        <w:t>+</w:t>
      </w:r>
      <w:r w:rsidRPr="00243DE1">
        <w:rPr>
          <w:rFonts w:ascii="Arial Narrow" w:eastAsia="Calibri" w:hAnsi="Arial Narrow"/>
          <w:iCs/>
          <w:snapToGrid w:val="0"/>
          <w:sz w:val="18"/>
          <w:szCs w:val="22"/>
        </w:rPr>
        <w:t xml:space="preserve">T+ x3 in Arm A, </w:t>
      </w:r>
      <w:r w:rsidR="00BD26D5">
        <w:rPr>
          <w:rFonts w:ascii="Arial Narrow" w:eastAsia="Calibri" w:hAnsi="Arial Narrow"/>
          <w:iCs/>
          <w:snapToGrid w:val="0"/>
          <w:sz w:val="18"/>
          <w:szCs w:val="22"/>
        </w:rPr>
        <w:t>Ptz</w:t>
      </w:r>
      <w:r w:rsidR="000445BF">
        <w:rPr>
          <w:rFonts w:ascii="Arial Narrow" w:eastAsia="Calibri" w:hAnsi="Arial Narrow"/>
          <w:iCs/>
          <w:snapToGrid w:val="0"/>
          <w:sz w:val="18"/>
          <w:szCs w:val="22"/>
        </w:rPr>
        <w:t>+</w:t>
      </w:r>
      <w:r w:rsidRPr="00243DE1">
        <w:rPr>
          <w:rFonts w:ascii="Arial Narrow" w:eastAsia="Calibri" w:hAnsi="Arial Narrow"/>
          <w:iCs/>
          <w:snapToGrid w:val="0"/>
          <w:sz w:val="18"/>
          <w:szCs w:val="22"/>
        </w:rPr>
        <w:t>T+C+</w:t>
      </w:r>
      <w:r w:rsidR="00BD26D5">
        <w:rPr>
          <w:rFonts w:ascii="Arial Narrow" w:eastAsia="Calibri" w:hAnsi="Arial Narrow"/>
          <w:iCs/>
          <w:snapToGrid w:val="0"/>
          <w:sz w:val="18"/>
          <w:szCs w:val="22"/>
        </w:rPr>
        <w:t>D</w:t>
      </w:r>
      <w:r w:rsidRPr="00243DE1">
        <w:rPr>
          <w:rFonts w:ascii="Arial Narrow" w:eastAsia="Calibri" w:hAnsi="Arial Narrow"/>
          <w:iCs/>
          <w:snapToGrid w:val="0"/>
          <w:sz w:val="18"/>
          <w:szCs w:val="22"/>
        </w:rPr>
        <w:t xml:space="preserve"> x6 in Arm C (</w:t>
      </w:r>
      <w:r w:rsidRPr="00243DE1">
        <w:rPr>
          <w:rFonts w:ascii="Arial Narrow" w:hAnsi="Arial Narrow"/>
          <w:iCs/>
          <w:snapToGrid w:val="0"/>
          <w:sz w:val="18"/>
          <w:szCs w:val="22"/>
        </w:rPr>
        <w:t>FEC = 5-fluorouracil 500 mg/m</w:t>
      </w:r>
      <w:r w:rsidRPr="00243DE1">
        <w:rPr>
          <w:rFonts w:ascii="Arial Narrow" w:hAnsi="Arial Narrow"/>
          <w:iCs/>
          <w:snapToGrid w:val="0"/>
          <w:sz w:val="18"/>
          <w:szCs w:val="22"/>
          <w:vertAlign w:val="superscript"/>
        </w:rPr>
        <w:t>2</w:t>
      </w:r>
      <w:r w:rsidRPr="00243DE1">
        <w:rPr>
          <w:rFonts w:ascii="Arial Narrow" w:hAnsi="Arial Narrow"/>
          <w:iCs/>
          <w:snapToGrid w:val="0"/>
          <w:sz w:val="18"/>
          <w:szCs w:val="22"/>
        </w:rPr>
        <w:t>, epirubicin 100 mg/m</w:t>
      </w:r>
      <w:r w:rsidRPr="00243DE1">
        <w:rPr>
          <w:rFonts w:ascii="Arial Narrow" w:hAnsi="Arial Narrow"/>
          <w:iCs/>
          <w:snapToGrid w:val="0"/>
          <w:sz w:val="18"/>
          <w:szCs w:val="22"/>
          <w:vertAlign w:val="superscript"/>
        </w:rPr>
        <w:t>2</w:t>
      </w:r>
      <w:r w:rsidRPr="00243DE1">
        <w:rPr>
          <w:rFonts w:ascii="Arial Narrow" w:hAnsi="Arial Narrow"/>
          <w:iCs/>
          <w:snapToGrid w:val="0"/>
          <w:sz w:val="18"/>
          <w:szCs w:val="22"/>
        </w:rPr>
        <w:t xml:space="preserve"> and cyclophosphamide 600 mg/m</w:t>
      </w:r>
      <w:r w:rsidRPr="00243DE1">
        <w:rPr>
          <w:rFonts w:ascii="Arial Narrow" w:hAnsi="Arial Narrow"/>
          <w:iCs/>
          <w:snapToGrid w:val="0"/>
          <w:sz w:val="18"/>
          <w:szCs w:val="22"/>
          <w:vertAlign w:val="superscript"/>
        </w:rPr>
        <w:t>2</w:t>
      </w:r>
      <w:r w:rsidRPr="00243DE1">
        <w:rPr>
          <w:rFonts w:ascii="Arial Narrow" w:hAnsi="Arial Narrow"/>
          <w:iCs/>
          <w:snapToGrid w:val="0"/>
          <w:sz w:val="18"/>
          <w:szCs w:val="22"/>
        </w:rPr>
        <w:t>).</w:t>
      </w:r>
    </w:p>
    <w:p w:rsidR="00872AAD" w:rsidRDefault="00872AAD" w:rsidP="00872AAD">
      <w:pPr>
        <w:spacing w:after="240"/>
        <w:contextualSpacing/>
        <w:rPr>
          <w:rFonts w:ascii="Arial Narrow" w:hAnsi="Arial Narrow"/>
          <w:iCs/>
          <w:snapToGrid w:val="0"/>
          <w:sz w:val="18"/>
          <w:szCs w:val="22"/>
        </w:rPr>
      </w:pPr>
      <w:r w:rsidRPr="00243DE1">
        <w:rPr>
          <w:rFonts w:ascii="Arial Narrow" w:eastAsia="Calibri" w:hAnsi="Arial Narrow"/>
          <w:iCs/>
          <w:snapToGrid w:val="0"/>
          <w:sz w:val="18"/>
          <w:szCs w:val="22"/>
        </w:rPr>
        <w:t xml:space="preserve">Note 2: </w:t>
      </w:r>
      <w:r w:rsidRPr="00243DE1">
        <w:rPr>
          <w:rFonts w:ascii="Arial Narrow" w:hAnsi="Arial Narrow"/>
          <w:iCs/>
          <w:snapToGrid w:val="0"/>
          <w:sz w:val="18"/>
          <w:szCs w:val="22"/>
        </w:rPr>
        <w:t xml:space="preserve">the submission reported that the 5-year DFS survival rate for Arm C </w:t>
      </w:r>
      <w:proofErr w:type="gramStart"/>
      <w:r w:rsidRPr="00243DE1">
        <w:rPr>
          <w:rFonts w:ascii="Arial Narrow" w:hAnsi="Arial Narrow"/>
          <w:iCs/>
          <w:snapToGrid w:val="0"/>
          <w:sz w:val="18"/>
          <w:szCs w:val="22"/>
        </w:rPr>
        <w:t>was not reported</w:t>
      </w:r>
      <w:proofErr w:type="gramEnd"/>
      <w:r w:rsidRPr="00243DE1">
        <w:rPr>
          <w:rFonts w:ascii="Arial Narrow" w:hAnsi="Arial Narrow"/>
          <w:iCs/>
          <w:snapToGrid w:val="0"/>
          <w:sz w:val="18"/>
          <w:szCs w:val="22"/>
        </w:rPr>
        <w:t xml:space="preserve"> because </w:t>
      </w:r>
      <w:r>
        <w:rPr>
          <w:rFonts w:ascii="Arial Narrow" w:hAnsi="Arial Narrow"/>
          <w:iCs/>
          <w:snapToGrid w:val="0"/>
          <w:sz w:val="18"/>
          <w:szCs w:val="22"/>
        </w:rPr>
        <w:t>most</w:t>
      </w:r>
      <w:r w:rsidRPr="00243DE1">
        <w:rPr>
          <w:rFonts w:ascii="Arial Narrow" w:hAnsi="Arial Narrow"/>
          <w:iCs/>
          <w:snapToGrid w:val="0"/>
          <w:sz w:val="18"/>
          <w:szCs w:val="22"/>
        </w:rPr>
        <w:t xml:space="preserve"> patients had not reached the time point at the end of the study (Table 2.45, pp84-85 of the submission).</w:t>
      </w:r>
    </w:p>
    <w:p w:rsidR="00872AAD" w:rsidRDefault="00872AAD" w:rsidP="00872AAD">
      <w:pPr>
        <w:pStyle w:val="TableFigureHeading"/>
      </w:pPr>
      <w:bookmarkStart w:id="25" w:name="_Ref33607176"/>
      <w:r>
        <w:lastRenderedPageBreak/>
        <w:t xml:space="preserve">Figure </w:t>
      </w:r>
      <w:r w:rsidR="00550A5E">
        <w:rPr>
          <w:noProof/>
        </w:rPr>
        <w:t>2</w:t>
      </w:r>
      <w:bookmarkEnd w:id="25"/>
      <w:r w:rsidR="000D09D2">
        <w:t>:</w:t>
      </w:r>
      <w:r>
        <w:t xml:space="preserve"> Kaplan-Meier estimates of progression-free survival by treatment arm in NEOSPHERE (ITT) population</w:t>
      </w:r>
    </w:p>
    <w:p w:rsidR="00872AAD" w:rsidRPr="00E70EC3" w:rsidRDefault="00872AAD" w:rsidP="000D09D2">
      <w:pPr>
        <w:spacing w:after="120"/>
        <w:contextualSpacing/>
        <w:rPr>
          <w:rStyle w:val="TableFigureFooterChar"/>
          <w:rFonts w:eastAsia="Calibri"/>
        </w:rPr>
      </w:pPr>
      <w:r>
        <w:rPr>
          <w:rFonts w:eastAsia="Calibri"/>
          <w:noProof/>
        </w:rPr>
        <w:drawing>
          <wp:inline distT="0" distB="0" distL="0" distR="0" wp14:anchorId="576FB5C0" wp14:editId="739C7664">
            <wp:extent cx="5531145" cy="3255533"/>
            <wp:effectExtent l="19050" t="19050" r="12700" b="21590"/>
            <wp:docPr id="16" name="Picture 16" title="Figure 2: Kaplan-Meier estimates of progression-free survival by treatment arm in NEOSPHER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9507" cy="3260455"/>
                    </a:xfrm>
                    <a:prstGeom prst="rect">
                      <a:avLst/>
                    </a:prstGeom>
                    <a:noFill/>
                    <a:ln w="3175">
                      <a:solidFill>
                        <a:sysClr val="windowText" lastClr="000000"/>
                      </a:solidFill>
                    </a:ln>
                  </pic:spPr>
                </pic:pic>
              </a:graphicData>
            </a:graphic>
          </wp:inline>
        </w:drawing>
      </w:r>
      <w:r w:rsidRPr="00E70EC3">
        <w:rPr>
          <w:rStyle w:val="TableFigureFooterChar"/>
          <w:rFonts w:eastAsia="Calibri"/>
        </w:rPr>
        <w:t>Source: Figure 2.4, p59 of the submission.</w:t>
      </w:r>
    </w:p>
    <w:p w:rsidR="00872AAD" w:rsidRPr="00140FC0" w:rsidRDefault="00872AAD" w:rsidP="002560EB">
      <w:pPr>
        <w:pStyle w:val="3-BodyText"/>
        <w:rPr>
          <w:iCs/>
          <w:snapToGrid/>
          <w:lang w:val="en-US"/>
        </w:rPr>
      </w:pPr>
      <w:proofErr w:type="gramStart"/>
      <w:r w:rsidRPr="006A526E">
        <w:rPr>
          <w:snapToGrid/>
          <w:lang w:val="en-US"/>
        </w:rPr>
        <w:t>The submission claimed that the data from NEOSPHERE demonstrated that in the proposed population</w:t>
      </w:r>
      <w:r w:rsidRPr="006A526E">
        <w:rPr>
          <w:lang w:val="en-US"/>
        </w:rPr>
        <w:t xml:space="preserve"> using four cycles</w:t>
      </w:r>
      <w:r w:rsidR="00792648" w:rsidRPr="006A526E">
        <w:rPr>
          <w:lang w:val="en-US"/>
        </w:rPr>
        <w:t xml:space="preserve"> of</w:t>
      </w:r>
      <w:r w:rsidRPr="006A526E">
        <w:rPr>
          <w:snapToGrid/>
          <w:lang w:val="en-US"/>
        </w:rPr>
        <w:t xml:space="preserve"> neoadjuvant </w:t>
      </w:r>
      <w:r w:rsidR="000445BF" w:rsidRPr="006A526E">
        <w:rPr>
          <w:snapToGrid/>
          <w:lang w:val="en-US"/>
        </w:rPr>
        <w:t>Ptz+T+</w:t>
      </w:r>
      <w:r w:rsidR="00792648" w:rsidRPr="006A526E">
        <w:rPr>
          <w:snapToGrid/>
          <w:lang w:val="en-US"/>
        </w:rPr>
        <w:t>D</w:t>
      </w:r>
      <w:r w:rsidRPr="006A526E">
        <w:rPr>
          <w:snapToGrid/>
          <w:lang w:val="en-US"/>
        </w:rPr>
        <w:t xml:space="preserve"> resulted in superior efficacy compared to </w:t>
      </w:r>
      <w:r w:rsidR="000445BF" w:rsidRPr="006A526E">
        <w:rPr>
          <w:snapToGrid/>
          <w:lang w:val="en-US"/>
        </w:rPr>
        <w:t>T+</w:t>
      </w:r>
      <w:r w:rsidR="00792648" w:rsidRPr="006A526E">
        <w:rPr>
          <w:snapToGrid/>
          <w:lang w:val="en-US"/>
        </w:rPr>
        <w:t>D</w:t>
      </w:r>
      <w:r w:rsidR="000A5721">
        <w:rPr>
          <w:snapToGrid/>
          <w:lang w:val="en-US"/>
        </w:rPr>
        <w:t xml:space="preserve"> on the basis</w:t>
      </w:r>
      <w:r w:rsidR="00344028" w:rsidRPr="006A526E">
        <w:rPr>
          <w:snapToGrid/>
          <w:lang w:val="en-US"/>
        </w:rPr>
        <w:t xml:space="preserve"> that </w:t>
      </w:r>
      <w:r w:rsidR="006F42A3">
        <w:rPr>
          <w:snapToGrid/>
          <w:lang w:val="en-US"/>
        </w:rPr>
        <w:t>“</w:t>
      </w:r>
      <w:r w:rsidR="00344028" w:rsidRPr="006A526E">
        <w:rPr>
          <w:snapToGrid/>
          <w:lang w:val="en-US"/>
        </w:rPr>
        <w:t>Ptz+T+</w:t>
      </w:r>
      <w:r w:rsidR="006F42A3">
        <w:rPr>
          <w:snapToGrid/>
          <w:lang w:val="en-US"/>
        </w:rPr>
        <w:t>Chemo led to</w:t>
      </w:r>
      <w:r w:rsidRPr="006A526E">
        <w:rPr>
          <w:snapToGrid/>
          <w:lang w:val="en-US"/>
        </w:rPr>
        <w:t xml:space="preserve"> a statistically significant and clinically meaningful improvement in pCR, with a difference of 16.8% (95% CI 3.5%, 30.1%) exceeding the proposed Minimal Clinically Important Difference (MCID) of 15% (p=0.0141)” (p84 of the submission).</w:t>
      </w:r>
      <w:proofErr w:type="gramEnd"/>
      <w:r w:rsidRPr="006A526E">
        <w:rPr>
          <w:snapToGrid/>
          <w:lang w:val="en-US"/>
        </w:rPr>
        <w:t xml:space="preserve"> The analysis of tpCR, as recommended by the FDA and the EMA, also demonstrated a statistically significant and clinically meaningful improvement in pCR, with a difference of 17.8% (95% CI </w:t>
      </w:r>
      <w:r w:rsidRPr="00140FC0">
        <w:rPr>
          <w:snapToGrid/>
          <w:lang w:val="en-US"/>
        </w:rPr>
        <w:t xml:space="preserve">4.6%, 31.0%) (p=0.008). </w:t>
      </w:r>
      <w:r w:rsidR="00695C16" w:rsidRPr="00140FC0">
        <w:rPr>
          <w:snapToGrid/>
          <w:lang w:val="en-US"/>
        </w:rPr>
        <w:t>The ESC noted that there was</w:t>
      </w:r>
      <w:r w:rsidR="00C40A84" w:rsidRPr="00140FC0">
        <w:rPr>
          <w:snapToGrid/>
          <w:lang w:val="en-US"/>
        </w:rPr>
        <w:t xml:space="preserve"> limited justification provided</w:t>
      </w:r>
      <w:r w:rsidR="00695C16" w:rsidRPr="00140FC0">
        <w:rPr>
          <w:snapToGrid/>
          <w:lang w:val="en-US"/>
        </w:rPr>
        <w:t xml:space="preserve"> for the MCID of 15% and considered that the improvement in pCR may not be </w:t>
      </w:r>
      <w:r w:rsidR="00C40A84" w:rsidRPr="00140FC0">
        <w:rPr>
          <w:snapToGrid/>
          <w:lang w:val="en-US"/>
        </w:rPr>
        <w:t>clinically meaningful</w:t>
      </w:r>
      <w:r w:rsidR="008D7559" w:rsidRPr="00140FC0">
        <w:rPr>
          <w:snapToGrid/>
          <w:lang w:val="en-US"/>
        </w:rPr>
        <w:t>, especially with the availability of T-DM1 in the adjuvant setting for patients without a pCR</w:t>
      </w:r>
      <w:r w:rsidR="00513748" w:rsidRPr="00140FC0">
        <w:rPr>
          <w:snapToGrid/>
          <w:lang w:val="en-US"/>
        </w:rPr>
        <w:t xml:space="preserve">. </w:t>
      </w:r>
    </w:p>
    <w:p w:rsidR="008D7559" w:rsidRPr="00140FC0" w:rsidRDefault="008D7559" w:rsidP="002560EB">
      <w:pPr>
        <w:pStyle w:val="3-BodyText"/>
        <w:rPr>
          <w:iCs/>
          <w:snapToGrid/>
          <w:lang w:val="en-US"/>
        </w:rPr>
      </w:pPr>
      <w:r w:rsidRPr="00140FC0">
        <w:rPr>
          <w:snapToGrid/>
          <w:lang w:val="en-US"/>
        </w:rPr>
        <w:t xml:space="preserve">The ESC noted that the bpCR rate for the pertuzumab arm in NEOSPHERE (45.8%) was similar to pCR rates in trials </w:t>
      </w:r>
      <w:r w:rsidR="00BE7EBB">
        <w:rPr>
          <w:snapToGrid/>
          <w:lang w:val="en-US"/>
        </w:rPr>
        <w:t>with</w:t>
      </w:r>
      <w:r w:rsidR="006F42A3" w:rsidRPr="00140FC0">
        <w:rPr>
          <w:snapToGrid/>
          <w:lang w:val="en-US"/>
        </w:rPr>
        <w:t xml:space="preserve"> anthracycline</w:t>
      </w:r>
      <w:r w:rsidR="00E84964" w:rsidRPr="00140FC0">
        <w:rPr>
          <w:snapToGrid/>
          <w:lang w:val="en-US"/>
        </w:rPr>
        <w:t>s</w:t>
      </w:r>
      <w:r w:rsidR="00BE7EBB">
        <w:rPr>
          <w:snapToGrid/>
          <w:lang w:val="en-US"/>
        </w:rPr>
        <w:t xml:space="preserve"> but no pertuzumab</w:t>
      </w:r>
      <w:r w:rsidR="006F42A3" w:rsidRPr="00140FC0">
        <w:rPr>
          <w:snapToGrid/>
          <w:lang w:val="en-US"/>
        </w:rPr>
        <w:t xml:space="preserve"> in the neoadjuvant setting</w:t>
      </w:r>
      <w:r w:rsidRPr="00140FC0">
        <w:rPr>
          <w:snapToGrid/>
          <w:lang w:val="en-US"/>
        </w:rPr>
        <w:t xml:space="preserve"> </w:t>
      </w:r>
      <w:r w:rsidR="00BE7EBB">
        <w:rPr>
          <w:snapToGrid/>
          <w:lang w:val="en-US"/>
        </w:rPr>
        <w:t>(</w:t>
      </w:r>
      <w:r w:rsidRPr="00140FC0">
        <w:rPr>
          <w:snapToGrid/>
          <w:lang w:val="en-US"/>
        </w:rPr>
        <w:t>45-55%</w:t>
      </w:r>
      <w:r w:rsidRPr="00140FC0">
        <w:rPr>
          <w:rStyle w:val="FootnoteReference"/>
          <w:snapToGrid/>
          <w:lang w:val="en-US"/>
        </w:rPr>
        <w:footnoteReference w:id="7"/>
      </w:r>
      <w:r w:rsidRPr="00140FC0">
        <w:rPr>
          <w:snapToGrid/>
          <w:vertAlign w:val="superscript"/>
          <w:lang w:val="en-US"/>
        </w:rPr>
        <w:t>,</w:t>
      </w:r>
      <w:r w:rsidRPr="00140FC0">
        <w:rPr>
          <w:rStyle w:val="FootnoteReference"/>
          <w:snapToGrid/>
          <w:lang w:val="en-US"/>
        </w:rPr>
        <w:footnoteReference w:id="8"/>
      </w:r>
      <w:r w:rsidR="00BE7EBB" w:rsidRPr="00BE7EBB">
        <w:rPr>
          <w:snapToGrid/>
          <w:lang w:val="en-US"/>
        </w:rPr>
        <w:t>)</w:t>
      </w:r>
      <w:r w:rsidR="006F42A3" w:rsidRPr="00140FC0">
        <w:rPr>
          <w:snapToGrid/>
          <w:lang w:val="en-US"/>
        </w:rPr>
        <w:t>. This suggests that pertuzumab may not be contributing to an increase in pCR rates above that achieved with the use of neoadjuvant anthracyclines</w:t>
      </w:r>
      <w:r w:rsidRPr="00140FC0">
        <w:rPr>
          <w:snapToGrid/>
          <w:lang w:val="en-US"/>
        </w:rPr>
        <w:t>.</w:t>
      </w:r>
    </w:p>
    <w:p w:rsidR="00513748" w:rsidRPr="00513748" w:rsidRDefault="00872AAD" w:rsidP="00513748">
      <w:pPr>
        <w:pStyle w:val="3-BodyText"/>
        <w:rPr>
          <w:iCs/>
          <w:snapToGrid/>
          <w:lang w:val="en-US"/>
        </w:rPr>
      </w:pPr>
      <w:r w:rsidRPr="006A526E">
        <w:rPr>
          <w:snapToGrid/>
          <w:lang w:val="en-US"/>
        </w:rPr>
        <w:lastRenderedPageBreak/>
        <w:t xml:space="preserve">The submission also reported that the PFS and DFS results </w:t>
      </w:r>
      <w:r w:rsidR="00B22895" w:rsidRPr="006A526E">
        <w:rPr>
          <w:snapToGrid/>
          <w:lang w:val="en-US"/>
        </w:rPr>
        <w:t xml:space="preserve">from NEOSPHERE </w:t>
      </w:r>
      <w:r w:rsidRPr="006A526E">
        <w:rPr>
          <w:snapToGrid/>
          <w:lang w:val="en-US"/>
        </w:rPr>
        <w:t xml:space="preserve">were supportive of the benefit of </w:t>
      </w:r>
      <w:r w:rsidR="00344028" w:rsidRPr="006A526E">
        <w:rPr>
          <w:snapToGrid/>
          <w:lang w:val="en-US"/>
        </w:rPr>
        <w:t>Ptz+T+D</w:t>
      </w:r>
      <w:r w:rsidRPr="006A526E">
        <w:rPr>
          <w:snapToGrid/>
          <w:lang w:val="en-US"/>
        </w:rPr>
        <w:t xml:space="preserve"> and an association between the clinically significant improvement in pCR and better long-term efficacy outcomes. In addition, the </w:t>
      </w:r>
      <w:r w:rsidRPr="006A526E">
        <w:rPr>
          <w:lang w:val="en-US"/>
        </w:rPr>
        <w:t xml:space="preserve">submission noted an </w:t>
      </w:r>
      <w:r w:rsidRPr="006A526E">
        <w:rPr>
          <w:snapToGrid/>
          <w:lang w:val="en-US"/>
        </w:rPr>
        <w:t xml:space="preserve">improved PFS and DFS after 5-year follow-up suggested a “persistent therapeutic effect” of the neoadjuvant treatment with </w:t>
      </w:r>
      <w:r w:rsidR="00344028" w:rsidRPr="006A526E">
        <w:rPr>
          <w:snapToGrid/>
          <w:lang w:val="en-US"/>
        </w:rPr>
        <w:t>Ptz+T+D</w:t>
      </w:r>
      <w:r w:rsidRPr="006A526E">
        <w:rPr>
          <w:snapToGrid/>
          <w:lang w:val="en-US"/>
        </w:rPr>
        <w:t xml:space="preserve"> (p84 of the submission). </w:t>
      </w:r>
      <w:proofErr w:type="gramStart"/>
      <w:r w:rsidR="00B22895" w:rsidRPr="006A526E">
        <w:rPr>
          <w:iCs/>
          <w:snapToGrid/>
          <w:lang w:val="en-US"/>
        </w:rPr>
        <w:t>This claim is not supported by the evidence presented</w:t>
      </w:r>
      <w:proofErr w:type="gramEnd"/>
      <w:r w:rsidR="00B22895" w:rsidRPr="006A526E">
        <w:rPr>
          <w:iCs/>
          <w:snapToGrid/>
          <w:lang w:val="en-US"/>
        </w:rPr>
        <w:t xml:space="preserve">. </w:t>
      </w:r>
      <w:r w:rsidR="00515152" w:rsidRPr="006A526E">
        <w:rPr>
          <w:iCs/>
          <w:snapToGrid/>
          <w:lang w:val="en-US"/>
        </w:rPr>
        <w:t xml:space="preserve">The </w:t>
      </w:r>
      <w:r w:rsidRPr="006A526E">
        <w:rPr>
          <w:iCs/>
          <w:snapToGrid/>
          <w:lang w:val="en-US"/>
        </w:rPr>
        <w:t>PFS and DFS were not statistically significant</w:t>
      </w:r>
      <w:r w:rsidR="00E84964">
        <w:rPr>
          <w:iCs/>
          <w:snapToGrid/>
          <w:lang w:val="en-US"/>
        </w:rPr>
        <w:t xml:space="preserve"> </w:t>
      </w:r>
      <w:r w:rsidR="008D7559">
        <w:rPr>
          <w:iCs/>
          <w:snapToGrid/>
          <w:lang w:val="en-US"/>
        </w:rPr>
        <w:t>with</w:t>
      </w:r>
      <w:r w:rsidRPr="006A526E">
        <w:rPr>
          <w:iCs/>
          <w:snapToGrid/>
          <w:lang w:val="en-US"/>
        </w:rPr>
        <w:t xml:space="preserve"> hazard ratios </w:t>
      </w:r>
      <w:r w:rsidR="008D7559">
        <w:rPr>
          <w:iCs/>
          <w:snapToGrid/>
          <w:lang w:val="en-US"/>
        </w:rPr>
        <w:t>of</w:t>
      </w:r>
      <w:r w:rsidR="008D7559" w:rsidRPr="006A526E">
        <w:rPr>
          <w:iCs/>
          <w:snapToGrid/>
          <w:lang w:val="en-US"/>
        </w:rPr>
        <w:t xml:space="preserve"> </w:t>
      </w:r>
      <w:r w:rsidR="00515152" w:rsidRPr="006A526E">
        <w:rPr>
          <w:iCs/>
          <w:snapToGrid/>
          <w:lang w:val="en-US"/>
        </w:rPr>
        <w:t xml:space="preserve">0.69 </w:t>
      </w:r>
      <w:r w:rsidRPr="006A526E">
        <w:rPr>
          <w:iCs/>
          <w:snapToGrid/>
          <w:lang w:val="en-US"/>
        </w:rPr>
        <w:t>(</w:t>
      </w:r>
      <w:r w:rsidR="00515152" w:rsidRPr="006A526E">
        <w:rPr>
          <w:iCs/>
          <w:snapToGrid/>
          <w:lang w:val="en-US"/>
        </w:rPr>
        <w:t xml:space="preserve">95% CI </w:t>
      </w:r>
      <w:r w:rsidRPr="006A526E">
        <w:rPr>
          <w:iCs/>
          <w:snapToGrid/>
          <w:lang w:val="en-US"/>
        </w:rPr>
        <w:t xml:space="preserve">0.34, 1.40) and </w:t>
      </w:r>
      <w:r w:rsidR="00515152" w:rsidRPr="006A526E">
        <w:rPr>
          <w:iCs/>
          <w:snapToGrid/>
          <w:lang w:val="en-US"/>
        </w:rPr>
        <w:t xml:space="preserve">0.60 </w:t>
      </w:r>
      <w:r w:rsidRPr="006A526E">
        <w:rPr>
          <w:iCs/>
          <w:snapToGrid/>
          <w:lang w:val="en-US"/>
        </w:rPr>
        <w:t>(</w:t>
      </w:r>
      <w:r w:rsidR="00515152" w:rsidRPr="006A526E">
        <w:rPr>
          <w:iCs/>
          <w:snapToGrid/>
          <w:lang w:val="en-US"/>
        </w:rPr>
        <w:t xml:space="preserve">95% CI </w:t>
      </w:r>
      <w:r w:rsidRPr="006A526E">
        <w:rPr>
          <w:iCs/>
          <w:snapToGrid/>
          <w:lang w:val="en-US"/>
        </w:rPr>
        <w:t xml:space="preserve">0.28, 1.27) respectively. </w:t>
      </w:r>
      <w:r w:rsidR="00A11E3A" w:rsidRPr="006A526E" w:rsidDel="00A11E3A">
        <w:rPr>
          <w:iCs/>
          <w:snapToGrid/>
          <w:lang w:val="en-US"/>
        </w:rPr>
        <w:t xml:space="preserve"> </w:t>
      </w:r>
    </w:p>
    <w:p w:rsidR="00872AAD" w:rsidRPr="00140FC0" w:rsidRDefault="00872AAD" w:rsidP="00A32123">
      <w:pPr>
        <w:pStyle w:val="3-BodyText"/>
        <w:rPr>
          <w:color w:val="000000" w:themeColor="text1"/>
        </w:rPr>
      </w:pPr>
      <w:r w:rsidRPr="006A526E">
        <w:rPr>
          <w:snapToGrid/>
          <w:lang w:val="en-US"/>
        </w:rPr>
        <w:t xml:space="preserve">TRYPHAENA compared six cycles of </w:t>
      </w:r>
      <w:r w:rsidR="00344028" w:rsidRPr="006A526E">
        <w:rPr>
          <w:snapToGrid/>
          <w:lang w:val="en-US"/>
        </w:rPr>
        <w:t>Ptz+T</w:t>
      </w:r>
      <w:r w:rsidRPr="006A526E">
        <w:rPr>
          <w:snapToGrid/>
          <w:lang w:val="en-US"/>
        </w:rPr>
        <w:t xml:space="preserve"> with anthracycline-based versus carboplatin-based neoadjuvant chemotherapy regimens. The submission reported</w:t>
      </w:r>
      <w:r w:rsidRPr="00E70EC3">
        <w:rPr>
          <w:snapToGrid/>
          <w:lang w:val="en-US"/>
        </w:rPr>
        <w:t xml:space="preserve"> </w:t>
      </w:r>
      <w:r w:rsidRPr="006A526E">
        <w:rPr>
          <w:snapToGrid/>
          <w:lang w:val="en-US"/>
        </w:rPr>
        <w:t xml:space="preserve">that the results of pCR (bpCR, tpCR) and longer-term survival outcomes (OS, PFS and DFS) supported the results observed in NEOSPHERE. </w:t>
      </w:r>
      <w:r w:rsidRPr="006A526E">
        <w:rPr>
          <w:iCs/>
          <w:snapToGrid/>
          <w:lang w:val="en-US"/>
        </w:rPr>
        <w:t xml:space="preserve">However, the use of survival outcomes in TRYPHAENA is limited because there was no comparative evidence of effectiveness of </w:t>
      </w:r>
      <w:r w:rsidR="00344028" w:rsidRPr="006A526E">
        <w:rPr>
          <w:iCs/>
          <w:snapToGrid/>
          <w:lang w:val="en-US"/>
        </w:rPr>
        <w:t>Ptz+T+Chemo</w:t>
      </w:r>
      <w:r w:rsidRPr="006A526E">
        <w:rPr>
          <w:iCs/>
          <w:snapToGrid/>
          <w:lang w:val="en-US"/>
        </w:rPr>
        <w:t xml:space="preserve"> vs. </w:t>
      </w:r>
      <w:r w:rsidR="00344028" w:rsidRPr="006A526E">
        <w:rPr>
          <w:iCs/>
          <w:snapToGrid/>
          <w:lang w:val="en-US"/>
        </w:rPr>
        <w:t>T+Chemo</w:t>
      </w:r>
      <w:r w:rsidRPr="006A526E">
        <w:rPr>
          <w:iCs/>
          <w:snapToGrid/>
          <w:lang w:val="en-US"/>
        </w:rPr>
        <w:t xml:space="preserve">. </w:t>
      </w:r>
      <w:r w:rsidRPr="006A526E">
        <w:rPr>
          <w:snapToGrid/>
          <w:lang w:val="en-US"/>
        </w:rPr>
        <w:t>The higher rates of bpCR and tpCR observed in TRYPHAENA</w:t>
      </w:r>
      <w:r w:rsidR="008221B0">
        <w:rPr>
          <w:snapToGrid/>
          <w:lang w:val="en-US"/>
        </w:rPr>
        <w:t xml:space="preserve"> compared with NEOSPHERE</w:t>
      </w:r>
      <w:r w:rsidRPr="006A526E">
        <w:rPr>
          <w:snapToGrid/>
          <w:lang w:val="en-US"/>
        </w:rPr>
        <w:t xml:space="preserve"> </w:t>
      </w:r>
      <w:proofErr w:type="gramStart"/>
      <w:r w:rsidRPr="006A526E">
        <w:rPr>
          <w:snapToGrid/>
          <w:lang w:val="en-US"/>
        </w:rPr>
        <w:t>could be attributed</w:t>
      </w:r>
      <w:proofErr w:type="gramEnd"/>
      <w:r w:rsidRPr="006A526E">
        <w:rPr>
          <w:snapToGrid/>
          <w:lang w:val="en-US"/>
        </w:rPr>
        <w:t xml:space="preserve"> to the use of six cycles of HER2 therapy, compared to four cycles in NEOSPHERE, as suggested in the submission (p65</w:t>
      </w:r>
      <w:r w:rsidRPr="006A526E">
        <w:rPr>
          <w:snapToGrid/>
          <w:color w:val="000000" w:themeColor="text1"/>
          <w:lang w:val="en-US"/>
        </w:rPr>
        <w:t xml:space="preserve">). </w:t>
      </w:r>
      <w:r w:rsidRPr="006A526E">
        <w:rPr>
          <w:iCs/>
          <w:snapToGrid/>
          <w:color w:val="000000" w:themeColor="text1"/>
          <w:lang w:val="en-US"/>
        </w:rPr>
        <w:t xml:space="preserve">The TGA considered </w:t>
      </w:r>
      <w:r w:rsidR="008221B0">
        <w:rPr>
          <w:iCs/>
          <w:snapToGrid/>
          <w:color w:val="000000" w:themeColor="text1"/>
          <w:lang w:val="en-US"/>
        </w:rPr>
        <w:t xml:space="preserve">the </w:t>
      </w:r>
      <w:r w:rsidR="000A0CDB">
        <w:rPr>
          <w:iCs/>
          <w:snapToGrid/>
          <w:color w:val="000000" w:themeColor="text1"/>
          <w:lang w:val="en-US"/>
        </w:rPr>
        <w:t>high</w:t>
      </w:r>
      <w:r w:rsidR="00737600">
        <w:rPr>
          <w:iCs/>
          <w:snapToGrid/>
          <w:color w:val="000000" w:themeColor="text1"/>
          <w:lang w:val="en-US"/>
        </w:rPr>
        <w:t>er</w:t>
      </w:r>
      <w:r w:rsidR="000A0CDB">
        <w:rPr>
          <w:iCs/>
          <w:snapToGrid/>
          <w:color w:val="000000" w:themeColor="text1"/>
          <w:lang w:val="en-US"/>
        </w:rPr>
        <w:t xml:space="preserve"> pCR rate</w:t>
      </w:r>
      <w:r w:rsidR="008221B0">
        <w:rPr>
          <w:iCs/>
          <w:snapToGrid/>
          <w:color w:val="000000" w:themeColor="text1"/>
          <w:lang w:val="en-US"/>
        </w:rPr>
        <w:t xml:space="preserve"> </w:t>
      </w:r>
      <w:r w:rsidR="000A0CDB">
        <w:rPr>
          <w:iCs/>
          <w:snapToGrid/>
          <w:color w:val="000000" w:themeColor="text1"/>
          <w:lang w:val="en-US"/>
        </w:rPr>
        <w:t>in TRYPHAENA</w:t>
      </w:r>
      <w:r w:rsidR="008221B0">
        <w:rPr>
          <w:iCs/>
          <w:snapToGrid/>
          <w:color w:val="000000" w:themeColor="text1"/>
          <w:lang w:val="en-US"/>
        </w:rPr>
        <w:t xml:space="preserve"> is</w:t>
      </w:r>
      <w:r w:rsidR="008221B0" w:rsidRPr="006A526E">
        <w:rPr>
          <w:iCs/>
          <w:snapToGrid/>
          <w:color w:val="000000" w:themeColor="text1"/>
          <w:lang w:val="en-US"/>
        </w:rPr>
        <w:t xml:space="preserve"> </w:t>
      </w:r>
      <w:r w:rsidRPr="006A526E">
        <w:rPr>
          <w:iCs/>
          <w:snapToGrid/>
          <w:color w:val="000000" w:themeColor="text1"/>
          <w:lang w:val="en-US"/>
        </w:rPr>
        <w:t>likely to be a result of combining polychemotherapy with the anti-HER2 therapies in the neoadjuvant setting</w:t>
      </w:r>
      <w:r w:rsidRPr="00140FC0">
        <w:rPr>
          <w:iCs/>
          <w:snapToGrid/>
          <w:color w:val="000000" w:themeColor="text1"/>
          <w:lang w:val="en-US"/>
        </w:rPr>
        <w:t>.</w:t>
      </w:r>
      <w:r w:rsidRPr="00140FC0">
        <w:rPr>
          <w:rStyle w:val="FootnoteReference"/>
          <w:iCs/>
          <w:snapToGrid/>
          <w:color w:val="000000" w:themeColor="text1"/>
          <w:lang w:val="en-US"/>
        </w:rPr>
        <w:footnoteReference w:id="9"/>
      </w:r>
      <w:r w:rsidR="0036403B" w:rsidRPr="00140FC0">
        <w:rPr>
          <w:iCs/>
          <w:snapToGrid/>
          <w:color w:val="000000" w:themeColor="text1"/>
          <w:lang w:val="en-US"/>
        </w:rPr>
        <w:t xml:space="preserve"> </w:t>
      </w:r>
      <w:r w:rsidR="00A32123" w:rsidRPr="00140FC0">
        <w:rPr>
          <w:iCs/>
          <w:snapToGrid/>
          <w:color w:val="000000" w:themeColor="text1"/>
          <w:lang w:val="en-US"/>
        </w:rPr>
        <w:t xml:space="preserve">The ESC agreed with the TGA comment and considered that the </w:t>
      </w:r>
      <w:r w:rsidR="00652047" w:rsidRPr="00140FC0">
        <w:rPr>
          <w:iCs/>
          <w:snapToGrid/>
          <w:color w:val="000000" w:themeColor="text1"/>
          <w:lang w:val="en-US"/>
        </w:rPr>
        <w:t>higher rates of pCR</w:t>
      </w:r>
      <w:r w:rsidR="00A32123" w:rsidRPr="00140FC0">
        <w:rPr>
          <w:iCs/>
          <w:snapToGrid/>
          <w:color w:val="000000" w:themeColor="text1"/>
          <w:lang w:val="en-US"/>
        </w:rPr>
        <w:t xml:space="preserve"> in TRYPHAENA</w:t>
      </w:r>
      <w:r w:rsidR="000A0CDB" w:rsidRPr="00140FC0">
        <w:rPr>
          <w:iCs/>
          <w:snapToGrid/>
          <w:color w:val="000000" w:themeColor="text1"/>
          <w:lang w:val="en-US"/>
        </w:rPr>
        <w:t xml:space="preserve"> compared with NEOSPHERE</w:t>
      </w:r>
      <w:r w:rsidR="00A32123" w:rsidRPr="00140FC0">
        <w:rPr>
          <w:iCs/>
          <w:snapToGrid/>
          <w:color w:val="000000" w:themeColor="text1"/>
          <w:lang w:val="en-US"/>
        </w:rPr>
        <w:t xml:space="preserve"> </w:t>
      </w:r>
      <w:proofErr w:type="gramStart"/>
      <w:r w:rsidR="00A32123" w:rsidRPr="00140FC0">
        <w:rPr>
          <w:iCs/>
          <w:snapToGrid/>
          <w:color w:val="000000" w:themeColor="text1"/>
          <w:lang w:val="en-US"/>
        </w:rPr>
        <w:t>may have been driven</w:t>
      </w:r>
      <w:proofErr w:type="gramEnd"/>
      <w:r w:rsidR="00A32123" w:rsidRPr="00140FC0">
        <w:rPr>
          <w:iCs/>
          <w:snapToGrid/>
          <w:color w:val="000000" w:themeColor="text1"/>
          <w:lang w:val="en-US"/>
        </w:rPr>
        <w:t xml:space="preserve"> by the inclusion of anthracycline</w:t>
      </w:r>
      <w:r w:rsidR="00BE7EBB">
        <w:rPr>
          <w:iCs/>
          <w:snapToGrid/>
          <w:color w:val="000000" w:themeColor="text1"/>
          <w:lang w:val="en-US"/>
        </w:rPr>
        <w:t>s in the neoadjuvant setting</w:t>
      </w:r>
      <w:r w:rsidR="00A32123" w:rsidRPr="00140FC0">
        <w:rPr>
          <w:iCs/>
          <w:snapToGrid/>
          <w:color w:val="000000" w:themeColor="text1"/>
          <w:lang w:val="en-US"/>
        </w:rPr>
        <w:t xml:space="preserve">. </w:t>
      </w:r>
    </w:p>
    <w:p w:rsidR="00872AAD" w:rsidRPr="006A526E" w:rsidRDefault="00872AAD" w:rsidP="002560EB">
      <w:pPr>
        <w:pStyle w:val="3-BodyText"/>
        <w:rPr>
          <w:color w:val="000000" w:themeColor="text1"/>
        </w:rPr>
      </w:pPr>
      <w:r w:rsidRPr="006A526E">
        <w:rPr>
          <w:snapToGrid/>
          <w:color w:val="000000" w:themeColor="text1"/>
          <w:lang w:val="en-US"/>
        </w:rPr>
        <w:t xml:space="preserve">The results of tpCR in PEONY were similar to those in NEOSPHERE. </w:t>
      </w:r>
      <w:proofErr w:type="gramStart"/>
      <w:r w:rsidRPr="006A526E">
        <w:rPr>
          <w:snapToGrid/>
          <w:color w:val="000000" w:themeColor="text1"/>
          <w:lang w:val="en-US"/>
        </w:rPr>
        <w:t>Significantly</w:t>
      </w:r>
      <w:proofErr w:type="gramEnd"/>
      <w:r w:rsidRPr="006A526E">
        <w:rPr>
          <w:snapToGrid/>
          <w:color w:val="000000" w:themeColor="text1"/>
          <w:lang w:val="en-US"/>
        </w:rPr>
        <w:t xml:space="preserve"> more patients achieved tpCR in the </w:t>
      </w:r>
      <w:r w:rsidR="00DF4159" w:rsidRPr="006A526E">
        <w:rPr>
          <w:snapToGrid/>
          <w:lang w:val="en-US"/>
        </w:rPr>
        <w:t>Ptz+T+D</w:t>
      </w:r>
      <w:r w:rsidRPr="006A526E">
        <w:rPr>
          <w:snapToGrid/>
          <w:color w:val="000000" w:themeColor="text1"/>
          <w:lang w:val="en-US"/>
        </w:rPr>
        <w:t xml:space="preserve"> group vs. the </w:t>
      </w:r>
      <w:r w:rsidR="004B3EA6" w:rsidRPr="006A526E">
        <w:rPr>
          <w:snapToGrid/>
          <w:lang w:val="en-US"/>
        </w:rPr>
        <w:t>T+D</w:t>
      </w:r>
      <w:r w:rsidRPr="006A526E">
        <w:rPr>
          <w:snapToGrid/>
          <w:lang w:val="en-US"/>
        </w:rPr>
        <w:t xml:space="preserve"> </w:t>
      </w:r>
      <w:r w:rsidRPr="006A526E">
        <w:rPr>
          <w:snapToGrid/>
          <w:color w:val="000000" w:themeColor="text1"/>
          <w:lang w:val="en-US"/>
        </w:rPr>
        <w:t xml:space="preserve">group: 39.3% vs. 21.8%, difference = 17.5% (95% CI 6.9%, 28.0%). </w:t>
      </w:r>
      <w:r w:rsidRPr="006A526E">
        <w:rPr>
          <w:iCs/>
          <w:snapToGrid/>
          <w:color w:val="000000" w:themeColor="text1"/>
          <w:lang w:val="en-US"/>
        </w:rPr>
        <w:t>The tpCR rates in PEONY were determined by an IRC</w:t>
      </w:r>
      <w:r w:rsidR="000D7AE8">
        <w:rPr>
          <w:iCs/>
          <w:snapToGrid/>
          <w:color w:val="000000" w:themeColor="text1"/>
          <w:lang w:val="en-US"/>
        </w:rPr>
        <w:t xml:space="preserve"> whereas in NEOSPHERE </w:t>
      </w:r>
      <w:proofErr w:type="gramStart"/>
      <w:r w:rsidR="000D7AE8">
        <w:rPr>
          <w:iCs/>
          <w:snapToGrid/>
          <w:color w:val="000000" w:themeColor="text1"/>
          <w:lang w:val="en-US"/>
        </w:rPr>
        <w:t>they were determined</w:t>
      </w:r>
      <w:r w:rsidRPr="006A526E">
        <w:rPr>
          <w:iCs/>
          <w:snapToGrid/>
          <w:color w:val="000000" w:themeColor="text1"/>
          <w:lang w:val="en-US"/>
        </w:rPr>
        <w:t xml:space="preserve"> by local pathologists</w:t>
      </w:r>
      <w:proofErr w:type="gramEnd"/>
      <w:r w:rsidRPr="006A526E">
        <w:rPr>
          <w:iCs/>
          <w:snapToGrid/>
          <w:color w:val="000000" w:themeColor="text1"/>
          <w:lang w:val="en-US"/>
        </w:rPr>
        <w:t xml:space="preserve">. The clinical complete response rates during the neoadjuvant </w:t>
      </w:r>
      <w:proofErr w:type="gramStart"/>
      <w:r w:rsidRPr="006A526E">
        <w:rPr>
          <w:iCs/>
          <w:snapToGrid/>
          <w:color w:val="000000" w:themeColor="text1"/>
          <w:lang w:val="en-US"/>
        </w:rPr>
        <w:t>period,</w:t>
      </w:r>
      <w:proofErr w:type="gramEnd"/>
      <w:r w:rsidRPr="006A526E">
        <w:rPr>
          <w:iCs/>
          <w:snapToGrid/>
          <w:color w:val="000000" w:themeColor="text1"/>
          <w:lang w:val="en-US"/>
        </w:rPr>
        <w:t xml:space="preserve"> were lower in PEONY: 11.0% in </w:t>
      </w:r>
      <w:r w:rsidR="004B3EA6" w:rsidRPr="006A526E">
        <w:rPr>
          <w:iCs/>
          <w:snapToGrid/>
          <w:color w:val="000000" w:themeColor="text1"/>
          <w:lang w:val="en-US"/>
        </w:rPr>
        <w:t>Ptz+T+D</w:t>
      </w:r>
      <w:r w:rsidRPr="006A526E">
        <w:rPr>
          <w:iCs/>
          <w:snapToGrid/>
          <w:color w:val="000000" w:themeColor="text1"/>
          <w:lang w:val="en-US"/>
        </w:rPr>
        <w:t xml:space="preserve"> vs. 10.0% in </w:t>
      </w:r>
      <w:r w:rsidR="004B3EA6" w:rsidRPr="006A526E">
        <w:rPr>
          <w:iCs/>
          <w:snapToGrid/>
          <w:color w:val="000000" w:themeColor="text1"/>
          <w:lang w:val="en-US"/>
        </w:rPr>
        <w:t>T+D</w:t>
      </w:r>
      <w:r w:rsidRPr="006A526E">
        <w:rPr>
          <w:iCs/>
          <w:snapToGrid/>
          <w:color w:val="000000" w:themeColor="text1"/>
          <w:lang w:val="en-US"/>
        </w:rPr>
        <w:t xml:space="preserve"> group</w:t>
      </w:r>
      <w:r w:rsidR="004B3EA6" w:rsidRPr="006A526E">
        <w:rPr>
          <w:iCs/>
          <w:snapToGrid/>
          <w:color w:val="000000" w:themeColor="text1"/>
          <w:lang w:val="en-US"/>
        </w:rPr>
        <w:t>s</w:t>
      </w:r>
      <w:r w:rsidRPr="006A526E">
        <w:rPr>
          <w:iCs/>
          <w:snapToGrid/>
          <w:color w:val="000000" w:themeColor="text1"/>
          <w:lang w:val="en-US"/>
        </w:rPr>
        <w:t xml:space="preserve"> in PEONY, compared with 30.7% vs. 23.2% in NEOSPHERE. . </w:t>
      </w:r>
      <w:r w:rsidR="00C13FC7" w:rsidRPr="006A526E">
        <w:rPr>
          <w:rFonts w:eastAsia="Calibri"/>
          <w:iCs/>
        </w:rPr>
        <w:t xml:space="preserve">It is </w:t>
      </w:r>
      <w:r w:rsidR="00BE7EBB">
        <w:rPr>
          <w:rFonts w:eastAsia="Calibri"/>
          <w:iCs/>
        </w:rPr>
        <w:t>unknown</w:t>
      </w:r>
      <w:r w:rsidR="00C13FC7" w:rsidRPr="006A526E">
        <w:rPr>
          <w:rFonts w:eastAsia="Calibri"/>
          <w:iCs/>
        </w:rPr>
        <w:t xml:space="preserve"> whether the </w:t>
      </w:r>
      <w:r w:rsidR="00BE7EBB">
        <w:rPr>
          <w:rFonts w:eastAsia="Calibri"/>
          <w:iCs/>
        </w:rPr>
        <w:t xml:space="preserve">smaller </w:t>
      </w:r>
      <w:r w:rsidR="00C13FC7" w:rsidRPr="006A526E">
        <w:rPr>
          <w:rFonts w:eastAsia="Calibri"/>
          <w:iCs/>
        </w:rPr>
        <w:t>difference</w:t>
      </w:r>
      <w:r w:rsidR="00BE7EBB">
        <w:rPr>
          <w:rFonts w:eastAsia="Calibri"/>
          <w:iCs/>
        </w:rPr>
        <w:t xml:space="preserve"> in </w:t>
      </w:r>
      <w:r w:rsidR="00564A49" w:rsidRPr="006A526E">
        <w:rPr>
          <w:iCs/>
          <w:snapToGrid/>
          <w:color w:val="000000" w:themeColor="text1"/>
          <w:lang w:val="en-US"/>
        </w:rPr>
        <w:t>clinical complete response</w:t>
      </w:r>
      <w:r w:rsidR="00FF08CF">
        <w:rPr>
          <w:iCs/>
          <w:snapToGrid/>
          <w:color w:val="000000" w:themeColor="text1"/>
          <w:lang w:val="en-US"/>
        </w:rPr>
        <w:t xml:space="preserve"> </w:t>
      </w:r>
      <w:r w:rsidR="00BE7EBB">
        <w:rPr>
          <w:rFonts w:eastAsia="Calibri"/>
          <w:iCs/>
        </w:rPr>
        <w:t>observed in</w:t>
      </w:r>
      <w:r w:rsidR="00C13FC7" w:rsidRPr="006A526E">
        <w:rPr>
          <w:rFonts w:eastAsia="Calibri"/>
          <w:iCs/>
        </w:rPr>
        <w:t xml:space="preserve"> PEONY</w:t>
      </w:r>
      <w:r w:rsidR="00BE7EBB">
        <w:rPr>
          <w:rFonts w:eastAsia="Calibri"/>
          <w:iCs/>
        </w:rPr>
        <w:t xml:space="preserve"> versus NEOSPHERE</w:t>
      </w:r>
      <w:r w:rsidR="00C13FC7" w:rsidRPr="006A526E">
        <w:rPr>
          <w:rFonts w:eastAsia="Calibri"/>
          <w:iCs/>
        </w:rPr>
        <w:t xml:space="preserve"> </w:t>
      </w:r>
      <w:r w:rsidR="00BE7EBB" w:rsidRPr="006A526E">
        <w:rPr>
          <w:iCs/>
          <w:snapToGrid/>
          <w:color w:val="000000" w:themeColor="text1"/>
          <w:lang w:val="en-US"/>
        </w:rPr>
        <w:t>(1.0% in PEONY vs. 7.5% in NEOSPHERE)</w:t>
      </w:r>
      <w:r w:rsidR="00BE7EBB">
        <w:rPr>
          <w:iCs/>
          <w:snapToGrid/>
          <w:color w:val="000000" w:themeColor="text1"/>
          <w:lang w:val="en-US"/>
        </w:rPr>
        <w:t xml:space="preserve"> </w:t>
      </w:r>
      <w:r w:rsidR="00C13FC7" w:rsidRPr="006A526E">
        <w:rPr>
          <w:rFonts w:eastAsia="Calibri"/>
          <w:iCs/>
        </w:rPr>
        <w:t>was due to a difference in trial design (i.e. open label in NEOSPHERE vs. double-blind in PEONY), or the use of a more stringent definition for complete response in PEONY</w:t>
      </w:r>
      <w:r w:rsidR="00D847E4" w:rsidRPr="006A526E">
        <w:rPr>
          <w:rFonts w:eastAsia="Calibri"/>
          <w:iCs/>
        </w:rPr>
        <w:t>,</w:t>
      </w:r>
      <w:r w:rsidR="00C13FC7" w:rsidRPr="006A526E">
        <w:rPr>
          <w:rFonts w:eastAsia="Calibri"/>
          <w:iCs/>
        </w:rPr>
        <w:t xml:space="preserve"> or both.</w:t>
      </w:r>
      <w:r w:rsidR="00C13FC7" w:rsidRPr="006A526E">
        <w:rPr>
          <w:rStyle w:val="FootnoteReference"/>
          <w:rFonts w:eastAsia="Calibri"/>
          <w:iCs/>
        </w:rPr>
        <w:footnoteReference w:id="10"/>
      </w:r>
      <w:r w:rsidR="00C13FC7" w:rsidRPr="006A526E">
        <w:rPr>
          <w:rFonts w:eastAsia="Calibri"/>
          <w:iCs/>
        </w:rPr>
        <w:t xml:space="preserve"> </w:t>
      </w:r>
      <w:bookmarkStart w:id="26" w:name="_Hlk30172645"/>
      <w:r w:rsidRPr="006A526E">
        <w:rPr>
          <w:snapToGrid/>
          <w:color w:val="000000" w:themeColor="text1"/>
          <w:lang w:val="en-US"/>
        </w:rPr>
        <w:t xml:space="preserve">Shao (2019) reported that at the data cut-off date for </w:t>
      </w:r>
      <w:r w:rsidRPr="006A526E">
        <w:rPr>
          <w:snapToGrid/>
          <w:color w:val="000000" w:themeColor="text1"/>
          <w:lang w:val="en-US"/>
        </w:rPr>
        <w:lastRenderedPageBreak/>
        <w:t>primary efficacy analysis</w:t>
      </w:r>
      <w:r w:rsidRPr="006A526E">
        <w:rPr>
          <w:rStyle w:val="FootnoteReference"/>
          <w:snapToGrid/>
          <w:color w:val="000000" w:themeColor="text1"/>
          <w:lang w:val="en-US"/>
        </w:rPr>
        <w:footnoteReference w:id="11"/>
      </w:r>
      <w:r w:rsidRPr="006A526E">
        <w:rPr>
          <w:snapToGrid/>
          <w:color w:val="000000" w:themeColor="text1"/>
          <w:lang w:val="en-US"/>
        </w:rPr>
        <w:t xml:space="preserve">, </w:t>
      </w:r>
      <w:r w:rsidR="007469E0" w:rsidRPr="006A526E">
        <w:rPr>
          <w:snapToGrid/>
          <w:color w:val="000000" w:themeColor="text1"/>
          <w:lang w:val="en-US"/>
        </w:rPr>
        <w:t xml:space="preserve">survival outcomes were too limited to be </w:t>
      </w:r>
      <w:proofErr w:type="gramStart"/>
      <w:r w:rsidR="007469E0" w:rsidRPr="006A526E">
        <w:rPr>
          <w:snapToGrid/>
          <w:color w:val="000000" w:themeColor="text1"/>
          <w:lang w:val="en-US"/>
        </w:rPr>
        <w:t>presented</w:t>
      </w:r>
      <w:proofErr w:type="gramEnd"/>
      <w:r w:rsidR="007469E0" w:rsidRPr="006A526E">
        <w:rPr>
          <w:snapToGrid/>
          <w:color w:val="000000" w:themeColor="text1"/>
          <w:lang w:val="en-US"/>
        </w:rPr>
        <w:t xml:space="preserve"> a</w:t>
      </w:r>
      <w:bookmarkEnd w:id="26"/>
      <w:r w:rsidRPr="006A526E">
        <w:rPr>
          <w:snapToGrid/>
          <w:color w:val="000000" w:themeColor="text1"/>
          <w:lang w:val="en-US"/>
        </w:rPr>
        <w:t>s the follow-up period was short</w:t>
      </w:r>
      <w:r w:rsidR="007469E0" w:rsidRPr="006A526E">
        <w:rPr>
          <w:snapToGrid/>
          <w:color w:val="000000" w:themeColor="text1"/>
          <w:lang w:val="en-US"/>
        </w:rPr>
        <w:t>.</w:t>
      </w:r>
      <w:r w:rsidRPr="006A526E">
        <w:rPr>
          <w:snapToGrid/>
          <w:color w:val="000000" w:themeColor="text1"/>
          <w:lang w:val="en-US"/>
        </w:rPr>
        <w:t xml:space="preserve"> </w:t>
      </w:r>
    </w:p>
    <w:p w:rsidR="007D49B2" w:rsidRPr="00140FC0" w:rsidRDefault="00872AAD" w:rsidP="00513748">
      <w:pPr>
        <w:pStyle w:val="3-BodyText"/>
      </w:pPr>
      <w:r w:rsidRPr="00513748">
        <w:rPr>
          <w:snapToGrid/>
          <w:color w:val="000000" w:themeColor="text1"/>
          <w:lang w:val="en-US"/>
        </w:rPr>
        <w:t>For the purposes of assessment of relative clinical effectiveness, patient-relevant</w:t>
      </w:r>
      <w:r w:rsidRPr="006A526E">
        <w:t xml:space="preserve"> survival outcomes, such as </w:t>
      </w:r>
      <w:r w:rsidR="00A952DD">
        <w:t>PFS</w:t>
      </w:r>
      <w:r w:rsidRPr="006A526E">
        <w:t xml:space="preserve">, </w:t>
      </w:r>
      <w:r w:rsidR="000456C3" w:rsidRPr="006A526E">
        <w:t xml:space="preserve">are </w:t>
      </w:r>
      <w:r w:rsidR="000456C3">
        <w:t>more</w:t>
      </w:r>
      <w:r w:rsidR="000456C3" w:rsidRPr="006A526E">
        <w:t xml:space="preserve"> relevant </w:t>
      </w:r>
      <w:r w:rsidRPr="006A526E">
        <w:t xml:space="preserve">than surrogate outcomes, such as </w:t>
      </w:r>
      <w:r w:rsidR="00A527EA">
        <w:t>b</w:t>
      </w:r>
      <w:r w:rsidRPr="006A526E">
        <w:t xml:space="preserve">pCR and tpCR. </w:t>
      </w:r>
      <w:r w:rsidR="00123E4C">
        <w:t>Further</w:t>
      </w:r>
      <w:r w:rsidRPr="006A526E">
        <w:t xml:space="preserve">, the relevance of the surrogate outcomes of </w:t>
      </w:r>
      <w:r w:rsidR="00A527EA">
        <w:t>b</w:t>
      </w:r>
      <w:r w:rsidRPr="006A526E">
        <w:t xml:space="preserve">pCR and tpCR to survival outcomes, in particular </w:t>
      </w:r>
      <w:r w:rsidR="00415BEE">
        <w:t xml:space="preserve">for </w:t>
      </w:r>
      <w:r w:rsidR="00A952DD">
        <w:t xml:space="preserve">PFS </w:t>
      </w:r>
      <w:r w:rsidR="00415BEE">
        <w:t>and</w:t>
      </w:r>
      <w:r w:rsidR="001E3C40" w:rsidRPr="006A526E">
        <w:t xml:space="preserve"> in the context of </w:t>
      </w:r>
      <w:r w:rsidR="00D35D7F">
        <w:t xml:space="preserve">the availability of </w:t>
      </w:r>
      <w:r w:rsidR="001E3C40" w:rsidRPr="006A526E">
        <w:t>T</w:t>
      </w:r>
      <w:r w:rsidR="00596BB9">
        <w:noBreakHyphen/>
      </w:r>
      <w:r w:rsidR="001E3C40" w:rsidRPr="006A526E">
        <w:t xml:space="preserve">DM1, </w:t>
      </w:r>
      <w:r w:rsidR="00415BEE">
        <w:t>is uncertain</w:t>
      </w:r>
      <w:r w:rsidRPr="006A526E">
        <w:t>.</w:t>
      </w:r>
      <w:r w:rsidR="00346557">
        <w:t xml:space="preserve"> </w:t>
      </w:r>
      <w:r w:rsidR="00346557" w:rsidRPr="00140FC0">
        <w:t>The PSCR argued that</w:t>
      </w:r>
      <w:r w:rsidR="000808F6" w:rsidRPr="00140FC0">
        <w:t xml:space="preserve"> there is evidence that</w:t>
      </w:r>
      <w:r w:rsidR="00346557" w:rsidRPr="00140FC0">
        <w:t xml:space="preserve"> </w:t>
      </w:r>
      <w:r w:rsidR="00596BB9">
        <w:t>t</w:t>
      </w:r>
      <w:r w:rsidR="000808F6" w:rsidRPr="00140FC0">
        <w:t xml:space="preserve">pCR is associated with significantly reduced disease recurrence and overall </w:t>
      </w:r>
      <w:proofErr w:type="gramStart"/>
      <w:r w:rsidR="000808F6" w:rsidRPr="00140FC0">
        <w:t>survival</w:t>
      </w:r>
      <w:r w:rsidR="000808F6" w:rsidRPr="00140FC0">
        <w:rPr>
          <w:vertAlign w:val="superscript"/>
        </w:rPr>
        <w:t xml:space="preserve"> </w:t>
      </w:r>
      <w:proofErr w:type="gramEnd"/>
      <w:r w:rsidR="000808F6" w:rsidRPr="00140FC0">
        <w:rPr>
          <w:vertAlign w:val="superscript"/>
        </w:rPr>
        <w:footnoteReference w:id="12"/>
      </w:r>
      <w:r w:rsidR="00346557" w:rsidRPr="00140FC0">
        <w:rPr>
          <w:iCs/>
          <w:color w:val="000000" w:themeColor="text1"/>
        </w:rPr>
        <w:t>.</w:t>
      </w:r>
      <w:r w:rsidR="007D49B2" w:rsidRPr="00140FC0">
        <w:rPr>
          <w:iCs/>
          <w:color w:val="000000" w:themeColor="text1"/>
        </w:rPr>
        <w:t xml:space="preserve"> </w:t>
      </w:r>
      <w:r w:rsidR="00581603" w:rsidRPr="00140FC0">
        <w:rPr>
          <w:iCs/>
        </w:rPr>
        <w:t>The ESC could not verify th</w:t>
      </w:r>
      <w:r w:rsidR="00415BEE">
        <w:rPr>
          <w:iCs/>
        </w:rPr>
        <w:t>is</w:t>
      </w:r>
      <w:r w:rsidR="00581603" w:rsidRPr="00140FC0">
        <w:rPr>
          <w:iCs/>
        </w:rPr>
        <w:t xml:space="preserve"> </w:t>
      </w:r>
      <w:r w:rsidR="00415BEE">
        <w:rPr>
          <w:iCs/>
        </w:rPr>
        <w:t>claim</w:t>
      </w:r>
      <w:r w:rsidR="00D35D7F">
        <w:rPr>
          <w:iCs/>
        </w:rPr>
        <w:t xml:space="preserve"> based on </w:t>
      </w:r>
      <w:r w:rsidR="00581603" w:rsidRPr="00140FC0">
        <w:rPr>
          <w:iCs/>
        </w:rPr>
        <w:t xml:space="preserve">Spring et al (2018) as </w:t>
      </w:r>
      <w:r w:rsidR="00415BEE">
        <w:rPr>
          <w:iCs/>
        </w:rPr>
        <w:t>only an</w:t>
      </w:r>
      <w:r w:rsidR="00581603" w:rsidRPr="00140FC0">
        <w:rPr>
          <w:iCs/>
        </w:rPr>
        <w:t xml:space="preserve"> abstract</w:t>
      </w:r>
      <w:r w:rsidR="00415BEE">
        <w:rPr>
          <w:iCs/>
        </w:rPr>
        <w:t xml:space="preserve"> was available</w:t>
      </w:r>
      <w:r w:rsidR="00581603" w:rsidRPr="00140FC0">
        <w:rPr>
          <w:iCs/>
        </w:rPr>
        <w:t xml:space="preserve">. </w:t>
      </w:r>
      <w:r w:rsidR="00016962" w:rsidRPr="00140FC0">
        <w:rPr>
          <w:iCs/>
        </w:rPr>
        <w:t xml:space="preserve">The ESC noted that the PBAC framework for assessing a proposed surrogate measure </w:t>
      </w:r>
      <w:proofErr w:type="gramStart"/>
      <w:r w:rsidR="00016962" w:rsidRPr="00140FC0">
        <w:rPr>
          <w:iCs/>
        </w:rPr>
        <w:t>was not addressed</w:t>
      </w:r>
      <w:proofErr w:type="gramEnd"/>
      <w:r w:rsidR="00016962" w:rsidRPr="00140FC0">
        <w:rPr>
          <w:iCs/>
        </w:rPr>
        <w:t xml:space="preserve"> in the submission. The ESC </w:t>
      </w:r>
      <w:r w:rsidR="00513748" w:rsidRPr="00140FC0">
        <w:rPr>
          <w:iCs/>
        </w:rPr>
        <w:t>considered</w:t>
      </w:r>
      <w:r w:rsidR="00016962" w:rsidRPr="00140FC0">
        <w:rPr>
          <w:iCs/>
        </w:rPr>
        <w:t xml:space="preserve"> that evidence from </w:t>
      </w:r>
      <w:r w:rsidR="00E84964" w:rsidRPr="00140FC0">
        <w:rPr>
          <w:iCs/>
        </w:rPr>
        <w:t xml:space="preserve">a </w:t>
      </w:r>
      <w:r w:rsidR="00016962" w:rsidRPr="00140FC0">
        <w:rPr>
          <w:iCs/>
        </w:rPr>
        <w:t xml:space="preserve">pooled analysis of neoadjuvant trial data did not definitively link </w:t>
      </w:r>
      <w:r w:rsidR="00596BB9">
        <w:rPr>
          <w:iCs/>
        </w:rPr>
        <w:t>t</w:t>
      </w:r>
      <w:r w:rsidR="00016962" w:rsidRPr="00140FC0">
        <w:rPr>
          <w:iCs/>
        </w:rPr>
        <w:t>pCR to patient relevant survival outcomes.</w:t>
      </w:r>
      <w:r w:rsidR="00581603" w:rsidRPr="00140FC0">
        <w:rPr>
          <w:rStyle w:val="FootnoteReference"/>
          <w:iCs/>
        </w:rPr>
        <w:footnoteReference w:id="13"/>
      </w:r>
      <w:r w:rsidR="00016962" w:rsidRPr="00140FC0">
        <w:rPr>
          <w:iCs/>
        </w:rPr>
        <w:t xml:space="preserve"> </w:t>
      </w:r>
      <w:r w:rsidR="00A30A83" w:rsidRPr="00140FC0">
        <w:rPr>
          <w:iCs/>
        </w:rPr>
        <w:t>The ESC also noted that Cortaza</w:t>
      </w:r>
      <w:r w:rsidR="00310118" w:rsidRPr="00140FC0">
        <w:rPr>
          <w:iCs/>
        </w:rPr>
        <w:t>r et al (2014) called for standardized definition of pCR as, at the individual level, eradication in nodes and breast</w:t>
      </w:r>
      <w:r w:rsidR="005A6435" w:rsidRPr="00140FC0">
        <w:rPr>
          <w:iCs/>
        </w:rPr>
        <w:t xml:space="preserve"> was</w:t>
      </w:r>
      <w:r w:rsidR="00310118" w:rsidRPr="00140FC0">
        <w:rPr>
          <w:iCs/>
        </w:rPr>
        <w:t xml:space="preserve"> more strongly associated with survival outcomes</w:t>
      </w:r>
      <w:r w:rsidR="00A30A83" w:rsidRPr="00140FC0">
        <w:rPr>
          <w:iCs/>
        </w:rPr>
        <w:t xml:space="preserve"> than breast alone</w:t>
      </w:r>
      <w:r w:rsidR="00310118" w:rsidRPr="00140FC0">
        <w:rPr>
          <w:iCs/>
        </w:rPr>
        <w:t xml:space="preserve">. The ESC noted that in NEOSPHERE the primary outcome was </w:t>
      </w:r>
      <w:r w:rsidR="005A6435" w:rsidRPr="00140FC0">
        <w:rPr>
          <w:iCs/>
        </w:rPr>
        <w:t>b</w:t>
      </w:r>
      <w:r w:rsidR="00310118" w:rsidRPr="00140FC0">
        <w:rPr>
          <w:iCs/>
        </w:rPr>
        <w:t>pCR. T</w:t>
      </w:r>
      <w:r w:rsidR="007D49B2" w:rsidRPr="00140FC0">
        <w:rPr>
          <w:iCs/>
        </w:rPr>
        <w:t xml:space="preserve">he ESC </w:t>
      </w:r>
      <w:r w:rsidR="005A6435" w:rsidRPr="00140FC0">
        <w:rPr>
          <w:iCs/>
        </w:rPr>
        <w:t>con</w:t>
      </w:r>
      <w:r w:rsidR="00310118" w:rsidRPr="00140FC0">
        <w:rPr>
          <w:iCs/>
        </w:rPr>
        <w:t>sidered</w:t>
      </w:r>
      <w:r w:rsidR="007D49B2" w:rsidRPr="00140FC0">
        <w:rPr>
          <w:iCs/>
        </w:rPr>
        <w:t xml:space="preserve"> that</w:t>
      </w:r>
      <w:r w:rsidR="00B86DEA" w:rsidRPr="00140FC0">
        <w:rPr>
          <w:iCs/>
        </w:rPr>
        <w:t>,</w:t>
      </w:r>
      <w:r w:rsidR="007D49B2" w:rsidRPr="00140FC0">
        <w:rPr>
          <w:iCs/>
        </w:rPr>
        <w:t xml:space="preserve"> </w:t>
      </w:r>
      <w:r w:rsidR="00B86DEA" w:rsidRPr="00140FC0">
        <w:rPr>
          <w:iCs/>
        </w:rPr>
        <w:t xml:space="preserve">despite indication of a patient-level association, bpCR </w:t>
      </w:r>
      <w:proofErr w:type="gramStart"/>
      <w:r w:rsidR="007D49B2" w:rsidRPr="00140FC0">
        <w:rPr>
          <w:iCs/>
        </w:rPr>
        <w:t>was</w:t>
      </w:r>
      <w:r w:rsidR="00B86DEA" w:rsidRPr="00140FC0">
        <w:rPr>
          <w:iCs/>
        </w:rPr>
        <w:t xml:space="preserve"> not adequately established</w:t>
      </w:r>
      <w:proofErr w:type="gramEnd"/>
      <w:r w:rsidR="00B86DEA" w:rsidRPr="00140FC0">
        <w:rPr>
          <w:iCs/>
        </w:rPr>
        <w:t xml:space="preserve"> as </w:t>
      </w:r>
      <w:r w:rsidR="007D49B2" w:rsidRPr="00140FC0">
        <w:rPr>
          <w:iCs/>
        </w:rPr>
        <w:t xml:space="preserve">a relevant </w:t>
      </w:r>
      <w:r w:rsidR="00B86DEA" w:rsidRPr="00140FC0">
        <w:rPr>
          <w:iCs/>
        </w:rPr>
        <w:t>trial</w:t>
      </w:r>
      <w:r w:rsidR="005A6435" w:rsidRPr="00140FC0">
        <w:rPr>
          <w:iCs/>
        </w:rPr>
        <w:t>-</w:t>
      </w:r>
      <w:r w:rsidR="007D49B2" w:rsidRPr="00140FC0">
        <w:rPr>
          <w:iCs/>
        </w:rPr>
        <w:t>level surrogate</w:t>
      </w:r>
      <w:r w:rsidR="005A6435" w:rsidRPr="00140FC0">
        <w:rPr>
          <w:iCs/>
        </w:rPr>
        <w:t xml:space="preserve"> for survival outcomes</w:t>
      </w:r>
      <w:r w:rsidR="00B86DEA" w:rsidRPr="00140FC0">
        <w:rPr>
          <w:iCs/>
        </w:rPr>
        <w:t>.</w:t>
      </w:r>
    </w:p>
    <w:p w:rsidR="00872AAD" w:rsidRPr="00140FC0" w:rsidRDefault="004C0702" w:rsidP="00F828CA">
      <w:pPr>
        <w:pStyle w:val="3-BodyText"/>
      </w:pPr>
      <w:r>
        <w:rPr>
          <w:iCs/>
          <w:color w:val="000000" w:themeColor="text1"/>
        </w:rPr>
        <w:t>T</w:t>
      </w:r>
      <w:r w:rsidR="00146BCA" w:rsidRPr="00140FC0">
        <w:rPr>
          <w:iCs/>
          <w:color w:val="000000" w:themeColor="text1"/>
        </w:rPr>
        <w:t>he PSCR claimed that the PBAC’s acceptance of the</w:t>
      </w:r>
      <w:r w:rsidR="00E85456" w:rsidRPr="00140FC0">
        <w:rPr>
          <w:iCs/>
          <w:color w:val="000000" w:themeColor="text1"/>
        </w:rPr>
        <w:t xml:space="preserve"> rationale for the</w:t>
      </w:r>
      <w:r w:rsidR="00146BCA" w:rsidRPr="00140FC0">
        <w:rPr>
          <w:iCs/>
          <w:color w:val="000000" w:themeColor="text1"/>
        </w:rPr>
        <w:t xml:space="preserve"> KATHERINE trial </w:t>
      </w:r>
      <w:r w:rsidR="00E85456" w:rsidRPr="00140FC0">
        <w:rPr>
          <w:iCs/>
          <w:color w:val="000000" w:themeColor="text1"/>
        </w:rPr>
        <w:t xml:space="preserve">(targeting patients without </w:t>
      </w:r>
      <w:r w:rsidR="00596BB9">
        <w:rPr>
          <w:iCs/>
          <w:color w:val="000000" w:themeColor="text1"/>
        </w:rPr>
        <w:t>t</w:t>
      </w:r>
      <w:r w:rsidR="00E85456" w:rsidRPr="00140FC0">
        <w:rPr>
          <w:iCs/>
          <w:color w:val="000000" w:themeColor="text1"/>
        </w:rPr>
        <w:t xml:space="preserve">pCR) </w:t>
      </w:r>
      <w:r w:rsidR="00146BCA" w:rsidRPr="00140FC0">
        <w:rPr>
          <w:iCs/>
          <w:color w:val="000000" w:themeColor="text1"/>
        </w:rPr>
        <w:t xml:space="preserve">and recommendation of T-DM1 validates the assumption that </w:t>
      </w:r>
      <w:r w:rsidR="00596BB9">
        <w:rPr>
          <w:iCs/>
          <w:color w:val="000000" w:themeColor="text1"/>
        </w:rPr>
        <w:t>t</w:t>
      </w:r>
      <w:r w:rsidR="00146BCA" w:rsidRPr="00140FC0">
        <w:rPr>
          <w:iCs/>
          <w:color w:val="000000" w:themeColor="text1"/>
        </w:rPr>
        <w:t>pCR is an important surrogate outcome.</w:t>
      </w:r>
      <w:r w:rsidR="00F828CA" w:rsidRPr="00140FC0">
        <w:rPr>
          <w:iCs/>
          <w:color w:val="000000" w:themeColor="text1"/>
        </w:rPr>
        <w:t xml:space="preserve"> </w:t>
      </w:r>
      <w:r w:rsidR="008F342F" w:rsidRPr="00140FC0">
        <w:rPr>
          <w:iCs/>
          <w:color w:val="000000" w:themeColor="text1"/>
        </w:rPr>
        <w:t xml:space="preserve">The ESC noted that T-DM1 was recommended </w:t>
      </w:r>
      <w:r w:rsidR="00B86DEA" w:rsidRPr="00140FC0">
        <w:rPr>
          <w:iCs/>
          <w:color w:val="000000" w:themeColor="text1"/>
        </w:rPr>
        <w:t xml:space="preserve">for patients without </w:t>
      </w:r>
      <w:r w:rsidR="00596BB9">
        <w:rPr>
          <w:iCs/>
          <w:color w:val="000000" w:themeColor="text1"/>
        </w:rPr>
        <w:t>t</w:t>
      </w:r>
      <w:r w:rsidR="00B86DEA" w:rsidRPr="00140FC0">
        <w:rPr>
          <w:iCs/>
          <w:color w:val="000000" w:themeColor="text1"/>
        </w:rPr>
        <w:t xml:space="preserve">pCR </w:t>
      </w:r>
      <w:proofErr w:type="gramStart"/>
      <w:r w:rsidR="008F342F" w:rsidRPr="00140FC0">
        <w:rPr>
          <w:iCs/>
          <w:color w:val="000000" w:themeColor="text1"/>
        </w:rPr>
        <w:t>on the basis of</w:t>
      </w:r>
      <w:proofErr w:type="gramEnd"/>
      <w:r w:rsidR="008F342F" w:rsidRPr="00140FC0">
        <w:rPr>
          <w:iCs/>
          <w:color w:val="000000" w:themeColor="text1"/>
        </w:rPr>
        <w:t xml:space="preserve"> </w:t>
      </w:r>
      <w:r w:rsidR="007D49B2" w:rsidRPr="00140FC0">
        <w:rPr>
          <w:bCs/>
        </w:rPr>
        <w:t xml:space="preserve">a significant improvement in iDFS over trastuzumab and </w:t>
      </w:r>
      <w:r w:rsidR="00513748" w:rsidRPr="00140FC0">
        <w:rPr>
          <w:bCs/>
        </w:rPr>
        <w:t xml:space="preserve">an </w:t>
      </w:r>
      <w:r w:rsidR="007D49B2" w:rsidRPr="00140FC0">
        <w:rPr>
          <w:bCs/>
        </w:rPr>
        <w:t>indication that the iDFS results would translate into OS benefits based on</w:t>
      </w:r>
      <w:r w:rsidR="00B114BB" w:rsidRPr="00140FC0">
        <w:rPr>
          <w:bCs/>
        </w:rPr>
        <w:t xml:space="preserve"> </w:t>
      </w:r>
      <w:r w:rsidR="007D49B2" w:rsidRPr="00140FC0">
        <w:rPr>
          <w:bCs/>
        </w:rPr>
        <w:t>the KATHERINE trial data</w:t>
      </w:r>
      <w:r w:rsidR="00B114BB" w:rsidRPr="00140FC0">
        <w:rPr>
          <w:bCs/>
        </w:rPr>
        <w:t xml:space="preserve">, which only included patients without </w:t>
      </w:r>
      <w:r w:rsidR="00596BB9">
        <w:rPr>
          <w:bCs/>
        </w:rPr>
        <w:t>t</w:t>
      </w:r>
      <w:r w:rsidR="00B114BB" w:rsidRPr="00140FC0">
        <w:rPr>
          <w:bCs/>
        </w:rPr>
        <w:t>pCR</w:t>
      </w:r>
      <w:r w:rsidR="00B86DEA" w:rsidRPr="00140FC0">
        <w:rPr>
          <w:bCs/>
        </w:rPr>
        <w:t>.</w:t>
      </w:r>
    </w:p>
    <w:p w:rsidR="00872AAD" w:rsidRPr="006A526E" w:rsidRDefault="004C0702" w:rsidP="002560EB">
      <w:pPr>
        <w:pStyle w:val="3-BodyText"/>
        <w:rPr>
          <w:iCs/>
          <w:color w:val="0066FF"/>
        </w:rPr>
      </w:pPr>
      <w:r>
        <w:rPr>
          <w:color w:val="000000" w:themeColor="text1"/>
        </w:rPr>
        <w:t>The</w:t>
      </w:r>
      <w:r w:rsidRPr="006A526E">
        <w:rPr>
          <w:color w:val="000000" w:themeColor="text1"/>
        </w:rPr>
        <w:t xml:space="preserve"> </w:t>
      </w:r>
      <w:r w:rsidR="00872AAD" w:rsidRPr="006A526E">
        <w:rPr>
          <w:color w:val="000000" w:themeColor="text1"/>
        </w:rPr>
        <w:t xml:space="preserve">three randomised trials </w:t>
      </w:r>
      <w:proofErr w:type="gramStart"/>
      <w:r w:rsidR="00872AAD" w:rsidRPr="006A526E">
        <w:rPr>
          <w:color w:val="000000" w:themeColor="text1"/>
        </w:rPr>
        <w:t>were stratified</w:t>
      </w:r>
      <w:proofErr w:type="gramEnd"/>
      <w:r w:rsidR="00872AAD" w:rsidRPr="006A526E">
        <w:rPr>
          <w:color w:val="000000" w:themeColor="text1"/>
        </w:rPr>
        <w:t xml:space="preserve"> by disease category (operable or early </w:t>
      </w:r>
      <w:r w:rsidR="00872AAD" w:rsidRPr="006A526E">
        <w:rPr>
          <w:snapToGrid/>
          <w:color w:val="000000" w:themeColor="text1"/>
          <w:lang w:val="en-US"/>
        </w:rPr>
        <w:t>breast cancer</w:t>
      </w:r>
      <w:r w:rsidR="00872AAD" w:rsidRPr="006A526E">
        <w:rPr>
          <w:color w:val="000000" w:themeColor="text1"/>
        </w:rPr>
        <w:t xml:space="preserve">, locally advanced </w:t>
      </w:r>
      <w:r w:rsidR="00872AAD" w:rsidRPr="006A526E">
        <w:rPr>
          <w:snapToGrid/>
          <w:color w:val="000000" w:themeColor="text1"/>
          <w:lang w:val="en-US"/>
        </w:rPr>
        <w:t>breast cancer</w:t>
      </w:r>
      <w:r w:rsidR="00872AAD" w:rsidRPr="006A526E">
        <w:rPr>
          <w:color w:val="000000" w:themeColor="text1"/>
        </w:rPr>
        <w:t xml:space="preserve">) and hormone receptor status </w:t>
      </w:r>
      <w:r w:rsidR="00E81F07">
        <w:rPr>
          <w:color w:val="000000" w:themeColor="text1"/>
        </w:rPr>
        <w:t>(</w:t>
      </w:r>
      <w:r w:rsidR="00872AAD" w:rsidRPr="006A526E">
        <w:rPr>
          <w:color w:val="000000" w:themeColor="text1"/>
        </w:rPr>
        <w:t>oestrogen receptor (ER) and/or progesterone receptor (PR) negative, ER- and/or PR-positive).</w:t>
      </w:r>
      <w:r w:rsidR="00872AAD" w:rsidRPr="006A526E">
        <w:rPr>
          <w:iCs/>
          <w:color w:val="000000" w:themeColor="text1"/>
        </w:rPr>
        <w:t xml:space="preserve"> </w:t>
      </w:r>
      <w:r w:rsidR="00550A5E" w:rsidRPr="009E19E1">
        <w:t xml:space="preserve">Table </w:t>
      </w:r>
      <w:r w:rsidR="00550A5E">
        <w:rPr>
          <w:noProof/>
        </w:rPr>
        <w:t>6</w:t>
      </w:r>
      <w:r w:rsidR="000D09D2">
        <w:rPr>
          <w:color w:val="000000" w:themeColor="text1"/>
        </w:rPr>
        <w:t xml:space="preserve"> </w:t>
      </w:r>
      <w:r w:rsidR="00872AAD" w:rsidRPr="006A526E">
        <w:rPr>
          <w:color w:val="000000" w:themeColor="text1"/>
        </w:rPr>
        <w:t>presents the bpCR subgroup</w:t>
      </w:r>
      <w:r w:rsidR="00742A8C">
        <w:rPr>
          <w:color w:val="000000" w:themeColor="text1"/>
        </w:rPr>
        <w:t xml:space="preserve"> results</w:t>
      </w:r>
      <w:r w:rsidR="00872AAD" w:rsidRPr="006A526E">
        <w:rPr>
          <w:color w:val="000000" w:themeColor="text1"/>
        </w:rPr>
        <w:t xml:space="preserve"> </w:t>
      </w:r>
      <w:r w:rsidR="00A136E4">
        <w:rPr>
          <w:color w:val="000000" w:themeColor="text1"/>
        </w:rPr>
        <w:t>for the</w:t>
      </w:r>
      <w:r w:rsidR="00872AAD" w:rsidRPr="006A526E">
        <w:rPr>
          <w:color w:val="000000" w:themeColor="text1"/>
        </w:rPr>
        <w:t xml:space="preserve"> NEOSPHERE</w:t>
      </w:r>
      <w:r w:rsidR="00A136E4">
        <w:rPr>
          <w:color w:val="000000" w:themeColor="text1"/>
        </w:rPr>
        <w:t xml:space="preserve"> trial</w:t>
      </w:r>
      <w:r w:rsidR="00872AAD" w:rsidRPr="006A526E">
        <w:rPr>
          <w:color w:val="000000" w:themeColor="text1"/>
        </w:rPr>
        <w:t xml:space="preserve">. </w:t>
      </w:r>
      <w:r w:rsidR="00550A5E">
        <w:t xml:space="preserve">Table </w:t>
      </w:r>
      <w:r w:rsidR="00550A5E">
        <w:rPr>
          <w:noProof/>
        </w:rPr>
        <w:t>7</w:t>
      </w:r>
      <w:r w:rsidR="001609C2">
        <w:rPr>
          <w:color w:val="000000" w:themeColor="text1"/>
        </w:rPr>
        <w:t xml:space="preserve"> </w:t>
      </w:r>
      <w:r w:rsidR="00872AAD" w:rsidRPr="006A526E">
        <w:rPr>
          <w:color w:val="000000" w:themeColor="text1"/>
        </w:rPr>
        <w:t xml:space="preserve">presents the tpCR results </w:t>
      </w:r>
      <w:r w:rsidR="00A136E4">
        <w:rPr>
          <w:color w:val="000000" w:themeColor="text1"/>
        </w:rPr>
        <w:t>for</w:t>
      </w:r>
      <w:r w:rsidR="00872AAD" w:rsidRPr="006A526E">
        <w:rPr>
          <w:color w:val="000000" w:themeColor="text1"/>
        </w:rPr>
        <w:t xml:space="preserve"> PEONY. </w:t>
      </w:r>
      <w:r w:rsidR="00872AAD" w:rsidRPr="006A526E">
        <w:rPr>
          <w:iCs/>
          <w:color w:val="000000" w:themeColor="text1"/>
        </w:rPr>
        <w:t xml:space="preserve">In both NEOSPHERE and PEONY, the treatment effect of </w:t>
      </w:r>
      <w:r w:rsidR="00BD26D5" w:rsidRPr="006A526E">
        <w:rPr>
          <w:iCs/>
          <w:color w:val="000000" w:themeColor="text1"/>
        </w:rPr>
        <w:t>Ptz</w:t>
      </w:r>
      <w:r w:rsidR="00674002" w:rsidRPr="006A526E">
        <w:rPr>
          <w:iCs/>
          <w:color w:val="000000" w:themeColor="text1"/>
        </w:rPr>
        <w:t>+T+</w:t>
      </w:r>
      <w:r w:rsidR="00BD26D5" w:rsidRPr="006A526E">
        <w:rPr>
          <w:iCs/>
          <w:color w:val="000000" w:themeColor="text1"/>
        </w:rPr>
        <w:t>D</w:t>
      </w:r>
      <w:r w:rsidR="00872AAD" w:rsidRPr="006A526E">
        <w:rPr>
          <w:iCs/>
          <w:color w:val="000000" w:themeColor="text1"/>
        </w:rPr>
        <w:t xml:space="preserve"> was greater in the ER- and PR-negative subgroup vs. the ER- and/or PR-positive subgroup.  Further, in both trials there was no evidence of a treatment effect for the ER- and/or PR-positive subgroup, even though the sample size was </w:t>
      </w:r>
      <w:r w:rsidR="00872AAD" w:rsidRPr="006A526E">
        <w:rPr>
          <w:iCs/>
          <w:color w:val="000000" w:themeColor="text1"/>
        </w:rPr>
        <w:lastRenderedPageBreak/>
        <w:t xml:space="preserve">reasonable, with these patients comprising about half of all patients in the two trials.  In NEOSPHERE, the only comparative trial with relevant </w:t>
      </w:r>
      <w:r w:rsidR="00674002" w:rsidRPr="006A526E">
        <w:rPr>
          <w:iCs/>
          <w:color w:val="000000" w:themeColor="text1"/>
        </w:rPr>
        <w:t>PFS</w:t>
      </w:r>
      <w:r w:rsidR="00872AAD" w:rsidRPr="006A526E">
        <w:rPr>
          <w:iCs/>
          <w:color w:val="000000" w:themeColor="text1"/>
        </w:rPr>
        <w:t xml:space="preserve"> data, </w:t>
      </w:r>
      <w:r w:rsidR="000F57D2">
        <w:rPr>
          <w:iCs/>
          <w:color w:val="000000" w:themeColor="text1"/>
        </w:rPr>
        <w:t xml:space="preserve">the difference in PFS in this subgroup was not statistically significantly different </w:t>
      </w:r>
      <w:r w:rsidR="00872AAD" w:rsidRPr="006A526E">
        <w:rPr>
          <w:iCs/>
          <w:color w:val="000000" w:themeColor="text1"/>
        </w:rPr>
        <w:t>(hazard ratio 0.86</w:t>
      </w:r>
      <w:r w:rsidR="00674002" w:rsidRPr="006A526E">
        <w:rPr>
          <w:iCs/>
          <w:color w:val="000000" w:themeColor="text1"/>
        </w:rPr>
        <w:t xml:space="preserve">, </w:t>
      </w:r>
      <w:r w:rsidR="00872AAD" w:rsidRPr="006A526E">
        <w:rPr>
          <w:iCs/>
          <w:color w:val="000000" w:themeColor="text1"/>
        </w:rPr>
        <w:t xml:space="preserve">95% </w:t>
      </w:r>
      <w:r w:rsidR="00674002" w:rsidRPr="006A526E">
        <w:rPr>
          <w:iCs/>
          <w:color w:val="000000" w:themeColor="text1"/>
        </w:rPr>
        <w:t>CI</w:t>
      </w:r>
      <w:r w:rsidR="00872AAD" w:rsidRPr="006A526E">
        <w:rPr>
          <w:iCs/>
          <w:color w:val="000000" w:themeColor="text1"/>
        </w:rPr>
        <w:t xml:space="preserve"> 0.27, 2.75).</w:t>
      </w:r>
      <w:r w:rsidR="006A06B5" w:rsidRPr="006A526E">
        <w:rPr>
          <w:rStyle w:val="FootnoteReference"/>
          <w:iCs/>
          <w:color w:val="000000" w:themeColor="text1"/>
        </w:rPr>
        <w:footnoteReference w:id="14"/>
      </w:r>
      <w:r w:rsidR="00872AAD" w:rsidRPr="006A526E">
        <w:rPr>
          <w:iCs/>
          <w:color w:val="000000" w:themeColor="text1"/>
        </w:rPr>
        <w:t xml:space="preserve"> </w:t>
      </w:r>
      <w:r w:rsidR="007A5D28" w:rsidRPr="006A526E">
        <w:rPr>
          <w:iCs/>
          <w:color w:val="000000" w:themeColor="text1"/>
        </w:rPr>
        <w:t>T</w:t>
      </w:r>
      <w:r w:rsidR="00872AAD" w:rsidRPr="006A526E">
        <w:rPr>
          <w:iCs/>
          <w:color w:val="000000" w:themeColor="text1"/>
        </w:rPr>
        <w:t xml:space="preserve">hese results </w:t>
      </w:r>
      <w:r w:rsidR="00265F5D">
        <w:rPr>
          <w:iCs/>
          <w:color w:val="000000" w:themeColor="text1"/>
        </w:rPr>
        <w:t xml:space="preserve">suggest that the addition of pertuzumab to T+D may not increase </w:t>
      </w:r>
      <w:r w:rsidR="00872AAD" w:rsidRPr="006A526E">
        <w:rPr>
          <w:iCs/>
          <w:color w:val="000000" w:themeColor="text1"/>
        </w:rPr>
        <w:t xml:space="preserve">the effectiveness of the intervention in </w:t>
      </w:r>
      <w:r w:rsidR="00265F5D">
        <w:rPr>
          <w:iCs/>
          <w:color w:val="000000" w:themeColor="text1"/>
        </w:rPr>
        <w:t>patients with</w:t>
      </w:r>
      <w:r w:rsidR="00265F5D" w:rsidRPr="006A526E">
        <w:rPr>
          <w:iCs/>
          <w:color w:val="000000" w:themeColor="text1"/>
        </w:rPr>
        <w:t xml:space="preserve"> </w:t>
      </w:r>
      <w:r w:rsidR="00872AAD" w:rsidRPr="006A526E">
        <w:rPr>
          <w:iCs/>
          <w:color w:val="000000" w:themeColor="text1"/>
        </w:rPr>
        <w:t xml:space="preserve">ER- and/or PR-positive </w:t>
      </w:r>
      <w:r w:rsidR="00265F5D">
        <w:rPr>
          <w:iCs/>
          <w:color w:val="000000" w:themeColor="text1"/>
        </w:rPr>
        <w:t>disease</w:t>
      </w:r>
      <w:r w:rsidR="00872AAD" w:rsidRPr="006A526E">
        <w:rPr>
          <w:iCs/>
          <w:color w:val="000000" w:themeColor="text1"/>
        </w:rPr>
        <w:t>.</w:t>
      </w:r>
    </w:p>
    <w:p w:rsidR="00872AAD" w:rsidRPr="006A526E" w:rsidRDefault="00872AAD" w:rsidP="002560EB">
      <w:pPr>
        <w:pStyle w:val="3-BodyText"/>
        <w:rPr>
          <w:iCs/>
          <w:color w:val="000000" w:themeColor="text1"/>
        </w:rPr>
      </w:pPr>
      <w:r w:rsidRPr="006A526E">
        <w:rPr>
          <w:iCs/>
          <w:color w:val="000000" w:themeColor="text1"/>
        </w:rPr>
        <w:t xml:space="preserve">In PEONY, the treatment benefit of </w:t>
      </w:r>
      <w:r w:rsidR="00BD26D5" w:rsidRPr="006A526E">
        <w:rPr>
          <w:iCs/>
          <w:color w:val="000000" w:themeColor="text1"/>
        </w:rPr>
        <w:t>Ptz</w:t>
      </w:r>
      <w:r w:rsidR="008307C0" w:rsidRPr="006A526E">
        <w:rPr>
          <w:iCs/>
          <w:color w:val="000000" w:themeColor="text1"/>
        </w:rPr>
        <w:t>+T+</w:t>
      </w:r>
      <w:r w:rsidR="00BD26D5" w:rsidRPr="006A526E">
        <w:rPr>
          <w:iCs/>
          <w:color w:val="000000" w:themeColor="text1"/>
        </w:rPr>
        <w:t>D</w:t>
      </w:r>
      <w:r w:rsidRPr="006A526E">
        <w:rPr>
          <w:iCs/>
          <w:color w:val="000000" w:themeColor="text1"/>
        </w:rPr>
        <w:t xml:space="preserve"> appeared to be greater among premenopausal women: the difference in IRC-determined tpCR rates was 22.5% (95% CI 9.9%, 35.1%) in the premenopausal subgroup vs. 10.3% (95% CI −</w:t>
      </w:r>
      <w:proofErr w:type="gramStart"/>
      <w:r w:rsidRPr="006A526E">
        <w:rPr>
          <w:iCs/>
          <w:color w:val="000000" w:themeColor="text1"/>
        </w:rPr>
        <w:t>8.2%</w:t>
      </w:r>
      <w:proofErr w:type="gramEnd"/>
      <w:r w:rsidRPr="006A526E">
        <w:rPr>
          <w:iCs/>
          <w:color w:val="000000" w:themeColor="text1"/>
        </w:rPr>
        <w:t xml:space="preserve">, 28.9%) in the postmenopausal subgroup. </w:t>
      </w:r>
      <w:r w:rsidR="000F57D2">
        <w:rPr>
          <w:iCs/>
          <w:color w:val="000000" w:themeColor="text1"/>
        </w:rPr>
        <w:t>C</w:t>
      </w:r>
      <w:r w:rsidR="00A136E4">
        <w:rPr>
          <w:iCs/>
          <w:color w:val="000000" w:themeColor="text1"/>
        </w:rPr>
        <w:t>orresponding</w:t>
      </w:r>
      <w:r w:rsidR="00A136E4" w:rsidRPr="006A526E">
        <w:rPr>
          <w:iCs/>
          <w:color w:val="000000" w:themeColor="text1"/>
        </w:rPr>
        <w:t xml:space="preserve"> </w:t>
      </w:r>
      <w:r w:rsidRPr="006A526E">
        <w:rPr>
          <w:iCs/>
          <w:color w:val="000000" w:themeColor="text1"/>
        </w:rPr>
        <w:t xml:space="preserve">data from NEOSPHERE </w:t>
      </w:r>
      <w:r w:rsidR="00EB3FBC" w:rsidRPr="006A526E">
        <w:rPr>
          <w:iCs/>
          <w:color w:val="000000" w:themeColor="text1"/>
        </w:rPr>
        <w:t>w</w:t>
      </w:r>
      <w:r w:rsidR="00E84964">
        <w:rPr>
          <w:iCs/>
          <w:color w:val="000000" w:themeColor="text1"/>
        </w:rPr>
        <w:t>ere</w:t>
      </w:r>
      <w:r w:rsidRPr="006A526E">
        <w:rPr>
          <w:iCs/>
          <w:color w:val="000000" w:themeColor="text1"/>
        </w:rPr>
        <w:t xml:space="preserve"> not available. </w:t>
      </w:r>
    </w:p>
    <w:p w:rsidR="00872AAD" w:rsidRPr="009E19E1" w:rsidRDefault="00872AAD" w:rsidP="00872AAD">
      <w:pPr>
        <w:pStyle w:val="TableFigureHeading"/>
      </w:pPr>
      <w:bookmarkStart w:id="27" w:name="_Ref33607244"/>
      <w:r w:rsidRPr="009E19E1">
        <w:t xml:space="preserve">Table </w:t>
      </w:r>
      <w:r w:rsidR="00550A5E">
        <w:rPr>
          <w:noProof/>
        </w:rPr>
        <w:t>6</w:t>
      </w:r>
      <w:bookmarkEnd w:id="27"/>
      <w:r w:rsidRPr="009E19E1">
        <w:t xml:space="preserve">: Pathological complete response in the breast (bpCR) in NEOSPHERE (ITT population)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1268"/>
        <w:gridCol w:w="1270"/>
        <w:gridCol w:w="986"/>
        <w:gridCol w:w="2254"/>
      </w:tblGrid>
      <w:tr w:rsidR="00872AAD" w:rsidTr="00126A44">
        <w:trPr>
          <w:cantSplit/>
          <w:tblHeader/>
        </w:trPr>
        <w:tc>
          <w:tcPr>
            <w:tcW w:w="1796" w:type="pct"/>
            <w:shd w:val="clear" w:color="auto" w:fill="auto"/>
            <w:vAlign w:val="center"/>
          </w:tcPr>
          <w:p w:rsidR="00872AAD" w:rsidRDefault="00872AAD" w:rsidP="00872AAD">
            <w:pPr>
              <w:pStyle w:val="In-tableHeading"/>
            </w:pPr>
          </w:p>
        </w:tc>
        <w:tc>
          <w:tcPr>
            <w:tcW w:w="703" w:type="pct"/>
            <w:shd w:val="clear" w:color="auto" w:fill="auto"/>
            <w:vAlign w:val="center"/>
          </w:tcPr>
          <w:p w:rsidR="002D4778" w:rsidRDefault="00872AAD" w:rsidP="00872AAD">
            <w:pPr>
              <w:pStyle w:val="In-tableHeading"/>
              <w:jc w:val="center"/>
            </w:pPr>
            <w:r>
              <w:t>Arm B</w:t>
            </w:r>
            <w:r w:rsidR="002D4778">
              <w:t xml:space="preserve"> </w:t>
            </w:r>
          </w:p>
          <w:p w:rsidR="00872AAD" w:rsidRDefault="00BD26D5" w:rsidP="00872AAD">
            <w:pPr>
              <w:pStyle w:val="In-tableHeading"/>
              <w:jc w:val="center"/>
            </w:pPr>
            <w:r>
              <w:t>(Ptz</w:t>
            </w:r>
            <w:r w:rsidR="002D4778">
              <w:t>+</w:t>
            </w:r>
            <w:r w:rsidR="00872AAD">
              <w:t>T+D)</w:t>
            </w:r>
          </w:p>
          <w:p w:rsidR="00872AAD" w:rsidRDefault="00872AAD" w:rsidP="00872AAD">
            <w:pPr>
              <w:pStyle w:val="In-tableHeading"/>
              <w:jc w:val="center"/>
            </w:pPr>
            <w:proofErr w:type="gramStart"/>
            <w:r>
              <w:t>n/N</w:t>
            </w:r>
            <w:proofErr w:type="gramEnd"/>
            <w:r>
              <w:t xml:space="preserve"> (%)</w:t>
            </w:r>
          </w:p>
        </w:tc>
        <w:tc>
          <w:tcPr>
            <w:tcW w:w="704" w:type="pct"/>
            <w:shd w:val="clear" w:color="auto" w:fill="auto"/>
            <w:vAlign w:val="center"/>
          </w:tcPr>
          <w:p w:rsidR="002D4778" w:rsidRDefault="00872AAD" w:rsidP="00872AAD">
            <w:pPr>
              <w:pStyle w:val="In-tableHeading"/>
              <w:jc w:val="center"/>
            </w:pPr>
            <w:r>
              <w:t>Arm A</w:t>
            </w:r>
            <w:r w:rsidR="002D4778">
              <w:t xml:space="preserve"> </w:t>
            </w:r>
          </w:p>
          <w:p w:rsidR="00872AAD" w:rsidRDefault="00872AAD" w:rsidP="00872AAD">
            <w:pPr>
              <w:pStyle w:val="In-tableHeading"/>
              <w:jc w:val="center"/>
            </w:pPr>
            <w:r>
              <w:t>(T+D)</w:t>
            </w:r>
          </w:p>
          <w:p w:rsidR="00872AAD" w:rsidRDefault="00872AAD" w:rsidP="00872AAD">
            <w:pPr>
              <w:pStyle w:val="In-tableHeading"/>
              <w:jc w:val="center"/>
            </w:pPr>
            <w:proofErr w:type="gramStart"/>
            <w:r>
              <w:t>n/N</w:t>
            </w:r>
            <w:proofErr w:type="gramEnd"/>
            <w:r>
              <w:t xml:space="preserve"> (%)</w:t>
            </w:r>
          </w:p>
        </w:tc>
        <w:tc>
          <w:tcPr>
            <w:tcW w:w="547" w:type="pct"/>
            <w:shd w:val="clear" w:color="auto" w:fill="auto"/>
            <w:vAlign w:val="center"/>
          </w:tcPr>
          <w:p w:rsidR="00872AAD" w:rsidRPr="00B114BB" w:rsidRDefault="00872AAD" w:rsidP="00872AAD">
            <w:pPr>
              <w:pStyle w:val="In-tableHeading"/>
              <w:jc w:val="center"/>
            </w:pPr>
            <w:r w:rsidRPr="00B114BB">
              <w:t xml:space="preserve">RR </w:t>
            </w:r>
          </w:p>
          <w:p w:rsidR="00872AAD" w:rsidRPr="00B114BB" w:rsidRDefault="00872AAD" w:rsidP="00872AAD">
            <w:pPr>
              <w:pStyle w:val="In-tableHeading"/>
              <w:jc w:val="center"/>
            </w:pPr>
            <w:r w:rsidRPr="00B114BB">
              <w:t>(95% CI)</w:t>
            </w:r>
          </w:p>
        </w:tc>
        <w:tc>
          <w:tcPr>
            <w:tcW w:w="1251" w:type="pct"/>
            <w:shd w:val="clear" w:color="auto" w:fill="auto"/>
            <w:vAlign w:val="center"/>
          </w:tcPr>
          <w:p w:rsidR="00872AAD" w:rsidRPr="00B114BB" w:rsidRDefault="00872AAD" w:rsidP="00872AAD">
            <w:pPr>
              <w:pStyle w:val="In-tableHeading"/>
              <w:jc w:val="center"/>
            </w:pPr>
            <w:r w:rsidRPr="00B114BB">
              <w:t xml:space="preserve">Difference </w:t>
            </w:r>
          </w:p>
          <w:p w:rsidR="00872AAD" w:rsidRPr="00B114BB" w:rsidRDefault="00872AAD" w:rsidP="00872AAD">
            <w:pPr>
              <w:pStyle w:val="In-tableHeading"/>
              <w:jc w:val="center"/>
            </w:pPr>
            <w:r w:rsidRPr="00B114BB">
              <w:t>(Arm B – Arm A)</w:t>
            </w:r>
          </w:p>
          <w:p w:rsidR="00872AAD" w:rsidRPr="00B114BB" w:rsidRDefault="00872AAD" w:rsidP="00872AAD">
            <w:pPr>
              <w:pStyle w:val="In-tableHeading"/>
              <w:jc w:val="center"/>
            </w:pPr>
            <w:r w:rsidRPr="00B114BB">
              <w:t xml:space="preserve">% (95% CI), </w:t>
            </w:r>
            <w:r w:rsidRPr="00B114BB">
              <w:rPr>
                <w:iCs/>
              </w:rPr>
              <w:t>p</w:t>
            </w:r>
            <w:r w:rsidRPr="00B114BB">
              <w:t>-value</w:t>
            </w:r>
          </w:p>
        </w:tc>
      </w:tr>
      <w:tr w:rsidR="00872AAD" w:rsidTr="00126A44">
        <w:trPr>
          <w:cantSplit/>
        </w:trPr>
        <w:tc>
          <w:tcPr>
            <w:tcW w:w="1796" w:type="pct"/>
            <w:shd w:val="clear" w:color="auto" w:fill="auto"/>
            <w:vAlign w:val="center"/>
          </w:tcPr>
          <w:p w:rsidR="00872AAD" w:rsidRPr="004378C5" w:rsidRDefault="00872AAD" w:rsidP="00872AAD">
            <w:pPr>
              <w:pStyle w:val="TableText0"/>
            </w:pPr>
            <w:r>
              <w:t>Achieved pCR in the breast (bpCR)</w:t>
            </w:r>
          </w:p>
        </w:tc>
        <w:tc>
          <w:tcPr>
            <w:tcW w:w="703" w:type="pct"/>
            <w:shd w:val="clear" w:color="auto" w:fill="auto"/>
            <w:vAlign w:val="center"/>
          </w:tcPr>
          <w:p w:rsidR="00872AAD" w:rsidRDefault="00872AAD" w:rsidP="00872AAD">
            <w:pPr>
              <w:pStyle w:val="TableText0"/>
              <w:jc w:val="center"/>
            </w:pPr>
            <w:r>
              <w:t>49/107 (45.8)</w:t>
            </w:r>
          </w:p>
        </w:tc>
        <w:tc>
          <w:tcPr>
            <w:tcW w:w="704" w:type="pct"/>
            <w:shd w:val="clear" w:color="auto" w:fill="auto"/>
            <w:vAlign w:val="center"/>
          </w:tcPr>
          <w:p w:rsidR="00872AAD" w:rsidRDefault="00872AAD" w:rsidP="00872AAD">
            <w:pPr>
              <w:pStyle w:val="TableText0"/>
              <w:jc w:val="center"/>
            </w:pPr>
            <w:r>
              <w:t>31/107 (29.0)</w:t>
            </w:r>
          </w:p>
        </w:tc>
        <w:tc>
          <w:tcPr>
            <w:tcW w:w="547" w:type="pct"/>
            <w:shd w:val="clear" w:color="auto" w:fill="auto"/>
            <w:vAlign w:val="center"/>
          </w:tcPr>
          <w:p w:rsidR="00872AAD" w:rsidRPr="00B114BB" w:rsidRDefault="00872AAD" w:rsidP="00872AAD">
            <w:pPr>
              <w:pStyle w:val="TableText0"/>
              <w:jc w:val="center"/>
              <w:rPr>
                <w:iCs/>
              </w:rPr>
            </w:pPr>
            <w:r w:rsidRPr="00B114BB">
              <w:rPr>
                <w:iCs/>
              </w:rPr>
              <w:t>1.6 (NR)</w:t>
            </w:r>
          </w:p>
        </w:tc>
        <w:tc>
          <w:tcPr>
            <w:tcW w:w="1251" w:type="pct"/>
            <w:shd w:val="clear" w:color="auto" w:fill="auto"/>
            <w:vAlign w:val="center"/>
          </w:tcPr>
          <w:p w:rsidR="00872AAD" w:rsidRPr="00B114BB" w:rsidRDefault="00872AAD" w:rsidP="00872AAD">
            <w:pPr>
              <w:pStyle w:val="TableText0"/>
              <w:jc w:val="center"/>
            </w:pPr>
            <w:r w:rsidRPr="00B114BB">
              <w:rPr>
                <w:b/>
                <w:bCs w:val="0"/>
              </w:rPr>
              <w:t xml:space="preserve">16.8 (3.5, 30.1), </w:t>
            </w:r>
            <w:r w:rsidRPr="00B114BB">
              <w:rPr>
                <w:iCs/>
              </w:rPr>
              <w:t>p</w:t>
            </w:r>
            <w:r w:rsidRPr="00B114BB">
              <w:t>=0.0141*</w:t>
            </w:r>
          </w:p>
        </w:tc>
      </w:tr>
      <w:tr w:rsidR="00872AAD" w:rsidTr="00126A44">
        <w:trPr>
          <w:cantSplit/>
        </w:trPr>
        <w:tc>
          <w:tcPr>
            <w:tcW w:w="1796" w:type="pct"/>
            <w:shd w:val="clear" w:color="auto" w:fill="auto"/>
            <w:vAlign w:val="center"/>
          </w:tcPr>
          <w:p w:rsidR="00872AAD" w:rsidRPr="008022DC" w:rsidRDefault="00872AAD" w:rsidP="00872AAD">
            <w:pPr>
              <w:pStyle w:val="TableText0"/>
            </w:pPr>
            <w:r>
              <w:t>Achieved pCR and node negative (tpCR)</w:t>
            </w:r>
          </w:p>
        </w:tc>
        <w:tc>
          <w:tcPr>
            <w:tcW w:w="703" w:type="pct"/>
            <w:shd w:val="clear" w:color="auto" w:fill="auto"/>
            <w:vAlign w:val="center"/>
          </w:tcPr>
          <w:p w:rsidR="00872AAD" w:rsidRDefault="00872AAD" w:rsidP="00872AAD">
            <w:pPr>
              <w:pStyle w:val="TableText0"/>
              <w:jc w:val="center"/>
            </w:pPr>
            <w:r>
              <w:t>42/107 (39.3)</w:t>
            </w:r>
          </w:p>
        </w:tc>
        <w:tc>
          <w:tcPr>
            <w:tcW w:w="704" w:type="pct"/>
            <w:shd w:val="clear" w:color="auto" w:fill="auto"/>
            <w:vAlign w:val="center"/>
          </w:tcPr>
          <w:p w:rsidR="00872AAD" w:rsidRDefault="00872AAD" w:rsidP="00872AAD">
            <w:pPr>
              <w:pStyle w:val="TableText0"/>
              <w:jc w:val="center"/>
            </w:pPr>
            <w:r>
              <w:t>23/107 (21.5)</w:t>
            </w:r>
          </w:p>
        </w:tc>
        <w:tc>
          <w:tcPr>
            <w:tcW w:w="547" w:type="pct"/>
            <w:shd w:val="clear" w:color="auto" w:fill="auto"/>
            <w:vAlign w:val="center"/>
          </w:tcPr>
          <w:p w:rsidR="00872AAD" w:rsidRPr="00B114BB" w:rsidRDefault="00872AAD" w:rsidP="00872AAD">
            <w:pPr>
              <w:pStyle w:val="TableText0"/>
              <w:jc w:val="center"/>
              <w:rPr>
                <w:iCs/>
              </w:rPr>
            </w:pPr>
            <w:r w:rsidRPr="00B114BB">
              <w:rPr>
                <w:iCs/>
              </w:rPr>
              <w:t>1.8 (NR)</w:t>
            </w:r>
          </w:p>
        </w:tc>
        <w:tc>
          <w:tcPr>
            <w:tcW w:w="1251" w:type="pct"/>
            <w:shd w:val="clear" w:color="auto" w:fill="auto"/>
            <w:vAlign w:val="center"/>
          </w:tcPr>
          <w:p w:rsidR="00872AAD" w:rsidRPr="00B114BB" w:rsidRDefault="00872AAD" w:rsidP="00872AAD">
            <w:pPr>
              <w:pStyle w:val="TableText0"/>
              <w:jc w:val="center"/>
            </w:pPr>
            <w:r w:rsidRPr="00B114BB">
              <w:rPr>
                <w:b/>
                <w:bCs w:val="0"/>
              </w:rPr>
              <w:t xml:space="preserve">17.8 (4.6, 31.0), </w:t>
            </w:r>
            <w:r w:rsidRPr="00B114BB">
              <w:rPr>
                <w:iCs/>
              </w:rPr>
              <w:t>p</w:t>
            </w:r>
            <w:r w:rsidRPr="00B114BB">
              <w:t>=0.008^</w:t>
            </w:r>
          </w:p>
        </w:tc>
      </w:tr>
      <w:tr w:rsidR="00872AAD" w:rsidTr="00126A44">
        <w:trPr>
          <w:cantSplit/>
        </w:trPr>
        <w:tc>
          <w:tcPr>
            <w:tcW w:w="1796" w:type="pct"/>
            <w:shd w:val="clear" w:color="auto" w:fill="auto"/>
            <w:vAlign w:val="center"/>
          </w:tcPr>
          <w:p w:rsidR="00872AAD" w:rsidRPr="008022DC" w:rsidRDefault="00872AAD" w:rsidP="00872AAD">
            <w:pPr>
              <w:pStyle w:val="TableText0"/>
            </w:pPr>
            <w:r>
              <w:t>Achieved pCR and node positive</w:t>
            </w:r>
          </w:p>
        </w:tc>
        <w:tc>
          <w:tcPr>
            <w:tcW w:w="703" w:type="pct"/>
            <w:shd w:val="clear" w:color="auto" w:fill="auto"/>
            <w:vAlign w:val="center"/>
          </w:tcPr>
          <w:p w:rsidR="00872AAD" w:rsidRPr="000A6906" w:rsidRDefault="00872AAD" w:rsidP="00872AAD">
            <w:pPr>
              <w:pStyle w:val="TableText0"/>
              <w:jc w:val="center"/>
            </w:pPr>
            <w:r w:rsidRPr="000A6906">
              <w:t>7/107 (6.5)</w:t>
            </w:r>
          </w:p>
        </w:tc>
        <w:tc>
          <w:tcPr>
            <w:tcW w:w="704" w:type="pct"/>
            <w:shd w:val="clear" w:color="auto" w:fill="auto"/>
            <w:vAlign w:val="center"/>
          </w:tcPr>
          <w:p w:rsidR="00872AAD" w:rsidRPr="000A6906" w:rsidRDefault="00872AAD" w:rsidP="00872AAD">
            <w:pPr>
              <w:pStyle w:val="TableText0"/>
              <w:jc w:val="center"/>
            </w:pPr>
            <w:r w:rsidRPr="000A6906">
              <w:t>8/107 (7.5)</w:t>
            </w:r>
          </w:p>
        </w:tc>
        <w:tc>
          <w:tcPr>
            <w:tcW w:w="547" w:type="pct"/>
            <w:shd w:val="clear" w:color="auto" w:fill="auto"/>
            <w:vAlign w:val="center"/>
          </w:tcPr>
          <w:p w:rsidR="00872AAD" w:rsidRPr="00B114BB" w:rsidRDefault="00872AAD" w:rsidP="00872AAD">
            <w:pPr>
              <w:pStyle w:val="TableText0"/>
              <w:jc w:val="center"/>
              <w:rPr>
                <w:iCs/>
              </w:rPr>
            </w:pPr>
            <w:r w:rsidRPr="00B114BB">
              <w:rPr>
                <w:iCs/>
              </w:rPr>
              <w:t>0.9 (NR)</w:t>
            </w:r>
          </w:p>
        </w:tc>
        <w:tc>
          <w:tcPr>
            <w:tcW w:w="1251" w:type="pct"/>
            <w:shd w:val="clear" w:color="auto" w:fill="auto"/>
            <w:vAlign w:val="center"/>
          </w:tcPr>
          <w:p w:rsidR="00872AAD" w:rsidRPr="00B114BB" w:rsidRDefault="00872AAD" w:rsidP="00872AAD">
            <w:pPr>
              <w:pStyle w:val="TableText0"/>
              <w:jc w:val="center"/>
            </w:pPr>
            <w:r w:rsidRPr="00B114BB">
              <w:t xml:space="preserve">−1.0 (−10.2, 8.2), </w:t>
            </w:r>
            <w:r w:rsidRPr="00B114BB">
              <w:rPr>
                <w:iCs/>
              </w:rPr>
              <w:t>p</w:t>
            </w:r>
            <w:r w:rsidRPr="00B114BB">
              <w:t>=0.83^</w:t>
            </w:r>
          </w:p>
        </w:tc>
      </w:tr>
      <w:tr w:rsidR="00872AAD" w:rsidRPr="00C30E50" w:rsidTr="00126A44">
        <w:trPr>
          <w:cantSplit/>
        </w:trPr>
        <w:tc>
          <w:tcPr>
            <w:tcW w:w="1796" w:type="pct"/>
            <w:shd w:val="clear" w:color="auto" w:fill="auto"/>
            <w:vAlign w:val="center"/>
          </w:tcPr>
          <w:p w:rsidR="00872AAD" w:rsidRPr="00C30E50" w:rsidRDefault="00872AAD" w:rsidP="00872AAD">
            <w:pPr>
              <w:pStyle w:val="TableText0"/>
              <w:rPr>
                <w:b/>
              </w:rPr>
            </w:pPr>
            <w:r w:rsidRPr="00C30E50">
              <w:rPr>
                <w:b/>
              </w:rPr>
              <w:t>Subgroups by BC type</w:t>
            </w:r>
          </w:p>
        </w:tc>
        <w:tc>
          <w:tcPr>
            <w:tcW w:w="703" w:type="pct"/>
            <w:shd w:val="clear" w:color="auto" w:fill="auto"/>
            <w:vAlign w:val="center"/>
          </w:tcPr>
          <w:p w:rsidR="00872AAD" w:rsidRPr="00C30E50" w:rsidRDefault="00872AAD" w:rsidP="00872AAD">
            <w:pPr>
              <w:pStyle w:val="TableText0"/>
              <w:jc w:val="center"/>
              <w:rPr>
                <w:b/>
              </w:rPr>
            </w:pPr>
          </w:p>
        </w:tc>
        <w:tc>
          <w:tcPr>
            <w:tcW w:w="704" w:type="pct"/>
            <w:shd w:val="clear" w:color="auto" w:fill="auto"/>
            <w:vAlign w:val="center"/>
          </w:tcPr>
          <w:p w:rsidR="00872AAD" w:rsidRPr="00C30E50" w:rsidRDefault="00872AAD" w:rsidP="00872AAD">
            <w:pPr>
              <w:pStyle w:val="TableText0"/>
              <w:jc w:val="center"/>
              <w:rPr>
                <w:b/>
              </w:rPr>
            </w:pPr>
          </w:p>
        </w:tc>
        <w:tc>
          <w:tcPr>
            <w:tcW w:w="547" w:type="pct"/>
            <w:shd w:val="clear" w:color="auto" w:fill="auto"/>
            <w:vAlign w:val="center"/>
          </w:tcPr>
          <w:p w:rsidR="00872AAD" w:rsidRPr="00B114BB" w:rsidRDefault="00872AAD" w:rsidP="00872AAD">
            <w:pPr>
              <w:pStyle w:val="TableText0"/>
              <w:jc w:val="center"/>
              <w:rPr>
                <w:b/>
                <w:iCs/>
              </w:rPr>
            </w:pPr>
          </w:p>
        </w:tc>
        <w:tc>
          <w:tcPr>
            <w:tcW w:w="1251" w:type="pct"/>
            <w:shd w:val="clear" w:color="auto" w:fill="auto"/>
            <w:vAlign w:val="center"/>
          </w:tcPr>
          <w:p w:rsidR="00872AAD" w:rsidRPr="00B114BB" w:rsidRDefault="00872AAD" w:rsidP="00872AAD">
            <w:pPr>
              <w:pStyle w:val="TableText0"/>
              <w:jc w:val="center"/>
              <w:rPr>
                <w:b/>
              </w:rPr>
            </w:pPr>
          </w:p>
        </w:tc>
      </w:tr>
      <w:tr w:rsidR="00872AAD" w:rsidTr="00126A44">
        <w:trPr>
          <w:cantSplit/>
        </w:trPr>
        <w:tc>
          <w:tcPr>
            <w:tcW w:w="1796" w:type="pct"/>
            <w:shd w:val="clear" w:color="auto" w:fill="auto"/>
            <w:vAlign w:val="center"/>
          </w:tcPr>
          <w:p w:rsidR="00872AAD" w:rsidRDefault="00872AAD" w:rsidP="00872AAD">
            <w:pPr>
              <w:pStyle w:val="TableText0"/>
            </w:pPr>
            <w:r>
              <w:t>Operable BC (T2-3a, N0-1, M0)</w:t>
            </w:r>
          </w:p>
        </w:tc>
        <w:tc>
          <w:tcPr>
            <w:tcW w:w="703" w:type="pct"/>
            <w:shd w:val="clear" w:color="auto" w:fill="auto"/>
            <w:vAlign w:val="center"/>
          </w:tcPr>
          <w:p w:rsidR="00872AAD" w:rsidRDefault="00872AAD" w:rsidP="00872AAD">
            <w:pPr>
              <w:pStyle w:val="TableText0"/>
              <w:jc w:val="center"/>
            </w:pPr>
            <w:r>
              <w:t>31/65 (47.7)</w:t>
            </w:r>
          </w:p>
        </w:tc>
        <w:tc>
          <w:tcPr>
            <w:tcW w:w="704" w:type="pct"/>
            <w:shd w:val="clear" w:color="auto" w:fill="auto"/>
            <w:vAlign w:val="center"/>
          </w:tcPr>
          <w:p w:rsidR="00872AAD" w:rsidRDefault="00872AAD" w:rsidP="00872AAD">
            <w:pPr>
              <w:pStyle w:val="TableText0"/>
              <w:jc w:val="center"/>
            </w:pPr>
            <w:r>
              <w:t>15/64 (23.4)</w:t>
            </w:r>
          </w:p>
        </w:tc>
        <w:tc>
          <w:tcPr>
            <w:tcW w:w="547" w:type="pct"/>
            <w:shd w:val="clear" w:color="auto" w:fill="auto"/>
            <w:vAlign w:val="center"/>
          </w:tcPr>
          <w:p w:rsidR="00872AAD" w:rsidRPr="00B114BB" w:rsidRDefault="00872AAD" w:rsidP="00872AAD">
            <w:pPr>
              <w:pStyle w:val="TableText0"/>
              <w:jc w:val="center"/>
              <w:rPr>
                <w:iCs/>
              </w:rPr>
            </w:pPr>
            <w:r w:rsidRPr="00B114BB">
              <w:rPr>
                <w:iCs/>
              </w:rPr>
              <w:t>2.0 (NR)</w:t>
            </w:r>
          </w:p>
        </w:tc>
        <w:tc>
          <w:tcPr>
            <w:tcW w:w="1251" w:type="pct"/>
            <w:shd w:val="clear" w:color="auto" w:fill="auto"/>
            <w:vAlign w:val="center"/>
          </w:tcPr>
          <w:p w:rsidR="00872AAD" w:rsidRPr="00B114BB" w:rsidRDefault="00872AAD" w:rsidP="00872AAD">
            <w:pPr>
              <w:pStyle w:val="TableText0"/>
              <w:jc w:val="center"/>
              <w:rPr>
                <w:b/>
                <w:bCs w:val="0"/>
              </w:rPr>
            </w:pPr>
            <w:r w:rsidRPr="00B114BB">
              <w:rPr>
                <w:b/>
                <w:bCs w:val="0"/>
                <w:iCs/>
              </w:rPr>
              <w:t>24.3</w:t>
            </w:r>
            <w:r w:rsidRPr="00B114BB">
              <w:rPr>
                <w:b/>
                <w:bCs w:val="0"/>
              </w:rPr>
              <w:t xml:space="preserve"> (</w:t>
            </w:r>
            <w:r w:rsidRPr="00B114BB">
              <w:rPr>
                <w:b/>
                <w:bCs w:val="0"/>
                <w:iCs/>
              </w:rPr>
              <w:t>7.4, 41.1</w:t>
            </w:r>
            <w:r w:rsidRPr="00B114BB">
              <w:rPr>
                <w:b/>
                <w:bCs w:val="0"/>
              </w:rPr>
              <w:t>)</w:t>
            </w:r>
          </w:p>
        </w:tc>
      </w:tr>
      <w:tr w:rsidR="00872AAD" w:rsidTr="00126A44">
        <w:trPr>
          <w:cantSplit/>
        </w:trPr>
        <w:tc>
          <w:tcPr>
            <w:tcW w:w="1796" w:type="pct"/>
            <w:shd w:val="clear" w:color="auto" w:fill="auto"/>
            <w:vAlign w:val="center"/>
          </w:tcPr>
          <w:p w:rsidR="00872AAD" w:rsidRDefault="00872AAD" w:rsidP="00872AAD">
            <w:pPr>
              <w:pStyle w:val="TableText0"/>
            </w:pPr>
            <w:r>
              <w:t>LABC (T3b-4c, N2-3, M0)</w:t>
            </w:r>
          </w:p>
        </w:tc>
        <w:tc>
          <w:tcPr>
            <w:tcW w:w="703" w:type="pct"/>
            <w:shd w:val="clear" w:color="auto" w:fill="auto"/>
            <w:vAlign w:val="center"/>
          </w:tcPr>
          <w:p w:rsidR="00872AAD" w:rsidRDefault="00872AAD" w:rsidP="00872AAD">
            <w:pPr>
              <w:pStyle w:val="TableText0"/>
              <w:jc w:val="center"/>
            </w:pPr>
            <w:r>
              <w:t>14/32 (43.8)</w:t>
            </w:r>
          </w:p>
        </w:tc>
        <w:tc>
          <w:tcPr>
            <w:tcW w:w="704" w:type="pct"/>
            <w:shd w:val="clear" w:color="auto" w:fill="auto"/>
            <w:vAlign w:val="center"/>
          </w:tcPr>
          <w:p w:rsidR="00872AAD" w:rsidRDefault="00872AAD" w:rsidP="00872AAD">
            <w:pPr>
              <w:pStyle w:val="TableText0"/>
              <w:jc w:val="center"/>
            </w:pPr>
            <w:r>
              <w:t>15/36 (41.7)</w:t>
            </w:r>
          </w:p>
        </w:tc>
        <w:tc>
          <w:tcPr>
            <w:tcW w:w="547" w:type="pct"/>
            <w:shd w:val="clear" w:color="auto" w:fill="auto"/>
            <w:vAlign w:val="center"/>
          </w:tcPr>
          <w:p w:rsidR="00872AAD" w:rsidRPr="00B114BB" w:rsidRDefault="00872AAD" w:rsidP="00872AAD">
            <w:pPr>
              <w:pStyle w:val="TableText0"/>
              <w:jc w:val="center"/>
              <w:rPr>
                <w:iCs/>
              </w:rPr>
            </w:pPr>
            <w:r w:rsidRPr="00B114BB">
              <w:rPr>
                <w:iCs/>
              </w:rPr>
              <w:t>1.1 (NR)</w:t>
            </w:r>
          </w:p>
        </w:tc>
        <w:tc>
          <w:tcPr>
            <w:tcW w:w="1251" w:type="pct"/>
            <w:shd w:val="clear" w:color="auto" w:fill="auto"/>
            <w:vAlign w:val="center"/>
          </w:tcPr>
          <w:p w:rsidR="00872AAD" w:rsidRPr="00B114BB" w:rsidRDefault="00872AAD" w:rsidP="00872AAD">
            <w:pPr>
              <w:pStyle w:val="TableText0"/>
              <w:jc w:val="center"/>
            </w:pPr>
            <w:r w:rsidRPr="00B114BB">
              <w:rPr>
                <w:iCs/>
              </w:rPr>
              <w:t>2.1</w:t>
            </w:r>
            <w:r w:rsidRPr="00B114BB">
              <w:t xml:space="preserve"> (</w:t>
            </w:r>
            <w:r w:rsidRPr="00B114BB">
              <w:rPr>
                <w:iCs/>
              </w:rPr>
              <w:t>−23.4, 27.6</w:t>
            </w:r>
            <w:r w:rsidRPr="00B114BB">
              <w:t>)</w:t>
            </w:r>
          </w:p>
        </w:tc>
      </w:tr>
      <w:tr w:rsidR="00872AAD" w:rsidTr="00126A44">
        <w:trPr>
          <w:cantSplit/>
        </w:trPr>
        <w:tc>
          <w:tcPr>
            <w:tcW w:w="1796" w:type="pct"/>
            <w:shd w:val="clear" w:color="auto" w:fill="auto"/>
            <w:vAlign w:val="center"/>
          </w:tcPr>
          <w:p w:rsidR="00872AAD" w:rsidRDefault="00872AAD" w:rsidP="00872AAD">
            <w:pPr>
              <w:pStyle w:val="TableText0"/>
            </w:pPr>
            <w:r>
              <w:t>iBC (T4d, any N, M0)</w:t>
            </w:r>
          </w:p>
        </w:tc>
        <w:tc>
          <w:tcPr>
            <w:tcW w:w="703" w:type="pct"/>
            <w:shd w:val="clear" w:color="auto" w:fill="auto"/>
            <w:vAlign w:val="center"/>
          </w:tcPr>
          <w:p w:rsidR="00872AAD" w:rsidRDefault="00872AAD" w:rsidP="00872AAD">
            <w:pPr>
              <w:pStyle w:val="TableText0"/>
              <w:jc w:val="center"/>
            </w:pPr>
            <w:r>
              <w:t>4/10 (40.0)</w:t>
            </w:r>
          </w:p>
        </w:tc>
        <w:tc>
          <w:tcPr>
            <w:tcW w:w="704" w:type="pct"/>
            <w:shd w:val="clear" w:color="auto" w:fill="auto"/>
            <w:vAlign w:val="center"/>
          </w:tcPr>
          <w:p w:rsidR="00872AAD" w:rsidRDefault="00872AAD" w:rsidP="00872AAD">
            <w:pPr>
              <w:pStyle w:val="TableText0"/>
              <w:jc w:val="center"/>
            </w:pPr>
            <w:r>
              <w:t>1/7 (14.3)</w:t>
            </w:r>
          </w:p>
        </w:tc>
        <w:tc>
          <w:tcPr>
            <w:tcW w:w="547" w:type="pct"/>
            <w:shd w:val="clear" w:color="auto" w:fill="auto"/>
            <w:vAlign w:val="center"/>
          </w:tcPr>
          <w:p w:rsidR="00872AAD" w:rsidRPr="00B114BB" w:rsidRDefault="00872AAD" w:rsidP="00872AAD">
            <w:pPr>
              <w:pStyle w:val="TableText0"/>
              <w:jc w:val="center"/>
              <w:rPr>
                <w:iCs/>
              </w:rPr>
            </w:pPr>
            <w:r w:rsidRPr="00B114BB">
              <w:rPr>
                <w:iCs/>
              </w:rPr>
              <w:t>2.8 (NR)</w:t>
            </w:r>
          </w:p>
        </w:tc>
        <w:tc>
          <w:tcPr>
            <w:tcW w:w="1251" w:type="pct"/>
            <w:shd w:val="clear" w:color="auto" w:fill="auto"/>
            <w:vAlign w:val="center"/>
          </w:tcPr>
          <w:p w:rsidR="00872AAD" w:rsidRPr="00B114BB" w:rsidRDefault="00872AAD" w:rsidP="00872AAD">
            <w:pPr>
              <w:pStyle w:val="TableText0"/>
              <w:jc w:val="center"/>
            </w:pPr>
            <w:r w:rsidRPr="00B114BB">
              <w:rPr>
                <w:iCs/>
              </w:rPr>
              <w:t xml:space="preserve">25.7 </w:t>
            </w:r>
            <w:r w:rsidRPr="00B114BB">
              <w:t>(</w:t>
            </w:r>
            <w:r w:rsidRPr="00B114BB">
              <w:rPr>
                <w:iCs/>
              </w:rPr>
              <w:t>−24.0, 75.4</w:t>
            </w:r>
            <w:r w:rsidRPr="00B114BB">
              <w:t>)</w:t>
            </w:r>
          </w:p>
        </w:tc>
      </w:tr>
      <w:tr w:rsidR="00872AAD" w:rsidRPr="00C30E50" w:rsidTr="00126A44">
        <w:trPr>
          <w:cantSplit/>
        </w:trPr>
        <w:tc>
          <w:tcPr>
            <w:tcW w:w="5000" w:type="pct"/>
            <w:gridSpan w:val="5"/>
            <w:shd w:val="clear" w:color="auto" w:fill="auto"/>
            <w:vAlign w:val="center"/>
          </w:tcPr>
          <w:p w:rsidR="00872AAD" w:rsidRPr="00B114BB" w:rsidRDefault="00872AAD" w:rsidP="00872AAD">
            <w:pPr>
              <w:pStyle w:val="TableText0"/>
              <w:rPr>
                <w:b/>
              </w:rPr>
            </w:pPr>
            <w:r w:rsidRPr="00B114BB">
              <w:rPr>
                <w:b/>
              </w:rPr>
              <w:t>Subgroups by hormone-receptor status</w:t>
            </w:r>
          </w:p>
        </w:tc>
      </w:tr>
      <w:tr w:rsidR="00872AAD" w:rsidTr="00126A44">
        <w:trPr>
          <w:cantSplit/>
        </w:trPr>
        <w:tc>
          <w:tcPr>
            <w:tcW w:w="1796" w:type="pct"/>
            <w:shd w:val="clear" w:color="auto" w:fill="auto"/>
            <w:vAlign w:val="center"/>
          </w:tcPr>
          <w:p w:rsidR="00872AAD" w:rsidRDefault="00872AAD" w:rsidP="00872AAD">
            <w:pPr>
              <w:pStyle w:val="TableText0"/>
            </w:pPr>
            <w:r>
              <w:t>ER- and/or PR-positive</w:t>
            </w:r>
          </w:p>
        </w:tc>
        <w:tc>
          <w:tcPr>
            <w:tcW w:w="703" w:type="pct"/>
            <w:shd w:val="clear" w:color="auto" w:fill="auto"/>
            <w:vAlign w:val="center"/>
          </w:tcPr>
          <w:p w:rsidR="00872AAD" w:rsidRDefault="00872AAD" w:rsidP="00872AAD">
            <w:pPr>
              <w:pStyle w:val="TableText0"/>
              <w:jc w:val="center"/>
            </w:pPr>
            <w:r>
              <w:t>13/50 (26.0)</w:t>
            </w:r>
          </w:p>
        </w:tc>
        <w:tc>
          <w:tcPr>
            <w:tcW w:w="704" w:type="pct"/>
            <w:shd w:val="clear" w:color="auto" w:fill="auto"/>
            <w:vAlign w:val="center"/>
          </w:tcPr>
          <w:p w:rsidR="00872AAD" w:rsidRDefault="00872AAD" w:rsidP="00872AAD">
            <w:pPr>
              <w:pStyle w:val="TableText0"/>
              <w:jc w:val="center"/>
            </w:pPr>
            <w:r>
              <w:t>10/50 (20.0)</w:t>
            </w:r>
          </w:p>
        </w:tc>
        <w:tc>
          <w:tcPr>
            <w:tcW w:w="547" w:type="pct"/>
            <w:shd w:val="clear" w:color="auto" w:fill="auto"/>
            <w:vAlign w:val="center"/>
          </w:tcPr>
          <w:p w:rsidR="00872AAD" w:rsidRPr="00B114BB" w:rsidRDefault="00872AAD" w:rsidP="00872AAD">
            <w:pPr>
              <w:pStyle w:val="TableText0"/>
              <w:jc w:val="center"/>
              <w:rPr>
                <w:iCs/>
              </w:rPr>
            </w:pPr>
            <w:r w:rsidRPr="00B114BB">
              <w:rPr>
                <w:iCs/>
              </w:rPr>
              <w:t>1.3 (NR)</w:t>
            </w:r>
          </w:p>
        </w:tc>
        <w:tc>
          <w:tcPr>
            <w:tcW w:w="1251" w:type="pct"/>
            <w:shd w:val="clear" w:color="auto" w:fill="auto"/>
            <w:vAlign w:val="center"/>
          </w:tcPr>
          <w:p w:rsidR="00872AAD" w:rsidRPr="00B114BB" w:rsidRDefault="00872AAD" w:rsidP="00872AAD">
            <w:pPr>
              <w:pStyle w:val="TableText0"/>
              <w:jc w:val="center"/>
            </w:pPr>
            <w:r w:rsidRPr="00B114BB">
              <w:rPr>
                <w:iCs/>
              </w:rPr>
              <w:t>6.0</w:t>
            </w:r>
            <w:r w:rsidRPr="00B114BB">
              <w:t xml:space="preserve"> (</w:t>
            </w:r>
            <w:r w:rsidRPr="00B114BB">
              <w:rPr>
                <w:iCs/>
              </w:rPr>
              <w:t>−11.6, 23.6</w:t>
            </w:r>
            <w:r w:rsidRPr="00B114BB">
              <w:t>)</w:t>
            </w:r>
          </w:p>
        </w:tc>
      </w:tr>
      <w:tr w:rsidR="00872AAD" w:rsidTr="00126A44">
        <w:trPr>
          <w:cantSplit/>
        </w:trPr>
        <w:tc>
          <w:tcPr>
            <w:tcW w:w="1796" w:type="pct"/>
            <w:shd w:val="clear" w:color="auto" w:fill="auto"/>
            <w:vAlign w:val="center"/>
          </w:tcPr>
          <w:p w:rsidR="00872AAD" w:rsidRDefault="00872AAD" w:rsidP="00872AAD">
            <w:pPr>
              <w:pStyle w:val="TableText0"/>
            </w:pPr>
            <w:r>
              <w:t>ER- and PR-negative</w:t>
            </w:r>
          </w:p>
        </w:tc>
        <w:tc>
          <w:tcPr>
            <w:tcW w:w="703" w:type="pct"/>
            <w:shd w:val="clear" w:color="auto" w:fill="auto"/>
            <w:vAlign w:val="center"/>
          </w:tcPr>
          <w:p w:rsidR="00872AAD" w:rsidRDefault="00872AAD" w:rsidP="00872AAD">
            <w:pPr>
              <w:pStyle w:val="TableText0"/>
              <w:jc w:val="center"/>
            </w:pPr>
            <w:r>
              <w:t>36/57 (63.2)</w:t>
            </w:r>
          </w:p>
        </w:tc>
        <w:tc>
          <w:tcPr>
            <w:tcW w:w="704" w:type="pct"/>
            <w:shd w:val="clear" w:color="auto" w:fill="auto"/>
            <w:vAlign w:val="center"/>
          </w:tcPr>
          <w:p w:rsidR="00872AAD" w:rsidRDefault="00872AAD" w:rsidP="00872AAD">
            <w:pPr>
              <w:pStyle w:val="TableText0"/>
              <w:jc w:val="center"/>
            </w:pPr>
            <w:r>
              <w:t>21/57 (36.8)</w:t>
            </w:r>
          </w:p>
        </w:tc>
        <w:tc>
          <w:tcPr>
            <w:tcW w:w="547" w:type="pct"/>
            <w:shd w:val="clear" w:color="auto" w:fill="auto"/>
            <w:vAlign w:val="center"/>
          </w:tcPr>
          <w:p w:rsidR="00872AAD" w:rsidRPr="00B114BB" w:rsidRDefault="00872AAD" w:rsidP="00872AAD">
            <w:pPr>
              <w:pStyle w:val="TableText0"/>
              <w:jc w:val="center"/>
              <w:rPr>
                <w:iCs/>
              </w:rPr>
            </w:pPr>
            <w:r w:rsidRPr="00B114BB">
              <w:rPr>
                <w:iCs/>
              </w:rPr>
              <w:t>1.7 (NR)</w:t>
            </w:r>
          </w:p>
        </w:tc>
        <w:tc>
          <w:tcPr>
            <w:tcW w:w="1251" w:type="pct"/>
            <w:shd w:val="clear" w:color="auto" w:fill="auto"/>
            <w:vAlign w:val="center"/>
          </w:tcPr>
          <w:p w:rsidR="00872AAD" w:rsidRPr="00B114BB" w:rsidRDefault="00872AAD" w:rsidP="00872AAD">
            <w:pPr>
              <w:pStyle w:val="TableText0"/>
              <w:jc w:val="center"/>
              <w:rPr>
                <w:b/>
                <w:bCs w:val="0"/>
              </w:rPr>
            </w:pPr>
            <w:r w:rsidRPr="00B114BB">
              <w:rPr>
                <w:b/>
                <w:bCs w:val="0"/>
                <w:iCs/>
              </w:rPr>
              <w:t xml:space="preserve">26.3 </w:t>
            </w:r>
            <w:r w:rsidRPr="00B114BB">
              <w:rPr>
                <w:b/>
                <w:bCs w:val="0"/>
              </w:rPr>
              <w:t>(</w:t>
            </w:r>
            <w:r w:rsidRPr="00B114BB">
              <w:rPr>
                <w:b/>
                <w:bCs w:val="0"/>
                <w:iCs/>
              </w:rPr>
              <w:t>7.6, 45.1</w:t>
            </w:r>
            <w:r w:rsidRPr="00B114BB">
              <w:rPr>
                <w:b/>
                <w:bCs w:val="0"/>
              </w:rPr>
              <w:t>)</w:t>
            </w:r>
          </w:p>
        </w:tc>
      </w:tr>
    </w:tbl>
    <w:p w:rsidR="00872AAD" w:rsidRPr="00B1011F" w:rsidRDefault="00872AAD" w:rsidP="00872AAD">
      <w:pPr>
        <w:pStyle w:val="TableFigureFooter"/>
        <w:rPr>
          <w:sz w:val="20"/>
        </w:rPr>
      </w:pPr>
      <w:r>
        <w:t xml:space="preserve">Source: Table 2.17, p57 </w:t>
      </w:r>
      <w:r w:rsidRPr="00D13A3E">
        <w:t xml:space="preserve">of the </w:t>
      </w:r>
      <w:r>
        <w:t xml:space="preserve">submission; Tables 14, 16-17, pp91-93 in Primary CSR WO20697 (Report No. 1032196); </w:t>
      </w:r>
    </w:p>
    <w:p w:rsidR="00872AAD" w:rsidRDefault="00872AAD" w:rsidP="00872AAD">
      <w:pPr>
        <w:pStyle w:val="TableFigureFooter"/>
        <w:rPr>
          <w:rFonts w:eastAsia="Calibri"/>
        </w:rPr>
      </w:pPr>
      <w:proofErr w:type="gramStart"/>
      <w:r>
        <w:rPr>
          <w:rFonts w:eastAsia="Calibri"/>
        </w:rPr>
        <w:t xml:space="preserve">BC = breast cancer; </w:t>
      </w:r>
      <w:r w:rsidR="002D4778">
        <w:rPr>
          <w:rFonts w:eastAsia="Calibri"/>
        </w:rPr>
        <w:t xml:space="preserve">bpCR = pCR in the breast; </w:t>
      </w:r>
      <w:r w:rsidRPr="00B40358">
        <w:rPr>
          <w:rFonts w:eastAsia="Calibri"/>
        </w:rPr>
        <w:t>CI = confidence interval</w:t>
      </w:r>
      <w:r>
        <w:rPr>
          <w:rFonts w:eastAsia="Calibri"/>
        </w:rPr>
        <w:t>; D = docetaxel; eBC = early BC; ER = oestrogen receptor; iBC = inflammatory BC; ITT = intention-to-treat;</w:t>
      </w:r>
      <w:r w:rsidRPr="00B40358">
        <w:rPr>
          <w:rFonts w:eastAsia="Calibri"/>
        </w:rPr>
        <w:t xml:space="preserve"> </w:t>
      </w:r>
      <w:r>
        <w:rPr>
          <w:rFonts w:eastAsia="Calibri"/>
        </w:rPr>
        <w:t xml:space="preserve">LABC = locally advanced BC; </w:t>
      </w:r>
      <w:r w:rsidRPr="00B40358">
        <w:rPr>
          <w:rFonts w:eastAsia="Calibri"/>
        </w:rPr>
        <w:t>n = number of participants with event; N = total participants in group</w:t>
      </w:r>
      <w:r>
        <w:rPr>
          <w:rFonts w:eastAsia="Calibri"/>
        </w:rPr>
        <w:t>; NR = not reported; P</w:t>
      </w:r>
      <w:r w:rsidR="005F78B1">
        <w:rPr>
          <w:rFonts w:eastAsia="Calibri"/>
        </w:rPr>
        <w:t>tz</w:t>
      </w:r>
      <w:r>
        <w:rPr>
          <w:rFonts w:eastAsia="Calibri"/>
        </w:rPr>
        <w:t xml:space="preserve"> = pertuzumab; PBO = placebo; pCR = pathological complete response; PR = progesterone receptor; RR = rate ratio;  T = trastuzumab; tpCR = total pathological complete response</w:t>
      </w:r>
      <w:proofErr w:type="gramEnd"/>
    </w:p>
    <w:p w:rsidR="00872AAD" w:rsidRDefault="00872AAD" w:rsidP="00872AAD">
      <w:pPr>
        <w:pStyle w:val="TableFigureFooter"/>
        <w:rPr>
          <w:rFonts w:eastAsia="Calibri"/>
        </w:rPr>
      </w:pPr>
      <w:r w:rsidRPr="00760F9E">
        <w:rPr>
          <w:rFonts w:eastAsia="Calibri"/>
          <w:b/>
        </w:rPr>
        <w:t>Bold</w:t>
      </w:r>
      <w:r>
        <w:rPr>
          <w:rFonts w:eastAsia="Calibri"/>
        </w:rPr>
        <w:t xml:space="preserve"> indicates statistically significant results.</w:t>
      </w:r>
    </w:p>
    <w:p w:rsidR="00872AAD" w:rsidRDefault="00872AAD" w:rsidP="00872AAD">
      <w:pPr>
        <w:pStyle w:val="TableFigureFooter"/>
      </w:pPr>
      <w:r>
        <w:t>*</w:t>
      </w:r>
      <w:r w:rsidRPr="0086665F">
        <w:rPr>
          <w:i/>
        </w:rPr>
        <w:t>p</w:t>
      </w:r>
      <w:r>
        <w:t>-value from Cochran-Mantel-Haenszel test, with Simes multiplicity adjustment</w:t>
      </w:r>
    </w:p>
    <w:p w:rsidR="00872AAD" w:rsidRPr="0086665F" w:rsidRDefault="00872AAD" w:rsidP="00872AAD">
      <w:pPr>
        <w:pStyle w:val="TableFigureFooter"/>
        <w:rPr>
          <w:rFonts w:eastAsia="Calibri"/>
        </w:rPr>
      </w:pPr>
      <w:r>
        <w:rPr>
          <w:rFonts w:eastAsia="Calibri"/>
        </w:rPr>
        <w:t>^ The submission reported that these results were calculated post-hoc and not adjusted for multiplicity (p57 of the submission).</w:t>
      </w:r>
    </w:p>
    <w:p w:rsidR="00872AAD" w:rsidRPr="008830A5" w:rsidRDefault="00872AAD" w:rsidP="00872AAD">
      <w:pPr>
        <w:pStyle w:val="TableFigureFooter"/>
        <w:rPr>
          <w:rFonts w:eastAsia="Calibri"/>
        </w:rPr>
      </w:pPr>
      <w:r>
        <w:rPr>
          <w:rFonts w:eastAsia="Calibri"/>
        </w:rPr>
        <w:t xml:space="preserve">Rate ratios </w:t>
      </w:r>
      <w:proofErr w:type="gramStart"/>
      <w:r>
        <w:rPr>
          <w:rFonts w:eastAsia="Calibri"/>
        </w:rPr>
        <w:t>were computed</w:t>
      </w:r>
      <w:proofErr w:type="gramEnd"/>
      <w:r>
        <w:rPr>
          <w:rFonts w:eastAsia="Calibri"/>
        </w:rPr>
        <w:t xml:space="preserve"> by simply dividing the pCR rates in the two treatment groups (Arm B vs. Arm A). </w:t>
      </w:r>
    </w:p>
    <w:p w:rsidR="00872AAD" w:rsidRPr="009E19E1" w:rsidRDefault="000D09D2" w:rsidP="00872AAD">
      <w:pPr>
        <w:pStyle w:val="TableFigureHeading"/>
      </w:pPr>
      <w:bookmarkStart w:id="28" w:name="_Ref33607287"/>
      <w:r>
        <w:lastRenderedPageBreak/>
        <w:t xml:space="preserve">Table </w:t>
      </w:r>
      <w:r w:rsidR="00550A5E">
        <w:rPr>
          <w:noProof/>
        </w:rPr>
        <w:t>7</w:t>
      </w:r>
      <w:bookmarkEnd w:id="28"/>
      <w:r w:rsidR="00872AAD" w:rsidRPr="009E19E1">
        <w:t>: Total pathological complete response (tpCR) by subgroup</w:t>
      </w:r>
      <w:r w:rsidR="00682AAF">
        <w:t>s</w:t>
      </w:r>
      <w:r w:rsidR="00872AAD" w:rsidRPr="009E19E1">
        <w:t xml:space="preserve"> in </w:t>
      </w:r>
      <w:r w:rsidR="00872AAD" w:rsidRPr="00F83D65">
        <w:rPr>
          <w:iCs/>
        </w:rPr>
        <w:t>PEONY</w:t>
      </w:r>
      <w:r w:rsidR="00872AAD" w:rsidRPr="009E19E1">
        <w:t xml:space="preserve"> </w:t>
      </w:r>
      <w:r w:rsidR="00D758F9">
        <w:t>(not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692"/>
        <w:gridCol w:w="1832"/>
        <w:gridCol w:w="1551"/>
        <w:gridCol w:w="1973"/>
      </w:tblGrid>
      <w:tr w:rsidR="00872AAD" w:rsidRPr="00B114BB" w:rsidTr="00126A44">
        <w:trPr>
          <w:cantSplit/>
          <w:tblHeader/>
        </w:trPr>
        <w:tc>
          <w:tcPr>
            <w:tcW w:w="1092" w:type="pct"/>
            <w:shd w:val="clear" w:color="auto" w:fill="auto"/>
            <w:vAlign w:val="center"/>
          </w:tcPr>
          <w:p w:rsidR="00872AAD" w:rsidRPr="00B114BB" w:rsidRDefault="00872AAD" w:rsidP="00872AAD">
            <w:pPr>
              <w:pStyle w:val="In-tableHeading"/>
            </w:pPr>
          </w:p>
        </w:tc>
        <w:tc>
          <w:tcPr>
            <w:tcW w:w="938" w:type="pct"/>
            <w:shd w:val="clear" w:color="auto" w:fill="auto"/>
            <w:vAlign w:val="center"/>
          </w:tcPr>
          <w:p w:rsidR="00872AAD" w:rsidRPr="00B114BB" w:rsidRDefault="00682AAF" w:rsidP="00872AAD">
            <w:pPr>
              <w:pStyle w:val="In-tableHeading"/>
              <w:jc w:val="center"/>
            </w:pPr>
            <w:r w:rsidRPr="00B114BB" w:rsidDel="00682AAF">
              <w:t xml:space="preserve"> </w:t>
            </w:r>
            <w:r w:rsidR="00BD26D5" w:rsidRPr="00B114BB">
              <w:t>Ptz</w:t>
            </w:r>
            <w:r w:rsidRPr="00B114BB">
              <w:t>+</w:t>
            </w:r>
            <w:r w:rsidR="00BD26D5" w:rsidRPr="00B114BB">
              <w:t>T+D</w:t>
            </w:r>
          </w:p>
          <w:p w:rsidR="00872AAD" w:rsidRPr="00B114BB" w:rsidRDefault="00872AAD" w:rsidP="00872AAD">
            <w:pPr>
              <w:pStyle w:val="In-tableHeading"/>
              <w:jc w:val="center"/>
            </w:pPr>
            <w:proofErr w:type="gramStart"/>
            <w:r w:rsidRPr="00B114BB">
              <w:t>n/N</w:t>
            </w:r>
            <w:proofErr w:type="gramEnd"/>
            <w:r w:rsidRPr="00B114BB">
              <w:t xml:space="preserve"> (%)</w:t>
            </w:r>
          </w:p>
        </w:tc>
        <w:tc>
          <w:tcPr>
            <w:tcW w:w="1016" w:type="pct"/>
            <w:shd w:val="clear" w:color="auto" w:fill="auto"/>
            <w:vAlign w:val="center"/>
          </w:tcPr>
          <w:p w:rsidR="00872AAD" w:rsidRPr="00B114BB" w:rsidRDefault="00682AAF" w:rsidP="00872AAD">
            <w:pPr>
              <w:pStyle w:val="In-tableHeading"/>
              <w:jc w:val="center"/>
            </w:pPr>
            <w:proofErr w:type="spellStart"/>
            <w:r w:rsidRPr="00B114BB">
              <w:t>Placebo+</w:t>
            </w:r>
            <w:r w:rsidR="00872AAD" w:rsidRPr="00B114BB">
              <w:t>T+</w:t>
            </w:r>
            <w:r w:rsidR="00BD26D5" w:rsidRPr="00B114BB">
              <w:t>D</w:t>
            </w:r>
            <w:proofErr w:type="spellEnd"/>
          </w:p>
          <w:p w:rsidR="00872AAD" w:rsidRPr="00B114BB" w:rsidRDefault="00872AAD" w:rsidP="00872AAD">
            <w:pPr>
              <w:pStyle w:val="In-tableHeading"/>
              <w:jc w:val="center"/>
            </w:pPr>
            <w:proofErr w:type="gramStart"/>
            <w:r w:rsidRPr="00B114BB">
              <w:t>n/N</w:t>
            </w:r>
            <w:proofErr w:type="gramEnd"/>
            <w:r w:rsidRPr="00B114BB">
              <w:t xml:space="preserve"> (%)</w:t>
            </w:r>
          </w:p>
        </w:tc>
        <w:tc>
          <w:tcPr>
            <w:tcW w:w="860" w:type="pct"/>
            <w:shd w:val="clear" w:color="auto" w:fill="auto"/>
            <w:vAlign w:val="center"/>
          </w:tcPr>
          <w:p w:rsidR="00872AAD" w:rsidRPr="00B114BB" w:rsidRDefault="00872AAD" w:rsidP="00872AAD">
            <w:pPr>
              <w:pStyle w:val="In-tableHeading"/>
              <w:jc w:val="center"/>
            </w:pPr>
            <w:r w:rsidRPr="00B114BB">
              <w:t xml:space="preserve">RR </w:t>
            </w:r>
          </w:p>
          <w:p w:rsidR="00872AAD" w:rsidRPr="00B114BB" w:rsidRDefault="00872AAD" w:rsidP="00872AAD">
            <w:pPr>
              <w:pStyle w:val="In-tableHeading"/>
              <w:jc w:val="center"/>
            </w:pPr>
            <w:r w:rsidRPr="00B114BB">
              <w:t>(95% CI)</w:t>
            </w:r>
          </w:p>
        </w:tc>
        <w:tc>
          <w:tcPr>
            <w:tcW w:w="1094" w:type="pct"/>
            <w:shd w:val="clear" w:color="auto" w:fill="auto"/>
            <w:vAlign w:val="center"/>
          </w:tcPr>
          <w:p w:rsidR="00872AAD" w:rsidRPr="00B114BB" w:rsidRDefault="00872AAD" w:rsidP="00872AAD">
            <w:pPr>
              <w:pStyle w:val="In-tableHeading"/>
              <w:jc w:val="center"/>
            </w:pPr>
            <w:r w:rsidRPr="00B114BB">
              <w:t xml:space="preserve">Difference </w:t>
            </w:r>
          </w:p>
          <w:p w:rsidR="00872AAD" w:rsidRPr="00B114BB" w:rsidRDefault="00872AAD" w:rsidP="00872AAD">
            <w:pPr>
              <w:pStyle w:val="In-tableHeading"/>
              <w:jc w:val="center"/>
            </w:pPr>
            <w:r w:rsidRPr="00B114BB">
              <w:t xml:space="preserve">% (95% CI), </w:t>
            </w:r>
            <w:r w:rsidRPr="00B114BB">
              <w:rPr>
                <w:iCs/>
              </w:rPr>
              <w:t>p</w:t>
            </w:r>
            <w:r w:rsidRPr="00B114BB">
              <w:t>-value</w:t>
            </w: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tpCR-IRC</w:t>
            </w:r>
          </w:p>
        </w:tc>
        <w:tc>
          <w:tcPr>
            <w:tcW w:w="938" w:type="pct"/>
            <w:shd w:val="clear" w:color="auto" w:fill="auto"/>
            <w:vAlign w:val="center"/>
          </w:tcPr>
          <w:p w:rsidR="00872AAD" w:rsidRPr="00B114BB" w:rsidRDefault="00872AAD" w:rsidP="00872AAD">
            <w:pPr>
              <w:pStyle w:val="TableText0"/>
              <w:jc w:val="center"/>
            </w:pPr>
            <w:r w:rsidRPr="00B114BB">
              <w:t>86/219 (39.3)</w:t>
            </w:r>
          </w:p>
        </w:tc>
        <w:tc>
          <w:tcPr>
            <w:tcW w:w="1016" w:type="pct"/>
            <w:shd w:val="clear" w:color="auto" w:fill="auto"/>
            <w:vAlign w:val="center"/>
          </w:tcPr>
          <w:p w:rsidR="00872AAD" w:rsidRPr="00B114BB" w:rsidRDefault="00872AAD" w:rsidP="00872AAD">
            <w:pPr>
              <w:pStyle w:val="TableText0"/>
              <w:jc w:val="center"/>
            </w:pPr>
            <w:r w:rsidRPr="00B114BB">
              <w:t>24/110 (21.8)</w:t>
            </w:r>
          </w:p>
        </w:tc>
        <w:tc>
          <w:tcPr>
            <w:tcW w:w="860" w:type="pct"/>
            <w:shd w:val="clear" w:color="auto" w:fill="auto"/>
            <w:vAlign w:val="center"/>
          </w:tcPr>
          <w:p w:rsidR="00872AAD" w:rsidRPr="00B114BB" w:rsidRDefault="00872AAD" w:rsidP="00872AAD">
            <w:pPr>
              <w:pStyle w:val="TableText0"/>
              <w:jc w:val="center"/>
              <w:rPr>
                <w:b/>
                <w:bCs w:val="0"/>
              </w:rPr>
            </w:pPr>
            <w:r w:rsidRPr="00B114BB">
              <w:rPr>
                <w:b/>
                <w:bCs w:val="0"/>
              </w:rPr>
              <w:t>1.80 (1.22, 2.66)</w:t>
            </w:r>
          </w:p>
        </w:tc>
        <w:tc>
          <w:tcPr>
            <w:tcW w:w="1094" w:type="pct"/>
            <w:shd w:val="clear" w:color="auto" w:fill="auto"/>
            <w:vAlign w:val="center"/>
          </w:tcPr>
          <w:p w:rsidR="00872AAD" w:rsidRPr="00B114BB" w:rsidRDefault="00872AAD" w:rsidP="00872AAD">
            <w:pPr>
              <w:pStyle w:val="TableText0"/>
              <w:jc w:val="center"/>
            </w:pPr>
            <w:r w:rsidRPr="00B114BB">
              <w:rPr>
                <w:b/>
                <w:bCs w:val="0"/>
              </w:rPr>
              <w:t xml:space="preserve">17.5 (6.9, 28.0), </w:t>
            </w:r>
            <w:r w:rsidRPr="00B114BB">
              <w:rPr>
                <w:iCs/>
              </w:rPr>
              <w:t>p</w:t>
            </w:r>
            <w:r w:rsidRPr="00B114BB">
              <w:t>=.001</w:t>
            </w:r>
          </w:p>
        </w:tc>
      </w:tr>
      <w:tr w:rsidR="00872AAD" w:rsidRPr="00B114BB" w:rsidTr="00126A44">
        <w:trPr>
          <w:cantSplit/>
        </w:trPr>
        <w:tc>
          <w:tcPr>
            <w:tcW w:w="5000" w:type="pct"/>
            <w:gridSpan w:val="5"/>
            <w:shd w:val="clear" w:color="auto" w:fill="auto"/>
            <w:vAlign w:val="center"/>
          </w:tcPr>
          <w:p w:rsidR="00872AAD" w:rsidRPr="00B114BB" w:rsidRDefault="00872AAD" w:rsidP="00872AAD">
            <w:pPr>
              <w:pStyle w:val="TableText0"/>
              <w:rPr>
                <w:b/>
              </w:rPr>
            </w:pPr>
            <w:r w:rsidRPr="00B114BB">
              <w:rPr>
                <w:b/>
              </w:rPr>
              <w:t>Subgroups by BC type</w:t>
            </w: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eBC (T2-3, N0-1, M0)</w:t>
            </w:r>
          </w:p>
        </w:tc>
        <w:tc>
          <w:tcPr>
            <w:tcW w:w="938" w:type="pct"/>
            <w:shd w:val="clear" w:color="auto" w:fill="auto"/>
            <w:vAlign w:val="center"/>
          </w:tcPr>
          <w:p w:rsidR="00872AAD" w:rsidRPr="00B114BB" w:rsidRDefault="00872AAD" w:rsidP="00872AAD">
            <w:pPr>
              <w:pStyle w:val="TableText0"/>
              <w:jc w:val="center"/>
            </w:pPr>
            <w:r w:rsidRPr="00B114BB">
              <w:t>63/153 (</w:t>
            </w:r>
            <w:r w:rsidRPr="00B114BB">
              <w:rPr>
                <w:iCs/>
              </w:rPr>
              <w:t>41.2</w:t>
            </w:r>
            <w:r w:rsidRPr="00B114BB">
              <w:t>)</w:t>
            </w:r>
          </w:p>
        </w:tc>
        <w:tc>
          <w:tcPr>
            <w:tcW w:w="1016" w:type="pct"/>
            <w:shd w:val="clear" w:color="auto" w:fill="auto"/>
            <w:vAlign w:val="center"/>
          </w:tcPr>
          <w:p w:rsidR="00872AAD" w:rsidRPr="00B114BB" w:rsidRDefault="00872AAD" w:rsidP="00872AAD">
            <w:pPr>
              <w:pStyle w:val="TableText0"/>
              <w:jc w:val="center"/>
            </w:pPr>
            <w:r w:rsidRPr="00B114BB">
              <w:t>20/77 (</w:t>
            </w:r>
            <w:r w:rsidRPr="00B114BB">
              <w:rPr>
                <w:iCs/>
              </w:rPr>
              <w:t>26.0</w:t>
            </w:r>
            <w:r w:rsidRPr="00B114BB">
              <w:t>)</w:t>
            </w:r>
          </w:p>
        </w:tc>
        <w:tc>
          <w:tcPr>
            <w:tcW w:w="860" w:type="pct"/>
            <w:shd w:val="clear" w:color="auto" w:fill="auto"/>
            <w:vAlign w:val="center"/>
          </w:tcPr>
          <w:p w:rsidR="00872AAD" w:rsidRPr="00B114BB" w:rsidRDefault="00872AAD" w:rsidP="00872AAD">
            <w:pPr>
              <w:pStyle w:val="TableText0"/>
              <w:jc w:val="center"/>
              <w:rPr>
                <w:b/>
                <w:bCs w:val="0"/>
                <w:iCs/>
              </w:rPr>
            </w:pPr>
            <w:r w:rsidRPr="00B114BB">
              <w:rPr>
                <w:b/>
                <w:bCs w:val="0"/>
                <w:iCs/>
              </w:rPr>
              <w:t>1.59 (1.04, 2.42)</w:t>
            </w:r>
          </w:p>
        </w:tc>
        <w:tc>
          <w:tcPr>
            <w:tcW w:w="1094" w:type="pct"/>
            <w:shd w:val="clear" w:color="auto" w:fill="auto"/>
            <w:vAlign w:val="center"/>
          </w:tcPr>
          <w:p w:rsidR="00872AAD" w:rsidRPr="00B114BB" w:rsidRDefault="00872AAD" w:rsidP="00872AAD">
            <w:pPr>
              <w:pStyle w:val="TableText0"/>
              <w:jc w:val="center"/>
              <w:rPr>
                <w:b/>
                <w:bCs w:val="0"/>
              </w:rPr>
            </w:pPr>
            <w:r w:rsidRPr="00B114BB">
              <w:rPr>
                <w:b/>
                <w:bCs w:val="0"/>
              </w:rPr>
              <w:t>15.2 (2.0, 28.4)</w:t>
            </w: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LABC (T2-3, N2-3, M0)</w:t>
            </w:r>
          </w:p>
        </w:tc>
        <w:tc>
          <w:tcPr>
            <w:tcW w:w="938" w:type="pct"/>
            <w:shd w:val="clear" w:color="auto" w:fill="auto"/>
            <w:vAlign w:val="center"/>
          </w:tcPr>
          <w:p w:rsidR="00872AAD" w:rsidRPr="00B114BB" w:rsidRDefault="00872AAD" w:rsidP="00872AAD">
            <w:pPr>
              <w:pStyle w:val="TableText0"/>
              <w:jc w:val="center"/>
            </w:pPr>
            <w:r w:rsidRPr="00B114BB">
              <w:t>23/66 (</w:t>
            </w:r>
            <w:r w:rsidRPr="00B114BB">
              <w:rPr>
                <w:iCs/>
              </w:rPr>
              <w:t>34.8</w:t>
            </w:r>
            <w:r w:rsidRPr="00B114BB">
              <w:t>)</w:t>
            </w:r>
          </w:p>
        </w:tc>
        <w:tc>
          <w:tcPr>
            <w:tcW w:w="1016" w:type="pct"/>
            <w:shd w:val="clear" w:color="auto" w:fill="auto"/>
            <w:vAlign w:val="center"/>
          </w:tcPr>
          <w:p w:rsidR="00872AAD" w:rsidRPr="00B114BB" w:rsidRDefault="00872AAD" w:rsidP="00872AAD">
            <w:pPr>
              <w:pStyle w:val="TableText0"/>
              <w:jc w:val="center"/>
            </w:pPr>
            <w:r w:rsidRPr="00B114BB">
              <w:t>4/33 (</w:t>
            </w:r>
            <w:r w:rsidRPr="00B114BB">
              <w:rPr>
                <w:iCs/>
              </w:rPr>
              <w:t>12.1</w:t>
            </w:r>
            <w:r w:rsidRPr="00B114BB">
              <w:t>)</w:t>
            </w:r>
          </w:p>
        </w:tc>
        <w:tc>
          <w:tcPr>
            <w:tcW w:w="860" w:type="pct"/>
            <w:shd w:val="clear" w:color="auto" w:fill="auto"/>
            <w:vAlign w:val="center"/>
          </w:tcPr>
          <w:p w:rsidR="00872AAD" w:rsidRPr="00B114BB" w:rsidRDefault="00872AAD" w:rsidP="00872AAD">
            <w:pPr>
              <w:pStyle w:val="TableText0"/>
              <w:jc w:val="center"/>
              <w:rPr>
                <w:b/>
                <w:bCs w:val="0"/>
                <w:iCs/>
              </w:rPr>
            </w:pPr>
            <w:r w:rsidRPr="00B114BB">
              <w:rPr>
                <w:b/>
                <w:bCs w:val="0"/>
                <w:iCs/>
              </w:rPr>
              <w:t>2.88 (1.08, 7.63)</w:t>
            </w:r>
          </w:p>
        </w:tc>
        <w:tc>
          <w:tcPr>
            <w:tcW w:w="1094" w:type="pct"/>
            <w:shd w:val="clear" w:color="auto" w:fill="auto"/>
            <w:vAlign w:val="center"/>
          </w:tcPr>
          <w:p w:rsidR="00872AAD" w:rsidRPr="00B114BB" w:rsidRDefault="00872AAD" w:rsidP="00872AAD">
            <w:pPr>
              <w:pStyle w:val="TableText0"/>
              <w:jc w:val="center"/>
              <w:rPr>
                <w:b/>
                <w:bCs w:val="0"/>
              </w:rPr>
            </w:pPr>
            <w:r w:rsidRPr="00B114BB">
              <w:rPr>
                <w:b/>
                <w:bCs w:val="0"/>
              </w:rPr>
              <w:t>22.7 (5.0, 40.4)</w:t>
            </w:r>
          </w:p>
        </w:tc>
      </w:tr>
      <w:tr w:rsidR="00872AAD" w:rsidRPr="00B114BB" w:rsidTr="00126A44">
        <w:trPr>
          <w:cantSplit/>
        </w:trPr>
        <w:tc>
          <w:tcPr>
            <w:tcW w:w="5000" w:type="pct"/>
            <w:gridSpan w:val="5"/>
            <w:shd w:val="clear" w:color="auto" w:fill="auto"/>
            <w:vAlign w:val="center"/>
          </w:tcPr>
          <w:p w:rsidR="00872AAD" w:rsidRPr="00B114BB" w:rsidRDefault="00872AAD" w:rsidP="00872AAD">
            <w:pPr>
              <w:pStyle w:val="TableText0"/>
              <w:rPr>
                <w:b/>
              </w:rPr>
            </w:pPr>
            <w:r w:rsidRPr="00B114BB">
              <w:rPr>
                <w:b/>
              </w:rPr>
              <w:t>Subgroups by hormone-receptor status</w:t>
            </w: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ER- and/or PR-positive</w:t>
            </w:r>
          </w:p>
        </w:tc>
        <w:tc>
          <w:tcPr>
            <w:tcW w:w="938" w:type="pct"/>
            <w:shd w:val="clear" w:color="auto" w:fill="auto"/>
            <w:vAlign w:val="center"/>
          </w:tcPr>
          <w:p w:rsidR="00872AAD" w:rsidRPr="00B114BB" w:rsidRDefault="00872AAD" w:rsidP="00872AAD">
            <w:pPr>
              <w:pStyle w:val="TableText0"/>
              <w:jc w:val="center"/>
            </w:pPr>
            <w:r w:rsidRPr="00B114BB">
              <w:t>39/117 (</w:t>
            </w:r>
            <w:r w:rsidRPr="00B114BB">
              <w:rPr>
                <w:iCs/>
              </w:rPr>
              <w:t>33.3</w:t>
            </w:r>
            <w:r w:rsidRPr="00B114BB">
              <w:t>)</w:t>
            </w:r>
          </w:p>
        </w:tc>
        <w:tc>
          <w:tcPr>
            <w:tcW w:w="1016" w:type="pct"/>
            <w:shd w:val="clear" w:color="auto" w:fill="auto"/>
            <w:vAlign w:val="center"/>
          </w:tcPr>
          <w:p w:rsidR="00872AAD" w:rsidRPr="00B114BB" w:rsidRDefault="00872AAD" w:rsidP="00872AAD">
            <w:pPr>
              <w:pStyle w:val="TableText0"/>
              <w:jc w:val="center"/>
            </w:pPr>
            <w:r w:rsidRPr="00B114BB">
              <w:t>14/56 (</w:t>
            </w:r>
            <w:r w:rsidRPr="00B114BB">
              <w:rPr>
                <w:iCs/>
              </w:rPr>
              <w:t>25.0</w:t>
            </w:r>
            <w:r w:rsidRPr="00B114BB">
              <w:t>)</w:t>
            </w:r>
          </w:p>
        </w:tc>
        <w:tc>
          <w:tcPr>
            <w:tcW w:w="860" w:type="pct"/>
            <w:shd w:val="clear" w:color="auto" w:fill="auto"/>
            <w:vAlign w:val="center"/>
          </w:tcPr>
          <w:p w:rsidR="00872AAD" w:rsidRPr="00B114BB" w:rsidRDefault="00872AAD" w:rsidP="00872AAD">
            <w:pPr>
              <w:pStyle w:val="TableText0"/>
              <w:jc w:val="center"/>
              <w:rPr>
                <w:iCs/>
              </w:rPr>
            </w:pPr>
            <w:r w:rsidRPr="00B114BB">
              <w:rPr>
                <w:iCs/>
              </w:rPr>
              <w:t>1.33 (0.79, 2.25)</w:t>
            </w:r>
          </w:p>
        </w:tc>
        <w:tc>
          <w:tcPr>
            <w:tcW w:w="1094" w:type="pct"/>
            <w:shd w:val="clear" w:color="auto" w:fill="auto"/>
            <w:vAlign w:val="center"/>
          </w:tcPr>
          <w:p w:rsidR="00872AAD" w:rsidRPr="00B114BB" w:rsidRDefault="00872AAD" w:rsidP="00872AAD">
            <w:pPr>
              <w:pStyle w:val="TableText0"/>
              <w:jc w:val="center"/>
            </w:pPr>
            <w:r w:rsidRPr="00B114BB">
              <w:t>8.3 (−6.9, 23.5)</w:t>
            </w: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ER- and PR-negative</w:t>
            </w:r>
          </w:p>
        </w:tc>
        <w:tc>
          <w:tcPr>
            <w:tcW w:w="938" w:type="pct"/>
            <w:shd w:val="clear" w:color="auto" w:fill="auto"/>
            <w:vAlign w:val="center"/>
          </w:tcPr>
          <w:p w:rsidR="00872AAD" w:rsidRPr="00B114BB" w:rsidRDefault="00872AAD" w:rsidP="00872AAD">
            <w:pPr>
              <w:pStyle w:val="TableText0"/>
              <w:jc w:val="center"/>
            </w:pPr>
            <w:r w:rsidRPr="00B114BB">
              <w:t>47/102 (</w:t>
            </w:r>
            <w:r w:rsidRPr="00B114BB">
              <w:rPr>
                <w:iCs/>
              </w:rPr>
              <w:t>46.1</w:t>
            </w:r>
            <w:r w:rsidRPr="00B114BB">
              <w:t>)</w:t>
            </w:r>
          </w:p>
        </w:tc>
        <w:tc>
          <w:tcPr>
            <w:tcW w:w="1016" w:type="pct"/>
            <w:shd w:val="clear" w:color="auto" w:fill="auto"/>
            <w:vAlign w:val="center"/>
          </w:tcPr>
          <w:p w:rsidR="00872AAD" w:rsidRPr="00B114BB" w:rsidRDefault="00872AAD" w:rsidP="00872AAD">
            <w:pPr>
              <w:pStyle w:val="TableText0"/>
              <w:jc w:val="center"/>
            </w:pPr>
            <w:r w:rsidRPr="00B114BB">
              <w:t>10/54 (</w:t>
            </w:r>
            <w:r w:rsidRPr="00B114BB">
              <w:rPr>
                <w:iCs/>
              </w:rPr>
              <w:t>18.5</w:t>
            </w:r>
            <w:r w:rsidRPr="00B114BB">
              <w:t>)</w:t>
            </w:r>
          </w:p>
        </w:tc>
        <w:tc>
          <w:tcPr>
            <w:tcW w:w="860" w:type="pct"/>
            <w:shd w:val="clear" w:color="auto" w:fill="auto"/>
            <w:vAlign w:val="center"/>
          </w:tcPr>
          <w:p w:rsidR="00872AAD" w:rsidRPr="00B114BB" w:rsidRDefault="00872AAD" w:rsidP="00872AAD">
            <w:pPr>
              <w:pStyle w:val="TableText0"/>
              <w:jc w:val="center"/>
              <w:rPr>
                <w:b/>
                <w:bCs w:val="0"/>
                <w:iCs/>
              </w:rPr>
            </w:pPr>
            <w:r w:rsidRPr="00B114BB">
              <w:rPr>
                <w:b/>
                <w:bCs w:val="0"/>
                <w:iCs/>
              </w:rPr>
              <w:t>2.49 (1.37, 4.52)</w:t>
            </w:r>
          </w:p>
        </w:tc>
        <w:tc>
          <w:tcPr>
            <w:tcW w:w="1094" w:type="pct"/>
            <w:shd w:val="clear" w:color="auto" w:fill="auto"/>
            <w:vAlign w:val="center"/>
          </w:tcPr>
          <w:p w:rsidR="00872AAD" w:rsidRPr="00B114BB" w:rsidRDefault="00872AAD" w:rsidP="00872AAD">
            <w:pPr>
              <w:pStyle w:val="TableText0"/>
              <w:jc w:val="center"/>
              <w:rPr>
                <w:b/>
                <w:bCs w:val="0"/>
              </w:rPr>
            </w:pPr>
            <w:r w:rsidRPr="00B114BB">
              <w:rPr>
                <w:b/>
                <w:bCs w:val="0"/>
              </w:rPr>
              <w:t>27.6 (12.4, 42.8)</w:t>
            </w:r>
          </w:p>
        </w:tc>
      </w:tr>
      <w:tr w:rsidR="00872AAD" w:rsidRPr="00B114BB" w:rsidTr="00126A44">
        <w:trPr>
          <w:cantSplit/>
        </w:trPr>
        <w:tc>
          <w:tcPr>
            <w:tcW w:w="5000" w:type="pct"/>
            <w:gridSpan w:val="5"/>
            <w:shd w:val="clear" w:color="auto" w:fill="auto"/>
            <w:vAlign w:val="center"/>
          </w:tcPr>
          <w:p w:rsidR="00872AAD" w:rsidRPr="00B114BB" w:rsidRDefault="00872AAD" w:rsidP="00872AAD">
            <w:pPr>
              <w:pStyle w:val="TableText0"/>
              <w:rPr>
                <w:b/>
              </w:rPr>
            </w:pPr>
            <w:r w:rsidRPr="00B114BB">
              <w:rPr>
                <w:b/>
              </w:rPr>
              <w:t>Subgroups by lymph node status</w:t>
            </w: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Node positive</w:t>
            </w:r>
          </w:p>
        </w:tc>
        <w:tc>
          <w:tcPr>
            <w:tcW w:w="938" w:type="pct"/>
            <w:shd w:val="clear" w:color="auto" w:fill="auto"/>
            <w:vAlign w:val="center"/>
          </w:tcPr>
          <w:p w:rsidR="00872AAD" w:rsidRPr="00B114BB" w:rsidRDefault="00872AAD" w:rsidP="00872AAD">
            <w:pPr>
              <w:pStyle w:val="TableText0"/>
              <w:jc w:val="center"/>
            </w:pPr>
            <w:r w:rsidRPr="00B114BB">
              <w:t>55/160 (34.4)</w:t>
            </w:r>
          </w:p>
        </w:tc>
        <w:tc>
          <w:tcPr>
            <w:tcW w:w="1016" w:type="pct"/>
            <w:shd w:val="clear" w:color="auto" w:fill="auto"/>
            <w:vAlign w:val="center"/>
          </w:tcPr>
          <w:p w:rsidR="00872AAD" w:rsidRPr="00B114BB" w:rsidRDefault="00872AAD" w:rsidP="00872AAD">
            <w:pPr>
              <w:pStyle w:val="TableText0"/>
              <w:jc w:val="center"/>
            </w:pPr>
            <w:r w:rsidRPr="00B114BB">
              <w:t>16/89 (18.0)</w:t>
            </w:r>
          </w:p>
        </w:tc>
        <w:tc>
          <w:tcPr>
            <w:tcW w:w="860" w:type="pct"/>
            <w:shd w:val="clear" w:color="auto" w:fill="auto"/>
            <w:vAlign w:val="center"/>
          </w:tcPr>
          <w:p w:rsidR="00872AAD" w:rsidRPr="00B114BB" w:rsidRDefault="00872AAD" w:rsidP="00872AAD">
            <w:pPr>
              <w:pStyle w:val="TableText0"/>
              <w:jc w:val="center"/>
              <w:rPr>
                <w:b/>
                <w:bCs w:val="0"/>
                <w:iCs/>
              </w:rPr>
            </w:pPr>
            <w:r w:rsidRPr="00B114BB">
              <w:rPr>
                <w:b/>
                <w:bCs w:val="0"/>
                <w:iCs/>
              </w:rPr>
              <w:t>1.91 (1.17, 3.13)</w:t>
            </w:r>
          </w:p>
        </w:tc>
        <w:tc>
          <w:tcPr>
            <w:tcW w:w="1094" w:type="pct"/>
            <w:shd w:val="clear" w:color="auto" w:fill="auto"/>
            <w:vAlign w:val="center"/>
          </w:tcPr>
          <w:p w:rsidR="00872AAD" w:rsidRPr="00B114BB" w:rsidRDefault="00872AAD" w:rsidP="00872AAD">
            <w:pPr>
              <w:pStyle w:val="TableText0"/>
              <w:jc w:val="center"/>
              <w:rPr>
                <w:b/>
                <w:bCs w:val="0"/>
              </w:rPr>
            </w:pPr>
            <w:r w:rsidRPr="00B114BB">
              <w:rPr>
                <w:b/>
                <w:bCs w:val="0"/>
              </w:rPr>
              <w:t>16.4 (4.9, 27.9)</w:t>
            </w: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Node negative</w:t>
            </w:r>
          </w:p>
        </w:tc>
        <w:tc>
          <w:tcPr>
            <w:tcW w:w="938" w:type="pct"/>
            <w:shd w:val="clear" w:color="auto" w:fill="auto"/>
            <w:vAlign w:val="center"/>
          </w:tcPr>
          <w:p w:rsidR="00872AAD" w:rsidRPr="00B114BB" w:rsidRDefault="00872AAD" w:rsidP="00872AAD">
            <w:pPr>
              <w:pStyle w:val="TableText0"/>
              <w:jc w:val="center"/>
            </w:pPr>
            <w:r w:rsidRPr="00B114BB">
              <w:t>31/59 (52.5)</w:t>
            </w:r>
          </w:p>
        </w:tc>
        <w:tc>
          <w:tcPr>
            <w:tcW w:w="1016" w:type="pct"/>
            <w:shd w:val="clear" w:color="auto" w:fill="auto"/>
            <w:vAlign w:val="center"/>
          </w:tcPr>
          <w:p w:rsidR="00872AAD" w:rsidRPr="00B114BB" w:rsidRDefault="00872AAD" w:rsidP="00872AAD">
            <w:pPr>
              <w:pStyle w:val="TableText0"/>
              <w:jc w:val="center"/>
            </w:pPr>
            <w:r w:rsidRPr="00B114BB">
              <w:t>8/21 (38.1)</w:t>
            </w:r>
          </w:p>
        </w:tc>
        <w:tc>
          <w:tcPr>
            <w:tcW w:w="860" w:type="pct"/>
            <w:shd w:val="clear" w:color="auto" w:fill="auto"/>
            <w:vAlign w:val="center"/>
          </w:tcPr>
          <w:p w:rsidR="00872AAD" w:rsidRPr="00B114BB" w:rsidRDefault="00872AAD" w:rsidP="00872AAD">
            <w:pPr>
              <w:pStyle w:val="TableText0"/>
              <w:jc w:val="center"/>
              <w:rPr>
                <w:iCs/>
              </w:rPr>
            </w:pPr>
            <w:r w:rsidRPr="00B114BB">
              <w:rPr>
                <w:iCs/>
              </w:rPr>
              <w:t>1.38 (0.76, 2.50)</w:t>
            </w:r>
          </w:p>
        </w:tc>
        <w:tc>
          <w:tcPr>
            <w:tcW w:w="1094" w:type="pct"/>
            <w:shd w:val="clear" w:color="auto" w:fill="auto"/>
            <w:vAlign w:val="center"/>
          </w:tcPr>
          <w:p w:rsidR="00872AAD" w:rsidRPr="00B114BB" w:rsidRDefault="00872AAD" w:rsidP="00872AAD">
            <w:pPr>
              <w:pStyle w:val="TableText0"/>
              <w:jc w:val="center"/>
            </w:pPr>
            <w:r w:rsidRPr="00B114BB">
              <w:t>14.5 (−12.8, 41.7)</w:t>
            </w:r>
          </w:p>
        </w:tc>
      </w:tr>
      <w:tr w:rsidR="00872AAD" w:rsidRPr="00B114BB" w:rsidTr="00126A44">
        <w:trPr>
          <w:cantSplit/>
        </w:trPr>
        <w:tc>
          <w:tcPr>
            <w:tcW w:w="2030" w:type="pct"/>
            <w:gridSpan w:val="2"/>
            <w:shd w:val="clear" w:color="auto" w:fill="auto"/>
            <w:vAlign w:val="center"/>
          </w:tcPr>
          <w:p w:rsidR="00872AAD" w:rsidRPr="00B114BB" w:rsidRDefault="00872AAD" w:rsidP="00872AAD">
            <w:pPr>
              <w:pStyle w:val="TableText0"/>
              <w:rPr>
                <w:b/>
              </w:rPr>
            </w:pPr>
            <w:r w:rsidRPr="00B114BB">
              <w:rPr>
                <w:b/>
              </w:rPr>
              <w:t>Subgroups by ERBB2 IHC</w:t>
            </w:r>
          </w:p>
        </w:tc>
        <w:tc>
          <w:tcPr>
            <w:tcW w:w="1016" w:type="pct"/>
            <w:shd w:val="clear" w:color="auto" w:fill="auto"/>
            <w:vAlign w:val="center"/>
          </w:tcPr>
          <w:p w:rsidR="00872AAD" w:rsidRPr="00B114BB" w:rsidRDefault="00872AAD" w:rsidP="00872AAD">
            <w:pPr>
              <w:pStyle w:val="TableText0"/>
              <w:jc w:val="center"/>
              <w:rPr>
                <w:b/>
              </w:rPr>
            </w:pPr>
          </w:p>
        </w:tc>
        <w:tc>
          <w:tcPr>
            <w:tcW w:w="860" w:type="pct"/>
            <w:shd w:val="clear" w:color="auto" w:fill="auto"/>
            <w:vAlign w:val="center"/>
          </w:tcPr>
          <w:p w:rsidR="00872AAD" w:rsidRPr="00B114BB" w:rsidRDefault="00872AAD" w:rsidP="00872AAD">
            <w:pPr>
              <w:pStyle w:val="TableText0"/>
              <w:jc w:val="center"/>
              <w:rPr>
                <w:b/>
              </w:rPr>
            </w:pPr>
          </w:p>
        </w:tc>
        <w:tc>
          <w:tcPr>
            <w:tcW w:w="1094" w:type="pct"/>
            <w:shd w:val="clear" w:color="auto" w:fill="auto"/>
            <w:vAlign w:val="center"/>
          </w:tcPr>
          <w:p w:rsidR="00872AAD" w:rsidRPr="00B114BB" w:rsidRDefault="00872AAD" w:rsidP="00872AAD">
            <w:pPr>
              <w:pStyle w:val="TableText0"/>
              <w:jc w:val="center"/>
              <w:rPr>
                <w:b/>
              </w:rPr>
            </w:pP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ERBB2 IHC2+</w:t>
            </w:r>
          </w:p>
        </w:tc>
        <w:tc>
          <w:tcPr>
            <w:tcW w:w="938" w:type="pct"/>
            <w:shd w:val="clear" w:color="auto" w:fill="auto"/>
            <w:vAlign w:val="center"/>
          </w:tcPr>
          <w:p w:rsidR="00872AAD" w:rsidRPr="00B114BB" w:rsidRDefault="00872AAD" w:rsidP="00872AAD">
            <w:pPr>
              <w:pStyle w:val="TableText0"/>
              <w:jc w:val="center"/>
            </w:pPr>
            <w:r w:rsidRPr="00B114BB">
              <w:t>23/65 (</w:t>
            </w:r>
            <w:r w:rsidRPr="00B114BB">
              <w:rPr>
                <w:iCs/>
              </w:rPr>
              <w:t>35.4</w:t>
            </w:r>
            <w:r w:rsidRPr="00B114BB">
              <w:t>)</w:t>
            </w:r>
          </w:p>
        </w:tc>
        <w:tc>
          <w:tcPr>
            <w:tcW w:w="1016" w:type="pct"/>
            <w:shd w:val="clear" w:color="auto" w:fill="auto"/>
            <w:vAlign w:val="center"/>
          </w:tcPr>
          <w:p w:rsidR="00872AAD" w:rsidRPr="00B114BB" w:rsidRDefault="00872AAD" w:rsidP="00872AAD">
            <w:pPr>
              <w:pStyle w:val="TableText0"/>
              <w:jc w:val="center"/>
            </w:pPr>
            <w:r w:rsidRPr="00B114BB">
              <w:t>6/22 (</w:t>
            </w:r>
            <w:r w:rsidRPr="00B114BB">
              <w:rPr>
                <w:iCs/>
              </w:rPr>
              <w:t>27.3</w:t>
            </w:r>
            <w:r w:rsidRPr="00B114BB">
              <w:t>)</w:t>
            </w:r>
          </w:p>
        </w:tc>
        <w:tc>
          <w:tcPr>
            <w:tcW w:w="860" w:type="pct"/>
            <w:shd w:val="clear" w:color="auto" w:fill="auto"/>
            <w:vAlign w:val="center"/>
          </w:tcPr>
          <w:p w:rsidR="00872AAD" w:rsidRPr="00B114BB" w:rsidRDefault="00872AAD" w:rsidP="00872AAD">
            <w:pPr>
              <w:pStyle w:val="TableText0"/>
              <w:jc w:val="center"/>
              <w:rPr>
                <w:iCs/>
              </w:rPr>
            </w:pPr>
            <w:r w:rsidRPr="00B114BB">
              <w:rPr>
                <w:iCs/>
              </w:rPr>
              <w:t>1.</w:t>
            </w:r>
            <w:r w:rsidR="002A0149" w:rsidRPr="00B114BB">
              <w:rPr>
                <w:iCs/>
              </w:rPr>
              <w:t>3</w:t>
            </w:r>
            <w:r w:rsidRPr="00B114BB">
              <w:rPr>
                <w:iCs/>
              </w:rPr>
              <w:t>0 (0.61, 2.77)</w:t>
            </w:r>
          </w:p>
        </w:tc>
        <w:tc>
          <w:tcPr>
            <w:tcW w:w="1094" w:type="pct"/>
            <w:shd w:val="clear" w:color="auto" w:fill="auto"/>
            <w:vAlign w:val="center"/>
          </w:tcPr>
          <w:p w:rsidR="00872AAD" w:rsidRPr="00B114BB" w:rsidRDefault="00872AAD" w:rsidP="00872AAD">
            <w:pPr>
              <w:pStyle w:val="TableText0"/>
              <w:jc w:val="center"/>
            </w:pPr>
            <w:r w:rsidRPr="00B114BB">
              <w:t>8.1 (−16.5, 32.8)</w:t>
            </w: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ERBB2 IHC3+</w:t>
            </w:r>
          </w:p>
        </w:tc>
        <w:tc>
          <w:tcPr>
            <w:tcW w:w="938" w:type="pct"/>
            <w:shd w:val="clear" w:color="auto" w:fill="auto"/>
            <w:vAlign w:val="center"/>
          </w:tcPr>
          <w:p w:rsidR="00872AAD" w:rsidRPr="00B114BB" w:rsidRDefault="00872AAD" w:rsidP="00872AAD">
            <w:pPr>
              <w:pStyle w:val="TableText0"/>
              <w:jc w:val="center"/>
            </w:pPr>
            <w:r w:rsidRPr="00B114BB">
              <w:t>63/152 (</w:t>
            </w:r>
            <w:r w:rsidRPr="00B114BB">
              <w:rPr>
                <w:iCs/>
              </w:rPr>
              <w:t>41.4</w:t>
            </w:r>
            <w:r w:rsidRPr="00B114BB">
              <w:t>)</w:t>
            </w:r>
          </w:p>
        </w:tc>
        <w:tc>
          <w:tcPr>
            <w:tcW w:w="1016" w:type="pct"/>
            <w:shd w:val="clear" w:color="auto" w:fill="auto"/>
            <w:vAlign w:val="center"/>
          </w:tcPr>
          <w:p w:rsidR="00872AAD" w:rsidRPr="00B114BB" w:rsidRDefault="00872AAD" w:rsidP="00872AAD">
            <w:pPr>
              <w:pStyle w:val="TableText0"/>
              <w:jc w:val="center"/>
            </w:pPr>
            <w:r w:rsidRPr="00B114BB">
              <w:t>18/88 (</w:t>
            </w:r>
            <w:r w:rsidRPr="00B114BB">
              <w:rPr>
                <w:iCs/>
              </w:rPr>
              <w:t>20.5</w:t>
            </w:r>
            <w:r w:rsidRPr="00B114BB">
              <w:t>)</w:t>
            </w:r>
          </w:p>
        </w:tc>
        <w:tc>
          <w:tcPr>
            <w:tcW w:w="860" w:type="pct"/>
            <w:shd w:val="clear" w:color="auto" w:fill="auto"/>
            <w:vAlign w:val="center"/>
          </w:tcPr>
          <w:p w:rsidR="00872AAD" w:rsidRPr="00B114BB" w:rsidRDefault="002A0149" w:rsidP="00872AAD">
            <w:pPr>
              <w:pStyle w:val="TableText0"/>
              <w:jc w:val="center"/>
              <w:rPr>
                <w:b/>
                <w:bCs w:val="0"/>
                <w:iCs/>
              </w:rPr>
            </w:pPr>
            <w:r w:rsidRPr="00B114BB">
              <w:rPr>
                <w:b/>
                <w:bCs w:val="0"/>
                <w:iCs/>
              </w:rPr>
              <w:t>2.03</w:t>
            </w:r>
            <w:r w:rsidR="00872AAD" w:rsidRPr="00B114BB">
              <w:rPr>
                <w:b/>
                <w:bCs w:val="0"/>
                <w:iCs/>
              </w:rPr>
              <w:t xml:space="preserve"> (1.29, 3.19)</w:t>
            </w:r>
          </w:p>
        </w:tc>
        <w:tc>
          <w:tcPr>
            <w:tcW w:w="1094" w:type="pct"/>
            <w:shd w:val="clear" w:color="auto" w:fill="auto"/>
            <w:vAlign w:val="center"/>
          </w:tcPr>
          <w:p w:rsidR="00872AAD" w:rsidRPr="00B114BB" w:rsidRDefault="00872AAD" w:rsidP="00872AAD">
            <w:pPr>
              <w:pStyle w:val="TableText0"/>
              <w:jc w:val="center"/>
              <w:rPr>
                <w:b/>
                <w:bCs w:val="0"/>
              </w:rPr>
            </w:pPr>
            <w:r w:rsidRPr="00B114BB">
              <w:rPr>
                <w:b/>
                <w:bCs w:val="0"/>
              </w:rPr>
              <w:t>21.0 (8.9, 33.1)</w:t>
            </w:r>
          </w:p>
        </w:tc>
      </w:tr>
      <w:tr w:rsidR="00872AAD" w:rsidRPr="00B114BB" w:rsidTr="00126A44">
        <w:trPr>
          <w:cantSplit/>
        </w:trPr>
        <w:tc>
          <w:tcPr>
            <w:tcW w:w="5000" w:type="pct"/>
            <w:gridSpan w:val="5"/>
            <w:shd w:val="clear" w:color="auto" w:fill="auto"/>
            <w:vAlign w:val="center"/>
          </w:tcPr>
          <w:p w:rsidR="00872AAD" w:rsidRPr="00B114BB" w:rsidRDefault="00872AAD" w:rsidP="00872AAD">
            <w:pPr>
              <w:pStyle w:val="TableText0"/>
              <w:rPr>
                <w:b/>
              </w:rPr>
            </w:pPr>
            <w:r w:rsidRPr="00B114BB">
              <w:rPr>
                <w:b/>
              </w:rPr>
              <w:t>Subgroups by menopausal status</w:t>
            </w: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bookmarkStart w:id="29" w:name="_Hlk29455861"/>
            <w:r w:rsidRPr="00B114BB">
              <w:t>Pre-menopausal</w:t>
            </w:r>
          </w:p>
        </w:tc>
        <w:tc>
          <w:tcPr>
            <w:tcW w:w="938" w:type="pct"/>
            <w:shd w:val="clear" w:color="auto" w:fill="auto"/>
            <w:vAlign w:val="center"/>
          </w:tcPr>
          <w:p w:rsidR="00872AAD" w:rsidRPr="00B114BB" w:rsidRDefault="00872AAD" w:rsidP="00872AAD">
            <w:pPr>
              <w:pStyle w:val="TableText0"/>
              <w:jc w:val="center"/>
            </w:pPr>
            <w:r w:rsidRPr="00B114BB">
              <w:t>48/132 (</w:t>
            </w:r>
            <w:r w:rsidRPr="00B114BB">
              <w:rPr>
                <w:iCs/>
              </w:rPr>
              <w:t>36.4</w:t>
            </w:r>
            <w:r w:rsidRPr="00B114BB">
              <w:t>)</w:t>
            </w:r>
          </w:p>
        </w:tc>
        <w:tc>
          <w:tcPr>
            <w:tcW w:w="1016" w:type="pct"/>
            <w:shd w:val="clear" w:color="auto" w:fill="auto"/>
            <w:vAlign w:val="center"/>
          </w:tcPr>
          <w:p w:rsidR="00872AAD" w:rsidRPr="00B114BB" w:rsidRDefault="00872AAD" w:rsidP="00872AAD">
            <w:pPr>
              <w:pStyle w:val="TableText0"/>
              <w:jc w:val="center"/>
            </w:pPr>
            <w:r w:rsidRPr="00B114BB">
              <w:t>9/65 (</w:t>
            </w:r>
            <w:r w:rsidRPr="00B114BB">
              <w:rPr>
                <w:iCs/>
              </w:rPr>
              <w:t>13.8</w:t>
            </w:r>
            <w:r w:rsidRPr="00B114BB">
              <w:t>)</w:t>
            </w:r>
          </w:p>
        </w:tc>
        <w:tc>
          <w:tcPr>
            <w:tcW w:w="860" w:type="pct"/>
            <w:shd w:val="clear" w:color="auto" w:fill="auto"/>
            <w:vAlign w:val="center"/>
          </w:tcPr>
          <w:p w:rsidR="00872AAD" w:rsidRPr="00B114BB" w:rsidRDefault="002A0149" w:rsidP="00872AAD">
            <w:pPr>
              <w:pStyle w:val="TableText0"/>
              <w:jc w:val="center"/>
              <w:rPr>
                <w:b/>
                <w:bCs w:val="0"/>
                <w:iCs/>
              </w:rPr>
            </w:pPr>
            <w:r w:rsidRPr="00B114BB">
              <w:rPr>
                <w:b/>
                <w:bCs w:val="0"/>
                <w:iCs/>
              </w:rPr>
              <w:t>2.63</w:t>
            </w:r>
            <w:r w:rsidR="00872AAD" w:rsidRPr="00B114BB">
              <w:rPr>
                <w:b/>
                <w:bCs w:val="0"/>
                <w:iCs/>
              </w:rPr>
              <w:t xml:space="preserve"> (1.38, 5.02)</w:t>
            </w:r>
          </w:p>
        </w:tc>
        <w:tc>
          <w:tcPr>
            <w:tcW w:w="1094" w:type="pct"/>
            <w:shd w:val="clear" w:color="auto" w:fill="auto"/>
            <w:vAlign w:val="center"/>
          </w:tcPr>
          <w:p w:rsidR="00872AAD" w:rsidRPr="00B114BB" w:rsidRDefault="00872AAD" w:rsidP="00872AAD">
            <w:pPr>
              <w:pStyle w:val="TableText0"/>
              <w:jc w:val="center"/>
              <w:rPr>
                <w:b/>
                <w:bCs w:val="0"/>
              </w:rPr>
            </w:pPr>
            <w:r w:rsidRPr="00B114BB">
              <w:rPr>
                <w:b/>
                <w:bCs w:val="0"/>
              </w:rPr>
              <w:t>22.5 (9.9, 35.1)</w:t>
            </w: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Post-menopausal</w:t>
            </w:r>
          </w:p>
        </w:tc>
        <w:tc>
          <w:tcPr>
            <w:tcW w:w="938" w:type="pct"/>
            <w:shd w:val="clear" w:color="auto" w:fill="auto"/>
            <w:vAlign w:val="center"/>
          </w:tcPr>
          <w:p w:rsidR="00872AAD" w:rsidRPr="00B114BB" w:rsidRDefault="00872AAD" w:rsidP="00872AAD">
            <w:pPr>
              <w:pStyle w:val="TableText0"/>
              <w:jc w:val="center"/>
            </w:pPr>
            <w:r w:rsidRPr="00B114BB">
              <w:t>38/87 (</w:t>
            </w:r>
            <w:r w:rsidRPr="00B114BB">
              <w:rPr>
                <w:iCs/>
              </w:rPr>
              <w:t>43.7</w:t>
            </w:r>
            <w:r w:rsidRPr="00B114BB">
              <w:t>)</w:t>
            </w:r>
          </w:p>
        </w:tc>
        <w:tc>
          <w:tcPr>
            <w:tcW w:w="1016" w:type="pct"/>
            <w:shd w:val="clear" w:color="auto" w:fill="auto"/>
            <w:vAlign w:val="center"/>
          </w:tcPr>
          <w:p w:rsidR="00872AAD" w:rsidRPr="00B114BB" w:rsidRDefault="00872AAD" w:rsidP="00872AAD">
            <w:pPr>
              <w:pStyle w:val="TableText0"/>
              <w:jc w:val="center"/>
            </w:pPr>
            <w:r w:rsidRPr="00B114BB">
              <w:t>15/45 (</w:t>
            </w:r>
            <w:r w:rsidRPr="00B114BB">
              <w:rPr>
                <w:iCs/>
              </w:rPr>
              <w:t>33.3</w:t>
            </w:r>
            <w:r w:rsidRPr="00B114BB">
              <w:t>)</w:t>
            </w:r>
          </w:p>
        </w:tc>
        <w:tc>
          <w:tcPr>
            <w:tcW w:w="860" w:type="pct"/>
            <w:shd w:val="clear" w:color="auto" w:fill="auto"/>
            <w:vAlign w:val="center"/>
          </w:tcPr>
          <w:p w:rsidR="00872AAD" w:rsidRPr="00B114BB" w:rsidRDefault="002A0149" w:rsidP="00872AAD">
            <w:pPr>
              <w:pStyle w:val="TableText0"/>
              <w:jc w:val="center"/>
              <w:rPr>
                <w:iCs/>
              </w:rPr>
            </w:pPr>
            <w:r w:rsidRPr="00B114BB">
              <w:rPr>
                <w:iCs/>
              </w:rPr>
              <w:t>1.31</w:t>
            </w:r>
            <w:r w:rsidR="00872AAD" w:rsidRPr="00B114BB">
              <w:rPr>
                <w:iCs/>
              </w:rPr>
              <w:t xml:space="preserve"> (0.81, 2.11)</w:t>
            </w:r>
          </w:p>
        </w:tc>
        <w:tc>
          <w:tcPr>
            <w:tcW w:w="1094" w:type="pct"/>
            <w:shd w:val="clear" w:color="auto" w:fill="auto"/>
            <w:vAlign w:val="center"/>
          </w:tcPr>
          <w:p w:rsidR="00872AAD" w:rsidRPr="00B114BB" w:rsidRDefault="00872AAD" w:rsidP="00872AAD">
            <w:pPr>
              <w:pStyle w:val="TableText0"/>
              <w:jc w:val="center"/>
            </w:pPr>
            <w:r w:rsidRPr="00B114BB">
              <w:t>10.3 (−8.2, 28.9)</w:t>
            </w:r>
          </w:p>
        </w:tc>
      </w:tr>
      <w:bookmarkEnd w:id="29"/>
      <w:tr w:rsidR="00872AAD" w:rsidRPr="00B114BB" w:rsidTr="00126A44">
        <w:trPr>
          <w:cantSplit/>
        </w:trPr>
        <w:tc>
          <w:tcPr>
            <w:tcW w:w="1092" w:type="pct"/>
            <w:shd w:val="clear" w:color="auto" w:fill="auto"/>
            <w:vAlign w:val="center"/>
          </w:tcPr>
          <w:p w:rsidR="00872AAD" w:rsidRPr="00B114BB" w:rsidRDefault="00872AAD" w:rsidP="00872AAD">
            <w:pPr>
              <w:pStyle w:val="TableText0"/>
              <w:rPr>
                <w:b/>
              </w:rPr>
            </w:pPr>
            <w:r w:rsidRPr="00B114BB">
              <w:rPr>
                <w:b/>
              </w:rPr>
              <w:t xml:space="preserve">Subgroups by </w:t>
            </w:r>
          </w:p>
        </w:tc>
        <w:tc>
          <w:tcPr>
            <w:tcW w:w="938" w:type="pct"/>
            <w:shd w:val="clear" w:color="auto" w:fill="auto"/>
            <w:vAlign w:val="center"/>
          </w:tcPr>
          <w:p w:rsidR="00872AAD" w:rsidRPr="00B114BB" w:rsidRDefault="00872AAD" w:rsidP="00872AAD">
            <w:pPr>
              <w:pStyle w:val="TableText0"/>
              <w:jc w:val="center"/>
              <w:rPr>
                <w:b/>
              </w:rPr>
            </w:pPr>
          </w:p>
        </w:tc>
        <w:tc>
          <w:tcPr>
            <w:tcW w:w="1016" w:type="pct"/>
            <w:shd w:val="clear" w:color="auto" w:fill="auto"/>
            <w:vAlign w:val="center"/>
          </w:tcPr>
          <w:p w:rsidR="00872AAD" w:rsidRPr="00B114BB" w:rsidRDefault="00872AAD" w:rsidP="00872AAD">
            <w:pPr>
              <w:pStyle w:val="TableText0"/>
              <w:jc w:val="center"/>
              <w:rPr>
                <w:b/>
              </w:rPr>
            </w:pPr>
          </w:p>
        </w:tc>
        <w:tc>
          <w:tcPr>
            <w:tcW w:w="860" w:type="pct"/>
            <w:shd w:val="clear" w:color="auto" w:fill="auto"/>
            <w:vAlign w:val="center"/>
          </w:tcPr>
          <w:p w:rsidR="00872AAD" w:rsidRPr="00B114BB" w:rsidRDefault="00872AAD" w:rsidP="00872AAD">
            <w:pPr>
              <w:pStyle w:val="TableText0"/>
              <w:jc w:val="center"/>
              <w:rPr>
                <w:b/>
              </w:rPr>
            </w:pPr>
          </w:p>
        </w:tc>
        <w:tc>
          <w:tcPr>
            <w:tcW w:w="1094" w:type="pct"/>
            <w:shd w:val="clear" w:color="auto" w:fill="auto"/>
            <w:vAlign w:val="center"/>
          </w:tcPr>
          <w:p w:rsidR="00872AAD" w:rsidRPr="00B114BB" w:rsidRDefault="00872AAD" w:rsidP="00872AAD">
            <w:pPr>
              <w:pStyle w:val="TableText0"/>
              <w:jc w:val="center"/>
              <w:rPr>
                <w:b/>
              </w:rPr>
            </w:pP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Chinese</w:t>
            </w:r>
          </w:p>
        </w:tc>
        <w:tc>
          <w:tcPr>
            <w:tcW w:w="938" w:type="pct"/>
            <w:shd w:val="clear" w:color="auto" w:fill="auto"/>
            <w:vAlign w:val="center"/>
          </w:tcPr>
          <w:p w:rsidR="00872AAD" w:rsidRPr="00B114BB" w:rsidRDefault="00872AAD" w:rsidP="00872AAD">
            <w:pPr>
              <w:pStyle w:val="TableText0"/>
              <w:jc w:val="center"/>
            </w:pPr>
            <w:r w:rsidRPr="00B114BB">
              <w:t>75/193 (</w:t>
            </w:r>
            <w:r w:rsidRPr="00B114BB">
              <w:rPr>
                <w:iCs/>
              </w:rPr>
              <w:t>38.9</w:t>
            </w:r>
            <w:r w:rsidRPr="00B114BB">
              <w:t>)</w:t>
            </w:r>
          </w:p>
        </w:tc>
        <w:tc>
          <w:tcPr>
            <w:tcW w:w="1016" w:type="pct"/>
            <w:shd w:val="clear" w:color="auto" w:fill="auto"/>
            <w:vAlign w:val="center"/>
          </w:tcPr>
          <w:p w:rsidR="00872AAD" w:rsidRPr="00B114BB" w:rsidRDefault="00872AAD" w:rsidP="00872AAD">
            <w:pPr>
              <w:pStyle w:val="TableText0"/>
              <w:jc w:val="center"/>
            </w:pPr>
            <w:r w:rsidRPr="00B114BB">
              <w:t>20/99 (</w:t>
            </w:r>
            <w:r w:rsidRPr="00B114BB">
              <w:rPr>
                <w:iCs/>
              </w:rPr>
              <w:t>20.2</w:t>
            </w:r>
            <w:r w:rsidRPr="00B114BB">
              <w:t>)</w:t>
            </w:r>
          </w:p>
        </w:tc>
        <w:tc>
          <w:tcPr>
            <w:tcW w:w="860" w:type="pct"/>
            <w:shd w:val="clear" w:color="auto" w:fill="auto"/>
            <w:vAlign w:val="center"/>
          </w:tcPr>
          <w:p w:rsidR="00872AAD" w:rsidRPr="00B114BB" w:rsidRDefault="00872AAD" w:rsidP="00872AAD">
            <w:pPr>
              <w:pStyle w:val="TableText0"/>
              <w:jc w:val="center"/>
              <w:rPr>
                <w:b/>
                <w:bCs w:val="0"/>
                <w:iCs/>
              </w:rPr>
            </w:pPr>
            <w:r w:rsidRPr="00B114BB">
              <w:rPr>
                <w:b/>
                <w:bCs w:val="0"/>
                <w:iCs/>
              </w:rPr>
              <w:t>1.92 (1.25, 2.96)</w:t>
            </w:r>
          </w:p>
        </w:tc>
        <w:tc>
          <w:tcPr>
            <w:tcW w:w="1094" w:type="pct"/>
            <w:shd w:val="clear" w:color="auto" w:fill="auto"/>
            <w:vAlign w:val="center"/>
          </w:tcPr>
          <w:p w:rsidR="00872AAD" w:rsidRPr="00B114BB" w:rsidRDefault="00872AAD" w:rsidP="00872AAD">
            <w:pPr>
              <w:pStyle w:val="TableText0"/>
              <w:jc w:val="center"/>
              <w:rPr>
                <w:b/>
                <w:bCs w:val="0"/>
              </w:rPr>
            </w:pPr>
            <w:r w:rsidRPr="00B114BB">
              <w:rPr>
                <w:b/>
                <w:bCs w:val="0"/>
              </w:rPr>
              <w:t>18.7 (7.6, 29.7)</w:t>
            </w:r>
          </w:p>
        </w:tc>
      </w:tr>
      <w:tr w:rsidR="00872AAD" w:rsidRPr="00B114BB" w:rsidTr="00126A44">
        <w:trPr>
          <w:cantSplit/>
        </w:trPr>
        <w:tc>
          <w:tcPr>
            <w:tcW w:w="1092" w:type="pct"/>
            <w:shd w:val="clear" w:color="auto" w:fill="auto"/>
            <w:vAlign w:val="center"/>
          </w:tcPr>
          <w:p w:rsidR="00872AAD" w:rsidRPr="00B114BB" w:rsidRDefault="00872AAD" w:rsidP="00872AAD">
            <w:pPr>
              <w:pStyle w:val="TableText0"/>
            </w:pPr>
            <w:r w:rsidRPr="00B114BB">
              <w:t>Others</w:t>
            </w:r>
          </w:p>
        </w:tc>
        <w:tc>
          <w:tcPr>
            <w:tcW w:w="938" w:type="pct"/>
            <w:shd w:val="clear" w:color="auto" w:fill="auto"/>
            <w:vAlign w:val="center"/>
          </w:tcPr>
          <w:p w:rsidR="00872AAD" w:rsidRPr="00B114BB" w:rsidRDefault="00872AAD" w:rsidP="00872AAD">
            <w:pPr>
              <w:pStyle w:val="TableText0"/>
              <w:jc w:val="center"/>
            </w:pPr>
            <w:r w:rsidRPr="00B114BB">
              <w:t>NR</w:t>
            </w:r>
          </w:p>
        </w:tc>
        <w:tc>
          <w:tcPr>
            <w:tcW w:w="1016" w:type="pct"/>
            <w:shd w:val="clear" w:color="auto" w:fill="auto"/>
          </w:tcPr>
          <w:p w:rsidR="00872AAD" w:rsidRPr="00B114BB" w:rsidRDefault="00872AAD" w:rsidP="00872AAD">
            <w:pPr>
              <w:pStyle w:val="TableText0"/>
              <w:jc w:val="center"/>
            </w:pPr>
            <w:r w:rsidRPr="00B114BB">
              <w:t>NR</w:t>
            </w:r>
          </w:p>
        </w:tc>
        <w:tc>
          <w:tcPr>
            <w:tcW w:w="860" w:type="pct"/>
            <w:shd w:val="clear" w:color="auto" w:fill="auto"/>
          </w:tcPr>
          <w:p w:rsidR="00872AAD" w:rsidRPr="00B114BB" w:rsidRDefault="00872AAD" w:rsidP="00872AAD">
            <w:pPr>
              <w:pStyle w:val="TableText0"/>
              <w:jc w:val="center"/>
              <w:rPr>
                <w:iCs/>
              </w:rPr>
            </w:pPr>
            <w:r w:rsidRPr="00B114BB">
              <w:t>NR</w:t>
            </w:r>
          </w:p>
        </w:tc>
        <w:tc>
          <w:tcPr>
            <w:tcW w:w="1094" w:type="pct"/>
            <w:shd w:val="clear" w:color="auto" w:fill="auto"/>
          </w:tcPr>
          <w:p w:rsidR="00872AAD" w:rsidRPr="00B114BB" w:rsidRDefault="00872AAD" w:rsidP="00872AAD">
            <w:pPr>
              <w:pStyle w:val="TableText0"/>
              <w:jc w:val="center"/>
            </w:pPr>
            <w:r w:rsidRPr="00B114BB">
              <w:t>NR</w:t>
            </w:r>
          </w:p>
        </w:tc>
      </w:tr>
    </w:tbl>
    <w:p w:rsidR="00872AAD" w:rsidRPr="00B1011F" w:rsidRDefault="00872AAD" w:rsidP="00872AAD">
      <w:pPr>
        <w:pStyle w:val="TableFigureFooter"/>
        <w:rPr>
          <w:sz w:val="20"/>
        </w:rPr>
      </w:pPr>
      <w:r>
        <w:t>Source: Shao (2019)</w:t>
      </w:r>
      <w:r w:rsidR="00682AAF">
        <w:t xml:space="preserve"> for PEONY</w:t>
      </w:r>
      <w:r>
        <w:t>.</w:t>
      </w:r>
    </w:p>
    <w:p w:rsidR="00872AAD" w:rsidRDefault="00872AAD" w:rsidP="00872AAD">
      <w:pPr>
        <w:pStyle w:val="TableFigureFooter"/>
        <w:rPr>
          <w:rFonts w:eastAsia="Calibri"/>
        </w:rPr>
      </w:pPr>
      <w:proofErr w:type="gramStart"/>
      <w:r>
        <w:rPr>
          <w:rFonts w:eastAsia="Calibri"/>
        </w:rPr>
        <w:t xml:space="preserve">BC = breast cancer; </w:t>
      </w:r>
      <w:r w:rsidRPr="00B40358">
        <w:rPr>
          <w:rFonts w:eastAsia="Calibri"/>
        </w:rPr>
        <w:t>CI = confidence interval</w:t>
      </w:r>
      <w:r>
        <w:rPr>
          <w:rFonts w:eastAsia="Calibri"/>
        </w:rPr>
        <w:t>; D = docetaxel; eBC = early BC; ER = oestrogen receptor;</w:t>
      </w:r>
      <w:r w:rsidR="00F07B0F">
        <w:rPr>
          <w:rFonts w:eastAsia="Calibri"/>
        </w:rPr>
        <w:t xml:space="preserve"> ERBB2 = h</w:t>
      </w:r>
      <w:r w:rsidR="00F07B0F">
        <w:rPr>
          <w:rStyle w:val="e24kjd"/>
        </w:rPr>
        <w:t>uman epidermal receptor growth factor 2;</w:t>
      </w:r>
      <w:r>
        <w:rPr>
          <w:rFonts w:eastAsia="Calibri"/>
        </w:rPr>
        <w:t xml:space="preserve"> iBC = inflammatory BC; </w:t>
      </w:r>
      <w:r w:rsidR="00F07B0F">
        <w:rPr>
          <w:rFonts w:eastAsia="Calibri"/>
        </w:rPr>
        <w:t xml:space="preserve">IHC = immunohistochemistry; </w:t>
      </w:r>
      <w:r>
        <w:rPr>
          <w:rFonts w:eastAsia="Calibri"/>
        </w:rPr>
        <w:t xml:space="preserve">LABC = locally advanced BC; </w:t>
      </w:r>
      <w:r w:rsidRPr="00B40358">
        <w:rPr>
          <w:rFonts w:eastAsia="Calibri"/>
        </w:rPr>
        <w:t>n = number of participants with event; N = total participants in group</w:t>
      </w:r>
      <w:r>
        <w:rPr>
          <w:rFonts w:eastAsia="Calibri"/>
        </w:rPr>
        <w:t>; NR = not reported; P</w:t>
      </w:r>
      <w:r w:rsidR="005F78B1">
        <w:rPr>
          <w:rFonts w:eastAsia="Calibri"/>
        </w:rPr>
        <w:t>tz</w:t>
      </w:r>
      <w:r>
        <w:rPr>
          <w:rFonts w:eastAsia="Calibri"/>
        </w:rPr>
        <w:t xml:space="preserve"> = pertuzumab; PR = progesterone receptor; RR = rate ratio; T = trastuzumab; tpCR = total pathological complete response; tpCR-IRC = tpCR as determined by an Independent Review Committee (IRC)</w:t>
      </w:r>
      <w:proofErr w:type="gramEnd"/>
    </w:p>
    <w:p w:rsidR="00872AAD" w:rsidRDefault="00872AAD" w:rsidP="00872AAD">
      <w:pPr>
        <w:pStyle w:val="TableFigureFooter"/>
        <w:rPr>
          <w:rFonts w:eastAsia="Calibri"/>
        </w:rPr>
      </w:pPr>
      <w:r w:rsidRPr="00760F9E">
        <w:rPr>
          <w:rFonts w:eastAsia="Calibri"/>
          <w:b/>
        </w:rPr>
        <w:t>Bold</w:t>
      </w:r>
      <w:r>
        <w:rPr>
          <w:rFonts w:eastAsia="Calibri"/>
        </w:rPr>
        <w:t xml:space="preserve"> indicates statistically significant results.</w:t>
      </w:r>
    </w:p>
    <w:p w:rsidR="00872AAD" w:rsidRDefault="00872AAD" w:rsidP="00872AAD">
      <w:pPr>
        <w:pStyle w:val="TableFigureFooter"/>
        <w:rPr>
          <w:rFonts w:eastAsia="Calibri"/>
        </w:rPr>
      </w:pPr>
      <w:r w:rsidRPr="00B114BB">
        <w:rPr>
          <w:rFonts w:eastAsia="Calibri"/>
        </w:rPr>
        <w:t>RR and 95% CIin PEONY were not reported in Shao (2019) but</w:t>
      </w:r>
      <w:r>
        <w:rPr>
          <w:rFonts w:eastAsia="Calibri"/>
        </w:rPr>
        <w:t xml:space="preserve"> were calculated using the raw data reported in Shao (2019) and the same methodology as used in the paper during the evaluation.</w:t>
      </w:r>
    </w:p>
    <w:p w:rsidR="00872AAD" w:rsidRPr="00C9624D" w:rsidRDefault="00872AAD" w:rsidP="000D09D2">
      <w:pPr>
        <w:pStyle w:val="ES-SubSection"/>
      </w:pPr>
      <w:bookmarkStart w:id="30" w:name="_Toc22897642"/>
      <w:bookmarkStart w:id="31" w:name="_Toc30594514"/>
      <w:r w:rsidRPr="00C9624D">
        <w:t>Comparative harms</w:t>
      </w:r>
      <w:bookmarkEnd w:id="30"/>
      <w:bookmarkEnd w:id="31"/>
    </w:p>
    <w:p w:rsidR="00872AAD" w:rsidRPr="00A1388F" w:rsidRDefault="009C6ACD" w:rsidP="005A68FB">
      <w:pPr>
        <w:pStyle w:val="3-BodyText"/>
      </w:pPr>
      <w:r w:rsidRPr="00A1388F">
        <w:rPr>
          <w:snapToGrid/>
          <w:lang w:val="en-US"/>
        </w:rPr>
        <w:t xml:space="preserve">One patient in the </w:t>
      </w:r>
      <w:r w:rsidR="00BD26D5" w:rsidRPr="00A1388F">
        <w:rPr>
          <w:snapToGrid/>
          <w:lang w:val="en-US"/>
        </w:rPr>
        <w:t>Ptz</w:t>
      </w:r>
      <w:r w:rsidRPr="00A1388F">
        <w:rPr>
          <w:snapToGrid/>
          <w:lang w:val="en-US"/>
        </w:rPr>
        <w:t>+T+</w:t>
      </w:r>
      <w:r w:rsidR="00BD26D5" w:rsidRPr="00A1388F">
        <w:rPr>
          <w:snapToGrid/>
          <w:lang w:val="en-US"/>
        </w:rPr>
        <w:t>D</w:t>
      </w:r>
      <w:r w:rsidRPr="00A1388F">
        <w:rPr>
          <w:snapToGrid/>
          <w:lang w:val="en-US"/>
        </w:rPr>
        <w:t xml:space="preserve"> group in NEOSPHERE died during the neoadjuvant period and the death (fulminant hepatitis) </w:t>
      </w:r>
      <w:proofErr w:type="gramStart"/>
      <w:r w:rsidRPr="00A1388F">
        <w:rPr>
          <w:snapToGrid/>
          <w:lang w:val="en-US"/>
        </w:rPr>
        <w:t>was considered</w:t>
      </w:r>
      <w:proofErr w:type="gramEnd"/>
      <w:r w:rsidRPr="00A1388F">
        <w:rPr>
          <w:snapToGrid/>
          <w:lang w:val="en-US"/>
        </w:rPr>
        <w:t xml:space="preserve"> related to treatment. Shao (2019) reported that at the data cut-off date, there was one death in the </w:t>
      </w:r>
      <w:r w:rsidR="00BD26D5" w:rsidRPr="00A1388F">
        <w:rPr>
          <w:snapToGrid/>
          <w:lang w:val="en-US"/>
        </w:rPr>
        <w:t>Ptz</w:t>
      </w:r>
      <w:r w:rsidRPr="00A1388F">
        <w:rPr>
          <w:snapToGrid/>
          <w:lang w:val="en-US"/>
        </w:rPr>
        <w:t>+T+</w:t>
      </w:r>
      <w:r w:rsidR="00BD26D5" w:rsidRPr="00A1388F">
        <w:rPr>
          <w:snapToGrid/>
          <w:lang w:val="en-US"/>
        </w:rPr>
        <w:t>D</w:t>
      </w:r>
      <w:r w:rsidRPr="00A1388F">
        <w:rPr>
          <w:snapToGrid/>
          <w:lang w:val="en-US"/>
        </w:rPr>
        <w:t xml:space="preserve"> group</w:t>
      </w:r>
      <w:r w:rsidR="007469E0" w:rsidRPr="00A1388F">
        <w:rPr>
          <w:snapToGrid/>
          <w:lang w:val="en-US"/>
        </w:rPr>
        <w:t xml:space="preserve"> in PEONY</w:t>
      </w:r>
      <w:r w:rsidRPr="00A1388F">
        <w:rPr>
          <w:snapToGrid/>
          <w:lang w:val="en-US"/>
        </w:rPr>
        <w:t xml:space="preserve">: suicide on day </w:t>
      </w:r>
      <w:proofErr w:type="gramStart"/>
      <w:r w:rsidRPr="00A1388F">
        <w:rPr>
          <w:snapToGrid/>
          <w:lang w:val="en-US"/>
        </w:rPr>
        <w:t xml:space="preserve">15 </w:t>
      </w:r>
      <w:r w:rsidR="000F57D2">
        <w:rPr>
          <w:snapToGrid/>
          <w:lang w:val="en-US"/>
        </w:rPr>
        <w:t>which</w:t>
      </w:r>
      <w:r w:rsidR="000F57D2" w:rsidRPr="00A1388F">
        <w:rPr>
          <w:snapToGrid/>
          <w:lang w:val="en-US"/>
        </w:rPr>
        <w:t xml:space="preserve"> </w:t>
      </w:r>
      <w:r w:rsidRPr="00A1388F">
        <w:rPr>
          <w:snapToGrid/>
          <w:lang w:val="en-US"/>
        </w:rPr>
        <w:t>was not</w:t>
      </w:r>
      <w:proofErr w:type="gramEnd"/>
      <w:r w:rsidRPr="00A1388F">
        <w:rPr>
          <w:snapToGrid/>
          <w:lang w:val="en-US"/>
        </w:rPr>
        <w:t xml:space="preserve"> considered as related to the study medications. </w:t>
      </w:r>
      <w:r w:rsidR="00550A5E" w:rsidRPr="00080909">
        <w:t xml:space="preserve">Table </w:t>
      </w:r>
      <w:r w:rsidR="00550A5E">
        <w:rPr>
          <w:noProof/>
        </w:rPr>
        <w:t>8</w:t>
      </w:r>
      <w:r w:rsidR="001609C2">
        <w:t xml:space="preserve"> </w:t>
      </w:r>
      <w:r w:rsidR="00872AAD" w:rsidRPr="00A1388F">
        <w:t xml:space="preserve">and </w:t>
      </w:r>
      <w:r w:rsidR="00550A5E" w:rsidRPr="00080909">
        <w:t xml:space="preserve">Table </w:t>
      </w:r>
      <w:r w:rsidR="00550A5E">
        <w:rPr>
          <w:noProof/>
        </w:rPr>
        <w:t>9</w:t>
      </w:r>
      <w:r w:rsidR="00872AAD" w:rsidRPr="00A1388F">
        <w:t xml:space="preserve"> present serious adverse events </w:t>
      </w:r>
      <w:r w:rsidR="00297C20" w:rsidRPr="00A1388F">
        <w:t xml:space="preserve">(SAEs) </w:t>
      </w:r>
      <w:r w:rsidR="00872AAD" w:rsidRPr="00A1388F">
        <w:t xml:space="preserve">and common adverse events </w:t>
      </w:r>
      <w:r w:rsidR="00297C20" w:rsidRPr="00A1388F">
        <w:t xml:space="preserve">(AEs) </w:t>
      </w:r>
      <w:r w:rsidR="00872AAD" w:rsidRPr="00A1388F">
        <w:t xml:space="preserve">grade </w:t>
      </w:r>
      <w:r w:rsidR="00872AAD" w:rsidRPr="00A1388F">
        <w:rPr>
          <w:rFonts w:cstheme="minorHAnsi"/>
        </w:rPr>
        <w:t>≥</w:t>
      </w:r>
      <w:r w:rsidR="00872AAD" w:rsidRPr="00A1388F">
        <w:t xml:space="preserve">3 respectively by treatment period </w:t>
      </w:r>
      <w:r w:rsidR="00265F5D">
        <w:t>for</w:t>
      </w:r>
      <w:r w:rsidR="00265F5D" w:rsidRPr="00A1388F">
        <w:t xml:space="preserve"> </w:t>
      </w:r>
      <w:r w:rsidR="00872AAD" w:rsidRPr="00A1388F">
        <w:t xml:space="preserve">NEOSPHERE and TRYPHAENA. </w:t>
      </w:r>
      <w:r w:rsidR="00550A5E" w:rsidRPr="00080909">
        <w:t xml:space="preserve">Table </w:t>
      </w:r>
      <w:r w:rsidR="00550A5E">
        <w:rPr>
          <w:noProof/>
        </w:rPr>
        <w:t>10</w:t>
      </w:r>
      <w:r w:rsidR="00872AAD" w:rsidRPr="00A1388F">
        <w:t xml:space="preserve"> presents the results for PEONY. The submission reported that the safety of </w:t>
      </w:r>
      <w:r w:rsidR="00BD26D5" w:rsidRPr="00A1388F">
        <w:t>Ptz</w:t>
      </w:r>
      <w:r w:rsidR="00D758F9" w:rsidRPr="00A1388F">
        <w:t>+T+</w:t>
      </w:r>
      <w:r w:rsidR="00BD26D5" w:rsidRPr="00A1388F">
        <w:t>D</w:t>
      </w:r>
      <w:r w:rsidR="00D758F9" w:rsidRPr="00A1388F">
        <w:t xml:space="preserve"> </w:t>
      </w:r>
      <w:r w:rsidR="00872AAD" w:rsidRPr="00A1388F">
        <w:t xml:space="preserve">was comparable to that of </w:t>
      </w:r>
      <w:r w:rsidR="00297C20" w:rsidRPr="00A1388F">
        <w:rPr>
          <w:snapToGrid/>
          <w:lang w:val="en-US"/>
        </w:rPr>
        <w:t>T+D</w:t>
      </w:r>
      <w:r w:rsidR="00872AAD" w:rsidRPr="00A1388F">
        <w:rPr>
          <w:snapToGrid/>
          <w:lang w:val="en-US"/>
        </w:rPr>
        <w:t xml:space="preserve"> </w:t>
      </w:r>
      <w:r w:rsidR="00872AAD" w:rsidRPr="00A1388F">
        <w:t xml:space="preserve">in NEOSPHERE.  </w:t>
      </w:r>
      <w:r w:rsidR="007C4567" w:rsidRPr="00A1388F">
        <w:rPr>
          <w:iCs/>
        </w:rPr>
        <w:t xml:space="preserve">Nine patients </w:t>
      </w:r>
      <w:r w:rsidR="00EE4704" w:rsidRPr="00A1388F">
        <w:rPr>
          <w:iCs/>
        </w:rPr>
        <w:t xml:space="preserve">(8.4%) </w:t>
      </w:r>
      <w:r w:rsidR="007C4567" w:rsidRPr="00A1388F">
        <w:rPr>
          <w:iCs/>
        </w:rPr>
        <w:t xml:space="preserve">in the </w:t>
      </w:r>
      <w:r w:rsidR="00BD26D5" w:rsidRPr="00A1388F">
        <w:rPr>
          <w:iCs/>
        </w:rPr>
        <w:t>Ptz</w:t>
      </w:r>
      <w:r w:rsidR="007C4567" w:rsidRPr="00A1388F">
        <w:rPr>
          <w:iCs/>
        </w:rPr>
        <w:t>+T+</w:t>
      </w:r>
      <w:r w:rsidR="00BD26D5" w:rsidRPr="00A1388F">
        <w:rPr>
          <w:iCs/>
        </w:rPr>
        <w:t>D</w:t>
      </w:r>
      <w:r w:rsidR="007C4567" w:rsidRPr="00A1388F">
        <w:rPr>
          <w:iCs/>
        </w:rPr>
        <w:t xml:space="preserve"> group experienced left ventricular systolic dysfunction </w:t>
      </w:r>
      <w:r w:rsidR="009330B9" w:rsidRPr="00A1388F">
        <w:rPr>
          <w:iCs/>
        </w:rPr>
        <w:t xml:space="preserve">or congestive heart failure </w:t>
      </w:r>
      <w:r w:rsidR="00EE4704" w:rsidRPr="00A1388F">
        <w:rPr>
          <w:iCs/>
        </w:rPr>
        <w:t>(any grade)</w:t>
      </w:r>
      <w:r w:rsidR="005A0A8D" w:rsidRPr="00A1388F">
        <w:rPr>
          <w:iCs/>
        </w:rPr>
        <w:t xml:space="preserve"> compared with </w:t>
      </w:r>
      <w:r w:rsidR="00EE4704" w:rsidRPr="00A1388F">
        <w:rPr>
          <w:iCs/>
        </w:rPr>
        <w:t xml:space="preserve">two patients (1.9%) in the </w:t>
      </w:r>
      <w:r w:rsidR="00BD26D5" w:rsidRPr="00A1388F">
        <w:rPr>
          <w:iCs/>
        </w:rPr>
        <w:t>T+D</w:t>
      </w:r>
      <w:r w:rsidR="00EE4704" w:rsidRPr="00A1388F">
        <w:rPr>
          <w:iCs/>
        </w:rPr>
        <w:t xml:space="preserve"> group</w:t>
      </w:r>
      <w:r w:rsidR="009330B9" w:rsidRPr="00A1388F">
        <w:rPr>
          <w:iCs/>
        </w:rPr>
        <w:t xml:space="preserve"> in NEOSPHERE</w:t>
      </w:r>
      <w:r w:rsidR="00EE4704" w:rsidRPr="00A1388F">
        <w:rPr>
          <w:iCs/>
        </w:rPr>
        <w:t>.</w:t>
      </w:r>
      <w:r w:rsidR="00EE4704" w:rsidRPr="00A1388F">
        <w:rPr>
          <w:rStyle w:val="FootnoteReference"/>
          <w:iCs/>
        </w:rPr>
        <w:footnoteReference w:id="15"/>
      </w:r>
      <w:r w:rsidR="00EE4704" w:rsidRPr="00A1388F">
        <w:rPr>
          <w:iCs/>
        </w:rPr>
        <w:t xml:space="preserve"> </w:t>
      </w:r>
      <w:r w:rsidR="009330B9" w:rsidRPr="00A1388F">
        <w:rPr>
          <w:iCs/>
        </w:rPr>
        <w:t xml:space="preserve">In addition, significantly more patients in the </w:t>
      </w:r>
      <w:r w:rsidR="00BD26D5" w:rsidRPr="00A1388F">
        <w:rPr>
          <w:iCs/>
        </w:rPr>
        <w:t>Ptz</w:t>
      </w:r>
      <w:r w:rsidR="009330B9" w:rsidRPr="00A1388F">
        <w:rPr>
          <w:iCs/>
        </w:rPr>
        <w:t>+T+</w:t>
      </w:r>
      <w:r w:rsidR="00BD26D5" w:rsidRPr="00A1388F">
        <w:rPr>
          <w:iCs/>
        </w:rPr>
        <w:t>D</w:t>
      </w:r>
      <w:r w:rsidR="009330B9" w:rsidRPr="00A1388F">
        <w:rPr>
          <w:iCs/>
        </w:rPr>
        <w:t xml:space="preserve"> group experienced diarrhoea and infusion-related reactions in PEONY (</w:t>
      </w:r>
      <w:r w:rsidR="00550A5E" w:rsidRPr="00080909">
        <w:t xml:space="preserve">Table </w:t>
      </w:r>
      <w:r w:rsidR="00550A5E">
        <w:rPr>
          <w:noProof/>
        </w:rPr>
        <w:t>10</w:t>
      </w:r>
      <w:r w:rsidR="009330B9" w:rsidRPr="00A1388F">
        <w:rPr>
          <w:iCs/>
        </w:rPr>
        <w:t xml:space="preserve">). </w:t>
      </w:r>
      <w:r w:rsidR="00265F5D" w:rsidRPr="00A1388F">
        <w:rPr>
          <w:iCs/>
        </w:rPr>
        <w:t>The claim of non-inferior comparative safety</w:t>
      </w:r>
      <w:r w:rsidR="00265F5D">
        <w:rPr>
          <w:iCs/>
        </w:rPr>
        <w:t xml:space="preserve"> </w:t>
      </w:r>
      <w:proofErr w:type="gramStart"/>
      <w:r w:rsidR="00265F5D">
        <w:rPr>
          <w:iCs/>
        </w:rPr>
        <w:t>was considered</w:t>
      </w:r>
      <w:proofErr w:type="gramEnd"/>
      <w:r w:rsidR="00265F5D">
        <w:rPr>
          <w:iCs/>
        </w:rPr>
        <w:t xml:space="preserve"> uncertain during the evaluation</w:t>
      </w:r>
      <w:r w:rsidR="00265F5D" w:rsidRPr="00A1388F">
        <w:rPr>
          <w:iCs/>
        </w:rPr>
        <w:t>.</w:t>
      </w:r>
    </w:p>
    <w:p w:rsidR="00872AAD" w:rsidRPr="00A1388F" w:rsidRDefault="00872AAD" w:rsidP="00872AAD">
      <w:pPr>
        <w:pStyle w:val="3-BodyText"/>
        <w:contextualSpacing/>
      </w:pPr>
      <w:r w:rsidRPr="00A1388F">
        <w:lastRenderedPageBreak/>
        <w:t>The most common grade ≥3 AEs observed were docetaxel-related neutropenia, febrile neutropenia and leukopenia (</w:t>
      </w:r>
      <w:r w:rsidR="00550A5E" w:rsidRPr="00080909">
        <w:t xml:space="preserve">Table </w:t>
      </w:r>
      <w:r w:rsidR="00550A5E">
        <w:rPr>
          <w:noProof/>
        </w:rPr>
        <w:t>9</w:t>
      </w:r>
      <w:r w:rsidRPr="00A1388F">
        <w:t xml:space="preserve">). The TYPHAENA safety study demonstrated that six cycles of </w:t>
      </w:r>
      <w:r w:rsidR="00BD26D5" w:rsidRPr="00A1388F">
        <w:t>Ptz+T</w:t>
      </w:r>
      <w:r w:rsidRPr="00A1388F">
        <w:t xml:space="preserve"> in combination with either anthracycline-based or carboplatin-based neoadjuvant chemotherapy </w:t>
      </w:r>
      <w:proofErr w:type="gramStart"/>
      <w:r w:rsidRPr="00A1388F">
        <w:t>was well tolerated</w:t>
      </w:r>
      <w:proofErr w:type="gramEnd"/>
      <w:r w:rsidRPr="00A1388F">
        <w:t xml:space="preserve"> with low rates of cardiac AEs (p85 of the submission). </w:t>
      </w:r>
      <w:r w:rsidRPr="00A1388F">
        <w:rPr>
          <w:iCs/>
        </w:rPr>
        <w:t xml:space="preserve">In PEONY, more patients in the </w:t>
      </w:r>
      <w:r w:rsidR="00BD26D5" w:rsidRPr="00A1388F">
        <w:rPr>
          <w:iCs/>
        </w:rPr>
        <w:t>Ptz</w:t>
      </w:r>
      <w:r w:rsidR="00297C20" w:rsidRPr="00A1388F">
        <w:rPr>
          <w:iCs/>
        </w:rPr>
        <w:t>+T+</w:t>
      </w:r>
      <w:r w:rsidR="00BD26D5" w:rsidRPr="00A1388F">
        <w:rPr>
          <w:iCs/>
        </w:rPr>
        <w:t>D</w:t>
      </w:r>
      <w:r w:rsidRPr="00A1388F">
        <w:rPr>
          <w:iCs/>
        </w:rPr>
        <w:t xml:space="preserve"> group had the </w:t>
      </w:r>
      <w:r w:rsidR="00297C20" w:rsidRPr="00A1388F">
        <w:rPr>
          <w:iCs/>
        </w:rPr>
        <w:t>SAE</w:t>
      </w:r>
      <w:r w:rsidRPr="00A1388F">
        <w:rPr>
          <w:iCs/>
        </w:rPr>
        <w:t xml:space="preserve"> of neutropenia (38.1% vs. 32.7%),</w:t>
      </w:r>
      <w:r w:rsidRPr="00A1388F">
        <w:t xml:space="preserve"> </w:t>
      </w:r>
      <w:r w:rsidRPr="00A1388F">
        <w:rPr>
          <w:iCs/>
        </w:rPr>
        <w:t>significantly more had diarrhoea (38.5% vs. 16.4%) and infusion-related reactions (22.0% vs. 9.1%).</w:t>
      </w:r>
    </w:p>
    <w:p w:rsidR="00872AAD" w:rsidRDefault="00872AAD" w:rsidP="00872AAD">
      <w:pPr>
        <w:pStyle w:val="TableFigureHeading"/>
      </w:pPr>
      <w:bookmarkStart w:id="32" w:name="_Ref33607378"/>
      <w:bookmarkStart w:id="33" w:name="_Hlk29537167"/>
      <w:r w:rsidRPr="00080909">
        <w:t xml:space="preserve">Table </w:t>
      </w:r>
      <w:r w:rsidR="00550A5E">
        <w:rPr>
          <w:noProof/>
        </w:rPr>
        <w:t>8</w:t>
      </w:r>
      <w:bookmarkEnd w:id="32"/>
      <w:r w:rsidRPr="00080909">
        <w:t>:</w:t>
      </w:r>
      <w:r>
        <w:t xml:space="preserve"> </w:t>
      </w:r>
      <w:r w:rsidRPr="00080909">
        <w:t xml:space="preserve">Summary of </w:t>
      </w:r>
      <w:r>
        <w:t>serious adverse events (SAEs) by treatment period in NEOSPHERE and TRYPHAENA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250"/>
        <w:gridCol w:w="1250"/>
        <w:gridCol w:w="2775"/>
        <w:gridCol w:w="1387"/>
      </w:tblGrid>
      <w:tr w:rsidR="00872AAD" w:rsidRPr="00080909" w:rsidTr="00126A44">
        <w:trPr>
          <w:tblHeader/>
        </w:trPr>
        <w:tc>
          <w:tcPr>
            <w:tcW w:w="1306" w:type="pct"/>
            <w:tcBorders>
              <w:bottom w:val="nil"/>
            </w:tcBorders>
            <w:shd w:val="clear" w:color="auto" w:fill="auto"/>
            <w:vAlign w:val="center"/>
          </w:tcPr>
          <w:p w:rsidR="00872AAD" w:rsidRDefault="00872AAD" w:rsidP="00872AAD">
            <w:pPr>
              <w:pStyle w:val="In-tableHeading"/>
            </w:pPr>
          </w:p>
        </w:tc>
        <w:tc>
          <w:tcPr>
            <w:tcW w:w="1386" w:type="pct"/>
            <w:gridSpan w:val="2"/>
            <w:shd w:val="clear" w:color="auto" w:fill="auto"/>
            <w:vAlign w:val="center"/>
          </w:tcPr>
          <w:p w:rsidR="00872AAD" w:rsidRDefault="00872AAD" w:rsidP="00872AAD">
            <w:pPr>
              <w:pStyle w:val="In-tableHeading"/>
              <w:jc w:val="center"/>
            </w:pPr>
            <w:r>
              <w:t>NEOSPHERE</w:t>
            </w:r>
          </w:p>
        </w:tc>
        <w:tc>
          <w:tcPr>
            <w:tcW w:w="2308" w:type="pct"/>
            <w:gridSpan w:val="2"/>
            <w:shd w:val="clear" w:color="auto" w:fill="auto"/>
            <w:vAlign w:val="center"/>
          </w:tcPr>
          <w:p w:rsidR="00872AAD" w:rsidRDefault="00872AAD" w:rsidP="00872AAD">
            <w:pPr>
              <w:pStyle w:val="In-tableHeading"/>
              <w:jc w:val="center"/>
            </w:pPr>
            <w:r>
              <w:t>TRYPHAENA</w:t>
            </w:r>
          </w:p>
        </w:tc>
      </w:tr>
      <w:tr w:rsidR="00872AAD" w:rsidRPr="00080909" w:rsidTr="00126A44">
        <w:trPr>
          <w:tblHeader/>
        </w:trPr>
        <w:tc>
          <w:tcPr>
            <w:tcW w:w="1306" w:type="pct"/>
            <w:tcBorders>
              <w:top w:val="nil"/>
            </w:tcBorders>
            <w:shd w:val="clear" w:color="auto" w:fill="auto"/>
            <w:vAlign w:val="center"/>
          </w:tcPr>
          <w:p w:rsidR="00872AAD" w:rsidRPr="00080909" w:rsidRDefault="00872AAD" w:rsidP="00872AAD">
            <w:pPr>
              <w:pStyle w:val="In-tableHeading"/>
            </w:pPr>
            <w:r>
              <w:t>SAE</w:t>
            </w:r>
          </w:p>
        </w:tc>
        <w:tc>
          <w:tcPr>
            <w:tcW w:w="693" w:type="pct"/>
            <w:tcBorders>
              <w:right w:val="nil"/>
            </w:tcBorders>
            <w:shd w:val="clear" w:color="auto" w:fill="auto"/>
            <w:vAlign w:val="center"/>
          </w:tcPr>
          <w:p w:rsidR="00872AAD" w:rsidRDefault="00872AAD" w:rsidP="00872AAD">
            <w:pPr>
              <w:pStyle w:val="In-tableHeading"/>
              <w:jc w:val="center"/>
            </w:pPr>
            <w:r>
              <w:t>Arm B (P</w:t>
            </w:r>
            <w:r w:rsidR="00297C20">
              <w:t>tz</w:t>
            </w:r>
            <w:r>
              <w:t>+T+D)</w:t>
            </w:r>
          </w:p>
          <w:p w:rsidR="00872AAD" w:rsidRPr="00080909" w:rsidRDefault="00872AAD" w:rsidP="00872AAD">
            <w:pPr>
              <w:pStyle w:val="In-tableHeading"/>
              <w:jc w:val="center"/>
            </w:pPr>
            <w:r>
              <w:t>n (%, n/N)</w:t>
            </w:r>
          </w:p>
        </w:tc>
        <w:tc>
          <w:tcPr>
            <w:tcW w:w="693" w:type="pct"/>
            <w:tcBorders>
              <w:left w:val="nil"/>
            </w:tcBorders>
            <w:shd w:val="clear" w:color="auto" w:fill="auto"/>
            <w:vAlign w:val="center"/>
          </w:tcPr>
          <w:p w:rsidR="00872AAD" w:rsidRDefault="00872AAD" w:rsidP="00872AAD">
            <w:pPr>
              <w:pStyle w:val="In-tableHeading"/>
              <w:jc w:val="center"/>
            </w:pPr>
            <w:r>
              <w:t xml:space="preserve">Arm A </w:t>
            </w:r>
          </w:p>
          <w:p w:rsidR="00872AAD" w:rsidRDefault="00872AAD" w:rsidP="00872AAD">
            <w:pPr>
              <w:pStyle w:val="In-tableHeading"/>
              <w:jc w:val="center"/>
            </w:pPr>
            <w:r>
              <w:t>(T+D)</w:t>
            </w:r>
          </w:p>
          <w:p w:rsidR="00872AAD" w:rsidRPr="00080909" w:rsidRDefault="00872AAD" w:rsidP="00872AAD">
            <w:pPr>
              <w:pStyle w:val="In-tableHeading"/>
              <w:jc w:val="center"/>
            </w:pPr>
            <w:r>
              <w:t>n (%, n/N)</w:t>
            </w:r>
          </w:p>
        </w:tc>
        <w:tc>
          <w:tcPr>
            <w:tcW w:w="1539" w:type="pct"/>
            <w:tcBorders>
              <w:right w:val="nil"/>
            </w:tcBorders>
            <w:shd w:val="clear" w:color="auto" w:fill="auto"/>
            <w:vAlign w:val="center"/>
          </w:tcPr>
          <w:p w:rsidR="00872AAD" w:rsidRDefault="00872AAD" w:rsidP="00872AAD">
            <w:pPr>
              <w:pStyle w:val="In-tableHeading"/>
              <w:jc w:val="center"/>
            </w:pPr>
            <w:r>
              <w:t>Arm A</w:t>
            </w:r>
          </w:p>
          <w:p w:rsidR="00872AAD" w:rsidRDefault="00872AAD" w:rsidP="00872AAD">
            <w:pPr>
              <w:pStyle w:val="In-tableHeading"/>
              <w:jc w:val="center"/>
            </w:pPr>
            <w:r>
              <w:t>(P</w:t>
            </w:r>
            <w:r w:rsidR="00297C20">
              <w:t>tz</w:t>
            </w:r>
            <w:r>
              <w:t>+T</w:t>
            </w:r>
            <w:r w:rsidRPr="00153E0E">
              <w:t>+FEC</w:t>
            </w:r>
            <w:r>
              <w:t xml:space="preserve">) </w:t>
            </w:r>
            <w:r w:rsidRPr="00153E0E">
              <w:t>x3</w:t>
            </w:r>
            <w:r>
              <w:t xml:space="preserve"> </w:t>
            </w:r>
            <w:r w:rsidRPr="00153E0E">
              <w:t>→</w:t>
            </w:r>
            <w:r>
              <w:t xml:space="preserve"> (P</w:t>
            </w:r>
            <w:r w:rsidR="00297C20">
              <w:t>tz</w:t>
            </w:r>
            <w:r>
              <w:t xml:space="preserve">+T+D) </w:t>
            </w:r>
            <w:r w:rsidRPr="00153E0E">
              <w:t>x3</w:t>
            </w:r>
          </w:p>
          <w:p w:rsidR="00872AAD" w:rsidRDefault="00872AAD" w:rsidP="00872AAD">
            <w:pPr>
              <w:pStyle w:val="In-tableHeading"/>
              <w:jc w:val="center"/>
            </w:pPr>
            <w:r>
              <w:t>n (%, n/N)</w:t>
            </w:r>
          </w:p>
        </w:tc>
        <w:tc>
          <w:tcPr>
            <w:tcW w:w="769" w:type="pct"/>
            <w:tcBorders>
              <w:left w:val="nil"/>
            </w:tcBorders>
            <w:shd w:val="clear" w:color="auto" w:fill="auto"/>
            <w:vAlign w:val="center"/>
          </w:tcPr>
          <w:p w:rsidR="00872AAD" w:rsidRDefault="00872AAD" w:rsidP="00872AAD">
            <w:pPr>
              <w:pStyle w:val="In-tableHeading"/>
              <w:jc w:val="center"/>
            </w:pPr>
            <w:r>
              <w:t>Arm C</w:t>
            </w:r>
          </w:p>
          <w:p w:rsidR="00872AAD" w:rsidRDefault="00872AAD" w:rsidP="00872AAD">
            <w:pPr>
              <w:pStyle w:val="In-tableHeading"/>
              <w:jc w:val="center"/>
            </w:pPr>
            <w:r>
              <w:t>(P</w:t>
            </w:r>
            <w:r w:rsidR="00297C20">
              <w:t>tz</w:t>
            </w:r>
            <w:r>
              <w:t>+T</w:t>
            </w:r>
            <w:r w:rsidRPr="00153E0E">
              <w:t>+</w:t>
            </w:r>
            <w:r>
              <w:t>C+D) x6</w:t>
            </w:r>
          </w:p>
          <w:p w:rsidR="00872AAD" w:rsidRDefault="00872AAD" w:rsidP="00872AAD">
            <w:pPr>
              <w:pStyle w:val="In-tableHeading"/>
              <w:jc w:val="center"/>
            </w:pPr>
            <w:r>
              <w:t>n (%, n/N)</w:t>
            </w:r>
          </w:p>
        </w:tc>
      </w:tr>
      <w:tr w:rsidR="00872AAD" w:rsidRPr="00C30E50" w:rsidTr="00126A44">
        <w:tc>
          <w:tcPr>
            <w:tcW w:w="1306" w:type="pct"/>
            <w:tcBorders>
              <w:bottom w:val="single" w:sz="4" w:space="0" w:color="auto"/>
            </w:tcBorders>
            <w:shd w:val="clear" w:color="auto" w:fill="auto"/>
            <w:vAlign w:val="center"/>
          </w:tcPr>
          <w:p w:rsidR="00872AAD" w:rsidRPr="00C30E50" w:rsidRDefault="00872AAD" w:rsidP="00872AAD">
            <w:pPr>
              <w:pStyle w:val="TableText0"/>
              <w:rPr>
                <w:b/>
              </w:rPr>
            </w:pPr>
            <w:r w:rsidRPr="00C30E50">
              <w:rPr>
                <w:b/>
              </w:rPr>
              <w:t>Neoadjuvant period</w:t>
            </w:r>
          </w:p>
        </w:tc>
        <w:tc>
          <w:tcPr>
            <w:tcW w:w="693" w:type="pct"/>
            <w:tcBorders>
              <w:bottom w:val="single" w:sz="4" w:space="0" w:color="auto"/>
              <w:right w:val="nil"/>
            </w:tcBorders>
            <w:shd w:val="clear" w:color="auto" w:fill="auto"/>
            <w:vAlign w:val="center"/>
          </w:tcPr>
          <w:p w:rsidR="00872AAD" w:rsidRPr="00C30E50" w:rsidRDefault="00872AAD" w:rsidP="00872AAD">
            <w:pPr>
              <w:pStyle w:val="TableText0"/>
              <w:jc w:val="center"/>
              <w:rPr>
                <w:b/>
              </w:rPr>
            </w:pPr>
            <w:r w:rsidRPr="00C30E50">
              <w:rPr>
                <w:b/>
              </w:rPr>
              <w:t>N=107</w:t>
            </w:r>
          </w:p>
        </w:tc>
        <w:tc>
          <w:tcPr>
            <w:tcW w:w="693" w:type="pct"/>
            <w:tcBorders>
              <w:left w:val="nil"/>
              <w:bottom w:val="single" w:sz="4" w:space="0" w:color="auto"/>
            </w:tcBorders>
            <w:shd w:val="clear" w:color="auto" w:fill="auto"/>
            <w:vAlign w:val="center"/>
          </w:tcPr>
          <w:p w:rsidR="00872AAD" w:rsidRPr="00C30E50" w:rsidRDefault="00872AAD" w:rsidP="00872AAD">
            <w:pPr>
              <w:pStyle w:val="TableText0"/>
              <w:jc w:val="center"/>
              <w:rPr>
                <w:b/>
              </w:rPr>
            </w:pPr>
            <w:r w:rsidRPr="00C30E50">
              <w:rPr>
                <w:b/>
              </w:rPr>
              <w:t>N=107</w:t>
            </w:r>
          </w:p>
        </w:tc>
        <w:tc>
          <w:tcPr>
            <w:tcW w:w="1539" w:type="pct"/>
            <w:tcBorders>
              <w:bottom w:val="single" w:sz="4" w:space="0" w:color="auto"/>
              <w:right w:val="nil"/>
            </w:tcBorders>
            <w:shd w:val="clear" w:color="auto" w:fill="auto"/>
          </w:tcPr>
          <w:p w:rsidR="00872AAD" w:rsidRPr="00C30E50" w:rsidRDefault="00872AAD" w:rsidP="00872AAD">
            <w:pPr>
              <w:pStyle w:val="TableText0"/>
              <w:jc w:val="center"/>
              <w:rPr>
                <w:b/>
              </w:rPr>
            </w:pPr>
            <w:r w:rsidRPr="00C30E50">
              <w:rPr>
                <w:b/>
              </w:rPr>
              <w:t>N=72</w:t>
            </w:r>
          </w:p>
        </w:tc>
        <w:tc>
          <w:tcPr>
            <w:tcW w:w="769" w:type="pct"/>
            <w:tcBorders>
              <w:left w:val="nil"/>
              <w:bottom w:val="single" w:sz="4" w:space="0" w:color="auto"/>
            </w:tcBorders>
            <w:shd w:val="clear" w:color="auto" w:fill="auto"/>
          </w:tcPr>
          <w:p w:rsidR="00872AAD" w:rsidRPr="00C30E50" w:rsidRDefault="00872AAD" w:rsidP="00872AAD">
            <w:pPr>
              <w:pStyle w:val="TableText0"/>
              <w:jc w:val="center"/>
              <w:rPr>
                <w:b/>
              </w:rPr>
            </w:pPr>
            <w:r w:rsidRPr="00C30E50">
              <w:rPr>
                <w:b/>
              </w:rPr>
              <w:t>N=76</w:t>
            </w:r>
          </w:p>
        </w:tc>
      </w:tr>
      <w:tr w:rsidR="00872AAD" w:rsidTr="00126A44">
        <w:tc>
          <w:tcPr>
            <w:tcW w:w="1306" w:type="pct"/>
            <w:tcBorders>
              <w:bottom w:val="nil"/>
            </w:tcBorders>
            <w:shd w:val="clear" w:color="auto" w:fill="auto"/>
            <w:vAlign w:val="center"/>
          </w:tcPr>
          <w:p w:rsidR="00872AAD" w:rsidRDefault="00872AAD" w:rsidP="00872AAD">
            <w:pPr>
              <w:pStyle w:val="TableText0"/>
            </w:pPr>
            <w:r w:rsidRPr="006C538E">
              <w:t xml:space="preserve">Patients with </w:t>
            </w:r>
            <w:r>
              <w:t xml:space="preserve">≥1 </w:t>
            </w:r>
            <w:r w:rsidRPr="006C538E">
              <w:t>event</w:t>
            </w:r>
          </w:p>
        </w:tc>
        <w:tc>
          <w:tcPr>
            <w:tcW w:w="693" w:type="pct"/>
            <w:tcBorders>
              <w:bottom w:val="nil"/>
              <w:right w:val="nil"/>
            </w:tcBorders>
            <w:shd w:val="clear" w:color="auto" w:fill="auto"/>
            <w:vAlign w:val="center"/>
          </w:tcPr>
          <w:p w:rsidR="00872AAD" w:rsidRDefault="00872AAD" w:rsidP="00872AAD">
            <w:pPr>
              <w:pStyle w:val="TableText0"/>
              <w:jc w:val="center"/>
            </w:pPr>
            <w:r>
              <w:t>11 (10.3)</w:t>
            </w:r>
          </w:p>
        </w:tc>
        <w:tc>
          <w:tcPr>
            <w:tcW w:w="693" w:type="pct"/>
            <w:tcBorders>
              <w:left w:val="nil"/>
              <w:bottom w:val="nil"/>
            </w:tcBorders>
            <w:shd w:val="clear" w:color="auto" w:fill="auto"/>
            <w:vAlign w:val="center"/>
          </w:tcPr>
          <w:p w:rsidR="00872AAD" w:rsidRDefault="00872AAD" w:rsidP="00872AAD">
            <w:pPr>
              <w:pStyle w:val="TableText0"/>
              <w:jc w:val="center"/>
            </w:pPr>
            <w:r>
              <w:t>18 (16.8)</w:t>
            </w:r>
          </w:p>
        </w:tc>
        <w:tc>
          <w:tcPr>
            <w:tcW w:w="1539" w:type="pct"/>
            <w:tcBorders>
              <w:bottom w:val="nil"/>
              <w:right w:val="nil"/>
            </w:tcBorders>
            <w:shd w:val="clear" w:color="auto" w:fill="auto"/>
          </w:tcPr>
          <w:p w:rsidR="00872AAD" w:rsidRDefault="00872AAD" w:rsidP="00872AAD">
            <w:pPr>
              <w:pStyle w:val="TableText0"/>
              <w:jc w:val="center"/>
            </w:pPr>
            <w:r>
              <w:t>20 (27.8)</w:t>
            </w:r>
          </w:p>
        </w:tc>
        <w:tc>
          <w:tcPr>
            <w:tcW w:w="769" w:type="pct"/>
            <w:tcBorders>
              <w:left w:val="nil"/>
              <w:bottom w:val="nil"/>
            </w:tcBorders>
            <w:shd w:val="clear" w:color="auto" w:fill="auto"/>
          </w:tcPr>
          <w:p w:rsidR="00872AAD" w:rsidRDefault="00872AAD" w:rsidP="00872AAD">
            <w:pPr>
              <w:pStyle w:val="TableText0"/>
              <w:jc w:val="center"/>
            </w:pPr>
            <w:r>
              <w:t>27 (35.5)</w:t>
            </w:r>
          </w:p>
        </w:tc>
      </w:tr>
      <w:tr w:rsidR="00872AAD" w:rsidTr="00126A44">
        <w:tc>
          <w:tcPr>
            <w:tcW w:w="1306" w:type="pct"/>
            <w:tcBorders>
              <w:top w:val="nil"/>
              <w:bottom w:val="nil"/>
            </w:tcBorders>
            <w:shd w:val="clear" w:color="auto" w:fill="auto"/>
            <w:vAlign w:val="center"/>
          </w:tcPr>
          <w:p w:rsidR="00872AAD" w:rsidRDefault="00872AAD" w:rsidP="00872AAD">
            <w:pPr>
              <w:pStyle w:val="TableText0"/>
              <w:ind w:left="170"/>
            </w:pPr>
            <w:r>
              <w:t>Febrile neutropenia</w:t>
            </w:r>
          </w:p>
        </w:tc>
        <w:tc>
          <w:tcPr>
            <w:tcW w:w="693" w:type="pct"/>
            <w:tcBorders>
              <w:top w:val="nil"/>
              <w:bottom w:val="nil"/>
              <w:right w:val="nil"/>
            </w:tcBorders>
            <w:shd w:val="clear" w:color="auto" w:fill="auto"/>
            <w:vAlign w:val="center"/>
          </w:tcPr>
          <w:p w:rsidR="00872AAD" w:rsidRDefault="00872AAD" w:rsidP="00872AAD">
            <w:pPr>
              <w:pStyle w:val="TableText0"/>
              <w:jc w:val="center"/>
            </w:pPr>
            <w:r>
              <w:t>6 (5.6)</w:t>
            </w:r>
          </w:p>
        </w:tc>
        <w:tc>
          <w:tcPr>
            <w:tcW w:w="693" w:type="pct"/>
            <w:tcBorders>
              <w:top w:val="nil"/>
              <w:left w:val="nil"/>
              <w:bottom w:val="nil"/>
            </w:tcBorders>
            <w:shd w:val="clear" w:color="auto" w:fill="auto"/>
            <w:vAlign w:val="center"/>
          </w:tcPr>
          <w:p w:rsidR="00872AAD" w:rsidRDefault="00872AAD" w:rsidP="00872AAD">
            <w:pPr>
              <w:pStyle w:val="TableText0"/>
              <w:jc w:val="center"/>
            </w:pPr>
            <w:r>
              <w:t>7 (6.5)</w:t>
            </w:r>
          </w:p>
        </w:tc>
        <w:tc>
          <w:tcPr>
            <w:tcW w:w="1539" w:type="pct"/>
            <w:tcBorders>
              <w:top w:val="nil"/>
              <w:bottom w:val="nil"/>
              <w:right w:val="nil"/>
            </w:tcBorders>
            <w:shd w:val="clear" w:color="auto" w:fill="auto"/>
          </w:tcPr>
          <w:p w:rsidR="00872AAD" w:rsidRDefault="00872AAD" w:rsidP="00872AAD">
            <w:pPr>
              <w:pStyle w:val="TableText0"/>
              <w:jc w:val="center"/>
            </w:pPr>
            <w:r>
              <w:t>10 (13.9)</w:t>
            </w:r>
          </w:p>
        </w:tc>
        <w:tc>
          <w:tcPr>
            <w:tcW w:w="769" w:type="pct"/>
            <w:tcBorders>
              <w:top w:val="nil"/>
              <w:left w:val="nil"/>
              <w:bottom w:val="nil"/>
            </w:tcBorders>
            <w:shd w:val="clear" w:color="auto" w:fill="auto"/>
          </w:tcPr>
          <w:p w:rsidR="00872AAD" w:rsidRDefault="00872AAD" w:rsidP="00872AAD">
            <w:pPr>
              <w:pStyle w:val="TableText0"/>
              <w:jc w:val="center"/>
            </w:pPr>
            <w:r>
              <w:t>11 (14.5)</w:t>
            </w:r>
          </w:p>
        </w:tc>
      </w:tr>
      <w:tr w:rsidR="00872AAD" w:rsidTr="00126A44">
        <w:tc>
          <w:tcPr>
            <w:tcW w:w="1306" w:type="pct"/>
            <w:tcBorders>
              <w:top w:val="nil"/>
              <w:bottom w:val="nil"/>
            </w:tcBorders>
            <w:shd w:val="clear" w:color="auto" w:fill="auto"/>
            <w:vAlign w:val="center"/>
          </w:tcPr>
          <w:p w:rsidR="00872AAD" w:rsidRDefault="00872AAD" w:rsidP="00872AAD">
            <w:pPr>
              <w:pStyle w:val="TableText0"/>
              <w:ind w:left="170"/>
            </w:pPr>
            <w:r>
              <w:t>Neutropenia</w:t>
            </w:r>
          </w:p>
        </w:tc>
        <w:tc>
          <w:tcPr>
            <w:tcW w:w="693" w:type="pct"/>
            <w:tcBorders>
              <w:top w:val="nil"/>
              <w:bottom w:val="nil"/>
              <w:right w:val="nil"/>
            </w:tcBorders>
            <w:shd w:val="clear" w:color="auto" w:fill="auto"/>
            <w:vAlign w:val="center"/>
          </w:tcPr>
          <w:p w:rsidR="00872AAD" w:rsidRDefault="00872AAD" w:rsidP="00872AAD">
            <w:pPr>
              <w:pStyle w:val="TableText0"/>
              <w:jc w:val="center"/>
            </w:pPr>
            <w:r>
              <w:t>4 (3.7)</w:t>
            </w:r>
          </w:p>
        </w:tc>
        <w:tc>
          <w:tcPr>
            <w:tcW w:w="693" w:type="pct"/>
            <w:tcBorders>
              <w:top w:val="nil"/>
              <w:left w:val="nil"/>
              <w:bottom w:val="nil"/>
            </w:tcBorders>
            <w:shd w:val="clear" w:color="auto" w:fill="auto"/>
            <w:vAlign w:val="center"/>
          </w:tcPr>
          <w:p w:rsidR="00872AAD" w:rsidRDefault="00872AAD" w:rsidP="00872AAD">
            <w:pPr>
              <w:pStyle w:val="TableText0"/>
              <w:jc w:val="center"/>
            </w:pPr>
            <w:r>
              <w:t>1 (0.9)</w:t>
            </w:r>
          </w:p>
        </w:tc>
        <w:tc>
          <w:tcPr>
            <w:tcW w:w="1539" w:type="pct"/>
            <w:tcBorders>
              <w:top w:val="nil"/>
              <w:bottom w:val="nil"/>
              <w:right w:val="nil"/>
            </w:tcBorders>
            <w:shd w:val="clear" w:color="auto" w:fill="auto"/>
          </w:tcPr>
          <w:p w:rsidR="00872AAD" w:rsidRDefault="00872AAD" w:rsidP="00872AAD">
            <w:pPr>
              <w:pStyle w:val="TableText0"/>
              <w:jc w:val="center"/>
            </w:pPr>
            <w:r>
              <w:t>NR</w:t>
            </w:r>
          </w:p>
        </w:tc>
        <w:tc>
          <w:tcPr>
            <w:tcW w:w="769" w:type="pct"/>
            <w:tcBorders>
              <w:top w:val="nil"/>
              <w:left w:val="nil"/>
              <w:bottom w:val="nil"/>
            </w:tcBorders>
            <w:shd w:val="clear" w:color="auto" w:fill="auto"/>
          </w:tcPr>
          <w:p w:rsidR="00872AAD" w:rsidRDefault="00872AAD" w:rsidP="00872AAD">
            <w:pPr>
              <w:pStyle w:val="TableText0"/>
              <w:jc w:val="center"/>
            </w:pPr>
            <w:r>
              <w:t>NR</w:t>
            </w:r>
          </w:p>
        </w:tc>
      </w:tr>
      <w:tr w:rsidR="00872AAD" w:rsidTr="00126A44">
        <w:tc>
          <w:tcPr>
            <w:tcW w:w="1306" w:type="pct"/>
            <w:tcBorders>
              <w:top w:val="nil"/>
              <w:bottom w:val="nil"/>
            </w:tcBorders>
            <w:shd w:val="clear" w:color="auto" w:fill="auto"/>
            <w:vAlign w:val="center"/>
          </w:tcPr>
          <w:p w:rsidR="00872AAD" w:rsidRDefault="00872AAD" w:rsidP="00872AAD">
            <w:pPr>
              <w:pStyle w:val="TableText0"/>
              <w:ind w:left="170"/>
            </w:pPr>
            <w:r>
              <w:t>Diarrhoea</w:t>
            </w:r>
          </w:p>
        </w:tc>
        <w:tc>
          <w:tcPr>
            <w:tcW w:w="693" w:type="pct"/>
            <w:tcBorders>
              <w:top w:val="nil"/>
              <w:bottom w:val="nil"/>
              <w:right w:val="nil"/>
            </w:tcBorders>
            <w:shd w:val="clear" w:color="auto" w:fill="auto"/>
          </w:tcPr>
          <w:p w:rsidR="00872AAD" w:rsidRDefault="00872AAD" w:rsidP="00872AAD">
            <w:pPr>
              <w:pStyle w:val="TableText0"/>
              <w:jc w:val="center"/>
            </w:pPr>
            <w:r>
              <w:t>NR</w:t>
            </w:r>
          </w:p>
        </w:tc>
        <w:tc>
          <w:tcPr>
            <w:tcW w:w="693" w:type="pct"/>
            <w:tcBorders>
              <w:top w:val="nil"/>
              <w:left w:val="nil"/>
              <w:bottom w:val="nil"/>
            </w:tcBorders>
            <w:shd w:val="clear" w:color="auto" w:fill="auto"/>
          </w:tcPr>
          <w:p w:rsidR="00872AAD" w:rsidRDefault="00872AAD" w:rsidP="00872AAD">
            <w:pPr>
              <w:pStyle w:val="TableText0"/>
              <w:jc w:val="center"/>
            </w:pPr>
            <w:r>
              <w:t>NR</w:t>
            </w:r>
          </w:p>
        </w:tc>
        <w:tc>
          <w:tcPr>
            <w:tcW w:w="1539" w:type="pct"/>
            <w:tcBorders>
              <w:top w:val="nil"/>
              <w:bottom w:val="nil"/>
              <w:right w:val="nil"/>
            </w:tcBorders>
            <w:shd w:val="clear" w:color="auto" w:fill="auto"/>
          </w:tcPr>
          <w:p w:rsidR="00872AAD" w:rsidRDefault="00872AAD" w:rsidP="00872AAD">
            <w:pPr>
              <w:pStyle w:val="TableText0"/>
              <w:jc w:val="center"/>
            </w:pPr>
            <w:r>
              <w:t>1 (1.4)</w:t>
            </w:r>
          </w:p>
        </w:tc>
        <w:tc>
          <w:tcPr>
            <w:tcW w:w="769" w:type="pct"/>
            <w:tcBorders>
              <w:top w:val="nil"/>
              <w:left w:val="nil"/>
              <w:bottom w:val="nil"/>
            </w:tcBorders>
            <w:shd w:val="clear" w:color="auto" w:fill="auto"/>
          </w:tcPr>
          <w:p w:rsidR="00872AAD" w:rsidRDefault="00872AAD" w:rsidP="00872AAD">
            <w:pPr>
              <w:pStyle w:val="TableText0"/>
              <w:jc w:val="center"/>
            </w:pPr>
            <w:r>
              <w:t>4 (5.3)</w:t>
            </w:r>
          </w:p>
        </w:tc>
      </w:tr>
      <w:tr w:rsidR="00872AAD" w:rsidTr="00126A44">
        <w:tc>
          <w:tcPr>
            <w:tcW w:w="1306" w:type="pct"/>
            <w:tcBorders>
              <w:top w:val="nil"/>
              <w:bottom w:val="nil"/>
            </w:tcBorders>
            <w:shd w:val="clear" w:color="auto" w:fill="auto"/>
            <w:vAlign w:val="center"/>
          </w:tcPr>
          <w:p w:rsidR="00872AAD" w:rsidRDefault="00872AAD" w:rsidP="00872AAD">
            <w:pPr>
              <w:pStyle w:val="TableText0"/>
            </w:pPr>
            <w:r>
              <w:t>Total number of events</w:t>
            </w:r>
          </w:p>
        </w:tc>
        <w:tc>
          <w:tcPr>
            <w:tcW w:w="693" w:type="pct"/>
            <w:tcBorders>
              <w:top w:val="nil"/>
              <w:bottom w:val="nil"/>
              <w:right w:val="nil"/>
            </w:tcBorders>
            <w:shd w:val="clear" w:color="auto" w:fill="auto"/>
            <w:vAlign w:val="center"/>
          </w:tcPr>
          <w:p w:rsidR="00872AAD" w:rsidRDefault="00872AAD" w:rsidP="00872AAD">
            <w:pPr>
              <w:pStyle w:val="TableText0"/>
              <w:jc w:val="center"/>
            </w:pPr>
            <w:r>
              <w:t>15</w:t>
            </w:r>
          </w:p>
        </w:tc>
        <w:tc>
          <w:tcPr>
            <w:tcW w:w="693" w:type="pct"/>
            <w:tcBorders>
              <w:top w:val="nil"/>
              <w:left w:val="nil"/>
              <w:bottom w:val="nil"/>
            </w:tcBorders>
            <w:shd w:val="clear" w:color="auto" w:fill="auto"/>
            <w:vAlign w:val="center"/>
          </w:tcPr>
          <w:p w:rsidR="00872AAD" w:rsidRDefault="00872AAD" w:rsidP="00872AAD">
            <w:pPr>
              <w:pStyle w:val="TableText0"/>
              <w:jc w:val="center"/>
            </w:pPr>
            <w:r>
              <w:t>20</w:t>
            </w:r>
          </w:p>
        </w:tc>
        <w:tc>
          <w:tcPr>
            <w:tcW w:w="1539" w:type="pct"/>
            <w:tcBorders>
              <w:top w:val="nil"/>
              <w:bottom w:val="nil"/>
              <w:right w:val="nil"/>
            </w:tcBorders>
            <w:shd w:val="clear" w:color="auto" w:fill="auto"/>
          </w:tcPr>
          <w:p w:rsidR="00872AAD" w:rsidRDefault="00872AAD" w:rsidP="00872AAD">
            <w:pPr>
              <w:pStyle w:val="TableText0"/>
              <w:jc w:val="center"/>
            </w:pPr>
            <w:r>
              <w:t>27</w:t>
            </w:r>
          </w:p>
        </w:tc>
        <w:tc>
          <w:tcPr>
            <w:tcW w:w="769" w:type="pct"/>
            <w:tcBorders>
              <w:top w:val="nil"/>
              <w:left w:val="nil"/>
              <w:bottom w:val="nil"/>
            </w:tcBorders>
            <w:shd w:val="clear" w:color="auto" w:fill="auto"/>
          </w:tcPr>
          <w:p w:rsidR="00872AAD" w:rsidRDefault="00872AAD" w:rsidP="00872AAD">
            <w:pPr>
              <w:pStyle w:val="TableText0"/>
              <w:jc w:val="center"/>
            </w:pPr>
            <w:r>
              <w:t>39</w:t>
            </w:r>
          </w:p>
        </w:tc>
      </w:tr>
      <w:tr w:rsidR="00872AAD" w:rsidRPr="00C30E50" w:rsidTr="00126A44">
        <w:tc>
          <w:tcPr>
            <w:tcW w:w="1306" w:type="pct"/>
            <w:tcBorders>
              <w:bottom w:val="single" w:sz="4" w:space="0" w:color="auto"/>
            </w:tcBorders>
            <w:shd w:val="clear" w:color="auto" w:fill="auto"/>
            <w:vAlign w:val="center"/>
          </w:tcPr>
          <w:p w:rsidR="00872AAD" w:rsidRPr="00C30E50" w:rsidRDefault="00872AAD" w:rsidP="00872AAD">
            <w:pPr>
              <w:pStyle w:val="TableText0"/>
              <w:rPr>
                <w:b/>
              </w:rPr>
            </w:pPr>
            <w:r w:rsidRPr="00C30E50">
              <w:rPr>
                <w:b/>
              </w:rPr>
              <w:t>Adjuvant period</w:t>
            </w:r>
          </w:p>
        </w:tc>
        <w:tc>
          <w:tcPr>
            <w:tcW w:w="693" w:type="pct"/>
            <w:tcBorders>
              <w:bottom w:val="single" w:sz="4" w:space="0" w:color="auto"/>
              <w:right w:val="nil"/>
            </w:tcBorders>
            <w:shd w:val="clear" w:color="auto" w:fill="auto"/>
            <w:vAlign w:val="center"/>
          </w:tcPr>
          <w:p w:rsidR="00872AAD" w:rsidRPr="00C30E50" w:rsidRDefault="00872AAD" w:rsidP="00872AAD">
            <w:pPr>
              <w:pStyle w:val="TableText0"/>
              <w:jc w:val="center"/>
              <w:rPr>
                <w:b/>
              </w:rPr>
            </w:pPr>
            <w:r w:rsidRPr="00C30E50">
              <w:rPr>
                <w:b/>
              </w:rPr>
              <w:t>N=102</w:t>
            </w:r>
          </w:p>
        </w:tc>
        <w:tc>
          <w:tcPr>
            <w:tcW w:w="693" w:type="pct"/>
            <w:tcBorders>
              <w:left w:val="nil"/>
              <w:bottom w:val="single" w:sz="4" w:space="0" w:color="auto"/>
            </w:tcBorders>
            <w:shd w:val="clear" w:color="auto" w:fill="auto"/>
            <w:vAlign w:val="center"/>
          </w:tcPr>
          <w:p w:rsidR="00872AAD" w:rsidRPr="00C30E50" w:rsidRDefault="00872AAD" w:rsidP="00872AAD">
            <w:pPr>
              <w:pStyle w:val="TableText0"/>
              <w:jc w:val="center"/>
              <w:rPr>
                <w:b/>
              </w:rPr>
            </w:pPr>
            <w:r w:rsidRPr="00C30E50">
              <w:rPr>
                <w:b/>
              </w:rPr>
              <w:t>N=103</w:t>
            </w:r>
          </w:p>
        </w:tc>
        <w:tc>
          <w:tcPr>
            <w:tcW w:w="1539" w:type="pct"/>
            <w:tcBorders>
              <w:bottom w:val="single" w:sz="4" w:space="0" w:color="auto"/>
              <w:right w:val="nil"/>
            </w:tcBorders>
            <w:shd w:val="clear" w:color="auto" w:fill="auto"/>
          </w:tcPr>
          <w:p w:rsidR="00872AAD" w:rsidRPr="00C30E50" w:rsidRDefault="00872AAD" w:rsidP="00872AAD">
            <w:pPr>
              <w:pStyle w:val="TableText0"/>
              <w:jc w:val="center"/>
              <w:rPr>
                <w:b/>
              </w:rPr>
            </w:pPr>
            <w:r w:rsidRPr="00C30E50">
              <w:rPr>
                <w:b/>
              </w:rPr>
              <w:t>N=68</w:t>
            </w:r>
          </w:p>
        </w:tc>
        <w:tc>
          <w:tcPr>
            <w:tcW w:w="769" w:type="pct"/>
            <w:tcBorders>
              <w:left w:val="nil"/>
              <w:bottom w:val="single" w:sz="4" w:space="0" w:color="auto"/>
            </w:tcBorders>
            <w:shd w:val="clear" w:color="auto" w:fill="auto"/>
          </w:tcPr>
          <w:p w:rsidR="00872AAD" w:rsidRPr="00C30E50" w:rsidRDefault="00872AAD" w:rsidP="00872AAD">
            <w:pPr>
              <w:pStyle w:val="TableText0"/>
              <w:jc w:val="center"/>
              <w:rPr>
                <w:b/>
              </w:rPr>
            </w:pPr>
            <w:r w:rsidRPr="00C30E50">
              <w:rPr>
                <w:b/>
              </w:rPr>
              <w:t>N=67</w:t>
            </w:r>
          </w:p>
        </w:tc>
      </w:tr>
      <w:tr w:rsidR="00872AAD" w:rsidTr="00126A44">
        <w:tc>
          <w:tcPr>
            <w:tcW w:w="1306" w:type="pct"/>
            <w:tcBorders>
              <w:bottom w:val="nil"/>
            </w:tcBorders>
            <w:shd w:val="clear" w:color="auto" w:fill="auto"/>
            <w:vAlign w:val="center"/>
          </w:tcPr>
          <w:p w:rsidR="00872AAD" w:rsidRDefault="00872AAD" w:rsidP="00872AAD">
            <w:pPr>
              <w:pStyle w:val="TableText0"/>
            </w:pPr>
            <w:r w:rsidRPr="006C538E">
              <w:t xml:space="preserve">Patients with </w:t>
            </w:r>
            <w:r>
              <w:t xml:space="preserve">≥1 </w:t>
            </w:r>
            <w:r w:rsidRPr="006C538E">
              <w:t>event</w:t>
            </w:r>
          </w:p>
        </w:tc>
        <w:tc>
          <w:tcPr>
            <w:tcW w:w="693" w:type="pct"/>
            <w:tcBorders>
              <w:bottom w:val="nil"/>
              <w:right w:val="nil"/>
            </w:tcBorders>
            <w:shd w:val="clear" w:color="auto" w:fill="auto"/>
            <w:vAlign w:val="center"/>
          </w:tcPr>
          <w:p w:rsidR="00872AAD" w:rsidRDefault="00872AAD" w:rsidP="00872AAD">
            <w:pPr>
              <w:pStyle w:val="TableText0"/>
              <w:jc w:val="center"/>
            </w:pPr>
            <w:r>
              <w:t>11 (10.8)</w:t>
            </w:r>
          </w:p>
        </w:tc>
        <w:tc>
          <w:tcPr>
            <w:tcW w:w="693" w:type="pct"/>
            <w:tcBorders>
              <w:left w:val="nil"/>
              <w:bottom w:val="nil"/>
            </w:tcBorders>
            <w:shd w:val="clear" w:color="auto" w:fill="auto"/>
          </w:tcPr>
          <w:p w:rsidR="00872AAD" w:rsidRDefault="00872AAD" w:rsidP="00872AAD">
            <w:pPr>
              <w:pStyle w:val="TableText0"/>
              <w:jc w:val="center"/>
            </w:pPr>
            <w:r>
              <w:t>5 (4.9)</w:t>
            </w:r>
          </w:p>
        </w:tc>
        <w:tc>
          <w:tcPr>
            <w:tcW w:w="1539" w:type="pct"/>
            <w:tcBorders>
              <w:bottom w:val="nil"/>
              <w:right w:val="nil"/>
            </w:tcBorders>
            <w:shd w:val="clear" w:color="auto" w:fill="auto"/>
          </w:tcPr>
          <w:p w:rsidR="00872AAD" w:rsidRDefault="00872AAD" w:rsidP="00872AAD">
            <w:pPr>
              <w:pStyle w:val="TableText0"/>
              <w:jc w:val="center"/>
            </w:pPr>
            <w:r>
              <w:t>5 (7.4)</w:t>
            </w:r>
          </w:p>
        </w:tc>
        <w:tc>
          <w:tcPr>
            <w:tcW w:w="769" w:type="pct"/>
            <w:tcBorders>
              <w:left w:val="nil"/>
              <w:bottom w:val="nil"/>
            </w:tcBorders>
            <w:shd w:val="clear" w:color="auto" w:fill="auto"/>
          </w:tcPr>
          <w:p w:rsidR="00872AAD" w:rsidRDefault="00872AAD" w:rsidP="00872AAD">
            <w:pPr>
              <w:pStyle w:val="TableText0"/>
              <w:jc w:val="center"/>
            </w:pPr>
            <w:r>
              <w:t>6 (9.0)</w:t>
            </w:r>
          </w:p>
        </w:tc>
      </w:tr>
      <w:tr w:rsidR="00872AAD" w:rsidTr="00126A44">
        <w:tc>
          <w:tcPr>
            <w:tcW w:w="1306" w:type="pct"/>
            <w:tcBorders>
              <w:top w:val="nil"/>
              <w:bottom w:val="nil"/>
            </w:tcBorders>
            <w:shd w:val="clear" w:color="auto" w:fill="auto"/>
            <w:vAlign w:val="center"/>
          </w:tcPr>
          <w:p w:rsidR="00872AAD" w:rsidRDefault="00872AAD" w:rsidP="00872AAD">
            <w:pPr>
              <w:pStyle w:val="TableText0"/>
              <w:ind w:left="170"/>
            </w:pPr>
            <w:r>
              <w:t>Febrile neutropenia</w:t>
            </w:r>
          </w:p>
        </w:tc>
        <w:tc>
          <w:tcPr>
            <w:tcW w:w="693" w:type="pct"/>
            <w:tcBorders>
              <w:top w:val="nil"/>
              <w:bottom w:val="nil"/>
              <w:right w:val="nil"/>
            </w:tcBorders>
            <w:shd w:val="clear" w:color="auto" w:fill="auto"/>
            <w:vAlign w:val="center"/>
          </w:tcPr>
          <w:p w:rsidR="00872AAD" w:rsidRDefault="00872AAD" w:rsidP="00872AAD">
            <w:pPr>
              <w:pStyle w:val="TableText0"/>
              <w:jc w:val="center"/>
            </w:pPr>
            <w:r>
              <w:t>2 (2.0)</w:t>
            </w:r>
          </w:p>
        </w:tc>
        <w:tc>
          <w:tcPr>
            <w:tcW w:w="693" w:type="pct"/>
            <w:tcBorders>
              <w:top w:val="nil"/>
              <w:left w:val="nil"/>
              <w:bottom w:val="nil"/>
            </w:tcBorders>
            <w:shd w:val="clear" w:color="auto" w:fill="auto"/>
          </w:tcPr>
          <w:p w:rsidR="00872AAD" w:rsidRDefault="00872AAD" w:rsidP="00872AAD">
            <w:pPr>
              <w:pStyle w:val="TableText0"/>
              <w:jc w:val="center"/>
            </w:pPr>
            <w:r>
              <w:t>3 (2.9)</w:t>
            </w:r>
          </w:p>
        </w:tc>
        <w:tc>
          <w:tcPr>
            <w:tcW w:w="1539" w:type="pct"/>
            <w:tcBorders>
              <w:top w:val="nil"/>
              <w:bottom w:val="nil"/>
              <w:right w:val="nil"/>
            </w:tcBorders>
            <w:shd w:val="clear" w:color="auto" w:fill="auto"/>
          </w:tcPr>
          <w:p w:rsidR="00872AAD" w:rsidRDefault="00872AAD" w:rsidP="00872AAD">
            <w:pPr>
              <w:pStyle w:val="TableText0"/>
              <w:jc w:val="center"/>
            </w:pPr>
            <w:r>
              <w:t>NR</w:t>
            </w:r>
          </w:p>
        </w:tc>
        <w:tc>
          <w:tcPr>
            <w:tcW w:w="769" w:type="pct"/>
            <w:tcBorders>
              <w:top w:val="nil"/>
              <w:left w:val="nil"/>
              <w:bottom w:val="nil"/>
            </w:tcBorders>
            <w:shd w:val="clear" w:color="auto" w:fill="auto"/>
          </w:tcPr>
          <w:p w:rsidR="00872AAD" w:rsidRDefault="00872AAD" w:rsidP="00872AAD">
            <w:pPr>
              <w:pStyle w:val="TableText0"/>
              <w:jc w:val="center"/>
            </w:pPr>
            <w:r>
              <w:t>NR</w:t>
            </w:r>
          </w:p>
        </w:tc>
      </w:tr>
      <w:tr w:rsidR="00872AAD" w:rsidTr="00126A44">
        <w:tc>
          <w:tcPr>
            <w:tcW w:w="1306" w:type="pct"/>
            <w:tcBorders>
              <w:top w:val="nil"/>
              <w:bottom w:val="nil"/>
            </w:tcBorders>
            <w:shd w:val="clear" w:color="auto" w:fill="auto"/>
            <w:vAlign w:val="center"/>
          </w:tcPr>
          <w:p w:rsidR="00872AAD" w:rsidRDefault="00872AAD" w:rsidP="00872AAD">
            <w:pPr>
              <w:pStyle w:val="TableText0"/>
            </w:pPr>
            <w:r>
              <w:t>Total number of events</w:t>
            </w:r>
          </w:p>
        </w:tc>
        <w:tc>
          <w:tcPr>
            <w:tcW w:w="693" w:type="pct"/>
            <w:tcBorders>
              <w:top w:val="nil"/>
              <w:bottom w:val="single" w:sz="4" w:space="0" w:color="auto"/>
              <w:right w:val="nil"/>
            </w:tcBorders>
            <w:shd w:val="clear" w:color="auto" w:fill="auto"/>
            <w:vAlign w:val="center"/>
          </w:tcPr>
          <w:p w:rsidR="00872AAD" w:rsidRDefault="00872AAD" w:rsidP="00872AAD">
            <w:pPr>
              <w:pStyle w:val="TableText0"/>
              <w:jc w:val="center"/>
            </w:pPr>
            <w:r>
              <w:t>15</w:t>
            </w:r>
          </w:p>
        </w:tc>
        <w:tc>
          <w:tcPr>
            <w:tcW w:w="693" w:type="pct"/>
            <w:tcBorders>
              <w:top w:val="nil"/>
              <w:left w:val="nil"/>
              <w:bottom w:val="single" w:sz="4" w:space="0" w:color="auto"/>
            </w:tcBorders>
            <w:shd w:val="clear" w:color="auto" w:fill="auto"/>
          </w:tcPr>
          <w:p w:rsidR="00872AAD" w:rsidRDefault="00872AAD" w:rsidP="00872AAD">
            <w:pPr>
              <w:pStyle w:val="TableText0"/>
              <w:jc w:val="center"/>
            </w:pPr>
            <w:r>
              <w:t>5</w:t>
            </w:r>
          </w:p>
        </w:tc>
        <w:tc>
          <w:tcPr>
            <w:tcW w:w="1539" w:type="pct"/>
            <w:tcBorders>
              <w:top w:val="nil"/>
              <w:bottom w:val="nil"/>
              <w:right w:val="nil"/>
            </w:tcBorders>
            <w:shd w:val="clear" w:color="auto" w:fill="auto"/>
          </w:tcPr>
          <w:p w:rsidR="00872AAD" w:rsidRDefault="00872AAD" w:rsidP="00872AAD">
            <w:pPr>
              <w:pStyle w:val="TableText0"/>
              <w:jc w:val="center"/>
            </w:pPr>
            <w:r>
              <w:t>5</w:t>
            </w:r>
          </w:p>
        </w:tc>
        <w:tc>
          <w:tcPr>
            <w:tcW w:w="769" w:type="pct"/>
            <w:tcBorders>
              <w:top w:val="nil"/>
              <w:left w:val="nil"/>
              <w:bottom w:val="nil"/>
            </w:tcBorders>
            <w:shd w:val="clear" w:color="auto" w:fill="auto"/>
          </w:tcPr>
          <w:p w:rsidR="00872AAD" w:rsidRDefault="00872AAD" w:rsidP="00872AAD">
            <w:pPr>
              <w:pStyle w:val="TableText0"/>
              <w:jc w:val="center"/>
            </w:pPr>
            <w:r>
              <w:t>0</w:t>
            </w:r>
          </w:p>
        </w:tc>
      </w:tr>
      <w:tr w:rsidR="00872AAD" w:rsidRPr="00C30E50" w:rsidTr="00126A44">
        <w:tc>
          <w:tcPr>
            <w:tcW w:w="1306" w:type="pct"/>
            <w:tcBorders>
              <w:bottom w:val="single" w:sz="4" w:space="0" w:color="auto"/>
            </w:tcBorders>
            <w:shd w:val="clear" w:color="auto" w:fill="auto"/>
            <w:vAlign w:val="center"/>
          </w:tcPr>
          <w:p w:rsidR="00872AAD" w:rsidRPr="00C30E50" w:rsidRDefault="00872AAD" w:rsidP="00872AAD">
            <w:pPr>
              <w:pStyle w:val="TableText0"/>
              <w:rPr>
                <w:b/>
              </w:rPr>
            </w:pPr>
            <w:r w:rsidRPr="00C30E50">
              <w:rPr>
                <w:b/>
              </w:rPr>
              <w:t>Total treatment period</w:t>
            </w:r>
          </w:p>
        </w:tc>
        <w:tc>
          <w:tcPr>
            <w:tcW w:w="693" w:type="pct"/>
            <w:tcBorders>
              <w:bottom w:val="single" w:sz="4" w:space="0" w:color="auto"/>
              <w:right w:val="nil"/>
            </w:tcBorders>
            <w:shd w:val="clear" w:color="auto" w:fill="auto"/>
            <w:vAlign w:val="center"/>
          </w:tcPr>
          <w:p w:rsidR="00872AAD" w:rsidRPr="00C30E50" w:rsidRDefault="00872AAD" w:rsidP="00872AAD">
            <w:pPr>
              <w:pStyle w:val="TableText0"/>
              <w:jc w:val="center"/>
              <w:rPr>
                <w:b/>
              </w:rPr>
            </w:pPr>
            <w:r w:rsidRPr="00C30E50">
              <w:rPr>
                <w:b/>
              </w:rPr>
              <w:t>N=107</w:t>
            </w:r>
          </w:p>
        </w:tc>
        <w:tc>
          <w:tcPr>
            <w:tcW w:w="693" w:type="pct"/>
            <w:tcBorders>
              <w:left w:val="nil"/>
              <w:bottom w:val="single" w:sz="4" w:space="0" w:color="auto"/>
            </w:tcBorders>
            <w:shd w:val="clear" w:color="auto" w:fill="auto"/>
            <w:vAlign w:val="center"/>
          </w:tcPr>
          <w:p w:rsidR="00872AAD" w:rsidRPr="00C30E50" w:rsidRDefault="00872AAD" w:rsidP="00872AAD">
            <w:pPr>
              <w:pStyle w:val="TableText0"/>
              <w:jc w:val="center"/>
              <w:rPr>
                <w:b/>
              </w:rPr>
            </w:pPr>
            <w:r w:rsidRPr="00C30E50">
              <w:rPr>
                <w:b/>
              </w:rPr>
              <w:t>N=107</w:t>
            </w:r>
          </w:p>
        </w:tc>
        <w:tc>
          <w:tcPr>
            <w:tcW w:w="1539" w:type="pct"/>
            <w:tcBorders>
              <w:bottom w:val="single" w:sz="4" w:space="0" w:color="auto"/>
              <w:right w:val="nil"/>
            </w:tcBorders>
            <w:shd w:val="clear" w:color="auto" w:fill="auto"/>
          </w:tcPr>
          <w:p w:rsidR="00872AAD" w:rsidRPr="00C30E50" w:rsidRDefault="00872AAD" w:rsidP="00872AAD">
            <w:pPr>
              <w:pStyle w:val="TableText0"/>
              <w:jc w:val="center"/>
              <w:rPr>
                <w:b/>
              </w:rPr>
            </w:pPr>
            <w:r w:rsidRPr="00C30E50">
              <w:rPr>
                <w:b/>
              </w:rPr>
              <w:t>N=72</w:t>
            </w:r>
          </w:p>
        </w:tc>
        <w:tc>
          <w:tcPr>
            <w:tcW w:w="769" w:type="pct"/>
            <w:tcBorders>
              <w:left w:val="nil"/>
              <w:bottom w:val="single" w:sz="4" w:space="0" w:color="auto"/>
            </w:tcBorders>
            <w:shd w:val="clear" w:color="auto" w:fill="auto"/>
          </w:tcPr>
          <w:p w:rsidR="00872AAD" w:rsidRPr="00C30E50" w:rsidRDefault="00872AAD" w:rsidP="00872AAD">
            <w:pPr>
              <w:pStyle w:val="TableText0"/>
              <w:jc w:val="center"/>
              <w:rPr>
                <w:b/>
              </w:rPr>
            </w:pPr>
            <w:r w:rsidRPr="00C30E50">
              <w:rPr>
                <w:b/>
              </w:rPr>
              <w:t>N=76</w:t>
            </w:r>
          </w:p>
        </w:tc>
      </w:tr>
      <w:tr w:rsidR="00872AAD" w:rsidTr="00126A44">
        <w:tc>
          <w:tcPr>
            <w:tcW w:w="1306" w:type="pct"/>
            <w:tcBorders>
              <w:bottom w:val="nil"/>
            </w:tcBorders>
            <w:shd w:val="clear" w:color="auto" w:fill="auto"/>
            <w:vAlign w:val="center"/>
          </w:tcPr>
          <w:p w:rsidR="00872AAD" w:rsidRDefault="00872AAD" w:rsidP="00872AAD">
            <w:pPr>
              <w:pStyle w:val="TableText0"/>
            </w:pPr>
            <w:r w:rsidRPr="006C538E">
              <w:t xml:space="preserve">Patients with </w:t>
            </w:r>
            <w:r>
              <w:t xml:space="preserve">≥1 </w:t>
            </w:r>
            <w:r w:rsidRPr="006C538E">
              <w:t>event</w:t>
            </w:r>
          </w:p>
        </w:tc>
        <w:tc>
          <w:tcPr>
            <w:tcW w:w="693" w:type="pct"/>
            <w:tcBorders>
              <w:bottom w:val="nil"/>
              <w:right w:val="nil"/>
            </w:tcBorders>
            <w:shd w:val="clear" w:color="auto" w:fill="auto"/>
          </w:tcPr>
          <w:p w:rsidR="00872AAD" w:rsidRDefault="00872AAD" w:rsidP="00872AAD">
            <w:pPr>
              <w:pStyle w:val="TableText0"/>
              <w:jc w:val="center"/>
            </w:pPr>
            <w:r>
              <w:t>22 (20.6)</w:t>
            </w:r>
          </w:p>
        </w:tc>
        <w:tc>
          <w:tcPr>
            <w:tcW w:w="693" w:type="pct"/>
            <w:tcBorders>
              <w:left w:val="nil"/>
              <w:bottom w:val="nil"/>
            </w:tcBorders>
            <w:shd w:val="clear" w:color="auto" w:fill="auto"/>
          </w:tcPr>
          <w:p w:rsidR="00872AAD" w:rsidRDefault="00872AAD" w:rsidP="00872AAD">
            <w:pPr>
              <w:pStyle w:val="TableText0"/>
              <w:jc w:val="center"/>
            </w:pPr>
            <w:r>
              <w:t>21 (19.6)</w:t>
            </w:r>
          </w:p>
        </w:tc>
        <w:tc>
          <w:tcPr>
            <w:tcW w:w="1539" w:type="pct"/>
            <w:tcBorders>
              <w:bottom w:val="nil"/>
              <w:right w:val="nil"/>
            </w:tcBorders>
            <w:shd w:val="clear" w:color="auto" w:fill="auto"/>
          </w:tcPr>
          <w:p w:rsidR="00872AAD" w:rsidRDefault="00872AAD" w:rsidP="00872AAD">
            <w:pPr>
              <w:pStyle w:val="TableText0"/>
              <w:jc w:val="center"/>
            </w:pPr>
            <w:r>
              <w:t>23 (31.9)</w:t>
            </w:r>
          </w:p>
        </w:tc>
        <w:tc>
          <w:tcPr>
            <w:tcW w:w="769" w:type="pct"/>
            <w:tcBorders>
              <w:left w:val="nil"/>
              <w:bottom w:val="nil"/>
            </w:tcBorders>
            <w:shd w:val="clear" w:color="auto" w:fill="auto"/>
          </w:tcPr>
          <w:p w:rsidR="00872AAD" w:rsidRDefault="00872AAD" w:rsidP="00872AAD">
            <w:pPr>
              <w:pStyle w:val="TableText0"/>
              <w:jc w:val="center"/>
            </w:pPr>
            <w:r>
              <w:t>31 (40.8)</w:t>
            </w:r>
          </w:p>
        </w:tc>
      </w:tr>
      <w:tr w:rsidR="00872AAD" w:rsidTr="00126A44">
        <w:tc>
          <w:tcPr>
            <w:tcW w:w="1306" w:type="pct"/>
            <w:tcBorders>
              <w:top w:val="nil"/>
              <w:bottom w:val="nil"/>
            </w:tcBorders>
            <w:shd w:val="clear" w:color="auto" w:fill="auto"/>
            <w:vAlign w:val="center"/>
          </w:tcPr>
          <w:p w:rsidR="00872AAD" w:rsidRDefault="00872AAD" w:rsidP="00872AAD">
            <w:pPr>
              <w:pStyle w:val="TableText0"/>
              <w:ind w:left="170"/>
            </w:pPr>
            <w:r>
              <w:t>Febrile neutropenia</w:t>
            </w:r>
          </w:p>
        </w:tc>
        <w:tc>
          <w:tcPr>
            <w:tcW w:w="693" w:type="pct"/>
            <w:tcBorders>
              <w:top w:val="nil"/>
              <w:bottom w:val="nil"/>
              <w:right w:val="nil"/>
            </w:tcBorders>
            <w:shd w:val="clear" w:color="auto" w:fill="auto"/>
          </w:tcPr>
          <w:p w:rsidR="00872AAD" w:rsidRDefault="00872AAD" w:rsidP="00872AAD">
            <w:pPr>
              <w:pStyle w:val="TableText0"/>
              <w:jc w:val="center"/>
            </w:pPr>
            <w:r>
              <w:t>8 (7.5)</w:t>
            </w:r>
          </w:p>
        </w:tc>
        <w:tc>
          <w:tcPr>
            <w:tcW w:w="693" w:type="pct"/>
            <w:tcBorders>
              <w:top w:val="nil"/>
              <w:left w:val="nil"/>
              <w:bottom w:val="nil"/>
            </w:tcBorders>
            <w:shd w:val="clear" w:color="auto" w:fill="auto"/>
          </w:tcPr>
          <w:p w:rsidR="00872AAD" w:rsidRDefault="00872AAD" w:rsidP="00872AAD">
            <w:pPr>
              <w:pStyle w:val="TableText0"/>
              <w:jc w:val="center"/>
            </w:pPr>
            <w:r>
              <w:t>10 (9.3)</w:t>
            </w:r>
          </w:p>
        </w:tc>
        <w:tc>
          <w:tcPr>
            <w:tcW w:w="1539" w:type="pct"/>
            <w:tcBorders>
              <w:top w:val="nil"/>
              <w:bottom w:val="nil"/>
              <w:right w:val="nil"/>
            </w:tcBorders>
            <w:shd w:val="clear" w:color="auto" w:fill="auto"/>
          </w:tcPr>
          <w:p w:rsidR="00872AAD" w:rsidRDefault="00872AAD" w:rsidP="00872AAD">
            <w:pPr>
              <w:pStyle w:val="TableText0"/>
              <w:jc w:val="center"/>
            </w:pPr>
            <w:r>
              <w:t>NR</w:t>
            </w:r>
          </w:p>
        </w:tc>
        <w:tc>
          <w:tcPr>
            <w:tcW w:w="769" w:type="pct"/>
            <w:tcBorders>
              <w:top w:val="nil"/>
              <w:left w:val="nil"/>
              <w:bottom w:val="nil"/>
            </w:tcBorders>
            <w:shd w:val="clear" w:color="auto" w:fill="auto"/>
          </w:tcPr>
          <w:p w:rsidR="00872AAD" w:rsidRDefault="00872AAD" w:rsidP="00872AAD">
            <w:pPr>
              <w:pStyle w:val="TableText0"/>
              <w:jc w:val="center"/>
            </w:pPr>
            <w:r>
              <w:t>NR</w:t>
            </w:r>
          </w:p>
        </w:tc>
      </w:tr>
      <w:tr w:rsidR="00872AAD" w:rsidTr="00126A44">
        <w:tc>
          <w:tcPr>
            <w:tcW w:w="1306" w:type="pct"/>
            <w:tcBorders>
              <w:top w:val="nil"/>
              <w:bottom w:val="nil"/>
            </w:tcBorders>
            <w:shd w:val="clear" w:color="auto" w:fill="auto"/>
            <w:vAlign w:val="center"/>
          </w:tcPr>
          <w:p w:rsidR="00872AAD" w:rsidRDefault="00872AAD" w:rsidP="00872AAD">
            <w:pPr>
              <w:pStyle w:val="TableText0"/>
              <w:ind w:left="170"/>
            </w:pPr>
            <w:r>
              <w:t>Neutropenia</w:t>
            </w:r>
          </w:p>
        </w:tc>
        <w:tc>
          <w:tcPr>
            <w:tcW w:w="693" w:type="pct"/>
            <w:tcBorders>
              <w:top w:val="nil"/>
              <w:bottom w:val="nil"/>
              <w:right w:val="nil"/>
            </w:tcBorders>
            <w:shd w:val="clear" w:color="auto" w:fill="auto"/>
          </w:tcPr>
          <w:p w:rsidR="00872AAD" w:rsidRDefault="00872AAD" w:rsidP="00872AAD">
            <w:pPr>
              <w:pStyle w:val="TableText0"/>
              <w:jc w:val="center"/>
            </w:pPr>
            <w:r>
              <w:t>6 (5.6)</w:t>
            </w:r>
          </w:p>
        </w:tc>
        <w:tc>
          <w:tcPr>
            <w:tcW w:w="693" w:type="pct"/>
            <w:tcBorders>
              <w:top w:val="nil"/>
              <w:left w:val="nil"/>
              <w:bottom w:val="nil"/>
            </w:tcBorders>
            <w:shd w:val="clear" w:color="auto" w:fill="auto"/>
          </w:tcPr>
          <w:p w:rsidR="00872AAD" w:rsidRDefault="00872AAD" w:rsidP="00872AAD">
            <w:pPr>
              <w:pStyle w:val="TableText0"/>
              <w:jc w:val="center"/>
            </w:pPr>
            <w:r>
              <w:t>1 (0.9)</w:t>
            </w:r>
          </w:p>
        </w:tc>
        <w:tc>
          <w:tcPr>
            <w:tcW w:w="1539" w:type="pct"/>
            <w:tcBorders>
              <w:top w:val="nil"/>
              <w:bottom w:val="nil"/>
              <w:right w:val="nil"/>
            </w:tcBorders>
            <w:shd w:val="clear" w:color="auto" w:fill="auto"/>
          </w:tcPr>
          <w:p w:rsidR="00872AAD" w:rsidRDefault="00872AAD" w:rsidP="00872AAD">
            <w:pPr>
              <w:pStyle w:val="TableText0"/>
              <w:jc w:val="center"/>
            </w:pPr>
            <w:r>
              <w:t>NR</w:t>
            </w:r>
          </w:p>
        </w:tc>
        <w:tc>
          <w:tcPr>
            <w:tcW w:w="769" w:type="pct"/>
            <w:tcBorders>
              <w:top w:val="nil"/>
              <w:left w:val="nil"/>
              <w:bottom w:val="nil"/>
            </w:tcBorders>
            <w:shd w:val="clear" w:color="auto" w:fill="auto"/>
          </w:tcPr>
          <w:p w:rsidR="00872AAD" w:rsidRDefault="00872AAD" w:rsidP="00872AAD">
            <w:pPr>
              <w:pStyle w:val="TableText0"/>
              <w:jc w:val="center"/>
            </w:pPr>
            <w:r>
              <w:t>NR</w:t>
            </w:r>
          </w:p>
        </w:tc>
      </w:tr>
      <w:tr w:rsidR="00872AAD" w:rsidTr="00126A44">
        <w:tc>
          <w:tcPr>
            <w:tcW w:w="1306" w:type="pct"/>
            <w:tcBorders>
              <w:top w:val="nil"/>
              <w:bottom w:val="single" w:sz="4" w:space="0" w:color="auto"/>
            </w:tcBorders>
            <w:shd w:val="clear" w:color="auto" w:fill="auto"/>
            <w:vAlign w:val="center"/>
          </w:tcPr>
          <w:p w:rsidR="00872AAD" w:rsidRDefault="00872AAD" w:rsidP="00872AAD">
            <w:pPr>
              <w:pStyle w:val="TableText0"/>
            </w:pPr>
            <w:r>
              <w:t>Total number of events</w:t>
            </w:r>
          </w:p>
        </w:tc>
        <w:tc>
          <w:tcPr>
            <w:tcW w:w="693" w:type="pct"/>
            <w:tcBorders>
              <w:top w:val="nil"/>
              <w:bottom w:val="single" w:sz="4" w:space="0" w:color="auto"/>
              <w:right w:val="nil"/>
            </w:tcBorders>
            <w:shd w:val="clear" w:color="auto" w:fill="auto"/>
          </w:tcPr>
          <w:p w:rsidR="00872AAD" w:rsidRDefault="00872AAD" w:rsidP="00872AAD">
            <w:pPr>
              <w:pStyle w:val="TableText0"/>
              <w:jc w:val="center"/>
            </w:pPr>
            <w:r>
              <w:t>31</w:t>
            </w:r>
          </w:p>
        </w:tc>
        <w:tc>
          <w:tcPr>
            <w:tcW w:w="693" w:type="pct"/>
            <w:tcBorders>
              <w:top w:val="nil"/>
              <w:left w:val="nil"/>
              <w:bottom w:val="single" w:sz="4" w:space="0" w:color="auto"/>
            </w:tcBorders>
            <w:shd w:val="clear" w:color="auto" w:fill="auto"/>
          </w:tcPr>
          <w:p w:rsidR="00872AAD" w:rsidRDefault="00872AAD" w:rsidP="00872AAD">
            <w:pPr>
              <w:pStyle w:val="TableText0"/>
              <w:jc w:val="center"/>
            </w:pPr>
            <w:r>
              <w:t>25</w:t>
            </w:r>
          </w:p>
        </w:tc>
        <w:tc>
          <w:tcPr>
            <w:tcW w:w="1539" w:type="pct"/>
            <w:tcBorders>
              <w:top w:val="nil"/>
              <w:bottom w:val="single" w:sz="4" w:space="0" w:color="auto"/>
              <w:right w:val="nil"/>
            </w:tcBorders>
            <w:shd w:val="clear" w:color="auto" w:fill="auto"/>
          </w:tcPr>
          <w:p w:rsidR="00872AAD" w:rsidRDefault="00872AAD" w:rsidP="00872AAD">
            <w:pPr>
              <w:pStyle w:val="TableText0"/>
              <w:jc w:val="center"/>
            </w:pPr>
            <w:r>
              <w:t>NR</w:t>
            </w:r>
          </w:p>
        </w:tc>
        <w:tc>
          <w:tcPr>
            <w:tcW w:w="769" w:type="pct"/>
            <w:tcBorders>
              <w:top w:val="nil"/>
              <w:left w:val="nil"/>
              <w:bottom w:val="single" w:sz="4" w:space="0" w:color="auto"/>
            </w:tcBorders>
            <w:shd w:val="clear" w:color="auto" w:fill="auto"/>
          </w:tcPr>
          <w:p w:rsidR="00872AAD" w:rsidRDefault="00872AAD" w:rsidP="00872AAD">
            <w:pPr>
              <w:pStyle w:val="TableText0"/>
              <w:jc w:val="center"/>
            </w:pPr>
            <w:r>
              <w:t>NR</w:t>
            </w:r>
          </w:p>
        </w:tc>
      </w:tr>
    </w:tbl>
    <w:p w:rsidR="00872AAD" w:rsidRDefault="00872AAD" w:rsidP="00872AAD">
      <w:pPr>
        <w:pStyle w:val="TableFigureFooter"/>
      </w:pPr>
      <w:r>
        <w:t>Source: Tables 2.34 and 2.40, pp72 and 78 of the submission</w:t>
      </w:r>
    </w:p>
    <w:p w:rsidR="00872AAD" w:rsidRDefault="00297C20" w:rsidP="00872AAD">
      <w:pPr>
        <w:pStyle w:val="TableFigureFooter"/>
        <w:rPr>
          <w:rFonts w:eastAsia="Calibri"/>
        </w:rPr>
      </w:pPr>
      <w:r>
        <w:rPr>
          <w:rFonts w:eastAsia="Calibri"/>
        </w:rPr>
        <w:t xml:space="preserve">C = carboplatin; D = docetaxel; </w:t>
      </w:r>
      <w:r>
        <w:t xml:space="preserve">FEC = 5-fluorouracil, epirubicin and cyclophosphamide; </w:t>
      </w:r>
      <w:r w:rsidR="00872AAD" w:rsidRPr="00B40358">
        <w:rPr>
          <w:rFonts w:eastAsia="Calibri"/>
        </w:rPr>
        <w:t xml:space="preserve">n = number of participants </w:t>
      </w:r>
      <w:r w:rsidR="00872AAD">
        <w:rPr>
          <w:rFonts w:eastAsia="Calibri"/>
        </w:rPr>
        <w:t>with event</w:t>
      </w:r>
      <w:r w:rsidR="00872AAD" w:rsidRPr="00B40358">
        <w:rPr>
          <w:rFonts w:eastAsia="Calibri"/>
        </w:rPr>
        <w:t>; N = total participants in group</w:t>
      </w:r>
      <w:r w:rsidR="00872AAD">
        <w:rPr>
          <w:rFonts w:eastAsia="Calibri"/>
        </w:rPr>
        <w:t>;</w:t>
      </w:r>
      <w:r>
        <w:rPr>
          <w:rFonts w:eastAsia="Calibri"/>
        </w:rPr>
        <w:t xml:space="preserve"> Ptz = pertuzumab; T = trastuzumab</w:t>
      </w:r>
    </w:p>
    <w:p w:rsidR="00872AAD" w:rsidRDefault="00872AAD" w:rsidP="00872AAD">
      <w:pPr>
        <w:pStyle w:val="TableFigureHeading"/>
      </w:pPr>
      <w:bookmarkStart w:id="34" w:name="_Ref33607385"/>
      <w:bookmarkStart w:id="35" w:name="_Hlk29537173"/>
      <w:bookmarkEnd w:id="33"/>
      <w:r w:rsidRPr="00080909">
        <w:lastRenderedPageBreak/>
        <w:t xml:space="preserve">Table </w:t>
      </w:r>
      <w:r w:rsidR="00550A5E">
        <w:rPr>
          <w:noProof/>
        </w:rPr>
        <w:t>9</w:t>
      </w:r>
      <w:bookmarkEnd w:id="34"/>
      <w:r w:rsidRPr="00080909">
        <w:t>:</w:t>
      </w:r>
      <w:r>
        <w:t xml:space="preserve"> </w:t>
      </w:r>
      <w:r w:rsidRPr="00080909">
        <w:t xml:space="preserve">Summary of </w:t>
      </w:r>
      <w:r>
        <w:t>adverse events (AEs) of severity CTCAE grade ≥3 in ≥</w:t>
      </w:r>
      <w:proofErr w:type="gramStart"/>
      <w:r>
        <w:t>3%</w:t>
      </w:r>
      <w:proofErr w:type="gramEnd"/>
      <w:r>
        <w:t xml:space="preserve"> of patients by treatment period in NEOSPHERE and TRYPHAENA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250"/>
        <w:gridCol w:w="1387"/>
        <w:gridCol w:w="2638"/>
        <w:gridCol w:w="1387"/>
      </w:tblGrid>
      <w:tr w:rsidR="00872AAD" w:rsidRPr="00080909" w:rsidTr="00126A44">
        <w:trPr>
          <w:tblHeader/>
        </w:trPr>
        <w:tc>
          <w:tcPr>
            <w:tcW w:w="1306" w:type="pct"/>
            <w:tcBorders>
              <w:bottom w:val="nil"/>
            </w:tcBorders>
            <w:vAlign w:val="center"/>
          </w:tcPr>
          <w:p w:rsidR="00872AAD" w:rsidRDefault="00872AAD" w:rsidP="00872AAD">
            <w:pPr>
              <w:pStyle w:val="In-tableHeading"/>
            </w:pPr>
          </w:p>
        </w:tc>
        <w:tc>
          <w:tcPr>
            <w:tcW w:w="1462" w:type="pct"/>
            <w:gridSpan w:val="2"/>
            <w:vAlign w:val="center"/>
          </w:tcPr>
          <w:p w:rsidR="00872AAD" w:rsidRDefault="00872AAD" w:rsidP="00872AAD">
            <w:pPr>
              <w:pStyle w:val="In-tableHeading"/>
              <w:jc w:val="center"/>
            </w:pPr>
            <w:r>
              <w:t>NEOSPHERE</w:t>
            </w:r>
          </w:p>
        </w:tc>
        <w:tc>
          <w:tcPr>
            <w:tcW w:w="2232" w:type="pct"/>
            <w:gridSpan w:val="2"/>
            <w:vAlign w:val="center"/>
          </w:tcPr>
          <w:p w:rsidR="00872AAD" w:rsidRDefault="00872AAD" w:rsidP="00872AAD">
            <w:pPr>
              <w:pStyle w:val="In-tableHeading"/>
              <w:jc w:val="center"/>
            </w:pPr>
            <w:r>
              <w:t>TRYPHAENA</w:t>
            </w:r>
          </w:p>
        </w:tc>
      </w:tr>
      <w:tr w:rsidR="00872AAD" w:rsidRPr="00080909" w:rsidTr="00126A44">
        <w:trPr>
          <w:tblHeader/>
        </w:trPr>
        <w:tc>
          <w:tcPr>
            <w:tcW w:w="1306" w:type="pct"/>
            <w:tcBorders>
              <w:top w:val="nil"/>
            </w:tcBorders>
            <w:vAlign w:val="center"/>
          </w:tcPr>
          <w:p w:rsidR="00872AAD" w:rsidRPr="00080909" w:rsidRDefault="00872AAD" w:rsidP="00872AAD">
            <w:pPr>
              <w:pStyle w:val="In-tableHeading"/>
            </w:pPr>
            <w:r w:rsidRPr="00617E1F">
              <w:t>CTCAE grade ≥3</w:t>
            </w:r>
            <w:r>
              <w:t xml:space="preserve"> AE</w:t>
            </w:r>
          </w:p>
        </w:tc>
        <w:tc>
          <w:tcPr>
            <w:tcW w:w="693" w:type="pct"/>
            <w:tcBorders>
              <w:right w:val="nil"/>
            </w:tcBorders>
            <w:vAlign w:val="center"/>
          </w:tcPr>
          <w:p w:rsidR="00872AAD" w:rsidRDefault="00872AAD" w:rsidP="00872AAD">
            <w:pPr>
              <w:pStyle w:val="In-tableHeading"/>
              <w:jc w:val="center"/>
            </w:pPr>
            <w:r>
              <w:t>Arm B (P</w:t>
            </w:r>
            <w:r w:rsidR="00067B48">
              <w:t>tz</w:t>
            </w:r>
            <w:r>
              <w:t>+T+D)</w:t>
            </w:r>
          </w:p>
          <w:p w:rsidR="00872AAD" w:rsidRPr="00080909" w:rsidRDefault="00872AAD" w:rsidP="00872AAD">
            <w:pPr>
              <w:pStyle w:val="In-tableHeading"/>
              <w:jc w:val="center"/>
            </w:pPr>
            <w:r>
              <w:t>n (%, n/N)</w:t>
            </w:r>
          </w:p>
        </w:tc>
        <w:tc>
          <w:tcPr>
            <w:tcW w:w="769" w:type="pct"/>
            <w:tcBorders>
              <w:left w:val="nil"/>
            </w:tcBorders>
            <w:vAlign w:val="center"/>
          </w:tcPr>
          <w:p w:rsidR="00872AAD" w:rsidRDefault="00872AAD" w:rsidP="00872AAD">
            <w:pPr>
              <w:pStyle w:val="In-tableHeading"/>
              <w:jc w:val="center"/>
            </w:pPr>
            <w:r>
              <w:t xml:space="preserve">Arm A </w:t>
            </w:r>
          </w:p>
          <w:p w:rsidR="00872AAD" w:rsidRDefault="00872AAD" w:rsidP="00872AAD">
            <w:pPr>
              <w:pStyle w:val="In-tableHeading"/>
              <w:jc w:val="center"/>
            </w:pPr>
            <w:r>
              <w:t>(T+D)</w:t>
            </w:r>
          </w:p>
          <w:p w:rsidR="00872AAD" w:rsidRPr="00080909" w:rsidRDefault="00872AAD" w:rsidP="00872AAD">
            <w:pPr>
              <w:pStyle w:val="In-tableHeading"/>
              <w:jc w:val="center"/>
            </w:pPr>
            <w:r>
              <w:t>n (%, n/N)</w:t>
            </w:r>
          </w:p>
        </w:tc>
        <w:tc>
          <w:tcPr>
            <w:tcW w:w="1463" w:type="pct"/>
            <w:tcBorders>
              <w:right w:val="nil"/>
            </w:tcBorders>
            <w:vAlign w:val="center"/>
          </w:tcPr>
          <w:p w:rsidR="00872AAD" w:rsidRDefault="00872AAD" w:rsidP="00872AAD">
            <w:pPr>
              <w:pStyle w:val="In-tableHeading"/>
              <w:jc w:val="center"/>
            </w:pPr>
            <w:r>
              <w:t>Arm A</w:t>
            </w:r>
          </w:p>
          <w:p w:rsidR="00872AAD" w:rsidRDefault="00872AAD" w:rsidP="00872AAD">
            <w:pPr>
              <w:pStyle w:val="In-tableHeading"/>
              <w:jc w:val="center"/>
            </w:pPr>
            <w:r>
              <w:t>(P</w:t>
            </w:r>
            <w:r w:rsidR="00067B48">
              <w:t>tz</w:t>
            </w:r>
            <w:r>
              <w:t>+T</w:t>
            </w:r>
            <w:r w:rsidRPr="00153E0E">
              <w:t>+FEC</w:t>
            </w:r>
            <w:r>
              <w:t xml:space="preserve">) </w:t>
            </w:r>
            <w:r w:rsidRPr="00153E0E">
              <w:t>x3</w:t>
            </w:r>
            <w:r>
              <w:t xml:space="preserve"> </w:t>
            </w:r>
            <w:r w:rsidRPr="00153E0E">
              <w:t>→</w:t>
            </w:r>
            <w:r>
              <w:t xml:space="preserve"> (P</w:t>
            </w:r>
            <w:r w:rsidR="00067B48">
              <w:t>tz</w:t>
            </w:r>
            <w:r>
              <w:t xml:space="preserve">+T+D) </w:t>
            </w:r>
            <w:r w:rsidRPr="00153E0E">
              <w:t>x3</w:t>
            </w:r>
          </w:p>
          <w:p w:rsidR="00872AAD" w:rsidRDefault="00872AAD" w:rsidP="00872AAD">
            <w:pPr>
              <w:pStyle w:val="In-tableHeading"/>
              <w:jc w:val="center"/>
            </w:pPr>
            <w:r>
              <w:t>n (%, n/N)</w:t>
            </w:r>
          </w:p>
        </w:tc>
        <w:tc>
          <w:tcPr>
            <w:tcW w:w="769" w:type="pct"/>
            <w:tcBorders>
              <w:left w:val="nil"/>
            </w:tcBorders>
            <w:vAlign w:val="center"/>
          </w:tcPr>
          <w:p w:rsidR="00872AAD" w:rsidRDefault="00872AAD" w:rsidP="00872AAD">
            <w:pPr>
              <w:pStyle w:val="In-tableHeading"/>
              <w:jc w:val="center"/>
            </w:pPr>
            <w:r>
              <w:t>Arm C</w:t>
            </w:r>
          </w:p>
          <w:p w:rsidR="00872AAD" w:rsidRDefault="00872AAD" w:rsidP="00872AAD">
            <w:pPr>
              <w:pStyle w:val="In-tableHeading"/>
              <w:jc w:val="center"/>
            </w:pPr>
            <w:r>
              <w:t>(P</w:t>
            </w:r>
            <w:r w:rsidR="00067B48">
              <w:t>tz</w:t>
            </w:r>
            <w:r>
              <w:t>+T</w:t>
            </w:r>
            <w:r w:rsidRPr="00153E0E">
              <w:t>+</w:t>
            </w:r>
            <w:r>
              <w:t>C+D) x6n</w:t>
            </w:r>
          </w:p>
          <w:p w:rsidR="00872AAD" w:rsidRDefault="00872AAD" w:rsidP="00872AAD">
            <w:pPr>
              <w:pStyle w:val="In-tableHeading"/>
              <w:jc w:val="center"/>
            </w:pPr>
            <w:r>
              <w:t>n (%, n/N)</w:t>
            </w:r>
          </w:p>
        </w:tc>
      </w:tr>
      <w:tr w:rsidR="00872AAD" w:rsidRPr="00C30E50" w:rsidTr="00126A44">
        <w:tc>
          <w:tcPr>
            <w:tcW w:w="1306" w:type="pct"/>
            <w:tcBorders>
              <w:bottom w:val="single" w:sz="4" w:space="0" w:color="auto"/>
            </w:tcBorders>
            <w:shd w:val="clear" w:color="auto" w:fill="auto"/>
            <w:vAlign w:val="center"/>
          </w:tcPr>
          <w:p w:rsidR="00872AAD" w:rsidRPr="00C30E50" w:rsidRDefault="00872AAD" w:rsidP="00872AAD">
            <w:pPr>
              <w:pStyle w:val="TableText0"/>
              <w:rPr>
                <w:b/>
              </w:rPr>
            </w:pPr>
            <w:r w:rsidRPr="00C30E50">
              <w:rPr>
                <w:b/>
              </w:rPr>
              <w:t>Neoadjuvant period</w:t>
            </w:r>
          </w:p>
        </w:tc>
        <w:tc>
          <w:tcPr>
            <w:tcW w:w="693" w:type="pct"/>
            <w:tcBorders>
              <w:bottom w:val="single" w:sz="4" w:space="0" w:color="auto"/>
              <w:right w:val="nil"/>
            </w:tcBorders>
            <w:shd w:val="clear" w:color="auto" w:fill="auto"/>
            <w:vAlign w:val="center"/>
          </w:tcPr>
          <w:p w:rsidR="00872AAD" w:rsidRPr="00C30E50" w:rsidRDefault="00872AAD" w:rsidP="00872AAD">
            <w:pPr>
              <w:pStyle w:val="TableText0"/>
              <w:jc w:val="center"/>
              <w:rPr>
                <w:b/>
              </w:rPr>
            </w:pPr>
            <w:r w:rsidRPr="00C30E50">
              <w:rPr>
                <w:b/>
              </w:rPr>
              <w:t>N=107</w:t>
            </w:r>
          </w:p>
        </w:tc>
        <w:tc>
          <w:tcPr>
            <w:tcW w:w="769" w:type="pct"/>
            <w:tcBorders>
              <w:left w:val="nil"/>
              <w:bottom w:val="single" w:sz="4" w:space="0" w:color="auto"/>
            </w:tcBorders>
            <w:shd w:val="clear" w:color="auto" w:fill="auto"/>
            <w:vAlign w:val="center"/>
          </w:tcPr>
          <w:p w:rsidR="00872AAD" w:rsidRPr="00C30E50" w:rsidRDefault="00872AAD" w:rsidP="00872AAD">
            <w:pPr>
              <w:pStyle w:val="TableText0"/>
              <w:jc w:val="center"/>
              <w:rPr>
                <w:b/>
              </w:rPr>
            </w:pPr>
            <w:r w:rsidRPr="00C30E50">
              <w:rPr>
                <w:b/>
              </w:rPr>
              <w:t>N=107</w:t>
            </w:r>
          </w:p>
        </w:tc>
        <w:tc>
          <w:tcPr>
            <w:tcW w:w="1463" w:type="pct"/>
            <w:tcBorders>
              <w:bottom w:val="single" w:sz="4" w:space="0" w:color="auto"/>
              <w:right w:val="nil"/>
            </w:tcBorders>
            <w:shd w:val="clear" w:color="auto" w:fill="auto"/>
          </w:tcPr>
          <w:p w:rsidR="00872AAD" w:rsidRPr="00C30E50" w:rsidRDefault="00872AAD" w:rsidP="00872AAD">
            <w:pPr>
              <w:pStyle w:val="TableText0"/>
              <w:jc w:val="center"/>
              <w:rPr>
                <w:b/>
              </w:rPr>
            </w:pPr>
            <w:r w:rsidRPr="00C30E50">
              <w:rPr>
                <w:b/>
              </w:rPr>
              <w:t>N=72</w:t>
            </w:r>
          </w:p>
        </w:tc>
        <w:tc>
          <w:tcPr>
            <w:tcW w:w="769" w:type="pct"/>
            <w:tcBorders>
              <w:left w:val="nil"/>
              <w:bottom w:val="single" w:sz="4" w:space="0" w:color="auto"/>
            </w:tcBorders>
            <w:shd w:val="clear" w:color="auto" w:fill="auto"/>
          </w:tcPr>
          <w:p w:rsidR="00872AAD" w:rsidRPr="00C30E50" w:rsidRDefault="00872AAD" w:rsidP="00872AAD">
            <w:pPr>
              <w:pStyle w:val="TableText0"/>
              <w:jc w:val="center"/>
              <w:rPr>
                <w:b/>
              </w:rPr>
            </w:pPr>
            <w:r w:rsidRPr="00C30E50">
              <w:rPr>
                <w:b/>
              </w:rPr>
              <w:t>N=76</w:t>
            </w:r>
          </w:p>
        </w:tc>
      </w:tr>
      <w:tr w:rsidR="00872AAD" w:rsidTr="00126A44">
        <w:tc>
          <w:tcPr>
            <w:tcW w:w="1306" w:type="pct"/>
            <w:tcBorders>
              <w:bottom w:val="nil"/>
            </w:tcBorders>
            <w:vAlign w:val="center"/>
          </w:tcPr>
          <w:p w:rsidR="00872AAD" w:rsidRDefault="00872AAD" w:rsidP="00872AAD">
            <w:pPr>
              <w:pStyle w:val="TableText0"/>
            </w:pPr>
            <w:r w:rsidRPr="00AD6D36">
              <w:t>≥1 AE grade ≥3</w:t>
            </w:r>
          </w:p>
        </w:tc>
        <w:tc>
          <w:tcPr>
            <w:tcW w:w="693" w:type="pct"/>
            <w:tcBorders>
              <w:bottom w:val="nil"/>
              <w:right w:val="nil"/>
            </w:tcBorders>
            <w:vAlign w:val="center"/>
          </w:tcPr>
          <w:p w:rsidR="00872AAD" w:rsidRDefault="00872AAD" w:rsidP="00872AAD">
            <w:pPr>
              <w:pStyle w:val="TableText0"/>
              <w:jc w:val="center"/>
            </w:pPr>
            <w:r>
              <w:t>67 (62.6)</w:t>
            </w:r>
          </w:p>
        </w:tc>
        <w:tc>
          <w:tcPr>
            <w:tcW w:w="769" w:type="pct"/>
            <w:tcBorders>
              <w:left w:val="nil"/>
              <w:bottom w:val="nil"/>
            </w:tcBorders>
            <w:vAlign w:val="center"/>
          </w:tcPr>
          <w:p w:rsidR="00872AAD" w:rsidRDefault="00872AAD" w:rsidP="00872AAD">
            <w:pPr>
              <w:pStyle w:val="TableText0"/>
              <w:jc w:val="center"/>
            </w:pPr>
            <w:r>
              <w:t>78 (72.9)</w:t>
            </w:r>
          </w:p>
        </w:tc>
        <w:tc>
          <w:tcPr>
            <w:tcW w:w="1463" w:type="pct"/>
            <w:tcBorders>
              <w:bottom w:val="nil"/>
              <w:right w:val="nil"/>
            </w:tcBorders>
          </w:tcPr>
          <w:p w:rsidR="00872AAD" w:rsidRDefault="00872AAD" w:rsidP="00872AAD">
            <w:pPr>
              <w:pStyle w:val="TableText0"/>
              <w:jc w:val="center"/>
            </w:pPr>
            <w:r>
              <w:t>50 (69.4)</w:t>
            </w:r>
          </w:p>
        </w:tc>
        <w:tc>
          <w:tcPr>
            <w:tcW w:w="769" w:type="pct"/>
            <w:tcBorders>
              <w:left w:val="nil"/>
              <w:bottom w:val="nil"/>
            </w:tcBorders>
          </w:tcPr>
          <w:p w:rsidR="00872AAD" w:rsidRDefault="00872AAD" w:rsidP="00872AAD">
            <w:pPr>
              <w:pStyle w:val="TableText0"/>
              <w:jc w:val="center"/>
            </w:pPr>
            <w:r>
              <w:t>56 (73.7)</w:t>
            </w:r>
          </w:p>
        </w:tc>
      </w:tr>
      <w:tr w:rsidR="00872AAD" w:rsidTr="00126A44">
        <w:tc>
          <w:tcPr>
            <w:tcW w:w="1306" w:type="pct"/>
            <w:tcBorders>
              <w:top w:val="nil"/>
              <w:bottom w:val="nil"/>
            </w:tcBorders>
            <w:vAlign w:val="center"/>
          </w:tcPr>
          <w:p w:rsidR="00872AAD" w:rsidRDefault="00872AAD" w:rsidP="00872AAD">
            <w:pPr>
              <w:pStyle w:val="TableText0"/>
              <w:ind w:left="170"/>
            </w:pPr>
            <w:r>
              <w:t>Neutropenia</w:t>
            </w:r>
          </w:p>
        </w:tc>
        <w:tc>
          <w:tcPr>
            <w:tcW w:w="693" w:type="pct"/>
            <w:tcBorders>
              <w:top w:val="nil"/>
              <w:bottom w:val="nil"/>
              <w:right w:val="nil"/>
            </w:tcBorders>
            <w:vAlign w:val="center"/>
          </w:tcPr>
          <w:p w:rsidR="00872AAD" w:rsidRDefault="00872AAD" w:rsidP="00872AAD">
            <w:pPr>
              <w:pStyle w:val="TableText0"/>
              <w:jc w:val="center"/>
            </w:pPr>
            <w:r>
              <w:t>48 (44.9)</w:t>
            </w:r>
          </w:p>
        </w:tc>
        <w:tc>
          <w:tcPr>
            <w:tcW w:w="769" w:type="pct"/>
            <w:tcBorders>
              <w:top w:val="nil"/>
              <w:left w:val="nil"/>
              <w:bottom w:val="nil"/>
            </w:tcBorders>
            <w:vAlign w:val="center"/>
          </w:tcPr>
          <w:p w:rsidR="00872AAD" w:rsidRDefault="00872AAD" w:rsidP="00872AAD">
            <w:pPr>
              <w:pStyle w:val="TableText0"/>
              <w:jc w:val="center"/>
            </w:pPr>
            <w:r>
              <w:t>61 (57.0)</w:t>
            </w:r>
          </w:p>
        </w:tc>
        <w:tc>
          <w:tcPr>
            <w:tcW w:w="1463" w:type="pct"/>
            <w:tcBorders>
              <w:top w:val="nil"/>
              <w:bottom w:val="nil"/>
              <w:right w:val="nil"/>
            </w:tcBorders>
            <w:shd w:val="clear" w:color="auto" w:fill="C6D9F1" w:themeFill="text2" w:themeFillTint="33"/>
          </w:tcPr>
          <w:p w:rsidR="00872AAD" w:rsidRDefault="00872AAD" w:rsidP="00872AAD">
            <w:pPr>
              <w:pStyle w:val="TableText0"/>
              <w:jc w:val="center"/>
            </w:pPr>
            <w:r>
              <w:t>34 (47.2)</w:t>
            </w:r>
          </w:p>
        </w:tc>
        <w:tc>
          <w:tcPr>
            <w:tcW w:w="769" w:type="pct"/>
            <w:tcBorders>
              <w:top w:val="nil"/>
              <w:left w:val="nil"/>
              <w:bottom w:val="nil"/>
            </w:tcBorders>
            <w:shd w:val="clear" w:color="auto" w:fill="C6D9F1" w:themeFill="text2" w:themeFillTint="33"/>
          </w:tcPr>
          <w:p w:rsidR="00872AAD" w:rsidRDefault="00872AAD" w:rsidP="00872AAD">
            <w:pPr>
              <w:pStyle w:val="TableText0"/>
              <w:jc w:val="center"/>
            </w:pPr>
            <w:r>
              <w:t>25 (46.1)</w:t>
            </w:r>
          </w:p>
        </w:tc>
      </w:tr>
      <w:tr w:rsidR="00872AAD" w:rsidTr="00126A44">
        <w:tc>
          <w:tcPr>
            <w:tcW w:w="1306" w:type="pct"/>
            <w:tcBorders>
              <w:top w:val="nil"/>
              <w:bottom w:val="nil"/>
            </w:tcBorders>
            <w:vAlign w:val="center"/>
          </w:tcPr>
          <w:p w:rsidR="00872AAD" w:rsidRDefault="00872AAD" w:rsidP="00872AAD">
            <w:pPr>
              <w:pStyle w:val="TableText0"/>
              <w:ind w:left="170"/>
            </w:pPr>
            <w:r>
              <w:t>Febrile neutropenia</w:t>
            </w:r>
          </w:p>
        </w:tc>
        <w:tc>
          <w:tcPr>
            <w:tcW w:w="693" w:type="pct"/>
            <w:tcBorders>
              <w:top w:val="nil"/>
              <w:bottom w:val="nil"/>
              <w:right w:val="nil"/>
            </w:tcBorders>
            <w:vAlign w:val="center"/>
          </w:tcPr>
          <w:p w:rsidR="00872AAD" w:rsidRDefault="00872AAD" w:rsidP="00872AAD">
            <w:pPr>
              <w:pStyle w:val="TableText0"/>
              <w:jc w:val="center"/>
            </w:pPr>
            <w:r>
              <w:t>9 (8.4)</w:t>
            </w:r>
          </w:p>
        </w:tc>
        <w:tc>
          <w:tcPr>
            <w:tcW w:w="769" w:type="pct"/>
            <w:tcBorders>
              <w:top w:val="nil"/>
              <w:left w:val="nil"/>
              <w:bottom w:val="nil"/>
            </w:tcBorders>
            <w:vAlign w:val="center"/>
          </w:tcPr>
          <w:p w:rsidR="00872AAD" w:rsidRDefault="00872AAD" w:rsidP="00872AAD">
            <w:pPr>
              <w:pStyle w:val="TableText0"/>
              <w:jc w:val="center"/>
            </w:pPr>
            <w:r>
              <w:t>8 (7.5)</w:t>
            </w:r>
          </w:p>
        </w:tc>
        <w:tc>
          <w:tcPr>
            <w:tcW w:w="1463" w:type="pct"/>
            <w:tcBorders>
              <w:top w:val="nil"/>
              <w:bottom w:val="nil"/>
              <w:right w:val="nil"/>
            </w:tcBorders>
            <w:shd w:val="clear" w:color="auto" w:fill="C6D9F1" w:themeFill="text2" w:themeFillTint="33"/>
          </w:tcPr>
          <w:p w:rsidR="00872AAD" w:rsidRDefault="00872AAD" w:rsidP="00872AAD">
            <w:pPr>
              <w:pStyle w:val="TableText0"/>
              <w:jc w:val="center"/>
            </w:pPr>
            <w:r>
              <w:t>13 (18.1)</w:t>
            </w:r>
          </w:p>
        </w:tc>
        <w:tc>
          <w:tcPr>
            <w:tcW w:w="769" w:type="pct"/>
            <w:tcBorders>
              <w:top w:val="nil"/>
              <w:left w:val="nil"/>
              <w:bottom w:val="nil"/>
            </w:tcBorders>
            <w:shd w:val="clear" w:color="auto" w:fill="C6D9F1" w:themeFill="text2" w:themeFillTint="33"/>
          </w:tcPr>
          <w:p w:rsidR="00872AAD" w:rsidRDefault="00872AAD" w:rsidP="00872AAD">
            <w:pPr>
              <w:pStyle w:val="TableText0"/>
              <w:jc w:val="center"/>
            </w:pPr>
            <w:r>
              <w:t>13 (17.1)</w:t>
            </w:r>
          </w:p>
        </w:tc>
      </w:tr>
      <w:tr w:rsidR="00872AAD" w:rsidTr="00126A44">
        <w:tc>
          <w:tcPr>
            <w:tcW w:w="1306" w:type="pct"/>
            <w:tcBorders>
              <w:top w:val="nil"/>
              <w:bottom w:val="nil"/>
            </w:tcBorders>
            <w:vAlign w:val="center"/>
          </w:tcPr>
          <w:p w:rsidR="00872AAD" w:rsidRDefault="00872AAD" w:rsidP="00872AAD">
            <w:pPr>
              <w:pStyle w:val="TableText0"/>
              <w:ind w:left="170"/>
            </w:pPr>
            <w:r>
              <w:t>Diarrhoea</w:t>
            </w:r>
          </w:p>
        </w:tc>
        <w:tc>
          <w:tcPr>
            <w:tcW w:w="693" w:type="pct"/>
            <w:tcBorders>
              <w:top w:val="nil"/>
              <w:bottom w:val="nil"/>
              <w:right w:val="nil"/>
            </w:tcBorders>
            <w:vAlign w:val="center"/>
          </w:tcPr>
          <w:p w:rsidR="00872AAD" w:rsidRDefault="00872AAD" w:rsidP="00872AAD">
            <w:pPr>
              <w:pStyle w:val="TableText0"/>
              <w:jc w:val="center"/>
            </w:pPr>
            <w:r>
              <w:t>6 (5.6)</w:t>
            </w:r>
          </w:p>
        </w:tc>
        <w:tc>
          <w:tcPr>
            <w:tcW w:w="769" w:type="pct"/>
            <w:tcBorders>
              <w:top w:val="nil"/>
              <w:left w:val="nil"/>
              <w:bottom w:val="nil"/>
            </w:tcBorders>
            <w:vAlign w:val="center"/>
          </w:tcPr>
          <w:p w:rsidR="00872AAD" w:rsidRDefault="00872AAD" w:rsidP="00872AAD">
            <w:pPr>
              <w:pStyle w:val="TableText0"/>
              <w:jc w:val="center"/>
            </w:pPr>
            <w:r>
              <w:t>4 (3.7)</w:t>
            </w:r>
          </w:p>
        </w:tc>
        <w:tc>
          <w:tcPr>
            <w:tcW w:w="1463" w:type="pct"/>
            <w:tcBorders>
              <w:top w:val="nil"/>
              <w:bottom w:val="nil"/>
              <w:right w:val="nil"/>
            </w:tcBorders>
            <w:shd w:val="clear" w:color="auto" w:fill="C6D9F1" w:themeFill="text2" w:themeFillTint="33"/>
          </w:tcPr>
          <w:p w:rsidR="00872AAD" w:rsidRDefault="00872AAD" w:rsidP="00872AAD">
            <w:pPr>
              <w:pStyle w:val="TableText0"/>
              <w:jc w:val="center"/>
            </w:pPr>
            <w:r>
              <w:t>3 (4.2)</w:t>
            </w:r>
          </w:p>
        </w:tc>
        <w:tc>
          <w:tcPr>
            <w:tcW w:w="769" w:type="pct"/>
            <w:tcBorders>
              <w:top w:val="nil"/>
              <w:left w:val="nil"/>
              <w:bottom w:val="nil"/>
            </w:tcBorders>
            <w:shd w:val="clear" w:color="auto" w:fill="C6D9F1" w:themeFill="text2" w:themeFillTint="33"/>
          </w:tcPr>
          <w:p w:rsidR="00872AAD" w:rsidRDefault="00872AAD" w:rsidP="00872AAD">
            <w:pPr>
              <w:pStyle w:val="TableText0"/>
              <w:jc w:val="center"/>
            </w:pPr>
            <w:r>
              <w:t>9 (11.8)</w:t>
            </w:r>
          </w:p>
        </w:tc>
      </w:tr>
      <w:tr w:rsidR="00872AAD" w:rsidTr="00126A44">
        <w:tc>
          <w:tcPr>
            <w:tcW w:w="1306" w:type="pct"/>
            <w:tcBorders>
              <w:top w:val="nil"/>
              <w:bottom w:val="nil"/>
            </w:tcBorders>
            <w:vAlign w:val="center"/>
          </w:tcPr>
          <w:p w:rsidR="00872AAD" w:rsidRDefault="00872AAD" w:rsidP="00872AAD">
            <w:pPr>
              <w:pStyle w:val="TableText0"/>
              <w:ind w:left="170"/>
            </w:pPr>
            <w:r>
              <w:t>Leukopenia</w:t>
            </w:r>
          </w:p>
        </w:tc>
        <w:tc>
          <w:tcPr>
            <w:tcW w:w="693" w:type="pct"/>
            <w:tcBorders>
              <w:top w:val="nil"/>
              <w:bottom w:val="nil"/>
              <w:right w:val="nil"/>
            </w:tcBorders>
            <w:vAlign w:val="center"/>
          </w:tcPr>
          <w:p w:rsidR="00872AAD" w:rsidRDefault="00872AAD" w:rsidP="00872AAD">
            <w:pPr>
              <w:pStyle w:val="TableText0"/>
              <w:jc w:val="center"/>
            </w:pPr>
            <w:r>
              <w:t>5 (4.7)</w:t>
            </w:r>
          </w:p>
        </w:tc>
        <w:tc>
          <w:tcPr>
            <w:tcW w:w="769" w:type="pct"/>
            <w:tcBorders>
              <w:top w:val="nil"/>
              <w:left w:val="nil"/>
              <w:bottom w:val="nil"/>
            </w:tcBorders>
            <w:vAlign w:val="center"/>
          </w:tcPr>
          <w:p w:rsidR="00872AAD" w:rsidRDefault="00872AAD" w:rsidP="00872AAD">
            <w:pPr>
              <w:pStyle w:val="TableText0"/>
              <w:jc w:val="center"/>
            </w:pPr>
            <w:r>
              <w:t>13 (12.1)</w:t>
            </w:r>
          </w:p>
        </w:tc>
        <w:tc>
          <w:tcPr>
            <w:tcW w:w="1463" w:type="pct"/>
            <w:tcBorders>
              <w:top w:val="nil"/>
              <w:bottom w:val="nil"/>
              <w:right w:val="nil"/>
            </w:tcBorders>
            <w:shd w:val="clear" w:color="auto" w:fill="C6D9F1" w:themeFill="text2" w:themeFillTint="33"/>
          </w:tcPr>
          <w:p w:rsidR="00872AAD" w:rsidRDefault="00872AAD" w:rsidP="00872AAD">
            <w:pPr>
              <w:pStyle w:val="TableText0"/>
              <w:jc w:val="center"/>
            </w:pPr>
            <w:r>
              <w:t>14 (19.4)</w:t>
            </w:r>
          </w:p>
        </w:tc>
        <w:tc>
          <w:tcPr>
            <w:tcW w:w="769" w:type="pct"/>
            <w:tcBorders>
              <w:top w:val="nil"/>
              <w:left w:val="nil"/>
              <w:bottom w:val="nil"/>
            </w:tcBorders>
            <w:shd w:val="clear" w:color="auto" w:fill="C6D9F1" w:themeFill="text2" w:themeFillTint="33"/>
          </w:tcPr>
          <w:p w:rsidR="00872AAD" w:rsidRDefault="00872AAD" w:rsidP="00872AAD">
            <w:pPr>
              <w:pStyle w:val="TableText0"/>
              <w:jc w:val="center"/>
            </w:pPr>
            <w:r>
              <w:t>9 (11.8)</w:t>
            </w:r>
          </w:p>
        </w:tc>
      </w:tr>
      <w:tr w:rsidR="00872AAD" w:rsidTr="00126A44">
        <w:tc>
          <w:tcPr>
            <w:tcW w:w="1306" w:type="pct"/>
            <w:tcBorders>
              <w:top w:val="nil"/>
              <w:bottom w:val="nil"/>
            </w:tcBorders>
            <w:vAlign w:val="center"/>
          </w:tcPr>
          <w:p w:rsidR="00872AAD" w:rsidRDefault="00872AAD" w:rsidP="00872AAD">
            <w:pPr>
              <w:pStyle w:val="TableText0"/>
              <w:ind w:left="170"/>
            </w:pPr>
            <w:r>
              <w:t>Alopecia</w:t>
            </w:r>
          </w:p>
        </w:tc>
        <w:tc>
          <w:tcPr>
            <w:tcW w:w="693" w:type="pct"/>
            <w:tcBorders>
              <w:top w:val="nil"/>
              <w:bottom w:val="nil"/>
              <w:right w:val="nil"/>
            </w:tcBorders>
            <w:vAlign w:val="center"/>
          </w:tcPr>
          <w:p w:rsidR="00872AAD" w:rsidRDefault="00872AAD" w:rsidP="00872AAD">
            <w:pPr>
              <w:pStyle w:val="TableText0"/>
              <w:jc w:val="center"/>
            </w:pPr>
            <w:r>
              <w:t>5 (4.7)</w:t>
            </w:r>
          </w:p>
        </w:tc>
        <w:tc>
          <w:tcPr>
            <w:tcW w:w="769" w:type="pct"/>
            <w:tcBorders>
              <w:top w:val="nil"/>
              <w:left w:val="nil"/>
              <w:bottom w:val="nil"/>
            </w:tcBorders>
            <w:vAlign w:val="center"/>
          </w:tcPr>
          <w:p w:rsidR="00872AAD" w:rsidRDefault="00872AAD" w:rsidP="00872AAD">
            <w:pPr>
              <w:pStyle w:val="TableText0"/>
              <w:jc w:val="center"/>
            </w:pPr>
            <w:r>
              <w:t>1 (0.9)</w:t>
            </w:r>
          </w:p>
        </w:tc>
        <w:tc>
          <w:tcPr>
            <w:tcW w:w="1463" w:type="pct"/>
            <w:tcBorders>
              <w:top w:val="nil"/>
              <w:bottom w:val="nil"/>
              <w:right w:val="nil"/>
            </w:tcBorders>
          </w:tcPr>
          <w:p w:rsidR="00872AAD" w:rsidRDefault="00872AAD" w:rsidP="00872AAD">
            <w:pPr>
              <w:pStyle w:val="TableText0"/>
              <w:jc w:val="center"/>
            </w:pPr>
            <w:r>
              <w:t>NR</w:t>
            </w:r>
          </w:p>
        </w:tc>
        <w:tc>
          <w:tcPr>
            <w:tcW w:w="769" w:type="pct"/>
            <w:tcBorders>
              <w:top w:val="nil"/>
              <w:left w:val="nil"/>
              <w:bottom w:val="nil"/>
            </w:tcBorders>
          </w:tcPr>
          <w:p w:rsidR="00872AAD" w:rsidRDefault="00872AAD" w:rsidP="00872AAD">
            <w:pPr>
              <w:pStyle w:val="TableText0"/>
              <w:jc w:val="center"/>
            </w:pPr>
            <w:r>
              <w:t>NR</w:t>
            </w:r>
          </w:p>
        </w:tc>
      </w:tr>
      <w:tr w:rsidR="00872AAD" w:rsidTr="00126A44">
        <w:tc>
          <w:tcPr>
            <w:tcW w:w="1306" w:type="pct"/>
            <w:tcBorders>
              <w:top w:val="nil"/>
              <w:bottom w:val="nil"/>
            </w:tcBorders>
            <w:vAlign w:val="center"/>
          </w:tcPr>
          <w:p w:rsidR="00872AAD" w:rsidRDefault="00872AAD" w:rsidP="00872AAD">
            <w:pPr>
              <w:pStyle w:val="TableText0"/>
              <w:ind w:left="170"/>
            </w:pPr>
            <w:r>
              <w:t>ALT increased</w:t>
            </w:r>
          </w:p>
        </w:tc>
        <w:tc>
          <w:tcPr>
            <w:tcW w:w="693" w:type="pct"/>
            <w:tcBorders>
              <w:top w:val="nil"/>
              <w:bottom w:val="nil"/>
              <w:right w:val="nil"/>
            </w:tcBorders>
            <w:vAlign w:val="center"/>
          </w:tcPr>
          <w:p w:rsidR="00872AAD" w:rsidRDefault="00872AAD" w:rsidP="00872AAD">
            <w:pPr>
              <w:pStyle w:val="TableText0"/>
              <w:jc w:val="center"/>
            </w:pPr>
            <w:r>
              <w:t>0 (0)</w:t>
            </w:r>
          </w:p>
        </w:tc>
        <w:tc>
          <w:tcPr>
            <w:tcW w:w="769" w:type="pct"/>
            <w:tcBorders>
              <w:top w:val="nil"/>
              <w:left w:val="nil"/>
              <w:bottom w:val="nil"/>
            </w:tcBorders>
            <w:vAlign w:val="center"/>
          </w:tcPr>
          <w:p w:rsidR="00872AAD" w:rsidRDefault="00872AAD" w:rsidP="00872AAD">
            <w:pPr>
              <w:pStyle w:val="TableText0"/>
              <w:jc w:val="center"/>
            </w:pPr>
            <w:r>
              <w:t>3 (2.8)</w:t>
            </w:r>
          </w:p>
        </w:tc>
        <w:tc>
          <w:tcPr>
            <w:tcW w:w="1463" w:type="pct"/>
            <w:tcBorders>
              <w:top w:val="nil"/>
              <w:bottom w:val="nil"/>
              <w:right w:val="nil"/>
            </w:tcBorders>
            <w:vAlign w:val="center"/>
          </w:tcPr>
          <w:p w:rsidR="00872AAD" w:rsidRDefault="00872AAD" w:rsidP="00872AAD">
            <w:pPr>
              <w:pStyle w:val="TableText0"/>
              <w:jc w:val="center"/>
            </w:pPr>
            <w:r>
              <w:t>0 (0)</w:t>
            </w:r>
          </w:p>
        </w:tc>
        <w:tc>
          <w:tcPr>
            <w:tcW w:w="769" w:type="pct"/>
            <w:tcBorders>
              <w:top w:val="nil"/>
              <w:left w:val="nil"/>
              <w:bottom w:val="nil"/>
            </w:tcBorders>
            <w:vAlign w:val="center"/>
          </w:tcPr>
          <w:p w:rsidR="00872AAD" w:rsidRDefault="00872AAD" w:rsidP="00872AAD">
            <w:pPr>
              <w:pStyle w:val="TableText0"/>
              <w:jc w:val="center"/>
            </w:pPr>
            <w:r>
              <w:t>3 (3.9)</w:t>
            </w:r>
          </w:p>
        </w:tc>
      </w:tr>
      <w:tr w:rsidR="00872AAD" w:rsidTr="00126A44">
        <w:tc>
          <w:tcPr>
            <w:tcW w:w="1306" w:type="pct"/>
            <w:tcBorders>
              <w:top w:val="nil"/>
              <w:bottom w:val="nil"/>
            </w:tcBorders>
            <w:vAlign w:val="center"/>
          </w:tcPr>
          <w:p w:rsidR="00872AAD" w:rsidRDefault="00872AAD" w:rsidP="00872AAD">
            <w:pPr>
              <w:pStyle w:val="TableText0"/>
              <w:ind w:left="170"/>
            </w:pPr>
            <w:r>
              <w:t>Anaemia</w:t>
            </w:r>
          </w:p>
        </w:tc>
        <w:tc>
          <w:tcPr>
            <w:tcW w:w="693" w:type="pct"/>
            <w:tcBorders>
              <w:top w:val="nil"/>
              <w:bottom w:val="nil"/>
              <w:right w:val="nil"/>
            </w:tcBorders>
          </w:tcPr>
          <w:p w:rsidR="00872AAD" w:rsidRDefault="00872AAD" w:rsidP="00872AAD">
            <w:pPr>
              <w:pStyle w:val="TableText0"/>
              <w:jc w:val="center"/>
            </w:pPr>
            <w:r>
              <w:t>NR</w:t>
            </w:r>
          </w:p>
        </w:tc>
        <w:tc>
          <w:tcPr>
            <w:tcW w:w="769" w:type="pct"/>
            <w:tcBorders>
              <w:top w:val="nil"/>
              <w:left w:val="nil"/>
              <w:bottom w:val="nil"/>
            </w:tcBorders>
          </w:tcPr>
          <w:p w:rsidR="00872AAD" w:rsidRDefault="00872AAD" w:rsidP="00872AAD">
            <w:pPr>
              <w:pStyle w:val="TableText0"/>
              <w:jc w:val="center"/>
            </w:pPr>
            <w:r>
              <w:t>NR</w:t>
            </w:r>
          </w:p>
        </w:tc>
        <w:tc>
          <w:tcPr>
            <w:tcW w:w="1463" w:type="pct"/>
            <w:tcBorders>
              <w:top w:val="nil"/>
              <w:bottom w:val="nil"/>
              <w:right w:val="nil"/>
            </w:tcBorders>
          </w:tcPr>
          <w:p w:rsidR="00872AAD" w:rsidRDefault="00872AAD" w:rsidP="00872AAD">
            <w:pPr>
              <w:pStyle w:val="TableText0"/>
              <w:jc w:val="center"/>
            </w:pPr>
            <w:r>
              <w:t>1 (1.4)</w:t>
            </w:r>
          </w:p>
        </w:tc>
        <w:tc>
          <w:tcPr>
            <w:tcW w:w="769" w:type="pct"/>
            <w:tcBorders>
              <w:top w:val="nil"/>
              <w:left w:val="nil"/>
              <w:bottom w:val="nil"/>
            </w:tcBorders>
          </w:tcPr>
          <w:p w:rsidR="00872AAD" w:rsidRDefault="00872AAD" w:rsidP="00872AAD">
            <w:pPr>
              <w:pStyle w:val="TableText0"/>
              <w:jc w:val="center"/>
            </w:pPr>
            <w:r>
              <w:t>13 (17.1)</w:t>
            </w:r>
          </w:p>
        </w:tc>
      </w:tr>
      <w:tr w:rsidR="00872AAD" w:rsidTr="00126A44">
        <w:tc>
          <w:tcPr>
            <w:tcW w:w="1306" w:type="pct"/>
            <w:tcBorders>
              <w:top w:val="nil"/>
              <w:bottom w:val="nil"/>
            </w:tcBorders>
            <w:vAlign w:val="center"/>
          </w:tcPr>
          <w:p w:rsidR="00872AAD" w:rsidRDefault="00872AAD" w:rsidP="00872AAD">
            <w:pPr>
              <w:pStyle w:val="TableText0"/>
              <w:ind w:left="170"/>
            </w:pPr>
            <w:r>
              <w:t>Thrombocytopenia</w:t>
            </w:r>
          </w:p>
        </w:tc>
        <w:tc>
          <w:tcPr>
            <w:tcW w:w="693" w:type="pct"/>
            <w:tcBorders>
              <w:top w:val="nil"/>
              <w:bottom w:val="nil"/>
              <w:right w:val="nil"/>
            </w:tcBorders>
          </w:tcPr>
          <w:p w:rsidR="00872AAD" w:rsidRDefault="00872AAD" w:rsidP="00872AAD">
            <w:pPr>
              <w:pStyle w:val="TableText0"/>
              <w:jc w:val="center"/>
            </w:pPr>
            <w:r>
              <w:t>NR</w:t>
            </w:r>
          </w:p>
        </w:tc>
        <w:tc>
          <w:tcPr>
            <w:tcW w:w="769" w:type="pct"/>
            <w:tcBorders>
              <w:top w:val="nil"/>
              <w:left w:val="nil"/>
              <w:bottom w:val="nil"/>
            </w:tcBorders>
          </w:tcPr>
          <w:p w:rsidR="00872AAD" w:rsidRDefault="00872AAD" w:rsidP="00872AAD">
            <w:pPr>
              <w:pStyle w:val="TableText0"/>
              <w:jc w:val="center"/>
            </w:pPr>
            <w:r>
              <w:t>NR</w:t>
            </w:r>
          </w:p>
        </w:tc>
        <w:tc>
          <w:tcPr>
            <w:tcW w:w="1463" w:type="pct"/>
            <w:tcBorders>
              <w:top w:val="nil"/>
              <w:bottom w:val="nil"/>
              <w:right w:val="nil"/>
            </w:tcBorders>
          </w:tcPr>
          <w:p w:rsidR="00872AAD" w:rsidRDefault="00872AAD" w:rsidP="00872AAD">
            <w:pPr>
              <w:pStyle w:val="TableText0"/>
              <w:jc w:val="center"/>
            </w:pPr>
            <w:r>
              <w:t>0 (0)</w:t>
            </w:r>
          </w:p>
        </w:tc>
        <w:tc>
          <w:tcPr>
            <w:tcW w:w="769" w:type="pct"/>
            <w:tcBorders>
              <w:top w:val="nil"/>
              <w:left w:val="nil"/>
              <w:bottom w:val="nil"/>
            </w:tcBorders>
          </w:tcPr>
          <w:p w:rsidR="00872AAD" w:rsidRDefault="00872AAD" w:rsidP="00872AAD">
            <w:pPr>
              <w:pStyle w:val="TableText0"/>
              <w:jc w:val="center"/>
            </w:pPr>
            <w:r>
              <w:t>9 (11.8)</w:t>
            </w:r>
          </w:p>
        </w:tc>
      </w:tr>
      <w:tr w:rsidR="00872AAD" w:rsidTr="00126A44">
        <w:tc>
          <w:tcPr>
            <w:tcW w:w="1306" w:type="pct"/>
            <w:tcBorders>
              <w:top w:val="nil"/>
              <w:bottom w:val="nil"/>
            </w:tcBorders>
            <w:vAlign w:val="center"/>
          </w:tcPr>
          <w:p w:rsidR="00872AAD" w:rsidRDefault="00872AAD" w:rsidP="00872AAD">
            <w:pPr>
              <w:pStyle w:val="TableText0"/>
              <w:ind w:left="170"/>
            </w:pPr>
            <w:r>
              <w:t>Vomiting</w:t>
            </w:r>
          </w:p>
        </w:tc>
        <w:tc>
          <w:tcPr>
            <w:tcW w:w="693" w:type="pct"/>
            <w:tcBorders>
              <w:top w:val="nil"/>
              <w:bottom w:val="nil"/>
              <w:right w:val="nil"/>
            </w:tcBorders>
          </w:tcPr>
          <w:p w:rsidR="00872AAD" w:rsidRDefault="00872AAD" w:rsidP="00872AAD">
            <w:pPr>
              <w:pStyle w:val="TableText0"/>
              <w:jc w:val="center"/>
            </w:pPr>
            <w:r>
              <w:t>NR</w:t>
            </w:r>
          </w:p>
        </w:tc>
        <w:tc>
          <w:tcPr>
            <w:tcW w:w="769" w:type="pct"/>
            <w:tcBorders>
              <w:top w:val="nil"/>
              <w:left w:val="nil"/>
              <w:bottom w:val="nil"/>
            </w:tcBorders>
          </w:tcPr>
          <w:p w:rsidR="00872AAD" w:rsidRDefault="00872AAD" w:rsidP="00872AAD">
            <w:pPr>
              <w:pStyle w:val="TableText0"/>
              <w:jc w:val="center"/>
            </w:pPr>
            <w:r>
              <w:t>NR</w:t>
            </w:r>
          </w:p>
        </w:tc>
        <w:tc>
          <w:tcPr>
            <w:tcW w:w="1463" w:type="pct"/>
            <w:tcBorders>
              <w:top w:val="nil"/>
              <w:bottom w:val="nil"/>
              <w:right w:val="nil"/>
            </w:tcBorders>
          </w:tcPr>
          <w:p w:rsidR="00872AAD" w:rsidRDefault="00872AAD" w:rsidP="00872AAD">
            <w:pPr>
              <w:pStyle w:val="TableText0"/>
              <w:jc w:val="center"/>
            </w:pPr>
            <w:r>
              <w:t>0 (0)</w:t>
            </w:r>
          </w:p>
        </w:tc>
        <w:tc>
          <w:tcPr>
            <w:tcW w:w="769" w:type="pct"/>
            <w:tcBorders>
              <w:top w:val="nil"/>
              <w:left w:val="nil"/>
              <w:bottom w:val="nil"/>
            </w:tcBorders>
          </w:tcPr>
          <w:p w:rsidR="00872AAD" w:rsidRDefault="00872AAD" w:rsidP="00872AAD">
            <w:pPr>
              <w:pStyle w:val="TableText0"/>
              <w:jc w:val="center"/>
            </w:pPr>
            <w:r>
              <w:t>4 (5.3)</w:t>
            </w:r>
          </w:p>
        </w:tc>
      </w:tr>
      <w:tr w:rsidR="00872AAD" w:rsidRPr="00C30E50" w:rsidTr="00126A44">
        <w:tc>
          <w:tcPr>
            <w:tcW w:w="1306" w:type="pct"/>
            <w:tcBorders>
              <w:bottom w:val="single" w:sz="4" w:space="0" w:color="auto"/>
            </w:tcBorders>
            <w:shd w:val="clear" w:color="auto" w:fill="auto"/>
            <w:vAlign w:val="center"/>
          </w:tcPr>
          <w:p w:rsidR="00872AAD" w:rsidRPr="00C30E50" w:rsidRDefault="00872AAD" w:rsidP="00872AAD">
            <w:pPr>
              <w:pStyle w:val="TableText0"/>
              <w:rPr>
                <w:b/>
              </w:rPr>
            </w:pPr>
            <w:r w:rsidRPr="00C30E50">
              <w:rPr>
                <w:b/>
              </w:rPr>
              <w:t>Adjuvant period</w:t>
            </w:r>
          </w:p>
        </w:tc>
        <w:tc>
          <w:tcPr>
            <w:tcW w:w="693" w:type="pct"/>
            <w:tcBorders>
              <w:bottom w:val="single" w:sz="4" w:space="0" w:color="auto"/>
              <w:right w:val="nil"/>
            </w:tcBorders>
            <w:shd w:val="clear" w:color="auto" w:fill="auto"/>
            <w:vAlign w:val="center"/>
          </w:tcPr>
          <w:p w:rsidR="00872AAD" w:rsidRPr="00C30E50" w:rsidRDefault="00872AAD" w:rsidP="00872AAD">
            <w:pPr>
              <w:pStyle w:val="TableText0"/>
              <w:jc w:val="center"/>
              <w:rPr>
                <w:b/>
              </w:rPr>
            </w:pPr>
            <w:r w:rsidRPr="00C30E50">
              <w:rPr>
                <w:b/>
              </w:rPr>
              <w:t>N=102</w:t>
            </w:r>
          </w:p>
        </w:tc>
        <w:tc>
          <w:tcPr>
            <w:tcW w:w="769" w:type="pct"/>
            <w:tcBorders>
              <w:left w:val="nil"/>
              <w:bottom w:val="single" w:sz="4" w:space="0" w:color="auto"/>
            </w:tcBorders>
            <w:shd w:val="clear" w:color="auto" w:fill="auto"/>
            <w:vAlign w:val="center"/>
          </w:tcPr>
          <w:p w:rsidR="00872AAD" w:rsidRPr="00C30E50" w:rsidRDefault="00872AAD" w:rsidP="00872AAD">
            <w:pPr>
              <w:pStyle w:val="TableText0"/>
              <w:jc w:val="center"/>
              <w:rPr>
                <w:b/>
              </w:rPr>
            </w:pPr>
            <w:r w:rsidRPr="00C30E50">
              <w:rPr>
                <w:b/>
              </w:rPr>
              <w:t>N=103</w:t>
            </w:r>
          </w:p>
        </w:tc>
        <w:tc>
          <w:tcPr>
            <w:tcW w:w="1463" w:type="pct"/>
            <w:tcBorders>
              <w:bottom w:val="single" w:sz="4" w:space="0" w:color="auto"/>
              <w:right w:val="nil"/>
            </w:tcBorders>
            <w:shd w:val="clear" w:color="auto" w:fill="auto"/>
          </w:tcPr>
          <w:p w:rsidR="00872AAD" w:rsidRPr="00C30E50" w:rsidRDefault="00872AAD" w:rsidP="00872AAD">
            <w:pPr>
              <w:pStyle w:val="TableText0"/>
              <w:jc w:val="center"/>
              <w:rPr>
                <w:b/>
              </w:rPr>
            </w:pPr>
            <w:r w:rsidRPr="00C30E50">
              <w:rPr>
                <w:b/>
              </w:rPr>
              <w:t>N=68</w:t>
            </w:r>
          </w:p>
        </w:tc>
        <w:tc>
          <w:tcPr>
            <w:tcW w:w="769" w:type="pct"/>
            <w:tcBorders>
              <w:left w:val="nil"/>
              <w:bottom w:val="single" w:sz="4" w:space="0" w:color="auto"/>
            </w:tcBorders>
            <w:shd w:val="clear" w:color="auto" w:fill="auto"/>
          </w:tcPr>
          <w:p w:rsidR="00872AAD" w:rsidRPr="00C30E50" w:rsidRDefault="00872AAD" w:rsidP="00872AAD">
            <w:pPr>
              <w:pStyle w:val="TableText0"/>
              <w:jc w:val="center"/>
              <w:rPr>
                <w:b/>
              </w:rPr>
            </w:pPr>
            <w:r w:rsidRPr="00C30E50">
              <w:rPr>
                <w:b/>
              </w:rPr>
              <w:t>N=67</w:t>
            </w:r>
          </w:p>
        </w:tc>
      </w:tr>
      <w:tr w:rsidR="00872AAD" w:rsidTr="00126A44">
        <w:tc>
          <w:tcPr>
            <w:tcW w:w="1306" w:type="pct"/>
            <w:tcBorders>
              <w:bottom w:val="nil"/>
            </w:tcBorders>
            <w:shd w:val="clear" w:color="auto" w:fill="auto"/>
            <w:vAlign w:val="center"/>
          </w:tcPr>
          <w:p w:rsidR="00872AAD" w:rsidRDefault="00872AAD" w:rsidP="00872AAD">
            <w:pPr>
              <w:pStyle w:val="TableText0"/>
            </w:pPr>
            <w:r>
              <w:t xml:space="preserve">≥1 AE </w:t>
            </w:r>
            <w:r w:rsidRPr="00D20CA9">
              <w:t xml:space="preserve">grade ≥3 </w:t>
            </w:r>
          </w:p>
        </w:tc>
        <w:tc>
          <w:tcPr>
            <w:tcW w:w="693" w:type="pct"/>
            <w:tcBorders>
              <w:bottom w:val="nil"/>
              <w:right w:val="nil"/>
            </w:tcBorders>
            <w:shd w:val="clear" w:color="auto" w:fill="auto"/>
            <w:vAlign w:val="center"/>
          </w:tcPr>
          <w:p w:rsidR="00872AAD" w:rsidRDefault="00872AAD" w:rsidP="00872AAD">
            <w:pPr>
              <w:pStyle w:val="TableText0"/>
              <w:jc w:val="center"/>
            </w:pPr>
            <w:r>
              <w:t>36 (35.3)</w:t>
            </w:r>
          </w:p>
        </w:tc>
        <w:tc>
          <w:tcPr>
            <w:tcW w:w="769" w:type="pct"/>
            <w:tcBorders>
              <w:left w:val="nil"/>
              <w:bottom w:val="nil"/>
            </w:tcBorders>
            <w:shd w:val="clear" w:color="auto" w:fill="auto"/>
            <w:vAlign w:val="center"/>
          </w:tcPr>
          <w:p w:rsidR="00872AAD" w:rsidRDefault="00872AAD" w:rsidP="00872AAD">
            <w:pPr>
              <w:pStyle w:val="TableText0"/>
              <w:jc w:val="center"/>
            </w:pPr>
            <w:r>
              <w:t>27 (35.9)</w:t>
            </w:r>
          </w:p>
        </w:tc>
        <w:tc>
          <w:tcPr>
            <w:tcW w:w="1463" w:type="pct"/>
            <w:tcBorders>
              <w:bottom w:val="nil"/>
              <w:right w:val="nil"/>
            </w:tcBorders>
            <w:shd w:val="clear" w:color="auto" w:fill="auto"/>
          </w:tcPr>
          <w:p w:rsidR="00872AAD" w:rsidRDefault="00872AAD" w:rsidP="00872AAD">
            <w:pPr>
              <w:pStyle w:val="TableText0"/>
              <w:jc w:val="center"/>
            </w:pPr>
            <w:r>
              <w:t>9 (13.2)</w:t>
            </w:r>
          </w:p>
        </w:tc>
        <w:tc>
          <w:tcPr>
            <w:tcW w:w="769" w:type="pct"/>
            <w:tcBorders>
              <w:left w:val="nil"/>
              <w:bottom w:val="nil"/>
            </w:tcBorders>
            <w:shd w:val="clear" w:color="auto" w:fill="auto"/>
          </w:tcPr>
          <w:p w:rsidR="00872AAD" w:rsidRDefault="00872AAD" w:rsidP="00872AAD">
            <w:pPr>
              <w:pStyle w:val="TableText0"/>
              <w:jc w:val="center"/>
            </w:pPr>
            <w:r>
              <w:t>8 (11.9)</w:t>
            </w:r>
          </w:p>
        </w:tc>
      </w:tr>
      <w:tr w:rsidR="00872AAD" w:rsidTr="00126A44">
        <w:tc>
          <w:tcPr>
            <w:tcW w:w="1306" w:type="pct"/>
            <w:tcBorders>
              <w:top w:val="nil"/>
              <w:bottom w:val="nil"/>
            </w:tcBorders>
            <w:shd w:val="clear" w:color="auto" w:fill="auto"/>
            <w:vAlign w:val="center"/>
          </w:tcPr>
          <w:p w:rsidR="00872AAD" w:rsidRDefault="00872AAD" w:rsidP="00872AAD">
            <w:pPr>
              <w:pStyle w:val="TableText0"/>
              <w:ind w:left="170"/>
            </w:pPr>
            <w:r>
              <w:t>Neutropenia</w:t>
            </w:r>
          </w:p>
        </w:tc>
        <w:tc>
          <w:tcPr>
            <w:tcW w:w="693" w:type="pct"/>
            <w:tcBorders>
              <w:top w:val="nil"/>
              <w:bottom w:val="nil"/>
              <w:right w:val="nil"/>
            </w:tcBorders>
            <w:shd w:val="clear" w:color="auto" w:fill="auto"/>
            <w:vAlign w:val="center"/>
          </w:tcPr>
          <w:p w:rsidR="00872AAD" w:rsidRDefault="00872AAD" w:rsidP="00872AAD">
            <w:pPr>
              <w:pStyle w:val="TableText0"/>
              <w:jc w:val="center"/>
            </w:pPr>
            <w:r>
              <w:t>25 (24.5)</w:t>
            </w:r>
          </w:p>
        </w:tc>
        <w:tc>
          <w:tcPr>
            <w:tcW w:w="769" w:type="pct"/>
            <w:tcBorders>
              <w:top w:val="nil"/>
              <w:left w:val="nil"/>
              <w:bottom w:val="nil"/>
            </w:tcBorders>
            <w:shd w:val="clear" w:color="auto" w:fill="auto"/>
            <w:vAlign w:val="center"/>
          </w:tcPr>
          <w:p w:rsidR="00872AAD" w:rsidRDefault="00872AAD" w:rsidP="00872AAD">
            <w:pPr>
              <w:pStyle w:val="TableText0"/>
              <w:jc w:val="center"/>
            </w:pPr>
            <w:r>
              <w:t>23 (26.2)</w:t>
            </w:r>
          </w:p>
        </w:tc>
        <w:tc>
          <w:tcPr>
            <w:tcW w:w="1463" w:type="pct"/>
            <w:tcBorders>
              <w:top w:val="nil"/>
              <w:bottom w:val="nil"/>
              <w:right w:val="nil"/>
            </w:tcBorders>
            <w:shd w:val="clear" w:color="auto" w:fill="auto"/>
            <w:vAlign w:val="center"/>
          </w:tcPr>
          <w:p w:rsidR="00872AAD" w:rsidRDefault="00872AAD" w:rsidP="00872AAD">
            <w:pPr>
              <w:pStyle w:val="TableText0"/>
              <w:jc w:val="center"/>
            </w:pPr>
            <w:r>
              <w:t>3 (4.4)</w:t>
            </w:r>
          </w:p>
        </w:tc>
        <w:tc>
          <w:tcPr>
            <w:tcW w:w="769" w:type="pct"/>
            <w:tcBorders>
              <w:top w:val="nil"/>
              <w:left w:val="nil"/>
              <w:bottom w:val="nil"/>
            </w:tcBorders>
            <w:shd w:val="clear" w:color="auto" w:fill="auto"/>
            <w:vAlign w:val="center"/>
          </w:tcPr>
          <w:p w:rsidR="00872AAD" w:rsidRDefault="00872AAD" w:rsidP="00872AAD">
            <w:pPr>
              <w:pStyle w:val="TableText0"/>
              <w:jc w:val="center"/>
            </w:pPr>
            <w:r>
              <w:t>1 (1.5)</w:t>
            </w:r>
          </w:p>
        </w:tc>
      </w:tr>
      <w:tr w:rsidR="00872AAD" w:rsidTr="00126A44">
        <w:tc>
          <w:tcPr>
            <w:tcW w:w="1306" w:type="pct"/>
            <w:tcBorders>
              <w:top w:val="nil"/>
              <w:bottom w:val="nil"/>
            </w:tcBorders>
            <w:shd w:val="clear" w:color="auto" w:fill="auto"/>
            <w:vAlign w:val="center"/>
          </w:tcPr>
          <w:p w:rsidR="00872AAD" w:rsidRDefault="00872AAD" w:rsidP="00872AAD">
            <w:pPr>
              <w:pStyle w:val="TableText0"/>
              <w:ind w:left="170"/>
            </w:pPr>
            <w:r>
              <w:t>Febrile neutropenia</w:t>
            </w:r>
          </w:p>
        </w:tc>
        <w:tc>
          <w:tcPr>
            <w:tcW w:w="693" w:type="pct"/>
            <w:tcBorders>
              <w:top w:val="nil"/>
              <w:bottom w:val="nil"/>
              <w:right w:val="nil"/>
            </w:tcBorders>
            <w:shd w:val="clear" w:color="auto" w:fill="auto"/>
            <w:vAlign w:val="center"/>
          </w:tcPr>
          <w:p w:rsidR="00872AAD" w:rsidRDefault="00872AAD" w:rsidP="00872AAD">
            <w:pPr>
              <w:pStyle w:val="TableText0"/>
              <w:jc w:val="center"/>
            </w:pPr>
            <w:r>
              <w:t>3 (2.9)</w:t>
            </w:r>
          </w:p>
        </w:tc>
        <w:tc>
          <w:tcPr>
            <w:tcW w:w="769" w:type="pct"/>
            <w:tcBorders>
              <w:top w:val="nil"/>
              <w:left w:val="nil"/>
              <w:bottom w:val="nil"/>
            </w:tcBorders>
            <w:shd w:val="clear" w:color="auto" w:fill="auto"/>
            <w:vAlign w:val="center"/>
          </w:tcPr>
          <w:p w:rsidR="00872AAD" w:rsidRDefault="00872AAD" w:rsidP="00872AAD">
            <w:pPr>
              <w:pStyle w:val="TableText0"/>
              <w:jc w:val="center"/>
            </w:pPr>
            <w:r>
              <w:t>3 (2.9)</w:t>
            </w:r>
          </w:p>
        </w:tc>
        <w:tc>
          <w:tcPr>
            <w:tcW w:w="1463" w:type="pct"/>
            <w:tcBorders>
              <w:top w:val="nil"/>
              <w:bottom w:val="nil"/>
              <w:right w:val="nil"/>
            </w:tcBorders>
            <w:shd w:val="clear" w:color="auto" w:fill="auto"/>
          </w:tcPr>
          <w:p w:rsidR="00872AAD" w:rsidRDefault="00872AAD" w:rsidP="00872AAD">
            <w:pPr>
              <w:pStyle w:val="TableText0"/>
              <w:jc w:val="center"/>
            </w:pPr>
            <w:r>
              <w:t>NR</w:t>
            </w:r>
          </w:p>
        </w:tc>
        <w:tc>
          <w:tcPr>
            <w:tcW w:w="769" w:type="pct"/>
            <w:tcBorders>
              <w:top w:val="nil"/>
              <w:left w:val="nil"/>
              <w:bottom w:val="nil"/>
            </w:tcBorders>
            <w:shd w:val="clear" w:color="auto" w:fill="auto"/>
          </w:tcPr>
          <w:p w:rsidR="00872AAD" w:rsidRDefault="00872AAD" w:rsidP="00872AAD">
            <w:pPr>
              <w:pStyle w:val="TableText0"/>
              <w:jc w:val="center"/>
            </w:pPr>
            <w:r>
              <w:t>NR</w:t>
            </w:r>
          </w:p>
        </w:tc>
      </w:tr>
      <w:tr w:rsidR="00872AAD" w:rsidTr="00126A44">
        <w:tc>
          <w:tcPr>
            <w:tcW w:w="1306" w:type="pct"/>
            <w:tcBorders>
              <w:top w:val="nil"/>
              <w:bottom w:val="single" w:sz="4" w:space="0" w:color="auto"/>
            </w:tcBorders>
            <w:shd w:val="clear" w:color="auto" w:fill="auto"/>
            <w:vAlign w:val="center"/>
          </w:tcPr>
          <w:p w:rsidR="00872AAD" w:rsidRDefault="00872AAD" w:rsidP="00872AAD">
            <w:pPr>
              <w:pStyle w:val="TableText0"/>
              <w:ind w:left="170"/>
            </w:pPr>
            <w:r>
              <w:t>Vomiting</w:t>
            </w:r>
          </w:p>
        </w:tc>
        <w:tc>
          <w:tcPr>
            <w:tcW w:w="693" w:type="pct"/>
            <w:tcBorders>
              <w:top w:val="nil"/>
              <w:bottom w:val="single" w:sz="4" w:space="0" w:color="auto"/>
              <w:right w:val="nil"/>
            </w:tcBorders>
            <w:shd w:val="clear" w:color="auto" w:fill="auto"/>
            <w:vAlign w:val="center"/>
          </w:tcPr>
          <w:p w:rsidR="00872AAD" w:rsidRDefault="00872AAD" w:rsidP="00872AAD">
            <w:pPr>
              <w:pStyle w:val="TableText0"/>
              <w:jc w:val="center"/>
            </w:pPr>
            <w:r>
              <w:t>0 (0)</w:t>
            </w:r>
          </w:p>
        </w:tc>
        <w:tc>
          <w:tcPr>
            <w:tcW w:w="769" w:type="pct"/>
            <w:tcBorders>
              <w:top w:val="nil"/>
              <w:left w:val="nil"/>
              <w:bottom w:val="single" w:sz="4" w:space="0" w:color="auto"/>
            </w:tcBorders>
            <w:shd w:val="clear" w:color="auto" w:fill="auto"/>
            <w:vAlign w:val="center"/>
          </w:tcPr>
          <w:p w:rsidR="00872AAD" w:rsidRDefault="00872AAD" w:rsidP="00872AAD">
            <w:pPr>
              <w:pStyle w:val="TableText0"/>
              <w:jc w:val="center"/>
            </w:pPr>
            <w:r>
              <w:t>3 (2.9)</w:t>
            </w:r>
          </w:p>
        </w:tc>
        <w:tc>
          <w:tcPr>
            <w:tcW w:w="1463" w:type="pct"/>
            <w:tcBorders>
              <w:top w:val="nil"/>
              <w:bottom w:val="nil"/>
              <w:right w:val="nil"/>
            </w:tcBorders>
            <w:shd w:val="clear" w:color="auto" w:fill="auto"/>
          </w:tcPr>
          <w:p w:rsidR="00872AAD" w:rsidRDefault="00872AAD" w:rsidP="00872AAD">
            <w:pPr>
              <w:pStyle w:val="TableText0"/>
              <w:jc w:val="center"/>
            </w:pPr>
            <w:r>
              <w:t>NR</w:t>
            </w:r>
          </w:p>
        </w:tc>
        <w:tc>
          <w:tcPr>
            <w:tcW w:w="769" w:type="pct"/>
            <w:tcBorders>
              <w:top w:val="nil"/>
              <w:left w:val="nil"/>
              <w:bottom w:val="nil"/>
            </w:tcBorders>
            <w:shd w:val="clear" w:color="auto" w:fill="auto"/>
          </w:tcPr>
          <w:p w:rsidR="00872AAD" w:rsidRDefault="00872AAD" w:rsidP="00872AAD">
            <w:pPr>
              <w:pStyle w:val="TableText0"/>
              <w:jc w:val="center"/>
            </w:pPr>
            <w:r>
              <w:t>NR</w:t>
            </w:r>
          </w:p>
        </w:tc>
      </w:tr>
      <w:tr w:rsidR="00872AAD" w:rsidRPr="00C30E50" w:rsidTr="00126A44">
        <w:tc>
          <w:tcPr>
            <w:tcW w:w="1306" w:type="pct"/>
            <w:tcBorders>
              <w:bottom w:val="single" w:sz="4" w:space="0" w:color="auto"/>
            </w:tcBorders>
            <w:shd w:val="clear" w:color="auto" w:fill="auto"/>
            <w:vAlign w:val="center"/>
          </w:tcPr>
          <w:p w:rsidR="00872AAD" w:rsidRPr="00C30E50" w:rsidRDefault="00872AAD" w:rsidP="00872AAD">
            <w:pPr>
              <w:pStyle w:val="TableText0"/>
              <w:rPr>
                <w:b/>
              </w:rPr>
            </w:pPr>
            <w:r w:rsidRPr="00C30E50">
              <w:rPr>
                <w:b/>
              </w:rPr>
              <w:t>Total treatment period</w:t>
            </w:r>
          </w:p>
        </w:tc>
        <w:tc>
          <w:tcPr>
            <w:tcW w:w="693" w:type="pct"/>
            <w:tcBorders>
              <w:bottom w:val="single" w:sz="4" w:space="0" w:color="auto"/>
              <w:right w:val="nil"/>
            </w:tcBorders>
            <w:shd w:val="clear" w:color="auto" w:fill="auto"/>
            <w:vAlign w:val="center"/>
          </w:tcPr>
          <w:p w:rsidR="00872AAD" w:rsidRPr="00C30E50" w:rsidRDefault="00872AAD" w:rsidP="00872AAD">
            <w:pPr>
              <w:pStyle w:val="TableText0"/>
              <w:jc w:val="center"/>
              <w:rPr>
                <w:b/>
              </w:rPr>
            </w:pPr>
            <w:r w:rsidRPr="00C30E50">
              <w:rPr>
                <w:b/>
              </w:rPr>
              <w:t>N=107</w:t>
            </w:r>
          </w:p>
        </w:tc>
        <w:tc>
          <w:tcPr>
            <w:tcW w:w="769" w:type="pct"/>
            <w:tcBorders>
              <w:left w:val="nil"/>
              <w:bottom w:val="single" w:sz="4" w:space="0" w:color="auto"/>
            </w:tcBorders>
            <w:shd w:val="clear" w:color="auto" w:fill="auto"/>
            <w:vAlign w:val="center"/>
          </w:tcPr>
          <w:p w:rsidR="00872AAD" w:rsidRPr="00C30E50" w:rsidRDefault="00872AAD" w:rsidP="00872AAD">
            <w:pPr>
              <w:pStyle w:val="TableText0"/>
              <w:jc w:val="center"/>
              <w:rPr>
                <w:b/>
              </w:rPr>
            </w:pPr>
            <w:r w:rsidRPr="00C30E50">
              <w:rPr>
                <w:b/>
              </w:rPr>
              <w:t>N=107</w:t>
            </w:r>
          </w:p>
        </w:tc>
        <w:tc>
          <w:tcPr>
            <w:tcW w:w="1463" w:type="pct"/>
            <w:tcBorders>
              <w:bottom w:val="single" w:sz="4" w:space="0" w:color="auto"/>
              <w:right w:val="nil"/>
            </w:tcBorders>
            <w:shd w:val="clear" w:color="auto" w:fill="auto"/>
          </w:tcPr>
          <w:p w:rsidR="00872AAD" w:rsidRPr="00C30E50" w:rsidRDefault="00872AAD" w:rsidP="00872AAD">
            <w:pPr>
              <w:pStyle w:val="TableText0"/>
              <w:jc w:val="center"/>
              <w:rPr>
                <w:b/>
              </w:rPr>
            </w:pPr>
            <w:r w:rsidRPr="00C30E50">
              <w:rPr>
                <w:b/>
              </w:rPr>
              <w:t>N=72</w:t>
            </w:r>
          </w:p>
        </w:tc>
        <w:tc>
          <w:tcPr>
            <w:tcW w:w="769" w:type="pct"/>
            <w:tcBorders>
              <w:left w:val="nil"/>
              <w:bottom w:val="single" w:sz="4" w:space="0" w:color="auto"/>
            </w:tcBorders>
            <w:shd w:val="clear" w:color="auto" w:fill="auto"/>
          </w:tcPr>
          <w:p w:rsidR="00872AAD" w:rsidRPr="00C30E50" w:rsidRDefault="00872AAD" w:rsidP="00872AAD">
            <w:pPr>
              <w:pStyle w:val="TableText0"/>
              <w:jc w:val="center"/>
              <w:rPr>
                <w:b/>
              </w:rPr>
            </w:pPr>
            <w:r w:rsidRPr="00C30E50">
              <w:rPr>
                <w:b/>
              </w:rPr>
              <w:t>N=76</w:t>
            </w:r>
          </w:p>
        </w:tc>
      </w:tr>
      <w:tr w:rsidR="00872AAD" w:rsidTr="00126A44">
        <w:tc>
          <w:tcPr>
            <w:tcW w:w="1306" w:type="pct"/>
            <w:tcBorders>
              <w:bottom w:val="nil"/>
            </w:tcBorders>
            <w:vAlign w:val="center"/>
          </w:tcPr>
          <w:p w:rsidR="00872AAD" w:rsidRDefault="00872AAD" w:rsidP="00872AAD">
            <w:pPr>
              <w:pStyle w:val="TableText0"/>
            </w:pPr>
            <w:r w:rsidRPr="00AD6D36">
              <w:t>≥1 AE grade ≥3</w:t>
            </w:r>
          </w:p>
        </w:tc>
        <w:tc>
          <w:tcPr>
            <w:tcW w:w="693" w:type="pct"/>
            <w:tcBorders>
              <w:bottom w:val="nil"/>
              <w:right w:val="nil"/>
            </w:tcBorders>
            <w:shd w:val="clear" w:color="auto" w:fill="auto"/>
            <w:vAlign w:val="center"/>
          </w:tcPr>
          <w:p w:rsidR="00872AAD" w:rsidRDefault="00872AAD" w:rsidP="00872AAD">
            <w:pPr>
              <w:pStyle w:val="TableText0"/>
              <w:jc w:val="center"/>
            </w:pPr>
            <w:r>
              <w:t>78 (72.9)</w:t>
            </w:r>
          </w:p>
        </w:tc>
        <w:tc>
          <w:tcPr>
            <w:tcW w:w="769" w:type="pct"/>
            <w:tcBorders>
              <w:left w:val="nil"/>
              <w:bottom w:val="nil"/>
            </w:tcBorders>
            <w:shd w:val="clear" w:color="auto" w:fill="auto"/>
            <w:vAlign w:val="center"/>
          </w:tcPr>
          <w:p w:rsidR="00872AAD" w:rsidRDefault="00872AAD" w:rsidP="00872AAD">
            <w:pPr>
              <w:pStyle w:val="TableText0"/>
              <w:jc w:val="center"/>
            </w:pPr>
            <w:r>
              <w:t>87 (81.3)</w:t>
            </w:r>
          </w:p>
        </w:tc>
        <w:tc>
          <w:tcPr>
            <w:tcW w:w="1463" w:type="pct"/>
            <w:tcBorders>
              <w:bottom w:val="nil"/>
              <w:right w:val="nil"/>
            </w:tcBorders>
          </w:tcPr>
          <w:p w:rsidR="00872AAD" w:rsidRDefault="00872AAD" w:rsidP="00872AAD">
            <w:pPr>
              <w:pStyle w:val="TableText0"/>
              <w:jc w:val="center"/>
            </w:pPr>
            <w:r>
              <w:t>53 (73.6)</w:t>
            </w:r>
          </w:p>
        </w:tc>
        <w:tc>
          <w:tcPr>
            <w:tcW w:w="769" w:type="pct"/>
            <w:tcBorders>
              <w:left w:val="nil"/>
              <w:bottom w:val="nil"/>
            </w:tcBorders>
          </w:tcPr>
          <w:p w:rsidR="00872AAD" w:rsidRDefault="00872AAD" w:rsidP="00872AAD">
            <w:pPr>
              <w:pStyle w:val="TableText0"/>
              <w:jc w:val="center"/>
            </w:pPr>
            <w:r>
              <w:t>56 (73.7)</w:t>
            </w:r>
          </w:p>
        </w:tc>
      </w:tr>
      <w:tr w:rsidR="00872AAD" w:rsidTr="00126A44">
        <w:tc>
          <w:tcPr>
            <w:tcW w:w="1306" w:type="pct"/>
            <w:tcBorders>
              <w:top w:val="nil"/>
              <w:bottom w:val="nil"/>
            </w:tcBorders>
            <w:vAlign w:val="center"/>
          </w:tcPr>
          <w:p w:rsidR="00872AAD" w:rsidRDefault="00872AAD" w:rsidP="00872AAD">
            <w:pPr>
              <w:pStyle w:val="TableText0"/>
              <w:ind w:left="170"/>
            </w:pPr>
            <w:r>
              <w:t>Neutropenia</w:t>
            </w:r>
          </w:p>
        </w:tc>
        <w:tc>
          <w:tcPr>
            <w:tcW w:w="693" w:type="pct"/>
            <w:tcBorders>
              <w:top w:val="nil"/>
              <w:bottom w:val="nil"/>
              <w:right w:val="nil"/>
            </w:tcBorders>
            <w:shd w:val="clear" w:color="auto" w:fill="C6D9F1" w:themeFill="text2" w:themeFillTint="33"/>
            <w:vAlign w:val="center"/>
          </w:tcPr>
          <w:p w:rsidR="00872AAD" w:rsidRDefault="00872AAD" w:rsidP="00872AAD">
            <w:pPr>
              <w:pStyle w:val="TableText0"/>
              <w:jc w:val="center"/>
            </w:pPr>
            <w:r>
              <w:t>59 (55.1)</w:t>
            </w:r>
          </w:p>
        </w:tc>
        <w:tc>
          <w:tcPr>
            <w:tcW w:w="769" w:type="pct"/>
            <w:tcBorders>
              <w:top w:val="nil"/>
              <w:left w:val="nil"/>
              <w:bottom w:val="nil"/>
            </w:tcBorders>
            <w:shd w:val="clear" w:color="auto" w:fill="C6D9F1" w:themeFill="text2" w:themeFillTint="33"/>
            <w:vAlign w:val="center"/>
          </w:tcPr>
          <w:p w:rsidR="00872AAD" w:rsidRDefault="00872AAD" w:rsidP="00872AAD">
            <w:pPr>
              <w:pStyle w:val="TableText0"/>
              <w:jc w:val="center"/>
            </w:pPr>
            <w:r>
              <w:t>71 (66.4)</w:t>
            </w:r>
          </w:p>
        </w:tc>
        <w:tc>
          <w:tcPr>
            <w:tcW w:w="1463" w:type="pct"/>
            <w:tcBorders>
              <w:top w:val="nil"/>
              <w:bottom w:val="nil"/>
              <w:right w:val="nil"/>
            </w:tcBorders>
          </w:tcPr>
          <w:p w:rsidR="00872AAD" w:rsidRDefault="00872AAD" w:rsidP="00872AAD">
            <w:pPr>
              <w:pStyle w:val="TableText0"/>
              <w:jc w:val="center"/>
            </w:pPr>
            <w:r>
              <w:t>NR</w:t>
            </w:r>
          </w:p>
        </w:tc>
        <w:tc>
          <w:tcPr>
            <w:tcW w:w="769" w:type="pct"/>
            <w:tcBorders>
              <w:top w:val="nil"/>
              <w:left w:val="nil"/>
              <w:bottom w:val="nil"/>
            </w:tcBorders>
          </w:tcPr>
          <w:p w:rsidR="00872AAD" w:rsidRDefault="00872AAD" w:rsidP="00872AAD">
            <w:pPr>
              <w:pStyle w:val="TableText0"/>
              <w:jc w:val="center"/>
            </w:pPr>
            <w:r>
              <w:t>NR</w:t>
            </w:r>
          </w:p>
        </w:tc>
      </w:tr>
      <w:tr w:rsidR="00872AAD" w:rsidTr="00126A44">
        <w:tc>
          <w:tcPr>
            <w:tcW w:w="1306" w:type="pct"/>
            <w:tcBorders>
              <w:top w:val="nil"/>
              <w:bottom w:val="nil"/>
            </w:tcBorders>
            <w:vAlign w:val="center"/>
          </w:tcPr>
          <w:p w:rsidR="00872AAD" w:rsidRDefault="00872AAD" w:rsidP="00872AAD">
            <w:pPr>
              <w:pStyle w:val="TableText0"/>
              <w:ind w:left="170"/>
            </w:pPr>
            <w:r>
              <w:t>Febrile neutropenia</w:t>
            </w:r>
          </w:p>
        </w:tc>
        <w:tc>
          <w:tcPr>
            <w:tcW w:w="693" w:type="pct"/>
            <w:tcBorders>
              <w:top w:val="nil"/>
              <w:bottom w:val="nil"/>
              <w:right w:val="nil"/>
            </w:tcBorders>
            <w:shd w:val="clear" w:color="auto" w:fill="C6D9F1" w:themeFill="text2" w:themeFillTint="33"/>
            <w:vAlign w:val="center"/>
          </w:tcPr>
          <w:p w:rsidR="00872AAD" w:rsidRDefault="00872AAD" w:rsidP="00872AAD">
            <w:pPr>
              <w:pStyle w:val="TableText0"/>
              <w:jc w:val="center"/>
            </w:pPr>
            <w:r>
              <w:t>12 (11.2)</w:t>
            </w:r>
          </w:p>
        </w:tc>
        <w:tc>
          <w:tcPr>
            <w:tcW w:w="769" w:type="pct"/>
            <w:tcBorders>
              <w:top w:val="nil"/>
              <w:left w:val="nil"/>
              <w:bottom w:val="nil"/>
            </w:tcBorders>
            <w:shd w:val="clear" w:color="auto" w:fill="C6D9F1" w:themeFill="text2" w:themeFillTint="33"/>
            <w:vAlign w:val="center"/>
          </w:tcPr>
          <w:p w:rsidR="00872AAD" w:rsidRDefault="00872AAD" w:rsidP="00872AAD">
            <w:pPr>
              <w:pStyle w:val="TableText0"/>
              <w:jc w:val="center"/>
            </w:pPr>
            <w:r>
              <w:t>10 (9.3)</w:t>
            </w:r>
          </w:p>
        </w:tc>
        <w:tc>
          <w:tcPr>
            <w:tcW w:w="1463" w:type="pct"/>
            <w:tcBorders>
              <w:top w:val="nil"/>
              <w:bottom w:val="nil"/>
              <w:right w:val="nil"/>
            </w:tcBorders>
          </w:tcPr>
          <w:p w:rsidR="00872AAD" w:rsidRDefault="00872AAD" w:rsidP="00872AAD">
            <w:pPr>
              <w:pStyle w:val="TableText0"/>
              <w:jc w:val="center"/>
            </w:pPr>
            <w:r>
              <w:t>NR</w:t>
            </w:r>
          </w:p>
        </w:tc>
        <w:tc>
          <w:tcPr>
            <w:tcW w:w="769" w:type="pct"/>
            <w:tcBorders>
              <w:top w:val="nil"/>
              <w:left w:val="nil"/>
              <w:bottom w:val="nil"/>
            </w:tcBorders>
          </w:tcPr>
          <w:p w:rsidR="00872AAD" w:rsidRDefault="00872AAD" w:rsidP="00872AAD">
            <w:pPr>
              <w:pStyle w:val="TableText0"/>
              <w:jc w:val="center"/>
            </w:pPr>
            <w:r>
              <w:t>NR</w:t>
            </w:r>
          </w:p>
        </w:tc>
      </w:tr>
      <w:tr w:rsidR="00872AAD" w:rsidTr="00126A44">
        <w:tc>
          <w:tcPr>
            <w:tcW w:w="1306" w:type="pct"/>
            <w:tcBorders>
              <w:top w:val="nil"/>
              <w:bottom w:val="nil"/>
            </w:tcBorders>
            <w:vAlign w:val="center"/>
          </w:tcPr>
          <w:p w:rsidR="00872AAD" w:rsidRDefault="00872AAD" w:rsidP="00872AAD">
            <w:pPr>
              <w:pStyle w:val="TableText0"/>
              <w:ind w:left="170"/>
            </w:pPr>
            <w:r>
              <w:t>Leukopenia</w:t>
            </w:r>
          </w:p>
        </w:tc>
        <w:tc>
          <w:tcPr>
            <w:tcW w:w="693" w:type="pct"/>
            <w:tcBorders>
              <w:top w:val="nil"/>
              <w:bottom w:val="nil"/>
              <w:right w:val="nil"/>
            </w:tcBorders>
            <w:shd w:val="clear" w:color="auto" w:fill="C6D9F1" w:themeFill="text2" w:themeFillTint="33"/>
            <w:vAlign w:val="center"/>
          </w:tcPr>
          <w:p w:rsidR="00872AAD" w:rsidRDefault="00872AAD" w:rsidP="00872AAD">
            <w:pPr>
              <w:pStyle w:val="TableText0"/>
              <w:jc w:val="center"/>
            </w:pPr>
            <w:r>
              <w:t>6 (5.6)</w:t>
            </w:r>
          </w:p>
        </w:tc>
        <w:tc>
          <w:tcPr>
            <w:tcW w:w="769" w:type="pct"/>
            <w:tcBorders>
              <w:top w:val="nil"/>
              <w:left w:val="nil"/>
              <w:bottom w:val="nil"/>
            </w:tcBorders>
            <w:shd w:val="clear" w:color="auto" w:fill="C6D9F1" w:themeFill="text2" w:themeFillTint="33"/>
            <w:vAlign w:val="center"/>
          </w:tcPr>
          <w:p w:rsidR="00872AAD" w:rsidRDefault="00872AAD" w:rsidP="00872AAD">
            <w:pPr>
              <w:pStyle w:val="TableText0"/>
              <w:jc w:val="center"/>
            </w:pPr>
            <w:r>
              <w:t>13 (12.1)</w:t>
            </w:r>
          </w:p>
        </w:tc>
        <w:tc>
          <w:tcPr>
            <w:tcW w:w="1463" w:type="pct"/>
            <w:tcBorders>
              <w:top w:val="nil"/>
              <w:bottom w:val="nil"/>
              <w:right w:val="nil"/>
            </w:tcBorders>
          </w:tcPr>
          <w:p w:rsidR="00872AAD" w:rsidRDefault="00872AAD" w:rsidP="00872AAD">
            <w:pPr>
              <w:pStyle w:val="TableText0"/>
              <w:jc w:val="center"/>
            </w:pPr>
            <w:r>
              <w:t>NR</w:t>
            </w:r>
          </w:p>
        </w:tc>
        <w:tc>
          <w:tcPr>
            <w:tcW w:w="769" w:type="pct"/>
            <w:tcBorders>
              <w:top w:val="nil"/>
              <w:left w:val="nil"/>
              <w:bottom w:val="nil"/>
            </w:tcBorders>
          </w:tcPr>
          <w:p w:rsidR="00872AAD" w:rsidRDefault="00872AAD" w:rsidP="00872AAD">
            <w:pPr>
              <w:pStyle w:val="TableText0"/>
              <w:jc w:val="center"/>
            </w:pPr>
            <w:r>
              <w:t>NR</w:t>
            </w:r>
          </w:p>
        </w:tc>
      </w:tr>
      <w:tr w:rsidR="00872AAD" w:rsidTr="00126A44">
        <w:tc>
          <w:tcPr>
            <w:tcW w:w="1306" w:type="pct"/>
            <w:tcBorders>
              <w:top w:val="nil"/>
              <w:bottom w:val="nil"/>
            </w:tcBorders>
            <w:vAlign w:val="center"/>
          </w:tcPr>
          <w:p w:rsidR="00872AAD" w:rsidRDefault="00872AAD" w:rsidP="00872AAD">
            <w:pPr>
              <w:pStyle w:val="TableText0"/>
              <w:ind w:left="170"/>
            </w:pPr>
            <w:r>
              <w:t>Diarrhoea</w:t>
            </w:r>
          </w:p>
        </w:tc>
        <w:tc>
          <w:tcPr>
            <w:tcW w:w="693" w:type="pct"/>
            <w:tcBorders>
              <w:top w:val="nil"/>
              <w:bottom w:val="nil"/>
              <w:right w:val="nil"/>
            </w:tcBorders>
            <w:shd w:val="clear" w:color="auto" w:fill="C6D9F1" w:themeFill="text2" w:themeFillTint="33"/>
            <w:vAlign w:val="center"/>
          </w:tcPr>
          <w:p w:rsidR="00872AAD" w:rsidRDefault="00872AAD" w:rsidP="00872AAD">
            <w:pPr>
              <w:pStyle w:val="TableText0"/>
              <w:jc w:val="center"/>
            </w:pPr>
            <w:r>
              <w:t>7 (6.5)</w:t>
            </w:r>
          </w:p>
        </w:tc>
        <w:tc>
          <w:tcPr>
            <w:tcW w:w="769" w:type="pct"/>
            <w:tcBorders>
              <w:top w:val="nil"/>
              <w:left w:val="nil"/>
              <w:bottom w:val="nil"/>
            </w:tcBorders>
            <w:shd w:val="clear" w:color="auto" w:fill="C6D9F1" w:themeFill="text2" w:themeFillTint="33"/>
            <w:vAlign w:val="center"/>
          </w:tcPr>
          <w:p w:rsidR="00872AAD" w:rsidRDefault="00872AAD" w:rsidP="00872AAD">
            <w:pPr>
              <w:pStyle w:val="TableText0"/>
              <w:jc w:val="center"/>
            </w:pPr>
            <w:r>
              <w:t>4 (3.7)</w:t>
            </w:r>
          </w:p>
        </w:tc>
        <w:tc>
          <w:tcPr>
            <w:tcW w:w="1463" w:type="pct"/>
            <w:tcBorders>
              <w:top w:val="nil"/>
              <w:bottom w:val="nil"/>
              <w:right w:val="nil"/>
            </w:tcBorders>
          </w:tcPr>
          <w:p w:rsidR="00872AAD" w:rsidRDefault="00872AAD" w:rsidP="00872AAD">
            <w:pPr>
              <w:pStyle w:val="TableText0"/>
              <w:jc w:val="center"/>
            </w:pPr>
            <w:r>
              <w:t>NR</w:t>
            </w:r>
          </w:p>
        </w:tc>
        <w:tc>
          <w:tcPr>
            <w:tcW w:w="769" w:type="pct"/>
            <w:tcBorders>
              <w:top w:val="nil"/>
              <w:left w:val="nil"/>
              <w:bottom w:val="nil"/>
            </w:tcBorders>
          </w:tcPr>
          <w:p w:rsidR="00872AAD" w:rsidRDefault="00872AAD" w:rsidP="00872AAD">
            <w:pPr>
              <w:pStyle w:val="TableText0"/>
              <w:jc w:val="center"/>
            </w:pPr>
            <w:r>
              <w:t>NR</w:t>
            </w:r>
          </w:p>
        </w:tc>
      </w:tr>
      <w:tr w:rsidR="00872AAD" w:rsidTr="00126A44">
        <w:tc>
          <w:tcPr>
            <w:tcW w:w="1306" w:type="pct"/>
            <w:tcBorders>
              <w:top w:val="nil"/>
              <w:bottom w:val="nil"/>
            </w:tcBorders>
            <w:vAlign w:val="center"/>
          </w:tcPr>
          <w:p w:rsidR="00872AAD" w:rsidRDefault="00872AAD" w:rsidP="00872AAD">
            <w:pPr>
              <w:pStyle w:val="TableText0"/>
              <w:ind w:left="170"/>
            </w:pPr>
            <w:r>
              <w:t>Irregular menstruation</w:t>
            </w:r>
          </w:p>
        </w:tc>
        <w:tc>
          <w:tcPr>
            <w:tcW w:w="693" w:type="pct"/>
            <w:tcBorders>
              <w:top w:val="nil"/>
              <w:bottom w:val="nil"/>
              <w:right w:val="nil"/>
            </w:tcBorders>
            <w:shd w:val="clear" w:color="auto" w:fill="auto"/>
            <w:vAlign w:val="center"/>
          </w:tcPr>
          <w:p w:rsidR="00872AAD" w:rsidRDefault="00872AAD" w:rsidP="00872AAD">
            <w:pPr>
              <w:pStyle w:val="TableText0"/>
              <w:jc w:val="center"/>
            </w:pPr>
            <w:r>
              <w:t>4 (3.7)</w:t>
            </w:r>
          </w:p>
        </w:tc>
        <w:tc>
          <w:tcPr>
            <w:tcW w:w="769" w:type="pct"/>
            <w:tcBorders>
              <w:top w:val="nil"/>
              <w:left w:val="nil"/>
              <w:bottom w:val="nil"/>
            </w:tcBorders>
            <w:shd w:val="clear" w:color="auto" w:fill="auto"/>
            <w:vAlign w:val="center"/>
          </w:tcPr>
          <w:p w:rsidR="00872AAD" w:rsidRDefault="00872AAD" w:rsidP="00872AAD">
            <w:pPr>
              <w:pStyle w:val="TableText0"/>
              <w:jc w:val="center"/>
            </w:pPr>
            <w:r>
              <w:t>6 (5.6)</w:t>
            </w:r>
          </w:p>
        </w:tc>
        <w:tc>
          <w:tcPr>
            <w:tcW w:w="1463" w:type="pct"/>
            <w:tcBorders>
              <w:top w:val="nil"/>
              <w:bottom w:val="nil"/>
              <w:right w:val="nil"/>
            </w:tcBorders>
          </w:tcPr>
          <w:p w:rsidR="00872AAD" w:rsidRDefault="00872AAD" w:rsidP="00872AAD">
            <w:pPr>
              <w:pStyle w:val="TableText0"/>
              <w:jc w:val="center"/>
            </w:pPr>
            <w:r>
              <w:t>NR</w:t>
            </w:r>
          </w:p>
        </w:tc>
        <w:tc>
          <w:tcPr>
            <w:tcW w:w="769" w:type="pct"/>
            <w:tcBorders>
              <w:top w:val="nil"/>
              <w:left w:val="nil"/>
              <w:bottom w:val="nil"/>
            </w:tcBorders>
          </w:tcPr>
          <w:p w:rsidR="00872AAD" w:rsidRDefault="00872AAD" w:rsidP="00872AAD">
            <w:pPr>
              <w:pStyle w:val="TableText0"/>
              <w:jc w:val="center"/>
            </w:pPr>
            <w:r>
              <w:t>NR</w:t>
            </w:r>
          </w:p>
        </w:tc>
      </w:tr>
      <w:tr w:rsidR="00872AAD" w:rsidTr="00126A44">
        <w:tc>
          <w:tcPr>
            <w:tcW w:w="1306" w:type="pct"/>
            <w:tcBorders>
              <w:top w:val="nil"/>
              <w:bottom w:val="nil"/>
            </w:tcBorders>
            <w:vAlign w:val="center"/>
          </w:tcPr>
          <w:p w:rsidR="00872AAD" w:rsidRDefault="00872AAD" w:rsidP="00872AAD">
            <w:pPr>
              <w:pStyle w:val="TableText0"/>
              <w:ind w:left="170"/>
            </w:pPr>
            <w:r>
              <w:t>Vomiting</w:t>
            </w:r>
          </w:p>
        </w:tc>
        <w:tc>
          <w:tcPr>
            <w:tcW w:w="693" w:type="pct"/>
            <w:tcBorders>
              <w:top w:val="nil"/>
              <w:bottom w:val="nil"/>
              <w:right w:val="nil"/>
            </w:tcBorders>
            <w:vAlign w:val="center"/>
          </w:tcPr>
          <w:p w:rsidR="00872AAD" w:rsidRDefault="00872AAD" w:rsidP="00872AAD">
            <w:pPr>
              <w:pStyle w:val="TableText0"/>
              <w:jc w:val="center"/>
            </w:pPr>
            <w:r>
              <w:t>0 (0)</w:t>
            </w:r>
          </w:p>
        </w:tc>
        <w:tc>
          <w:tcPr>
            <w:tcW w:w="769" w:type="pct"/>
            <w:tcBorders>
              <w:top w:val="nil"/>
              <w:left w:val="nil"/>
              <w:bottom w:val="nil"/>
            </w:tcBorders>
            <w:vAlign w:val="center"/>
          </w:tcPr>
          <w:p w:rsidR="00872AAD" w:rsidRDefault="00872AAD" w:rsidP="00872AAD">
            <w:pPr>
              <w:pStyle w:val="TableText0"/>
              <w:jc w:val="center"/>
            </w:pPr>
            <w:r>
              <w:t>3 (2.8)</w:t>
            </w:r>
          </w:p>
        </w:tc>
        <w:tc>
          <w:tcPr>
            <w:tcW w:w="1463" w:type="pct"/>
            <w:tcBorders>
              <w:top w:val="nil"/>
              <w:bottom w:val="nil"/>
              <w:right w:val="nil"/>
            </w:tcBorders>
          </w:tcPr>
          <w:p w:rsidR="00872AAD" w:rsidRDefault="00872AAD" w:rsidP="00872AAD">
            <w:pPr>
              <w:pStyle w:val="TableText0"/>
              <w:jc w:val="center"/>
            </w:pPr>
            <w:r>
              <w:t>NR</w:t>
            </w:r>
          </w:p>
        </w:tc>
        <w:tc>
          <w:tcPr>
            <w:tcW w:w="769" w:type="pct"/>
            <w:tcBorders>
              <w:top w:val="nil"/>
              <w:left w:val="nil"/>
              <w:bottom w:val="nil"/>
            </w:tcBorders>
          </w:tcPr>
          <w:p w:rsidR="00872AAD" w:rsidRDefault="00872AAD" w:rsidP="00872AAD">
            <w:pPr>
              <w:pStyle w:val="TableText0"/>
              <w:jc w:val="center"/>
            </w:pPr>
            <w:r>
              <w:t>NR</w:t>
            </w:r>
          </w:p>
        </w:tc>
      </w:tr>
      <w:tr w:rsidR="00872AAD" w:rsidTr="00126A44">
        <w:tc>
          <w:tcPr>
            <w:tcW w:w="1306" w:type="pct"/>
            <w:tcBorders>
              <w:top w:val="nil"/>
              <w:bottom w:val="single" w:sz="4" w:space="0" w:color="auto"/>
            </w:tcBorders>
            <w:vAlign w:val="center"/>
          </w:tcPr>
          <w:p w:rsidR="00872AAD" w:rsidRDefault="00872AAD" w:rsidP="00872AAD">
            <w:pPr>
              <w:pStyle w:val="TableText0"/>
              <w:ind w:left="170"/>
            </w:pPr>
            <w:r>
              <w:t>ALT increased</w:t>
            </w:r>
          </w:p>
        </w:tc>
        <w:tc>
          <w:tcPr>
            <w:tcW w:w="693" w:type="pct"/>
            <w:tcBorders>
              <w:top w:val="nil"/>
              <w:bottom w:val="single" w:sz="4" w:space="0" w:color="auto"/>
              <w:right w:val="nil"/>
            </w:tcBorders>
            <w:vAlign w:val="center"/>
          </w:tcPr>
          <w:p w:rsidR="00872AAD" w:rsidRDefault="00872AAD" w:rsidP="00872AAD">
            <w:pPr>
              <w:pStyle w:val="TableText0"/>
              <w:jc w:val="center"/>
            </w:pPr>
            <w:r>
              <w:t>0 (0)</w:t>
            </w:r>
          </w:p>
        </w:tc>
        <w:tc>
          <w:tcPr>
            <w:tcW w:w="769" w:type="pct"/>
            <w:tcBorders>
              <w:top w:val="nil"/>
              <w:left w:val="nil"/>
              <w:bottom w:val="single" w:sz="4" w:space="0" w:color="auto"/>
            </w:tcBorders>
            <w:vAlign w:val="center"/>
          </w:tcPr>
          <w:p w:rsidR="00872AAD" w:rsidRDefault="00872AAD" w:rsidP="00872AAD">
            <w:pPr>
              <w:pStyle w:val="TableText0"/>
              <w:jc w:val="center"/>
            </w:pPr>
            <w:r>
              <w:t>3 (2.8)</w:t>
            </w:r>
          </w:p>
        </w:tc>
        <w:tc>
          <w:tcPr>
            <w:tcW w:w="1463" w:type="pct"/>
            <w:tcBorders>
              <w:top w:val="nil"/>
              <w:bottom w:val="single" w:sz="4" w:space="0" w:color="auto"/>
              <w:right w:val="nil"/>
            </w:tcBorders>
          </w:tcPr>
          <w:p w:rsidR="00872AAD" w:rsidRDefault="00872AAD" w:rsidP="00872AAD">
            <w:pPr>
              <w:pStyle w:val="TableText0"/>
              <w:jc w:val="center"/>
            </w:pPr>
            <w:r>
              <w:t>NR</w:t>
            </w:r>
          </w:p>
        </w:tc>
        <w:tc>
          <w:tcPr>
            <w:tcW w:w="769" w:type="pct"/>
            <w:tcBorders>
              <w:top w:val="nil"/>
              <w:left w:val="nil"/>
              <w:bottom w:val="single" w:sz="4" w:space="0" w:color="auto"/>
            </w:tcBorders>
          </w:tcPr>
          <w:p w:rsidR="00872AAD" w:rsidRDefault="00872AAD" w:rsidP="00872AAD">
            <w:pPr>
              <w:pStyle w:val="TableText0"/>
              <w:jc w:val="center"/>
            </w:pPr>
            <w:r>
              <w:t>NR</w:t>
            </w:r>
          </w:p>
        </w:tc>
      </w:tr>
    </w:tbl>
    <w:p w:rsidR="00872AAD" w:rsidRDefault="00872AAD" w:rsidP="00872AAD">
      <w:pPr>
        <w:pStyle w:val="TableFigureFooter"/>
      </w:pPr>
      <w:r>
        <w:t>Source: Tables 2.33 and 2.39, pp71 and 77 of the submission</w:t>
      </w:r>
    </w:p>
    <w:p w:rsidR="00872AAD" w:rsidRDefault="00872AAD" w:rsidP="00872AAD">
      <w:pPr>
        <w:pStyle w:val="TableFigureFooter"/>
        <w:rPr>
          <w:rFonts w:eastAsia="Calibri"/>
        </w:rPr>
      </w:pPr>
      <w:r>
        <w:rPr>
          <w:rFonts w:eastAsia="Calibri"/>
        </w:rPr>
        <w:t xml:space="preserve">AE = adverse event; </w:t>
      </w:r>
      <w:r w:rsidRPr="00617E1F">
        <w:rPr>
          <w:rFonts w:eastAsia="Calibri"/>
        </w:rPr>
        <w:t xml:space="preserve">ALT = Alanine aminotransferase; </w:t>
      </w:r>
      <w:r w:rsidR="00067B48">
        <w:rPr>
          <w:rFonts w:eastAsia="Calibri"/>
        </w:rPr>
        <w:t xml:space="preserve">C = carboplatin; </w:t>
      </w:r>
      <w:r>
        <w:rPr>
          <w:rFonts w:eastAsia="Calibri"/>
        </w:rPr>
        <w:t xml:space="preserve">CTCAE = Common Terminology Criteria for Adverse Events; </w:t>
      </w:r>
      <w:r w:rsidR="00067B48">
        <w:rPr>
          <w:rFonts w:eastAsia="Calibri"/>
        </w:rPr>
        <w:t xml:space="preserve">D = docetaxel; </w:t>
      </w:r>
      <w:r w:rsidR="00067B48">
        <w:t xml:space="preserve">FEC = 5-fluorouracil, epirubicin and cyclophosphamide; </w:t>
      </w:r>
      <w:r w:rsidRPr="00B40358">
        <w:rPr>
          <w:rFonts w:eastAsia="Calibri"/>
        </w:rPr>
        <w:t xml:space="preserve">n = number of participants </w:t>
      </w:r>
      <w:r>
        <w:rPr>
          <w:rFonts w:eastAsia="Calibri"/>
        </w:rPr>
        <w:t>with event</w:t>
      </w:r>
      <w:r w:rsidRPr="00B40358">
        <w:rPr>
          <w:rFonts w:eastAsia="Calibri"/>
        </w:rPr>
        <w:t>; N = total participants in group</w:t>
      </w:r>
      <w:r>
        <w:rPr>
          <w:rFonts w:eastAsia="Calibri"/>
        </w:rPr>
        <w:t xml:space="preserve">; NR = not reported; </w:t>
      </w:r>
      <w:r w:rsidR="00067B48">
        <w:rPr>
          <w:rFonts w:eastAsia="Calibri"/>
        </w:rPr>
        <w:t>Ptz = pertuzumab; T = trastuzumab</w:t>
      </w:r>
    </w:p>
    <w:p w:rsidR="00D9247D" w:rsidRPr="001609C2" w:rsidRDefault="00872AAD" w:rsidP="001609C2">
      <w:pPr>
        <w:pStyle w:val="TableFigureFooter"/>
        <w:rPr>
          <w:rFonts w:eastAsia="Calibri"/>
        </w:rPr>
      </w:pPr>
      <w:r>
        <w:rPr>
          <w:rFonts w:eastAsia="Calibri"/>
        </w:rPr>
        <w:t xml:space="preserve">Data shaded in </w:t>
      </w:r>
      <w:r w:rsidRPr="0072754A">
        <w:rPr>
          <w:rFonts w:eastAsia="Calibri"/>
          <w:shd w:val="clear" w:color="auto" w:fill="C6D9F1" w:themeFill="text2" w:themeFillTint="33"/>
        </w:rPr>
        <w:t>blue</w:t>
      </w:r>
      <w:r>
        <w:rPr>
          <w:rFonts w:eastAsia="Calibri"/>
        </w:rPr>
        <w:t xml:space="preserve"> </w:t>
      </w:r>
      <w:proofErr w:type="gramStart"/>
      <w:r>
        <w:rPr>
          <w:rFonts w:eastAsia="Calibri"/>
        </w:rPr>
        <w:t>were used</w:t>
      </w:r>
      <w:proofErr w:type="gramEnd"/>
      <w:r>
        <w:rPr>
          <w:rFonts w:eastAsia="Calibri"/>
        </w:rPr>
        <w:t xml:space="preserve"> in the economic </w:t>
      </w:r>
      <w:r w:rsidRPr="00B114BB">
        <w:rPr>
          <w:rFonts w:eastAsia="Calibri"/>
        </w:rPr>
        <w:t>model.</w:t>
      </w:r>
      <w:bookmarkEnd w:id="35"/>
    </w:p>
    <w:p w:rsidR="00872AAD" w:rsidRPr="003E39C1" w:rsidRDefault="00872AAD" w:rsidP="00872AAD">
      <w:pPr>
        <w:pStyle w:val="TableFigureHeading"/>
      </w:pPr>
      <w:bookmarkStart w:id="36" w:name="_Ref33607393"/>
      <w:r w:rsidRPr="00080909">
        <w:t xml:space="preserve">Table </w:t>
      </w:r>
      <w:r w:rsidR="00550A5E">
        <w:rPr>
          <w:noProof/>
        </w:rPr>
        <w:t>10</w:t>
      </w:r>
      <w:bookmarkEnd w:id="36"/>
      <w:r w:rsidR="001609C2">
        <w:t>:</w:t>
      </w:r>
      <w:r w:rsidRPr="002D4349">
        <w:t xml:space="preserve"> </w:t>
      </w:r>
      <w:r>
        <w:t>Serious and Grade ≥3 a</w:t>
      </w:r>
      <w:r w:rsidRPr="002D4349">
        <w:t>dverse</w:t>
      </w:r>
      <w:r w:rsidRPr="00080909">
        <w:t xml:space="preserve"> events </w:t>
      </w:r>
      <w:r>
        <w:t xml:space="preserve">(AEs) in </w:t>
      </w:r>
      <w:r w:rsidRPr="00B114BB">
        <w:rPr>
          <w:iCs/>
        </w:rPr>
        <w:t>PEONY</w:t>
      </w:r>
      <w:r>
        <w:t xml:space="preserve"> (safety population)</w:t>
      </w:r>
      <w:r w:rsidR="008D514F">
        <w:t xml:space="preserve"> (not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2114"/>
        <w:gridCol w:w="2114"/>
      </w:tblGrid>
      <w:tr w:rsidR="00872AAD" w:rsidRPr="00B114BB" w:rsidTr="00126A44">
        <w:tc>
          <w:tcPr>
            <w:tcW w:w="2655" w:type="pct"/>
            <w:shd w:val="clear" w:color="auto" w:fill="auto"/>
          </w:tcPr>
          <w:p w:rsidR="00872AAD" w:rsidRPr="00B114BB" w:rsidRDefault="00872AAD" w:rsidP="00872AAD">
            <w:pPr>
              <w:pStyle w:val="In-tableHeading"/>
              <w:rPr>
                <w:iCs/>
              </w:rPr>
            </w:pPr>
            <w:r w:rsidRPr="00B114BB">
              <w:rPr>
                <w:iCs/>
              </w:rPr>
              <w:t>PEONY</w:t>
            </w:r>
          </w:p>
        </w:tc>
        <w:tc>
          <w:tcPr>
            <w:tcW w:w="1172" w:type="pct"/>
            <w:shd w:val="clear" w:color="auto" w:fill="auto"/>
          </w:tcPr>
          <w:p w:rsidR="00872AAD" w:rsidRPr="00B114BB" w:rsidRDefault="00872AAD" w:rsidP="00872AAD">
            <w:pPr>
              <w:pStyle w:val="In-tableHeading"/>
              <w:jc w:val="center"/>
              <w:rPr>
                <w:iCs/>
              </w:rPr>
            </w:pPr>
            <w:r w:rsidRPr="00B114BB">
              <w:rPr>
                <w:iCs/>
              </w:rPr>
              <w:t>(P</w:t>
            </w:r>
            <w:r w:rsidR="00BE02ED" w:rsidRPr="00B114BB">
              <w:rPr>
                <w:iCs/>
              </w:rPr>
              <w:t>tz</w:t>
            </w:r>
            <w:r w:rsidRPr="00B114BB">
              <w:rPr>
                <w:iCs/>
              </w:rPr>
              <w:t>+T+D) x4</w:t>
            </w:r>
          </w:p>
          <w:p w:rsidR="00872AAD" w:rsidRPr="00B114BB" w:rsidRDefault="00872AAD" w:rsidP="00872AAD">
            <w:pPr>
              <w:pStyle w:val="In-tableHeading"/>
              <w:jc w:val="center"/>
              <w:rPr>
                <w:iCs/>
              </w:rPr>
            </w:pPr>
            <w:r w:rsidRPr="00B114BB">
              <w:rPr>
                <w:iCs/>
              </w:rPr>
              <w:t>N=218</w:t>
            </w:r>
          </w:p>
          <w:p w:rsidR="00872AAD" w:rsidRPr="00B114BB" w:rsidRDefault="00872AAD" w:rsidP="00872AAD">
            <w:pPr>
              <w:pStyle w:val="In-tableHeading"/>
              <w:jc w:val="center"/>
              <w:rPr>
                <w:iCs/>
              </w:rPr>
            </w:pPr>
            <w:r w:rsidRPr="00B114BB">
              <w:rPr>
                <w:iCs/>
              </w:rPr>
              <w:t>n (%, n/N)</w:t>
            </w:r>
          </w:p>
        </w:tc>
        <w:tc>
          <w:tcPr>
            <w:tcW w:w="1172" w:type="pct"/>
            <w:shd w:val="clear" w:color="auto" w:fill="auto"/>
          </w:tcPr>
          <w:p w:rsidR="00872AAD" w:rsidRPr="00B114BB" w:rsidRDefault="00872AAD" w:rsidP="00872AAD">
            <w:pPr>
              <w:pStyle w:val="In-tableHeading"/>
              <w:jc w:val="center"/>
              <w:rPr>
                <w:iCs/>
              </w:rPr>
            </w:pPr>
            <w:r w:rsidRPr="00B114BB">
              <w:rPr>
                <w:iCs/>
              </w:rPr>
              <w:t>(PBO+T+D) x4</w:t>
            </w:r>
          </w:p>
          <w:p w:rsidR="00872AAD" w:rsidRPr="00B114BB" w:rsidRDefault="00872AAD" w:rsidP="00872AAD">
            <w:pPr>
              <w:pStyle w:val="In-tableHeading"/>
              <w:jc w:val="center"/>
              <w:rPr>
                <w:iCs/>
              </w:rPr>
            </w:pPr>
            <w:r w:rsidRPr="00B114BB">
              <w:rPr>
                <w:iCs/>
              </w:rPr>
              <w:t>N=110</w:t>
            </w:r>
          </w:p>
          <w:p w:rsidR="00872AAD" w:rsidRPr="00B114BB" w:rsidRDefault="00872AAD" w:rsidP="00872AAD">
            <w:pPr>
              <w:pStyle w:val="In-tableHeading"/>
              <w:jc w:val="center"/>
              <w:rPr>
                <w:iCs/>
              </w:rPr>
            </w:pPr>
            <w:r w:rsidRPr="00B114BB">
              <w:rPr>
                <w:iCs/>
              </w:rPr>
              <w:t>n (%, n/N)</w:t>
            </w:r>
          </w:p>
        </w:tc>
      </w:tr>
      <w:tr w:rsidR="00872AAD" w:rsidRPr="00B114BB" w:rsidTr="00126A44">
        <w:tc>
          <w:tcPr>
            <w:tcW w:w="2655" w:type="pct"/>
            <w:tcBorders>
              <w:bottom w:val="single" w:sz="4" w:space="0" w:color="auto"/>
            </w:tcBorders>
          </w:tcPr>
          <w:p w:rsidR="00872AAD" w:rsidRPr="00B114BB" w:rsidRDefault="00872AAD" w:rsidP="00872AAD">
            <w:pPr>
              <w:pStyle w:val="TableText0"/>
              <w:rPr>
                <w:iCs/>
              </w:rPr>
            </w:pPr>
            <w:r w:rsidRPr="00B114BB">
              <w:rPr>
                <w:iCs/>
              </w:rPr>
              <w:t>Deaths</w:t>
            </w:r>
          </w:p>
        </w:tc>
        <w:tc>
          <w:tcPr>
            <w:tcW w:w="1172" w:type="pct"/>
            <w:tcBorders>
              <w:bottom w:val="single" w:sz="4" w:space="0" w:color="auto"/>
            </w:tcBorders>
            <w:vAlign w:val="center"/>
          </w:tcPr>
          <w:p w:rsidR="00872AAD" w:rsidRPr="00B114BB" w:rsidRDefault="00872AAD" w:rsidP="00872AAD">
            <w:pPr>
              <w:pStyle w:val="TableText0"/>
              <w:jc w:val="center"/>
              <w:rPr>
                <w:iCs/>
              </w:rPr>
            </w:pPr>
            <w:r w:rsidRPr="00B114BB">
              <w:rPr>
                <w:iCs/>
              </w:rPr>
              <w:t>1 (0.5)</w:t>
            </w:r>
          </w:p>
        </w:tc>
        <w:tc>
          <w:tcPr>
            <w:tcW w:w="1172" w:type="pct"/>
            <w:tcBorders>
              <w:bottom w:val="single" w:sz="4" w:space="0" w:color="auto"/>
            </w:tcBorders>
            <w:vAlign w:val="center"/>
          </w:tcPr>
          <w:p w:rsidR="00872AAD" w:rsidRPr="00B114BB" w:rsidRDefault="00872AAD" w:rsidP="00872AAD">
            <w:pPr>
              <w:pStyle w:val="TableText0"/>
              <w:jc w:val="center"/>
              <w:rPr>
                <w:iCs/>
              </w:rPr>
            </w:pPr>
            <w:r w:rsidRPr="00B114BB">
              <w:rPr>
                <w:iCs/>
              </w:rPr>
              <w:t>0 (0)</w:t>
            </w:r>
          </w:p>
        </w:tc>
      </w:tr>
      <w:tr w:rsidR="00872AAD" w:rsidRPr="00B114BB" w:rsidTr="00126A44">
        <w:tc>
          <w:tcPr>
            <w:tcW w:w="2655" w:type="pct"/>
            <w:tcBorders>
              <w:bottom w:val="nil"/>
            </w:tcBorders>
          </w:tcPr>
          <w:p w:rsidR="00872AAD" w:rsidRPr="00B114BB" w:rsidRDefault="00872AAD" w:rsidP="00872AAD">
            <w:pPr>
              <w:pStyle w:val="TableText0"/>
              <w:rPr>
                <w:iCs/>
              </w:rPr>
            </w:pPr>
            <w:r w:rsidRPr="00B114BB">
              <w:rPr>
                <w:iCs/>
              </w:rPr>
              <w:t>SAE</w:t>
            </w:r>
          </w:p>
        </w:tc>
        <w:tc>
          <w:tcPr>
            <w:tcW w:w="1172" w:type="pct"/>
            <w:tcBorders>
              <w:bottom w:val="nil"/>
            </w:tcBorders>
          </w:tcPr>
          <w:p w:rsidR="00872AAD" w:rsidRPr="00B114BB" w:rsidRDefault="00872AAD" w:rsidP="00872AAD">
            <w:pPr>
              <w:pStyle w:val="TableText0"/>
              <w:jc w:val="center"/>
              <w:rPr>
                <w:iCs/>
              </w:rPr>
            </w:pPr>
            <w:r w:rsidRPr="00B114BB">
              <w:rPr>
                <w:iCs/>
              </w:rPr>
              <w:t>22 (10.1)</w:t>
            </w:r>
          </w:p>
        </w:tc>
        <w:tc>
          <w:tcPr>
            <w:tcW w:w="1172" w:type="pct"/>
            <w:tcBorders>
              <w:bottom w:val="nil"/>
            </w:tcBorders>
          </w:tcPr>
          <w:p w:rsidR="00872AAD" w:rsidRPr="00B114BB" w:rsidRDefault="00872AAD" w:rsidP="00872AAD">
            <w:pPr>
              <w:pStyle w:val="TableText0"/>
              <w:jc w:val="center"/>
              <w:rPr>
                <w:iCs/>
              </w:rPr>
            </w:pPr>
            <w:r w:rsidRPr="00B114BB">
              <w:rPr>
                <w:iCs/>
              </w:rPr>
              <w:t>9 (8.2)</w:t>
            </w:r>
          </w:p>
        </w:tc>
      </w:tr>
      <w:tr w:rsidR="00872AAD" w:rsidRPr="00B114BB" w:rsidTr="00126A44">
        <w:tc>
          <w:tcPr>
            <w:tcW w:w="2655" w:type="pct"/>
            <w:tcBorders>
              <w:top w:val="nil"/>
              <w:bottom w:val="single" w:sz="4" w:space="0" w:color="auto"/>
            </w:tcBorders>
          </w:tcPr>
          <w:p w:rsidR="00872AAD" w:rsidRPr="00B114BB" w:rsidRDefault="00872AAD" w:rsidP="00872AAD">
            <w:pPr>
              <w:pStyle w:val="TableText0"/>
              <w:ind w:left="170"/>
              <w:rPr>
                <w:iCs/>
              </w:rPr>
            </w:pPr>
            <w:r w:rsidRPr="00B114BB">
              <w:rPr>
                <w:iCs/>
              </w:rPr>
              <w:t>Most common SAE: febrile neutropenia</w:t>
            </w:r>
          </w:p>
        </w:tc>
        <w:tc>
          <w:tcPr>
            <w:tcW w:w="1172" w:type="pct"/>
            <w:tcBorders>
              <w:top w:val="nil"/>
              <w:bottom w:val="single" w:sz="4" w:space="0" w:color="auto"/>
            </w:tcBorders>
          </w:tcPr>
          <w:p w:rsidR="00872AAD" w:rsidRPr="00B114BB" w:rsidRDefault="00872AAD" w:rsidP="00872AAD">
            <w:pPr>
              <w:pStyle w:val="TableText0"/>
              <w:jc w:val="center"/>
              <w:rPr>
                <w:iCs/>
              </w:rPr>
            </w:pPr>
            <w:r w:rsidRPr="00B114BB">
              <w:rPr>
                <w:iCs/>
              </w:rPr>
              <w:t>4 (1.8)</w:t>
            </w:r>
          </w:p>
        </w:tc>
        <w:tc>
          <w:tcPr>
            <w:tcW w:w="1172" w:type="pct"/>
            <w:tcBorders>
              <w:top w:val="nil"/>
              <w:bottom w:val="single" w:sz="4" w:space="0" w:color="auto"/>
            </w:tcBorders>
          </w:tcPr>
          <w:p w:rsidR="00872AAD" w:rsidRPr="00B114BB" w:rsidRDefault="00872AAD" w:rsidP="00872AAD">
            <w:pPr>
              <w:pStyle w:val="TableText0"/>
              <w:jc w:val="center"/>
              <w:rPr>
                <w:iCs/>
              </w:rPr>
            </w:pPr>
            <w:r w:rsidRPr="00B114BB">
              <w:rPr>
                <w:iCs/>
              </w:rPr>
              <w:t>1 (0.9)</w:t>
            </w:r>
          </w:p>
        </w:tc>
      </w:tr>
      <w:tr w:rsidR="00872AAD" w:rsidRPr="00B114BB" w:rsidTr="00126A44">
        <w:tc>
          <w:tcPr>
            <w:tcW w:w="2655" w:type="pct"/>
            <w:tcBorders>
              <w:bottom w:val="nil"/>
            </w:tcBorders>
          </w:tcPr>
          <w:p w:rsidR="00872AAD" w:rsidRPr="00B114BB" w:rsidRDefault="00872AAD" w:rsidP="00872AAD">
            <w:pPr>
              <w:pStyle w:val="TableText0"/>
              <w:rPr>
                <w:iCs/>
              </w:rPr>
            </w:pPr>
            <w:r w:rsidRPr="00B114BB">
              <w:rPr>
                <w:iCs/>
              </w:rPr>
              <w:t>Most common Grade ≥3 AEs (≥3% of patients)</w:t>
            </w:r>
          </w:p>
        </w:tc>
        <w:tc>
          <w:tcPr>
            <w:tcW w:w="1172" w:type="pct"/>
            <w:tcBorders>
              <w:bottom w:val="nil"/>
            </w:tcBorders>
          </w:tcPr>
          <w:p w:rsidR="00872AAD" w:rsidRPr="00B114BB" w:rsidRDefault="00872AAD" w:rsidP="00872AAD">
            <w:pPr>
              <w:pStyle w:val="TableText0"/>
              <w:jc w:val="center"/>
              <w:rPr>
                <w:iCs/>
              </w:rPr>
            </w:pPr>
          </w:p>
        </w:tc>
        <w:tc>
          <w:tcPr>
            <w:tcW w:w="1172" w:type="pct"/>
            <w:tcBorders>
              <w:bottom w:val="nil"/>
            </w:tcBorders>
          </w:tcPr>
          <w:p w:rsidR="00872AAD" w:rsidRPr="00B114BB" w:rsidRDefault="00872AAD" w:rsidP="00872AAD">
            <w:pPr>
              <w:pStyle w:val="TableText0"/>
              <w:jc w:val="center"/>
              <w:rPr>
                <w:iCs/>
              </w:rPr>
            </w:pPr>
          </w:p>
        </w:tc>
      </w:tr>
      <w:tr w:rsidR="00872AAD" w:rsidRPr="00B114BB" w:rsidTr="00126A44">
        <w:tc>
          <w:tcPr>
            <w:tcW w:w="2655" w:type="pct"/>
            <w:tcBorders>
              <w:top w:val="nil"/>
              <w:bottom w:val="nil"/>
            </w:tcBorders>
          </w:tcPr>
          <w:p w:rsidR="00872AAD" w:rsidRPr="00B114BB" w:rsidRDefault="00872AAD" w:rsidP="00872AAD">
            <w:pPr>
              <w:pStyle w:val="TableText0"/>
              <w:ind w:left="170"/>
              <w:rPr>
                <w:iCs/>
              </w:rPr>
            </w:pPr>
            <w:r w:rsidRPr="00B114BB">
              <w:rPr>
                <w:iCs/>
              </w:rPr>
              <w:t>Neutropenia</w:t>
            </w:r>
          </w:p>
        </w:tc>
        <w:tc>
          <w:tcPr>
            <w:tcW w:w="1172" w:type="pct"/>
            <w:tcBorders>
              <w:top w:val="nil"/>
              <w:bottom w:val="nil"/>
            </w:tcBorders>
          </w:tcPr>
          <w:p w:rsidR="00872AAD" w:rsidRPr="00B114BB" w:rsidRDefault="00872AAD" w:rsidP="00872AAD">
            <w:pPr>
              <w:pStyle w:val="TableText0"/>
              <w:jc w:val="center"/>
              <w:rPr>
                <w:iCs/>
              </w:rPr>
            </w:pPr>
            <w:r w:rsidRPr="00B114BB">
              <w:rPr>
                <w:iCs/>
              </w:rPr>
              <w:t>83 (38.1)</w:t>
            </w:r>
          </w:p>
        </w:tc>
        <w:tc>
          <w:tcPr>
            <w:tcW w:w="1172" w:type="pct"/>
            <w:tcBorders>
              <w:top w:val="nil"/>
              <w:bottom w:val="nil"/>
            </w:tcBorders>
          </w:tcPr>
          <w:p w:rsidR="00872AAD" w:rsidRPr="00B114BB" w:rsidRDefault="00872AAD" w:rsidP="00872AAD">
            <w:pPr>
              <w:pStyle w:val="TableText0"/>
              <w:jc w:val="center"/>
              <w:rPr>
                <w:iCs/>
              </w:rPr>
            </w:pPr>
            <w:r w:rsidRPr="00B114BB">
              <w:rPr>
                <w:iCs/>
              </w:rPr>
              <w:t>36 (32.7)</w:t>
            </w:r>
          </w:p>
        </w:tc>
      </w:tr>
      <w:tr w:rsidR="00872AAD" w:rsidRPr="00B114BB" w:rsidTr="00126A44">
        <w:tc>
          <w:tcPr>
            <w:tcW w:w="2655" w:type="pct"/>
            <w:tcBorders>
              <w:top w:val="nil"/>
              <w:bottom w:val="single" w:sz="4" w:space="0" w:color="auto"/>
            </w:tcBorders>
          </w:tcPr>
          <w:p w:rsidR="00872AAD" w:rsidRPr="00B114BB" w:rsidRDefault="00872AAD" w:rsidP="00872AAD">
            <w:pPr>
              <w:pStyle w:val="TableText0"/>
              <w:ind w:left="170"/>
              <w:rPr>
                <w:iCs/>
              </w:rPr>
            </w:pPr>
            <w:r w:rsidRPr="00B114BB">
              <w:rPr>
                <w:iCs/>
              </w:rPr>
              <w:t>Leukopenia</w:t>
            </w:r>
          </w:p>
        </w:tc>
        <w:tc>
          <w:tcPr>
            <w:tcW w:w="1172" w:type="pct"/>
            <w:tcBorders>
              <w:top w:val="nil"/>
              <w:bottom w:val="single" w:sz="4" w:space="0" w:color="auto"/>
            </w:tcBorders>
          </w:tcPr>
          <w:p w:rsidR="00872AAD" w:rsidRPr="00B114BB" w:rsidRDefault="00872AAD" w:rsidP="00872AAD">
            <w:pPr>
              <w:pStyle w:val="TableText0"/>
              <w:jc w:val="center"/>
              <w:rPr>
                <w:iCs/>
              </w:rPr>
            </w:pPr>
            <w:r w:rsidRPr="00B114BB">
              <w:rPr>
                <w:iCs/>
              </w:rPr>
              <w:t>45 (20.6)</w:t>
            </w:r>
          </w:p>
        </w:tc>
        <w:tc>
          <w:tcPr>
            <w:tcW w:w="1172" w:type="pct"/>
            <w:tcBorders>
              <w:top w:val="nil"/>
              <w:bottom w:val="single" w:sz="4" w:space="0" w:color="auto"/>
            </w:tcBorders>
          </w:tcPr>
          <w:p w:rsidR="00872AAD" w:rsidRPr="00B114BB" w:rsidRDefault="00872AAD" w:rsidP="00872AAD">
            <w:pPr>
              <w:pStyle w:val="TableText0"/>
              <w:jc w:val="center"/>
              <w:rPr>
                <w:iCs/>
              </w:rPr>
            </w:pPr>
            <w:r w:rsidRPr="00B114BB">
              <w:rPr>
                <w:iCs/>
              </w:rPr>
              <w:t>21 (19.1)</w:t>
            </w:r>
          </w:p>
        </w:tc>
      </w:tr>
      <w:tr w:rsidR="00872AAD" w:rsidRPr="00B114BB" w:rsidTr="00126A44">
        <w:tc>
          <w:tcPr>
            <w:tcW w:w="2655" w:type="pct"/>
            <w:tcBorders>
              <w:bottom w:val="nil"/>
            </w:tcBorders>
          </w:tcPr>
          <w:p w:rsidR="00872AAD" w:rsidRPr="00B114BB" w:rsidRDefault="008D514F" w:rsidP="00872AAD">
            <w:pPr>
              <w:pStyle w:val="TableText0"/>
              <w:rPr>
                <w:iCs/>
              </w:rPr>
            </w:pPr>
            <w:r w:rsidRPr="00B114BB">
              <w:rPr>
                <w:iCs/>
              </w:rPr>
              <w:t xml:space="preserve">Selected 10 most common </w:t>
            </w:r>
            <w:r w:rsidR="00872AAD" w:rsidRPr="00B114BB">
              <w:rPr>
                <w:iCs/>
              </w:rPr>
              <w:t xml:space="preserve">AEs </w:t>
            </w:r>
          </w:p>
        </w:tc>
        <w:tc>
          <w:tcPr>
            <w:tcW w:w="1172" w:type="pct"/>
            <w:tcBorders>
              <w:bottom w:val="nil"/>
            </w:tcBorders>
          </w:tcPr>
          <w:p w:rsidR="00872AAD" w:rsidRPr="00B114BB" w:rsidRDefault="00872AAD" w:rsidP="00872AAD">
            <w:pPr>
              <w:pStyle w:val="TableText0"/>
              <w:jc w:val="center"/>
              <w:rPr>
                <w:iCs/>
              </w:rPr>
            </w:pPr>
          </w:p>
        </w:tc>
        <w:tc>
          <w:tcPr>
            <w:tcW w:w="1172" w:type="pct"/>
            <w:tcBorders>
              <w:bottom w:val="nil"/>
            </w:tcBorders>
          </w:tcPr>
          <w:p w:rsidR="00872AAD" w:rsidRPr="00B114BB" w:rsidRDefault="00872AAD" w:rsidP="00872AAD">
            <w:pPr>
              <w:pStyle w:val="TableText0"/>
              <w:jc w:val="center"/>
              <w:rPr>
                <w:iCs/>
              </w:rPr>
            </w:pPr>
          </w:p>
        </w:tc>
      </w:tr>
      <w:tr w:rsidR="00872AAD" w:rsidRPr="00B114BB" w:rsidTr="00126A44">
        <w:tc>
          <w:tcPr>
            <w:tcW w:w="2655" w:type="pct"/>
            <w:tcBorders>
              <w:top w:val="nil"/>
              <w:bottom w:val="nil"/>
            </w:tcBorders>
          </w:tcPr>
          <w:p w:rsidR="00872AAD" w:rsidRPr="00B114BB" w:rsidRDefault="00872AAD" w:rsidP="00872AAD">
            <w:pPr>
              <w:pStyle w:val="TableText0"/>
              <w:ind w:left="170"/>
              <w:rPr>
                <w:iCs/>
              </w:rPr>
            </w:pPr>
            <w:r w:rsidRPr="00B114BB">
              <w:rPr>
                <w:iCs/>
              </w:rPr>
              <w:t>Neutropenia</w:t>
            </w:r>
          </w:p>
        </w:tc>
        <w:tc>
          <w:tcPr>
            <w:tcW w:w="1172" w:type="pct"/>
            <w:tcBorders>
              <w:top w:val="nil"/>
              <w:bottom w:val="nil"/>
            </w:tcBorders>
          </w:tcPr>
          <w:p w:rsidR="00872AAD" w:rsidRPr="00B114BB" w:rsidRDefault="00872AAD" w:rsidP="00872AAD">
            <w:pPr>
              <w:pStyle w:val="TableText0"/>
              <w:jc w:val="center"/>
              <w:rPr>
                <w:iCs/>
              </w:rPr>
            </w:pPr>
            <w:r w:rsidRPr="00B114BB">
              <w:rPr>
                <w:iCs/>
              </w:rPr>
              <w:t>105 (48.2)</w:t>
            </w:r>
          </w:p>
        </w:tc>
        <w:tc>
          <w:tcPr>
            <w:tcW w:w="1172" w:type="pct"/>
            <w:tcBorders>
              <w:top w:val="nil"/>
              <w:bottom w:val="nil"/>
            </w:tcBorders>
          </w:tcPr>
          <w:p w:rsidR="00872AAD" w:rsidRPr="00B114BB" w:rsidRDefault="00872AAD" w:rsidP="00872AAD">
            <w:pPr>
              <w:pStyle w:val="TableText0"/>
              <w:jc w:val="center"/>
              <w:rPr>
                <w:iCs/>
              </w:rPr>
            </w:pPr>
            <w:r w:rsidRPr="00B114BB">
              <w:rPr>
                <w:iCs/>
              </w:rPr>
              <w:t>49 (44.5)</w:t>
            </w:r>
          </w:p>
        </w:tc>
      </w:tr>
      <w:tr w:rsidR="00872AAD" w:rsidRPr="00B114BB" w:rsidTr="00126A44">
        <w:trPr>
          <w:trHeight w:val="80"/>
        </w:trPr>
        <w:tc>
          <w:tcPr>
            <w:tcW w:w="2655" w:type="pct"/>
            <w:tcBorders>
              <w:top w:val="nil"/>
              <w:bottom w:val="nil"/>
            </w:tcBorders>
          </w:tcPr>
          <w:p w:rsidR="00872AAD" w:rsidRPr="00B114BB" w:rsidRDefault="00872AAD" w:rsidP="00872AAD">
            <w:pPr>
              <w:pStyle w:val="TableText0"/>
              <w:ind w:left="170"/>
              <w:rPr>
                <w:iCs/>
              </w:rPr>
            </w:pPr>
            <w:r w:rsidRPr="00B114BB">
              <w:rPr>
                <w:iCs/>
              </w:rPr>
              <w:t>Leukopenia</w:t>
            </w:r>
          </w:p>
        </w:tc>
        <w:tc>
          <w:tcPr>
            <w:tcW w:w="1172" w:type="pct"/>
            <w:tcBorders>
              <w:top w:val="nil"/>
              <w:bottom w:val="nil"/>
            </w:tcBorders>
          </w:tcPr>
          <w:p w:rsidR="00872AAD" w:rsidRPr="00B114BB" w:rsidRDefault="00872AAD" w:rsidP="00872AAD">
            <w:pPr>
              <w:pStyle w:val="TableText0"/>
              <w:jc w:val="center"/>
              <w:rPr>
                <w:iCs/>
              </w:rPr>
            </w:pPr>
            <w:r w:rsidRPr="00B114BB">
              <w:rPr>
                <w:iCs/>
              </w:rPr>
              <w:t>92 (42.2)</w:t>
            </w:r>
          </w:p>
        </w:tc>
        <w:tc>
          <w:tcPr>
            <w:tcW w:w="1172" w:type="pct"/>
            <w:tcBorders>
              <w:top w:val="nil"/>
              <w:bottom w:val="nil"/>
            </w:tcBorders>
          </w:tcPr>
          <w:p w:rsidR="00872AAD" w:rsidRPr="00B114BB" w:rsidRDefault="00872AAD" w:rsidP="00872AAD">
            <w:pPr>
              <w:pStyle w:val="TableText0"/>
              <w:jc w:val="center"/>
              <w:rPr>
                <w:iCs/>
              </w:rPr>
            </w:pPr>
            <w:r w:rsidRPr="00B114BB">
              <w:rPr>
                <w:iCs/>
              </w:rPr>
              <w:t>43 (39.1)</w:t>
            </w:r>
          </w:p>
        </w:tc>
      </w:tr>
      <w:tr w:rsidR="00872AAD" w:rsidRPr="00B114BB" w:rsidTr="00126A44">
        <w:tc>
          <w:tcPr>
            <w:tcW w:w="2655" w:type="pct"/>
            <w:tcBorders>
              <w:top w:val="nil"/>
            </w:tcBorders>
          </w:tcPr>
          <w:p w:rsidR="00872AAD" w:rsidRPr="00B114BB" w:rsidRDefault="00872AAD" w:rsidP="00872AAD">
            <w:pPr>
              <w:pStyle w:val="TableText0"/>
              <w:ind w:left="170"/>
              <w:rPr>
                <w:iCs/>
              </w:rPr>
            </w:pPr>
            <w:r w:rsidRPr="00B114BB">
              <w:rPr>
                <w:iCs/>
              </w:rPr>
              <w:t>Diarrhoea</w:t>
            </w:r>
          </w:p>
          <w:p w:rsidR="00872AAD" w:rsidRPr="00B114BB" w:rsidRDefault="00872AAD" w:rsidP="00872AAD">
            <w:pPr>
              <w:pStyle w:val="TableText0"/>
              <w:ind w:left="170"/>
              <w:rPr>
                <w:iCs/>
              </w:rPr>
            </w:pPr>
            <w:r w:rsidRPr="00B114BB">
              <w:rPr>
                <w:iCs/>
              </w:rPr>
              <w:t>Pyrexia</w:t>
            </w:r>
          </w:p>
        </w:tc>
        <w:tc>
          <w:tcPr>
            <w:tcW w:w="1172" w:type="pct"/>
            <w:tcBorders>
              <w:top w:val="nil"/>
            </w:tcBorders>
          </w:tcPr>
          <w:p w:rsidR="00872AAD" w:rsidRPr="00B114BB" w:rsidRDefault="00872AAD" w:rsidP="00872AAD">
            <w:pPr>
              <w:pStyle w:val="TableText0"/>
              <w:jc w:val="center"/>
              <w:rPr>
                <w:b/>
                <w:bCs w:val="0"/>
                <w:iCs/>
              </w:rPr>
            </w:pPr>
            <w:r w:rsidRPr="00B114BB">
              <w:rPr>
                <w:b/>
                <w:bCs w:val="0"/>
                <w:iCs/>
              </w:rPr>
              <w:t>84 (38.5)</w:t>
            </w:r>
          </w:p>
          <w:p w:rsidR="00872AAD" w:rsidRPr="00B114BB" w:rsidRDefault="00872AAD" w:rsidP="00872AAD">
            <w:pPr>
              <w:pStyle w:val="TableText0"/>
              <w:jc w:val="center"/>
              <w:rPr>
                <w:iCs/>
              </w:rPr>
            </w:pPr>
            <w:r w:rsidRPr="00B114BB">
              <w:rPr>
                <w:iCs/>
              </w:rPr>
              <w:t>31 (14.2)</w:t>
            </w:r>
          </w:p>
        </w:tc>
        <w:tc>
          <w:tcPr>
            <w:tcW w:w="1172" w:type="pct"/>
            <w:tcBorders>
              <w:top w:val="nil"/>
            </w:tcBorders>
          </w:tcPr>
          <w:p w:rsidR="00872AAD" w:rsidRPr="00B114BB" w:rsidRDefault="00872AAD" w:rsidP="00872AAD">
            <w:pPr>
              <w:pStyle w:val="TableText0"/>
              <w:jc w:val="center"/>
              <w:rPr>
                <w:b/>
                <w:bCs w:val="0"/>
                <w:iCs/>
              </w:rPr>
            </w:pPr>
            <w:r w:rsidRPr="00B114BB">
              <w:rPr>
                <w:b/>
                <w:bCs w:val="0"/>
                <w:iCs/>
              </w:rPr>
              <w:t>18 (16.4)</w:t>
            </w:r>
          </w:p>
          <w:p w:rsidR="00872AAD" w:rsidRPr="00B114BB" w:rsidRDefault="00872AAD" w:rsidP="00872AAD">
            <w:pPr>
              <w:pStyle w:val="TableText0"/>
              <w:jc w:val="center"/>
              <w:rPr>
                <w:iCs/>
              </w:rPr>
            </w:pPr>
            <w:r w:rsidRPr="00B114BB">
              <w:rPr>
                <w:iCs/>
              </w:rPr>
              <w:t>11 (10.0)</w:t>
            </w:r>
          </w:p>
        </w:tc>
      </w:tr>
      <w:tr w:rsidR="00872AAD" w:rsidRPr="00B114BB" w:rsidTr="00126A44">
        <w:tc>
          <w:tcPr>
            <w:tcW w:w="2655" w:type="pct"/>
          </w:tcPr>
          <w:p w:rsidR="00872AAD" w:rsidRPr="00B114BB" w:rsidRDefault="00872AAD" w:rsidP="00872AAD">
            <w:pPr>
              <w:pStyle w:val="TableText0"/>
              <w:rPr>
                <w:iCs/>
              </w:rPr>
            </w:pPr>
            <w:r w:rsidRPr="00B114BB">
              <w:rPr>
                <w:iCs/>
              </w:rPr>
              <w:t>Infusion-related reactions</w:t>
            </w:r>
          </w:p>
        </w:tc>
        <w:tc>
          <w:tcPr>
            <w:tcW w:w="1172" w:type="pct"/>
          </w:tcPr>
          <w:p w:rsidR="00872AAD" w:rsidRPr="00B114BB" w:rsidRDefault="00872AAD" w:rsidP="00872AAD">
            <w:pPr>
              <w:pStyle w:val="TableText0"/>
              <w:jc w:val="center"/>
              <w:rPr>
                <w:b/>
                <w:bCs w:val="0"/>
                <w:iCs/>
              </w:rPr>
            </w:pPr>
            <w:r w:rsidRPr="00B114BB">
              <w:rPr>
                <w:b/>
                <w:bCs w:val="0"/>
                <w:iCs/>
              </w:rPr>
              <w:t>48 (22.0)</w:t>
            </w:r>
          </w:p>
        </w:tc>
        <w:tc>
          <w:tcPr>
            <w:tcW w:w="1172" w:type="pct"/>
          </w:tcPr>
          <w:p w:rsidR="00872AAD" w:rsidRPr="00B114BB" w:rsidRDefault="00872AAD" w:rsidP="00872AAD">
            <w:pPr>
              <w:pStyle w:val="TableText0"/>
              <w:jc w:val="center"/>
              <w:rPr>
                <w:b/>
                <w:bCs w:val="0"/>
                <w:iCs/>
              </w:rPr>
            </w:pPr>
            <w:r w:rsidRPr="00B114BB">
              <w:rPr>
                <w:b/>
                <w:bCs w:val="0"/>
                <w:iCs/>
              </w:rPr>
              <w:t>10 (9.1)</w:t>
            </w:r>
          </w:p>
        </w:tc>
      </w:tr>
    </w:tbl>
    <w:p w:rsidR="00872AAD" w:rsidRDefault="00872AAD" w:rsidP="00872AAD">
      <w:pPr>
        <w:pStyle w:val="TableFigureFooter"/>
        <w:rPr>
          <w:rFonts w:eastAsia="Calibri"/>
        </w:rPr>
      </w:pPr>
      <w:r>
        <w:rPr>
          <w:rFonts w:eastAsia="Calibri"/>
        </w:rPr>
        <w:t>Source: Shao (2019)</w:t>
      </w:r>
      <w:r w:rsidR="00107ACF">
        <w:rPr>
          <w:rFonts w:eastAsia="Calibri"/>
        </w:rPr>
        <w:t xml:space="preserve"> for PEONY</w:t>
      </w:r>
    </w:p>
    <w:p w:rsidR="00BE02ED" w:rsidRDefault="00872AAD" w:rsidP="00BE02ED">
      <w:pPr>
        <w:pStyle w:val="TableFigureFooter"/>
        <w:rPr>
          <w:rFonts w:eastAsia="Calibri"/>
        </w:rPr>
      </w:pPr>
      <w:r w:rsidRPr="00C16785">
        <w:rPr>
          <w:rFonts w:eastAsia="Calibri"/>
        </w:rPr>
        <w:lastRenderedPageBreak/>
        <w:t xml:space="preserve">AE = adverse event; D = docetaxel; n = number of participants with event; N = total participants </w:t>
      </w:r>
      <w:proofErr w:type="gramStart"/>
      <w:r w:rsidRPr="00C16785">
        <w:rPr>
          <w:rFonts w:eastAsia="Calibri"/>
        </w:rPr>
        <w:t>in group</w:t>
      </w:r>
      <w:proofErr w:type="gramEnd"/>
      <w:r w:rsidRPr="00C16785">
        <w:rPr>
          <w:rFonts w:eastAsia="Calibri"/>
        </w:rPr>
        <w:t>; P</w:t>
      </w:r>
      <w:r w:rsidR="00BE02ED">
        <w:rPr>
          <w:rFonts w:eastAsia="Calibri"/>
        </w:rPr>
        <w:t>tz</w:t>
      </w:r>
      <w:r w:rsidRPr="00C16785">
        <w:rPr>
          <w:rFonts w:eastAsia="Calibri"/>
        </w:rPr>
        <w:t xml:space="preserve"> = pertuzumab; PBO = placebo; SAE = serious adverse event; T = trastuzumab</w:t>
      </w:r>
      <w:r w:rsidR="00C76975">
        <w:rPr>
          <w:rFonts w:eastAsia="Calibri"/>
        </w:rPr>
        <w:t xml:space="preserve">; </w:t>
      </w:r>
      <w:bookmarkStart w:id="37" w:name="_Hlk29755295"/>
      <w:r w:rsidR="00BE02ED" w:rsidRPr="00760F9E">
        <w:rPr>
          <w:rFonts w:eastAsia="Calibri"/>
          <w:b/>
        </w:rPr>
        <w:t>Bold</w:t>
      </w:r>
      <w:r w:rsidR="00BE02ED">
        <w:rPr>
          <w:rFonts w:eastAsia="Calibri"/>
        </w:rPr>
        <w:t xml:space="preserve"> indicates statistically significant results.</w:t>
      </w:r>
    </w:p>
    <w:p w:rsidR="00872AAD" w:rsidRDefault="00872AAD" w:rsidP="000D09D2">
      <w:pPr>
        <w:pStyle w:val="ES-SubSection"/>
      </w:pPr>
      <w:bookmarkStart w:id="38" w:name="_Toc22897643"/>
      <w:bookmarkStart w:id="39" w:name="_Toc30594515"/>
      <w:bookmarkEnd w:id="37"/>
      <w:r w:rsidRPr="00C9624D">
        <w:t>Benefits/harms</w:t>
      </w:r>
      <w:bookmarkEnd w:id="38"/>
      <w:bookmarkEnd w:id="39"/>
    </w:p>
    <w:p w:rsidR="00872AAD" w:rsidRPr="00D1198C" w:rsidRDefault="00872AAD" w:rsidP="00872AAD">
      <w:pPr>
        <w:pStyle w:val="3-BodyText"/>
        <w:rPr>
          <w:rStyle w:val="CommentReference"/>
        </w:rPr>
      </w:pPr>
      <w:r w:rsidRPr="00ED5BD4">
        <w:rPr>
          <w:lang w:val="en-US"/>
        </w:rPr>
        <w:t>A summary of the comparative benefits and harms for</w:t>
      </w:r>
      <w:r>
        <w:rPr>
          <w:lang w:val="en-US"/>
        </w:rPr>
        <w:t xml:space="preserve"> the addition of pertuzumab to </w:t>
      </w:r>
      <w:r w:rsidR="00BD26D5">
        <w:rPr>
          <w:lang w:val="en-US"/>
        </w:rPr>
        <w:t>T+</w:t>
      </w:r>
      <w:r w:rsidR="00F1087A">
        <w:rPr>
          <w:lang w:val="en-US"/>
        </w:rPr>
        <w:t>Chemo</w:t>
      </w:r>
      <w:r>
        <w:rPr>
          <w:lang w:val="en-US"/>
        </w:rPr>
        <w:t xml:space="preserve"> versus </w:t>
      </w:r>
      <w:r w:rsidR="00D60F40">
        <w:rPr>
          <w:lang w:val="en-US"/>
        </w:rPr>
        <w:t xml:space="preserve">the addition of placebo/nothing to </w:t>
      </w:r>
      <w:r w:rsidR="00BD26D5">
        <w:rPr>
          <w:lang w:val="en-US"/>
        </w:rPr>
        <w:t>T+</w:t>
      </w:r>
      <w:r w:rsidR="00F1087A">
        <w:rPr>
          <w:lang w:val="en-US"/>
        </w:rPr>
        <w:t>Chemo</w:t>
      </w:r>
      <w:r w:rsidRPr="00ED5BD4">
        <w:rPr>
          <w:lang w:val="en-US"/>
        </w:rPr>
        <w:t xml:space="preserve"> </w:t>
      </w:r>
      <w:proofErr w:type="gramStart"/>
      <w:r w:rsidRPr="00ED5BD4">
        <w:rPr>
          <w:lang w:val="en-US"/>
        </w:rPr>
        <w:t xml:space="preserve">is </w:t>
      </w:r>
      <w:r w:rsidRPr="00D1198C">
        <w:rPr>
          <w:lang w:val="en-US"/>
        </w:rPr>
        <w:t>presented</w:t>
      </w:r>
      <w:proofErr w:type="gramEnd"/>
      <w:r w:rsidRPr="00D1198C">
        <w:rPr>
          <w:lang w:val="en-US"/>
        </w:rPr>
        <w:t xml:space="preserve"> in </w:t>
      </w:r>
      <w:r w:rsidR="00550A5E">
        <w:t xml:space="preserve">Table </w:t>
      </w:r>
      <w:r w:rsidR="00550A5E">
        <w:rPr>
          <w:noProof/>
        </w:rPr>
        <w:t>11</w:t>
      </w:r>
      <w:r w:rsidRPr="00D1198C">
        <w:t>.</w:t>
      </w:r>
    </w:p>
    <w:p w:rsidR="00872AAD" w:rsidRPr="00D2155B" w:rsidRDefault="001609C2" w:rsidP="00DB198E">
      <w:pPr>
        <w:pStyle w:val="TableFigureHeading"/>
        <w:keepLines/>
        <w:rPr>
          <w:rStyle w:val="CommentReference"/>
          <w:b/>
          <w:szCs w:val="24"/>
        </w:rPr>
      </w:pPr>
      <w:bookmarkStart w:id="40" w:name="_Ref33607448"/>
      <w:r>
        <w:t xml:space="preserve">Table </w:t>
      </w:r>
      <w:r w:rsidR="00550A5E">
        <w:rPr>
          <w:noProof/>
        </w:rPr>
        <w:t>11</w:t>
      </w:r>
      <w:bookmarkEnd w:id="40"/>
      <w:r w:rsidR="00872AAD" w:rsidRPr="009E19E1">
        <w:t xml:space="preserve">: Summary of comparative benefits and harms for </w:t>
      </w:r>
      <w:r w:rsidR="005543E3">
        <w:t xml:space="preserve">the addition of pertuzumab vs. the addition of placebo/nothing to </w:t>
      </w:r>
      <w:r w:rsidR="00872AAD" w:rsidRPr="009E19E1">
        <w:t>(T+</w:t>
      </w:r>
      <w:r w:rsidR="005543E3">
        <w:t>Chemo)*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1"/>
        <w:gridCol w:w="995"/>
        <w:gridCol w:w="424"/>
        <w:gridCol w:w="709"/>
        <w:gridCol w:w="561"/>
        <w:gridCol w:w="855"/>
        <w:gridCol w:w="424"/>
        <w:gridCol w:w="572"/>
        <w:gridCol w:w="1136"/>
        <w:gridCol w:w="1650"/>
      </w:tblGrid>
      <w:tr w:rsidR="00872AAD" w:rsidRPr="00C720BE" w:rsidTr="00DB198E">
        <w:trPr>
          <w:cantSplit/>
          <w:trHeight w:val="150"/>
        </w:trPr>
        <w:tc>
          <w:tcPr>
            <w:tcW w:w="938" w:type="pct"/>
            <w:vMerge w:val="restart"/>
            <w:shd w:val="clear" w:color="auto" w:fill="auto"/>
            <w:vAlign w:val="center"/>
          </w:tcPr>
          <w:p w:rsidR="00872AAD" w:rsidRPr="00C720BE" w:rsidRDefault="00872AAD" w:rsidP="00DB198E">
            <w:pPr>
              <w:pStyle w:val="In-tableHeading"/>
              <w:keepLines/>
            </w:pPr>
          </w:p>
        </w:tc>
        <w:tc>
          <w:tcPr>
            <w:tcW w:w="552" w:type="pct"/>
            <w:vMerge w:val="restart"/>
            <w:vAlign w:val="center"/>
          </w:tcPr>
          <w:p w:rsidR="00872AAD" w:rsidRPr="00C720BE" w:rsidRDefault="00872AAD" w:rsidP="00DB198E">
            <w:pPr>
              <w:pStyle w:val="In-tableHeading"/>
              <w:keepLines/>
              <w:jc w:val="center"/>
            </w:pPr>
            <w:r w:rsidRPr="00C720BE">
              <w:t>Pertuzumab</w:t>
            </w:r>
          </w:p>
          <w:p w:rsidR="00872AAD" w:rsidRPr="00C720BE" w:rsidRDefault="00872AAD" w:rsidP="00DB198E">
            <w:pPr>
              <w:pStyle w:val="In-tableHeading"/>
              <w:keepLines/>
              <w:jc w:val="center"/>
            </w:pPr>
            <w:r w:rsidRPr="00C720BE">
              <w:t>n/N</w:t>
            </w:r>
          </w:p>
        </w:tc>
        <w:tc>
          <w:tcPr>
            <w:tcW w:w="628" w:type="pct"/>
            <w:gridSpan w:val="2"/>
            <w:vMerge w:val="restart"/>
            <w:vAlign w:val="center"/>
          </w:tcPr>
          <w:p w:rsidR="00872AAD" w:rsidRPr="00C720BE" w:rsidRDefault="005543E3" w:rsidP="00DB198E">
            <w:pPr>
              <w:pStyle w:val="In-tableHeading"/>
              <w:keepLines/>
              <w:jc w:val="center"/>
            </w:pPr>
            <w:r w:rsidRPr="00C720BE">
              <w:t>PBO/</w:t>
            </w:r>
            <w:r w:rsidR="00872AAD" w:rsidRPr="00C720BE">
              <w:t>Nothing</w:t>
            </w:r>
          </w:p>
          <w:p w:rsidR="00872AAD" w:rsidRPr="00C720BE" w:rsidRDefault="00872AAD" w:rsidP="00DB198E">
            <w:pPr>
              <w:pStyle w:val="In-tableHeading"/>
              <w:keepLines/>
              <w:jc w:val="center"/>
            </w:pPr>
            <w:r w:rsidRPr="00C720BE">
              <w:t>n/N</w:t>
            </w:r>
          </w:p>
        </w:tc>
        <w:tc>
          <w:tcPr>
            <w:tcW w:w="785" w:type="pct"/>
            <w:gridSpan w:val="2"/>
            <w:vMerge w:val="restart"/>
            <w:vAlign w:val="center"/>
          </w:tcPr>
          <w:p w:rsidR="00872AAD" w:rsidRPr="00C720BE" w:rsidRDefault="00872AAD" w:rsidP="00DB198E">
            <w:pPr>
              <w:pStyle w:val="In-tableHeading"/>
              <w:keepLines/>
              <w:jc w:val="center"/>
            </w:pPr>
            <w:r w:rsidRPr="00C720BE">
              <w:t>RR</w:t>
            </w:r>
          </w:p>
          <w:p w:rsidR="00872AAD" w:rsidRPr="00C720BE" w:rsidRDefault="00872AAD" w:rsidP="00DB198E">
            <w:pPr>
              <w:pStyle w:val="In-tableHeading"/>
              <w:keepLines/>
              <w:jc w:val="center"/>
            </w:pPr>
            <w:r w:rsidRPr="00C720BE">
              <w:t>(95% CI)</w:t>
            </w:r>
          </w:p>
        </w:tc>
        <w:tc>
          <w:tcPr>
            <w:tcW w:w="1181" w:type="pct"/>
            <w:gridSpan w:val="3"/>
            <w:vAlign w:val="center"/>
          </w:tcPr>
          <w:p w:rsidR="00872AAD" w:rsidRPr="00C720BE" w:rsidRDefault="00872AAD" w:rsidP="00DB198E">
            <w:pPr>
              <w:pStyle w:val="In-tableHeading"/>
              <w:keepLines/>
              <w:jc w:val="center"/>
            </w:pPr>
            <w:r w:rsidRPr="00C720BE">
              <w:t>Event rate/100 patients</w:t>
            </w:r>
          </w:p>
        </w:tc>
        <w:tc>
          <w:tcPr>
            <w:tcW w:w="915" w:type="pct"/>
            <w:vMerge w:val="restart"/>
            <w:vAlign w:val="center"/>
          </w:tcPr>
          <w:p w:rsidR="00872AAD" w:rsidRPr="00C720BE" w:rsidRDefault="00872AAD" w:rsidP="00DB198E">
            <w:pPr>
              <w:pStyle w:val="In-tableHeading"/>
              <w:keepLines/>
              <w:jc w:val="center"/>
            </w:pPr>
            <w:r w:rsidRPr="00C720BE">
              <w:t>RD</w:t>
            </w:r>
          </w:p>
          <w:p w:rsidR="00872AAD" w:rsidRPr="00C720BE" w:rsidRDefault="00872AAD" w:rsidP="00DB198E">
            <w:pPr>
              <w:pStyle w:val="In-tableHeading"/>
              <w:keepLines/>
              <w:jc w:val="center"/>
            </w:pPr>
            <w:r w:rsidRPr="00C720BE">
              <w:t>(95% CI)</w:t>
            </w:r>
          </w:p>
        </w:tc>
      </w:tr>
      <w:tr w:rsidR="00872AAD" w:rsidRPr="00C720BE" w:rsidTr="00DB198E">
        <w:trPr>
          <w:cantSplit/>
          <w:trHeight w:val="112"/>
        </w:trPr>
        <w:tc>
          <w:tcPr>
            <w:tcW w:w="938" w:type="pct"/>
            <w:vMerge/>
            <w:shd w:val="clear" w:color="auto" w:fill="auto"/>
            <w:vAlign w:val="center"/>
          </w:tcPr>
          <w:p w:rsidR="00872AAD" w:rsidRPr="00C720BE" w:rsidRDefault="00872AAD" w:rsidP="00DB198E">
            <w:pPr>
              <w:pStyle w:val="In-tableHeading"/>
              <w:keepLines/>
              <w:jc w:val="center"/>
            </w:pPr>
          </w:p>
        </w:tc>
        <w:tc>
          <w:tcPr>
            <w:tcW w:w="552" w:type="pct"/>
            <w:vMerge/>
            <w:vAlign w:val="center"/>
          </w:tcPr>
          <w:p w:rsidR="00872AAD" w:rsidRPr="00C720BE" w:rsidRDefault="00872AAD" w:rsidP="00DB198E">
            <w:pPr>
              <w:pStyle w:val="In-tableHeading"/>
              <w:keepLines/>
              <w:jc w:val="center"/>
            </w:pPr>
          </w:p>
        </w:tc>
        <w:tc>
          <w:tcPr>
            <w:tcW w:w="628" w:type="pct"/>
            <w:gridSpan w:val="2"/>
            <w:vMerge/>
            <w:vAlign w:val="center"/>
          </w:tcPr>
          <w:p w:rsidR="00872AAD" w:rsidRPr="00C720BE" w:rsidRDefault="00872AAD" w:rsidP="00DB198E">
            <w:pPr>
              <w:pStyle w:val="In-tableHeading"/>
              <w:keepLines/>
              <w:jc w:val="center"/>
            </w:pPr>
          </w:p>
        </w:tc>
        <w:tc>
          <w:tcPr>
            <w:tcW w:w="785" w:type="pct"/>
            <w:gridSpan w:val="2"/>
            <w:vMerge/>
            <w:vAlign w:val="center"/>
          </w:tcPr>
          <w:p w:rsidR="00872AAD" w:rsidRPr="00C720BE" w:rsidRDefault="00872AAD" w:rsidP="00DB198E">
            <w:pPr>
              <w:pStyle w:val="In-tableHeading"/>
              <w:keepLines/>
              <w:jc w:val="center"/>
            </w:pPr>
          </w:p>
        </w:tc>
        <w:tc>
          <w:tcPr>
            <w:tcW w:w="552" w:type="pct"/>
            <w:gridSpan w:val="2"/>
            <w:vAlign w:val="center"/>
          </w:tcPr>
          <w:p w:rsidR="00872AAD" w:rsidRPr="00C720BE" w:rsidRDefault="00872AAD" w:rsidP="00DB198E">
            <w:pPr>
              <w:pStyle w:val="In-tableHeading"/>
              <w:keepLines/>
              <w:jc w:val="center"/>
            </w:pPr>
            <w:r w:rsidRPr="00C720BE">
              <w:t>Pertuzumab</w:t>
            </w:r>
          </w:p>
        </w:tc>
        <w:tc>
          <w:tcPr>
            <w:tcW w:w="629" w:type="pct"/>
            <w:vAlign w:val="center"/>
          </w:tcPr>
          <w:p w:rsidR="00872AAD" w:rsidRPr="00C720BE" w:rsidRDefault="00FE77BD" w:rsidP="00DB198E">
            <w:pPr>
              <w:pStyle w:val="In-tableHeading"/>
              <w:keepLines/>
              <w:jc w:val="center"/>
            </w:pPr>
            <w:r w:rsidRPr="00C720BE">
              <w:t>PBO/</w:t>
            </w:r>
            <w:r w:rsidR="00872AAD" w:rsidRPr="00C720BE">
              <w:t>Nothing</w:t>
            </w:r>
          </w:p>
        </w:tc>
        <w:tc>
          <w:tcPr>
            <w:tcW w:w="915" w:type="pct"/>
            <w:vMerge/>
            <w:vAlign w:val="center"/>
          </w:tcPr>
          <w:p w:rsidR="00872AAD" w:rsidRPr="00C720BE" w:rsidRDefault="00872AAD" w:rsidP="00DB198E">
            <w:pPr>
              <w:pStyle w:val="In-tableHeading"/>
              <w:keepLines/>
              <w:jc w:val="center"/>
            </w:pPr>
          </w:p>
        </w:tc>
      </w:tr>
      <w:tr w:rsidR="00872AAD" w:rsidRPr="00C720BE" w:rsidTr="00C76975">
        <w:trPr>
          <w:cantSplit/>
        </w:trPr>
        <w:tc>
          <w:tcPr>
            <w:tcW w:w="5000" w:type="pct"/>
            <w:gridSpan w:val="10"/>
            <w:shd w:val="clear" w:color="auto" w:fill="auto"/>
            <w:vAlign w:val="center"/>
          </w:tcPr>
          <w:p w:rsidR="00872AAD" w:rsidRPr="00C720BE" w:rsidRDefault="00872AAD" w:rsidP="00DB198E">
            <w:pPr>
              <w:pStyle w:val="In-tableHeading"/>
              <w:keepLines/>
            </w:pPr>
            <w:r w:rsidRPr="00C720BE">
              <w:t>Benefits</w:t>
            </w:r>
          </w:p>
        </w:tc>
      </w:tr>
      <w:tr w:rsidR="00872AAD" w:rsidRPr="00C720BE" w:rsidTr="00C76975">
        <w:trPr>
          <w:cantSplit/>
        </w:trPr>
        <w:tc>
          <w:tcPr>
            <w:tcW w:w="5000" w:type="pct"/>
            <w:gridSpan w:val="10"/>
            <w:tcBorders>
              <w:bottom w:val="single" w:sz="4" w:space="0" w:color="auto"/>
            </w:tcBorders>
            <w:shd w:val="clear" w:color="auto" w:fill="auto"/>
            <w:vAlign w:val="center"/>
          </w:tcPr>
          <w:p w:rsidR="00872AAD" w:rsidRPr="00C720BE" w:rsidRDefault="00872AAD" w:rsidP="00DB198E">
            <w:pPr>
              <w:pStyle w:val="In-tableHeading"/>
              <w:keepLines/>
            </w:pPr>
            <w:r w:rsidRPr="00C720BE">
              <w:t xml:space="preserve">Pathological complete response in the breast after neoadjuvant treatment </w:t>
            </w:r>
          </w:p>
        </w:tc>
      </w:tr>
      <w:tr w:rsidR="00872AAD" w:rsidRPr="00C720BE" w:rsidTr="00DB198E">
        <w:trPr>
          <w:cantSplit/>
        </w:trPr>
        <w:tc>
          <w:tcPr>
            <w:tcW w:w="938" w:type="pct"/>
            <w:tcBorders>
              <w:bottom w:val="nil"/>
            </w:tcBorders>
            <w:shd w:val="clear" w:color="auto" w:fill="auto"/>
            <w:vAlign w:val="center"/>
          </w:tcPr>
          <w:p w:rsidR="00872AAD" w:rsidRPr="00C720BE" w:rsidRDefault="00872AAD" w:rsidP="00DB198E">
            <w:pPr>
              <w:pStyle w:val="TableText0"/>
              <w:keepLines/>
            </w:pPr>
            <w:r w:rsidRPr="00C720BE">
              <w:t>NEOSPHERE</w:t>
            </w:r>
          </w:p>
        </w:tc>
        <w:tc>
          <w:tcPr>
            <w:tcW w:w="552" w:type="pct"/>
            <w:tcBorders>
              <w:bottom w:val="nil"/>
            </w:tcBorders>
            <w:vAlign w:val="center"/>
          </w:tcPr>
          <w:p w:rsidR="00872AAD" w:rsidRPr="00C720BE" w:rsidRDefault="00872AAD" w:rsidP="00DB198E">
            <w:pPr>
              <w:pStyle w:val="TableText0"/>
              <w:keepLines/>
              <w:jc w:val="center"/>
            </w:pPr>
            <w:r w:rsidRPr="00C720BE">
              <w:rPr>
                <w:rFonts w:eastAsia="MS Gothic" w:cs="Times New Roman"/>
              </w:rPr>
              <w:t>49/107</w:t>
            </w:r>
          </w:p>
        </w:tc>
        <w:tc>
          <w:tcPr>
            <w:tcW w:w="628" w:type="pct"/>
            <w:gridSpan w:val="2"/>
            <w:tcBorders>
              <w:bottom w:val="nil"/>
            </w:tcBorders>
            <w:vAlign w:val="center"/>
          </w:tcPr>
          <w:p w:rsidR="00872AAD" w:rsidRPr="00C720BE" w:rsidRDefault="00872AAD" w:rsidP="00DB198E">
            <w:pPr>
              <w:pStyle w:val="TableText0"/>
              <w:keepLines/>
              <w:jc w:val="center"/>
            </w:pPr>
            <w:r w:rsidRPr="00C720BE">
              <w:rPr>
                <w:rFonts w:eastAsia="MS Gothic" w:cs="Times New Roman"/>
              </w:rPr>
              <w:t xml:space="preserve">31/107 </w:t>
            </w:r>
          </w:p>
        </w:tc>
        <w:tc>
          <w:tcPr>
            <w:tcW w:w="785" w:type="pct"/>
            <w:gridSpan w:val="2"/>
            <w:tcBorders>
              <w:bottom w:val="nil"/>
            </w:tcBorders>
            <w:vAlign w:val="center"/>
          </w:tcPr>
          <w:p w:rsidR="00872AAD" w:rsidRPr="00C720BE" w:rsidRDefault="00872AAD" w:rsidP="00DB198E">
            <w:pPr>
              <w:pStyle w:val="TableText0"/>
              <w:keepLines/>
              <w:jc w:val="center"/>
              <w:rPr>
                <w:b/>
                <w:bCs w:val="0"/>
              </w:rPr>
            </w:pPr>
            <w:r w:rsidRPr="00C720BE">
              <w:rPr>
                <w:rFonts w:eastAsia="MS Gothic" w:cs="Times New Roman"/>
                <w:b/>
                <w:bCs w:val="0"/>
                <w:iCs/>
              </w:rPr>
              <w:t>1.58 (1.10-2.27)</w:t>
            </w:r>
          </w:p>
        </w:tc>
        <w:tc>
          <w:tcPr>
            <w:tcW w:w="552" w:type="pct"/>
            <w:gridSpan w:val="2"/>
            <w:tcBorders>
              <w:bottom w:val="nil"/>
            </w:tcBorders>
            <w:vAlign w:val="center"/>
          </w:tcPr>
          <w:p w:rsidR="00872AAD" w:rsidRPr="00C720BE" w:rsidRDefault="00872AAD" w:rsidP="00DB198E">
            <w:pPr>
              <w:pStyle w:val="TableText0"/>
              <w:keepLines/>
              <w:jc w:val="center"/>
              <w:rPr>
                <w:iCs/>
              </w:rPr>
            </w:pPr>
            <w:r w:rsidRPr="00C720BE">
              <w:rPr>
                <w:iCs/>
              </w:rPr>
              <w:t>45.8</w:t>
            </w:r>
          </w:p>
        </w:tc>
        <w:tc>
          <w:tcPr>
            <w:tcW w:w="629" w:type="pct"/>
            <w:tcBorders>
              <w:bottom w:val="nil"/>
            </w:tcBorders>
            <w:vAlign w:val="center"/>
          </w:tcPr>
          <w:p w:rsidR="00872AAD" w:rsidRPr="00C720BE" w:rsidRDefault="00872AAD" w:rsidP="00DB198E">
            <w:pPr>
              <w:pStyle w:val="TableText0"/>
              <w:keepLines/>
              <w:jc w:val="center"/>
              <w:rPr>
                <w:iCs/>
              </w:rPr>
            </w:pPr>
            <w:r w:rsidRPr="00C720BE">
              <w:rPr>
                <w:iCs/>
              </w:rPr>
              <w:t>29.0</w:t>
            </w:r>
          </w:p>
        </w:tc>
        <w:tc>
          <w:tcPr>
            <w:tcW w:w="915" w:type="pct"/>
            <w:tcBorders>
              <w:bottom w:val="nil"/>
            </w:tcBorders>
            <w:vAlign w:val="center"/>
          </w:tcPr>
          <w:p w:rsidR="00872AAD" w:rsidRPr="00C720BE" w:rsidRDefault="00872AAD" w:rsidP="00DB198E">
            <w:pPr>
              <w:pStyle w:val="TableText0"/>
              <w:keepLines/>
              <w:jc w:val="center"/>
            </w:pPr>
            <w:r w:rsidRPr="00C720BE">
              <w:rPr>
                <w:rFonts w:eastAsia="MS Gothic" w:cs="Times New Roman"/>
                <w:b/>
              </w:rPr>
              <w:t>16.8 (3.5, 30.1)</w:t>
            </w:r>
          </w:p>
        </w:tc>
      </w:tr>
      <w:tr w:rsidR="00872AAD" w:rsidRPr="00C720BE" w:rsidTr="00C76975">
        <w:trPr>
          <w:cantSplit/>
        </w:trPr>
        <w:tc>
          <w:tcPr>
            <w:tcW w:w="5000" w:type="pct"/>
            <w:gridSpan w:val="10"/>
            <w:tcBorders>
              <w:bottom w:val="single" w:sz="4" w:space="0" w:color="auto"/>
            </w:tcBorders>
            <w:shd w:val="clear" w:color="auto" w:fill="auto"/>
            <w:vAlign w:val="center"/>
          </w:tcPr>
          <w:p w:rsidR="00872AAD" w:rsidRPr="00C720BE" w:rsidRDefault="00872AAD" w:rsidP="00DB198E">
            <w:pPr>
              <w:pStyle w:val="In-tableHeading"/>
              <w:keepLines/>
            </w:pPr>
            <w:r w:rsidRPr="00C720BE">
              <w:t xml:space="preserve">Total pathological complete response after neoadjuvant treatment </w:t>
            </w:r>
          </w:p>
        </w:tc>
      </w:tr>
      <w:tr w:rsidR="00872AAD" w:rsidRPr="00C720BE" w:rsidTr="00DB198E">
        <w:trPr>
          <w:cantSplit/>
        </w:trPr>
        <w:tc>
          <w:tcPr>
            <w:tcW w:w="938" w:type="pct"/>
            <w:tcBorders>
              <w:bottom w:val="nil"/>
            </w:tcBorders>
            <w:shd w:val="clear" w:color="auto" w:fill="auto"/>
            <w:vAlign w:val="center"/>
          </w:tcPr>
          <w:p w:rsidR="00872AAD" w:rsidRPr="00C720BE" w:rsidRDefault="00872AAD" w:rsidP="00DB198E">
            <w:pPr>
              <w:pStyle w:val="TableText0"/>
              <w:keepLines/>
            </w:pPr>
            <w:r w:rsidRPr="00C720BE">
              <w:t>NEOSPHERE</w:t>
            </w:r>
          </w:p>
        </w:tc>
        <w:tc>
          <w:tcPr>
            <w:tcW w:w="552" w:type="pct"/>
            <w:tcBorders>
              <w:bottom w:val="nil"/>
            </w:tcBorders>
            <w:vAlign w:val="center"/>
          </w:tcPr>
          <w:p w:rsidR="00872AAD" w:rsidRPr="00C720BE" w:rsidRDefault="00872AAD" w:rsidP="00DB198E">
            <w:pPr>
              <w:pStyle w:val="TableText0"/>
              <w:keepLines/>
              <w:jc w:val="center"/>
            </w:pPr>
            <w:r w:rsidRPr="00C720BE">
              <w:rPr>
                <w:rFonts w:eastAsia="MS Gothic" w:cs="Times New Roman"/>
              </w:rPr>
              <w:t>42/107</w:t>
            </w:r>
          </w:p>
        </w:tc>
        <w:tc>
          <w:tcPr>
            <w:tcW w:w="628" w:type="pct"/>
            <w:gridSpan w:val="2"/>
            <w:tcBorders>
              <w:bottom w:val="nil"/>
            </w:tcBorders>
            <w:vAlign w:val="center"/>
          </w:tcPr>
          <w:p w:rsidR="00872AAD" w:rsidRPr="00C720BE" w:rsidRDefault="00872AAD" w:rsidP="00DB198E">
            <w:pPr>
              <w:pStyle w:val="TableText0"/>
              <w:keepLines/>
              <w:jc w:val="center"/>
            </w:pPr>
            <w:r w:rsidRPr="00C720BE">
              <w:rPr>
                <w:rFonts w:eastAsia="MS Gothic" w:cs="Times New Roman"/>
              </w:rPr>
              <w:t>23/107</w:t>
            </w:r>
          </w:p>
        </w:tc>
        <w:tc>
          <w:tcPr>
            <w:tcW w:w="785" w:type="pct"/>
            <w:gridSpan w:val="2"/>
            <w:tcBorders>
              <w:bottom w:val="nil"/>
            </w:tcBorders>
            <w:shd w:val="clear" w:color="auto" w:fill="auto"/>
            <w:vAlign w:val="center"/>
          </w:tcPr>
          <w:p w:rsidR="00872AAD" w:rsidRPr="00C720BE" w:rsidRDefault="00872AAD" w:rsidP="00DB198E">
            <w:pPr>
              <w:pStyle w:val="TableText0"/>
              <w:keepLines/>
              <w:jc w:val="center"/>
              <w:rPr>
                <w:b/>
                <w:bCs w:val="0"/>
              </w:rPr>
            </w:pPr>
            <w:r w:rsidRPr="00C720BE">
              <w:rPr>
                <w:rFonts w:eastAsia="MS Gothic" w:cs="Times New Roman"/>
                <w:b/>
                <w:bCs w:val="0"/>
                <w:iCs/>
              </w:rPr>
              <w:t>1.83 (1.19, 2.81)</w:t>
            </w:r>
          </w:p>
        </w:tc>
        <w:tc>
          <w:tcPr>
            <w:tcW w:w="552" w:type="pct"/>
            <w:gridSpan w:val="2"/>
            <w:tcBorders>
              <w:bottom w:val="nil"/>
            </w:tcBorders>
            <w:vAlign w:val="center"/>
          </w:tcPr>
          <w:p w:rsidR="00872AAD" w:rsidRPr="00C720BE" w:rsidRDefault="00872AAD" w:rsidP="00DB198E">
            <w:pPr>
              <w:pStyle w:val="TableText0"/>
              <w:keepLines/>
              <w:jc w:val="center"/>
              <w:rPr>
                <w:iCs/>
              </w:rPr>
            </w:pPr>
            <w:r w:rsidRPr="00C720BE">
              <w:rPr>
                <w:iCs/>
              </w:rPr>
              <w:t>39.3</w:t>
            </w:r>
          </w:p>
        </w:tc>
        <w:tc>
          <w:tcPr>
            <w:tcW w:w="629" w:type="pct"/>
            <w:tcBorders>
              <w:bottom w:val="nil"/>
            </w:tcBorders>
            <w:vAlign w:val="center"/>
          </w:tcPr>
          <w:p w:rsidR="00872AAD" w:rsidRPr="00C720BE" w:rsidRDefault="00872AAD" w:rsidP="00DB198E">
            <w:pPr>
              <w:pStyle w:val="TableText0"/>
              <w:keepLines/>
              <w:jc w:val="center"/>
              <w:rPr>
                <w:iCs/>
              </w:rPr>
            </w:pPr>
            <w:r w:rsidRPr="00C720BE">
              <w:rPr>
                <w:iCs/>
              </w:rPr>
              <w:t>21.5</w:t>
            </w:r>
          </w:p>
        </w:tc>
        <w:tc>
          <w:tcPr>
            <w:tcW w:w="915" w:type="pct"/>
            <w:tcBorders>
              <w:bottom w:val="nil"/>
            </w:tcBorders>
            <w:vAlign w:val="center"/>
          </w:tcPr>
          <w:p w:rsidR="00872AAD" w:rsidRPr="00C720BE" w:rsidRDefault="00872AAD" w:rsidP="00DB198E">
            <w:pPr>
              <w:pStyle w:val="TableText0"/>
              <w:keepLines/>
              <w:jc w:val="center"/>
            </w:pPr>
            <w:r w:rsidRPr="00C720BE">
              <w:rPr>
                <w:rFonts w:eastAsia="MS Gothic" w:cs="Times New Roman"/>
                <w:b/>
              </w:rPr>
              <w:t>17.8 (4.6, 31.0)</w:t>
            </w:r>
          </w:p>
        </w:tc>
      </w:tr>
      <w:tr w:rsidR="00872AAD" w:rsidRPr="00C720BE" w:rsidTr="00DB198E">
        <w:trPr>
          <w:cantSplit/>
        </w:trPr>
        <w:tc>
          <w:tcPr>
            <w:tcW w:w="938" w:type="pct"/>
            <w:tcBorders>
              <w:top w:val="nil"/>
              <w:bottom w:val="nil"/>
            </w:tcBorders>
            <w:shd w:val="clear" w:color="auto" w:fill="auto"/>
            <w:vAlign w:val="center"/>
          </w:tcPr>
          <w:p w:rsidR="00872AAD" w:rsidRPr="00C720BE" w:rsidRDefault="00872AAD" w:rsidP="00DB198E">
            <w:pPr>
              <w:pStyle w:val="TableText0"/>
              <w:keepLines/>
              <w:rPr>
                <w:iCs/>
              </w:rPr>
            </w:pPr>
            <w:r w:rsidRPr="00C720BE">
              <w:rPr>
                <w:iCs/>
              </w:rPr>
              <w:t>PEONY</w:t>
            </w:r>
          </w:p>
        </w:tc>
        <w:tc>
          <w:tcPr>
            <w:tcW w:w="552" w:type="pct"/>
            <w:tcBorders>
              <w:top w:val="nil"/>
              <w:bottom w:val="nil"/>
            </w:tcBorders>
            <w:vAlign w:val="center"/>
          </w:tcPr>
          <w:p w:rsidR="00872AAD" w:rsidRPr="00C720BE" w:rsidRDefault="00872AAD" w:rsidP="00DB198E">
            <w:pPr>
              <w:pStyle w:val="TableText0"/>
              <w:keepLines/>
              <w:jc w:val="center"/>
              <w:rPr>
                <w:rFonts w:eastAsia="MS Gothic" w:cs="Times New Roman"/>
                <w:iCs/>
              </w:rPr>
            </w:pPr>
            <w:r w:rsidRPr="00C720BE">
              <w:rPr>
                <w:rFonts w:eastAsia="MS Gothic" w:cs="Times New Roman"/>
                <w:iCs/>
              </w:rPr>
              <w:t>86/219</w:t>
            </w:r>
          </w:p>
        </w:tc>
        <w:tc>
          <w:tcPr>
            <w:tcW w:w="628" w:type="pct"/>
            <w:gridSpan w:val="2"/>
            <w:tcBorders>
              <w:top w:val="nil"/>
              <w:bottom w:val="nil"/>
            </w:tcBorders>
            <w:vAlign w:val="center"/>
          </w:tcPr>
          <w:p w:rsidR="00872AAD" w:rsidRPr="00C720BE" w:rsidRDefault="00872AAD" w:rsidP="00DB198E">
            <w:pPr>
              <w:pStyle w:val="TableText0"/>
              <w:keepLines/>
              <w:jc w:val="center"/>
              <w:rPr>
                <w:rFonts w:eastAsia="MS Gothic" w:cs="Times New Roman"/>
                <w:iCs/>
              </w:rPr>
            </w:pPr>
            <w:r w:rsidRPr="00C720BE">
              <w:rPr>
                <w:rFonts w:eastAsia="MS Gothic" w:cs="Times New Roman"/>
                <w:iCs/>
              </w:rPr>
              <w:t>24/110</w:t>
            </w:r>
          </w:p>
        </w:tc>
        <w:tc>
          <w:tcPr>
            <w:tcW w:w="785" w:type="pct"/>
            <w:gridSpan w:val="2"/>
            <w:tcBorders>
              <w:top w:val="nil"/>
              <w:bottom w:val="nil"/>
            </w:tcBorders>
            <w:shd w:val="clear" w:color="auto" w:fill="auto"/>
            <w:vAlign w:val="center"/>
          </w:tcPr>
          <w:p w:rsidR="00872AAD" w:rsidRPr="00C720BE" w:rsidRDefault="00872AAD" w:rsidP="00DB198E">
            <w:pPr>
              <w:pStyle w:val="TableText0"/>
              <w:keepLines/>
              <w:jc w:val="center"/>
              <w:rPr>
                <w:rFonts w:eastAsia="MS Gothic" w:cs="Times New Roman"/>
                <w:iCs/>
              </w:rPr>
            </w:pPr>
            <w:r w:rsidRPr="00C720BE">
              <w:rPr>
                <w:rFonts w:eastAsia="MS Gothic" w:cs="Times New Roman"/>
                <w:b/>
                <w:iCs/>
              </w:rPr>
              <w:t>1.80 (1.22, 2.66)</w:t>
            </w:r>
          </w:p>
        </w:tc>
        <w:tc>
          <w:tcPr>
            <w:tcW w:w="552" w:type="pct"/>
            <w:gridSpan w:val="2"/>
            <w:tcBorders>
              <w:top w:val="nil"/>
              <w:bottom w:val="nil"/>
            </w:tcBorders>
            <w:vAlign w:val="center"/>
          </w:tcPr>
          <w:p w:rsidR="00872AAD" w:rsidRPr="00C720BE" w:rsidRDefault="00872AAD" w:rsidP="00DB198E">
            <w:pPr>
              <w:pStyle w:val="TableText0"/>
              <w:keepLines/>
              <w:jc w:val="center"/>
              <w:rPr>
                <w:iCs/>
              </w:rPr>
            </w:pPr>
            <w:r w:rsidRPr="00C720BE">
              <w:rPr>
                <w:iCs/>
              </w:rPr>
              <w:t>39.3</w:t>
            </w:r>
          </w:p>
        </w:tc>
        <w:tc>
          <w:tcPr>
            <w:tcW w:w="629" w:type="pct"/>
            <w:tcBorders>
              <w:top w:val="nil"/>
              <w:bottom w:val="nil"/>
            </w:tcBorders>
            <w:vAlign w:val="center"/>
          </w:tcPr>
          <w:p w:rsidR="00872AAD" w:rsidRPr="00C720BE" w:rsidRDefault="00872AAD" w:rsidP="00DB198E">
            <w:pPr>
              <w:pStyle w:val="TableText0"/>
              <w:keepLines/>
              <w:jc w:val="center"/>
              <w:rPr>
                <w:iCs/>
              </w:rPr>
            </w:pPr>
            <w:r w:rsidRPr="00C720BE">
              <w:rPr>
                <w:iCs/>
              </w:rPr>
              <w:t>21.8</w:t>
            </w:r>
          </w:p>
        </w:tc>
        <w:tc>
          <w:tcPr>
            <w:tcW w:w="915" w:type="pct"/>
            <w:tcBorders>
              <w:top w:val="nil"/>
              <w:bottom w:val="nil"/>
            </w:tcBorders>
            <w:vAlign w:val="center"/>
          </w:tcPr>
          <w:p w:rsidR="00872AAD" w:rsidRPr="00C720BE" w:rsidRDefault="00872AAD" w:rsidP="00DB198E">
            <w:pPr>
              <w:pStyle w:val="TableText0"/>
              <w:keepLines/>
              <w:jc w:val="center"/>
              <w:rPr>
                <w:rFonts w:eastAsia="MS Gothic" w:cs="Times New Roman"/>
                <w:b/>
                <w:iCs/>
              </w:rPr>
            </w:pPr>
            <w:r w:rsidRPr="00C720BE">
              <w:rPr>
                <w:rFonts w:eastAsia="MS Gothic" w:cs="Times New Roman"/>
                <w:b/>
                <w:iCs/>
              </w:rPr>
              <w:t>17.5 (6.9, 28.0)</w:t>
            </w:r>
          </w:p>
        </w:tc>
      </w:tr>
      <w:tr w:rsidR="00872AAD" w:rsidRPr="00C720BE" w:rsidTr="00C76975">
        <w:trPr>
          <w:cantSplit/>
        </w:trPr>
        <w:tc>
          <w:tcPr>
            <w:tcW w:w="5000" w:type="pct"/>
            <w:gridSpan w:val="10"/>
            <w:tcBorders>
              <w:bottom w:val="single" w:sz="4" w:space="0" w:color="auto"/>
            </w:tcBorders>
            <w:shd w:val="clear" w:color="auto" w:fill="auto"/>
            <w:vAlign w:val="center"/>
          </w:tcPr>
          <w:p w:rsidR="00872AAD" w:rsidRPr="00C720BE" w:rsidRDefault="00872AAD" w:rsidP="00DB198E">
            <w:pPr>
              <w:pStyle w:val="In-tableHeading"/>
              <w:keepLines/>
            </w:pPr>
            <w:r w:rsidRPr="00C720BE">
              <w:t>Clinical complete response as best tumour response during neoadjuvant treatment period</w:t>
            </w:r>
          </w:p>
        </w:tc>
      </w:tr>
      <w:tr w:rsidR="00872AAD" w:rsidRPr="00C720BE" w:rsidTr="00DB198E">
        <w:trPr>
          <w:cantSplit/>
        </w:trPr>
        <w:tc>
          <w:tcPr>
            <w:tcW w:w="938" w:type="pct"/>
            <w:tcBorders>
              <w:bottom w:val="nil"/>
            </w:tcBorders>
            <w:shd w:val="clear" w:color="auto" w:fill="auto"/>
            <w:vAlign w:val="center"/>
          </w:tcPr>
          <w:p w:rsidR="00872AAD" w:rsidRPr="00C720BE" w:rsidRDefault="00872AAD" w:rsidP="00DB198E">
            <w:pPr>
              <w:pStyle w:val="TableText0"/>
              <w:keepLines/>
            </w:pPr>
            <w:r w:rsidRPr="00C720BE">
              <w:t>NEOSPHERE</w:t>
            </w:r>
          </w:p>
        </w:tc>
        <w:tc>
          <w:tcPr>
            <w:tcW w:w="552" w:type="pct"/>
            <w:tcBorders>
              <w:bottom w:val="nil"/>
            </w:tcBorders>
            <w:vAlign w:val="center"/>
          </w:tcPr>
          <w:p w:rsidR="00872AAD" w:rsidRPr="00C720BE" w:rsidRDefault="00872AAD" w:rsidP="00DB198E">
            <w:pPr>
              <w:pStyle w:val="TableText0"/>
              <w:keepLines/>
              <w:jc w:val="center"/>
            </w:pPr>
            <w:r w:rsidRPr="00C720BE">
              <w:rPr>
                <w:rFonts w:eastAsia="MS Gothic" w:cs="Times New Roman"/>
              </w:rPr>
              <w:t>31/101</w:t>
            </w:r>
          </w:p>
        </w:tc>
        <w:tc>
          <w:tcPr>
            <w:tcW w:w="628" w:type="pct"/>
            <w:gridSpan w:val="2"/>
            <w:tcBorders>
              <w:bottom w:val="nil"/>
            </w:tcBorders>
            <w:vAlign w:val="center"/>
          </w:tcPr>
          <w:p w:rsidR="00872AAD" w:rsidRPr="00C720BE" w:rsidRDefault="00872AAD" w:rsidP="00DB198E">
            <w:pPr>
              <w:pStyle w:val="TableText0"/>
              <w:keepLines/>
              <w:jc w:val="center"/>
            </w:pPr>
            <w:r w:rsidRPr="00C720BE">
              <w:rPr>
                <w:rFonts w:eastAsia="MS Gothic" w:cs="Times New Roman"/>
              </w:rPr>
              <w:t>23/99</w:t>
            </w:r>
          </w:p>
        </w:tc>
        <w:tc>
          <w:tcPr>
            <w:tcW w:w="785" w:type="pct"/>
            <w:gridSpan w:val="2"/>
            <w:tcBorders>
              <w:bottom w:val="nil"/>
            </w:tcBorders>
            <w:shd w:val="clear" w:color="auto" w:fill="auto"/>
            <w:vAlign w:val="center"/>
          </w:tcPr>
          <w:p w:rsidR="00872AAD" w:rsidRPr="00C720BE" w:rsidRDefault="00872AAD" w:rsidP="00DB198E">
            <w:pPr>
              <w:pStyle w:val="TableText0"/>
              <w:keepLines/>
              <w:jc w:val="center"/>
              <w:rPr>
                <w:iCs/>
              </w:rPr>
            </w:pPr>
            <w:r w:rsidRPr="00C720BE">
              <w:rPr>
                <w:iCs/>
              </w:rPr>
              <w:t>1.32 (0.83, 2.10)</w:t>
            </w:r>
          </w:p>
        </w:tc>
        <w:tc>
          <w:tcPr>
            <w:tcW w:w="552" w:type="pct"/>
            <w:gridSpan w:val="2"/>
            <w:tcBorders>
              <w:bottom w:val="nil"/>
            </w:tcBorders>
            <w:vAlign w:val="center"/>
          </w:tcPr>
          <w:p w:rsidR="00872AAD" w:rsidRPr="00C720BE" w:rsidRDefault="00872AAD" w:rsidP="00DB198E">
            <w:pPr>
              <w:pStyle w:val="TableText0"/>
              <w:keepLines/>
              <w:jc w:val="center"/>
              <w:rPr>
                <w:iCs/>
              </w:rPr>
            </w:pPr>
            <w:r w:rsidRPr="00C720BE">
              <w:rPr>
                <w:iCs/>
              </w:rPr>
              <w:t>30.7</w:t>
            </w:r>
          </w:p>
        </w:tc>
        <w:tc>
          <w:tcPr>
            <w:tcW w:w="629" w:type="pct"/>
            <w:tcBorders>
              <w:bottom w:val="nil"/>
            </w:tcBorders>
            <w:vAlign w:val="center"/>
          </w:tcPr>
          <w:p w:rsidR="00872AAD" w:rsidRPr="00C720BE" w:rsidRDefault="00872AAD" w:rsidP="00DB198E">
            <w:pPr>
              <w:pStyle w:val="TableText0"/>
              <w:keepLines/>
              <w:jc w:val="center"/>
              <w:rPr>
                <w:iCs/>
              </w:rPr>
            </w:pPr>
            <w:r w:rsidRPr="00C720BE">
              <w:rPr>
                <w:iCs/>
              </w:rPr>
              <w:t>23.2</w:t>
            </w:r>
          </w:p>
        </w:tc>
        <w:tc>
          <w:tcPr>
            <w:tcW w:w="915" w:type="pct"/>
            <w:tcBorders>
              <w:bottom w:val="nil"/>
            </w:tcBorders>
            <w:vAlign w:val="center"/>
          </w:tcPr>
          <w:p w:rsidR="00872AAD" w:rsidRPr="00C720BE" w:rsidRDefault="00872AAD" w:rsidP="00DB198E">
            <w:pPr>
              <w:pStyle w:val="TableText0"/>
              <w:keepLines/>
              <w:jc w:val="center"/>
              <w:rPr>
                <w:iCs/>
              </w:rPr>
            </w:pPr>
            <w:r w:rsidRPr="00C720BE">
              <w:rPr>
                <w:iCs/>
              </w:rPr>
              <w:t>7.5% (−5.4, 20.3)</w:t>
            </w:r>
          </w:p>
        </w:tc>
      </w:tr>
      <w:tr w:rsidR="00872AAD" w:rsidRPr="00C720BE" w:rsidTr="00DB198E">
        <w:trPr>
          <w:cantSplit/>
        </w:trPr>
        <w:tc>
          <w:tcPr>
            <w:tcW w:w="938" w:type="pct"/>
            <w:tcBorders>
              <w:top w:val="nil"/>
              <w:bottom w:val="nil"/>
            </w:tcBorders>
            <w:shd w:val="clear" w:color="auto" w:fill="auto"/>
            <w:vAlign w:val="center"/>
          </w:tcPr>
          <w:p w:rsidR="00872AAD" w:rsidRPr="00C720BE" w:rsidRDefault="00872AAD" w:rsidP="00DB198E">
            <w:pPr>
              <w:pStyle w:val="TableText0"/>
              <w:keepLines/>
              <w:rPr>
                <w:iCs/>
              </w:rPr>
            </w:pPr>
            <w:r w:rsidRPr="00C720BE">
              <w:rPr>
                <w:iCs/>
              </w:rPr>
              <w:t>PEONY</w:t>
            </w:r>
          </w:p>
        </w:tc>
        <w:tc>
          <w:tcPr>
            <w:tcW w:w="552" w:type="pct"/>
            <w:tcBorders>
              <w:top w:val="nil"/>
              <w:bottom w:val="nil"/>
            </w:tcBorders>
            <w:shd w:val="clear" w:color="auto" w:fill="auto"/>
            <w:vAlign w:val="center"/>
          </w:tcPr>
          <w:p w:rsidR="00872AAD" w:rsidRPr="00C720BE" w:rsidRDefault="00872AAD" w:rsidP="00DB198E">
            <w:pPr>
              <w:pStyle w:val="TableText0"/>
              <w:keepLines/>
              <w:jc w:val="center"/>
              <w:rPr>
                <w:rFonts w:eastAsia="MS Gothic" w:cs="Times New Roman"/>
                <w:iCs/>
              </w:rPr>
            </w:pPr>
            <w:r w:rsidRPr="00C720BE">
              <w:rPr>
                <w:rFonts w:eastAsia="MS Gothic" w:cs="Times New Roman"/>
                <w:iCs/>
              </w:rPr>
              <w:t xml:space="preserve">24/219 </w:t>
            </w:r>
          </w:p>
        </w:tc>
        <w:tc>
          <w:tcPr>
            <w:tcW w:w="628" w:type="pct"/>
            <w:gridSpan w:val="2"/>
            <w:tcBorders>
              <w:top w:val="nil"/>
              <w:bottom w:val="nil"/>
            </w:tcBorders>
            <w:shd w:val="clear" w:color="auto" w:fill="auto"/>
            <w:vAlign w:val="center"/>
          </w:tcPr>
          <w:p w:rsidR="00872AAD" w:rsidRPr="00C720BE" w:rsidRDefault="00872AAD" w:rsidP="00DB198E">
            <w:pPr>
              <w:pStyle w:val="TableText0"/>
              <w:keepLines/>
              <w:jc w:val="center"/>
              <w:rPr>
                <w:rFonts w:eastAsia="MS Gothic" w:cs="Times New Roman"/>
                <w:iCs/>
              </w:rPr>
            </w:pPr>
            <w:r w:rsidRPr="00C720BE">
              <w:rPr>
                <w:rFonts w:eastAsia="MS Gothic" w:cs="Times New Roman"/>
                <w:iCs/>
              </w:rPr>
              <w:t>11/110</w:t>
            </w:r>
          </w:p>
        </w:tc>
        <w:tc>
          <w:tcPr>
            <w:tcW w:w="785" w:type="pct"/>
            <w:gridSpan w:val="2"/>
            <w:tcBorders>
              <w:top w:val="nil"/>
              <w:bottom w:val="nil"/>
            </w:tcBorders>
            <w:shd w:val="clear" w:color="auto" w:fill="auto"/>
            <w:vAlign w:val="center"/>
          </w:tcPr>
          <w:p w:rsidR="00872AAD" w:rsidRPr="00C720BE" w:rsidRDefault="00872AAD" w:rsidP="00DB198E">
            <w:pPr>
              <w:pStyle w:val="TableText0"/>
              <w:keepLines/>
              <w:jc w:val="center"/>
              <w:rPr>
                <w:rFonts w:eastAsia="MS Gothic" w:cs="Times New Roman"/>
                <w:iCs/>
              </w:rPr>
            </w:pPr>
            <w:r w:rsidRPr="00C720BE">
              <w:rPr>
                <w:rFonts w:eastAsia="MS Gothic" w:cs="Times New Roman"/>
                <w:iCs/>
              </w:rPr>
              <w:t>1.10 (0.56, 2.15)</w:t>
            </w:r>
          </w:p>
        </w:tc>
        <w:tc>
          <w:tcPr>
            <w:tcW w:w="552" w:type="pct"/>
            <w:gridSpan w:val="2"/>
            <w:tcBorders>
              <w:top w:val="nil"/>
              <w:bottom w:val="nil"/>
            </w:tcBorders>
            <w:vAlign w:val="center"/>
          </w:tcPr>
          <w:p w:rsidR="00872AAD" w:rsidRPr="00C720BE" w:rsidRDefault="00872AAD" w:rsidP="00DB198E">
            <w:pPr>
              <w:pStyle w:val="TableText0"/>
              <w:keepLines/>
              <w:jc w:val="center"/>
              <w:rPr>
                <w:iCs/>
              </w:rPr>
            </w:pPr>
            <w:r w:rsidRPr="00C720BE">
              <w:rPr>
                <w:iCs/>
              </w:rPr>
              <w:t>11.0</w:t>
            </w:r>
          </w:p>
        </w:tc>
        <w:tc>
          <w:tcPr>
            <w:tcW w:w="629" w:type="pct"/>
            <w:tcBorders>
              <w:top w:val="nil"/>
              <w:bottom w:val="nil"/>
            </w:tcBorders>
            <w:vAlign w:val="center"/>
          </w:tcPr>
          <w:p w:rsidR="00872AAD" w:rsidRPr="00C720BE" w:rsidRDefault="00872AAD" w:rsidP="00DB198E">
            <w:pPr>
              <w:pStyle w:val="TableText0"/>
              <w:keepLines/>
              <w:jc w:val="center"/>
              <w:rPr>
                <w:iCs/>
              </w:rPr>
            </w:pPr>
            <w:r w:rsidRPr="00C720BE">
              <w:rPr>
                <w:iCs/>
              </w:rPr>
              <w:t>10.0</w:t>
            </w:r>
          </w:p>
        </w:tc>
        <w:tc>
          <w:tcPr>
            <w:tcW w:w="915" w:type="pct"/>
            <w:tcBorders>
              <w:top w:val="nil"/>
              <w:bottom w:val="nil"/>
            </w:tcBorders>
            <w:vAlign w:val="center"/>
          </w:tcPr>
          <w:p w:rsidR="00872AAD" w:rsidRPr="00C720BE" w:rsidRDefault="00872AAD" w:rsidP="00DB198E">
            <w:pPr>
              <w:pStyle w:val="TableText0"/>
              <w:keepLines/>
              <w:jc w:val="center"/>
              <w:rPr>
                <w:rFonts w:eastAsia="MS Gothic" w:cs="Times New Roman"/>
                <w:bCs w:val="0"/>
                <w:iCs/>
              </w:rPr>
            </w:pPr>
            <w:r w:rsidRPr="00C720BE">
              <w:rPr>
                <w:rFonts w:eastAsia="MS Gothic" w:cs="Times New Roman"/>
                <w:bCs w:val="0"/>
                <w:iCs/>
              </w:rPr>
              <w:t>1.0% (−6.5, 8.4)</w:t>
            </w:r>
          </w:p>
        </w:tc>
      </w:tr>
      <w:tr w:rsidR="00872AAD" w:rsidRPr="00C720BE" w:rsidTr="00C76975">
        <w:trPr>
          <w:cantSplit/>
          <w:trHeight w:val="20"/>
        </w:trPr>
        <w:tc>
          <w:tcPr>
            <w:tcW w:w="5000" w:type="pct"/>
            <w:gridSpan w:val="10"/>
            <w:shd w:val="clear" w:color="auto" w:fill="auto"/>
          </w:tcPr>
          <w:p w:rsidR="00872AAD" w:rsidRPr="00C720BE" w:rsidRDefault="004E2FB4" w:rsidP="00DB198E">
            <w:pPr>
              <w:pStyle w:val="In-tableHeading"/>
              <w:keepLines/>
            </w:pPr>
            <w:r>
              <w:t xml:space="preserve">Survival outcomes </w:t>
            </w:r>
            <w:r w:rsidR="00872AAD" w:rsidRPr="00C720BE">
              <w:t>in NEOSPHERE (5 years from randomisation)</w:t>
            </w:r>
          </w:p>
        </w:tc>
      </w:tr>
      <w:tr w:rsidR="00872AAD" w:rsidRPr="00C720BE" w:rsidTr="00DB198E">
        <w:trPr>
          <w:cantSplit/>
          <w:trHeight w:val="20"/>
        </w:trPr>
        <w:tc>
          <w:tcPr>
            <w:tcW w:w="1725" w:type="pct"/>
            <w:gridSpan w:val="3"/>
            <w:tcBorders>
              <w:bottom w:val="single" w:sz="4" w:space="0" w:color="auto"/>
            </w:tcBorders>
            <w:shd w:val="clear" w:color="auto" w:fill="auto"/>
          </w:tcPr>
          <w:p w:rsidR="00872AAD" w:rsidRPr="00C720BE" w:rsidRDefault="004E2FB4" w:rsidP="00DB198E">
            <w:pPr>
              <w:pStyle w:val="In-tableHeading"/>
              <w:keepLines/>
            </w:pPr>
            <w:r w:rsidRPr="00C720BE">
              <w:t>Progression free survival</w:t>
            </w:r>
          </w:p>
        </w:tc>
        <w:tc>
          <w:tcPr>
            <w:tcW w:w="704" w:type="pct"/>
            <w:gridSpan w:val="2"/>
            <w:tcBorders>
              <w:bottom w:val="single" w:sz="4" w:space="0" w:color="auto"/>
            </w:tcBorders>
            <w:shd w:val="clear" w:color="auto" w:fill="auto"/>
          </w:tcPr>
          <w:p w:rsidR="00872AAD" w:rsidRPr="00C720BE" w:rsidRDefault="00BD26D5" w:rsidP="00DB198E">
            <w:pPr>
              <w:pStyle w:val="In-tableHeading"/>
              <w:keepLines/>
              <w:jc w:val="center"/>
            </w:pPr>
            <w:r w:rsidRPr="00C720BE">
              <w:t>(Ptz</w:t>
            </w:r>
            <w:r w:rsidR="00872AAD" w:rsidRPr="00C720BE">
              <w:t>+T+D)</w:t>
            </w:r>
          </w:p>
        </w:tc>
        <w:tc>
          <w:tcPr>
            <w:tcW w:w="709" w:type="pct"/>
            <w:gridSpan w:val="2"/>
            <w:tcBorders>
              <w:bottom w:val="single" w:sz="4" w:space="0" w:color="auto"/>
            </w:tcBorders>
            <w:shd w:val="clear" w:color="auto" w:fill="auto"/>
          </w:tcPr>
          <w:p w:rsidR="00872AAD" w:rsidRPr="00C720BE" w:rsidRDefault="00872AAD" w:rsidP="00DB198E">
            <w:pPr>
              <w:pStyle w:val="In-tableHeading"/>
              <w:keepLines/>
              <w:jc w:val="center"/>
            </w:pPr>
            <w:r w:rsidRPr="00C720BE">
              <w:t>(T+D)</w:t>
            </w:r>
          </w:p>
        </w:tc>
        <w:tc>
          <w:tcPr>
            <w:tcW w:w="947" w:type="pct"/>
            <w:gridSpan w:val="2"/>
            <w:tcBorders>
              <w:bottom w:val="single" w:sz="4" w:space="0" w:color="auto"/>
            </w:tcBorders>
            <w:shd w:val="clear" w:color="auto" w:fill="auto"/>
          </w:tcPr>
          <w:p w:rsidR="00872AAD" w:rsidRPr="00C720BE" w:rsidRDefault="00872AAD" w:rsidP="00DB198E">
            <w:pPr>
              <w:pStyle w:val="In-tableHeading"/>
              <w:keepLines/>
              <w:jc w:val="center"/>
              <w:rPr>
                <w:rFonts w:asciiTheme="minorHAnsi" w:hAnsiTheme="minorHAnsi"/>
              </w:rPr>
            </w:pPr>
            <w:r w:rsidRPr="00C720BE">
              <w:t>Absolute Difference</w:t>
            </w:r>
          </w:p>
        </w:tc>
        <w:tc>
          <w:tcPr>
            <w:tcW w:w="915" w:type="pct"/>
            <w:tcBorders>
              <w:bottom w:val="single" w:sz="4" w:space="0" w:color="auto"/>
            </w:tcBorders>
            <w:shd w:val="clear" w:color="auto" w:fill="auto"/>
          </w:tcPr>
          <w:p w:rsidR="00872AAD" w:rsidRPr="00C720BE" w:rsidRDefault="00872AAD" w:rsidP="00DB198E">
            <w:pPr>
              <w:pStyle w:val="In-tableHeading"/>
              <w:keepLines/>
              <w:jc w:val="center"/>
            </w:pPr>
            <w:r w:rsidRPr="00C720BE">
              <w:t>HR (95% CI)</w:t>
            </w:r>
          </w:p>
        </w:tc>
      </w:tr>
      <w:tr w:rsidR="00872AAD" w:rsidRPr="00C720BE" w:rsidTr="00DB198E">
        <w:trPr>
          <w:cantSplit/>
          <w:trHeight w:val="20"/>
        </w:trPr>
        <w:tc>
          <w:tcPr>
            <w:tcW w:w="1725" w:type="pct"/>
            <w:gridSpan w:val="3"/>
            <w:tcBorders>
              <w:bottom w:val="nil"/>
            </w:tcBorders>
            <w:shd w:val="clear" w:color="auto" w:fill="auto"/>
          </w:tcPr>
          <w:p w:rsidR="00872AAD" w:rsidRPr="00C720BE" w:rsidRDefault="00872AAD" w:rsidP="00DB198E">
            <w:pPr>
              <w:pStyle w:val="TableText0"/>
              <w:keepLines/>
              <w:widowControl w:val="0"/>
            </w:pPr>
            <w:r w:rsidRPr="00C720BE">
              <w:t>Progressed, n (%)</w:t>
            </w:r>
          </w:p>
        </w:tc>
        <w:tc>
          <w:tcPr>
            <w:tcW w:w="704" w:type="pct"/>
            <w:gridSpan w:val="2"/>
            <w:tcBorders>
              <w:bottom w:val="nil"/>
            </w:tcBorders>
            <w:vAlign w:val="center"/>
          </w:tcPr>
          <w:p w:rsidR="00872AAD" w:rsidRPr="00C720BE" w:rsidRDefault="00872AAD" w:rsidP="00DB198E">
            <w:pPr>
              <w:pStyle w:val="TableText0"/>
              <w:keepLines/>
              <w:widowControl w:val="0"/>
              <w:jc w:val="center"/>
            </w:pPr>
            <w:r w:rsidRPr="00C720BE">
              <w:rPr>
                <w:rFonts w:eastAsia="MS Gothic" w:cs="Times New Roman"/>
                <w:bCs w:val="0"/>
              </w:rPr>
              <w:t>17/107 (15.9)</w:t>
            </w:r>
          </w:p>
        </w:tc>
        <w:tc>
          <w:tcPr>
            <w:tcW w:w="709" w:type="pct"/>
            <w:gridSpan w:val="2"/>
            <w:tcBorders>
              <w:bottom w:val="nil"/>
            </w:tcBorders>
            <w:vAlign w:val="center"/>
          </w:tcPr>
          <w:p w:rsidR="00872AAD" w:rsidRPr="00C720BE" w:rsidRDefault="00872AAD" w:rsidP="00DB198E">
            <w:pPr>
              <w:pStyle w:val="TableText0"/>
              <w:keepLines/>
              <w:widowControl w:val="0"/>
              <w:jc w:val="center"/>
            </w:pPr>
            <w:r w:rsidRPr="00C720BE">
              <w:t>19/107 (17.8)</w:t>
            </w:r>
          </w:p>
        </w:tc>
        <w:tc>
          <w:tcPr>
            <w:tcW w:w="947" w:type="pct"/>
            <w:gridSpan w:val="2"/>
            <w:tcBorders>
              <w:bottom w:val="nil"/>
            </w:tcBorders>
            <w:shd w:val="clear" w:color="auto" w:fill="auto"/>
          </w:tcPr>
          <w:p w:rsidR="00872AAD" w:rsidRPr="00C720BE" w:rsidRDefault="00872AAD" w:rsidP="00DB198E">
            <w:pPr>
              <w:pStyle w:val="TableText0"/>
              <w:keepLines/>
              <w:widowControl w:val="0"/>
              <w:jc w:val="center"/>
            </w:pPr>
          </w:p>
        </w:tc>
        <w:tc>
          <w:tcPr>
            <w:tcW w:w="915" w:type="pct"/>
            <w:tcBorders>
              <w:bottom w:val="nil"/>
            </w:tcBorders>
            <w:shd w:val="clear" w:color="auto" w:fill="auto"/>
          </w:tcPr>
          <w:p w:rsidR="00872AAD" w:rsidRPr="00C720BE" w:rsidRDefault="00872AAD" w:rsidP="00DB198E">
            <w:pPr>
              <w:pStyle w:val="TableText0"/>
              <w:keepLines/>
              <w:widowControl w:val="0"/>
              <w:jc w:val="center"/>
            </w:pPr>
          </w:p>
        </w:tc>
      </w:tr>
      <w:tr w:rsidR="00872AAD" w:rsidRPr="00C720BE" w:rsidTr="00DB198E">
        <w:trPr>
          <w:cantSplit/>
          <w:trHeight w:val="20"/>
        </w:trPr>
        <w:tc>
          <w:tcPr>
            <w:tcW w:w="1725" w:type="pct"/>
            <w:gridSpan w:val="3"/>
            <w:tcBorders>
              <w:top w:val="nil"/>
              <w:bottom w:val="nil"/>
            </w:tcBorders>
            <w:shd w:val="clear" w:color="auto" w:fill="auto"/>
          </w:tcPr>
          <w:p w:rsidR="00872AAD" w:rsidRPr="00C720BE" w:rsidRDefault="00872AAD" w:rsidP="00DB198E">
            <w:pPr>
              <w:pStyle w:val="TableText0"/>
              <w:keepLines/>
              <w:widowControl w:val="0"/>
            </w:pPr>
            <w:r w:rsidRPr="00C720BE">
              <w:t>% not progressed at 1 year (95% CI)</w:t>
            </w:r>
          </w:p>
        </w:tc>
        <w:tc>
          <w:tcPr>
            <w:tcW w:w="704" w:type="pct"/>
            <w:gridSpan w:val="2"/>
            <w:tcBorders>
              <w:top w:val="nil"/>
              <w:bottom w:val="nil"/>
            </w:tcBorders>
            <w:shd w:val="clear" w:color="auto" w:fill="auto"/>
          </w:tcPr>
          <w:p w:rsidR="00872AAD" w:rsidRPr="00C720BE" w:rsidRDefault="00872AAD" w:rsidP="00DB198E">
            <w:pPr>
              <w:pStyle w:val="TableText0"/>
              <w:keepLines/>
              <w:widowControl w:val="0"/>
              <w:jc w:val="center"/>
            </w:pPr>
            <w:r w:rsidRPr="00C720BE">
              <w:t>96% (92, 100)</w:t>
            </w:r>
          </w:p>
        </w:tc>
        <w:tc>
          <w:tcPr>
            <w:tcW w:w="709" w:type="pct"/>
            <w:gridSpan w:val="2"/>
            <w:tcBorders>
              <w:top w:val="nil"/>
              <w:bottom w:val="nil"/>
            </w:tcBorders>
            <w:shd w:val="clear" w:color="auto" w:fill="auto"/>
          </w:tcPr>
          <w:p w:rsidR="00872AAD" w:rsidRPr="00C720BE" w:rsidRDefault="00872AAD" w:rsidP="00DB198E">
            <w:pPr>
              <w:pStyle w:val="TableText0"/>
              <w:keepLines/>
              <w:widowControl w:val="0"/>
              <w:jc w:val="center"/>
              <w:rPr>
                <w:szCs w:val="20"/>
              </w:rPr>
            </w:pPr>
            <w:r w:rsidRPr="00C720BE">
              <w:rPr>
                <w:szCs w:val="20"/>
              </w:rPr>
              <w:t>98% (95, 100)</w:t>
            </w:r>
          </w:p>
        </w:tc>
        <w:tc>
          <w:tcPr>
            <w:tcW w:w="947" w:type="pct"/>
            <w:gridSpan w:val="2"/>
            <w:tcBorders>
              <w:top w:val="nil"/>
              <w:bottom w:val="nil"/>
            </w:tcBorders>
            <w:shd w:val="clear" w:color="auto" w:fill="auto"/>
          </w:tcPr>
          <w:p w:rsidR="00872AAD" w:rsidRPr="00C720BE" w:rsidRDefault="00872AAD" w:rsidP="00DB198E">
            <w:pPr>
              <w:pStyle w:val="TableText0"/>
              <w:keepLines/>
              <w:widowControl w:val="0"/>
              <w:jc w:val="center"/>
              <w:rPr>
                <w:iCs/>
              </w:rPr>
            </w:pPr>
            <w:r w:rsidRPr="00C720BE">
              <w:rPr>
                <w:iCs/>
              </w:rPr>
              <w:t>−2% (NR)</w:t>
            </w:r>
          </w:p>
        </w:tc>
        <w:tc>
          <w:tcPr>
            <w:tcW w:w="915" w:type="pct"/>
            <w:vMerge w:val="restart"/>
            <w:tcBorders>
              <w:top w:val="nil"/>
              <w:bottom w:val="nil"/>
            </w:tcBorders>
            <w:shd w:val="clear" w:color="auto" w:fill="auto"/>
            <w:vAlign w:val="bottom"/>
          </w:tcPr>
          <w:p w:rsidR="00872AAD" w:rsidRPr="00C720BE" w:rsidRDefault="00872AAD" w:rsidP="00DB198E">
            <w:pPr>
              <w:pStyle w:val="TableText0"/>
              <w:keepLines/>
              <w:widowControl w:val="0"/>
              <w:jc w:val="center"/>
              <w:rPr>
                <w:szCs w:val="20"/>
              </w:rPr>
            </w:pPr>
            <w:r w:rsidRPr="00C720BE">
              <w:rPr>
                <w:szCs w:val="20"/>
              </w:rPr>
              <w:t>0.69</w:t>
            </w:r>
          </w:p>
          <w:p w:rsidR="00872AAD" w:rsidRPr="00C720BE" w:rsidRDefault="00872AAD" w:rsidP="00DB198E">
            <w:pPr>
              <w:pStyle w:val="TableText0"/>
              <w:keepLines/>
              <w:widowControl w:val="0"/>
              <w:jc w:val="center"/>
            </w:pPr>
            <w:r w:rsidRPr="00C720BE">
              <w:rPr>
                <w:szCs w:val="20"/>
              </w:rPr>
              <w:t>(95% CI 0.34, 1.40)</w:t>
            </w:r>
          </w:p>
        </w:tc>
      </w:tr>
      <w:tr w:rsidR="00872AAD" w:rsidRPr="00C720BE" w:rsidTr="00DB198E">
        <w:trPr>
          <w:cantSplit/>
          <w:trHeight w:val="20"/>
        </w:trPr>
        <w:tc>
          <w:tcPr>
            <w:tcW w:w="1725" w:type="pct"/>
            <w:gridSpan w:val="3"/>
            <w:tcBorders>
              <w:top w:val="nil"/>
              <w:bottom w:val="nil"/>
            </w:tcBorders>
            <w:shd w:val="clear" w:color="auto" w:fill="auto"/>
          </w:tcPr>
          <w:p w:rsidR="00872AAD" w:rsidRPr="00C720BE" w:rsidRDefault="00872AAD" w:rsidP="00DB198E">
            <w:pPr>
              <w:pStyle w:val="TableText0"/>
              <w:keepLines/>
              <w:widowControl w:val="0"/>
            </w:pPr>
            <w:r w:rsidRPr="00C720BE">
              <w:t>% not progressed at 2 year (95% CI)</w:t>
            </w:r>
          </w:p>
        </w:tc>
        <w:tc>
          <w:tcPr>
            <w:tcW w:w="704" w:type="pct"/>
            <w:gridSpan w:val="2"/>
            <w:tcBorders>
              <w:top w:val="nil"/>
              <w:bottom w:val="nil"/>
            </w:tcBorders>
            <w:shd w:val="clear" w:color="auto" w:fill="auto"/>
          </w:tcPr>
          <w:p w:rsidR="00872AAD" w:rsidRPr="00C720BE" w:rsidRDefault="00872AAD" w:rsidP="00DB198E">
            <w:pPr>
              <w:pStyle w:val="TableText0"/>
              <w:keepLines/>
              <w:widowControl w:val="0"/>
              <w:jc w:val="center"/>
              <w:rPr>
                <w:szCs w:val="20"/>
              </w:rPr>
            </w:pPr>
            <w:r w:rsidRPr="00C720BE">
              <w:rPr>
                <w:szCs w:val="20"/>
              </w:rPr>
              <w:t>93% (88, 98)</w:t>
            </w:r>
          </w:p>
        </w:tc>
        <w:tc>
          <w:tcPr>
            <w:tcW w:w="709" w:type="pct"/>
            <w:gridSpan w:val="2"/>
            <w:tcBorders>
              <w:top w:val="nil"/>
              <w:bottom w:val="nil"/>
            </w:tcBorders>
            <w:shd w:val="clear" w:color="auto" w:fill="auto"/>
          </w:tcPr>
          <w:p w:rsidR="00872AAD" w:rsidRPr="00C720BE" w:rsidRDefault="00872AAD" w:rsidP="00DB198E">
            <w:pPr>
              <w:pStyle w:val="TableText0"/>
              <w:keepLines/>
              <w:widowControl w:val="0"/>
              <w:jc w:val="center"/>
              <w:rPr>
                <w:szCs w:val="20"/>
              </w:rPr>
            </w:pPr>
            <w:r w:rsidRPr="00C720BE">
              <w:rPr>
                <w:szCs w:val="20"/>
              </w:rPr>
              <w:t>90% (84, 96)</w:t>
            </w:r>
          </w:p>
        </w:tc>
        <w:tc>
          <w:tcPr>
            <w:tcW w:w="947" w:type="pct"/>
            <w:gridSpan w:val="2"/>
            <w:tcBorders>
              <w:top w:val="nil"/>
              <w:bottom w:val="nil"/>
            </w:tcBorders>
            <w:shd w:val="clear" w:color="auto" w:fill="auto"/>
          </w:tcPr>
          <w:p w:rsidR="00872AAD" w:rsidRPr="00C720BE" w:rsidRDefault="00872AAD" w:rsidP="00DB198E">
            <w:pPr>
              <w:pStyle w:val="TableText0"/>
              <w:keepLines/>
              <w:widowControl w:val="0"/>
              <w:jc w:val="center"/>
              <w:rPr>
                <w:rFonts w:cs="Times New Roman"/>
                <w:iCs/>
                <w:szCs w:val="20"/>
              </w:rPr>
            </w:pPr>
            <w:r w:rsidRPr="00C720BE">
              <w:rPr>
                <w:rFonts w:cs="Times New Roman"/>
                <w:iCs/>
                <w:szCs w:val="20"/>
              </w:rPr>
              <w:t>3% (NR)</w:t>
            </w:r>
          </w:p>
        </w:tc>
        <w:tc>
          <w:tcPr>
            <w:tcW w:w="915" w:type="pct"/>
            <w:vMerge/>
            <w:tcBorders>
              <w:top w:val="nil"/>
              <w:bottom w:val="nil"/>
            </w:tcBorders>
            <w:shd w:val="clear" w:color="auto" w:fill="auto"/>
          </w:tcPr>
          <w:p w:rsidR="00872AAD" w:rsidRPr="00C720BE" w:rsidRDefault="00872AAD" w:rsidP="00DB198E">
            <w:pPr>
              <w:pStyle w:val="TableText0"/>
              <w:keepLines/>
              <w:widowControl w:val="0"/>
              <w:jc w:val="center"/>
            </w:pPr>
          </w:p>
        </w:tc>
      </w:tr>
      <w:tr w:rsidR="00872AAD" w:rsidRPr="00C720BE" w:rsidTr="00DB198E">
        <w:trPr>
          <w:cantSplit/>
          <w:trHeight w:val="20"/>
        </w:trPr>
        <w:tc>
          <w:tcPr>
            <w:tcW w:w="1725" w:type="pct"/>
            <w:gridSpan w:val="3"/>
            <w:tcBorders>
              <w:top w:val="nil"/>
            </w:tcBorders>
            <w:shd w:val="clear" w:color="auto" w:fill="auto"/>
          </w:tcPr>
          <w:p w:rsidR="00872AAD" w:rsidRPr="00C720BE" w:rsidRDefault="00872AAD" w:rsidP="00DB198E">
            <w:pPr>
              <w:pStyle w:val="TableText0"/>
              <w:keepLines/>
              <w:widowControl w:val="0"/>
            </w:pPr>
            <w:r w:rsidRPr="00C720BE">
              <w:t>% not progressed at 5 years (95% CI)</w:t>
            </w:r>
          </w:p>
        </w:tc>
        <w:tc>
          <w:tcPr>
            <w:tcW w:w="704" w:type="pct"/>
            <w:gridSpan w:val="2"/>
            <w:tcBorders>
              <w:top w:val="nil"/>
            </w:tcBorders>
            <w:shd w:val="clear" w:color="auto" w:fill="auto"/>
          </w:tcPr>
          <w:p w:rsidR="00872AAD" w:rsidRPr="00C720BE" w:rsidRDefault="00872AAD" w:rsidP="00DB198E">
            <w:pPr>
              <w:pStyle w:val="TableText0"/>
              <w:keepLines/>
              <w:widowControl w:val="0"/>
              <w:jc w:val="center"/>
              <w:rPr>
                <w:szCs w:val="20"/>
              </w:rPr>
            </w:pPr>
            <w:r w:rsidRPr="00C720BE">
              <w:rPr>
                <w:szCs w:val="20"/>
              </w:rPr>
              <w:t>86% (77, 91)</w:t>
            </w:r>
          </w:p>
        </w:tc>
        <w:tc>
          <w:tcPr>
            <w:tcW w:w="709" w:type="pct"/>
            <w:gridSpan w:val="2"/>
            <w:tcBorders>
              <w:top w:val="nil"/>
            </w:tcBorders>
            <w:shd w:val="clear" w:color="auto" w:fill="auto"/>
          </w:tcPr>
          <w:p w:rsidR="00872AAD" w:rsidRPr="00C720BE" w:rsidRDefault="00872AAD" w:rsidP="00DB198E">
            <w:pPr>
              <w:pStyle w:val="TableText0"/>
              <w:keepLines/>
              <w:widowControl w:val="0"/>
              <w:jc w:val="center"/>
              <w:rPr>
                <w:szCs w:val="20"/>
              </w:rPr>
            </w:pPr>
            <w:r w:rsidRPr="00C720BE">
              <w:rPr>
                <w:szCs w:val="20"/>
              </w:rPr>
              <w:t>81% (71, 87)</w:t>
            </w:r>
          </w:p>
        </w:tc>
        <w:tc>
          <w:tcPr>
            <w:tcW w:w="947" w:type="pct"/>
            <w:gridSpan w:val="2"/>
            <w:tcBorders>
              <w:top w:val="nil"/>
            </w:tcBorders>
            <w:shd w:val="clear" w:color="auto" w:fill="auto"/>
          </w:tcPr>
          <w:p w:rsidR="00872AAD" w:rsidRPr="00C720BE" w:rsidRDefault="00872AAD" w:rsidP="00DB198E">
            <w:pPr>
              <w:pStyle w:val="TableText0"/>
              <w:keepLines/>
              <w:widowControl w:val="0"/>
              <w:jc w:val="center"/>
              <w:rPr>
                <w:rFonts w:cs="Times New Roman"/>
                <w:iCs/>
                <w:szCs w:val="20"/>
              </w:rPr>
            </w:pPr>
            <w:r w:rsidRPr="00C720BE">
              <w:rPr>
                <w:rFonts w:cs="Times New Roman"/>
                <w:iCs/>
                <w:szCs w:val="20"/>
              </w:rPr>
              <w:t>5% (NR)</w:t>
            </w:r>
          </w:p>
        </w:tc>
        <w:tc>
          <w:tcPr>
            <w:tcW w:w="915" w:type="pct"/>
            <w:vMerge/>
            <w:tcBorders>
              <w:top w:val="nil"/>
            </w:tcBorders>
            <w:shd w:val="clear" w:color="auto" w:fill="auto"/>
          </w:tcPr>
          <w:p w:rsidR="00872AAD" w:rsidRPr="00C720BE" w:rsidRDefault="00872AAD" w:rsidP="00DB198E">
            <w:pPr>
              <w:pStyle w:val="TableText0"/>
              <w:keepLines/>
              <w:widowControl w:val="0"/>
              <w:jc w:val="center"/>
            </w:pPr>
          </w:p>
        </w:tc>
      </w:tr>
      <w:tr w:rsidR="00872AAD" w:rsidRPr="00C720BE" w:rsidTr="00C76975">
        <w:trPr>
          <w:cantSplit/>
          <w:trHeight w:val="20"/>
        </w:trPr>
        <w:tc>
          <w:tcPr>
            <w:tcW w:w="5000" w:type="pct"/>
            <w:gridSpan w:val="10"/>
            <w:tcBorders>
              <w:bottom w:val="single" w:sz="4" w:space="0" w:color="auto"/>
            </w:tcBorders>
            <w:shd w:val="clear" w:color="auto" w:fill="auto"/>
          </w:tcPr>
          <w:p w:rsidR="00872AAD" w:rsidRPr="00C720BE" w:rsidRDefault="00872AAD" w:rsidP="00DB198E">
            <w:pPr>
              <w:pStyle w:val="In-tableHeading"/>
              <w:keepLines/>
            </w:pPr>
            <w:r w:rsidRPr="00C720BE">
              <w:t xml:space="preserve">Overall survival </w:t>
            </w:r>
          </w:p>
        </w:tc>
      </w:tr>
      <w:tr w:rsidR="00872AAD" w:rsidRPr="00C720BE" w:rsidTr="00DB198E">
        <w:trPr>
          <w:cantSplit/>
          <w:trHeight w:val="20"/>
        </w:trPr>
        <w:tc>
          <w:tcPr>
            <w:tcW w:w="1725" w:type="pct"/>
            <w:gridSpan w:val="3"/>
            <w:tcBorders>
              <w:bottom w:val="nil"/>
            </w:tcBorders>
            <w:shd w:val="clear" w:color="auto" w:fill="auto"/>
          </w:tcPr>
          <w:p w:rsidR="00872AAD" w:rsidRPr="00C720BE" w:rsidRDefault="00872AAD" w:rsidP="00DB198E">
            <w:pPr>
              <w:pStyle w:val="TableText0"/>
              <w:keepLines/>
              <w:widowControl w:val="0"/>
            </w:pPr>
            <w:r w:rsidRPr="00C720BE">
              <w:t xml:space="preserve">Deaths, n/N (%) </w:t>
            </w:r>
          </w:p>
        </w:tc>
        <w:tc>
          <w:tcPr>
            <w:tcW w:w="704" w:type="pct"/>
            <w:gridSpan w:val="2"/>
            <w:tcBorders>
              <w:bottom w:val="nil"/>
            </w:tcBorders>
            <w:shd w:val="clear" w:color="auto" w:fill="auto"/>
          </w:tcPr>
          <w:p w:rsidR="00872AAD" w:rsidRPr="00C720BE" w:rsidRDefault="00872AAD" w:rsidP="00DB198E">
            <w:pPr>
              <w:pStyle w:val="TableText0"/>
              <w:keepLines/>
              <w:widowControl w:val="0"/>
              <w:jc w:val="center"/>
            </w:pPr>
            <w:proofErr w:type="gramStart"/>
            <w:r w:rsidRPr="00C720BE">
              <w:rPr>
                <w:rFonts w:cs="Times New Roman"/>
                <w:szCs w:val="20"/>
              </w:rPr>
              <w:t>n/N</w:t>
            </w:r>
            <w:proofErr w:type="gramEnd"/>
            <w:r w:rsidRPr="00C720BE">
              <w:rPr>
                <w:rFonts w:cs="Times New Roman"/>
                <w:szCs w:val="20"/>
              </w:rPr>
              <w:t xml:space="preserve"> (%)</w:t>
            </w:r>
          </w:p>
        </w:tc>
        <w:tc>
          <w:tcPr>
            <w:tcW w:w="709" w:type="pct"/>
            <w:gridSpan w:val="2"/>
            <w:tcBorders>
              <w:bottom w:val="nil"/>
            </w:tcBorders>
            <w:shd w:val="clear" w:color="auto" w:fill="auto"/>
          </w:tcPr>
          <w:p w:rsidR="00872AAD" w:rsidRPr="00C720BE" w:rsidRDefault="00872AAD" w:rsidP="00DB198E">
            <w:pPr>
              <w:pStyle w:val="TableText0"/>
              <w:keepLines/>
              <w:widowControl w:val="0"/>
              <w:jc w:val="center"/>
            </w:pPr>
            <w:proofErr w:type="gramStart"/>
            <w:r w:rsidRPr="00C720BE">
              <w:rPr>
                <w:rFonts w:cs="Times New Roman"/>
                <w:szCs w:val="20"/>
              </w:rPr>
              <w:t>n/N</w:t>
            </w:r>
            <w:proofErr w:type="gramEnd"/>
            <w:r w:rsidRPr="00C720BE">
              <w:rPr>
                <w:rFonts w:cs="Times New Roman"/>
                <w:szCs w:val="20"/>
              </w:rPr>
              <w:t xml:space="preserve"> (%)</w:t>
            </w:r>
          </w:p>
        </w:tc>
        <w:tc>
          <w:tcPr>
            <w:tcW w:w="947" w:type="pct"/>
            <w:gridSpan w:val="2"/>
            <w:tcBorders>
              <w:bottom w:val="nil"/>
            </w:tcBorders>
            <w:shd w:val="clear" w:color="auto" w:fill="auto"/>
          </w:tcPr>
          <w:p w:rsidR="00872AAD" w:rsidRPr="00C720BE" w:rsidRDefault="00872AAD" w:rsidP="00DB198E">
            <w:pPr>
              <w:pStyle w:val="TableText0"/>
              <w:keepLines/>
              <w:widowControl w:val="0"/>
              <w:jc w:val="center"/>
            </w:pPr>
          </w:p>
        </w:tc>
        <w:tc>
          <w:tcPr>
            <w:tcW w:w="915" w:type="pct"/>
            <w:tcBorders>
              <w:bottom w:val="nil"/>
            </w:tcBorders>
            <w:shd w:val="clear" w:color="auto" w:fill="auto"/>
          </w:tcPr>
          <w:p w:rsidR="00872AAD" w:rsidRPr="00C720BE" w:rsidRDefault="00872AAD" w:rsidP="00DB198E">
            <w:pPr>
              <w:pStyle w:val="TableText0"/>
              <w:keepLines/>
              <w:widowControl w:val="0"/>
              <w:jc w:val="center"/>
            </w:pPr>
          </w:p>
        </w:tc>
      </w:tr>
      <w:tr w:rsidR="00872AAD" w:rsidRPr="00C720BE" w:rsidTr="00DB198E">
        <w:trPr>
          <w:cantSplit/>
          <w:trHeight w:val="20"/>
        </w:trPr>
        <w:tc>
          <w:tcPr>
            <w:tcW w:w="1725" w:type="pct"/>
            <w:gridSpan w:val="3"/>
            <w:tcBorders>
              <w:top w:val="nil"/>
              <w:bottom w:val="nil"/>
            </w:tcBorders>
            <w:shd w:val="clear" w:color="auto" w:fill="auto"/>
          </w:tcPr>
          <w:p w:rsidR="00872AAD" w:rsidRPr="00C720BE" w:rsidRDefault="00872AAD" w:rsidP="00DB198E">
            <w:pPr>
              <w:pStyle w:val="TableText0"/>
              <w:keepLines/>
              <w:widowControl w:val="0"/>
            </w:pPr>
            <w:r w:rsidRPr="00C720BE">
              <w:t>Neoadjuvant treatment period</w:t>
            </w:r>
          </w:p>
        </w:tc>
        <w:tc>
          <w:tcPr>
            <w:tcW w:w="704" w:type="pct"/>
            <w:gridSpan w:val="2"/>
            <w:tcBorders>
              <w:top w:val="nil"/>
              <w:bottom w:val="nil"/>
            </w:tcBorders>
            <w:shd w:val="clear" w:color="auto" w:fill="auto"/>
          </w:tcPr>
          <w:p w:rsidR="00872AAD" w:rsidRPr="00C720BE" w:rsidRDefault="00872AAD" w:rsidP="00DB198E">
            <w:pPr>
              <w:pStyle w:val="TableText0"/>
              <w:keepLines/>
              <w:widowControl w:val="0"/>
              <w:jc w:val="center"/>
              <w:rPr>
                <w:rFonts w:cs="Times New Roman"/>
                <w:szCs w:val="20"/>
              </w:rPr>
            </w:pPr>
            <w:r w:rsidRPr="00C720BE">
              <w:rPr>
                <w:rFonts w:cs="Times New Roman"/>
                <w:szCs w:val="20"/>
              </w:rPr>
              <w:t>1/107 (0.9)</w:t>
            </w:r>
          </w:p>
        </w:tc>
        <w:tc>
          <w:tcPr>
            <w:tcW w:w="709" w:type="pct"/>
            <w:gridSpan w:val="2"/>
            <w:tcBorders>
              <w:top w:val="nil"/>
              <w:bottom w:val="nil"/>
            </w:tcBorders>
            <w:shd w:val="clear" w:color="auto" w:fill="auto"/>
          </w:tcPr>
          <w:p w:rsidR="00872AAD" w:rsidRPr="00C720BE" w:rsidRDefault="00872AAD" w:rsidP="00DB198E">
            <w:pPr>
              <w:pStyle w:val="TableText0"/>
              <w:keepLines/>
              <w:widowControl w:val="0"/>
              <w:jc w:val="center"/>
              <w:rPr>
                <w:rFonts w:cs="Times New Roman"/>
                <w:szCs w:val="20"/>
              </w:rPr>
            </w:pPr>
            <w:r w:rsidRPr="00C720BE">
              <w:rPr>
                <w:rFonts w:cs="Times New Roman"/>
                <w:szCs w:val="20"/>
              </w:rPr>
              <w:t>0/107 (0)</w:t>
            </w:r>
          </w:p>
        </w:tc>
        <w:tc>
          <w:tcPr>
            <w:tcW w:w="947" w:type="pct"/>
            <w:gridSpan w:val="2"/>
            <w:tcBorders>
              <w:top w:val="nil"/>
              <w:bottom w:val="nil"/>
            </w:tcBorders>
            <w:shd w:val="clear" w:color="auto" w:fill="auto"/>
          </w:tcPr>
          <w:p w:rsidR="00872AAD" w:rsidRPr="00C720BE" w:rsidRDefault="00872AAD" w:rsidP="00DB198E">
            <w:pPr>
              <w:pStyle w:val="TableText0"/>
              <w:keepLines/>
              <w:widowControl w:val="0"/>
              <w:jc w:val="center"/>
              <w:rPr>
                <w:iCs/>
              </w:rPr>
            </w:pPr>
          </w:p>
        </w:tc>
        <w:tc>
          <w:tcPr>
            <w:tcW w:w="915" w:type="pct"/>
            <w:tcBorders>
              <w:top w:val="nil"/>
              <w:bottom w:val="nil"/>
            </w:tcBorders>
            <w:shd w:val="clear" w:color="auto" w:fill="auto"/>
          </w:tcPr>
          <w:p w:rsidR="00872AAD" w:rsidRPr="00C720BE" w:rsidRDefault="00872AAD" w:rsidP="00DB198E">
            <w:pPr>
              <w:pStyle w:val="TableText0"/>
              <w:keepLines/>
              <w:widowControl w:val="0"/>
              <w:jc w:val="center"/>
              <w:rPr>
                <w:szCs w:val="20"/>
              </w:rPr>
            </w:pPr>
          </w:p>
        </w:tc>
      </w:tr>
      <w:tr w:rsidR="00872AAD" w:rsidRPr="00C720BE" w:rsidTr="00DB198E">
        <w:trPr>
          <w:cantSplit/>
          <w:trHeight w:val="20"/>
        </w:trPr>
        <w:tc>
          <w:tcPr>
            <w:tcW w:w="1725" w:type="pct"/>
            <w:gridSpan w:val="3"/>
            <w:tcBorders>
              <w:top w:val="nil"/>
              <w:bottom w:val="nil"/>
            </w:tcBorders>
            <w:shd w:val="clear" w:color="auto" w:fill="auto"/>
          </w:tcPr>
          <w:p w:rsidR="00872AAD" w:rsidRPr="00C720BE" w:rsidRDefault="00872AAD" w:rsidP="00DB198E">
            <w:pPr>
              <w:pStyle w:val="TableText0"/>
              <w:keepLines/>
              <w:widowControl w:val="0"/>
            </w:pPr>
            <w:r w:rsidRPr="00C720BE">
              <w:t xml:space="preserve">Adjuvant treatment period </w:t>
            </w:r>
          </w:p>
        </w:tc>
        <w:tc>
          <w:tcPr>
            <w:tcW w:w="704" w:type="pct"/>
            <w:gridSpan w:val="2"/>
            <w:tcBorders>
              <w:top w:val="nil"/>
              <w:bottom w:val="nil"/>
            </w:tcBorders>
            <w:shd w:val="clear" w:color="auto" w:fill="auto"/>
          </w:tcPr>
          <w:p w:rsidR="00872AAD" w:rsidRPr="00C720BE" w:rsidRDefault="00872AAD" w:rsidP="00DB198E">
            <w:pPr>
              <w:pStyle w:val="TableText0"/>
              <w:keepLines/>
              <w:widowControl w:val="0"/>
              <w:jc w:val="center"/>
            </w:pPr>
            <w:r w:rsidRPr="00C720BE">
              <w:rPr>
                <w:szCs w:val="20"/>
              </w:rPr>
              <w:t>0 (0)</w:t>
            </w:r>
          </w:p>
        </w:tc>
        <w:tc>
          <w:tcPr>
            <w:tcW w:w="709" w:type="pct"/>
            <w:gridSpan w:val="2"/>
            <w:tcBorders>
              <w:top w:val="nil"/>
              <w:bottom w:val="nil"/>
            </w:tcBorders>
            <w:shd w:val="clear" w:color="auto" w:fill="auto"/>
          </w:tcPr>
          <w:p w:rsidR="00872AAD" w:rsidRPr="00C720BE" w:rsidRDefault="00872AAD" w:rsidP="00DB198E">
            <w:pPr>
              <w:pStyle w:val="TableText0"/>
              <w:keepLines/>
              <w:widowControl w:val="0"/>
              <w:jc w:val="center"/>
              <w:rPr>
                <w:szCs w:val="20"/>
              </w:rPr>
            </w:pPr>
            <w:r w:rsidRPr="00C720BE">
              <w:rPr>
                <w:szCs w:val="20"/>
              </w:rPr>
              <w:t>0 (0)</w:t>
            </w:r>
          </w:p>
        </w:tc>
        <w:tc>
          <w:tcPr>
            <w:tcW w:w="947" w:type="pct"/>
            <w:gridSpan w:val="2"/>
            <w:tcBorders>
              <w:top w:val="nil"/>
              <w:bottom w:val="nil"/>
            </w:tcBorders>
            <w:shd w:val="clear" w:color="auto" w:fill="auto"/>
          </w:tcPr>
          <w:p w:rsidR="00872AAD" w:rsidRPr="00C720BE" w:rsidRDefault="00872AAD" w:rsidP="00DB198E">
            <w:pPr>
              <w:pStyle w:val="TableText0"/>
              <w:keepLines/>
              <w:widowControl w:val="0"/>
              <w:jc w:val="center"/>
            </w:pPr>
          </w:p>
        </w:tc>
        <w:tc>
          <w:tcPr>
            <w:tcW w:w="915" w:type="pct"/>
            <w:tcBorders>
              <w:top w:val="nil"/>
              <w:bottom w:val="nil"/>
            </w:tcBorders>
            <w:shd w:val="clear" w:color="auto" w:fill="auto"/>
          </w:tcPr>
          <w:p w:rsidR="00872AAD" w:rsidRPr="00C720BE" w:rsidRDefault="00872AAD" w:rsidP="00DB198E">
            <w:pPr>
              <w:pStyle w:val="TableText0"/>
              <w:keepLines/>
              <w:widowControl w:val="0"/>
              <w:jc w:val="center"/>
            </w:pPr>
          </w:p>
        </w:tc>
      </w:tr>
      <w:tr w:rsidR="00872AAD" w:rsidRPr="00C720BE" w:rsidTr="00DB198E">
        <w:trPr>
          <w:cantSplit/>
          <w:trHeight w:val="20"/>
        </w:trPr>
        <w:tc>
          <w:tcPr>
            <w:tcW w:w="1725" w:type="pct"/>
            <w:gridSpan w:val="3"/>
            <w:tcBorders>
              <w:top w:val="nil"/>
              <w:bottom w:val="nil"/>
            </w:tcBorders>
            <w:shd w:val="clear" w:color="auto" w:fill="auto"/>
          </w:tcPr>
          <w:p w:rsidR="00872AAD" w:rsidRPr="00C720BE" w:rsidRDefault="00872AAD" w:rsidP="00DB198E">
            <w:pPr>
              <w:pStyle w:val="TableText0"/>
              <w:keepLines/>
              <w:widowControl w:val="0"/>
            </w:pPr>
            <w:r w:rsidRPr="00C720BE">
              <w:t>Total treatment period</w:t>
            </w:r>
          </w:p>
        </w:tc>
        <w:tc>
          <w:tcPr>
            <w:tcW w:w="704" w:type="pct"/>
            <w:gridSpan w:val="2"/>
            <w:tcBorders>
              <w:top w:val="nil"/>
              <w:bottom w:val="nil"/>
            </w:tcBorders>
            <w:shd w:val="clear" w:color="auto" w:fill="auto"/>
          </w:tcPr>
          <w:p w:rsidR="00872AAD" w:rsidRPr="00C720BE" w:rsidRDefault="00872AAD" w:rsidP="00DB198E">
            <w:pPr>
              <w:pStyle w:val="TableText0"/>
              <w:keepLines/>
              <w:widowControl w:val="0"/>
              <w:jc w:val="center"/>
              <w:rPr>
                <w:szCs w:val="20"/>
              </w:rPr>
            </w:pPr>
            <w:r w:rsidRPr="00C720BE">
              <w:rPr>
                <w:szCs w:val="20"/>
              </w:rPr>
              <w:t>8/107 (7.5)</w:t>
            </w:r>
          </w:p>
        </w:tc>
        <w:tc>
          <w:tcPr>
            <w:tcW w:w="709" w:type="pct"/>
            <w:gridSpan w:val="2"/>
            <w:tcBorders>
              <w:top w:val="nil"/>
              <w:bottom w:val="nil"/>
            </w:tcBorders>
            <w:shd w:val="clear" w:color="auto" w:fill="auto"/>
          </w:tcPr>
          <w:p w:rsidR="00872AAD" w:rsidRPr="00C720BE" w:rsidRDefault="00872AAD" w:rsidP="00DB198E">
            <w:pPr>
              <w:pStyle w:val="TableText0"/>
              <w:keepLines/>
              <w:widowControl w:val="0"/>
              <w:jc w:val="center"/>
              <w:rPr>
                <w:szCs w:val="20"/>
              </w:rPr>
            </w:pPr>
            <w:r w:rsidRPr="00C720BE">
              <w:rPr>
                <w:szCs w:val="20"/>
              </w:rPr>
              <w:t>6/107 (5.6)</w:t>
            </w:r>
          </w:p>
        </w:tc>
        <w:tc>
          <w:tcPr>
            <w:tcW w:w="947" w:type="pct"/>
            <w:gridSpan w:val="2"/>
            <w:tcBorders>
              <w:top w:val="nil"/>
              <w:bottom w:val="nil"/>
            </w:tcBorders>
            <w:shd w:val="clear" w:color="auto" w:fill="auto"/>
          </w:tcPr>
          <w:p w:rsidR="00872AAD" w:rsidRPr="00C720BE" w:rsidRDefault="00872AAD" w:rsidP="00DB198E">
            <w:pPr>
              <w:pStyle w:val="TableText0"/>
              <w:keepLines/>
              <w:widowControl w:val="0"/>
              <w:jc w:val="center"/>
              <w:rPr>
                <w:iCs/>
              </w:rPr>
            </w:pPr>
          </w:p>
        </w:tc>
        <w:tc>
          <w:tcPr>
            <w:tcW w:w="915" w:type="pct"/>
            <w:tcBorders>
              <w:top w:val="nil"/>
              <w:bottom w:val="nil"/>
            </w:tcBorders>
            <w:shd w:val="clear" w:color="auto" w:fill="auto"/>
          </w:tcPr>
          <w:p w:rsidR="00872AAD" w:rsidRPr="00C720BE" w:rsidRDefault="00872AAD" w:rsidP="00DB198E">
            <w:pPr>
              <w:pStyle w:val="TableText0"/>
              <w:keepLines/>
              <w:widowControl w:val="0"/>
              <w:jc w:val="center"/>
            </w:pPr>
          </w:p>
        </w:tc>
      </w:tr>
      <w:tr w:rsidR="00872AAD" w:rsidRPr="00C720BE" w:rsidTr="00DB198E">
        <w:trPr>
          <w:cantSplit/>
          <w:trHeight w:val="20"/>
        </w:trPr>
        <w:tc>
          <w:tcPr>
            <w:tcW w:w="1725" w:type="pct"/>
            <w:gridSpan w:val="3"/>
            <w:tcBorders>
              <w:top w:val="nil"/>
            </w:tcBorders>
            <w:shd w:val="clear" w:color="auto" w:fill="auto"/>
          </w:tcPr>
          <w:p w:rsidR="00872AAD" w:rsidRPr="00C720BE" w:rsidRDefault="00872AAD" w:rsidP="00DB198E">
            <w:pPr>
              <w:pStyle w:val="TableText0"/>
              <w:keepLines/>
              <w:widowControl w:val="0"/>
            </w:pPr>
            <w:r w:rsidRPr="00C720BE">
              <w:t>End of study (5 years from randomisation)</w:t>
            </w:r>
          </w:p>
        </w:tc>
        <w:tc>
          <w:tcPr>
            <w:tcW w:w="704" w:type="pct"/>
            <w:gridSpan w:val="2"/>
            <w:tcBorders>
              <w:top w:val="nil"/>
            </w:tcBorders>
            <w:shd w:val="clear" w:color="auto" w:fill="auto"/>
          </w:tcPr>
          <w:p w:rsidR="00872AAD" w:rsidRPr="00C720BE" w:rsidRDefault="00872AAD" w:rsidP="00DB198E">
            <w:pPr>
              <w:pStyle w:val="TableText0"/>
              <w:keepLines/>
              <w:widowControl w:val="0"/>
              <w:jc w:val="center"/>
              <w:rPr>
                <w:szCs w:val="20"/>
              </w:rPr>
            </w:pPr>
            <w:r w:rsidRPr="00C720BE">
              <w:rPr>
                <w:szCs w:val="20"/>
              </w:rPr>
              <w:t>17/107 (15.9)</w:t>
            </w:r>
          </w:p>
        </w:tc>
        <w:tc>
          <w:tcPr>
            <w:tcW w:w="709" w:type="pct"/>
            <w:gridSpan w:val="2"/>
            <w:tcBorders>
              <w:top w:val="nil"/>
            </w:tcBorders>
            <w:shd w:val="clear" w:color="auto" w:fill="auto"/>
          </w:tcPr>
          <w:p w:rsidR="00872AAD" w:rsidRPr="00C720BE" w:rsidRDefault="00872AAD" w:rsidP="00DB198E">
            <w:pPr>
              <w:pStyle w:val="TableText0"/>
              <w:keepLines/>
              <w:widowControl w:val="0"/>
              <w:jc w:val="center"/>
              <w:rPr>
                <w:szCs w:val="20"/>
              </w:rPr>
            </w:pPr>
            <w:r w:rsidRPr="00C720BE">
              <w:rPr>
                <w:szCs w:val="20"/>
              </w:rPr>
              <w:t>19/107 (17.8)</w:t>
            </w:r>
          </w:p>
        </w:tc>
        <w:tc>
          <w:tcPr>
            <w:tcW w:w="947" w:type="pct"/>
            <w:gridSpan w:val="2"/>
            <w:tcBorders>
              <w:top w:val="nil"/>
            </w:tcBorders>
            <w:shd w:val="clear" w:color="auto" w:fill="auto"/>
          </w:tcPr>
          <w:p w:rsidR="00872AAD" w:rsidRPr="00C720BE" w:rsidRDefault="00872AAD" w:rsidP="00DB198E">
            <w:pPr>
              <w:pStyle w:val="TableText0"/>
              <w:keepLines/>
              <w:widowControl w:val="0"/>
              <w:jc w:val="center"/>
              <w:rPr>
                <w:iCs/>
              </w:rPr>
            </w:pPr>
          </w:p>
        </w:tc>
        <w:tc>
          <w:tcPr>
            <w:tcW w:w="915" w:type="pct"/>
            <w:tcBorders>
              <w:top w:val="nil"/>
            </w:tcBorders>
            <w:shd w:val="clear" w:color="auto" w:fill="auto"/>
          </w:tcPr>
          <w:p w:rsidR="00872AAD" w:rsidRPr="00C720BE" w:rsidRDefault="00872AAD" w:rsidP="00DB198E">
            <w:pPr>
              <w:pStyle w:val="TableText0"/>
              <w:keepLines/>
              <w:widowControl w:val="0"/>
              <w:jc w:val="center"/>
            </w:pPr>
          </w:p>
        </w:tc>
      </w:tr>
      <w:tr w:rsidR="00872AAD" w:rsidRPr="00C720BE" w:rsidTr="00C769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rsidR="00872AAD" w:rsidRPr="00C720BE" w:rsidRDefault="00872AAD" w:rsidP="00DB198E">
            <w:pPr>
              <w:pStyle w:val="In-tableHeading"/>
              <w:keepLines/>
            </w:pPr>
            <w:r w:rsidRPr="00C720BE">
              <w:t>Harms (during neoadjuvant treatment period)</w:t>
            </w:r>
          </w:p>
        </w:tc>
      </w:tr>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9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2AAD" w:rsidRPr="00C720BE" w:rsidRDefault="00872AAD" w:rsidP="00DB198E">
            <w:pPr>
              <w:pStyle w:val="In-tableHeading"/>
              <w:keepLines/>
            </w:pPr>
          </w:p>
        </w:tc>
        <w:tc>
          <w:tcPr>
            <w:tcW w:w="552" w:type="pct"/>
            <w:vMerge w:val="restart"/>
            <w:tcBorders>
              <w:top w:val="single" w:sz="4" w:space="0" w:color="auto"/>
              <w:left w:val="single" w:sz="4" w:space="0" w:color="auto"/>
              <w:bottom w:val="single" w:sz="4" w:space="0" w:color="auto"/>
              <w:right w:val="single" w:sz="4" w:space="0" w:color="auto"/>
            </w:tcBorders>
            <w:vAlign w:val="center"/>
          </w:tcPr>
          <w:p w:rsidR="00872AAD" w:rsidRPr="00C720BE" w:rsidRDefault="006B013D" w:rsidP="00DB198E">
            <w:pPr>
              <w:pStyle w:val="In-tableHeading"/>
              <w:keepLines/>
              <w:jc w:val="center"/>
            </w:pPr>
            <w:r w:rsidRPr="00C720BE">
              <w:t>Pertuzumab</w:t>
            </w:r>
          </w:p>
          <w:p w:rsidR="00872AAD" w:rsidRPr="00C720BE" w:rsidRDefault="00872AAD" w:rsidP="00DB198E">
            <w:pPr>
              <w:pStyle w:val="In-tableHeading"/>
              <w:keepLines/>
              <w:jc w:val="center"/>
            </w:pPr>
            <w:r w:rsidRPr="00C720BE">
              <w:t>n/N</w:t>
            </w:r>
          </w:p>
        </w:tc>
        <w:tc>
          <w:tcPr>
            <w:tcW w:w="628" w:type="pct"/>
            <w:gridSpan w:val="2"/>
            <w:vMerge w:val="restart"/>
            <w:tcBorders>
              <w:top w:val="single" w:sz="4" w:space="0" w:color="auto"/>
              <w:left w:val="single" w:sz="4" w:space="0" w:color="auto"/>
              <w:bottom w:val="single" w:sz="4" w:space="0" w:color="auto"/>
              <w:right w:val="single" w:sz="4" w:space="0" w:color="auto"/>
            </w:tcBorders>
            <w:vAlign w:val="center"/>
          </w:tcPr>
          <w:p w:rsidR="00872AAD" w:rsidRPr="00C720BE" w:rsidRDefault="006B013D" w:rsidP="00DB198E">
            <w:pPr>
              <w:pStyle w:val="In-tableHeading"/>
              <w:keepLines/>
              <w:jc w:val="center"/>
            </w:pPr>
            <w:r w:rsidRPr="00C720BE">
              <w:t>PBO/Nothing</w:t>
            </w:r>
          </w:p>
          <w:p w:rsidR="00872AAD" w:rsidRPr="00C720BE" w:rsidRDefault="00872AAD" w:rsidP="00DB198E">
            <w:pPr>
              <w:pStyle w:val="In-tableHeading"/>
              <w:keepLines/>
              <w:jc w:val="center"/>
            </w:pPr>
            <w:r w:rsidRPr="00C720BE">
              <w:t>n/N</w:t>
            </w:r>
          </w:p>
        </w:tc>
        <w:tc>
          <w:tcPr>
            <w:tcW w:w="785" w:type="pct"/>
            <w:gridSpan w:val="2"/>
            <w:vMerge w:val="restart"/>
            <w:tcBorders>
              <w:top w:val="single" w:sz="4" w:space="0" w:color="auto"/>
              <w:left w:val="single" w:sz="4" w:space="0" w:color="auto"/>
              <w:bottom w:val="single" w:sz="4" w:space="0" w:color="auto"/>
              <w:right w:val="single" w:sz="4" w:space="0" w:color="auto"/>
            </w:tcBorders>
            <w:vAlign w:val="center"/>
          </w:tcPr>
          <w:p w:rsidR="00872AAD" w:rsidRPr="00C720BE" w:rsidRDefault="00872AAD" w:rsidP="00DB198E">
            <w:pPr>
              <w:pStyle w:val="In-tableHeading"/>
              <w:keepLines/>
              <w:jc w:val="center"/>
            </w:pPr>
            <w:r w:rsidRPr="00C720BE">
              <w:t>RR</w:t>
            </w:r>
          </w:p>
          <w:p w:rsidR="00872AAD" w:rsidRPr="00C720BE" w:rsidRDefault="00872AAD" w:rsidP="00DB198E">
            <w:pPr>
              <w:pStyle w:val="In-tableHeading"/>
              <w:keepLines/>
              <w:jc w:val="center"/>
            </w:pPr>
            <w:r w:rsidRPr="00C720BE">
              <w:t>(95% CI)</w:t>
            </w:r>
          </w:p>
        </w:tc>
        <w:tc>
          <w:tcPr>
            <w:tcW w:w="1181" w:type="pct"/>
            <w:gridSpan w:val="3"/>
            <w:tcBorders>
              <w:top w:val="single" w:sz="4" w:space="0" w:color="auto"/>
              <w:left w:val="single" w:sz="4" w:space="0" w:color="auto"/>
              <w:bottom w:val="single" w:sz="4" w:space="0" w:color="auto"/>
              <w:right w:val="single" w:sz="4" w:space="0" w:color="auto"/>
            </w:tcBorders>
            <w:vAlign w:val="center"/>
          </w:tcPr>
          <w:p w:rsidR="00872AAD" w:rsidRPr="00C720BE" w:rsidRDefault="00872AAD" w:rsidP="00DB198E">
            <w:pPr>
              <w:pStyle w:val="In-tableHeading"/>
              <w:keepLines/>
              <w:jc w:val="center"/>
            </w:pPr>
            <w:r w:rsidRPr="00C720BE">
              <w:t>Event rate/100 patients</w:t>
            </w:r>
          </w:p>
        </w:tc>
        <w:tc>
          <w:tcPr>
            <w:tcW w:w="915" w:type="pct"/>
            <w:vMerge w:val="restart"/>
            <w:tcBorders>
              <w:top w:val="single" w:sz="4" w:space="0" w:color="auto"/>
              <w:left w:val="single" w:sz="4" w:space="0" w:color="auto"/>
              <w:bottom w:val="single" w:sz="4" w:space="0" w:color="auto"/>
              <w:right w:val="single" w:sz="4" w:space="0" w:color="auto"/>
            </w:tcBorders>
            <w:vAlign w:val="center"/>
          </w:tcPr>
          <w:p w:rsidR="00872AAD" w:rsidRPr="00C720BE" w:rsidRDefault="00872AAD" w:rsidP="00DB198E">
            <w:pPr>
              <w:pStyle w:val="In-tableHeading"/>
              <w:keepLines/>
              <w:jc w:val="center"/>
            </w:pPr>
            <w:r w:rsidRPr="00C720BE">
              <w:t>RD</w:t>
            </w:r>
          </w:p>
          <w:p w:rsidR="00872AAD" w:rsidRPr="00C720BE" w:rsidRDefault="00872AAD" w:rsidP="00DB198E">
            <w:pPr>
              <w:pStyle w:val="In-tableHeading"/>
              <w:keepLines/>
              <w:jc w:val="center"/>
            </w:pPr>
            <w:r w:rsidRPr="00C720BE">
              <w:t>(95% CI)</w:t>
            </w:r>
          </w:p>
        </w:tc>
      </w:tr>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9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72AAD" w:rsidRPr="00C720BE" w:rsidRDefault="00872AAD" w:rsidP="00DB198E">
            <w:pPr>
              <w:pStyle w:val="In-tableHeading"/>
              <w:keepLines/>
            </w:pPr>
          </w:p>
        </w:tc>
        <w:tc>
          <w:tcPr>
            <w:tcW w:w="552" w:type="pct"/>
            <w:vMerge/>
            <w:tcBorders>
              <w:top w:val="single" w:sz="4" w:space="0" w:color="auto"/>
              <w:left w:val="single" w:sz="4" w:space="0" w:color="auto"/>
              <w:bottom w:val="single" w:sz="4" w:space="0" w:color="auto"/>
              <w:right w:val="single" w:sz="4" w:space="0" w:color="auto"/>
            </w:tcBorders>
            <w:vAlign w:val="center"/>
          </w:tcPr>
          <w:p w:rsidR="00872AAD" w:rsidRPr="00C720BE" w:rsidRDefault="00872AAD" w:rsidP="00DB198E">
            <w:pPr>
              <w:pStyle w:val="In-tableHeading"/>
              <w:keepLines/>
            </w:pPr>
          </w:p>
        </w:tc>
        <w:tc>
          <w:tcPr>
            <w:tcW w:w="628" w:type="pct"/>
            <w:gridSpan w:val="2"/>
            <w:vMerge/>
            <w:tcBorders>
              <w:top w:val="single" w:sz="4" w:space="0" w:color="auto"/>
              <w:left w:val="single" w:sz="4" w:space="0" w:color="auto"/>
              <w:bottom w:val="single" w:sz="4" w:space="0" w:color="auto"/>
              <w:right w:val="single" w:sz="4" w:space="0" w:color="auto"/>
            </w:tcBorders>
            <w:vAlign w:val="center"/>
          </w:tcPr>
          <w:p w:rsidR="00872AAD" w:rsidRPr="00C720BE" w:rsidRDefault="00872AAD" w:rsidP="00DB198E">
            <w:pPr>
              <w:pStyle w:val="In-tableHeading"/>
              <w:keepLines/>
            </w:pPr>
          </w:p>
        </w:tc>
        <w:tc>
          <w:tcPr>
            <w:tcW w:w="785" w:type="pct"/>
            <w:gridSpan w:val="2"/>
            <w:vMerge/>
            <w:tcBorders>
              <w:top w:val="single" w:sz="4" w:space="0" w:color="auto"/>
              <w:left w:val="single" w:sz="4" w:space="0" w:color="auto"/>
              <w:bottom w:val="single" w:sz="4" w:space="0" w:color="auto"/>
              <w:right w:val="single" w:sz="4" w:space="0" w:color="auto"/>
            </w:tcBorders>
            <w:vAlign w:val="center"/>
          </w:tcPr>
          <w:p w:rsidR="00872AAD" w:rsidRPr="00C720BE" w:rsidRDefault="00872AAD" w:rsidP="00DB198E">
            <w:pPr>
              <w:pStyle w:val="In-tableHeading"/>
              <w:keepLines/>
            </w:pPr>
          </w:p>
        </w:tc>
        <w:tc>
          <w:tcPr>
            <w:tcW w:w="552" w:type="pct"/>
            <w:gridSpan w:val="2"/>
            <w:tcBorders>
              <w:top w:val="single" w:sz="4" w:space="0" w:color="auto"/>
              <w:left w:val="single" w:sz="4" w:space="0" w:color="auto"/>
              <w:bottom w:val="single" w:sz="4" w:space="0" w:color="auto"/>
              <w:right w:val="single" w:sz="4" w:space="0" w:color="auto"/>
            </w:tcBorders>
            <w:vAlign w:val="center"/>
          </w:tcPr>
          <w:p w:rsidR="00872AAD" w:rsidRPr="00C720BE" w:rsidRDefault="006B013D" w:rsidP="00DB198E">
            <w:pPr>
              <w:pStyle w:val="In-tableHeading"/>
              <w:keepLines/>
              <w:jc w:val="center"/>
            </w:pPr>
            <w:r w:rsidRPr="00C720BE">
              <w:t>Pertuzumab</w:t>
            </w:r>
          </w:p>
        </w:tc>
        <w:tc>
          <w:tcPr>
            <w:tcW w:w="629" w:type="pct"/>
            <w:tcBorders>
              <w:top w:val="single" w:sz="4" w:space="0" w:color="auto"/>
              <w:left w:val="single" w:sz="4" w:space="0" w:color="auto"/>
              <w:bottom w:val="single" w:sz="4" w:space="0" w:color="auto"/>
              <w:right w:val="single" w:sz="4" w:space="0" w:color="auto"/>
            </w:tcBorders>
            <w:vAlign w:val="center"/>
          </w:tcPr>
          <w:p w:rsidR="00872AAD" w:rsidRPr="00C720BE" w:rsidRDefault="006B013D" w:rsidP="00DB198E">
            <w:pPr>
              <w:pStyle w:val="In-tableHeading"/>
              <w:keepLines/>
              <w:jc w:val="center"/>
            </w:pPr>
            <w:r w:rsidRPr="00C720BE">
              <w:t>PBO/Nothing</w:t>
            </w:r>
          </w:p>
        </w:tc>
        <w:tc>
          <w:tcPr>
            <w:tcW w:w="915" w:type="pct"/>
            <w:vMerge/>
            <w:tcBorders>
              <w:top w:val="single" w:sz="4" w:space="0" w:color="auto"/>
              <w:left w:val="single" w:sz="4" w:space="0" w:color="auto"/>
              <w:bottom w:val="single" w:sz="4" w:space="0" w:color="auto"/>
              <w:right w:val="single" w:sz="4" w:space="0" w:color="auto"/>
            </w:tcBorders>
            <w:vAlign w:val="center"/>
          </w:tcPr>
          <w:p w:rsidR="00872AAD" w:rsidRPr="00C720BE" w:rsidRDefault="00872AAD" w:rsidP="00DB198E">
            <w:pPr>
              <w:pStyle w:val="In-tableHeading"/>
              <w:keepLines/>
            </w:pPr>
          </w:p>
        </w:tc>
      </w:tr>
      <w:tr w:rsidR="00872AAD" w:rsidRPr="00C720BE" w:rsidTr="00C769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872AAD" w:rsidRPr="00C720BE" w:rsidRDefault="00737600" w:rsidP="00DB198E">
            <w:pPr>
              <w:pStyle w:val="In-tableHeading"/>
              <w:keepLines/>
              <w:jc w:val="both"/>
            </w:pPr>
            <w:r w:rsidRPr="00C720BE">
              <w:t>AEs in NEOSPHERE</w:t>
            </w:r>
          </w:p>
        </w:tc>
      </w:tr>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8" w:type="pct"/>
            <w:tcBorders>
              <w:top w:val="single" w:sz="4" w:space="0" w:color="auto"/>
              <w:left w:val="single" w:sz="4" w:space="0" w:color="auto"/>
              <w:right w:val="single" w:sz="4" w:space="0" w:color="auto"/>
            </w:tcBorders>
            <w:shd w:val="clear" w:color="auto" w:fill="auto"/>
            <w:vAlign w:val="center"/>
          </w:tcPr>
          <w:p w:rsidR="00872AAD" w:rsidRPr="00C720BE" w:rsidRDefault="00737600" w:rsidP="00DB198E">
            <w:pPr>
              <w:pStyle w:val="TableText0"/>
              <w:keepLines/>
            </w:pPr>
            <w:r w:rsidRPr="00C720BE">
              <w:t xml:space="preserve">≥1 </w:t>
            </w:r>
            <w:r w:rsidR="00DB198E">
              <w:t>SAE</w:t>
            </w:r>
          </w:p>
        </w:tc>
        <w:tc>
          <w:tcPr>
            <w:tcW w:w="552"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Lines/>
              <w:jc w:val="center"/>
            </w:pPr>
            <w:r w:rsidRPr="00C720BE">
              <w:t>11/107</w:t>
            </w:r>
          </w:p>
        </w:tc>
        <w:tc>
          <w:tcPr>
            <w:tcW w:w="628"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Lines/>
              <w:jc w:val="center"/>
            </w:pPr>
            <w:r w:rsidRPr="00C720BE">
              <w:t>18/107</w:t>
            </w:r>
          </w:p>
        </w:tc>
        <w:tc>
          <w:tcPr>
            <w:tcW w:w="785" w:type="pct"/>
            <w:gridSpan w:val="2"/>
            <w:tcBorders>
              <w:top w:val="single" w:sz="4" w:space="0" w:color="auto"/>
              <w:left w:val="single" w:sz="4" w:space="0" w:color="auto"/>
              <w:right w:val="single" w:sz="4" w:space="0" w:color="auto"/>
            </w:tcBorders>
            <w:vAlign w:val="center"/>
          </w:tcPr>
          <w:p w:rsidR="00872AAD" w:rsidRPr="00C720BE" w:rsidRDefault="002A0149" w:rsidP="00DB198E">
            <w:pPr>
              <w:pStyle w:val="TableText0"/>
              <w:keepLines/>
              <w:jc w:val="center"/>
              <w:rPr>
                <w:iCs/>
              </w:rPr>
            </w:pPr>
            <w:r w:rsidRPr="00C720BE">
              <w:rPr>
                <w:iCs/>
              </w:rPr>
              <w:t>0.61</w:t>
            </w:r>
            <w:r w:rsidR="00872AAD" w:rsidRPr="00C720BE">
              <w:rPr>
                <w:iCs/>
              </w:rPr>
              <w:t xml:space="preserve"> (</w:t>
            </w:r>
            <w:r w:rsidRPr="00C720BE">
              <w:rPr>
                <w:iCs/>
              </w:rPr>
              <w:t>0.30</w:t>
            </w:r>
            <w:r w:rsidR="00872AAD" w:rsidRPr="00C720BE">
              <w:rPr>
                <w:iCs/>
              </w:rPr>
              <w:t xml:space="preserve">, </w:t>
            </w:r>
            <w:r w:rsidRPr="00C720BE">
              <w:rPr>
                <w:iCs/>
              </w:rPr>
              <w:t>1.23</w:t>
            </w:r>
            <w:r w:rsidR="00872AAD" w:rsidRPr="00C720BE">
              <w:rPr>
                <w:iCs/>
              </w:rPr>
              <w:t>)</w:t>
            </w:r>
          </w:p>
        </w:tc>
        <w:tc>
          <w:tcPr>
            <w:tcW w:w="552"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Lines/>
              <w:jc w:val="center"/>
              <w:rPr>
                <w:iCs/>
              </w:rPr>
            </w:pPr>
            <w:r w:rsidRPr="00C720BE">
              <w:rPr>
                <w:iCs/>
              </w:rPr>
              <w:t>10.3</w:t>
            </w:r>
          </w:p>
        </w:tc>
        <w:tc>
          <w:tcPr>
            <w:tcW w:w="629" w:type="pct"/>
            <w:tcBorders>
              <w:top w:val="single" w:sz="4" w:space="0" w:color="auto"/>
              <w:left w:val="single" w:sz="4" w:space="0" w:color="auto"/>
              <w:right w:val="single" w:sz="4" w:space="0" w:color="auto"/>
            </w:tcBorders>
            <w:vAlign w:val="center"/>
          </w:tcPr>
          <w:p w:rsidR="00872AAD" w:rsidRPr="00C720BE" w:rsidRDefault="002A0149" w:rsidP="00DB198E">
            <w:pPr>
              <w:pStyle w:val="TableText0"/>
              <w:keepLines/>
              <w:jc w:val="center"/>
              <w:rPr>
                <w:iCs/>
              </w:rPr>
            </w:pPr>
            <w:r w:rsidRPr="00C720BE">
              <w:rPr>
                <w:iCs/>
              </w:rPr>
              <w:t>16.8</w:t>
            </w:r>
          </w:p>
        </w:tc>
        <w:tc>
          <w:tcPr>
            <w:tcW w:w="915"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Lines/>
              <w:jc w:val="center"/>
              <w:rPr>
                <w:iCs/>
              </w:rPr>
            </w:pPr>
            <w:r w:rsidRPr="00C720BE">
              <w:rPr>
                <w:iCs/>
              </w:rPr>
              <w:t>−</w:t>
            </w:r>
            <w:r w:rsidR="00181B91" w:rsidRPr="00C720BE">
              <w:rPr>
                <w:iCs/>
              </w:rPr>
              <w:t>6.5</w:t>
            </w:r>
            <w:r w:rsidRPr="00C720BE">
              <w:rPr>
                <w:iCs/>
              </w:rPr>
              <w:t>% (−</w:t>
            </w:r>
            <w:r w:rsidR="00181B91" w:rsidRPr="00C720BE">
              <w:rPr>
                <w:iCs/>
              </w:rPr>
              <w:t>16.2</w:t>
            </w:r>
            <w:r w:rsidRPr="00C720BE">
              <w:rPr>
                <w:iCs/>
              </w:rPr>
              <w:t xml:space="preserve">, </w:t>
            </w:r>
            <w:r w:rsidR="00181B91" w:rsidRPr="00C720BE">
              <w:rPr>
                <w:iCs/>
              </w:rPr>
              <w:t>3.1</w:t>
            </w:r>
            <w:r w:rsidRPr="00C720BE">
              <w:rPr>
                <w:iCs/>
              </w:rPr>
              <w:t>)</w:t>
            </w:r>
          </w:p>
        </w:tc>
      </w:tr>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3"/>
        </w:trPr>
        <w:tc>
          <w:tcPr>
            <w:tcW w:w="938" w:type="pct"/>
            <w:tcBorders>
              <w:top w:val="single" w:sz="4" w:space="0" w:color="auto"/>
              <w:left w:val="single" w:sz="4" w:space="0" w:color="auto"/>
              <w:right w:val="single" w:sz="4" w:space="0" w:color="auto"/>
            </w:tcBorders>
            <w:shd w:val="clear" w:color="auto" w:fill="auto"/>
            <w:vAlign w:val="center"/>
          </w:tcPr>
          <w:p w:rsidR="00872AAD" w:rsidRPr="00C720BE" w:rsidRDefault="00C720BE" w:rsidP="00DB198E">
            <w:pPr>
              <w:pStyle w:val="TableText0"/>
              <w:keepLines/>
            </w:pPr>
            <w:bookmarkStart w:id="41" w:name="_Hlk29470027"/>
            <w:r w:rsidRPr="00C720BE">
              <w:t>SAE-febrile neutropenia</w:t>
            </w:r>
          </w:p>
        </w:tc>
        <w:tc>
          <w:tcPr>
            <w:tcW w:w="552"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Lines/>
              <w:jc w:val="center"/>
            </w:pPr>
            <w:r w:rsidRPr="00C720BE">
              <w:t>6/107</w:t>
            </w:r>
          </w:p>
        </w:tc>
        <w:tc>
          <w:tcPr>
            <w:tcW w:w="628"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Lines/>
              <w:jc w:val="center"/>
            </w:pPr>
            <w:r w:rsidRPr="00C720BE">
              <w:t>7/107</w:t>
            </w:r>
          </w:p>
        </w:tc>
        <w:tc>
          <w:tcPr>
            <w:tcW w:w="785" w:type="pct"/>
            <w:gridSpan w:val="2"/>
            <w:tcBorders>
              <w:top w:val="single" w:sz="4" w:space="0" w:color="auto"/>
              <w:left w:val="single" w:sz="4" w:space="0" w:color="auto"/>
              <w:right w:val="single" w:sz="4" w:space="0" w:color="auto"/>
            </w:tcBorders>
            <w:vAlign w:val="center"/>
          </w:tcPr>
          <w:p w:rsidR="00872AAD" w:rsidRPr="00C720BE" w:rsidRDefault="00181B91" w:rsidP="00DB198E">
            <w:pPr>
              <w:pStyle w:val="TableText0"/>
              <w:keepLines/>
              <w:jc w:val="center"/>
              <w:rPr>
                <w:iCs/>
              </w:rPr>
            </w:pPr>
            <w:r w:rsidRPr="00C720BE">
              <w:rPr>
                <w:iCs/>
              </w:rPr>
              <w:t>0.86</w:t>
            </w:r>
            <w:r w:rsidR="00872AAD" w:rsidRPr="00C720BE">
              <w:rPr>
                <w:iCs/>
              </w:rPr>
              <w:t xml:space="preserve"> (</w:t>
            </w:r>
            <w:r w:rsidRPr="00C720BE">
              <w:rPr>
                <w:iCs/>
              </w:rPr>
              <w:t>0.30</w:t>
            </w:r>
            <w:r w:rsidR="00872AAD" w:rsidRPr="00C720BE">
              <w:rPr>
                <w:iCs/>
              </w:rPr>
              <w:t xml:space="preserve">, </w:t>
            </w:r>
            <w:r w:rsidRPr="00C720BE">
              <w:rPr>
                <w:iCs/>
              </w:rPr>
              <w:t>2.47</w:t>
            </w:r>
            <w:r w:rsidR="00872AAD" w:rsidRPr="00C720BE">
              <w:rPr>
                <w:iCs/>
              </w:rPr>
              <w:t>)</w:t>
            </w:r>
          </w:p>
        </w:tc>
        <w:tc>
          <w:tcPr>
            <w:tcW w:w="552"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Lines/>
              <w:jc w:val="center"/>
              <w:rPr>
                <w:iCs/>
              </w:rPr>
            </w:pPr>
            <w:r w:rsidRPr="00C720BE">
              <w:rPr>
                <w:iCs/>
              </w:rPr>
              <w:t>5.6</w:t>
            </w:r>
          </w:p>
        </w:tc>
        <w:tc>
          <w:tcPr>
            <w:tcW w:w="629"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Lines/>
              <w:jc w:val="center"/>
              <w:rPr>
                <w:iCs/>
              </w:rPr>
            </w:pPr>
            <w:r w:rsidRPr="00C720BE">
              <w:rPr>
                <w:iCs/>
              </w:rPr>
              <w:t>5.6</w:t>
            </w:r>
          </w:p>
        </w:tc>
        <w:tc>
          <w:tcPr>
            <w:tcW w:w="915"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Lines/>
              <w:jc w:val="center"/>
              <w:rPr>
                <w:iCs/>
              </w:rPr>
            </w:pPr>
            <w:r w:rsidRPr="00C720BE">
              <w:rPr>
                <w:iCs/>
              </w:rPr>
              <w:t>0.</w:t>
            </w:r>
            <w:r w:rsidR="00181B91" w:rsidRPr="00C720BE">
              <w:rPr>
                <w:iCs/>
              </w:rPr>
              <w:t>9</w:t>
            </w:r>
            <w:r w:rsidRPr="00C720BE">
              <w:rPr>
                <w:iCs/>
              </w:rPr>
              <w:t>% (−</w:t>
            </w:r>
            <w:r w:rsidR="00181B91" w:rsidRPr="00C720BE">
              <w:rPr>
                <w:iCs/>
              </w:rPr>
              <w:t>7.8</w:t>
            </w:r>
            <w:r w:rsidRPr="00C720BE">
              <w:rPr>
                <w:iCs/>
              </w:rPr>
              <w:t>, 6.</w:t>
            </w:r>
            <w:r w:rsidR="00181B91" w:rsidRPr="00C720BE">
              <w:rPr>
                <w:iCs/>
              </w:rPr>
              <w:t>0</w:t>
            </w:r>
            <w:r w:rsidRPr="00C720BE">
              <w:rPr>
                <w:iCs/>
              </w:rPr>
              <w:t>)</w:t>
            </w:r>
          </w:p>
        </w:tc>
      </w:tr>
      <w:bookmarkEnd w:id="41"/>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8" w:type="pct"/>
            <w:tcBorders>
              <w:top w:val="single" w:sz="4" w:space="0" w:color="auto"/>
              <w:left w:val="single" w:sz="4" w:space="0" w:color="auto"/>
              <w:right w:val="single" w:sz="4" w:space="0" w:color="auto"/>
            </w:tcBorders>
            <w:shd w:val="clear" w:color="auto" w:fill="auto"/>
            <w:vAlign w:val="center"/>
          </w:tcPr>
          <w:p w:rsidR="00872AAD" w:rsidRPr="00C720BE" w:rsidRDefault="00C720BE" w:rsidP="00DB198E">
            <w:pPr>
              <w:pStyle w:val="TableText0"/>
              <w:keepNext w:val="0"/>
            </w:pPr>
            <w:r w:rsidRPr="00C720BE">
              <w:t xml:space="preserve">≥1 </w:t>
            </w:r>
            <w:r w:rsidR="00DB198E">
              <w:t>AE</w:t>
            </w:r>
            <w:r w:rsidRPr="00C720BE">
              <w:t xml:space="preserve"> of CTCAE grade ≥3 severity</w:t>
            </w:r>
          </w:p>
        </w:tc>
        <w:tc>
          <w:tcPr>
            <w:tcW w:w="552"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67/107</w:t>
            </w:r>
          </w:p>
        </w:tc>
        <w:tc>
          <w:tcPr>
            <w:tcW w:w="628"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78/107</w:t>
            </w:r>
          </w:p>
        </w:tc>
        <w:tc>
          <w:tcPr>
            <w:tcW w:w="785"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0.86 (0.71, 1.04)</w:t>
            </w:r>
          </w:p>
        </w:tc>
        <w:tc>
          <w:tcPr>
            <w:tcW w:w="552"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62.6</w:t>
            </w:r>
          </w:p>
        </w:tc>
        <w:tc>
          <w:tcPr>
            <w:tcW w:w="629"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72.9</w:t>
            </w:r>
          </w:p>
        </w:tc>
        <w:tc>
          <w:tcPr>
            <w:tcW w:w="915"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−10.3% (−23.3, 2.7)</w:t>
            </w:r>
          </w:p>
        </w:tc>
      </w:tr>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8" w:type="pct"/>
            <w:tcBorders>
              <w:top w:val="single" w:sz="4" w:space="0" w:color="auto"/>
              <w:left w:val="single" w:sz="4" w:space="0" w:color="auto"/>
              <w:right w:val="single" w:sz="4" w:space="0" w:color="auto"/>
            </w:tcBorders>
            <w:shd w:val="clear" w:color="auto" w:fill="auto"/>
            <w:vAlign w:val="center"/>
          </w:tcPr>
          <w:p w:rsidR="00872AAD" w:rsidRPr="00C720BE" w:rsidRDefault="00C720BE" w:rsidP="00DB198E">
            <w:pPr>
              <w:pStyle w:val="TableText0"/>
              <w:keepNext w:val="0"/>
            </w:pPr>
            <w:r w:rsidRPr="00C720BE">
              <w:t>Neutropenia of CTCAE grade ≥3 severity</w:t>
            </w:r>
          </w:p>
        </w:tc>
        <w:tc>
          <w:tcPr>
            <w:tcW w:w="552"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48/107</w:t>
            </w:r>
          </w:p>
        </w:tc>
        <w:tc>
          <w:tcPr>
            <w:tcW w:w="628"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61/107</w:t>
            </w:r>
          </w:p>
        </w:tc>
        <w:tc>
          <w:tcPr>
            <w:tcW w:w="785"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0.79 (0.60, 1.03)</w:t>
            </w:r>
          </w:p>
        </w:tc>
        <w:tc>
          <w:tcPr>
            <w:tcW w:w="552"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44.9</w:t>
            </w:r>
          </w:p>
        </w:tc>
        <w:tc>
          <w:tcPr>
            <w:tcW w:w="629"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57.0</w:t>
            </w:r>
          </w:p>
        </w:tc>
        <w:tc>
          <w:tcPr>
            <w:tcW w:w="915"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−12.1% (−26.0, 1.7)</w:t>
            </w:r>
          </w:p>
        </w:tc>
      </w:tr>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8" w:type="pct"/>
            <w:tcBorders>
              <w:top w:val="single" w:sz="4" w:space="0" w:color="auto"/>
              <w:left w:val="single" w:sz="4" w:space="0" w:color="auto"/>
              <w:right w:val="single" w:sz="4" w:space="0" w:color="auto"/>
            </w:tcBorders>
            <w:shd w:val="clear" w:color="auto" w:fill="auto"/>
            <w:vAlign w:val="center"/>
          </w:tcPr>
          <w:p w:rsidR="00872AAD" w:rsidRPr="00C720BE" w:rsidRDefault="00C720BE" w:rsidP="00DB198E">
            <w:pPr>
              <w:pStyle w:val="TableText0"/>
              <w:keepNext w:val="0"/>
            </w:pPr>
            <w:bookmarkStart w:id="42" w:name="_Hlk29470736"/>
            <w:r w:rsidRPr="00C720BE">
              <w:t>Febrile neutropenia of CTCAE grade ≥3 severity</w:t>
            </w:r>
          </w:p>
        </w:tc>
        <w:tc>
          <w:tcPr>
            <w:tcW w:w="552"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9/107</w:t>
            </w:r>
          </w:p>
        </w:tc>
        <w:tc>
          <w:tcPr>
            <w:tcW w:w="628"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8/107</w:t>
            </w:r>
          </w:p>
        </w:tc>
        <w:tc>
          <w:tcPr>
            <w:tcW w:w="785"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1.13 (0.45, 2.81)</w:t>
            </w:r>
          </w:p>
        </w:tc>
        <w:tc>
          <w:tcPr>
            <w:tcW w:w="552"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8.4</w:t>
            </w:r>
          </w:p>
        </w:tc>
        <w:tc>
          <w:tcPr>
            <w:tcW w:w="629"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7.5</w:t>
            </w:r>
          </w:p>
        </w:tc>
        <w:tc>
          <w:tcPr>
            <w:tcW w:w="915"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0.9% (−6.8, 8.7)</w:t>
            </w:r>
          </w:p>
        </w:tc>
      </w:tr>
      <w:bookmarkEnd w:id="42"/>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8" w:type="pct"/>
            <w:tcBorders>
              <w:top w:val="single" w:sz="4" w:space="0" w:color="auto"/>
              <w:left w:val="single" w:sz="4" w:space="0" w:color="auto"/>
              <w:right w:val="single" w:sz="4" w:space="0" w:color="auto"/>
            </w:tcBorders>
            <w:shd w:val="clear" w:color="auto" w:fill="auto"/>
            <w:vAlign w:val="center"/>
          </w:tcPr>
          <w:p w:rsidR="00872AAD" w:rsidRPr="00C720BE" w:rsidRDefault="00C720BE" w:rsidP="00DB198E">
            <w:pPr>
              <w:pStyle w:val="TableText0"/>
              <w:keepNext w:val="0"/>
            </w:pPr>
            <w:r w:rsidRPr="00C720BE">
              <w:t>Leukopenia of CTCAE grade ≥3 severity</w:t>
            </w:r>
          </w:p>
        </w:tc>
        <w:tc>
          <w:tcPr>
            <w:tcW w:w="552"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5/107</w:t>
            </w:r>
          </w:p>
        </w:tc>
        <w:tc>
          <w:tcPr>
            <w:tcW w:w="628"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13/107</w:t>
            </w:r>
          </w:p>
        </w:tc>
        <w:tc>
          <w:tcPr>
            <w:tcW w:w="785"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0.38 (0.14, 1.04)</w:t>
            </w:r>
          </w:p>
        </w:tc>
        <w:tc>
          <w:tcPr>
            <w:tcW w:w="552"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4.7</w:t>
            </w:r>
          </w:p>
        </w:tc>
        <w:tc>
          <w:tcPr>
            <w:tcW w:w="629"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12.1</w:t>
            </w:r>
          </w:p>
        </w:tc>
        <w:tc>
          <w:tcPr>
            <w:tcW w:w="915"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−7.5% (−15.3, 0.4)</w:t>
            </w:r>
          </w:p>
        </w:tc>
      </w:tr>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8" w:type="pct"/>
            <w:tcBorders>
              <w:top w:val="single" w:sz="4" w:space="0" w:color="auto"/>
              <w:left w:val="single" w:sz="4" w:space="0" w:color="auto"/>
              <w:right w:val="single" w:sz="4" w:space="0" w:color="auto"/>
            </w:tcBorders>
            <w:shd w:val="clear" w:color="auto" w:fill="auto"/>
            <w:vAlign w:val="center"/>
          </w:tcPr>
          <w:p w:rsidR="00872AAD" w:rsidRPr="00C720BE" w:rsidRDefault="00C720BE" w:rsidP="00DB198E">
            <w:pPr>
              <w:pStyle w:val="TableText0"/>
              <w:keepNext w:val="0"/>
            </w:pPr>
            <w:r w:rsidRPr="00C720BE">
              <w:t>Diarrhoea of CTCAE grade ≥3 severity</w:t>
            </w:r>
          </w:p>
        </w:tc>
        <w:tc>
          <w:tcPr>
            <w:tcW w:w="552"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6/107</w:t>
            </w:r>
          </w:p>
        </w:tc>
        <w:tc>
          <w:tcPr>
            <w:tcW w:w="628"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4/107</w:t>
            </w:r>
          </w:p>
        </w:tc>
        <w:tc>
          <w:tcPr>
            <w:tcW w:w="785"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1.50 (0.44, 5.17)</w:t>
            </w:r>
          </w:p>
        </w:tc>
        <w:tc>
          <w:tcPr>
            <w:tcW w:w="552"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5.6</w:t>
            </w:r>
          </w:p>
        </w:tc>
        <w:tc>
          <w:tcPr>
            <w:tcW w:w="629"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3.7</w:t>
            </w:r>
          </w:p>
        </w:tc>
        <w:tc>
          <w:tcPr>
            <w:tcW w:w="915"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1.9% (−4.3, 8.0)</w:t>
            </w:r>
          </w:p>
        </w:tc>
      </w:tr>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8" w:type="pct"/>
            <w:tcBorders>
              <w:top w:val="single" w:sz="4" w:space="0" w:color="auto"/>
              <w:left w:val="single" w:sz="4" w:space="0" w:color="auto"/>
              <w:right w:val="single" w:sz="4" w:space="0" w:color="auto"/>
            </w:tcBorders>
            <w:shd w:val="clear" w:color="auto" w:fill="auto"/>
            <w:vAlign w:val="center"/>
          </w:tcPr>
          <w:p w:rsidR="00872AAD" w:rsidRPr="00C720BE" w:rsidRDefault="00C720BE" w:rsidP="00DB198E">
            <w:pPr>
              <w:pStyle w:val="TableText0"/>
              <w:keepNext w:val="0"/>
              <w:rPr>
                <w:iCs/>
              </w:rPr>
            </w:pPr>
            <w:r w:rsidRPr="00C720BE">
              <w:lastRenderedPageBreak/>
              <w:t>Left ventricular systolic dysfunction (any grade) (overall study period)</w:t>
            </w:r>
          </w:p>
        </w:tc>
        <w:tc>
          <w:tcPr>
            <w:tcW w:w="552"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9/107</w:t>
            </w:r>
          </w:p>
        </w:tc>
        <w:tc>
          <w:tcPr>
            <w:tcW w:w="628"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t>2/107</w:t>
            </w:r>
          </w:p>
        </w:tc>
        <w:tc>
          <w:tcPr>
            <w:tcW w:w="785"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4.50 (1.00, 20.34)</w:t>
            </w:r>
          </w:p>
        </w:tc>
        <w:tc>
          <w:tcPr>
            <w:tcW w:w="552"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8.4</w:t>
            </w:r>
          </w:p>
        </w:tc>
        <w:tc>
          <w:tcPr>
            <w:tcW w:w="629"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1.9</w:t>
            </w:r>
          </w:p>
        </w:tc>
        <w:tc>
          <w:tcPr>
            <w:tcW w:w="915" w:type="pct"/>
            <w:tcBorders>
              <w:top w:val="single" w:sz="4" w:space="0" w:color="auto"/>
              <w:left w:val="single" w:sz="4" w:space="0" w:color="auto"/>
              <w:right w:val="single" w:sz="4" w:space="0" w:color="auto"/>
            </w:tcBorders>
            <w:vAlign w:val="center"/>
          </w:tcPr>
          <w:p w:rsidR="00872AAD" w:rsidRPr="00C76975" w:rsidRDefault="00872AAD" w:rsidP="00DB198E">
            <w:pPr>
              <w:pStyle w:val="TableText0"/>
              <w:keepNext w:val="0"/>
              <w:jc w:val="center"/>
              <w:rPr>
                <w:b/>
                <w:iCs/>
              </w:rPr>
            </w:pPr>
            <w:r w:rsidRPr="00C76975">
              <w:rPr>
                <w:b/>
                <w:iCs/>
              </w:rPr>
              <w:t>6.5% (0.2, 12.9)</w:t>
            </w:r>
          </w:p>
        </w:tc>
      </w:tr>
      <w:tr w:rsidR="00872AAD" w:rsidRPr="00C720BE" w:rsidTr="00C769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872AAD" w:rsidRPr="00C720BE" w:rsidRDefault="00872AAD" w:rsidP="00DB198E">
            <w:pPr>
              <w:pStyle w:val="In-tableHeading"/>
              <w:keepNext w:val="0"/>
              <w:jc w:val="both"/>
            </w:pPr>
            <w:bookmarkStart w:id="43" w:name="_Hlk29806825"/>
            <w:r w:rsidRPr="00C720BE">
              <w:rPr>
                <w:iCs/>
              </w:rPr>
              <w:t xml:space="preserve">Common AEs in PEONY (as reported in Shao 2019) </w:t>
            </w:r>
          </w:p>
        </w:tc>
      </w:tr>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8" w:type="pct"/>
            <w:tcBorders>
              <w:top w:val="single" w:sz="4" w:space="0" w:color="auto"/>
              <w:left w:val="single" w:sz="4" w:space="0" w:color="auto"/>
              <w:right w:val="single" w:sz="4" w:space="0" w:color="auto"/>
            </w:tcBorders>
            <w:shd w:val="clear" w:color="auto" w:fill="auto"/>
            <w:vAlign w:val="center"/>
          </w:tcPr>
          <w:p w:rsidR="00872AAD" w:rsidRPr="00C720BE" w:rsidRDefault="00872AAD" w:rsidP="00DB198E">
            <w:pPr>
              <w:pStyle w:val="TableText0"/>
              <w:keepNext w:val="0"/>
            </w:pPr>
            <w:r w:rsidRPr="00C720BE">
              <w:rPr>
                <w:iCs/>
              </w:rPr>
              <w:t>Diarrhoea</w:t>
            </w:r>
          </w:p>
        </w:tc>
        <w:tc>
          <w:tcPr>
            <w:tcW w:w="552"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rPr>
                <w:iCs/>
              </w:rPr>
              <w:t>84/218</w:t>
            </w:r>
          </w:p>
        </w:tc>
        <w:tc>
          <w:tcPr>
            <w:tcW w:w="628"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pPr>
            <w:r w:rsidRPr="00C720BE">
              <w:rPr>
                <w:iCs/>
              </w:rPr>
              <w:t>18/110</w:t>
            </w:r>
          </w:p>
        </w:tc>
        <w:tc>
          <w:tcPr>
            <w:tcW w:w="785"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b/>
                <w:bCs w:val="0"/>
                <w:iCs/>
              </w:rPr>
              <w:t>2.35 (1.49, 3.71)</w:t>
            </w:r>
          </w:p>
        </w:tc>
        <w:tc>
          <w:tcPr>
            <w:tcW w:w="552" w:type="pct"/>
            <w:gridSpan w:val="2"/>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38.5</w:t>
            </w:r>
          </w:p>
        </w:tc>
        <w:tc>
          <w:tcPr>
            <w:tcW w:w="629"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16.4</w:t>
            </w:r>
          </w:p>
        </w:tc>
        <w:tc>
          <w:tcPr>
            <w:tcW w:w="915" w:type="pct"/>
            <w:tcBorders>
              <w:top w:val="single" w:sz="4" w:space="0" w:color="auto"/>
              <w:left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b/>
                <w:bCs w:val="0"/>
                <w:iCs/>
              </w:rPr>
              <w:t>22.2 (12.2, 32.1)</w:t>
            </w:r>
          </w:p>
        </w:tc>
      </w:tr>
      <w:tr w:rsidR="00872AAD" w:rsidRPr="00C720BE" w:rsidTr="00DB1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8" w:type="pct"/>
            <w:tcBorders>
              <w:left w:val="single" w:sz="4" w:space="0" w:color="auto"/>
              <w:bottom w:val="single" w:sz="4" w:space="0" w:color="auto"/>
              <w:right w:val="single" w:sz="4" w:space="0" w:color="auto"/>
            </w:tcBorders>
            <w:vAlign w:val="center"/>
          </w:tcPr>
          <w:p w:rsidR="00872AAD" w:rsidRPr="00C720BE" w:rsidRDefault="00872AAD" w:rsidP="00DB198E">
            <w:pPr>
              <w:pStyle w:val="TableText0"/>
              <w:keepNext w:val="0"/>
            </w:pPr>
            <w:r w:rsidRPr="00C720BE">
              <w:rPr>
                <w:iCs/>
              </w:rPr>
              <w:t>Infusion-related reactions</w:t>
            </w:r>
          </w:p>
        </w:tc>
        <w:tc>
          <w:tcPr>
            <w:tcW w:w="552" w:type="pct"/>
            <w:tcBorders>
              <w:left w:val="single" w:sz="4" w:space="0" w:color="auto"/>
              <w:bottom w:val="single" w:sz="4" w:space="0" w:color="auto"/>
              <w:right w:val="single" w:sz="4" w:space="0" w:color="auto"/>
            </w:tcBorders>
            <w:vAlign w:val="center"/>
          </w:tcPr>
          <w:p w:rsidR="00872AAD" w:rsidRPr="00C720BE" w:rsidRDefault="00872AAD" w:rsidP="00DB198E">
            <w:pPr>
              <w:pStyle w:val="TableText0"/>
              <w:keepNext w:val="0"/>
              <w:jc w:val="center"/>
            </w:pPr>
            <w:r w:rsidRPr="00C720BE">
              <w:rPr>
                <w:iCs/>
              </w:rPr>
              <w:t>48/218</w:t>
            </w:r>
          </w:p>
        </w:tc>
        <w:tc>
          <w:tcPr>
            <w:tcW w:w="628" w:type="pct"/>
            <w:gridSpan w:val="2"/>
            <w:tcBorders>
              <w:left w:val="single" w:sz="4" w:space="0" w:color="auto"/>
              <w:bottom w:val="single" w:sz="4" w:space="0" w:color="auto"/>
              <w:right w:val="single" w:sz="4" w:space="0" w:color="auto"/>
            </w:tcBorders>
            <w:vAlign w:val="center"/>
          </w:tcPr>
          <w:p w:rsidR="00872AAD" w:rsidRPr="00C720BE" w:rsidRDefault="00872AAD" w:rsidP="00DB198E">
            <w:pPr>
              <w:pStyle w:val="TableText0"/>
              <w:keepNext w:val="0"/>
              <w:jc w:val="center"/>
            </w:pPr>
            <w:r w:rsidRPr="00C720BE">
              <w:rPr>
                <w:iCs/>
              </w:rPr>
              <w:t>10/110</w:t>
            </w:r>
          </w:p>
        </w:tc>
        <w:tc>
          <w:tcPr>
            <w:tcW w:w="785" w:type="pct"/>
            <w:gridSpan w:val="2"/>
            <w:tcBorders>
              <w:left w:val="single" w:sz="4" w:space="0" w:color="auto"/>
              <w:bottom w:val="single" w:sz="4" w:space="0" w:color="auto"/>
              <w:right w:val="single" w:sz="4" w:space="0" w:color="auto"/>
            </w:tcBorders>
            <w:vAlign w:val="center"/>
          </w:tcPr>
          <w:p w:rsidR="00872AAD" w:rsidRPr="00C720BE" w:rsidRDefault="00872AAD" w:rsidP="00DB198E">
            <w:pPr>
              <w:pStyle w:val="TableText0"/>
              <w:keepNext w:val="0"/>
              <w:jc w:val="center"/>
            </w:pPr>
            <w:r w:rsidRPr="00C720BE">
              <w:rPr>
                <w:b/>
                <w:bCs w:val="0"/>
                <w:iCs/>
              </w:rPr>
              <w:t>2.42 (1.28, 4.60)</w:t>
            </w:r>
          </w:p>
        </w:tc>
        <w:tc>
          <w:tcPr>
            <w:tcW w:w="552" w:type="pct"/>
            <w:gridSpan w:val="2"/>
            <w:tcBorders>
              <w:left w:val="single" w:sz="4" w:space="0" w:color="auto"/>
              <w:bottom w:val="single" w:sz="4" w:space="0" w:color="auto"/>
              <w:right w:val="single" w:sz="4" w:space="0" w:color="auto"/>
            </w:tcBorders>
            <w:vAlign w:val="center"/>
          </w:tcPr>
          <w:p w:rsidR="00872AAD" w:rsidRPr="00C720BE" w:rsidRDefault="00872AAD" w:rsidP="00DB198E">
            <w:pPr>
              <w:pStyle w:val="TableText0"/>
              <w:keepNext w:val="0"/>
              <w:jc w:val="center"/>
              <w:rPr>
                <w:iCs/>
              </w:rPr>
            </w:pPr>
            <w:r w:rsidRPr="00C720BE">
              <w:rPr>
                <w:iCs/>
              </w:rPr>
              <w:t>22.0</w:t>
            </w:r>
          </w:p>
        </w:tc>
        <w:tc>
          <w:tcPr>
            <w:tcW w:w="629" w:type="pct"/>
            <w:tcBorders>
              <w:left w:val="single" w:sz="4" w:space="0" w:color="auto"/>
              <w:bottom w:val="single" w:sz="4" w:space="0" w:color="auto"/>
              <w:right w:val="single" w:sz="4" w:space="0" w:color="auto"/>
            </w:tcBorders>
            <w:vAlign w:val="center"/>
          </w:tcPr>
          <w:p w:rsidR="00872AAD" w:rsidRPr="00C720BE" w:rsidRDefault="00872AAD" w:rsidP="00DB198E">
            <w:pPr>
              <w:pStyle w:val="TableText0"/>
              <w:keepNext w:val="0"/>
              <w:jc w:val="center"/>
            </w:pPr>
            <w:r w:rsidRPr="00C720BE">
              <w:rPr>
                <w:iCs/>
              </w:rPr>
              <w:t>9.1</w:t>
            </w:r>
          </w:p>
        </w:tc>
        <w:tc>
          <w:tcPr>
            <w:tcW w:w="915" w:type="pct"/>
            <w:tcBorders>
              <w:left w:val="single" w:sz="4" w:space="0" w:color="auto"/>
              <w:bottom w:val="single" w:sz="4" w:space="0" w:color="auto"/>
              <w:right w:val="single" w:sz="4" w:space="0" w:color="auto"/>
            </w:tcBorders>
            <w:vAlign w:val="center"/>
          </w:tcPr>
          <w:p w:rsidR="00872AAD" w:rsidRPr="00C720BE" w:rsidRDefault="00872AAD" w:rsidP="00DB198E">
            <w:pPr>
              <w:pStyle w:val="TableText0"/>
              <w:keepNext w:val="0"/>
              <w:jc w:val="center"/>
            </w:pPr>
            <w:r w:rsidRPr="00C720BE">
              <w:rPr>
                <w:b/>
                <w:bCs w:val="0"/>
                <w:iCs/>
              </w:rPr>
              <w:t>12.9 (4.8, 21.1)</w:t>
            </w:r>
          </w:p>
        </w:tc>
      </w:tr>
    </w:tbl>
    <w:bookmarkEnd w:id="43"/>
    <w:p w:rsidR="00872AAD" w:rsidRPr="00B1011F" w:rsidRDefault="00872AAD" w:rsidP="00413073">
      <w:pPr>
        <w:pStyle w:val="TableFigureFooter"/>
        <w:rPr>
          <w:sz w:val="20"/>
        </w:rPr>
      </w:pPr>
      <w:r w:rsidRPr="00B066FE">
        <w:t>Source: Table</w:t>
      </w:r>
      <w:r>
        <w:t>s 2.20, 2.30-34, 2.36-2.37 and 2.42, pp58-59, 66-67, 69-73 and 79-80 of the submission; Shao (2019) for PEONY.</w:t>
      </w:r>
    </w:p>
    <w:p w:rsidR="00872AAD" w:rsidRDefault="00DB198E" w:rsidP="00413073">
      <w:pPr>
        <w:pStyle w:val="TableFigureFooter"/>
      </w:pPr>
      <w:r>
        <w:rPr>
          <w:rFonts w:eastAsia="Calibri"/>
        </w:rPr>
        <w:t xml:space="preserve">AE = adverse event; </w:t>
      </w:r>
      <w:r w:rsidR="00EB71EB">
        <w:rPr>
          <w:rFonts w:eastAsia="Calibri"/>
        </w:rPr>
        <w:t xml:space="preserve">C = carboplatin; </w:t>
      </w:r>
      <w:r w:rsidR="00872AAD">
        <w:rPr>
          <w:rFonts w:eastAsia="Calibri"/>
        </w:rPr>
        <w:t xml:space="preserve">CTCAE = Common Terminology Criteria for Adverse Events; D = docetaxel; </w:t>
      </w:r>
      <w:r w:rsidR="00EB71EB" w:rsidRPr="00EB71EB">
        <w:rPr>
          <w:rFonts w:eastAsia="Calibri"/>
        </w:rPr>
        <w:t xml:space="preserve">FEC = 5-fluorouracil, epirubicin and cyclophosphamide; </w:t>
      </w:r>
      <w:r w:rsidR="00872AAD">
        <w:t xml:space="preserve">HR = hazard ratio; </w:t>
      </w:r>
      <w:r w:rsidR="00EB71EB">
        <w:t xml:space="preserve">IV = intravenous; </w:t>
      </w:r>
      <w:r w:rsidR="00872AAD">
        <w:t>NR = not reported; P</w:t>
      </w:r>
      <w:r w:rsidR="00EB71EB">
        <w:t>tz</w:t>
      </w:r>
      <w:r w:rsidR="00872AAD">
        <w:t xml:space="preserve"> = pertuzumab; </w:t>
      </w:r>
      <w:r w:rsidR="00872AAD" w:rsidRPr="0072416F">
        <w:t>PBO = placebo; RD = risk difference; RR = risk ratio</w:t>
      </w:r>
      <w:r w:rsidR="00872AAD">
        <w:t xml:space="preserve">; </w:t>
      </w:r>
      <w:r>
        <w:t xml:space="preserve">SAE = serious adverse event; </w:t>
      </w:r>
      <w:r w:rsidR="00872AAD">
        <w:t>T = trastuzumab</w:t>
      </w:r>
    </w:p>
    <w:p w:rsidR="005543E3" w:rsidRDefault="005543E3" w:rsidP="00413073">
      <w:pPr>
        <w:pStyle w:val="TableFigureFooter"/>
      </w:pPr>
      <w:r>
        <w:t xml:space="preserve">* </w:t>
      </w:r>
      <w:r w:rsidR="00EB71EB">
        <w:t xml:space="preserve">The comparator was adding nothing to </w:t>
      </w:r>
      <w:r w:rsidR="00BD26D5">
        <w:t>T+</w:t>
      </w:r>
      <w:r w:rsidR="00F1087A">
        <w:t>Chemo</w:t>
      </w:r>
      <w:r w:rsidR="00EB71EB">
        <w:t xml:space="preserve"> in NEOSPHERE</w:t>
      </w:r>
      <w:proofErr w:type="gramStart"/>
      <w:r w:rsidR="0047735E">
        <w:t>;</w:t>
      </w:r>
      <w:proofErr w:type="gramEnd"/>
      <w:r w:rsidR="00EB71EB">
        <w:t xml:space="preserve"> </w:t>
      </w:r>
      <w:r w:rsidR="0047735E">
        <w:t xml:space="preserve">whereas the comparator was </w:t>
      </w:r>
      <w:r w:rsidR="00EB71EB">
        <w:t xml:space="preserve">adding pertuzumab-matching placebo IV in PEONY. </w:t>
      </w:r>
      <w:r w:rsidR="00BD26D5">
        <w:t>T+</w:t>
      </w:r>
      <w:r w:rsidR="00F1087A">
        <w:t>Chemo</w:t>
      </w:r>
      <w:r>
        <w:t xml:space="preserve"> referred to </w:t>
      </w:r>
      <w:r w:rsidR="00BD26D5">
        <w:t>T+D</w:t>
      </w:r>
      <w:r>
        <w:t xml:space="preserve"> for both NEOSPHERE and PEONY. </w:t>
      </w:r>
      <w:r w:rsidR="00BD26D5">
        <w:t>T+</w:t>
      </w:r>
      <w:r w:rsidR="00F1087A">
        <w:t>Chemo</w:t>
      </w:r>
      <w:r>
        <w:t xml:space="preserve"> in TRYPHAENA referred to either </w:t>
      </w:r>
      <w:r w:rsidR="00EB71EB">
        <w:t>3 cycles of FEC followed by 3 cycles of D (Arm A) or 6 cycles of C and D (Arm C).</w:t>
      </w:r>
    </w:p>
    <w:p w:rsidR="00872AAD" w:rsidRPr="008B296E" w:rsidRDefault="00872AAD" w:rsidP="00872AAD">
      <w:pPr>
        <w:pStyle w:val="TableFigureFooter"/>
      </w:pPr>
      <w:r w:rsidRPr="00760F9E">
        <w:rPr>
          <w:rFonts w:eastAsia="Calibri"/>
          <w:b/>
        </w:rPr>
        <w:t>Bold</w:t>
      </w:r>
      <w:r>
        <w:rPr>
          <w:rFonts w:eastAsia="Calibri"/>
        </w:rPr>
        <w:t xml:space="preserve"> indicates statistically significant results.</w:t>
      </w:r>
      <w:r>
        <w:t xml:space="preserve">  </w:t>
      </w:r>
    </w:p>
    <w:p w:rsidR="00872AAD" w:rsidRDefault="00872AAD" w:rsidP="00872AAD">
      <w:pPr>
        <w:pStyle w:val="3-BodyText"/>
      </w:pPr>
      <w:r>
        <w:t xml:space="preserve">On the basis of direct evidence presented by the submission, for every 100 patients treated with four cycles of </w:t>
      </w:r>
      <w:r w:rsidR="00BD26D5">
        <w:t>Ptz</w:t>
      </w:r>
      <w:r w:rsidR="006F0479">
        <w:t>+T+</w:t>
      </w:r>
      <w:r w:rsidR="00BD26D5">
        <w:t>D</w:t>
      </w:r>
      <w:r w:rsidRPr="007540E5">
        <w:t xml:space="preserve"> </w:t>
      </w:r>
      <w:r>
        <w:t xml:space="preserve">in comparison </w:t>
      </w:r>
      <w:r w:rsidRPr="007540E5">
        <w:t xml:space="preserve">to </w:t>
      </w:r>
      <w:r>
        <w:t xml:space="preserve">four cycles of </w:t>
      </w:r>
      <w:r w:rsidR="00BD26D5">
        <w:t>T+D</w:t>
      </w:r>
      <w:r>
        <w:t>, in the neoadjuvant setting, approximately:</w:t>
      </w:r>
    </w:p>
    <w:p w:rsidR="00872AAD" w:rsidRDefault="00872AAD" w:rsidP="00DB198E">
      <w:pPr>
        <w:pStyle w:val="ListParagraph"/>
        <w:ind w:left="1077" w:hanging="357"/>
      </w:pPr>
      <w:proofErr w:type="gramStart"/>
      <w:r>
        <w:t>18</w:t>
      </w:r>
      <w:proofErr w:type="gramEnd"/>
      <w:r>
        <w:t xml:space="preserve"> additional patients will achieve </w:t>
      </w:r>
      <w:r w:rsidR="008869AC">
        <w:t>tpCR</w:t>
      </w:r>
      <w:r>
        <w:t xml:space="preserve"> (</w:t>
      </w:r>
      <w:r w:rsidR="00181B91">
        <w:t>PEONY</w:t>
      </w:r>
      <w:r>
        <w:t>).</w:t>
      </w:r>
    </w:p>
    <w:p w:rsidR="00872AAD" w:rsidRDefault="00872AAD" w:rsidP="00DB198E">
      <w:pPr>
        <w:pStyle w:val="ListParagraph"/>
        <w:ind w:left="1077" w:hanging="357"/>
      </w:pPr>
      <w:proofErr w:type="gramStart"/>
      <w:r>
        <w:t>2</w:t>
      </w:r>
      <w:r w:rsidR="00181B91">
        <w:t>2</w:t>
      </w:r>
      <w:proofErr w:type="gramEnd"/>
      <w:r>
        <w:t xml:space="preserve"> additional patients will experience diarrhoea (</w:t>
      </w:r>
      <w:r w:rsidR="00181B91">
        <w:t>PEONY</w:t>
      </w:r>
      <w:r>
        <w:t>).</w:t>
      </w:r>
    </w:p>
    <w:p w:rsidR="00872AAD" w:rsidRDefault="00872AAD" w:rsidP="00DB198E">
      <w:pPr>
        <w:pStyle w:val="ListParagraph"/>
        <w:ind w:left="1077" w:hanging="357"/>
      </w:pPr>
      <w:proofErr w:type="gramStart"/>
      <w:r>
        <w:t>13</w:t>
      </w:r>
      <w:proofErr w:type="gramEnd"/>
      <w:r w:rsidRPr="005B2984">
        <w:t xml:space="preserve"> additional patients will experience </w:t>
      </w:r>
      <w:r>
        <w:t>infusion-related reactions (PEONY).</w:t>
      </w:r>
    </w:p>
    <w:p w:rsidR="00872AAD" w:rsidRDefault="00872AAD" w:rsidP="00DB198E">
      <w:pPr>
        <w:pStyle w:val="ListParagraph"/>
        <w:ind w:left="1077" w:hanging="357"/>
      </w:pPr>
      <w:proofErr w:type="gramStart"/>
      <w:r>
        <w:t>7</w:t>
      </w:r>
      <w:proofErr w:type="gramEnd"/>
      <w:r>
        <w:t xml:space="preserve"> additional patients will experience left ventricular systolic dysfunction (any grade) (NEOSPHERE).</w:t>
      </w:r>
    </w:p>
    <w:p w:rsidR="00872AAD" w:rsidRPr="00C9624D" w:rsidRDefault="00872AAD" w:rsidP="0036224C">
      <w:pPr>
        <w:pStyle w:val="ES-SubSection"/>
        <w:keepNext/>
        <w:keepLines/>
      </w:pPr>
      <w:bookmarkStart w:id="44" w:name="_Toc22897644"/>
      <w:bookmarkStart w:id="45" w:name="_Toc30594516"/>
      <w:r w:rsidRPr="00C9624D">
        <w:t>Clinical claim</w:t>
      </w:r>
      <w:bookmarkEnd w:id="44"/>
      <w:bookmarkEnd w:id="45"/>
    </w:p>
    <w:p w:rsidR="00872AAD" w:rsidRPr="00140FC0" w:rsidRDefault="00872AAD" w:rsidP="0036224C">
      <w:pPr>
        <w:pStyle w:val="3-BodyText"/>
        <w:keepNext/>
        <w:keepLines/>
        <w:contextualSpacing/>
        <w:rPr>
          <w:rStyle w:val="CommentReference"/>
          <w:color w:val="000000" w:themeColor="text1"/>
        </w:rPr>
      </w:pPr>
      <w:r w:rsidRPr="00140FC0">
        <w:rPr>
          <w:rFonts w:eastAsia="Calibri"/>
        </w:rPr>
        <w:t xml:space="preserve">The submission described </w:t>
      </w:r>
      <w:r w:rsidR="00BD26D5" w:rsidRPr="00140FC0">
        <w:rPr>
          <w:rFonts w:eastAsia="Calibri"/>
        </w:rPr>
        <w:t>Ptz</w:t>
      </w:r>
      <w:r w:rsidR="006F0479" w:rsidRPr="00140FC0">
        <w:rPr>
          <w:rFonts w:eastAsia="Calibri"/>
        </w:rPr>
        <w:t>+T+</w:t>
      </w:r>
      <w:r w:rsidR="00F1087A" w:rsidRPr="00140FC0">
        <w:rPr>
          <w:rFonts w:eastAsia="Calibri"/>
        </w:rPr>
        <w:t>Chemo</w:t>
      </w:r>
      <w:r w:rsidRPr="00140FC0">
        <w:rPr>
          <w:rFonts w:eastAsia="Calibri"/>
        </w:rPr>
        <w:t xml:space="preserve"> as superior to </w:t>
      </w:r>
      <w:r w:rsidR="00BD26D5" w:rsidRPr="00140FC0">
        <w:rPr>
          <w:rFonts w:eastAsia="Calibri"/>
        </w:rPr>
        <w:t>T+</w:t>
      </w:r>
      <w:r w:rsidR="00F1087A" w:rsidRPr="00140FC0">
        <w:rPr>
          <w:rFonts w:eastAsia="Calibri"/>
        </w:rPr>
        <w:t>Chemo</w:t>
      </w:r>
      <w:r w:rsidRPr="00140FC0">
        <w:rPr>
          <w:rFonts w:eastAsia="Calibri"/>
        </w:rPr>
        <w:t xml:space="preserve"> in terms of comparative effectiveness (p85 of the submission). </w:t>
      </w:r>
      <w:r w:rsidR="00CA2DDD" w:rsidRPr="00140FC0">
        <w:rPr>
          <w:rFonts w:eastAsia="Calibri"/>
        </w:rPr>
        <w:t xml:space="preserve">The ESC </w:t>
      </w:r>
      <w:r w:rsidR="005A68FB" w:rsidRPr="00140FC0">
        <w:rPr>
          <w:rFonts w:eastAsia="Calibri"/>
        </w:rPr>
        <w:t>considered that this claim was not adequately supported by the evidence presented</w:t>
      </w:r>
      <w:r w:rsidRPr="00140FC0">
        <w:rPr>
          <w:rFonts w:eastAsia="Calibri"/>
          <w:color w:val="000000" w:themeColor="text1"/>
        </w:rPr>
        <w:t xml:space="preserve">: </w:t>
      </w:r>
    </w:p>
    <w:p w:rsidR="004A4E6C" w:rsidRPr="00140FC0" w:rsidRDefault="004A4E6C" w:rsidP="00C720BE">
      <w:pPr>
        <w:pStyle w:val="ListParagraph"/>
        <w:ind w:left="1134"/>
        <w:rPr>
          <w:bCs/>
        </w:rPr>
      </w:pPr>
      <w:r w:rsidRPr="00140FC0">
        <w:t xml:space="preserve">Although the </w:t>
      </w:r>
      <w:r w:rsidR="000B1F25">
        <w:t>addition of pertuzumab</w:t>
      </w:r>
      <w:r w:rsidR="000B1F25" w:rsidRPr="00140FC0">
        <w:t xml:space="preserve"> </w:t>
      </w:r>
      <w:r w:rsidRPr="00140FC0">
        <w:t xml:space="preserve">significantly improved </w:t>
      </w:r>
      <w:r w:rsidR="00596BB9">
        <w:t>b</w:t>
      </w:r>
      <w:r w:rsidRPr="00140FC0">
        <w:t xml:space="preserve">pCR in both NEOSPHERE and PEONY, the relevance of this surrogate to </w:t>
      </w:r>
      <w:r w:rsidR="00CA728F">
        <w:t>OS</w:t>
      </w:r>
      <w:r w:rsidRPr="00140FC0">
        <w:t xml:space="preserve"> and PFS is uncertain, particularly in the context of T-DM1. At the November 2019 meeting, the PBAC ‘noted </w:t>
      </w:r>
      <w:r w:rsidRPr="00140FC0">
        <w:rPr>
          <w:bCs/>
        </w:rPr>
        <w:t xml:space="preserve">that the availability of T-DM1 in the adjuvant setting would change the treatment algorithm and improve patient outcomes. The PBAC considered that any future submissions for therapies for HER2+ eBC would need to account for the availability and efficacy of T-DM1 and demonstrate benefit in a treatment algorithm that includes T-DM1’ </w:t>
      </w:r>
      <w:r w:rsidRPr="00140FC0">
        <w:t>(para 7.3, trastuzumab emtansine, Public Summary Document, November 2019).</w:t>
      </w:r>
      <w:r w:rsidRPr="00140FC0">
        <w:rPr>
          <w:bCs/>
        </w:rPr>
        <w:t xml:space="preserve"> The submission did not demonstrate that sequential pertuzumab and T-DM1 is superior to T-DM1. </w:t>
      </w:r>
      <w:r w:rsidRPr="00140FC0">
        <w:t xml:space="preserve">The ESC noted that the population eligible for T-DM1 </w:t>
      </w:r>
      <w:proofErr w:type="gramStart"/>
      <w:r w:rsidRPr="00140FC0">
        <w:t>may</w:t>
      </w:r>
      <w:proofErr w:type="gramEnd"/>
      <w:r w:rsidRPr="00140FC0">
        <w:t xml:space="preserve"> be up to half the patients eligible for pertuzumab. </w:t>
      </w:r>
      <w:r w:rsidRPr="00140FC0">
        <w:rPr>
          <w:iCs/>
        </w:rPr>
        <w:t xml:space="preserve">The ESC further noted that the KATHERINE trial included some patients (18%) who </w:t>
      </w:r>
      <w:proofErr w:type="gramStart"/>
      <w:r w:rsidRPr="00140FC0">
        <w:rPr>
          <w:iCs/>
        </w:rPr>
        <w:t>were treated with neoadjuvant pertuzumab and considered this trial could provide context regarding sequential use of pertuzumab and T-DM1</w:t>
      </w:r>
      <w:proofErr w:type="gramEnd"/>
      <w:r w:rsidRPr="00140FC0">
        <w:rPr>
          <w:iCs/>
        </w:rPr>
        <w:t>.</w:t>
      </w:r>
    </w:p>
    <w:p w:rsidR="004A4E6C" w:rsidRPr="00140FC0" w:rsidRDefault="004A4E6C" w:rsidP="00C720BE">
      <w:pPr>
        <w:pStyle w:val="ListParagraph"/>
        <w:ind w:left="1134"/>
      </w:pPr>
      <w:r w:rsidRPr="00140FC0">
        <w:rPr>
          <w:iCs/>
        </w:rPr>
        <w:lastRenderedPageBreak/>
        <w:t>For the pCR outcomes</w:t>
      </w:r>
      <w:r w:rsidR="004A3599" w:rsidRPr="00140FC0">
        <w:rPr>
          <w:iCs/>
        </w:rPr>
        <w:t>,</w:t>
      </w:r>
      <w:r w:rsidRPr="00140FC0">
        <w:rPr>
          <w:iCs/>
        </w:rPr>
        <w:t xml:space="preserve"> a 15% difference </w:t>
      </w:r>
      <w:proofErr w:type="gramStart"/>
      <w:r w:rsidRPr="00140FC0">
        <w:rPr>
          <w:iCs/>
        </w:rPr>
        <w:t>was nominated</w:t>
      </w:r>
      <w:proofErr w:type="gramEnd"/>
      <w:r w:rsidRPr="00140FC0">
        <w:rPr>
          <w:iCs/>
        </w:rPr>
        <w:t xml:space="preserve"> as the minimal clinically important difference (MCID). The ESC considered that the MCID was not adequately justified and </w:t>
      </w:r>
      <w:r w:rsidR="004A3599" w:rsidRPr="00140FC0">
        <w:rPr>
          <w:iCs/>
        </w:rPr>
        <w:t xml:space="preserve">noted that </w:t>
      </w:r>
      <w:r w:rsidRPr="00140FC0">
        <w:rPr>
          <w:iCs/>
        </w:rPr>
        <w:t>the lower 95% confidence intervals of the differences in tpCR of 6.9% in PEONY and 4.6% in NEOSPHERE were substantially lower than the MCID of 15%. In addition</w:t>
      </w:r>
      <w:r w:rsidR="00C76975">
        <w:rPr>
          <w:iCs/>
        </w:rPr>
        <w:t>,</w:t>
      </w:r>
      <w:r w:rsidRPr="00140FC0">
        <w:rPr>
          <w:iCs/>
        </w:rPr>
        <w:t xml:space="preserve"> the ESC considered </w:t>
      </w:r>
      <w:r w:rsidRPr="00140FC0">
        <w:t xml:space="preserve">there was not strong evidence to support the use of a change </w:t>
      </w:r>
      <w:proofErr w:type="gramStart"/>
      <w:r w:rsidRPr="00140FC0">
        <w:t>in bpCR as a surrogate for a change in PFS or OS</w:t>
      </w:r>
      <w:proofErr w:type="gramEnd"/>
      <w:r w:rsidRPr="00140FC0">
        <w:t>.</w:t>
      </w:r>
    </w:p>
    <w:p w:rsidR="004A4E6C" w:rsidRPr="00140FC0" w:rsidRDefault="004A4E6C" w:rsidP="00C720BE">
      <w:pPr>
        <w:pStyle w:val="ListParagraph"/>
        <w:ind w:left="1134"/>
      </w:pPr>
      <w:r w:rsidRPr="00140FC0">
        <w:t xml:space="preserve">The ESC noted that anthracyclines are a key component of neoadjuvant chemotherapy in clinical </w:t>
      </w:r>
      <w:r w:rsidRPr="00140FC0">
        <w:rPr>
          <w:bCs/>
        </w:rPr>
        <w:t>practice</w:t>
      </w:r>
      <w:r w:rsidRPr="00140FC0">
        <w:t xml:space="preserve"> as they improve pCR rates</w:t>
      </w:r>
      <w:r w:rsidR="008544AD">
        <w:t xml:space="preserve"> as acknowledged in the pre-PBAC response</w:t>
      </w:r>
      <w:r w:rsidRPr="00140FC0">
        <w:t xml:space="preserve">. However, anthracycline-based regimens in the neoadjuvant setting </w:t>
      </w:r>
      <w:proofErr w:type="gramStart"/>
      <w:r w:rsidRPr="00140FC0">
        <w:t>were not permitted</w:t>
      </w:r>
      <w:proofErr w:type="gramEnd"/>
      <w:r w:rsidRPr="00140FC0">
        <w:t xml:space="preserve"> in NEOSPHERE or PEONY </w:t>
      </w:r>
      <w:r w:rsidR="00042E33" w:rsidRPr="00140FC0">
        <w:t xml:space="preserve">and were instead given in the adjuvant setting. Thus, </w:t>
      </w:r>
      <w:r w:rsidRPr="00140FC0">
        <w:t xml:space="preserve">the ESC considered that it was uncertain whether the results from the trials would be reflective of clinical outcomes in practice. </w:t>
      </w:r>
    </w:p>
    <w:p w:rsidR="004A4E6C" w:rsidRPr="00140FC0" w:rsidRDefault="004A4E6C" w:rsidP="00C720BE">
      <w:pPr>
        <w:pStyle w:val="ListParagraph"/>
        <w:ind w:left="1134"/>
      </w:pPr>
      <w:r w:rsidRPr="00140FC0">
        <w:t xml:space="preserve">An </w:t>
      </w:r>
      <w:r w:rsidRPr="00140FC0">
        <w:rPr>
          <w:rFonts w:cs="Calibri"/>
          <w:iCs/>
        </w:rPr>
        <w:t>improvement</w:t>
      </w:r>
      <w:r w:rsidRPr="00140FC0">
        <w:t xml:space="preserve"> in PFS or DFS was not demonstrated (NEOSPHERE PFS HR=0.69, 95% CI 0.34, 1.40; DFS HR=0.60, 95% CI 0.28, 1.27).</w:t>
      </w:r>
    </w:p>
    <w:p w:rsidR="00872AAD" w:rsidRPr="00140FC0" w:rsidRDefault="00872AAD" w:rsidP="00C720BE">
      <w:pPr>
        <w:pStyle w:val="ListParagraph"/>
        <w:ind w:left="1134" w:hanging="357"/>
        <w:rPr>
          <w:rFonts w:eastAsia="Calibri"/>
        </w:rPr>
      </w:pPr>
      <w:r w:rsidRPr="00140FC0">
        <w:rPr>
          <w:rFonts w:eastAsia="Calibri"/>
        </w:rPr>
        <w:t xml:space="preserve">The submission described </w:t>
      </w:r>
      <w:r w:rsidR="00352B1B" w:rsidRPr="00140FC0">
        <w:rPr>
          <w:rFonts w:eastAsia="Calibri"/>
        </w:rPr>
        <w:t>Ptz+T+Chemo</w:t>
      </w:r>
      <w:r w:rsidRPr="00140FC0">
        <w:rPr>
          <w:rFonts w:eastAsia="Calibri"/>
        </w:rPr>
        <w:t xml:space="preserve"> as non-inferior to </w:t>
      </w:r>
      <w:r w:rsidR="00FD7730" w:rsidRPr="00140FC0">
        <w:rPr>
          <w:rFonts w:eastAsia="Calibri"/>
        </w:rPr>
        <w:t>T+Chemo</w:t>
      </w:r>
      <w:r w:rsidRPr="00140FC0">
        <w:rPr>
          <w:rFonts w:eastAsia="Calibri"/>
        </w:rPr>
        <w:t xml:space="preserve"> in terms of </w:t>
      </w:r>
      <w:r w:rsidR="005A7E0F">
        <w:rPr>
          <w:rFonts w:eastAsia="Calibri"/>
        </w:rPr>
        <w:t xml:space="preserve">comparative </w:t>
      </w:r>
      <w:r w:rsidRPr="00140FC0">
        <w:rPr>
          <w:rFonts w:eastAsia="Calibri"/>
        </w:rPr>
        <w:t xml:space="preserve">safety. </w:t>
      </w:r>
      <w:r w:rsidR="00557BC3" w:rsidRPr="00140FC0">
        <w:rPr>
          <w:rFonts w:eastAsia="Calibri"/>
          <w:iCs/>
        </w:rPr>
        <w:t xml:space="preserve">This </w:t>
      </w:r>
      <w:r w:rsidR="005A7E0F">
        <w:rPr>
          <w:rFonts w:eastAsia="Calibri"/>
          <w:iCs/>
        </w:rPr>
        <w:t xml:space="preserve">claim </w:t>
      </w:r>
      <w:proofErr w:type="gramStart"/>
      <w:r w:rsidR="005A7E0F">
        <w:rPr>
          <w:rFonts w:eastAsia="Calibri"/>
          <w:iCs/>
        </w:rPr>
        <w:t>was considered</w:t>
      </w:r>
      <w:proofErr w:type="gramEnd"/>
      <w:r w:rsidR="005A7E0F">
        <w:rPr>
          <w:rFonts w:eastAsia="Calibri"/>
          <w:iCs/>
        </w:rPr>
        <w:t xml:space="preserve"> </w:t>
      </w:r>
      <w:r w:rsidR="00557BC3" w:rsidRPr="00140FC0">
        <w:rPr>
          <w:rFonts w:eastAsia="Calibri"/>
          <w:iCs/>
        </w:rPr>
        <w:t>uncertain</w:t>
      </w:r>
      <w:r w:rsidR="005A7E0F">
        <w:rPr>
          <w:rFonts w:eastAsia="Calibri"/>
          <w:iCs/>
        </w:rPr>
        <w:t xml:space="preserve"> during the evaluation</w:t>
      </w:r>
      <w:r w:rsidR="00FD7730" w:rsidRPr="00140FC0">
        <w:rPr>
          <w:rFonts w:eastAsia="Calibri"/>
          <w:iCs/>
        </w:rPr>
        <w:t>. Nine patients (8.4%) in the Ptz+T+D</w:t>
      </w:r>
      <w:r w:rsidR="00557BC3" w:rsidRPr="00140FC0">
        <w:rPr>
          <w:rFonts w:eastAsia="Calibri"/>
          <w:iCs/>
        </w:rPr>
        <w:t xml:space="preserve"> group experienced left ventricular systolic dysfunction or congestive heart failure (any grade) compared with tw</w:t>
      </w:r>
      <w:r w:rsidR="00FD7730" w:rsidRPr="00140FC0">
        <w:rPr>
          <w:rFonts w:eastAsia="Calibri"/>
          <w:iCs/>
        </w:rPr>
        <w:t>o patients (1.9%) in the T+D</w:t>
      </w:r>
      <w:r w:rsidR="00557BC3" w:rsidRPr="00140FC0">
        <w:rPr>
          <w:rFonts w:eastAsia="Calibri"/>
          <w:iCs/>
        </w:rPr>
        <w:t xml:space="preserve"> group in NEOSPHERE. In addition, significantl</w:t>
      </w:r>
      <w:r w:rsidR="00FD7730" w:rsidRPr="00140FC0">
        <w:rPr>
          <w:rFonts w:eastAsia="Calibri"/>
          <w:iCs/>
        </w:rPr>
        <w:t>y more patients in the Ptz+T+D</w:t>
      </w:r>
      <w:r w:rsidR="00557BC3" w:rsidRPr="00140FC0">
        <w:rPr>
          <w:rFonts w:eastAsia="Calibri"/>
          <w:iCs/>
        </w:rPr>
        <w:t xml:space="preserve"> group experienced diarrhoea and infusion-related reactions in PEONY (Table 10).</w:t>
      </w:r>
    </w:p>
    <w:p w:rsidR="002610BA" w:rsidRDefault="00872AAD" w:rsidP="00C720BE">
      <w:pPr>
        <w:pStyle w:val="ListParagraph"/>
        <w:ind w:left="1134" w:hanging="357"/>
        <w:contextualSpacing/>
        <w:rPr>
          <w:iCs/>
        </w:rPr>
      </w:pPr>
      <w:r w:rsidRPr="00140FC0">
        <w:rPr>
          <w:iCs/>
        </w:rPr>
        <w:t xml:space="preserve">In NEOSPHERE and </w:t>
      </w:r>
      <w:proofErr w:type="gramStart"/>
      <w:r w:rsidRPr="00140FC0">
        <w:rPr>
          <w:iCs/>
        </w:rPr>
        <w:t>PEONY</w:t>
      </w:r>
      <w:proofErr w:type="gramEnd"/>
      <w:r w:rsidRPr="00140FC0">
        <w:rPr>
          <w:iCs/>
        </w:rPr>
        <w:t xml:space="preserve"> there was no evidence of a treatment effect for the </w:t>
      </w:r>
      <w:proofErr w:type="spellStart"/>
      <w:r w:rsidRPr="00140FC0">
        <w:rPr>
          <w:iCs/>
        </w:rPr>
        <w:t>estrogen</w:t>
      </w:r>
      <w:proofErr w:type="spellEnd"/>
      <w:r w:rsidRPr="00140FC0">
        <w:rPr>
          <w:iCs/>
        </w:rPr>
        <w:t xml:space="preserve">-receptor- and/or progesterone-receptor -positive subgroup. </w:t>
      </w:r>
    </w:p>
    <w:p w:rsidR="00E41551" w:rsidRPr="005D678F" w:rsidRDefault="00E41551" w:rsidP="00BC371D">
      <w:pPr>
        <w:numPr>
          <w:ilvl w:val="1"/>
          <w:numId w:val="4"/>
        </w:numPr>
        <w:spacing w:after="120"/>
        <w:rPr>
          <w:rFonts w:asciiTheme="minorHAnsi" w:hAnsiTheme="minorHAnsi"/>
          <w:snapToGrid w:val="0"/>
          <w:szCs w:val="20"/>
          <w:lang w:eastAsia="en-US"/>
        </w:rPr>
      </w:pPr>
      <w:r w:rsidRPr="005D678F">
        <w:rPr>
          <w:rFonts w:asciiTheme="minorHAnsi" w:hAnsiTheme="minorHAnsi"/>
          <w:snapToGrid w:val="0"/>
        </w:rPr>
        <w:t>The</w:t>
      </w:r>
      <w:r w:rsidRPr="005D678F">
        <w:rPr>
          <w:rFonts w:asciiTheme="minorHAnsi" w:hAnsiTheme="minorHAnsi"/>
          <w:snapToGrid w:val="0"/>
          <w:szCs w:val="20"/>
          <w:lang w:eastAsia="en-US"/>
        </w:rPr>
        <w:t xml:space="preserve"> PBAC considered that the claim</w:t>
      </w:r>
      <w:r w:rsidR="00BC371D" w:rsidRPr="005D678F">
        <w:rPr>
          <w:rFonts w:asciiTheme="minorHAnsi" w:hAnsiTheme="minorHAnsi"/>
          <w:snapToGrid w:val="0"/>
          <w:szCs w:val="20"/>
          <w:lang w:eastAsia="en-US"/>
        </w:rPr>
        <w:t>s</w:t>
      </w:r>
      <w:r w:rsidRPr="005D678F">
        <w:rPr>
          <w:rFonts w:asciiTheme="minorHAnsi" w:hAnsiTheme="minorHAnsi"/>
          <w:snapToGrid w:val="0"/>
          <w:szCs w:val="20"/>
          <w:lang w:eastAsia="en-US"/>
        </w:rPr>
        <w:t xml:space="preserve"> of superior comparative effectiveness </w:t>
      </w:r>
      <w:r w:rsidR="00BC371D" w:rsidRPr="005D678F">
        <w:rPr>
          <w:rFonts w:asciiTheme="minorHAnsi" w:hAnsiTheme="minorHAnsi"/>
          <w:snapToGrid w:val="0"/>
          <w:szCs w:val="20"/>
          <w:lang w:eastAsia="en-US"/>
        </w:rPr>
        <w:t>and non-inferior comparative safety of P</w:t>
      </w:r>
      <w:r w:rsidR="00640566">
        <w:rPr>
          <w:rFonts w:asciiTheme="minorHAnsi" w:hAnsiTheme="minorHAnsi"/>
          <w:snapToGrid w:val="0"/>
          <w:szCs w:val="20"/>
          <w:lang w:eastAsia="en-US"/>
        </w:rPr>
        <w:t>tz</w:t>
      </w:r>
      <w:r w:rsidR="00BC371D" w:rsidRPr="005D678F">
        <w:rPr>
          <w:rFonts w:asciiTheme="minorHAnsi" w:hAnsiTheme="minorHAnsi"/>
          <w:snapToGrid w:val="0"/>
          <w:szCs w:val="20"/>
          <w:lang w:eastAsia="en-US"/>
        </w:rPr>
        <w:t xml:space="preserve">+T+Chemo </w:t>
      </w:r>
      <w:r w:rsidR="00487DB4">
        <w:rPr>
          <w:rFonts w:asciiTheme="minorHAnsi" w:hAnsiTheme="minorHAnsi"/>
          <w:snapToGrid w:val="0"/>
          <w:szCs w:val="20"/>
          <w:lang w:eastAsia="en-US"/>
        </w:rPr>
        <w:t>versus</w:t>
      </w:r>
      <w:r w:rsidR="00487DB4" w:rsidRPr="005D678F">
        <w:rPr>
          <w:rFonts w:asciiTheme="minorHAnsi" w:hAnsiTheme="minorHAnsi"/>
          <w:snapToGrid w:val="0"/>
          <w:szCs w:val="20"/>
          <w:lang w:eastAsia="en-US"/>
        </w:rPr>
        <w:t xml:space="preserve"> </w:t>
      </w:r>
      <w:r w:rsidR="00BC371D" w:rsidRPr="005D678F">
        <w:rPr>
          <w:rFonts w:asciiTheme="minorHAnsi" w:hAnsiTheme="minorHAnsi"/>
          <w:snapToGrid w:val="0"/>
          <w:szCs w:val="20"/>
          <w:lang w:eastAsia="en-US"/>
        </w:rPr>
        <w:t xml:space="preserve">T+Chemo </w:t>
      </w:r>
      <w:proofErr w:type="gramStart"/>
      <w:r w:rsidR="00BC371D" w:rsidRPr="005D678F">
        <w:rPr>
          <w:rFonts w:asciiTheme="minorHAnsi" w:hAnsiTheme="minorHAnsi"/>
          <w:snapToGrid w:val="0"/>
          <w:szCs w:val="20"/>
          <w:lang w:eastAsia="en-US"/>
        </w:rPr>
        <w:t>were</w:t>
      </w:r>
      <w:r w:rsidRPr="005D678F">
        <w:rPr>
          <w:rFonts w:asciiTheme="minorHAnsi" w:hAnsiTheme="minorHAnsi"/>
          <w:snapToGrid w:val="0"/>
          <w:szCs w:val="20"/>
          <w:lang w:eastAsia="en-US"/>
        </w:rPr>
        <w:t xml:space="preserve"> not adequately supported</w:t>
      </w:r>
      <w:proofErr w:type="gramEnd"/>
      <w:r w:rsidRPr="005D678F">
        <w:rPr>
          <w:rFonts w:asciiTheme="minorHAnsi" w:hAnsiTheme="minorHAnsi"/>
          <w:snapToGrid w:val="0"/>
          <w:szCs w:val="20"/>
          <w:lang w:eastAsia="en-US"/>
        </w:rPr>
        <w:t xml:space="preserve"> by the data.</w:t>
      </w:r>
    </w:p>
    <w:p w:rsidR="00872AAD" w:rsidRPr="00C9624D" w:rsidRDefault="00872AAD" w:rsidP="000D09D2">
      <w:pPr>
        <w:pStyle w:val="ES-SubSection"/>
      </w:pPr>
      <w:bookmarkStart w:id="46" w:name="_Toc22897645"/>
      <w:bookmarkStart w:id="47" w:name="_Toc30594517"/>
      <w:r w:rsidRPr="00C9624D">
        <w:t>Economic analysis</w:t>
      </w:r>
      <w:bookmarkEnd w:id="46"/>
      <w:bookmarkEnd w:id="47"/>
      <w:r w:rsidRPr="00C9624D">
        <w:t xml:space="preserve"> </w:t>
      </w:r>
    </w:p>
    <w:p w:rsidR="00872AAD" w:rsidRPr="00AF5A00" w:rsidRDefault="00872AAD" w:rsidP="004A0936">
      <w:pPr>
        <w:numPr>
          <w:ilvl w:val="1"/>
          <w:numId w:val="4"/>
        </w:numPr>
        <w:spacing w:after="120"/>
        <w:rPr>
          <w:rFonts w:asciiTheme="minorHAnsi" w:hAnsiTheme="minorHAnsi"/>
          <w:snapToGrid w:val="0"/>
        </w:rPr>
      </w:pPr>
      <w:r w:rsidRPr="00AF5A00">
        <w:rPr>
          <w:rFonts w:asciiTheme="minorHAnsi" w:hAnsiTheme="minorHAnsi"/>
          <w:snapToGrid w:val="0"/>
        </w:rPr>
        <w:t xml:space="preserve">The submission presented a cost-utility model comparing </w:t>
      </w:r>
      <w:r w:rsidR="0047735E">
        <w:rPr>
          <w:rFonts w:asciiTheme="minorHAnsi" w:hAnsiTheme="minorHAnsi"/>
          <w:snapToGrid w:val="0"/>
        </w:rPr>
        <w:t>Ptz+T+C</w:t>
      </w:r>
      <w:r w:rsidR="00420BE4">
        <w:rPr>
          <w:rFonts w:asciiTheme="minorHAnsi" w:hAnsiTheme="minorHAnsi"/>
          <w:snapToGrid w:val="0"/>
        </w:rPr>
        <w:t>hemo</w:t>
      </w:r>
      <w:r w:rsidRPr="00AF5A00">
        <w:rPr>
          <w:rFonts w:asciiTheme="minorHAnsi" w:hAnsiTheme="minorHAnsi"/>
          <w:snapToGrid w:val="0"/>
        </w:rPr>
        <w:t xml:space="preserve"> to usual care, defined as </w:t>
      </w:r>
      <w:r w:rsidR="0047735E">
        <w:rPr>
          <w:rFonts w:asciiTheme="minorHAnsi" w:hAnsiTheme="minorHAnsi"/>
          <w:snapToGrid w:val="0"/>
        </w:rPr>
        <w:t>T+C</w:t>
      </w:r>
      <w:r w:rsidR="00420BE4">
        <w:rPr>
          <w:rFonts w:asciiTheme="minorHAnsi" w:hAnsiTheme="minorHAnsi"/>
          <w:snapToGrid w:val="0"/>
        </w:rPr>
        <w:t>hemo</w:t>
      </w:r>
      <w:r w:rsidRPr="00AF5A00">
        <w:rPr>
          <w:rFonts w:asciiTheme="minorHAnsi" w:hAnsiTheme="minorHAnsi"/>
          <w:snapToGrid w:val="0"/>
        </w:rPr>
        <w:t xml:space="preserve">. The evaluation </w:t>
      </w:r>
      <w:proofErr w:type="gramStart"/>
      <w:r w:rsidRPr="00AF5A00">
        <w:rPr>
          <w:rFonts w:asciiTheme="minorHAnsi" w:hAnsiTheme="minorHAnsi"/>
          <w:snapToGrid w:val="0"/>
        </w:rPr>
        <w:t>was based</w:t>
      </w:r>
      <w:proofErr w:type="gramEnd"/>
      <w:r w:rsidRPr="00AF5A00">
        <w:rPr>
          <w:rFonts w:asciiTheme="minorHAnsi" w:hAnsiTheme="minorHAnsi"/>
          <w:snapToGrid w:val="0"/>
        </w:rPr>
        <w:t xml:space="preserve"> </w:t>
      </w:r>
      <w:r w:rsidR="004A0936">
        <w:rPr>
          <w:rFonts w:asciiTheme="minorHAnsi" w:hAnsiTheme="minorHAnsi"/>
          <w:snapToGrid w:val="0"/>
        </w:rPr>
        <w:t>on the</w:t>
      </w:r>
      <w:r w:rsidR="00430459">
        <w:rPr>
          <w:rFonts w:asciiTheme="minorHAnsi" w:hAnsiTheme="minorHAnsi"/>
          <w:snapToGrid w:val="0"/>
        </w:rPr>
        <w:t xml:space="preserve"> PFS data from the</w:t>
      </w:r>
      <w:r w:rsidR="004A0936">
        <w:rPr>
          <w:rFonts w:asciiTheme="minorHAnsi" w:hAnsiTheme="minorHAnsi"/>
          <w:snapToGrid w:val="0"/>
        </w:rPr>
        <w:t xml:space="preserve"> NEOSPHERE clinical trial</w:t>
      </w:r>
      <w:r w:rsidR="004A0936" w:rsidRPr="00140FC0">
        <w:rPr>
          <w:rFonts w:asciiTheme="minorHAnsi" w:hAnsiTheme="minorHAnsi"/>
          <w:snapToGrid w:val="0"/>
        </w:rPr>
        <w:t xml:space="preserve">, </w:t>
      </w:r>
      <w:r w:rsidRPr="00140FC0">
        <w:rPr>
          <w:rFonts w:asciiTheme="minorHAnsi" w:hAnsiTheme="minorHAnsi"/>
          <w:snapToGrid w:val="0"/>
        </w:rPr>
        <w:t>Australian</w:t>
      </w:r>
      <w:r w:rsidRPr="00AF5A00">
        <w:rPr>
          <w:rFonts w:asciiTheme="minorHAnsi" w:hAnsiTheme="minorHAnsi"/>
          <w:snapToGrid w:val="0"/>
        </w:rPr>
        <w:t xml:space="preserve"> life tables and published sources.</w:t>
      </w:r>
    </w:p>
    <w:p w:rsidR="00872AAD" w:rsidRPr="00AF5A00" w:rsidRDefault="00550A5E" w:rsidP="003C6866">
      <w:pPr>
        <w:numPr>
          <w:ilvl w:val="1"/>
          <w:numId w:val="4"/>
        </w:numPr>
        <w:spacing w:after="120"/>
        <w:rPr>
          <w:rFonts w:asciiTheme="minorHAnsi" w:hAnsiTheme="minorHAnsi"/>
          <w:snapToGrid w:val="0"/>
        </w:rPr>
      </w:pPr>
      <w:r>
        <w:t xml:space="preserve">Table </w:t>
      </w:r>
      <w:r>
        <w:rPr>
          <w:noProof/>
        </w:rPr>
        <w:t>12</w:t>
      </w:r>
      <w:r w:rsidR="001609C2">
        <w:rPr>
          <w:rFonts w:asciiTheme="minorHAnsi" w:hAnsiTheme="minorHAnsi"/>
          <w:snapToGrid w:val="0"/>
        </w:rPr>
        <w:t xml:space="preserve"> </w:t>
      </w:r>
      <w:r w:rsidR="00872AAD" w:rsidRPr="00AF5A00">
        <w:rPr>
          <w:rFonts w:asciiTheme="minorHAnsi" w:hAnsiTheme="minorHAnsi"/>
          <w:snapToGrid w:val="0"/>
        </w:rPr>
        <w:t>summarises the key components of the economic evaluation.</w:t>
      </w:r>
    </w:p>
    <w:p w:rsidR="00872AAD" w:rsidRPr="009E19E1" w:rsidRDefault="001609C2" w:rsidP="009E19E1">
      <w:pPr>
        <w:pStyle w:val="TableFigureHeading"/>
      </w:pPr>
      <w:bookmarkStart w:id="48" w:name="_Ref33607542"/>
      <w:r>
        <w:lastRenderedPageBreak/>
        <w:t xml:space="preserve">Table </w:t>
      </w:r>
      <w:r w:rsidR="00550A5E">
        <w:rPr>
          <w:noProof/>
        </w:rPr>
        <w:t>12</w:t>
      </w:r>
      <w:bookmarkEnd w:id="48"/>
      <w:r w:rsidR="00872AAD" w:rsidRPr="009E19E1">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38"/>
        <w:gridCol w:w="7179"/>
      </w:tblGrid>
      <w:tr w:rsidR="00872AAD" w:rsidRPr="00AF5A00" w:rsidTr="00DB198E">
        <w:trPr>
          <w:tblHeader/>
        </w:trPr>
        <w:tc>
          <w:tcPr>
            <w:tcW w:w="1019" w:type="pct"/>
            <w:shd w:val="clear" w:color="auto" w:fill="auto"/>
            <w:vAlign w:val="center"/>
          </w:tcPr>
          <w:p w:rsidR="00872AAD" w:rsidRPr="00AF5A00" w:rsidRDefault="00872AAD" w:rsidP="00872AAD">
            <w:pPr>
              <w:keepNext/>
              <w:jc w:val="left"/>
              <w:rPr>
                <w:rFonts w:ascii="Arial Narrow" w:eastAsiaTheme="majorEastAsia" w:hAnsi="Arial Narrow" w:cs="Times New Roman"/>
                <w:b/>
                <w:sz w:val="20"/>
              </w:rPr>
            </w:pPr>
            <w:r w:rsidRPr="00AF5A00">
              <w:rPr>
                <w:rFonts w:ascii="Arial Narrow" w:eastAsiaTheme="majorEastAsia" w:hAnsi="Arial Narrow" w:cs="Times New Roman"/>
                <w:b/>
                <w:sz w:val="20"/>
              </w:rPr>
              <w:t>Component</w:t>
            </w:r>
          </w:p>
        </w:tc>
        <w:tc>
          <w:tcPr>
            <w:tcW w:w="3981" w:type="pct"/>
            <w:shd w:val="clear" w:color="auto" w:fill="auto"/>
            <w:vAlign w:val="center"/>
          </w:tcPr>
          <w:p w:rsidR="00872AAD" w:rsidRPr="00AF5A00" w:rsidRDefault="00872AAD" w:rsidP="00872AAD">
            <w:pPr>
              <w:keepNext/>
              <w:jc w:val="left"/>
              <w:rPr>
                <w:rFonts w:ascii="Arial Narrow" w:eastAsiaTheme="majorEastAsia" w:hAnsi="Arial Narrow" w:cs="Times New Roman"/>
                <w:b/>
                <w:sz w:val="20"/>
              </w:rPr>
            </w:pPr>
            <w:r w:rsidRPr="00AF5A00">
              <w:rPr>
                <w:rFonts w:ascii="Arial Narrow" w:eastAsiaTheme="majorEastAsia" w:hAnsi="Arial Narrow" w:cs="Times New Roman"/>
                <w:b/>
                <w:sz w:val="20"/>
              </w:rPr>
              <w:t>Summary</w:t>
            </w:r>
          </w:p>
        </w:tc>
      </w:tr>
      <w:tr w:rsidR="00872AAD" w:rsidRPr="00AF5A00" w:rsidTr="00DB198E">
        <w:tc>
          <w:tcPr>
            <w:tcW w:w="1019"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Treatments</w:t>
            </w:r>
          </w:p>
        </w:tc>
        <w:tc>
          <w:tcPr>
            <w:tcW w:w="3981"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Pertuzumab + trastuzumab + chemotherapy (</w:t>
            </w:r>
            <w:r w:rsidR="00877BA8">
              <w:rPr>
                <w:rFonts w:ascii="Arial Narrow" w:eastAsiaTheme="majorEastAsia" w:hAnsi="Arial Narrow" w:cstheme="majorBidi"/>
                <w:bCs/>
                <w:sz w:val="20"/>
              </w:rPr>
              <w:t>Ptz+T+Chemo</w:t>
            </w:r>
            <w:r w:rsidRPr="00AF5A00">
              <w:rPr>
                <w:rFonts w:ascii="Arial Narrow" w:eastAsiaTheme="majorEastAsia" w:hAnsi="Arial Narrow" w:cstheme="majorBidi"/>
                <w:bCs/>
                <w:sz w:val="20"/>
              </w:rPr>
              <w:t xml:space="preserve">) vs </w:t>
            </w:r>
            <w:r w:rsidRPr="00AF5A00">
              <w:rPr>
                <w:rFonts w:ascii="Arial Narrow" w:eastAsiaTheme="majorEastAsia" w:hAnsi="Arial Narrow" w:cstheme="majorBidi"/>
                <w:bCs/>
                <w:sz w:val="20"/>
              </w:rPr>
              <w:br/>
              <w:t>trastuzumab + chemotherapy (T+</w:t>
            </w:r>
            <w:r w:rsidR="00877BA8">
              <w:rPr>
                <w:rFonts w:ascii="Arial Narrow" w:eastAsiaTheme="majorEastAsia" w:hAnsi="Arial Narrow" w:cstheme="majorBidi"/>
                <w:bCs/>
                <w:sz w:val="20"/>
              </w:rPr>
              <w:t>Chemo</w:t>
            </w:r>
            <w:r w:rsidRPr="00AF5A00">
              <w:rPr>
                <w:rFonts w:ascii="Arial Narrow" w:eastAsiaTheme="majorEastAsia" w:hAnsi="Arial Narrow" w:cstheme="majorBidi"/>
                <w:bCs/>
                <w:sz w:val="20"/>
              </w:rPr>
              <w:t>)</w:t>
            </w:r>
          </w:p>
        </w:tc>
      </w:tr>
      <w:tr w:rsidR="00872AAD" w:rsidRPr="00AF5A00" w:rsidTr="00DB198E">
        <w:tc>
          <w:tcPr>
            <w:tcW w:w="1019"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Time horizon</w:t>
            </w:r>
          </w:p>
        </w:tc>
        <w:tc>
          <w:tcPr>
            <w:tcW w:w="3981"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40 years versus 5.1 years in the NEOSPHERE trial</w:t>
            </w:r>
          </w:p>
        </w:tc>
      </w:tr>
      <w:tr w:rsidR="00872AAD" w:rsidRPr="00AF5A00" w:rsidTr="00DB198E">
        <w:tc>
          <w:tcPr>
            <w:tcW w:w="1019"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Outcomes</w:t>
            </w:r>
          </w:p>
        </w:tc>
        <w:tc>
          <w:tcPr>
            <w:tcW w:w="3981"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Life years and QALYs gained</w:t>
            </w:r>
          </w:p>
        </w:tc>
      </w:tr>
      <w:tr w:rsidR="00872AAD" w:rsidRPr="00AF5A00" w:rsidTr="00DB198E">
        <w:tc>
          <w:tcPr>
            <w:tcW w:w="1019"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Methods used to generate results</w:t>
            </w:r>
          </w:p>
        </w:tc>
        <w:tc>
          <w:tcPr>
            <w:tcW w:w="3981" w:type="pct"/>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Markov model, tapered treatment effect, sustained remission adjustment</w:t>
            </w:r>
          </w:p>
        </w:tc>
      </w:tr>
      <w:tr w:rsidR="00872AAD" w:rsidRPr="00AF5A00" w:rsidTr="00DB198E">
        <w:tc>
          <w:tcPr>
            <w:tcW w:w="1019"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Health states</w:t>
            </w:r>
          </w:p>
        </w:tc>
        <w:tc>
          <w:tcPr>
            <w:tcW w:w="3981" w:type="pct"/>
            <w:shd w:val="clear" w:color="auto" w:fill="auto"/>
            <w:vAlign w:val="center"/>
          </w:tcPr>
          <w:p w:rsidR="00872AAD" w:rsidRPr="00AF5A00" w:rsidRDefault="00872AAD" w:rsidP="00430459">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 xml:space="preserve">Six health </w:t>
            </w:r>
            <w:bookmarkStart w:id="49" w:name="_Hlk26965553"/>
            <w:r w:rsidRPr="00AF5A00">
              <w:rPr>
                <w:rFonts w:ascii="Arial Narrow" w:eastAsiaTheme="majorEastAsia" w:hAnsi="Arial Narrow" w:cstheme="majorBidi"/>
                <w:bCs/>
                <w:sz w:val="20"/>
              </w:rPr>
              <w:t xml:space="preserve">states (PFS, locoregional recurrence, remission, metastatic recurrence (1st line mBC and 2nd line mBC), death). Metastatic recurrence is stratified by time to relapse (&lt;18 months or ≥18 months). PFS </w:t>
            </w:r>
            <w:proofErr w:type="gramStart"/>
            <w:r w:rsidRPr="00AF5A00">
              <w:rPr>
                <w:rFonts w:ascii="Arial Narrow" w:eastAsiaTheme="majorEastAsia" w:hAnsi="Arial Narrow" w:cstheme="majorBidi"/>
                <w:bCs/>
                <w:sz w:val="20"/>
              </w:rPr>
              <w:t>is stratified</w:t>
            </w:r>
            <w:proofErr w:type="gramEnd"/>
            <w:r w:rsidRPr="00AF5A00">
              <w:rPr>
                <w:rFonts w:ascii="Arial Narrow" w:eastAsiaTheme="majorEastAsia" w:hAnsi="Arial Narrow" w:cstheme="majorBidi"/>
                <w:bCs/>
                <w:sz w:val="20"/>
              </w:rPr>
              <w:t xml:space="preserve"> by on/off treatment.</w:t>
            </w:r>
            <w:bookmarkEnd w:id="49"/>
          </w:p>
        </w:tc>
      </w:tr>
      <w:tr w:rsidR="00872AAD" w:rsidRPr="00AF5A00" w:rsidTr="00DB198E">
        <w:tc>
          <w:tcPr>
            <w:tcW w:w="1019"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Cycle length</w:t>
            </w:r>
          </w:p>
        </w:tc>
        <w:tc>
          <w:tcPr>
            <w:tcW w:w="3981"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One week</w:t>
            </w:r>
          </w:p>
        </w:tc>
      </w:tr>
      <w:tr w:rsidR="00872AAD" w:rsidRPr="00AF5A00" w:rsidTr="00DB198E">
        <w:tc>
          <w:tcPr>
            <w:tcW w:w="1019"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 xml:space="preserve">Transition probabilities </w:t>
            </w:r>
          </w:p>
          <w:p w:rsidR="00872AAD" w:rsidRPr="00AF5A00" w:rsidRDefault="00872AAD" w:rsidP="00872AAD">
            <w:pPr>
              <w:keepNext/>
              <w:jc w:val="left"/>
              <w:rPr>
                <w:rFonts w:ascii="Arial Narrow" w:eastAsiaTheme="majorEastAsia" w:hAnsi="Arial Narrow" w:cstheme="majorBidi"/>
                <w:bCs/>
                <w:sz w:val="20"/>
              </w:rPr>
            </w:pPr>
          </w:p>
        </w:tc>
        <w:tc>
          <w:tcPr>
            <w:tcW w:w="3981"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PFS to locoregional recurrence, metastatic recurrence, and death from NEOSPHERE clinical trial.</w:t>
            </w:r>
          </w:p>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 xml:space="preserve">Locoregional recurrence to remission is a </w:t>
            </w:r>
            <w:proofErr w:type="gramStart"/>
            <w:r w:rsidRPr="00AF5A00">
              <w:rPr>
                <w:rFonts w:ascii="Arial Narrow" w:eastAsiaTheme="majorEastAsia" w:hAnsi="Arial Narrow" w:cstheme="majorBidi"/>
                <w:bCs/>
                <w:sz w:val="20"/>
              </w:rPr>
              <w:t>12 month</w:t>
            </w:r>
            <w:proofErr w:type="gramEnd"/>
            <w:r w:rsidRPr="00AF5A00">
              <w:rPr>
                <w:rFonts w:ascii="Arial Narrow" w:eastAsiaTheme="majorEastAsia" w:hAnsi="Arial Narrow" w:cstheme="majorBidi"/>
                <w:bCs/>
                <w:sz w:val="20"/>
              </w:rPr>
              <w:t xml:space="preserve"> tunnel state.</w:t>
            </w:r>
          </w:p>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Remission to metastatic recurrence from Hamilton (2015).</w:t>
            </w:r>
          </w:p>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Metastatic recurrence to progression (1</w:t>
            </w:r>
            <w:r w:rsidRPr="00AF5A00">
              <w:rPr>
                <w:rFonts w:ascii="Arial Narrow" w:eastAsiaTheme="majorEastAsia" w:hAnsi="Arial Narrow" w:cstheme="majorBidi"/>
                <w:bCs/>
                <w:sz w:val="20"/>
                <w:vertAlign w:val="superscript"/>
              </w:rPr>
              <w:t>st</w:t>
            </w:r>
            <w:r w:rsidRPr="00AF5A00">
              <w:rPr>
                <w:rFonts w:ascii="Arial Narrow" w:eastAsiaTheme="majorEastAsia" w:hAnsi="Arial Narrow" w:cstheme="majorBidi"/>
                <w:bCs/>
                <w:sz w:val="20"/>
              </w:rPr>
              <w:t xml:space="preserve"> line to 2</w:t>
            </w:r>
            <w:r w:rsidRPr="00AF5A00">
              <w:rPr>
                <w:rFonts w:ascii="Arial Narrow" w:eastAsiaTheme="majorEastAsia" w:hAnsi="Arial Narrow" w:cstheme="majorBidi"/>
                <w:bCs/>
                <w:sz w:val="20"/>
                <w:vertAlign w:val="superscript"/>
              </w:rPr>
              <w:t>nd</w:t>
            </w:r>
            <w:r w:rsidRPr="00AF5A00">
              <w:rPr>
                <w:rFonts w:ascii="Arial Narrow" w:eastAsiaTheme="majorEastAsia" w:hAnsi="Arial Narrow" w:cstheme="majorBidi"/>
                <w:bCs/>
                <w:sz w:val="20"/>
              </w:rPr>
              <w:t xml:space="preserve"> line) and death from EMILIA and CLEOPATRA clinical trials.</w:t>
            </w:r>
          </w:p>
        </w:tc>
      </w:tr>
      <w:tr w:rsidR="00872AAD" w:rsidRPr="00AF5A00" w:rsidTr="00DB198E">
        <w:tc>
          <w:tcPr>
            <w:tcW w:w="1019"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Extrapolation method</w:t>
            </w:r>
          </w:p>
        </w:tc>
        <w:tc>
          <w:tcPr>
            <w:tcW w:w="3981"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 xml:space="preserve">Kaplan-Meier data </w:t>
            </w:r>
            <w:proofErr w:type="gramStart"/>
            <w:r w:rsidR="009E615E">
              <w:rPr>
                <w:rFonts w:ascii="Arial Narrow" w:eastAsiaTheme="majorEastAsia" w:hAnsi="Arial Narrow" w:cstheme="majorBidi"/>
                <w:bCs/>
                <w:sz w:val="20"/>
              </w:rPr>
              <w:t xml:space="preserve">was </w:t>
            </w:r>
            <w:r w:rsidRPr="00AF5A00">
              <w:rPr>
                <w:rFonts w:ascii="Arial Narrow" w:eastAsiaTheme="majorEastAsia" w:hAnsi="Arial Narrow" w:cstheme="majorBidi"/>
                <w:bCs/>
                <w:sz w:val="20"/>
              </w:rPr>
              <w:t>used</w:t>
            </w:r>
            <w:proofErr w:type="gramEnd"/>
            <w:r w:rsidRPr="00AF5A00">
              <w:rPr>
                <w:rFonts w:ascii="Arial Narrow" w:eastAsiaTheme="majorEastAsia" w:hAnsi="Arial Narrow" w:cstheme="majorBidi"/>
                <w:bCs/>
                <w:sz w:val="20"/>
              </w:rPr>
              <w:t xml:space="preserve"> for PFS until median follow up (60.8 months) then independent exponential models </w:t>
            </w:r>
            <w:r w:rsidR="009E615E">
              <w:rPr>
                <w:rFonts w:ascii="Arial Narrow" w:eastAsiaTheme="majorEastAsia" w:hAnsi="Arial Narrow" w:cstheme="majorBidi"/>
                <w:bCs/>
                <w:sz w:val="20"/>
              </w:rPr>
              <w:t xml:space="preserve">were </w:t>
            </w:r>
            <w:r w:rsidRPr="00AF5A00">
              <w:rPr>
                <w:rFonts w:ascii="Arial Narrow" w:eastAsiaTheme="majorEastAsia" w:hAnsi="Arial Narrow" w:cstheme="majorBidi"/>
                <w:bCs/>
                <w:sz w:val="20"/>
              </w:rPr>
              <w:t xml:space="preserve">fitted to each treatment arm based on goodness of fit. </w:t>
            </w:r>
          </w:p>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Mortality from PFS, locoregional recurrence and remission was the greater of general population mortality and PFS death events from NEOSPHERE trial.</w:t>
            </w:r>
          </w:p>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 xml:space="preserve">Disease progression and survival from metastatic recurrence </w:t>
            </w:r>
            <w:proofErr w:type="gramStart"/>
            <w:r w:rsidRPr="00AF5A00">
              <w:rPr>
                <w:rFonts w:ascii="Arial Narrow" w:eastAsiaTheme="majorEastAsia" w:hAnsi="Arial Narrow" w:cstheme="majorBidi"/>
                <w:bCs/>
                <w:sz w:val="20"/>
              </w:rPr>
              <w:t>were applied</w:t>
            </w:r>
            <w:proofErr w:type="gramEnd"/>
            <w:r w:rsidRPr="00AF5A00">
              <w:rPr>
                <w:rFonts w:ascii="Arial Narrow" w:eastAsiaTheme="majorEastAsia" w:hAnsi="Arial Narrow" w:cstheme="majorBidi"/>
                <w:bCs/>
                <w:sz w:val="20"/>
              </w:rPr>
              <w:t xml:space="preserve"> as constant weekly transition probabilities derived from extrapolations of EMILIA and CLEOPATRA trial data.  </w:t>
            </w:r>
          </w:p>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 xml:space="preserve">A time-dependent treatment effect </w:t>
            </w:r>
            <w:proofErr w:type="gramStart"/>
            <w:r w:rsidRPr="00AF5A00">
              <w:rPr>
                <w:rFonts w:ascii="Arial Narrow" w:eastAsiaTheme="majorEastAsia" w:hAnsi="Arial Narrow" w:cstheme="majorBidi"/>
                <w:bCs/>
                <w:sz w:val="20"/>
              </w:rPr>
              <w:t>was included</w:t>
            </w:r>
            <w:proofErr w:type="gramEnd"/>
            <w:r w:rsidRPr="00AF5A00">
              <w:rPr>
                <w:rFonts w:ascii="Arial Narrow" w:eastAsiaTheme="majorEastAsia" w:hAnsi="Arial Narrow" w:cstheme="majorBidi"/>
                <w:bCs/>
                <w:sz w:val="20"/>
              </w:rPr>
              <w:t xml:space="preserve"> by gradually adjusting the PFS transition probability for </w:t>
            </w:r>
            <w:r w:rsidR="00877BA8">
              <w:rPr>
                <w:rFonts w:ascii="Arial Narrow" w:eastAsiaTheme="majorEastAsia" w:hAnsi="Arial Narrow" w:cstheme="majorBidi"/>
                <w:bCs/>
                <w:sz w:val="20"/>
              </w:rPr>
              <w:t>Ptz+T+Chemo</w:t>
            </w:r>
            <w:r w:rsidRPr="00AF5A00">
              <w:rPr>
                <w:rFonts w:ascii="Arial Narrow" w:eastAsiaTheme="majorEastAsia" w:hAnsi="Arial Narrow" w:cstheme="majorBidi"/>
                <w:bCs/>
                <w:sz w:val="20"/>
              </w:rPr>
              <w:t xml:space="preserve"> between Year 7 and Year 10. At ten years, the PFS transition probability for </w:t>
            </w:r>
            <w:r w:rsidR="00877BA8">
              <w:rPr>
                <w:rFonts w:ascii="Arial Narrow" w:eastAsiaTheme="majorEastAsia" w:hAnsi="Arial Narrow" w:cstheme="majorBidi"/>
                <w:bCs/>
                <w:sz w:val="20"/>
              </w:rPr>
              <w:t>Ptz+T+Chemo</w:t>
            </w:r>
            <w:r w:rsidRPr="00AF5A00">
              <w:rPr>
                <w:rFonts w:ascii="Arial Narrow" w:eastAsiaTheme="majorEastAsia" w:hAnsi="Arial Narrow" w:cstheme="majorBidi"/>
                <w:bCs/>
                <w:sz w:val="20"/>
              </w:rPr>
              <w:t xml:space="preserve"> = T+</w:t>
            </w:r>
            <w:r w:rsidR="00877BA8">
              <w:rPr>
                <w:rFonts w:ascii="Arial Narrow" w:eastAsiaTheme="majorEastAsia" w:hAnsi="Arial Narrow" w:cstheme="majorBidi"/>
                <w:bCs/>
                <w:sz w:val="20"/>
              </w:rPr>
              <w:t>Chemo</w:t>
            </w:r>
            <w:r w:rsidRPr="00AF5A00">
              <w:rPr>
                <w:rFonts w:ascii="Arial Narrow" w:eastAsiaTheme="majorEastAsia" w:hAnsi="Arial Narrow" w:cstheme="majorBidi"/>
                <w:bCs/>
                <w:sz w:val="20"/>
              </w:rPr>
              <w:t xml:space="preserve">. Convergence of PFS curves is not reached within the </w:t>
            </w:r>
            <w:proofErr w:type="gramStart"/>
            <w:r w:rsidRPr="00AF5A00">
              <w:rPr>
                <w:rFonts w:ascii="Arial Narrow" w:eastAsiaTheme="majorEastAsia" w:hAnsi="Arial Narrow" w:cstheme="majorBidi"/>
                <w:bCs/>
                <w:sz w:val="20"/>
              </w:rPr>
              <w:t>40 year</w:t>
            </w:r>
            <w:proofErr w:type="gramEnd"/>
            <w:r w:rsidRPr="00AF5A00">
              <w:rPr>
                <w:rFonts w:ascii="Arial Narrow" w:eastAsiaTheme="majorEastAsia" w:hAnsi="Arial Narrow" w:cstheme="majorBidi"/>
                <w:bCs/>
                <w:sz w:val="20"/>
              </w:rPr>
              <w:t xml:space="preserve"> time horizon.</w:t>
            </w:r>
          </w:p>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 xml:space="preserve">A sustained remission adjustment </w:t>
            </w:r>
            <w:proofErr w:type="gramStart"/>
            <w:r w:rsidRPr="00AF5A00">
              <w:rPr>
                <w:rFonts w:ascii="Arial Narrow" w:eastAsiaTheme="majorEastAsia" w:hAnsi="Arial Narrow" w:cstheme="majorBidi"/>
                <w:bCs/>
                <w:sz w:val="20"/>
              </w:rPr>
              <w:t>was applied</w:t>
            </w:r>
            <w:proofErr w:type="gramEnd"/>
            <w:r w:rsidRPr="00AF5A00">
              <w:rPr>
                <w:rFonts w:ascii="Arial Narrow" w:eastAsiaTheme="majorEastAsia" w:hAnsi="Arial Narrow" w:cstheme="majorBidi"/>
                <w:bCs/>
                <w:sz w:val="20"/>
              </w:rPr>
              <w:t xml:space="preserve"> from median follow up, increasing to 95% at ten years.</w:t>
            </w:r>
          </w:p>
          <w:p w:rsidR="00872AAD" w:rsidRPr="00AF5A00" w:rsidRDefault="00872AAD" w:rsidP="00872AAD">
            <w:pPr>
              <w:keepNext/>
              <w:jc w:val="left"/>
              <w:rPr>
                <w:rFonts w:ascii="Arial Narrow" w:eastAsiaTheme="majorEastAsia" w:hAnsi="Arial Narrow" w:cstheme="majorBidi"/>
                <w:bCs/>
                <w:sz w:val="20"/>
              </w:rPr>
            </w:pPr>
          </w:p>
          <w:p w:rsidR="00872AAD" w:rsidRPr="00AF5A00" w:rsidRDefault="00872AAD" w:rsidP="0021333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98% of QALYs, 98% LYs gained occur</w:t>
            </w:r>
            <w:r w:rsidR="0021333D">
              <w:rPr>
                <w:rFonts w:ascii="Arial Narrow" w:eastAsiaTheme="majorEastAsia" w:hAnsi="Arial Narrow" w:cstheme="majorBidi"/>
                <w:bCs/>
                <w:sz w:val="20"/>
              </w:rPr>
              <w:t>red</w:t>
            </w:r>
            <w:r w:rsidRPr="00AF5A00">
              <w:rPr>
                <w:rFonts w:ascii="Arial Narrow" w:eastAsiaTheme="majorEastAsia" w:hAnsi="Arial Narrow" w:cstheme="majorBidi"/>
                <w:bCs/>
                <w:sz w:val="20"/>
              </w:rPr>
              <w:t xml:space="preserve"> in the extrapolated period.</w:t>
            </w:r>
          </w:p>
        </w:tc>
      </w:tr>
      <w:tr w:rsidR="00872AAD" w:rsidRPr="00AF5A00" w:rsidTr="00DB198E">
        <w:tc>
          <w:tcPr>
            <w:tcW w:w="1019"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Health-related quality of life</w:t>
            </w:r>
          </w:p>
        </w:tc>
        <w:tc>
          <w:tcPr>
            <w:tcW w:w="3981"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 xml:space="preserve">No utility data </w:t>
            </w:r>
            <w:proofErr w:type="gramStart"/>
            <w:r w:rsidRPr="00AF5A00">
              <w:rPr>
                <w:rFonts w:ascii="Arial Narrow" w:eastAsiaTheme="majorEastAsia" w:hAnsi="Arial Narrow" w:cstheme="majorBidi"/>
                <w:bCs/>
                <w:sz w:val="20"/>
              </w:rPr>
              <w:t>were collected</w:t>
            </w:r>
            <w:proofErr w:type="gramEnd"/>
            <w:r w:rsidRPr="00AF5A00">
              <w:rPr>
                <w:rFonts w:ascii="Arial Narrow" w:eastAsiaTheme="majorEastAsia" w:hAnsi="Arial Narrow" w:cstheme="majorBidi"/>
                <w:bCs/>
                <w:sz w:val="20"/>
              </w:rPr>
              <w:t xml:space="preserve"> in the NEOSPHERE trial. The APHINITY trial </w:t>
            </w:r>
            <w:proofErr w:type="gramStart"/>
            <w:r w:rsidRPr="00AF5A00">
              <w:rPr>
                <w:rFonts w:ascii="Arial Narrow" w:eastAsiaTheme="majorEastAsia" w:hAnsi="Arial Narrow" w:cstheme="majorBidi"/>
                <w:bCs/>
                <w:sz w:val="20"/>
              </w:rPr>
              <w:t>was used</w:t>
            </w:r>
            <w:proofErr w:type="gramEnd"/>
            <w:r w:rsidRPr="00AF5A00">
              <w:rPr>
                <w:rFonts w:ascii="Arial Narrow" w:eastAsiaTheme="majorEastAsia" w:hAnsi="Arial Narrow" w:cstheme="majorBidi"/>
                <w:bCs/>
                <w:sz w:val="20"/>
              </w:rPr>
              <w:t xml:space="preserve"> for</w:t>
            </w:r>
            <w:r w:rsidR="00151418">
              <w:rPr>
                <w:rFonts w:ascii="Arial Narrow" w:eastAsiaTheme="majorEastAsia" w:hAnsi="Arial Narrow" w:cstheme="majorBidi"/>
                <w:bCs/>
                <w:sz w:val="20"/>
              </w:rPr>
              <w:t xml:space="preserve"> utility values for</w:t>
            </w:r>
            <w:r w:rsidRPr="00AF5A00">
              <w:rPr>
                <w:rFonts w:ascii="Arial Narrow" w:eastAsiaTheme="majorEastAsia" w:hAnsi="Arial Narrow" w:cstheme="majorBidi"/>
                <w:bCs/>
                <w:sz w:val="20"/>
              </w:rPr>
              <w:t xml:space="preserve"> PFS, locoregional recurrence &amp; remission. Lloyd (2006) </w:t>
            </w:r>
            <w:proofErr w:type="gramStart"/>
            <w:r w:rsidRPr="00AF5A00">
              <w:rPr>
                <w:rFonts w:ascii="Arial Narrow" w:eastAsiaTheme="majorEastAsia" w:hAnsi="Arial Narrow" w:cstheme="majorBidi"/>
                <w:bCs/>
                <w:sz w:val="20"/>
              </w:rPr>
              <w:t>was used</w:t>
            </w:r>
            <w:proofErr w:type="gramEnd"/>
            <w:r w:rsidRPr="00AF5A00">
              <w:rPr>
                <w:rFonts w:ascii="Arial Narrow" w:eastAsiaTheme="majorEastAsia" w:hAnsi="Arial Narrow" w:cstheme="majorBidi"/>
                <w:bCs/>
                <w:sz w:val="20"/>
              </w:rPr>
              <w:t xml:space="preserve"> for </w:t>
            </w:r>
            <w:r w:rsidR="00151418">
              <w:rPr>
                <w:rFonts w:ascii="Arial Narrow" w:eastAsiaTheme="majorEastAsia" w:hAnsi="Arial Narrow" w:cstheme="majorBidi"/>
                <w:bCs/>
                <w:sz w:val="20"/>
              </w:rPr>
              <w:t xml:space="preserve">utility values for </w:t>
            </w:r>
            <w:r w:rsidRPr="00AF5A00">
              <w:rPr>
                <w:rFonts w:ascii="Arial Narrow" w:eastAsiaTheme="majorEastAsia" w:hAnsi="Arial Narrow" w:cstheme="majorBidi"/>
                <w:bCs/>
                <w:sz w:val="20"/>
              </w:rPr>
              <w:t>metastatic recurrence.</w:t>
            </w:r>
          </w:p>
          <w:p w:rsidR="00872AAD" w:rsidRPr="00AF5A00" w:rsidRDefault="00872AAD" w:rsidP="00872AAD">
            <w:pPr>
              <w:keepNext/>
              <w:jc w:val="left"/>
              <w:rPr>
                <w:rFonts w:ascii="Arial Narrow" w:eastAsiaTheme="majorEastAsia" w:hAnsi="Arial Narrow" w:cstheme="majorBidi"/>
                <w:bCs/>
                <w:sz w:val="20"/>
              </w:rPr>
            </w:pPr>
          </w:p>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PFS on treatment = 0.784, PFS off treatment = 0.828, locoregional recurrence = 0.784, remission 0.828, 1</w:t>
            </w:r>
            <w:r w:rsidRPr="00AF5A00">
              <w:rPr>
                <w:rFonts w:ascii="Arial Narrow" w:eastAsiaTheme="majorEastAsia" w:hAnsi="Arial Narrow" w:cstheme="majorBidi"/>
                <w:bCs/>
                <w:sz w:val="20"/>
                <w:vertAlign w:val="superscript"/>
              </w:rPr>
              <w:t>st</w:t>
            </w:r>
            <w:r w:rsidRPr="00AF5A00">
              <w:rPr>
                <w:rFonts w:ascii="Arial Narrow" w:eastAsiaTheme="majorEastAsia" w:hAnsi="Arial Narrow" w:cstheme="majorBidi"/>
                <w:bCs/>
                <w:sz w:val="20"/>
              </w:rPr>
              <w:t xml:space="preserve"> line mBC = 0.753, 2</w:t>
            </w:r>
            <w:r w:rsidRPr="00AF5A00">
              <w:rPr>
                <w:rFonts w:ascii="Arial Narrow" w:eastAsiaTheme="majorEastAsia" w:hAnsi="Arial Narrow" w:cstheme="majorBidi"/>
                <w:bCs/>
                <w:sz w:val="20"/>
                <w:vertAlign w:val="superscript"/>
              </w:rPr>
              <w:t>nd</w:t>
            </w:r>
            <w:r w:rsidRPr="00AF5A00">
              <w:rPr>
                <w:rFonts w:ascii="Arial Narrow" w:eastAsiaTheme="majorEastAsia" w:hAnsi="Arial Narrow" w:cstheme="majorBidi"/>
                <w:bCs/>
                <w:sz w:val="20"/>
              </w:rPr>
              <w:t xml:space="preserve"> line mBC = 0.481.</w:t>
            </w:r>
          </w:p>
        </w:tc>
      </w:tr>
      <w:tr w:rsidR="00872AAD" w:rsidRPr="00AF5A00" w:rsidTr="00DB198E">
        <w:tc>
          <w:tcPr>
            <w:tcW w:w="1019"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Trastuzumab dosing in PFS</w:t>
            </w:r>
          </w:p>
        </w:tc>
        <w:tc>
          <w:tcPr>
            <w:tcW w:w="3981" w:type="pct"/>
            <w:shd w:val="clear" w:color="auto" w:fill="auto"/>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 xml:space="preserve">The model applied the average actual dose of trastuzumab observed overall in the NEOSPHERE trial, multiplied by the proportion of patients remaining on treatment.   </w:t>
            </w:r>
          </w:p>
        </w:tc>
      </w:tr>
    </w:tbl>
    <w:p w:rsidR="00872AAD" w:rsidRPr="00AF5A00" w:rsidRDefault="00872AAD" w:rsidP="00872AAD">
      <w:pPr>
        <w:spacing w:after="120"/>
        <w:contextualSpacing/>
        <w:rPr>
          <w:rFonts w:ascii="Arial Narrow" w:hAnsi="Arial Narrow"/>
          <w:snapToGrid w:val="0"/>
          <w:sz w:val="18"/>
          <w:szCs w:val="22"/>
        </w:rPr>
      </w:pPr>
      <w:r w:rsidRPr="00AF5A00">
        <w:rPr>
          <w:rFonts w:ascii="Arial Narrow" w:hAnsi="Arial Narrow"/>
          <w:snapToGrid w:val="0"/>
          <w:sz w:val="18"/>
          <w:szCs w:val="22"/>
        </w:rPr>
        <w:t>Source: Tables 3.2, 3.6, 3.8, 3.15 &amp; 3.21, p88, 97-98, 107, 116 &amp; 119, and Section 3.4 of the submission.</w:t>
      </w:r>
    </w:p>
    <w:p w:rsidR="00872AAD" w:rsidRPr="00AF5A00" w:rsidRDefault="00872AAD" w:rsidP="00872AAD">
      <w:pPr>
        <w:spacing w:after="120"/>
        <w:contextualSpacing/>
        <w:rPr>
          <w:rFonts w:ascii="Arial Narrow" w:hAnsi="Arial Narrow"/>
          <w:snapToGrid w:val="0"/>
          <w:sz w:val="18"/>
          <w:szCs w:val="22"/>
        </w:rPr>
      </w:pPr>
      <w:r w:rsidRPr="00AF5A00">
        <w:rPr>
          <w:rFonts w:ascii="Arial Narrow" w:hAnsi="Arial Narrow"/>
          <w:snapToGrid w:val="0"/>
          <w:sz w:val="18"/>
          <w:szCs w:val="22"/>
        </w:rPr>
        <w:t>QALY = quality adjusted life year, mBC = metastatic breast cancer, PFS = progression free survival, P+T+C = pertuzumab + trastuzumab + chemotherapy, T+C = trastuzumab + chemotherapy</w:t>
      </w:r>
    </w:p>
    <w:p w:rsidR="008645E0" w:rsidRDefault="00872AAD" w:rsidP="003E3083">
      <w:pPr>
        <w:pStyle w:val="3-BodyText"/>
      </w:pPr>
      <w:r w:rsidRPr="00A1388F">
        <w:t xml:space="preserve">The model comprised six health states (PFS, locoregional recurrence, remission, 1st line metastatic recurrence, 2nd line metastatic recurrence, and death). The PFS health state included neoadjuvant treatment with </w:t>
      </w:r>
      <w:r w:rsidR="00FD7730" w:rsidRPr="00A1388F">
        <w:t>Ptz+T+Chemo</w:t>
      </w:r>
      <w:r w:rsidRPr="00A1388F">
        <w:t xml:space="preserve"> or </w:t>
      </w:r>
      <w:r w:rsidR="00FD7730" w:rsidRPr="00A1388F">
        <w:t>T+Chemo</w:t>
      </w:r>
      <w:r w:rsidRPr="00A1388F">
        <w:t xml:space="preserve">, primary surgery, and adjuvant treatment with </w:t>
      </w:r>
      <w:r w:rsidR="00B15EAA" w:rsidRPr="00A1388F">
        <w:t>T+Chemo</w:t>
      </w:r>
      <w:r w:rsidRPr="00A1388F">
        <w:t xml:space="preserve">. While this ensures consistency with the NEOSPHERE trial, the model structure does not reflect the </w:t>
      </w:r>
      <w:proofErr w:type="gramStart"/>
      <w:r w:rsidRPr="00A1388F">
        <w:t>breast cancer treatment algorithm</w:t>
      </w:r>
      <w:proofErr w:type="gramEnd"/>
      <w:r w:rsidRPr="00A1388F">
        <w:t xml:space="preserve"> </w:t>
      </w:r>
      <w:r w:rsidRPr="00140FC0">
        <w:t>proposed</w:t>
      </w:r>
      <w:r w:rsidR="007D7439" w:rsidRPr="00140FC0">
        <w:t xml:space="preserve"> </w:t>
      </w:r>
      <w:r w:rsidR="00556F88" w:rsidRPr="00140FC0">
        <w:t>in the cl</w:t>
      </w:r>
      <w:r w:rsidR="007D7439" w:rsidRPr="00140FC0">
        <w:t>in</w:t>
      </w:r>
      <w:r w:rsidR="008645E0" w:rsidRPr="00140FC0">
        <w:t>i</w:t>
      </w:r>
      <w:r w:rsidR="007D7439" w:rsidRPr="00140FC0">
        <w:t>cal section</w:t>
      </w:r>
      <w:r w:rsidRPr="00140FC0">
        <w:t>, where</w:t>
      </w:r>
      <w:r w:rsidRPr="00A1388F">
        <w:t xml:space="preserve"> HER2+ early breast cancer patients with residual disease following surgery receive adjuvant treatment with T-DM1. The model does not allow for the different transition probabilities, utilities and costs associated with the different adjuvant treatments available in Australia (trastuzumab and T-DM1). </w:t>
      </w:r>
      <w:r w:rsidR="00EB6E18">
        <w:t xml:space="preserve">The evaluation and ESC </w:t>
      </w:r>
      <w:r w:rsidR="001652A7">
        <w:t xml:space="preserve">considered </w:t>
      </w:r>
      <w:r w:rsidR="00EB6E18">
        <w:t>that a</w:t>
      </w:r>
      <w:r w:rsidR="007B3AFC" w:rsidRPr="00A1388F">
        <w:t xml:space="preserve"> model structure that considers </w:t>
      </w:r>
      <w:r w:rsidR="007B3AFC" w:rsidRPr="00A1388F">
        <w:lastRenderedPageBreak/>
        <w:t xml:space="preserve">adjuvant treatment with T-DM1, separating the neoadjuvant and adjuvant phases of treatment, </w:t>
      </w:r>
      <w:proofErr w:type="gramStart"/>
      <w:r w:rsidR="007B3AFC" w:rsidRPr="00A1388F">
        <w:t>may</w:t>
      </w:r>
      <w:proofErr w:type="gramEnd"/>
      <w:r w:rsidR="007B3AFC" w:rsidRPr="00A1388F">
        <w:t xml:space="preserve"> be preferable.</w:t>
      </w:r>
      <w:r w:rsidR="00DF753A" w:rsidRPr="00A1388F">
        <w:t xml:space="preserve"> NEOSPHERE could inform the probability of pCR following surgery. </w:t>
      </w:r>
    </w:p>
    <w:p w:rsidR="00E32578" w:rsidRPr="00140FC0" w:rsidRDefault="00033881" w:rsidP="003E3083">
      <w:pPr>
        <w:pStyle w:val="3-BodyText"/>
      </w:pPr>
      <w:r w:rsidRPr="00140FC0">
        <w:t xml:space="preserve">The PSCR </w:t>
      </w:r>
      <w:r w:rsidR="00EB6E18">
        <w:t xml:space="preserve">and pre-PBAC response </w:t>
      </w:r>
      <w:r w:rsidRPr="00140FC0">
        <w:t>argued that it would be challenging to update the economic model to incorporate adjuvant treatment with T-DM1 since there is no clinical trial that has investigated neoadjuvant P</w:t>
      </w:r>
      <w:r w:rsidR="004A3599" w:rsidRPr="00140FC0">
        <w:t>tz</w:t>
      </w:r>
      <w:r w:rsidRPr="00140FC0">
        <w:t xml:space="preserve">+T+Chemo followed by adjuvant T-DM1. Additionally, the PSCR stated that adjuvant T-DM1 </w:t>
      </w:r>
      <w:proofErr w:type="gramStart"/>
      <w:r w:rsidRPr="00140FC0">
        <w:t>is intended</w:t>
      </w:r>
      <w:proofErr w:type="gramEnd"/>
      <w:r w:rsidRPr="00140FC0">
        <w:t xml:space="preserve"> for use in only a small proportion of patients with a specific type of early breast cancer and modelling such a specific population would not be expected to inform the current decision problem.</w:t>
      </w:r>
      <w:r w:rsidR="00556F88" w:rsidRPr="00140FC0">
        <w:t xml:space="preserve"> </w:t>
      </w:r>
      <w:r w:rsidR="00820EB3" w:rsidRPr="00140FC0">
        <w:t xml:space="preserve">The ESC </w:t>
      </w:r>
      <w:r w:rsidRPr="00140FC0">
        <w:t>dis</w:t>
      </w:r>
      <w:r w:rsidR="00820EB3" w:rsidRPr="00140FC0">
        <w:t>agreed</w:t>
      </w:r>
      <w:r w:rsidRPr="00140FC0">
        <w:t xml:space="preserve"> with the PSCR</w:t>
      </w:r>
      <w:r w:rsidR="00EB68A2" w:rsidRPr="00140FC0">
        <w:t>,</w:t>
      </w:r>
      <w:r w:rsidRPr="00140FC0">
        <w:t xml:space="preserve"> </w:t>
      </w:r>
      <w:r w:rsidR="00FC3CD9" w:rsidRPr="00140FC0">
        <w:t>noting</w:t>
      </w:r>
      <w:r w:rsidR="00E32578" w:rsidRPr="00140FC0">
        <w:t xml:space="preserve"> the following:</w:t>
      </w:r>
    </w:p>
    <w:p w:rsidR="00E32578" w:rsidRPr="00140FC0" w:rsidRDefault="00E32578" w:rsidP="00DB198E">
      <w:pPr>
        <w:pStyle w:val="3-BodyText"/>
        <w:numPr>
          <w:ilvl w:val="0"/>
          <w:numId w:val="10"/>
        </w:numPr>
        <w:ind w:left="1077" w:hanging="357"/>
      </w:pPr>
      <w:r w:rsidRPr="00140FC0">
        <w:t xml:space="preserve">The </w:t>
      </w:r>
      <w:r w:rsidR="00556F88" w:rsidRPr="00140FC0">
        <w:t xml:space="preserve">submission claimed that neoadjuvant pertuzumab </w:t>
      </w:r>
      <w:r w:rsidR="00DD1788" w:rsidRPr="00140FC0">
        <w:t>would</w:t>
      </w:r>
      <w:r w:rsidR="00556F88" w:rsidRPr="00140FC0">
        <w:t xml:space="preserve"> reduce downstream use</w:t>
      </w:r>
      <w:r w:rsidR="00FC3CD9" w:rsidRPr="00140FC0">
        <w:t xml:space="preserve"> of T-DM1</w:t>
      </w:r>
      <w:r w:rsidR="00556F88" w:rsidRPr="00140FC0">
        <w:t xml:space="preserve"> and </w:t>
      </w:r>
      <w:r w:rsidR="00DD1788" w:rsidRPr="00140FC0">
        <w:t xml:space="preserve">therefore the </w:t>
      </w:r>
      <w:r w:rsidR="00556F88" w:rsidRPr="00140FC0">
        <w:t xml:space="preserve">associated </w:t>
      </w:r>
      <w:r w:rsidR="006569DF" w:rsidRPr="00140FC0">
        <w:t xml:space="preserve">costs and benefits </w:t>
      </w:r>
      <w:r w:rsidR="00FC3CD9" w:rsidRPr="00140FC0">
        <w:t>of</w:t>
      </w:r>
      <w:r w:rsidR="00556F88" w:rsidRPr="00140FC0">
        <w:t xml:space="preserve"> T-DM1</w:t>
      </w:r>
      <w:r w:rsidR="008645E0" w:rsidRPr="00140FC0">
        <w:t xml:space="preserve"> should be accounted for in </w:t>
      </w:r>
      <w:r w:rsidR="009D70E8" w:rsidRPr="00140FC0">
        <w:t>the</w:t>
      </w:r>
      <w:r w:rsidR="008645E0" w:rsidRPr="00140FC0">
        <w:t xml:space="preserve"> economic model</w:t>
      </w:r>
      <w:r w:rsidRPr="00140FC0">
        <w:t>;</w:t>
      </w:r>
    </w:p>
    <w:p w:rsidR="00E32578" w:rsidRPr="00140FC0" w:rsidRDefault="00E32578" w:rsidP="00DB198E">
      <w:pPr>
        <w:pStyle w:val="3-BodyText"/>
        <w:numPr>
          <w:ilvl w:val="0"/>
          <w:numId w:val="10"/>
        </w:numPr>
        <w:ind w:left="1077" w:hanging="357"/>
      </w:pPr>
      <w:r w:rsidRPr="00140FC0">
        <w:t>M</w:t>
      </w:r>
      <w:r w:rsidR="009D70E8" w:rsidRPr="00140FC0">
        <w:t xml:space="preserve">odelling the use of adjuvant T-DM1 is relevant </w:t>
      </w:r>
      <w:r w:rsidR="00176CF5" w:rsidRPr="00140FC0">
        <w:t>due to the overlap of</w:t>
      </w:r>
      <w:r w:rsidR="009D70E8" w:rsidRPr="00140FC0">
        <w:t xml:space="preserve"> the PBS restrictions for neoadjuvant pertuzumab and adjuvant T-DM1</w:t>
      </w:r>
      <w:r w:rsidRPr="00140FC0">
        <w:t>;</w:t>
      </w:r>
    </w:p>
    <w:p w:rsidR="00E32578" w:rsidRPr="00140FC0" w:rsidRDefault="00E32578" w:rsidP="00DB198E">
      <w:pPr>
        <w:pStyle w:val="3-BodyText"/>
        <w:numPr>
          <w:ilvl w:val="0"/>
          <w:numId w:val="10"/>
        </w:numPr>
        <w:ind w:left="1077" w:hanging="357"/>
      </w:pPr>
      <w:r w:rsidRPr="00140FC0">
        <w:t>T</w:t>
      </w:r>
      <w:r w:rsidR="009D70E8" w:rsidRPr="00140FC0">
        <w:t xml:space="preserve">he proposed treatment algorithm and financial estimates in the submission suggest that </w:t>
      </w:r>
      <w:r w:rsidR="00176CF5" w:rsidRPr="00140FC0">
        <w:t>a substantial proportion of</w:t>
      </w:r>
      <w:r w:rsidR="00DD1788" w:rsidRPr="00140FC0">
        <w:t xml:space="preserve"> </w:t>
      </w:r>
      <w:r w:rsidR="009D70E8" w:rsidRPr="00140FC0">
        <w:t>patients eligible for adjuvant pertuzumab would also be eli</w:t>
      </w:r>
      <w:r w:rsidR="004A3599" w:rsidRPr="00140FC0">
        <w:t>g</w:t>
      </w:r>
      <w:r w:rsidR="009D70E8" w:rsidRPr="00140FC0">
        <w:t>ible for adjuvant T-DM1</w:t>
      </w:r>
      <w:r w:rsidR="004A3599" w:rsidRPr="00140FC0">
        <w:t>; and</w:t>
      </w:r>
      <w:r w:rsidR="009D70E8" w:rsidRPr="00140FC0">
        <w:t xml:space="preserve"> </w:t>
      </w:r>
    </w:p>
    <w:p w:rsidR="00872AAD" w:rsidRPr="00140FC0" w:rsidRDefault="00E32578" w:rsidP="00DB198E">
      <w:pPr>
        <w:pStyle w:val="3-BodyText"/>
        <w:numPr>
          <w:ilvl w:val="0"/>
          <w:numId w:val="10"/>
        </w:numPr>
        <w:ind w:left="1077" w:hanging="357"/>
      </w:pPr>
      <w:r w:rsidRPr="00140FC0">
        <w:t>A</w:t>
      </w:r>
      <w:r w:rsidR="003E3083" w:rsidRPr="00140FC0">
        <w:t xml:space="preserve">lthough there is no clinical trial specifically investigating neoadjuvant Ptz+T+Chemo followed by adjuvant T-DM1, </w:t>
      </w:r>
      <w:r w:rsidR="00176CF5" w:rsidRPr="00140FC0">
        <w:t>it may be possible to use</w:t>
      </w:r>
      <w:r w:rsidR="003E3083" w:rsidRPr="00140FC0">
        <w:t xml:space="preserve"> data </w:t>
      </w:r>
      <w:r w:rsidR="00176CF5" w:rsidRPr="00140FC0">
        <w:t>from</w:t>
      </w:r>
      <w:r w:rsidR="003E3083" w:rsidRPr="00140FC0">
        <w:t xml:space="preserve"> </w:t>
      </w:r>
      <w:r w:rsidR="00C628CD" w:rsidRPr="00140FC0">
        <w:t xml:space="preserve">the </w:t>
      </w:r>
      <w:r w:rsidR="003E3083" w:rsidRPr="00140FC0">
        <w:t xml:space="preserve">KATHERINE </w:t>
      </w:r>
      <w:r w:rsidR="00C628CD" w:rsidRPr="00140FC0">
        <w:t xml:space="preserve">trial </w:t>
      </w:r>
      <w:r w:rsidR="003E3083" w:rsidRPr="00140FC0">
        <w:t xml:space="preserve">to </w:t>
      </w:r>
      <w:r w:rsidR="00176CF5" w:rsidRPr="00140FC0">
        <w:t>inform</w:t>
      </w:r>
      <w:r w:rsidR="003E3083" w:rsidRPr="00140FC0">
        <w:t xml:space="preserve"> an economic model including adjuvant T-DM1.</w:t>
      </w:r>
    </w:p>
    <w:p w:rsidR="00872AAD" w:rsidRPr="0023720E" w:rsidRDefault="00872AAD" w:rsidP="001609C2">
      <w:pPr>
        <w:pStyle w:val="3-BodyText"/>
      </w:pPr>
      <w:r w:rsidRPr="00A1388F">
        <w:t xml:space="preserve">Modelled PFS </w:t>
      </w:r>
      <w:proofErr w:type="gramStart"/>
      <w:r w:rsidRPr="00A1388F">
        <w:t>was derived</w:t>
      </w:r>
      <w:proofErr w:type="gramEnd"/>
      <w:r w:rsidRPr="00A1388F">
        <w:t xml:space="preserve"> from the NEOSPHERE trial. PFS was a secondary endpoint, not powered to test formal hypotheses. </w:t>
      </w:r>
      <w:r w:rsidR="00DD1788">
        <w:t>T</w:t>
      </w:r>
      <w:r w:rsidRPr="00A1388F">
        <w:t xml:space="preserve">he result is uncertain, with the 95% confidence interval crossing unity by a wide margin (hazard ratio = 0.69, 95% CI (0.34, 1.40). </w:t>
      </w:r>
      <w:r w:rsidR="0023720E" w:rsidRPr="00A1388F">
        <w:t>As</w:t>
      </w:r>
      <w:r w:rsidR="004A3599">
        <w:t xml:space="preserve"> </w:t>
      </w:r>
      <w:r w:rsidR="00176CF5">
        <w:t>the</w:t>
      </w:r>
      <w:r w:rsidR="0023720E" w:rsidRPr="00A1388F">
        <w:t xml:space="preserve"> incremental gain in PFS is the key driver of the ICER, the ICER is highly uncertain.</w:t>
      </w:r>
    </w:p>
    <w:p w:rsidR="00872AAD" w:rsidRPr="00A1388F" w:rsidRDefault="00872AAD" w:rsidP="001609C2">
      <w:pPr>
        <w:pStyle w:val="3-BodyText"/>
      </w:pPr>
      <w:r w:rsidRPr="00A1388F">
        <w:t xml:space="preserve">Extrapolation of PFS was conducted in three stages: first, parametric extrapolation of Kaplan-Meier data observed in NEOSPHERE, then application of a time limited treatment effect to PFS, and finally application of a sustained remission adjustment (cure fraction) for a proportion of patients remaining in PFS. The assumptions regarding treatment effect waning and sustained remission adjustment </w:t>
      </w:r>
      <w:r w:rsidR="00BC77E0">
        <w:t>were</w:t>
      </w:r>
      <w:r w:rsidR="00BC77E0" w:rsidRPr="00A1388F">
        <w:t xml:space="preserve"> </w:t>
      </w:r>
      <w:r w:rsidRPr="00A1388F">
        <w:t xml:space="preserve">uncertain but </w:t>
      </w:r>
      <w:r w:rsidR="00BC77E0">
        <w:t>had</w:t>
      </w:r>
      <w:r w:rsidR="00BC77E0" w:rsidRPr="00A1388F">
        <w:t xml:space="preserve"> </w:t>
      </w:r>
      <w:r w:rsidRPr="00A1388F">
        <w:t>minimal impact on the ICER.</w:t>
      </w:r>
    </w:p>
    <w:p w:rsidR="00872AAD" w:rsidRPr="00A1388F" w:rsidRDefault="00872AAD" w:rsidP="001609C2">
      <w:pPr>
        <w:pStyle w:val="3-BodyText"/>
      </w:pPr>
      <w:r w:rsidRPr="00A1388F">
        <w:t xml:space="preserve">PFS was extrapolated from </w:t>
      </w:r>
      <w:r w:rsidR="00BC77E0">
        <w:t xml:space="preserve">the </w:t>
      </w:r>
      <w:r w:rsidRPr="00A1388F">
        <w:t xml:space="preserve">median follow up (5.1 years) to the </w:t>
      </w:r>
      <w:proofErr w:type="gramStart"/>
      <w:r w:rsidRPr="00A1388F">
        <w:t>40 year</w:t>
      </w:r>
      <w:proofErr w:type="gramEnd"/>
      <w:r w:rsidRPr="00A1388F">
        <w:t xml:space="preserve"> time horizon using independent exponential functions. Although six parametric survival functions </w:t>
      </w:r>
      <w:proofErr w:type="gramStart"/>
      <w:r w:rsidRPr="00A1388F">
        <w:t>were fitted</w:t>
      </w:r>
      <w:proofErr w:type="gramEnd"/>
      <w:r w:rsidRPr="00A1388F">
        <w:t xml:space="preserve"> to PFS data, only four were presented in the submission. </w:t>
      </w:r>
      <w:r w:rsidR="00363E3E">
        <w:t>T</w:t>
      </w:r>
      <w:r w:rsidRPr="00A1388F">
        <w:t xml:space="preserve">he sponsor stated that the gamma and </w:t>
      </w:r>
      <w:proofErr w:type="spellStart"/>
      <w:r w:rsidRPr="00A1388F">
        <w:t>Gompertz</w:t>
      </w:r>
      <w:proofErr w:type="spellEnd"/>
      <w:r w:rsidRPr="00A1388F">
        <w:t xml:space="preserve"> functions </w:t>
      </w:r>
      <w:proofErr w:type="gramStart"/>
      <w:r w:rsidRPr="00A1388F">
        <w:t>were excluded</w:t>
      </w:r>
      <w:proofErr w:type="gramEnd"/>
      <w:r w:rsidRPr="00A1388F">
        <w:t xml:space="preserve"> as they produced erroneous results due to the low patient numbers and observed events. As 98% of QALYs </w:t>
      </w:r>
      <w:proofErr w:type="gramStart"/>
      <w:r w:rsidR="00BC77E0">
        <w:t>were</w:t>
      </w:r>
      <w:r w:rsidR="00BC77E0" w:rsidRPr="00A1388F">
        <w:t xml:space="preserve"> </w:t>
      </w:r>
      <w:r w:rsidRPr="00A1388F">
        <w:t>accrued</w:t>
      </w:r>
      <w:proofErr w:type="gramEnd"/>
      <w:r w:rsidRPr="00A1388F">
        <w:t xml:space="preserve"> in the extrapolated period, uncertainty in the extrapolation of PFS </w:t>
      </w:r>
      <w:r w:rsidR="008006F5">
        <w:t>wa</w:t>
      </w:r>
      <w:r w:rsidRPr="00A1388F">
        <w:t xml:space="preserve">s a key issue. </w:t>
      </w:r>
    </w:p>
    <w:p w:rsidR="00872AAD" w:rsidRPr="00A1388F" w:rsidRDefault="00872AAD" w:rsidP="001609C2">
      <w:pPr>
        <w:pStyle w:val="3-BodyText"/>
      </w:pPr>
      <w:r w:rsidRPr="00A1388F">
        <w:lastRenderedPageBreak/>
        <w:t xml:space="preserve">Survival from PFS, locoregional recurrence and remission was the lesser of </w:t>
      </w:r>
      <w:r w:rsidR="003D3DA9">
        <w:t xml:space="preserve">the </w:t>
      </w:r>
      <w:r w:rsidRPr="00A1388F">
        <w:t xml:space="preserve">pooled PFS death events recorded in NEOSPHERE and age-specific background mortality. Survival for patients experiencing early metastatic recurrence was the lesser of survival observed in EMILIA and age-specific background mortality. Survival for patients experiencing late metastatic recurrence was the lesser of survival observed in CLEOPATRA and age-specific background mortality. </w:t>
      </w:r>
      <w:r w:rsidRPr="00A1388F">
        <w:rPr>
          <w:iCs/>
        </w:rPr>
        <w:t>Th</w:t>
      </w:r>
      <w:r w:rsidR="00BB1DC7">
        <w:rPr>
          <w:iCs/>
        </w:rPr>
        <w:t>e evaluation considered th</w:t>
      </w:r>
      <w:r w:rsidRPr="00A1388F">
        <w:rPr>
          <w:iCs/>
        </w:rPr>
        <w:t xml:space="preserve">is approach </w:t>
      </w:r>
      <w:r w:rsidR="008006F5">
        <w:rPr>
          <w:iCs/>
        </w:rPr>
        <w:t>was</w:t>
      </w:r>
      <w:r w:rsidR="008006F5" w:rsidRPr="00A1388F">
        <w:rPr>
          <w:iCs/>
        </w:rPr>
        <w:t xml:space="preserve"> </w:t>
      </w:r>
      <w:r w:rsidRPr="00A1388F">
        <w:rPr>
          <w:iCs/>
        </w:rPr>
        <w:t>reasonable.</w:t>
      </w:r>
    </w:p>
    <w:p w:rsidR="00872AAD" w:rsidRPr="001609C2" w:rsidRDefault="00550A5E" w:rsidP="001609C2">
      <w:pPr>
        <w:pStyle w:val="3-BodyText"/>
      </w:pPr>
      <w:r w:rsidRPr="00550A5E">
        <w:t>Figure 3</w:t>
      </w:r>
      <w:r w:rsidR="001609C2" w:rsidRPr="001609C2">
        <w:t xml:space="preserve"> </w:t>
      </w:r>
      <w:r w:rsidR="00872AAD" w:rsidRPr="001609C2">
        <w:t xml:space="preserve">presents modelled PFS and OS for </w:t>
      </w:r>
      <w:r w:rsidR="00DF753A" w:rsidRPr="001609C2">
        <w:t>Ptz+T+Chemo</w:t>
      </w:r>
      <w:r w:rsidR="00872AAD" w:rsidRPr="001609C2">
        <w:t xml:space="preserve"> and </w:t>
      </w:r>
      <w:r w:rsidR="00DB23DE" w:rsidRPr="001609C2">
        <w:t>T+Chemo</w:t>
      </w:r>
      <w:r w:rsidR="00872AAD" w:rsidRPr="001609C2">
        <w:t xml:space="preserve"> over the 40 year time horizon. </w:t>
      </w:r>
    </w:p>
    <w:p w:rsidR="00872AAD" w:rsidRPr="00AF5A00" w:rsidRDefault="001609C2" w:rsidP="00550A5E">
      <w:pPr>
        <w:keepNext/>
        <w:spacing w:after="120"/>
        <w:jc w:val="left"/>
        <w:rPr>
          <w:rFonts w:ascii="Arial Narrow" w:hAnsi="Arial Narrow"/>
          <w:b/>
          <w:snapToGrid w:val="0"/>
          <w:sz w:val="20"/>
        </w:rPr>
      </w:pPr>
      <w:bookmarkStart w:id="50" w:name="_Ref33607615"/>
      <w:r>
        <w:rPr>
          <w:rFonts w:ascii="Arial Narrow" w:hAnsi="Arial Narrow"/>
          <w:b/>
          <w:snapToGrid w:val="0"/>
          <w:sz w:val="20"/>
        </w:rPr>
        <w:t xml:space="preserve">Figure </w:t>
      </w:r>
      <w:r w:rsidR="00550A5E">
        <w:rPr>
          <w:rFonts w:ascii="Arial Narrow" w:hAnsi="Arial Narrow"/>
          <w:b/>
          <w:noProof/>
          <w:snapToGrid w:val="0"/>
          <w:sz w:val="20"/>
        </w:rPr>
        <w:t>3</w:t>
      </w:r>
      <w:bookmarkEnd w:id="50"/>
      <w:r w:rsidR="00872AAD" w:rsidRPr="00AF5A00">
        <w:rPr>
          <w:rFonts w:ascii="Arial Narrow" w:hAnsi="Arial Narrow"/>
          <w:b/>
          <w:snapToGrid w:val="0"/>
          <w:sz w:val="20"/>
        </w:rPr>
        <w:t xml:space="preserve">: Modelled PFS and OS for patients treated with </w:t>
      </w:r>
      <w:r w:rsidR="00A77809">
        <w:rPr>
          <w:rFonts w:ascii="Arial Narrow" w:hAnsi="Arial Narrow"/>
          <w:b/>
          <w:snapToGrid w:val="0"/>
          <w:sz w:val="20"/>
        </w:rPr>
        <w:t xml:space="preserve">Ptz+T+Chemo </w:t>
      </w:r>
      <w:r w:rsidR="00872AAD" w:rsidRPr="00AF5A00">
        <w:rPr>
          <w:rFonts w:ascii="Arial Narrow" w:hAnsi="Arial Narrow"/>
          <w:b/>
          <w:snapToGrid w:val="0"/>
          <w:sz w:val="20"/>
        </w:rPr>
        <w:t xml:space="preserve">and </w:t>
      </w:r>
      <w:r w:rsidR="00DF753A">
        <w:rPr>
          <w:rFonts w:ascii="Arial Narrow" w:hAnsi="Arial Narrow"/>
          <w:b/>
          <w:snapToGrid w:val="0"/>
          <w:sz w:val="20"/>
        </w:rPr>
        <w:t>T+Chemo</w:t>
      </w:r>
    </w:p>
    <w:p w:rsidR="00872AAD" w:rsidRPr="00A1388F" w:rsidRDefault="00872AAD" w:rsidP="00550A5E">
      <w:pPr>
        <w:spacing w:after="120"/>
        <w:jc w:val="left"/>
        <w:rPr>
          <w:rFonts w:ascii="Arial Narrow" w:hAnsi="Arial Narrow"/>
          <w:snapToGrid w:val="0"/>
          <w:sz w:val="18"/>
          <w:szCs w:val="18"/>
        </w:rPr>
      </w:pPr>
      <w:bookmarkStart w:id="51" w:name="_Hlk28071045"/>
      <w:r w:rsidRPr="00AF5A00">
        <w:rPr>
          <w:rFonts w:asciiTheme="minorHAnsi" w:hAnsiTheme="minorHAnsi"/>
          <w:noProof/>
          <w:snapToGrid w:val="0"/>
        </w:rPr>
        <w:drawing>
          <wp:inline distT="0" distB="0" distL="0" distR="0" wp14:anchorId="5476CCE4" wp14:editId="6C9F3CB0">
            <wp:extent cx="5731200" cy="2902985"/>
            <wp:effectExtent l="0" t="0" r="3175" b="0"/>
            <wp:docPr id="41" name="Picture 41" title="Figure 3: Modelled PFS and OS for patients treated with Ptz+T+Chemo and T+Ch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51653"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31200" cy="2902985"/>
                    </a:xfrm>
                    <a:prstGeom prst="rect">
                      <a:avLst/>
                    </a:prstGeom>
                    <a:noFill/>
                  </pic:spPr>
                </pic:pic>
              </a:graphicData>
            </a:graphic>
          </wp:inline>
        </w:drawing>
      </w:r>
      <w:bookmarkEnd w:id="51"/>
      <w:r w:rsidRPr="00AF5A00">
        <w:rPr>
          <w:rFonts w:ascii="Arial Narrow" w:hAnsi="Arial Narrow"/>
          <w:snapToGrid w:val="0"/>
          <w:sz w:val="18"/>
          <w:szCs w:val="18"/>
        </w:rPr>
        <w:t>Source: Figure 3.11, p114 of the submiss</w:t>
      </w:r>
      <w:r w:rsidRPr="00A1388F">
        <w:rPr>
          <w:rFonts w:ascii="Arial Narrow" w:hAnsi="Arial Narrow"/>
          <w:snapToGrid w:val="0"/>
          <w:sz w:val="18"/>
          <w:szCs w:val="18"/>
        </w:rPr>
        <w:t xml:space="preserve">ion, </w:t>
      </w:r>
      <w:r w:rsidRPr="00A1388F">
        <w:rPr>
          <w:rFonts w:ascii="Arial Narrow" w:hAnsi="Arial Narrow"/>
          <w:iCs/>
          <w:snapToGrid w:val="0"/>
          <w:sz w:val="18"/>
          <w:szCs w:val="18"/>
        </w:rPr>
        <w:t>OS for general population added during the evaluation.</w:t>
      </w:r>
      <w:r w:rsidRPr="00A1388F">
        <w:rPr>
          <w:rFonts w:ascii="Arial Narrow" w:hAnsi="Arial Narrow"/>
          <w:snapToGrid w:val="0"/>
          <w:sz w:val="18"/>
          <w:szCs w:val="18"/>
        </w:rPr>
        <w:br/>
        <w:t xml:space="preserve">OS = overall survival; PFS = progression free survival; </w:t>
      </w:r>
      <w:r w:rsidR="00877BA8" w:rsidRPr="00A1388F">
        <w:rPr>
          <w:rFonts w:ascii="Arial Narrow" w:hAnsi="Arial Narrow"/>
          <w:snapToGrid w:val="0"/>
          <w:sz w:val="18"/>
          <w:szCs w:val="18"/>
        </w:rPr>
        <w:t>Ptz+T+Chemo</w:t>
      </w:r>
      <w:r w:rsidRPr="00A1388F">
        <w:rPr>
          <w:rFonts w:ascii="Arial Narrow" w:hAnsi="Arial Narrow"/>
          <w:snapToGrid w:val="0"/>
          <w:sz w:val="18"/>
          <w:szCs w:val="18"/>
        </w:rPr>
        <w:t xml:space="preserve"> = pertuzumab + trastuzumab + chemotherapy; T+</w:t>
      </w:r>
      <w:r w:rsidR="00877BA8" w:rsidRPr="00A1388F">
        <w:rPr>
          <w:rFonts w:ascii="Arial Narrow" w:hAnsi="Arial Narrow"/>
          <w:snapToGrid w:val="0"/>
          <w:sz w:val="18"/>
          <w:szCs w:val="18"/>
        </w:rPr>
        <w:t>Chemo</w:t>
      </w:r>
      <w:r w:rsidRPr="00A1388F">
        <w:rPr>
          <w:rFonts w:ascii="Arial Narrow" w:hAnsi="Arial Narrow"/>
          <w:snapToGrid w:val="0"/>
          <w:sz w:val="18"/>
          <w:szCs w:val="18"/>
        </w:rPr>
        <w:t xml:space="preserve"> = trastuzumab + chemotherapy</w:t>
      </w:r>
    </w:p>
    <w:p w:rsidR="00872AAD" w:rsidRPr="00A1388F" w:rsidRDefault="00872AAD" w:rsidP="001609C2">
      <w:pPr>
        <w:pStyle w:val="3-BodyText"/>
      </w:pPr>
      <w:r w:rsidRPr="00A1388F">
        <w:t xml:space="preserve">The mean starting age of patients in the model is 50.2 years. This </w:t>
      </w:r>
      <w:proofErr w:type="gramStart"/>
      <w:r w:rsidRPr="00A1388F">
        <w:t>was taken</w:t>
      </w:r>
      <w:proofErr w:type="gramEnd"/>
      <w:r w:rsidRPr="00A1388F">
        <w:t xml:space="preserve"> from NEOSPHERE.  At the 40-year time horizon, modelled patients will be 90.2 years old, at which time the model predicts approximately 30% of patients in each </w:t>
      </w:r>
      <w:proofErr w:type="gramStart"/>
      <w:r w:rsidRPr="00A1388F">
        <w:t>arm</w:t>
      </w:r>
      <w:proofErr w:type="gramEnd"/>
      <w:r w:rsidRPr="00A1388F">
        <w:t xml:space="preserve"> are alive and free of disease progression (Figure </w:t>
      </w:r>
      <w:r w:rsidR="0085076A">
        <w:t>3</w:t>
      </w:r>
      <w:r w:rsidRPr="00A1388F">
        <w:t>).</w:t>
      </w:r>
      <w:r w:rsidRPr="00A1388F">
        <w:rPr>
          <w:iCs/>
        </w:rPr>
        <w:t xml:space="preserve"> Figure </w:t>
      </w:r>
      <w:proofErr w:type="gramStart"/>
      <w:r w:rsidR="0085076A">
        <w:rPr>
          <w:iCs/>
        </w:rPr>
        <w:t>3</w:t>
      </w:r>
      <w:proofErr w:type="gramEnd"/>
      <w:r w:rsidRPr="00A1388F">
        <w:rPr>
          <w:iCs/>
        </w:rPr>
        <w:t xml:space="preserve"> shows that modelled PFS and OS for patients with early breast cancer are less than general population survival.</w:t>
      </w:r>
    </w:p>
    <w:p w:rsidR="00872AAD" w:rsidRPr="00140FC0" w:rsidRDefault="001D0DC5" w:rsidP="001609C2">
      <w:pPr>
        <w:pStyle w:val="3-BodyText"/>
        <w:rPr>
          <w:rFonts w:cstheme="minorHAnsi"/>
        </w:rPr>
      </w:pPr>
      <w:r w:rsidRPr="00140FC0">
        <w:rPr>
          <w:lang w:val="en-US"/>
        </w:rPr>
        <w:t xml:space="preserve">Given the immaturity of PFS, instead of extrapolating PFS directly, it may be preferable to extrapolate PFS based on a surrogate relationship between pCR and PFS and OS, </w:t>
      </w:r>
      <w:r w:rsidRPr="00140FC0">
        <w:rPr>
          <w:iCs/>
          <w:lang w:val="en-US"/>
        </w:rPr>
        <w:t>if such relationships exist</w:t>
      </w:r>
      <w:r w:rsidRPr="00140FC0">
        <w:rPr>
          <w:lang w:val="en-US"/>
        </w:rPr>
        <w:t>. Within this framework,</w:t>
      </w:r>
      <w:r w:rsidR="00872AAD" w:rsidRPr="00140FC0">
        <w:t xml:space="preserve"> </w:t>
      </w:r>
      <w:r w:rsidR="003A1ECC" w:rsidRPr="00140FC0">
        <w:t xml:space="preserve">it may be possible to model adjuvant treatment with T-DM1. The PSCR argued that this approach produced illogical results that did not make it possible </w:t>
      </w:r>
      <w:proofErr w:type="gramStart"/>
      <w:r w:rsidR="003A1ECC" w:rsidRPr="00140FC0">
        <w:t>to reliably model</w:t>
      </w:r>
      <w:proofErr w:type="gramEnd"/>
      <w:r w:rsidR="003A1ECC" w:rsidRPr="00140FC0">
        <w:t xml:space="preserve"> outcomes of neoadjuvant treatment. </w:t>
      </w:r>
      <w:r w:rsidR="00363E3E" w:rsidRPr="00140FC0">
        <w:t>The ESC noted the sponsor did not articulate the issues encountered with the analysis or i</w:t>
      </w:r>
      <w:r w:rsidR="004A3599" w:rsidRPr="00140FC0">
        <w:t>n</w:t>
      </w:r>
      <w:r w:rsidR="00363E3E" w:rsidRPr="00140FC0">
        <w:t xml:space="preserve"> what sense the results were ‘illogical’.</w:t>
      </w:r>
      <w:r w:rsidR="004A3599" w:rsidRPr="00140FC0">
        <w:t xml:space="preserve"> </w:t>
      </w:r>
      <w:r w:rsidR="003A1ECC" w:rsidRPr="00140FC0">
        <w:t>The ESC considered that this approach would require further justification of the proposed surrogate relationship between</w:t>
      </w:r>
      <w:r w:rsidR="00363E3E" w:rsidRPr="00140FC0">
        <w:t xml:space="preserve"> the change in</w:t>
      </w:r>
      <w:r w:rsidR="003A1ECC" w:rsidRPr="00140FC0">
        <w:t xml:space="preserve"> pCR and </w:t>
      </w:r>
      <w:r w:rsidR="00363E3E" w:rsidRPr="00140FC0">
        <w:t xml:space="preserve">the change in </w:t>
      </w:r>
      <w:r w:rsidR="003A1ECC" w:rsidRPr="00140FC0">
        <w:t xml:space="preserve">survival outcomes. The ESC noted that such a </w:t>
      </w:r>
      <w:r w:rsidR="003A1ECC" w:rsidRPr="00140FC0">
        <w:lastRenderedPageBreak/>
        <w:t xml:space="preserve">model would better reflect the proposed clinical place of pertuzumab but it is unclear whether such an analysis would provide additional certainty </w:t>
      </w:r>
      <w:proofErr w:type="gramStart"/>
      <w:r w:rsidR="003A1ECC" w:rsidRPr="00140FC0">
        <w:t>with regards to</w:t>
      </w:r>
      <w:proofErr w:type="gramEnd"/>
      <w:r w:rsidR="003A1ECC" w:rsidRPr="00140FC0">
        <w:t xml:space="preserve"> the modelled outcomes. </w:t>
      </w:r>
    </w:p>
    <w:p w:rsidR="00872AAD" w:rsidRPr="001609C2" w:rsidRDefault="00872AAD" w:rsidP="001609C2">
      <w:pPr>
        <w:pStyle w:val="3-BodyText"/>
      </w:pPr>
      <w:r w:rsidRPr="001609C2">
        <w:t xml:space="preserve">Predicted population sizes over time by health state </w:t>
      </w:r>
      <w:proofErr w:type="gramStart"/>
      <w:r w:rsidRPr="001609C2">
        <w:t>are presented</w:t>
      </w:r>
      <w:proofErr w:type="gramEnd"/>
      <w:r w:rsidRPr="001609C2">
        <w:t xml:space="preserve"> in </w:t>
      </w:r>
      <w:r w:rsidR="00550A5E" w:rsidRPr="00550A5E">
        <w:t>Figure 4</w:t>
      </w:r>
      <w:r w:rsidRPr="001609C2">
        <w:t xml:space="preserve">. Of patients experiencing disease recurrence, 81% in the </w:t>
      </w:r>
      <w:r w:rsidR="00FD7730" w:rsidRPr="001609C2">
        <w:t>T+Chemo</w:t>
      </w:r>
      <w:r w:rsidR="00FF218F" w:rsidRPr="001609C2">
        <w:t xml:space="preserve"> </w:t>
      </w:r>
      <w:r w:rsidRPr="001609C2">
        <w:t xml:space="preserve">arm experienced distant recurrence, compared with 69% in the </w:t>
      </w:r>
      <w:r w:rsidR="00112249" w:rsidRPr="001609C2">
        <w:t>Ptz+T+Ch</w:t>
      </w:r>
      <w:r w:rsidR="00FD7730" w:rsidRPr="001609C2">
        <w:t>emo</w:t>
      </w:r>
      <w:r w:rsidRPr="001609C2">
        <w:t xml:space="preserve"> arm. More patients receiving </w:t>
      </w:r>
      <w:r w:rsidR="00FD7730" w:rsidRPr="001609C2">
        <w:t>T+Chemo</w:t>
      </w:r>
      <w:r w:rsidRPr="001609C2">
        <w:t xml:space="preserve"> than </w:t>
      </w:r>
      <w:r w:rsidR="00FD7730" w:rsidRPr="001609C2">
        <w:t>Ptz+T+Chemo</w:t>
      </w:r>
      <w:r w:rsidRPr="001609C2">
        <w:t xml:space="preserve"> were predicted to experience distant recurrence (1st line metastatic breast cancer) and remain in the </w:t>
      </w:r>
      <w:r w:rsidR="007B3AFC" w:rsidRPr="001609C2">
        <w:t>costly</w:t>
      </w:r>
      <w:r w:rsidRPr="001609C2">
        <w:t xml:space="preserve"> </w:t>
      </w:r>
      <w:proofErr w:type="gramStart"/>
      <w:r w:rsidRPr="001609C2">
        <w:t>1st</w:t>
      </w:r>
      <w:proofErr w:type="gramEnd"/>
      <w:r w:rsidRPr="001609C2">
        <w:t xml:space="preserve"> line and 2nd line metastatic breast cancer</w:t>
      </w:r>
      <w:r w:rsidRPr="001609C2" w:rsidDel="00DC32D9">
        <w:t xml:space="preserve"> </w:t>
      </w:r>
      <w:r w:rsidRPr="001609C2">
        <w:t xml:space="preserve">health states. </w:t>
      </w:r>
    </w:p>
    <w:p w:rsidR="00872AAD" w:rsidRPr="00AF5A00" w:rsidRDefault="00872AAD" w:rsidP="00E2600E">
      <w:pPr>
        <w:keepNext/>
        <w:keepLines/>
        <w:spacing w:after="120"/>
        <w:rPr>
          <w:rFonts w:asciiTheme="minorHAnsi" w:hAnsiTheme="minorHAnsi"/>
          <w:snapToGrid w:val="0"/>
        </w:rPr>
      </w:pPr>
      <w:bookmarkStart w:id="52" w:name="_Ref33607666"/>
      <w:r w:rsidRPr="00AF5A00">
        <w:rPr>
          <w:rFonts w:ascii="Arial Narrow" w:hAnsi="Arial Narrow"/>
          <w:b/>
          <w:snapToGrid w:val="0"/>
          <w:sz w:val="20"/>
        </w:rPr>
        <w:t xml:space="preserve">Figure </w:t>
      </w:r>
      <w:r w:rsidR="00550A5E">
        <w:rPr>
          <w:rFonts w:ascii="Arial Narrow" w:hAnsi="Arial Narrow"/>
          <w:b/>
          <w:noProof/>
          <w:snapToGrid w:val="0"/>
          <w:sz w:val="20"/>
        </w:rPr>
        <w:t>4</w:t>
      </w:r>
      <w:bookmarkEnd w:id="52"/>
      <w:r w:rsidRPr="00AF5A00">
        <w:rPr>
          <w:rFonts w:ascii="Arial Narrow" w:hAnsi="Arial Narrow"/>
          <w:b/>
          <w:snapToGrid w:val="0"/>
          <w:sz w:val="20"/>
        </w:rPr>
        <w:t xml:space="preserve">: </w:t>
      </w:r>
      <w:bookmarkStart w:id="53" w:name="_Hlk28072582"/>
      <w:r w:rsidRPr="00AF5A00">
        <w:rPr>
          <w:rFonts w:ascii="Arial Narrow" w:hAnsi="Arial Narrow"/>
          <w:b/>
          <w:snapToGrid w:val="0"/>
          <w:sz w:val="20"/>
        </w:rPr>
        <w:t xml:space="preserve">Modelled post-progression health </w:t>
      </w:r>
      <w:bookmarkEnd w:id="53"/>
      <w:r w:rsidRPr="00AF5A00">
        <w:rPr>
          <w:rFonts w:ascii="Arial Narrow" w:hAnsi="Arial Narrow"/>
          <w:b/>
          <w:snapToGrid w:val="0"/>
          <w:sz w:val="20"/>
        </w:rPr>
        <w:t>state occupancy</w:t>
      </w:r>
    </w:p>
    <w:p w:rsidR="00872AAD" w:rsidRPr="00AF5A00" w:rsidRDefault="00872AAD" w:rsidP="00E2600E">
      <w:pPr>
        <w:keepNext/>
        <w:keepLines/>
        <w:spacing w:after="120"/>
        <w:rPr>
          <w:rFonts w:ascii="Arial Narrow" w:hAnsi="Arial Narrow"/>
          <w:snapToGrid w:val="0"/>
          <w:sz w:val="18"/>
          <w:szCs w:val="18"/>
        </w:rPr>
      </w:pPr>
      <w:r w:rsidRPr="00AF5A00">
        <w:rPr>
          <w:rFonts w:asciiTheme="minorHAnsi" w:hAnsiTheme="minorHAnsi"/>
          <w:noProof/>
          <w:snapToGrid w:val="0"/>
        </w:rPr>
        <w:drawing>
          <wp:inline distT="0" distB="0" distL="0" distR="0" wp14:anchorId="33E8216D" wp14:editId="6B57253E">
            <wp:extent cx="5732145" cy="2493010"/>
            <wp:effectExtent l="0" t="0" r="1905" b="2540"/>
            <wp:docPr id="42" name="Picture 42" title="Figure 4: Modelled post-progression health state occup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70255" name="Picture 1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32145" cy="2493010"/>
                    </a:xfrm>
                    <a:prstGeom prst="rect">
                      <a:avLst/>
                    </a:prstGeom>
                    <a:noFill/>
                    <a:ln>
                      <a:noFill/>
                    </a:ln>
                  </pic:spPr>
                </pic:pic>
              </a:graphicData>
            </a:graphic>
          </wp:inline>
        </w:drawing>
      </w:r>
    </w:p>
    <w:p w:rsidR="00872AAD" w:rsidRPr="00AF5A00" w:rsidRDefault="00872AAD" w:rsidP="00E2600E">
      <w:pPr>
        <w:keepNext/>
        <w:keepLines/>
        <w:rPr>
          <w:rFonts w:ascii="Arial Narrow" w:hAnsi="Arial Narrow"/>
          <w:snapToGrid w:val="0"/>
          <w:sz w:val="18"/>
          <w:szCs w:val="18"/>
        </w:rPr>
      </w:pPr>
      <w:r w:rsidRPr="00AF5A00">
        <w:rPr>
          <w:rFonts w:ascii="Arial Narrow" w:hAnsi="Arial Narrow"/>
          <w:snapToGrid w:val="0"/>
          <w:sz w:val="18"/>
          <w:szCs w:val="18"/>
        </w:rPr>
        <w:t xml:space="preserve">Source: </w:t>
      </w:r>
      <w:bookmarkStart w:id="54" w:name="_Hlk28072641"/>
      <w:r w:rsidRPr="00AF5A00">
        <w:rPr>
          <w:rFonts w:ascii="Arial Narrow" w:hAnsi="Arial Narrow"/>
          <w:snapToGrid w:val="0"/>
          <w:sz w:val="18"/>
          <w:szCs w:val="18"/>
        </w:rPr>
        <w:t xml:space="preserve">Adapted from </w:t>
      </w:r>
      <w:bookmarkEnd w:id="54"/>
      <w:r w:rsidRPr="00AF5A00">
        <w:rPr>
          <w:rFonts w:ascii="Arial Narrow" w:hAnsi="Arial Narrow"/>
          <w:snapToGrid w:val="0"/>
          <w:sz w:val="18"/>
          <w:szCs w:val="18"/>
        </w:rPr>
        <w:t>Figure 3.12, p115 of the submission</w:t>
      </w:r>
    </w:p>
    <w:p w:rsidR="00872AAD" w:rsidRPr="00AF5A00" w:rsidRDefault="00872AAD" w:rsidP="00E2600E">
      <w:pPr>
        <w:keepNext/>
        <w:keepLines/>
        <w:spacing w:after="120"/>
        <w:contextualSpacing/>
        <w:jc w:val="left"/>
        <w:rPr>
          <w:rFonts w:ascii="Arial Narrow" w:hAnsi="Arial Narrow"/>
          <w:snapToGrid w:val="0"/>
          <w:sz w:val="18"/>
          <w:szCs w:val="18"/>
        </w:rPr>
      </w:pPr>
      <w:r w:rsidRPr="00AF5A00">
        <w:rPr>
          <w:rFonts w:ascii="Arial Narrow" w:hAnsi="Arial Narrow"/>
          <w:snapToGrid w:val="0"/>
          <w:sz w:val="18"/>
          <w:szCs w:val="18"/>
        </w:rPr>
        <w:t xml:space="preserve">H + Chemo = trastuzumab (Herceptin) + chemotherapy; mBC = metastatic breast cancer; </w:t>
      </w:r>
      <w:proofErr w:type="spellStart"/>
      <w:r w:rsidRPr="00AF5A00">
        <w:rPr>
          <w:rFonts w:ascii="Arial Narrow" w:hAnsi="Arial Narrow"/>
          <w:snapToGrid w:val="0"/>
          <w:sz w:val="18"/>
          <w:szCs w:val="18"/>
        </w:rPr>
        <w:t>P+H+Chemo</w:t>
      </w:r>
      <w:proofErr w:type="spellEnd"/>
      <w:r w:rsidRPr="00AF5A00">
        <w:rPr>
          <w:rFonts w:ascii="Arial Narrow" w:hAnsi="Arial Narrow"/>
          <w:snapToGrid w:val="0"/>
          <w:sz w:val="18"/>
          <w:szCs w:val="18"/>
        </w:rPr>
        <w:t xml:space="preserve"> = pertuzumab + trastuzumab (Herceptin) + chemotherapy.</w:t>
      </w:r>
    </w:p>
    <w:p w:rsidR="00720C83" w:rsidRPr="00140FC0" w:rsidRDefault="00720C83" w:rsidP="001609C2">
      <w:pPr>
        <w:pStyle w:val="3-BodyText"/>
      </w:pPr>
      <w:r w:rsidRPr="00140FC0">
        <w:t xml:space="preserve">The ESC noted that the choice of functional form for extrapolation had a relatively small impact on the </w:t>
      </w:r>
      <w:proofErr w:type="gramStart"/>
      <w:r w:rsidRPr="00140FC0">
        <w:t>ICER,</w:t>
      </w:r>
      <w:proofErr w:type="gramEnd"/>
      <w:r w:rsidRPr="00140FC0">
        <w:t xml:space="preserve"> however the ESC considered that other factors in the model could be masking the sensitivity to the extrapolation methods.</w:t>
      </w:r>
    </w:p>
    <w:p w:rsidR="00872AAD" w:rsidRPr="00140FC0" w:rsidRDefault="00872AAD" w:rsidP="001609C2">
      <w:pPr>
        <w:pStyle w:val="3-BodyText"/>
        <w:rPr>
          <w:rFonts w:ascii="Arial Narrow" w:hAnsi="Arial Narrow"/>
          <w:sz w:val="18"/>
          <w:szCs w:val="18"/>
        </w:rPr>
      </w:pPr>
      <w:r w:rsidRPr="00A1388F">
        <w:t xml:space="preserve">Utility data </w:t>
      </w:r>
      <w:proofErr w:type="gramStart"/>
      <w:r w:rsidRPr="00A1388F">
        <w:t>were not collected</w:t>
      </w:r>
      <w:proofErr w:type="gramEnd"/>
      <w:r w:rsidRPr="00A1388F">
        <w:t xml:space="preserve"> in NEOSPHERE. The submission considered data from the APHINITY trial, comparing utility in PFS on/off treatment for </w:t>
      </w:r>
      <w:r w:rsidR="007918E2" w:rsidRPr="00A1388F">
        <w:t>Ptz+T+Chemo</w:t>
      </w:r>
      <w:r w:rsidRPr="00A1388F">
        <w:t xml:space="preserve"> and </w:t>
      </w:r>
      <w:r w:rsidR="007918E2" w:rsidRPr="00A1388F">
        <w:t>T+Chemo</w:t>
      </w:r>
      <w:r w:rsidRPr="00A1388F">
        <w:t xml:space="preserve"> in the adjuvant setting, most representative of the corresponding data in the neoadjuvant setting. APHINITY utilities for PFS on/off treatment </w:t>
      </w:r>
      <w:proofErr w:type="gramStart"/>
      <w:r w:rsidRPr="00A1388F">
        <w:t>were used</w:t>
      </w:r>
      <w:proofErr w:type="gramEnd"/>
      <w:r w:rsidRPr="00A1388F">
        <w:t xml:space="preserve"> as a proxy for the locoregional recurrence and remission health states. A literature search revealed a study, Lloyd (2006), which informed </w:t>
      </w:r>
      <w:r w:rsidRPr="00140FC0">
        <w:t xml:space="preserve">utilities for the metastatic health states and sensitivity analyses. </w:t>
      </w:r>
      <w:r w:rsidR="00720C83" w:rsidRPr="00140FC0">
        <w:rPr>
          <w:iCs/>
        </w:rPr>
        <w:t>The ESC agreed with the commentary that the utilit</w:t>
      </w:r>
      <w:r w:rsidR="004A3599" w:rsidRPr="00140FC0">
        <w:rPr>
          <w:iCs/>
        </w:rPr>
        <w:t>i</w:t>
      </w:r>
      <w:r w:rsidR="00720C83" w:rsidRPr="00140FC0">
        <w:rPr>
          <w:iCs/>
        </w:rPr>
        <w:t xml:space="preserve">es appear reasonable, though they </w:t>
      </w:r>
      <w:proofErr w:type="gramStart"/>
      <w:r w:rsidR="00720C83" w:rsidRPr="00140FC0">
        <w:rPr>
          <w:iCs/>
        </w:rPr>
        <w:t>were drawn</w:t>
      </w:r>
      <w:proofErr w:type="gramEnd"/>
      <w:r w:rsidR="00720C83" w:rsidRPr="00140FC0">
        <w:rPr>
          <w:iCs/>
        </w:rPr>
        <w:t xml:space="preserve"> from different sources</w:t>
      </w:r>
      <w:r w:rsidRPr="00140FC0">
        <w:rPr>
          <w:iCs/>
        </w:rPr>
        <w:t xml:space="preserve">. The ICER </w:t>
      </w:r>
      <w:proofErr w:type="gramStart"/>
      <w:r w:rsidRPr="00140FC0">
        <w:rPr>
          <w:iCs/>
        </w:rPr>
        <w:t>is affected</w:t>
      </w:r>
      <w:proofErr w:type="gramEnd"/>
      <w:r w:rsidRPr="00140FC0">
        <w:rPr>
          <w:iCs/>
        </w:rPr>
        <w:t xml:space="preserve"> only marginally by plausible variations in utilities. </w:t>
      </w:r>
    </w:p>
    <w:p w:rsidR="00872AAD" w:rsidRPr="00140FC0" w:rsidRDefault="00872AAD" w:rsidP="001609C2">
      <w:pPr>
        <w:pStyle w:val="3-BodyText"/>
        <w:rPr>
          <w:rFonts w:ascii="Arial Narrow" w:hAnsi="Arial Narrow"/>
          <w:sz w:val="18"/>
          <w:szCs w:val="18"/>
        </w:rPr>
      </w:pPr>
      <w:r w:rsidRPr="00A1388F">
        <w:t xml:space="preserve">The submission incorrectly calculated the cost of trastuzumab by multiplying the average dose (allowing for discontinuations) received per cycle by the proportion of patients remaining on treatment. </w:t>
      </w:r>
      <w:proofErr w:type="gramStart"/>
      <w:r w:rsidRPr="00A1388F">
        <w:rPr>
          <w:iCs/>
        </w:rPr>
        <w:t>This double-counted patients</w:t>
      </w:r>
      <w:proofErr w:type="gramEnd"/>
      <w:r w:rsidRPr="00A1388F">
        <w:rPr>
          <w:iCs/>
        </w:rPr>
        <w:t xml:space="preserve"> who discontinue </w:t>
      </w:r>
      <w:r w:rsidRPr="00A1388F">
        <w:rPr>
          <w:iCs/>
        </w:rPr>
        <w:lastRenderedPageBreak/>
        <w:t>treatment.</w:t>
      </w:r>
      <w:r w:rsidRPr="00A1388F">
        <w:t xml:space="preserve"> </w:t>
      </w:r>
      <w:r w:rsidRPr="00A1388F">
        <w:rPr>
          <w:iCs/>
        </w:rPr>
        <w:t xml:space="preserve">When the </w:t>
      </w:r>
      <w:proofErr w:type="gramStart"/>
      <w:r w:rsidRPr="00A1388F">
        <w:rPr>
          <w:iCs/>
        </w:rPr>
        <w:t xml:space="preserve">planned dose of trastuzumab is multiplied by the proportion of </w:t>
      </w:r>
      <w:r w:rsidRPr="00140FC0">
        <w:rPr>
          <w:iCs/>
        </w:rPr>
        <w:t>patients remaining on treatment</w:t>
      </w:r>
      <w:proofErr w:type="gramEnd"/>
      <w:r w:rsidRPr="00140FC0">
        <w:rPr>
          <w:iCs/>
        </w:rPr>
        <w:t xml:space="preserve">, the ICER increased from </w:t>
      </w:r>
      <w:r w:rsidR="00BF6418">
        <w:rPr>
          <w:iCs/>
        </w:rPr>
        <w:t xml:space="preserve">less than </w:t>
      </w:r>
      <w:r w:rsidRPr="00140FC0">
        <w:rPr>
          <w:iCs/>
        </w:rPr>
        <w:t>$</w:t>
      </w:r>
      <w:r w:rsidR="00BF6418">
        <w:rPr>
          <w:iCs/>
        </w:rPr>
        <w:t>15,000</w:t>
      </w:r>
      <w:r w:rsidRPr="00140FC0">
        <w:rPr>
          <w:iCs/>
        </w:rPr>
        <w:t xml:space="preserve"> to</w:t>
      </w:r>
      <w:r w:rsidR="00BF6418">
        <w:rPr>
          <w:iCs/>
        </w:rPr>
        <w:t xml:space="preserve"> less than</w:t>
      </w:r>
      <w:r w:rsidRPr="00140FC0">
        <w:rPr>
          <w:iCs/>
        </w:rPr>
        <w:t xml:space="preserve"> $</w:t>
      </w:r>
      <w:r w:rsidR="00BF6418">
        <w:rPr>
          <w:iCs/>
        </w:rPr>
        <w:t>15,000</w:t>
      </w:r>
      <w:r w:rsidRPr="00140FC0">
        <w:rPr>
          <w:iCs/>
        </w:rPr>
        <w:t>/QALY.</w:t>
      </w:r>
      <w:r w:rsidR="00967D48" w:rsidRPr="00140FC0">
        <w:rPr>
          <w:iCs/>
        </w:rPr>
        <w:t xml:space="preserve"> </w:t>
      </w:r>
      <w:r w:rsidR="00967D48" w:rsidRPr="00140FC0">
        <w:t>The PSCR acknowledged this error and agreed with the corrected values.</w:t>
      </w:r>
    </w:p>
    <w:p w:rsidR="00872AAD" w:rsidRPr="00A1388F" w:rsidRDefault="00550A5E" w:rsidP="001609C2">
      <w:pPr>
        <w:pStyle w:val="3-BodyText"/>
      </w:pPr>
      <w:r>
        <w:t xml:space="preserve">Table </w:t>
      </w:r>
      <w:r>
        <w:rPr>
          <w:noProof/>
        </w:rPr>
        <w:t>13</w:t>
      </w:r>
      <w:r w:rsidR="00872AAD" w:rsidRPr="00A1388F">
        <w:t xml:space="preserve"> presents the key drivers of the economic model.</w:t>
      </w:r>
    </w:p>
    <w:p w:rsidR="00872AAD" w:rsidRPr="009E19E1" w:rsidRDefault="001609C2" w:rsidP="009E19E1">
      <w:pPr>
        <w:pStyle w:val="TableFigureHeading"/>
      </w:pPr>
      <w:bookmarkStart w:id="55" w:name="_Ref33607803"/>
      <w:r>
        <w:t xml:space="preserve">Table </w:t>
      </w:r>
      <w:r w:rsidR="00550A5E">
        <w:rPr>
          <w:noProof/>
        </w:rPr>
        <w:t>13</w:t>
      </w:r>
      <w:bookmarkEnd w:id="55"/>
      <w:r w:rsidR="00872AAD" w:rsidRPr="009E19E1">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2"/>
        <w:gridCol w:w="6108"/>
        <w:gridCol w:w="1677"/>
      </w:tblGrid>
      <w:tr w:rsidR="00872AAD" w:rsidRPr="00AF5A00" w:rsidTr="00126A44">
        <w:trPr>
          <w:tblHeader/>
        </w:trPr>
        <w:tc>
          <w:tcPr>
            <w:tcW w:w="683" w:type="pct"/>
            <w:shd w:val="clear" w:color="auto" w:fill="auto"/>
            <w:vAlign w:val="center"/>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Description</w:t>
            </w:r>
          </w:p>
        </w:tc>
        <w:tc>
          <w:tcPr>
            <w:tcW w:w="3387" w:type="pct"/>
            <w:shd w:val="clear" w:color="auto" w:fill="auto"/>
            <w:vAlign w:val="center"/>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Method/Value</w:t>
            </w:r>
          </w:p>
        </w:tc>
        <w:tc>
          <w:tcPr>
            <w:tcW w:w="930" w:type="pct"/>
            <w:shd w:val="clear" w:color="auto" w:fill="auto"/>
            <w:vAlign w:val="center"/>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Impact</w:t>
            </w:r>
          </w:p>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b/>
                <w:sz w:val="20"/>
                <w:szCs w:val="20"/>
              </w:rPr>
              <w:t>Base case ICER: $</w:t>
            </w:r>
            <w:r w:rsidR="00E81857">
              <w:rPr>
                <w:rFonts w:ascii="Arial Narrow" w:eastAsiaTheme="majorEastAsia" w:hAnsi="Arial Narrow"/>
                <w:b/>
                <w:noProof/>
                <w:color w:val="000000"/>
                <w:sz w:val="20"/>
                <w:szCs w:val="20"/>
                <w:highlight w:val="black"/>
              </w:rPr>
              <w:t>''''''''''''</w:t>
            </w:r>
            <w:r w:rsidRPr="00AF5A00">
              <w:rPr>
                <w:rFonts w:ascii="Arial Narrow" w:eastAsiaTheme="majorEastAsia" w:hAnsi="Arial Narrow"/>
                <w:b/>
                <w:sz w:val="20"/>
                <w:szCs w:val="20"/>
              </w:rPr>
              <w:t>/QALY gained</w:t>
            </w:r>
            <w:r w:rsidRPr="00AF5A00">
              <w:rPr>
                <w:rFonts w:ascii="Arial Narrow" w:eastAsiaTheme="majorEastAsia" w:hAnsi="Arial Narrow"/>
                <w:b/>
                <w:color w:val="3366FF"/>
                <w:sz w:val="20"/>
                <w:szCs w:val="20"/>
              </w:rPr>
              <w:t>.</w:t>
            </w:r>
          </w:p>
        </w:tc>
      </w:tr>
      <w:tr w:rsidR="00872AAD" w:rsidRPr="00AF5A00" w:rsidTr="00126A44">
        <w:tc>
          <w:tcPr>
            <w:tcW w:w="683" w:type="pct"/>
            <w:shd w:val="clear" w:color="auto" w:fill="auto"/>
            <w:vAlign w:val="center"/>
          </w:tcPr>
          <w:p w:rsidR="00872AAD" w:rsidRPr="00A1388F" w:rsidRDefault="00872AAD" w:rsidP="00872AAD">
            <w:pPr>
              <w:keepNext/>
              <w:jc w:val="center"/>
              <w:rPr>
                <w:rFonts w:ascii="Arial Narrow" w:eastAsiaTheme="majorEastAsia" w:hAnsi="Arial Narrow" w:cstheme="majorBidi"/>
                <w:bCs/>
                <w:sz w:val="20"/>
              </w:rPr>
            </w:pPr>
            <w:r w:rsidRPr="00A1388F">
              <w:rPr>
                <w:rFonts w:ascii="Arial Narrow" w:eastAsiaTheme="majorEastAsia" w:hAnsi="Arial Narrow" w:cstheme="majorBidi"/>
                <w:bCs/>
                <w:sz w:val="20"/>
              </w:rPr>
              <w:t>Observed PFS benefit</w:t>
            </w:r>
          </w:p>
        </w:tc>
        <w:tc>
          <w:tcPr>
            <w:tcW w:w="3387" w:type="pct"/>
            <w:shd w:val="clear" w:color="auto" w:fill="auto"/>
            <w:vAlign w:val="center"/>
          </w:tcPr>
          <w:p w:rsidR="00872AAD" w:rsidRPr="00A1388F" w:rsidRDefault="00872AAD" w:rsidP="00363E3E">
            <w:pPr>
              <w:keepNext/>
              <w:jc w:val="left"/>
              <w:rPr>
                <w:rFonts w:ascii="Arial Narrow" w:eastAsiaTheme="majorEastAsia" w:hAnsi="Arial Narrow" w:cstheme="majorBidi"/>
                <w:bCs/>
                <w:sz w:val="20"/>
              </w:rPr>
            </w:pPr>
            <w:r w:rsidRPr="00A1388F">
              <w:rPr>
                <w:rFonts w:ascii="Arial Narrow" w:eastAsiaTheme="majorEastAsia" w:hAnsi="Arial Narrow" w:cstheme="majorBidi"/>
                <w:bCs/>
                <w:sz w:val="20"/>
              </w:rPr>
              <w:t xml:space="preserve">The model applied observed PFS from NEOSPHERE until median follow-up (60.8 </w:t>
            </w:r>
            <w:r w:rsidRPr="00140FC0">
              <w:rPr>
                <w:rFonts w:ascii="Arial Narrow" w:eastAsiaTheme="majorEastAsia" w:hAnsi="Arial Narrow" w:cstheme="majorBidi"/>
                <w:bCs/>
                <w:sz w:val="20"/>
              </w:rPr>
              <w:t xml:space="preserve">months). </w:t>
            </w:r>
            <w:r w:rsidRPr="00140FC0">
              <w:rPr>
                <w:rFonts w:ascii="Arial Narrow" w:eastAsiaTheme="majorEastAsia" w:hAnsi="Arial Narrow" w:cstheme="majorBidi"/>
                <w:bCs/>
                <w:iCs/>
                <w:sz w:val="20"/>
              </w:rPr>
              <w:t xml:space="preserve">PFS is a secondary endpoint and not powered to test formal hypotheses. </w:t>
            </w:r>
            <w:r w:rsidR="00363E3E" w:rsidRPr="00140FC0">
              <w:rPr>
                <w:rFonts w:ascii="Arial Narrow" w:eastAsiaTheme="majorEastAsia" w:hAnsi="Arial Narrow" w:cstheme="majorBidi"/>
                <w:bCs/>
                <w:iCs/>
                <w:sz w:val="20"/>
              </w:rPr>
              <w:t>The ESC considered the PFS</w:t>
            </w:r>
            <w:r w:rsidRPr="00140FC0">
              <w:rPr>
                <w:rFonts w:ascii="Arial Narrow" w:eastAsiaTheme="majorEastAsia" w:hAnsi="Arial Narrow" w:cstheme="majorBidi"/>
                <w:bCs/>
                <w:iCs/>
                <w:sz w:val="20"/>
              </w:rPr>
              <w:t xml:space="preserve"> result</w:t>
            </w:r>
            <w:r w:rsidR="00363E3E" w:rsidRPr="00140FC0">
              <w:rPr>
                <w:rFonts w:ascii="Arial Narrow" w:eastAsiaTheme="majorEastAsia" w:hAnsi="Arial Narrow" w:cstheme="majorBidi"/>
                <w:bCs/>
                <w:iCs/>
                <w:sz w:val="20"/>
              </w:rPr>
              <w:t>s to be</w:t>
            </w:r>
            <w:r w:rsidRPr="00140FC0">
              <w:rPr>
                <w:rFonts w:ascii="Arial Narrow" w:eastAsiaTheme="majorEastAsia" w:hAnsi="Arial Narrow" w:cstheme="majorBidi"/>
                <w:bCs/>
                <w:iCs/>
                <w:sz w:val="20"/>
              </w:rPr>
              <w:t xml:space="preserve"> highly uncertain, with the 95% confidence interval crossing unity by a wide margin (hazard ratio = 0.69, 95% CI (0.34, 1.40</w:t>
            </w:r>
            <w:r w:rsidR="00363E3E" w:rsidRPr="00140FC0">
              <w:rPr>
                <w:rFonts w:ascii="Arial Narrow" w:eastAsiaTheme="majorEastAsia" w:hAnsi="Arial Narrow" w:cstheme="majorBidi"/>
                <w:bCs/>
                <w:iCs/>
                <w:sz w:val="20"/>
              </w:rPr>
              <w:t>)</w:t>
            </w:r>
            <w:r w:rsidRPr="00140FC0">
              <w:rPr>
                <w:rFonts w:ascii="Arial Narrow" w:eastAsiaTheme="majorEastAsia" w:hAnsi="Arial Narrow" w:cstheme="majorBidi"/>
                <w:bCs/>
                <w:iCs/>
                <w:sz w:val="20"/>
              </w:rPr>
              <w:t>).</w:t>
            </w:r>
            <w:r w:rsidRPr="00A1388F">
              <w:rPr>
                <w:rFonts w:ascii="Arial Narrow" w:eastAsiaTheme="majorEastAsia" w:hAnsi="Arial Narrow" w:cstheme="majorBidi"/>
                <w:bCs/>
                <w:iCs/>
                <w:sz w:val="20"/>
              </w:rPr>
              <w:t xml:space="preserve"> </w:t>
            </w:r>
          </w:p>
        </w:tc>
        <w:tc>
          <w:tcPr>
            <w:tcW w:w="930" w:type="pct"/>
            <w:shd w:val="clear" w:color="auto" w:fill="auto"/>
            <w:vAlign w:val="center"/>
          </w:tcPr>
          <w:p w:rsidR="00872AAD" w:rsidRPr="00A1388F" w:rsidRDefault="00872AAD" w:rsidP="00636CFB">
            <w:pPr>
              <w:keepNext/>
              <w:jc w:val="left"/>
              <w:rPr>
                <w:rFonts w:ascii="Arial Narrow" w:eastAsiaTheme="majorEastAsia" w:hAnsi="Arial Narrow" w:cstheme="majorBidi"/>
                <w:bCs/>
                <w:sz w:val="20"/>
              </w:rPr>
            </w:pPr>
            <w:r w:rsidRPr="00A1388F">
              <w:rPr>
                <w:rFonts w:ascii="Arial Narrow" w:eastAsiaTheme="majorEastAsia" w:hAnsi="Arial Narrow" w:cstheme="majorBidi"/>
                <w:bCs/>
                <w:sz w:val="20"/>
              </w:rPr>
              <w:t>Highly uncertain.</w:t>
            </w:r>
          </w:p>
        </w:tc>
      </w:tr>
      <w:tr w:rsidR="00872AAD" w:rsidRPr="00AF5A00" w:rsidTr="00126A44">
        <w:tc>
          <w:tcPr>
            <w:tcW w:w="683" w:type="pct"/>
            <w:shd w:val="clear" w:color="auto" w:fill="auto"/>
            <w:vAlign w:val="center"/>
          </w:tcPr>
          <w:p w:rsidR="00872AAD" w:rsidRPr="00A1388F" w:rsidRDefault="00872AAD" w:rsidP="00872AAD">
            <w:pPr>
              <w:keepNext/>
              <w:jc w:val="center"/>
              <w:rPr>
                <w:rFonts w:ascii="Arial Narrow" w:eastAsiaTheme="majorEastAsia" w:hAnsi="Arial Narrow" w:cstheme="majorBidi"/>
                <w:bCs/>
                <w:sz w:val="20"/>
              </w:rPr>
            </w:pPr>
            <w:r w:rsidRPr="00A1388F">
              <w:rPr>
                <w:rFonts w:ascii="Arial Narrow" w:eastAsiaTheme="majorEastAsia" w:hAnsi="Arial Narrow" w:cstheme="majorBidi"/>
                <w:bCs/>
                <w:sz w:val="20"/>
              </w:rPr>
              <w:t>Parametric extrapolation of PFS</w:t>
            </w:r>
          </w:p>
        </w:tc>
        <w:tc>
          <w:tcPr>
            <w:tcW w:w="3387" w:type="pct"/>
            <w:shd w:val="clear" w:color="auto" w:fill="auto"/>
            <w:vAlign w:val="center"/>
          </w:tcPr>
          <w:p w:rsidR="00872AAD" w:rsidRPr="004D2F39" w:rsidRDefault="00872AAD" w:rsidP="00967D48">
            <w:pPr>
              <w:keepNext/>
              <w:jc w:val="left"/>
              <w:rPr>
                <w:rFonts w:ascii="Arial Narrow" w:eastAsiaTheme="majorEastAsia" w:hAnsi="Arial Narrow" w:cstheme="majorBidi"/>
                <w:bCs/>
                <w:i/>
                <w:sz w:val="20"/>
              </w:rPr>
            </w:pPr>
            <w:r w:rsidRPr="00A1388F">
              <w:rPr>
                <w:rFonts w:ascii="Arial Narrow" w:eastAsiaTheme="majorEastAsia" w:hAnsi="Arial Narrow" w:cstheme="majorBidi"/>
                <w:bCs/>
                <w:sz w:val="20"/>
              </w:rPr>
              <w:t xml:space="preserve">PFS </w:t>
            </w:r>
            <w:proofErr w:type="gramStart"/>
            <w:r w:rsidRPr="00A1388F">
              <w:rPr>
                <w:rFonts w:ascii="Arial Narrow" w:eastAsiaTheme="majorEastAsia" w:hAnsi="Arial Narrow" w:cstheme="majorBidi"/>
                <w:bCs/>
                <w:sz w:val="20"/>
              </w:rPr>
              <w:t>is extrapolated</w:t>
            </w:r>
            <w:proofErr w:type="gramEnd"/>
            <w:r w:rsidRPr="00A1388F">
              <w:rPr>
                <w:rFonts w:ascii="Arial Narrow" w:eastAsiaTheme="majorEastAsia" w:hAnsi="Arial Narrow" w:cstheme="majorBidi"/>
                <w:bCs/>
                <w:sz w:val="20"/>
              </w:rPr>
              <w:t xml:space="preserve"> from median follow-up (5.1 years) to 40 years using independent exponential functions. Six parametric survival functions were fitted to observed data, two functions (gamma and </w:t>
            </w:r>
            <w:proofErr w:type="spellStart"/>
            <w:r w:rsidRPr="00A1388F">
              <w:rPr>
                <w:rFonts w:ascii="Arial Narrow" w:eastAsiaTheme="majorEastAsia" w:hAnsi="Arial Narrow" w:cstheme="majorBidi"/>
                <w:bCs/>
                <w:sz w:val="20"/>
              </w:rPr>
              <w:t>Gompertz</w:t>
            </w:r>
            <w:proofErr w:type="spellEnd"/>
            <w:r w:rsidRPr="00A1388F">
              <w:rPr>
                <w:rFonts w:ascii="Arial Narrow" w:eastAsiaTheme="majorEastAsia" w:hAnsi="Arial Narrow" w:cstheme="majorBidi"/>
                <w:bCs/>
                <w:sz w:val="20"/>
              </w:rPr>
              <w:t xml:space="preserve">) produced </w:t>
            </w:r>
            <w:proofErr w:type="gramStart"/>
            <w:r w:rsidRPr="00A1388F">
              <w:rPr>
                <w:rFonts w:ascii="Arial Narrow" w:eastAsiaTheme="majorEastAsia" w:hAnsi="Arial Narrow" w:cstheme="majorBidi"/>
                <w:bCs/>
                <w:sz w:val="20"/>
              </w:rPr>
              <w:t>results which</w:t>
            </w:r>
            <w:proofErr w:type="gramEnd"/>
            <w:r w:rsidRPr="00A1388F">
              <w:rPr>
                <w:rFonts w:ascii="Arial Narrow" w:eastAsiaTheme="majorEastAsia" w:hAnsi="Arial Narrow" w:cstheme="majorBidi"/>
                <w:bCs/>
                <w:sz w:val="20"/>
              </w:rPr>
              <w:t xml:space="preserve"> do not appear to be clinically plausible. The sponsor stated this was due to low patient numbers and observed events. </w:t>
            </w:r>
            <w:r w:rsidRPr="00A1388F">
              <w:rPr>
                <w:rFonts w:ascii="Arial Narrow" w:eastAsiaTheme="majorEastAsia" w:hAnsi="Arial Narrow" w:cstheme="majorBidi"/>
                <w:bCs/>
                <w:iCs/>
                <w:sz w:val="20"/>
              </w:rPr>
              <w:t>Low patient numbers and observed events generate uncertainty in all extrapolated functions.</w:t>
            </w:r>
          </w:p>
        </w:tc>
        <w:tc>
          <w:tcPr>
            <w:tcW w:w="930" w:type="pct"/>
            <w:shd w:val="clear" w:color="auto" w:fill="auto"/>
            <w:vAlign w:val="center"/>
          </w:tcPr>
          <w:p w:rsidR="00872AAD" w:rsidRPr="00A1388F" w:rsidRDefault="00872AAD" w:rsidP="00872AAD">
            <w:pPr>
              <w:keepNext/>
              <w:jc w:val="left"/>
              <w:rPr>
                <w:rFonts w:ascii="Arial Narrow" w:eastAsiaTheme="majorEastAsia" w:hAnsi="Arial Narrow" w:cstheme="majorBidi"/>
                <w:bCs/>
                <w:sz w:val="20"/>
              </w:rPr>
            </w:pPr>
            <w:r w:rsidRPr="00A1388F">
              <w:rPr>
                <w:rFonts w:ascii="Arial Narrow" w:eastAsiaTheme="majorEastAsia" w:hAnsi="Arial Narrow" w:cstheme="majorBidi"/>
                <w:bCs/>
                <w:sz w:val="20"/>
              </w:rPr>
              <w:t xml:space="preserve">Highly uncertain. </w:t>
            </w:r>
          </w:p>
        </w:tc>
      </w:tr>
      <w:tr w:rsidR="00872AAD" w:rsidRPr="00AF5A00" w:rsidTr="00126A44">
        <w:tc>
          <w:tcPr>
            <w:tcW w:w="683" w:type="pct"/>
            <w:shd w:val="clear" w:color="auto" w:fill="auto"/>
            <w:vAlign w:val="center"/>
          </w:tcPr>
          <w:p w:rsidR="00872AAD" w:rsidRPr="00A1388F" w:rsidRDefault="00872AAD" w:rsidP="00872AAD">
            <w:pPr>
              <w:keepNext/>
              <w:jc w:val="center"/>
              <w:rPr>
                <w:rFonts w:ascii="Arial Narrow" w:eastAsiaTheme="majorEastAsia" w:hAnsi="Arial Narrow" w:cstheme="majorBidi"/>
                <w:bCs/>
                <w:sz w:val="20"/>
              </w:rPr>
            </w:pPr>
            <w:r w:rsidRPr="00A1388F">
              <w:rPr>
                <w:rFonts w:ascii="Arial Narrow" w:eastAsiaTheme="majorEastAsia" w:hAnsi="Arial Narrow" w:cstheme="majorBidi"/>
                <w:bCs/>
                <w:sz w:val="20"/>
              </w:rPr>
              <w:t>Duration of treatment for mBC</w:t>
            </w:r>
          </w:p>
        </w:tc>
        <w:tc>
          <w:tcPr>
            <w:tcW w:w="3387" w:type="pct"/>
            <w:shd w:val="clear" w:color="auto" w:fill="auto"/>
            <w:vAlign w:val="center"/>
          </w:tcPr>
          <w:p w:rsidR="00872AAD" w:rsidRPr="00A1388F" w:rsidRDefault="00872AAD" w:rsidP="00872AAD">
            <w:pPr>
              <w:keepNext/>
              <w:jc w:val="left"/>
              <w:rPr>
                <w:rFonts w:ascii="Arial Narrow" w:eastAsiaTheme="majorEastAsia" w:hAnsi="Arial Narrow" w:cstheme="majorBidi"/>
                <w:bCs/>
                <w:iCs/>
                <w:sz w:val="20"/>
              </w:rPr>
            </w:pPr>
            <w:r w:rsidRPr="00A1388F">
              <w:rPr>
                <w:rFonts w:ascii="Arial Narrow" w:eastAsiaTheme="majorEastAsia" w:hAnsi="Arial Narrow" w:cstheme="majorBidi"/>
                <w:bCs/>
                <w:sz w:val="20"/>
              </w:rPr>
              <w:t xml:space="preserve">The duration of treatment with trastuzumab, pertuzumab and trastuzumab emtansine </w:t>
            </w:r>
            <w:proofErr w:type="gramStart"/>
            <w:r w:rsidRPr="00A1388F">
              <w:rPr>
                <w:rFonts w:ascii="Arial Narrow" w:eastAsiaTheme="majorEastAsia" w:hAnsi="Arial Narrow" w:cstheme="majorBidi"/>
                <w:bCs/>
                <w:sz w:val="20"/>
              </w:rPr>
              <w:t>are based</w:t>
            </w:r>
            <w:proofErr w:type="gramEnd"/>
            <w:r w:rsidRPr="00A1388F">
              <w:rPr>
                <w:rFonts w:ascii="Arial Narrow" w:eastAsiaTheme="majorEastAsia" w:hAnsi="Arial Narrow" w:cstheme="majorBidi"/>
                <w:bCs/>
                <w:sz w:val="20"/>
              </w:rPr>
              <w:t xml:space="preserve"> on an existing risk share arrangement in the metastatic setting. </w:t>
            </w:r>
            <w:r w:rsidRPr="00A1388F">
              <w:rPr>
                <w:rFonts w:ascii="Arial Narrow" w:eastAsiaTheme="majorEastAsia" w:hAnsi="Arial Narrow" w:cstheme="majorBidi"/>
                <w:bCs/>
                <w:iCs/>
                <w:sz w:val="20"/>
              </w:rPr>
              <w:t>Applying the duration of treatment observed in the DUSC report</w:t>
            </w:r>
            <w:r w:rsidRPr="00A1388F">
              <w:rPr>
                <w:rFonts w:ascii="Arial Narrow" w:eastAsiaTheme="majorEastAsia" w:hAnsi="Arial Narrow" w:cstheme="majorBidi"/>
                <w:bCs/>
                <w:iCs/>
                <w:sz w:val="20"/>
                <w:vertAlign w:val="superscript"/>
              </w:rPr>
              <w:footnoteReference w:id="16"/>
            </w:r>
            <w:r w:rsidRPr="00A1388F">
              <w:rPr>
                <w:rFonts w:ascii="Arial Narrow" w:eastAsiaTheme="majorEastAsia" w:hAnsi="Arial Narrow" w:cstheme="majorBidi"/>
                <w:bCs/>
                <w:iCs/>
                <w:sz w:val="20"/>
              </w:rPr>
              <w:t xml:space="preserve"> reduced the cost of subsequent treatment.</w:t>
            </w:r>
          </w:p>
        </w:tc>
        <w:tc>
          <w:tcPr>
            <w:tcW w:w="930" w:type="pct"/>
            <w:shd w:val="clear" w:color="auto" w:fill="auto"/>
            <w:vAlign w:val="center"/>
          </w:tcPr>
          <w:p w:rsidR="00872AAD" w:rsidRPr="00A1388F" w:rsidRDefault="00872AAD" w:rsidP="00872AAD">
            <w:pPr>
              <w:keepNext/>
              <w:jc w:val="left"/>
              <w:rPr>
                <w:rFonts w:ascii="Arial Narrow" w:eastAsiaTheme="majorEastAsia" w:hAnsi="Arial Narrow" w:cstheme="majorBidi"/>
                <w:bCs/>
                <w:sz w:val="20"/>
              </w:rPr>
            </w:pPr>
            <w:r w:rsidRPr="00A1388F">
              <w:rPr>
                <w:rFonts w:ascii="Arial Narrow" w:eastAsiaTheme="majorEastAsia" w:hAnsi="Arial Narrow" w:cstheme="majorBidi"/>
                <w:bCs/>
                <w:sz w:val="20"/>
              </w:rPr>
              <w:t xml:space="preserve">Moderate, favours </w:t>
            </w:r>
            <w:r w:rsidR="00877BA8" w:rsidRPr="00A1388F">
              <w:rPr>
                <w:rFonts w:ascii="Arial Narrow" w:eastAsiaTheme="majorEastAsia" w:hAnsi="Arial Narrow" w:cstheme="majorBidi"/>
                <w:bCs/>
                <w:sz w:val="20"/>
              </w:rPr>
              <w:t>Ptz+T+Chemo</w:t>
            </w:r>
            <w:r w:rsidRPr="00A1388F">
              <w:rPr>
                <w:rFonts w:ascii="Arial Narrow" w:eastAsiaTheme="majorEastAsia" w:hAnsi="Arial Narrow" w:cstheme="majorBidi"/>
                <w:bCs/>
                <w:sz w:val="20"/>
              </w:rPr>
              <w:t>.</w:t>
            </w:r>
          </w:p>
        </w:tc>
      </w:tr>
      <w:tr w:rsidR="00872AAD" w:rsidRPr="00AF5A00" w:rsidTr="00126A44">
        <w:tc>
          <w:tcPr>
            <w:tcW w:w="683" w:type="pct"/>
            <w:shd w:val="clear" w:color="auto" w:fill="auto"/>
            <w:vAlign w:val="center"/>
          </w:tcPr>
          <w:p w:rsidR="00872AAD" w:rsidRPr="00A1388F" w:rsidRDefault="00872AAD" w:rsidP="00872AAD">
            <w:pPr>
              <w:keepNext/>
              <w:jc w:val="center"/>
              <w:rPr>
                <w:rFonts w:ascii="Arial Narrow" w:eastAsiaTheme="majorEastAsia" w:hAnsi="Arial Narrow" w:cstheme="majorBidi"/>
                <w:bCs/>
                <w:sz w:val="20"/>
              </w:rPr>
            </w:pPr>
            <w:r w:rsidRPr="00A1388F">
              <w:rPr>
                <w:rFonts w:ascii="Arial Narrow" w:eastAsiaTheme="majorEastAsia" w:hAnsi="Arial Narrow" w:cstheme="majorBidi"/>
                <w:bCs/>
                <w:sz w:val="20"/>
              </w:rPr>
              <w:t>Costs in mBC</w:t>
            </w:r>
          </w:p>
        </w:tc>
        <w:tc>
          <w:tcPr>
            <w:tcW w:w="3387" w:type="pct"/>
            <w:shd w:val="clear" w:color="auto" w:fill="auto"/>
            <w:vAlign w:val="center"/>
          </w:tcPr>
          <w:p w:rsidR="00872AAD" w:rsidRPr="00A1388F" w:rsidRDefault="00872AAD" w:rsidP="004E7956">
            <w:pPr>
              <w:keepNext/>
              <w:jc w:val="left"/>
              <w:rPr>
                <w:rFonts w:ascii="Arial Narrow" w:eastAsiaTheme="majorEastAsia" w:hAnsi="Arial Narrow" w:cstheme="majorBidi"/>
                <w:bCs/>
                <w:iCs/>
                <w:sz w:val="20"/>
              </w:rPr>
            </w:pPr>
            <w:r w:rsidRPr="00A1388F">
              <w:rPr>
                <w:rFonts w:ascii="Arial Narrow" w:eastAsiaTheme="majorEastAsia" w:hAnsi="Arial Narrow" w:cstheme="majorBidi"/>
                <w:bCs/>
                <w:iCs/>
                <w:sz w:val="20"/>
              </w:rPr>
              <w:t xml:space="preserve">The model predicted less time spent per patient in mBC averaged over all patients in the </w:t>
            </w:r>
            <w:r w:rsidR="00877BA8" w:rsidRPr="00A1388F">
              <w:rPr>
                <w:rFonts w:ascii="Arial Narrow" w:eastAsiaTheme="majorEastAsia" w:hAnsi="Arial Narrow" w:cstheme="majorBidi"/>
                <w:bCs/>
                <w:iCs/>
                <w:sz w:val="20"/>
              </w:rPr>
              <w:t>Ptz+T+Chemo</w:t>
            </w:r>
            <w:r w:rsidRPr="00A1388F">
              <w:rPr>
                <w:rFonts w:ascii="Arial Narrow" w:eastAsiaTheme="majorEastAsia" w:hAnsi="Arial Narrow" w:cstheme="majorBidi"/>
                <w:bCs/>
                <w:iCs/>
                <w:sz w:val="20"/>
              </w:rPr>
              <w:t xml:space="preserve"> arm compared to T+</w:t>
            </w:r>
            <w:r w:rsidR="00877BA8" w:rsidRPr="00A1388F">
              <w:rPr>
                <w:rFonts w:ascii="Arial Narrow" w:eastAsiaTheme="majorEastAsia" w:hAnsi="Arial Narrow" w:cstheme="majorBidi"/>
                <w:bCs/>
                <w:iCs/>
                <w:sz w:val="20"/>
              </w:rPr>
              <w:t>Chemo</w:t>
            </w:r>
            <w:r w:rsidRPr="00A1388F">
              <w:rPr>
                <w:rFonts w:ascii="Arial Narrow" w:eastAsiaTheme="majorEastAsia" w:hAnsi="Arial Narrow" w:cstheme="majorBidi"/>
                <w:bCs/>
                <w:iCs/>
                <w:sz w:val="20"/>
              </w:rPr>
              <w:t xml:space="preserve"> arm.  </w:t>
            </w:r>
            <w:proofErr w:type="gramStart"/>
            <w:r w:rsidRPr="00A1388F">
              <w:rPr>
                <w:rFonts w:ascii="Arial Narrow" w:eastAsiaTheme="majorEastAsia" w:hAnsi="Arial Narrow" w:cstheme="majorBidi"/>
                <w:bCs/>
                <w:iCs/>
                <w:sz w:val="20"/>
              </w:rPr>
              <w:t>Also</w:t>
            </w:r>
            <w:proofErr w:type="gramEnd"/>
            <w:r w:rsidRPr="00A1388F">
              <w:rPr>
                <w:rFonts w:ascii="Arial Narrow" w:eastAsiaTheme="majorEastAsia" w:hAnsi="Arial Narrow" w:cstheme="majorBidi"/>
                <w:bCs/>
                <w:iCs/>
                <w:sz w:val="20"/>
              </w:rPr>
              <w:t>, the cost of treatment in 1</w:t>
            </w:r>
            <w:r w:rsidRPr="00A1388F">
              <w:rPr>
                <w:rFonts w:ascii="Arial Narrow" w:eastAsiaTheme="majorEastAsia" w:hAnsi="Arial Narrow" w:cstheme="majorBidi"/>
                <w:bCs/>
                <w:iCs/>
                <w:sz w:val="20"/>
                <w:vertAlign w:val="superscript"/>
              </w:rPr>
              <w:t>st</w:t>
            </w:r>
            <w:r w:rsidRPr="00A1388F">
              <w:rPr>
                <w:rFonts w:ascii="Arial Narrow" w:eastAsiaTheme="majorEastAsia" w:hAnsi="Arial Narrow" w:cstheme="majorBidi"/>
                <w:bCs/>
                <w:iCs/>
                <w:sz w:val="20"/>
              </w:rPr>
              <w:t xml:space="preserve">-line BC was assumed 100% pertuzumab, so this health state is </w:t>
            </w:r>
            <w:r w:rsidR="004E7956" w:rsidRPr="00A1388F">
              <w:rPr>
                <w:rFonts w:ascii="Arial Narrow" w:eastAsiaTheme="majorEastAsia" w:hAnsi="Arial Narrow" w:cstheme="majorBidi"/>
                <w:bCs/>
                <w:iCs/>
                <w:sz w:val="20"/>
              </w:rPr>
              <w:t>associated with high costs</w:t>
            </w:r>
            <w:r w:rsidRPr="00A1388F">
              <w:rPr>
                <w:rFonts w:ascii="Arial Narrow" w:eastAsiaTheme="majorEastAsia" w:hAnsi="Arial Narrow" w:cstheme="majorBidi"/>
                <w:bCs/>
                <w:iCs/>
                <w:sz w:val="20"/>
              </w:rPr>
              <w:t>.</w:t>
            </w:r>
          </w:p>
        </w:tc>
        <w:tc>
          <w:tcPr>
            <w:tcW w:w="930" w:type="pct"/>
            <w:shd w:val="clear" w:color="auto" w:fill="auto"/>
            <w:vAlign w:val="center"/>
          </w:tcPr>
          <w:p w:rsidR="00872AAD" w:rsidRPr="00A1388F" w:rsidRDefault="00872AAD" w:rsidP="00872AAD">
            <w:pPr>
              <w:keepNext/>
              <w:jc w:val="left"/>
              <w:rPr>
                <w:rFonts w:ascii="Arial Narrow" w:eastAsiaTheme="majorEastAsia" w:hAnsi="Arial Narrow" w:cstheme="majorBidi"/>
                <w:bCs/>
                <w:sz w:val="20"/>
              </w:rPr>
            </w:pPr>
            <w:r w:rsidRPr="00A1388F">
              <w:rPr>
                <w:rFonts w:ascii="Arial Narrow" w:eastAsiaTheme="majorEastAsia" w:hAnsi="Arial Narrow" w:cstheme="majorBidi"/>
                <w:bCs/>
                <w:sz w:val="20"/>
              </w:rPr>
              <w:t xml:space="preserve">Uncertain, favours </w:t>
            </w:r>
            <w:r w:rsidR="00877BA8" w:rsidRPr="00A1388F">
              <w:rPr>
                <w:rFonts w:ascii="Arial Narrow" w:eastAsiaTheme="majorEastAsia" w:hAnsi="Arial Narrow" w:cstheme="majorBidi"/>
                <w:bCs/>
                <w:sz w:val="20"/>
              </w:rPr>
              <w:t>Ptz+T+Chemo</w:t>
            </w:r>
            <w:r w:rsidRPr="00A1388F">
              <w:rPr>
                <w:rFonts w:ascii="Arial Narrow" w:eastAsiaTheme="majorEastAsia" w:hAnsi="Arial Narrow" w:cstheme="majorBidi"/>
                <w:bCs/>
                <w:sz w:val="20"/>
              </w:rPr>
              <w:t>.</w:t>
            </w:r>
          </w:p>
        </w:tc>
      </w:tr>
      <w:tr w:rsidR="00872AAD" w:rsidRPr="00AF5A00" w:rsidTr="00126A44">
        <w:tc>
          <w:tcPr>
            <w:tcW w:w="683" w:type="pct"/>
            <w:shd w:val="clear" w:color="auto" w:fill="auto"/>
            <w:vAlign w:val="center"/>
          </w:tcPr>
          <w:p w:rsidR="00872AAD" w:rsidRPr="00A1388F" w:rsidRDefault="00872AAD" w:rsidP="00872AAD">
            <w:pPr>
              <w:keepNext/>
              <w:jc w:val="center"/>
              <w:rPr>
                <w:rFonts w:ascii="Arial Narrow" w:eastAsiaTheme="majorEastAsia" w:hAnsi="Arial Narrow" w:cstheme="majorBidi"/>
                <w:bCs/>
                <w:sz w:val="20"/>
              </w:rPr>
            </w:pPr>
            <w:r w:rsidRPr="00A1388F">
              <w:rPr>
                <w:rFonts w:ascii="Arial Narrow" w:eastAsiaTheme="majorEastAsia" w:hAnsi="Arial Narrow" w:cstheme="majorBidi"/>
                <w:bCs/>
                <w:sz w:val="20"/>
              </w:rPr>
              <w:t>Trastuzumab cost calculations</w:t>
            </w:r>
          </w:p>
        </w:tc>
        <w:tc>
          <w:tcPr>
            <w:tcW w:w="3387" w:type="pct"/>
            <w:shd w:val="clear" w:color="auto" w:fill="auto"/>
            <w:vAlign w:val="center"/>
          </w:tcPr>
          <w:p w:rsidR="00872AAD" w:rsidRPr="00A1388F" w:rsidRDefault="00872AAD" w:rsidP="00872AAD">
            <w:pPr>
              <w:keepNext/>
              <w:jc w:val="left"/>
              <w:rPr>
                <w:rFonts w:ascii="Arial Narrow" w:eastAsiaTheme="majorEastAsia" w:hAnsi="Arial Narrow" w:cstheme="majorBidi"/>
                <w:bCs/>
                <w:sz w:val="20"/>
              </w:rPr>
            </w:pPr>
            <w:r w:rsidRPr="00A1388F">
              <w:rPr>
                <w:rFonts w:ascii="Arial Narrow" w:eastAsiaTheme="majorEastAsia" w:hAnsi="Arial Narrow" w:cstheme="majorBidi"/>
                <w:bCs/>
                <w:sz w:val="20"/>
              </w:rPr>
              <w:t xml:space="preserve">The submission incorrectly calculated the cost of trastuzumab by multiplying the average dose received (allowing for discontinuations) per cycle by the proportion of patients remaining on treatment. </w:t>
            </w:r>
            <w:proofErr w:type="gramStart"/>
            <w:r w:rsidRPr="00A1388F">
              <w:rPr>
                <w:rFonts w:ascii="Arial Narrow" w:eastAsiaTheme="majorEastAsia" w:hAnsi="Arial Narrow" w:cstheme="majorBidi"/>
                <w:bCs/>
                <w:iCs/>
                <w:sz w:val="20"/>
              </w:rPr>
              <w:t>This double-counted patients</w:t>
            </w:r>
            <w:proofErr w:type="gramEnd"/>
            <w:r w:rsidRPr="00A1388F">
              <w:rPr>
                <w:rFonts w:ascii="Arial Narrow" w:eastAsiaTheme="majorEastAsia" w:hAnsi="Arial Narrow" w:cstheme="majorBidi"/>
                <w:bCs/>
                <w:iCs/>
                <w:sz w:val="20"/>
              </w:rPr>
              <w:t xml:space="preserve"> who discontinue treatment.</w:t>
            </w:r>
            <w:r w:rsidRPr="00A1388F">
              <w:rPr>
                <w:rFonts w:ascii="Arial Narrow" w:eastAsiaTheme="majorEastAsia" w:hAnsi="Arial Narrow" w:cstheme="majorBidi"/>
                <w:bCs/>
                <w:sz w:val="20"/>
              </w:rPr>
              <w:t xml:space="preserve"> </w:t>
            </w:r>
          </w:p>
        </w:tc>
        <w:tc>
          <w:tcPr>
            <w:tcW w:w="930" w:type="pct"/>
            <w:shd w:val="clear" w:color="auto" w:fill="auto"/>
            <w:vAlign w:val="center"/>
          </w:tcPr>
          <w:p w:rsidR="00872AAD" w:rsidRPr="00A1388F" w:rsidRDefault="00872AAD" w:rsidP="00872AAD">
            <w:pPr>
              <w:keepNext/>
              <w:jc w:val="left"/>
              <w:rPr>
                <w:rFonts w:ascii="Arial Narrow" w:eastAsiaTheme="majorEastAsia" w:hAnsi="Arial Narrow" w:cstheme="majorBidi"/>
                <w:bCs/>
                <w:sz w:val="20"/>
              </w:rPr>
            </w:pPr>
            <w:r w:rsidRPr="00A1388F">
              <w:rPr>
                <w:rFonts w:ascii="Arial Narrow" w:eastAsiaTheme="majorEastAsia" w:hAnsi="Arial Narrow" w:cstheme="majorBidi"/>
                <w:bCs/>
                <w:sz w:val="20"/>
              </w:rPr>
              <w:t xml:space="preserve">Moderate, favours </w:t>
            </w:r>
            <w:r w:rsidR="00877BA8" w:rsidRPr="00A1388F">
              <w:rPr>
                <w:rFonts w:ascii="Arial Narrow" w:eastAsiaTheme="majorEastAsia" w:hAnsi="Arial Narrow" w:cstheme="majorBidi"/>
                <w:bCs/>
                <w:sz w:val="20"/>
              </w:rPr>
              <w:t>Ptz+T+Chemo</w:t>
            </w:r>
            <w:r w:rsidRPr="00A1388F">
              <w:rPr>
                <w:rFonts w:ascii="Arial Narrow" w:eastAsiaTheme="majorEastAsia" w:hAnsi="Arial Narrow" w:cstheme="majorBidi"/>
                <w:bCs/>
                <w:sz w:val="20"/>
              </w:rPr>
              <w:t>.</w:t>
            </w:r>
          </w:p>
          <w:p w:rsidR="00872AAD" w:rsidRPr="00A1388F" w:rsidRDefault="00872AAD" w:rsidP="00872AAD">
            <w:pPr>
              <w:keepNext/>
              <w:jc w:val="left"/>
              <w:rPr>
                <w:rFonts w:ascii="Arial Narrow" w:eastAsiaTheme="majorEastAsia" w:hAnsi="Arial Narrow" w:cstheme="majorBidi"/>
                <w:bCs/>
                <w:sz w:val="20"/>
              </w:rPr>
            </w:pPr>
          </w:p>
          <w:p w:rsidR="00872AAD" w:rsidRPr="00A1388F" w:rsidRDefault="00872AAD" w:rsidP="002153CC">
            <w:pPr>
              <w:keepNext/>
              <w:jc w:val="left"/>
              <w:rPr>
                <w:rFonts w:ascii="Arial Narrow" w:eastAsiaTheme="majorEastAsia" w:hAnsi="Arial Narrow" w:cstheme="majorBidi"/>
                <w:bCs/>
                <w:sz w:val="20"/>
              </w:rPr>
            </w:pPr>
            <w:r w:rsidRPr="00A1388F">
              <w:rPr>
                <w:rFonts w:ascii="Arial Narrow" w:eastAsiaTheme="majorEastAsia" w:hAnsi="Arial Narrow" w:cstheme="majorBidi"/>
                <w:bCs/>
                <w:sz w:val="20"/>
              </w:rPr>
              <w:t>Correcting th</w:t>
            </w:r>
            <w:r w:rsidR="002153CC" w:rsidRPr="00A1388F">
              <w:rPr>
                <w:rFonts w:ascii="Arial Narrow" w:eastAsiaTheme="majorEastAsia" w:hAnsi="Arial Narrow" w:cstheme="majorBidi"/>
                <w:bCs/>
                <w:sz w:val="20"/>
              </w:rPr>
              <w:t xml:space="preserve">is </w:t>
            </w:r>
            <w:r w:rsidRPr="00A1388F">
              <w:rPr>
                <w:rFonts w:ascii="Arial Narrow" w:eastAsiaTheme="majorEastAsia" w:hAnsi="Arial Narrow" w:cstheme="majorBidi"/>
                <w:bCs/>
                <w:sz w:val="20"/>
              </w:rPr>
              <w:t>error increase</w:t>
            </w:r>
            <w:r w:rsidR="002153CC" w:rsidRPr="00A1388F">
              <w:rPr>
                <w:rFonts w:ascii="Arial Narrow" w:eastAsiaTheme="majorEastAsia" w:hAnsi="Arial Narrow" w:cstheme="majorBidi"/>
                <w:bCs/>
                <w:sz w:val="20"/>
              </w:rPr>
              <w:t>d</w:t>
            </w:r>
            <w:r w:rsidRPr="00A1388F">
              <w:rPr>
                <w:rFonts w:ascii="Arial Narrow" w:eastAsiaTheme="majorEastAsia" w:hAnsi="Arial Narrow" w:cstheme="majorBidi"/>
                <w:bCs/>
                <w:sz w:val="20"/>
              </w:rPr>
              <w:t xml:space="preserve"> the ICER to $</w:t>
            </w:r>
            <w:r w:rsidR="00E81857">
              <w:rPr>
                <w:rFonts w:ascii="Arial Narrow" w:eastAsiaTheme="majorEastAsia" w:hAnsi="Arial Narrow" w:cstheme="majorBidi"/>
                <w:bCs/>
                <w:noProof/>
                <w:color w:val="000000"/>
                <w:sz w:val="20"/>
                <w:highlight w:val="black"/>
              </w:rPr>
              <w:t>''''''''''''''''</w:t>
            </w:r>
            <w:r w:rsidRPr="00A1388F">
              <w:rPr>
                <w:rFonts w:ascii="Arial Narrow" w:eastAsiaTheme="majorEastAsia" w:hAnsi="Arial Narrow" w:cstheme="majorBidi"/>
                <w:bCs/>
                <w:sz w:val="20"/>
              </w:rPr>
              <w:t>/QALY</w:t>
            </w:r>
            <w:r w:rsidR="002153CC" w:rsidRPr="00A1388F">
              <w:rPr>
                <w:rFonts w:ascii="Arial Narrow" w:eastAsiaTheme="majorEastAsia" w:hAnsi="Arial Narrow" w:cstheme="majorBidi"/>
                <w:bCs/>
                <w:sz w:val="20"/>
              </w:rPr>
              <w:t>.</w:t>
            </w:r>
            <w:r w:rsidRPr="00A1388F">
              <w:rPr>
                <w:rFonts w:ascii="Arial Narrow" w:eastAsiaTheme="majorEastAsia" w:hAnsi="Arial Narrow" w:cstheme="majorBidi"/>
                <w:bCs/>
                <w:sz w:val="20"/>
              </w:rPr>
              <w:t xml:space="preserve"> </w:t>
            </w:r>
          </w:p>
        </w:tc>
      </w:tr>
    </w:tbl>
    <w:p w:rsidR="00872AAD" w:rsidRDefault="00872AAD" w:rsidP="00872AAD">
      <w:pPr>
        <w:spacing w:after="120"/>
        <w:contextualSpacing/>
        <w:jc w:val="left"/>
        <w:rPr>
          <w:rFonts w:ascii="Arial Narrow" w:hAnsi="Arial Narrow"/>
          <w:snapToGrid w:val="0"/>
          <w:sz w:val="18"/>
          <w:szCs w:val="18"/>
        </w:rPr>
      </w:pPr>
      <w:r w:rsidRPr="00AF5A00">
        <w:rPr>
          <w:rFonts w:ascii="Arial Narrow" w:hAnsi="Arial Narrow"/>
          <w:snapToGrid w:val="0"/>
          <w:sz w:val="18"/>
          <w:szCs w:val="22"/>
        </w:rPr>
        <w:t>Source: Tables 2.7 &amp; 2.20, pp45 &amp; 59 of the submission, Figure 3.11, p114 of the submission, p98 of the submission, communication with the sponsor during the evaluation, sheet ‘Drug Doses &amp; Acquisition Costs’ of the Economic Evaluation workbook.</w:t>
      </w:r>
      <w:r w:rsidRPr="00AF5A00">
        <w:rPr>
          <w:rFonts w:ascii="Arial Narrow" w:hAnsi="Arial Narrow"/>
          <w:snapToGrid w:val="0"/>
          <w:sz w:val="18"/>
          <w:szCs w:val="22"/>
        </w:rPr>
        <w:br/>
      </w:r>
      <w:r w:rsidRPr="00AF5A00">
        <w:rPr>
          <w:rFonts w:ascii="Arial Narrow" w:hAnsi="Arial Narrow"/>
          <w:snapToGrid w:val="0"/>
          <w:sz w:val="18"/>
          <w:szCs w:val="18"/>
        </w:rPr>
        <w:t xml:space="preserve">IPD = individual patient data, PFS = progression free survival; </w:t>
      </w:r>
      <w:r w:rsidR="00877BA8">
        <w:rPr>
          <w:rFonts w:ascii="Arial Narrow" w:hAnsi="Arial Narrow"/>
          <w:snapToGrid w:val="0"/>
          <w:sz w:val="18"/>
          <w:szCs w:val="18"/>
        </w:rPr>
        <w:t>Ptz+T+Chemo</w:t>
      </w:r>
      <w:r w:rsidRPr="00AF5A00">
        <w:rPr>
          <w:rFonts w:ascii="Arial Narrow" w:hAnsi="Arial Narrow"/>
          <w:snapToGrid w:val="0"/>
          <w:sz w:val="18"/>
          <w:szCs w:val="18"/>
        </w:rPr>
        <w:t xml:space="preserve"> = pertuzumab + trastuzumab + chemotherapy; T+</w:t>
      </w:r>
      <w:r w:rsidR="00877BA8">
        <w:rPr>
          <w:rFonts w:ascii="Arial Narrow" w:hAnsi="Arial Narrow"/>
          <w:snapToGrid w:val="0"/>
          <w:sz w:val="18"/>
          <w:szCs w:val="18"/>
        </w:rPr>
        <w:t>Chemo</w:t>
      </w:r>
      <w:r w:rsidRPr="00AF5A00">
        <w:rPr>
          <w:rFonts w:ascii="Arial Narrow" w:hAnsi="Arial Narrow"/>
          <w:snapToGrid w:val="0"/>
          <w:sz w:val="18"/>
          <w:szCs w:val="18"/>
        </w:rPr>
        <w:t xml:space="preserve"> = trastuzumab + chemotherapy</w:t>
      </w:r>
    </w:p>
    <w:p w:rsidR="00872AAD" w:rsidRPr="00140FC0" w:rsidRDefault="00550A5E" w:rsidP="001609C2">
      <w:pPr>
        <w:pStyle w:val="3-BodyText"/>
      </w:pPr>
      <w:r>
        <w:t xml:space="preserve">Table </w:t>
      </w:r>
      <w:r>
        <w:rPr>
          <w:noProof/>
        </w:rPr>
        <w:t>14</w:t>
      </w:r>
      <w:r w:rsidR="001609C2">
        <w:t xml:space="preserve"> </w:t>
      </w:r>
      <w:r w:rsidR="00872AAD" w:rsidRPr="00A1388F">
        <w:t xml:space="preserve">presents the results of the stepped economic evaluation using the re-specified base case (prescribed dose of trastuzumab </w:t>
      </w:r>
      <w:r w:rsidR="007B3AFC" w:rsidRPr="00A1388F">
        <w:t xml:space="preserve">in </w:t>
      </w:r>
      <w:r w:rsidR="00872AAD" w:rsidRPr="00A1388F">
        <w:t>NEOSPHERE,</w:t>
      </w:r>
      <w:r w:rsidR="007B3AFC" w:rsidRPr="00A1388F">
        <w:t xml:space="preserve"> multiplied by patients remaining on treatment</w:t>
      </w:r>
      <w:r w:rsidR="00872AAD" w:rsidRPr="00A1388F">
        <w:t xml:space="preserve">).  </w:t>
      </w:r>
      <w:r w:rsidR="00872AAD" w:rsidRPr="00A1388F">
        <w:rPr>
          <w:iCs/>
        </w:rPr>
        <w:t xml:space="preserve">Step 2 extended the time horizon from 5.1 to 40 years and the ICER </w:t>
      </w:r>
      <w:r w:rsidR="003935B4" w:rsidRPr="00A1388F">
        <w:rPr>
          <w:iCs/>
        </w:rPr>
        <w:t xml:space="preserve">reduced </w:t>
      </w:r>
      <w:r w:rsidR="00872AAD" w:rsidRPr="00A1388F">
        <w:rPr>
          <w:iCs/>
        </w:rPr>
        <w:t xml:space="preserve">substantially, from </w:t>
      </w:r>
      <w:r w:rsidR="00BF6418">
        <w:rPr>
          <w:iCs/>
        </w:rPr>
        <w:t xml:space="preserve">more than </w:t>
      </w:r>
      <w:r w:rsidR="00872AAD" w:rsidRPr="00A1388F">
        <w:rPr>
          <w:iCs/>
        </w:rPr>
        <w:t>$</w:t>
      </w:r>
      <w:r w:rsidR="00BF6418">
        <w:rPr>
          <w:iCs/>
        </w:rPr>
        <w:t>200,000</w:t>
      </w:r>
      <w:r w:rsidR="007B3AFC" w:rsidRPr="00A1388F">
        <w:rPr>
          <w:iCs/>
        </w:rPr>
        <w:t xml:space="preserve"> </w:t>
      </w:r>
      <w:r w:rsidR="00872AAD" w:rsidRPr="00A1388F">
        <w:rPr>
          <w:iCs/>
        </w:rPr>
        <w:t xml:space="preserve">to </w:t>
      </w:r>
      <w:r w:rsidR="00BF6418">
        <w:rPr>
          <w:iCs/>
        </w:rPr>
        <w:t xml:space="preserve">less than </w:t>
      </w:r>
      <w:r w:rsidR="00872AAD" w:rsidRPr="00A1388F">
        <w:rPr>
          <w:iCs/>
        </w:rPr>
        <w:t>$</w:t>
      </w:r>
      <w:r w:rsidR="00BF6418">
        <w:rPr>
          <w:iCs/>
        </w:rPr>
        <w:t>15,000</w:t>
      </w:r>
      <w:r w:rsidR="00872AAD" w:rsidRPr="00A1388F">
        <w:rPr>
          <w:iCs/>
        </w:rPr>
        <w:t xml:space="preserve"> per life year gained. </w:t>
      </w:r>
      <w:r w:rsidR="00872AAD" w:rsidRPr="00140FC0">
        <w:rPr>
          <w:iCs/>
        </w:rPr>
        <w:t xml:space="preserve">Extrapolation accounts for 98.5% (1-0.013/0.867)*100 of the estimated gain in incremental life years.  </w:t>
      </w:r>
      <w:r w:rsidR="00967D48" w:rsidRPr="00140FC0">
        <w:rPr>
          <w:iCs/>
        </w:rPr>
        <w:t>The ESC agreed with the commentary</w:t>
      </w:r>
      <w:r w:rsidR="00872AAD" w:rsidRPr="00140FC0">
        <w:rPr>
          <w:iCs/>
        </w:rPr>
        <w:t xml:space="preserve"> </w:t>
      </w:r>
      <w:r w:rsidR="00872AAD" w:rsidRPr="00140FC0">
        <w:rPr>
          <w:iCs/>
        </w:rPr>
        <w:lastRenderedPageBreak/>
        <w:t>that</w:t>
      </w:r>
      <w:r w:rsidR="00967D48" w:rsidRPr="00140FC0">
        <w:rPr>
          <w:iCs/>
        </w:rPr>
        <w:t xml:space="preserve"> </w:t>
      </w:r>
      <w:r w:rsidR="00872AAD" w:rsidRPr="00140FC0">
        <w:rPr>
          <w:iCs/>
        </w:rPr>
        <w:t xml:space="preserve">the ICER is </w:t>
      </w:r>
      <w:r w:rsidR="00967D48" w:rsidRPr="00140FC0">
        <w:rPr>
          <w:iCs/>
        </w:rPr>
        <w:t xml:space="preserve">highly </w:t>
      </w:r>
      <w:r w:rsidR="00872AAD" w:rsidRPr="00140FC0">
        <w:rPr>
          <w:iCs/>
        </w:rPr>
        <w:t>uncertain</w:t>
      </w:r>
      <w:r w:rsidR="00967D48" w:rsidRPr="00140FC0">
        <w:rPr>
          <w:iCs/>
        </w:rPr>
        <w:t xml:space="preserve"> as almost all of the benefit </w:t>
      </w:r>
      <w:proofErr w:type="gramStart"/>
      <w:r w:rsidR="00967D48" w:rsidRPr="00140FC0">
        <w:rPr>
          <w:iCs/>
        </w:rPr>
        <w:t>is extrapolated</w:t>
      </w:r>
      <w:proofErr w:type="gramEnd"/>
      <w:r w:rsidR="00967D48" w:rsidRPr="00140FC0">
        <w:rPr>
          <w:iCs/>
        </w:rPr>
        <w:t xml:space="preserve"> </w:t>
      </w:r>
      <w:r w:rsidR="00E04EDD" w:rsidRPr="00140FC0">
        <w:rPr>
          <w:iCs/>
        </w:rPr>
        <w:t xml:space="preserve">and is based on </w:t>
      </w:r>
      <w:r w:rsidR="00967D48" w:rsidRPr="00140FC0">
        <w:rPr>
          <w:iCs/>
        </w:rPr>
        <w:t xml:space="preserve">the </w:t>
      </w:r>
      <w:r w:rsidR="00E04EDD" w:rsidRPr="00140FC0">
        <w:rPr>
          <w:iCs/>
        </w:rPr>
        <w:t>(</w:t>
      </w:r>
      <w:r w:rsidR="00967D48" w:rsidRPr="00140FC0">
        <w:rPr>
          <w:iCs/>
        </w:rPr>
        <w:t>non-significant</w:t>
      </w:r>
      <w:r w:rsidR="00E04EDD" w:rsidRPr="00140FC0">
        <w:rPr>
          <w:iCs/>
        </w:rPr>
        <w:t>)</w:t>
      </w:r>
      <w:r w:rsidR="00967D48" w:rsidRPr="00140FC0">
        <w:rPr>
          <w:iCs/>
        </w:rPr>
        <w:t xml:space="preserve"> difference in PFS</w:t>
      </w:r>
      <w:r w:rsidR="00E04EDD" w:rsidRPr="00140FC0">
        <w:rPr>
          <w:iCs/>
        </w:rPr>
        <w:t xml:space="preserve"> in NEOSPHERE</w:t>
      </w:r>
      <w:r w:rsidR="00872AAD" w:rsidRPr="00140FC0">
        <w:rPr>
          <w:iCs/>
        </w:rPr>
        <w:t>.</w:t>
      </w:r>
    </w:p>
    <w:p w:rsidR="00872AAD" w:rsidRPr="009E19E1" w:rsidRDefault="001609C2" w:rsidP="009E19E1">
      <w:pPr>
        <w:pStyle w:val="TableFigureHeading"/>
      </w:pPr>
      <w:bookmarkStart w:id="56" w:name="_Ref33607846"/>
      <w:r>
        <w:t xml:space="preserve">Table </w:t>
      </w:r>
      <w:r w:rsidR="00550A5E">
        <w:rPr>
          <w:noProof/>
        </w:rPr>
        <w:t>14</w:t>
      </w:r>
      <w:bookmarkEnd w:id="56"/>
      <w:r w:rsidR="00872AAD" w:rsidRPr="009E19E1">
        <w:t>: Results of the stepped economic evaluation – respecified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872AAD" w:rsidRPr="00AF5A00" w:rsidTr="00126A44">
        <w:trPr>
          <w:tblHeader/>
        </w:trPr>
        <w:tc>
          <w:tcPr>
            <w:tcW w:w="1529" w:type="pct"/>
            <w:vAlign w:val="center"/>
          </w:tcPr>
          <w:p w:rsidR="00872AAD" w:rsidRPr="00323AAE" w:rsidRDefault="00872AAD" w:rsidP="00872AAD">
            <w:pPr>
              <w:keepNext/>
              <w:jc w:val="left"/>
              <w:rPr>
                <w:rFonts w:ascii="Arial Narrow" w:eastAsiaTheme="majorEastAsia" w:hAnsi="Arial Narrow" w:cs="Times New Roman"/>
                <w:b/>
                <w:sz w:val="20"/>
                <w:szCs w:val="20"/>
              </w:rPr>
            </w:pPr>
            <w:r w:rsidRPr="00323AAE">
              <w:rPr>
                <w:rFonts w:ascii="Arial Narrow" w:eastAsiaTheme="majorEastAsia" w:hAnsi="Arial Narrow" w:cs="Times New Roman"/>
                <w:b/>
                <w:sz w:val="20"/>
                <w:szCs w:val="20"/>
              </w:rPr>
              <w:t>Step and component</w:t>
            </w:r>
          </w:p>
        </w:tc>
        <w:tc>
          <w:tcPr>
            <w:tcW w:w="1359" w:type="pct"/>
            <w:vAlign w:val="center"/>
          </w:tcPr>
          <w:p w:rsidR="00872AAD" w:rsidRPr="00323AAE" w:rsidRDefault="00877BA8" w:rsidP="00872AAD">
            <w:pPr>
              <w:keepNext/>
              <w:jc w:val="center"/>
              <w:rPr>
                <w:rFonts w:ascii="Arial Narrow" w:eastAsiaTheme="majorEastAsia" w:hAnsi="Arial Narrow" w:cs="Times New Roman"/>
                <w:b/>
                <w:sz w:val="20"/>
                <w:szCs w:val="20"/>
              </w:rPr>
            </w:pPr>
            <w:r w:rsidRPr="00323AAE">
              <w:rPr>
                <w:rFonts w:ascii="Arial Narrow" w:eastAsiaTheme="majorEastAsia" w:hAnsi="Arial Narrow" w:cs="Times New Roman"/>
                <w:b/>
                <w:sz w:val="20"/>
                <w:szCs w:val="20"/>
              </w:rPr>
              <w:t>Ptz+T+Chemo</w:t>
            </w:r>
          </w:p>
        </w:tc>
        <w:tc>
          <w:tcPr>
            <w:tcW w:w="1274" w:type="pct"/>
            <w:vAlign w:val="center"/>
          </w:tcPr>
          <w:p w:rsidR="00872AAD" w:rsidRPr="00323AAE" w:rsidRDefault="00872AAD" w:rsidP="00872AAD">
            <w:pPr>
              <w:keepNext/>
              <w:jc w:val="center"/>
              <w:rPr>
                <w:rFonts w:ascii="Arial Narrow" w:eastAsiaTheme="majorEastAsia" w:hAnsi="Arial Narrow" w:cs="Times New Roman"/>
                <w:b/>
                <w:sz w:val="20"/>
                <w:szCs w:val="20"/>
              </w:rPr>
            </w:pPr>
            <w:r w:rsidRPr="00323AAE">
              <w:rPr>
                <w:rFonts w:ascii="Arial Narrow" w:eastAsiaTheme="majorEastAsia" w:hAnsi="Arial Narrow" w:cs="Times New Roman"/>
                <w:b/>
                <w:sz w:val="20"/>
                <w:szCs w:val="20"/>
              </w:rPr>
              <w:t>T+</w:t>
            </w:r>
            <w:r w:rsidR="00877BA8" w:rsidRPr="00323AAE">
              <w:rPr>
                <w:rFonts w:ascii="Arial Narrow" w:eastAsiaTheme="majorEastAsia" w:hAnsi="Arial Narrow" w:cs="Times New Roman"/>
                <w:b/>
                <w:sz w:val="20"/>
                <w:szCs w:val="20"/>
              </w:rPr>
              <w:t>Chemo</w:t>
            </w:r>
          </w:p>
        </w:tc>
        <w:tc>
          <w:tcPr>
            <w:tcW w:w="838" w:type="pct"/>
            <w:vAlign w:val="center"/>
          </w:tcPr>
          <w:p w:rsidR="00872AAD" w:rsidRPr="00323AAE" w:rsidRDefault="00872AAD" w:rsidP="00872AAD">
            <w:pPr>
              <w:keepNext/>
              <w:jc w:val="center"/>
              <w:rPr>
                <w:rFonts w:ascii="Arial Narrow" w:eastAsiaTheme="majorEastAsia" w:hAnsi="Arial Narrow" w:cs="Times New Roman"/>
                <w:b/>
                <w:sz w:val="20"/>
                <w:szCs w:val="20"/>
              </w:rPr>
            </w:pPr>
            <w:r w:rsidRPr="00323AAE">
              <w:rPr>
                <w:rFonts w:ascii="Arial Narrow" w:eastAsiaTheme="majorEastAsia" w:hAnsi="Arial Narrow" w:cs="Times New Roman"/>
                <w:b/>
                <w:sz w:val="20"/>
                <w:szCs w:val="20"/>
              </w:rPr>
              <w:t>Increment</w:t>
            </w:r>
          </w:p>
        </w:tc>
      </w:tr>
      <w:tr w:rsidR="00872AAD" w:rsidRPr="00AF5A00" w:rsidTr="00126A44">
        <w:tc>
          <w:tcPr>
            <w:tcW w:w="5000" w:type="pct"/>
            <w:gridSpan w:val="4"/>
            <w:vAlign w:val="center"/>
          </w:tcPr>
          <w:p w:rsidR="00872AAD" w:rsidRPr="00323AAE" w:rsidRDefault="00872AAD" w:rsidP="00872AAD">
            <w:pPr>
              <w:keepNext/>
              <w:jc w:val="left"/>
              <w:rPr>
                <w:rFonts w:ascii="Arial Narrow" w:eastAsiaTheme="majorEastAsia" w:hAnsi="Arial Narrow" w:cstheme="majorBidi"/>
                <w:b/>
                <w:sz w:val="20"/>
                <w:szCs w:val="20"/>
              </w:rPr>
            </w:pPr>
            <w:r w:rsidRPr="00323AAE">
              <w:rPr>
                <w:rFonts w:ascii="Arial Narrow" w:eastAsiaTheme="majorEastAsia" w:hAnsi="Arial Narrow" w:cstheme="majorBidi"/>
                <w:b/>
                <w:sz w:val="20"/>
                <w:szCs w:val="20"/>
              </w:rPr>
              <w:t>Step 1: trial-based costs and outcomes</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Costs</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LYG</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4.271</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4.259</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0.013</w:t>
            </w:r>
          </w:p>
        </w:tc>
      </w:tr>
      <w:tr w:rsidR="007B3AFC" w:rsidRPr="00AF5A00" w:rsidTr="00126A44">
        <w:tc>
          <w:tcPr>
            <w:tcW w:w="4162" w:type="pct"/>
            <w:gridSpan w:val="3"/>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Incremental cost/extra LY gained</w:t>
            </w:r>
          </w:p>
        </w:tc>
        <w:tc>
          <w:tcPr>
            <w:tcW w:w="838" w:type="pct"/>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theme="majorBidi"/>
                <w:bCs/>
                <w:iCs/>
                <w:sz w:val="20"/>
                <w:szCs w:val="20"/>
              </w:rPr>
              <w:t>$</w:t>
            </w:r>
            <w:r w:rsidR="00E81857">
              <w:rPr>
                <w:rFonts w:ascii="Arial Narrow" w:eastAsiaTheme="majorEastAsia" w:hAnsi="Arial Narrow" w:cstheme="majorBidi"/>
                <w:bCs/>
                <w:iCs/>
                <w:noProof/>
                <w:color w:val="000000"/>
                <w:sz w:val="20"/>
                <w:szCs w:val="20"/>
                <w:highlight w:val="black"/>
              </w:rPr>
              <w:t>'''''''''''''''''''</w:t>
            </w:r>
          </w:p>
        </w:tc>
      </w:tr>
      <w:tr w:rsidR="007B3AFC" w:rsidRPr="00AF5A00" w:rsidTr="00126A44">
        <w:tc>
          <w:tcPr>
            <w:tcW w:w="5000" w:type="pct"/>
            <w:gridSpan w:val="4"/>
            <w:vAlign w:val="center"/>
          </w:tcPr>
          <w:p w:rsidR="007B3AFC" w:rsidRPr="00323AAE" w:rsidRDefault="007B3AFC" w:rsidP="007B3AFC">
            <w:pPr>
              <w:keepNext/>
              <w:jc w:val="left"/>
              <w:rPr>
                <w:rFonts w:ascii="Arial Narrow" w:eastAsiaTheme="majorEastAsia" w:hAnsi="Arial Narrow" w:cs="Times New Roman"/>
                <w:b/>
                <w:sz w:val="20"/>
                <w:szCs w:val="20"/>
              </w:rPr>
            </w:pPr>
            <w:r w:rsidRPr="00323AAE">
              <w:rPr>
                <w:rFonts w:ascii="Arial Narrow" w:eastAsiaTheme="majorEastAsia" w:hAnsi="Arial Narrow" w:cs="Times New Roman"/>
                <w:b/>
                <w:sz w:val="20"/>
                <w:szCs w:val="20"/>
              </w:rPr>
              <w:t>Step 2: time horizon extended to 40 years</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Costs</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LYG</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13.780</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12.913</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0.867</w:t>
            </w:r>
          </w:p>
        </w:tc>
      </w:tr>
      <w:tr w:rsidR="007B3AFC" w:rsidRPr="00AF5A00" w:rsidTr="00126A44">
        <w:tc>
          <w:tcPr>
            <w:tcW w:w="4162" w:type="pct"/>
            <w:gridSpan w:val="3"/>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Incremental cost/extra LY gained</w:t>
            </w:r>
          </w:p>
        </w:tc>
        <w:tc>
          <w:tcPr>
            <w:tcW w:w="838" w:type="pct"/>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theme="majorBidi"/>
                <w:bCs/>
                <w:iCs/>
                <w:sz w:val="20"/>
                <w:szCs w:val="20"/>
              </w:rPr>
              <w:t>$</w:t>
            </w:r>
            <w:r w:rsidR="00E81857">
              <w:rPr>
                <w:rFonts w:ascii="Arial Narrow" w:eastAsiaTheme="majorEastAsia" w:hAnsi="Arial Narrow" w:cstheme="majorBidi"/>
                <w:bCs/>
                <w:iCs/>
                <w:noProof/>
                <w:color w:val="000000"/>
                <w:sz w:val="20"/>
                <w:szCs w:val="20"/>
                <w:highlight w:val="black"/>
              </w:rPr>
              <w:t>''''''''''''</w:t>
            </w:r>
          </w:p>
        </w:tc>
      </w:tr>
      <w:tr w:rsidR="007B3AFC" w:rsidRPr="00AF5A00" w:rsidTr="00126A44">
        <w:tc>
          <w:tcPr>
            <w:tcW w:w="5000" w:type="pct"/>
            <w:gridSpan w:val="4"/>
            <w:vAlign w:val="center"/>
          </w:tcPr>
          <w:p w:rsidR="007B3AFC" w:rsidRPr="00323AAE" w:rsidRDefault="007B3AFC" w:rsidP="007B3AFC">
            <w:pPr>
              <w:keepNext/>
              <w:jc w:val="left"/>
              <w:rPr>
                <w:rFonts w:ascii="Arial Narrow" w:eastAsiaTheme="majorEastAsia" w:hAnsi="Arial Narrow" w:cs="Times New Roman"/>
                <w:b/>
                <w:sz w:val="20"/>
                <w:szCs w:val="20"/>
              </w:rPr>
            </w:pPr>
            <w:r w:rsidRPr="00323AAE">
              <w:rPr>
                <w:rFonts w:ascii="Arial Narrow" w:eastAsiaTheme="majorEastAsia" w:hAnsi="Arial Narrow" w:cs="Times New Roman"/>
                <w:b/>
                <w:sz w:val="20"/>
                <w:szCs w:val="20"/>
              </w:rPr>
              <w:t>Step 3: time limited treatment effect</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Costs</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LYG</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13.618</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12.913</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0.705</w:t>
            </w:r>
          </w:p>
        </w:tc>
      </w:tr>
      <w:tr w:rsidR="007B3AFC" w:rsidRPr="00AF5A00" w:rsidTr="00126A44">
        <w:tc>
          <w:tcPr>
            <w:tcW w:w="4162" w:type="pct"/>
            <w:gridSpan w:val="3"/>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Incremental cost/extra LY gained</w:t>
            </w:r>
          </w:p>
        </w:tc>
        <w:tc>
          <w:tcPr>
            <w:tcW w:w="838" w:type="pct"/>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theme="majorBidi"/>
                <w:bCs/>
                <w:iCs/>
                <w:sz w:val="20"/>
                <w:szCs w:val="20"/>
              </w:rPr>
              <w:t>$</w:t>
            </w:r>
            <w:r w:rsidR="00E81857">
              <w:rPr>
                <w:rFonts w:ascii="Arial Narrow" w:eastAsiaTheme="majorEastAsia" w:hAnsi="Arial Narrow" w:cstheme="majorBidi"/>
                <w:bCs/>
                <w:iCs/>
                <w:noProof/>
                <w:color w:val="000000"/>
                <w:sz w:val="20"/>
                <w:szCs w:val="20"/>
                <w:highlight w:val="black"/>
              </w:rPr>
              <w:t>''''''''''''''''</w:t>
            </w:r>
          </w:p>
        </w:tc>
      </w:tr>
      <w:tr w:rsidR="007B3AFC" w:rsidRPr="00AF5A00" w:rsidTr="00126A44">
        <w:tc>
          <w:tcPr>
            <w:tcW w:w="5000" w:type="pct"/>
            <w:gridSpan w:val="4"/>
            <w:vAlign w:val="center"/>
          </w:tcPr>
          <w:p w:rsidR="007B3AFC" w:rsidRPr="00323AAE" w:rsidRDefault="007B3AFC" w:rsidP="007B3AFC">
            <w:pPr>
              <w:keepNext/>
              <w:jc w:val="left"/>
              <w:rPr>
                <w:rFonts w:ascii="Arial Narrow" w:eastAsiaTheme="majorEastAsia" w:hAnsi="Arial Narrow" w:cs="Times New Roman"/>
                <w:b/>
                <w:sz w:val="20"/>
                <w:szCs w:val="20"/>
              </w:rPr>
            </w:pPr>
            <w:r w:rsidRPr="00323AAE">
              <w:rPr>
                <w:rFonts w:ascii="Arial Narrow" w:eastAsiaTheme="majorEastAsia" w:hAnsi="Arial Narrow" w:cs="Times New Roman"/>
                <w:b/>
                <w:sz w:val="20"/>
                <w:szCs w:val="20"/>
              </w:rPr>
              <w:t>Step 4: sustained remission adjustment</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Costs</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LYG</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14.748</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14.079</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0.669</w:t>
            </w:r>
          </w:p>
        </w:tc>
      </w:tr>
      <w:tr w:rsidR="007B3AFC" w:rsidRPr="00AF5A00" w:rsidTr="00126A44">
        <w:tc>
          <w:tcPr>
            <w:tcW w:w="4162" w:type="pct"/>
            <w:gridSpan w:val="3"/>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Incremental cost/extra LY gained</w:t>
            </w:r>
          </w:p>
        </w:tc>
        <w:tc>
          <w:tcPr>
            <w:tcW w:w="838" w:type="pct"/>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theme="majorBidi"/>
                <w:bCs/>
                <w:iCs/>
                <w:sz w:val="20"/>
                <w:szCs w:val="20"/>
              </w:rPr>
              <w:t>$</w:t>
            </w:r>
            <w:r w:rsidR="00E81857">
              <w:rPr>
                <w:rFonts w:ascii="Arial Narrow" w:eastAsiaTheme="majorEastAsia" w:hAnsi="Arial Narrow" w:cstheme="majorBidi"/>
                <w:bCs/>
                <w:iCs/>
                <w:noProof/>
                <w:color w:val="000000"/>
                <w:sz w:val="20"/>
                <w:szCs w:val="20"/>
                <w:highlight w:val="black"/>
              </w:rPr>
              <w:t>''''''''''''''''</w:t>
            </w:r>
          </w:p>
        </w:tc>
      </w:tr>
      <w:tr w:rsidR="007B3AFC" w:rsidRPr="00AF5A00" w:rsidTr="00126A44">
        <w:tc>
          <w:tcPr>
            <w:tcW w:w="5000" w:type="pct"/>
            <w:gridSpan w:val="4"/>
            <w:vAlign w:val="center"/>
          </w:tcPr>
          <w:p w:rsidR="007B3AFC" w:rsidRPr="00323AAE" w:rsidRDefault="007B3AFC" w:rsidP="007B3AFC">
            <w:pPr>
              <w:keepNext/>
              <w:jc w:val="left"/>
              <w:rPr>
                <w:rFonts w:ascii="Arial Narrow" w:eastAsiaTheme="majorEastAsia" w:hAnsi="Arial Narrow" w:cs="Times New Roman"/>
                <w:b/>
                <w:sz w:val="20"/>
                <w:szCs w:val="20"/>
              </w:rPr>
            </w:pPr>
            <w:r w:rsidRPr="00323AAE">
              <w:rPr>
                <w:rFonts w:ascii="Arial Narrow" w:eastAsiaTheme="majorEastAsia" w:hAnsi="Arial Narrow" w:cs="Times New Roman"/>
                <w:b/>
                <w:sz w:val="20"/>
                <w:szCs w:val="20"/>
              </w:rPr>
              <w:t>Step 5: incorporate medical resource use costs</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Costs</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LYG</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14.748</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14.079</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0.669</w:t>
            </w:r>
          </w:p>
        </w:tc>
      </w:tr>
      <w:tr w:rsidR="007B3AFC" w:rsidRPr="00AF5A00" w:rsidTr="00126A44">
        <w:tc>
          <w:tcPr>
            <w:tcW w:w="4162" w:type="pct"/>
            <w:gridSpan w:val="3"/>
            <w:vAlign w:val="center"/>
          </w:tcPr>
          <w:p w:rsidR="007B3AFC" w:rsidRPr="00323AAE" w:rsidRDefault="007B3AFC" w:rsidP="007B3AFC">
            <w:pPr>
              <w:keepNext/>
              <w:jc w:val="left"/>
              <w:rPr>
                <w:rFonts w:ascii="Arial Narrow" w:eastAsiaTheme="majorEastAsia" w:hAnsi="Arial Narrow" w:cstheme="majorBidi"/>
                <w:sz w:val="20"/>
                <w:szCs w:val="20"/>
              </w:rPr>
            </w:pPr>
            <w:r w:rsidRPr="00323AAE">
              <w:rPr>
                <w:rFonts w:ascii="Arial Narrow" w:eastAsiaTheme="majorEastAsia" w:hAnsi="Arial Narrow" w:cstheme="majorBidi"/>
                <w:sz w:val="20"/>
                <w:szCs w:val="20"/>
              </w:rPr>
              <w:t>Incremental cost/extra LY gained</w:t>
            </w:r>
          </w:p>
        </w:tc>
        <w:tc>
          <w:tcPr>
            <w:tcW w:w="838" w:type="pct"/>
            <w:vAlign w:val="center"/>
          </w:tcPr>
          <w:p w:rsidR="007B3AFC" w:rsidRPr="00323AAE" w:rsidRDefault="007B3AFC" w:rsidP="007B3AFC">
            <w:pPr>
              <w:keepNext/>
              <w:jc w:val="center"/>
              <w:rPr>
                <w:rFonts w:ascii="Arial Narrow" w:eastAsiaTheme="majorEastAsia" w:hAnsi="Arial Narrow" w:cstheme="majorBidi"/>
                <w:sz w:val="20"/>
                <w:szCs w:val="20"/>
              </w:rPr>
            </w:pPr>
            <w:r w:rsidRPr="00323AAE">
              <w:rPr>
                <w:rFonts w:ascii="Arial Narrow" w:eastAsiaTheme="majorEastAsia" w:hAnsi="Arial Narrow" w:cstheme="majorBidi"/>
                <w:iCs/>
                <w:sz w:val="20"/>
                <w:szCs w:val="20"/>
              </w:rPr>
              <w:t>$</w:t>
            </w:r>
            <w:r w:rsidR="00E81857">
              <w:rPr>
                <w:rFonts w:ascii="Arial Narrow" w:eastAsiaTheme="majorEastAsia" w:hAnsi="Arial Narrow" w:cstheme="majorBidi"/>
                <w:iCs/>
                <w:noProof/>
                <w:color w:val="000000"/>
                <w:sz w:val="20"/>
                <w:szCs w:val="20"/>
                <w:highlight w:val="black"/>
              </w:rPr>
              <w:t>''''''''''''''''</w:t>
            </w:r>
          </w:p>
        </w:tc>
      </w:tr>
      <w:tr w:rsidR="007B3AFC" w:rsidRPr="00AF5A00" w:rsidTr="00126A44">
        <w:tc>
          <w:tcPr>
            <w:tcW w:w="5000" w:type="pct"/>
            <w:gridSpan w:val="4"/>
            <w:vAlign w:val="center"/>
          </w:tcPr>
          <w:p w:rsidR="007B3AFC" w:rsidRPr="00323AAE" w:rsidRDefault="007B3AFC" w:rsidP="007B3AFC">
            <w:pPr>
              <w:keepNext/>
              <w:jc w:val="left"/>
              <w:rPr>
                <w:rFonts w:ascii="Arial Narrow" w:eastAsiaTheme="majorEastAsia" w:hAnsi="Arial Narrow" w:cstheme="majorBidi"/>
                <w:b/>
                <w:sz w:val="20"/>
                <w:szCs w:val="20"/>
              </w:rPr>
            </w:pPr>
            <w:r w:rsidRPr="00323AAE">
              <w:rPr>
                <w:rFonts w:ascii="Arial Narrow" w:eastAsiaTheme="majorEastAsia" w:hAnsi="Arial Narrow" w:cstheme="majorBidi"/>
                <w:b/>
                <w:sz w:val="20"/>
                <w:szCs w:val="20"/>
              </w:rPr>
              <w:t>Step 6: incorporate adverse event costs</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Costs</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LYG</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14.748</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14.079</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0.669</w:t>
            </w:r>
          </w:p>
        </w:tc>
      </w:tr>
      <w:tr w:rsidR="007B3AFC" w:rsidRPr="00AF5A00" w:rsidTr="00126A44">
        <w:tc>
          <w:tcPr>
            <w:tcW w:w="4162" w:type="pct"/>
            <w:gridSpan w:val="3"/>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Incremental cost/extra LY gained</w:t>
            </w:r>
          </w:p>
        </w:tc>
        <w:tc>
          <w:tcPr>
            <w:tcW w:w="838" w:type="pct"/>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theme="majorBidi"/>
                <w:bCs/>
                <w:iCs/>
                <w:sz w:val="20"/>
                <w:szCs w:val="20"/>
              </w:rPr>
              <w:t>$</w:t>
            </w:r>
            <w:r w:rsidR="00E81857">
              <w:rPr>
                <w:rFonts w:ascii="Arial Narrow" w:eastAsiaTheme="majorEastAsia" w:hAnsi="Arial Narrow" w:cstheme="majorBidi"/>
                <w:bCs/>
                <w:iCs/>
                <w:noProof/>
                <w:color w:val="000000"/>
                <w:sz w:val="20"/>
                <w:szCs w:val="20"/>
                <w:highlight w:val="black"/>
              </w:rPr>
              <w:t>''''''''''''''</w:t>
            </w:r>
          </w:p>
        </w:tc>
      </w:tr>
      <w:tr w:rsidR="007B3AFC" w:rsidRPr="00AF5A00" w:rsidTr="00126A44">
        <w:tc>
          <w:tcPr>
            <w:tcW w:w="5000" w:type="pct"/>
            <w:gridSpan w:val="4"/>
            <w:vAlign w:val="center"/>
          </w:tcPr>
          <w:p w:rsidR="007B3AFC" w:rsidRPr="00323AAE" w:rsidRDefault="007B3AFC" w:rsidP="007B3AFC">
            <w:pPr>
              <w:keepNext/>
              <w:jc w:val="left"/>
              <w:rPr>
                <w:rFonts w:ascii="Arial Narrow" w:eastAsiaTheme="majorEastAsia" w:hAnsi="Arial Narrow" w:cstheme="majorBidi"/>
                <w:b/>
                <w:sz w:val="20"/>
                <w:szCs w:val="20"/>
              </w:rPr>
            </w:pPr>
            <w:r w:rsidRPr="00323AAE">
              <w:rPr>
                <w:rFonts w:ascii="Arial Narrow" w:eastAsiaTheme="majorEastAsia" w:hAnsi="Arial Narrow" w:cstheme="majorBidi"/>
                <w:b/>
                <w:sz w:val="20"/>
                <w:szCs w:val="20"/>
              </w:rPr>
              <w:t>Step 7: incorporate end of life costs</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Costs</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LYG</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14.748</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14.079</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color w:val="000000"/>
                <w:sz w:val="20"/>
                <w:szCs w:val="20"/>
              </w:rPr>
              <w:t>0.669</w:t>
            </w:r>
          </w:p>
        </w:tc>
      </w:tr>
      <w:tr w:rsidR="007B3AFC" w:rsidRPr="00AF5A00" w:rsidTr="00126A44">
        <w:tc>
          <w:tcPr>
            <w:tcW w:w="4162" w:type="pct"/>
            <w:gridSpan w:val="3"/>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Incremental cost/extra LY gained</w:t>
            </w:r>
          </w:p>
        </w:tc>
        <w:tc>
          <w:tcPr>
            <w:tcW w:w="838" w:type="pct"/>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theme="majorBidi"/>
                <w:bCs/>
                <w:iCs/>
                <w:sz w:val="20"/>
                <w:szCs w:val="20"/>
              </w:rPr>
              <w:t>$</w:t>
            </w:r>
            <w:r w:rsidR="00E81857">
              <w:rPr>
                <w:rFonts w:ascii="Arial Narrow" w:eastAsiaTheme="majorEastAsia" w:hAnsi="Arial Narrow" w:cstheme="majorBidi"/>
                <w:bCs/>
                <w:iCs/>
                <w:noProof/>
                <w:color w:val="000000"/>
                <w:sz w:val="20"/>
                <w:szCs w:val="20"/>
                <w:highlight w:val="black"/>
              </w:rPr>
              <w:t>'''''''''''''''</w:t>
            </w:r>
          </w:p>
        </w:tc>
      </w:tr>
      <w:tr w:rsidR="007B3AFC" w:rsidRPr="00AF5A00" w:rsidTr="00126A44">
        <w:tc>
          <w:tcPr>
            <w:tcW w:w="5000" w:type="pct"/>
            <w:gridSpan w:val="4"/>
            <w:vAlign w:val="center"/>
          </w:tcPr>
          <w:p w:rsidR="007B3AFC" w:rsidRPr="00323AAE" w:rsidRDefault="007B3AFC" w:rsidP="007B3AFC">
            <w:pPr>
              <w:keepNext/>
              <w:jc w:val="left"/>
              <w:rPr>
                <w:rFonts w:ascii="Arial Narrow" w:eastAsiaTheme="majorEastAsia" w:hAnsi="Arial Narrow" w:cstheme="majorBidi"/>
                <w:b/>
                <w:sz w:val="20"/>
                <w:szCs w:val="20"/>
              </w:rPr>
            </w:pPr>
            <w:r w:rsidRPr="00323AAE">
              <w:rPr>
                <w:rFonts w:ascii="Arial Narrow" w:eastAsiaTheme="majorEastAsia" w:hAnsi="Arial Narrow" w:cstheme="majorBidi"/>
                <w:b/>
                <w:sz w:val="20"/>
                <w:szCs w:val="20"/>
              </w:rPr>
              <w:t>Step 8: incorporate utility values to determine QALYs</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Costs</w:t>
            </w:r>
          </w:p>
        </w:tc>
        <w:tc>
          <w:tcPr>
            <w:tcW w:w="1359"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1274"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c>
          <w:tcPr>
            <w:tcW w:w="838"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Calibri"/>
                <w:bCs/>
                <w:iCs/>
                <w:color w:val="000000"/>
                <w:sz w:val="20"/>
                <w:szCs w:val="20"/>
              </w:rPr>
              <w:t>$</w:t>
            </w:r>
            <w:r w:rsidR="00E81857">
              <w:rPr>
                <w:rFonts w:ascii="Arial Narrow" w:eastAsiaTheme="majorEastAsia" w:hAnsi="Arial Narrow" w:cs="Calibri"/>
                <w:bCs/>
                <w:iCs/>
                <w:noProof/>
                <w:color w:val="000000"/>
                <w:sz w:val="20"/>
                <w:szCs w:val="20"/>
                <w:highlight w:val="black"/>
              </w:rPr>
              <w:t>''''''''''''</w:t>
            </w:r>
          </w:p>
        </w:tc>
      </w:tr>
      <w:tr w:rsidR="007B3AFC" w:rsidRPr="00AF5A00" w:rsidTr="00126A44">
        <w:tc>
          <w:tcPr>
            <w:tcW w:w="1529"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QALY</w:t>
            </w:r>
          </w:p>
        </w:tc>
        <w:tc>
          <w:tcPr>
            <w:tcW w:w="1359" w:type="pct"/>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11.956</w:t>
            </w:r>
          </w:p>
        </w:tc>
        <w:tc>
          <w:tcPr>
            <w:tcW w:w="1274" w:type="pct"/>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11.369</w:t>
            </w:r>
          </w:p>
        </w:tc>
        <w:tc>
          <w:tcPr>
            <w:tcW w:w="838" w:type="pct"/>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0.588</w:t>
            </w:r>
          </w:p>
        </w:tc>
      </w:tr>
      <w:tr w:rsidR="007B3AFC" w:rsidRPr="00AF5A00" w:rsidTr="00126A44">
        <w:tc>
          <w:tcPr>
            <w:tcW w:w="4162" w:type="pct"/>
            <w:gridSpan w:val="3"/>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
                <w:bCs/>
                <w:sz w:val="20"/>
                <w:szCs w:val="20"/>
              </w:rPr>
              <w:t>Incremental cost/extra QALY gained (base case)</w:t>
            </w:r>
          </w:p>
        </w:tc>
        <w:tc>
          <w:tcPr>
            <w:tcW w:w="838" w:type="pct"/>
            <w:vAlign w:val="center"/>
          </w:tcPr>
          <w:p w:rsidR="007B3AFC" w:rsidRPr="00323AAE" w:rsidRDefault="007B3AFC" w:rsidP="007B3AFC">
            <w:pPr>
              <w:keepNext/>
              <w:jc w:val="center"/>
              <w:rPr>
                <w:rFonts w:ascii="Arial Narrow" w:eastAsiaTheme="majorEastAsia" w:hAnsi="Arial Narrow" w:cstheme="majorBidi"/>
                <w:b/>
                <w:sz w:val="20"/>
                <w:szCs w:val="20"/>
              </w:rPr>
            </w:pPr>
            <w:r w:rsidRPr="00323AAE">
              <w:rPr>
                <w:rFonts w:ascii="Arial Narrow" w:eastAsiaTheme="majorEastAsia" w:hAnsi="Arial Narrow" w:cstheme="majorBidi"/>
                <w:b/>
                <w:iCs/>
                <w:sz w:val="20"/>
                <w:szCs w:val="20"/>
              </w:rPr>
              <w:t>$</w:t>
            </w:r>
            <w:r w:rsidR="00E81857">
              <w:rPr>
                <w:rFonts w:ascii="Arial Narrow" w:eastAsiaTheme="majorEastAsia" w:hAnsi="Arial Narrow" w:cstheme="majorBidi"/>
                <w:b/>
                <w:iCs/>
                <w:noProof/>
                <w:color w:val="000000"/>
                <w:sz w:val="20"/>
                <w:szCs w:val="20"/>
                <w:highlight w:val="black"/>
              </w:rPr>
              <w:t>''''''''''''''</w:t>
            </w:r>
          </w:p>
        </w:tc>
      </w:tr>
    </w:tbl>
    <w:p w:rsidR="00872AAD" w:rsidRPr="00323AAE" w:rsidRDefault="00872AAD" w:rsidP="00872AAD">
      <w:pPr>
        <w:spacing w:after="120"/>
        <w:contextualSpacing/>
        <w:rPr>
          <w:rFonts w:ascii="Arial Narrow" w:hAnsi="Arial Narrow"/>
          <w:snapToGrid w:val="0"/>
          <w:sz w:val="20"/>
          <w:szCs w:val="22"/>
        </w:rPr>
      </w:pPr>
      <w:r w:rsidRPr="00AF5A00">
        <w:rPr>
          <w:rFonts w:ascii="Arial Narrow" w:hAnsi="Arial Narrow"/>
          <w:snapToGrid w:val="0"/>
          <w:sz w:val="18"/>
          <w:szCs w:val="22"/>
        </w:rPr>
        <w:t xml:space="preserve">Source: Tables 3.15 to 3.21, pp116-119 of the submission. </w:t>
      </w:r>
      <w:r w:rsidRPr="00323AAE">
        <w:rPr>
          <w:rFonts w:ascii="Arial Narrow" w:hAnsi="Arial Narrow"/>
          <w:iCs/>
          <w:snapToGrid w:val="0"/>
          <w:sz w:val="18"/>
          <w:szCs w:val="22"/>
        </w:rPr>
        <w:t>Adapted using the corrected dose of trastuzumab in each treatment arm.</w:t>
      </w:r>
    </w:p>
    <w:p w:rsidR="00872AAD" w:rsidRPr="00AF5A00" w:rsidRDefault="00872AAD" w:rsidP="00872AAD">
      <w:pPr>
        <w:spacing w:after="120"/>
        <w:contextualSpacing/>
        <w:rPr>
          <w:rFonts w:ascii="Arial Narrow" w:hAnsi="Arial Narrow"/>
          <w:snapToGrid w:val="0"/>
          <w:sz w:val="18"/>
          <w:szCs w:val="22"/>
        </w:rPr>
      </w:pPr>
      <w:r w:rsidRPr="00AF5A00">
        <w:rPr>
          <w:rFonts w:ascii="Arial Narrow" w:hAnsi="Arial Narrow"/>
          <w:snapToGrid w:val="0"/>
          <w:sz w:val="18"/>
          <w:szCs w:val="22"/>
        </w:rPr>
        <w:t>LY = life year; LYG = life years gained; QALY = quality adjusted life years</w:t>
      </w:r>
      <w:r w:rsidRPr="00AF5A00">
        <w:rPr>
          <w:rFonts w:ascii="Arial Narrow" w:hAnsi="Arial Narrow"/>
          <w:snapToGrid w:val="0"/>
          <w:sz w:val="18"/>
          <w:szCs w:val="18"/>
        </w:rPr>
        <w:t xml:space="preserve">; </w:t>
      </w:r>
      <w:r w:rsidR="00877BA8">
        <w:rPr>
          <w:rFonts w:ascii="Arial Narrow" w:hAnsi="Arial Narrow"/>
          <w:snapToGrid w:val="0"/>
          <w:sz w:val="18"/>
          <w:szCs w:val="18"/>
        </w:rPr>
        <w:t>Ptz+T+Chemo</w:t>
      </w:r>
      <w:r w:rsidRPr="00AF5A00">
        <w:rPr>
          <w:rFonts w:ascii="Arial Narrow" w:hAnsi="Arial Narrow"/>
          <w:snapToGrid w:val="0"/>
          <w:sz w:val="18"/>
          <w:szCs w:val="18"/>
        </w:rPr>
        <w:t xml:space="preserve"> = pertuzumab + trastuzumab + chemotherapy; T+</w:t>
      </w:r>
      <w:r w:rsidR="00877BA8">
        <w:rPr>
          <w:rFonts w:ascii="Arial Narrow" w:hAnsi="Arial Narrow"/>
          <w:snapToGrid w:val="0"/>
          <w:sz w:val="18"/>
          <w:szCs w:val="18"/>
        </w:rPr>
        <w:t>Chemo</w:t>
      </w:r>
      <w:r w:rsidRPr="00AF5A00">
        <w:rPr>
          <w:rFonts w:ascii="Arial Narrow" w:hAnsi="Arial Narrow"/>
          <w:snapToGrid w:val="0"/>
          <w:sz w:val="18"/>
          <w:szCs w:val="18"/>
        </w:rPr>
        <w:t xml:space="preserve"> = trastuzumab + chemotherapy</w:t>
      </w:r>
    </w:p>
    <w:p w:rsidR="00872AAD" w:rsidRPr="00A1388F" w:rsidRDefault="00872AAD" w:rsidP="001609C2">
      <w:pPr>
        <w:pStyle w:val="3-BodyText"/>
      </w:pPr>
      <w:r w:rsidRPr="00A1388F">
        <w:t xml:space="preserve">The number of recurrence events over the </w:t>
      </w:r>
      <w:proofErr w:type="gramStart"/>
      <w:r w:rsidRPr="00A1388F">
        <w:t>60.8 month</w:t>
      </w:r>
      <w:proofErr w:type="gramEnd"/>
      <w:r w:rsidRPr="00A1388F">
        <w:t xml:space="preserve"> trial follow-up period and 40-year modelled time horizon are compared in </w:t>
      </w:r>
      <w:r w:rsidR="00550A5E">
        <w:t xml:space="preserve">Table </w:t>
      </w:r>
      <w:r w:rsidR="00550A5E">
        <w:rPr>
          <w:noProof/>
        </w:rPr>
        <w:t>15</w:t>
      </w:r>
      <w:r w:rsidRPr="00A1388F">
        <w:t>. Over the 40-year time horizon, each patient treated with pertuzumab in addition to trastuzumab and chemotherapy gained</w:t>
      </w:r>
      <w:r w:rsidR="00636CFB">
        <w:t xml:space="preserve"> an average of</w:t>
      </w:r>
      <w:r w:rsidRPr="00A1388F">
        <w:t xml:space="preserve"> 1.69 life years</w:t>
      </w:r>
      <w:bookmarkStart w:id="57" w:name="_Hlk28990170"/>
      <w:r w:rsidRPr="00A1388F">
        <w:t xml:space="preserve"> (169.44 per 100 patients, undiscounted)</w:t>
      </w:r>
      <w:bookmarkEnd w:id="57"/>
      <w:r w:rsidRPr="00A1388F">
        <w:t xml:space="preserve">. There were 29.7 (169.44/5.9) life years gained per metastatic recurrence avoided. </w:t>
      </w:r>
      <w:r w:rsidRPr="00A1388F">
        <w:rPr>
          <w:iCs/>
        </w:rPr>
        <w:t xml:space="preserve"> </w:t>
      </w:r>
      <w:bookmarkStart w:id="58" w:name="_Hlk28990245"/>
      <w:r w:rsidRPr="00A1388F">
        <w:rPr>
          <w:iCs/>
        </w:rPr>
        <w:t xml:space="preserve">As survival from </w:t>
      </w:r>
      <w:r w:rsidR="004420FE">
        <w:rPr>
          <w:iCs/>
        </w:rPr>
        <w:t xml:space="preserve">the </w:t>
      </w:r>
      <w:r w:rsidRPr="00A1388F">
        <w:rPr>
          <w:iCs/>
        </w:rPr>
        <w:t xml:space="preserve">metastatic health states </w:t>
      </w:r>
      <w:proofErr w:type="gramStart"/>
      <w:r w:rsidR="00636CFB">
        <w:rPr>
          <w:iCs/>
        </w:rPr>
        <w:t>wa</w:t>
      </w:r>
      <w:r w:rsidRPr="00A1388F">
        <w:rPr>
          <w:iCs/>
        </w:rPr>
        <w:t>s derived</w:t>
      </w:r>
      <w:proofErr w:type="gramEnd"/>
      <w:r w:rsidRPr="00A1388F">
        <w:rPr>
          <w:iCs/>
        </w:rPr>
        <w:t xml:space="preserve"> from the EMILIA and CLEOPATRA trials rather than NEOSPHERE, there is </w:t>
      </w:r>
      <w:r w:rsidR="007B3AFC" w:rsidRPr="00A1388F">
        <w:rPr>
          <w:iCs/>
        </w:rPr>
        <w:t xml:space="preserve">considerable </w:t>
      </w:r>
      <w:r w:rsidRPr="00A1388F">
        <w:rPr>
          <w:iCs/>
        </w:rPr>
        <w:t xml:space="preserve">uncertainty in this estimate. </w:t>
      </w:r>
      <w:bookmarkEnd w:id="58"/>
    </w:p>
    <w:p w:rsidR="00872AAD" w:rsidRPr="009E19E1" w:rsidRDefault="001609C2" w:rsidP="009E19E1">
      <w:pPr>
        <w:pStyle w:val="TableFigureHeading"/>
      </w:pPr>
      <w:bookmarkStart w:id="59" w:name="_Ref33607886"/>
      <w:r>
        <w:lastRenderedPageBreak/>
        <w:t xml:space="preserve">Table </w:t>
      </w:r>
      <w:r w:rsidR="00550A5E">
        <w:rPr>
          <w:noProof/>
        </w:rPr>
        <w:t>15</w:t>
      </w:r>
      <w:bookmarkEnd w:id="59"/>
      <w:r w:rsidR="00872AAD" w:rsidRPr="009E19E1">
        <w:t>: Recurrence events (undiscounted)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54"/>
        <w:gridCol w:w="1587"/>
        <w:gridCol w:w="334"/>
        <w:gridCol w:w="1753"/>
        <w:gridCol w:w="168"/>
        <w:gridCol w:w="1921"/>
      </w:tblGrid>
      <w:tr w:rsidR="00872AAD" w:rsidRPr="00AF5A00" w:rsidTr="00126A44">
        <w:trPr>
          <w:cantSplit/>
          <w:tblHeader/>
        </w:trPr>
        <w:tc>
          <w:tcPr>
            <w:tcW w:w="18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72AAD" w:rsidRPr="00AF5A00" w:rsidRDefault="00872AAD" w:rsidP="00872AAD">
            <w:pPr>
              <w:keepNext/>
              <w:keepLines/>
              <w:spacing w:line="256" w:lineRule="auto"/>
              <w:jc w:val="left"/>
              <w:rPr>
                <w:rFonts w:ascii="Arial Narrow" w:hAnsi="Arial Narrow"/>
                <w:b/>
                <w:sz w:val="20"/>
                <w:szCs w:val="20"/>
              </w:rPr>
            </w:pPr>
            <w:r w:rsidRPr="00AF5A00">
              <w:rPr>
                <w:rFonts w:ascii="Arial Narrow" w:hAnsi="Arial Narrow"/>
                <w:b/>
                <w:sz w:val="20"/>
                <w:szCs w:val="20"/>
              </w:rPr>
              <w:t>Outcome</w:t>
            </w:r>
          </w:p>
        </w:tc>
        <w:tc>
          <w:tcPr>
            <w:tcW w:w="1065"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72AAD" w:rsidRPr="00AF5A00" w:rsidRDefault="00877BA8" w:rsidP="00872AAD">
            <w:pPr>
              <w:keepNext/>
              <w:keepLines/>
              <w:spacing w:line="256" w:lineRule="auto"/>
              <w:jc w:val="center"/>
              <w:rPr>
                <w:rFonts w:ascii="Arial Narrow" w:hAnsi="Arial Narrow"/>
                <w:b/>
                <w:sz w:val="20"/>
                <w:szCs w:val="20"/>
              </w:rPr>
            </w:pPr>
            <w:r>
              <w:rPr>
                <w:rFonts w:ascii="Arial Narrow" w:hAnsi="Arial Narrow" w:cs="Times New Roman"/>
                <w:b/>
                <w:sz w:val="20"/>
                <w:szCs w:val="20"/>
              </w:rPr>
              <w:t>Ptz+T+Chemo</w:t>
            </w:r>
          </w:p>
        </w:tc>
        <w:tc>
          <w:tcPr>
            <w:tcW w:w="1065"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72AAD" w:rsidRPr="00AF5A00" w:rsidRDefault="00872AAD" w:rsidP="00872AAD">
            <w:pPr>
              <w:keepNext/>
              <w:keepLines/>
              <w:spacing w:line="256" w:lineRule="auto"/>
              <w:jc w:val="center"/>
              <w:rPr>
                <w:rFonts w:ascii="Arial Narrow" w:hAnsi="Arial Narrow"/>
                <w:b/>
                <w:sz w:val="20"/>
                <w:szCs w:val="20"/>
              </w:rPr>
            </w:pPr>
            <w:r w:rsidRPr="00AF5A00">
              <w:rPr>
                <w:rFonts w:ascii="Arial Narrow" w:hAnsi="Arial Narrow"/>
                <w:b/>
                <w:sz w:val="20"/>
                <w:szCs w:val="20"/>
              </w:rPr>
              <w:t>T+</w:t>
            </w:r>
            <w:r w:rsidR="00877BA8">
              <w:rPr>
                <w:rFonts w:ascii="Arial Narrow" w:hAnsi="Arial Narrow"/>
                <w:b/>
                <w:sz w:val="20"/>
                <w:szCs w:val="20"/>
              </w:rPr>
              <w:t>Chemo</w:t>
            </w:r>
          </w:p>
        </w:tc>
        <w:tc>
          <w:tcPr>
            <w:tcW w:w="1065" w:type="pct"/>
            <w:tcBorders>
              <w:top w:val="single" w:sz="4" w:space="0" w:color="auto"/>
              <w:left w:val="single" w:sz="4" w:space="0" w:color="auto"/>
              <w:bottom w:val="single" w:sz="4" w:space="0" w:color="auto"/>
              <w:right w:val="single" w:sz="4" w:space="0" w:color="auto"/>
            </w:tcBorders>
            <w:vAlign w:val="center"/>
            <w:hideMark/>
          </w:tcPr>
          <w:p w:rsidR="00872AAD" w:rsidRPr="00AF5A00" w:rsidRDefault="00872AAD" w:rsidP="00872AAD">
            <w:pPr>
              <w:keepNext/>
              <w:keepLines/>
              <w:spacing w:line="256" w:lineRule="auto"/>
              <w:jc w:val="center"/>
              <w:rPr>
                <w:rFonts w:ascii="Arial Narrow" w:hAnsi="Arial Narrow"/>
                <w:b/>
                <w:sz w:val="20"/>
                <w:szCs w:val="20"/>
              </w:rPr>
            </w:pPr>
            <w:r w:rsidRPr="00AF5A00">
              <w:rPr>
                <w:rFonts w:ascii="Arial Narrow" w:hAnsi="Arial Narrow"/>
                <w:b/>
                <w:sz w:val="20"/>
                <w:szCs w:val="20"/>
              </w:rPr>
              <w:t xml:space="preserve">Incremental outcome </w:t>
            </w:r>
            <w:r w:rsidRPr="00AF5A00">
              <w:rPr>
                <w:rFonts w:ascii="Arial Narrow" w:hAnsi="Arial Narrow"/>
                <w:b/>
                <w:sz w:val="20"/>
                <w:szCs w:val="20"/>
              </w:rPr>
              <w:br/>
              <w:t>(per 100 patients)</w:t>
            </w:r>
          </w:p>
        </w:tc>
      </w:tr>
      <w:tr w:rsidR="00872AAD" w:rsidRPr="00AF5A00" w:rsidTr="00126A44">
        <w:trPr>
          <w:cantSplit/>
          <w:tblHeader/>
        </w:trPr>
        <w:tc>
          <w:tcPr>
            <w:tcW w:w="18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72AAD" w:rsidRPr="00AF5A00" w:rsidRDefault="00872AAD" w:rsidP="00872AAD">
            <w:pPr>
              <w:keepNext/>
              <w:keepLines/>
              <w:spacing w:line="256" w:lineRule="auto"/>
              <w:jc w:val="left"/>
              <w:rPr>
                <w:rFonts w:ascii="Arial Narrow" w:hAnsi="Arial Narrow"/>
                <w:bCs/>
                <w:sz w:val="20"/>
                <w:szCs w:val="20"/>
              </w:rPr>
            </w:pPr>
            <w:r w:rsidRPr="00AF5A00">
              <w:rPr>
                <w:rFonts w:ascii="Arial Narrow" w:hAnsi="Arial Narrow"/>
                <w:bCs/>
                <w:sz w:val="20"/>
                <w:szCs w:val="20"/>
              </w:rPr>
              <w:t>LY (40 years, undiscounted)</w:t>
            </w:r>
          </w:p>
        </w:tc>
        <w:tc>
          <w:tcPr>
            <w:tcW w:w="1065"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Times New Roman"/>
                <w:bCs/>
                <w:sz w:val="20"/>
                <w:szCs w:val="20"/>
              </w:rPr>
            </w:pPr>
            <w:r w:rsidRPr="00AF5A00">
              <w:rPr>
                <w:rFonts w:ascii="Arial Narrow" w:hAnsi="Arial Narrow" w:cs="Times New Roman"/>
                <w:bCs/>
                <w:sz w:val="20"/>
                <w:szCs w:val="20"/>
              </w:rPr>
              <w:t>29.06</w:t>
            </w:r>
          </w:p>
        </w:tc>
        <w:tc>
          <w:tcPr>
            <w:tcW w:w="1065"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Times New Roman"/>
                <w:bCs/>
                <w:sz w:val="20"/>
                <w:szCs w:val="20"/>
              </w:rPr>
            </w:pPr>
            <w:r w:rsidRPr="00AF5A00">
              <w:rPr>
                <w:rFonts w:ascii="Arial Narrow" w:hAnsi="Arial Narrow" w:cs="Times New Roman"/>
                <w:bCs/>
                <w:sz w:val="20"/>
                <w:szCs w:val="20"/>
              </w:rPr>
              <w:t>27.34</w:t>
            </w:r>
          </w:p>
        </w:tc>
        <w:tc>
          <w:tcPr>
            <w:tcW w:w="1065"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keepLines/>
              <w:spacing w:line="256" w:lineRule="auto"/>
              <w:jc w:val="center"/>
              <w:rPr>
                <w:rFonts w:ascii="Arial Narrow" w:hAnsi="Arial Narrow"/>
                <w:bCs/>
                <w:sz w:val="20"/>
                <w:szCs w:val="20"/>
              </w:rPr>
            </w:pPr>
            <w:r w:rsidRPr="00AF5A00">
              <w:rPr>
                <w:rFonts w:ascii="Arial Narrow" w:hAnsi="Arial Narrow"/>
                <w:bCs/>
                <w:sz w:val="20"/>
                <w:szCs w:val="20"/>
              </w:rPr>
              <w:t>1.69</w:t>
            </w:r>
            <w:r w:rsidR="003D0986">
              <w:rPr>
                <w:rFonts w:ascii="Arial Narrow" w:hAnsi="Arial Narrow"/>
                <w:bCs/>
                <w:sz w:val="20"/>
                <w:szCs w:val="20"/>
              </w:rPr>
              <w:t xml:space="preserve"> per patient</w:t>
            </w:r>
          </w:p>
          <w:p w:rsidR="00872AAD" w:rsidRPr="00AF5A00" w:rsidRDefault="00872AAD" w:rsidP="00872AAD">
            <w:pPr>
              <w:keepNext/>
              <w:keepLines/>
              <w:spacing w:line="256" w:lineRule="auto"/>
              <w:jc w:val="center"/>
              <w:rPr>
                <w:rFonts w:ascii="Arial Narrow" w:hAnsi="Arial Narrow"/>
                <w:bCs/>
                <w:sz w:val="20"/>
                <w:szCs w:val="20"/>
              </w:rPr>
            </w:pPr>
            <w:r w:rsidRPr="00AF5A00">
              <w:rPr>
                <w:rFonts w:ascii="Arial Narrow" w:hAnsi="Arial Narrow"/>
                <w:bCs/>
                <w:sz w:val="20"/>
                <w:szCs w:val="20"/>
              </w:rPr>
              <w:t>(169.44 per 100 patients)</w:t>
            </w:r>
          </w:p>
        </w:tc>
      </w:tr>
      <w:tr w:rsidR="00872AAD" w:rsidRPr="00AF5A00" w:rsidTr="00126A44">
        <w:trPr>
          <w:cantSplit/>
          <w:tblHeader/>
        </w:trPr>
        <w:tc>
          <w:tcPr>
            <w:tcW w:w="1804" w:type="pct"/>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rsidR="00872AAD" w:rsidRPr="00AF5A00" w:rsidRDefault="00872AAD" w:rsidP="00872AAD">
            <w:pPr>
              <w:keepNext/>
              <w:keepLines/>
              <w:spacing w:line="256" w:lineRule="auto"/>
              <w:jc w:val="left"/>
              <w:rPr>
                <w:rFonts w:ascii="Arial Narrow" w:hAnsi="Arial Narrow"/>
                <w:b/>
                <w:sz w:val="20"/>
                <w:szCs w:val="20"/>
              </w:rPr>
            </w:pPr>
            <w:r w:rsidRPr="00AF5A00">
              <w:rPr>
                <w:rFonts w:ascii="Arial Narrow" w:hAnsi="Arial Narrow"/>
                <w:b/>
                <w:sz w:val="20"/>
                <w:szCs w:val="20"/>
              </w:rPr>
              <w:t>Locoregional recurrence</w:t>
            </w:r>
          </w:p>
        </w:tc>
        <w:tc>
          <w:tcPr>
            <w:tcW w:w="880" w:type="pct"/>
            <w:tcBorders>
              <w:top w:val="single" w:sz="4" w:space="0" w:color="auto"/>
              <w:left w:val="nil"/>
              <w:bottom w:val="single" w:sz="4" w:space="0" w:color="auto"/>
              <w:right w:val="nil"/>
            </w:tcBorders>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Times New Roman"/>
                <w:b/>
                <w:sz w:val="20"/>
                <w:szCs w:val="20"/>
              </w:rPr>
            </w:pPr>
          </w:p>
        </w:tc>
        <w:tc>
          <w:tcPr>
            <w:tcW w:w="1157" w:type="pct"/>
            <w:gridSpan w:val="2"/>
            <w:tcBorders>
              <w:top w:val="single" w:sz="4" w:space="0" w:color="auto"/>
              <w:left w:val="nil"/>
              <w:bottom w:val="single" w:sz="4" w:space="0" w:color="auto"/>
              <w:right w:val="nil"/>
            </w:tcBorders>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Times New Roman"/>
                <w:b/>
                <w:sz w:val="20"/>
                <w:szCs w:val="20"/>
              </w:rPr>
            </w:pPr>
          </w:p>
        </w:tc>
        <w:tc>
          <w:tcPr>
            <w:tcW w:w="1158" w:type="pct"/>
            <w:gridSpan w:val="2"/>
            <w:tcBorders>
              <w:top w:val="single" w:sz="4" w:space="0" w:color="auto"/>
              <w:left w:val="nil"/>
              <w:bottom w:val="single" w:sz="4" w:space="0" w:color="auto"/>
              <w:right w:val="single" w:sz="4" w:space="0" w:color="auto"/>
            </w:tcBorders>
            <w:vAlign w:val="center"/>
          </w:tcPr>
          <w:p w:rsidR="00872AAD" w:rsidRPr="00AF5A00" w:rsidRDefault="00872AAD" w:rsidP="00872AAD">
            <w:pPr>
              <w:keepNext/>
              <w:keepLines/>
              <w:spacing w:line="256" w:lineRule="auto"/>
              <w:jc w:val="center"/>
              <w:rPr>
                <w:rFonts w:ascii="Arial Narrow" w:hAnsi="Arial Narrow"/>
                <w:b/>
                <w:sz w:val="20"/>
                <w:szCs w:val="20"/>
              </w:rPr>
            </w:pPr>
          </w:p>
        </w:tc>
      </w:tr>
      <w:tr w:rsidR="00872AAD" w:rsidRPr="00AF5A00" w:rsidTr="00126A44">
        <w:trPr>
          <w:cantSplit/>
          <w:tblHeader/>
        </w:trPr>
        <w:tc>
          <w:tcPr>
            <w:tcW w:w="18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72AAD" w:rsidRPr="00AF5A00" w:rsidRDefault="00872AAD" w:rsidP="00872AAD">
            <w:pPr>
              <w:keepNext/>
              <w:keepLines/>
              <w:spacing w:line="256" w:lineRule="auto"/>
              <w:jc w:val="left"/>
              <w:rPr>
                <w:rFonts w:ascii="Arial Narrow" w:hAnsi="Arial Narrow"/>
                <w:sz w:val="20"/>
                <w:szCs w:val="20"/>
              </w:rPr>
            </w:pPr>
            <w:r w:rsidRPr="00AF5A00">
              <w:rPr>
                <w:rFonts w:ascii="Arial Narrow" w:hAnsi="Arial Narrow"/>
                <w:sz w:val="20"/>
                <w:szCs w:val="20"/>
              </w:rPr>
              <w:t>Trial locoregional recurrence (60.8 months)</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Times New Roman"/>
                <w:sz w:val="20"/>
                <w:szCs w:val="20"/>
              </w:rPr>
            </w:pPr>
            <w:r w:rsidRPr="00AF5A00">
              <w:rPr>
                <w:rFonts w:ascii="Arial Narrow" w:hAnsi="Arial Narrow" w:cs="Calibri"/>
                <w:bCs/>
                <w:noProof/>
                <w:sz w:val="20"/>
                <w:szCs w:val="20"/>
              </w:rPr>
              <w:t>3.9%</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Times New Roman"/>
                <w:sz w:val="20"/>
                <w:szCs w:val="20"/>
              </w:rPr>
            </w:pPr>
            <w:r w:rsidRPr="00AF5A00">
              <w:rPr>
                <w:rFonts w:ascii="Arial Narrow" w:hAnsi="Arial Narrow" w:cs="Calibri"/>
                <w:bCs/>
                <w:noProof/>
                <w:sz w:val="20"/>
                <w:szCs w:val="20"/>
              </w:rPr>
              <w:t>3.4%</w:t>
            </w:r>
          </w:p>
        </w:tc>
        <w:tc>
          <w:tcPr>
            <w:tcW w:w="1065" w:type="pct"/>
            <w:vAlign w:val="center"/>
          </w:tcPr>
          <w:p w:rsidR="00872AAD" w:rsidRPr="00AF5A00" w:rsidRDefault="00872AAD" w:rsidP="00872AAD">
            <w:pPr>
              <w:keepNext/>
              <w:keepLines/>
              <w:spacing w:line="256" w:lineRule="auto"/>
              <w:jc w:val="center"/>
              <w:rPr>
                <w:rFonts w:ascii="Arial Narrow" w:hAnsi="Arial Narrow"/>
                <w:sz w:val="20"/>
                <w:szCs w:val="20"/>
              </w:rPr>
            </w:pPr>
            <w:r w:rsidRPr="00AF5A00">
              <w:rPr>
                <w:rFonts w:ascii="Arial Narrow" w:hAnsi="Arial Narrow"/>
                <w:sz w:val="20"/>
                <w:szCs w:val="20"/>
              </w:rPr>
              <w:t>0.5</w:t>
            </w:r>
          </w:p>
        </w:tc>
      </w:tr>
      <w:tr w:rsidR="00872AAD" w:rsidRPr="00AF5A00" w:rsidTr="00126A44">
        <w:trPr>
          <w:cantSplit/>
          <w:tblHeader/>
        </w:trPr>
        <w:tc>
          <w:tcPr>
            <w:tcW w:w="18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72AAD" w:rsidRPr="00AF5A00" w:rsidRDefault="00872AAD" w:rsidP="00872AAD">
            <w:pPr>
              <w:keepNext/>
              <w:keepLines/>
              <w:spacing w:line="256" w:lineRule="auto"/>
              <w:jc w:val="left"/>
              <w:rPr>
                <w:rFonts w:ascii="Arial Narrow" w:hAnsi="Arial Narrow"/>
                <w:sz w:val="20"/>
                <w:szCs w:val="20"/>
              </w:rPr>
            </w:pPr>
            <w:r w:rsidRPr="00AF5A00">
              <w:rPr>
                <w:rFonts w:ascii="Arial Narrow" w:hAnsi="Arial Narrow"/>
                <w:sz w:val="20"/>
                <w:szCs w:val="20"/>
              </w:rPr>
              <w:t>Model locoregional recurrence (40 years)</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Times New Roman"/>
                <w:sz w:val="20"/>
                <w:szCs w:val="20"/>
              </w:rPr>
            </w:pPr>
            <w:r w:rsidRPr="00AF5A00">
              <w:rPr>
                <w:rFonts w:ascii="Arial Narrow" w:hAnsi="Arial Narrow" w:cs="Calibri"/>
                <w:bCs/>
                <w:noProof/>
                <w:sz w:val="20"/>
                <w:szCs w:val="20"/>
              </w:rPr>
              <w:t>7.2%</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Times New Roman"/>
                <w:sz w:val="20"/>
                <w:szCs w:val="20"/>
              </w:rPr>
            </w:pPr>
            <w:r w:rsidRPr="00AF5A00">
              <w:rPr>
                <w:rFonts w:ascii="Arial Narrow" w:hAnsi="Arial Narrow" w:cs="Calibri"/>
                <w:bCs/>
                <w:noProof/>
                <w:sz w:val="20"/>
                <w:szCs w:val="20"/>
              </w:rPr>
              <w:t>5.5%</w:t>
            </w:r>
          </w:p>
        </w:tc>
        <w:tc>
          <w:tcPr>
            <w:tcW w:w="1065" w:type="pct"/>
            <w:vAlign w:val="center"/>
          </w:tcPr>
          <w:p w:rsidR="00872AAD" w:rsidRPr="00AF5A00" w:rsidRDefault="00872AAD" w:rsidP="00872AAD">
            <w:pPr>
              <w:keepNext/>
              <w:keepLines/>
              <w:spacing w:line="256" w:lineRule="auto"/>
              <w:jc w:val="center"/>
              <w:rPr>
                <w:rFonts w:ascii="Arial Narrow" w:hAnsi="Arial Narrow"/>
                <w:sz w:val="20"/>
                <w:szCs w:val="20"/>
              </w:rPr>
            </w:pPr>
            <w:r w:rsidRPr="00AF5A00">
              <w:rPr>
                <w:rFonts w:ascii="Arial Narrow" w:hAnsi="Arial Narrow"/>
                <w:sz w:val="20"/>
                <w:szCs w:val="20"/>
              </w:rPr>
              <w:t>1.8</w:t>
            </w:r>
          </w:p>
        </w:tc>
      </w:tr>
      <w:tr w:rsidR="00872AAD" w:rsidRPr="00AF5A00" w:rsidTr="00126A44">
        <w:trPr>
          <w:cantSplit/>
        </w:trPr>
        <w:tc>
          <w:tcPr>
            <w:tcW w:w="1804" w:type="pct"/>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rsidR="00872AAD" w:rsidRPr="00AF5A00" w:rsidRDefault="00872AAD" w:rsidP="00872AAD">
            <w:pPr>
              <w:keepNext/>
              <w:keepLines/>
              <w:spacing w:line="256" w:lineRule="auto"/>
              <w:jc w:val="left"/>
              <w:rPr>
                <w:rFonts w:ascii="Arial Narrow" w:hAnsi="Arial Narrow" w:cs="Calibri"/>
                <w:iCs/>
                <w:snapToGrid w:val="0"/>
                <w:sz w:val="20"/>
                <w:szCs w:val="20"/>
              </w:rPr>
            </w:pPr>
            <w:r w:rsidRPr="00AF5A00">
              <w:rPr>
                <w:rFonts w:ascii="Arial Narrow" w:hAnsi="Arial Narrow" w:cs="Times New Roman"/>
                <w:b/>
                <w:snapToGrid w:val="0"/>
                <w:sz w:val="20"/>
                <w:szCs w:val="20"/>
              </w:rPr>
              <w:t>Metastatic recurrence</w:t>
            </w:r>
          </w:p>
        </w:tc>
        <w:tc>
          <w:tcPr>
            <w:tcW w:w="880" w:type="pct"/>
            <w:tcBorders>
              <w:top w:val="single" w:sz="4" w:space="0" w:color="auto"/>
              <w:left w:val="nil"/>
              <w:bottom w:val="single" w:sz="4" w:space="0" w:color="auto"/>
              <w:right w:val="nil"/>
            </w:tcBorders>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iCs/>
                <w:snapToGrid w:val="0"/>
                <w:sz w:val="20"/>
                <w:szCs w:val="20"/>
              </w:rPr>
            </w:pPr>
          </w:p>
        </w:tc>
        <w:tc>
          <w:tcPr>
            <w:tcW w:w="1157" w:type="pct"/>
            <w:gridSpan w:val="2"/>
            <w:tcBorders>
              <w:top w:val="single" w:sz="4" w:space="0" w:color="auto"/>
              <w:left w:val="nil"/>
              <w:bottom w:val="single" w:sz="4" w:space="0" w:color="auto"/>
              <w:right w:val="nil"/>
            </w:tcBorders>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iCs/>
                <w:snapToGrid w:val="0"/>
                <w:sz w:val="20"/>
                <w:szCs w:val="20"/>
              </w:rPr>
            </w:pPr>
          </w:p>
        </w:tc>
        <w:tc>
          <w:tcPr>
            <w:tcW w:w="1158" w:type="pct"/>
            <w:gridSpan w:val="2"/>
            <w:tcBorders>
              <w:top w:val="single" w:sz="4" w:space="0" w:color="auto"/>
              <w:left w:val="nil"/>
              <w:bottom w:val="single" w:sz="4" w:space="0" w:color="auto"/>
              <w:right w:val="single" w:sz="4" w:space="0" w:color="auto"/>
            </w:tcBorders>
            <w:vAlign w:val="center"/>
          </w:tcPr>
          <w:p w:rsidR="00872AAD" w:rsidRPr="00AF5A00" w:rsidRDefault="00872AAD" w:rsidP="00872AAD">
            <w:pPr>
              <w:keepNext/>
              <w:keepLines/>
              <w:spacing w:line="256" w:lineRule="auto"/>
              <w:jc w:val="center"/>
              <w:rPr>
                <w:rFonts w:ascii="Arial Narrow" w:hAnsi="Arial Narrow" w:cs="Calibri"/>
                <w:iCs/>
                <w:snapToGrid w:val="0"/>
                <w:sz w:val="20"/>
                <w:szCs w:val="20"/>
              </w:rPr>
            </w:pPr>
          </w:p>
        </w:tc>
      </w:tr>
      <w:tr w:rsidR="00872AAD" w:rsidRPr="00AF5A00" w:rsidTr="00126A44">
        <w:trPr>
          <w:cantSplit/>
        </w:trPr>
        <w:tc>
          <w:tcPr>
            <w:tcW w:w="18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72AAD" w:rsidRPr="00AF5A00" w:rsidRDefault="00872AAD" w:rsidP="00872AAD">
            <w:pPr>
              <w:keepNext/>
              <w:keepLines/>
              <w:spacing w:line="256" w:lineRule="auto"/>
              <w:jc w:val="left"/>
              <w:rPr>
                <w:rFonts w:ascii="Arial Narrow" w:hAnsi="Arial Narrow" w:cs="Calibri"/>
                <w:iCs/>
                <w:snapToGrid w:val="0"/>
                <w:sz w:val="20"/>
                <w:szCs w:val="20"/>
              </w:rPr>
            </w:pPr>
            <w:r w:rsidRPr="00AF5A00">
              <w:rPr>
                <w:rFonts w:ascii="Arial Narrow" w:hAnsi="Arial Narrow" w:cs="Times New Roman"/>
                <w:snapToGrid w:val="0"/>
                <w:sz w:val="20"/>
                <w:szCs w:val="20"/>
              </w:rPr>
              <w:t>Trial metastatic recurrence (60.8 months)</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iCs/>
                <w:snapToGrid w:val="0"/>
                <w:sz w:val="20"/>
                <w:szCs w:val="20"/>
              </w:rPr>
            </w:pPr>
            <w:r w:rsidRPr="00AF5A00">
              <w:rPr>
                <w:rFonts w:ascii="Arial Narrow" w:hAnsi="Arial Narrow" w:cs="Calibri"/>
                <w:bCs/>
                <w:noProof/>
                <w:snapToGrid w:val="0"/>
                <w:sz w:val="20"/>
                <w:szCs w:val="20"/>
              </w:rPr>
              <w:t>9.5%</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iCs/>
                <w:snapToGrid w:val="0"/>
                <w:sz w:val="20"/>
                <w:szCs w:val="20"/>
              </w:rPr>
            </w:pPr>
            <w:r w:rsidRPr="00AF5A00">
              <w:rPr>
                <w:rFonts w:ascii="Arial Narrow" w:hAnsi="Arial Narrow" w:cs="Calibri"/>
                <w:bCs/>
                <w:noProof/>
                <w:snapToGrid w:val="0"/>
                <w:sz w:val="20"/>
                <w:szCs w:val="20"/>
              </w:rPr>
              <w:t>15.3%</w:t>
            </w:r>
          </w:p>
        </w:tc>
        <w:tc>
          <w:tcPr>
            <w:tcW w:w="1065" w:type="pct"/>
            <w:vAlign w:val="center"/>
          </w:tcPr>
          <w:p w:rsidR="00872AAD" w:rsidRPr="00AF5A00" w:rsidRDefault="00872AAD" w:rsidP="00872AAD">
            <w:pPr>
              <w:keepNext/>
              <w:keepLines/>
              <w:spacing w:line="256" w:lineRule="auto"/>
              <w:jc w:val="center"/>
              <w:rPr>
                <w:rFonts w:ascii="Arial Narrow" w:hAnsi="Arial Narrow" w:cs="Calibri"/>
                <w:iCs/>
                <w:snapToGrid w:val="0"/>
                <w:sz w:val="20"/>
                <w:szCs w:val="20"/>
              </w:rPr>
            </w:pPr>
            <w:r w:rsidRPr="00AF5A00">
              <w:rPr>
                <w:rFonts w:ascii="Arial Narrow" w:hAnsi="Arial Narrow" w:cs="Calibri"/>
                <w:bCs/>
                <w:noProof/>
                <w:snapToGrid w:val="0"/>
                <w:sz w:val="20"/>
                <w:szCs w:val="20"/>
              </w:rPr>
              <w:t>-5.8</w:t>
            </w:r>
          </w:p>
        </w:tc>
      </w:tr>
      <w:tr w:rsidR="00872AAD" w:rsidRPr="00AF5A00" w:rsidTr="00126A44">
        <w:trPr>
          <w:cantSplit/>
        </w:trPr>
        <w:tc>
          <w:tcPr>
            <w:tcW w:w="18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72AAD" w:rsidRPr="00AF5A00" w:rsidRDefault="00872AAD" w:rsidP="00872AAD">
            <w:pPr>
              <w:keepNext/>
              <w:keepLines/>
              <w:spacing w:line="256" w:lineRule="auto"/>
              <w:jc w:val="left"/>
              <w:rPr>
                <w:rFonts w:ascii="Arial Narrow" w:hAnsi="Arial Narrow" w:cs="Calibri"/>
                <w:iCs/>
                <w:snapToGrid w:val="0"/>
                <w:sz w:val="20"/>
                <w:szCs w:val="20"/>
              </w:rPr>
            </w:pPr>
            <w:r w:rsidRPr="00AF5A00">
              <w:rPr>
                <w:rFonts w:ascii="Arial Narrow" w:hAnsi="Arial Narrow" w:cs="Times New Roman"/>
                <w:snapToGrid w:val="0"/>
                <w:sz w:val="20"/>
                <w:szCs w:val="20"/>
              </w:rPr>
              <w:t>Model metastatic recurrence (40 years)</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iCs/>
                <w:snapToGrid w:val="0"/>
                <w:sz w:val="20"/>
                <w:szCs w:val="20"/>
              </w:rPr>
            </w:pPr>
            <w:r w:rsidRPr="00AF5A00">
              <w:rPr>
                <w:rFonts w:ascii="Arial Narrow" w:hAnsi="Arial Narrow" w:cs="Calibri"/>
                <w:bCs/>
                <w:noProof/>
                <w:snapToGrid w:val="0"/>
                <w:sz w:val="20"/>
                <w:szCs w:val="20"/>
              </w:rPr>
              <w:t>22.6%</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iCs/>
                <w:snapToGrid w:val="0"/>
                <w:sz w:val="20"/>
                <w:szCs w:val="20"/>
              </w:rPr>
            </w:pPr>
            <w:r w:rsidRPr="00AF5A00">
              <w:rPr>
                <w:rFonts w:ascii="Arial Narrow" w:hAnsi="Arial Narrow" w:cs="Calibri"/>
                <w:bCs/>
                <w:noProof/>
                <w:snapToGrid w:val="0"/>
                <w:sz w:val="20"/>
                <w:szCs w:val="20"/>
              </w:rPr>
              <w:t>28.5%</w:t>
            </w:r>
          </w:p>
        </w:tc>
        <w:tc>
          <w:tcPr>
            <w:tcW w:w="1065" w:type="pct"/>
            <w:vAlign w:val="center"/>
          </w:tcPr>
          <w:p w:rsidR="00872AAD" w:rsidRPr="00AF5A00" w:rsidRDefault="00872AAD" w:rsidP="00872AAD">
            <w:pPr>
              <w:keepNext/>
              <w:keepLines/>
              <w:spacing w:line="256" w:lineRule="auto"/>
              <w:jc w:val="center"/>
              <w:rPr>
                <w:rFonts w:ascii="Arial Narrow" w:hAnsi="Arial Narrow" w:cs="Calibri"/>
                <w:iCs/>
                <w:snapToGrid w:val="0"/>
                <w:sz w:val="20"/>
                <w:szCs w:val="20"/>
              </w:rPr>
            </w:pPr>
            <w:r w:rsidRPr="00AF5A00">
              <w:rPr>
                <w:rFonts w:ascii="Arial Narrow" w:hAnsi="Arial Narrow" w:cs="Calibri"/>
                <w:bCs/>
                <w:noProof/>
                <w:snapToGrid w:val="0"/>
                <w:sz w:val="20"/>
                <w:szCs w:val="20"/>
              </w:rPr>
              <w:t>-5.9</w:t>
            </w:r>
          </w:p>
        </w:tc>
      </w:tr>
      <w:tr w:rsidR="00872AAD" w:rsidRPr="00AF5A00" w:rsidTr="00126A44">
        <w:trPr>
          <w:cantSplit/>
        </w:trPr>
        <w:tc>
          <w:tcPr>
            <w:tcW w:w="18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2AAD" w:rsidRPr="00AF5A00" w:rsidRDefault="00872AAD" w:rsidP="00872AAD">
            <w:pPr>
              <w:keepNext/>
              <w:keepLines/>
              <w:spacing w:line="256" w:lineRule="auto"/>
              <w:jc w:val="left"/>
              <w:rPr>
                <w:rFonts w:ascii="Arial Narrow" w:hAnsi="Arial Narrow" w:cs="Times New Roman"/>
                <w:snapToGrid w:val="0"/>
                <w:sz w:val="20"/>
                <w:szCs w:val="20"/>
              </w:rPr>
            </w:pPr>
            <w:r w:rsidRPr="00AF5A00">
              <w:rPr>
                <w:rFonts w:ascii="Arial Narrow" w:hAnsi="Arial Narrow" w:cs="Times New Roman"/>
                <w:b/>
                <w:snapToGrid w:val="0"/>
                <w:sz w:val="20"/>
                <w:szCs w:val="20"/>
              </w:rPr>
              <w:t>Any recurrence</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bCs/>
                <w:noProof/>
                <w:snapToGrid w:val="0"/>
                <w:sz w:val="20"/>
                <w:szCs w:val="20"/>
              </w:rPr>
            </w:pP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bCs/>
                <w:noProof/>
                <w:snapToGrid w:val="0"/>
                <w:sz w:val="20"/>
                <w:szCs w:val="20"/>
              </w:rPr>
            </w:pPr>
          </w:p>
        </w:tc>
        <w:tc>
          <w:tcPr>
            <w:tcW w:w="1065" w:type="pct"/>
            <w:vAlign w:val="center"/>
          </w:tcPr>
          <w:p w:rsidR="00872AAD" w:rsidRPr="00AF5A00" w:rsidRDefault="00872AAD" w:rsidP="00872AAD">
            <w:pPr>
              <w:keepNext/>
              <w:keepLines/>
              <w:spacing w:line="256" w:lineRule="auto"/>
              <w:jc w:val="center"/>
              <w:rPr>
                <w:rFonts w:ascii="Arial Narrow" w:hAnsi="Arial Narrow" w:cs="Calibri"/>
                <w:bCs/>
                <w:noProof/>
                <w:snapToGrid w:val="0"/>
                <w:sz w:val="20"/>
                <w:szCs w:val="20"/>
              </w:rPr>
            </w:pPr>
          </w:p>
        </w:tc>
      </w:tr>
      <w:tr w:rsidR="00872AAD" w:rsidRPr="00AF5A00" w:rsidTr="00126A44">
        <w:trPr>
          <w:cantSplit/>
        </w:trPr>
        <w:tc>
          <w:tcPr>
            <w:tcW w:w="18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2AAD" w:rsidRPr="00AF5A00" w:rsidRDefault="00872AAD" w:rsidP="00872AAD">
            <w:pPr>
              <w:keepNext/>
              <w:keepLines/>
              <w:spacing w:line="256" w:lineRule="auto"/>
              <w:jc w:val="left"/>
              <w:rPr>
                <w:rFonts w:ascii="Arial Narrow" w:hAnsi="Arial Narrow" w:cs="Times New Roman"/>
                <w:snapToGrid w:val="0"/>
                <w:sz w:val="20"/>
                <w:szCs w:val="20"/>
              </w:rPr>
            </w:pPr>
            <w:r w:rsidRPr="00AF5A00">
              <w:rPr>
                <w:rFonts w:ascii="Arial Narrow" w:hAnsi="Arial Narrow" w:cs="Times New Roman"/>
                <w:snapToGrid w:val="0"/>
                <w:sz w:val="20"/>
                <w:szCs w:val="20"/>
              </w:rPr>
              <w:t>Trial any recurrence (60.8 months)</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bCs/>
                <w:noProof/>
                <w:snapToGrid w:val="0"/>
                <w:sz w:val="20"/>
                <w:szCs w:val="20"/>
              </w:rPr>
            </w:pPr>
            <w:r w:rsidRPr="00AF5A00">
              <w:rPr>
                <w:rFonts w:ascii="Arial Narrow" w:hAnsi="Arial Narrow" w:cs="Calibri"/>
                <w:bCs/>
                <w:noProof/>
                <w:snapToGrid w:val="0"/>
                <w:sz w:val="20"/>
                <w:szCs w:val="20"/>
              </w:rPr>
              <w:t>13.4%</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bCs/>
                <w:noProof/>
                <w:snapToGrid w:val="0"/>
                <w:sz w:val="20"/>
                <w:szCs w:val="20"/>
              </w:rPr>
            </w:pPr>
            <w:r w:rsidRPr="00AF5A00">
              <w:rPr>
                <w:rFonts w:ascii="Arial Narrow" w:hAnsi="Arial Narrow" w:cs="Calibri"/>
                <w:bCs/>
                <w:noProof/>
                <w:snapToGrid w:val="0"/>
                <w:sz w:val="20"/>
                <w:szCs w:val="20"/>
              </w:rPr>
              <w:t>18.7%</w:t>
            </w:r>
          </w:p>
        </w:tc>
        <w:tc>
          <w:tcPr>
            <w:tcW w:w="1065" w:type="pct"/>
            <w:vAlign w:val="center"/>
          </w:tcPr>
          <w:p w:rsidR="00872AAD" w:rsidRPr="00AF5A00" w:rsidRDefault="00872AAD" w:rsidP="00872AAD">
            <w:pPr>
              <w:keepNext/>
              <w:keepLines/>
              <w:spacing w:line="256" w:lineRule="auto"/>
              <w:jc w:val="center"/>
              <w:rPr>
                <w:rFonts w:ascii="Arial Narrow" w:hAnsi="Arial Narrow" w:cs="Calibri"/>
                <w:bCs/>
                <w:noProof/>
                <w:snapToGrid w:val="0"/>
                <w:sz w:val="20"/>
                <w:szCs w:val="20"/>
              </w:rPr>
            </w:pPr>
            <w:r w:rsidRPr="00AF5A00">
              <w:rPr>
                <w:rFonts w:ascii="Arial Narrow" w:hAnsi="Arial Narrow" w:cs="Calibri"/>
                <w:bCs/>
                <w:noProof/>
                <w:snapToGrid w:val="0"/>
                <w:sz w:val="20"/>
                <w:szCs w:val="20"/>
              </w:rPr>
              <w:t>-5.3</w:t>
            </w:r>
          </w:p>
        </w:tc>
      </w:tr>
      <w:tr w:rsidR="00872AAD" w:rsidRPr="00AF5A00" w:rsidTr="00126A44">
        <w:trPr>
          <w:cantSplit/>
        </w:trPr>
        <w:tc>
          <w:tcPr>
            <w:tcW w:w="18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2AAD" w:rsidRPr="00AF5A00" w:rsidRDefault="00872AAD" w:rsidP="00872AAD">
            <w:pPr>
              <w:keepNext/>
              <w:keepLines/>
              <w:spacing w:line="256" w:lineRule="auto"/>
              <w:jc w:val="left"/>
              <w:rPr>
                <w:rFonts w:ascii="Arial Narrow" w:hAnsi="Arial Narrow" w:cs="Times New Roman"/>
                <w:snapToGrid w:val="0"/>
                <w:sz w:val="20"/>
                <w:szCs w:val="20"/>
              </w:rPr>
            </w:pPr>
            <w:r w:rsidRPr="00AF5A00">
              <w:rPr>
                <w:rFonts w:ascii="Arial Narrow" w:hAnsi="Arial Narrow" w:cs="Times New Roman"/>
                <w:snapToGrid w:val="0"/>
                <w:sz w:val="20"/>
                <w:szCs w:val="20"/>
              </w:rPr>
              <w:t>Model any recurrence (40 years)</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bCs/>
                <w:noProof/>
                <w:snapToGrid w:val="0"/>
                <w:sz w:val="20"/>
                <w:szCs w:val="20"/>
              </w:rPr>
            </w:pPr>
            <w:r w:rsidRPr="00AF5A00">
              <w:rPr>
                <w:rFonts w:ascii="Arial Narrow" w:hAnsi="Arial Narrow" w:cs="Calibri"/>
                <w:bCs/>
                <w:noProof/>
                <w:snapToGrid w:val="0"/>
                <w:sz w:val="20"/>
                <w:szCs w:val="20"/>
              </w:rPr>
              <w:t>29.8%</w:t>
            </w:r>
          </w:p>
        </w:tc>
        <w:tc>
          <w:tcPr>
            <w:tcW w:w="1065" w:type="pct"/>
            <w:gridSpan w:val="2"/>
            <w:tcMar>
              <w:top w:w="0" w:type="dxa"/>
              <w:left w:w="57" w:type="dxa"/>
              <w:bottom w:w="0" w:type="dxa"/>
              <w:right w:w="57" w:type="dxa"/>
            </w:tcMar>
            <w:vAlign w:val="center"/>
          </w:tcPr>
          <w:p w:rsidR="00872AAD" w:rsidRPr="00AF5A00" w:rsidRDefault="00872AAD" w:rsidP="00872AAD">
            <w:pPr>
              <w:keepNext/>
              <w:keepLines/>
              <w:spacing w:line="256" w:lineRule="auto"/>
              <w:jc w:val="center"/>
              <w:rPr>
                <w:rFonts w:ascii="Arial Narrow" w:hAnsi="Arial Narrow" w:cs="Calibri"/>
                <w:bCs/>
                <w:noProof/>
                <w:snapToGrid w:val="0"/>
                <w:sz w:val="20"/>
                <w:szCs w:val="20"/>
              </w:rPr>
            </w:pPr>
            <w:r w:rsidRPr="00AF5A00">
              <w:rPr>
                <w:rFonts w:ascii="Arial Narrow" w:hAnsi="Arial Narrow" w:cs="Calibri"/>
                <w:bCs/>
                <w:noProof/>
                <w:snapToGrid w:val="0"/>
                <w:sz w:val="20"/>
                <w:szCs w:val="20"/>
              </w:rPr>
              <w:t>33.9%</w:t>
            </w:r>
          </w:p>
        </w:tc>
        <w:tc>
          <w:tcPr>
            <w:tcW w:w="1065" w:type="pct"/>
            <w:vAlign w:val="center"/>
          </w:tcPr>
          <w:p w:rsidR="00872AAD" w:rsidRPr="00AF5A00" w:rsidRDefault="00872AAD" w:rsidP="00872AAD">
            <w:pPr>
              <w:keepNext/>
              <w:keepLines/>
              <w:spacing w:line="256" w:lineRule="auto"/>
              <w:jc w:val="center"/>
              <w:rPr>
                <w:rFonts w:ascii="Arial Narrow" w:hAnsi="Arial Narrow" w:cs="Calibri"/>
                <w:bCs/>
                <w:noProof/>
                <w:snapToGrid w:val="0"/>
                <w:sz w:val="20"/>
                <w:szCs w:val="20"/>
              </w:rPr>
            </w:pPr>
            <w:r w:rsidRPr="00AF5A00">
              <w:rPr>
                <w:rFonts w:ascii="Arial Narrow" w:hAnsi="Arial Narrow" w:cs="Calibri"/>
                <w:bCs/>
                <w:noProof/>
                <w:snapToGrid w:val="0"/>
                <w:sz w:val="20"/>
                <w:szCs w:val="20"/>
              </w:rPr>
              <w:t>-4.1</w:t>
            </w:r>
          </w:p>
        </w:tc>
      </w:tr>
    </w:tbl>
    <w:p w:rsidR="00872AAD" w:rsidRPr="00AF5A00" w:rsidRDefault="00872AAD" w:rsidP="00872AAD">
      <w:pPr>
        <w:spacing w:after="120"/>
        <w:contextualSpacing/>
        <w:rPr>
          <w:rFonts w:ascii="Arial Narrow" w:hAnsi="Arial Narrow"/>
          <w:snapToGrid w:val="0"/>
          <w:sz w:val="18"/>
          <w:szCs w:val="22"/>
        </w:rPr>
      </w:pPr>
      <w:r w:rsidRPr="00AF5A00">
        <w:rPr>
          <w:rFonts w:ascii="Arial Narrow" w:hAnsi="Arial Narrow"/>
          <w:snapToGrid w:val="0"/>
          <w:sz w:val="18"/>
          <w:szCs w:val="22"/>
        </w:rPr>
        <w:t>Source: Table 3.14, p115 of the submission, sheet ‘Results’ of Economic Evaluation workbook.</w:t>
      </w:r>
    </w:p>
    <w:p w:rsidR="00872AAD" w:rsidRPr="00AF5A00" w:rsidRDefault="00872AAD" w:rsidP="00872AAD">
      <w:pPr>
        <w:spacing w:after="120"/>
        <w:contextualSpacing/>
        <w:rPr>
          <w:rFonts w:ascii="Arial Narrow" w:hAnsi="Arial Narrow"/>
          <w:snapToGrid w:val="0"/>
          <w:sz w:val="18"/>
          <w:szCs w:val="18"/>
        </w:rPr>
      </w:pPr>
      <w:r w:rsidRPr="00AF5A00">
        <w:rPr>
          <w:rFonts w:ascii="Arial Narrow" w:hAnsi="Arial Narrow"/>
          <w:snapToGrid w:val="0"/>
          <w:sz w:val="18"/>
          <w:szCs w:val="18"/>
        </w:rPr>
        <w:t>LY = life years; P</w:t>
      </w:r>
      <w:r w:rsidR="00F65299">
        <w:rPr>
          <w:rFonts w:ascii="Arial Narrow" w:hAnsi="Arial Narrow"/>
          <w:snapToGrid w:val="0"/>
          <w:sz w:val="18"/>
          <w:szCs w:val="18"/>
        </w:rPr>
        <w:t>tz</w:t>
      </w:r>
      <w:r w:rsidRPr="00AF5A00">
        <w:rPr>
          <w:rFonts w:ascii="Arial Narrow" w:hAnsi="Arial Narrow"/>
          <w:snapToGrid w:val="0"/>
          <w:sz w:val="18"/>
          <w:szCs w:val="18"/>
        </w:rPr>
        <w:t>+T+C</w:t>
      </w:r>
      <w:r w:rsidR="00F65299">
        <w:rPr>
          <w:rFonts w:ascii="Arial Narrow" w:hAnsi="Arial Narrow"/>
          <w:snapToGrid w:val="0"/>
          <w:sz w:val="18"/>
          <w:szCs w:val="18"/>
        </w:rPr>
        <w:t>hemo</w:t>
      </w:r>
      <w:r w:rsidRPr="00AF5A00">
        <w:rPr>
          <w:rFonts w:ascii="Arial Narrow" w:hAnsi="Arial Narrow"/>
          <w:snapToGrid w:val="0"/>
          <w:sz w:val="18"/>
          <w:szCs w:val="18"/>
        </w:rPr>
        <w:t xml:space="preserve"> = pertuzumab + trastuzumab + chemotherapy; T+C</w:t>
      </w:r>
      <w:r w:rsidR="00F65299">
        <w:rPr>
          <w:rFonts w:ascii="Arial Narrow" w:hAnsi="Arial Narrow"/>
          <w:snapToGrid w:val="0"/>
          <w:sz w:val="18"/>
          <w:szCs w:val="18"/>
        </w:rPr>
        <w:t>hemo</w:t>
      </w:r>
      <w:r w:rsidRPr="00AF5A00">
        <w:rPr>
          <w:rFonts w:ascii="Arial Narrow" w:hAnsi="Arial Narrow"/>
          <w:snapToGrid w:val="0"/>
          <w:sz w:val="18"/>
          <w:szCs w:val="18"/>
        </w:rPr>
        <w:t xml:space="preserve"> = trastuzumab + chemotherapy</w:t>
      </w:r>
    </w:p>
    <w:p w:rsidR="00872AAD" w:rsidRPr="00A1388F" w:rsidRDefault="00550A5E" w:rsidP="00F03233">
      <w:pPr>
        <w:pStyle w:val="3-BodyText"/>
      </w:pPr>
      <w:r>
        <w:t xml:space="preserve">Table </w:t>
      </w:r>
      <w:r>
        <w:rPr>
          <w:noProof/>
        </w:rPr>
        <w:t>16</w:t>
      </w:r>
      <w:r w:rsidR="00F03233">
        <w:t xml:space="preserve"> </w:t>
      </w:r>
      <w:r w:rsidR="00872AAD" w:rsidRPr="00A1388F">
        <w:t>presents the disaggregated QALYs from the economic evaluation. Additional QALYs gained in PFS account for 112% of total incremental QALYs. Fewer QALYs gained in metastatic disease (1st line and 2nd line metastatic breast cancer) account for 15% and 10% of total QALYs.</w:t>
      </w:r>
    </w:p>
    <w:p w:rsidR="00872AAD" w:rsidRPr="009E19E1" w:rsidRDefault="00F03233" w:rsidP="009E19E1">
      <w:pPr>
        <w:pStyle w:val="TableFigureHeading"/>
      </w:pPr>
      <w:bookmarkStart w:id="60" w:name="_Ref33608121"/>
      <w:r>
        <w:t xml:space="preserve">Table </w:t>
      </w:r>
      <w:r w:rsidR="00550A5E">
        <w:rPr>
          <w:noProof/>
        </w:rPr>
        <w:t>16</w:t>
      </w:r>
      <w:bookmarkEnd w:id="60"/>
      <w:r w:rsidR="00872AAD" w:rsidRPr="009E19E1">
        <w:t>: Disaggregated summary of QALYs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9"/>
        <w:gridCol w:w="1910"/>
        <w:gridCol w:w="1910"/>
        <w:gridCol w:w="1618"/>
        <w:gridCol w:w="2050"/>
      </w:tblGrid>
      <w:tr w:rsidR="00872AAD" w:rsidRPr="00AF5A00" w:rsidTr="00126A44">
        <w:trPr>
          <w:cantSplit/>
        </w:trPr>
        <w:tc>
          <w:tcPr>
            <w:tcW w:w="84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2AAD" w:rsidRPr="00AF5A00" w:rsidRDefault="00872AAD" w:rsidP="00872AAD">
            <w:pPr>
              <w:keepNext/>
              <w:jc w:val="left"/>
              <w:rPr>
                <w:rFonts w:ascii="Arial Narrow" w:eastAsiaTheme="majorEastAsia" w:hAnsi="Arial Narrow" w:cs="Times New Roman"/>
                <w:b/>
                <w:sz w:val="20"/>
              </w:rPr>
            </w:pPr>
            <w:r w:rsidRPr="00AF5A00">
              <w:rPr>
                <w:rFonts w:ascii="Arial Narrow" w:eastAsiaTheme="majorEastAsia" w:hAnsi="Arial Narrow" w:cs="Times New Roman"/>
                <w:b/>
                <w:sz w:val="20"/>
              </w:rPr>
              <w:t xml:space="preserve">Outcome – QALYs </w:t>
            </w:r>
          </w:p>
        </w:tc>
        <w:tc>
          <w:tcPr>
            <w:tcW w:w="105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 xml:space="preserve">Pertuzumab + trastuzumab </w:t>
            </w:r>
          </w:p>
        </w:tc>
        <w:tc>
          <w:tcPr>
            <w:tcW w:w="105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 xml:space="preserve">Trastuzumab </w:t>
            </w:r>
          </w:p>
        </w:tc>
        <w:tc>
          <w:tcPr>
            <w:tcW w:w="897"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 xml:space="preserve">Incremental </w:t>
            </w:r>
          </w:p>
        </w:tc>
        <w:tc>
          <w:tcPr>
            <w:tcW w:w="113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 xml:space="preserve">% of total incremental </w:t>
            </w:r>
          </w:p>
        </w:tc>
      </w:tr>
      <w:tr w:rsidR="00872AAD" w:rsidRPr="00AF5A00" w:rsidTr="00126A44">
        <w:trPr>
          <w:cantSplit/>
        </w:trPr>
        <w:tc>
          <w:tcPr>
            <w:tcW w:w="84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PFS</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11.19</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10.53</w:t>
            </w:r>
          </w:p>
        </w:tc>
        <w:tc>
          <w:tcPr>
            <w:tcW w:w="897" w:type="pct"/>
            <w:tcBorders>
              <w:top w:val="nil"/>
              <w:left w:val="nil"/>
              <w:bottom w:val="single" w:sz="8" w:space="0" w:color="auto"/>
              <w:right w:val="single" w:sz="8" w:space="0" w:color="auto"/>
            </w:tcBorders>
            <w:shd w:val="clear" w:color="auto" w:fill="auto"/>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0.66</w:t>
            </w:r>
          </w:p>
        </w:tc>
        <w:tc>
          <w:tcPr>
            <w:tcW w:w="1137"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112%</w:t>
            </w:r>
          </w:p>
        </w:tc>
      </w:tr>
      <w:tr w:rsidR="00872AAD" w:rsidRPr="00AF5A00" w:rsidTr="00126A44">
        <w:trPr>
          <w:cantSplit/>
        </w:trPr>
        <w:tc>
          <w:tcPr>
            <w:tcW w:w="84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Locoregional recurrence</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0.04</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0.03</w:t>
            </w:r>
          </w:p>
        </w:tc>
        <w:tc>
          <w:tcPr>
            <w:tcW w:w="897" w:type="pct"/>
            <w:tcBorders>
              <w:top w:val="nil"/>
              <w:left w:val="nil"/>
              <w:bottom w:val="single" w:sz="8" w:space="0" w:color="auto"/>
              <w:right w:val="single" w:sz="8" w:space="0" w:color="auto"/>
            </w:tcBorders>
            <w:shd w:val="clear" w:color="auto" w:fill="auto"/>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0.01</w:t>
            </w:r>
          </w:p>
        </w:tc>
        <w:tc>
          <w:tcPr>
            <w:tcW w:w="1137"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2%</w:t>
            </w:r>
          </w:p>
        </w:tc>
      </w:tr>
      <w:tr w:rsidR="00872AAD" w:rsidRPr="00AF5A00" w:rsidTr="00126A44">
        <w:trPr>
          <w:cantSplit/>
        </w:trPr>
        <w:tc>
          <w:tcPr>
            <w:tcW w:w="84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Remission</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0.32</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0.25</w:t>
            </w:r>
          </w:p>
        </w:tc>
        <w:tc>
          <w:tcPr>
            <w:tcW w:w="897" w:type="pct"/>
            <w:tcBorders>
              <w:top w:val="nil"/>
              <w:left w:val="nil"/>
              <w:bottom w:val="single" w:sz="8" w:space="0" w:color="auto"/>
              <w:right w:val="single" w:sz="8" w:space="0" w:color="auto"/>
            </w:tcBorders>
            <w:shd w:val="clear" w:color="auto" w:fill="auto"/>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0.07</w:t>
            </w:r>
          </w:p>
        </w:tc>
        <w:tc>
          <w:tcPr>
            <w:tcW w:w="1137"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12%</w:t>
            </w:r>
          </w:p>
        </w:tc>
      </w:tr>
      <w:tr w:rsidR="00872AAD" w:rsidRPr="00AF5A00" w:rsidTr="00126A44">
        <w:trPr>
          <w:cantSplit/>
        </w:trPr>
        <w:tc>
          <w:tcPr>
            <w:tcW w:w="84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1</w:t>
            </w:r>
            <w:r w:rsidRPr="00AF5A00">
              <w:rPr>
                <w:rFonts w:ascii="Arial Narrow" w:eastAsiaTheme="majorEastAsia" w:hAnsi="Arial Narrow" w:cstheme="majorBidi"/>
                <w:bCs/>
                <w:sz w:val="20"/>
                <w:vertAlign w:val="superscript"/>
              </w:rPr>
              <w:t>st</w:t>
            </w:r>
            <w:r w:rsidRPr="00AF5A00">
              <w:rPr>
                <w:rFonts w:ascii="Arial Narrow" w:eastAsiaTheme="majorEastAsia" w:hAnsi="Arial Narrow" w:cstheme="majorBidi"/>
                <w:bCs/>
                <w:sz w:val="20"/>
              </w:rPr>
              <w:t xml:space="preserve"> line mBC</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0.25</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0.34</w:t>
            </w:r>
          </w:p>
        </w:tc>
        <w:tc>
          <w:tcPr>
            <w:tcW w:w="897" w:type="pct"/>
            <w:tcBorders>
              <w:top w:val="nil"/>
              <w:left w:val="nil"/>
              <w:bottom w:val="single" w:sz="8" w:space="0" w:color="auto"/>
              <w:right w:val="single" w:sz="8" w:space="0" w:color="auto"/>
            </w:tcBorders>
            <w:shd w:val="clear" w:color="auto" w:fill="auto"/>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-0.09</w:t>
            </w:r>
          </w:p>
        </w:tc>
        <w:tc>
          <w:tcPr>
            <w:tcW w:w="1137"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-15%</w:t>
            </w:r>
          </w:p>
        </w:tc>
      </w:tr>
      <w:tr w:rsidR="00872AAD" w:rsidRPr="00AF5A00" w:rsidTr="00126A44">
        <w:trPr>
          <w:cantSplit/>
        </w:trPr>
        <w:tc>
          <w:tcPr>
            <w:tcW w:w="84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2</w:t>
            </w:r>
            <w:r w:rsidRPr="00AF5A00">
              <w:rPr>
                <w:rFonts w:ascii="Arial Narrow" w:eastAsiaTheme="majorEastAsia" w:hAnsi="Arial Narrow" w:cstheme="majorBidi"/>
                <w:bCs/>
                <w:sz w:val="20"/>
                <w:vertAlign w:val="superscript"/>
              </w:rPr>
              <w:t>nd</w:t>
            </w:r>
            <w:r w:rsidRPr="00AF5A00">
              <w:rPr>
                <w:rFonts w:ascii="Arial Narrow" w:eastAsiaTheme="majorEastAsia" w:hAnsi="Arial Narrow" w:cstheme="majorBidi"/>
                <w:bCs/>
                <w:sz w:val="20"/>
              </w:rPr>
              <w:t xml:space="preserve"> line mBC</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0.16</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0.22</w:t>
            </w:r>
          </w:p>
        </w:tc>
        <w:tc>
          <w:tcPr>
            <w:tcW w:w="897" w:type="pct"/>
            <w:tcBorders>
              <w:top w:val="nil"/>
              <w:left w:val="nil"/>
              <w:bottom w:val="single" w:sz="8" w:space="0" w:color="auto"/>
              <w:right w:val="single" w:sz="8" w:space="0" w:color="auto"/>
            </w:tcBorders>
            <w:shd w:val="clear" w:color="auto" w:fill="auto"/>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-0.06</w:t>
            </w:r>
          </w:p>
        </w:tc>
        <w:tc>
          <w:tcPr>
            <w:tcW w:w="1137"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-10%</w:t>
            </w:r>
          </w:p>
        </w:tc>
      </w:tr>
      <w:tr w:rsidR="00872AAD" w:rsidRPr="00AF5A00" w:rsidTr="00126A44">
        <w:trPr>
          <w:cantSplit/>
        </w:trPr>
        <w:tc>
          <w:tcPr>
            <w:tcW w:w="84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Total</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11.96</w:t>
            </w:r>
          </w:p>
        </w:tc>
        <w:tc>
          <w:tcPr>
            <w:tcW w:w="1059"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11.37</w:t>
            </w:r>
          </w:p>
        </w:tc>
        <w:tc>
          <w:tcPr>
            <w:tcW w:w="897" w:type="pct"/>
            <w:tcBorders>
              <w:top w:val="nil"/>
              <w:left w:val="nil"/>
              <w:bottom w:val="single" w:sz="8" w:space="0" w:color="auto"/>
              <w:right w:val="single" w:sz="8" w:space="0" w:color="auto"/>
            </w:tcBorders>
            <w:shd w:val="clear" w:color="auto" w:fill="auto"/>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0.59</w:t>
            </w:r>
          </w:p>
        </w:tc>
        <w:tc>
          <w:tcPr>
            <w:tcW w:w="1137" w:type="pct"/>
            <w:tcBorders>
              <w:top w:val="nil"/>
              <w:left w:val="nil"/>
              <w:bottom w:val="single" w:sz="8" w:space="0" w:color="auto"/>
              <w:right w:val="single" w:sz="8" w:space="0" w:color="auto"/>
            </w:tcBorders>
            <w:shd w:val="clear" w:color="auto" w:fill="auto"/>
            <w:tcMar>
              <w:left w:w="57" w:type="dxa"/>
              <w:right w:w="57" w:type="dxa"/>
            </w:tcMar>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Calibri"/>
                <w:bCs/>
                <w:color w:val="000000"/>
                <w:sz w:val="20"/>
                <w:szCs w:val="20"/>
              </w:rPr>
              <w:t>100%</w:t>
            </w:r>
          </w:p>
        </w:tc>
      </w:tr>
    </w:tbl>
    <w:p w:rsidR="00872AAD" w:rsidRPr="00AF5A00" w:rsidRDefault="00872AAD" w:rsidP="00872AAD">
      <w:pPr>
        <w:spacing w:after="120"/>
        <w:contextualSpacing/>
        <w:rPr>
          <w:rFonts w:ascii="Arial Narrow" w:hAnsi="Arial Narrow"/>
          <w:snapToGrid w:val="0"/>
          <w:sz w:val="18"/>
          <w:szCs w:val="22"/>
        </w:rPr>
      </w:pPr>
      <w:r w:rsidRPr="00AF5A00">
        <w:rPr>
          <w:rFonts w:ascii="Arial Narrow" w:hAnsi="Arial Narrow"/>
          <w:snapToGrid w:val="0"/>
          <w:sz w:val="18"/>
          <w:szCs w:val="22"/>
        </w:rPr>
        <w:t>Source: sheet ‘Results’ of the Economic Evaluation workbook</w:t>
      </w:r>
    </w:p>
    <w:p w:rsidR="00872AAD" w:rsidRPr="00F03233" w:rsidRDefault="00872AAD" w:rsidP="00872AAD">
      <w:pPr>
        <w:spacing w:after="120"/>
        <w:contextualSpacing/>
        <w:rPr>
          <w:rFonts w:ascii="Arial Narrow" w:hAnsi="Arial Narrow"/>
          <w:snapToGrid w:val="0"/>
          <w:sz w:val="18"/>
          <w:szCs w:val="22"/>
        </w:rPr>
      </w:pPr>
      <w:r w:rsidRPr="00AF5A00">
        <w:rPr>
          <w:rFonts w:ascii="Arial Narrow" w:hAnsi="Arial Narrow"/>
          <w:snapToGrid w:val="0"/>
          <w:sz w:val="18"/>
          <w:szCs w:val="22"/>
        </w:rPr>
        <w:t>PFS = progression free survival; mBC = metastatic breast cancer.</w:t>
      </w:r>
    </w:p>
    <w:p w:rsidR="00872AAD" w:rsidRPr="00140FC0" w:rsidRDefault="00550A5E" w:rsidP="00872AAD">
      <w:pPr>
        <w:pStyle w:val="3-BodyText"/>
      </w:pPr>
      <w:r w:rsidRPr="009E19E1">
        <w:t>T</w:t>
      </w:r>
      <w:r>
        <w:t xml:space="preserve">able </w:t>
      </w:r>
      <w:r>
        <w:rPr>
          <w:noProof/>
        </w:rPr>
        <w:t>17</w:t>
      </w:r>
      <w:r w:rsidR="00F03233">
        <w:t xml:space="preserve"> </w:t>
      </w:r>
      <w:r w:rsidR="00872AAD" w:rsidRPr="00A1388F">
        <w:t xml:space="preserve">presents the disaggregated costs from the economic evaluation. The cost of neoadjuvant pertuzumab in addition to trastuzumab accounts for an additional </w:t>
      </w:r>
      <w:r w:rsidR="003764D1">
        <w:t xml:space="preserve">less than </w:t>
      </w:r>
      <w:r w:rsidR="00872AAD" w:rsidRPr="003764D1">
        <w:t>$</w:t>
      </w:r>
      <w:r w:rsidR="003764D1">
        <w:t>10 million</w:t>
      </w:r>
      <w:r w:rsidR="00872AAD" w:rsidRPr="003764D1">
        <w:t xml:space="preserve"> per patient. Cost offsets </w:t>
      </w:r>
      <w:r w:rsidR="004420FE" w:rsidRPr="003764D1">
        <w:t xml:space="preserve">due to </w:t>
      </w:r>
      <w:r w:rsidR="00872AAD" w:rsidRPr="003764D1">
        <w:t>reduced use of subsequent treatment</w:t>
      </w:r>
      <w:r w:rsidR="004420FE" w:rsidRPr="003764D1">
        <w:t>s</w:t>
      </w:r>
      <w:r w:rsidR="00872AAD" w:rsidRPr="003764D1">
        <w:t xml:space="preserve"> for metastatic disease (1st line and 2nd line metastatic breast cancer) </w:t>
      </w:r>
      <w:proofErr w:type="gramStart"/>
      <w:r w:rsidR="00872AAD" w:rsidRPr="003764D1">
        <w:t>are predicted</w:t>
      </w:r>
      <w:proofErr w:type="gramEnd"/>
      <w:r w:rsidR="00872AAD" w:rsidRPr="003764D1">
        <w:t xml:space="preserve"> to be substantial, </w:t>
      </w:r>
      <w:r w:rsidR="003764D1">
        <w:t>less than $10 million</w:t>
      </w:r>
      <w:r w:rsidR="00872AAD" w:rsidRPr="003764D1">
        <w:t xml:space="preserve"> and </w:t>
      </w:r>
      <w:r w:rsidR="003764D1">
        <w:t>less than $10 million</w:t>
      </w:r>
      <w:r w:rsidR="00872AAD" w:rsidRPr="003764D1">
        <w:t xml:space="preserve"> per</w:t>
      </w:r>
      <w:r w:rsidR="00872AAD" w:rsidRPr="00A1388F">
        <w:t xml:space="preserve"> patient </w:t>
      </w:r>
      <w:r w:rsidR="00872AAD" w:rsidRPr="00140FC0">
        <w:t>respectively.</w:t>
      </w:r>
      <w:r w:rsidR="001D2B71" w:rsidRPr="00140FC0">
        <w:t xml:space="preserve"> The ESC considered it was reasonable to include costs and QALYs for metastatic breast cancer, but that the incremental costs and QALYs </w:t>
      </w:r>
      <w:proofErr w:type="gramStart"/>
      <w:r w:rsidR="001D2B71" w:rsidRPr="00140FC0">
        <w:t>were based</w:t>
      </w:r>
      <w:proofErr w:type="gramEnd"/>
      <w:r w:rsidR="001D2B71" w:rsidRPr="00140FC0">
        <w:t xml:space="preserve"> on highly uncertain extrapolated treatment effect and appear overestimated.</w:t>
      </w:r>
    </w:p>
    <w:p w:rsidR="00872AAD" w:rsidRPr="009E19E1" w:rsidRDefault="00872AAD" w:rsidP="009E19E1">
      <w:pPr>
        <w:pStyle w:val="TableFigureHeading"/>
      </w:pPr>
      <w:bookmarkStart w:id="61" w:name="_Ref33608160"/>
      <w:r w:rsidRPr="009E19E1">
        <w:lastRenderedPageBreak/>
        <w:t>T</w:t>
      </w:r>
      <w:r w:rsidR="00F03233">
        <w:t xml:space="preserve">able </w:t>
      </w:r>
      <w:r w:rsidR="00550A5E">
        <w:rPr>
          <w:noProof/>
        </w:rPr>
        <w:t>17</w:t>
      </w:r>
      <w:bookmarkEnd w:id="61"/>
      <w:r w:rsidRPr="009E19E1">
        <w:t>: Disaggregated summary of costs – respecified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812"/>
        <w:gridCol w:w="1677"/>
        <w:gridCol w:w="1672"/>
        <w:gridCol w:w="1672"/>
      </w:tblGrid>
      <w:tr w:rsidR="00872AAD" w:rsidRPr="00AF5A00" w:rsidTr="00126A44">
        <w:trPr>
          <w:tblHeader/>
        </w:trPr>
        <w:tc>
          <w:tcPr>
            <w:tcW w:w="1211" w:type="pct"/>
            <w:vAlign w:val="center"/>
          </w:tcPr>
          <w:p w:rsidR="00872AAD" w:rsidRPr="00EA5197" w:rsidRDefault="00872AAD" w:rsidP="00872AAD">
            <w:pPr>
              <w:keepNext/>
              <w:jc w:val="left"/>
              <w:rPr>
                <w:rFonts w:ascii="Arial Narrow" w:eastAsiaTheme="majorEastAsia" w:hAnsi="Arial Narrow" w:cs="Times New Roman"/>
                <w:b/>
                <w:sz w:val="20"/>
                <w:szCs w:val="20"/>
              </w:rPr>
            </w:pPr>
            <w:r w:rsidRPr="00EA5197">
              <w:rPr>
                <w:rFonts w:ascii="Arial Narrow" w:eastAsiaTheme="majorEastAsia" w:hAnsi="Arial Narrow" w:cs="Times New Roman"/>
                <w:b/>
                <w:sz w:val="20"/>
                <w:szCs w:val="20"/>
              </w:rPr>
              <w:t>Resource item</w:t>
            </w:r>
          </w:p>
        </w:tc>
        <w:tc>
          <w:tcPr>
            <w:tcW w:w="1005" w:type="pct"/>
            <w:vAlign w:val="center"/>
          </w:tcPr>
          <w:p w:rsidR="00872AAD" w:rsidRPr="00EA5197" w:rsidRDefault="00872AAD" w:rsidP="00872AAD">
            <w:pPr>
              <w:keepNext/>
              <w:jc w:val="center"/>
              <w:rPr>
                <w:rFonts w:ascii="Arial Narrow" w:eastAsiaTheme="majorEastAsia" w:hAnsi="Arial Narrow" w:cs="Times New Roman"/>
                <w:b/>
                <w:sz w:val="20"/>
                <w:szCs w:val="20"/>
              </w:rPr>
            </w:pPr>
            <w:r w:rsidRPr="00EA5197">
              <w:rPr>
                <w:rFonts w:ascii="Arial Narrow" w:eastAsiaTheme="majorEastAsia" w:hAnsi="Arial Narrow" w:cs="Times New Roman"/>
                <w:b/>
                <w:sz w:val="20"/>
                <w:szCs w:val="20"/>
              </w:rPr>
              <w:t xml:space="preserve">Pertuzumab + trastuzumab </w:t>
            </w:r>
          </w:p>
        </w:tc>
        <w:tc>
          <w:tcPr>
            <w:tcW w:w="930" w:type="pct"/>
            <w:vAlign w:val="center"/>
          </w:tcPr>
          <w:p w:rsidR="00872AAD" w:rsidRPr="00EA5197" w:rsidRDefault="00872AAD" w:rsidP="00872AAD">
            <w:pPr>
              <w:keepNext/>
              <w:jc w:val="center"/>
              <w:rPr>
                <w:rFonts w:ascii="Arial Narrow" w:eastAsiaTheme="majorEastAsia" w:hAnsi="Arial Narrow" w:cs="Times New Roman"/>
                <w:b/>
                <w:sz w:val="20"/>
                <w:szCs w:val="20"/>
              </w:rPr>
            </w:pPr>
            <w:r w:rsidRPr="00EA5197">
              <w:rPr>
                <w:rFonts w:ascii="Arial Narrow" w:eastAsiaTheme="majorEastAsia" w:hAnsi="Arial Narrow" w:cs="Times New Roman"/>
                <w:b/>
                <w:sz w:val="20"/>
                <w:szCs w:val="20"/>
              </w:rPr>
              <w:t xml:space="preserve">Trastuzumab </w:t>
            </w:r>
          </w:p>
        </w:tc>
        <w:tc>
          <w:tcPr>
            <w:tcW w:w="927" w:type="pct"/>
            <w:vAlign w:val="center"/>
          </w:tcPr>
          <w:p w:rsidR="00872AAD" w:rsidRPr="00EA5197" w:rsidRDefault="00872AAD" w:rsidP="00872AAD">
            <w:pPr>
              <w:keepNext/>
              <w:jc w:val="center"/>
              <w:rPr>
                <w:rFonts w:ascii="Arial Narrow" w:eastAsiaTheme="majorEastAsia" w:hAnsi="Arial Narrow" w:cs="Times New Roman"/>
                <w:b/>
                <w:sz w:val="20"/>
                <w:szCs w:val="20"/>
              </w:rPr>
            </w:pPr>
            <w:r w:rsidRPr="00EA5197">
              <w:rPr>
                <w:rFonts w:ascii="Arial Narrow" w:eastAsiaTheme="majorEastAsia" w:hAnsi="Arial Narrow" w:cs="Times New Roman"/>
                <w:b/>
                <w:sz w:val="20"/>
                <w:szCs w:val="20"/>
              </w:rPr>
              <w:t xml:space="preserve">Incremental </w:t>
            </w:r>
          </w:p>
        </w:tc>
        <w:tc>
          <w:tcPr>
            <w:tcW w:w="927" w:type="pct"/>
            <w:vAlign w:val="center"/>
          </w:tcPr>
          <w:p w:rsidR="00872AAD" w:rsidRPr="00EA5197" w:rsidRDefault="00872AAD" w:rsidP="00872AAD">
            <w:pPr>
              <w:keepNext/>
              <w:jc w:val="center"/>
              <w:rPr>
                <w:rFonts w:ascii="Arial Narrow" w:eastAsiaTheme="majorEastAsia" w:hAnsi="Arial Narrow" w:cs="Times New Roman"/>
                <w:b/>
                <w:sz w:val="20"/>
                <w:szCs w:val="20"/>
              </w:rPr>
            </w:pPr>
            <w:r w:rsidRPr="00EA5197">
              <w:rPr>
                <w:rFonts w:ascii="Arial Narrow" w:eastAsiaTheme="majorEastAsia" w:hAnsi="Arial Narrow" w:cs="Times New Roman"/>
                <w:b/>
                <w:sz w:val="20"/>
                <w:szCs w:val="20"/>
              </w:rPr>
              <w:t xml:space="preserve">% of total incremental </w:t>
            </w:r>
          </w:p>
        </w:tc>
      </w:tr>
      <w:tr w:rsidR="00872AAD" w:rsidRPr="00AF5A00" w:rsidTr="00126A44">
        <w:tc>
          <w:tcPr>
            <w:tcW w:w="5000" w:type="pct"/>
            <w:gridSpan w:val="5"/>
            <w:vAlign w:val="center"/>
          </w:tcPr>
          <w:p w:rsidR="00872AAD" w:rsidRPr="00EA5197" w:rsidRDefault="00872AAD" w:rsidP="00872AAD">
            <w:pPr>
              <w:keepNext/>
              <w:jc w:val="left"/>
              <w:rPr>
                <w:rFonts w:ascii="Arial Narrow" w:eastAsiaTheme="majorEastAsia" w:hAnsi="Arial Narrow" w:cs="Times New Roman"/>
                <w:b/>
                <w:sz w:val="20"/>
                <w:szCs w:val="20"/>
              </w:rPr>
            </w:pPr>
            <w:r w:rsidRPr="00EA5197">
              <w:rPr>
                <w:rFonts w:ascii="Arial Narrow" w:eastAsiaTheme="majorEastAsia" w:hAnsi="Arial Narrow" w:cs="Times New Roman"/>
                <w:b/>
                <w:sz w:val="20"/>
                <w:szCs w:val="20"/>
              </w:rPr>
              <w:t>Pharmaceutical products</w:t>
            </w:r>
          </w:p>
        </w:tc>
      </w:tr>
      <w:tr w:rsidR="007B3AFC" w:rsidRPr="00AF5A00" w:rsidTr="00126A44">
        <w:tc>
          <w:tcPr>
            <w:tcW w:w="1211"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PBS medicine</w:t>
            </w:r>
          </w:p>
        </w:tc>
        <w:tc>
          <w:tcPr>
            <w:tcW w:w="1005"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30"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8710F3">
              <w:rPr>
                <w:rFonts w:ascii="Arial Narrow" w:hAnsi="Arial Narrow" w:cs="Calibri"/>
                <w:iCs/>
                <w:sz w:val="20"/>
                <w:szCs w:val="20"/>
              </w:rPr>
              <w:t>219</w:t>
            </w:r>
            <w:r w:rsidRPr="00323AAE">
              <w:rPr>
                <w:rFonts w:ascii="Arial Narrow" w:hAnsi="Arial Narrow" w:cs="Calibri"/>
                <w:iCs/>
                <w:sz w:val="20"/>
                <w:szCs w:val="20"/>
              </w:rPr>
              <w:t>%</w:t>
            </w:r>
          </w:p>
        </w:tc>
      </w:tr>
      <w:tr w:rsidR="007B3AFC" w:rsidRPr="00AF5A00" w:rsidTr="00126A44">
        <w:tc>
          <w:tcPr>
            <w:tcW w:w="1211"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Administration cost</w:t>
            </w:r>
          </w:p>
        </w:tc>
        <w:tc>
          <w:tcPr>
            <w:tcW w:w="1005"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30"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8710F3">
              <w:rPr>
                <w:rFonts w:ascii="Arial Narrow" w:hAnsi="Arial Narrow" w:cs="Calibri"/>
                <w:sz w:val="20"/>
                <w:szCs w:val="20"/>
              </w:rPr>
              <w:t>-1</w:t>
            </w:r>
            <w:r w:rsidRPr="00323AAE">
              <w:rPr>
                <w:rFonts w:ascii="Arial Narrow" w:hAnsi="Arial Narrow" w:cs="Calibri"/>
                <w:sz w:val="20"/>
                <w:szCs w:val="20"/>
              </w:rPr>
              <w:t>%</w:t>
            </w:r>
          </w:p>
        </w:tc>
      </w:tr>
      <w:tr w:rsidR="007B3AFC" w:rsidRPr="00AF5A00" w:rsidTr="00126A44">
        <w:tc>
          <w:tcPr>
            <w:tcW w:w="1211"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Total</w:t>
            </w:r>
          </w:p>
        </w:tc>
        <w:tc>
          <w:tcPr>
            <w:tcW w:w="1005"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30"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8710F3">
              <w:rPr>
                <w:rFonts w:ascii="Arial Narrow" w:hAnsi="Arial Narrow" w:cs="Calibri"/>
                <w:iCs/>
                <w:sz w:val="20"/>
                <w:szCs w:val="20"/>
              </w:rPr>
              <w:t>218</w:t>
            </w:r>
            <w:r w:rsidRPr="00323AAE">
              <w:rPr>
                <w:rFonts w:ascii="Arial Narrow" w:hAnsi="Arial Narrow" w:cs="Calibri"/>
                <w:iCs/>
                <w:sz w:val="20"/>
                <w:szCs w:val="20"/>
              </w:rPr>
              <w:t>%</w:t>
            </w:r>
          </w:p>
        </w:tc>
      </w:tr>
      <w:tr w:rsidR="007B3AFC" w:rsidRPr="00AF5A00" w:rsidTr="00126A44">
        <w:tc>
          <w:tcPr>
            <w:tcW w:w="5000" w:type="pct"/>
            <w:gridSpan w:val="5"/>
            <w:vAlign w:val="center"/>
          </w:tcPr>
          <w:p w:rsidR="007B3AFC" w:rsidRPr="00323AAE" w:rsidRDefault="007B3AFC" w:rsidP="007B3AFC">
            <w:pPr>
              <w:keepNext/>
              <w:jc w:val="left"/>
              <w:rPr>
                <w:rFonts w:ascii="Arial Narrow" w:eastAsiaTheme="majorEastAsia" w:hAnsi="Arial Narrow" w:cs="Times New Roman"/>
                <w:b/>
                <w:sz w:val="20"/>
                <w:szCs w:val="20"/>
              </w:rPr>
            </w:pPr>
            <w:r w:rsidRPr="00323AAE">
              <w:rPr>
                <w:rFonts w:ascii="Arial Narrow" w:eastAsiaTheme="majorEastAsia" w:hAnsi="Arial Narrow" w:cs="Times New Roman"/>
                <w:b/>
                <w:sz w:val="20"/>
                <w:szCs w:val="20"/>
              </w:rPr>
              <w:t>Medical services</w:t>
            </w:r>
          </w:p>
        </w:tc>
      </w:tr>
      <w:tr w:rsidR="007B3AFC" w:rsidRPr="00AF5A00" w:rsidTr="00126A44">
        <w:tc>
          <w:tcPr>
            <w:tcW w:w="1211"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CT scan, LVEF assessment, specialist visit, pathology</w:t>
            </w:r>
          </w:p>
        </w:tc>
        <w:tc>
          <w:tcPr>
            <w:tcW w:w="1005"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30"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8710F3">
              <w:rPr>
                <w:rFonts w:ascii="Arial Narrow" w:hAnsi="Arial Narrow" w:cs="Calibri"/>
                <w:sz w:val="20"/>
                <w:szCs w:val="20"/>
              </w:rPr>
              <w:t>0</w:t>
            </w:r>
            <w:r w:rsidRPr="00323AAE">
              <w:rPr>
                <w:rFonts w:ascii="Arial Narrow" w:hAnsi="Arial Narrow" w:cs="Calibri"/>
                <w:sz w:val="20"/>
                <w:szCs w:val="20"/>
              </w:rPr>
              <w:t>%</w:t>
            </w:r>
          </w:p>
        </w:tc>
      </w:tr>
      <w:tr w:rsidR="007B3AFC" w:rsidRPr="00AF5A00" w:rsidTr="00126A44">
        <w:tc>
          <w:tcPr>
            <w:tcW w:w="5000" w:type="pct"/>
            <w:gridSpan w:val="5"/>
            <w:vAlign w:val="center"/>
          </w:tcPr>
          <w:p w:rsidR="007B3AFC" w:rsidRPr="00323AAE" w:rsidRDefault="007B3AFC" w:rsidP="007B3AFC">
            <w:pPr>
              <w:keepNext/>
              <w:jc w:val="left"/>
              <w:rPr>
                <w:rFonts w:ascii="Arial Narrow" w:eastAsiaTheme="majorEastAsia" w:hAnsi="Arial Narrow" w:cs="Times New Roman"/>
                <w:b/>
                <w:sz w:val="20"/>
                <w:szCs w:val="20"/>
              </w:rPr>
            </w:pPr>
            <w:r w:rsidRPr="00323AAE">
              <w:rPr>
                <w:rFonts w:ascii="Arial Narrow" w:eastAsiaTheme="majorEastAsia" w:hAnsi="Arial Narrow" w:cs="Times New Roman"/>
                <w:b/>
                <w:sz w:val="20"/>
                <w:szCs w:val="20"/>
              </w:rPr>
              <w:t>Management of adverse events</w:t>
            </w:r>
          </w:p>
        </w:tc>
      </w:tr>
      <w:tr w:rsidR="007B3AFC" w:rsidRPr="00AF5A00" w:rsidTr="00126A44">
        <w:tc>
          <w:tcPr>
            <w:tcW w:w="1211"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Cost of adverse events</w:t>
            </w:r>
          </w:p>
        </w:tc>
        <w:tc>
          <w:tcPr>
            <w:tcW w:w="1005"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30"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8710F3">
              <w:rPr>
                <w:rFonts w:ascii="Arial Narrow" w:hAnsi="Arial Narrow" w:cs="Calibri"/>
                <w:sz w:val="20"/>
                <w:szCs w:val="20"/>
              </w:rPr>
              <w:t>-9</w:t>
            </w:r>
            <w:r w:rsidRPr="00323AAE">
              <w:rPr>
                <w:rFonts w:ascii="Arial Narrow" w:hAnsi="Arial Narrow" w:cs="Calibri"/>
                <w:sz w:val="20"/>
                <w:szCs w:val="20"/>
              </w:rPr>
              <w:t>%</w:t>
            </w:r>
          </w:p>
        </w:tc>
      </w:tr>
      <w:tr w:rsidR="007B3AFC" w:rsidRPr="00AF5A00" w:rsidTr="00126A44">
        <w:tc>
          <w:tcPr>
            <w:tcW w:w="5000" w:type="pct"/>
            <w:gridSpan w:val="5"/>
            <w:vAlign w:val="center"/>
          </w:tcPr>
          <w:p w:rsidR="007B3AFC" w:rsidRPr="00323AAE" w:rsidRDefault="007B3AFC" w:rsidP="007B3AFC">
            <w:pPr>
              <w:keepNext/>
              <w:jc w:val="left"/>
              <w:rPr>
                <w:rFonts w:ascii="Arial Narrow" w:eastAsiaTheme="majorEastAsia" w:hAnsi="Arial Narrow" w:cs="Times New Roman"/>
                <w:b/>
                <w:sz w:val="20"/>
                <w:szCs w:val="20"/>
              </w:rPr>
            </w:pPr>
            <w:r w:rsidRPr="00323AAE">
              <w:rPr>
                <w:rFonts w:ascii="Arial Narrow" w:eastAsiaTheme="majorEastAsia" w:hAnsi="Arial Narrow" w:cs="Times New Roman"/>
                <w:b/>
                <w:sz w:val="20"/>
                <w:szCs w:val="20"/>
              </w:rPr>
              <w:t>Subsequent treatments</w:t>
            </w:r>
          </w:p>
        </w:tc>
      </w:tr>
      <w:tr w:rsidR="007B3AFC" w:rsidRPr="00AF5A00" w:rsidTr="00126A44">
        <w:tc>
          <w:tcPr>
            <w:tcW w:w="1211"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Locoregional recurrence</w:t>
            </w:r>
          </w:p>
        </w:tc>
        <w:tc>
          <w:tcPr>
            <w:tcW w:w="1005"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30"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8710F3">
              <w:rPr>
                <w:rFonts w:ascii="Arial Narrow" w:hAnsi="Arial Narrow" w:cs="Calibri"/>
                <w:iCs/>
                <w:sz w:val="20"/>
                <w:szCs w:val="20"/>
              </w:rPr>
              <w:t>8</w:t>
            </w:r>
            <w:r w:rsidRPr="00323AAE">
              <w:rPr>
                <w:rFonts w:ascii="Arial Narrow" w:hAnsi="Arial Narrow" w:cs="Calibri"/>
                <w:iCs/>
                <w:sz w:val="20"/>
                <w:szCs w:val="20"/>
              </w:rPr>
              <w:t>%</w:t>
            </w:r>
          </w:p>
        </w:tc>
      </w:tr>
      <w:tr w:rsidR="007B3AFC" w:rsidRPr="00AF5A00" w:rsidTr="00126A44">
        <w:tc>
          <w:tcPr>
            <w:tcW w:w="1211"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1</w:t>
            </w:r>
            <w:r w:rsidRPr="00323AAE">
              <w:rPr>
                <w:rFonts w:ascii="Arial Narrow" w:eastAsiaTheme="majorEastAsia" w:hAnsi="Arial Narrow" w:cstheme="majorBidi"/>
                <w:bCs/>
                <w:sz w:val="20"/>
                <w:szCs w:val="20"/>
                <w:vertAlign w:val="superscript"/>
              </w:rPr>
              <w:t>st</w:t>
            </w:r>
            <w:r w:rsidRPr="00323AAE">
              <w:rPr>
                <w:rFonts w:ascii="Arial Narrow" w:eastAsiaTheme="majorEastAsia" w:hAnsi="Arial Narrow" w:cstheme="majorBidi"/>
                <w:bCs/>
                <w:sz w:val="20"/>
                <w:szCs w:val="20"/>
              </w:rPr>
              <w:t xml:space="preserve"> line mBC</w:t>
            </w:r>
          </w:p>
        </w:tc>
        <w:tc>
          <w:tcPr>
            <w:tcW w:w="1005"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30"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8710F3">
              <w:rPr>
                <w:rFonts w:ascii="Arial Narrow" w:hAnsi="Arial Narrow" w:cs="Calibri"/>
                <w:iCs/>
                <w:sz w:val="20"/>
                <w:szCs w:val="20"/>
              </w:rPr>
              <w:t>-72</w:t>
            </w:r>
            <w:r w:rsidRPr="00323AAE">
              <w:rPr>
                <w:rFonts w:ascii="Arial Narrow" w:hAnsi="Arial Narrow" w:cs="Calibri"/>
                <w:iCs/>
                <w:sz w:val="20"/>
                <w:szCs w:val="20"/>
              </w:rPr>
              <w:t>%</w:t>
            </w:r>
          </w:p>
        </w:tc>
      </w:tr>
      <w:tr w:rsidR="007B3AFC" w:rsidRPr="00AF5A00" w:rsidTr="00126A44">
        <w:tc>
          <w:tcPr>
            <w:tcW w:w="1211"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2</w:t>
            </w:r>
            <w:r w:rsidRPr="00323AAE">
              <w:rPr>
                <w:rFonts w:ascii="Arial Narrow" w:eastAsiaTheme="majorEastAsia" w:hAnsi="Arial Narrow" w:cstheme="majorBidi"/>
                <w:bCs/>
                <w:sz w:val="20"/>
                <w:szCs w:val="20"/>
                <w:vertAlign w:val="superscript"/>
              </w:rPr>
              <w:t>nd</w:t>
            </w:r>
            <w:r w:rsidRPr="00323AAE">
              <w:rPr>
                <w:rFonts w:ascii="Arial Narrow" w:eastAsiaTheme="majorEastAsia" w:hAnsi="Arial Narrow" w:cstheme="majorBidi"/>
                <w:bCs/>
                <w:sz w:val="20"/>
                <w:szCs w:val="20"/>
              </w:rPr>
              <w:t xml:space="preserve"> line mBC</w:t>
            </w:r>
          </w:p>
        </w:tc>
        <w:tc>
          <w:tcPr>
            <w:tcW w:w="1005"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30"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8710F3">
              <w:rPr>
                <w:rFonts w:ascii="Arial Narrow" w:hAnsi="Arial Narrow" w:cs="Calibri"/>
                <w:iCs/>
                <w:sz w:val="20"/>
                <w:szCs w:val="20"/>
              </w:rPr>
              <w:t>-44</w:t>
            </w:r>
            <w:r w:rsidRPr="00323AAE">
              <w:rPr>
                <w:rFonts w:ascii="Arial Narrow" w:hAnsi="Arial Narrow" w:cs="Calibri"/>
                <w:iCs/>
                <w:sz w:val="20"/>
                <w:szCs w:val="20"/>
              </w:rPr>
              <w:t>%</w:t>
            </w:r>
          </w:p>
        </w:tc>
      </w:tr>
      <w:tr w:rsidR="007B3AFC" w:rsidRPr="00AF5A00" w:rsidTr="00126A44">
        <w:tc>
          <w:tcPr>
            <w:tcW w:w="1211"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End of life (palliative care)</w:t>
            </w:r>
          </w:p>
        </w:tc>
        <w:tc>
          <w:tcPr>
            <w:tcW w:w="1005"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30"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sz w:val="20"/>
                <w:szCs w:val="20"/>
              </w:rPr>
              <w:t>-$</w:t>
            </w:r>
            <w:r w:rsidR="00E81857">
              <w:rPr>
                <w:rFonts w:ascii="Arial Narrow" w:hAnsi="Arial Narrow" w:cs="Calibri"/>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8710F3">
              <w:rPr>
                <w:rFonts w:ascii="Arial Narrow" w:hAnsi="Arial Narrow" w:cs="Calibri"/>
                <w:sz w:val="20"/>
                <w:szCs w:val="20"/>
              </w:rPr>
              <w:t>-1</w:t>
            </w:r>
            <w:r w:rsidRPr="00323AAE">
              <w:rPr>
                <w:rFonts w:ascii="Arial Narrow" w:hAnsi="Arial Narrow" w:cs="Calibri"/>
                <w:sz w:val="20"/>
                <w:szCs w:val="20"/>
              </w:rPr>
              <w:t>%</w:t>
            </w:r>
          </w:p>
        </w:tc>
      </w:tr>
      <w:tr w:rsidR="007B3AFC" w:rsidRPr="00AF5A00" w:rsidTr="00126A44">
        <w:tc>
          <w:tcPr>
            <w:tcW w:w="1211"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Total</w:t>
            </w:r>
          </w:p>
        </w:tc>
        <w:tc>
          <w:tcPr>
            <w:tcW w:w="1005"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30"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8710F3">
              <w:rPr>
                <w:rFonts w:ascii="Arial Narrow" w:hAnsi="Arial Narrow" w:cs="Calibri"/>
                <w:iCs/>
                <w:sz w:val="20"/>
                <w:szCs w:val="20"/>
              </w:rPr>
              <w:t>-109</w:t>
            </w:r>
            <w:r w:rsidRPr="00323AAE">
              <w:rPr>
                <w:rFonts w:ascii="Arial Narrow" w:hAnsi="Arial Narrow" w:cs="Calibri"/>
                <w:iCs/>
                <w:sz w:val="20"/>
                <w:szCs w:val="20"/>
              </w:rPr>
              <w:t>%</w:t>
            </w:r>
          </w:p>
        </w:tc>
      </w:tr>
      <w:tr w:rsidR="007B3AFC" w:rsidRPr="00AF5A00" w:rsidTr="00126A44">
        <w:tc>
          <w:tcPr>
            <w:tcW w:w="1211" w:type="pct"/>
            <w:vAlign w:val="center"/>
          </w:tcPr>
          <w:p w:rsidR="007B3AFC" w:rsidRPr="00323AAE" w:rsidRDefault="007B3AFC" w:rsidP="007B3AFC">
            <w:pPr>
              <w:keepNext/>
              <w:jc w:val="left"/>
              <w:rPr>
                <w:rFonts w:ascii="Arial Narrow" w:eastAsiaTheme="majorEastAsia" w:hAnsi="Arial Narrow" w:cstheme="majorBidi"/>
                <w:bCs/>
                <w:sz w:val="20"/>
                <w:szCs w:val="20"/>
              </w:rPr>
            </w:pPr>
            <w:r w:rsidRPr="00323AAE">
              <w:rPr>
                <w:rFonts w:ascii="Arial Narrow" w:eastAsiaTheme="majorEastAsia" w:hAnsi="Arial Narrow" w:cstheme="majorBidi"/>
                <w:bCs/>
                <w:sz w:val="20"/>
                <w:szCs w:val="20"/>
              </w:rPr>
              <w:t>Overall total</w:t>
            </w:r>
          </w:p>
        </w:tc>
        <w:tc>
          <w:tcPr>
            <w:tcW w:w="1005"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30"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323AAE">
              <w:rPr>
                <w:rFonts w:ascii="Arial Narrow" w:hAnsi="Arial Narrow" w:cs="Calibri"/>
                <w:iCs/>
                <w:sz w:val="20"/>
                <w:szCs w:val="20"/>
              </w:rPr>
              <w:t>$</w:t>
            </w:r>
            <w:r w:rsidR="00E81857">
              <w:rPr>
                <w:rFonts w:ascii="Arial Narrow" w:hAnsi="Arial Narrow" w:cs="Calibri"/>
                <w:iCs/>
                <w:noProof/>
                <w:color w:val="000000"/>
                <w:sz w:val="20"/>
                <w:szCs w:val="20"/>
                <w:highlight w:val="black"/>
              </w:rPr>
              <w:t>'''''''''''''''</w:t>
            </w:r>
          </w:p>
        </w:tc>
        <w:tc>
          <w:tcPr>
            <w:tcW w:w="927" w:type="pct"/>
            <w:shd w:val="clear" w:color="auto" w:fill="auto"/>
            <w:vAlign w:val="center"/>
          </w:tcPr>
          <w:p w:rsidR="007B3AFC" w:rsidRPr="00323AAE" w:rsidRDefault="007B3AFC" w:rsidP="007B3AFC">
            <w:pPr>
              <w:keepNext/>
              <w:jc w:val="center"/>
              <w:rPr>
                <w:rFonts w:ascii="Arial Narrow" w:eastAsiaTheme="majorEastAsia" w:hAnsi="Arial Narrow" w:cstheme="majorBidi"/>
                <w:bCs/>
                <w:sz w:val="20"/>
                <w:szCs w:val="20"/>
              </w:rPr>
            </w:pPr>
            <w:r w:rsidRPr="008710F3">
              <w:rPr>
                <w:rFonts w:ascii="Arial Narrow" w:hAnsi="Arial Narrow" w:cs="Calibri"/>
                <w:iCs/>
                <w:sz w:val="20"/>
                <w:szCs w:val="20"/>
              </w:rPr>
              <w:t>100</w:t>
            </w:r>
            <w:r w:rsidRPr="00323AAE">
              <w:rPr>
                <w:rFonts w:ascii="Arial Narrow" w:hAnsi="Arial Narrow" w:cs="Calibri"/>
                <w:iCs/>
                <w:sz w:val="20"/>
                <w:szCs w:val="20"/>
              </w:rPr>
              <w:t>%</w:t>
            </w:r>
          </w:p>
        </w:tc>
      </w:tr>
    </w:tbl>
    <w:p w:rsidR="00872AAD" w:rsidRPr="00AF5A00" w:rsidRDefault="00872AAD" w:rsidP="00872AAD">
      <w:pPr>
        <w:spacing w:after="120"/>
        <w:contextualSpacing/>
        <w:rPr>
          <w:rFonts w:ascii="Arial Narrow" w:hAnsi="Arial Narrow"/>
          <w:snapToGrid w:val="0"/>
          <w:sz w:val="18"/>
          <w:szCs w:val="22"/>
        </w:rPr>
      </w:pPr>
      <w:r w:rsidRPr="00AF5A00">
        <w:rPr>
          <w:rFonts w:ascii="Arial Narrow" w:hAnsi="Arial Narrow"/>
          <w:snapToGrid w:val="0"/>
          <w:sz w:val="18"/>
          <w:szCs w:val="22"/>
        </w:rPr>
        <w:t xml:space="preserve">Source: sheet ‘Results’ of the Economic Evaluation workbook. </w:t>
      </w:r>
      <w:r w:rsidRPr="00323AAE">
        <w:rPr>
          <w:rFonts w:ascii="Arial Narrow" w:hAnsi="Arial Narrow"/>
          <w:iCs/>
          <w:snapToGrid w:val="0"/>
          <w:sz w:val="18"/>
          <w:szCs w:val="22"/>
        </w:rPr>
        <w:t xml:space="preserve">Adapted using </w:t>
      </w:r>
      <w:r w:rsidR="00EA5197" w:rsidRPr="00323AAE">
        <w:rPr>
          <w:rFonts w:ascii="Arial Narrow" w:hAnsi="Arial Narrow"/>
          <w:iCs/>
          <w:snapToGrid w:val="0"/>
          <w:sz w:val="18"/>
          <w:szCs w:val="22"/>
        </w:rPr>
        <w:t xml:space="preserve">the </w:t>
      </w:r>
      <w:r w:rsidRPr="00323AAE">
        <w:rPr>
          <w:rFonts w:ascii="Arial Narrow" w:hAnsi="Arial Narrow"/>
          <w:iCs/>
          <w:snapToGrid w:val="0"/>
          <w:sz w:val="18"/>
          <w:szCs w:val="22"/>
        </w:rPr>
        <w:t>corrected dose of trastuzumab in each treatment arm.</w:t>
      </w:r>
    </w:p>
    <w:p w:rsidR="00872AAD" w:rsidRPr="00AF5A00" w:rsidRDefault="00872AAD" w:rsidP="00F03233">
      <w:pPr>
        <w:spacing w:after="120"/>
        <w:contextualSpacing/>
        <w:rPr>
          <w:rFonts w:ascii="Arial Narrow" w:hAnsi="Arial Narrow"/>
          <w:snapToGrid w:val="0"/>
          <w:sz w:val="18"/>
          <w:szCs w:val="22"/>
        </w:rPr>
      </w:pPr>
      <w:r w:rsidRPr="00AF5A00">
        <w:rPr>
          <w:rFonts w:ascii="Arial Narrow" w:hAnsi="Arial Narrow"/>
          <w:snapToGrid w:val="0"/>
          <w:sz w:val="18"/>
          <w:szCs w:val="22"/>
        </w:rPr>
        <w:t>CT = computerised tomography, LVEF = left ventricular ejection fraction, mBC = metastatic breast cancer.</w:t>
      </w:r>
    </w:p>
    <w:p w:rsidR="00872AAD" w:rsidRPr="00140FC0" w:rsidRDefault="00872AAD" w:rsidP="00872AAD">
      <w:pPr>
        <w:pStyle w:val="3-BodyText"/>
        <w:rPr>
          <w:iCs/>
        </w:rPr>
      </w:pPr>
      <w:r w:rsidRPr="00140FC0">
        <w:t xml:space="preserve">The results of key univariate sensitivity analyses are summarised in </w:t>
      </w:r>
      <w:r w:rsidR="00550A5E" w:rsidRPr="00140FC0">
        <w:t xml:space="preserve">Table </w:t>
      </w:r>
      <w:r w:rsidR="00550A5E" w:rsidRPr="00140FC0">
        <w:rPr>
          <w:noProof/>
        </w:rPr>
        <w:t>18</w:t>
      </w:r>
      <w:r w:rsidRPr="00140FC0">
        <w:t xml:space="preserve">. Additional sensitivity analyses </w:t>
      </w:r>
      <w:proofErr w:type="gramStart"/>
      <w:r w:rsidRPr="00140FC0">
        <w:t>were conducted</w:t>
      </w:r>
      <w:proofErr w:type="gramEnd"/>
      <w:r w:rsidRPr="00140FC0">
        <w:t xml:space="preserve"> during the evaluation. </w:t>
      </w:r>
      <w:r w:rsidR="001D2B71" w:rsidRPr="00140FC0">
        <w:t xml:space="preserve">The PSCR </w:t>
      </w:r>
      <w:r w:rsidR="001D2B71" w:rsidRPr="00140FC0">
        <w:rPr>
          <w:iCs/>
        </w:rPr>
        <w:t xml:space="preserve">strongly disagreed on the appropriateness of presenting an </w:t>
      </w:r>
      <w:proofErr w:type="gramStart"/>
      <w:r w:rsidR="001D2B71" w:rsidRPr="00140FC0">
        <w:rPr>
          <w:iCs/>
        </w:rPr>
        <w:t>ICER which</w:t>
      </w:r>
      <w:proofErr w:type="gramEnd"/>
      <w:r w:rsidR="001D2B71" w:rsidRPr="00140FC0">
        <w:rPr>
          <w:iCs/>
        </w:rPr>
        <w:t xml:space="preserve"> omits the costs and outcomes in the metastatic breast cancer setting. The ESC considered that this was </w:t>
      </w:r>
      <w:r w:rsidR="003935B4" w:rsidRPr="00140FC0">
        <w:rPr>
          <w:iCs/>
        </w:rPr>
        <w:t>informative in terms of demonstrating the impact of the treatment of metast</w:t>
      </w:r>
      <w:r w:rsidR="00DF296E" w:rsidRPr="00140FC0">
        <w:rPr>
          <w:iCs/>
        </w:rPr>
        <w:t>at</w:t>
      </w:r>
      <w:r w:rsidR="003935B4" w:rsidRPr="00140FC0">
        <w:rPr>
          <w:iCs/>
        </w:rPr>
        <w:t>ic disease on the ICER</w:t>
      </w:r>
      <w:r w:rsidR="001D2B71" w:rsidRPr="00140FC0">
        <w:rPr>
          <w:iCs/>
        </w:rPr>
        <w:t xml:space="preserve">. </w:t>
      </w:r>
    </w:p>
    <w:p w:rsidR="00872AAD" w:rsidRPr="00140FC0" w:rsidRDefault="00872AAD" w:rsidP="0099324B">
      <w:pPr>
        <w:pStyle w:val="3-BodyText"/>
      </w:pPr>
      <w:r w:rsidRPr="00140FC0">
        <w:t xml:space="preserve">The ICER was most sensitive to the estimated duration of treatment effect </w:t>
      </w:r>
      <w:r w:rsidR="003935B4" w:rsidRPr="00140FC0">
        <w:t>for</w:t>
      </w:r>
      <w:r w:rsidRPr="00140FC0">
        <w:t xml:space="preserve"> PFS, duration of treatment for metastatic breast cancer, and the incremental costs and QALYs associated with the metastatic </w:t>
      </w:r>
      <w:proofErr w:type="gramStart"/>
      <w:r w:rsidRPr="00140FC0">
        <w:t>breast cancer health states</w:t>
      </w:r>
      <w:proofErr w:type="gramEnd"/>
      <w:r w:rsidRPr="00140FC0">
        <w:t>.</w:t>
      </w:r>
      <w:r w:rsidR="001D2B71" w:rsidRPr="00140FC0">
        <w:t xml:space="preserve"> The ESC noted that the ICER was relatively robust to single parameters moving in reasonable </w:t>
      </w:r>
      <w:proofErr w:type="gramStart"/>
      <w:r w:rsidR="001D2B71" w:rsidRPr="00140FC0">
        <w:t>ranges,</w:t>
      </w:r>
      <w:proofErr w:type="gramEnd"/>
      <w:r w:rsidR="001D2B71" w:rsidRPr="00140FC0">
        <w:t xml:space="preserve"> however the </w:t>
      </w:r>
      <w:r w:rsidR="005B7D0A" w:rsidRPr="00140FC0">
        <w:t xml:space="preserve">ICER was </w:t>
      </w:r>
      <w:r w:rsidR="001D2B71" w:rsidRPr="00140FC0">
        <w:t xml:space="preserve">highly sensitive to the inclusion of </w:t>
      </w:r>
      <w:r w:rsidR="005B7D0A" w:rsidRPr="00140FC0">
        <w:t>PFS benefit for the addition of pertuzumab which may not be rea</w:t>
      </w:r>
      <w:r w:rsidR="00DF296E" w:rsidRPr="00140FC0">
        <w:t>s</w:t>
      </w:r>
      <w:r w:rsidR="005B7D0A" w:rsidRPr="00140FC0">
        <w:t>onable.</w:t>
      </w:r>
    </w:p>
    <w:p w:rsidR="00872AAD" w:rsidRPr="009E19E1" w:rsidRDefault="00F03233" w:rsidP="009E19E1">
      <w:pPr>
        <w:pStyle w:val="TableFigureHeading"/>
      </w:pPr>
      <w:bookmarkStart w:id="62" w:name="_Ref33608212"/>
      <w:bookmarkStart w:id="63" w:name="_Hlk29565925"/>
      <w:r>
        <w:lastRenderedPageBreak/>
        <w:t xml:space="preserve">Table </w:t>
      </w:r>
      <w:r w:rsidR="00550A5E">
        <w:rPr>
          <w:noProof/>
        </w:rPr>
        <w:t>18</w:t>
      </w:r>
      <w:bookmarkEnd w:id="62"/>
      <w:r w:rsidR="00872AAD" w:rsidRPr="009E19E1">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45"/>
        <w:gridCol w:w="1316"/>
        <w:gridCol w:w="40"/>
        <w:gridCol w:w="1401"/>
        <w:gridCol w:w="1396"/>
        <w:gridCol w:w="7"/>
        <w:gridCol w:w="1401"/>
      </w:tblGrid>
      <w:tr w:rsidR="00872AAD" w:rsidRPr="00AF5A00" w:rsidTr="00126A44">
        <w:trPr>
          <w:cantSplit/>
          <w:tblHeader/>
        </w:trPr>
        <w:tc>
          <w:tcPr>
            <w:tcW w:w="1891" w:type="pct"/>
          </w:tcPr>
          <w:p w:rsidR="00872AAD" w:rsidRPr="00A1388F" w:rsidRDefault="00872AAD" w:rsidP="00872AAD">
            <w:pPr>
              <w:keepNext/>
              <w:jc w:val="left"/>
              <w:rPr>
                <w:rFonts w:ascii="Arial Narrow" w:eastAsiaTheme="majorEastAsia" w:hAnsi="Arial Narrow" w:cs="Times New Roman"/>
                <w:b/>
                <w:sz w:val="20"/>
              </w:rPr>
            </w:pPr>
            <w:r w:rsidRPr="00A1388F">
              <w:rPr>
                <w:rFonts w:ascii="Arial Narrow" w:eastAsiaTheme="majorEastAsia" w:hAnsi="Arial Narrow" w:cs="Times New Roman"/>
                <w:b/>
                <w:sz w:val="20"/>
              </w:rPr>
              <w:t>Analyses</w:t>
            </w:r>
          </w:p>
        </w:tc>
        <w:tc>
          <w:tcPr>
            <w:tcW w:w="777" w:type="pct"/>
            <w:gridSpan w:val="3"/>
          </w:tcPr>
          <w:p w:rsidR="00872AAD" w:rsidRPr="00A1388F" w:rsidRDefault="00872AAD" w:rsidP="00872AAD">
            <w:pPr>
              <w:keepNext/>
              <w:jc w:val="center"/>
              <w:rPr>
                <w:rFonts w:ascii="Arial Narrow" w:eastAsiaTheme="majorEastAsia" w:hAnsi="Arial Narrow" w:cs="Times New Roman"/>
                <w:b/>
                <w:sz w:val="20"/>
              </w:rPr>
            </w:pPr>
            <w:r w:rsidRPr="00A1388F">
              <w:rPr>
                <w:rFonts w:ascii="Arial Narrow" w:eastAsiaTheme="majorEastAsia" w:hAnsi="Arial Narrow" w:cs="Times New Roman"/>
                <w:b/>
                <w:sz w:val="20"/>
              </w:rPr>
              <w:t>Incremental cost</w:t>
            </w:r>
          </w:p>
        </w:tc>
        <w:tc>
          <w:tcPr>
            <w:tcW w:w="777" w:type="pct"/>
          </w:tcPr>
          <w:p w:rsidR="00872AAD" w:rsidRPr="00A1388F" w:rsidRDefault="00872AAD" w:rsidP="00872AAD">
            <w:pPr>
              <w:keepNext/>
              <w:jc w:val="center"/>
              <w:rPr>
                <w:rFonts w:ascii="Arial Narrow" w:eastAsiaTheme="majorEastAsia" w:hAnsi="Arial Narrow" w:cs="Times New Roman"/>
                <w:b/>
                <w:sz w:val="20"/>
              </w:rPr>
            </w:pPr>
            <w:r w:rsidRPr="00A1388F">
              <w:rPr>
                <w:rFonts w:ascii="Arial Narrow" w:eastAsiaTheme="majorEastAsia" w:hAnsi="Arial Narrow" w:cs="Times New Roman"/>
                <w:b/>
                <w:sz w:val="20"/>
              </w:rPr>
              <w:t>Incremental QALY</w:t>
            </w:r>
          </w:p>
        </w:tc>
        <w:tc>
          <w:tcPr>
            <w:tcW w:w="778" w:type="pct"/>
            <w:gridSpan w:val="2"/>
          </w:tcPr>
          <w:p w:rsidR="00872AAD" w:rsidRPr="00A1388F" w:rsidRDefault="00872AAD" w:rsidP="00872AAD">
            <w:pPr>
              <w:keepNext/>
              <w:jc w:val="center"/>
              <w:rPr>
                <w:rFonts w:ascii="Arial Narrow" w:eastAsiaTheme="majorEastAsia" w:hAnsi="Arial Narrow" w:cs="Times New Roman"/>
                <w:b/>
                <w:sz w:val="20"/>
              </w:rPr>
            </w:pPr>
            <w:r w:rsidRPr="00A1388F">
              <w:rPr>
                <w:rFonts w:ascii="Arial Narrow" w:eastAsiaTheme="majorEastAsia" w:hAnsi="Arial Narrow" w:cs="Times New Roman"/>
                <w:b/>
                <w:sz w:val="20"/>
              </w:rPr>
              <w:t>ICER</w:t>
            </w:r>
          </w:p>
        </w:tc>
        <w:tc>
          <w:tcPr>
            <w:tcW w:w="777" w:type="pct"/>
          </w:tcPr>
          <w:p w:rsidR="00872AAD" w:rsidRPr="00A1388F" w:rsidRDefault="00872AAD" w:rsidP="00872AAD">
            <w:pPr>
              <w:keepNext/>
              <w:jc w:val="center"/>
              <w:rPr>
                <w:rFonts w:ascii="Arial Narrow" w:eastAsiaTheme="majorEastAsia" w:hAnsi="Arial Narrow" w:cs="Times New Roman"/>
                <w:b/>
                <w:sz w:val="20"/>
              </w:rPr>
            </w:pPr>
            <w:r w:rsidRPr="00A1388F">
              <w:rPr>
                <w:rFonts w:ascii="Arial Narrow" w:eastAsiaTheme="majorEastAsia" w:hAnsi="Arial Narrow" w:cs="Times New Roman"/>
                <w:b/>
                <w:sz w:val="20"/>
              </w:rPr>
              <w:t>% change to ICER</w:t>
            </w:r>
          </w:p>
        </w:tc>
      </w:tr>
      <w:tr w:rsidR="00872AAD" w:rsidRPr="00AF5A00" w:rsidTr="00126A44">
        <w:trPr>
          <w:cantSplit/>
        </w:trPr>
        <w:tc>
          <w:tcPr>
            <w:tcW w:w="1891" w:type="pct"/>
          </w:tcPr>
          <w:p w:rsidR="00872AAD" w:rsidRPr="00A1388F" w:rsidRDefault="00872AAD" w:rsidP="00872AAD">
            <w:pPr>
              <w:keepNext/>
              <w:jc w:val="left"/>
              <w:rPr>
                <w:rFonts w:ascii="Arial Narrow" w:eastAsiaTheme="majorEastAsia" w:hAnsi="Arial Narrow" w:cstheme="majorBidi"/>
                <w:b/>
                <w:bCs/>
                <w:sz w:val="20"/>
              </w:rPr>
            </w:pPr>
            <w:r w:rsidRPr="00A1388F">
              <w:rPr>
                <w:rFonts w:ascii="Arial Narrow" w:eastAsiaTheme="majorEastAsia" w:hAnsi="Arial Narrow" w:cstheme="majorBidi"/>
                <w:b/>
                <w:bCs/>
                <w:sz w:val="20"/>
              </w:rPr>
              <w:t>Base case (respecified)</w:t>
            </w:r>
          </w:p>
        </w:tc>
        <w:tc>
          <w:tcPr>
            <w:tcW w:w="777" w:type="pct"/>
            <w:gridSpan w:val="3"/>
          </w:tcPr>
          <w:p w:rsidR="00872AAD" w:rsidRPr="00A1388F" w:rsidRDefault="007B3AFC" w:rsidP="00872AAD">
            <w:pPr>
              <w:keepNext/>
              <w:jc w:val="center"/>
              <w:rPr>
                <w:rFonts w:ascii="Arial Narrow" w:eastAsiaTheme="majorEastAsia" w:hAnsi="Arial Narrow" w:cstheme="majorBidi"/>
                <w:b/>
                <w:bCs/>
                <w:iCs/>
                <w:sz w:val="20"/>
                <w:highlight w:val="black"/>
              </w:rPr>
            </w:pPr>
            <w:r w:rsidRPr="00A1388F">
              <w:rPr>
                <w:rFonts w:ascii="Arial Narrow" w:eastAsiaTheme="majorEastAsia" w:hAnsi="Arial Narrow" w:cstheme="majorBidi"/>
                <w:b/>
                <w:bCs/>
                <w:iCs/>
                <w:sz w:val="20"/>
              </w:rPr>
              <w:t>$</w:t>
            </w:r>
            <w:r w:rsidR="00E81857">
              <w:rPr>
                <w:rFonts w:ascii="Arial Narrow" w:eastAsiaTheme="majorEastAsia" w:hAnsi="Arial Narrow" w:cstheme="majorBidi"/>
                <w:b/>
                <w:bCs/>
                <w:iCs/>
                <w:noProof/>
                <w:color w:val="000000"/>
                <w:sz w:val="20"/>
                <w:highlight w:val="black"/>
              </w:rPr>
              <w:t>''''''''''</w:t>
            </w:r>
          </w:p>
        </w:tc>
        <w:tc>
          <w:tcPr>
            <w:tcW w:w="777" w:type="pct"/>
          </w:tcPr>
          <w:p w:rsidR="00872AAD" w:rsidRPr="00A1388F" w:rsidRDefault="00872AAD" w:rsidP="00872AAD">
            <w:pPr>
              <w:keepNext/>
              <w:jc w:val="center"/>
              <w:rPr>
                <w:rFonts w:ascii="Arial Narrow" w:eastAsiaTheme="majorEastAsia" w:hAnsi="Arial Narrow" w:cstheme="majorBidi"/>
                <w:b/>
                <w:bCs/>
                <w:sz w:val="20"/>
              </w:rPr>
            </w:pPr>
            <w:r w:rsidRPr="00A1388F">
              <w:rPr>
                <w:rFonts w:ascii="Arial Narrow" w:eastAsiaTheme="majorEastAsia" w:hAnsi="Arial Narrow" w:cstheme="majorBidi"/>
                <w:b/>
                <w:bCs/>
                <w:sz w:val="20"/>
              </w:rPr>
              <w:t>0.588</w:t>
            </w:r>
          </w:p>
        </w:tc>
        <w:tc>
          <w:tcPr>
            <w:tcW w:w="778" w:type="pct"/>
            <w:gridSpan w:val="2"/>
          </w:tcPr>
          <w:p w:rsidR="00872AAD" w:rsidRPr="00A1388F" w:rsidRDefault="007B3AFC" w:rsidP="00872AAD">
            <w:pPr>
              <w:keepNext/>
              <w:jc w:val="center"/>
              <w:rPr>
                <w:rFonts w:ascii="Arial Narrow" w:eastAsiaTheme="majorEastAsia" w:hAnsi="Arial Narrow" w:cstheme="majorBidi"/>
                <w:b/>
                <w:bCs/>
                <w:iCs/>
                <w:sz w:val="20"/>
                <w:highlight w:val="black"/>
              </w:rPr>
            </w:pPr>
            <w:r w:rsidRPr="00A1388F">
              <w:rPr>
                <w:rFonts w:ascii="Arial Narrow" w:eastAsiaTheme="majorEastAsia" w:hAnsi="Arial Narrow" w:cstheme="majorBidi"/>
                <w:b/>
                <w:bCs/>
                <w:iCs/>
                <w:sz w:val="20"/>
              </w:rPr>
              <w:t>$</w:t>
            </w:r>
            <w:r w:rsidR="00E81857">
              <w:rPr>
                <w:rFonts w:ascii="Arial Narrow" w:eastAsiaTheme="majorEastAsia" w:hAnsi="Arial Narrow" w:cstheme="majorBidi"/>
                <w:b/>
                <w:bCs/>
                <w:iCs/>
                <w:noProof/>
                <w:color w:val="000000"/>
                <w:sz w:val="20"/>
                <w:highlight w:val="black"/>
              </w:rPr>
              <w:t>''''''''''''''</w:t>
            </w:r>
          </w:p>
        </w:tc>
        <w:tc>
          <w:tcPr>
            <w:tcW w:w="777" w:type="pct"/>
          </w:tcPr>
          <w:p w:rsidR="00872AAD" w:rsidRPr="00A1388F" w:rsidRDefault="00872AAD" w:rsidP="00872AAD">
            <w:pPr>
              <w:keepNext/>
              <w:jc w:val="center"/>
              <w:rPr>
                <w:rFonts w:ascii="Arial Narrow" w:eastAsiaTheme="majorEastAsia" w:hAnsi="Arial Narrow" w:cstheme="majorBidi"/>
                <w:b/>
                <w:bCs/>
                <w:sz w:val="20"/>
              </w:rPr>
            </w:pPr>
            <w:r w:rsidRPr="008710F3">
              <w:rPr>
                <w:rFonts w:ascii="Arial Narrow" w:eastAsiaTheme="majorEastAsia" w:hAnsi="Arial Narrow" w:cstheme="majorBidi"/>
                <w:b/>
                <w:bCs/>
                <w:iCs/>
                <w:sz w:val="20"/>
              </w:rPr>
              <w:t>0</w:t>
            </w:r>
            <w:r w:rsidRPr="00A1388F">
              <w:rPr>
                <w:rFonts w:ascii="Arial Narrow" w:eastAsiaTheme="majorEastAsia" w:hAnsi="Arial Narrow" w:cstheme="majorBidi"/>
                <w:b/>
                <w:bCs/>
                <w:iCs/>
                <w:sz w:val="20"/>
              </w:rPr>
              <w:t>%</w:t>
            </w:r>
          </w:p>
        </w:tc>
      </w:tr>
      <w:tr w:rsidR="00872AAD" w:rsidRPr="00AF5A00" w:rsidTr="00126A44">
        <w:trPr>
          <w:cantSplit/>
        </w:trPr>
        <w:tc>
          <w:tcPr>
            <w:tcW w:w="4223" w:type="pct"/>
            <w:gridSpan w:val="7"/>
          </w:tcPr>
          <w:p w:rsidR="00872AAD" w:rsidRPr="00A1388F" w:rsidRDefault="00872AAD" w:rsidP="00872AAD">
            <w:pPr>
              <w:keepNext/>
              <w:jc w:val="left"/>
              <w:rPr>
                <w:rFonts w:ascii="Arial Narrow" w:eastAsiaTheme="majorEastAsia" w:hAnsi="Arial Narrow" w:cstheme="majorBidi"/>
                <w:b/>
                <w:sz w:val="20"/>
              </w:rPr>
            </w:pPr>
            <w:r w:rsidRPr="00A1388F">
              <w:rPr>
                <w:rFonts w:ascii="Arial Narrow" w:eastAsiaTheme="majorEastAsia" w:hAnsi="Arial Narrow" w:cstheme="majorBidi"/>
                <w:b/>
                <w:sz w:val="20"/>
              </w:rPr>
              <w:t>Univariate analyses</w:t>
            </w:r>
          </w:p>
        </w:tc>
        <w:tc>
          <w:tcPr>
            <w:tcW w:w="777" w:type="pct"/>
          </w:tcPr>
          <w:p w:rsidR="00872AAD" w:rsidRPr="00A1388F" w:rsidRDefault="00872AAD" w:rsidP="00872AAD">
            <w:pPr>
              <w:keepNext/>
              <w:jc w:val="left"/>
              <w:rPr>
                <w:rFonts w:ascii="Arial Narrow" w:eastAsiaTheme="majorEastAsia" w:hAnsi="Arial Narrow" w:cstheme="majorBidi"/>
                <w:b/>
                <w:sz w:val="20"/>
              </w:rPr>
            </w:pPr>
          </w:p>
        </w:tc>
      </w:tr>
      <w:tr w:rsidR="00872AAD" w:rsidRPr="00AF5A00" w:rsidTr="00126A44">
        <w:trPr>
          <w:cantSplit/>
        </w:trPr>
        <w:tc>
          <w:tcPr>
            <w:tcW w:w="4223" w:type="pct"/>
            <w:gridSpan w:val="7"/>
          </w:tcPr>
          <w:p w:rsidR="00872AAD" w:rsidRPr="00A1388F" w:rsidRDefault="00872AAD" w:rsidP="00872AAD">
            <w:pPr>
              <w:keepNext/>
              <w:jc w:val="left"/>
              <w:rPr>
                <w:rFonts w:ascii="Arial Narrow" w:eastAsiaTheme="majorEastAsia" w:hAnsi="Arial Narrow" w:cstheme="majorBidi"/>
                <w:bCs/>
                <w:sz w:val="20"/>
              </w:rPr>
            </w:pPr>
            <w:r w:rsidRPr="00A1388F">
              <w:rPr>
                <w:rFonts w:ascii="Arial Narrow" w:eastAsiaTheme="majorEastAsia" w:hAnsi="Arial Narrow" w:cstheme="majorBidi"/>
                <w:bCs/>
                <w:sz w:val="20"/>
              </w:rPr>
              <w:t>PFS extrapolation (base case exponential extrapolation)</w:t>
            </w:r>
          </w:p>
        </w:tc>
        <w:tc>
          <w:tcPr>
            <w:tcW w:w="777" w:type="pct"/>
          </w:tcPr>
          <w:p w:rsidR="00872AAD" w:rsidRPr="00A1388F" w:rsidRDefault="00872AAD" w:rsidP="00872AAD">
            <w:pPr>
              <w:keepNext/>
              <w:jc w:val="left"/>
              <w:rPr>
                <w:rFonts w:ascii="Arial Narrow" w:eastAsiaTheme="majorEastAsia" w:hAnsi="Arial Narrow" w:cstheme="majorBidi"/>
                <w:bCs/>
                <w:sz w:val="20"/>
              </w:rPr>
            </w:pPr>
          </w:p>
        </w:tc>
      </w:tr>
      <w:tr w:rsidR="007B3AFC" w:rsidRPr="00AF5A00" w:rsidTr="00126A44">
        <w:trPr>
          <w:cantSplit/>
        </w:trPr>
        <w:tc>
          <w:tcPr>
            <w:tcW w:w="1891" w:type="pct"/>
          </w:tcPr>
          <w:p w:rsidR="007B3AFC" w:rsidRPr="00A1388F" w:rsidRDefault="007B3AFC" w:rsidP="007B3AFC">
            <w:pPr>
              <w:keepNext/>
              <w:ind w:left="284"/>
              <w:jc w:val="left"/>
              <w:rPr>
                <w:rFonts w:ascii="Arial Narrow" w:eastAsiaTheme="majorEastAsia" w:hAnsi="Arial Narrow" w:cstheme="majorBidi"/>
                <w:bCs/>
                <w:sz w:val="20"/>
              </w:rPr>
            </w:pPr>
            <w:r w:rsidRPr="00A1388F">
              <w:rPr>
                <w:rFonts w:ascii="Arial Narrow" w:eastAsiaTheme="majorEastAsia" w:hAnsi="Arial Narrow" w:cstheme="majorBidi"/>
                <w:bCs/>
                <w:sz w:val="20"/>
              </w:rPr>
              <w:t>Weibull</w:t>
            </w:r>
          </w:p>
        </w:tc>
        <w:tc>
          <w:tcPr>
            <w:tcW w:w="777" w:type="pct"/>
            <w:gridSpan w:val="3"/>
            <w:tcBorders>
              <w:top w:val="single" w:sz="4" w:space="0" w:color="auto"/>
              <w:left w:val="nil"/>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highlight w:val="black"/>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sz w:val="20"/>
              </w:rPr>
            </w:pPr>
            <w:r w:rsidRPr="00A1388F">
              <w:rPr>
                <w:rFonts w:ascii="Arial Narrow" w:eastAsiaTheme="majorEastAsia" w:hAnsi="Arial Narrow" w:cs="Calibri"/>
                <w:bCs/>
                <w:sz w:val="20"/>
                <w:szCs w:val="20"/>
              </w:rPr>
              <w:t>0.63</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highlight w:val="black"/>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highlight w:val="black"/>
              </w:rPr>
            </w:pPr>
            <w:r w:rsidRPr="008710F3">
              <w:rPr>
                <w:rFonts w:ascii="Arial Narrow" w:eastAsiaTheme="majorEastAsia" w:hAnsi="Arial Narrow" w:cs="Calibri"/>
                <w:bCs/>
                <w:iCs/>
                <w:sz w:val="20"/>
                <w:szCs w:val="20"/>
              </w:rPr>
              <w:t>-15</w:t>
            </w:r>
            <w:r w:rsidRPr="00A1388F">
              <w:rPr>
                <w:rFonts w:ascii="Arial Narrow" w:eastAsiaTheme="majorEastAsia" w:hAnsi="Arial Narrow" w:cs="Calibri"/>
                <w:bCs/>
                <w:iCs/>
                <w:sz w:val="20"/>
                <w:szCs w:val="20"/>
              </w:rPr>
              <w:t>%</w:t>
            </w:r>
          </w:p>
        </w:tc>
      </w:tr>
      <w:tr w:rsidR="007B3AFC" w:rsidRPr="00AF5A00" w:rsidTr="00126A44">
        <w:trPr>
          <w:cantSplit/>
        </w:trPr>
        <w:tc>
          <w:tcPr>
            <w:tcW w:w="1891" w:type="pct"/>
          </w:tcPr>
          <w:p w:rsidR="007B3AFC" w:rsidRPr="00A1388F" w:rsidRDefault="007B3AFC" w:rsidP="007B3AFC">
            <w:pPr>
              <w:keepNext/>
              <w:ind w:left="284"/>
              <w:jc w:val="left"/>
              <w:rPr>
                <w:rFonts w:ascii="Arial Narrow" w:eastAsiaTheme="majorEastAsia" w:hAnsi="Arial Narrow" w:cstheme="majorBidi"/>
                <w:bCs/>
                <w:sz w:val="20"/>
              </w:rPr>
            </w:pPr>
            <w:r w:rsidRPr="00A1388F">
              <w:rPr>
                <w:rFonts w:ascii="Arial Narrow" w:eastAsiaTheme="majorEastAsia" w:hAnsi="Arial Narrow" w:cstheme="majorBidi"/>
                <w:bCs/>
                <w:sz w:val="20"/>
              </w:rPr>
              <w:t>Log-normal</w:t>
            </w:r>
          </w:p>
        </w:tc>
        <w:tc>
          <w:tcPr>
            <w:tcW w:w="777" w:type="pct"/>
            <w:gridSpan w:val="3"/>
            <w:tcBorders>
              <w:top w:val="single" w:sz="4" w:space="0" w:color="auto"/>
              <w:left w:val="nil"/>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highlight w:val="black"/>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sz w:val="20"/>
              </w:rPr>
            </w:pPr>
            <w:r w:rsidRPr="00A1388F">
              <w:rPr>
                <w:rFonts w:ascii="Arial Narrow" w:eastAsiaTheme="majorEastAsia" w:hAnsi="Arial Narrow" w:cs="Calibri"/>
                <w:bCs/>
                <w:sz w:val="20"/>
                <w:szCs w:val="20"/>
              </w:rPr>
              <w:t>0.661</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highlight w:val="black"/>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highlight w:val="black"/>
              </w:rPr>
            </w:pPr>
            <w:r w:rsidRPr="008710F3">
              <w:rPr>
                <w:rFonts w:ascii="Arial Narrow" w:eastAsiaTheme="majorEastAsia" w:hAnsi="Arial Narrow" w:cs="Calibri"/>
                <w:bCs/>
                <w:iCs/>
                <w:sz w:val="20"/>
                <w:szCs w:val="20"/>
              </w:rPr>
              <w:t>-27</w:t>
            </w:r>
            <w:r w:rsidRPr="00A1388F">
              <w:rPr>
                <w:rFonts w:ascii="Arial Narrow" w:eastAsiaTheme="majorEastAsia" w:hAnsi="Arial Narrow" w:cs="Calibri"/>
                <w:bCs/>
                <w:iCs/>
                <w:sz w:val="20"/>
                <w:szCs w:val="20"/>
              </w:rPr>
              <w:t>%</w:t>
            </w:r>
          </w:p>
        </w:tc>
      </w:tr>
      <w:tr w:rsidR="007B3AFC" w:rsidRPr="00AF5A00" w:rsidTr="00126A44">
        <w:trPr>
          <w:cantSplit/>
        </w:trPr>
        <w:tc>
          <w:tcPr>
            <w:tcW w:w="1891" w:type="pct"/>
            <w:tcBorders>
              <w:bottom w:val="single" w:sz="4" w:space="0" w:color="auto"/>
            </w:tcBorders>
          </w:tcPr>
          <w:p w:rsidR="007B3AFC" w:rsidRPr="00A1388F" w:rsidRDefault="007B3AFC" w:rsidP="007B3AFC">
            <w:pPr>
              <w:keepNext/>
              <w:ind w:left="284"/>
              <w:jc w:val="left"/>
              <w:rPr>
                <w:rFonts w:ascii="Arial Narrow" w:eastAsiaTheme="majorEastAsia" w:hAnsi="Arial Narrow" w:cstheme="majorBidi"/>
                <w:bCs/>
                <w:sz w:val="20"/>
              </w:rPr>
            </w:pPr>
            <w:r w:rsidRPr="00A1388F">
              <w:rPr>
                <w:rFonts w:ascii="Arial Narrow" w:eastAsiaTheme="majorEastAsia" w:hAnsi="Arial Narrow" w:cstheme="majorBidi"/>
                <w:bCs/>
                <w:sz w:val="20"/>
              </w:rPr>
              <w:t>Log-logistic</w:t>
            </w:r>
          </w:p>
        </w:tc>
        <w:tc>
          <w:tcPr>
            <w:tcW w:w="777" w:type="pct"/>
            <w:gridSpan w:val="3"/>
            <w:tcBorders>
              <w:top w:val="single" w:sz="4" w:space="0" w:color="auto"/>
              <w:left w:val="nil"/>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highlight w:val="black"/>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sz w:val="20"/>
              </w:rPr>
            </w:pPr>
            <w:r w:rsidRPr="00A1388F">
              <w:rPr>
                <w:rFonts w:ascii="Arial Narrow" w:eastAsiaTheme="majorEastAsia" w:hAnsi="Arial Narrow" w:cs="Calibri"/>
                <w:bCs/>
                <w:sz w:val="20"/>
                <w:szCs w:val="20"/>
              </w:rPr>
              <w:t>0.633</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highlight w:val="black"/>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highlight w:val="black"/>
              </w:rPr>
            </w:pPr>
            <w:r w:rsidRPr="008710F3">
              <w:rPr>
                <w:rFonts w:ascii="Arial Narrow" w:eastAsiaTheme="majorEastAsia" w:hAnsi="Arial Narrow" w:cs="Calibri"/>
                <w:bCs/>
                <w:iCs/>
                <w:sz w:val="20"/>
                <w:szCs w:val="20"/>
              </w:rPr>
              <w:t>-17</w:t>
            </w:r>
            <w:r w:rsidRPr="00A1388F">
              <w:rPr>
                <w:rFonts w:ascii="Arial Narrow" w:eastAsiaTheme="majorEastAsia" w:hAnsi="Arial Narrow" w:cs="Calibri"/>
                <w:bCs/>
                <w:iCs/>
                <w:sz w:val="20"/>
                <w:szCs w:val="20"/>
              </w:rPr>
              <w:t>%</w:t>
            </w:r>
          </w:p>
        </w:tc>
      </w:tr>
      <w:tr w:rsidR="007B3AFC" w:rsidRPr="00AF5A00" w:rsidTr="00126A44">
        <w:trPr>
          <w:cantSplit/>
          <w:trHeight w:val="283"/>
        </w:trPr>
        <w:tc>
          <w:tcPr>
            <w:tcW w:w="4223" w:type="pct"/>
            <w:gridSpan w:val="7"/>
            <w:tcBorders>
              <w:top w:val="single" w:sz="4" w:space="0" w:color="auto"/>
            </w:tcBorders>
          </w:tcPr>
          <w:p w:rsidR="007B3AFC" w:rsidRPr="00A1388F" w:rsidRDefault="007B3AFC" w:rsidP="007B3AFC">
            <w:pPr>
              <w:keepNext/>
              <w:jc w:val="left"/>
              <w:rPr>
                <w:rFonts w:ascii="Arial Narrow" w:eastAsiaTheme="majorEastAsia" w:hAnsi="Arial Narrow" w:cstheme="majorBidi"/>
                <w:bCs/>
                <w:sz w:val="20"/>
              </w:rPr>
            </w:pPr>
            <w:r w:rsidRPr="00A1388F">
              <w:rPr>
                <w:rFonts w:ascii="Arial Narrow" w:eastAsiaTheme="majorEastAsia" w:hAnsi="Arial Narrow" w:cstheme="majorBidi"/>
                <w:bCs/>
                <w:sz w:val="20"/>
              </w:rPr>
              <w:t>Duration of treatment effect (base case continues to Year 7, tapers to null at Year 10)</w:t>
            </w:r>
          </w:p>
        </w:tc>
        <w:tc>
          <w:tcPr>
            <w:tcW w:w="777" w:type="pct"/>
            <w:tcBorders>
              <w:top w:val="single" w:sz="4" w:space="0" w:color="auto"/>
            </w:tcBorders>
          </w:tcPr>
          <w:p w:rsidR="007B3AFC" w:rsidRPr="00A1388F" w:rsidRDefault="007B3AFC" w:rsidP="007B3AFC">
            <w:pPr>
              <w:keepNext/>
              <w:jc w:val="left"/>
              <w:rPr>
                <w:rFonts w:ascii="Arial Narrow" w:eastAsiaTheme="majorEastAsia" w:hAnsi="Arial Narrow" w:cstheme="majorBidi"/>
                <w:bCs/>
                <w:sz w:val="20"/>
              </w:rPr>
            </w:pPr>
          </w:p>
        </w:tc>
      </w:tr>
      <w:tr w:rsidR="007B3AFC" w:rsidRPr="00AF5A00" w:rsidTr="00126A44">
        <w:trPr>
          <w:cantSplit/>
          <w:trHeight w:val="283"/>
        </w:trPr>
        <w:tc>
          <w:tcPr>
            <w:tcW w:w="1916" w:type="pct"/>
            <w:gridSpan w:val="2"/>
          </w:tcPr>
          <w:p w:rsidR="007B3AFC" w:rsidRPr="00A1388F" w:rsidRDefault="007B3AFC" w:rsidP="007B3AFC">
            <w:pPr>
              <w:keepNext/>
              <w:ind w:left="284"/>
              <w:jc w:val="left"/>
              <w:rPr>
                <w:rFonts w:ascii="Arial Narrow" w:eastAsiaTheme="majorEastAsia" w:hAnsi="Arial Narrow" w:cstheme="majorBidi"/>
                <w:bCs/>
                <w:iCs/>
                <w:sz w:val="20"/>
              </w:rPr>
            </w:pPr>
            <w:r w:rsidRPr="00A1388F">
              <w:rPr>
                <w:rFonts w:ascii="Arial Narrow" w:eastAsiaTheme="majorEastAsia" w:hAnsi="Arial Narrow" w:cstheme="majorBidi"/>
                <w:bCs/>
                <w:iCs/>
                <w:sz w:val="20"/>
              </w:rPr>
              <w:t>Tapers from 7 years to null at 15 years</w:t>
            </w:r>
          </w:p>
        </w:tc>
        <w:tc>
          <w:tcPr>
            <w:tcW w:w="730" w:type="pct"/>
            <w:tcBorders>
              <w:top w:val="single" w:sz="4" w:space="0" w:color="auto"/>
              <w:left w:val="nil"/>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0.595</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8710F3">
              <w:rPr>
                <w:rFonts w:ascii="Arial Narrow" w:eastAsiaTheme="majorEastAsia" w:hAnsi="Arial Narrow" w:cs="Calibri"/>
                <w:bCs/>
                <w:iCs/>
                <w:sz w:val="20"/>
                <w:szCs w:val="20"/>
              </w:rPr>
              <w:t>-3</w:t>
            </w:r>
            <w:r w:rsidRPr="00A1388F">
              <w:rPr>
                <w:rFonts w:ascii="Arial Narrow" w:eastAsiaTheme="majorEastAsia" w:hAnsi="Arial Narrow" w:cs="Calibri"/>
                <w:bCs/>
                <w:iCs/>
                <w:sz w:val="20"/>
                <w:szCs w:val="20"/>
              </w:rPr>
              <w:t>%</w:t>
            </w:r>
          </w:p>
        </w:tc>
      </w:tr>
      <w:tr w:rsidR="007B3AFC" w:rsidRPr="00AF5A00" w:rsidTr="00126A44">
        <w:trPr>
          <w:cantSplit/>
          <w:trHeight w:val="283"/>
        </w:trPr>
        <w:tc>
          <w:tcPr>
            <w:tcW w:w="1916" w:type="pct"/>
            <w:gridSpan w:val="2"/>
          </w:tcPr>
          <w:p w:rsidR="007B3AFC" w:rsidRPr="00A1388F" w:rsidRDefault="007B3AFC" w:rsidP="007B3AFC">
            <w:pPr>
              <w:keepNext/>
              <w:ind w:left="284"/>
              <w:jc w:val="left"/>
              <w:rPr>
                <w:rFonts w:ascii="Arial Narrow" w:eastAsiaTheme="majorEastAsia" w:hAnsi="Arial Narrow" w:cstheme="majorBidi"/>
                <w:bCs/>
                <w:iCs/>
                <w:sz w:val="20"/>
              </w:rPr>
            </w:pPr>
            <w:r w:rsidRPr="00A1388F">
              <w:rPr>
                <w:rFonts w:ascii="Arial Narrow" w:eastAsiaTheme="majorEastAsia" w:hAnsi="Arial Narrow" w:cstheme="majorBidi"/>
                <w:bCs/>
                <w:iCs/>
                <w:sz w:val="20"/>
              </w:rPr>
              <w:t>Tapers from 5.1 years to null at 10 years</w:t>
            </w:r>
          </w:p>
        </w:tc>
        <w:tc>
          <w:tcPr>
            <w:tcW w:w="730" w:type="pct"/>
            <w:tcBorders>
              <w:top w:val="single" w:sz="4" w:space="0" w:color="auto"/>
              <w:left w:val="nil"/>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0.572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8710F3">
              <w:rPr>
                <w:rFonts w:ascii="Arial Narrow" w:eastAsiaTheme="majorEastAsia" w:hAnsi="Arial Narrow" w:cs="Calibri"/>
                <w:bCs/>
                <w:iCs/>
                <w:sz w:val="20"/>
                <w:szCs w:val="20"/>
              </w:rPr>
              <w:t>7</w:t>
            </w:r>
            <w:r w:rsidRPr="00A1388F">
              <w:rPr>
                <w:rFonts w:ascii="Arial Narrow" w:eastAsiaTheme="majorEastAsia" w:hAnsi="Arial Narrow" w:cs="Calibri"/>
                <w:bCs/>
                <w:iCs/>
                <w:sz w:val="20"/>
                <w:szCs w:val="20"/>
              </w:rPr>
              <w:t>%</w:t>
            </w:r>
          </w:p>
        </w:tc>
      </w:tr>
      <w:tr w:rsidR="007B3AFC" w:rsidRPr="00AF5A00" w:rsidTr="00126A44">
        <w:trPr>
          <w:cantSplit/>
          <w:trHeight w:val="283"/>
        </w:trPr>
        <w:tc>
          <w:tcPr>
            <w:tcW w:w="1916" w:type="pct"/>
            <w:gridSpan w:val="2"/>
          </w:tcPr>
          <w:p w:rsidR="007B3AFC" w:rsidRPr="00A1388F" w:rsidRDefault="007B3AFC" w:rsidP="007B3AFC">
            <w:pPr>
              <w:keepNext/>
              <w:ind w:left="284"/>
              <w:jc w:val="left"/>
              <w:rPr>
                <w:rFonts w:ascii="Arial Narrow" w:eastAsiaTheme="majorEastAsia" w:hAnsi="Arial Narrow" w:cstheme="majorBidi"/>
                <w:bCs/>
                <w:iCs/>
                <w:sz w:val="20"/>
              </w:rPr>
            </w:pPr>
            <w:r w:rsidRPr="00A1388F">
              <w:rPr>
                <w:rFonts w:ascii="Arial Narrow" w:eastAsiaTheme="majorEastAsia" w:hAnsi="Arial Narrow" w:cstheme="majorBidi"/>
                <w:bCs/>
                <w:iCs/>
                <w:sz w:val="20"/>
              </w:rPr>
              <w:t>Null after trial period (5.1 years)</w:t>
            </w:r>
          </w:p>
        </w:tc>
        <w:tc>
          <w:tcPr>
            <w:tcW w:w="730" w:type="pct"/>
            <w:tcBorders>
              <w:top w:val="single" w:sz="4" w:space="0" w:color="auto"/>
              <w:left w:val="nil"/>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0.521</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8710F3">
              <w:rPr>
                <w:rFonts w:ascii="Arial Narrow" w:eastAsiaTheme="majorEastAsia" w:hAnsi="Arial Narrow" w:cs="Calibri"/>
                <w:bCs/>
                <w:iCs/>
                <w:sz w:val="20"/>
                <w:szCs w:val="20"/>
              </w:rPr>
              <w:t>31</w:t>
            </w:r>
            <w:r w:rsidRPr="00A1388F">
              <w:rPr>
                <w:rFonts w:ascii="Arial Narrow" w:eastAsiaTheme="majorEastAsia" w:hAnsi="Arial Narrow" w:cs="Calibri"/>
                <w:bCs/>
                <w:iCs/>
                <w:sz w:val="20"/>
                <w:szCs w:val="20"/>
              </w:rPr>
              <w:t>%</w:t>
            </w:r>
          </w:p>
        </w:tc>
      </w:tr>
      <w:tr w:rsidR="007B3AFC" w:rsidRPr="00AF5A00" w:rsidTr="00126A44">
        <w:trPr>
          <w:cantSplit/>
          <w:trHeight w:val="283"/>
        </w:trPr>
        <w:tc>
          <w:tcPr>
            <w:tcW w:w="1916" w:type="pct"/>
            <w:gridSpan w:val="2"/>
          </w:tcPr>
          <w:p w:rsidR="007B3AFC" w:rsidRPr="00A1388F" w:rsidRDefault="007B3AFC" w:rsidP="007B3AFC">
            <w:pPr>
              <w:keepNext/>
              <w:ind w:left="284"/>
              <w:jc w:val="left"/>
              <w:rPr>
                <w:rFonts w:ascii="Arial Narrow" w:eastAsiaTheme="majorEastAsia" w:hAnsi="Arial Narrow" w:cstheme="majorBidi"/>
                <w:bCs/>
                <w:iCs/>
                <w:sz w:val="20"/>
              </w:rPr>
            </w:pPr>
            <w:r w:rsidRPr="00A1388F">
              <w:rPr>
                <w:rFonts w:ascii="Arial Narrow" w:eastAsiaTheme="majorEastAsia" w:hAnsi="Arial Narrow" w:cstheme="majorBidi"/>
                <w:bCs/>
                <w:iCs/>
                <w:sz w:val="20"/>
              </w:rPr>
              <w:t>No treatment effect (PFS for Ptz+T+Chemo = PFS for T+</w:t>
            </w:r>
            <w:r w:rsidR="00F1087A" w:rsidRPr="00A1388F">
              <w:rPr>
                <w:rFonts w:ascii="Arial Narrow" w:eastAsiaTheme="majorEastAsia" w:hAnsi="Arial Narrow" w:cstheme="majorBidi"/>
                <w:bCs/>
                <w:iCs/>
                <w:sz w:val="20"/>
              </w:rPr>
              <w:t>Chemo</w:t>
            </w:r>
          </w:p>
        </w:tc>
        <w:tc>
          <w:tcPr>
            <w:tcW w:w="730" w:type="pct"/>
            <w:tcBorders>
              <w:top w:val="single" w:sz="4" w:space="0" w:color="auto"/>
              <w:left w:val="nil"/>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0.126</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theme="majorBidi"/>
                <w:bCs/>
                <w:iCs/>
                <w:sz w:val="20"/>
              </w:rPr>
            </w:pPr>
            <w:r w:rsidRPr="008710F3">
              <w:rPr>
                <w:rFonts w:ascii="Arial Narrow" w:eastAsiaTheme="majorEastAsia" w:hAnsi="Arial Narrow" w:cs="Calibri"/>
                <w:bCs/>
                <w:iCs/>
                <w:sz w:val="20"/>
                <w:szCs w:val="20"/>
              </w:rPr>
              <w:t>836</w:t>
            </w:r>
            <w:r w:rsidRPr="00A1388F">
              <w:rPr>
                <w:rFonts w:ascii="Arial Narrow" w:eastAsiaTheme="majorEastAsia" w:hAnsi="Arial Narrow" w:cs="Calibri"/>
                <w:bCs/>
                <w:iCs/>
                <w:sz w:val="20"/>
                <w:szCs w:val="20"/>
              </w:rPr>
              <w:t>%</w:t>
            </w:r>
          </w:p>
        </w:tc>
      </w:tr>
      <w:tr w:rsidR="007B3AFC" w:rsidRPr="00AF5A00" w:rsidTr="00126A44">
        <w:trPr>
          <w:cantSplit/>
          <w:trHeight w:val="283"/>
        </w:trPr>
        <w:tc>
          <w:tcPr>
            <w:tcW w:w="4223" w:type="pct"/>
            <w:gridSpan w:val="7"/>
          </w:tcPr>
          <w:p w:rsidR="007B3AFC" w:rsidRPr="00A1388F" w:rsidRDefault="007B3AFC" w:rsidP="007B3AFC">
            <w:pPr>
              <w:keepNext/>
              <w:jc w:val="left"/>
              <w:rPr>
                <w:rFonts w:ascii="Arial Narrow" w:eastAsia="Calibri" w:hAnsi="Arial Narrow" w:cstheme="majorBidi"/>
                <w:bCs/>
                <w:sz w:val="20"/>
                <w:szCs w:val="20"/>
              </w:rPr>
            </w:pPr>
            <w:r w:rsidRPr="00A1388F">
              <w:rPr>
                <w:rFonts w:ascii="Arial Narrow" w:eastAsia="Calibri" w:hAnsi="Arial Narrow" w:cstheme="majorBidi"/>
                <w:bCs/>
                <w:sz w:val="20"/>
                <w:szCs w:val="20"/>
              </w:rPr>
              <w:t>Duration of treatment for mBC (base case from risk share arrangement)</w:t>
            </w:r>
          </w:p>
        </w:tc>
        <w:tc>
          <w:tcPr>
            <w:tcW w:w="777" w:type="pct"/>
          </w:tcPr>
          <w:p w:rsidR="007B3AFC" w:rsidRPr="00A1388F" w:rsidRDefault="007B3AFC" w:rsidP="007B3AFC">
            <w:pPr>
              <w:keepNext/>
              <w:jc w:val="left"/>
              <w:rPr>
                <w:rFonts w:ascii="Arial Narrow" w:eastAsia="Calibri" w:hAnsi="Arial Narrow" w:cstheme="majorBidi"/>
                <w:bCs/>
                <w:sz w:val="20"/>
                <w:szCs w:val="20"/>
              </w:rPr>
            </w:pPr>
          </w:p>
        </w:tc>
      </w:tr>
      <w:tr w:rsidR="007B3AFC" w:rsidRPr="00AF5A00" w:rsidTr="00126A44">
        <w:trPr>
          <w:cantSplit/>
          <w:trHeight w:val="283"/>
        </w:trPr>
        <w:tc>
          <w:tcPr>
            <w:tcW w:w="1891" w:type="pct"/>
          </w:tcPr>
          <w:p w:rsidR="007B3AFC" w:rsidRPr="00A1388F" w:rsidRDefault="007B3AFC" w:rsidP="007B3AFC">
            <w:pPr>
              <w:keepNext/>
              <w:ind w:left="284"/>
              <w:jc w:val="left"/>
              <w:rPr>
                <w:rFonts w:ascii="Arial Narrow" w:eastAsiaTheme="majorEastAsia" w:hAnsi="Arial Narrow" w:cstheme="majorBidi"/>
                <w:bCs/>
                <w:iCs/>
                <w:sz w:val="20"/>
              </w:rPr>
            </w:pPr>
            <w:r w:rsidRPr="00A1388F">
              <w:rPr>
                <w:rFonts w:ascii="Arial Narrow" w:eastAsiaTheme="majorEastAsia" w:hAnsi="Arial Narrow" w:cstheme="majorBidi"/>
                <w:bCs/>
                <w:iCs/>
                <w:sz w:val="20"/>
              </w:rPr>
              <w:t>Prescriptions per patient (DUSC analysis July 15 to Jun 16)</w:t>
            </w:r>
            <w:r w:rsidRPr="00A1388F">
              <w:rPr>
                <w:rFonts w:ascii="Arial Narrow" w:eastAsiaTheme="majorEastAsia" w:hAnsi="Arial Narrow" w:cstheme="majorBidi"/>
                <w:bCs/>
                <w:iCs/>
                <w:sz w:val="20"/>
                <w:vertAlign w:val="superscript"/>
              </w:rPr>
              <w:footnoteReference w:id="17"/>
            </w:r>
          </w:p>
        </w:tc>
        <w:tc>
          <w:tcPr>
            <w:tcW w:w="777" w:type="pct"/>
            <w:gridSpan w:val="3"/>
            <w:tcBorders>
              <w:top w:val="single" w:sz="4" w:space="0" w:color="auto"/>
              <w:left w:val="nil"/>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A1388F">
              <w:rPr>
                <w:rFonts w:ascii="Arial Narrow" w:eastAsiaTheme="majorEastAsia" w:hAnsi="Arial Narrow" w:cs="Calibri"/>
                <w:bCs/>
                <w:iCs/>
                <w:sz w:val="20"/>
                <w:szCs w:val="20"/>
              </w:rPr>
              <w:t>0.588</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8710F3">
              <w:rPr>
                <w:rFonts w:ascii="Arial Narrow" w:eastAsiaTheme="majorEastAsia" w:hAnsi="Arial Narrow" w:cs="Calibri"/>
                <w:bCs/>
                <w:iCs/>
                <w:sz w:val="20"/>
                <w:szCs w:val="20"/>
              </w:rPr>
              <w:t>48</w:t>
            </w:r>
            <w:r w:rsidRPr="00A1388F">
              <w:rPr>
                <w:rFonts w:ascii="Arial Narrow" w:eastAsiaTheme="majorEastAsia" w:hAnsi="Arial Narrow" w:cs="Calibri"/>
                <w:bCs/>
                <w:iCs/>
                <w:sz w:val="20"/>
                <w:szCs w:val="20"/>
              </w:rPr>
              <w:t>%</w:t>
            </w:r>
          </w:p>
        </w:tc>
      </w:tr>
      <w:tr w:rsidR="007B3AFC" w:rsidRPr="00AF5A00" w:rsidTr="00126A44">
        <w:trPr>
          <w:cantSplit/>
          <w:trHeight w:val="283"/>
        </w:trPr>
        <w:tc>
          <w:tcPr>
            <w:tcW w:w="1891" w:type="pct"/>
          </w:tcPr>
          <w:p w:rsidR="007B3AFC" w:rsidRPr="00A1388F" w:rsidRDefault="007B3AFC" w:rsidP="007B3AFC">
            <w:pPr>
              <w:keepNext/>
              <w:ind w:left="284"/>
              <w:jc w:val="left"/>
              <w:rPr>
                <w:rFonts w:ascii="Arial Narrow" w:eastAsiaTheme="majorEastAsia" w:hAnsi="Arial Narrow" w:cstheme="majorBidi"/>
                <w:bCs/>
                <w:iCs/>
                <w:sz w:val="20"/>
              </w:rPr>
            </w:pPr>
            <w:r w:rsidRPr="00A1388F">
              <w:rPr>
                <w:rFonts w:ascii="Arial Narrow" w:eastAsiaTheme="majorEastAsia" w:hAnsi="Arial Narrow" w:cstheme="majorBidi"/>
                <w:bCs/>
                <w:iCs/>
                <w:sz w:val="20"/>
              </w:rPr>
              <w:t>Prescriptions per patient (DUSC analysis July 16 to June 17)</w:t>
            </w:r>
            <w:r w:rsidRPr="00A1388F">
              <w:rPr>
                <w:rFonts w:ascii="Arial Narrow" w:eastAsiaTheme="majorEastAsia" w:hAnsi="Arial Narrow" w:cstheme="majorBidi"/>
                <w:bCs/>
                <w:iCs/>
                <w:sz w:val="20"/>
                <w:vertAlign w:val="superscript"/>
              </w:rPr>
              <w:t>7</w:t>
            </w:r>
          </w:p>
        </w:tc>
        <w:tc>
          <w:tcPr>
            <w:tcW w:w="777" w:type="pct"/>
            <w:gridSpan w:val="3"/>
            <w:tcBorders>
              <w:top w:val="single" w:sz="4" w:space="0" w:color="auto"/>
              <w:left w:val="nil"/>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A1388F">
              <w:rPr>
                <w:rFonts w:ascii="Arial Narrow" w:eastAsiaTheme="majorEastAsia" w:hAnsi="Arial Narrow" w:cs="Calibri"/>
                <w:bCs/>
                <w:iCs/>
                <w:sz w:val="20"/>
                <w:szCs w:val="20"/>
              </w:rPr>
              <w:t>0.588</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8710F3">
              <w:rPr>
                <w:rFonts w:ascii="Arial Narrow" w:eastAsiaTheme="majorEastAsia" w:hAnsi="Arial Narrow" w:cs="Calibri"/>
                <w:bCs/>
                <w:iCs/>
                <w:sz w:val="20"/>
                <w:szCs w:val="20"/>
              </w:rPr>
              <w:t>40</w:t>
            </w:r>
            <w:r w:rsidRPr="00A1388F">
              <w:rPr>
                <w:rFonts w:ascii="Arial Narrow" w:eastAsiaTheme="majorEastAsia" w:hAnsi="Arial Narrow" w:cs="Calibri"/>
                <w:bCs/>
                <w:iCs/>
                <w:sz w:val="20"/>
                <w:szCs w:val="20"/>
              </w:rPr>
              <w:t>%</w:t>
            </w:r>
          </w:p>
        </w:tc>
      </w:tr>
      <w:tr w:rsidR="007B3AFC" w:rsidRPr="00AF5A00" w:rsidTr="00554C01">
        <w:trPr>
          <w:cantSplit/>
          <w:trHeight w:val="283"/>
        </w:trPr>
        <w:tc>
          <w:tcPr>
            <w:tcW w:w="5000" w:type="pct"/>
            <w:gridSpan w:val="8"/>
            <w:tcBorders>
              <w:bottom w:val="single" w:sz="4" w:space="0" w:color="auto"/>
              <w:right w:val="single" w:sz="4" w:space="0" w:color="auto"/>
            </w:tcBorders>
          </w:tcPr>
          <w:p w:rsidR="007B3AFC" w:rsidRPr="00A1388F" w:rsidRDefault="007B3AFC" w:rsidP="007B3AFC">
            <w:pPr>
              <w:keepNext/>
              <w:jc w:val="left"/>
              <w:rPr>
                <w:rFonts w:ascii="Arial Narrow" w:eastAsiaTheme="majorEastAsia" w:hAnsi="Arial Narrow" w:cs="Calibri"/>
                <w:bCs/>
                <w:sz w:val="20"/>
                <w:szCs w:val="20"/>
              </w:rPr>
            </w:pPr>
            <w:r w:rsidRPr="00A1388F">
              <w:rPr>
                <w:rFonts w:ascii="Arial Narrow" w:eastAsiaTheme="majorEastAsia" w:hAnsi="Arial Narrow" w:cs="Calibri"/>
                <w:bCs/>
                <w:sz w:val="20"/>
                <w:szCs w:val="20"/>
              </w:rPr>
              <w:t>Incremental costs for mBC (base case -$</w:t>
            </w:r>
            <w:r w:rsidR="00E81857">
              <w:rPr>
                <w:rFonts w:ascii="Arial Narrow" w:eastAsiaTheme="majorEastAsia" w:hAnsi="Arial Narrow" w:cs="Calibri"/>
                <w:bCs/>
                <w:noProof/>
                <w:color w:val="000000"/>
                <w:sz w:val="20"/>
                <w:szCs w:val="20"/>
                <w:highlight w:val="black"/>
              </w:rPr>
              <w:t>'''''''''''''''</w:t>
            </w:r>
          </w:p>
        </w:tc>
      </w:tr>
      <w:tr w:rsidR="007B3AFC" w:rsidRPr="00AF5A00" w:rsidTr="00554C01">
        <w:trPr>
          <w:cantSplit/>
          <w:trHeight w:val="283"/>
        </w:trPr>
        <w:tc>
          <w:tcPr>
            <w:tcW w:w="1891" w:type="pct"/>
            <w:tcBorders>
              <w:top w:val="single" w:sz="4" w:space="0" w:color="auto"/>
              <w:bottom w:val="single" w:sz="4" w:space="0" w:color="auto"/>
              <w:right w:val="single" w:sz="4" w:space="0" w:color="auto"/>
            </w:tcBorders>
          </w:tcPr>
          <w:p w:rsidR="007B3AFC" w:rsidRPr="00A1388F" w:rsidRDefault="007B3AFC" w:rsidP="007B3AFC">
            <w:pPr>
              <w:keepNext/>
              <w:ind w:left="284"/>
              <w:jc w:val="left"/>
              <w:rPr>
                <w:rFonts w:ascii="Arial Narrow" w:eastAsiaTheme="majorEastAsia" w:hAnsi="Arial Narrow" w:cstheme="majorBidi"/>
                <w:bCs/>
                <w:iCs/>
                <w:sz w:val="20"/>
              </w:rPr>
            </w:pPr>
            <w:r w:rsidRPr="00A1388F">
              <w:rPr>
                <w:rFonts w:ascii="Arial Narrow" w:eastAsiaTheme="majorEastAsia" w:hAnsi="Arial Narrow" w:cstheme="majorBidi"/>
                <w:bCs/>
                <w:iCs/>
                <w:sz w:val="20"/>
              </w:rPr>
              <w:t>No incremental costs for mBC</w:t>
            </w:r>
          </w:p>
        </w:tc>
        <w:tc>
          <w:tcPr>
            <w:tcW w:w="7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Calibri"/>
                <w:bCs/>
                <w:iCs/>
                <w:sz w:val="20"/>
                <w:szCs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Calibri"/>
                <w:bCs/>
                <w:iCs/>
                <w:sz w:val="20"/>
                <w:szCs w:val="20"/>
              </w:rPr>
            </w:pPr>
            <w:r w:rsidRPr="00A1388F">
              <w:rPr>
                <w:rFonts w:ascii="Arial Narrow" w:eastAsiaTheme="majorEastAsia" w:hAnsi="Arial Narrow" w:cs="Calibri"/>
                <w:bCs/>
                <w:iCs/>
                <w:sz w:val="20"/>
                <w:szCs w:val="20"/>
              </w:rPr>
              <w:t>0.588</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Calibri"/>
                <w:bCs/>
                <w:iCs/>
                <w:sz w:val="20"/>
                <w:szCs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Theme="majorEastAsia" w:hAnsi="Arial Narrow" w:cs="Calibri"/>
                <w:bCs/>
                <w:iCs/>
                <w:sz w:val="20"/>
                <w:szCs w:val="20"/>
              </w:rPr>
            </w:pPr>
            <w:r w:rsidRPr="008710F3">
              <w:rPr>
                <w:rFonts w:ascii="Arial Narrow" w:eastAsiaTheme="majorEastAsia" w:hAnsi="Arial Narrow" w:cs="Calibri"/>
                <w:bCs/>
                <w:iCs/>
                <w:sz w:val="20"/>
                <w:szCs w:val="20"/>
              </w:rPr>
              <w:t>116</w:t>
            </w:r>
            <w:r w:rsidRPr="00A1388F">
              <w:rPr>
                <w:rFonts w:ascii="Arial Narrow" w:eastAsiaTheme="majorEastAsia" w:hAnsi="Arial Narrow" w:cs="Calibri"/>
                <w:bCs/>
                <w:iCs/>
                <w:sz w:val="20"/>
                <w:szCs w:val="20"/>
              </w:rPr>
              <w:t>%</w:t>
            </w:r>
          </w:p>
        </w:tc>
      </w:tr>
      <w:tr w:rsidR="007B3AFC" w:rsidRPr="00AF5A00" w:rsidTr="00554C01">
        <w:trPr>
          <w:cantSplit/>
          <w:trHeight w:val="283"/>
        </w:trPr>
        <w:tc>
          <w:tcPr>
            <w:tcW w:w="5000" w:type="pct"/>
            <w:gridSpan w:val="8"/>
            <w:tcBorders>
              <w:top w:val="single" w:sz="4" w:space="0" w:color="auto"/>
            </w:tcBorders>
          </w:tcPr>
          <w:p w:rsidR="007B3AFC" w:rsidRPr="00A1388F" w:rsidRDefault="007B3AFC" w:rsidP="007B3AFC">
            <w:pPr>
              <w:keepNext/>
              <w:jc w:val="left"/>
              <w:rPr>
                <w:rFonts w:ascii="Arial Narrow" w:eastAsiaTheme="majorEastAsia" w:hAnsi="Arial Narrow" w:cstheme="majorBidi"/>
                <w:b/>
                <w:sz w:val="20"/>
              </w:rPr>
            </w:pPr>
            <w:r w:rsidRPr="00A1388F">
              <w:rPr>
                <w:rFonts w:ascii="Arial Narrow" w:eastAsiaTheme="majorEastAsia" w:hAnsi="Arial Narrow" w:cstheme="majorBidi"/>
                <w:b/>
                <w:iCs/>
                <w:sz w:val="20"/>
              </w:rPr>
              <w:t>Multivariate analyses –incremental costs and QALYs for mBC (base case -$</w:t>
            </w:r>
            <w:r w:rsidR="00E81857">
              <w:rPr>
                <w:rFonts w:ascii="Arial Narrow" w:eastAsiaTheme="majorEastAsia" w:hAnsi="Arial Narrow" w:cstheme="majorBidi"/>
                <w:b/>
                <w:iCs/>
                <w:noProof/>
                <w:color w:val="000000"/>
                <w:sz w:val="20"/>
                <w:highlight w:val="black"/>
              </w:rPr>
              <w:t>'''''''''''</w:t>
            </w:r>
            <w:r w:rsidRPr="00A1388F">
              <w:rPr>
                <w:rFonts w:ascii="Arial Narrow" w:eastAsiaTheme="majorEastAsia" w:hAnsi="Arial Narrow" w:cstheme="majorBidi"/>
                <w:b/>
                <w:iCs/>
                <w:sz w:val="20"/>
              </w:rPr>
              <w:t xml:space="preserve"> and -0.149 QALY)</w:t>
            </w:r>
          </w:p>
        </w:tc>
      </w:tr>
      <w:tr w:rsidR="007B3AFC" w:rsidRPr="00AF5A00" w:rsidTr="00126A44">
        <w:trPr>
          <w:cantSplit/>
          <w:trHeight w:val="283"/>
        </w:trPr>
        <w:tc>
          <w:tcPr>
            <w:tcW w:w="1891" w:type="pct"/>
          </w:tcPr>
          <w:p w:rsidR="007B3AFC" w:rsidRPr="00A1388F" w:rsidRDefault="007B3AFC" w:rsidP="007B3AFC">
            <w:pPr>
              <w:keepNext/>
              <w:ind w:left="284"/>
              <w:jc w:val="left"/>
              <w:rPr>
                <w:rFonts w:ascii="Arial Narrow" w:eastAsiaTheme="majorEastAsia" w:hAnsi="Arial Narrow" w:cstheme="majorBidi"/>
                <w:bCs/>
                <w:iCs/>
                <w:sz w:val="20"/>
              </w:rPr>
            </w:pPr>
            <w:r w:rsidRPr="00A1388F">
              <w:rPr>
                <w:rFonts w:ascii="Arial Narrow" w:eastAsiaTheme="majorEastAsia" w:hAnsi="Arial Narrow" w:cstheme="majorBidi"/>
                <w:bCs/>
                <w:iCs/>
                <w:sz w:val="20"/>
              </w:rPr>
              <w:t>No incremental costs or QALYs for mBC</w:t>
            </w:r>
          </w:p>
        </w:tc>
        <w:tc>
          <w:tcPr>
            <w:tcW w:w="777" w:type="pct"/>
            <w:gridSpan w:val="3"/>
            <w:tcBorders>
              <w:top w:val="single" w:sz="4" w:space="0" w:color="auto"/>
              <w:left w:val="nil"/>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A1388F">
              <w:rPr>
                <w:rFonts w:ascii="Arial Narrow" w:eastAsiaTheme="majorEastAsia" w:hAnsi="Arial Narrow" w:cs="Calibri"/>
                <w:bCs/>
                <w:iCs/>
                <w:sz w:val="20"/>
                <w:szCs w:val="20"/>
              </w:rPr>
              <w:t>0.737</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A1388F">
              <w:rPr>
                <w:rFonts w:ascii="Arial Narrow" w:eastAsiaTheme="majorEastAsia" w:hAnsi="Arial Narrow" w:cs="Calibri"/>
                <w:bCs/>
                <w:iCs/>
                <w:sz w:val="20"/>
                <w:szCs w:val="20"/>
              </w:rPr>
              <w:t>$</w:t>
            </w:r>
            <w:r w:rsidR="00E81857">
              <w:rPr>
                <w:rFonts w:ascii="Arial Narrow" w:eastAsiaTheme="majorEastAsia" w:hAnsi="Arial Narrow" w:cs="Calibri"/>
                <w:bCs/>
                <w:iCs/>
                <w:noProof/>
                <w:color w:val="000000"/>
                <w:sz w:val="20"/>
                <w:szCs w:val="20"/>
                <w:highlight w:val="black"/>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AFC" w:rsidRPr="00A1388F" w:rsidRDefault="007B3AFC" w:rsidP="007B3AFC">
            <w:pPr>
              <w:keepNext/>
              <w:jc w:val="center"/>
              <w:rPr>
                <w:rFonts w:ascii="Arial Narrow" w:eastAsia="Calibri" w:hAnsi="Arial Narrow" w:cstheme="majorBidi"/>
                <w:bCs/>
                <w:iCs/>
                <w:sz w:val="20"/>
                <w:szCs w:val="20"/>
              </w:rPr>
            </w:pPr>
            <w:r w:rsidRPr="008710F3">
              <w:rPr>
                <w:rFonts w:ascii="Arial Narrow" w:eastAsiaTheme="majorEastAsia" w:hAnsi="Arial Narrow" w:cs="Calibri"/>
                <w:bCs/>
                <w:iCs/>
                <w:sz w:val="20"/>
                <w:szCs w:val="20"/>
              </w:rPr>
              <w:t>72</w:t>
            </w:r>
            <w:r w:rsidRPr="00A1388F">
              <w:rPr>
                <w:rFonts w:ascii="Arial Narrow" w:eastAsiaTheme="majorEastAsia" w:hAnsi="Arial Narrow" w:cs="Calibri"/>
                <w:bCs/>
                <w:iCs/>
                <w:sz w:val="20"/>
                <w:szCs w:val="20"/>
              </w:rPr>
              <w:t>%</w:t>
            </w:r>
          </w:p>
        </w:tc>
      </w:tr>
    </w:tbl>
    <w:p w:rsidR="00872AAD" w:rsidRPr="00AF5A00" w:rsidRDefault="00872AAD" w:rsidP="00872AAD">
      <w:pPr>
        <w:spacing w:after="120"/>
        <w:contextualSpacing/>
        <w:rPr>
          <w:rFonts w:ascii="Arial Narrow" w:hAnsi="Arial Narrow"/>
          <w:snapToGrid w:val="0"/>
          <w:sz w:val="20"/>
          <w:szCs w:val="22"/>
        </w:rPr>
      </w:pPr>
      <w:r w:rsidRPr="00AF5A00">
        <w:rPr>
          <w:rFonts w:ascii="Arial Narrow" w:hAnsi="Arial Narrow"/>
          <w:snapToGrid w:val="0"/>
          <w:sz w:val="18"/>
          <w:szCs w:val="22"/>
        </w:rPr>
        <w:t>Source: Table 3.23, p123 of the submission and economic evaluation workbook</w:t>
      </w:r>
      <w:r w:rsidRPr="00A1388F">
        <w:rPr>
          <w:rFonts w:ascii="Arial Narrow" w:hAnsi="Arial Narrow"/>
          <w:snapToGrid w:val="0"/>
          <w:sz w:val="18"/>
          <w:szCs w:val="22"/>
        </w:rPr>
        <w:t xml:space="preserve">. </w:t>
      </w:r>
      <w:r w:rsidRPr="00A1388F">
        <w:rPr>
          <w:rFonts w:ascii="Arial Narrow" w:hAnsi="Arial Narrow"/>
          <w:iCs/>
          <w:snapToGrid w:val="0"/>
          <w:sz w:val="18"/>
          <w:szCs w:val="22"/>
        </w:rPr>
        <w:t>Adapted using the corrected dose of trastuzumab in each treatment arm.</w:t>
      </w:r>
    </w:p>
    <w:p w:rsidR="00872AAD" w:rsidRPr="00AF5A00" w:rsidRDefault="00872AAD" w:rsidP="00872AAD">
      <w:pPr>
        <w:spacing w:after="120"/>
        <w:contextualSpacing/>
        <w:rPr>
          <w:rFonts w:ascii="Arial Narrow" w:eastAsia="Calibri" w:hAnsi="Arial Narrow"/>
          <w:snapToGrid w:val="0"/>
          <w:sz w:val="18"/>
          <w:szCs w:val="20"/>
        </w:rPr>
      </w:pPr>
      <w:r w:rsidRPr="00AF5A00">
        <w:rPr>
          <w:rFonts w:ascii="Arial Narrow" w:eastAsia="Calibri" w:hAnsi="Arial Narrow"/>
          <w:snapToGrid w:val="0"/>
          <w:sz w:val="18"/>
          <w:szCs w:val="20"/>
        </w:rPr>
        <w:t xml:space="preserve">ICER = incremental cost effectiveness ratio, IPD = individual patient data, PFS = progression free survival, </w:t>
      </w:r>
      <w:r w:rsidR="00877BA8">
        <w:rPr>
          <w:rFonts w:ascii="Arial Narrow" w:eastAsia="Calibri" w:hAnsi="Arial Narrow"/>
          <w:snapToGrid w:val="0"/>
          <w:sz w:val="18"/>
          <w:szCs w:val="20"/>
        </w:rPr>
        <w:t>Ptz+T+Chemo</w:t>
      </w:r>
      <w:r w:rsidRPr="00AF5A00">
        <w:rPr>
          <w:rFonts w:ascii="Arial Narrow" w:eastAsia="Calibri" w:hAnsi="Arial Narrow"/>
          <w:snapToGrid w:val="0"/>
          <w:sz w:val="18"/>
          <w:szCs w:val="20"/>
        </w:rPr>
        <w:t xml:space="preserve"> = pertuzumab + trastuzumab + chemotherapy, QALY = quality adjusted life year, T+</w:t>
      </w:r>
      <w:r w:rsidR="00877BA8">
        <w:rPr>
          <w:rFonts w:ascii="Arial Narrow" w:eastAsia="Calibri" w:hAnsi="Arial Narrow"/>
          <w:snapToGrid w:val="0"/>
          <w:sz w:val="18"/>
          <w:szCs w:val="20"/>
        </w:rPr>
        <w:t>Chemo</w:t>
      </w:r>
      <w:r w:rsidRPr="00AF5A00">
        <w:rPr>
          <w:rFonts w:ascii="Arial Narrow" w:eastAsia="Calibri" w:hAnsi="Arial Narrow"/>
          <w:snapToGrid w:val="0"/>
          <w:sz w:val="18"/>
          <w:szCs w:val="20"/>
        </w:rPr>
        <w:t xml:space="preserve"> = trastuzumab + chemotherapy.</w:t>
      </w:r>
    </w:p>
    <w:p w:rsidR="00C0401C" w:rsidRPr="00287FB1" w:rsidRDefault="00C0401C" w:rsidP="00C0401C">
      <w:pPr>
        <w:rPr>
          <w:i/>
        </w:rPr>
      </w:pPr>
      <w:bookmarkStart w:id="64" w:name="_Toc22897646"/>
      <w:bookmarkStart w:id="65" w:name="_Toc22898858"/>
      <w:bookmarkStart w:id="66" w:name="_Toc30594518"/>
      <w:bookmarkEnd w:id="63"/>
      <w:r>
        <w:br/>
      </w:r>
      <w:r w:rsidRPr="00287FB1">
        <w:rPr>
          <w:i/>
        </w:rPr>
        <w:t>The redacted table shows ICERs in the range of less than $15,000</w:t>
      </w:r>
      <w:r w:rsidR="00DB71F8" w:rsidRPr="00287FB1">
        <w:rPr>
          <w:i/>
        </w:rPr>
        <w:t xml:space="preserve"> per QALY</w:t>
      </w:r>
      <w:r w:rsidRPr="00287FB1">
        <w:rPr>
          <w:i/>
        </w:rPr>
        <w:t xml:space="preserve"> to $200,000 per QALY.  </w:t>
      </w:r>
    </w:p>
    <w:p w:rsidR="00872AAD" w:rsidRPr="009950F7" w:rsidRDefault="00872AAD" w:rsidP="000D09D2">
      <w:pPr>
        <w:pStyle w:val="ES-SubSection"/>
      </w:pPr>
      <w:r w:rsidRPr="009950F7">
        <w:t>Drug cost/patient/cours</w:t>
      </w:r>
      <w:bookmarkEnd w:id="64"/>
      <w:bookmarkEnd w:id="65"/>
      <w:r w:rsidRPr="009950F7">
        <w:t>e</w:t>
      </w:r>
      <w:bookmarkEnd w:id="66"/>
    </w:p>
    <w:p w:rsidR="00872AAD" w:rsidRPr="00AF5A00" w:rsidRDefault="00550A5E" w:rsidP="00F03233">
      <w:pPr>
        <w:pStyle w:val="3-BodyText"/>
      </w:pPr>
      <w:r>
        <w:t xml:space="preserve">Table </w:t>
      </w:r>
      <w:r>
        <w:rPr>
          <w:noProof/>
        </w:rPr>
        <w:t>19</w:t>
      </w:r>
      <w:r w:rsidR="00872AAD" w:rsidRPr="00AF5A00">
        <w:t xml:space="preserve"> compares the drug cost per patient per course for </w:t>
      </w:r>
      <w:r w:rsidR="00BD26D5">
        <w:t xml:space="preserve">Ptz+T+Chemo </w:t>
      </w:r>
      <w:r w:rsidR="00872AAD" w:rsidRPr="00AF5A00">
        <w:t xml:space="preserve">and </w:t>
      </w:r>
      <w:r w:rsidR="00944227">
        <w:t>T+Chemo</w:t>
      </w:r>
      <w:r w:rsidR="00872AAD" w:rsidRPr="00AF5A00">
        <w:t xml:space="preserve"> in NEOSPHERE, the economic evaluation and financial estimates.</w:t>
      </w:r>
    </w:p>
    <w:p w:rsidR="00872AAD" w:rsidRPr="00AF5A00" w:rsidRDefault="00F03233" w:rsidP="009E19E1">
      <w:pPr>
        <w:pStyle w:val="TableFigureHeading"/>
        <w:rPr>
          <w:b w:val="0"/>
          <w:bCs w:val="0"/>
        </w:rPr>
      </w:pPr>
      <w:bookmarkStart w:id="67" w:name="_Ref33608249"/>
      <w:r>
        <w:lastRenderedPageBreak/>
        <w:t xml:space="preserve">Table </w:t>
      </w:r>
      <w:r w:rsidR="00550A5E">
        <w:rPr>
          <w:noProof/>
        </w:rPr>
        <w:t>19</w:t>
      </w:r>
      <w:bookmarkEnd w:id="67"/>
      <w:r>
        <w:t>:</w:t>
      </w:r>
      <w:r w:rsidR="00872AAD" w:rsidRPr="009E19E1">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1219"/>
        <w:gridCol w:w="1219"/>
        <w:gridCol w:w="1219"/>
        <w:gridCol w:w="1219"/>
        <w:gridCol w:w="1219"/>
        <w:gridCol w:w="1221"/>
      </w:tblGrid>
      <w:tr w:rsidR="00872AAD" w:rsidRPr="00AF5A00" w:rsidTr="00126A44">
        <w:trPr>
          <w:cantSplit/>
          <w:tblHeader/>
          <w:jc w:val="center"/>
        </w:trPr>
        <w:tc>
          <w:tcPr>
            <w:tcW w:w="943"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imes New Roman"/>
                <w:b/>
                <w:sz w:val="20"/>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P+T</w:t>
            </w:r>
          </w:p>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Trial dose and duration</w:t>
            </w:r>
          </w:p>
        </w:tc>
        <w:tc>
          <w:tcPr>
            <w:tcW w:w="676" w:type="pct"/>
            <w:tcBorders>
              <w:top w:val="single" w:sz="4" w:space="0" w:color="auto"/>
              <w:left w:val="single" w:sz="4" w:space="0" w:color="auto"/>
              <w:bottom w:val="single" w:sz="4" w:space="0" w:color="auto"/>
              <w:right w:val="single" w:sz="4" w:space="0" w:color="auto"/>
            </w:tcBorders>
            <w:vAlign w:val="center"/>
            <w:hideMark/>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P+T</w:t>
            </w:r>
          </w:p>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Model</w:t>
            </w:r>
          </w:p>
        </w:tc>
        <w:tc>
          <w:tcPr>
            <w:tcW w:w="676" w:type="pct"/>
            <w:tcBorders>
              <w:top w:val="single" w:sz="4" w:space="0" w:color="auto"/>
              <w:left w:val="single" w:sz="4" w:space="0" w:color="auto"/>
              <w:bottom w:val="single" w:sz="4" w:space="0" w:color="auto"/>
              <w:right w:val="single" w:sz="4" w:space="0" w:color="auto"/>
            </w:tcBorders>
            <w:vAlign w:val="center"/>
            <w:hideMark/>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P+T</w:t>
            </w:r>
          </w:p>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Financial estimates</w:t>
            </w:r>
          </w:p>
        </w:tc>
        <w:tc>
          <w:tcPr>
            <w:tcW w:w="676" w:type="pct"/>
            <w:tcBorders>
              <w:top w:val="single" w:sz="4" w:space="0" w:color="auto"/>
              <w:left w:val="single" w:sz="4" w:space="0" w:color="auto"/>
              <w:bottom w:val="single" w:sz="4" w:space="0" w:color="auto"/>
              <w:right w:val="single" w:sz="4" w:space="0" w:color="auto"/>
            </w:tcBorders>
            <w:vAlign w:val="center"/>
            <w:hideMark/>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T</w:t>
            </w:r>
          </w:p>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Trial dose and duration</w:t>
            </w:r>
          </w:p>
        </w:tc>
        <w:tc>
          <w:tcPr>
            <w:tcW w:w="676" w:type="pct"/>
            <w:tcBorders>
              <w:top w:val="single" w:sz="4" w:space="0" w:color="auto"/>
              <w:left w:val="single" w:sz="4" w:space="0" w:color="auto"/>
              <w:bottom w:val="single" w:sz="4" w:space="0" w:color="auto"/>
              <w:right w:val="single" w:sz="4" w:space="0" w:color="auto"/>
            </w:tcBorders>
            <w:vAlign w:val="center"/>
            <w:hideMark/>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T</w:t>
            </w:r>
          </w:p>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Model</w:t>
            </w:r>
          </w:p>
        </w:tc>
        <w:tc>
          <w:tcPr>
            <w:tcW w:w="677" w:type="pct"/>
            <w:tcBorders>
              <w:top w:val="single" w:sz="4" w:space="0" w:color="auto"/>
              <w:left w:val="single" w:sz="4" w:space="0" w:color="auto"/>
              <w:bottom w:val="single" w:sz="4" w:space="0" w:color="auto"/>
              <w:right w:val="single" w:sz="4" w:space="0" w:color="auto"/>
            </w:tcBorders>
            <w:hideMark/>
          </w:tcPr>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T</w:t>
            </w:r>
          </w:p>
          <w:p w:rsidR="00872AAD" w:rsidRPr="00AF5A00" w:rsidRDefault="00872AAD" w:rsidP="00872AAD">
            <w:pPr>
              <w:keepNext/>
              <w:jc w:val="center"/>
              <w:rPr>
                <w:rFonts w:ascii="Arial Narrow" w:eastAsiaTheme="majorEastAsia" w:hAnsi="Arial Narrow" w:cs="Times New Roman"/>
                <w:b/>
                <w:sz w:val="20"/>
              </w:rPr>
            </w:pPr>
            <w:r w:rsidRPr="00AF5A00">
              <w:rPr>
                <w:rFonts w:ascii="Arial Narrow" w:eastAsiaTheme="majorEastAsia" w:hAnsi="Arial Narrow" w:cs="Times New Roman"/>
                <w:b/>
                <w:sz w:val="20"/>
              </w:rPr>
              <w:t>Financial estimates</w:t>
            </w:r>
          </w:p>
        </w:tc>
      </w:tr>
      <w:tr w:rsidR="00872AAD" w:rsidRPr="00AF5A00" w:rsidTr="00126A44">
        <w:trPr>
          <w:cantSplit/>
          <w:jc w:val="center"/>
        </w:trPr>
        <w:tc>
          <w:tcPr>
            <w:tcW w:w="943" w:type="pct"/>
            <w:tcBorders>
              <w:top w:val="single" w:sz="4" w:space="0" w:color="auto"/>
              <w:left w:val="single" w:sz="4" w:space="0" w:color="auto"/>
              <w:bottom w:val="single" w:sz="4" w:space="0" w:color="auto"/>
              <w:right w:val="single" w:sz="4" w:space="0" w:color="auto"/>
            </w:tcBorders>
            <w:vAlign w:val="center"/>
            <w:hideMark/>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Mean dose</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 xml:space="preserve">P: 2,060 </w:t>
            </w:r>
            <w:proofErr w:type="spellStart"/>
            <w:r w:rsidRPr="00AF5A00">
              <w:rPr>
                <w:rFonts w:ascii="Arial Narrow" w:eastAsiaTheme="majorEastAsia" w:hAnsi="Arial Narrow" w:cstheme="majorBidi"/>
                <w:sz w:val="20"/>
              </w:rPr>
              <w:t>mg</w:t>
            </w:r>
            <w:r w:rsidRPr="00AF5A00">
              <w:rPr>
                <w:rFonts w:ascii="Arial Narrow" w:eastAsiaTheme="majorEastAsia" w:hAnsi="Arial Narrow" w:cstheme="majorBidi"/>
                <w:sz w:val="20"/>
                <w:vertAlign w:val="superscript"/>
              </w:rPr>
              <w:t>a</w:t>
            </w:r>
            <w:proofErr w:type="spellEnd"/>
          </w:p>
          <w:p w:rsidR="00872AAD" w:rsidRPr="00AF5A00" w:rsidRDefault="00872AAD" w:rsidP="00872AAD">
            <w:pPr>
              <w:keepNext/>
              <w:jc w:val="center"/>
              <w:rPr>
                <w:rFonts w:ascii="Arial Narrow" w:eastAsiaTheme="majorEastAsia" w:hAnsi="Arial Narrow" w:cstheme="majorBidi"/>
                <w:b/>
                <w:bCs/>
                <w:sz w:val="20"/>
              </w:rPr>
            </w:pPr>
            <w:r w:rsidRPr="00AF5A00">
              <w:rPr>
                <w:rFonts w:ascii="Arial Narrow" w:eastAsiaTheme="majorEastAsia" w:hAnsi="Arial Narrow" w:cstheme="majorBidi"/>
                <w:sz w:val="20"/>
              </w:rPr>
              <w:t xml:space="preserve">T: 6,431 </w:t>
            </w:r>
            <w:proofErr w:type="spellStart"/>
            <w:r w:rsidRPr="00AF5A00">
              <w:rPr>
                <w:rFonts w:ascii="Arial Narrow" w:eastAsiaTheme="majorEastAsia" w:hAnsi="Arial Narrow" w:cstheme="majorBidi"/>
                <w:sz w:val="20"/>
              </w:rPr>
              <w:t>mg</w:t>
            </w:r>
            <w:r w:rsidRPr="00AF5A00">
              <w:rPr>
                <w:rFonts w:ascii="Arial Narrow" w:eastAsiaTheme="majorEastAsia" w:hAnsi="Arial Narrow" w:cstheme="majorBidi"/>
                <w:sz w:val="20"/>
                <w:vertAlign w:val="superscript"/>
              </w:rPr>
              <w:t>a</w:t>
            </w:r>
            <w:proofErr w:type="spellEnd"/>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 xml:space="preserve">P: 2,061 </w:t>
            </w:r>
            <w:proofErr w:type="spellStart"/>
            <w:r w:rsidRPr="00AF5A00">
              <w:rPr>
                <w:rFonts w:ascii="Arial Narrow" w:eastAsiaTheme="majorEastAsia" w:hAnsi="Arial Narrow" w:cstheme="majorBidi"/>
                <w:sz w:val="20"/>
              </w:rPr>
              <w:t>mg</w:t>
            </w:r>
            <w:r w:rsidRPr="00AF5A00">
              <w:rPr>
                <w:rFonts w:ascii="Arial Narrow" w:eastAsiaTheme="majorEastAsia" w:hAnsi="Arial Narrow" w:cstheme="majorBidi"/>
                <w:sz w:val="20"/>
                <w:vertAlign w:val="superscript"/>
              </w:rPr>
              <w:t>b</w:t>
            </w:r>
            <w:proofErr w:type="spellEnd"/>
          </w:p>
          <w:p w:rsidR="00872AAD" w:rsidRPr="00AF5A00" w:rsidRDefault="00872AAD" w:rsidP="00872AAD">
            <w:pPr>
              <w:keepNext/>
              <w:jc w:val="center"/>
              <w:rPr>
                <w:rFonts w:ascii="Arial Narrow" w:eastAsiaTheme="majorEastAsia" w:hAnsi="Arial Narrow" w:cstheme="majorBidi"/>
                <w:b/>
                <w:bCs/>
                <w:sz w:val="20"/>
              </w:rPr>
            </w:pPr>
            <w:r w:rsidRPr="00AF5A00">
              <w:rPr>
                <w:rFonts w:ascii="Arial Narrow" w:eastAsiaTheme="majorEastAsia" w:hAnsi="Arial Narrow" w:cstheme="majorBidi"/>
                <w:sz w:val="20"/>
              </w:rPr>
              <w:t xml:space="preserve">T: 6,497 </w:t>
            </w:r>
            <w:proofErr w:type="spellStart"/>
            <w:r w:rsidRPr="00AF5A00">
              <w:rPr>
                <w:rFonts w:ascii="Arial Narrow" w:eastAsiaTheme="majorEastAsia" w:hAnsi="Arial Narrow" w:cstheme="majorBidi"/>
                <w:sz w:val="20"/>
              </w:rPr>
              <w:t>mg</w:t>
            </w:r>
            <w:r w:rsidRPr="00AF5A00">
              <w:rPr>
                <w:rFonts w:ascii="Arial Narrow" w:eastAsiaTheme="majorEastAsia" w:hAnsi="Arial Narrow" w:cstheme="majorBidi"/>
                <w:sz w:val="20"/>
                <w:vertAlign w:val="superscript"/>
              </w:rPr>
              <w:t>b</w:t>
            </w:r>
            <w:proofErr w:type="spellEnd"/>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P: 2,100mg</w:t>
            </w:r>
            <w:r w:rsidRPr="00AF5A00">
              <w:rPr>
                <w:rFonts w:ascii="Arial Narrow" w:eastAsiaTheme="majorEastAsia" w:hAnsi="Arial Narrow" w:cstheme="majorBidi"/>
                <w:sz w:val="20"/>
                <w:vertAlign w:val="superscript"/>
              </w:rPr>
              <w:t>c</w:t>
            </w:r>
          </w:p>
          <w:p w:rsidR="00872AAD" w:rsidRPr="00AF5A00" w:rsidRDefault="00872AAD" w:rsidP="00872AAD">
            <w:pPr>
              <w:keepNext/>
              <w:jc w:val="center"/>
              <w:rPr>
                <w:rFonts w:ascii="Arial Narrow" w:eastAsiaTheme="majorEastAsia" w:hAnsi="Arial Narrow" w:cstheme="majorBidi"/>
                <w:b/>
                <w:bCs/>
                <w:sz w:val="20"/>
              </w:rPr>
            </w:pPr>
            <w:r w:rsidRPr="00AF5A00">
              <w:rPr>
                <w:rFonts w:ascii="Arial Narrow" w:eastAsiaTheme="majorEastAsia" w:hAnsi="Arial Narrow" w:cstheme="majorBidi"/>
                <w:sz w:val="20"/>
              </w:rPr>
              <w:t>T: excl.</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 xml:space="preserve">6,947 </w:t>
            </w:r>
            <w:proofErr w:type="spellStart"/>
            <w:r w:rsidRPr="00AF5A00">
              <w:rPr>
                <w:rFonts w:ascii="Arial Narrow" w:eastAsiaTheme="majorEastAsia" w:hAnsi="Arial Narrow" w:cstheme="majorBidi"/>
                <w:sz w:val="20"/>
              </w:rPr>
              <w:t>mg</w:t>
            </w:r>
            <w:r w:rsidRPr="00AF5A00">
              <w:rPr>
                <w:rFonts w:ascii="Arial Narrow" w:eastAsiaTheme="majorEastAsia" w:hAnsi="Arial Narrow" w:cstheme="majorBidi"/>
                <w:sz w:val="20"/>
                <w:vertAlign w:val="superscript"/>
              </w:rPr>
              <w:t>a</w:t>
            </w:r>
            <w:proofErr w:type="spellEnd"/>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 xml:space="preserve">6,764 </w:t>
            </w:r>
            <w:proofErr w:type="spellStart"/>
            <w:r w:rsidRPr="00AF5A00">
              <w:rPr>
                <w:rFonts w:ascii="Arial Narrow" w:eastAsiaTheme="majorEastAsia" w:hAnsi="Arial Narrow" w:cstheme="majorBidi"/>
                <w:sz w:val="20"/>
              </w:rPr>
              <w:t>mg</w:t>
            </w:r>
            <w:r w:rsidRPr="00AF5A00">
              <w:rPr>
                <w:rFonts w:ascii="Arial Narrow" w:eastAsiaTheme="majorEastAsia" w:hAnsi="Arial Narrow" w:cstheme="majorBidi"/>
                <w:sz w:val="20"/>
                <w:vertAlign w:val="superscript"/>
              </w:rPr>
              <w:t>b</w:t>
            </w:r>
            <w:proofErr w:type="spellEnd"/>
          </w:p>
        </w:tc>
        <w:tc>
          <w:tcPr>
            <w:tcW w:w="677"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Excl.</w:t>
            </w:r>
          </w:p>
        </w:tc>
      </w:tr>
      <w:tr w:rsidR="00872AAD" w:rsidRPr="00AF5A00" w:rsidTr="00126A44">
        <w:trPr>
          <w:cantSplit/>
          <w:jc w:val="center"/>
        </w:trPr>
        <w:tc>
          <w:tcPr>
            <w:tcW w:w="943" w:type="pct"/>
            <w:tcBorders>
              <w:top w:val="single" w:sz="4" w:space="0" w:color="auto"/>
              <w:left w:val="single" w:sz="4" w:space="0" w:color="auto"/>
              <w:bottom w:val="single" w:sz="4" w:space="0" w:color="auto"/>
              <w:right w:val="single" w:sz="4" w:space="0" w:color="auto"/>
            </w:tcBorders>
            <w:vAlign w:val="center"/>
            <w:hideMark/>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Mean duration</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P: 3.9 cycles</w:t>
            </w:r>
          </w:p>
          <w:p w:rsidR="00872AAD" w:rsidRPr="00AF5A00" w:rsidRDefault="00872AAD" w:rsidP="00872AAD">
            <w:pPr>
              <w:keepNext/>
              <w:jc w:val="center"/>
              <w:rPr>
                <w:rFonts w:ascii="Arial Narrow" w:eastAsiaTheme="majorEastAsia" w:hAnsi="Arial Narrow" w:cstheme="majorBidi"/>
                <w:b/>
                <w:bCs/>
                <w:sz w:val="20"/>
              </w:rPr>
            </w:pPr>
            <w:r w:rsidRPr="00AF5A00">
              <w:rPr>
                <w:rFonts w:ascii="Arial Narrow" w:eastAsiaTheme="majorEastAsia" w:hAnsi="Arial Narrow" w:cstheme="majorBidi"/>
                <w:sz w:val="20"/>
              </w:rPr>
              <w:t>T: 15.6 cycles</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b/>
                <w:bCs/>
                <w:sz w:val="20"/>
              </w:rPr>
            </w:pPr>
            <w:r w:rsidRPr="00AF5A00">
              <w:rPr>
                <w:rFonts w:ascii="Arial Narrow" w:eastAsiaTheme="majorEastAsia" w:hAnsi="Arial Narrow" w:cstheme="majorBidi"/>
                <w:sz w:val="20"/>
              </w:rPr>
              <w:t>n/a</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P: 4 cycles</w:t>
            </w:r>
          </w:p>
          <w:p w:rsidR="00872AAD" w:rsidRPr="00AF5A00" w:rsidRDefault="00872AAD" w:rsidP="00872AAD">
            <w:pPr>
              <w:keepNext/>
              <w:jc w:val="center"/>
              <w:rPr>
                <w:rFonts w:ascii="Arial Narrow" w:eastAsiaTheme="majorEastAsia" w:hAnsi="Arial Narrow" w:cstheme="majorBidi"/>
                <w:b/>
                <w:bCs/>
                <w:sz w:val="20"/>
              </w:rPr>
            </w:pPr>
            <w:r w:rsidRPr="00AF5A00">
              <w:rPr>
                <w:rFonts w:ascii="Arial Narrow" w:eastAsiaTheme="majorEastAsia" w:hAnsi="Arial Narrow" w:cstheme="majorBidi"/>
                <w:sz w:val="20"/>
              </w:rPr>
              <w:t>T: excl.</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16.3 cycles</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n/a</w:t>
            </w:r>
          </w:p>
        </w:tc>
        <w:tc>
          <w:tcPr>
            <w:tcW w:w="677"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b/>
                <w:bCs/>
                <w:sz w:val="20"/>
              </w:rPr>
            </w:pPr>
            <w:r w:rsidRPr="00AF5A00">
              <w:rPr>
                <w:rFonts w:ascii="Arial Narrow" w:eastAsiaTheme="majorEastAsia" w:hAnsi="Arial Narrow" w:cstheme="majorBidi"/>
                <w:sz w:val="20"/>
              </w:rPr>
              <w:t>Excl.</w:t>
            </w:r>
          </w:p>
        </w:tc>
      </w:tr>
      <w:tr w:rsidR="00872AAD" w:rsidRPr="00AF5A00" w:rsidTr="00126A44">
        <w:trPr>
          <w:cantSplit/>
          <w:jc w:val="center"/>
        </w:trPr>
        <w:tc>
          <w:tcPr>
            <w:tcW w:w="943" w:type="pct"/>
            <w:tcBorders>
              <w:top w:val="single" w:sz="4" w:space="0" w:color="auto"/>
              <w:left w:val="single" w:sz="4" w:space="0" w:color="auto"/>
              <w:bottom w:val="single" w:sz="4" w:space="0" w:color="auto"/>
              <w:right w:val="single" w:sz="4" w:space="0" w:color="auto"/>
            </w:tcBorders>
            <w:vAlign w:val="center"/>
            <w:hideMark/>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Cost/patient/course</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P: $</w:t>
            </w:r>
            <w:r w:rsidR="00E81857">
              <w:rPr>
                <w:rFonts w:ascii="Arial Narrow" w:eastAsiaTheme="majorEastAsia" w:hAnsi="Arial Narrow" w:cstheme="majorBidi"/>
                <w:noProof/>
                <w:color w:val="000000"/>
                <w:sz w:val="20"/>
                <w:highlight w:val="black"/>
              </w:rPr>
              <w:t>''''''''''''''''</w:t>
            </w:r>
          </w:p>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theme="majorBidi"/>
                <w:sz w:val="20"/>
              </w:rPr>
              <w:t>T: $</w:t>
            </w:r>
            <w:r w:rsidR="00E81857">
              <w:rPr>
                <w:rFonts w:ascii="Arial Narrow" w:eastAsiaTheme="majorEastAsia" w:hAnsi="Arial Narrow" w:cstheme="majorBidi"/>
                <w:noProof/>
                <w:color w:val="000000"/>
                <w:sz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P: $</w:t>
            </w:r>
            <w:r w:rsidR="00E81857">
              <w:rPr>
                <w:rFonts w:ascii="Arial Narrow" w:eastAsiaTheme="majorEastAsia" w:hAnsi="Arial Narrow" w:cstheme="majorBidi"/>
                <w:noProof/>
                <w:color w:val="000000"/>
                <w:sz w:val="20"/>
                <w:highlight w:val="black"/>
              </w:rPr>
              <w:t>'''''''''''''''</w:t>
            </w:r>
          </w:p>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theme="majorBidi"/>
                <w:sz w:val="20"/>
              </w:rPr>
              <w:t>T: $</w:t>
            </w:r>
            <w:r w:rsidR="00E81857">
              <w:rPr>
                <w:rFonts w:ascii="Arial Narrow" w:eastAsiaTheme="majorEastAsia" w:hAnsi="Arial Narrow" w:cstheme="majorBidi"/>
                <w:noProof/>
                <w:color w:val="000000"/>
                <w:sz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P: $</w:t>
            </w:r>
            <w:r w:rsidR="00E81857">
              <w:rPr>
                <w:rFonts w:ascii="Arial Narrow" w:eastAsiaTheme="majorEastAsia" w:hAnsi="Arial Narrow" w:cstheme="majorBidi"/>
                <w:noProof/>
                <w:color w:val="000000"/>
                <w:sz w:val="20"/>
                <w:highlight w:val="black"/>
              </w:rPr>
              <w:t>''''''''''''''''</w:t>
            </w:r>
          </w:p>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theme="majorBidi"/>
                <w:sz w:val="20"/>
              </w:rPr>
              <w:t>T: excl.</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w:t>
            </w:r>
            <w:r w:rsidR="00E81857">
              <w:rPr>
                <w:rFonts w:ascii="Arial Narrow" w:eastAsiaTheme="majorEastAsia" w:hAnsi="Arial Narrow" w:cstheme="majorBidi"/>
                <w:noProof/>
                <w:color w:val="000000"/>
                <w:sz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w:t>
            </w:r>
            <w:r w:rsidR="00E81857">
              <w:rPr>
                <w:rFonts w:ascii="Arial Narrow" w:eastAsiaTheme="majorEastAsia" w:hAnsi="Arial Narrow" w:cstheme="majorBidi"/>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bCs/>
                <w:sz w:val="20"/>
              </w:rPr>
            </w:pPr>
            <w:r w:rsidRPr="00AF5A00">
              <w:rPr>
                <w:rFonts w:ascii="Arial Narrow" w:eastAsiaTheme="majorEastAsia" w:hAnsi="Arial Narrow" w:cstheme="majorBidi"/>
                <w:sz w:val="20"/>
              </w:rPr>
              <w:t>Excl.</w:t>
            </w:r>
          </w:p>
        </w:tc>
      </w:tr>
      <w:tr w:rsidR="00872AAD" w:rsidRPr="00AF5A00" w:rsidTr="00126A44">
        <w:trPr>
          <w:cantSplit/>
          <w:jc w:val="center"/>
        </w:trPr>
        <w:tc>
          <w:tcPr>
            <w:tcW w:w="943"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left"/>
              <w:rPr>
                <w:rFonts w:ascii="Arial Narrow" w:eastAsiaTheme="majorEastAsia" w:hAnsi="Arial Narrow" w:cstheme="majorBidi"/>
                <w:bCs/>
                <w:sz w:val="20"/>
              </w:rPr>
            </w:pPr>
            <w:r w:rsidRPr="00AF5A00">
              <w:rPr>
                <w:rFonts w:ascii="Arial Narrow" w:eastAsiaTheme="majorEastAsia" w:hAnsi="Arial Narrow" w:cstheme="majorBidi"/>
                <w:bCs/>
                <w:sz w:val="20"/>
              </w:rPr>
              <w:t>Cost of neoadjuvant + adjuvant treatment</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w:t>
            </w:r>
            <w:r w:rsidR="00E81857">
              <w:rPr>
                <w:rFonts w:ascii="Arial Narrow" w:eastAsiaTheme="majorEastAsia" w:hAnsi="Arial Narrow" w:cstheme="majorBidi"/>
                <w:noProof/>
                <w:color w:val="000000"/>
                <w:sz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w:t>
            </w:r>
            <w:r w:rsidR="00E81857">
              <w:rPr>
                <w:rFonts w:ascii="Arial Narrow" w:eastAsiaTheme="majorEastAsia" w:hAnsi="Arial Narrow" w:cstheme="majorBidi"/>
                <w:noProof/>
                <w:color w:val="000000"/>
                <w:sz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w:t>
            </w:r>
            <w:r w:rsidR="00E81857">
              <w:rPr>
                <w:rFonts w:ascii="Arial Narrow" w:eastAsiaTheme="majorEastAsia" w:hAnsi="Arial Narrow" w:cstheme="majorBidi"/>
                <w:noProof/>
                <w:color w:val="000000"/>
                <w:sz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w:t>
            </w:r>
            <w:r w:rsidR="00E81857">
              <w:rPr>
                <w:rFonts w:ascii="Arial Narrow" w:eastAsiaTheme="majorEastAsia" w:hAnsi="Arial Narrow" w:cstheme="majorBidi"/>
                <w:noProof/>
                <w:color w:val="000000"/>
                <w:sz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w:t>
            </w:r>
            <w:r w:rsidR="00E81857">
              <w:rPr>
                <w:rFonts w:ascii="Arial Narrow" w:eastAsiaTheme="majorEastAsia" w:hAnsi="Arial Narrow" w:cstheme="majorBidi"/>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872AAD" w:rsidRPr="00AF5A00" w:rsidRDefault="00872AAD" w:rsidP="00872AAD">
            <w:pPr>
              <w:keepNext/>
              <w:jc w:val="center"/>
              <w:rPr>
                <w:rFonts w:ascii="Arial Narrow" w:eastAsiaTheme="majorEastAsia" w:hAnsi="Arial Narrow" w:cstheme="majorBidi"/>
                <w:sz w:val="20"/>
              </w:rPr>
            </w:pPr>
            <w:r w:rsidRPr="00AF5A00">
              <w:rPr>
                <w:rFonts w:ascii="Arial Narrow" w:eastAsiaTheme="majorEastAsia" w:hAnsi="Arial Narrow" w:cstheme="majorBidi"/>
                <w:sz w:val="20"/>
              </w:rPr>
              <w:t>Excl.</w:t>
            </w:r>
          </w:p>
        </w:tc>
      </w:tr>
    </w:tbl>
    <w:p w:rsidR="00872AAD" w:rsidRPr="00AF5A00" w:rsidRDefault="00872AAD" w:rsidP="00872AAD">
      <w:pPr>
        <w:spacing w:after="120"/>
        <w:contextualSpacing/>
        <w:rPr>
          <w:rFonts w:ascii="Arial Narrow" w:hAnsi="Arial Narrow"/>
          <w:snapToGrid w:val="0"/>
          <w:sz w:val="18"/>
          <w:szCs w:val="22"/>
        </w:rPr>
      </w:pPr>
      <w:r w:rsidRPr="00AF5A00">
        <w:rPr>
          <w:rFonts w:ascii="Arial Narrow" w:hAnsi="Arial Narrow"/>
          <w:snapToGrid w:val="0"/>
          <w:sz w:val="18"/>
          <w:szCs w:val="22"/>
        </w:rPr>
        <w:t xml:space="preserve">Source: Table 3.10, p 109 of the submission, sheets 'Drug Doses &amp; Acquisition Costs' and 'Results' of the Economic Evaluation workbook, Table 29, p109 of NEOSPHERE CSR June 2011, Table 13, p60 of NEOSPHERE CSR March 2013. </w:t>
      </w:r>
      <w:r w:rsidRPr="00F415D5">
        <w:rPr>
          <w:rFonts w:ascii="Arial Narrow" w:hAnsi="Arial Narrow"/>
          <w:iCs/>
          <w:snapToGrid w:val="0"/>
          <w:sz w:val="18"/>
          <w:szCs w:val="22"/>
        </w:rPr>
        <w:t>Adapted using corrected dose of trastuzumab in each treatment arm.</w:t>
      </w:r>
    </w:p>
    <w:p w:rsidR="00872AAD" w:rsidRPr="00AF5A00" w:rsidRDefault="00872AAD" w:rsidP="00872AAD">
      <w:pPr>
        <w:spacing w:after="120"/>
        <w:contextualSpacing/>
        <w:rPr>
          <w:rFonts w:ascii="Arial Narrow" w:hAnsi="Arial Narrow"/>
          <w:snapToGrid w:val="0"/>
          <w:sz w:val="18"/>
          <w:szCs w:val="22"/>
        </w:rPr>
      </w:pPr>
      <w:r w:rsidRPr="00AF5A00">
        <w:rPr>
          <w:rFonts w:ascii="Arial Narrow" w:hAnsi="Arial Narrow"/>
          <w:snapToGrid w:val="0"/>
          <w:sz w:val="18"/>
          <w:szCs w:val="22"/>
        </w:rPr>
        <w:t xml:space="preserve">Excl. = excluded; </w:t>
      </w:r>
      <w:proofErr w:type="gramStart"/>
      <w:r w:rsidRPr="00AF5A00">
        <w:rPr>
          <w:rFonts w:ascii="Arial Narrow" w:hAnsi="Arial Narrow"/>
          <w:snapToGrid w:val="0"/>
          <w:sz w:val="18"/>
          <w:szCs w:val="22"/>
        </w:rPr>
        <w:t>n/a</w:t>
      </w:r>
      <w:proofErr w:type="gramEnd"/>
      <w:r w:rsidRPr="00AF5A00">
        <w:rPr>
          <w:rFonts w:ascii="Arial Narrow" w:hAnsi="Arial Narrow"/>
          <w:snapToGrid w:val="0"/>
          <w:sz w:val="18"/>
          <w:szCs w:val="22"/>
        </w:rPr>
        <w:t xml:space="preserve"> = not applicable; P+T = pertuzumab + trastuzumab; T = trastuzumab</w:t>
      </w:r>
    </w:p>
    <w:p w:rsidR="00872AAD" w:rsidRPr="00AF5A00" w:rsidRDefault="00872AAD" w:rsidP="00872AAD">
      <w:pPr>
        <w:spacing w:after="120"/>
        <w:contextualSpacing/>
        <w:rPr>
          <w:rFonts w:ascii="Arial Narrow" w:hAnsi="Arial Narrow"/>
          <w:snapToGrid w:val="0"/>
          <w:sz w:val="18"/>
          <w:szCs w:val="22"/>
        </w:rPr>
      </w:pPr>
      <w:proofErr w:type="gramStart"/>
      <w:r w:rsidRPr="00AF5A00">
        <w:rPr>
          <w:rFonts w:ascii="Arial Narrow" w:hAnsi="Arial Narrow"/>
          <w:snapToGrid w:val="0"/>
          <w:sz w:val="18"/>
          <w:szCs w:val="22"/>
          <w:vertAlign w:val="superscript"/>
        </w:rPr>
        <w:t>a</w:t>
      </w:r>
      <w:proofErr w:type="gramEnd"/>
      <w:r w:rsidRPr="00AF5A00">
        <w:rPr>
          <w:rFonts w:ascii="Arial Narrow" w:hAnsi="Arial Narrow"/>
          <w:snapToGrid w:val="0"/>
          <w:sz w:val="18"/>
          <w:szCs w:val="22"/>
          <w:vertAlign w:val="superscript"/>
        </w:rPr>
        <w:t xml:space="preserve"> </w:t>
      </w:r>
      <w:r w:rsidRPr="00AF5A00">
        <w:rPr>
          <w:rFonts w:ascii="Arial Narrow" w:hAnsi="Arial Narrow"/>
          <w:snapToGrid w:val="0"/>
          <w:sz w:val="18"/>
          <w:szCs w:val="22"/>
        </w:rPr>
        <w:t xml:space="preserve">mean total dose received, </w:t>
      </w:r>
      <w:r w:rsidRPr="00E14E07">
        <w:rPr>
          <w:rFonts w:ascii="Arial Narrow" w:hAnsi="Arial Narrow"/>
          <w:snapToGrid w:val="0"/>
          <w:sz w:val="18"/>
          <w:szCs w:val="22"/>
          <w:vertAlign w:val="superscript"/>
        </w:rPr>
        <w:t>b</w:t>
      </w:r>
      <w:r w:rsidRPr="00AF5A00">
        <w:rPr>
          <w:rFonts w:ascii="Arial Narrow" w:hAnsi="Arial Narrow"/>
          <w:snapToGrid w:val="0"/>
          <w:sz w:val="18"/>
          <w:szCs w:val="22"/>
        </w:rPr>
        <w:t xml:space="preserve"> prescribed dose per cycle multiplied by the proportion of patients remaining on treatment, </w:t>
      </w:r>
      <w:r w:rsidRPr="00AF5A00">
        <w:rPr>
          <w:rFonts w:ascii="Arial Narrow" w:hAnsi="Arial Narrow"/>
          <w:snapToGrid w:val="0"/>
          <w:sz w:val="18"/>
          <w:szCs w:val="22"/>
          <w:vertAlign w:val="superscript"/>
        </w:rPr>
        <w:t>C</w:t>
      </w:r>
      <w:r w:rsidRPr="00AF5A00">
        <w:rPr>
          <w:rFonts w:ascii="Arial Narrow" w:hAnsi="Arial Narrow"/>
          <w:snapToGrid w:val="0"/>
          <w:sz w:val="18"/>
          <w:szCs w:val="22"/>
        </w:rPr>
        <w:t xml:space="preserve"> prescribed dose,</w:t>
      </w:r>
      <w:r w:rsidR="00F03233">
        <w:rPr>
          <w:rFonts w:ascii="Arial Narrow" w:hAnsi="Arial Narrow"/>
          <w:snapToGrid w:val="0"/>
          <w:sz w:val="18"/>
          <w:szCs w:val="22"/>
        </w:rPr>
        <w:t xml:space="preserve"> </w:t>
      </w:r>
    </w:p>
    <w:p w:rsidR="00872AAD" w:rsidRPr="009D0508" w:rsidRDefault="00872AAD" w:rsidP="00F03233">
      <w:pPr>
        <w:pStyle w:val="3-BodyText"/>
      </w:pPr>
      <w:r w:rsidRPr="009D0508">
        <w:t xml:space="preserve">The cost per patient per course for pertuzumab based on the trial dose and duration </w:t>
      </w:r>
      <w:proofErr w:type="gramStart"/>
      <w:r w:rsidRPr="009D0508">
        <w:t>was calculated</w:t>
      </w:r>
      <w:proofErr w:type="gramEnd"/>
      <w:r w:rsidRPr="009D0508">
        <w:t xml:space="preserve"> during the evaluation assuming all patients received the initial dose of 840mg, then the continuing dose of 420mg for an average of 2.9 cycles. The cost </w:t>
      </w:r>
      <w:proofErr w:type="gramStart"/>
      <w:r w:rsidRPr="009D0508">
        <w:t>per patient per course for trastuzumab in each arm</w:t>
      </w:r>
      <w:proofErr w:type="gramEnd"/>
      <w:r w:rsidRPr="009D0508">
        <w:t xml:space="preserve"> was calculated by dividing the total mean dose by the mean duration to estimate an average dose, number of vials, and cost per cycle. The cost per cycle </w:t>
      </w:r>
      <w:proofErr w:type="gramStart"/>
      <w:r w:rsidRPr="009D0508">
        <w:t>was multiplied</w:t>
      </w:r>
      <w:proofErr w:type="gramEnd"/>
      <w:r w:rsidRPr="009D0508">
        <w:t xml:space="preserve"> by the mean number of cycles to estimate the cost per treatment course</w:t>
      </w:r>
      <w:r>
        <w:t>.</w:t>
      </w:r>
    </w:p>
    <w:p w:rsidR="00872AAD" w:rsidRPr="00F415D5" w:rsidRDefault="00872AAD" w:rsidP="00F03233">
      <w:pPr>
        <w:pStyle w:val="3-BodyText"/>
        <w:rPr>
          <w:iCs/>
        </w:rPr>
      </w:pPr>
      <w:r w:rsidRPr="00F415D5">
        <w:t>The submission modelled a total cost of $</w:t>
      </w:r>
      <w:r w:rsidR="00E81857">
        <w:rPr>
          <w:noProof/>
          <w:color w:val="000000"/>
          <w:highlight w:val="black"/>
        </w:rPr>
        <w:t>''''''''''''''</w:t>
      </w:r>
      <w:r w:rsidRPr="00F415D5">
        <w:t xml:space="preserve"> per treatment course, comprising four cycles of neoadjuvant </w:t>
      </w:r>
      <w:r w:rsidR="00934AA6" w:rsidRPr="00F415D5">
        <w:t xml:space="preserve">Ptz+T+Chemo </w:t>
      </w:r>
      <w:r w:rsidRPr="00F415D5">
        <w:t xml:space="preserve">therapy and 14 cycles of adjuvant </w:t>
      </w:r>
      <w:r w:rsidR="00934AA6" w:rsidRPr="00F415D5">
        <w:t xml:space="preserve">T+Chemo </w:t>
      </w:r>
      <w:r w:rsidRPr="00F415D5">
        <w:t xml:space="preserve">therapy. </w:t>
      </w:r>
      <w:r w:rsidRPr="00F415D5">
        <w:rPr>
          <w:iCs/>
        </w:rPr>
        <w:t>This was</w:t>
      </w:r>
      <w:r w:rsidR="007B3AFC" w:rsidRPr="00F415D5">
        <w:rPr>
          <w:iCs/>
        </w:rPr>
        <w:t xml:space="preserve"> incorrectly</w:t>
      </w:r>
      <w:r w:rsidRPr="00F415D5">
        <w:rPr>
          <w:iCs/>
        </w:rPr>
        <w:t xml:space="preserve"> calculated using the average dose of trastuzumab (mean dose allowing for treatment discontinuation, divided by mean cycles) in the NEOSPHERE trial, multiplied by the proportion of patients remaining on treatment</w:t>
      </w:r>
      <w:r w:rsidR="007B3AFC" w:rsidRPr="00F415D5">
        <w:rPr>
          <w:iCs/>
        </w:rPr>
        <w:t>, which</w:t>
      </w:r>
      <w:r w:rsidRPr="00F415D5">
        <w:rPr>
          <w:iCs/>
        </w:rPr>
        <w:t xml:space="preserve"> double-counted patients discontinuing treatment. </w:t>
      </w:r>
      <w:r w:rsidR="007B3AFC" w:rsidRPr="00F415D5">
        <w:rPr>
          <w:iCs/>
        </w:rPr>
        <w:t xml:space="preserve">The corrected </w:t>
      </w:r>
      <w:r w:rsidRPr="00F415D5">
        <w:rPr>
          <w:iCs/>
        </w:rPr>
        <w:t xml:space="preserve">modelled cost per treatment course of </w:t>
      </w:r>
      <w:r w:rsidR="00934AA6" w:rsidRPr="00F415D5">
        <w:t>Ptz+T+Chemo</w:t>
      </w:r>
      <w:r w:rsidRPr="00F415D5">
        <w:rPr>
          <w:iCs/>
        </w:rPr>
        <w:t xml:space="preserve"> is $</w:t>
      </w:r>
      <w:r w:rsidR="00E81857">
        <w:rPr>
          <w:iCs/>
          <w:noProof/>
          <w:color w:val="000000"/>
          <w:highlight w:val="black"/>
        </w:rPr>
        <w:t>''''''''''''</w:t>
      </w:r>
      <w:r w:rsidRPr="00F415D5">
        <w:rPr>
          <w:iCs/>
        </w:rPr>
        <w:t>. This compares with $</w:t>
      </w:r>
      <w:r w:rsidR="00E81857">
        <w:rPr>
          <w:iCs/>
          <w:noProof/>
          <w:color w:val="000000"/>
          <w:highlight w:val="black"/>
        </w:rPr>
        <w:t>''''''''''''''</w:t>
      </w:r>
      <w:r w:rsidRPr="00F415D5">
        <w:rPr>
          <w:iCs/>
        </w:rPr>
        <w:t xml:space="preserve"> for </w:t>
      </w:r>
      <w:proofErr w:type="gramStart"/>
      <w:r w:rsidRPr="00F415D5">
        <w:rPr>
          <w:iCs/>
        </w:rPr>
        <w:t>four</w:t>
      </w:r>
      <w:proofErr w:type="gramEnd"/>
      <w:r w:rsidRPr="00F415D5">
        <w:rPr>
          <w:iCs/>
        </w:rPr>
        <w:t xml:space="preserve"> cycles of neoadjuvant </w:t>
      </w:r>
      <w:r w:rsidR="009177F6" w:rsidRPr="00F415D5">
        <w:t>T+Chemo</w:t>
      </w:r>
      <w:r w:rsidR="00934AA6" w:rsidRPr="00F415D5">
        <w:t xml:space="preserve"> </w:t>
      </w:r>
      <w:r w:rsidRPr="00F415D5">
        <w:rPr>
          <w:iCs/>
        </w:rPr>
        <w:t xml:space="preserve">and 14 cycles of adjuvant </w:t>
      </w:r>
      <w:r w:rsidR="00C45B73" w:rsidRPr="00F415D5">
        <w:t>T+Chemo</w:t>
      </w:r>
      <w:r w:rsidRPr="00F415D5">
        <w:rPr>
          <w:iCs/>
        </w:rPr>
        <w:t>.</w:t>
      </w:r>
      <w:r w:rsidRPr="00F415D5">
        <w:t xml:space="preserve"> </w:t>
      </w:r>
      <w:r w:rsidR="002761A0" w:rsidRPr="00140FC0">
        <w:rPr>
          <w:iCs/>
        </w:rPr>
        <w:t>The PSCR acknowledged this error and agreed with the corrected values.</w:t>
      </w:r>
    </w:p>
    <w:p w:rsidR="00872AAD" w:rsidRPr="00F415D5" w:rsidRDefault="00872AAD" w:rsidP="00F03233">
      <w:pPr>
        <w:pStyle w:val="3-BodyText"/>
      </w:pPr>
      <w:r w:rsidRPr="00F415D5">
        <w:t xml:space="preserve">The financial estimates assumed all patients received the prescribed dose of pertuzumab </w:t>
      </w:r>
      <w:r w:rsidR="00E14E07" w:rsidRPr="00F415D5">
        <w:t xml:space="preserve">for the full 4 cycles </w:t>
      </w:r>
      <w:r w:rsidRPr="00F415D5">
        <w:t xml:space="preserve">(initial dose of 840mg and three continuing doses of 420mg). This overestimated the cost of </w:t>
      </w:r>
      <w:r w:rsidRPr="003764D1">
        <w:t xml:space="preserve">pertuzumab by </w:t>
      </w:r>
      <w:r w:rsidR="003764D1">
        <w:t>less than $10 million</w:t>
      </w:r>
      <w:r w:rsidRPr="003764D1">
        <w:t xml:space="preserve"> per</w:t>
      </w:r>
      <w:r w:rsidRPr="00F415D5">
        <w:t xml:space="preserve"> patient. This translate</w:t>
      </w:r>
      <w:r w:rsidR="001652A7">
        <w:t>d</w:t>
      </w:r>
      <w:r w:rsidR="00554C01">
        <w:t xml:space="preserve"> </w:t>
      </w:r>
      <w:r w:rsidRPr="00F415D5">
        <w:t xml:space="preserve">to an overestimate of approximately </w:t>
      </w:r>
      <w:r w:rsidR="00D7035F">
        <w:t xml:space="preserve">less than </w:t>
      </w:r>
      <w:r w:rsidRPr="00F415D5">
        <w:t>$</w:t>
      </w:r>
      <w:r w:rsidR="00D7035F">
        <w:t>10</w:t>
      </w:r>
      <w:r w:rsidRPr="00F415D5">
        <w:t xml:space="preserve"> million over six years.</w:t>
      </w:r>
    </w:p>
    <w:p w:rsidR="00872AAD" w:rsidRPr="00F415D5" w:rsidRDefault="00872AAD" w:rsidP="00F03233">
      <w:pPr>
        <w:pStyle w:val="3-BodyText"/>
      </w:pPr>
      <w:r w:rsidRPr="00F415D5">
        <w:t xml:space="preserve">The economic and financial models excluded the cost of chemotherapy in each arm. This is </w:t>
      </w:r>
      <w:proofErr w:type="gramStart"/>
      <w:r w:rsidRPr="00F415D5">
        <w:t>reasonable</w:t>
      </w:r>
      <w:proofErr w:type="gramEnd"/>
      <w:r w:rsidRPr="00F415D5">
        <w:t xml:space="preserve"> as the amount of chemotherapy administered in NEOSPHERE is approximately equal in each arm. </w:t>
      </w:r>
    </w:p>
    <w:p w:rsidR="00872AAD" w:rsidRPr="00140FC0" w:rsidRDefault="00872AAD" w:rsidP="00F03233">
      <w:pPr>
        <w:pStyle w:val="3-BodyText"/>
      </w:pPr>
      <w:r w:rsidRPr="00F415D5">
        <w:t xml:space="preserve">The financial estimates did not consider the cost of neoadjuvant/adjuvant trastuzumab. This </w:t>
      </w:r>
      <w:r w:rsidR="00016E3E">
        <w:t>was</w:t>
      </w:r>
      <w:r w:rsidR="00016E3E" w:rsidRPr="00F415D5">
        <w:t xml:space="preserve"> </w:t>
      </w:r>
      <w:r w:rsidRPr="00F415D5">
        <w:t>not appropriate. The economic model</w:t>
      </w:r>
      <w:r w:rsidR="007B3AFC" w:rsidRPr="00F415D5">
        <w:t>, which accounts for treatment discontinuation,</w:t>
      </w:r>
      <w:r w:rsidRPr="00F415D5">
        <w:t xml:space="preserve"> indicated that the addition of pertuzumab results in decreased use and cost of trastuzumab in the neoadjuvant/adjuvant setting, </w:t>
      </w:r>
      <w:r w:rsidRPr="00F415D5">
        <w:lastRenderedPageBreak/>
        <w:t xml:space="preserve">equivalent </w:t>
      </w:r>
      <w:r w:rsidRPr="003764D1">
        <w:t xml:space="preserve">to </w:t>
      </w:r>
      <w:r w:rsidR="003764D1">
        <w:t xml:space="preserve">less than </w:t>
      </w:r>
      <w:r w:rsidRPr="003764D1">
        <w:t>$</w:t>
      </w:r>
      <w:r w:rsidR="003764D1">
        <w:t>10 million</w:t>
      </w:r>
      <w:r w:rsidRPr="003764D1">
        <w:t xml:space="preserve"> per</w:t>
      </w:r>
      <w:r w:rsidRPr="00F415D5">
        <w:t xml:space="preserve"> patient. </w:t>
      </w:r>
      <w:r w:rsidR="00F65299" w:rsidRPr="00F415D5">
        <w:t>Applied to the financial estimates, t</w:t>
      </w:r>
      <w:r w:rsidRPr="00F415D5">
        <w:t>his translate</w:t>
      </w:r>
      <w:r w:rsidR="00FC4DB3">
        <w:t>d</w:t>
      </w:r>
      <w:r w:rsidRPr="00F415D5">
        <w:t xml:space="preserve"> to an overestimate of approximately </w:t>
      </w:r>
      <w:r w:rsidR="00D7035F">
        <w:t xml:space="preserve">less than </w:t>
      </w:r>
      <w:r w:rsidRPr="00F415D5">
        <w:t>$</w:t>
      </w:r>
      <w:r w:rsidR="00D7035F">
        <w:t>10</w:t>
      </w:r>
      <w:r w:rsidR="007B3AFC" w:rsidRPr="00F415D5">
        <w:t xml:space="preserve"> </w:t>
      </w:r>
      <w:r w:rsidRPr="00F415D5">
        <w:t>million over six years.</w:t>
      </w:r>
      <w:r w:rsidR="000B72F0">
        <w:t xml:space="preserve"> </w:t>
      </w:r>
      <w:r w:rsidR="000B72F0" w:rsidRPr="00140FC0">
        <w:t xml:space="preserve">The ESC also noted that the financial estimates did not include cost offsets associated with reduced utilisation of subsequent treatments, specifically for metastatic breast cancer. The ESC considered that this was </w:t>
      </w:r>
      <w:r w:rsidR="00FC4DB3">
        <w:t>in</w:t>
      </w:r>
      <w:r w:rsidR="000B72F0" w:rsidRPr="00140FC0">
        <w:t>appropriate</w:t>
      </w:r>
      <w:r w:rsidR="00F42444">
        <w:t xml:space="preserve"> and </w:t>
      </w:r>
      <w:proofErr w:type="gramStart"/>
      <w:r w:rsidR="00F42444">
        <w:t>is discussed</w:t>
      </w:r>
      <w:proofErr w:type="gramEnd"/>
      <w:r w:rsidR="00F42444">
        <w:t xml:space="preserve"> further in the Financial Implications section</w:t>
      </w:r>
      <w:r w:rsidR="000B72F0" w:rsidRPr="00140FC0">
        <w:t>.</w:t>
      </w:r>
    </w:p>
    <w:p w:rsidR="00872AAD" w:rsidRPr="009950F7" w:rsidRDefault="00872AAD" w:rsidP="000D09D2">
      <w:pPr>
        <w:pStyle w:val="ES-SubSection"/>
      </w:pPr>
      <w:bookmarkStart w:id="68" w:name="_Toc22897647"/>
      <w:bookmarkStart w:id="69" w:name="_Toc22898859"/>
      <w:bookmarkStart w:id="70" w:name="_Toc30594519"/>
      <w:r w:rsidRPr="009950F7">
        <w:t>Estimated PBS usage &amp; financial implications</w:t>
      </w:r>
      <w:bookmarkEnd w:id="68"/>
      <w:bookmarkEnd w:id="69"/>
      <w:bookmarkEnd w:id="70"/>
    </w:p>
    <w:p w:rsidR="00E41551" w:rsidRPr="00AF5A00" w:rsidRDefault="00E41551" w:rsidP="00E41551">
      <w:pPr>
        <w:numPr>
          <w:ilvl w:val="1"/>
          <w:numId w:val="4"/>
        </w:numPr>
        <w:spacing w:after="120"/>
        <w:rPr>
          <w:rFonts w:asciiTheme="minorHAnsi" w:hAnsiTheme="minorHAnsi"/>
          <w:snapToGrid w:val="0"/>
          <w:color w:val="0066FF"/>
        </w:rPr>
      </w:pPr>
      <w:bookmarkStart w:id="71" w:name="_Toc22897649"/>
      <w:bookmarkStart w:id="72" w:name="_Toc22898861"/>
      <w:bookmarkStart w:id="73" w:name="_Toc30594521"/>
      <w:r w:rsidRPr="00AF5A00">
        <w:rPr>
          <w:rFonts w:asciiTheme="minorHAnsi" w:hAnsiTheme="minorHAnsi"/>
          <w:snapToGrid w:val="0"/>
        </w:rPr>
        <w:t xml:space="preserve">This submission </w:t>
      </w:r>
      <w:proofErr w:type="gramStart"/>
      <w:r w:rsidR="0078665D">
        <w:rPr>
          <w:rFonts w:asciiTheme="minorHAnsi" w:hAnsiTheme="minorHAnsi"/>
          <w:snapToGrid w:val="0"/>
        </w:rPr>
        <w:t xml:space="preserve">was </w:t>
      </w:r>
      <w:r w:rsidRPr="00AF5A00">
        <w:rPr>
          <w:rFonts w:asciiTheme="minorHAnsi" w:hAnsiTheme="minorHAnsi"/>
          <w:snapToGrid w:val="0"/>
        </w:rPr>
        <w:t>considered</w:t>
      </w:r>
      <w:proofErr w:type="gramEnd"/>
      <w:r w:rsidRPr="00AF5A00">
        <w:rPr>
          <w:rFonts w:asciiTheme="minorHAnsi" w:hAnsiTheme="minorHAnsi"/>
          <w:snapToGrid w:val="0"/>
        </w:rPr>
        <w:t xml:space="preserve"> by DUSC</w:t>
      </w:r>
      <w:r w:rsidRPr="00AF5A00">
        <w:rPr>
          <w:rFonts w:asciiTheme="minorHAnsi" w:hAnsiTheme="minorHAnsi"/>
          <w:snapToGrid w:val="0"/>
          <w:color w:val="0070C0"/>
        </w:rPr>
        <w:t xml:space="preserve">. </w:t>
      </w:r>
    </w:p>
    <w:p w:rsidR="00E41551" w:rsidRPr="00AF5A00" w:rsidRDefault="00E41551" w:rsidP="00E41551">
      <w:pPr>
        <w:numPr>
          <w:ilvl w:val="1"/>
          <w:numId w:val="4"/>
        </w:numPr>
        <w:spacing w:after="120"/>
        <w:rPr>
          <w:rFonts w:asciiTheme="minorHAnsi" w:hAnsiTheme="minorHAnsi"/>
          <w:snapToGrid w:val="0"/>
        </w:rPr>
      </w:pPr>
      <w:r w:rsidRPr="00AF5A00">
        <w:rPr>
          <w:rFonts w:asciiTheme="minorHAnsi" w:hAnsiTheme="minorHAnsi"/>
          <w:snapToGrid w:val="0"/>
        </w:rPr>
        <w:t xml:space="preserve">The submission employed a modified market share approach. The HER2+ </w:t>
      </w:r>
      <w:r w:rsidR="00016E3E">
        <w:rPr>
          <w:rFonts w:asciiTheme="minorHAnsi" w:hAnsiTheme="minorHAnsi"/>
          <w:snapToGrid w:val="0"/>
        </w:rPr>
        <w:t xml:space="preserve">early </w:t>
      </w:r>
      <w:proofErr w:type="gramStart"/>
      <w:r w:rsidR="00016E3E">
        <w:rPr>
          <w:rFonts w:asciiTheme="minorHAnsi" w:hAnsiTheme="minorHAnsi"/>
          <w:snapToGrid w:val="0"/>
        </w:rPr>
        <w:t xml:space="preserve">breast cancer </w:t>
      </w:r>
      <w:r w:rsidRPr="00AF5A00">
        <w:rPr>
          <w:rFonts w:asciiTheme="minorHAnsi" w:hAnsiTheme="minorHAnsi"/>
          <w:snapToGrid w:val="0"/>
        </w:rPr>
        <w:t>market size</w:t>
      </w:r>
      <w:proofErr w:type="gramEnd"/>
      <w:r w:rsidRPr="00AF5A00">
        <w:rPr>
          <w:rFonts w:asciiTheme="minorHAnsi" w:hAnsiTheme="minorHAnsi"/>
          <w:snapToGrid w:val="0"/>
        </w:rPr>
        <w:t xml:space="preserve"> and growth was estimated using trastuzumab prescriptions from 2016 to 2018. The neoadjuvant market and uptake of pertuzumab in this setting were estimated using market research and clinical inputs. </w:t>
      </w:r>
      <w:r w:rsidR="0078665D">
        <w:rPr>
          <w:rFonts w:asciiTheme="minorHAnsi" w:hAnsiTheme="minorHAnsi"/>
          <w:snapToGrid w:val="0"/>
        </w:rPr>
        <w:t xml:space="preserve">The DUSC considered this approach </w:t>
      </w:r>
      <w:proofErr w:type="gramStart"/>
      <w:r w:rsidR="0078665D">
        <w:rPr>
          <w:rFonts w:asciiTheme="minorHAnsi" w:hAnsiTheme="minorHAnsi"/>
          <w:snapToGrid w:val="0"/>
        </w:rPr>
        <w:t>to be reasonable</w:t>
      </w:r>
      <w:proofErr w:type="gramEnd"/>
      <w:r w:rsidR="0078665D">
        <w:rPr>
          <w:rFonts w:asciiTheme="minorHAnsi" w:hAnsiTheme="minorHAnsi"/>
          <w:snapToGrid w:val="0"/>
        </w:rPr>
        <w:t xml:space="preserve">. </w:t>
      </w:r>
    </w:p>
    <w:p w:rsidR="00E41551" w:rsidRPr="00AF5A00" w:rsidRDefault="00E41551" w:rsidP="00E41551">
      <w:pPr>
        <w:numPr>
          <w:ilvl w:val="1"/>
          <w:numId w:val="4"/>
        </w:numPr>
        <w:spacing w:after="120"/>
        <w:rPr>
          <w:rFonts w:asciiTheme="minorHAnsi" w:hAnsiTheme="minorHAnsi"/>
          <w:snapToGrid w:val="0"/>
        </w:rPr>
      </w:pPr>
      <w:r w:rsidRPr="00AF5A00">
        <w:rPr>
          <w:rFonts w:asciiTheme="minorHAnsi" w:hAnsiTheme="minorHAnsi"/>
          <w:snapToGrid w:val="0"/>
        </w:rPr>
        <w:t xml:space="preserve">Table </w:t>
      </w:r>
      <w:r>
        <w:rPr>
          <w:rFonts w:asciiTheme="minorHAnsi" w:hAnsiTheme="minorHAnsi"/>
          <w:snapToGrid w:val="0"/>
        </w:rPr>
        <w:t>2</w:t>
      </w:r>
      <w:r w:rsidRPr="00AF5A00">
        <w:rPr>
          <w:rFonts w:asciiTheme="minorHAnsi" w:hAnsiTheme="minorHAnsi"/>
          <w:snapToGrid w:val="0"/>
        </w:rPr>
        <w:t>0 outlines the key inputs in the financial estimates.</w:t>
      </w:r>
    </w:p>
    <w:p w:rsidR="00E41551" w:rsidRPr="00AF5A00" w:rsidRDefault="00E41551" w:rsidP="00E41551">
      <w:pPr>
        <w:spacing w:after="120"/>
        <w:ind w:left="720"/>
        <w:rPr>
          <w:rFonts w:asciiTheme="minorHAnsi" w:hAnsiTheme="minorHAnsi"/>
          <w:snapToGrid w:val="0"/>
          <w:color w:val="0066FF"/>
        </w:rPr>
      </w:pPr>
    </w:p>
    <w:p w:rsidR="00E41551" w:rsidRPr="009E19E1" w:rsidRDefault="00E41551" w:rsidP="00E3489A">
      <w:pPr>
        <w:pStyle w:val="TableFigureHeading"/>
        <w:keepLines/>
        <w:widowControl w:val="0"/>
      </w:pPr>
      <w:r w:rsidRPr="009E19E1">
        <w:lastRenderedPageBreak/>
        <w:t>Table 20: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951"/>
        <w:gridCol w:w="3353"/>
      </w:tblGrid>
      <w:tr w:rsidR="00E41551" w:rsidRPr="00AF5A00" w:rsidTr="00D313F0">
        <w:trPr>
          <w:tblHeader/>
        </w:trPr>
        <w:tc>
          <w:tcPr>
            <w:tcW w:w="950"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imes New Roman"/>
                <w:b/>
                <w:sz w:val="20"/>
              </w:rPr>
            </w:pPr>
            <w:r w:rsidRPr="00AF5A00">
              <w:rPr>
                <w:rFonts w:ascii="Arial Narrow" w:eastAsiaTheme="majorEastAsia" w:hAnsi="Arial Narrow" w:cs="Times New Roman"/>
                <w:b/>
                <w:sz w:val="20"/>
              </w:rPr>
              <w:t>Parameter</w:t>
            </w:r>
          </w:p>
        </w:tc>
        <w:tc>
          <w:tcPr>
            <w:tcW w:w="2191"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imes New Roman"/>
                <w:b/>
                <w:sz w:val="20"/>
              </w:rPr>
            </w:pPr>
            <w:r w:rsidRPr="00AF5A00">
              <w:rPr>
                <w:rFonts w:ascii="Arial Narrow" w:eastAsiaTheme="majorEastAsia" w:hAnsi="Arial Narrow" w:cs="Times New Roman"/>
                <w:b/>
                <w:sz w:val="20"/>
              </w:rPr>
              <w:t>Value applied and source</w:t>
            </w:r>
          </w:p>
        </w:tc>
        <w:tc>
          <w:tcPr>
            <w:tcW w:w="1859"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imes New Roman"/>
                <w:b/>
                <w:sz w:val="20"/>
              </w:rPr>
            </w:pPr>
            <w:r w:rsidRPr="00AF5A00">
              <w:rPr>
                <w:rFonts w:ascii="Arial Narrow" w:eastAsiaTheme="majorEastAsia" w:hAnsi="Arial Narrow" w:cs="Times New Roman"/>
                <w:b/>
                <w:sz w:val="20"/>
              </w:rPr>
              <w:t>Comment</w:t>
            </w:r>
          </w:p>
        </w:tc>
      </w:tr>
      <w:tr w:rsidR="00E41551" w:rsidRPr="00AF5A00" w:rsidTr="00D313F0">
        <w:tc>
          <w:tcPr>
            <w:tcW w:w="950"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Market size (year 0)</w:t>
            </w:r>
          </w:p>
        </w:tc>
        <w:tc>
          <w:tcPr>
            <w:tcW w:w="2191"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Initial scripts: 2,486. Trastuzumab utilisation data for 2016-2018 (3-weekly IV administration items)</w:t>
            </w:r>
          </w:p>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Continuing scripts: 7,458. Assumed three continuing scripts for each initial script</w:t>
            </w:r>
          </w:p>
        </w:tc>
        <w:tc>
          <w:tcPr>
            <w:tcW w:w="1859" w:type="pct"/>
            <w:shd w:val="clear" w:color="auto" w:fill="auto"/>
            <w:vAlign w:val="center"/>
          </w:tcPr>
          <w:p w:rsidR="00E41551" w:rsidRPr="00473613" w:rsidRDefault="00E41551" w:rsidP="00E3489A">
            <w:pPr>
              <w:keepNext/>
              <w:keepLines/>
              <w:widowControl w:val="0"/>
              <w:jc w:val="left"/>
              <w:rPr>
                <w:rFonts w:ascii="Arial Narrow" w:eastAsiaTheme="majorEastAsia" w:hAnsi="Arial Narrow" w:cstheme="majorBidi"/>
                <w:bCs/>
                <w:sz w:val="20"/>
              </w:rPr>
            </w:pPr>
            <w:r w:rsidRPr="00473613">
              <w:rPr>
                <w:rFonts w:ascii="Arial Narrow" w:eastAsiaTheme="majorEastAsia" w:hAnsi="Arial Narrow" w:cstheme="majorBidi"/>
                <w:bCs/>
                <w:sz w:val="20"/>
              </w:rPr>
              <w:t>This is reasonable</w:t>
            </w:r>
          </w:p>
        </w:tc>
      </w:tr>
      <w:tr w:rsidR="00E41551" w:rsidRPr="00AF5A00" w:rsidTr="00D313F0">
        <w:tc>
          <w:tcPr>
            <w:tcW w:w="950"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Annual growth rate for eBC</w:t>
            </w:r>
          </w:p>
        </w:tc>
        <w:tc>
          <w:tcPr>
            <w:tcW w:w="2191"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2.1%. Trastuzumab utilisation data for 2016-2018 (all trastuzumab eBC items excluding 4350R)</w:t>
            </w:r>
          </w:p>
        </w:tc>
        <w:tc>
          <w:tcPr>
            <w:tcW w:w="1859" w:type="pct"/>
            <w:shd w:val="clear" w:color="auto" w:fill="auto"/>
            <w:vAlign w:val="center"/>
          </w:tcPr>
          <w:p w:rsidR="00E41551" w:rsidRPr="00473613" w:rsidRDefault="00E41551" w:rsidP="001652A7">
            <w:pPr>
              <w:keepNext/>
              <w:keepLines/>
              <w:widowControl w:val="0"/>
              <w:jc w:val="left"/>
              <w:rPr>
                <w:rFonts w:ascii="Arial Narrow" w:eastAsiaTheme="majorEastAsia" w:hAnsi="Arial Narrow" w:cstheme="majorBidi"/>
                <w:bCs/>
                <w:sz w:val="20"/>
              </w:rPr>
            </w:pPr>
            <w:r w:rsidRPr="00473613">
              <w:rPr>
                <w:rFonts w:ascii="Arial Narrow" w:eastAsiaTheme="majorEastAsia" w:hAnsi="Arial Narrow" w:cstheme="majorBidi"/>
                <w:bCs/>
                <w:sz w:val="20"/>
              </w:rPr>
              <w:t xml:space="preserve">Item 4350R </w:t>
            </w:r>
            <w:proofErr w:type="gramStart"/>
            <w:r w:rsidRPr="00473613">
              <w:rPr>
                <w:rFonts w:ascii="Arial Narrow" w:eastAsiaTheme="majorEastAsia" w:hAnsi="Arial Narrow" w:cstheme="majorBidi"/>
                <w:bCs/>
                <w:sz w:val="20"/>
              </w:rPr>
              <w:t>was used to calculate market size but omitted from growth calculations</w:t>
            </w:r>
            <w:proofErr w:type="gramEnd"/>
            <w:r w:rsidRPr="00473613">
              <w:rPr>
                <w:rFonts w:ascii="Arial Narrow" w:eastAsiaTheme="majorEastAsia" w:hAnsi="Arial Narrow" w:cstheme="majorBidi"/>
                <w:bCs/>
                <w:sz w:val="20"/>
              </w:rPr>
              <w:t>. Including 4350R reduces the annual growth rate to 1.7</w:t>
            </w:r>
            <w:r w:rsidR="001652A7">
              <w:rPr>
                <w:rFonts w:ascii="Arial Narrow" w:eastAsiaTheme="majorEastAsia" w:hAnsi="Arial Narrow" w:cstheme="majorBidi"/>
                <w:bCs/>
                <w:sz w:val="20"/>
              </w:rPr>
              <w:t>5</w:t>
            </w:r>
            <w:r w:rsidRPr="00473613">
              <w:rPr>
                <w:rFonts w:ascii="Arial Narrow" w:eastAsiaTheme="majorEastAsia" w:hAnsi="Arial Narrow" w:cstheme="majorBidi"/>
                <w:bCs/>
                <w:sz w:val="20"/>
              </w:rPr>
              <w:t xml:space="preserve">%. </w:t>
            </w:r>
            <w:proofErr w:type="gramStart"/>
            <w:r w:rsidR="00D3471D">
              <w:rPr>
                <w:rFonts w:ascii="Arial Narrow" w:eastAsiaTheme="majorEastAsia" w:hAnsi="Arial Narrow" w:cstheme="majorBidi"/>
                <w:bCs/>
                <w:sz w:val="20"/>
              </w:rPr>
              <w:t xml:space="preserve">The pre-PBAC response accepted 1.75% </w:t>
            </w:r>
            <w:r w:rsidR="006B6F13">
              <w:rPr>
                <w:rFonts w:ascii="Arial Narrow" w:eastAsiaTheme="majorEastAsia" w:hAnsi="Arial Narrow" w:cstheme="majorBidi"/>
                <w:bCs/>
                <w:sz w:val="20"/>
              </w:rPr>
              <w:t>annual eBC growth rate be applied</w:t>
            </w:r>
            <w:proofErr w:type="gramEnd"/>
            <w:r w:rsidR="006B6F13">
              <w:rPr>
                <w:rFonts w:ascii="Arial Narrow" w:eastAsiaTheme="majorEastAsia" w:hAnsi="Arial Narrow" w:cstheme="majorBidi"/>
                <w:bCs/>
                <w:sz w:val="20"/>
              </w:rPr>
              <w:t xml:space="preserve"> to estimates, </w:t>
            </w:r>
            <w:r w:rsidR="00D3471D">
              <w:rPr>
                <w:rFonts w:ascii="Arial Narrow" w:eastAsiaTheme="majorEastAsia" w:hAnsi="Arial Narrow" w:cstheme="majorBidi"/>
                <w:bCs/>
                <w:sz w:val="20"/>
              </w:rPr>
              <w:t>as suggested by DUSC.</w:t>
            </w:r>
          </w:p>
        </w:tc>
      </w:tr>
      <w:tr w:rsidR="00E41551" w:rsidRPr="00AF5A00" w:rsidTr="00D313F0">
        <w:tc>
          <w:tcPr>
            <w:tcW w:w="950"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Uptake rate – neoadjuvant treatment for eBC</w:t>
            </w:r>
          </w:p>
        </w:tc>
        <w:tc>
          <w:tcPr>
            <w:tcW w:w="2191"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27% in Year 1. PBS 10% sample</w:t>
            </w:r>
          </w:p>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42% in Year 2. Assumption</w:t>
            </w:r>
          </w:p>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52% in Years 3+. Victorian Registry data and market research (METIS 2018)</w:t>
            </w:r>
          </w:p>
          <w:p w:rsidR="00E41551" w:rsidRPr="00AF5A00" w:rsidRDefault="00E41551" w:rsidP="00E3489A">
            <w:pPr>
              <w:keepNext/>
              <w:keepLines/>
              <w:widowControl w:val="0"/>
              <w:jc w:val="left"/>
              <w:rPr>
                <w:rFonts w:ascii="Arial Narrow" w:eastAsiaTheme="majorEastAsia" w:hAnsi="Arial Narrow" w:cstheme="majorBidi"/>
                <w:bCs/>
                <w:sz w:val="20"/>
              </w:rPr>
            </w:pPr>
          </w:p>
        </w:tc>
        <w:tc>
          <w:tcPr>
            <w:tcW w:w="1859" w:type="pct"/>
            <w:shd w:val="clear" w:color="auto" w:fill="auto"/>
            <w:vAlign w:val="center"/>
          </w:tcPr>
          <w:p w:rsidR="00E41551" w:rsidRPr="00473613" w:rsidRDefault="00E41551" w:rsidP="00E3489A">
            <w:pPr>
              <w:keepNext/>
              <w:keepLines/>
              <w:widowControl w:val="0"/>
              <w:jc w:val="left"/>
              <w:rPr>
                <w:rFonts w:ascii="Arial Narrow" w:eastAsiaTheme="majorEastAsia" w:hAnsi="Arial Narrow" w:cstheme="majorBidi"/>
                <w:bCs/>
                <w:sz w:val="20"/>
              </w:rPr>
            </w:pPr>
            <w:r w:rsidRPr="00473613">
              <w:rPr>
                <w:rFonts w:ascii="Arial Narrow" w:eastAsiaTheme="majorEastAsia" w:hAnsi="Arial Narrow" w:cstheme="majorBidi"/>
                <w:bCs/>
                <w:iCs/>
                <w:sz w:val="20"/>
              </w:rPr>
              <w:t xml:space="preserve">This is consistent with PBAC advice provided for T-DM1 in eBC (para. 6.49, p29, </w:t>
            </w:r>
            <w:r w:rsidR="002C7C88">
              <w:rPr>
                <w:rFonts w:ascii="Arial Narrow" w:eastAsiaTheme="majorEastAsia" w:hAnsi="Arial Narrow" w:cstheme="majorBidi"/>
                <w:bCs/>
                <w:iCs/>
                <w:sz w:val="20"/>
              </w:rPr>
              <w:t>PSD</w:t>
            </w:r>
            <w:r w:rsidRPr="00473613">
              <w:rPr>
                <w:rFonts w:ascii="Arial Narrow" w:eastAsiaTheme="majorEastAsia" w:hAnsi="Arial Narrow" w:cstheme="majorBidi"/>
                <w:bCs/>
                <w:iCs/>
                <w:sz w:val="20"/>
              </w:rPr>
              <w:t>, November 2019 PBAC meeting)</w:t>
            </w:r>
          </w:p>
        </w:tc>
      </w:tr>
      <w:tr w:rsidR="00E41551" w:rsidRPr="00AF5A00" w:rsidTr="00D313F0">
        <w:tc>
          <w:tcPr>
            <w:tcW w:w="950"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Uptake rate – pertuzumab</w:t>
            </w:r>
          </w:p>
        </w:tc>
        <w:tc>
          <w:tcPr>
            <w:tcW w:w="2191"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60% in Year 1. Patients self-funding in HER-START</w:t>
            </w:r>
          </w:p>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70% in Year 2. Assumption</w:t>
            </w:r>
          </w:p>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80% in Years 3+. Market research (METIS 2018)</w:t>
            </w:r>
          </w:p>
          <w:p w:rsidR="00E41551" w:rsidRPr="00AF5A00" w:rsidRDefault="00E41551" w:rsidP="00E3489A">
            <w:pPr>
              <w:keepNext/>
              <w:keepLines/>
              <w:widowControl w:val="0"/>
              <w:jc w:val="left"/>
              <w:rPr>
                <w:rFonts w:ascii="Arial Narrow" w:eastAsiaTheme="majorEastAsia" w:hAnsi="Arial Narrow" w:cstheme="majorBidi"/>
                <w:bCs/>
                <w:sz w:val="20"/>
              </w:rPr>
            </w:pPr>
          </w:p>
        </w:tc>
        <w:tc>
          <w:tcPr>
            <w:tcW w:w="1859" w:type="pct"/>
            <w:shd w:val="clear" w:color="auto" w:fill="auto"/>
            <w:vAlign w:val="center"/>
          </w:tcPr>
          <w:p w:rsidR="00E41551" w:rsidRPr="00473613" w:rsidRDefault="00E41551" w:rsidP="00180EA4">
            <w:pPr>
              <w:keepNext/>
              <w:keepLines/>
              <w:widowControl w:val="0"/>
              <w:jc w:val="left"/>
              <w:rPr>
                <w:rFonts w:ascii="Arial Narrow" w:eastAsiaTheme="majorEastAsia" w:hAnsi="Arial Narrow" w:cstheme="majorBidi"/>
                <w:bCs/>
                <w:sz w:val="20"/>
              </w:rPr>
            </w:pPr>
            <w:r w:rsidRPr="00473613">
              <w:rPr>
                <w:rFonts w:ascii="Arial Narrow" w:eastAsiaTheme="majorEastAsia" w:hAnsi="Arial Narrow" w:cstheme="majorBidi"/>
                <w:bCs/>
                <w:iCs/>
                <w:sz w:val="20"/>
              </w:rPr>
              <w:t xml:space="preserve">This is reasonable, but the timing of market saturation is uncertain. </w:t>
            </w:r>
            <w:r w:rsidRPr="00473613">
              <w:rPr>
                <w:rFonts w:ascii="Arial Narrow" w:eastAsiaTheme="majorEastAsia" w:hAnsi="Arial Narrow"/>
                <w:bCs/>
                <w:iCs/>
                <w:sz w:val="20"/>
                <w:szCs w:val="20"/>
              </w:rPr>
              <w:t xml:space="preserve">Clinician advice indicates uptake may reach 80% sooner than Year 3. </w:t>
            </w:r>
            <w:r w:rsidR="00760E5E">
              <w:rPr>
                <w:rFonts w:ascii="Arial Narrow" w:eastAsiaTheme="majorEastAsia" w:hAnsi="Arial Narrow"/>
                <w:bCs/>
                <w:iCs/>
                <w:sz w:val="20"/>
                <w:szCs w:val="20"/>
              </w:rPr>
              <w:t>DUSC proposed the uptake rate</w:t>
            </w:r>
            <w:r w:rsidR="00583B12">
              <w:rPr>
                <w:rFonts w:ascii="Arial Narrow" w:eastAsiaTheme="majorEastAsia" w:hAnsi="Arial Narrow"/>
                <w:bCs/>
                <w:iCs/>
                <w:sz w:val="20"/>
                <w:szCs w:val="20"/>
              </w:rPr>
              <w:t xml:space="preserve"> </w:t>
            </w:r>
            <w:r w:rsidR="006B6F13">
              <w:rPr>
                <w:rFonts w:ascii="Arial Narrow" w:eastAsiaTheme="majorEastAsia" w:hAnsi="Arial Narrow"/>
                <w:bCs/>
                <w:iCs/>
                <w:sz w:val="20"/>
                <w:szCs w:val="20"/>
              </w:rPr>
              <w:t>in year 6</w:t>
            </w:r>
            <w:r w:rsidR="00583B12">
              <w:rPr>
                <w:rFonts w:ascii="Arial Narrow" w:eastAsiaTheme="majorEastAsia" w:hAnsi="Arial Narrow"/>
                <w:bCs/>
                <w:iCs/>
                <w:sz w:val="20"/>
                <w:szCs w:val="20"/>
              </w:rPr>
              <w:t xml:space="preserve"> be 95%</w:t>
            </w:r>
            <w:r w:rsidR="006B6F13">
              <w:rPr>
                <w:rFonts w:ascii="Arial Narrow" w:eastAsiaTheme="majorEastAsia" w:hAnsi="Arial Narrow"/>
                <w:bCs/>
                <w:iCs/>
                <w:sz w:val="20"/>
                <w:szCs w:val="20"/>
              </w:rPr>
              <w:t>,</w:t>
            </w:r>
            <w:r w:rsidR="00583B12">
              <w:rPr>
                <w:rFonts w:ascii="Arial Narrow" w:eastAsiaTheme="majorEastAsia" w:hAnsi="Arial Narrow"/>
                <w:bCs/>
                <w:iCs/>
                <w:sz w:val="20"/>
                <w:szCs w:val="20"/>
              </w:rPr>
              <w:t xml:space="preserve"> </w:t>
            </w:r>
            <w:r w:rsidR="00760E5E">
              <w:rPr>
                <w:rFonts w:ascii="Arial Narrow" w:eastAsiaTheme="majorEastAsia" w:hAnsi="Arial Narrow"/>
                <w:bCs/>
                <w:iCs/>
                <w:sz w:val="20"/>
                <w:szCs w:val="20"/>
              </w:rPr>
              <w:t>the pre-PBAC response</w:t>
            </w:r>
            <w:r w:rsidR="00180EA4">
              <w:rPr>
                <w:rFonts w:ascii="Arial Narrow" w:eastAsiaTheme="majorEastAsia" w:hAnsi="Arial Narrow"/>
                <w:bCs/>
                <w:iCs/>
                <w:sz w:val="20"/>
                <w:szCs w:val="20"/>
              </w:rPr>
              <w:t xml:space="preserve"> revised estimates based on uptake of 95% from year 4</w:t>
            </w:r>
            <w:r w:rsidR="00760E5E">
              <w:rPr>
                <w:rFonts w:ascii="Arial Narrow" w:eastAsiaTheme="majorEastAsia" w:hAnsi="Arial Narrow"/>
                <w:bCs/>
                <w:iCs/>
                <w:sz w:val="20"/>
                <w:szCs w:val="20"/>
              </w:rPr>
              <w:t>.</w:t>
            </w:r>
          </w:p>
        </w:tc>
      </w:tr>
      <w:tr w:rsidR="00E41551" w:rsidRPr="00AF5A00" w:rsidTr="00D313F0">
        <w:tc>
          <w:tcPr>
            <w:tcW w:w="950"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Cost of pertuzumab for eBC</w:t>
            </w:r>
          </w:p>
        </w:tc>
        <w:tc>
          <w:tcPr>
            <w:tcW w:w="2191"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$3.072.37 (AEMP of pertuzumab 420mg vial, 1 Nov 2019)</w:t>
            </w:r>
          </w:p>
        </w:tc>
        <w:tc>
          <w:tcPr>
            <w:tcW w:w="1859" w:type="pct"/>
            <w:shd w:val="clear" w:color="auto" w:fill="auto"/>
            <w:vAlign w:val="center"/>
          </w:tcPr>
          <w:p w:rsidR="00E41551" w:rsidRPr="00473613" w:rsidRDefault="00CA50D4" w:rsidP="00CA50D4">
            <w:pPr>
              <w:keepNext/>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As requested</w:t>
            </w:r>
          </w:p>
        </w:tc>
      </w:tr>
      <w:tr w:rsidR="00E41551" w:rsidRPr="00AF5A00" w:rsidTr="00D313F0">
        <w:tc>
          <w:tcPr>
            <w:tcW w:w="950"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Cost of trastuzumab for eBC</w:t>
            </w:r>
          </w:p>
        </w:tc>
        <w:tc>
          <w:tcPr>
            <w:tcW w:w="2191"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Excluded from financial estimates</w:t>
            </w:r>
          </w:p>
        </w:tc>
        <w:tc>
          <w:tcPr>
            <w:tcW w:w="1859" w:type="pct"/>
            <w:shd w:val="clear" w:color="auto" w:fill="auto"/>
            <w:vAlign w:val="center"/>
          </w:tcPr>
          <w:p w:rsidR="00E41551" w:rsidRPr="00473613" w:rsidRDefault="00E41551" w:rsidP="001D5AC4">
            <w:pPr>
              <w:keepNext/>
              <w:keepLines/>
              <w:widowControl w:val="0"/>
              <w:jc w:val="left"/>
              <w:rPr>
                <w:rFonts w:ascii="Arial Narrow" w:eastAsiaTheme="majorEastAsia" w:hAnsi="Arial Narrow" w:cstheme="majorBidi"/>
                <w:bCs/>
                <w:sz w:val="20"/>
              </w:rPr>
            </w:pPr>
            <w:r w:rsidRPr="00473613">
              <w:rPr>
                <w:rFonts w:ascii="Arial Narrow" w:eastAsiaTheme="majorEastAsia" w:hAnsi="Arial Narrow" w:cstheme="majorBidi"/>
                <w:bCs/>
                <w:sz w:val="20"/>
              </w:rPr>
              <w:t xml:space="preserve">The economic evaluation incorporates cost offsets associated with reduced utilisation of trastuzumab for eBC in the Ptz+T+Chemo arm. </w:t>
            </w:r>
            <w:r w:rsidR="001D5AC4">
              <w:rPr>
                <w:rFonts w:ascii="Arial Narrow" w:eastAsiaTheme="majorEastAsia" w:hAnsi="Arial Narrow" w:cstheme="majorBidi"/>
                <w:bCs/>
                <w:sz w:val="20"/>
              </w:rPr>
              <w:t>Revised in the pre-PBAC response.</w:t>
            </w:r>
          </w:p>
        </w:tc>
      </w:tr>
      <w:tr w:rsidR="00E41551" w:rsidRPr="00AF5A00" w:rsidTr="00D313F0">
        <w:tc>
          <w:tcPr>
            <w:tcW w:w="950"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Duration of pertuzumab treatment</w:t>
            </w:r>
          </w:p>
        </w:tc>
        <w:tc>
          <w:tcPr>
            <w:tcW w:w="2191"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All patients receive an initial dose of 840mg and three continuing doses of 420mg</w:t>
            </w:r>
          </w:p>
        </w:tc>
        <w:tc>
          <w:tcPr>
            <w:tcW w:w="1859" w:type="pct"/>
            <w:shd w:val="clear" w:color="auto" w:fill="auto"/>
            <w:vAlign w:val="center"/>
          </w:tcPr>
          <w:p w:rsidR="00E41551" w:rsidRPr="00473613" w:rsidRDefault="00E41551" w:rsidP="00E3489A">
            <w:pPr>
              <w:keepNext/>
              <w:keepLines/>
              <w:widowControl w:val="0"/>
              <w:jc w:val="left"/>
              <w:rPr>
                <w:rFonts w:ascii="Arial Narrow" w:eastAsiaTheme="majorEastAsia" w:hAnsi="Arial Narrow" w:cstheme="majorBidi"/>
                <w:bCs/>
                <w:sz w:val="20"/>
              </w:rPr>
            </w:pPr>
            <w:r w:rsidRPr="00473613">
              <w:rPr>
                <w:rFonts w:ascii="Arial Narrow" w:eastAsiaTheme="majorEastAsia" w:hAnsi="Arial Narrow" w:cstheme="majorBidi"/>
                <w:bCs/>
                <w:sz w:val="20"/>
              </w:rPr>
              <w:t>This is inconsistent with the economic evaluation which incorporates the proportion of patients remaining on treatment</w:t>
            </w:r>
          </w:p>
        </w:tc>
      </w:tr>
      <w:tr w:rsidR="00E41551" w:rsidRPr="00AF5A00" w:rsidTr="00D313F0">
        <w:tc>
          <w:tcPr>
            <w:tcW w:w="950"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Offsets for subsequent treatment</w:t>
            </w:r>
          </w:p>
        </w:tc>
        <w:tc>
          <w:tcPr>
            <w:tcW w:w="2191"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A scenario analysis is presented that includes cost offsets for reduced utilisation of T-DM1 in eBC</w:t>
            </w:r>
          </w:p>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Cost offsets for pertuzumab, trastuzumab, and T-DM1 in mBC were not included</w:t>
            </w:r>
          </w:p>
        </w:tc>
        <w:tc>
          <w:tcPr>
            <w:tcW w:w="1859" w:type="pct"/>
            <w:shd w:val="clear" w:color="auto" w:fill="auto"/>
            <w:vAlign w:val="center"/>
          </w:tcPr>
          <w:p w:rsidR="00E41551" w:rsidRPr="00473613" w:rsidRDefault="00E41551" w:rsidP="00E3489A">
            <w:pPr>
              <w:keepNext/>
              <w:keepLines/>
              <w:widowControl w:val="0"/>
              <w:jc w:val="left"/>
              <w:rPr>
                <w:rFonts w:ascii="Arial Narrow" w:eastAsiaTheme="majorEastAsia" w:hAnsi="Arial Narrow" w:cstheme="majorBidi"/>
                <w:bCs/>
                <w:sz w:val="20"/>
              </w:rPr>
            </w:pPr>
            <w:r w:rsidRPr="00473613">
              <w:rPr>
                <w:rFonts w:ascii="Arial Narrow" w:eastAsiaTheme="majorEastAsia" w:hAnsi="Arial Narrow" w:cstheme="majorBidi"/>
                <w:bCs/>
                <w:sz w:val="20"/>
              </w:rPr>
              <w:t xml:space="preserve">This is inconsistent with Section </w:t>
            </w:r>
            <w:proofErr w:type="gramStart"/>
            <w:r w:rsidRPr="00473613">
              <w:rPr>
                <w:rFonts w:ascii="Arial Narrow" w:eastAsiaTheme="majorEastAsia" w:hAnsi="Arial Narrow" w:cstheme="majorBidi"/>
                <w:bCs/>
                <w:sz w:val="20"/>
              </w:rPr>
              <w:t>3 which</w:t>
            </w:r>
            <w:proofErr w:type="gramEnd"/>
            <w:r w:rsidRPr="00473613">
              <w:rPr>
                <w:rFonts w:ascii="Arial Narrow" w:eastAsiaTheme="majorEastAsia" w:hAnsi="Arial Narrow" w:cstheme="majorBidi"/>
                <w:bCs/>
                <w:sz w:val="20"/>
              </w:rPr>
              <w:t xml:space="preserve"> does not include T-DM1 in eBC and does include substantial cost offsets for pertuzumab, trastuzumab and T-DM1 in mBC. Cost offsets associated with </w:t>
            </w:r>
            <w:proofErr w:type="gramStart"/>
            <w:r w:rsidRPr="00473613">
              <w:rPr>
                <w:rFonts w:ascii="Arial Narrow" w:eastAsiaTheme="majorEastAsia" w:hAnsi="Arial Narrow" w:cstheme="majorBidi"/>
                <w:bCs/>
                <w:sz w:val="20"/>
              </w:rPr>
              <w:t>downstream reduced</w:t>
            </w:r>
            <w:proofErr w:type="gramEnd"/>
            <w:r w:rsidRPr="00473613">
              <w:rPr>
                <w:rFonts w:ascii="Arial Narrow" w:eastAsiaTheme="majorEastAsia" w:hAnsi="Arial Narrow" w:cstheme="majorBidi"/>
                <w:bCs/>
                <w:sz w:val="20"/>
              </w:rPr>
              <w:t xml:space="preserve"> use of pertuzumab, trastuzumab and T-DM1 </w:t>
            </w:r>
            <w:r w:rsidR="00007F1C">
              <w:rPr>
                <w:rFonts w:ascii="Arial Narrow" w:eastAsiaTheme="majorEastAsia" w:hAnsi="Arial Narrow" w:cstheme="majorBidi"/>
                <w:bCs/>
                <w:sz w:val="20"/>
              </w:rPr>
              <w:t>were</w:t>
            </w:r>
            <w:r w:rsidR="00B16DB5">
              <w:rPr>
                <w:rFonts w:ascii="Arial Narrow" w:eastAsiaTheme="majorEastAsia" w:hAnsi="Arial Narrow" w:cstheme="majorBidi"/>
                <w:bCs/>
                <w:sz w:val="20"/>
              </w:rPr>
              <w:t xml:space="preserve"> included in the pre-PBAC response</w:t>
            </w:r>
            <w:r w:rsidRPr="00473613">
              <w:rPr>
                <w:rFonts w:ascii="Arial Narrow" w:eastAsiaTheme="majorEastAsia" w:hAnsi="Arial Narrow" w:cstheme="majorBidi"/>
                <w:bCs/>
                <w:sz w:val="20"/>
              </w:rPr>
              <w:t xml:space="preserve">. </w:t>
            </w:r>
          </w:p>
        </w:tc>
      </w:tr>
      <w:tr w:rsidR="00E41551" w:rsidRPr="00AF5A00" w:rsidTr="00D313F0">
        <w:tc>
          <w:tcPr>
            <w:tcW w:w="950"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MBS costs</w:t>
            </w:r>
          </w:p>
        </w:tc>
        <w:tc>
          <w:tcPr>
            <w:tcW w:w="2191" w:type="pct"/>
            <w:shd w:val="clear" w:color="auto" w:fill="auto"/>
            <w:vAlign w:val="center"/>
          </w:tcPr>
          <w:p w:rsidR="00E41551" w:rsidRPr="00AF5A00" w:rsidRDefault="00E41551" w:rsidP="00E3489A">
            <w:pPr>
              <w:keepNext/>
              <w:keepLines/>
              <w:widowControl w:val="0"/>
              <w:jc w:val="left"/>
              <w:rPr>
                <w:rFonts w:ascii="Arial Narrow" w:eastAsiaTheme="majorEastAsia" w:hAnsi="Arial Narrow" w:cstheme="majorBidi"/>
                <w:bCs/>
                <w:sz w:val="20"/>
              </w:rPr>
            </w:pPr>
            <w:r w:rsidRPr="00AF5A00">
              <w:rPr>
                <w:rFonts w:ascii="Arial Narrow" w:eastAsiaTheme="majorEastAsia" w:hAnsi="Arial Narrow" w:cstheme="majorBidi"/>
                <w:bCs/>
                <w:sz w:val="20"/>
              </w:rPr>
              <w:t>Excluded from financial estimates</w:t>
            </w:r>
          </w:p>
        </w:tc>
        <w:tc>
          <w:tcPr>
            <w:tcW w:w="1859" w:type="pct"/>
            <w:shd w:val="clear" w:color="auto" w:fill="auto"/>
            <w:vAlign w:val="center"/>
          </w:tcPr>
          <w:p w:rsidR="00E41551" w:rsidRPr="00473613" w:rsidRDefault="00E41551" w:rsidP="00E3489A">
            <w:pPr>
              <w:keepNext/>
              <w:keepLines/>
              <w:widowControl w:val="0"/>
              <w:jc w:val="left"/>
              <w:rPr>
                <w:rFonts w:ascii="Arial Narrow" w:eastAsiaTheme="majorEastAsia" w:hAnsi="Arial Narrow" w:cstheme="majorBidi"/>
                <w:bCs/>
                <w:sz w:val="20"/>
              </w:rPr>
            </w:pPr>
            <w:r w:rsidRPr="00473613">
              <w:rPr>
                <w:rFonts w:ascii="Arial Narrow" w:eastAsiaTheme="majorEastAsia" w:hAnsi="Arial Narrow" w:cstheme="majorBidi"/>
                <w:bCs/>
                <w:iCs/>
                <w:sz w:val="20"/>
              </w:rPr>
              <w:t>This is inconsistent with the economic model, which includes changes in MBS utilisation (e.g. intravenous drug administration).</w:t>
            </w:r>
            <w:r w:rsidR="005E0047">
              <w:rPr>
                <w:rFonts w:ascii="Arial Narrow" w:eastAsiaTheme="majorEastAsia" w:hAnsi="Arial Narrow" w:cstheme="majorBidi"/>
                <w:bCs/>
                <w:iCs/>
                <w:sz w:val="20"/>
              </w:rPr>
              <w:t xml:space="preserve"> </w:t>
            </w:r>
            <w:r w:rsidR="00E3489A">
              <w:rPr>
                <w:rFonts w:ascii="Arial Narrow" w:eastAsiaTheme="majorEastAsia" w:hAnsi="Arial Narrow" w:cstheme="majorBidi"/>
                <w:bCs/>
                <w:iCs/>
                <w:sz w:val="20"/>
              </w:rPr>
              <w:t>Revised in t</w:t>
            </w:r>
            <w:r w:rsidR="005E0047">
              <w:rPr>
                <w:rFonts w:ascii="Arial Narrow" w:eastAsiaTheme="majorEastAsia" w:hAnsi="Arial Narrow" w:cstheme="majorBidi"/>
                <w:bCs/>
                <w:iCs/>
                <w:sz w:val="20"/>
              </w:rPr>
              <w:t>he pre-PBAC response</w:t>
            </w:r>
            <w:r w:rsidR="00E3489A">
              <w:rPr>
                <w:rFonts w:ascii="Arial Narrow" w:eastAsiaTheme="majorEastAsia" w:hAnsi="Arial Narrow" w:cstheme="majorBidi"/>
                <w:bCs/>
                <w:iCs/>
                <w:sz w:val="20"/>
              </w:rPr>
              <w:t>.</w:t>
            </w:r>
          </w:p>
        </w:tc>
      </w:tr>
    </w:tbl>
    <w:p w:rsidR="00E41551" w:rsidRPr="00AF5A00" w:rsidRDefault="00E41551" w:rsidP="00E41551">
      <w:pPr>
        <w:keepNext/>
        <w:spacing w:after="120"/>
        <w:contextualSpacing/>
        <w:rPr>
          <w:rFonts w:ascii="Arial Narrow" w:hAnsi="Arial Narrow"/>
          <w:snapToGrid w:val="0"/>
          <w:sz w:val="18"/>
          <w:szCs w:val="22"/>
        </w:rPr>
      </w:pPr>
      <w:r w:rsidRPr="00AF5A00">
        <w:rPr>
          <w:rFonts w:ascii="Arial Narrow" w:hAnsi="Arial Narrow"/>
          <w:snapToGrid w:val="0"/>
          <w:sz w:val="18"/>
          <w:szCs w:val="22"/>
        </w:rPr>
        <w:t>Source: Table 4.2, p130 of the submission, p128 of the submission, and sheet ‘</w:t>
      </w:r>
      <w:proofErr w:type="gramStart"/>
      <w:r w:rsidRPr="00AF5A00">
        <w:rPr>
          <w:rFonts w:ascii="Arial Narrow" w:hAnsi="Arial Narrow"/>
          <w:snapToGrid w:val="0"/>
          <w:sz w:val="18"/>
          <w:szCs w:val="22"/>
        </w:rPr>
        <w:t>2d</w:t>
      </w:r>
      <w:proofErr w:type="gramEnd"/>
      <w:r w:rsidRPr="00AF5A00">
        <w:rPr>
          <w:rFonts w:ascii="Arial Narrow" w:hAnsi="Arial Narrow"/>
          <w:snapToGrid w:val="0"/>
          <w:sz w:val="18"/>
          <w:szCs w:val="22"/>
        </w:rPr>
        <w:t>. Scripts- market’ of Utilisation and Cost Model workbook</w:t>
      </w:r>
    </w:p>
    <w:p w:rsidR="00E41551" w:rsidRPr="00AF5A00" w:rsidRDefault="00E41551" w:rsidP="00E41551">
      <w:pPr>
        <w:keepNext/>
        <w:spacing w:after="120"/>
        <w:contextualSpacing/>
        <w:rPr>
          <w:rFonts w:ascii="Arial Narrow" w:hAnsi="Arial Narrow"/>
          <w:snapToGrid w:val="0"/>
          <w:sz w:val="18"/>
          <w:szCs w:val="22"/>
        </w:rPr>
      </w:pPr>
      <w:proofErr w:type="gramStart"/>
      <w:r w:rsidRPr="00AF5A00">
        <w:rPr>
          <w:rFonts w:ascii="Arial Narrow" w:hAnsi="Arial Narrow"/>
          <w:snapToGrid w:val="0"/>
          <w:sz w:val="18"/>
          <w:szCs w:val="22"/>
        </w:rPr>
        <w:t>eBC</w:t>
      </w:r>
      <w:proofErr w:type="gramEnd"/>
      <w:r w:rsidRPr="00AF5A00">
        <w:rPr>
          <w:rFonts w:ascii="Arial Narrow" w:hAnsi="Arial Narrow"/>
          <w:snapToGrid w:val="0"/>
          <w:sz w:val="18"/>
          <w:szCs w:val="22"/>
        </w:rPr>
        <w:t xml:space="preserve"> = early breast cancer, IV = intravenous, mBC = metastatic breast cancer, PBAC = pharmaceutical benefits advisory committee; PBS = pharmaceutical benefits schedule, </w:t>
      </w:r>
      <w:r>
        <w:rPr>
          <w:rFonts w:ascii="Arial Narrow" w:hAnsi="Arial Narrow"/>
          <w:snapToGrid w:val="0"/>
          <w:sz w:val="18"/>
          <w:szCs w:val="22"/>
        </w:rPr>
        <w:t>Ptz+T+Chemo</w:t>
      </w:r>
      <w:r w:rsidRPr="00AF5A00">
        <w:rPr>
          <w:rFonts w:ascii="Arial Narrow" w:hAnsi="Arial Narrow"/>
          <w:snapToGrid w:val="0"/>
          <w:sz w:val="18"/>
          <w:szCs w:val="22"/>
        </w:rPr>
        <w:t xml:space="preserve"> = pertuzumab + trastuzumab + chemotherapy, T-DM1 = trastuzumab emtansine.</w:t>
      </w:r>
    </w:p>
    <w:p w:rsidR="00E41551" w:rsidRPr="00AF5A00" w:rsidRDefault="00E41551" w:rsidP="00E41551">
      <w:pPr>
        <w:rPr>
          <w:color w:val="3366FF"/>
        </w:rPr>
      </w:pPr>
    </w:p>
    <w:p w:rsidR="00E41551" w:rsidRPr="0069017C" w:rsidRDefault="00E41551" w:rsidP="00E41551">
      <w:pPr>
        <w:numPr>
          <w:ilvl w:val="1"/>
          <w:numId w:val="4"/>
        </w:numPr>
        <w:spacing w:after="120"/>
        <w:rPr>
          <w:rFonts w:asciiTheme="minorHAnsi" w:hAnsiTheme="minorHAnsi"/>
          <w:snapToGrid w:val="0"/>
          <w:color w:val="0066FF"/>
        </w:rPr>
      </w:pPr>
      <w:r w:rsidRPr="00AF5A00">
        <w:rPr>
          <w:rFonts w:asciiTheme="minorHAnsi" w:hAnsiTheme="minorHAnsi"/>
          <w:snapToGrid w:val="0"/>
        </w:rPr>
        <w:t xml:space="preserve">Table </w:t>
      </w:r>
      <w:r>
        <w:rPr>
          <w:rFonts w:asciiTheme="minorHAnsi" w:hAnsiTheme="minorHAnsi"/>
          <w:snapToGrid w:val="0"/>
        </w:rPr>
        <w:t>2</w:t>
      </w:r>
      <w:r w:rsidRPr="00AF5A00">
        <w:rPr>
          <w:rFonts w:asciiTheme="minorHAnsi" w:hAnsiTheme="minorHAnsi"/>
          <w:snapToGrid w:val="0"/>
        </w:rPr>
        <w:t xml:space="preserve">1 presents the estimated use and financial implications of listing pertuzumab. </w:t>
      </w:r>
      <w:r w:rsidRPr="00D3471D">
        <w:rPr>
          <w:rFonts w:asciiTheme="minorHAnsi" w:hAnsiTheme="minorHAnsi"/>
          <w:iCs/>
          <w:snapToGrid w:val="0"/>
        </w:rPr>
        <w:t xml:space="preserve">The submission did not include the costs of co-administered trastuzumab and chemotherapy. While excluding chemotherapy is reasonable, as the amount of chemotherapy administered in NEOSPHERE is approximately equal in each arm, the </w:t>
      </w:r>
      <w:r w:rsidRPr="00D3471D">
        <w:rPr>
          <w:rFonts w:asciiTheme="minorHAnsi" w:hAnsiTheme="minorHAnsi"/>
          <w:iCs/>
          <w:snapToGrid w:val="0"/>
        </w:rPr>
        <w:lastRenderedPageBreak/>
        <w:t xml:space="preserve">cost of neoadjuvant and adjuvant treatment with trastuzumab </w:t>
      </w:r>
      <w:proofErr w:type="gramStart"/>
      <w:r w:rsidRPr="00D3471D">
        <w:rPr>
          <w:rFonts w:asciiTheme="minorHAnsi" w:hAnsiTheme="minorHAnsi"/>
          <w:iCs/>
          <w:snapToGrid w:val="0"/>
        </w:rPr>
        <w:t>was considered</w:t>
      </w:r>
      <w:proofErr w:type="gramEnd"/>
      <w:r w:rsidRPr="00D3471D">
        <w:rPr>
          <w:rFonts w:asciiTheme="minorHAnsi" w:hAnsiTheme="minorHAnsi"/>
          <w:iCs/>
          <w:snapToGrid w:val="0"/>
        </w:rPr>
        <w:t xml:space="preserve"> in the economic evaluation. Cost offsets associated with reduced utilisation of </w:t>
      </w:r>
      <w:r w:rsidR="001D5AC4">
        <w:rPr>
          <w:rFonts w:asciiTheme="minorHAnsi" w:hAnsiTheme="minorHAnsi"/>
          <w:iCs/>
          <w:snapToGrid w:val="0"/>
        </w:rPr>
        <w:t>trastuzumab and T</w:t>
      </w:r>
      <w:r w:rsidR="001D5AC4">
        <w:rPr>
          <w:rFonts w:asciiTheme="minorHAnsi" w:hAnsiTheme="minorHAnsi"/>
          <w:iCs/>
          <w:snapToGrid w:val="0"/>
        </w:rPr>
        <w:noBreakHyphen/>
        <w:t xml:space="preserve">DM1 and </w:t>
      </w:r>
      <w:r w:rsidRPr="00D3471D">
        <w:rPr>
          <w:rFonts w:asciiTheme="minorHAnsi" w:hAnsiTheme="minorHAnsi"/>
          <w:iCs/>
          <w:snapToGrid w:val="0"/>
        </w:rPr>
        <w:t>subsequent treatments specifically for metastatic breast cancer, were included</w:t>
      </w:r>
      <w:r w:rsidR="00583B12">
        <w:rPr>
          <w:rFonts w:asciiTheme="minorHAnsi" w:hAnsiTheme="minorHAnsi"/>
          <w:iCs/>
          <w:snapToGrid w:val="0"/>
        </w:rPr>
        <w:t xml:space="preserve"> in revised estimates presen</w:t>
      </w:r>
      <w:r w:rsidR="00180EA4">
        <w:rPr>
          <w:rFonts w:asciiTheme="minorHAnsi" w:hAnsiTheme="minorHAnsi"/>
          <w:iCs/>
          <w:snapToGrid w:val="0"/>
        </w:rPr>
        <w:t>ted in the pre-PBAC response (</w:t>
      </w:r>
      <w:r w:rsidR="00E3489A">
        <w:rPr>
          <w:rFonts w:asciiTheme="minorHAnsi" w:hAnsiTheme="minorHAnsi"/>
          <w:iCs/>
          <w:snapToGrid w:val="0"/>
        </w:rPr>
        <w:t>Table 2</w:t>
      </w:r>
      <w:r w:rsidR="001D5AC4">
        <w:rPr>
          <w:rFonts w:asciiTheme="minorHAnsi" w:hAnsiTheme="minorHAnsi"/>
          <w:iCs/>
          <w:snapToGrid w:val="0"/>
        </w:rPr>
        <w:t>1</w:t>
      </w:r>
      <w:r w:rsidR="00E3489A">
        <w:rPr>
          <w:rFonts w:asciiTheme="minorHAnsi" w:hAnsiTheme="minorHAnsi"/>
          <w:iCs/>
          <w:snapToGrid w:val="0"/>
        </w:rPr>
        <w:t xml:space="preserve"> below</w:t>
      </w:r>
      <w:r w:rsidR="00583B12">
        <w:rPr>
          <w:rFonts w:asciiTheme="minorHAnsi" w:hAnsiTheme="minorHAnsi"/>
          <w:iCs/>
          <w:snapToGrid w:val="0"/>
        </w:rPr>
        <w:t>)</w:t>
      </w:r>
      <w:r w:rsidRPr="00D3471D">
        <w:rPr>
          <w:rFonts w:asciiTheme="minorHAnsi" w:hAnsiTheme="minorHAnsi"/>
          <w:iCs/>
          <w:snapToGrid w:val="0"/>
        </w:rPr>
        <w:t xml:space="preserve">. </w:t>
      </w:r>
    </w:p>
    <w:p w:rsidR="00E41551" w:rsidRPr="00AF5A00" w:rsidRDefault="00E41551" w:rsidP="00583B12">
      <w:pPr>
        <w:pStyle w:val="3-BodyText"/>
        <w:rPr>
          <w:color w:val="0066FF"/>
        </w:rPr>
      </w:pPr>
      <w:r w:rsidRPr="00AF5A00">
        <w:t xml:space="preserve">The submission stated that the addition of pertuzumab to neoadjuvant </w:t>
      </w:r>
      <w:r>
        <w:t xml:space="preserve">T+Chemo </w:t>
      </w:r>
      <w:r w:rsidRPr="00AF5A00">
        <w:t xml:space="preserve">for </w:t>
      </w:r>
      <w:r w:rsidRPr="00BB2CB3">
        <w:t xml:space="preserve">early breast cancer </w:t>
      </w:r>
      <w:r w:rsidRPr="00AF5A00">
        <w:t xml:space="preserve">would not result in additional MBS utilisation. </w:t>
      </w:r>
      <w:r w:rsidRPr="00583B12">
        <w:rPr>
          <w:iCs/>
        </w:rPr>
        <w:t xml:space="preserve">This </w:t>
      </w:r>
      <w:r w:rsidR="00583B12">
        <w:rPr>
          <w:iCs/>
        </w:rPr>
        <w:t>wa</w:t>
      </w:r>
      <w:r w:rsidR="00583B12" w:rsidRPr="00583B12">
        <w:rPr>
          <w:iCs/>
        </w:rPr>
        <w:t xml:space="preserve">s </w:t>
      </w:r>
      <w:r w:rsidRPr="00583B12">
        <w:rPr>
          <w:iCs/>
        </w:rPr>
        <w:t xml:space="preserve">inconsistent with the economic </w:t>
      </w:r>
      <w:proofErr w:type="gramStart"/>
      <w:r w:rsidRPr="00583B12">
        <w:rPr>
          <w:iCs/>
        </w:rPr>
        <w:t>model which</w:t>
      </w:r>
      <w:proofErr w:type="gramEnd"/>
      <w:r w:rsidRPr="00583B12">
        <w:rPr>
          <w:iCs/>
        </w:rPr>
        <w:t xml:space="preserve"> included changes in MBS utilisation, including intravenous drug administration, medical assessments, diagnostic imaging and blood tests.</w:t>
      </w:r>
      <w:r w:rsidR="00583B12">
        <w:rPr>
          <w:iCs/>
        </w:rPr>
        <w:t xml:space="preserve"> </w:t>
      </w:r>
      <w:r w:rsidR="00AD7803">
        <w:rPr>
          <w:iCs/>
        </w:rPr>
        <w:t xml:space="preserve">This </w:t>
      </w:r>
      <w:proofErr w:type="gramStart"/>
      <w:r w:rsidR="00AD7803">
        <w:rPr>
          <w:iCs/>
        </w:rPr>
        <w:t>was not addressed</w:t>
      </w:r>
      <w:proofErr w:type="gramEnd"/>
      <w:r w:rsidR="00AD7803">
        <w:rPr>
          <w:iCs/>
        </w:rPr>
        <w:t xml:space="preserve"> in the pre-PBAC response.</w:t>
      </w:r>
    </w:p>
    <w:p w:rsidR="005F05E0" w:rsidRDefault="005F05E0" w:rsidP="00E41551">
      <w:pPr>
        <w:spacing w:after="120"/>
        <w:contextualSpacing/>
        <w:rPr>
          <w:rFonts w:ascii="Arial Narrow" w:hAnsi="Arial Narrow"/>
          <w:iCs/>
          <w:snapToGrid w:val="0"/>
          <w:sz w:val="18"/>
          <w:szCs w:val="22"/>
        </w:rPr>
      </w:pPr>
    </w:p>
    <w:p w:rsidR="00965F45" w:rsidRPr="00AF165F" w:rsidRDefault="00965F45" w:rsidP="00965F45">
      <w:r w:rsidRPr="004939FD">
        <w:rPr>
          <w:rFonts w:ascii="Arial Narrow" w:hAnsi="Arial Narrow"/>
          <w:b/>
          <w:sz w:val="20"/>
          <w:szCs w:val="20"/>
        </w:rPr>
        <w:t xml:space="preserve">Table </w:t>
      </w:r>
      <w:r>
        <w:rPr>
          <w:rFonts w:ascii="Arial Narrow" w:hAnsi="Arial Narrow"/>
          <w:b/>
          <w:sz w:val="20"/>
          <w:szCs w:val="20"/>
        </w:rPr>
        <w:t>2</w:t>
      </w:r>
      <w:r w:rsidRPr="004939FD">
        <w:rPr>
          <w:rFonts w:ascii="Arial Narrow" w:hAnsi="Arial Narrow"/>
          <w:b/>
          <w:sz w:val="20"/>
          <w:szCs w:val="20"/>
        </w:rPr>
        <w:t>1: Utilisation and Cost model for neoadjuvant pertuzumab listing</w:t>
      </w:r>
      <w:r>
        <w:rPr>
          <w:rFonts w:ascii="Arial Narrow" w:hAnsi="Arial Narrow"/>
          <w:b/>
          <w:sz w:val="20"/>
          <w:szCs w:val="20"/>
        </w:rPr>
        <w:t xml:space="preserve"> revised in the </w:t>
      </w:r>
      <w:r w:rsidR="00AF165F">
        <w:rPr>
          <w:rFonts w:ascii="Arial Narrow" w:hAnsi="Arial Narrow"/>
          <w:b/>
          <w:sz w:val="20"/>
          <w:szCs w:val="20"/>
        </w:rPr>
        <w:t>pre-PBAC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0"/>
        <w:gridCol w:w="1167"/>
        <w:gridCol w:w="1167"/>
        <w:gridCol w:w="1167"/>
        <w:gridCol w:w="1167"/>
        <w:gridCol w:w="1167"/>
        <w:gridCol w:w="1172"/>
      </w:tblGrid>
      <w:tr w:rsidR="00965F45" w:rsidRPr="003E08E1" w:rsidTr="00495B63">
        <w:trPr>
          <w:tblHeader/>
        </w:trPr>
        <w:tc>
          <w:tcPr>
            <w:tcW w:w="1115" w:type="pct"/>
            <w:shd w:val="clear" w:color="auto" w:fill="auto"/>
            <w:vAlign w:val="center"/>
          </w:tcPr>
          <w:p w:rsidR="00965F45" w:rsidRPr="003E08E1" w:rsidRDefault="00965F45" w:rsidP="00495B63">
            <w:pPr>
              <w:keepNext/>
              <w:jc w:val="center"/>
              <w:rPr>
                <w:rFonts w:ascii="Arial Narrow" w:eastAsiaTheme="majorEastAsia" w:hAnsi="Arial Narrow" w:cstheme="minorHAnsi"/>
                <w:b/>
                <w:sz w:val="20"/>
                <w:szCs w:val="20"/>
              </w:rPr>
            </w:pPr>
          </w:p>
        </w:tc>
        <w:tc>
          <w:tcPr>
            <w:tcW w:w="647" w:type="pct"/>
            <w:shd w:val="clear" w:color="auto" w:fill="auto"/>
            <w:vAlign w:val="center"/>
          </w:tcPr>
          <w:p w:rsidR="00965F45" w:rsidRPr="003E08E1" w:rsidRDefault="00965F45" w:rsidP="00495B63">
            <w:pPr>
              <w:keepNext/>
              <w:jc w:val="center"/>
              <w:rPr>
                <w:rFonts w:ascii="Arial Narrow" w:eastAsiaTheme="majorEastAsia" w:hAnsi="Arial Narrow" w:cstheme="minorHAnsi"/>
                <w:b/>
                <w:sz w:val="20"/>
                <w:szCs w:val="20"/>
              </w:rPr>
            </w:pPr>
            <w:r w:rsidRPr="003E08E1">
              <w:rPr>
                <w:rFonts w:ascii="Arial Narrow" w:eastAsiaTheme="majorEastAsia" w:hAnsi="Arial Narrow" w:cstheme="minorHAnsi"/>
                <w:b/>
                <w:sz w:val="20"/>
                <w:szCs w:val="20"/>
              </w:rPr>
              <w:t>Year 1</w:t>
            </w:r>
          </w:p>
        </w:tc>
        <w:tc>
          <w:tcPr>
            <w:tcW w:w="647" w:type="pct"/>
            <w:shd w:val="clear" w:color="auto" w:fill="auto"/>
            <w:vAlign w:val="center"/>
          </w:tcPr>
          <w:p w:rsidR="00965F45" w:rsidRPr="003E08E1" w:rsidRDefault="00965F45" w:rsidP="00495B63">
            <w:pPr>
              <w:keepNext/>
              <w:jc w:val="center"/>
              <w:rPr>
                <w:rFonts w:ascii="Arial Narrow" w:eastAsiaTheme="majorEastAsia" w:hAnsi="Arial Narrow" w:cstheme="minorHAnsi"/>
                <w:b/>
                <w:sz w:val="20"/>
                <w:szCs w:val="20"/>
              </w:rPr>
            </w:pPr>
            <w:r w:rsidRPr="003E08E1">
              <w:rPr>
                <w:rFonts w:ascii="Arial Narrow" w:eastAsiaTheme="majorEastAsia" w:hAnsi="Arial Narrow" w:cstheme="minorHAnsi"/>
                <w:b/>
                <w:sz w:val="20"/>
                <w:szCs w:val="20"/>
              </w:rPr>
              <w:t>Year 2</w:t>
            </w:r>
          </w:p>
        </w:tc>
        <w:tc>
          <w:tcPr>
            <w:tcW w:w="647" w:type="pct"/>
            <w:shd w:val="clear" w:color="auto" w:fill="auto"/>
            <w:vAlign w:val="center"/>
          </w:tcPr>
          <w:p w:rsidR="00965F45" w:rsidRPr="003E08E1" w:rsidRDefault="00965F45" w:rsidP="00495B63">
            <w:pPr>
              <w:keepNext/>
              <w:jc w:val="center"/>
              <w:rPr>
                <w:rFonts w:ascii="Arial Narrow" w:eastAsiaTheme="majorEastAsia" w:hAnsi="Arial Narrow" w:cstheme="minorHAnsi"/>
                <w:b/>
                <w:sz w:val="20"/>
                <w:szCs w:val="20"/>
              </w:rPr>
            </w:pPr>
            <w:r w:rsidRPr="003E08E1">
              <w:rPr>
                <w:rFonts w:ascii="Arial Narrow" w:eastAsiaTheme="majorEastAsia" w:hAnsi="Arial Narrow" w:cstheme="minorHAnsi"/>
                <w:b/>
                <w:sz w:val="20"/>
                <w:szCs w:val="20"/>
              </w:rPr>
              <w:t>Year 3</w:t>
            </w:r>
          </w:p>
        </w:tc>
        <w:tc>
          <w:tcPr>
            <w:tcW w:w="647" w:type="pct"/>
            <w:shd w:val="clear" w:color="auto" w:fill="auto"/>
            <w:vAlign w:val="center"/>
          </w:tcPr>
          <w:p w:rsidR="00965F45" w:rsidRPr="003E08E1" w:rsidRDefault="00965F45" w:rsidP="00495B63">
            <w:pPr>
              <w:keepNext/>
              <w:jc w:val="center"/>
              <w:rPr>
                <w:rFonts w:ascii="Arial Narrow" w:eastAsiaTheme="majorEastAsia" w:hAnsi="Arial Narrow" w:cstheme="minorHAnsi"/>
                <w:b/>
                <w:sz w:val="20"/>
                <w:szCs w:val="20"/>
              </w:rPr>
            </w:pPr>
            <w:r w:rsidRPr="003E08E1">
              <w:rPr>
                <w:rFonts w:ascii="Arial Narrow" w:eastAsiaTheme="majorEastAsia" w:hAnsi="Arial Narrow" w:cstheme="minorHAnsi"/>
                <w:b/>
                <w:sz w:val="20"/>
                <w:szCs w:val="20"/>
              </w:rPr>
              <w:t>Year 4</w:t>
            </w:r>
          </w:p>
        </w:tc>
        <w:tc>
          <w:tcPr>
            <w:tcW w:w="647" w:type="pct"/>
            <w:shd w:val="clear" w:color="auto" w:fill="auto"/>
            <w:vAlign w:val="center"/>
          </w:tcPr>
          <w:p w:rsidR="00965F45" w:rsidRPr="003E08E1" w:rsidRDefault="00965F45" w:rsidP="00495B63">
            <w:pPr>
              <w:keepNext/>
              <w:jc w:val="center"/>
              <w:rPr>
                <w:rFonts w:ascii="Arial Narrow" w:eastAsiaTheme="majorEastAsia" w:hAnsi="Arial Narrow" w:cstheme="minorHAnsi"/>
                <w:b/>
                <w:sz w:val="20"/>
                <w:szCs w:val="20"/>
              </w:rPr>
            </w:pPr>
            <w:r w:rsidRPr="003E08E1">
              <w:rPr>
                <w:rFonts w:ascii="Arial Narrow" w:eastAsiaTheme="majorEastAsia" w:hAnsi="Arial Narrow" w:cstheme="minorHAnsi"/>
                <w:b/>
                <w:sz w:val="20"/>
                <w:szCs w:val="20"/>
              </w:rPr>
              <w:t>Year 5</w:t>
            </w:r>
          </w:p>
        </w:tc>
        <w:tc>
          <w:tcPr>
            <w:tcW w:w="650" w:type="pct"/>
          </w:tcPr>
          <w:p w:rsidR="00965F45" w:rsidRPr="003E08E1" w:rsidRDefault="00965F45" w:rsidP="00495B63">
            <w:pPr>
              <w:keepNext/>
              <w:jc w:val="center"/>
              <w:rPr>
                <w:rFonts w:ascii="Arial Narrow" w:eastAsiaTheme="majorEastAsia" w:hAnsi="Arial Narrow" w:cstheme="minorHAnsi"/>
                <w:b/>
                <w:sz w:val="20"/>
                <w:szCs w:val="20"/>
              </w:rPr>
            </w:pPr>
            <w:r w:rsidRPr="003E08E1">
              <w:rPr>
                <w:rFonts w:ascii="Arial Narrow" w:eastAsiaTheme="majorEastAsia" w:hAnsi="Arial Narrow" w:cstheme="minorHAnsi"/>
                <w:b/>
                <w:sz w:val="20"/>
                <w:szCs w:val="20"/>
              </w:rPr>
              <w:t>Year 6</w:t>
            </w:r>
          </w:p>
        </w:tc>
      </w:tr>
      <w:tr w:rsidR="00965F45" w:rsidRPr="003E08E1" w:rsidTr="00495B63">
        <w:tc>
          <w:tcPr>
            <w:tcW w:w="5000" w:type="pct"/>
            <w:gridSpan w:val="7"/>
            <w:shd w:val="clear" w:color="auto" w:fill="auto"/>
            <w:vAlign w:val="center"/>
          </w:tcPr>
          <w:p w:rsidR="00965F45" w:rsidRPr="00965F45" w:rsidRDefault="00965F45" w:rsidP="00495B63">
            <w:pPr>
              <w:keepNext/>
              <w:jc w:val="left"/>
              <w:rPr>
                <w:rFonts w:ascii="Arial Narrow" w:eastAsiaTheme="majorEastAsia" w:hAnsi="Arial Narrow" w:cstheme="minorHAnsi"/>
                <w:b/>
                <w:bCs/>
                <w:color w:val="000000"/>
                <w:sz w:val="20"/>
                <w:szCs w:val="20"/>
              </w:rPr>
            </w:pPr>
            <w:r w:rsidRPr="00965F45">
              <w:rPr>
                <w:rFonts w:ascii="Arial Narrow" w:eastAsiaTheme="majorEastAsia" w:hAnsi="Arial Narrow" w:cstheme="minorHAnsi"/>
                <w:b/>
                <w:bCs/>
                <w:color w:val="000000"/>
                <w:sz w:val="20"/>
                <w:szCs w:val="20"/>
              </w:rPr>
              <w:t>Estimated extent of use</w:t>
            </w:r>
          </w:p>
        </w:tc>
      </w:tr>
      <w:tr w:rsidR="00495B63" w:rsidRPr="003E08E1" w:rsidTr="00495B63">
        <w:tc>
          <w:tcPr>
            <w:tcW w:w="1115" w:type="pct"/>
            <w:shd w:val="clear" w:color="auto" w:fill="auto"/>
            <w:vAlign w:val="center"/>
          </w:tcPr>
          <w:p w:rsidR="00495B63" w:rsidRPr="00965F45" w:rsidRDefault="00495B63" w:rsidP="00495B63">
            <w:pPr>
              <w:keepNext/>
              <w:jc w:val="left"/>
              <w:rPr>
                <w:rFonts w:ascii="Arial Narrow" w:eastAsiaTheme="majorEastAsia" w:hAnsi="Arial Narrow" w:cstheme="minorHAnsi"/>
                <w:bCs/>
                <w:sz w:val="20"/>
                <w:szCs w:val="20"/>
              </w:rPr>
            </w:pPr>
            <w:r w:rsidRPr="00965F45">
              <w:rPr>
                <w:rFonts w:ascii="Arial Narrow" w:eastAsiaTheme="majorEastAsia" w:hAnsi="Arial Narrow" w:cstheme="minorHAnsi"/>
                <w:bCs/>
                <w:sz w:val="20"/>
                <w:szCs w:val="20"/>
              </w:rPr>
              <w:t xml:space="preserve">Number of patients </w:t>
            </w:r>
            <w:proofErr w:type="spellStart"/>
            <w:r w:rsidRPr="00965F45">
              <w:rPr>
                <w:rFonts w:ascii="Arial Narrow" w:eastAsiaTheme="majorEastAsia" w:hAnsi="Arial Narrow" w:cstheme="minorHAnsi"/>
                <w:bCs/>
                <w:sz w:val="20"/>
                <w:szCs w:val="20"/>
              </w:rPr>
              <w:t>treated</w:t>
            </w:r>
            <w:r w:rsidRPr="00965F45">
              <w:rPr>
                <w:rFonts w:ascii="Arial Narrow" w:eastAsiaTheme="majorEastAsia" w:hAnsi="Arial Narrow" w:cstheme="minorHAnsi"/>
                <w:bCs/>
                <w:sz w:val="20"/>
                <w:szCs w:val="20"/>
                <w:vertAlign w:val="superscript"/>
              </w:rPr>
              <w:t>a</w:t>
            </w:r>
            <w:proofErr w:type="spellEnd"/>
          </w:p>
        </w:tc>
        <w:tc>
          <w:tcPr>
            <w:tcW w:w="647" w:type="pct"/>
          </w:tcPr>
          <w:p w:rsidR="00495B63" w:rsidRPr="00E81857" w:rsidRDefault="00E81857" w:rsidP="00495B63">
            <w:pPr>
              <w:keepNext/>
              <w:jc w:val="center"/>
              <w:rPr>
                <w:rFonts w:ascii="Arial Narrow" w:eastAsiaTheme="majorEastAsia" w:hAnsi="Arial Narrow" w:cstheme="minorHAnsi"/>
                <w:b/>
                <w:bCs/>
                <w:iCs/>
                <w:color w:val="000000"/>
                <w:sz w:val="20"/>
                <w:szCs w:val="20"/>
                <w:highlight w:val="black"/>
              </w:rPr>
            </w:pPr>
            <w:r>
              <w:rPr>
                <w:rFonts w:ascii="Arial Narrow" w:hAnsi="Arial Narrow"/>
                <w:noProof/>
                <w:color w:val="000000"/>
                <w:sz w:val="20"/>
                <w:szCs w:val="20"/>
                <w:highlight w:val="black"/>
              </w:rPr>
              <w:t>'''''''''</w:t>
            </w:r>
          </w:p>
        </w:tc>
        <w:tc>
          <w:tcPr>
            <w:tcW w:w="647" w:type="pct"/>
          </w:tcPr>
          <w:p w:rsidR="00495B63" w:rsidRPr="00E81857" w:rsidRDefault="00E81857" w:rsidP="00495B63">
            <w:pPr>
              <w:keepNext/>
              <w:jc w:val="center"/>
              <w:rPr>
                <w:rFonts w:ascii="Arial Narrow" w:eastAsiaTheme="majorEastAsia" w:hAnsi="Arial Narrow" w:cstheme="minorHAnsi"/>
                <w:b/>
                <w:bCs/>
                <w:iCs/>
                <w:color w:val="000000"/>
                <w:sz w:val="20"/>
                <w:szCs w:val="20"/>
                <w:highlight w:val="black"/>
              </w:rPr>
            </w:pPr>
            <w:r>
              <w:rPr>
                <w:rFonts w:ascii="Arial Narrow" w:hAnsi="Arial Narrow"/>
                <w:noProof/>
                <w:color w:val="000000"/>
                <w:sz w:val="20"/>
                <w:szCs w:val="20"/>
                <w:highlight w:val="black"/>
              </w:rPr>
              <w:t>'''''''''</w:t>
            </w:r>
          </w:p>
        </w:tc>
        <w:tc>
          <w:tcPr>
            <w:tcW w:w="647" w:type="pct"/>
          </w:tcPr>
          <w:p w:rsidR="00495B63" w:rsidRPr="00E81857" w:rsidRDefault="00E81857" w:rsidP="00495B63">
            <w:pPr>
              <w:keepNext/>
              <w:jc w:val="center"/>
              <w:rPr>
                <w:rFonts w:ascii="Arial Narrow" w:eastAsiaTheme="majorEastAsia" w:hAnsi="Arial Narrow" w:cstheme="minorHAnsi"/>
                <w:b/>
                <w:bCs/>
                <w:iCs/>
                <w:color w:val="000000"/>
                <w:sz w:val="20"/>
                <w:szCs w:val="20"/>
                <w:highlight w:val="black"/>
              </w:rPr>
            </w:pPr>
            <w:r>
              <w:rPr>
                <w:rFonts w:ascii="Arial Narrow" w:hAnsi="Arial Narrow"/>
                <w:noProof/>
                <w:color w:val="000000"/>
                <w:sz w:val="20"/>
                <w:szCs w:val="20"/>
                <w:highlight w:val="black"/>
              </w:rPr>
              <w:t>''''''''''''</w:t>
            </w:r>
          </w:p>
        </w:tc>
        <w:tc>
          <w:tcPr>
            <w:tcW w:w="647" w:type="pct"/>
          </w:tcPr>
          <w:p w:rsidR="00495B63" w:rsidRPr="00E81857" w:rsidRDefault="00E81857" w:rsidP="00495B63">
            <w:pPr>
              <w:keepNext/>
              <w:jc w:val="center"/>
              <w:rPr>
                <w:rFonts w:ascii="Arial Narrow" w:eastAsiaTheme="majorEastAsia" w:hAnsi="Arial Narrow" w:cstheme="minorHAnsi"/>
                <w:b/>
                <w:bCs/>
                <w:iCs/>
                <w:color w:val="000000"/>
                <w:sz w:val="20"/>
                <w:szCs w:val="20"/>
                <w:highlight w:val="black"/>
              </w:rPr>
            </w:pPr>
            <w:r>
              <w:rPr>
                <w:rFonts w:ascii="Arial Narrow" w:hAnsi="Arial Narrow"/>
                <w:noProof/>
                <w:color w:val="000000"/>
                <w:sz w:val="20"/>
                <w:szCs w:val="20"/>
                <w:highlight w:val="black"/>
              </w:rPr>
              <w:t>'''''''''''</w:t>
            </w:r>
          </w:p>
        </w:tc>
        <w:tc>
          <w:tcPr>
            <w:tcW w:w="647" w:type="pct"/>
          </w:tcPr>
          <w:p w:rsidR="00495B63" w:rsidRPr="00E81857" w:rsidRDefault="00E81857" w:rsidP="00495B63">
            <w:pPr>
              <w:keepNext/>
              <w:jc w:val="center"/>
              <w:rPr>
                <w:rFonts w:ascii="Arial Narrow" w:eastAsiaTheme="majorEastAsia" w:hAnsi="Arial Narrow" w:cstheme="minorHAnsi"/>
                <w:b/>
                <w:bCs/>
                <w:iCs/>
                <w:color w:val="000000"/>
                <w:sz w:val="20"/>
                <w:szCs w:val="20"/>
                <w:highlight w:val="black"/>
              </w:rPr>
            </w:pPr>
            <w:r>
              <w:rPr>
                <w:rFonts w:ascii="Arial Narrow" w:hAnsi="Arial Narrow"/>
                <w:noProof/>
                <w:color w:val="000000"/>
                <w:sz w:val="20"/>
                <w:szCs w:val="20"/>
                <w:highlight w:val="black"/>
              </w:rPr>
              <w:t>'''''''''''''</w:t>
            </w:r>
          </w:p>
        </w:tc>
        <w:tc>
          <w:tcPr>
            <w:tcW w:w="650" w:type="pct"/>
          </w:tcPr>
          <w:p w:rsidR="00495B63" w:rsidRPr="00E81857" w:rsidRDefault="00E81857" w:rsidP="00495B63">
            <w:pPr>
              <w:keepNext/>
              <w:jc w:val="center"/>
              <w:rPr>
                <w:rFonts w:ascii="Arial Narrow" w:eastAsiaTheme="majorEastAsia" w:hAnsi="Arial Narrow" w:cstheme="minorHAnsi"/>
                <w:b/>
                <w:bCs/>
                <w:iCs/>
                <w:color w:val="000000"/>
                <w:sz w:val="20"/>
                <w:szCs w:val="20"/>
                <w:highlight w:val="black"/>
              </w:rPr>
            </w:pPr>
            <w:r>
              <w:rPr>
                <w:rFonts w:ascii="Arial Narrow" w:hAnsi="Arial Narrow"/>
                <w:noProof/>
                <w:color w:val="000000"/>
                <w:sz w:val="20"/>
                <w:szCs w:val="20"/>
                <w:highlight w:val="black"/>
              </w:rPr>
              <w:t>'''''''''''''</w:t>
            </w:r>
          </w:p>
        </w:tc>
      </w:tr>
      <w:tr w:rsidR="00AF165F" w:rsidRPr="003E08E1" w:rsidTr="0078581C">
        <w:tc>
          <w:tcPr>
            <w:tcW w:w="1115" w:type="pct"/>
            <w:shd w:val="clear" w:color="auto" w:fill="auto"/>
            <w:vAlign w:val="center"/>
          </w:tcPr>
          <w:p w:rsidR="00AF165F" w:rsidRPr="00965F45" w:rsidRDefault="00AF165F" w:rsidP="00AF165F">
            <w:pPr>
              <w:keepNext/>
              <w:jc w:val="left"/>
              <w:rPr>
                <w:rFonts w:ascii="Arial Narrow" w:eastAsiaTheme="majorEastAsia" w:hAnsi="Arial Narrow" w:cstheme="minorHAnsi"/>
                <w:bCs/>
                <w:sz w:val="20"/>
                <w:szCs w:val="20"/>
              </w:rPr>
            </w:pPr>
            <w:r w:rsidRPr="00965F45">
              <w:rPr>
                <w:rFonts w:ascii="Arial Narrow" w:eastAsiaTheme="majorEastAsia" w:hAnsi="Arial Narrow" w:cstheme="minorHAnsi"/>
                <w:bCs/>
                <w:sz w:val="20"/>
                <w:szCs w:val="20"/>
              </w:rPr>
              <w:t>Number of scripts dispensed</w:t>
            </w:r>
          </w:p>
        </w:tc>
        <w:tc>
          <w:tcPr>
            <w:tcW w:w="647" w:type="pct"/>
          </w:tcPr>
          <w:p w:rsidR="00AF165F" w:rsidRPr="00E81857" w:rsidRDefault="00E81857" w:rsidP="00AF165F">
            <w:pPr>
              <w:keepNext/>
              <w:jc w:val="center"/>
              <w:rPr>
                <w:rFonts w:ascii="Arial Narrow" w:eastAsiaTheme="majorEastAsia" w:hAnsi="Arial Narrow" w:cstheme="minorHAnsi"/>
                <w:bCs/>
                <w:color w:val="000000"/>
                <w:sz w:val="20"/>
                <w:szCs w:val="20"/>
                <w:highlight w:val="black"/>
              </w:rPr>
            </w:pPr>
            <w:r>
              <w:rPr>
                <w:rFonts w:ascii="Arial Narrow" w:hAnsi="Arial Narrow"/>
                <w:noProof/>
                <w:color w:val="000000"/>
                <w:sz w:val="20"/>
                <w:szCs w:val="20"/>
                <w:highlight w:val="black"/>
              </w:rPr>
              <w:t>'''''''''''</w:t>
            </w:r>
          </w:p>
        </w:tc>
        <w:tc>
          <w:tcPr>
            <w:tcW w:w="647" w:type="pct"/>
          </w:tcPr>
          <w:p w:rsidR="00AF165F" w:rsidRPr="00E81857" w:rsidRDefault="00E81857" w:rsidP="00AF165F">
            <w:pPr>
              <w:keepNext/>
              <w:jc w:val="center"/>
              <w:rPr>
                <w:rFonts w:ascii="Arial Narrow" w:eastAsiaTheme="majorEastAsia" w:hAnsi="Arial Narrow" w:cstheme="minorHAnsi"/>
                <w:bCs/>
                <w:color w:val="000000"/>
                <w:sz w:val="20"/>
                <w:szCs w:val="20"/>
                <w:highlight w:val="black"/>
              </w:rPr>
            </w:pPr>
            <w:r>
              <w:rPr>
                <w:rFonts w:ascii="Arial Narrow" w:hAnsi="Arial Narrow"/>
                <w:noProof/>
                <w:color w:val="000000"/>
                <w:sz w:val="20"/>
                <w:szCs w:val="20"/>
                <w:highlight w:val="black"/>
              </w:rPr>
              <w:t>'''''''''''''</w:t>
            </w:r>
          </w:p>
        </w:tc>
        <w:tc>
          <w:tcPr>
            <w:tcW w:w="647" w:type="pct"/>
          </w:tcPr>
          <w:p w:rsidR="00AF165F" w:rsidRPr="00E81857" w:rsidRDefault="00E81857" w:rsidP="00AF165F">
            <w:pPr>
              <w:keepNext/>
              <w:jc w:val="center"/>
              <w:rPr>
                <w:rFonts w:ascii="Arial Narrow" w:eastAsiaTheme="majorEastAsia" w:hAnsi="Arial Narrow" w:cstheme="minorHAnsi"/>
                <w:bCs/>
                <w:color w:val="000000"/>
                <w:sz w:val="20"/>
                <w:szCs w:val="20"/>
                <w:highlight w:val="black"/>
              </w:rPr>
            </w:pPr>
            <w:r>
              <w:rPr>
                <w:rFonts w:ascii="Arial Narrow" w:hAnsi="Arial Narrow"/>
                <w:noProof/>
                <w:color w:val="000000"/>
                <w:sz w:val="20"/>
                <w:szCs w:val="20"/>
                <w:highlight w:val="black"/>
              </w:rPr>
              <w:t>''''''''''''</w:t>
            </w:r>
          </w:p>
        </w:tc>
        <w:tc>
          <w:tcPr>
            <w:tcW w:w="647" w:type="pct"/>
          </w:tcPr>
          <w:p w:rsidR="00AF165F" w:rsidRPr="00E81857" w:rsidRDefault="00E81857" w:rsidP="00AF165F">
            <w:pPr>
              <w:keepNext/>
              <w:jc w:val="center"/>
              <w:rPr>
                <w:rFonts w:ascii="Arial Narrow" w:eastAsiaTheme="majorEastAsia" w:hAnsi="Arial Narrow" w:cstheme="minorHAnsi"/>
                <w:bCs/>
                <w:color w:val="000000"/>
                <w:sz w:val="20"/>
                <w:szCs w:val="20"/>
                <w:highlight w:val="black"/>
              </w:rPr>
            </w:pPr>
            <w:r>
              <w:rPr>
                <w:rFonts w:ascii="Arial Narrow" w:hAnsi="Arial Narrow"/>
                <w:noProof/>
                <w:color w:val="000000"/>
                <w:sz w:val="20"/>
                <w:szCs w:val="20"/>
                <w:highlight w:val="black"/>
              </w:rPr>
              <w:t>'''''''''''</w:t>
            </w:r>
          </w:p>
        </w:tc>
        <w:tc>
          <w:tcPr>
            <w:tcW w:w="647" w:type="pct"/>
          </w:tcPr>
          <w:p w:rsidR="00AF165F" w:rsidRPr="00E81857" w:rsidRDefault="00E81857" w:rsidP="00AF165F">
            <w:pPr>
              <w:keepNext/>
              <w:jc w:val="center"/>
              <w:rPr>
                <w:rFonts w:ascii="Arial Narrow" w:eastAsiaTheme="majorEastAsia" w:hAnsi="Arial Narrow" w:cstheme="minorHAnsi"/>
                <w:bCs/>
                <w:color w:val="000000"/>
                <w:sz w:val="20"/>
                <w:szCs w:val="20"/>
                <w:highlight w:val="black"/>
              </w:rPr>
            </w:pPr>
            <w:r>
              <w:rPr>
                <w:rFonts w:ascii="Arial Narrow" w:hAnsi="Arial Narrow"/>
                <w:noProof/>
                <w:color w:val="000000"/>
                <w:sz w:val="20"/>
                <w:szCs w:val="20"/>
                <w:highlight w:val="black"/>
              </w:rPr>
              <w:t>''''''''''''</w:t>
            </w:r>
          </w:p>
        </w:tc>
        <w:tc>
          <w:tcPr>
            <w:tcW w:w="650" w:type="pct"/>
          </w:tcPr>
          <w:p w:rsidR="00AF165F" w:rsidRPr="00E81857" w:rsidRDefault="00E81857" w:rsidP="00AF165F">
            <w:pPr>
              <w:keepNext/>
              <w:jc w:val="center"/>
              <w:rPr>
                <w:rFonts w:ascii="Arial Narrow" w:eastAsiaTheme="majorEastAsia" w:hAnsi="Arial Narrow" w:cstheme="minorHAnsi"/>
                <w:bCs/>
                <w:color w:val="000000"/>
                <w:sz w:val="20"/>
                <w:szCs w:val="20"/>
                <w:highlight w:val="black"/>
              </w:rPr>
            </w:pPr>
            <w:r>
              <w:rPr>
                <w:rFonts w:ascii="Arial Narrow" w:hAnsi="Arial Narrow"/>
                <w:noProof/>
                <w:color w:val="000000"/>
                <w:sz w:val="20"/>
                <w:szCs w:val="20"/>
                <w:highlight w:val="black"/>
              </w:rPr>
              <w:t>''''''''''''</w:t>
            </w:r>
          </w:p>
        </w:tc>
      </w:tr>
      <w:tr w:rsidR="00965F45" w:rsidRPr="003E08E1" w:rsidTr="00495B63">
        <w:tc>
          <w:tcPr>
            <w:tcW w:w="5000" w:type="pct"/>
            <w:gridSpan w:val="7"/>
            <w:shd w:val="clear" w:color="auto" w:fill="auto"/>
            <w:vAlign w:val="center"/>
          </w:tcPr>
          <w:p w:rsidR="00965F45" w:rsidRPr="00BE4FE8" w:rsidRDefault="00965F45" w:rsidP="00495B63">
            <w:pPr>
              <w:keepNext/>
              <w:jc w:val="left"/>
              <w:rPr>
                <w:rFonts w:ascii="Arial Narrow" w:eastAsiaTheme="majorEastAsia" w:hAnsi="Arial Narrow" w:cstheme="minorHAnsi"/>
                <w:b/>
                <w:sz w:val="20"/>
                <w:szCs w:val="20"/>
              </w:rPr>
            </w:pPr>
            <w:r w:rsidRPr="00BE4FE8">
              <w:rPr>
                <w:rFonts w:ascii="Arial Narrow" w:eastAsiaTheme="majorEastAsia" w:hAnsi="Arial Narrow" w:cstheme="minorHAnsi"/>
                <w:b/>
                <w:sz w:val="20"/>
                <w:szCs w:val="20"/>
              </w:rPr>
              <w:t>Estimated financial implications of pertuzumab</w:t>
            </w:r>
          </w:p>
        </w:tc>
      </w:tr>
      <w:tr w:rsidR="00BE4FE8" w:rsidRPr="003E08E1" w:rsidTr="0078581C">
        <w:tc>
          <w:tcPr>
            <w:tcW w:w="1115" w:type="pct"/>
            <w:shd w:val="clear" w:color="auto" w:fill="auto"/>
            <w:vAlign w:val="center"/>
          </w:tcPr>
          <w:p w:rsidR="00BE4FE8" w:rsidRPr="00965F45" w:rsidRDefault="00BE4FE8" w:rsidP="00BE4FE8">
            <w:pPr>
              <w:keepNext/>
              <w:jc w:val="left"/>
              <w:rPr>
                <w:rFonts w:ascii="Arial Narrow" w:eastAsiaTheme="majorEastAsia" w:hAnsi="Arial Narrow" w:cstheme="minorHAnsi"/>
                <w:bCs/>
                <w:sz w:val="20"/>
                <w:szCs w:val="20"/>
              </w:rPr>
            </w:pPr>
            <w:r w:rsidRPr="00965F45">
              <w:rPr>
                <w:rFonts w:ascii="Arial Narrow" w:eastAsiaTheme="majorEastAsia" w:hAnsi="Arial Narrow" w:cstheme="minorHAnsi"/>
                <w:bCs/>
                <w:sz w:val="20"/>
                <w:szCs w:val="20"/>
              </w:rPr>
              <w:t>Cost to PBS/RPBS less copayments</w:t>
            </w:r>
          </w:p>
        </w:tc>
        <w:tc>
          <w:tcPr>
            <w:tcW w:w="647" w:type="pct"/>
            <w:tcBorders>
              <w:top w:val="nil"/>
              <w:left w:val="single" w:sz="4" w:space="0" w:color="auto"/>
              <w:bottom w:val="single" w:sz="4" w:space="0" w:color="auto"/>
              <w:right w:val="single" w:sz="4" w:space="0" w:color="auto"/>
            </w:tcBorders>
            <w:shd w:val="clear" w:color="auto" w:fill="auto"/>
          </w:tcPr>
          <w:p w:rsidR="00BE4FE8" w:rsidRPr="00BE4FE8" w:rsidRDefault="00BE4FE8" w:rsidP="00BE4FE8">
            <w:pPr>
              <w:keepNext/>
              <w:jc w:val="center"/>
              <w:rPr>
                <w:rFonts w:ascii="Arial Narrow" w:eastAsiaTheme="majorEastAsia" w:hAnsi="Arial Narrow" w:cstheme="minorHAnsi"/>
                <w:bCs/>
                <w:sz w:val="20"/>
                <w:szCs w:val="20"/>
              </w:rPr>
            </w:pPr>
            <w:r w:rsidRPr="00BE4FE8">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tcPr>
          <w:p w:rsidR="00BE4FE8" w:rsidRPr="00BE4FE8" w:rsidRDefault="00BE4FE8" w:rsidP="00BE4FE8">
            <w:pPr>
              <w:keepNext/>
              <w:jc w:val="center"/>
              <w:rPr>
                <w:rFonts w:ascii="Arial Narrow" w:eastAsiaTheme="majorEastAsia" w:hAnsi="Arial Narrow" w:cstheme="minorHAnsi"/>
                <w:bCs/>
                <w:sz w:val="20"/>
                <w:szCs w:val="20"/>
              </w:rPr>
            </w:pPr>
            <w:r w:rsidRPr="00BE4FE8">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tcPr>
          <w:p w:rsidR="00BE4FE8" w:rsidRPr="00BE4FE8" w:rsidRDefault="00BE4FE8" w:rsidP="00BE4FE8">
            <w:pPr>
              <w:keepNext/>
              <w:jc w:val="center"/>
              <w:rPr>
                <w:rFonts w:ascii="Arial Narrow" w:eastAsiaTheme="majorEastAsia" w:hAnsi="Arial Narrow" w:cstheme="minorHAnsi"/>
                <w:bCs/>
                <w:sz w:val="20"/>
                <w:szCs w:val="20"/>
              </w:rPr>
            </w:pPr>
            <w:r w:rsidRPr="00BE4FE8">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tcPr>
          <w:p w:rsidR="00BE4FE8" w:rsidRPr="00BE4FE8" w:rsidRDefault="00BE4FE8" w:rsidP="00BE4FE8">
            <w:pPr>
              <w:keepNext/>
              <w:jc w:val="center"/>
              <w:rPr>
                <w:rFonts w:ascii="Arial Narrow" w:eastAsiaTheme="majorEastAsia" w:hAnsi="Arial Narrow" w:cstheme="minorHAnsi"/>
                <w:bCs/>
                <w:sz w:val="20"/>
                <w:szCs w:val="20"/>
              </w:rPr>
            </w:pPr>
            <w:r w:rsidRPr="00BE4FE8">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tcPr>
          <w:p w:rsidR="00BE4FE8" w:rsidRPr="00BE4FE8" w:rsidRDefault="00BE4FE8" w:rsidP="00BE4FE8">
            <w:pPr>
              <w:keepNext/>
              <w:jc w:val="center"/>
              <w:rPr>
                <w:rFonts w:ascii="Arial Narrow" w:eastAsiaTheme="majorEastAsia" w:hAnsi="Arial Narrow" w:cstheme="minorHAnsi"/>
                <w:bCs/>
                <w:sz w:val="20"/>
                <w:szCs w:val="20"/>
              </w:rPr>
            </w:pPr>
            <w:r w:rsidRPr="00BE4FE8">
              <w:rPr>
                <w:rFonts w:ascii="Arial Narrow" w:hAnsi="Arial Narrow"/>
                <w:sz w:val="20"/>
                <w:szCs w:val="20"/>
              </w:rPr>
              <w:t>$</w:t>
            </w:r>
            <w:r w:rsidR="00E81857">
              <w:rPr>
                <w:rFonts w:ascii="Arial Narrow" w:hAnsi="Arial Narrow"/>
                <w:noProof/>
                <w:color w:val="000000"/>
                <w:sz w:val="20"/>
                <w:szCs w:val="20"/>
                <w:highlight w:val="black"/>
              </w:rPr>
              <w:t>'''''''''''''''''''''''''''''</w:t>
            </w:r>
          </w:p>
        </w:tc>
        <w:tc>
          <w:tcPr>
            <w:tcW w:w="650" w:type="pct"/>
            <w:tcBorders>
              <w:top w:val="nil"/>
              <w:left w:val="nil"/>
              <w:bottom w:val="single" w:sz="4" w:space="0" w:color="auto"/>
              <w:right w:val="single" w:sz="4" w:space="0" w:color="auto"/>
            </w:tcBorders>
            <w:shd w:val="clear" w:color="auto" w:fill="auto"/>
          </w:tcPr>
          <w:p w:rsidR="00BE4FE8" w:rsidRPr="00BE4FE8" w:rsidRDefault="00BE4FE8" w:rsidP="00BE4FE8">
            <w:pPr>
              <w:keepNext/>
              <w:jc w:val="center"/>
              <w:rPr>
                <w:rFonts w:ascii="Arial Narrow" w:eastAsiaTheme="majorEastAsia" w:hAnsi="Arial Narrow" w:cstheme="minorHAnsi"/>
                <w:bCs/>
                <w:sz w:val="20"/>
                <w:szCs w:val="20"/>
              </w:rPr>
            </w:pPr>
            <w:r w:rsidRPr="00BE4FE8">
              <w:rPr>
                <w:rFonts w:ascii="Arial Narrow" w:hAnsi="Arial Narrow"/>
                <w:sz w:val="20"/>
                <w:szCs w:val="20"/>
              </w:rPr>
              <w:t>$</w:t>
            </w:r>
            <w:r w:rsidR="00E81857">
              <w:rPr>
                <w:rFonts w:ascii="Arial Narrow" w:hAnsi="Arial Narrow"/>
                <w:noProof/>
                <w:color w:val="000000"/>
                <w:sz w:val="20"/>
                <w:szCs w:val="20"/>
                <w:highlight w:val="black"/>
              </w:rPr>
              <w:t>'''''''''''''''''''''''''''</w:t>
            </w:r>
          </w:p>
        </w:tc>
      </w:tr>
      <w:tr w:rsidR="00965F45" w:rsidRPr="00A421BE" w:rsidTr="00495B63">
        <w:tc>
          <w:tcPr>
            <w:tcW w:w="5000" w:type="pct"/>
            <w:gridSpan w:val="7"/>
            <w:tcBorders>
              <w:right w:val="single" w:sz="4" w:space="0" w:color="auto"/>
            </w:tcBorders>
            <w:shd w:val="clear" w:color="auto" w:fill="auto"/>
            <w:vAlign w:val="center"/>
          </w:tcPr>
          <w:p w:rsidR="00965F45" w:rsidRPr="00A421BE" w:rsidRDefault="00965F45" w:rsidP="00495B63">
            <w:pPr>
              <w:keepNext/>
              <w:jc w:val="left"/>
              <w:rPr>
                <w:rFonts w:ascii="Arial Narrow" w:eastAsiaTheme="majorEastAsia" w:hAnsi="Arial Narrow" w:cstheme="minorHAnsi"/>
                <w:b/>
                <w:bCs/>
                <w:sz w:val="20"/>
                <w:szCs w:val="20"/>
              </w:rPr>
            </w:pPr>
            <w:r w:rsidRPr="00A421BE">
              <w:rPr>
                <w:rFonts w:ascii="Arial Narrow" w:eastAsiaTheme="majorEastAsia" w:hAnsi="Arial Narrow" w:cstheme="minorHAnsi"/>
                <w:b/>
                <w:bCs/>
                <w:sz w:val="20"/>
                <w:szCs w:val="20"/>
              </w:rPr>
              <w:t>Estimated financial implications for other medicines</w:t>
            </w:r>
          </w:p>
        </w:tc>
      </w:tr>
      <w:tr w:rsidR="00AD7803" w:rsidRPr="003E08E1" w:rsidTr="00025F03">
        <w:tc>
          <w:tcPr>
            <w:tcW w:w="1115" w:type="pct"/>
            <w:shd w:val="clear" w:color="auto" w:fill="auto"/>
            <w:vAlign w:val="center"/>
          </w:tcPr>
          <w:p w:rsidR="00AD7803" w:rsidRPr="00965F45" w:rsidRDefault="00AD7803" w:rsidP="00AD7803">
            <w:pPr>
              <w:keepNext/>
              <w:jc w:val="left"/>
              <w:rPr>
                <w:rFonts w:ascii="Arial Narrow" w:eastAsiaTheme="majorEastAsia" w:hAnsi="Arial Narrow" w:cstheme="minorHAnsi"/>
                <w:bCs/>
                <w:sz w:val="20"/>
                <w:szCs w:val="20"/>
              </w:rPr>
            </w:pPr>
            <w:r>
              <w:rPr>
                <w:rFonts w:ascii="Arial Narrow" w:eastAsiaTheme="majorEastAsia" w:hAnsi="Arial Narrow" w:cstheme="minorHAnsi"/>
                <w:bCs/>
                <w:sz w:val="20"/>
                <w:szCs w:val="20"/>
              </w:rPr>
              <w:t>Trastuzumab (eBC) costs</w:t>
            </w:r>
          </w:p>
        </w:tc>
        <w:tc>
          <w:tcPr>
            <w:tcW w:w="647" w:type="pct"/>
            <w:tcBorders>
              <w:top w:val="nil"/>
              <w:left w:val="single" w:sz="4" w:space="0" w:color="auto"/>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50"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r>
      <w:tr w:rsidR="00AD7803" w:rsidRPr="003E08E1" w:rsidTr="00025F03">
        <w:tc>
          <w:tcPr>
            <w:tcW w:w="1115" w:type="pct"/>
            <w:shd w:val="clear" w:color="auto" w:fill="auto"/>
            <w:vAlign w:val="center"/>
          </w:tcPr>
          <w:p w:rsidR="00AD7803" w:rsidRDefault="00AD7803" w:rsidP="00AD7803">
            <w:pPr>
              <w:keepNext/>
              <w:jc w:val="left"/>
              <w:rPr>
                <w:rFonts w:ascii="Arial Narrow" w:eastAsiaTheme="majorEastAsia" w:hAnsi="Arial Narrow" w:cstheme="minorHAnsi"/>
                <w:bCs/>
                <w:sz w:val="20"/>
                <w:szCs w:val="20"/>
              </w:rPr>
            </w:pPr>
            <w:r>
              <w:rPr>
                <w:rFonts w:ascii="Arial Narrow" w:eastAsiaTheme="majorEastAsia" w:hAnsi="Arial Narrow" w:cstheme="minorHAnsi"/>
                <w:bCs/>
                <w:sz w:val="20"/>
                <w:szCs w:val="20"/>
              </w:rPr>
              <w:t>T-DM1 (eBC) costs</w:t>
            </w:r>
          </w:p>
        </w:tc>
        <w:tc>
          <w:tcPr>
            <w:tcW w:w="647" w:type="pct"/>
            <w:tcBorders>
              <w:top w:val="nil"/>
              <w:left w:val="single" w:sz="4" w:space="0" w:color="auto"/>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50"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Pr>
                <w:rFonts w:ascii="Arial Narrow" w:hAnsi="Arial Narrow"/>
                <w:sz w:val="20"/>
                <w:szCs w:val="20"/>
              </w:rPr>
              <w:t>-</w:t>
            </w:r>
            <w:r w:rsidRPr="00AD7803">
              <w:rPr>
                <w:rFonts w:ascii="Arial Narrow" w:hAnsi="Arial Narrow"/>
                <w:sz w:val="20"/>
                <w:szCs w:val="20"/>
              </w:rPr>
              <w:t>$</w:t>
            </w:r>
            <w:r w:rsidR="00E81857">
              <w:rPr>
                <w:rFonts w:ascii="Arial Narrow" w:hAnsi="Arial Narrow"/>
                <w:noProof/>
                <w:color w:val="000000"/>
                <w:sz w:val="20"/>
                <w:szCs w:val="20"/>
                <w:highlight w:val="black"/>
              </w:rPr>
              <w:t>''''''''''''''''''''''</w:t>
            </w:r>
          </w:p>
        </w:tc>
      </w:tr>
      <w:tr w:rsidR="00AD7803" w:rsidRPr="003E08E1" w:rsidTr="00025F03">
        <w:tc>
          <w:tcPr>
            <w:tcW w:w="1115" w:type="pct"/>
            <w:shd w:val="clear" w:color="auto" w:fill="auto"/>
            <w:vAlign w:val="center"/>
          </w:tcPr>
          <w:p w:rsidR="00AD7803" w:rsidRDefault="00AD7803" w:rsidP="00AD7803">
            <w:pPr>
              <w:keepNext/>
              <w:jc w:val="left"/>
              <w:rPr>
                <w:rFonts w:ascii="Arial Narrow" w:eastAsiaTheme="majorEastAsia" w:hAnsi="Arial Narrow" w:cstheme="minorHAnsi"/>
                <w:bCs/>
                <w:sz w:val="20"/>
                <w:szCs w:val="20"/>
              </w:rPr>
            </w:pPr>
            <w:r>
              <w:rPr>
                <w:rFonts w:ascii="Arial Narrow" w:eastAsiaTheme="majorEastAsia" w:hAnsi="Arial Narrow" w:cstheme="minorHAnsi"/>
                <w:bCs/>
                <w:sz w:val="20"/>
                <w:szCs w:val="20"/>
              </w:rPr>
              <w:t>mBC costs</w:t>
            </w:r>
          </w:p>
        </w:tc>
        <w:tc>
          <w:tcPr>
            <w:tcW w:w="647" w:type="pct"/>
            <w:tcBorders>
              <w:top w:val="nil"/>
              <w:left w:val="single" w:sz="4" w:space="0" w:color="auto"/>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sidRPr="00AD7803">
              <w:rPr>
                <w:rFonts w:ascii="Arial Narrow" w:hAnsi="Arial Narrow"/>
                <w:sz w:val="20"/>
                <w:szCs w:val="20"/>
              </w:rPr>
              <w:t>-$</w:t>
            </w:r>
            <w:r w:rsidR="00E81857">
              <w:rPr>
                <w:rFonts w:ascii="Arial Narrow" w:hAnsi="Arial Narrow"/>
                <w:noProof/>
                <w:color w:val="000000"/>
                <w:sz w:val="20"/>
                <w:szCs w:val="20"/>
                <w:highlight w:val="black"/>
              </w:rPr>
              <w:t>'''''''''''''''''''''''''</w:t>
            </w:r>
          </w:p>
        </w:tc>
        <w:tc>
          <w:tcPr>
            <w:tcW w:w="650" w:type="pct"/>
            <w:tcBorders>
              <w:top w:val="nil"/>
              <w:left w:val="nil"/>
              <w:bottom w:val="single" w:sz="4" w:space="0" w:color="auto"/>
              <w:right w:val="single" w:sz="4" w:space="0" w:color="auto"/>
            </w:tcBorders>
            <w:shd w:val="clear" w:color="auto" w:fill="auto"/>
            <w:vAlign w:val="center"/>
          </w:tcPr>
          <w:p w:rsidR="00AD7803" w:rsidRPr="001E010E" w:rsidRDefault="00AD7803" w:rsidP="00AD7803">
            <w:pPr>
              <w:keepNext/>
              <w:jc w:val="center"/>
              <w:rPr>
                <w:rFonts w:ascii="Arial Narrow" w:hAnsi="Arial Narrow"/>
                <w:sz w:val="20"/>
                <w:szCs w:val="20"/>
              </w:rPr>
            </w:pPr>
            <w:r w:rsidRPr="00AD7803">
              <w:rPr>
                <w:rFonts w:ascii="Arial Narrow" w:hAnsi="Arial Narrow"/>
                <w:sz w:val="20"/>
                <w:szCs w:val="20"/>
              </w:rPr>
              <w:t>-$</w:t>
            </w:r>
            <w:r w:rsidR="00E81857">
              <w:rPr>
                <w:rFonts w:ascii="Arial Narrow" w:hAnsi="Arial Narrow"/>
                <w:noProof/>
                <w:color w:val="000000"/>
                <w:sz w:val="20"/>
                <w:szCs w:val="20"/>
                <w:highlight w:val="black"/>
              </w:rPr>
              <w:t>'''''''''''''''''''''''''</w:t>
            </w:r>
          </w:p>
        </w:tc>
      </w:tr>
      <w:tr w:rsidR="00965F45" w:rsidRPr="003E08E1" w:rsidTr="00495B63">
        <w:tc>
          <w:tcPr>
            <w:tcW w:w="5000" w:type="pct"/>
            <w:gridSpan w:val="7"/>
            <w:shd w:val="clear" w:color="auto" w:fill="auto"/>
            <w:vAlign w:val="center"/>
          </w:tcPr>
          <w:p w:rsidR="00965F45" w:rsidRPr="00965F45" w:rsidRDefault="00965F45" w:rsidP="00495B63">
            <w:pPr>
              <w:keepNext/>
              <w:jc w:val="left"/>
              <w:rPr>
                <w:rFonts w:ascii="Arial Narrow" w:eastAsiaTheme="majorEastAsia" w:hAnsi="Arial Narrow" w:cstheme="minorHAnsi"/>
                <w:b/>
                <w:sz w:val="20"/>
                <w:szCs w:val="20"/>
              </w:rPr>
            </w:pPr>
            <w:r w:rsidRPr="00965F45">
              <w:rPr>
                <w:rFonts w:ascii="Arial Narrow" w:eastAsiaTheme="majorEastAsia" w:hAnsi="Arial Narrow" w:cstheme="minorHAnsi"/>
                <w:b/>
                <w:sz w:val="20"/>
                <w:szCs w:val="20"/>
              </w:rPr>
              <w:t>Net financial implications</w:t>
            </w:r>
            <w:r w:rsidRPr="00965F45">
              <w:rPr>
                <w:rFonts w:ascii="Arial Narrow" w:eastAsiaTheme="majorEastAsia" w:hAnsi="Arial Narrow" w:cstheme="minorHAnsi"/>
                <w:b/>
                <w:color w:val="4BACC6" w:themeColor="accent5"/>
                <w:sz w:val="20"/>
                <w:szCs w:val="20"/>
              </w:rPr>
              <w:t xml:space="preserve"> </w:t>
            </w:r>
          </w:p>
        </w:tc>
      </w:tr>
      <w:tr w:rsidR="009F59A5" w:rsidRPr="003E08E1" w:rsidTr="0078581C">
        <w:tc>
          <w:tcPr>
            <w:tcW w:w="1115" w:type="pct"/>
            <w:shd w:val="clear" w:color="auto" w:fill="auto"/>
            <w:vAlign w:val="center"/>
          </w:tcPr>
          <w:p w:rsidR="009F59A5" w:rsidRPr="00965F45" w:rsidRDefault="009F59A5" w:rsidP="009F59A5">
            <w:pPr>
              <w:keepNext/>
              <w:jc w:val="left"/>
              <w:rPr>
                <w:rFonts w:ascii="Arial Narrow" w:eastAsiaTheme="majorEastAsia" w:hAnsi="Arial Narrow" w:cstheme="minorHAnsi"/>
                <w:bCs/>
                <w:sz w:val="20"/>
                <w:szCs w:val="20"/>
              </w:rPr>
            </w:pPr>
            <w:r w:rsidRPr="00965F45">
              <w:rPr>
                <w:rFonts w:ascii="Arial Narrow" w:eastAsiaTheme="majorEastAsia" w:hAnsi="Arial Narrow" w:cstheme="minorHAnsi"/>
                <w:bCs/>
                <w:sz w:val="20"/>
                <w:szCs w:val="20"/>
              </w:rPr>
              <w:t>Net cost to PBS/RPBS</w:t>
            </w:r>
          </w:p>
        </w:tc>
        <w:tc>
          <w:tcPr>
            <w:tcW w:w="647" w:type="pct"/>
            <w:shd w:val="clear" w:color="auto" w:fill="auto"/>
          </w:tcPr>
          <w:p w:rsidR="009F59A5" w:rsidRPr="009F59A5" w:rsidRDefault="009F59A5" w:rsidP="009F59A5">
            <w:pPr>
              <w:keepNext/>
              <w:jc w:val="center"/>
              <w:rPr>
                <w:rFonts w:ascii="Arial Narrow" w:eastAsiaTheme="majorEastAsia" w:hAnsi="Arial Narrow" w:cstheme="minorHAnsi"/>
                <w:bCs/>
                <w:sz w:val="20"/>
                <w:szCs w:val="20"/>
              </w:rPr>
            </w:pPr>
            <w:r w:rsidRPr="009F59A5">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shd w:val="clear" w:color="auto" w:fill="auto"/>
          </w:tcPr>
          <w:p w:rsidR="009F59A5" w:rsidRPr="009F59A5" w:rsidRDefault="009F59A5" w:rsidP="009F59A5">
            <w:pPr>
              <w:keepNext/>
              <w:jc w:val="center"/>
              <w:rPr>
                <w:rFonts w:ascii="Arial Narrow" w:eastAsiaTheme="majorEastAsia" w:hAnsi="Arial Narrow" w:cstheme="minorHAnsi"/>
                <w:bCs/>
                <w:sz w:val="20"/>
                <w:szCs w:val="20"/>
              </w:rPr>
            </w:pPr>
            <w:r w:rsidRPr="009F59A5">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shd w:val="clear" w:color="auto" w:fill="auto"/>
          </w:tcPr>
          <w:p w:rsidR="009F59A5" w:rsidRPr="009F59A5" w:rsidRDefault="009F59A5" w:rsidP="009F59A5">
            <w:pPr>
              <w:keepNext/>
              <w:jc w:val="center"/>
              <w:rPr>
                <w:rFonts w:ascii="Arial Narrow" w:eastAsiaTheme="majorEastAsia" w:hAnsi="Arial Narrow" w:cstheme="minorHAnsi"/>
                <w:bCs/>
                <w:sz w:val="20"/>
                <w:szCs w:val="20"/>
              </w:rPr>
            </w:pPr>
            <w:r w:rsidRPr="009F59A5">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shd w:val="clear" w:color="auto" w:fill="auto"/>
          </w:tcPr>
          <w:p w:rsidR="009F59A5" w:rsidRPr="009F59A5" w:rsidRDefault="009F59A5" w:rsidP="009F59A5">
            <w:pPr>
              <w:keepNext/>
              <w:jc w:val="center"/>
              <w:rPr>
                <w:rFonts w:ascii="Arial Narrow" w:eastAsiaTheme="majorEastAsia" w:hAnsi="Arial Narrow" w:cstheme="minorHAnsi"/>
                <w:bCs/>
                <w:sz w:val="20"/>
                <w:szCs w:val="20"/>
              </w:rPr>
            </w:pPr>
            <w:r w:rsidRPr="009F59A5">
              <w:rPr>
                <w:rFonts w:ascii="Arial Narrow" w:hAnsi="Arial Narrow"/>
                <w:sz w:val="20"/>
                <w:szCs w:val="20"/>
              </w:rPr>
              <w:t>$</w:t>
            </w:r>
            <w:r w:rsidR="00E81857">
              <w:rPr>
                <w:rFonts w:ascii="Arial Narrow" w:hAnsi="Arial Narrow"/>
                <w:noProof/>
                <w:color w:val="000000"/>
                <w:sz w:val="20"/>
                <w:szCs w:val="20"/>
                <w:highlight w:val="black"/>
              </w:rPr>
              <w:t>''''''''''''''''''''''''''''</w:t>
            </w:r>
          </w:p>
        </w:tc>
        <w:tc>
          <w:tcPr>
            <w:tcW w:w="647" w:type="pct"/>
            <w:shd w:val="clear" w:color="auto" w:fill="auto"/>
          </w:tcPr>
          <w:p w:rsidR="009F59A5" w:rsidRPr="009F59A5" w:rsidRDefault="009F59A5" w:rsidP="009F59A5">
            <w:pPr>
              <w:keepNext/>
              <w:jc w:val="center"/>
              <w:rPr>
                <w:rFonts w:ascii="Arial Narrow" w:eastAsiaTheme="majorEastAsia" w:hAnsi="Arial Narrow" w:cstheme="minorHAnsi"/>
                <w:bCs/>
                <w:sz w:val="20"/>
                <w:szCs w:val="20"/>
              </w:rPr>
            </w:pPr>
            <w:r w:rsidRPr="009F59A5">
              <w:rPr>
                <w:rFonts w:ascii="Arial Narrow" w:hAnsi="Arial Narrow"/>
                <w:sz w:val="20"/>
                <w:szCs w:val="20"/>
              </w:rPr>
              <w:t>$</w:t>
            </w:r>
            <w:r w:rsidR="00E81857">
              <w:rPr>
                <w:rFonts w:ascii="Arial Narrow" w:hAnsi="Arial Narrow"/>
                <w:noProof/>
                <w:color w:val="000000"/>
                <w:sz w:val="20"/>
                <w:szCs w:val="20"/>
                <w:highlight w:val="black"/>
              </w:rPr>
              <w:t>''''''''''''''''''''''''</w:t>
            </w:r>
          </w:p>
        </w:tc>
        <w:tc>
          <w:tcPr>
            <w:tcW w:w="650" w:type="pct"/>
          </w:tcPr>
          <w:p w:rsidR="009F59A5" w:rsidRPr="009F59A5" w:rsidRDefault="009F59A5" w:rsidP="009F59A5">
            <w:pPr>
              <w:keepNext/>
              <w:jc w:val="center"/>
              <w:rPr>
                <w:rFonts w:ascii="Arial Narrow" w:eastAsiaTheme="majorEastAsia" w:hAnsi="Arial Narrow" w:cstheme="minorHAnsi"/>
                <w:bCs/>
                <w:sz w:val="20"/>
                <w:szCs w:val="20"/>
              </w:rPr>
            </w:pPr>
            <w:r w:rsidRPr="009F59A5">
              <w:rPr>
                <w:rFonts w:ascii="Arial Narrow" w:hAnsi="Arial Narrow"/>
                <w:sz w:val="20"/>
                <w:szCs w:val="20"/>
              </w:rPr>
              <w:t>$</w:t>
            </w:r>
            <w:r w:rsidR="00E81857">
              <w:rPr>
                <w:rFonts w:ascii="Arial Narrow" w:hAnsi="Arial Narrow"/>
                <w:noProof/>
                <w:color w:val="000000"/>
                <w:sz w:val="20"/>
                <w:szCs w:val="20"/>
                <w:highlight w:val="black"/>
              </w:rPr>
              <w:t>''''''''''''''''''''''''</w:t>
            </w:r>
          </w:p>
        </w:tc>
      </w:tr>
    </w:tbl>
    <w:p w:rsidR="00965F45" w:rsidRPr="00AF5A00" w:rsidRDefault="00965F45" w:rsidP="00965F45">
      <w:pPr>
        <w:spacing w:after="120"/>
        <w:contextualSpacing/>
        <w:rPr>
          <w:rFonts w:ascii="Arial Narrow" w:hAnsi="Arial Narrow"/>
          <w:sz w:val="18"/>
          <w:szCs w:val="22"/>
        </w:rPr>
      </w:pPr>
      <w:r w:rsidRPr="00AF5A00">
        <w:rPr>
          <w:rFonts w:ascii="Arial Narrow" w:hAnsi="Arial Narrow"/>
          <w:sz w:val="18"/>
          <w:szCs w:val="22"/>
        </w:rPr>
        <w:t xml:space="preserve">Source: </w:t>
      </w:r>
      <w:r>
        <w:rPr>
          <w:rFonts w:ascii="Arial Narrow" w:hAnsi="Arial Narrow"/>
          <w:sz w:val="18"/>
          <w:szCs w:val="22"/>
        </w:rPr>
        <w:t>P</w:t>
      </w:r>
      <w:r w:rsidR="00441DF3">
        <w:rPr>
          <w:rFonts w:ascii="Arial Narrow" w:hAnsi="Arial Narrow"/>
          <w:sz w:val="18"/>
          <w:szCs w:val="22"/>
        </w:rPr>
        <w:t>re-PBAC response p3</w:t>
      </w:r>
      <w:r>
        <w:rPr>
          <w:rFonts w:ascii="Arial Narrow" w:hAnsi="Arial Narrow"/>
          <w:sz w:val="18"/>
          <w:szCs w:val="22"/>
        </w:rPr>
        <w:t xml:space="preserve">, </w:t>
      </w:r>
      <w:r w:rsidRPr="003E08E1">
        <w:rPr>
          <w:rFonts w:ascii="Arial Narrow" w:hAnsi="Arial Narrow"/>
          <w:sz w:val="18"/>
          <w:szCs w:val="22"/>
        </w:rPr>
        <w:t>‘Trastuzumab savings’, ‘T-DM1 savings’ and ‘5.Impact – Net’ worksheets in the</w:t>
      </w:r>
      <w:r w:rsidR="00441DF3">
        <w:rPr>
          <w:rFonts w:ascii="Arial Narrow" w:hAnsi="Arial Narrow"/>
          <w:sz w:val="18"/>
          <w:szCs w:val="22"/>
        </w:rPr>
        <w:t xml:space="preserve"> Utilisation and Cost model_ESC</w:t>
      </w:r>
      <w:r w:rsidRPr="003E08E1">
        <w:rPr>
          <w:rFonts w:ascii="Arial Narrow" w:hAnsi="Arial Narrow"/>
          <w:sz w:val="18"/>
          <w:szCs w:val="22"/>
        </w:rPr>
        <w:t>.xls</w:t>
      </w:r>
    </w:p>
    <w:p w:rsidR="00965F45" w:rsidRPr="00AF5A00" w:rsidRDefault="00965F45" w:rsidP="00965F45">
      <w:pPr>
        <w:spacing w:after="120"/>
        <w:contextualSpacing/>
        <w:rPr>
          <w:rFonts w:ascii="Arial Narrow" w:hAnsi="Arial Narrow"/>
          <w:b/>
          <w:sz w:val="20"/>
          <w:szCs w:val="16"/>
        </w:rPr>
      </w:pPr>
      <w:r w:rsidRPr="00AF5A00">
        <w:rPr>
          <w:rFonts w:ascii="Arial Narrow" w:hAnsi="Arial Narrow"/>
          <w:sz w:val="18"/>
          <w:szCs w:val="22"/>
        </w:rPr>
        <w:t>PBS = pharmaceutical benefits schedule; RPBS = repatriation pharmaceutical benefits schedule.</w:t>
      </w:r>
    </w:p>
    <w:p w:rsidR="00965F45" w:rsidRDefault="00965F45" w:rsidP="00E41551">
      <w:pPr>
        <w:spacing w:after="120"/>
        <w:contextualSpacing/>
        <w:rPr>
          <w:rFonts w:ascii="Arial Narrow" w:hAnsi="Arial Narrow"/>
          <w:iCs/>
          <w:snapToGrid w:val="0"/>
          <w:sz w:val="18"/>
          <w:szCs w:val="22"/>
        </w:rPr>
      </w:pPr>
      <w:proofErr w:type="spellStart"/>
      <w:proofErr w:type="gramStart"/>
      <w:r w:rsidRPr="00CD350B">
        <w:rPr>
          <w:rFonts w:ascii="Arial Narrow" w:hAnsi="Arial Narrow"/>
          <w:iCs/>
          <w:sz w:val="18"/>
          <w:szCs w:val="22"/>
          <w:vertAlign w:val="superscript"/>
        </w:rPr>
        <w:t>a</w:t>
      </w:r>
      <w:proofErr w:type="spellEnd"/>
      <w:r w:rsidRPr="00CD350B">
        <w:rPr>
          <w:rFonts w:ascii="Arial Narrow" w:hAnsi="Arial Narrow"/>
          <w:iCs/>
          <w:sz w:val="18"/>
          <w:szCs w:val="22"/>
        </w:rPr>
        <w:t xml:space="preserve"> </w:t>
      </w:r>
      <w:r w:rsidR="002C25CC" w:rsidRPr="002C25CC">
        <w:rPr>
          <w:rFonts w:ascii="Arial Narrow" w:hAnsi="Arial Narrow"/>
          <w:iCs/>
          <w:snapToGrid w:val="0"/>
          <w:sz w:val="18"/>
          <w:szCs w:val="22"/>
        </w:rPr>
        <w:t xml:space="preserve">Annual growth rate revised to 1.75% as per </w:t>
      </w:r>
      <w:r w:rsidR="002C25CC">
        <w:rPr>
          <w:rFonts w:ascii="Arial Narrow" w:hAnsi="Arial Narrow"/>
          <w:iCs/>
          <w:snapToGrid w:val="0"/>
          <w:sz w:val="18"/>
          <w:szCs w:val="22"/>
        </w:rPr>
        <w:t>DUSC advice</w:t>
      </w:r>
      <w:r w:rsidR="002C25CC" w:rsidRPr="002C25CC">
        <w:rPr>
          <w:rFonts w:ascii="Arial Narrow" w:hAnsi="Arial Narrow"/>
          <w:iCs/>
          <w:snapToGrid w:val="0"/>
          <w:sz w:val="18"/>
          <w:szCs w:val="22"/>
        </w:rPr>
        <w:t xml:space="preserve">; Uptake rate increased to 95% </w:t>
      </w:r>
      <w:r w:rsidR="00A421BE">
        <w:rPr>
          <w:rFonts w:ascii="Arial Narrow" w:hAnsi="Arial Narrow"/>
          <w:iCs/>
          <w:snapToGrid w:val="0"/>
          <w:sz w:val="18"/>
          <w:szCs w:val="22"/>
        </w:rPr>
        <w:t>from year 4</w:t>
      </w:r>
      <w:r w:rsidR="002C25CC" w:rsidRPr="002C25CC">
        <w:rPr>
          <w:rFonts w:ascii="Arial Narrow" w:hAnsi="Arial Narrow"/>
          <w:iCs/>
          <w:snapToGrid w:val="0"/>
          <w:sz w:val="18"/>
          <w:szCs w:val="22"/>
        </w:rPr>
        <w:t>; Revised Net cost PBS/RPBS includes trastuzumab and adjuvant T-DM1 cost savings presented in the PSCR revised Utilisation and cost model; downstream mBC costs are incurred in the first two years of listing due to the increased rate of loco-regional recurrences observed in NEOSPHERE.</w:t>
      </w:r>
      <w:proofErr w:type="gramEnd"/>
    </w:p>
    <w:p w:rsidR="00965F45" w:rsidRDefault="00965F45" w:rsidP="00E41551">
      <w:pPr>
        <w:spacing w:after="120"/>
        <w:contextualSpacing/>
        <w:rPr>
          <w:rFonts w:ascii="Arial Narrow" w:hAnsi="Arial Narrow"/>
          <w:iCs/>
          <w:snapToGrid w:val="0"/>
          <w:sz w:val="18"/>
          <w:szCs w:val="22"/>
        </w:rPr>
      </w:pPr>
    </w:p>
    <w:p w:rsidR="00D7035F" w:rsidRPr="00D83339" w:rsidRDefault="00D7035F" w:rsidP="00E41551">
      <w:pPr>
        <w:spacing w:after="120"/>
        <w:contextualSpacing/>
        <w:rPr>
          <w:rFonts w:ascii="Arial Narrow" w:hAnsi="Arial Narrow"/>
          <w:i/>
          <w:iCs/>
          <w:snapToGrid w:val="0"/>
        </w:rPr>
      </w:pPr>
      <w:r w:rsidRPr="00D83339">
        <w:rPr>
          <w:i/>
        </w:rPr>
        <w:t>The redacted table shows that at Year 6, the estimated number of patients was less than 10,000.</w:t>
      </w:r>
    </w:p>
    <w:p w:rsidR="00D7035F" w:rsidRPr="00AE6FCD" w:rsidRDefault="00D7035F" w:rsidP="00E41551">
      <w:pPr>
        <w:spacing w:after="120"/>
        <w:contextualSpacing/>
        <w:rPr>
          <w:rFonts w:ascii="Arial Narrow" w:hAnsi="Arial Narrow"/>
          <w:iCs/>
          <w:snapToGrid w:val="0"/>
          <w:sz w:val="18"/>
          <w:szCs w:val="22"/>
        </w:rPr>
      </w:pPr>
    </w:p>
    <w:p w:rsidR="00E41551" w:rsidRPr="00C059E3" w:rsidRDefault="00E41551" w:rsidP="00E41551">
      <w:pPr>
        <w:numPr>
          <w:ilvl w:val="1"/>
          <w:numId w:val="4"/>
        </w:numPr>
        <w:spacing w:after="120"/>
        <w:rPr>
          <w:rFonts w:asciiTheme="minorHAnsi" w:hAnsiTheme="minorHAnsi"/>
          <w:snapToGrid w:val="0"/>
        </w:rPr>
      </w:pPr>
      <w:r w:rsidRPr="00C059E3">
        <w:rPr>
          <w:rFonts w:asciiTheme="minorHAnsi" w:hAnsiTheme="minorHAnsi"/>
          <w:snapToGrid w:val="0"/>
        </w:rPr>
        <w:t xml:space="preserve">The total cost to the PBS/RPBS of listing pertuzumab </w:t>
      </w:r>
      <w:proofErr w:type="gramStart"/>
      <w:r w:rsidRPr="00C059E3">
        <w:rPr>
          <w:rFonts w:asciiTheme="minorHAnsi" w:hAnsiTheme="minorHAnsi"/>
          <w:snapToGrid w:val="0"/>
        </w:rPr>
        <w:t>was estimated</w:t>
      </w:r>
      <w:proofErr w:type="gramEnd"/>
      <w:r w:rsidRPr="00C059E3">
        <w:rPr>
          <w:rFonts w:asciiTheme="minorHAnsi" w:hAnsiTheme="minorHAnsi"/>
          <w:snapToGrid w:val="0"/>
        </w:rPr>
        <w:t xml:space="preserve"> to be </w:t>
      </w:r>
      <w:r w:rsidR="00D7035F">
        <w:rPr>
          <w:rFonts w:asciiTheme="minorHAnsi" w:hAnsiTheme="minorHAnsi"/>
          <w:snapToGrid w:val="0"/>
        </w:rPr>
        <w:t xml:space="preserve">less than </w:t>
      </w:r>
      <w:r w:rsidRPr="00C059E3">
        <w:rPr>
          <w:rFonts w:asciiTheme="minorHAnsi" w:hAnsiTheme="minorHAnsi"/>
          <w:snapToGrid w:val="0"/>
        </w:rPr>
        <w:t>$</w:t>
      </w:r>
      <w:r w:rsidR="00D7035F">
        <w:rPr>
          <w:rFonts w:asciiTheme="minorHAnsi" w:hAnsiTheme="minorHAnsi"/>
          <w:snapToGrid w:val="0"/>
        </w:rPr>
        <w:t>10</w:t>
      </w:r>
      <w:r w:rsidRPr="00C059E3">
        <w:rPr>
          <w:rFonts w:asciiTheme="minorHAnsi" w:hAnsiTheme="minorHAnsi"/>
          <w:snapToGrid w:val="0"/>
        </w:rPr>
        <w:t xml:space="preserve"> million in Year 6, and a total of $</w:t>
      </w:r>
      <w:r w:rsidR="00D7035F">
        <w:rPr>
          <w:rFonts w:asciiTheme="minorHAnsi" w:hAnsiTheme="minorHAnsi"/>
          <w:snapToGrid w:val="0"/>
        </w:rPr>
        <w:t>60 – $100</w:t>
      </w:r>
      <w:r w:rsidRPr="00C059E3">
        <w:rPr>
          <w:rFonts w:asciiTheme="minorHAnsi" w:hAnsiTheme="minorHAnsi"/>
          <w:snapToGrid w:val="0"/>
        </w:rPr>
        <w:t xml:space="preserve"> million in the first six years of listing</w:t>
      </w:r>
      <w:r w:rsidR="007331F0" w:rsidRPr="00C059E3">
        <w:rPr>
          <w:rFonts w:asciiTheme="minorHAnsi" w:hAnsiTheme="minorHAnsi"/>
          <w:snapToGrid w:val="0"/>
        </w:rPr>
        <w:t xml:space="preserve"> in the revised estimate</w:t>
      </w:r>
      <w:r w:rsidR="00E3489A" w:rsidRPr="00C059E3">
        <w:rPr>
          <w:rFonts w:asciiTheme="minorHAnsi" w:hAnsiTheme="minorHAnsi"/>
          <w:snapToGrid w:val="0"/>
        </w:rPr>
        <w:t>s</w:t>
      </w:r>
      <w:r w:rsidR="007331F0" w:rsidRPr="00C059E3">
        <w:rPr>
          <w:rFonts w:asciiTheme="minorHAnsi" w:hAnsiTheme="minorHAnsi"/>
          <w:snapToGrid w:val="0"/>
        </w:rPr>
        <w:t xml:space="preserve"> from the pre-PBAC response</w:t>
      </w:r>
      <w:r w:rsidRPr="00C059E3">
        <w:rPr>
          <w:rFonts w:asciiTheme="minorHAnsi" w:hAnsiTheme="minorHAnsi"/>
          <w:snapToGrid w:val="0"/>
          <w:color w:val="3366FF"/>
        </w:rPr>
        <w:t xml:space="preserve">. </w:t>
      </w:r>
    </w:p>
    <w:p w:rsidR="00E41551" w:rsidRPr="00C059E3" w:rsidRDefault="00E41551" w:rsidP="001C5C24">
      <w:pPr>
        <w:numPr>
          <w:ilvl w:val="1"/>
          <w:numId w:val="4"/>
        </w:numPr>
        <w:spacing w:after="120"/>
        <w:rPr>
          <w:rFonts w:asciiTheme="minorHAnsi" w:hAnsiTheme="minorHAnsi"/>
          <w:iCs/>
          <w:snapToGrid w:val="0"/>
        </w:rPr>
      </w:pPr>
      <w:r w:rsidRPr="00C059E3">
        <w:rPr>
          <w:rFonts w:asciiTheme="minorHAnsi" w:hAnsiTheme="minorHAnsi"/>
          <w:snapToGrid w:val="0"/>
        </w:rPr>
        <w:t xml:space="preserve">The submission presented a scenario analysis where use of Ptz+T+Chemo resulted in a 17% increase in pCR and corresponding decrease of T-DM1 use in the adjuvant setting. </w:t>
      </w:r>
      <w:r w:rsidRPr="00C059E3">
        <w:rPr>
          <w:rFonts w:asciiTheme="minorHAnsi" w:hAnsiTheme="minorHAnsi"/>
          <w:iCs/>
          <w:snapToGrid w:val="0"/>
        </w:rPr>
        <w:t>Based on T-DM1 financial estimates from the November 2019 PBAC meeting, a PBS listing for neoadjuvant pertuzumab would result in $</w:t>
      </w:r>
      <w:r w:rsidR="00D7035F">
        <w:rPr>
          <w:rFonts w:asciiTheme="minorHAnsi" w:hAnsiTheme="minorHAnsi"/>
          <w:iCs/>
          <w:snapToGrid w:val="0"/>
        </w:rPr>
        <w:t>20 – $30</w:t>
      </w:r>
      <w:r w:rsidRPr="00C059E3">
        <w:rPr>
          <w:rFonts w:asciiTheme="minorHAnsi" w:hAnsiTheme="minorHAnsi"/>
          <w:iCs/>
          <w:snapToGrid w:val="0"/>
        </w:rPr>
        <w:t xml:space="preserve"> million reduction in T</w:t>
      </w:r>
      <w:r w:rsidR="00CE46D1">
        <w:rPr>
          <w:rFonts w:asciiTheme="minorHAnsi" w:hAnsiTheme="minorHAnsi"/>
          <w:iCs/>
          <w:snapToGrid w:val="0"/>
        </w:rPr>
        <w:noBreakHyphen/>
      </w:r>
      <w:r w:rsidRPr="00C059E3">
        <w:rPr>
          <w:rFonts w:asciiTheme="minorHAnsi" w:hAnsiTheme="minorHAnsi"/>
          <w:iCs/>
          <w:snapToGrid w:val="0"/>
        </w:rPr>
        <w:t>DM1 cost over six years. The</w:t>
      </w:r>
      <w:r w:rsidR="00C22E60" w:rsidRPr="00C059E3">
        <w:rPr>
          <w:rFonts w:asciiTheme="minorHAnsi" w:hAnsiTheme="minorHAnsi"/>
          <w:iCs/>
          <w:snapToGrid w:val="0"/>
        </w:rPr>
        <w:t>se</w:t>
      </w:r>
      <w:r w:rsidRPr="00C059E3">
        <w:rPr>
          <w:rFonts w:asciiTheme="minorHAnsi" w:hAnsiTheme="minorHAnsi"/>
          <w:iCs/>
          <w:snapToGrid w:val="0"/>
        </w:rPr>
        <w:t xml:space="preserve"> cost offsets </w:t>
      </w:r>
      <w:r w:rsidR="00C22E60" w:rsidRPr="00C059E3">
        <w:rPr>
          <w:rFonts w:asciiTheme="minorHAnsi" w:hAnsiTheme="minorHAnsi"/>
          <w:iCs/>
          <w:snapToGrid w:val="0"/>
        </w:rPr>
        <w:t>were not included in</w:t>
      </w:r>
      <w:r w:rsidRPr="00C059E3">
        <w:rPr>
          <w:rFonts w:asciiTheme="minorHAnsi" w:hAnsiTheme="minorHAnsi"/>
          <w:iCs/>
          <w:snapToGrid w:val="0"/>
        </w:rPr>
        <w:t xml:space="preserve"> the economic model. </w:t>
      </w:r>
      <w:bookmarkStart w:id="74" w:name="_Toc22897648"/>
      <w:bookmarkStart w:id="75" w:name="_Toc22898860"/>
    </w:p>
    <w:p w:rsidR="00E41551" w:rsidRPr="009950F7" w:rsidRDefault="00E41551" w:rsidP="00DB198E">
      <w:pPr>
        <w:pStyle w:val="ES-SubSection"/>
        <w:keepNext/>
      </w:pPr>
      <w:bookmarkStart w:id="76" w:name="_Toc30594520"/>
      <w:r w:rsidRPr="00C059E3">
        <w:lastRenderedPageBreak/>
        <w:t>Quality Use of Medicines</w:t>
      </w:r>
      <w:bookmarkEnd w:id="74"/>
      <w:bookmarkEnd w:id="75"/>
      <w:bookmarkEnd w:id="76"/>
    </w:p>
    <w:p w:rsidR="00E41551" w:rsidRPr="00E41551" w:rsidRDefault="00E41551" w:rsidP="00DB198E">
      <w:pPr>
        <w:keepNext/>
        <w:numPr>
          <w:ilvl w:val="1"/>
          <w:numId w:val="4"/>
        </w:numPr>
        <w:spacing w:after="120"/>
      </w:pPr>
      <w:r w:rsidRPr="00AF5A00">
        <w:rPr>
          <w:rFonts w:asciiTheme="minorHAnsi" w:hAnsiTheme="minorHAnsi"/>
          <w:snapToGrid w:val="0"/>
        </w:rPr>
        <w:t xml:space="preserve">The submission cited 11 ongoing studies for pertuzumab in </w:t>
      </w:r>
      <w:r w:rsidRPr="00BB2CB3">
        <w:rPr>
          <w:rFonts w:asciiTheme="minorHAnsi" w:hAnsiTheme="minorHAnsi"/>
          <w:snapToGrid w:val="0"/>
        </w:rPr>
        <w:t>early breast cancer</w:t>
      </w:r>
      <w:r w:rsidRPr="00AF5A00">
        <w:rPr>
          <w:rFonts w:asciiTheme="minorHAnsi" w:hAnsiTheme="minorHAnsi"/>
          <w:snapToGrid w:val="0"/>
        </w:rPr>
        <w:t xml:space="preserve">, including one Australian study. The submission claimed these trials </w:t>
      </w:r>
      <w:proofErr w:type="gramStart"/>
      <w:r w:rsidRPr="00AF5A00">
        <w:rPr>
          <w:rFonts w:asciiTheme="minorHAnsi" w:hAnsiTheme="minorHAnsi"/>
          <w:snapToGrid w:val="0"/>
        </w:rPr>
        <w:t>are not expected</w:t>
      </w:r>
      <w:proofErr w:type="gramEnd"/>
      <w:r w:rsidRPr="00AF5A00">
        <w:rPr>
          <w:rFonts w:asciiTheme="minorHAnsi" w:hAnsiTheme="minorHAnsi"/>
          <w:snapToGrid w:val="0"/>
        </w:rPr>
        <w:t xml:space="preserve"> to affect the current registration status or PBS listing of pertuzumab</w:t>
      </w:r>
      <w:r w:rsidR="00554C01">
        <w:rPr>
          <w:rFonts w:asciiTheme="minorHAnsi" w:hAnsiTheme="minorHAnsi"/>
          <w:snapToGrid w:val="0"/>
        </w:rPr>
        <w:t>, but will</w:t>
      </w:r>
      <w:r w:rsidRPr="00AF5A00">
        <w:rPr>
          <w:rFonts w:asciiTheme="minorHAnsi" w:hAnsiTheme="minorHAnsi"/>
          <w:snapToGrid w:val="0"/>
        </w:rPr>
        <w:t xml:space="preserve"> increase the knowledge and confidence of Australian prescribers. </w:t>
      </w:r>
    </w:p>
    <w:p w:rsidR="00872AAD" w:rsidRPr="009950F7" w:rsidRDefault="00872AAD" w:rsidP="00E41551">
      <w:pPr>
        <w:pStyle w:val="ES-SubSection"/>
      </w:pPr>
      <w:r w:rsidRPr="009950F7">
        <w:t>Financial Management – Risk Sharing Arrangements</w:t>
      </w:r>
      <w:bookmarkEnd w:id="71"/>
      <w:bookmarkEnd w:id="72"/>
      <w:bookmarkEnd w:id="73"/>
    </w:p>
    <w:p w:rsidR="006D0E13" w:rsidRPr="006D0E13" w:rsidRDefault="00872AAD" w:rsidP="00E716ED">
      <w:pPr>
        <w:pStyle w:val="3-BodyText"/>
      </w:pPr>
      <w:r w:rsidRPr="00F415D5">
        <w:t xml:space="preserve">The submission sought PBS listing for up to six cycles of pertuzumab based on the TGA indication and results of the TRYPHAENA trial. The submission proposed a risk </w:t>
      </w:r>
      <w:r w:rsidR="005D0636" w:rsidRPr="00F415D5">
        <w:t xml:space="preserve">sharing </w:t>
      </w:r>
      <w:r w:rsidRPr="00F415D5">
        <w:t xml:space="preserve">arrangement </w:t>
      </w:r>
      <w:r w:rsidR="00534B8C">
        <w:t xml:space="preserve">(RSA) </w:t>
      </w:r>
      <w:r w:rsidRPr="00F415D5">
        <w:t xml:space="preserve">in the form of a pertuzumab expenditure cap, whereby the Sponsor would pay for any use of pertuzumab beyond </w:t>
      </w:r>
      <w:r w:rsidRPr="00C80FB0">
        <w:t>four</w:t>
      </w:r>
      <w:r w:rsidRPr="00F415D5">
        <w:t xml:space="preserve"> cycles of treatment. </w:t>
      </w:r>
      <w:r w:rsidRPr="00F415D5">
        <w:rPr>
          <w:iCs/>
        </w:rPr>
        <w:t xml:space="preserve">This </w:t>
      </w:r>
      <w:r w:rsidR="006A26F8">
        <w:rPr>
          <w:iCs/>
        </w:rPr>
        <w:t xml:space="preserve">was to </w:t>
      </w:r>
      <w:r w:rsidRPr="00F415D5">
        <w:rPr>
          <w:iCs/>
        </w:rPr>
        <w:t xml:space="preserve">address the uncertainty regarding the duration of treatment with pertuzumab. However, uncertainty regarding the annual growth rate of </w:t>
      </w:r>
      <w:r w:rsidR="00534B8C">
        <w:rPr>
          <w:iCs/>
        </w:rPr>
        <w:t xml:space="preserve">eBC </w:t>
      </w:r>
      <w:r w:rsidRPr="00F415D5">
        <w:rPr>
          <w:iCs/>
        </w:rPr>
        <w:t xml:space="preserve">and pertuzumab uptake </w:t>
      </w:r>
      <w:proofErr w:type="gramStart"/>
      <w:r w:rsidRPr="00F415D5">
        <w:rPr>
          <w:iCs/>
        </w:rPr>
        <w:t>are not addressed</w:t>
      </w:r>
      <w:proofErr w:type="gramEnd"/>
      <w:r w:rsidRPr="00F415D5">
        <w:rPr>
          <w:iCs/>
        </w:rPr>
        <w:t xml:space="preserve"> by the proposed arrangement. It is also not clear how this </w:t>
      </w:r>
      <w:r w:rsidR="00534B8C">
        <w:rPr>
          <w:iCs/>
        </w:rPr>
        <w:t xml:space="preserve">RSA </w:t>
      </w:r>
      <w:r w:rsidRPr="00F415D5">
        <w:rPr>
          <w:iCs/>
        </w:rPr>
        <w:t xml:space="preserve">would interact with the arrangement currently in place for pertuzumab plus trastuzumab in the metastatic setting. </w:t>
      </w:r>
      <w:bookmarkStart w:id="77" w:name="_Hlk29331556"/>
    </w:p>
    <w:p w:rsidR="006A26F8" w:rsidRPr="006A26F8" w:rsidRDefault="00E716ED" w:rsidP="00E716ED">
      <w:pPr>
        <w:pStyle w:val="3-BodyText"/>
      </w:pPr>
      <w:r w:rsidRPr="00E716ED">
        <w:rPr>
          <w:iCs/>
        </w:rPr>
        <w:t xml:space="preserve">DUSC noted the mean number of pertuzumab cycles in the </w:t>
      </w:r>
      <w:r>
        <w:rPr>
          <w:iCs/>
        </w:rPr>
        <w:t xml:space="preserve">NEOSPHERE </w:t>
      </w:r>
      <w:r w:rsidRPr="00E716ED">
        <w:rPr>
          <w:iCs/>
        </w:rPr>
        <w:t xml:space="preserve">trial was 3.7. DUSC commented that it is likely some patients will not finish four cycles of pertuzumab, and </w:t>
      </w:r>
      <w:r>
        <w:rPr>
          <w:iCs/>
        </w:rPr>
        <w:t xml:space="preserve">that an RSA </w:t>
      </w:r>
      <w:r w:rsidRPr="00E716ED">
        <w:rPr>
          <w:iCs/>
        </w:rPr>
        <w:t xml:space="preserve">may not rebate cycles five and six if some patients receive less than four cycles. DUSC considered the estimate of 4 cycles per patient was an overestimate and considered 3.7 would be a </w:t>
      </w:r>
      <w:r>
        <w:rPr>
          <w:iCs/>
        </w:rPr>
        <w:t xml:space="preserve">more </w:t>
      </w:r>
      <w:r w:rsidRPr="00E716ED">
        <w:rPr>
          <w:iCs/>
        </w:rPr>
        <w:t xml:space="preserve">reasonable estimate. </w:t>
      </w:r>
      <w:r w:rsidR="00484DD8">
        <w:rPr>
          <w:iCs/>
        </w:rPr>
        <w:t xml:space="preserve">The pre-PBAC response maintained that it was appropriate to assume 4 cycles, </w:t>
      </w:r>
      <w:r w:rsidR="00C059E3">
        <w:rPr>
          <w:iCs/>
        </w:rPr>
        <w:t xml:space="preserve">as patients in the </w:t>
      </w:r>
      <w:r w:rsidR="00484DD8">
        <w:rPr>
          <w:iCs/>
        </w:rPr>
        <w:t>NEOSPHERE trial</w:t>
      </w:r>
      <w:r w:rsidR="00C059E3">
        <w:rPr>
          <w:iCs/>
        </w:rPr>
        <w:t xml:space="preserve"> could receive 4 cycle</w:t>
      </w:r>
      <w:r w:rsidR="00CE46D1">
        <w:rPr>
          <w:iCs/>
        </w:rPr>
        <w:t>s</w:t>
      </w:r>
      <w:r w:rsidR="00C059E3">
        <w:rPr>
          <w:iCs/>
        </w:rPr>
        <w:t xml:space="preserve"> prior to surgery</w:t>
      </w:r>
      <w:r w:rsidR="00484DD8">
        <w:rPr>
          <w:iCs/>
        </w:rPr>
        <w:t xml:space="preserve">. </w:t>
      </w:r>
      <w:r w:rsidR="00C00744">
        <w:rPr>
          <w:iCs/>
        </w:rPr>
        <w:t xml:space="preserve">The ESC questioned </w:t>
      </w:r>
      <w:r w:rsidR="00872AAD" w:rsidRPr="00F415D5">
        <w:rPr>
          <w:iCs/>
        </w:rPr>
        <w:t xml:space="preserve">whether the </w:t>
      </w:r>
      <w:r w:rsidR="0034420A">
        <w:rPr>
          <w:iCs/>
        </w:rPr>
        <w:t xml:space="preserve">number of </w:t>
      </w:r>
      <w:r w:rsidR="00872AAD" w:rsidRPr="00F415D5">
        <w:rPr>
          <w:iCs/>
        </w:rPr>
        <w:t>cycles of pertuzumab reimbursed in the neoadjuvant setting should be in addition to or included with the cycles currently reimbursed in the metastatic setting.</w:t>
      </w:r>
      <w:bookmarkEnd w:id="77"/>
      <w:r w:rsidR="00687610">
        <w:rPr>
          <w:iCs/>
        </w:rPr>
        <w:t xml:space="preserve"> </w:t>
      </w:r>
    </w:p>
    <w:p w:rsidR="00331BFF" w:rsidRPr="00140FC0" w:rsidRDefault="00331BFF" w:rsidP="000B72F0">
      <w:pPr>
        <w:pStyle w:val="3-BodyText"/>
      </w:pPr>
      <w:r w:rsidRPr="00140FC0">
        <w:t xml:space="preserve">The ESC noted that there are caps in place for T-DM1 and pertuzumab in the metastatic setting. The cost-effectiveness analysis assumed cost offsets for reduced use of T-DM1 and pertuzumab in the </w:t>
      </w:r>
      <w:r w:rsidR="000B72F0" w:rsidRPr="00140FC0">
        <w:t xml:space="preserve">metastatic breast cancer </w:t>
      </w:r>
      <w:r w:rsidRPr="00140FC0">
        <w:t xml:space="preserve">setting due to fewer patients progressing to metastatic disease. To ensure the modelled cost-offsets are realised, the ESC considered that it </w:t>
      </w:r>
      <w:proofErr w:type="gramStart"/>
      <w:r w:rsidRPr="00140FC0">
        <w:t>may</w:t>
      </w:r>
      <w:proofErr w:type="gramEnd"/>
      <w:r w:rsidRPr="00140FC0">
        <w:t xml:space="preserve"> be appropriate to reduce the T-DM1 and pertuzumab expenditure caps in the </w:t>
      </w:r>
      <w:r w:rsidR="000B72F0" w:rsidRPr="00140FC0">
        <w:t xml:space="preserve">metastatic breast cancer </w:t>
      </w:r>
      <w:r w:rsidRPr="00140FC0">
        <w:t xml:space="preserve">setting in line with </w:t>
      </w:r>
      <w:r w:rsidRPr="00140FC0">
        <w:rPr>
          <w:iCs/>
        </w:rPr>
        <w:t>the assumptions and outputs from the economic model for subsequent treatments.</w:t>
      </w:r>
    </w:p>
    <w:p w:rsidR="00336E2E" w:rsidRPr="00140FC0" w:rsidRDefault="00336E2E" w:rsidP="000B72F0">
      <w:pPr>
        <w:pStyle w:val="3-BodyText"/>
      </w:pPr>
      <w:r w:rsidRPr="00140FC0">
        <w:rPr>
          <w:iCs/>
        </w:rPr>
        <w:t xml:space="preserve">As outlined in the ‘economic analysis’ section, the ESC considered that the impact of pertuzumab on reducing downstream use of T-DM1 in the adjuvant setting should be incorporated in the economic model. In line with this, the ESC considered that the cost-offsets from reduced use of T-DM1 </w:t>
      </w:r>
      <w:proofErr w:type="gramStart"/>
      <w:r w:rsidRPr="00140FC0">
        <w:rPr>
          <w:iCs/>
        </w:rPr>
        <w:t>may</w:t>
      </w:r>
      <w:proofErr w:type="gramEnd"/>
      <w:r w:rsidRPr="00140FC0">
        <w:rPr>
          <w:iCs/>
        </w:rPr>
        <w:t xml:space="preserve"> also need to be incorporated into any expenditure caps that may apply to T-DM1 in the adjuvant setting.</w:t>
      </w:r>
    </w:p>
    <w:p w:rsidR="00D30567" w:rsidRDefault="00D30567" w:rsidP="00DB198E">
      <w:pPr>
        <w:pStyle w:val="BodyText"/>
        <w:ind w:firstLine="720"/>
        <w:rPr>
          <w:rFonts w:asciiTheme="minorHAnsi" w:hAnsiTheme="minorHAnsi"/>
          <w:i/>
        </w:rPr>
      </w:pPr>
      <w:bookmarkStart w:id="78" w:name="_Toc22898863"/>
      <w:r w:rsidRPr="00525B39">
        <w:rPr>
          <w:rFonts w:asciiTheme="minorHAnsi" w:hAnsiTheme="minorHAnsi"/>
          <w:i/>
        </w:rPr>
        <w:t>For more detail on PBAC’s view, see section 7 PBAC outcome.</w:t>
      </w:r>
    </w:p>
    <w:p w:rsidR="003F385F" w:rsidRPr="00D52702" w:rsidRDefault="003F385F" w:rsidP="003F385F">
      <w:pPr>
        <w:pStyle w:val="ES-Section"/>
        <w:keepLines/>
        <w:numPr>
          <w:ilvl w:val="0"/>
          <w:numId w:val="4"/>
        </w:numPr>
        <w:rPr>
          <w:b w:val="0"/>
          <w:bCs/>
        </w:rPr>
      </w:pPr>
      <w:r w:rsidRPr="00D52702">
        <w:rPr>
          <w:bCs/>
        </w:rPr>
        <w:lastRenderedPageBreak/>
        <w:t xml:space="preserve">PBAC </w:t>
      </w:r>
      <w:r w:rsidRPr="003F385F">
        <w:t>Outcome</w:t>
      </w:r>
    </w:p>
    <w:p w:rsidR="0038314C" w:rsidRPr="00284F71" w:rsidRDefault="003F385F" w:rsidP="008B70BB">
      <w:pPr>
        <w:pStyle w:val="3-BodyText"/>
        <w:rPr>
          <w:bCs/>
          <w:lang w:val="en-GB"/>
        </w:rPr>
      </w:pPr>
      <w:r w:rsidRPr="0044401F">
        <w:rPr>
          <w:bCs/>
          <w:lang w:val="en-GB"/>
        </w:rPr>
        <w:t xml:space="preserve">The </w:t>
      </w:r>
      <w:r w:rsidRPr="008746E9">
        <w:rPr>
          <w:bCs/>
          <w:lang w:val="en-GB"/>
        </w:rPr>
        <w:t>PBAC did not recommend</w:t>
      </w:r>
      <w:r w:rsidR="00F679CF">
        <w:rPr>
          <w:bCs/>
          <w:lang w:val="en-GB"/>
        </w:rPr>
        <w:t xml:space="preserve"> pertuzumab</w:t>
      </w:r>
      <w:r w:rsidR="00F006C8">
        <w:rPr>
          <w:bCs/>
          <w:lang w:val="en-GB"/>
        </w:rPr>
        <w:t xml:space="preserve">, in combination with </w:t>
      </w:r>
      <w:proofErr w:type="spellStart"/>
      <w:r w:rsidR="00F006C8">
        <w:rPr>
          <w:bCs/>
          <w:lang w:val="en-GB"/>
        </w:rPr>
        <w:t>trastuzumab</w:t>
      </w:r>
      <w:proofErr w:type="spellEnd"/>
      <w:r w:rsidR="00F006C8">
        <w:rPr>
          <w:bCs/>
          <w:lang w:val="en-GB"/>
        </w:rPr>
        <w:t xml:space="preserve"> and chemotherapy</w:t>
      </w:r>
      <w:r w:rsidR="0015200C">
        <w:rPr>
          <w:bCs/>
          <w:lang w:val="en-GB"/>
        </w:rPr>
        <w:t>,</w:t>
      </w:r>
      <w:r w:rsidR="00F006C8">
        <w:rPr>
          <w:bCs/>
          <w:lang w:val="en-GB"/>
        </w:rPr>
        <w:t xml:space="preserve"> </w:t>
      </w:r>
      <w:r w:rsidR="00F679CF" w:rsidRPr="00F679CF">
        <w:rPr>
          <w:bCs/>
          <w:lang w:val="en-GB"/>
        </w:rPr>
        <w:t>for the neoadjuvant treatment of HER-2</w:t>
      </w:r>
      <w:r w:rsidR="00F006C8">
        <w:rPr>
          <w:bCs/>
          <w:lang w:val="en-GB"/>
        </w:rPr>
        <w:t xml:space="preserve">+ </w:t>
      </w:r>
      <w:r w:rsidR="00F006C8">
        <w:t xml:space="preserve">locally </w:t>
      </w:r>
      <w:proofErr w:type="gramStart"/>
      <w:r w:rsidR="00F006C8">
        <w:t>advanced,</w:t>
      </w:r>
      <w:proofErr w:type="gramEnd"/>
      <w:r w:rsidR="00F006C8">
        <w:t xml:space="preserve"> inflammatory </w:t>
      </w:r>
      <w:r w:rsidR="00484DD8">
        <w:t xml:space="preserve">or </w:t>
      </w:r>
      <w:r w:rsidR="00F006C8">
        <w:rPr>
          <w:bCs/>
          <w:lang w:val="en-GB"/>
        </w:rPr>
        <w:t>e</w:t>
      </w:r>
      <w:r w:rsidR="008A783E">
        <w:rPr>
          <w:bCs/>
          <w:lang w:val="en-GB"/>
        </w:rPr>
        <w:t xml:space="preserve">arly </w:t>
      </w:r>
      <w:r w:rsidR="00484DD8">
        <w:rPr>
          <w:bCs/>
          <w:lang w:val="en-GB"/>
        </w:rPr>
        <w:t xml:space="preserve">stage </w:t>
      </w:r>
      <w:r w:rsidR="00484DD8">
        <w:t>(</w:t>
      </w:r>
      <w:r w:rsidR="00484DD8">
        <w:rPr>
          <w:rFonts w:cstheme="minorHAnsi"/>
        </w:rPr>
        <w:t>≥</w:t>
      </w:r>
      <w:r w:rsidR="00484DD8">
        <w:t xml:space="preserve">2 cm in diameter or node positive) </w:t>
      </w:r>
      <w:r w:rsidR="008A783E">
        <w:rPr>
          <w:bCs/>
          <w:lang w:val="en-GB"/>
        </w:rPr>
        <w:t>breast cancer</w:t>
      </w:r>
      <w:r w:rsidR="00F679CF" w:rsidRPr="00F679CF">
        <w:rPr>
          <w:bCs/>
          <w:lang w:val="en-GB"/>
        </w:rPr>
        <w:t xml:space="preserve">. The PBAC considered that </w:t>
      </w:r>
      <w:r w:rsidR="00CE46D1">
        <w:rPr>
          <w:bCs/>
          <w:lang w:val="en-GB"/>
        </w:rPr>
        <w:t xml:space="preserve">there was no evidence that neoadjuvant pertuzumab would </w:t>
      </w:r>
      <w:r w:rsidR="00337688">
        <w:rPr>
          <w:bCs/>
          <w:lang w:val="en-GB"/>
        </w:rPr>
        <w:t xml:space="preserve">improve patient outcomes </w:t>
      </w:r>
      <w:r w:rsidR="00CE46D1">
        <w:rPr>
          <w:bCs/>
          <w:lang w:val="en-GB"/>
        </w:rPr>
        <w:t>if it were</w:t>
      </w:r>
      <w:r w:rsidR="00350FB1">
        <w:rPr>
          <w:bCs/>
          <w:lang w:val="en-GB"/>
        </w:rPr>
        <w:t xml:space="preserve"> added </w:t>
      </w:r>
      <w:r w:rsidR="00337688">
        <w:rPr>
          <w:bCs/>
          <w:lang w:val="en-GB"/>
        </w:rPr>
        <w:t xml:space="preserve">to the current clinical </w:t>
      </w:r>
      <w:proofErr w:type="gramStart"/>
      <w:r w:rsidR="00337688">
        <w:rPr>
          <w:bCs/>
          <w:lang w:val="en-GB"/>
        </w:rPr>
        <w:t xml:space="preserve">algorithm which includes </w:t>
      </w:r>
      <w:r w:rsidR="0095387B">
        <w:rPr>
          <w:lang w:val="en-GB"/>
        </w:rPr>
        <w:t>standard chemotherapy in the neoadjuvant setting</w:t>
      </w:r>
      <w:proofErr w:type="gramEnd"/>
      <w:r w:rsidR="0095387B">
        <w:rPr>
          <w:lang w:val="en-GB"/>
        </w:rPr>
        <w:t xml:space="preserve"> and for patients who do not achieve a </w:t>
      </w:r>
      <w:proofErr w:type="spellStart"/>
      <w:r w:rsidR="0095387B">
        <w:rPr>
          <w:lang w:val="en-GB"/>
        </w:rPr>
        <w:t>tpCR</w:t>
      </w:r>
      <w:proofErr w:type="spellEnd"/>
      <w:r w:rsidR="0095387B">
        <w:rPr>
          <w:lang w:val="en-GB"/>
        </w:rPr>
        <w:t>,</w:t>
      </w:r>
      <w:r w:rsidR="0095387B" w:rsidDel="005B0C43">
        <w:rPr>
          <w:bCs/>
          <w:lang w:val="en-GB"/>
        </w:rPr>
        <w:t xml:space="preserve"> </w:t>
      </w:r>
      <w:proofErr w:type="spellStart"/>
      <w:r w:rsidR="00337688">
        <w:rPr>
          <w:bCs/>
          <w:lang w:val="en-GB"/>
        </w:rPr>
        <w:t>tra</w:t>
      </w:r>
      <w:r w:rsidR="0015200C">
        <w:rPr>
          <w:bCs/>
          <w:lang w:val="en-GB"/>
        </w:rPr>
        <w:t>s</w:t>
      </w:r>
      <w:r w:rsidR="00337688">
        <w:rPr>
          <w:bCs/>
          <w:lang w:val="en-GB"/>
        </w:rPr>
        <w:t>tuzumab</w:t>
      </w:r>
      <w:proofErr w:type="spellEnd"/>
      <w:r w:rsidR="00337688">
        <w:rPr>
          <w:bCs/>
          <w:lang w:val="en-GB"/>
        </w:rPr>
        <w:t xml:space="preserve"> </w:t>
      </w:r>
      <w:proofErr w:type="spellStart"/>
      <w:r w:rsidR="00337688">
        <w:rPr>
          <w:bCs/>
          <w:lang w:val="en-GB"/>
        </w:rPr>
        <w:t>emtansine</w:t>
      </w:r>
      <w:proofErr w:type="spellEnd"/>
      <w:r w:rsidR="00337688">
        <w:rPr>
          <w:bCs/>
          <w:lang w:val="en-GB"/>
        </w:rPr>
        <w:t xml:space="preserve"> (T</w:t>
      </w:r>
      <w:r w:rsidR="00CE46D1">
        <w:rPr>
          <w:bCs/>
          <w:lang w:val="en-GB"/>
        </w:rPr>
        <w:noBreakHyphen/>
      </w:r>
      <w:r w:rsidR="00337688">
        <w:rPr>
          <w:bCs/>
          <w:lang w:val="en-GB"/>
        </w:rPr>
        <w:t>DM1)</w:t>
      </w:r>
      <w:r w:rsidR="00BD11C7">
        <w:rPr>
          <w:bCs/>
          <w:lang w:val="en-GB"/>
        </w:rPr>
        <w:t xml:space="preserve"> in the adjuvant setting</w:t>
      </w:r>
      <w:r w:rsidR="00337688">
        <w:rPr>
          <w:bCs/>
          <w:lang w:val="en-GB"/>
        </w:rPr>
        <w:t xml:space="preserve">. </w:t>
      </w:r>
      <w:r w:rsidR="00F679CF" w:rsidRPr="00F679CF">
        <w:rPr>
          <w:bCs/>
          <w:lang w:val="en-GB"/>
        </w:rPr>
        <w:t xml:space="preserve">Given the </w:t>
      </w:r>
      <w:r w:rsidR="00791425">
        <w:rPr>
          <w:bCs/>
          <w:lang w:val="en-GB"/>
        </w:rPr>
        <w:t>uncertain</w:t>
      </w:r>
      <w:r w:rsidR="00F679CF" w:rsidRPr="00F679CF">
        <w:rPr>
          <w:bCs/>
          <w:lang w:val="en-GB"/>
        </w:rPr>
        <w:t xml:space="preserve"> clinical effectiveness, the PBAC considered </w:t>
      </w:r>
      <w:r w:rsidR="00F679CF" w:rsidRPr="00C61E92">
        <w:rPr>
          <w:bCs/>
          <w:lang w:val="en-GB"/>
        </w:rPr>
        <w:t xml:space="preserve">that the cost-effectiveness of </w:t>
      </w:r>
      <w:r w:rsidR="00791425">
        <w:rPr>
          <w:bCs/>
          <w:lang w:val="en-GB"/>
        </w:rPr>
        <w:t xml:space="preserve">adding </w:t>
      </w:r>
      <w:r w:rsidR="00F679CF" w:rsidRPr="00C61E92">
        <w:rPr>
          <w:bCs/>
          <w:lang w:val="en-GB"/>
        </w:rPr>
        <w:t xml:space="preserve">pertuzumab </w:t>
      </w:r>
      <w:r w:rsidR="00791425">
        <w:rPr>
          <w:bCs/>
          <w:lang w:val="en-GB"/>
        </w:rPr>
        <w:t>to</w:t>
      </w:r>
      <w:r w:rsidR="00791425" w:rsidRPr="00C61E92">
        <w:rPr>
          <w:bCs/>
          <w:lang w:val="en-GB"/>
        </w:rPr>
        <w:t xml:space="preserve"> </w:t>
      </w:r>
      <w:r w:rsidR="00F679CF" w:rsidRPr="00C61E92">
        <w:rPr>
          <w:bCs/>
          <w:lang w:val="en-GB"/>
        </w:rPr>
        <w:t xml:space="preserve">current therapy </w:t>
      </w:r>
      <w:proofErr w:type="gramStart"/>
      <w:r w:rsidR="00F679CF" w:rsidRPr="00C61E92">
        <w:rPr>
          <w:bCs/>
          <w:lang w:val="en-GB"/>
        </w:rPr>
        <w:t>was not able to</w:t>
      </w:r>
      <w:proofErr w:type="gramEnd"/>
      <w:r w:rsidR="00F679CF" w:rsidRPr="00C61E92">
        <w:rPr>
          <w:bCs/>
          <w:lang w:val="en-GB"/>
        </w:rPr>
        <w:t xml:space="preserve"> be </w:t>
      </w:r>
      <w:r w:rsidR="00337688">
        <w:rPr>
          <w:bCs/>
          <w:lang w:val="en-GB"/>
        </w:rPr>
        <w:t>assessed</w:t>
      </w:r>
      <w:r w:rsidR="00F679CF" w:rsidRPr="00C61E92">
        <w:rPr>
          <w:bCs/>
          <w:lang w:val="en-GB"/>
        </w:rPr>
        <w:t>.</w:t>
      </w:r>
    </w:p>
    <w:p w:rsidR="001F43F9" w:rsidRDefault="00A82AED" w:rsidP="001C3C8E">
      <w:pPr>
        <w:pStyle w:val="3-BodyText"/>
      </w:pPr>
      <w:r w:rsidRPr="001F43F9">
        <w:rPr>
          <w:bCs/>
          <w:lang w:val="en-GB"/>
        </w:rPr>
        <w:t xml:space="preserve">The PBAC noted the nominated comparator for pertuzumab + </w:t>
      </w:r>
      <w:proofErr w:type="spellStart"/>
      <w:r w:rsidRPr="001F43F9">
        <w:rPr>
          <w:bCs/>
          <w:lang w:val="en-GB"/>
        </w:rPr>
        <w:t>trastuzumab</w:t>
      </w:r>
      <w:proofErr w:type="spellEnd"/>
      <w:r w:rsidRPr="001F43F9">
        <w:rPr>
          <w:bCs/>
          <w:lang w:val="en-GB"/>
        </w:rPr>
        <w:t xml:space="preserve"> + chemotherapy</w:t>
      </w:r>
      <w:r w:rsidR="001F43F9" w:rsidRPr="001F43F9">
        <w:rPr>
          <w:bCs/>
          <w:lang w:val="en-GB"/>
        </w:rPr>
        <w:t xml:space="preserve"> (</w:t>
      </w:r>
      <w:proofErr w:type="spellStart"/>
      <w:r w:rsidR="001F43F9" w:rsidRPr="001F43F9">
        <w:rPr>
          <w:bCs/>
          <w:lang w:val="en-GB"/>
        </w:rPr>
        <w:t>P+T+Chemo</w:t>
      </w:r>
      <w:proofErr w:type="spellEnd"/>
      <w:r w:rsidR="001F43F9" w:rsidRPr="001F43F9">
        <w:rPr>
          <w:bCs/>
          <w:lang w:val="en-GB"/>
        </w:rPr>
        <w:t>)</w:t>
      </w:r>
      <w:r w:rsidRPr="001F43F9">
        <w:rPr>
          <w:bCs/>
          <w:lang w:val="en-GB"/>
        </w:rPr>
        <w:t xml:space="preserve"> was </w:t>
      </w:r>
      <w:proofErr w:type="spellStart"/>
      <w:r w:rsidRPr="001F43F9">
        <w:rPr>
          <w:bCs/>
          <w:lang w:val="en-GB"/>
        </w:rPr>
        <w:t>trastuzumab</w:t>
      </w:r>
      <w:proofErr w:type="spellEnd"/>
      <w:r w:rsidRPr="001F43F9">
        <w:rPr>
          <w:bCs/>
          <w:lang w:val="en-GB"/>
        </w:rPr>
        <w:t xml:space="preserve"> + chemotherapy</w:t>
      </w:r>
      <w:r w:rsidR="001F43F9" w:rsidRPr="001F43F9">
        <w:rPr>
          <w:bCs/>
          <w:lang w:val="en-GB"/>
        </w:rPr>
        <w:t xml:space="preserve"> (T+Chemo)</w:t>
      </w:r>
      <w:r w:rsidRPr="001F43F9">
        <w:rPr>
          <w:bCs/>
          <w:lang w:val="en-GB"/>
        </w:rPr>
        <w:t xml:space="preserve">. The PBAC recalled its previous </w:t>
      </w:r>
      <w:r w:rsidR="001E220C">
        <w:rPr>
          <w:bCs/>
          <w:lang w:val="en-GB"/>
        </w:rPr>
        <w:t>advice</w:t>
      </w:r>
      <w:r w:rsidRPr="001F43F9">
        <w:rPr>
          <w:bCs/>
          <w:lang w:val="en-GB"/>
        </w:rPr>
        <w:t xml:space="preserve"> that any future submissions for therapies for HER2+ </w:t>
      </w:r>
      <w:proofErr w:type="spellStart"/>
      <w:r w:rsidRPr="001F43F9">
        <w:rPr>
          <w:bCs/>
          <w:lang w:val="en-GB"/>
        </w:rPr>
        <w:t>eBC</w:t>
      </w:r>
      <w:proofErr w:type="spellEnd"/>
      <w:r w:rsidRPr="001F43F9">
        <w:rPr>
          <w:bCs/>
          <w:lang w:val="en-GB"/>
        </w:rPr>
        <w:t xml:space="preserve"> would need to account for the availability and efficacy of T-DM1 and demonstrate benefit in a treatment algorithm that includes T-DM1 (para 7.3, </w:t>
      </w:r>
      <w:proofErr w:type="spellStart"/>
      <w:r w:rsidRPr="001F43F9">
        <w:rPr>
          <w:bCs/>
          <w:lang w:val="en-GB"/>
        </w:rPr>
        <w:t>trastuzumab</w:t>
      </w:r>
      <w:proofErr w:type="spellEnd"/>
      <w:r w:rsidRPr="001F43F9">
        <w:rPr>
          <w:bCs/>
          <w:lang w:val="en-GB"/>
        </w:rPr>
        <w:t xml:space="preserve"> </w:t>
      </w:r>
      <w:proofErr w:type="spellStart"/>
      <w:r w:rsidRPr="001F43F9">
        <w:rPr>
          <w:bCs/>
          <w:lang w:val="en-GB"/>
        </w:rPr>
        <w:t>emtansine</w:t>
      </w:r>
      <w:proofErr w:type="spellEnd"/>
      <w:r w:rsidRPr="001F43F9">
        <w:rPr>
          <w:bCs/>
          <w:lang w:val="en-GB"/>
        </w:rPr>
        <w:t xml:space="preserve">, Public Summary Document, November 2019). </w:t>
      </w:r>
      <w:r w:rsidR="001F43F9" w:rsidRPr="001F43F9">
        <w:rPr>
          <w:bCs/>
          <w:lang w:val="en-GB"/>
        </w:rPr>
        <w:t xml:space="preserve">Consistent with this, the </w:t>
      </w:r>
      <w:r w:rsidR="001F43F9">
        <w:rPr>
          <w:bCs/>
          <w:lang w:val="en-GB"/>
        </w:rPr>
        <w:t xml:space="preserve">PBAC agreed with </w:t>
      </w:r>
      <w:r w:rsidR="001E220C">
        <w:rPr>
          <w:bCs/>
          <w:lang w:val="en-GB"/>
        </w:rPr>
        <w:t xml:space="preserve">the </w:t>
      </w:r>
      <w:r w:rsidR="001F43F9" w:rsidRPr="001F43F9">
        <w:rPr>
          <w:bCs/>
          <w:lang w:val="en-GB"/>
        </w:rPr>
        <w:t xml:space="preserve">ESC </w:t>
      </w:r>
      <w:r w:rsidR="00297FA3">
        <w:rPr>
          <w:bCs/>
          <w:lang w:val="en-GB"/>
        </w:rPr>
        <w:t>that</w:t>
      </w:r>
      <w:r w:rsidR="001F43F9" w:rsidRPr="001F43F9">
        <w:rPr>
          <w:bCs/>
          <w:lang w:val="en-GB"/>
        </w:rPr>
        <w:t xml:space="preserve"> the relevant comparison was sequential pertuzumab and T-DM1 (</w:t>
      </w:r>
      <w:proofErr w:type="spellStart"/>
      <w:r w:rsidR="001F43F9" w:rsidRPr="001F43F9">
        <w:rPr>
          <w:bCs/>
          <w:lang w:val="en-GB"/>
        </w:rPr>
        <w:t>P+T+Chemo</w:t>
      </w:r>
      <w:proofErr w:type="spellEnd"/>
      <w:r w:rsidR="001F43F9" w:rsidRPr="001F43F9">
        <w:rPr>
          <w:bCs/>
          <w:lang w:val="en-GB"/>
        </w:rPr>
        <w:t xml:space="preserve"> followed by T-DM1 in the adjuvant setting for patients without pCR) compared with T-DM1 (T+Chemo followed by T-DM1 in the adjuvant setting for patients without pCR). </w:t>
      </w:r>
    </w:p>
    <w:p w:rsidR="000A1187" w:rsidRPr="000A1187" w:rsidRDefault="009A5552" w:rsidP="009A5552">
      <w:pPr>
        <w:pStyle w:val="3-BodyText"/>
      </w:pPr>
      <w:r w:rsidRPr="001837D4">
        <w:rPr>
          <w:lang w:val="en-GB"/>
        </w:rPr>
        <w:t xml:space="preserve">The PBAC </w:t>
      </w:r>
      <w:r>
        <w:rPr>
          <w:lang w:val="en-GB"/>
        </w:rPr>
        <w:t>noted that the primary evidence</w:t>
      </w:r>
      <w:r w:rsidR="000A1187">
        <w:rPr>
          <w:lang w:val="en-GB"/>
        </w:rPr>
        <w:t xml:space="preserve"> included in the submission</w:t>
      </w:r>
      <w:r>
        <w:rPr>
          <w:lang w:val="en-GB"/>
        </w:rPr>
        <w:t xml:space="preserve"> </w:t>
      </w:r>
      <w:r w:rsidR="001E220C">
        <w:rPr>
          <w:lang w:val="en-GB"/>
        </w:rPr>
        <w:t xml:space="preserve">compared </w:t>
      </w:r>
      <w:r w:rsidR="000A1187">
        <w:rPr>
          <w:lang w:val="en-US"/>
        </w:rPr>
        <w:t xml:space="preserve">four cycles of </w:t>
      </w:r>
      <w:r w:rsidR="00350FB1">
        <w:rPr>
          <w:lang w:val="en-US"/>
        </w:rPr>
        <w:t>pertuzumab, trastuzumab and docetaxel (</w:t>
      </w:r>
      <w:r w:rsidR="008B70BB">
        <w:rPr>
          <w:lang w:val="en-US"/>
        </w:rPr>
        <w:t>Ptz+T+D</w:t>
      </w:r>
      <w:r w:rsidR="00350FB1">
        <w:rPr>
          <w:lang w:val="en-US"/>
        </w:rPr>
        <w:t xml:space="preserve">; </w:t>
      </w:r>
      <w:r w:rsidR="008B70BB">
        <w:rPr>
          <w:lang w:val="en-US"/>
        </w:rPr>
        <w:t xml:space="preserve">N=107) </w:t>
      </w:r>
      <w:r w:rsidR="001E220C">
        <w:rPr>
          <w:lang w:val="en-US"/>
        </w:rPr>
        <w:t>and</w:t>
      </w:r>
      <w:r w:rsidR="008B70BB">
        <w:rPr>
          <w:lang w:val="en-US"/>
        </w:rPr>
        <w:t xml:space="preserve"> T+D (N=107) </w:t>
      </w:r>
      <w:r w:rsidR="001E220C">
        <w:rPr>
          <w:lang w:val="en-US"/>
        </w:rPr>
        <w:t>as</w:t>
      </w:r>
      <w:r w:rsidR="008B70BB">
        <w:rPr>
          <w:lang w:val="en-US"/>
        </w:rPr>
        <w:t xml:space="preserve"> neoadjuvant </w:t>
      </w:r>
      <w:r w:rsidR="001E220C">
        <w:rPr>
          <w:lang w:val="en-US"/>
        </w:rPr>
        <w:t>treatment</w:t>
      </w:r>
      <w:r w:rsidR="008B70BB" w:rsidDel="008B70BB">
        <w:rPr>
          <w:lang w:val="en-GB"/>
        </w:rPr>
        <w:t xml:space="preserve"> </w:t>
      </w:r>
      <w:r w:rsidR="001E220C">
        <w:rPr>
          <w:lang w:val="en-GB"/>
        </w:rPr>
        <w:t>in a</w:t>
      </w:r>
      <w:r w:rsidR="0035464E">
        <w:rPr>
          <w:lang w:val="en-US"/>
        </w:rPr>
        <w:t xml:space="preserve"> </w:t>
      </w:r>
      <w:r>
        <w:rPr>
          <w:lang w:val="en-US"/>
        </w:rPr>
        <w:t>Phase II, open label, randomised trial in treatment-naïve women with HER2-positive breast cancer</w:t>
      </w:r>
      <w:r w:rsidR="0035464E">
        <w:rPr>
          <w:lang w:val="en-US"/>
        </w:rPr>
        <w:t xml:space="preserve"> (NEOSPHERE)</w:t>
      </w:r>
      <w:r>
        <w:rPr>
          <w:lang w:val="en-US"/>
        </w:rPr>
        <w:t xml:space="preserve">. </w:t>
      </w:r>
      <w:r w:rsidR="00A82AED">
        <w:rPr>
          <w:lang w:val="en-US"/>
        </w:rPr>
        <w:t xml:space="preserve">The PBAC noted </w:t>
      </w:r>
      <w:r w:rsidR="00D91589">
        <w:rPr>
          <w:lang w:val="en-US"/>
        </w:rPr>
        <w:t xml:space="preserve">that </w:t>
      </w:r>
      <w:r w:rsidR="000A1187">
        <w:rPr>
          <w:lang w:val="en-US"/>
        </w:rPr>
        <w:t xml:space="preserve">a Phase III </w:t>
      </w:r>
      <w:r w:rsidR="00D91589">
        <w:rPr>
          <w:lang w:val="en-US"/>
        </w:rPr>
        <w:t xml:space="preserve">double-blind </w:t>
      </w:r>
      <w:r w:rsidR="000A1187">
        <w:rPr>
          <w:lang w:val="en-US"/>
        </w:rPr>
        <w:t>study</w:t>
      </w:r>
      <w:r w:rsidR="00D91589">
        <w:rPr>
          <w:lang w:val="en-US"/>
        </w:rPr>
        <w:t xml:space="preserve"> was identified</w:t>
      </w:r>
      <w:r w:rsidR="000A1187">
        <w:rPr>
          <w:lang w:val="en-US"/>
        </w:rPr>
        <w:t xml:space="preserve"> </w:t>
      </w:r>
      <w:r w:rsidR="00D91589">
        <w:rPr>
          <w:lang w:val="en-US"/>
        </w:rPr>
        <w:t xml:space="preserve">during the evaluation which </w:t>
      </w:r>
      <w:r w:rsidR="000A1187">
        <w:rPr>
          <w:lang w:val="en-US"/>
        </w:rPr>
        <w:t>compar</w:t>
      </w:r>
      <w:r w:rsidR="00D91589">
        <w:rPr>
          <w:lang w:val="en-US"/>
        </w:rPr>
        <w:t>ed</w:t>
      </w:r>
      <w:r w:rsidR="000A1187">
        <w:rPr>
          <w:lang w:val="en-US"/>
        </w:rPr>
        <w:t xml:space="preserve"> four cycles of Ptz+T+D (n=219) versus T+D (N=110) </w:t>
      </w:r>
      <w:r w:rsidR="001E220C">
        <w:rPr>
          <w:lang w:val="en-US"/>
        </w:rPr>
        <w:t>as</w:t>
      </w:r>
      <w:r w:rsidR="000A1187">
        <w:rPr>
          <w:lang w:val="en-US"/>
        </w:rPr>
        <w:t xml:space="preserve"> neoadjuvant treatment </w:t>
      </w:r>
      <w:r w:rsidR="001E220C">
        <w:rPr>
          <w:lang w:val="en-US"/>
        </w:rPr>
        <w:t>in</w:t>
      </w:r>
      <w:r w:rsidR="000A1187">
        <w:rPr>
          <w:lang w:val="en-US"/>
        </w:rPr>
        <w:t xml:space="preserve"> </w:t>
      </w:r>
      <w:r w:rsidR="00A82AED">
        <w:rPr>
          <w:lang w:val="en-US"/>
        </w:rPr>
        <w:t>chemotherapy-naïve Asian women with HER2-postive breast cancer (PEONY).</w:t>
      </w:r>
    </w:p>
    <w:p w:rsidR="00A26A1A" w:rsidRPr="001C3C8E" w:rsidRDefault="009A5552" w:rsidP="001C3C8E">
      <w:pPr>
        <w:pStyle w:val="3-BodyText"/>
      </w:pPr>
      <w:r w:rsidRPr="00A26A1A">
        <w:rPr>
          <w:lang w:val="en-US"/>
        </w:rPr>
        <w:t xml:space="preserve">The PBAC noted that the primary endpoint in </w:t>
      </w:r>
      <w:r w:rsidR="00A82AED" w:rsidRPr="00A26A1A">
        <w:rPr>
          <w:lang w:val="en-US"/>
        </w:rPr>
        <w:t>NEOSPHERE</w:t>
      </w:r>
      <w:r w:rsidR="00F30D95" w:rsidRPr="00A26A1A">
        <w:rPr>
          <w:lang w:val="en-US"/>
        </w:rPr>
        <w:t xml:space="preserve"> w</w:t>
      </w:r>
      <w:r w:rsidRPr="00A26A1A">
        <w:rPr>
          <w:lang w:val="en-US"/>
        </w:rPr>
        <w:t>a</w:t>
      </w:r>
      <w:r w:rsidR="00F30D95" w:rsidRPr="00A26A1A">
        <w:rPr>
          <w:lang w:val="en-US"/>
        </w:rPr>
        <w:t>s</w:t>
      </w:r>
      <w:r w:rsidRPr="00A26A1A">
        <w:rPr>
          <w:lang w:val="en-US"/>
        </w:rPr>
        <w:t xml:space="preserve"> pathological complete response in the breast</w:t>
      </w:r>
      <w:r w:rsidR="00E779E2" w:rsidRPr="00A26A1A">
        <w:rPr>
          <w:lang w:val="en-US"/>
        </w:rPr>
        <w:t xml:space="preserve"> (bpCR)</w:t>
      </w:r>
      <w:r w:rsidR="00297FA3" w:rsidRPr="00A26A1A">
        <w:rPr>
          <w:lang w:val="en-US"/>
        </w:rPr>
        <w:t xml:space="preserve"> with</w:t>
      </w:r>
      <w:r w:rsidRPr="00A26A1A">
        <w:rPr>
          <w:lang w:val="en-US"/>
        </w:rPr>
        <w:t xml:space="preserve"> </w:t>
      </w:r>
      <w:r w:rsidR="0035464E" w:rsidRPr="00A26A1A">
        <w:rPr>
          <w:lang w:val="en-US"/>
        </w:rPr>
        <w:t>total response (</w:t>
      </w:r>
      <w:r w:rsidR="00E779E2" w:rsidRPr="00A26A1A">
        <w:rPr>
          <w:lang w:val="en-US"/>
        </w:rPr>
        <w:t>t</w:t>
      </w:r>
      <w:r w:rsidRPr="00A26A1A">
        <w:rPr>
          <w:lang w:val="en-US"/>
        </w:rPr>
        <w:t>pCR</w:t>
      </w:r>
      <w:r w:rsidR="0035464E" w:rsidRPr="00A26A1A">
        <w:rPr>
          <w:lang w:val="en-US"/>
        </w:rPr>
        <w:t>)</w:t>
      </w:r>
      <w:r w:rsidRPr="00A26A1A">
        <w:rPr>
          <w:lang w:val="en-US"/>
        </w:rPr>
        <w:t xml:space="preserve"> assessed post-hoc</w:t>
      </w:r>
      <w:r w:rsidR="00E779E2" w:rsidRPr="00A26A1A">
        <w:rPr>
          <w:lang w:val="en-US"/>
        </w:rPr>
        <w:t xml:space="preserve">. </w:t>
      </w:r>
      <w:r w:rsidR="00A82AED" w:rsidRPr="00A26A1A">
        <w:rPr>
          <w:lang w:val="en-US"/>
        </w:rPr>
        <w:t xml:space="preserve">In </w:t>
      </w:r>
      <w:proofErr w:type="gramStart"/>
      <w:r w:rsidR="00A82AED" w:rsidRPr="00A26A1A">
        <w:rPr>
          <w:lang w:val="en-US"/>
        </w:rPr>
        <w:t>PEONY</w:t>
      </w:r>
      <w:proofErr w:type="gramEnd"/>
      <w:r w:rsidR="00A82AED" w:rsidRPr="00A26A1A">
        <w:rPr>
          <w:lang w:val="en-US"/>
        </w:rPr>
        <w:t xml:space="preserve"> the primary endpoint was tpCR. The PBAC considered tpCR </w:t>
      </w:r>
      <w:proofErr w:type="gramStart"/>
      <w:r w:rsidR="00297FA3" w:rsidRPr="00A26A1A">
        <w:rPr>
          <w:lang w:val="en-US"/>
        </w:rPr>
        <w:t xml:space="preserve">to </w:t>
      </w:r>
      <w:r w:rsidR="00A26A1A" w:rsidRPr="00A26A1A">
        <w:rPr>
          <w:lang w:val="en-US"/>
        </w:rPr>
        <w:t>be more</w:t>
      </w:r>
      <w:proofErr w:type="gramEnd"/>
      <w:r w:rsidR="00A26A1A" w:rsidRPr="00A26A1A">
        <w:rPr>
          <w:lang w:val="en-US"/>
        </w:rPr>
        <w:t xml:space="preserve"> clinically relevant than bpCR</w:t>
      </w:r>
      <w:r w:rsidR="00350FB1">
        <w:rPr>
          <w:lang w:val="en-US"/>
        </w:rPr>
        <w:t>.</w:t>
      </w:r>
      <w:r w:rsidR="00A26A1A" w:rsidRPr="00A26A1A">
        <w:rPr>
          <w:lang w:val="en-US"/>
        </w:rPr>
        <w:t xml:space="preserve"> </w:t>
      </w:r>
      <w:r w:rsidR="00D91589">
        <w:rPr>
          <w:lang w:val="en-US"/>
        </w:rPr>
        <w:t>T</w:t>
      </w:r>
      <w:r w:rsidR="00350FB1">
        <w:rPr>
          <w:lang w:val="en-US"/>
        </w:rPr>
        <w:t xml:space="preserve">he PBAC </w:t>
      </w:r>
      <w:r w:rsidR="00A26A1A" w:rsidRPr="00A26A1A">
        <w:rPr>
          <w:lang w:val="en-US"/>
        </w:rPr>
        <w:t>noted</w:t>
      </w:r>
      <w:r w:rsidR="00350FB1">
        <w:rPr>
          <w:lang w:val="en-US"/>
        </w:rPr>
        <w:t>,</w:t>
      </w:r>
      <w:r w:rsidR="00A26A1A" w:rsidRPr="00A26A1A">
        <w:rPr>
          <w:lang w:val="en-US"/>
        </w:rPr>
        <w:t xml:space="preserve"> although meta-analyses</w:t>
      </w:r>
      <w:r w:rsidR="00B254DB" w:rsidRPr="00B254DB">
        <w:rPr>
          <w:lang w:val="en-GB"/>
        </w:rPr>
        <w:t xml:space="preserve"> </w:t>
      </w:r>
      <w:r w:rsidR="00B254DB" w:rsidRPr="00137CA2">
        <w:rPr>
          <w:lang w:val="en-GB"/>
        </w:rPr>
        <w:t>of neoadjuvant trial data</w:t>
      </w:r>
      <w:r w:rsidR="00A26A1A" w:rsidRPr="00A26A1A">
        <w:rPr>
          <w:lang w:val="en-US"/>
        </w:rPr>
        <w:t xml:space="preserve"> have indicated </w:t>
      </w:r>
      <w:r w:rsidR="00350FB1">
        <w:rPr>
          <w:lang w:val="en-US"/>
        </w:rPr>
        <w:t>this outcome informs prognosis</w:t>
      </w:r>
      <w:r w:rsidR="00A26A1A" w:rsidRPr="00A26A1A">
        <w:rPr>
          <w:lang w:val="en-US"/>
        </w:rPr>
        <w:t xml:space="preserve">, </w:t>
      </w:r>
      <w:r w:rsidR="001E220C">
        <w:rPr>
          <w:lang w:val="en-US"/>
        </w:rPr>
        <w:t xml:space="preserve">that </w:t>
      </w:r>
      <w:r w:rsidR="00A26A1A" w:rsidRPr="00A26A1A">
        <w:rPr>
          <w:lang w:val="en-US"/>
        </w:rPr>
        <w:t xml:space="preserve">tpCR has not been </w:t>
      </w:r>
      <w:r w:rsidR="005B0C43">
        <w:rPr>
          <w:lang w:val="en-US"/>
        </w:rPr>
        <w:t xml:space="preserve">definitively </w:t>
      </w:r>
      <w:r w:rsidR="00A26A1A" w:rsidRPr="00A26A1A">
        <w:rPr>
          <w:lang w:val="en-US"/>
        </w:rPr>
        <w:t>demonstrated to be a surrogate endpoint for disease free or overall survival.</w:t>
      </w:r>
      <w:r w:rsidR="00A26A1A">
        <w:rPr>
          <w:lang w:val="en-US"/>
        </w:rPr>
        <w:t xml:space="preserve"> </w:t>
      </w:r>
    </w:p>
    <w:p w:rsidR="001C3C8E" w:rsidRPr="00723C13" w:rsidRDefault="001C3C8E" w:rsidP="001C3C8E">
      <w:pPr>
        <w:pStyle w:val="3-BodyText"/>
      </w:pPr>
      <w:r>
        <w:rPr>
          <w:lang w:val="en-US"/>
        </w:rPr>
        <w:t>The PBAC noted tpCR increased by approximately 18% with the addition of neoadjuvant pertuzumab in both NEOSPHERE (</w:t>
      </w:r>
      <w:r w:rsidRPr="006A526E">
        <w:rPr>
          <w:snapToGrid/>
          <w:lang w:val="en-US"/>
        </w:rPr>
        <w:t>17.8%</w:t>
      </w:r>
      <w:r>
        <w:rPr>
          <w:snapToGrid/>
          <w:lang w:val="en-US"/>
        </w:rPr>
        <w:t>;</w:t>
      </w:r>
      <w:r w:rsidRPr="006A526E">
        <w:rPr>
          <w:snapToGrid/>
          <w:lang w:val="en-US"/>
        </w:rPr>
        <w:t xml:space="preserve"> 95% CI </w:t>
      </w:r>
      <w:r>
        <w:rPr>
          <w:snapToGrid/>
          <w:lang w:val="en-US"/>
        </w:rPr>
        <w:t xml:space="preserve">4.6%, 31.0%, p=0.008) and PEONY (17.5%, 95% CI 6.9%, 28.0%, p=0.001). The PBAC noted this difference exceeded the minimal clinically important difference (MCID) </w:t>
      </w:r>
      <w:r w:rsidR="00723C13">
        <w:rPr>
          <w:snapToGrid/>
          <w:lang w:val="en-US"/>
        </w:rPr>
        <w:t xml:space="preserve">defined in the submission </w:t>
      </w:r>
      <w:r>
        <w:rPr>
          <w:snapToGrid/>
          <w:lang w:val="en-US"/>
        </w:rPr>
        <w:t>of 15%</w:t>
      </w:r>
      <w:r w:rsidR="00723C13">
        <w:rPr>
          <w:snapToGrid/>
          <w:lang w:val="en-US"/>
        </w:rPr>
        <w:t>. However, the PBAC considered the MCID of 15% was not adequately justified</w:t>
      </w:r>
      <w:r w:rsidR="00DF4218">
        <w:rPr>
          <w:snapToGrid/>
          <w:lang w:val="en-US"/>
        </w:rPr>
        <w:t>,</w:t>
      </w:r>
      <w:r w:rsidR="00723C13">
        <w:rPr>
          <w:snapToGrid/>
          <w:lang w:val="en-US"/>
        </w:rPr>
        <w:t xml:space="preserve"> noting the role of tpCR as a surrogate measure for patient relevant </w:t>
      </w:r>
      <w:r w:rsidR="00350FB1">
        <w:rPr>
          <w:snapToGrid/>
          <w:lang w:val="en-US"/>
        </w:rPr>
        <w:t xml:space="preserve">outcomes </w:t>
      </w:r>
      <w:r w:rsidR="00723C13">
        <w:rPr>
          <w:snapToGrid/>
          <w:lang w:val="en-US"/>
        </w:rPr>
        <w:t xml:space="preserve">was </w:t>
      </w:r>
      <w:r w:rsidR="00723C13">
        <w:rPr>
          <w:snapToGrid/>
          <w:lang w:val="en-US"/>
        </w:rPr>
        <w:lastRenderedPageBreak/>
        <w:t xml:space="preserve">unclear, </w:t>
      </w:r>
      <w:r w:rsidR="00723C13" w:rsidRPr="00140FC0">
        <w:rPr>
          <w:snapToGrid/>
          <w:lang w:val="en-US"/>
        </w:rPr>
        <w:t xml:space="preserve">especially with the availability of T-DM1 in the adjuvant setting for patients without a </w:t>
      </w:r>
      <w:r w:rsidR="005B0C43">
        <w:rPr>
          <w:snapToGrid/>
          <w:lang w:val="en-US"/>
        </w:rPr>
        <w:t>t</w:t>
      </w:r>
      <w:r w:rsidR="00723C13" w:rsidRPr="00140FC0">
        <w:rPr>
          <w:snapToGrid/>
          <w:lang w:val="en-US"/>
        </w:rPr>
        <w:t>pCR.</w:t>
      </w:r>
    </w:p>
    <w:p w:rsidR="00723C13" w:rsidRPr="00A26A1A" w:rsidRDefault="00676700" w:rsidP="0063686C">
      <w:pPr>
        <w:pStyle w:val="3-BodyText"/>
      </w:pPr>
      <w:r w:rsidRPr="00C55182">
        <w:rPr>
          <w:lang w:val="en-GB"/>
        </w:rPr>
        <w:t xml:space="preserve">In addition to T-DM1 not </w:t>
      </w:r>
      <w:proofErr w:type="gramStart"/>
      <w:r w:rsidRPr="00C55182">
        <w:rPr>
          <w:lang w:val="en-GB"/>
        </w:rPr>
        <w:t>being used</w:t>
      </w:r>
      <w:proofErr w:type="gramEnd"/>
      <w:r w:rsidRPr="00C55182">
        <w:rPr>
          <w:lang w:val="en-GB"/>
        </w:rPr>
        <w:t xml:space="preserve"> in the adjuvant setting, t</w:t>
      </w:r>
      <w:r w:rsidR="00723C13" w:rsidRPr="00C55182">
        <w:rPr>
          <w:lang w:val="en-GB"/>
        </w:rPr>
        <w:t xml:space="preserve">he PBAC </w:t>
      </w:r>
      <w:r w:rsidRPr="00C55182">
        <w:rPr>
          <w:lang w:val="en-GB"/>
        </w:rPr>
        <w:t xml:space="preserve">noted </w:t>
      </w:r>
      <w:proofErr w:type="spellStart"/>
      <w:r w:rsidRPr="00C55182">
        <w:rPr>
          <w:lang w:val="en-GB"/>
        </w:rPr>
        <w:t>anthracycline</w:t>
      </w:r>
      <w:proofErr w:type="spellEnd"/>
      <w:r w:rsidRPr="00C55182">
        <w:rPr>
          <w:lang w:val="en-GB"/>
        </w:rPr>
        <w:t xml:space="preserve">-based regimens were not permitted in the neoadjuvant setting in NEOSPHERE or PEONY and were instead </w:t>
      </w:r>
      <w:r w:rsidR="001E220C">
        <w:rPr>
          <w:lang w:val="en-GB"/>
        </w:rPr>
        <w:t>administered</w:t>
      </w:r>
      <w:r w:rsidRPr="00C55182">
        <w:rPr>
          <w:lang w:val="en-GB"/>
        </w:rPr>
        <w:t xml:space="preserve"> in the adjuvant setting.</w:t>
      </w:r>
      <w:r w:rsidR="00C55182" w:rsidRPr="00C55182">
        <w:rPr>
          <w:lang w:val="en-GB"/>
        </w:rPr>
        <w:t xml:space="preserve"> The PBAC</w:t>
      </w:r>
      <w:r w:rsidR="00C55182">
        <w:rPr>
          <w:lang w:val="en-GB"/>
        </w:rPr>
        <w:t xml:space="preserve"> </w:t>
      </w:r>
      <w:r w:rsidR="00723C13" w:rsidRPr="00C55182">
        <w:rPr>
          <w:lang w:val="en-GB"/>
        </w:rPr>
        <w:t xml:space="preserve">noted that anthracyclines </w:t>
      </w:r>
      <w:r w:rsidR="00C55182">
        <w:rPr>
          <w:lang w:val="en-GB"/>
        </w:rPr>
        <w:t>are</w:t>
      </w:r>
      <w:r w:rsidR="00723C13" w:rsidRPr="00C55182">
        <w:rPr>
          <w:lang w:val="en-GB"/>
        </w:rPr>
        <w:t xml:space="preserve"> a key component of neoadjuvant chemotherapy in clinical practice as they improve </w:t>
      </w:r>
      <w:proofErr w:type="spellStart"/>
      <w:r w:rsidR="005B0C43">
        <w:rPr>
          <w:lang w:val="en-GB"/>
        </w:rPr>
        <w:t>t</w:t>
      </w:r>
      <w:r w:rsidR="00723C13" w:rsidRPr="00C55182">
        <w:rPr>
          <w:lang w:val="en-GB"/>
        </w:rPr>
        <w:t>pCR</w:t>
      </w:r>
      <w:proofErr w:type="spellEnd"/>
      <w:r w:rsidR="00723C13" w:rsidRPr="00C55182">
        <w:rPr>
          <w:lang w:val="en-GB"/>
        </w:rPr>
        <w:t xml:space="preserve"> rates</w:t>
      </w:r>
      <w:r w:rsidR="009E4A24">
        <w:rPr>
          <w:lang w:val="en-GB"/>
        </w:rPr>
        <w:t>,</w:t>
      </w:r>
      <w:r w:rsidR="00C55182">
        <w:rPr>
          <w:lang w:val="en-GB"/>
        </w:rPr>
        <w:t xml:space="preserve"> and considered </w:t>
      </w:r>
      <w:r w:rsidR="00723C13" w:rsidRPr="00C55182">
        <w:rPr>
          <w:lang w:val="en-GB"/>
        </w:rPr>
        <w:t xml:space="preserve">that the </w:t>
      </w:r>
      <w:r w:rsidR="00723C13" w:rsidRPr="00C55182">
        <w:rPr>
          <w:bCs/>
          <w:lang w:val="en-GB"/>
        </w:rPr>
        <w:t>majority of</w:t>
      </w:r>
      <w:r w:rsidR="00C55182">
        <w:rPr>
          <w:bCs/>
          <w:lang w:val="en-GB"/>
        </w:rPr>
        <w:t xml:space="preserve"> Australian</w:t>
      </w:r>
      <w:r w:rsidR="00723C13" w:rsidRPr="00C55182">
        <w:rPr>
          <w:bCs/>
          <w:lang w:val="en-GB"/>
        </w:rPr>
        <w:t xml:space="preserve"> patients would receive an </w:t>
      </w:r>
      <w:proofErr w:type="spellStart"/>
      <w:r w:rsidR="00723C13" w:rsidRPr="00C55182">
        <w:rPr>
          <w:bCs/>
          <w:lang w:val="en-GB"/>
        </w:rPr>
        <w:t>anthracycline</w:t>
      </w:r>
      <w:proofErr w:type="spellEnd"/>
      <w:r w:rsidR="00723C13" w:rsidRPr="00C55182">
        <w:rPr>
          <w:bCs/>
          <w:lang w:val="en-GB"/>
        </w:rPr>
        <w:t xml:space="preserve"> before surgery. </w:t>
      </w:r>
      <w:proofErr w:type="gramStart"/>
      <w:r w:rsidR="00723C13" w:rsidRPr="00C55182">
        <w:rPr>
          <w:bCs/>
          <w:lang w:val="en-GB"/>
        </w:rPr>
        <w:t xml:space="preserve">The </w:t>
      </w:r>
      <w:r w:rsidR="009E4A24">
        <w:rPr>
          <w:lang w:val="en-GB"/>
        </w:rPr>
        <w:t xml:space="preserve">PBAC noted that the </w:t>
      </w:r>
      <w:proofErr w:type="spellStart"/>
      <w:r w:rsidR="009E4A24">
        <w:rPr>
          <w:lang w:val="en-GB"/>
        </w:rPr>
        <w:t>t</w:t>
      </w:r>
      <w:r w:rsidR="00723C13" w:rsidRPr="00C55182">
        <w:rPr>
          <w:lang w:val="en-GB"/>
        </w:rPr>
        <w:t>pCR</w:t>
      </w:r>
      <w:proofErr w:type="spellEnd"/>
      <w:r w:rsidR="00723C13" w:rsidRPr="00C55182">
        <w:rPr>
          <w:lang w:val="en-GB"/>
        </w:rPr>
        <w:t xml:space="preserve"> </w:t>
      </w:r>
      <w:r w:rsidR="009E4A24">
        <w:rPr>
          <w:lang w:val="en-GB"/>
        </w:rPr>
        <w:t>with Ptz+T+D</w:t>
      </w:r>
      <w:r w:rsidR="00723C13" w:rsidRPr="00C55182">
        <w:rPr>
          <w:lang w:val="en-GB"/>
        </w:rPr>
        <w:t xml:space="preserve"> in NEOSPHERE</w:t>
      </w:r>
      <w:r w:rsidR="009E4A24">
        <w:rPr>
          <w:lang w:val="en-GB"/>
        </w:rPr>
        <w:t xml:space="preserve"> and PEONY</w:t>
      </w:r>
      <w:r w:rsidR="00723C13" w:rsidRPr="00C55182">
        <w:rPr>
          <w:lang w:val="en-GB"/>
        </w:rPr>
        <w:t xml:space="preserve"> (</w:t>
      </w:r>
      <w:r w:rsidR="009E4A24">
        <w:rPr>
          <w:lang w:val="en-GB"/>
        </w:rPr>
        <w:t>approximately 39%</w:t>
      </w:r>
      <w:r w:rsidR="00723C13" w:rsidRPr="00C55182">
        <w:rPr>
          <w:lang w:val="en-GB"/>
        </w:rPr>
        <w:t>) was similar</w:t>
      </w:r>
      <w:r w:rsidR="005B0C43">
        <w:rPr>
          <w:lang w:val="en-GB"/>
        </w:rPr>
        <w:t xml:space="preserve"> </w:t>
      </w:r>
      <w:r w:rsidR="00596BB9">
        <w:rPr>
          <w:lang w:val="en-GB"/>
        </w:rPr>
        <w:t xml:space="preserve">to </w:t>
      </w:r>
      <w:r w:rsidR="005B0C43">
        <w:rPr>
          <w:lang w:val="en-GB"/>
        </w:rPr>
        <w:t>(and potentially lower</w:t>
      </w:r>
      <w:r w:rsidR="00596BB9">
        <w:rPr>
          <w:lang w:val="en-GB"/>
        </w:rPr>
        <w:t xml:space="preserve"> than</w:t>
      </w:r>
      <w:r w:rsidR="005B0C43">
        <w:rPr>
          <w:lang w:val="en-GB"/>
        </w:rPr>
        <w:t>)</w:t>
      </w:r>
      <w:r w:rsidR="00723C13" w:rsidRPr="00C55182">
        <w:rPr>
          <w:lang w:val="en-GB"/>
        </w:rPr>
        <w:t xml:space="preserve"> rates achieved with anthracyclines in the neoadjuvant setting without pertuzumab (45-55%</w:t>
      </w:r>
      <w:r w:rsidR="0063686C">
        <w:rPr>
          <w:lang w:val="en-GB"/>
        </w:rPr>
        <w:t xml:space="preserve"> in </w:t>
      </w:r>
      <w:r w:rsidR="0063686C" w:rsidRPr="0063686C">
        <w:rPr>
          <w:lang w:val="en-GB"/>
        </w:rPr>
        <w:t>Robidoux</w:t>
      </w:r>
      <w:r w:rsidR="0063686C">
        <w:rPr>
          <w:lang w:val="en-GB"/>
        </w:rPr>
        <w:t xml:space="preserve"> et al, 2013 and </w:t>
      </w:r>
      <w:r w:rsidR="0063686C" w:rsidRPr="0063686C">
        <w:rPr>
          <w:lang w:val="en-GB"/>
        </w:rPr>
        <w:t>Buzdar</w:t>
      </w:r>
      <w:r w:rsidR="0063686C">
        <w:rPr>
          <w:lang w:val="en-GB"/>
        </w:rPr>
        <w:t xml:space="preserve"> et al, 2013</w:t>
      </w:r>
      <w:r w:rsidR="00723C13" w:rsidRPr="00C55182">
        <w:rPr>
          <w:lang w:val="en-GB"/>
        </w:rPr>
        <w:t xml:space="preserve">), and </w:t>
      </w:r>
      <w:r w:rsidR="00723C13" w:rsidRPr="00C55182">
        <w:rPr>
          <w:bCs/>
          <w:lang w:val="en-GB"/>
        </w:rPr>
        <w:t xml:space="preserve">considered it </w:t>
      </w:r>
      <w:r w:rsidR="0063686C">
        <w:rPr>
          <w:bCs/>
          <w:lang w:val="en-GB"/>
        </w:rPr>
        <w:t xml:space="preserve">was </w:t>
      </w:r>
      <w:r w:rsidR="00723C13" w:rsidRPr="00C55182">
        <w:rPr>
          <w:bCs/>
          <w:lang w:val="en-GB"/>
        </w:rPr>
        <w:t xml:space="preserve">unclear </w:t>
      </w:r>
      <w:r w:rsidR="00723C13" w:rsidRPr="00C55182">
        <w:rPr>
          <w:bCs/>
          <w:lang w:val="en-US"/>
        </w:rPr>
        <w:t xml:space="preserve">if neoadjuvant pertuzumab would increase </w:t>
      </w:r>
      <w:r w:rsidR="005B0C43">
        <w:rPr>
          <w:bCs/>
          <w:lang w:val="en-US"/>
        </w:rPr>
        <w:t>t</w:t>
      </w:r>
      <w:r w:rsidR="00723C13" w:rsidRPr="00C55182">
        <w:rPr>
          <w:bCs/>
          <w:lang w:val="en-US"/>
        </w:rPr>
        <w:t>pCR when used with anthracycline+taxane based neoadjuvant chemotherapy.</w:t>
      </w:r>
      <w:proofErr w:type="gramEnd"/>
    </w:p>
    <w:p w:rsidR="00076413" w:rsidRPr="009E4A24" w:rsidRDefault="009317E7" w:rsidP="00396B20">
      <w:pPr>
        <w:pStyle w:val="3-BodyText"/>
        <w:rPr>
          <w:b/>
          <w:bCs/>
          <w:iCs/>
          <w:lang w:val="en-GB"/>
        </w:rPr>
      </w:pPr>
      <w:r w:rsidRPr="00590469">
        <w:rPr>
          <w:lang w:val="en-GB"/>
        </w:rPr>
        <w:t xml:space="preserve">The PBAC noted that there was no </w:t>
      </w:r>
      <w:r w:rsidRPr="00590469">
        <w:rPr>
          <w:rFonts w:cs="Calibri"/>
          <w:iCs/>
        </w:rPr>
        <w:t>improvement</w:t>
      </w:r>
      <w:r w:rsidRPr="00140FC0">
        <w:t xml:space="preserve"> in PFS or DFS demonstrated </w:t>
      </w:r>
      <w:r>
        <w:t xml:space="preserve">in the </w:t>
      </w:r>
      <w:r w:rsidRPr="00140FC0">
        <w:t xml:space="preserve">NEOSPHERE </w:t>
      </w:r>
      <w:r>
        <w:t>trial (</w:t>
      </w:r>
      <w:r w:rsidRPr="00140FC0">
        <w:t>PFS HR</w:t>
      </w:r>
      <w:r w:rsidRPr="00660E0F">
        <w:t>=0.69, 95% CI 0.34, 1.40; DFS HR=0.60, 95% CI 0.28, 1.27)</w:t>
      </w:r>
      <w:r w:rsidR="009E4A24">
        <w:t>, and that the trial was not powered to assess these outcomes</w:t>
      </w:r>
      <w:r w:rsidRPr="00660E0F">
        <w:t>.</w:t>
      </w:r>
      <w:r w:rsidR="00590469">
        <w:t xml:space="preserve"> </w:t>
      </w:r>
      <w:r w:rsidR="001B2815" w:rsidRPr="009E4A24">
        <w:rPr>
          <w:iCs/>
        </w:rPr>
        <w:t xml:space="preserve">The PBAC </w:t>
      </w:r>
      <w:r w:rsidR="00590469">
        <w:rPr>
          <w:iCs/>
        </w:rPr>
        <w:t xml:space="preserve">further </w:t>
      </w:r>
      <w:r w:rsidR="00F30D95" w:rsidRPr="009E4A24">
        <w:rPr>
          <w:iCs/>
        </w:rPr>
        <w:t xml:space="preserve">noted that </w:t>
      </w:r>
      <w:r w:rsidR="00A355BC" w:rsidRPr="009E4A24">
        <w:rPr>
          <w:iCs/>
        </w:rPr>
        <w:t>in the KATHERINE trial</w:t>
      </w:r>
      <w:r w:rsidR="00F30D95" w:rsidRPr="009E4A24">
        <w:rPr>
          <w:iCs/>
        </w:rPr>
        <w:t xml:space="preserve"> patients with residual disease derive</w:t>
      </w:r>
      <w:r w:rsidR="00350FB1">
        <w:rPr>
          <w:iCs/>
        </w:rPr>
        <w:t>d a</w:t>
      </w:r>
      <w:r w:rsidR="00F30D95" w:rsidRPr="009E4A24">
        <w:rPr>
          <w:iCs/>
        </w:rPr>
        <w:t xml:space="preserve"> similar benefit from adjuvant T</w:t>
      </w:r>
      <w:r w:rsidR="0076274E" w:rsidRPr="009E4A24">
        <w:rPr>
          <w:iCs/>
        </w:rPr>
        <w:noBreakHyphen/>
      </w:r>
      <w:r w:rsidR="00F30D95" w:rsidRPr="009E4A24">
        <w:rPr>
          <w:iCs/>
        </w:rPr>
        <w:t>DM1 regardless of whether they</w:t>
      </w:r>
      <w:r w:rsidR="0076274E" w:rsidRPr="009E4A24">
        <w:rPr>
          <w:iCs/>
        </w:rPr>
        <w:t xml:space="preserve"> receive</w:t>
      </w:r>
      <w:r w:rsidR="00B254DB">
        <w:rPr>
          <w:iCs/>
        </w:rPr>
        <w:t>d</w:t>
      </w:r>
      <w:r w:rsidR="00F30D95" w:rsidRPr="009E4A24">
        <w:rPr>
          <w:iCs/>
        </w:rPr>
        <w:t xml:space="preserve"> pertuzumab in addition to trastuzumab in the neoadjuvant setting</w:t>
      </w:r>
      <w:r w:rsidR="00590469">
        <w:rPr>
          <w:iCs/>
        </w:rPr>
        <w:t>,</w:t>
      </w:r>
      <w:r w:rsidR="00590469" w:rsidRPr="00590469">
        <w:t xml:space="preserve"> </w:t>
      </w:r>
      <w:r w:rsidR="00590469">
        <w:t>and that the DFS at 3 years was high (88%) and similar to that observed with neoadjuvant pertuzumab (</w:t>
      </w:r>
      <w:r w:rsidR="007928E7">
        <w:t>92</w:t>
      </w:r>
      <w:r w:rsidR="00590469">
        <w:t xml:space="preserve">% at </w:t>
      </w:r>
      <w:r w:rsidR="007928E7">
        <w:t>3</w:t>
      </w:r>
      <w:r w:rsidR="00590469">
        <w:t xml:space="preserve"> years).</w:t>
      </w:r>
      <w:r w:rsidR="00EE3D92" w:rsidRPr="009E4A24">
        <w:rPr>
          <w:iCs/>
        </w:rPr>
        <w:t xml:space="preserve"> </w:t>
      </w:r>
      <w:r w:rsidR="00B254DB">
        <w:rPr>
          <w:lang w:val="en-GB"/>
        </w:rPr>
        <w:t>The PBAC considered that</w:t>
      </w:r>
      <w:r w:rsidR="00C622AB">
        <w:rPr>
          <w:lang w:val="en-GB"/>
        </w:rPr>
        <w:t xml:space="preserve"> with the current treatment algorithm, </w:t>
      </w:r>
      <w:r w:rsidR="00B254DB">
        <w:rPr>
          <w:lang w:val="en-GB"/>
        </w:rPr>
        <w:t xml:space="preserve">it is unclear whether patients who achieve </w:t>
      </w:r>
      <w:proofErr w:type="gramStart"/>
      <w:r w:rsidR="00B254DB">
        <w:rPr>
          <w:lang w:val="en-GB"/>
        </w:rPr>
        <w:t xml:space="preserve">pCR post neoadjuvant </w:t>
      </w:r>
      <w:r w:rsidR="00C622AB">
        <w:rPr>
          <w:lang w:val="en-GB"/>
        </w:rPr>
        <w:t>therapy</w:t>
      </w:r>
      <w:proofErr w:type="gramEnd"/>
      <w:r w:rsidR="00C622AB">
        <w:rPr>
          <w:lang w:val="en-GB"/>
        </w:rPr>
        <w:t xml:space="preserve"> </w:t>
      </w:r>
      <w:r w:rsidR="00B254DB">
        <w:rPr>
          <w:lang w:val="en-GB"/>
        </w:rPr>
        <w:t>have improved DFS or OS over patients</w:t>
      </w:r>
      <w:r w:rsidR="00075261">
        <w:rPr>
          <w:lang w:val="en-GB"/>
        </w:rPr>
        <w:t xml:space="preserve"> </w:t>
      </w:r>
      <w:r w:rsidR="00C622AB">
        <w:rPr>
          <w:lang w:val="en-GB"/>
        </w:rPr>
        <w:t>with residual disease who receive adjuvant T-DM1</w:t>
      </w:r>
      <w:r w:rsidR="00B254DB">
        <w:rPr>
          <w:lang w:val="en-GB"/>
        </w:rPr>
        <w:t>.</w:t>
      </w:r>
      <w:r w:rsidR="00B254DB" w:rsidRPr="00B254DB" w:rsidDel="00B254DB">
        <w:rPr>
          <w:iCs/>
        </w:rPr>
        <w:t xml:space="preserve"> </w:t>
      </w:r>
      <w:r w:rsidR="00F30D95" w:rsidRPr="009E4A24">
        <w:rPr>
          <w:bCs/>
          <w:iCs/>
          <w:lang w:val="en-US"/>
        </w:rPr>
        <w:t xml:space="preserve">The PBAC also considered it </w:t>
      </w:r>
      <w:r w:rsidR="0063686C">
        <w:rPr>
          <w:bCs/>
          <w:iCs/>
          <w:lang w:val="en-US"/>
        </w:rPr>
        <w:t xml:space="preserve">is </w:t>
      </w:r>
      <w:r w:rsidR="00F30D95" w:rsidRPr="009E4A24">
        <w:rPr>
          <w:bCs/>
          <w:iCs/>
          <w:lang w:val="en-US"/>
        </w:rPr>
        <w:t>unclear whether</w:t>
      </w:r>
      <w:r w:rsidR="00076413" w:rsidRPr="009E4A24">
        <w:rPr>
          <w:bCs/>
          <w:iCs/>
          <w:lang w:val="en-US"/>
        </w:rPr>
        <w:t xml:space="preserve"> patients </w:t>
      </w:r>
      <w:r w:rsidR="0076274E" w:rsidRPr="009E4A24">
        <w:rPr>
          <w:bCs/>
          <w:iCs/>
          <w:lang w:val="en-US"/>
        </w:rPr>
        <w:t xml:space="preserve">who do not </w:t>
      </w:r>
      <w:r w:rsidR="00B254DB">
        <w:rPr>
          <w:bCs/>
          <w:iCs/>
          <w:lang w:val="en-US"/>
        </w:rPr>
        <w:t>achieve a</w:t>
      </w:r>
      <w:r w:rsidR="0076274E" w:rsidRPr="009E4A24">
        <w:rPr>
          <w:bCs/>
          <w:iCs/>
          <w:lang w:val="en-US"/>
        </w:rPr>
        <w:t xml:space="preserve"> pCR and go on to </w:t>
      </w:r>
      <w:r w:rsidR="00076413" w:rsidRPr="009E4A24">
        <w:rPr>
          <w:bCs/>
          <w:iCs/>
          <w:lang w:val="en-US"/>
        </w:rPr>
        <w:t>receiv</w:t>
      </w:r>
      <w:r w:rsidR="0076274E" w:rsidRPr="009E4A24">
        <w:rPr>
          <w:bCs/>
          <w:iCs/>
          <w:lang w:val="en-US"/>
        </w:rPr>
        <w:t>e</w:t>
      </w:r>
      <w:r w:rsidR="00076413" w:rsidRPr="009E4A24">
        <w:rPr>
          <w:bCs/>
          <w:iCs/>
          <w:lang w:val="en-US"/>
        </w:rPr>
        <w:t xml:space="preserve"> adjuvant T-DM1 derive any bene</w:t>
      </w:r>
      <w:r w:rsidR="00F30D95" w:rsidRPr="009E4A24">
        <w:rPr>
          <w:bCs/>
          <w:iCs/>
          <w:lang w:val="en-US"/>
        </w:rPr>
        <w:t>fit from neoadjuvant pertuzumab.</w:t>
      </w:r>
    </w:p>
    <w:p w:rsidR="0076274E" w:rsidRPr="00DD6C75" w:rsidRDefault="00B254DB" w:rsidP="0076274E">
      <w:pPr>
        <w:pStyle w:val="3-BodyText"/>
        <w:rPr>
          <w:lang w:val="en-GB"/>
        </w:rPr>
      </w:pPr>
      <w:proofErr w:type="gramStart"/>
      <w:r>
        <w:rPr>
          <w:lang w:val="en-GB"/>
        </w:rPr>
        <w:t>The PBAC considered the claim of superior efficacy of P</w:t>
      </w:r>
      <w:r w:rsidR="00EA0A6D">
        <w:rPr>
          <w:lang w:val="en-GB"/>
        </w:rPr>
        <w:t>tz</w:t>
      </w:r>
      <w:r>
        <w:rPr>
          <w:lang w:val="en-GB"/>
        </w:rPr>
        <w:t>+T+</w:t>
      </w:r>
      <w:r w:rsidR="00EA0A6D">
        <w:rPr>
          <w:lang w:val="en-GB"/>
        </w:rPr>
        <w:t xml:space="preserve">D compared with T+D (and hence the claim of superior efficacy of Ptz+T+Chemo vs T+Chemo) was </w:t>
      </w:r>
      <w:r w:rsidR="00396B20">
        <w:rPr>
          <w:lang w:val="en-GB"/>
        </w:rPr>
        <w:t xml:space="preserve">not </w:t>
      </w:r>
      <w:r w:rsidR="00EA0A6D">
        <w:rPr>
          <w:lang w:val="en-GB"/>
        </w:rPr>
        <w:t>adequately supported because of</w:t>
      </w:r>
      <w:r w:rsidR="00A14F87">
        <w:rPr>
          <w:lang w:val="en-GB"/>
        </w:rPr>
        <w:t>: the</w:t>
      </w:r>
      <w:r w:rsidR="00EA0A6D">
        <w:rPr>
          <w:lang w:val="en-GB"/>
        </w:rPr>
        <w:t xml:space="preserve"> limited applicability of the trials to </w:t>
      </w:r>
      <w:r w:rsidR="00704A00">
        <w:rPr>
          <w:lang w:val="en-GB"/>
        </w:rPr>
        <w:t xml:space="preserve">current </w:t>
      </w:r>
      <w:r w:rsidR="00EA0A6D">
        <w:rPr>
          <w:lang w:val="en-GB"/>
        </w:rPr>
        <w:t xml:space="preserve">clinical practice (with </w:t>
      </w:r>
      <w:r w:rsidR="00704A00">
        <w:rPr>
          <w:lang w:val="en-GB"/>
        </w:rPr>
        <w:t>a</w:t>
      </w:r>
      <w:r w:rsidR="00C622AB">
        <w:rPr>
          <w:lang w:val="en-GB"/>
        </w:rPr>
        <w:t>n</w:t>
      </w:r>
      <w:r w:rsidR="00704A00">
        <w:rPr>
          <w:lang w:val="en-GB"/>
        </w:rPr>
        <w:t>thracyclines used in the adjuvant rather than neoadjuvant setting, and T-DM1 not used in patients without a pCR)</w:t>
      </w:r>
      <w:r w:rsidR="00A14F87">
        <w:rPr>
          <w:lang w:val="en-GB"/>
        </w:rPr>
        <w:t>;</w:t>
      </w:r>
      <w:r w:rsidR="00704A00">
        <w:rPr>
          <w:lang w:val="en-GB"/>
        </w:rPr>
        <w:t xml:space="preserve"> a difference in survival outcomes not being demonstrated</w:t>
      </w:r>
      <w:r w:rsidR="00A14F87">
        <w:rPr>
          <w:lang w:val="en-GB"/>
        </w:rPr>
        <w:t>;</w:t>
      </w:r>
      <w:r w:rsidR="00704A00">
        <w:rPr>
          <w:lang w:val="en-GB"/>
        </w:rPr>
        <w:t xml:space="preserve"> and the unknown impact of pCR on patient relevant outcomes</w:t>
      </w:r>
      <w:r w:rsidR="00EB0CA0">
        <w:rPr>
          <w:lang w:val="en-GB"/>
        </w:rPr>
        <w:t>, especially</w:t>
      </w:r>
      <w:r w:rsidR="00704A00">
        <w:rPr>
          <w:lang w:val="en-GB"/>
        </w:rPr>
        <w:t xml:space="preserve"> with the availability of T-DM1 for patients who do </w:t>
      </w:r>
      <w:r w:rsidR="00DF4218">
        <w:rPr>
          <w:lang w:val="en-GB"/>
        </w:rPr>
        <w:t xml:space="preserve">not </w:t>
      </w:r>
      <w:r w:rsidR="00704A00">
        <w:rPr>
          <w:lang w:val="en-GB"/>
        </w:rPr>
        <w:t>achieve a pCR.</w:t>
      </w:r>
      <w:proofErr w:type="gramEnd"/>
    </w:p>
    <w:p w:rsidR="00396B20" w:rsidRPr="00396B20" w:rsidRDefault="00704A00" w:rsidP="0076274E">
      <w:pPr>
        <w:pStyle w:val="3-BodyText"/>
        <w:rPr>
          <w:lang w:val="en-GB"/>
        </w:rPr>
      </w:pPr>
      <w:r>
        <w:rPr>
          <w:bCs/>
          <w:lang w:val="en-GB"/>
        </w:rPr>
        <w:t xml:space="preserve">The PBAC </w:t>
      </w:r>
      <w:r w:rsidR="00396B20">
        <w:rPr>
          <w:bCs/>
          <w:lang w:val="en-GB"/>
        </w:rPr>
        <w:t xml:space="preserve">considered the claim of non-inferior safety of Ptz+T+D compared with T+D was not adequately supported because of the significant increase in left ventricular systolic </w:t>
      </w:r>
      <w:r w:rsidR="00EB0CA0">
        <w:rPr>
          <w:bCs/>
          <w:lang w:val="en-GB"/>
        </w:rPr>
        <w:t>dys</w:t>
      </w:r>
      <w:r w:rsidR="00396B20">
        <w:rPr>
          <w:bCs/>
          <w:lang w:val="en-GB"/>
        </w:rPr>
        <w:t>function in NEOSPHERE (8.4% vs 1.9% of patients) and the significant increase in diarrhoea (38.</w:t>
      </w:r>
      <w:r w:rsidR="00EB0CA0">
        <w:rPr>
          <w:bCs/>
          <w:lang w:val="en-GB"/>
        </w:rPr>
        <w:t>5</w:t>
      </w:r>
      <w:r w:rsidR="00396B20">
        <w:rPr>
          <w:bCs/>
          <w:lang w:val="en-GB"/>
        </w:rPr>
        <w:t>% vs 1</w:t>
      </w:r>
      <w:r w:rsidR="00A14F87">
        <w:rPr>
          <w:bCs/>
          <w:lang w:val="en-GB"/>
        </w:rPr>
        <w:t>6</w:t>
      </w:r>
      <w:r w:rsidR="00396B20">
        <w:rPr>
          <w:bCs/>
          <w:lang w:val="en-GB"/>
        </w:rPr>
        <w:t>.4% of patients) and infusion-related reactions (22.0% vs 9.1%) in PEONY.</w:t>
      </w:r>
    </w:p>
    <w:p w:rsidR="00A46EA2" w:rsidRDefault="00396B20" w:rsidP="0015200C">
      <w:pPr>
        <w:pStyle w:val="3-BodyText"/>
      </w:pPr>
      <w:r w:rsidRPr="00884E55">
        <w:rPr>
          <w:bCs/>
          <w:lang w:val="en-GB"/>
        </w:rPr>
        <w:t>The PBAC considered it was not possible to assess the cost-effectiveness of adding pertuzumab in the neoadjuvant setting due to the unknown extent of clinical benefit.</w:t>
      </w:r>
      <w:r w:rsidR="00884E55" w:rsidRPr="00884E55">
        <w:rPr>
          <w:bCs/>
          <w:lang w:val="en-GB"/>
        </w:rPr>
        <w:t xml:space="preserve"> The PBAC</w:t>
      </w:r>
      <w:r w:rsidR="00A46EA2">
        <w:t xml:space="preserve"> further noted that the economic analysis was based on the PFS results</w:t>
      </w:r>
      <w:r w:rsidR="00884E55">
        <w:t xml:space="preserve"> from </w:t>
      </w:r>
      <w:proofErr w:type="gramStart"/>
      <w:r w:rsidR="00884E55">
        <w:lastRenderedPageBreak/>
        <w:t>NEOSPHERE which were not statistically significant</w:t>
      </w:r>
      <w:proofErr w:type="gramEnd"/>
      <w:r w:rsidR="00884E55">
        <w:t xml:space="preserve"> and hence</w:t>
      </w:r>
      <w:r w:rsidR="00A46EA2">
        <w:t xml:space="preserve"> the modelled outcomes </w:t>
      </w:r>
      <w:r w:rsidR="00884E55">
        <w:t xml:space="preserve">were </w:t>
      </w:r>
      <w:r w:rsidR="00A46EA2">
        <w:t>highly uncertain.</w:t>
      </w:r>
      <w:r w:rsidR="00884E55">
        <w:t xml:space="preserve"> </w:t>
      </w:r>
    </w:p>
    <w:p w:rsidR="00A419E1" w:rsidRPr="00A419E1" w:rsidRDefault="00884E55" w:rsidP="00884E55">
      <w:pPr>
        <w:pStyle w:val="3-BodyText"/>
        <w:rPr>
          <w:lang w:val="en-GB"/>
        </w:rPr>
      </w:pPr>
      <w:r>
        <w:rPr>
          <w:lang w:val="en-GB"/>
        </w:rPr>
        <w:t xml:space="preserve">The PBAC considered </w:t>
      </w:r>
      <w:r w:rsidR="0085076A">
        <w:rPr>
          <w:lang w:val="en-GB"/>
        </w:rPr>
        <w:t xml:space="preserve">that, </w:t>
      </w:r>
      <w:r>
        <w:rPr>
          <w:lang w:val="en-GB"/>
        </w:rPr>
        <w:t>due to the unknown clinical benefit of pertuzumab in the neoadjuvant setting</w:t>
      </w:r>
      <w:r w:rsidR="0085076A">
        <w:rPr>
          <w:lang w:val="en-GB"/>
        </w:rPr>
        <w:t>,</w:t>
      </w:r>
      <w:r>
        <w:rPr>
          <w:lang w:val="en-GB"/>
        </w:rPr>
        <w:t xml:space="preserve"> its role in clinical practice was also unknown and hence it was not possible to assess the </w:t>
      </w:r>
      <w:r w:rsidR="00A419E1" w:rsidRPr="00A419E1">
        <w:rPr>
          <w:lang w:val="en-GB"/>
        </w:rPr>
        <w:t>financial implications associated with the requested PBS listing of pertuzumab</w:t>
      </w:r>
      <w:r w:rsidR="002D3312">
        <w:rPr>
          <w:lang w:val="en-GB"/>
        </w:rPr>
        <w:t xml:space="preserve">. </w:t>
      </w:r>
    </w:p>
    <w:p w:rsidR="009A72CB" w:rsidRPr="003D14E8" w:rsidRDefault="00F27E43" w:rsidP="009A72CB">
      <w:pPr>
        <w:pStyle w:val="3-BodyText"/>
        <w:rPr>
          <w:bCs/>
          <w:lang w:val="en-GB"/>
        </w:rPr>
      </w:pPr>
      <w:r>
        <w:t xml:space="preserve">The PBAC considered that a resubmission would </w:t>
      </w:r>
      <w:r w:rsidR="00525375">
        <w:t>require additional clinical data in order to</w:t>
      </w:r>
      <w:r>
        <w:t xml:space="preserve"> address the</w:t>
      </w:r>
      <w:r w:rsidR="00525375">
        <w:t xml:space="preserve"> uncertainties associated with the</w:t>
      </w:r>
      <w:r>
        <w:t xml:space="preserve"> clinical benefit</w:t>
      </w:r>
      <w:r w:rsidR="00525375">
        <w:t>, specifically</w:t>
      </w:r>
      <w:r>
        <w:t>:</w:t>
      </w:r>
    </w:p>
    <w:p w:rsidR="009A72CB" w:rsidRPr="003D14E8" w:rsidRDefault="00F27E43" w:rsidP="009A72CB">
      <w:pPr>
        <w:pStyle w:val="3-BodyText"/>
        <w:numPr>
          <w:ilvl w:val="0"/>
          <w:numId w:val="20"/>
        </w:numPr>
        <w:rPr>
          <w:bCs/>
        </w:rPr>
      </w:pPr>
      <w:r>
        <w:rPr>
          <w:bCs/>
          <w:lang w:val="en-US"/>
        </w:rPr>
        <w:t>whether</w:t>
      </w:r>
      <w:r w:rsidR="009A72CB" w:rsidRPr="003D14E8">
        <w:rPr>
          <w:bCs/>
          <w:lang w:val="en-US"/>
        </w:rPr>
        <w:t xml:space="preserve"> neoadjuvant pertuzumab increases </w:t>
      </w:r>
      <w:r w:rsidR="00C622AB">
        <w:rPr>
          <w:bCs/>
          <w:lang w:val="en-US"/>
        </w:rPr>
        <w:t>t</w:t>
      </w:r>
      <w:r w:rsidR="009A72CB" w:rsidRPr="003D14E8">
        <w:rPr>
          <w:bCs/>
          <w:lang w:val="en-US"/>
        </w:rPr>
        <w:t xml:space="preserve">pCR when used with anthracycline+taxane based </w:t>
      </w:r>
      <w:r w:rsidR="00C622AB">
        <w:rPr>
          <w:bCs/>
          <w:lang w:val="en-US"/>
        </w:rPr>
        <w:t xml:space="preserve">neoadjuvant </w:t>
      </w:r>
      <w:r w:rsidR="009A72CB" w:rsidRPr="003D14E8">
        <w:rPr>
          <w:bCs/>
          <w:lang w:val="en-US"/>
        </w:rPr>
        <w:t>chemotherapy</w:t>
      </w:r>
      <w:r>
        <w:rPr>
          <w:bCs/>
          <w:lang w:val="en-US"/>
        </w:rPr>
        <w:t>;</w:t>
      </w:r>
      <w:r w:rsidR="009268CB">
        <w:rPr>
          <w:bCs/>
          <w:lang w:val="en-US"/>
        </w:rPr>
        <w:t xml:space="preserve"> and</w:t>
      </w:r>
    </w:p>
    <w:p w:rsidR="00F27E43" w:rsidRPr="00F27E43" w:rsidRDefault="009268CB" w:rsidP="00832F57">
      <w:pPr>
        <w:pStyle w:val="3-BodyText"/>
        <w:numPr>
          <w:ilvl w:val="0"/>
          <w:numId w:val="20"/>
        </w:numPr>
        <w:rPr>
          <w:bCs/>
        </w:rPr>
      </w:pPr>
      <w:r>
        <w:rPr>
          <w:bCs/>
          <w:lang w:val="en-US"/>
        </w:rPr>
        <w:t xml:space="preserve">if there is an increase in the </w:t>
      </w:r>
      <w:r w:rsidR="00C622AB">
        <w:rPr>
          <w:bCs/>
          <w:lang w:val="en-US"/>
        </w:rPr>
        <w:t>t</w:t>
      </w:r>
      <w:r>
        <w:rPr>
          <w:bCs/>
          <w:lang w:val="en-US"/>
        </w:rPr>
        <w:t xml:space="preserve">pCR, whether this increase leads to </w:t>
      </w:r>
      <w:r w:rsidR="009A72CB" w:rsidRPr="003D14E8">
        <w:rPr>
          <w:bCs/>
          <w:lang w:val="en-US"/>
        </w:rPr>
        <w:t>improved PFS</w:t>
      </w:r>
      <w:r w:rsidR="00832F57">
        <w:rPr>
          <w:bCs/>
          <w:lang w:val="en-US"/>
        </w:rPr>
        <w:t xml:space="preserve"> or</w:t>
      </w:r>
      <w:r w:rsidR="00F27E43">
        <w:rPr>
          <w:bCs/>
          <w:lang w:val="en-US"/>
        </w:rPr>
        <w:t xml:space="preserve"> </w:t>
      </w:r>
      <w:r w:rsidR="009A72CB" w:rsidRPr="003D14E8">
        <w:rPr>
          <w:bCs/>
          <w:lang w:val="en-US"/>
        </w:rPr>
        <w:t>DFS</w:t>
      </w:r>
      <w:r w:rsidR="00F27E43">
        <w:rPr>
          <w:bCs/>
          <w:lang w:val="en-US"/>
        </w:rPr>
        <w:t xml:space="preserve"> </w:t>
      </w:r>
      <w:r w:rsidR="00C622AB">
        <w:rPr>
          <w:bCs/>
          <w:lang w:val="en-US"/>
        </w:rPr>
        <w:t>over the current treatment algorithm which includes adjuvant T-DM1</w:t>
      </w:r>
      <w:r w:rsidR="00F27E43">
        <w:rPr>
          <w:bCs/>
          <w:lang w:val="en-US"/>
        </w:rPr>
        <w:t xml:space="preserve"> </w:t>
      </w:r>
    </w:p>
    <w:p w:rsidR="003F385F" w:rsidRPr="00E83231" w:rsidRDefault="003F385F" w:rsidP="00E83231">
      <w:pPr>
        <w:widowControl w:val="0"/>
        <w:numPr>
          <w:ilvl w:val="1"/>
          <w:numId w:val="4"/>
        </w:numPr>
        <w:spacing w:after="120"/>
        <w:rPr>
          <w:rFonts w:asciiTheme="minorHAnsi" w:hAnsiTheme="minorHAnsi"/>
          <w:bCs/>
          <w:snapToGrid w:val="0"/>
          <w:lang w:val="en-GB"/>
        </w:rPr>
      </w:pPr>
      <w:r w:rsidRPr="00E83231">
        <w:rPr>
          <w:rFonts w:asciiTheme="minorHAnsi" w:hAnsiTheme="minorHAnsi"/>
          <w:bCs/>
          <w:snapToGrid w:val="0"/>
          <w:lang w:val="en-GB"/>
        </w:rPr>
        <w:t>The PBAC noted that this submission is elig</w:t>
      </w:r>
      <w:r w:rsidR="006058BA" w:rsidRPr="00E83231">
        <w:rPr>
          <w:rFonts w:asciiTheme="minorHAnsi" w:hAnsiTheme="minorHAnsi"/>
          <w:bCs/>
          <w:snapToGrid w:val="0"/>
          <w:lang w:val="en-GB"/>
        </w:rPr>
        <w:t>ible for an Independent Review.</w:t>
      </w:r>
    </w:p>
    <w:p w:rsidR="003F385F" w:rsidRPr="00525B39" w:rsidRDefault="003F385F" w:rsidP="006058BA">
      <w:pPr>
        <w:widowControl w:val="0"/>
        <w:spacing w:after="120"/>
        <w:rPr>
          <w:rFonts w:asciiTheme="minorHAnsi" w:hAnsiTheme="minorHAnsi"/>
          <w:b/>
          <w:bCs/>
          <w:snapToGrid w:val="0"/>
          <w:lang w:val="en-GB"/>
        </w:rPr>
      </w:pPr>
      <w:r w:rsidRPr="00525B39">
        <w:rPr>
          <w:rFonts w:asciiTheme="minorHAnsi" w:hAnsiTheme="minorHAnsi"/>
          <w:b/>
          <w:bCs/>
          <w:snapToGrid w:val="0"/>
          <w:lang w:val="en-GB"/>
        </w:rPr>
        <w:t>Outcome:</w:t>
      </w:r>
    </w:p>
    <w:p w:rsidR="00560B2B" w:rsidRDefault="00FE4A18" w:rsidP="00554C01">
      <w:pPr>
        <w:rPr>
          <w:rFonts w:asciiTheme="minorHAnsi" w:hAnsiTheme="minorHAnsi"/>
          <w:bCs/>
          <w:snapToGrid w:val="0"/>
          <w:lang w:val="en-GB"/>
        </w:rPr>
      </w:pPr>
      <w:r>
        <w:rPr>
          <w:rFonts w:asciiTheme="minorHAnsi" w:hAnsiTheme="minorHAnsi"/>
          <w:bCs/>
          <w:snapToGrid w:val="0"/>
          <w:lang w:val="en-GB"/>
        </w:rPr>
        <w:t>Rejected</w:t>
      </w:r>
      <w:bookmarkEnd w:id="0"/>
      <w:bookmarkEnd w:id="78"/>
    </w:p>
    <w:p w:rsidR="0024151B" w:rsidRDefault="0024151B" w:rsidP="00554C01">
      <w:pPr>
        <w:rPr>
          <w:rFonts w:asciiTheme="minorHAnsi" w:hAnsiTheme="minorHAnsi"/>
          <w:bCs/>
          <w:snapToGrid w:val="0"/>
          <w:lang w:val="en-GB"/>
        </w:rPr>
      </w:pPr>
    </w:p>
    <w:p w:rsidR="0024151B" w:rsidRPr="00920A65" w:rsidRDefault="0024151B" w:rsidP="0024151B">
      <w:pPr>
        <w:pStyle w:val="PBACHeading1"/>
        <w:numPr>
          <w:ilvl w:val="0"/>
          <w:numId w:val="4"/>
        </w:numPr>
        <w:spacing w:before="240" w:after="120"/>
        <w:ind w:left="709" w:hanging="709"/>
        <w:jc w:val="both"/>
        <w:rPr>
          <w:rFonts w:asciiTheme="minorHAnsi" w:hAnsiTheme="minorHAnsi"/>
          <w:szCs w:val="32"/>
        </w:rPr>
      </w:pPr>
      <w:r w:rsidRPr="00920A65">
        <w:rPr>
          <w:rFonts w:asciiTheme="minorHAnsi" w:hAnsiTheme="minorHAnsi"/>
          <w:szCs w:val="32"/>
        </w:rPr>
        <w:t>Context for Decision</w:t>
      </w:r>
    </w:p>
    <w:p w:rsidR="0024151B" w:rsidRPr="007129F2" w:rsidRDefault="0024151B" w:rsidP="0024151B">
      <w:pPr>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bCs/>
          <w:lang w:val="en-GB"/>
        </w:rPr>
        <w:t>should be made</w:t>
      </w:r>
      <w:proofErr w:type="gramEnd"/>
      <w:r w:rsidRPr="007129F2">
        <w:rPr>
          <w:rFonts w:asciiTheme="minorHAnsi" w:hAnsiTheme="minorHAnsi"/>
          <w:bCs/>
          <w:lang w:val="en-GB"/>
        </w:rPr>
        <w:t xml:space="preserve"> available through the PBS. The PBAC welcomes applications containing new information at any time.</w:t>
      </w:r>
    </w:p>
    <w:p w:rsidR="0024151B" w:rsidRDefault="0024151B" w:rsidP="0024151B">
      <w:pPr>
        <w:rPr>
          <w:rFonts w:cs="Calibri"/>
        </w:rPr>
      </w:pPr>
    </w:p>
    <w:p w:rsidR="0024151B" w:rsidRPr="00920A65" w:rsidRDefault="0024151B" w:rsidP="0024151B">
      <w:pPr>
        <w:pStyle w:val="PBACHeading1"/>
        <w:numPr>
          <w:ilvl w:val="0"/>
          <w:numId w:val="4"/>
        </w:numPr>
        <w:spacing w:before="240" w:after="120"/>
        <w:ind w:left="709" w:hanging="709"/>
        <w:jc w:val="both"/>
        <w:rPr>
          <w:rFonts w:asciiTheme="minorHAnsi" w:hAnsiTheme="minorHAnsi"/>
          <w:szCs w:val="32"/>
        </w:rPr>
      </w:pPr>
      <w:bookmarkStart w:id="79" w:name="_GoBack"/>
      <w:bookmarkEnd w:id="79"/>
      <w:r w:rsidRPr="00920A65">
        <w:rPr>
          <w:rFonts w:asciiTheme="minorHAnsi" w:hAnsiTheme="minorHAnsi"/>
          <w:szCs w:val="32"/>
        </w:rPr>
        <w:t>Sponsor’s Comment</w:t>
      </w:r>
    </w:p>
    <w:p w:rsidR="0023530E" w:rsidRPr="0023530E" w:rsidRDefault="0023530E" w:rsidP="0023530E">
      <w:pPr>
        <w:spacing w:after="120"/>
        <w:rPr>
          <w:rFonts w:asciiTheme="minorHAnsi" w:hAnsiTheme="minorHAnsi" w:cstheme="minorHAnsi"/>
          <w:bCs/>
        </w:rPr>
      </w:pPr>
      <w:r w:rsidRPr="0023530E">
        <w:rPr>
          <w:rFonts w:asciiTheme="minorHAnsi" w:hAnsiTheme="minorHAnsi" w:cstheme="minorHAnsi"/>
          <w:bCs/>
          <w:iCs/>
          <w:color w:val="222222"/>
          <w:shd w:val="clear" w:color="auto" w:fill="FFFFFF"/>
        </w:rPr>
        <w:t>Roche is disappointed with the outcome and is committed to working with the PBAC to ensure that Australian patients with early breast cancer can access the optimal anti-HER2 neoadjuvant therapy.</w:t>
      </w:r>
    </w:p>
    <w:p w:rsidR="0024151B" w:rsidRPr="007E4647" w:rsidRDefault="0024151B" w:rsidP="00554C01">
      <w:pPr>
        <w:rPr>
          <w:rFonts w:asciiTheme="minorHAnsi" w:hAnsiTheme="minorHAnsi"/>
          <w:bCs/>
          <w:snapToGrid w:val="0"/>
          <w:lang w:val="en-GB"/>
        </w:rPr>
      </w:pPr>
    </w:p>
    <w:sectPr w:rsidR="0024151B" w:rsidRPr="007E4647" w:rsidSect="006A17D9">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302F39" w16cid:durableId="22403932"/>
  <w16cid:commentId w16cid:paraId="0E0FA787" w16cid:durableId="224039C3"/>
  <w16cid:commentId w16cid:paraId="5432A71A" w16cid:durableId="22403A18"/>
  <w16cid:commentId w16cid:paraId="410110E9" w16cid:durableId="224037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857" w:rsidRDefault="00E81857" w:rsidP="00124A51">
      <w:r>
        <w:separator/>
      </w:r>
    </w:p>
    <w:p w:rsidR="00E81857" w:rsidRDefault="00E81857"/>
  </w:endnote>
  <w:endnote w:type="continuationSeparator" w:id="0">
    <w:p w:rsidR="00E81857" w:rsidRDefault="00E81857" w:rsidP="00124A51">
      <w:r>
        <w:continuationSeparator/>
      </w:r>
    </w:p>
    <w:p w:rsidR="00E81857" w:rsidRDefault="00E81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7" w:rsidRDefault="00E81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01C" w:rsidRDefault="00C0401C" w:rsidP="0091419F">
    <w:pPr>
      <w:pStyle w:val="Footer"/>
      <w:jc w:val="center"/>
    </w:pPr>
  </w:p>
  <w:p w:rsidR="00C0401C" w:rsidRPr="0091419F" w:rsidRDefault="00F4482D" w:rsidP="0091419F">
    <w:pPr>
      <w:pStyle w:val="Footer"/>
      <w:jc w:val="center"/>
      <w:rPr>
        <w:b/>
      </w:rPr>
    </w:pPr>
    <w:sdt>
      <w:sdtPr>
        <w:id w:val="-1126317969"/>
        <w:docPartObj>
          <w:docPartGallery w:val="Page Numbers (Bottom of Page)"/>
          <w:docPartUnique/>
        </w:docPartObj>
      </w:sdtPr>
      <w:sdtEndPr>
        <w:rPr>
          <w:b/>
          <w:noProof/>
        </w:rPr>
      </w:sdtEndPr>
      <w:sdtContent>
        <w:r w:rsidR="00C0401C" w:rsidRPr="00DF090C">
          <w:rPr>
            <w:b/>
          </w:rPr>
          <w:fldChar w:fldCharType="begin"/>
        </w:r>
        <w:r w:rsidR="00C0401C" w:rsidRPr="00DF090C">
          <w:rPr>
            <w:b/>
          </w:rPr>
          <w:instrText xml:space="preserve"> PAGE   \* MERGEFORMAT </w:instrText>
        </w:r>
        <w:r w:rsidR="00C0401C" w:rsidRPr="00DF090C">
          <w:rPr>
            <w:b/>
          </w:rPr>
          <w:fldChar w:fldCharType="separate"/>
        </w:r>
        <w:r>
          <w:rPr>
            <w:b/>
            <w:noProof/>
          </w:rPr>
          <w:t>21</w:t>
        </w:r>
        <w:r w:rsidR="00C0401C" w:rsidRPr="00DF090C">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7" w:rsidRDefault="00E81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857" w:rsidRDefault="00E81857" w:rsidP="00124A51">
      <w:r>
        <w:separator/>
      </w:r>
    </w:p>
    <w:p w:rsidR="00E81857" w:rsidRDefault="00E81857"/>
  </w:footnote>
  <w:footnote w:type="continuationSeparator" w:id="0">
    <w:p w:rsidR="00E81857" w:rsidRDefault="00E81857" w:rsidP="00124A51">
      <w:r>
        <w:continuationSeparator/>
      </w:r>
    </w:p>
    <w:p w:rsidR="00E81857" w:rsidRDefault="00E81857"/>
  </w:footnote>
  <w:footnote w:id="1">
    <w:p w:rsidR="00C0401C" w:rsidRDefault="00C0401C" w:rsidP="003B252B">
      <w:pPr>
        <w:pStyle w:val="TableFigureFooter"/>
      </w:pPr>
      <w:r>
        <w:rPr>
          <w:rStyle w:val="FootnoteReference"/>
        </w:rPr>
        <w:footnoteRef/>
      </w:r>
      <w:r>
        <w:t xml:space="preserve"> Males represent 0.84% of all the newly diagnosed breast cancer in Australia in 2019.</w:t>
      </w:r>
    </w:p>
  </w:footnote>
  <w:footnote w:id="2">
    <w:p w:rsidR="00C0401C" w:rsidRDefault="00C0401C" w:rsidP="003B252B">
      <w:pPr>
        <w:pStyle w:val="TableFigureFooter"/>
      </w:pPr>
      <w:r>
        <w:rPr>
          <w:rStyle w:val="FootnoteReference"/>
        </w:rPr>
        <w:footnoteRef/>
      </w:r>
      <w:r>
        <w:t xml:space="preserve"> Males represent 1.04% of all deaths from breast cancer in Australia in 2019.</w:t>
      </w:r>
    </w:p>
  </w:footnote>
  <w:footnote w:id="3">
    <w:p w:rsidR="00C0401C" w:rsidRPr="00715A51" w:rsidRDefault="00C0401C" w:rsidP="003B252B">
      <w:pPr>
        <w:pStyle w:val="TableFigureFooter"/>
      </w:pPr>
      <w:r>
        <w:rPr>
          <w:rStyle w:val="FootnoteReference"/>
        </w:rPr>
        <w:footnoteRef/>
      </w:r>
      <w:r>
        <w:t xml:space="preserve"> </w:t>
      </w:r>
      <w:r w:rsidRPr="00715A51">
        <w:rPr>
          <w:i/>
          <w:iCs/>
        </w:rPr>
        <w:t>Breast cancer in Australia statistics</w:t>
      </w:r>
      <w:r>
        <w:t xml:space="preserve">, Cancer Australia, accessed 17 January 2019, </w:t>
      </w:r>
      <w:hyperlink r:id="rId1" w:tooltip="Breast cancer in Australia statistics, Cancer Australia, accessed 17 January 2019" w:history="1">
        <w:r w:rsidRPr="00726A3C">
          <w:rPr>
            <w:rStyle w:val="Hyperlink"/>
          </w:rPr>
          <w:t>https://breast-cancer.canceraustralia.gov.au/statistics</w:t>
        </w:r>
      </w:hyperlink>
      <w:r>
        <w:t xml:space="preserve">. </w:t>
      </w:r>
    </w:p>
  </w:footnote>
  <w:footnote w:id="4">
    <w:p w:rsidR="00C0401C" w:rsidRDefault="00C0401C">
      <w:pPr>
        <w:pStyle w:val="FootnoteText"/>
      </w:pPr>
      <w:r>
        <w:rPr>
          <w:rStyle w:val="FootnoteReference"/>
        </w:rPr>
        <w:footnoteRef/>
      </w:r>
      <w:r>
        <w:t xml:space="preserve"> </w:t>
      </w:r>
      <w:r w:rsidRPr="00045B24">
        <w:rPr>
          <w:rFonts w:ascii="Arial Narrow" w:hAnsi="Arial Narrow"/>
          <w:bCs/>
          <w:snapToGrid w:val="0"/>
          <w:sz w:val="18"/>
          <w:szCs w:val="18"/>
        </w:rPr>
        <w:t>Cherny NI, Dafni U, Bogaerts J, et al: ESMO-Magnitude of Clinical Benefit Scale version 1.1. Annals of Oncology 28:2340-2366, 2017</w:t>
      </w:r>
    </w:p>
  </w:footnote>
  <w:footnote w:id="5">
    <w:p w:rsidR="00C0401C" w:rsidRDefault="00C0401C" w:rsidP="00872AAD">
      <w:pPr>
        <w:pStyle w:val="TableFigureFooter"/>
      </w:pPr>
      <w:r>
        <w:rPr>
          <w:rStyle w:val="FootnoteReference"/>
        </w:rPr>
        <w:footnoteRef/>
      </w:r>
      <w:r>
        <w:t xml:space="preserve"> </w:t>
      </w:r>
      <w:r w:rsidRPr="002B1DF7">
        <w:t>An IRC consisted of independent experts who were not involved in the study (including three pathologists) was used to evaluate the pathologic response. The IRC remains blinded to the treatment assignment for the formal efficacy analyses. The Sponsor remains blinded to the IRC assessments (p9, Statistical Analysis Plan YO28762, July 2017).</w:t>
      </w:r>
    </w:p>
  </w:footnote>
  <w:footnote w:id="6">
    <w:p w:rsidR="00C0401C" w:rsidRDefault="00C0401C" w:rsidP="00691783">
      <w:pPr>
        <w:pStyle w:val="TableFigureFooter"/>
      </w:pPr>
      <w:r>
        <w:rPr>
          <w:rStyle w:val="FootnoteReference"/>
        </w:rPr>
        <w:footnoteRef/>
      </w:r>
      <w:r>
        <w:t xml:space="preserve"> 0.84% of the patients newly diagnosed with breast cancer were men and 1.04% of deaths from breast cancer were men in Australia in 2019.</w:t>
      </w:r>
    </w:p>
  </w:footnote>
  <w:footnote w:id="7">
    <w:p w:rsidR="00C0401C" w:rsidRDefault="00C0401C" w:rsidP="008D7559">
      <w:pPr>
        <w:pStyle w:val="FootnoteText"/>
      </w:pPr>
      <w:r>
        <w:rPr>
          <w:rStyle w:val="FootnoteReference"/>
        </w:rPr>
        <w:footnoteRef/>
      </w:r>
      <w:r>
        <w:t xml:space="preserve"> </w:t>
      </w:r>
      <w:proofErr w:type="spellStart"/>
      <w:r w:rsidRPr="00695C16">
        <w:rPr>
          <w:rFonts w:ascii="Arial Narrow" w:hAnsi="Arial Narrow"/>
          <w:snapToGrid w:val="0"/>
          <w:sz w:val="18"/>
          <w:szCs w:val="22"/>
        </w:rPr>
        <w:t>Robidoux</w:t>
      </w:r>
      <w:proofErr w:type="spellEnd"/>
      <w:r w:rsidRPr="00695C16">
        <w:rPr>
          <w:rFonts w:ascii="Arial Narrow" w:hAnsi="Arial Narrow"/>
          <w:snapToGrid w:val="0"/>
          <w:sz w:val="18"/>
          <w:szCs w:val="22"/>
        </w:rPr>
        <w:t xml:space="preserve"> A, Tang G, Rastogi P, et al: Lapatinib as a component of neoadjuvant therapy for HER2-positive operable breast cancer (NSABP protocol B-41): An open-label, randomised phase 3 trial. Lancet Oncol 14:1183-1192, 2013</w:t>
      </w:r>
    </w:p>
  </w:footnote>
  <w:footnote w:id="8">
    <w:p w:rsidR="00C0401C" w:rsidRDefault="00C0401C" w:rsidP="008D7559">
      <w:pPr>
        <w:shd w:val="clear" w:color="auto" w:fill="FFFFFF"/>
        <w:jc w:val="left"/>
      </w:pPr>
      <w:r>
        <w:rPr>
          <w:rStyle w:val="FootnoteReference"/>
        </w:rPr>
        <w:footnoteRef/>
      </w:r>
      <w:r>
        <w:t xml:space="preserve"> </w:t>
      </w:r>
      <w:r w:rsidRPr="006712C0">
        <w:rPr>
          <w:rFonts w:ascii="Arial Narrow" w:hAnsi="Arial Narrow"/>
          <w:snapToGrid w:val="0"/>
          <w:sz w:val="18"/>
          <w:szCs w:val="22"/>
        </w:rPr>
        <w:t>Buzdar, A. et al. ACOSOG Z1041 (Alliance): Definitive analysis of randomized neoadjuvant trial comparing FEC followed by paclitaxel plus trastuzumab (FEC → P+T) with paclitaxel plus trastuzumab followed by FEC plus trastuzumab (P+T → FEC+T) in HER2+ operable breast cancer. Journal of Clinical Oncology 2013 31:15_suppl, 502-502</w:t>
      </w:r>
    </w:p>
  </w:footnote>
  <w:footnote w:id="9">
    <w:p w:rsidR="00C0401C" w:rsidRDefault="00C0401C" w:rsidP="00872AAD">
      <w:pPr>
        <w:pStyle w:val="TableFigureFooter"/>
      </w:pPr>
      <w:r>
        <w:rPr>
          <w:rStyle w:val="FootnoteReference"/>
        </w:rPr>
        <w:footnoteRef/>
      </w:r>
      <w:r>
        <w:t xml:space="preserve"> TGA (2016) Australian Public Assessment Report (AusPAR) for Pertuzumab, p19.</w:t>
      </w:r>
    </w:p>
  </w:footnote>
  <w:footnote w:id="10">
    <w:p w:rsidR="00C0401C" w:rsidRDefault="00C0401C" w:rsidP="00C13FC7">
      <w:pPr>
        <w:pStyle w:val="TableFigureFooter"/>
      </w:pPr>
      <w:r>
        <w:rPr>
          <w:rStyle w:val="FootnoteReference"/>
        </w:rPr>
        <w:footnoteRef/>
      </w:r>
      <w:r>
        <w:t xml:space="preserve"> </w:t>
      </w:r>
      <w:r w:rsidRPr="00C13FC7">
        <w:t xml:space="preserve">Tumour response </w:t>
      </w:r>
      <w:proofErr w:type="gramStart"/>
      <w:r w:rsidRPr="00C13FC7">
        <w:t>was evaluated</w:t>
      </w:r>
      <w:proofErr w:type="gramEnd"/>
      <w:r w:rsidRPr="00C13FC7">
        <w:t xml:space="preserve"> according to </w:t>
      </w:r>
      <w:r>
        <w:t>Response Evaluation Criteria in Solid Tumours (</w:t>
      </w:r>
      <w:r w:rsidRPr="00C13FC7">
        <w:t>RECIST</w:t>
      </w:r>
      <w:r>
        <w:t>)</w:t>
      </w:r>
      <w:r w:rsidRPr="00C13FC7">
        <w:t xml:space="preserve"> v1.0 in NEOSPHERE and RECIST v1.1 in PEONY. There was a change of definition for complete response in RECIST v1.1. In RECIST v1.0, lymph nodes with respect to complete response want addressed. In RECIST v1.1, complete response was defined </w:t>
      </w:r>
      <w:proofErr w:type="gramStart"/>
      <w:r w:rsidRPr="00C13FC7">
        <w:t>as:</w:t>
      </w:r>
      <w:proofErr w:type="gramEnd"/>
      <w:r w:rsidRPr="00C13FC7">
        <w:t xml:space="preserve"> for target lesions, disappearance of all target lesions, any pathological lymph nodes (whether target or non-target) must have reduction in short axis to &lt;10 mm (the sum may not be “0” if there are target nodes). For non-target </w:t>
      </w:r>
      <w:r>
        <w:t>l</w:t>
      </w:r>
      <w:r w:rsidRPr="00C13FC7">
        <w:t xml:space="preserve">esions: disappearance of all non-target lesions and normalization of tumour marker level. All lymph nodes must be non-pathological in size (&lt; 10 mm short axis). Non-complete response/non-progressive disease </w:t>
      </w:r>
      <w:proofErr w:type="gramStart"/>
      <w:r w:rsidRPr="00C13FC7">
        <w:t>was defined</w:t>
      </w:r>
      <w:proofErr w:type="gramEnd"/>
      <w:r w:rsidRPr="00C13FC7">
        <w:t xml:space="preserve"> as persistence of </w:t>
      </w:r>
      <w:r>
        <w:t>one</w:t>
      </w:r>
      <w:r w:rsidRPr="00C13FC7">
        <w:t xml:space="preserve"> or more non-target lesion(s) and/or maintenance of tumour marker level above the normal limits (source: RECIST, available at: </w:t>
      </w:r>
      <w:hyperlink r:id="rId2" w:tooltip="source: RECIST" w:history="1">
        <w:r w:rsidRPr="00C13FC7">
          <w:rPr>
            <w:rStyle w:val="Hyperlink"/>
          </w:rPr>
          <w:t>http://www.irrecist.com/recist/recist-comparative/10.html</w:t>
        </w:r>
      </w:hyperlink>
      <w:r w:rsidRPr="00C13FC7">
        <w:t>; accessed 6 January 2020).</w:t>
      </w:r>
    </w:p>
  </w:footnote>
  <w:footnote w:id="11">
    <w:p w:rsidR="00C0401C" w:rsidRDefault="00C0401C" w:rsidP="00BE0C0A">
      <w:pPr>
        <w:pStyle w:val="TableFigureFooter"/>
        <w:spacing w:after="0"/>
      </w:pPr>
      <w:r>
        <w:rPr>
          <w:rStyle w:val="FootnoteReference"/>
        </w:rPr>
        <w:footnoteRef/>
      </w:r>
      <w:r>
        <w:t xml:space="preserve"> The primary efficacy objective of PEONY was to evaluate the IRC-determined tpCR rates. The primary efficacy analysis occurred when all patients who were eligible for surgery had completed surgical treatment with the assessment of pathological response (i.e. after neoadjuvant treatment and surgery) (p3, Protocol YO28762, Version 4, December 2016).</w:t>
      </w:r>
    </w:p>
  </w:footnote>
  <w:footnote w:id="12">
    <w:p w:rsidR="00C0401C" w:rsidRPr="00BE0C0A" w:rsidRDefault="00C0401C" w:rsidP="000808F6">
      <w:pPr>
        <w:pStyle w:val="FootnoteText"/>
        <w:rPr>
          <w:rFonts w:ascii="Arial Narrow" w:hAnsi="Arial Narrow"/>
          <w:sz w:val="18"/>
          <w:szCs w:val="18"/>
          <w:lang w:val="en-US"/>
        </w:rPr>
      </w:pPr>
      <w:r w:rsidRPr="00BE0C0A">
        <w:rPr>
          <w:rStyle w:val="FootnoteReference"/>
          <w:rFonts w:ascii="Arial Narrow" w:hAnsi="Arial Narrow"/>
          <w:sz w:val="18"/>
          <w:szCs w:val="18"/>
        </w:rPr>
        <w:footnoteRef/>
      </w:r>
      <w:r w:rsidRPr="00BE0C0A">
        <w:rPr>
          <w:rFonts w:ascii="Arial Narrow" w:hAnsi="Arial Narrow"/>
          <w:sz w:val="18"/>
          <w:szCs w:val="18"/>
        </w:rPr>
        <w:t xml:space="preserve"> Spring L, et al.: Pathological complete response after neoadjuvant chemotherapy and impact on breast cancer recurrence and survival, stratified by breast cancer subtypes and adjuvant chemotherapy usage. 2018 San Antonio Breast Cancer Symposium. Abstract GS2-03. Presented December 5, 2018.</w:t>
      </w:r>
    </w:p>
  </w:footnote>
  <w:footnote w:id="13">
    <w:p w:rsidR="00C0401C" w:rsidRPr="00BE0C0A" w:rsidRDefault="00C0401C" w:rsidP="00581603">
      <w:pPr>
        <w:pStyle w:val="EndNoteBibliography"/>
        <w:spacing w:after="0"/>
        <w:rPr>
          <w:rFonts w:ascii="Arial Narrow" w:hAnsi="Arial Narrow"/>
          <w:sz w:val="18"/>
          <w:szCs w:val="18"/>
        </w:rPr>
      </w:pPr>
      <w:r w:rsidRPr="00BE0C0A">
        <w:rPr>
          <w:rStyle w:val="FootnoteReference"/>
          <w:rFonts w:ascii="Arial Narrow" w:hAnsi="Arial Narrow"/>
          <w:sz w:val="18"/>
          <w:szCs w:val="18"/>
        </w:rPr>
        <w:footnoteRef/>
      </w:r>
      <w:r w:rsidRPr="00BE0C0A">
        <w:rPr>
          <w:rFonts w:ascii="Arial Narrow" w:hAnsi="Arial Narrow"/>
          <w:sz w:val="18"/>
          <w:szCs w:val="18"/>
        </w:rPr>
        <w:t xml:space="preserve"> </w:t>
      </w:r>
      <w:r w:rsidRPr="00BE0C0A">
        <w:rPr>
          <w:rFonts w:ascii="Arial Narrow" w:eastAsia="Times New Roman" w:hAnsi="Arial Narrow" w:cs="Arial"/>
          <w:noProof w:val="0"/>
          <w:sz w:val="18"/>
          <w:szCs w:val="18"/>
          <w:lang w:eastAsia="en-AU"/>
        </w:rPr>
        <w:t>Cortazar P, Zhang L, Untch M, et al. Pathological complete response and long-term clinical benefit in breast cancer: the CTNeoBC pooled analysis. The Lancet. 2014</w:t>
      </w:r>
      <w:proofErr w:type="gramStart"/>
      <w:r w:rsidRPr="00BE0C0A">
        <w:rPr>
          <w:rFonts w:ascii="Arial Narrow" w:eastAsia="Times New Roman" w:hAnsi="Arial Narrow" w:cs="Arial"/>
          <w:noProof w:val="0"/>
          <w:sz w:val="18"/>
          <w:szCs w:val="18"/>
          <w:lang w:eastAsia="en-AU"/>
        </w:rPr>
        <w:t>;384</w:t>
      </w:r>
      <w:proofErr w:type="gramEnd"/>
      <w:r w:rsidRPr="00BE0C0A">
        <w:rPr>
          <w:rFonts w:ascii="Arial Narrow" w:eastAsia="Times New Roman" w:hAnsi="Arial Narrow" w:cs="Arial"/>
          <w:noProof w:val="0"/>
          <w:sz w:val="18"/>
          <w:szCs w:val="18"/>
          <w:lang w:eastAsia="en-AU"/>
        </w:rPr>
        <w:t>(9938):164-72.</w:t>
      </w:r>
    </w:p>
    <w:p w:rsidR="00C0401C" w:rsidRDefault="00C0401C">
      <w:pPr>
        <w:pStyle w:val="FootnoteText"/>
      </w:pPr>
    </w:p>
  </w:footnote>
  <w:footnote w:id="14">
    <w:p w:rsidR="00C0401C" w:rsidRDefault="00C0401C" w:rsidP="006A06B5">
      <w:pPr>
        <w:pStyle w:val="TableFigureFooter"/>
      </w:pPr>
      <w:r>
        <w:rPr>
          <w:rStyle w:val="FootnoteReference"/>
        </w:rPr>
        <w:footnoteRef/>
      </w:r>
      <w:r>
        <w:t xml:space="preserve"> P</w:t>
      </w:r>
      <w:r w:rsidRPr="00581603">
        <w:rPr>
          <w:rFonts w:ascii="Calibri" w:hAnsi="Calibri"/>
          <w:snapToGrid/>
          <w:sz w:val="20"/>
          <w:szCs w:val="20"/>
        </w:rPr>
        <w:t>age 154 in Final CSR WO20697 (Report No. 1062325).</w:t>
      </w:r>
    </w:p>
  </w:footnote>
  <w:footnote w:id="15">
    <w:p w:rsidR="00C0401C" w:rsidRDefault="00C0401C" w:rsidP="00EE4704">
      <w:pPr>
        <w:pStyle w:val="TableFigureFooter"/>
      </w:pPr>
      <w:r>
        <w:rPr>
          <w:rStyle w:val="FootnoteReference"/>
        </w:rPr>
        <w:footnoteRef/>
      </w:r>
      <w:r>
        <w:t xml:space="preserve"> Table 2.36, p73 of the submission. </w:t>
      </w:r>
    </w:p>
  </w:footnote>
  <w:footnote w:id="16">
    <w:p w:rsidR="00C0401C" w:rsidRPr="00DE1F99" w:rsidRDefault="00C0401C" w:rsidP="00872AAD">
      <w:pPr>
        <w:pStyle w:val="FootnoteText"/>
        <w:rPr>
          <w:lang w:val="en-US"/>
        </w:rPr>
      </w:pPr>
      <w:r>
        <w:rPr>
          <w:rStyle w:val="FootnoteReference"/>
        </w:rPr>
        <w:footnoteRef/>
      </w:r>
      <w:r>
        <w:t xml:space="preserve"> DUSC (February 2018) Medicines for the treatment of HER2 positive metastatic breast cancer: predicted versus actual analysis</w:t>
      </w:r>
    </w:p>
  </w:footnote>
  <w:footnote w:id="17">
    <w:p w:rsidR="00C0401C" w:rsidRPr="00DE1F99" w:rsidRDefault="00C0401C" w:rsidP="00872AAD">
      <w:pPr>
        <w:pStyle w:val="FootnoteText"/>
        <w:rPr>
          <w:lang w:val="en-US"/>
        </w:rPr>
      </w:pPr>
      <w:r>
        <w:rPr>
          <w:rStyle w:val="FootnoteReference"/>
        </w:rPr>
        <w:footnoteRef/>
      </w:r>
      <w:r>
        <w:t xml:space="preserve"> DUSC (February 2018) Medicines for the treatment of HER2 positive metastatic breast cancer: predicted versus actual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7" w:rsidRDefault="00E81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01C" w:rsidRDefault="00C0401C" w:rsidP="0024151B">
    <w:pPr>
      <w:tabs>
        <w:tab w:val="left" w:pos="142"/>
        <w:tab w:val="right" w:pos="9027"/>
      </w:tabs>
      <w:jc w:val="center"/>
      <w:rPr>
        <w:i/>
      </w:rPr>
    </w:pPr>
    <w:r>
      <w:rPr>
        <w:i/>
      </w:rPr>
      <w:t>Public Summary Document</w:t>
    </w:r>
    <w:r w:rsidRPr="00DF090C">
      <w:rPr>
        <w:i/>
      </w:rPr>
      <w:t xml:space="preserve"> – March 2020 PBAC Meeting</w:t>
    </w:r>
  </w:p>
  <w:p w:rsidR="00C0401C" w:rsidRPr="0024151B" w:rsidRDefault="00C0401C" w:rsidP="0024151B">
    <w:pPr>
      <w:tabs>
        <w:tab w:val="left" w:pos="142"/>
        <w:tab w:val="right" w:pos="9027"/>
      </w:tabs>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7" w:rsidRDefault="00E81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AE4C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5400F"/>
    <w:multiLevelType w:val="hybridMultilevel"/>
    <w:tmpl w:val="948436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C071C96"/>
    <w:multiLevelType w:val="hybridMultilevel"/>
    <w:tmpl w:val="9850C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F24E3"/>
    <w:multiLevelType w:val="hybridMultilevel"/>
    <w:tmpl w:val="841C9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C250BB"/>
    <w:multiLevelType w:val="hybridMultilevel"/>
    <w:tmpl w:val="D92AC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D527C3"/>
    <w:multiLevelType w:val="hybridMultilevel"/>
    <w:tmpl w:val="612C3CD0"/>
    <w:lvl w:ilvl="0" w:tplc="C8CCE12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79782B"/>
    <w:multiLevelType w:val="hybridMultilevel"/>
    <w:tmpl w:val="DFDCBC52"/>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22" w:hanging="360"/>
      </w:pPr>
    </w:lvl>
    <w:lvl w:ilvl="2" w:tplc="0C09001B" w:tentative="1">
      <w:start w:val="1"/>
      <w:numFmt w:val="lowerRoman"/>
      <w:lvlText w:val="%3."/>
      <w:lvlJc w:val="right"/>
      <w:pPr>
        <w:ind w:left="742" w:hanging="180"/>
      </w:pPr>
    </w:lvl>
    <w:lvl w:ilvl="3" w:tplc="0C09000F" w:tentative="1">
      <w:start w:val="1"/>
      <w:numFmt w:val="decimal"/>
      <w:lvlText w:val="%4."/>
      <w:lvlJc w:val="left"/>
      <w:pPr>
        <w:ind w:left="1462" w:hanging="360"/>
      </w:pPr>
    </w:lvl>
    <w:lvl w:ilvl="4" w:tplc="0C090019" w:tentative="1">
      <w:start w:val="1"/>
      <w:numFmt w:val="lowerLetter"/>
      <w:lvlText w:val="%5."/>
      <w:lvlJc w:val="left"/>
      <w:pPr>
        <w:ind w:left="2182" w:hanging="360"/>
      </w:pPr>
    </w:lvl>
    <w:lvl w:ilvl="5" w:tplc="0C09001B" w:tentative="1">
      <w:start w:val="1"/>
      <w:numFmt w:val="lowerRoman"/>
      <w:lvlText w:val="%6."/>
      <w:lvlJc w:val="right"/>
      <w:pPr>
        <w:ind w:left="2902" w:hanging="180"/>
      </w:pPr>
    </w:lvl>
    <w:lvl w:ilvl="6" w:tplc="0C09000F" w:tentative="1">
      <w:start w:val="1"/>
      <w:numFmt w:val="decimal"/>
      <w:lvlText w:val="%7."/>
      <w:lvlJc w:val="left"/>
      <w:pPr>
        <w:ind w:left="3622" w:hanging="360"/>
      </w:pPr>
    </w:lvl>
    <w:lvl w:ilvl="7" w:tplc="0C090019" w:tentative="1">
      <w:start w:val="1"/>
      <w:numFmt w:val="lowerLetter"/>
      <w:lvlText w:val="%8."/>
      <w:lvlJc w:val="left"/>
      <w:pPr>
        <w:ind w:left="4342" w:hanging="360"/>
      </w:pPr>
    </w:lvl>
    <w:lvl w:ilvl="8" w:tplc="0C09001B" w:tentative="1">
      <w:start w:val="1"/>
      <w:numFmt w:val="lowerRoman"/>
      <w:lvlText w:val="%9."/>
      <w:lvlJc w:val="right"/>
      <w:pPr>
        <w:ind w:left="5062" w:hanging="180"/>
      </w:pPr>
    </w:lvl>
  </w:abstractNum>
  <w:abstractNum w:abstractNumId="7" w15:restartNumberingAfterBreak="0">
    <w:nsid w:val="281B43C0"/>
    <w:multiLevelType w:val="hybridMultilevel"/>
    <w:tmpl w:val="CE08B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614D39"/>
    <w:multiLevelType w:val="multilevel"/>
    <w:tmpl w:val="B3ECDA20"/>
    <w:lvl w:ilvl="0">
      <w:start w:val="6"/>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367A7A"/>
    <w:multiLevelType w:val="hybridMultilevel"/>
    <w:tmpl w:val="CBA0320A"/>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87629"/>
    <w:multiLevelType w:val="hybridMultilevel"/>
    <w:tmpl w:val="28B2B3E4"/>
    <w:lvl w:ilvl="0" w:tplc="FF483584">
      <w:start w:val="1"/>
      <w:numFmt w:val="bullet"/>
      <w:pStyle w:val="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621496"/>
    <w:multiLevelType w:val="hybridMultilevel"/>
    <w:tmpl w:val="C9CA0442"/>
    <w:lvl w:ilvl="0" w:tplc="FC5CDFC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1C4840"/>
    <w:multiLevelType w:val="hybridMultilevel"/>
    <w:tmpl w:val="F3F6DF04"/>
    <w:lvl w:ilvl="0" w:tplc="53C046EE">
      <w:start w:val="1"/>
      <w:numFmt w:val="bullet"/>
      <w:lvlText w:val="•"/>
      <w:lvlJc w:val="left"/>
      <w:pPr>
        <w:tabs>
          <w:tab w:val="num" w:pos="720"/>
        </w:tabs>
        <w:ind w:left="720" w:hanging="360"/>
      </w:pPr>
      <w:rPr>
        <w:rFonts w:ascii="Arial" w:hAnsi="Arial" w:hint="default"/>
      </w:rPr>
    </w:lvl>
    <w:lvl w:ilvl="1" w:tplc="7638CADC" w:tentative="1">
      <w:start w:val="1"/>
      <w:numFmt w:val="bullet"/>
      <w:lvlText w:val="•"/>
      <w:lvlJc w:val="left"/>
      <w:pPr>
        <w:tabs>
          <w:tab w:val="num" w:pos="1440"/>
        </w:tabs>
        <w:ind w:left="1440" w:hanging="360"/>
      </w:pPr>
      <w:rPr>
        <w:rFonts w:ascii="Arial" w:hAnsi="Arial" w:hint="default"/>
      </w:rPr>
    </w:lvl>
    <w:lvl w:ilvl="2" w:tplc="EE805E02" w:tentative="1">
      <w:start w:val="1"/>
      <w:numFmt w:val="bullet"/>
      <w:lvlText w:val="•"/>
      <w:lvlJc w:val="left"/>
      <w:pPr>
        <w:tabs>
          <w:tab w:val="num" w:pos="2160"/>
        </w:tabs>
        <w:ind w:left="2160" w:hanging="360"/>
      </w:pPr>
      <w:rPr>
        <w:rFonts w:ascii="Arial" w:hAnsi="Arial" w:hint="default"/>
      </w:rPr>
    </w:lvl>
    <w:lvl w:ilvl="3" w:tplc="D496F8AC" w:tentative="1">
      <w:start w:val="1"/>
      <w:numFmt w:val="bullet"/>
      <w:lvlText w:val="•"/>
      <w:lvlJc w:val="left"/>
      <w:pPr>
        <w:tabs>
          <w:tab w:val="num" w:pos="2880"/>
        </w:tabs>
        <w:ind w:left="2880" w:hanging="360"/>
      </w:pPr>
      <w:rPr>
        <w:rFonts w:ascii="Arial" w:hAnsi="Arial" w:hint="default"/>
      </w:rPr>
    </w:lvl>
    <w:lvl w:ilvl="4" w:tplc="9D426386" w:tentative="1">
      <w:start w:val="1"/>
      <w:numFmt w:val="bullet"/>
      <w:lvlText w:val="•"/>
      <w:lvlJc w:val="left"/>
      <w:pPr>
        <w:tabs>
          <w:tab w:val="num" w:pos="3600"/>
        </w:tabs>
        <w:ind w:left="3600" w:hanging="360"/>
      </w:pPr>
      <w:rPr>
        <w:rFonts w:ascii="Arial" w:hAnsi="Arial" w:hint="default"/>
      </w:rPr>
    </w:lvl>
    <w:lvl w:ilvl="5" w:tplc="A972ED88" w:tentative="1">
      <w:start w:val="1"/>
      <w:numFmt w:val="bullet"/>
      <w:lvlText w:val="•"/>
      <w:lvlJc w:val="left"/>
      <w:pPr>
        <w:tabs>
          <w:tab w:val="num" w:pos="4320"/>
        </w:tabs>
        <w:ind w:left="4320" w:hanging="360"/>
      </w:pPr>
      <w:rPr>
        <w:rFonts w:ascii="Arial" w:hAnsi="Arial" w:hint="default"/>
      </w:rPr>
    </w:lvl>
    <w:lvl w:ilvl="6" w:tplc="40FEA064" w:tentative="1">
      <w:start w:val="1"/>
      <w:numFmt w:val="bullet"/>
      <w:lvlText w:val="•"/>
      <w:lvlJc w:val="left"/>
      <w:pPr>
        <w:tabs>
          <w:tab w:val="num" w:pos="5040"/>
        </w:tabs>
        <w:ind w:left="5040" w:hanging="360"/>
      </w:pPr>
      <w:rPr>
        <w:rFonts w:ascii="Arial" w:hAnsi="Arial" w:hint="default"/>
      </w:rPr>
    </w:lvl>
    <w:lvl w:ilvl="7" w:tplc="A67E984E" w:tentative="1">
      <w:start w:val="1"/>
      <w:numFmt w:val="bullet"/>
      <w:lvlText w:val="•"/>
      <w:lvlJc w:val="left"/>
      <w:pPr>
        <w:tabs>
          <w:tab w:val="num" w:pos="5760"/>
        </w:tabs>
        <w:ind w:left="5760" w:hanging="360"/>
      </w:pPr>
      <w:rPr>
        <w:rFonts w:ascii="Arial" w:hAnsi="Arial" w:hint="default"/>
      </w:rPr>
    </w:lvl>
    <w:lvl w:ilvl="8" w:tplc="63007B6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205442"/>
    <w:multiLevelType w:val="hybridMultilevel"/>
    <w:tmpl w:val="60B450AC"/>
    <w:lvl w:ilvl="0" w:tplc="669023F6">
      <w:start w:val="1"/>
      <w:numFmt w:val="bullet"/>
      <w:lvlText w:val="•"/>
      <w:lvlJc w:val="left"/>
      <w:pPr>
        <w:tabs>
          <w:tab w:val="num" w:pos="720"/>
        </w:tabs>
        <w:ind w:left="720" w:hanging="360"/>
      </w:pPr>
      <w:rPr>
        <w:rFonts w:ascii="Arial" w:hAnsi="Arial" w:hint="default"/>
      </w:rPr>
    </w:lvl>
    <w:lvl w:ilvl="1" w:tplc="20CC8884" w:tentative="1">
      <w:start w:val="1"/>
      <w:numFmt w:val="bullet"/>
      <w:lvlText w:val="•"/>
      <w:lvlJc w:val="left"/>
      <w:pPr>
        <w:tabs>
          <w:tab w:val="num" w:pos="1440"/>
        </w:tabs>
        <w:ind w:left="1440" w:hanging="360"/>
      </w:pPr>
      <w:rPr>
        <w:rFonts w:ascii="Arial" w:hAnsi="Arial" w:hint="default"/>
      </w:rPr>
    </w:lvl>
    <w:lvl w:ilvl="2" w:tplc="AA2A8D64" w:tentative="1">
      <w:start w:val="1"/>
      <w:numFmt w:val="bullet"/>
      <w:lvlText w:val="•"/>
      <w:lvlJc w:val="left"/>
      <w:pPr>
        <w:tabs>
          <w:tab w:val="num" w:pos="2160"/>
        </w:tabs>
        <w:ind w:left="2160" w:hanging="360"/>
      </w:pPr>
      <w:rPr>
        <w:rFonts w:ascii="Arial" w:hAnsi="Arial" w:hint="default"/>
      </w:rPr>
    </w:lvl>
    <w:lvl w:ilvl="3" w:tplc="A2AE9392" w:tentative="1">
      <w:start w:val="1"/>
      <w:numFmt w:val="bullet"/>
      <w:lvlText w:val="•"/>
      <w:lvlJc w:val="left"/>
      <w:pPr>
        <w:tabs>
          <w:tab w:val="num" w:pos="2880"/>
        </w:tabs>
        <w:ind w:left="2880" w:hanging="360"/>
      </w:pPr>
      <w:rPr>
        <w:rFonts w:ascii="Arial" w:hAnsi="Arial" w:hint="default"/>
      </w:rPr>
    </w:lvl>
    <w:lvl w:ilvl="4" w:tplc="AC106E74" w:tentative="1">
      <w:start w:val="1"/>
      <w:numFmt w:val="bullet"/>
      <w:lvlText w:val="•"/>
      <w:lvlJc w:val="left"/>
      <w:pPr>
        <w:tabs>
          <w:tab w:val="num" w:pos="3600"/>
        </w:tabs>
        <w:ind w:left="3600" w:hanging="360"/>
      </w:pPr>
      <w:rPr>
        <w:rFonts w:ascii="Arial" w:hAnsi="Arial" w:hint="default"/>
      </w:rPr>
    </w:lvl>
    <w:lvl w:ilvl="5" w:tplc="C8F88060" w:tentative="1">
      <w:start w:val="1"/>
      <w:numFmt w:val="bullet"/>
      <w:lvlText w:val="•"/>
      <w:lvlJc w:val="left"/>
      <w:pPr>
        <w:tabs>
          <w:tab w:val="num" w:pos="4320"/>
        </w:tabs>
        <w:ind w:left="4320" w:hanging="360"/>
      </w:pPr>
      <w:rPr>
        <w:rFonts w:ascii="Arial" w:hAnsi="Arial" w:hint="default"/>
      </w:rPr>
    </w:lvl>
    <w:lvl w:ilvl="6" w:tplc="5A609A0A" w:tentative="1">
      <w:start w:val="1"/>
      <w:numFmt w:val="bullet"/>
      <w:lvlText w:val="•"/>
      <w:lvlJc w:val="left"/>
      <w:pPr>
        <w:tabs>
          <w:tab w:val="num" w:pos="5040"/>
        </w:tabs>
        <w:ind w:left="5040" w:hanging="360"/>
      </w:pPr>
      <w:rPr>
        <w:rFonts w:ascii="Arial" w:hAnsi="Arial" w:hint="default"/>
      </w:rPr>
    </w:lvl>
    <w:lvl w:ilvl="7" w:tplc="1CEA9BB4" w:tentative="1">
      <w:start w:val="1"/>
      <w:numFmt w:val="bullet"/>
      <w:lvlText w:val="•"/>
      <w:lvlJc w:val="left"/>
      <w:pPr>
        <w:tabs>
          <w:tab w:val="num" w:pos="5760"/>
        </w:tabs>
        <w:ind w:left="5760" w:hanging="360"/>
      </w:pPr>
      <w:rPr>
        <w:rFonts w:ascii="Arial" w:hAnsi="Arial" w:hint="default"/>
      </w:rPr>
    </w:lvl>
    <w:lvl w:ilvl="8" w:tplc="DE10BA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1BC2E27"/>
    <w:multiLevelType w:val="hybridMultilevel"/>
    <w:tmpl w:val="DD4A0466"/>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22" w:hanging="360"/>
      </w:pPr>
    </w:lvl>
    <w:lvl w:ilvl="2" w:tplc="0C09001B" w:tentative="1">
      <w:start w:val="1"/>
      <w:numFmt w:val="lowerRoman"/>
      <w:lvlText w:val="%3."/>
      <w:lvlJc w:val="right"/>
      <w:pPr>
        <w:ind w:left="742" w:hanging="180"/>
      </w:pPr>
    </w:lvl>
    <w:lvl w:ilvl="3" w:tplc="0C09000F" w:tentative="1">
      <w:start w:val="1"/>
      <w:numFmt w:val="decimal"/>
      <w:lvlText w:val="%4."/>
      <w:lvlJc w:val="left"/>
      <w:pPr>
        <w:ind w:left="1462" w:hanging="360"/>
      </w:pPr>
    </w:lvl>
    <w:lvl w:ilvl="4" w:tplc="0C090019" w:tentative="1">
      <w:start w:val="1"/>
      <w:numFmt w:val="lowerLetter"/>
      <w:lvlText w:val="%5."/>
      <w:lvlJc w:val="left"/>
      <w:pPr>
        <w:ind w:left="2182" w:hanging="360"/>
      </w:pPr>
    </w:lvl>
    <w:lvl w:ilvl="5" w:tplc="0C09001B" w:tentative="1">
      <w:start w:val="1"/>
      <w:numFmt w:val="lowerRoman"/>
      <w:lvlText w:val="%6."/>
      <w:lvlJc w:val="right"/>
      <w:pPr>
        <w:ind w:left="2902" w:hanging="180"/>
      </w:pPr>
    </w:lvl>
    <w:lvl w:ilvl="6" w:tplc="0C09000F" w:tentative="1">
      <w:start w:val="1"/>
      <w:numFmt w:val="decimal"/>
      <w:lvlText w:val="%7."/>
      <w:lvlJc w:val="left"/>
      <w:pPr>
        <w:ind w:left="3622" w:hanging="360"/>
      </w:pPr>
    </w:lvl>
    <w:lvl w:ilvl="7" w:tplc="0C090019" w:tentative="1">
      <w:start w:val="1"/>
      <w:numFmt w:val="lowerLetter"/>
      <w:lvlText w:val="%8."/>
      <w:lvlJc w:val="left"/>
      <w:pPr>
        <w:ind w:left="4342" w:hanging="360"/>
      </w:pPr>
    </w:lvl>
    <w:lvl w:ilvl="8" w:tplc="0C09001B" w:tentative="1">
      <w:start w:val="1"/>
      <w:numFmt w:val="lowerRoman"/>
      <w:lvlText w:val="%9."/>
      <w:lvlJc w:val="right"/>
      <w:pPr>
        <w:ind w:left="5062" w:hanging="180"/>
      </w:pPr>
    </w:lvl>
  </w:abstractNum>
  <w:abstractNum w:abstractNumId="17" w15:restartNumberingAfterBreak="0">
    <w:nsid w:val="62D54F7D"/>
    <w:multiLevelType w:val="hybridMultilevel"/>
    <w:tmpl w:val="67F8F2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AA4460"/>
    <w:multiLevelType w:val="hybridMultilevel"/>
    <w:tmpl w:val="8D8A7F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BF14892"/>
    <w:multiLevelType w:val="hybridMultilevel"/>
    <w:tmpl w:val="D800081E"/>
    <w:lvl w:ilvl="0" w:tplc="51721368">
      <w:start w:val="1"/>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06B0551"/>
    <w:multiLevelType w:val="hybridMultilevel"/>
    <w:tmpl w:val="8FD44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6828C7"/>
    <w:multiLevelType w:val="hybridMultilevel"/>
    <w:tmpl w:val="125815D2"/>
    <w:lvl w:ilvl="0" w:tplc="4962A0F2">
      <w:start w:val="1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4D033C"/>
    <w:multiLevelType w:val="multilevel"/>
    <w:tmpl w:val="B06A56F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805A0D"/>
    <w:multiLevelType w:val="multilevel"/>
    <w:tmpl w:val="D872354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1"/>
  </w:num>
  <w:num w:numId="3">
    <w:abstractNumId w:val="0"/>
  </w:num>
  <w:num w:numId="4">
    <w:abstractNumId w:val="23"/>
  </w:num>
  <w:num w:numId="5">
    <w:abstractNumId w:val="7"/>
  </w:num>
  <w:num w:numId="6">
    <w:abstractNumId w:val="12"/>
  </w:num>
  <w:num w:numId="7">
    <w:abstractNumId w:val="9"/>
  </w:num>
  <w:num w:numId="8">
    <w:abstractNumId w:val="6"/>
  </w:num>
  <w:num w:numId="9">
    <w:abstractNumId w:val="16"/>
  </w:num>
  <w:num w:numId="10">
    <w:abstractNumId w:val="19"/>
  </w:num>
  <w:num w:numId="11">
    <w:abstractNumId w:val="3"/>
  </w:num>
  <w:num w:numId="12">
    <w:abstractNumId w:val="18"/>
  </w:num>
  <w:num w:numId="13">
    <w:abstractNumId w:val="22"/>
  </w:num>
  <w:num w:numId="14">
    <w:abstractNumId w:val="13"/>
  </w:num>
  <w:num w:numId="15">
    <w:abstractNumId w:val="15"/>
  </w:num>
  <w:num w:numId="16">
    <w:abstractNumId w:val="14"/>
  </w:num>
  <w:num w:numId="17">
    <w:abstractNumId w:val="2"/>
  </w:num>
  <w:num w:numId="18">
    <w:abstractNumId w:val="1"/>
  </w:num>
  <w:num w:numId="19">
    <w:abstractNumId w:val="8"/>
  </w:num>
  <w:num w:numId="20">
    <w:abstractNumId w:val="17"/>
  </w:num>
  <w:num w:numId="21">
    <w:abstractNumId w:val="20"/>
  </w:num>
  <w:num w:numId="22">
    <w:abstractNumId w:val="21"/>
  </w:num>
  <w:num w:numId="23">
    <w:abstractNumId w:val="24"/>
  </w:num>
  <w:num w:numId="24">
    <w:abstractNumId w:val="5"/>
  </w:num>
  <w:num w:numId="25">
    <w:abstractNumId w:val="4"/>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tKwFAN1R0wotAAAA"/>
  </w:docVars>
  <w:rsids>
    <w:rsidRoot w:val="00E65E79"/>
    <w:rsid w:val="00000790"/>
    <w:rsid w:val="00000821"/>
    <w:rsid w:val="0000110B"/>
    <w:rsid w:val="00003499"/>
    <w:rsid w:val="000039B7"/>
    <w:rsid w:val="00004181"/>
    <w:rsid w:val="0000556B"/>
    <w:rsid w:val="00006225"/>
    <w:rsid w:val="0000639A"/>
    <w:rsid w:val="000076A5"/>
    <w:rsid w:val="00007E65"/>
    <w:rsid w:val="00007F1C"/>
    <w:rsid w:val="00010B16"/>
    <w:rsid w:val="000110A7"/>
    <w:rsid w:val="00013247"/>
    <w:rsid w:val="0001439F"/>
    <w:rsid w:val="00014B06"/>
    <w:rsid w:val="00015886"/>
    <w:rsid w:val="000162EF"/>
    <w:rsid w:val="000163EB"/>
    <w:rsid w:val="00016962"/>
    <w:rsid w:val="00016E3E"/>
    <w:rsid w:val="000172AC"/>
    <w:rsid w:val="000207C9"/>
    <w:rsid w:val="00020C96"/>
    <w:rsid w:val="00020F4E"/>
    <w:rsid w:val="0002225F"/>
    <w:rsid w:val="0002248C"/>
    <w:rsid w:val="00023570"/>
    <w:rsid w:val="00023763"/>
    <w:rsid w:val="0002425D"/>
    <w:rsid w:val="00025F03"/>
    <w:rsid w:val="00025FF5"/>
    <w:rsid w:val="000262B7"/>
    <w:rsid w:val="00026539"/>
    <w:rsid w:val="000274B8"/>
    <w:rsid w:val="000305DD"/>
    <w:rsid w:val="00031A0A"/>
    <w:rsid w:val="00032199"/>
    <w:rsid w:val="00033863"/>
    <w:rsid w:val="00033881"/>
    <w:rsid w:val="0003420D"/>
    <w:rsid w:val="00034494"/>
    <w:rsid w:val="00034C05"/>
    <w:rsid w:val="00034CF2"/>
    <w:rsid w:val="00034D9D"/>
    <w:rsid w:val="000356EA"/>
    <w:rsid w:val="00035DC0"/>
    <w:rsid w:val="00036829"/>
    <w:rsid w:val="00036BC8"/>
    <w:rsid w:val="00040895"/>
    <w:rsid w:val="00040AF3"/>
    <w:rsid w:val="00042D61"/>
    <w:rsid w:val="00042E33"/>
    <w:rsid w:val="000435EE"/>
    <w:rsid w:val="00043C37"/>
    <w:rsid w:val="0004413B"/>
    <w:rsid w:val="000444C1"/>
    <w:rsid w:val="000445BF"/>
    <w:rsid w:val="00045017"/>
    <w:rsid w:val="00045018"/>
    <w:rsid w:val="000456C3"/>
    <w:rsid w:val="00045985"/>
    <w:rsid w:val="00045A2B"/>
    <w:rsid w:val="00045B24"/>
    <w:rsid w:val="00046109"/>
    <w:rsid w:val="000466AA"/>
    <w:rsid w:val="0004698F"/>
    <w:rsid w:val="00050876"/>
    <w:rsid w:val="0005101C"/>
    <w:rsid w:val="00052F02"/>
    <w:rsid w:val="000539D0"/>
    <w:rsid w:val="00053C2D"/>
    <w:rsid w:val="00054621"/>
    <w:rsid w:val="000546D7"/>
    <w:rsid w:val="00054A97"/>
    <w:rsid w:val="00056ECF"/>
    <w:rsid w:val="00057327"/>
    <w:rsid w:val="000578C4"/>
    <w:rsid w:val="00057D6E"/>
    <w:rsid w:val="000600E4"/>
    <w:rsid w:val="000604DF"/>
    <w:rsid w:val="00060908"/>
    <w:rsid w:val="00061323"/>
    <w:rsid w:val="000616A8"/>
    <w:rsid w:val="00061BE9"/>
    <w:rsid w:val="000646D9"/>
    <w:rsid w:val="000653B5"/>
    <w:rsid w:val="00066360"/>
    <w:rsid w:val="00066AF8"/>
    <w:rsid w:val="00067B48"/>
    <w:rsid w:val="00071248"/>
    <w:rsid w:val="000720B9"/>
    <w:rsid w:val="00073735"/>
    <w:rsid w:val="000737F7"/>
    <w:rsid w:val="00073E08"/>
    <w:rsid w:val="00073E23"/>
    <w:rsid w:val="00074FB7"/>
    <w:rsid w:val="00075261"/>
    <w:rsid w:val="00076413"/>
    <w:rsid w:val="0007672F"/>
    <w:rsid w:val="00076B54"/>
    <w:rsid w:val="000774F0"/>
    <w:rsid w:val="00077864"/>
    <w:rsid w:val="00080859"/>
    <w:rsid w:val="000808F6"/>
    <w:rsid w:val="00080909"/>
    <w:rsid w:val="000812CA"/>
    <w:rsid w:val="00081707"/>
    <w:rsid w:val="00081E63"/>
    <w:rsid w:val="0008258D"/>
    <w:rsid w:val="00083E99"/>
    <w:rsid w:val="00084498"/>
    <w:rsid w:val="0008476C"/>
    <w:rsid w:val="00084FA8"/>
    <w:rsid w:val="000856C5"/>
    <w:rsid w:val="00085C31"/>
    <w:rsid w:val="000902D9"/>
    <w:rsid w:val="0009058B"/>
    <w:rsid w:val="00090C7E"/>
    <w:rsid w:val="00092600"/>
    <w:rsid w:val="0009262B"/>
    <w:rsid w:val="00092AB2"/>
    <w:rsid w:val="00093310"/>
    <w:rsid w:val="0009445C"/>
    <w:rsid w:val="0009469D"/>
    <w:rsid w:val="00095200"/>
    <w:rsid w:val="000953FA"/>
    <w:rsid w:val="0009599F"/>
    <w:rsid w:val="00095FE5"/>
    <w:rsid w:val="00096284"/>
    <w:rsid w:val="0009653D"/>
    <w:rsid w:val="0009735B"/>
    <w:rsid w:val="00097EA6"/>
    <w:rsid w:val="000A0CDB"/>
    <w:rsid w:val="000A1187"/>
    <w:rsid w:val="000A193B"/>
    <w:rsid w:val="000A197A"/>
    <w:rsid w:val="000A1BC0"/>
    <w:rsid w:val="000A33B8"/>
    <w:rsid w:val="000A343F"/>
    <w:rsid w:val="000A5721"/>
    <w:rsid w:val="000A57C4"/>
    <w:rsid w:val="000A5C9C"/>
    <w:rsid w:val="000A6039"/>
    <w:rsid w:val="000A7453"/>
    <w:rsid w:val="000A7D08"/>
    <w:rsid w:val="000B0121"/>
    <w:rsid w:val="000B063E"/>
    <w:rsid w:val="000B0670"/>
    <w:rsid w:val="000B0E75"/>
    <w:rsid w:val="000B1F25"/>
    <w:rsid w:val="000B216C"/>
    <w:rsid w:val="000B2371"/>
    <w:rsid w:val="000B2DCB"/>
    <w:rsid w:val="000B3E9F"/>
    <w:rsid w:val="000B545D"/>
    <w:rsid w:val="000B5C50"/>
    <w:rsid w:val="000B5CE0"/>
    <w:rsid w:val="000B6CAC"/>
    <w:rsid w:val="000B705A"/>
    <w:rsid w:val="000B72F0"/>
    <w:rsid w:val="000B7612"/>
    <w:rsid w:val="000B78AE"/>
    <w:rsid w:val="000C0EAE"/>
    <w:rsid w:val="000C26AA"/>
    <w:rsid w:val="000C2AAC"/>
    <w:rsid w:val="000C3DF9"/>
    <w:rsid w:val="000C43D2"/>
    <w:rsid w:val="000C5F4F"/>
    <w:rsid w:val="000C6713"/>
    <w:rsid w:val="000C74BB"/>
    <w:rsid w:val="000D01A4"/>
    <w:rsid w:val="000D072E"/>
    <w:rsid w:val="000D09D2"/>
    <w:rsid w:val="000D14D4"/>
    <w:rsid w:val="000D1BFC"/>
    <w:rsid w:val="000D1D5D"/>
    <w:rsid w:val="000D281A"/>
    <w:rsid w:val="000D2848"/>
    <w:rsid w:val="000D3231"/>
    <w:rsid w:val="000D326A"/>
    <w:rsid w:val="000D32D5"/>
    <w:rsid w:val="000D37AF"/>
    <w:rsid w:val="000D51FB"/>
    <w:rsid w:val="000D5F00"/>
    <w:rsid w:val="000D6C1C"/>
    <w:rsid w:val="000D6D02"/>
    <w:rsid w:val="000D71D9"/>
    <w:rsid w:val="000D72ED"/>
    <w:rsid w:val="000D791F"/>
    <w:rsid w:val="000D7AE8"/>
    <w:rsid w:val="000E0348"/>
    <w:rsid w:val="000E0640"/>
    <w:rsid w:val="000E135D"/>
    <w:rsid w:val="000E1D93"/>
    <w:rsid w:val="000E1E00"/>
    <w:rsid w:val="000E244D"/>
    <w:rsid w:val="000E33BF"/>
    <w:rsid w:val="000E3868"/>
    <w:rsid w:val="000E535F"/>
    <w:rsid w:val="000E6AB0"/>
    <w:rsid w:val="000E6CBE"/>
    <w:rsid w:val="000E6D9A"/>
    <w:rsid w:val="000E75D5"/>
    <w:rsid w:val="000E7E30"/>
    <w:rsid w:val="000F00BA"/>
    <w:rsid w:val="000F07B8"/>
    <w:rsid w:val="000F316A"/>
    <w:rsid w:val="000F3C74"/>
    <w:rsid w:val="000F4BB8"/>
    <w:rsid w:val="000F4FA9"/>
    <w:rsid w:val="000F53FB"/>
    <w:rsid w:val="000F57D2"/>
    <w:rsid w:val="000F57E7"/>
    <w:rsid w:val="000F7127"/>
    <w:rsid w:val="000F7B54"/>
    <w:rsid w:val="001001E3"/>
    <w:rsid w:val="00100A25"/>
    <w:rsid w:val="00100F8A"/>
    <w:rsid w:val="0010119A"/>
    <w:rsid w:val="0010452E"/>
    <w:rsid w:val="001055B6"/>
    <w:rsid w:val="00105AE2"/>
    <w:rsid w:val="00105D04"/>
    <w:rsid w:val="001060C6"/>
    <w:rsid w:val="00106B80"/>
    <w:rsid w:val="0010781A"/>
    <w:rsid w:val="00107ACF"/>
    <w:rsid w:val="0011032E"/>
    <w:rsid w:val="00112249"/>
    <w:rsid w:val="00112E0D"/>
    <w:rsid w:val="0011348B"/>
    <w:rsid w:val="00114723"/>
    <w:rsid w:val="00115982"/>
    <w:rsid w:val="001159CC"/>
    <w:rsid w:val="001160D5"/>
    <w:rsid w:val="00116C53"/>
    <w:rsid w:val="0012082D"/>
    <w:rsid w:val="00121799"/>
    <w:rsid w:val="001222FC"/>
    <w:rsid w:val="00122F7E"/>
    <w:rsid w:val="00123902"/>
    <w:rsid w:val="00123E4C"/>
    <w:rsid w:val="00124659"/>
    <w:rsid w:val="00124A51"/>
    <w:rsid w:val="00124C71"/>
    <w:rsid w:val="00124FF6"/>
    <w:rsid w:val="00125814"/>
    <w:rsid w:val="00125BCE"/>
    <w:rsid w:val="00126621"/>
    <w:rsid w:val="00126A44"/>
    <w:rsid w:val="00126B1D"/>
    <w:rsid w:val="001301E9"/>
    <w:rsid w:val="00130650"/>
    <w:rsid w:val="0013115C"/>
    <w:rsid w:val="0013197F"/>
    <w:rsid w:val="00131D82"/>
    <w:rsid w:val="0013261A"/>
    <w:rsid w:val="0013297F"/>
    <w:rsid w:val="00132B22"/>
    <w:rsid w:val="00133D36"/>
    <w:rsid w:val="00134A7F"/>
    <w:rsid w:val="00135C91"/>
    <w:rsid w:val="001363BC"/>
    <w:rsid w:val="00137645"/>
    <w:rsid w:val="00137CA2"/>
    <w:rsid w:val="0014015A"/>
    <w:rsid w:val="00140E8C"/>
    <w:rsid w:val="00140E99"/>
    <w:rsid w:val="00140FC0"/>
    <w:rsid w:val="00141336"/>
    <w:rsid w:val="00143F67"/>
    <w:rsid w:val="00144127"/>
    <w:rsid w:val="00145540"/>
    <w:rsid w:val="001456B0"/>
    <w:rsid w:val="00145FCA"/>
    <w:rsid w:val="00146BCA"/>
    <w:rsid w:val="00151418"/>
    <w:rsid w:val="0015159C"/>
    <w:rsid w:val="00151E3E"/>
    <w:rsid w:val="0015200C"/>
    <w:rsid w:val="001529B3"/>
    <w:rsid w:val="00152B43"/>
    <w:rsid w:val="0015478A"/>
    <w:rsid w:val="00155EC4"/>
    <w:rsid w:val="00156F8F"/>
    <w:rsid w:val="00157130"/>
    <w:rsid w:val="001576B1"/>
    <w:rsid w:val="0016047B"/>
    <w:rsid w:val="00160612"/>
    <w:rsid w:val="001609C2"/>
    <w:rsid w:val="00160A4C"/>
    <w:rsid w:val="00162913"/>
    <w:rsid w:val="00163098"/>
    <w:rsid w:val="00163577"/>
    <w:rsid w:val="00163EFF"/>
    <w:rsid w:val="00163F66"/>
    <w:rsid w:val="001652A7"/>
    <w:rsid w:val="001661FB"/>
    <w:rsid w:val="001671A0"/>
    <w:rsid w:val="0016767F"/>
    <w:rsid w:val="00167807"/>
    <w:rsid w:val="001713EC"/>
    <w:rsid w:val="0017189F"/>
    <w:rsid w:val="00173565"/>
    <w:rsid w:val="00173B07"/>
    <w:rsid w:val="00174AFC"/>
    <w:rsid w:val="00174DC4"/>
    <w:rsid w:val="001751FA"/>
    <w:rsid w:val="00175DF7"/>
    <w:rsid w:val="0017679E"/>
    <w:rsid w:val="00176AC7"/>
    <w:rsid w:val="00176CF5"/>
    <w:rsid w:val="00177D1A"/>
    <w:rsid w:val="00180EA4"/>
    <w:rsid w:val="00181B91"/>
    <w:rsid w:val="00181D9C"/>
    <w:rsid w:val="001837D4"/>
    <w:rsid w:val="00183D95"/>
    <w:rsid w:val="00184B0E"/>
    <w:rsid w:val="00184D61"/>
    <w:rsid w:val="001854CB"/>
    <w:rsid w:val="0018752F"/>
    <w:rsid w:val="001903EA"/>
    <w:rsid w:val="00191994"/>
    <w:rsid w:val="00191A70"/>
    <w:rsid w:val="00193838"/>
    <w:rsid w:val="00193A3B"/>
    <w:rsid w:val="00193FF8"/>
    <w:rsid w:val="001948D3"/>
    <w:rsid w:val="00194AD8"/>
    <w:rsid w:val="00195222"/>
    <w:rsid w:val="00195892"/>
    <w:rsid w:val="001975D8"/>
    <w:rsid w:val="0019781D"/>
    <w:rsid w:val="001A016A"/>
    <w:rsid w:val="001A178E"/>
    <w:rsid w:val="001A27E9"/>
    <w:rsid w:val="001A35CC"/>
    <w:rsid w:val="001A3C7E"/>
    <w:rsid w:val="001A43FA"/>
    <w:rsid w:val="001A47C5"/>
    <w:rsid w:val="001A5225"/>
    <w:rsid w:val="001A59FB"/>
    <w:rsid w:val="001A5E9E"/>
    <w:rsid w:val="001A6354"/>
    <w:rsid w:val="001A6366"/>
    <w:rsid w:val="001A7AE8"/>
    <w:rsid w:val="001B204E"/>
    <w:rsid w:val="001B2372"/>
    <w:rsid w:val="001B2815"/>
    <w:rsid w:val="001B3443"/>
    <w:rsid w:val="001B4D20"/>
    <w:rsid w:val="001B54D4"/>
    <w:rsid w:val="001B60B1"/>
    <w:rsid w:val="001B620C"/>
    <w:rsid w:val="001C0A78"/>
    <w:rsid w:val="001C0C3D"/>
    <w:rsid w:val="001C2A9B"/>
    <w:rsid w:val="001C3C8E"/>
    <w:rsid w:val="001C4299"/>
    <w:rsid w:val="001C4874"/>
    <w:rsid w:val="001C4DC7"/>
    <w:rsid w:val="001C5008"/>
    <w:rsid w:val="001C503D"/>
    <w:rsid w:val="001C51B0"/>
    <w:rsid w:val="001C5C24"/>
    <w:rsid w:val="001C5F94"/>
    <w:rsid w:val="001C6995"/>
    <w:rsid w:val="001C6D80"/>
    <w:rsid w:val="001C6E66"/>
    <w:rsid w:val="001D0DC5"/>
    <w:rsid w:val="001D10B8"/>
    <w:rsid w:val="001D1100"/>
    <w:rsid w:val="001D1391"/>
    <w:rsid w:val="001D25D7"/>
    <w:rsid w:val="001D2B71"/>
    <w:rsid w:val="001D50B2"/>
    <w:rsid w:val="001D5AC4"/>
    <w:rsid w:val="001D63EA"/>
    <w:rsid w:val="001D6498"/>
    <w:rsid w:val="001D6C1E"/>
    <w:rsid w:val="001D7645"/>
    <w:rsid w:val="001E010E"/>
    <w:rsid w:val="001E13BE"/>
    <w:rsid w:val="001E1E86"/>
    <w:rsid w:val="001E220C"/>
    <w:rsid w:val="001E238E"/>
    <w:rsid w:val="001E2483"/>
    <w:rsid w:val="001E27EE"/>
    <w:rsid w:val="001E28A7"/>
    <w:rsid w:val="001E2B1E"/>
    <w:rsid w:val="001E2CFF"/>
    <w:rsid w:val="001E2F24"/>
    <w:rsid w:val="001E30D4"/>
    <w:rsid w:val="001E3493"/>
    <w:rsid w:val="001E34DF"/>
    <w:rsid w:val="001E3C40"/>
    <w:rsid w:val="001E52EB"/>
    <w:rsid w:val="001E61D2"/>
    <w:rsid w:val="001E64A8"/>
    <w:rsid w:val="001E740C"/>
    <w:rsid w:val="001F015B"/>
    <w:rsid w:val="001F1235"/>
    <w:rsid w:val="001F177C"/>
    <w:rsid w:val="001F1CB3"/>
    <w:rsid w:val="001F249B"/>
    <w:rsid w:val="001F31DF"/>
    <w:rsid w:val="001F32DF"/>
    <w:rsid w:val="001F38B5"/>
    <w:rsid w:val="001F4081"/>
    <w:rsid w:val="001F43F9"/>
    <w:rsid w:val="001F598D"/>
    <w:rsid w:val="001F5A41"/>
    <w:rsid w:val="001F6145"/>
    <w:rsid w:val="001F7103"/>
    <w:rsid w:val="001F7361"/>
    <w:rsid w:val="002011B0"/>
    <w:rsid w:val="00203181"/>
    <w:rsid w:val="00203783"/>
    <w:rsid w:val="0020385F"/>
    <w:rsid w:val="00203F49"/>
    <w:rsid w:val="0020666F"/>
    <w:rsid w:val="002068A0"/>
    <w:rsid w:val="00207021"/>
    <w:rsid w:val="0020732F"/>
    <w:rsid w:val="002076F6"/>
    <w:rsid w:val="00207D00"/>
    <w:rsid w:val="0021001C"/>
    <w:rsid w:val="002103E2"/>
    <w:rsid w:val="002105C1"/>
    <w:rsid w:val="00212044"/>
    <w:rsid w:val="002127A6"/>
    <w:rsid w:val="002129E7"/>
    <w:rsid w:val="0021333D"/>
    <w:rsid w:val="00213EF5"/>
    <w:rsid w:val="00215250"/>
    <w:rsid w:val="002153CC"/>
    <w:rsid w:val="00216BF5"/>
    <w:rsid w:val="00221D0E"/>
    <w:rsid w:val="00223B49"/>
    <w:rsid w:val="00223D5A"/>
    <w:rsid w:val="00224DD4"/>
    <w:rsid w:val="00227237"/>
    <w:rsid w:val="002278A0"/>
    <w:rsid w:val="002309CC"/>
    <w:rsid w:val="0023106D"/>
    <w:rsid w:val="0023209F"/>
    <w:rsid w:val="002322BA"/>
    <w:rsid w:val="00233C01"/>
    <w:rsid w:val="0023413C"/>
    <w:rsid w:val="002341D8"/>
    <w:rsid w:val="002346F0"/>
    <w:rsid w:val="00234A4F"/>
    <w:rsid w:val="0023530E"/>
    <w:rsid w:val="00235AD1"/>
    <w:rsid w:val="0023629D"/>
    <w:rsid w:val="002363B2"/>
    <w:rsid w:val="0023720E"/>
    <w:rsid w:val="00237255"/>
    <w:rsid w:val="00237798"/>
    <w:rsid w:val="00240765"/>
    <w:rsid w:val="0024151B"/>
    <w:rsid w:val="002424AF"/>
    <w:rsid w:val="002439DC"/>
    <w:rsid w:val="002441D2"/>
    <w:rsid w:val="00244DC8"/>
    <w:rsid w:val="0024505C"/>
    <w:rsid w:val="00245120"/>
    <w:rsid w:val="002458BA"/>
    <w:rsid w:val="00245CE9"/>
    <w:rsid w:val="0024636C"/>
    <w:rsid w:val="00247925"/>
    <w:rsid w:val="00251006"/>
    <w:rsid w:val="00251CE7"/>
    <w:rsid w:val="002524D5"/>
    <w:rsid w:val="002529E8"/>
    <w:rsid w:val="00253B1D"/>
    <w:rsid w:val="00253B44"/>
    <w:rsid w:val="00253D94"/>
    <w:rsid w:val="00254447"/>
    <w:rsid w:val="00254DCF"/>
    <w:rsid w:val="0025534B"/>
    <w:rsid w:val="00255BB7"/>
    <w:rsid w:val="002560EB"/>
    <w:rsid w:val="00257541"/>
    <w:rsid w:val="00257A39"/>
    <w:rsid w:val="00257AC4"/>
    <w:rsid w:val="00260D18"/>
    <w:rsid w:val="002610BA"/>
    <w:rsid w:val="0026179B"/>
    <w:rsid w:val="00261EEF"/>
    <w:rsid w:val="00262333"/>
    <w:rsid w:val="00262A1A"/>
    <w:rsid w:val="00262A87"/>
    <w:rsid w:val="00263992"/>
    <w:rsid w:val="00263A43"/>
    <w:rsid w:val="00264D26"/>
    <w:rsid w:val="00264E12"/>
    <w:rsid w:val="00265508"/>
    <w:rsid w:val="00265F5D"/>
    <w:rsid w:val="00267642"/>
    <w:rsid w:val="00267AEA"/>
    <w:rsid w:val="002700E6"/>
    <w:rsid w:val="0027153D"/>
    <w:rsid w:val="00271732"/>
    <w:rsid w:val="00272489"/>
    <w:rsid w:val="0027294B"/>
    <w:rsid w:val="00272C56"/>
    <w:rsid w:val="00273E32"/>
    <w:rsid w:val="00273EB4"/>
    <w:rsid w:val="00274682"/>
    <w:rsid w:val="002755F7"/>
    <w:rsid w:val="00275B76"/>
    <w:rsid w:val="00275C5A"/>
    <w:rsid w:val="002761A0"/>
    <w:rsid w:val="002769FB"/>
    <w:rsid w:val="00276AC9"/>
    <w:rsid w:val="00281014"/>
    <w:rsid w:val="00281F67"/>
    <w:rsid w:val="0028231A"/>
    <w:rsid w:val="00284C26"/>
    <w:rsid w:val="00284E38"/>
    <w:rsid w:val="00284F71"/>
    <w:rsid w:val="002851EE"/>
    <w:rsid w:val="0028647A"/>
    <w:rsid w:val="0028665D"/>
    <w:rsid w:val="00286B94"/>
    <w:rsid w:val="00286CB6"/>
    <w:rsid w:val="002875D9"/>
    <w:rsid w:val="00287FB1"/>
    <w:rsid w:val="00290B66"/>
    <w:rsid w:val="00295B09"/>
    <w:rsid w:val="00297C20"/>
    <w:rsid w:val="00297C3F"/>
    <w:rsid w:val="00297EE3"/>
    <w:rsid w:val="00297FA3"/>
    <w:rsid w:val="002A0149"/>
    <w:rsid w:val="002A0DCB"/>
    <w:rsid w:val="002A14AB"/>
    <w:rsid w:val="002A17E7"/>
    <w:rsid w:val="002A27BF"/>
    <w:rsid w:val="002A2ADE"/>
    <w:rsid w:val="002A2F50"/>
    <w:rsid w:val="002A3524"/>
    <w:rsid w:val="002A36AC"/>
    <w:rsid w:val="002A6ED1"/>
    <w:rsid w:val="002B05A1"/>
    <w:rsid w:val="002B0674"/>
    <w:rsid w:val="002B09A4"/>
    <w:rsid w:val="002B0C4D"/>
    <w:rsid w:val="002B17BB"/>
    <w:rsid w:val="002B18FB"/>
    <w:rsid w:val="002B1A8C"/>
    <w:rsid w:val="002B1C1F"/>
    <w:rsid w:val="002B2DE8"/>
    <w:rsid w:val="002B432F"/>
    <w:rsid w:val="002B4B20"/>
    <w:rsid w:val="002B62B3"/>
    <w:rsid w:val="002B6754"/>
    <w:rsid w:val="002B6CCE"/>
    <w:rsid w:val="002C2434"/>
    <w:rsid w:val="002C2489"/>
    <w:rsid w:val="002C2510"/>
    <w:rsid w:val="002C25CC"/>
    <w:rsid w:val="002C2775"/>
    <w:rsid w:val="002C27C1"/>
    <w:rsid w:val="002C5099"/>
    <w:rsid w:val="002C5889"/>
    <w:rsid w:val="002C62BB"/>
    <w:rsid w:val="002C71CE"/>
    <w:rsid w:val="002C7AEA"/>
    <w:rsid w:val="002C7C88"/>
    <w:rsid w:val="002D08F8"/>
    <w:rsid w:val="002D3312"/>
    <w:rsid w:val="002D4778"/>
    <w:rsid w:val="002D5764"/>
    <w:rsid w:val="002D577C"/>
    <w:rsid w:val="002D755B"/>
    <w:rsid w:val="002E1071"/>
    <w:rsid w:val="002E15B9"/>
    <w:rsid w:val="002E2158"/>
    <w:rsid w:val="002E2601"/>
    <w:rsid w:val="002E2651"/>
    <w:rsid w:val="002E4C75"/>
    <w:rsid w:val="002E4D3E"/>
    <w:rsid w:val="002E4F02"/>
    <w:rsid w:val="002E5069"/>
    <w:rsid w:val="002E7722"/>
    <w:rsid w:val="002E7EAB"/>
    <w:rsid w:val="002F07BA"/>
    <w:rsid w:val="002F0DA9"/>
    <w:rsid w:val="002F0FD0"/>
    <w:rsid w:val="002F1014"/>
    <w:rsid w:val="002F149D"/>
    <w:rsid w:val="002F48BF"/>
    <w:rsid w:val="002F53ED"/>
    <w:rsid w:val="002F643C"/>
    <w:rsid w:val="002F6CC8"/>
    <w:rsid w:val="002F71C0"/>
    <w:rsid w:val="002F74F1"/>
    <w:rsid w:val="002F7C3A"/>
    <w:rsid w:val="00301017"/>
    <w:rsid w:val="0030155F"/>
    <w:rsid w:val="0030345C"/>
    <w:rsid w:val="00304CB7"/>
    <w:rsid w:val="00304FF9"/>
    <w:rsid w:val="0030587B"/>
    <w:rsid w:val="00306D98"/>
    <w:rsid w:val="0030786C"/>
    <w:rsid w:val="00310118"/>
    <w:rsid w:val="0031031A"/>
    <w:rsid w:val="0031065F"/>
    <w:rsid w:val="00310981"/>
    <w:rsid w:val="00311176"/>
    <w:rsid w:val="00312074"/>
    <w:rsid w:val="003121F9"/>
    <w:rsid w:val="003124D9"/>
    <w:rsid w:val="00312594"/>
    <w:rsid w:val="00312E42"/>
    <w:rsid w:val="00313111"/>
    <w:rsid w:val="0031379F"/>
    <w:rsid w:val="00315498"/>
    <w:rsid w:val="00316474"/>
    <w:rsid w:val="00320D13"/>
    <w:rsid w:val="00321F62"/>
    <w:rsid w:val="00322107"/>
    <w:rsid w:val="00322355"/>
    <w:rsid w:val="00322846"/>
    <w:rsid w:val="00323A8A"/>
    <w:rsid w:val="00323AAE"/>
    <w:rsid w:val="003240CA"/>
    <w:rsid w:val="00324329"/>
    <w:rsid w:val="003269D3"/>
    <w:rsid w:val="00326DA7"/>
    <w:rsid w:val="003270E4"/>
    <w:rsid w:val="00327CE1"/>
    <w:rsid w:val="003302E4"/>
    <w:rsid w:val="00330DA4"/>
    <w:rsid w:val="00330DAA"/>
    <w:rsid w:val="00330F5C"/>
    <w:rsid w:val="0033155A"/>
    <w:rsid w:val="0033178A"/>
    <w:rsid w:val="00331BFF"/>
    <w:rsid w:val="00331DCF"/>
    <w:rsid w:val="00332660"/>
    <w:rsid w:val="00334E7F"/>
    <w:rsid w:val="00335657"/>
    <w:rsid w:val="003366C9"/>
    <w:rsid w:val="00336E2E"/>
    <w:rsid w:val="003371B0"/>
    <w:rsid w:val="003371D9"/>
    <w:rsid w:val="00337688"/>
    <w:rsid w:val="00340DF1"/>
    <w:rsid w:val="00341849"/>
    <w:rsid w:val="003439B1"/>
    <w:rsid w:val="00344028"/>
    <w:rsid w:val="0034420A"/>
    <w:rsid w:val="00345E39"/>
    <w:rsid w:val="00346557"/>
    <w:rsid w:val="00347040"/>
    <w:rsid w:val="00350FB1"/>
    <w:rsid w:val="003513CB"/>
    <w:rsid w:val="003515B4"/>
    <w:rsid w:val="003517F9"/>
    <w:rsid w:val="00351BA9"/>
    <w:rsid w:val="003521E7"/>
    <w:rsid w:val="00352B1B"/>
    <w:rsid w:val="003534F8"/>
    <w:rsid w:val="00353FCE"/>
    <w:rsid w:val="0035415F"/>
    <w:rsid w:val="00354177"/>
    <w:rsid w:val="0035464E"/>
    <w:rsid w:val="00354D2F"/>
    <w:rsid w:val="00354F64"/>
    <w:rsid w:val="003552C2"/>
    <w:rsid w:val="0035620E"/>
    <w:rsid w:val="00357A4A"/>
    <w:rsid w:val="00360345"/>
    <w:rsid w:val="00361A05"/>
    <w:rsid w:val="00361EE8"/>
    <w:rsid w:val="00362244"/>
    <w:rsid w:val="0036224C"/>
    <w:rsid w:val="003624C4"/>
    <w:rsid w:val="00363B00"/>
    <w:rsid w:val="00363E3E"/>
    <w:rsid w:val="0036403B"/>
    <w:rsid w:val="00364D05"/>
    <w:rsid w:val="003654AC"/>
    <w:rsid w:val="00370AFB"/>
    <w:rsid w:val="003710CF"/>
    <w:rsid w:val="00371903"/>
    <w:rsid w:val="003731C1"/>
    <w:rsid w:val="0037358A"/>
    <w:rsid w:val="00373A00"/>
    <w:rsid w:val="00373E3F"/>
    <w:rsid w:val="00374186"/>
    <w:rsid w:val="003750F6"/>
    <w:rsid w:val="0037559F"/>
    <w:rsid w:val="0037598F"/>
    <w:rsid w:val="003760FC"/>
    <w:rsid w:val="003764D1"/>
    <w:rsid w:val="0037712C"/>
    <w:rsid w:val="00381EBC"/>
    <w:rsid w:val="003821ED"/>
    <w:rsid w:val="0038314C"/>
    <w:rsid w:val="0038334C"/>
    <w:rsid w:val="0038365C"/>
    <w:rsid w:val="0038369B"/>
    <w:rsid w:val="00383B0D"/>
    <w:rsid w:val="00383B78"/>
    <w:rsid w:val="00384BF0"/>
    <w:rsid w:val="00384F6D"/>
    <w:rsid w:val="00385314"/>
    <w:rsid w:val="00385A9D"/>
    <w:rsid w:val="003902B1"/>
    <w:rsid w:val="0039179C"/>
    <w:rsid w:val="00392582"/>
    <w:rsid w:val="0039303A"/>
    <w:rsid w:val="003932EB"/>
    <w:rsid w:val="00393343"/>
    <w:rsid w:val="003935B4"/>
    <w:rsid w:val="00394045"/>
    <w:rsid w:val="0039532F"/>
    <w:rsid w:val="0039581D"/>
    <w:rsid w:val="00396896"/>
    <w:rsid w:val="00396B20"/>
    <w:rsid w:val="00396FD0"/>
    <w:rsid w:val="00397625"/>
    <w:rsid w:val="00397A5F"/>
    <w:rsid w:val="003A1651"/>
    <w:rsid w:val="003A1A7A"/>
    <w:rsid w:val="003A1ECC"/>
    <w:rsid w:val="003A2392"/>
    <w:rsid w:val="003A2831"/>
    <w:rsid w:val="003A3864"/>
    <w:rsid w:val="003A39FE"/>
    <w:rsid w:val="003A3CB6"/>
    <w:rsid w:val="003A3D87"/>
    <w:rsid w:val="003A3ED1"/>
    <w:rsid w:val="003A4108"/>
    <w:rsid w:val="003A4478"/>
    <w:rsid w:val="003A44DB"/>
    <w:rsid w:val="003A46A2"/>
    <w:rsid w:val="003A5BD8"/>
    <w:rsid w:val="003A61A1"/>
    <w:rsid w:val="003A65AE"/>
    <w:rsid w:val="003A76AC"/>
    <w:rsid w:val="003A7B49"/>
    <w:rsid w:val="003B0567"/>
    <w:rsid w:val="003B0AD4"/>
    <w:rsid w:val="003B252B"/>
    <w:rsid w:val="003B3971"/>
    <w:rsid w:val="003B489A"/>
    <w:rsid w:val="003B55D1"/>
    <w:rsid w:val="003B5B61"/>
    <w:rsid w:val="003B6258"/>
    <w:rsid w:val="003B6972"/>
    <w:rsid w:val="003B6E6A"/>
    <w:rsid w:val="003B7B9E"/>
    <w:rsid w:val="003C084C"/>
    <w:rsid w:val="003C0FE4"/>
    <w:rsid w:val="003C1654"/>
    <w:rsid w:val="003C1FC7"/>
    <w:rsid w:val="003C349A"/>
    <w:rsid w:val="003C36B2"/>
    <w:rsid w:val="003C38F4"/>
    <w:rsid w:val="003C5542"/>
    <w:rsid w:val="003C673F"/>
    <w:rsid w:val="003C6866"/>
    <w:rsid w:val="003C7B37"/>
    <w:rsid w:val="003C7D19"/>
    <w:rsid w:val="003C7D2F"/>
    <w:rsid w:val="003D0986"/>
    <w:rsid w:val="003D14E8"/>
    <w:rsid w:val="003D1828"/>
    <w:rsid w:val="003D1D48"/>
    <w:rsid w:val="003D1DE4"/>
    <w:rsid w:val="003D1E9A"/>
    <w:rsid w:val="003D2422"/>
    <w:rsid w:val="003D39A1"/>
    <w:rsid w:val="003D3DA9"/>
    <w:rsid w:val="003D3FBF"/>
    <w:rsid w:val="003D4A30"/>
    <w:rsid w:val="003D5F9D"/>
    <w:rsid w:val="003D7452"/>
    <w:rsid w:val="003D79BB"/>
    <w:rsid w:val="003D7C98"/>
    <w:rsid w:val="003D7D9D"/>
    <w:rsid w:val="003E052E"/>
    <w:rsid w:val="003E0543"/>
    <w:rsid w:val="003E0B87"/>
    <w:rsid w:val="003E1327"/>
    <w:rsid w:val="003E26D5"/>
    <w:rsid w:val="003E3083"/>
    <w:rsid w:val="003E35FA"/>
    <w:rsid w:val="003E3BD6"/>
    <w:rsid w:val="003E4AB2"/>
    <w:rsid w:val="003E4F60"/>
    <w:rsid w:val="003E6623"/>
    <w:rsid w:val="003E749E"/>
    <w:rsid w:val="003E7EB9"/>
    <w:rsid w:val="003F059C"/>
    <w:rsid w:val="003F08A3"/>
    <w:rsid w:val="003F16C2"/>
    <w:rsid w:val="003F2D89"/>
    <w:rsid w:val="003F385F"/>
    <w:rsid w:val="003F4008"/>
    <w:rsid w:val="003F4156"/>
    <w:rsid w:val="003F5ADF"/>
    <w:rsid w:val="003F5B98"/>
    <w:rsid w:val="003F7F09"/>
    <w:rsid w:val="0040079B"/>
    <w:rsid w:val="00400B29"/>
    <w:rsid w:val="004017E7"/>
    <w:rsid w:val="00403B7D"/>
    <w:rsid w:val="00403E8A"/>
    <w:rsid w:val="00403EFA"/>
    <w:rsid w:val="0040504B"/>
    <w:rsid w:val="004059F4"/>
    <w:rsid w:val="00407C54"/>
    <w:rsid w:val="00407FE5"/>
    <w:rsid w:val="004101B0"/>
    <w:rsid w:val="00410326"/>
    <w:rsid w:val="0041068F"/>
    <w:rsid w:val="00410708"/>
    <w:rsid w:val="00410EC7"/>
    <w:rsid w:val="00411B39"/>
    <w:rsid w:val="004127A7"/>
    <w:rsid w:val="004129F1"/>
    <w:rsid w:val="00413073"/>
    <w:rsid w:val="00413A1E"/>
    <w:rsid w:val="00414476"/>
    <w:rsid w:val="0041468D"/>
    <w:rsid w:val="00414C2E"/>
    <w:rsid w:val="004151CF"/>
    <w:rsid w:val="0041563E"/>
    <w:rsid w:val="00415BEE"/>
    <w:rsid w:val="00416364"/>
    <w:rsid w:val="00417300"/>
    <w:rsid w:val="00417C51"/>
    <w:rsid w:val="0042047F"/>
    <w:rsid w:val="004208EF"/>
    <w:rsid w:val="00420AA6"/>
    <w:rsid w:val="00420B9F"/>
    <w:rsid w:val="00420BE4"/>
    <w:rsid w:val="0042192C"/>
    <w:rsid w:val="00421E9D"/>
    <w:rsid w:val="00422260"/>
    <w:rsid w:val="004234A3"/>
    <w:rsid w:val="0042413F"/>
    <w:rsid w:val="00426202"/>
    <w:rsid w:val="004262DA"/>
    <w:rsid w:val="004274BF"/>
    <w:rsid w:val="00430459"/>
    <w:rsid w:val="004319F8"/>
    <w:rsid w:val="00431E55"/>
    <w:rsid w:val="004321F6"/>
    <w:rsid w:val="00433044"/>
    <w:rsid w:val="00434088"/>
    <w:rsid w:val="004375B9"/>
    <w:rsid w:val="00441DF3"/>
    <w:rsid w:val="004420FE"/>
    <w:rsid w:val="00442863"/>
    <w:rsid w:val="004428D0"/>
    <w:rsid w:val="00442D53"/>
    <w:rsid w:val="00444185"/>
    <w:rsid w:val="004443A7"/>
    <w:rsid w:val="0044442C"/>
    <w:rsid w:val="004445CC"/>
    <w:rsid w:val="00444AD5"/>
    <w:rsid w:val="00445941"/>
    <w:rsid w:val="004464EB"/>
    <w:rsid w:val="00447191"/>
    <w:rsid w:val="00447D26"/>
    <w:rsid w:val="00447DFC"/>
    <w:rsid w:val="00450205"/>
    <w:rsid w:val="00451B11"/>
    <w:rsid w:val="00453CAE"/>
    <w:rsid w:val="0045421B"/>
    <w:rsid w:val="0045588A"/>
    <w:rsid w:val="00455D45"/>
    <w:rsid w:val="0045770F"/>
    <w:rsid w:val="00457868"/>
    <w:rsid w:val="004612A0"/>
    <w:rsid w:val="00461969"/>
    <w:rsid w:val="00463593"/>
    <w:rsid w:val="00464595"/>
    <w:rsid w:val="004654B1"/>
    <w:rsid w:val="004658B5"/>
    <w:rsid w:val="00465D40"/>
    <w:rsid w:val="00466DAE"/>
    <w:rsid w:val="004674D3"/>
    <w:rsid w:val="00467DC8"/>
    <w:rsid w:val="004707EE"/>
    <w:rsid w:val="00471EA5"/>
    <w:rsid w:val="004721A6"/>
    <w:rsid w:val="0047234D"/>
    <w:rsid w:val="00472A79"/>
    <w:rsid w:val="00473613"/>
    <w:rsid w:val="0047386C"/>
    <w:rsid w:val="00473BF7"/>
    <w:rsid w:val="00473F19"/>
    <w:rsid w:val="00475E22"/>
    <w:rsid w:val="0047735E"/>
    <w:rsid w:val="0048088E"/>
    <w:rsid w:val="00480F2B"/>
    <w:rsid w:val="004826B8"/>
    <w:rsid w:val="00482720"/>
    <w:rsid w:val="00482A5E"/>
    <w:rsid w:val="004835E7"/>
    <w:rsid w:val="00484B51"/>
    <w:rsid w:val="00484DD8"/>
    <w:rsid w:val="0048560A"/>
    <w:rsid w:val="00485759"/>
    <w:rsid w:val="00485C7B"/>
    <w:rsid w:val="00485D19"/>
    <w:rsid w:val="004867E2"/>
    <w:rsid w:val="00487DB4"/>
    <w:rsid w:val="00490B17"/>
    <w:rsid w:val="004912A6"/>
    <w:rsid w:val="00491B3A"/>
    <w:rsid w:val="00492CFD"/>
    <w:rsid w:val="00493401"/>
    <w:rsid w:val="0049371A"/>
    <w:rsid w:val="00493F03"/>
    <w:rsid w:val="00494207"/>
    <w:rsid w:val="00494DD5"/>
    <w:rsid w:val="00495464"/>
    <w:rsid w:val="00495B60"/>
    <w:rsid w:val="00495B63"/>
    <w:rsid w:val="004962D2"/>
    <w:rsid w:val="004A0936"/>
    <w:rsid w:val="004A0DA1"/>
    <w:rsid w:val="004A13D6"/>
    <w:rsid w:val="004A2564"/>
    <w:rsid w:val="004A3599"/>
    <w:rsid w:val="004A4E6C"/>
    <w:rsid w:val="004A52E9"/>
    <w:rsid w:val="004A5488"/>
    <w:rsid w:val="004A6040"/>
    <w:rsid w:val="004A6597"/>
    <w:rsid w:val="004A6C1F"/>
    <w:rsid w:val="004A7848"/>
    <w:rsid w:val="004A7BF8"/>
    <w:rsid w:val="004B14C0"/>
    <w:rsid w:val="004B1CB4"/>
    <w:rsid w:val="004B1E47"/>
    <w:rsid w:val="004B20A8"/>
    <w:rsid w:val="004B2F18"/>
    <w:rsid w:val="004B390C"/>
    <w:rsid w:val="004B3DDB"/>
    <w:rsid w:val="004B3EA6"/>
    <w:rsid w:val="004B3FA1"/>
    <w:rsid w:val="004B4251"/>
    <w:rsid w:val="004B44FD"/>
    <w:rsid w:val="004B4815"/>
    <w:rsid w:val="004B4887"/>
    <w:rsid w:val="004B5CFC"/>
    <w:rsid w:val="004B6F79"/>
    <w:rsid w:val="004B774D"/>
    <w:rsid w:val="004B7FBF"/>
    <w:rsid w:val="004C0702"/>
    <w:rsid w:val="004C14C1"/>
    <w:rsid w:val="004C17A2"/>
    <w:rsid w:val="004C2093"/>
    <w:rsid w:val="004C35EB"/>
    <w:rsid w:val="004C3EF7"/>
    <w:rsid w:val="004C48A6"/>
    <w:rsid w:val="004C4AED"/>
    <w:rsid w:val="004C69E8"/>
    <w:rsid w:val="004C7008"/>
    <w:rsid w:val="004C7351"/>
    <w:rsid w:val="004D13E4"/>
    <w:rsid w:val="004D1710"/>
    <w:rsid w:val="004D1E12"/>
    <w:rsid w:val="004D2614"/>
    <w:rsid w:val="004D2C2D"/>
    <w:rsid w:val="004D2F39"/>
    <w:rsid w:val="004D30B9"/>
    <w:rsid w:val="004D356E"/>
    <w:rsid w:val="004D35E3"/>
    <w:rsid w:val="004D42C0"/>
    <w:rsid w:val="004D4423"/>
    <w:rsid w:val="004D6351"/>
    <w:rsid w:val="004D69B5"/>
    <w:rsid w:val="004D7227"/>
    <w:rsid w:val="004E0E7F"/>
    <w:rsid w:val="004E0EB8"/>
    <w:rsid w:val="004E18E9"/>
    <w:rsid w:val="004E2ADC"/>
    <w:rsid w:val="004E2DD3"/>
    <w:rsid w:val="004E2FB4"/>
    <w:rsid w:val="004E3246"/>
    <w:rsid w:val="004E43B2"/>
    <w:rsid w:val="004E4F82"/>
    <w:rsid w:val="004E5023"/>
    <w:rsid w:val="004E68F4"/>
    <w:rsid w:val="004E7659"/>
    <w:rsid w:val="004E7956"/>
    <w:rsid w:val="004F0972"/>
    <w:rsid w:val="004F1D02"/>
    <w:rsid w:val="004F1D59"/>
    <w:rsid w:val="004F2679"/>
    <w:rsid w:val="004F26F4"/>
    <w:rsid w:val="004F2F21"/>
    <w:rsid w:val="004F31A0"/>
    <w:rsid w:val="004F3DE5"/>
    <w:rsid w:val="004F6913"/>
    <w:rsid w:val="004F7865"/>
    <w:rsid w:val="0050174E"/>
    <w:rsid w:val="00501854"/>
    <w:rsid w:val="0050219B"/>
    <w:rsid w:val="00503606"/>
    <w:rsid w:val="00503C2A"/>
    <w:rsid w:val="00503F17"/>
    <w:rsid w:val="00505F50"/>
    <w:rsid w:val="00506928"/>
    <w:rsid w:val="005077EF"/>
    <w:rsid w:val="00507961"/>
    <w:rsid w:val="00511AD5"/>
    <w:rsid w:val="00511DC7"/>
    <w:rsid w:val="00513748"/>
    <w:rsid w:val="005142C5"/>
    <w:rsid w:val="0051501B"/>
    <w:rsid w:val="00515152"/>
    <w:rsid w:val="005152B5"/>
    <w:rsid w:val="00515541"/>
    <w:rsid w:val="0052123C"/>
    <w:rsid w:val="00521319"/>
    <w:rsid w:val="005223DC"/>
    <w:rsid w:val="00522BC8"/>
    <w:rsid w:val="00522FF2"/>
    <w:rsid w:val="00523C28"/>
    <w:rsid w:val="005242E9"/>
    <w:rsid w:val="0052485E"/>
    <w:rsid w:val="00524BC9"/>
    <w:rsid w:val="00524FE8"/>
    <w:rsid w:val="00525375"/>
    <w:rsid w:val="00531010"/>
    <w:rsid w:val="0053176B"/>
    <w:rsid w:val="00531C48"/>
    <w:rsid w:val="00534B8C"/>
    <w:rsid w:val="005365B1"/>
    <w:rsid w:val="005367FA"/>
    <w:rsid w:val="00536B40"/>
    <w:rsid w:val="00536F42"/>
    <w:rsid w:val="00537182"/>
    <w:rsid w:val="00541EDD"/>
    <w:rsid w:val="00542743"/>
    <w:rsid w:val="00542C2D"/>
    <w:rsid w:val="005444F2"/>
    <w:rsid w:val="00544B9F"/>
    <w:rsid w:val="00544CF1"/>
    <w:rsid w:val="00546A71"/>
    <w:rsid w:val="00546BD0"/>
    <w:rsid w:val="005478BD"/>
    <w:rsid w:val="005479E3"/>
    <w:rsid w:val="0055035A"/>
    <w:rsid w:val="00550463"/>
    <w:rsid w:val="005506D9"/>
    <w:rsid w:val="005509ED"/>
    <w:rsid w:val="00550A5E"/>
    <w:rsid w:val="00550EFE"/>
    <w:rsid w:val="005517EA"/>
    <w:rsid w:val="00551985"/>
    <w:rsid w:val="005520D3"/>
    <w:rsid w:val="00552BD3"/>
    <w:rsid w:val="00553128"/>
    <w:rsid w:val="0055318A"/>
    <w:rsid w:val="005532A0"/>
    <w:rsid w:val="00553AEE"/>
    <w:rsid w:val="005543E3"/>
    <w:rsid w:val="00554C01"/>
    <w:rsid w:val="00555109"/>
    <w:rsid w:val="005554CC"/>
    <w:rsid w:val="00555673"/>
    <w:rsid w:val="00555824"/>
    <w:rsid w:val="00556B35"/>
    <w:rsid w:val="00556CCA"/>
    <w:rsid w:val="00556F88"/>
    <w:rsid w:val="0055741A"/>
    <w:rsid w:val="0055799E"/>
    <w:rsid w:val="00557BC3"/>
    <w:rsid w:val="0056099E"/>
    <w:rsid w:val="00560B2B"/>
    <w:rsid w:val="005611B7"/>
    <w:rsid w:val="005618D4"/>
    <w:rsid w:val="00561C27"/>
    <w:rsid w:val="005628F7"/>
    <w:rsid w:val="00562B1A"/>
    <w:rsid w:val="00564A49"/>
    <w:rsid w:val="00565610"/>
    <w:rsid w:val="00565DF0"/>
    <w:rsid w:val="0056696F"/>
    <w:rsid w:val="005705C7"/>
    <w:rsid w:val="00572269"/>
    <w:rsid w:val="0057244A"/>
    <w:rsid w:val="00572F26"/>
    <w:rsid w:val="005750C5"/>
    <w:rsid w:val="0057511D"/>
    <w:rsid w:val="005752DE"/>
    <w:rsid w:val="00575684"/>
    <w:rsid w:val="00575D8D"/>
    <w:rsid w:val="00576972"/>
    <w:rsid w:val="00581603"/>
    <w:rsid w:val="00582623"/>
    <w:rsid w:val="00583699"/>
    <w:rsid w:val="005839E1"/>
    <w:rsid w:val="00583B12"/>
    <w:rsid w:val="00583CF9"/>
    <w:rsid w:val="00585527"/>
    <w:rsid w:val="00585CDD"/>
    <w:rsid w:val="00587058"/>
    <w:rsid w:val="005873D9"/>
    <w:rsid w:val="00590469"/>
    <w:rsid w:val="00591172"/>
    <w:rsid w:val="00591957"/>
    <w:rsid w:val="0059254C"/>
    <w:rsid w:val="005951A7"/>
    <w:rsid w:val="0059633F"/>
    <w:rsid w:val="00596BB9"/>
    <w:rsid w:val="00597913"/>
    <w:rsid w:val="00597ADC"/>
    <w:rsid w:val="00597BF9"/>
    <w:rsid w:val="005A0A8D"/>
    <w:rsid w:val="005A156E"/>
    <w:rsid w:val="005A309A"/>
    <w:rsid w:val="005A36C2"/>
    <w:rsid w:val="005A373D"/>
    <w:rsid w:val="005A57FA"/>
    <w:rsid w:val="005A5E1D"/>
    <w:rsid w:val="005A6435"/>
    <w:rsid w:val="005A68FB"/>
    <w:rsid w:val="005A7E0F"/>
    <w:rsid w:val="005B08C3"/>
    <w:rsid w:val="005B0B58"/>
    <w:rsid w:val="005B0C43"/>
    <w:rsid w:val="005B18B2"/>
    <w:rsid w:val="005B1975"/>
    <w:rsid w:val="005B1BA3"/>
    <w:rsid w:val="005B22E3"/>
    <w:rsid w:val="005B2CF6"/>
    <w:rsid w:val="005B45F4"/>
    <w:rsid w:val="005B4E53"/>
    <w:rsid w:val="005B5841"/>
    <w:rsid w:val="005B5857"/>
    <w:rsid w:val="005B5F2B"/>
    <w:rsid w:val="005B7344"/>
    <w:rsid w:val="005B7D0A"/>
    <w:rsid w:val="005C1B83"/>
    <w:rsid w:val="005C21F4"/>
    <w:rsid w:val="005C25FF"/>
    <w:rsid w:val="005C2D55"/>
    <w:rsid w:val="005C346B"/>
    <w:rsid w:val="005C3A2A"/>
    <w:rsid w:val="005C4004"/>
    <w:rsid w:val="005C40D7"/>
    <w:rsid w:val="005C5911"/>
    <w:rsid w:val="005C5ABA"/>
    <w:rsid w:val="005C5D8B"/>
    <w:rsid w:val="005C5FEB"/>
    <w:rsid w:val="005C665C"/>
    <w:rsid w:val="005D044D"/>
    <w:rsid w:val="005D0636"/>
    <w:rsid w:val="005D0ABD"/>
    <w:rsid w:val="005D18AD"/>
    <w:rsid w:val="005D22AA"/>
    <w:rsid w:val="005D26B4"/>
    <w:rsid w:val="005D2B21"/>
    <w:rsid w:val="005D503A"/>
    <w:rsid w:val="005D678F"/>
    <w:rsid w:val="005D6999"/>
    <w:rsid w:val="005D69E3"/>
    <w:rsid w:val="005D7120"/>
    <w:rsid w:val="005D7913"/>
    <w:rsid w:val="005E0047"/>
    <w:rsid w:val="005E0C61"/>
    <w:rsid w:val="005E0C80"/>
    <w:rsid w:val="005E2AAB"/>
    <w:rsid w:val="005E5843"/>
    <w:rsid w:val="005E587B"/>
    <w:rsid w:val="005E68CA"/>
    <w:rsid w:val="005E6CBC"/>
    <w:rsid w:val="005E6ED1"/>
    <w:rsid w:val="005E72FF"/>
    <w:rsid w:val="005E73C0"/>
    <w:rsid w:val="005E7BAF"/>
    <w:rsid w:val="005E7EB8"/>
    <w:rsid w:val="005F05E0"/>
    <w:rsid w:val="005F0764"/>
    <w:rsid w:val="005F1340"/>
    <w:rsid w:val="005F2706"/>
    <w:rsid w:val="005F3F7B"/>
    <w:rsid w:val="005F4637"/>
    <w:rsid w:val="005F4EFA"/>
    <w:rsid w:val="005F5D83"/>
    <w:rsid w:val="005F6556"/>
    <w:rsid w:val="005F6A8F"/>
    <w:rsid w:val="005F6BB7"/>
    <w:rsid w:val="005F7588"/>
    <w:rsid w:val="005F78B1"/>
    <w:rsid w:val="00600BF0"/>
    <w:rsid w:val="006020C2"/>
    <w:rsid w:val="006030D1"/>
    <w:rsid w:val="00603DB9"/>
    <w:rsid w:val="00605291"/>
    <w:rsid w:val="006058BA"/>
    <w:rsid w:val="00606FBA"/>
    <w:rsid w:val="006071FE"/>
    <w:rsid w:val="00607669"/>
    <w:rsid w:val="006076F4"/>
    <w:rsid w:val="00607AFD"/>
    <w:rsid w:val="00612F97"/>
    <w:rsid w:val="0061345D"/>
    <w:rsid w:val="0061549B"/>
    <w:rsid w:val="00616802"/>
    <w:rsid w:val="00617E12"/>
    <w:rsid w:val="00620B08"/>
    <w:rsid w:val="00620C25"/>
    <w:rsid w:val="00620FE1"/>
    <w:rsid w:val="00621477"/>
    <w:rsid w:val="00621ADA"/>
    <w:rsid w:val="0062240C"/>
    <w:rsid w:val="00622CF8"/>
    <w:rsid w:val="00623F7B"/>
    <w:rsid w:val="0062469A"/>
    <w:rsid w:val="006266E7"/>
    <w:rsid w:val="0062721B"/>
    <w:rsid w:val="0063158F"/>
    <w:rsid w:val="00631D6B"/>
    <w:rsid w:val="00631E60"/>
    <w:rsid w:val="00632183"/>
    <w:rsid w:val="0063221F"/>
    <w:rsid w:val="006326F2"/>
    <w:rsid w:val="006330A1"/>
    <w:rsid w:val="0063479F"/>
    <w:rsid w:val="006353F0"/>
    <w:rsid w:val="006357B5"/>
    <w:rsid w:val="006364A1"/>
    <w:rsid w:val="0063678E"/>
    <w:rsid w:val="0063686C"/>
    <w:rsid w:val="00636CFB"/>
    <w:rsid w:val="0063776C"/>
    <w:rsid w:val="00637BFD"/>
    <w:rsid w:val="00640566"/>
    <w:rsid w:val="00641C4E"/>
    <w:rsid w:val="00641CD9"/>
    <w:rsid w:val="00641FB3"/>
    <w:rsid w:val="00643768"/>
    <w:rsid w:val="0064434C"/>
    <w:rsid w:val="00644CEC"/>
    <w:rsid w:val="00644D79"/>
    <w:rsid w:val="006471CC"/>
    <w:rsid w:val="00647A29"/>
    <w:rsid w:val="00647F98"/>
    <w:rsid w:val="0065079F"/>
    <w:rsid w:val="00650AB3"/>
    <w:rsid w:val="00652047"/>
    <w:rsid w:val="00652A28"/>
    <w:rsid w:val="0065379F"/>
    <w:rsid w:val="00655F2B"/>
    <w:rsid w:val="00656188"/>
    <w:rsid w:val="00656356"/>
    <w:rsid w:val="006569DF"/>
    <w:rsid w:val="0065715A"/>
    <w:rsid w:val="00660E0F"/>
    <w:rsid w:val="00660ED7"/>
    <w:rsid w:val="006610F1"/>
    <w:rsid w:val="0066147F"/>
    <w:rsid w:val="00661C6B"/>
    <w:rsid w:val="00662D5A"/>
    <w:rsid w:val="0066401B"/>
    <w:rsid w:val="00665348"/>
    <w:rsid w:val="00665FA2"/>
    <w:rsid w:val="0066649F"/>
    <w:rsid w:val="00667442"/>
    <w:rsid w:val="00670497"/>
    <w:rsid w:val="00671004"/>
    <w:rsid w:val="006712C0"/>
    <w:rsid w:val="0067139F"/>
    <w:rsid w:val="00671CBE"/>
    <w:rsid w:val="00672646"/>
    <w:rsid w:val="00672B24"/>
    <w:rsid w:val="00672D98"/>
    <w:rsid w:val="00672FA7"/>
    <w:rsid w:val="0067312E"/>
    <w:rsid w:val="00673454"/>
    <w:rsid w:val="00674002"/>
    <w:rsid w:val="00674E42"/>
    <w:rsid w:val="00675C34"/>
    <w:rsid w:val="0067636C"/>
    <w:rsid w:val="00676700"/>
    <w:rsid w:val="0067786D"/>
    <w:rsid w:val="006813F8"/>
    <w:rsid w:val="00681DB7"/>
    <w:rsid w:val="00682112"/>
    <w:rsid w:val="00682AAF"/>
    <w:rsid w:val="00682BA6"/>
    <w:rsid w:val="00683BAA"/>
    <w:rsid w:val="00684EA9"/>
    <w:rsid w:val="00685235"/>
    <w:rsid w:val="00685639"/>
    <w:rsid w:val="00686957"/>
    <w:rsid w:val="006872BA"/>
    <w:rsid w:val="00687560"/>
    <w:rsid w:val="00687598"/>
    <w:rsid w:val="00687610"/>
    <w:rsid w:val="0069017C"/>
    <w:rsid w:val="00690795"/>
    <w:rsid w:val="00690B8E"/>
    <w:rsid w:val="00690E98"/>
    <w:rsid w:val="00691648"/>
    <w:rsid w:val="00691783"/>
    <w:rsid w:val="006917D7"/>
    <w:rsid w:val="00691B14"/>
    <w:rsid w:val="006924E5"/>
    <w:rsid w:val="0069434C"/>
    <w:rsid w:val="006949A2"/>
    <w:rsid w:val="00694F44"/>
    <w:rsid w:val="0069523E"/>
    <w:rsid w:val="00695C16"/>
    <w:rsid w:val="00696F51"/>
    <w:rsid w:val="00697083"/>
    <w:rsid w:val="006979A5"/>
    <w:rsid w:val="00697CC5"/>
    <w:rsid w:val="006A06B5"/>
    <w:rsid w:val="006A17D9"/>
    <w:rsid w:val="006A1B1B"/>
    <w:rsid w:val="006A26F8"/>
    <w:rsid w:val="006A38B6"/>
    <w:rsid w:val="006A46EC"/>
    <w:rsid w:val="006A4724"/>
    <w:rsid w:val="006A4A0C"/>
    <w:rsid w:val="006A526E"/>
    <w:rsid w:val="006A6B99"/>
    <w:rsid w:val="006A7E5F"/>
    <w:rsid w:val="006B013D"/>
    <w:rsid w:val="006B0339"/>
    <w:rsid w:val="006B0540"/>
    <w:rsid w:val="006B08C1"/>
    <w:rsid w:val="006B261B"/>
    <w:rsid w:val="006B2C90"/>
    <w:rsid w:val="006B35E6"/>
    <w:rsid w:val="006B465A"/>
    <w:rsid w:val="006B6DD0"/>
    <w:rsid w:val="006B6F13"/>
    <w:rsid w:val="006B7574"/>
    <w:rsid w:val="006C005E"/>
    <w:rsid w:val="006C0399"/>
    <w:rsid w:val="006C1855"/>
    <w:rsid w:val="006C206F"/>
    <w:rsid w:val="006C298E"/>
    <w:rsid w:val="006C2A8E"/>
    <w:rsid w:val="006C3255"/>
    <w:rsid w:val="006C3F26"/>
    <w:rsid w:val="006C42AB"/>
    <w:rsid w:val="006C4CF2"/>
    <w:rsid w:val="006C5EBA"/>
    <w:rsid w:val="006C6A89"/>
    <w:rsid w:val="006C7CAF"/>
    <w:rsid w:val="006D0CDA"/>
    <w:rsid w:val="006D0D17"/>
    <w:rsid w:val="006D0E13"/>
    <w:rsid w:val="006D1167"/>
    <w:rsid w:val="006D11AE"/>
    <w:rsid w:val="006D2251"/>
    <w:rsid w:val="006D3C7D"/>
    <w:rsid w:val="006D4659"/>
    <w:rsid w:val="006D5D5F"/>
    <w:rsid w:val="006D68FB"/>
    <w:rsid w:val="006E0017"/>
    <w:rsid w:val="006E13CD"/>
    <w:rsid w:val="006E1FF3"/>
    <w:rsid w:val="006E2868"/>
    <w:rsid w:val="006E2C28"/>
    <w:rsid w:val="006E2EA5"/>
    <w:rsid w:val="006E3F4C"/>
    <w:rsid w:val="006E4702"/>
    <w:rsid w:val="006E5E90"/>
    <w:rsid w:val="006E6351"/>
    <w:rsid w:val="006E7053"/>
    <w:rsid w:val="006F0479"/>
    <w:rsid w:val="006F097F"/>
    <w:rsid w:val="006F18AA"/>
    <w:rsid w:val="006F2321"/>
    <w:rsid w:val="006F306C"/>
    <w:rsid w:val="006F42A3"/>
    <w:rsid w:val="006F491D"/>
    <w:rsid w:val="006F63A5"/>
    <w:rsid w:val="0070010E"/>
    <w:rsid w:val="00700230"/>
    <w:rsid w:val="0070142B"/>
    <w:rsid w:val="0070273A"/>
    <w:rsid w:val="0070276E"/>
    <w:rsid w:val="00702F8F"/>
    <w:rsid w:val="00703527"/>
    <w:rsid w:val="00704A00"/>
    <w:rsid w:val="00704B81"/>
    <w:rsid w:val="00704E6D"/>
    <w:rsid w:val="00705011"/>
    <w:rsid w:val="007079FC"/>
    <w:rsid w:val="00710AE1"/>
    <w:rsid w:val="00711A36"/>
    <w:rsid w:val="007131D8"/>
    <w:rsid w:val="00713850"/>
    <w:rsid w:val="00714C26"/>
    <w:rsid w:val="00715255"/>
    <w:rsid w:val="0071529C"/>
    <w:rsid w:val="00715A51"/>
    <w:rsid w:val="00715BE6"/>
    <w:rsid w:val="007167CB"/>
    <w:rsid w:val="007168E7"/>
    <w:rsid w:val="007170DA"/>
    <w:rsid w:val="007172AD"/>
    <w:rsid w:val="0071752C"/>
    <w:rsid w:val="00717581"/>
    <w:rsid w:val="0071759A"/>
    <w:rsid w:val="00720370"/>
    <w:rsid w:val="00720801"/>
    <w:rsid w:val="00720C83"/>
    <w:rsid w:val="00721FA2"/>
    <w:rsid w:val="00722702"/>
    <w:rsid w:val="00722B1B"/>
    <w:rsid w:val="00723B05"/>
    <w:rsid w:val="00723C13"/>
    <w:rsid w:val="00723F2F"/>
    <w:rsid w:val="0072416F"/>
    <w:rsid w:val="00726E80"/>
    <w:rsid w:val="00727C94"/>
    <w:rsid w:val="00731A9A"/>
    <w:rsid w:val="00731B0A"/>
    <w:rsid w:val="00731EAE"/>
    <w:rsid w:val="00732B53"/>
    <w:rsid w:val="00733073"/>
    <w:rsid w:val="007331F0"/>
    <w:rsid w:val="00735033"/>
    <w:rsid w:val="00735328"/>
    <w:rsid w:val="00735DAF"/>
    <w:rsid w:val="007361DC"/>
    <w:rsid w:val="00736424"/>
    <w:rsid w:val="0073685B"/>
    <w:rsid w:val="00736B23"/>
    <w:rsid w:val="00736C59"/>
    <w:rsid w:val="00737600"/>
    <w:rsid w:val="00740475"/>
    <w:rsid w:val="00740AA8"/>
    <w:rsid w:val="00740BFC"/>
    <w:rsid w:val="00742A8C"/>
    <w:rsid w:val="0074390A"/>
    <w:rsid w:val="0074419F"/>
    <w:rsid w:val="007449BF"/>
    <w:rsid w:val="00744EF4"/>
    <w:rsid w:val="007469E0"/>
    <w:rsid w:val="00746BC0"/>
    <w:rsid w:val="007510B4"/>
    <w:rsid w:val="00751202"/>
    <w:rsid w:val="00752142"/>
    <w:rsid w:val="007523F9"/>
    <w:rsid w:val="00752698"/>
    <w:rsid w:val="00753172"/>
    <w:rsid w:val="0075357E"/>
    <w:rsid w:val="007573E8"/>
    <w:rsid w:val="00760027"/>
    <w:rsid w:val="00760866"/>
    <w:rsid w:val="00760914"/>
    <w:rsid w:val="00760C4E"/>
    <w:rsid w:val="00760E5E"/>
    <w:rsid w:val="00760F9E"/>
    <w:rsid w:val="00761243"/>
    <w:rsid w:val="00761CD8"/>
    <w:rsid w:val="00761F44"/>
    <w:rsid w:val="00762291"/>
    <w:rsid w:val="0076274E"/>
    <w:rsid w:val="007627BE"/>
    <w:rsid w:val="00764F03"/>
    <w:rsid w:val="00765B1A"/>
    <w:rsid w:val="0076689B"/>
    <w:rsid w:val="0076765F"/>
    <w:rsid w:val="00767B78"/>
    <w:rsid w:val="00767E7C"/>
    <w:rsid w:val="00767FEA"/>
    <w:rsid w:val="007760A4"/>
    <w:rsid w:val="00776525"/>
    <w:rsid w:val="00776B29"/>
    <w:rsid w:val="00777335"/>
    <w:rsid w:val="007805AA"/>
    <w:rsid w:val="00781FD5"/>
    <w:rsid w:val="00782427"/>
    <w:rsid w:val="007843F2"/>
    <w:rsid w:val="007849E0"/>
    <w:rsid w:val="0078581C"/>
    <w:rsid w:val="00785A9F"/>
    <w:rsid w:val="0078665D"/>
    <w:rsid w:val="0079010C"/>
    <w:rsid w:val="00790BBD"/>
    <w:rsid w:val="00790C02"/>
    <w:rsid w:val="00791269"/>
    <w:rsid w:val="00791425"/>
    <w:rsid w:val="007918E2"/>
    <w:rsid w:val="007925DF"/>
    <w:rsid w:val="00792648"/>
    <w:rsid w:val="007928E7"/>
    <w:rsid w:val="007966B5"/>
    <w:rsid w:val="007A08AA"/>
    <w:rsid w:val="007A0A12"/>
    <w:rsid w:val="007A132D"/>
    <w:rsid w:val="007A1345"/>
    <w:rsid w:val="007A1932"/>
    <w:rsid w:val="007A1D44"/>
    <w:rsid w:val="007A24C5"/>
    <w:rsid w:val="007A2584"/>
    <w:rsid w:val="007A2766"/>
    <w:rsid w:val="007A2DDB"/>
    <w:rsid w:val="007A38B1"/>
    <w:rsid w:val="007A3971"/>
    <w:rsid w:val="007A56D7"/>
    <w:rsid w:val="007A5783"/>
    <w:rsid w:val="007A5A96"/>
    <w:rsid w:val="007A5D28"/>
    <w:rsid w:val="007A60FC"/>
    <w:rsid w:val="007A70BA"/>
    <w:rsid w:val="007A76F6"/>
    <w:rsid w:val="007B0D68"/>
    <w:rsid w:val="007B251D"/>
    <w:rsid w:val="007B2961"/>
    <w:rsid w:val="007B2A11"/>
    <w:rsid w:val="007B32C6"/>
    <w:rsid w:val="007B3AFC"/>
    <w:rsid w:val="007B46A7"/>
    <w:rsid w:val="007B4F58"/>
    <w:rsid w:val="007B50AE"/>
    <w:rsid w:val="007B51BF"/>
    <w:rsid w:val="007B528D"/>
    <w:rsid w:val="007B5F90"/>
    <w:rsid w:val="007B63CA"/>
    <w:rsid w:val="007B77D1"/>
    <w:rsid w:val="007C0431"/>
    <w:rsid w:val="007C07C7"/>
    <w:rsid w:val="007C163C"/>
    <w:rsid w:val="007C1CD9"/>
    <w:rsid w:val="007C236D"/>
    <w:rsid w:val="007C32EF"/>
    <w:rsid w:val="007C361D"/>
    <w:rsid w:val="007C3A33"/>
    <w:rsid w:val="007C40F9"/>
    <w:rsid w:val="007C4567"/>
    <w:rsid w:val="007C4B84"/>
    <w:rsid w:val="007C57C3"/>
    <w:rsid w:val="007C5BC9"/>
    <w:rsid w:val="007C69AF"/>
    <w:rsid w:val="007C70FF"/>
    <w:rsid w:val="007C7C25"/>
    <w:rsid w:val="007C7EFC"/>
    <w:rsid w:val="007D004F"/>
    <w:rsid w:val="007D0B38"/>
    <w:rsid w:val="007D0EA5"/>
    <w:rsid w:val="007D1471"/>
    <w:rsid w:val="007D398C"/>
    <w:rsid w:val="007D3F7F"/>
    <w:rsid w:val="007D40B8"/>
    <w:rsid w:val="007D49B2"/>
    <w:rsid w:val="007D5440"/>
    <w:rsid w:val="007D66CB"/>
    <w:rsid w:val="007D69EB"/>
    <w:rsid w:val="007D6A7E"/>
    <w:rsid w:val="007D6AB1"/>
    <w:rsid w:val="007D7439"/>
    <w:rsid w:val="007E0656"/>
    <w:rsid w:val="007E0B28"/>
    <w:rsid w:val="007E128F"/>
    <w:rsid w:val="007E1ECE"/>
    <w:rsid w:val="007E29BA"/>
    <w:rsid w:val="007E2A3A"/>
    <w:rsid w:val="007E4647"/>
    <w:rsid w:val="007E4CFE"/>
    <w:rsid w:val="007E539D"/>
    <w:rsid w:val="007E55EF"/>
    <w:rsid w:val="007E7BAE"/>
    <w:rsid w:val="007F071F"/>
    <w:rsid w:val="007F1017"/>
    <w:rsid w:val="007F1E11"/>
    <w:rsid w:val="007F1E91"/>
    <w:rsid w:val="007F2D0D"/>
    <w:rsid w:val="007F3CC4"/>
    <w:rsid w:val="007F4A3F"/>
    <w:rsid w:val="007F4A61"/>
    <w:rsid w:val="007F5255"/>
    <w:rsid w:val="007F56CC"/>
    <w:rsid w:val="007F61C2"/>
    <w:rsid w:val="007F63A7"/>
    <w:rsid w:val="007F6955"/>
    <w:rsid w:val="007F6CE9"/>
    <w:rsid w:val="007F6E8C"/>
    <w:rsid w:val="008006F5"/>
    <w:rsid w:val="0080092C"/>
    <w:rsid w:val="008013C9"/>
    <w:rsid w:val="008015B0"/>
    <w:rsid w:val="00802DC1"/>
    <w:rsid w:val="00805142"/>
    <w:rsid w:val="00805FCE"/>
    <w:rsid w:val="0080751E"/>
    <w:rsid w:val="0080761D"/>
    <w:rsid w:val="00807A8B"/>
    <w:rsid w:val="00811383"/>
    <w:rsid w:val="00811BD9"/>
    <w:rsid w:val="00811BDD"/>
    <w:rsid w:val="00811CD3"/>
    <w:rsid w:val="00812149"/>
    <w:rsid w:val="00812CAC"/>
    <w:rsid w:val="0081372D"/>
    <w:rsid w:val="008140CA"/>
    <w:rsid w:val="00816314"/>
    <w:rsid w:val="00816361"/>
    <w:rsid w:val="008166EF"/>
    <w:rsid w:val="00816FEF"/>
    <w:rsid w:val="008170A4"/>
    <w:rsid w:val="00820265"/>
    <w:rsid w:val="00820A8C"/>
    <w:rsid w:val="00820EB3"/>
    <w:rsid w:val="008215FB"/>
    <w:rsid w:val="008221B0"/>
    <w:rsid w:val="00823174"/>
    <w:rsid w:val="00823E51"/>
    <w:rsid w:val="00824342"/>
    <w:rsid w:val="008246A1"/>
    <w:rsid w:val="00825751"/>
    <w:rsid w:val="008264EB"/>
    <w:rsid w:val="00827523"/>
    <w:rsid w:val="008307C0"/>
    <w:rsid w:val="00832F57"/>
    <w:rsid w:val="00833B05"/>
    <w:rsid w:val="00833BEB"/>
    <w:rsid w:val="00834360"/>
    <w:rsid w:val="00835954"/>
    <w:rsid w:val="008362B4"/>
    <w:rsid w:val="0083668E"/>
    <w:rsid w:val="008367CE"/>
    <w:rsid w:val="00836D84"/>
    <w:rsid w:val="00837159"/>
    <w:rsid w:val="00840280"/>
    <w:rsid w:val="00840CA2"/>
    <w:rsid w:val="00841D84"/>
    <w:rsid w:val="00842409"/>
    <w:rsid w:val="0084374F"/>
    <w:rsid w:val="00844137"/>
    <w:rsid w:val="00844A22"/>
    <w:rsid w:val="00846B14"/>
    <w:rsid w:val="00847703"/>
    <w:rsid w:val="00847DF5"/>
    <w:rsid w:val="0085076A"/>
    <w:rsid w:val="00852403"/>
    <w:rsid w:val="00852452"/>
    <w:rsid w:val="008526B4"/>
    <w:rsid w:val="00852C8D"/>
    <w:rsid w:val="0085309D"/>
    <w:rsid w:val="00853C1E"/>
    <w:rsid w:val="0085439D"/>
    <w:rsid w:val="008544AD"/>
    <w:rsid w:val="0085549A"/>
    <w:rsid w:val="0085647B"/>
    <w:rsid w:val="00856897"/>
    <w:rsid w:val="00856E9A"/>
    <w:rsid w:val="0086075D"/>
    <w:rsid w:val="00860C5A"/>
    <w:rsid w:val="00862502"/>
    <w:rsid w:val="00862CC1"/>
    <w:rsid w:val="008645E0"/>
    <w:rsid w:val="00865DC8"/>
    <w:rsid w:val="008660D4"/>
    <w:rsid w:val="00870ECD"/>
    <w:rsid w:val="008710F3"/>
    <w:rsid w:val="00871F21"/>
    <w:rsid w:val="00871FA9"/>
    <w:rsid w:val="008728E9"/>
    <w:rsid w:val="00872AAD"/>
    <w:rsid w:val="00873BC9"/>
    <w:rsid w:val="00874C8D"/>
    <w:rsid w:val="00875500"/>
    <w:rsid w:val="00876140"/>
    <w:rsid w:val="00876E34"/>
    <w:rsid w:val="00877834"/>
    <w:rsid w:val="00877BA8"/>
    <w:rsid w:val="00880EF5"/>
    <w:rsid w:val="00882874"/>
    <w:rsid w:val="00882E3C"/>
    <w:rsid w:val="00883787"/>
    <w:rsid w:val="00883819"/>
    <w:rsid w:val="008846CB"/>
    <w:rsid w:val="00884E55"/>
    <w:rsid w:val="0088523D"/>
    <w:rsid w:val="008855E4"/>
    <w:rsid w:val="00886265"/>
    <w:rsid w:val="0088676C"/>
    <w:rsid w:val="008869AC"/>
    <w:rsid w:val="00886A18"/>
    <w:rsid w:val="00886CD2"/>
    <w:rsid w:val="008874A6"/>
    <w:rsid w:val="00890BDE"/>
    <w:rsid w:val="00891E6F"/>
    <w:rsid w:val="008923E1"/>
    <w:rsid w:val="0089275D"/>
    <w:rsid w:val="00892A36"/>
    <w:rsid w:val="00892E81"/>
    <w:rsid w:val="00893239"/>
    <w:rsid w:val="00894489"/>
    <w:rsid w:val="0089527C"/>
    <w:rsid w:val="008963A5"/>
    <w:rsid w:val="008967D4"/>
    <w:rsid w:val="00896D5D"/>
    <w:rsid w:val="008A050E"/>
    <w:rsid w:val="008A1998"/>
    <w:rsid w:val="008A3363"/>
    <w:rsid w:val="008A3371"/>
    <w:rsid w:val="008A3C3E"/>
    <w:rsid w:val="008A5712"/>
    <w:rsid w:val="008A5A6C"/>
    <w:rsid w:val="008A783E"/>
    <w:rsid w:val="008A79DE"/>
    <w:rsid w:val="008B11B4"/>
    <w:rsid w:val="008B173D"/>
    <w:rsid w:val="008B1757"/>
    <w:rsid w:val="008B212E"/>
    <w:rsid w:val="008B3553"/>
    <w:rsid w:val="008B5ADA"/>
    <w:rsid w:val="008B5B89"/>
    <w:rsid w:val="008B604D"/>
    <w:rsid w:val="008B60CE"/>
    <w:rsid w:val="008B70BB"/>
    <w:rsid w:val="008B7992"/>
    <w:rsid w:val="008B7D7E"/>
    <w:rsid w:val="008B7FD2"/>
    <w:rsid w:val="008C137C"/>
    <w:rsid w:val="008C24E8"/>
    <w:rsid w:val="008C3AC6"/>
    <w:rsid w:val="008C5610"/>
    <w:rsid w:val="008C5739"/>
    <w:rsid w:val="008C5952"/>
    <w:rsid w:val="008C7BFF"/>
    <w:rsid w:val="008C7ECB"/>
    <w:rsid w:val="008C7F33"/>
    <w:rsid w:val="008D1A38"/>
    <w:rsid w:val="008D3B86"/>
    <w:rsid w:val="008D40DB"/>
    <w:rsid w:val="008D43C9"/>
    <w:rsid w:val="008D4755"/>
    <w:rsid w:val="008D4C3D"/>
    <w:rsid w:val="008D514F"/>
    <w:rsid w:val="008D5995"/>
    <w:rsid w:val="008D6689"/>
    <w:rsid w:val="008D743C"/>
    <w:rsid w:val="008D7559"/>
    <w:rsid w:val="008D7624"/>
    <w:rsid w:val="008D78D9"/>
    <w:rsid w:val="008D7D72"/>
    <w:rsid w:val="008E01C5"/>
    <w:rsid w:val="008E04A1"/>
    <w:rsid w:val="008E0D3C"/>
    <w:rsid w:val="008E15AE"/>
    <w:rsid w:val="008E19AF"/>
    <w:rsid w:val="008E1B9E"/>
    <w:rsid w:val="008E4BFB"/>
    <w:rsid w:val="008E5160"/>
    <w:rsid w:val="008E55AB"/>
    <w:rsid w:val="008E6C3D"/>
    <w:rsid w:val="008E7172"/>
    <w:rsid w:val="008E7CE3"/>
    <w:rsid w:val="008F120A"/>
    <w:rsid w:val="008F27E0"/>
    <w:rsid w:val="008F2BD9"/>
    <w:rsid w:val="008F342F"/>
    <w:rsid w:val="008F373C"/>
    <w:rsid w:val="008F48EB"/>
    <w:rsid w:val="008F4F0B"/>
    <w:rsid w:val="008F5E2D"/>
    <w:rsid w:val="008F7509"/>
    <w:rsid w:val="008F78E3"/>
    <w:rsid w:val="009003CE"/>
    <w:rsid w:val="00900496"/>
    <w:rsid w:val="00900E46"/>
    <w:rsid w:val="00901D53"/>
    <w:rsid w:val="0090409A"/>
    <w:rsid w:val="0090445D"/>
    <w:rsid w:val="009046C4"/>
    <w:rsid w:val="00904C9A"/>
    <w:rsid w:val="00905132"/>
    <w:rsid w:val="009062A5"/>
    <w:rsid w:val="00906A4D"/>
    <w:rsid w:val="00910FA7"/>
    <w:rsid w:val="00911272"/>
    <w:rsid w:val="0091195B"/>
    <w:rsid w:val="0091250E"/>
    <w:rsid w:val="009135D6"/>
    <w:rsid w:val="0091419F"/>
    <w:rsid w:val="00914C77"/>
    <w:rsid w:val="00915E49"/>
    <w:rsid w:val="009177F6"/>
    <w:rsid w:val="00920C3C"/>
    <w:rsid w:val="00921ACB"/>
    <w:rsid w:val="00921F7A"/>
    <w:rsid w:val="0092369B"/>
    <w:rsid w:val="009236DB"/>
    <w:rsid w:val="00923873"/>
    <w:rsid w:val="009246FE"/>
    <w:rsid w:val="009268CB"/>
    <w:rsid w:val="009276E5"/>
    <w:rsid w:val="009301A5"/>
    <w:rsid w:val="009317E7"/>
    <w:rsid w:val="00931F94"/>
    <w:rsid w:val="009330B9"/>
    <w:rsid w:val="00934988"/>
    <w:rsid w:val="00934AA6"/>
    <w:rsid w:val="009363CC"/>
    <w:rsid w:val="00936A8E"/>
    <w:rsid w:val="00937089"/>
    <w:rsid w:val="00937288"/>
    <w:rsid w:val="00944227"/>
    <w:rsid w:val="00944F8A"/>
    <w:rsid w:val="00945386"/>
    <w:rsid w:val="00946DA5"/>
    <w:rsid w:val="00947095"/>
    <w:rsid w:val="009510A2"/>
    <w:rsid w:val="00951D40"/>
    <w:rsid w:val="00953257"/>
    <w:rsid w:val="0095387B"/>
    <w:rsid w:val="0095474C"/>
    <w:rsid w:val="009549B8"/>
    <w:rsid w:val="00954A4A"/>
    <w:rsid w:val="00954FA1"/>
    <w:rsid w:val="009556D7"/>
    <w:rsid w:val="00956BB6"/>
    <w:rsid w:val="00956F3D"/>
    <w:rsid w:val="00957002"/>
    <w:rsid w:val="00957038"/>
    <w:rsid w:val="009571A8"/>
    <w:rsid w:val="00957C2C"/>
    <w:rsid w:val="00957FD0"/>
    <w:rsid w:val="0096050D"/>
    <w:rsid w:val="00960F03"/>
    <w:rsid w:val="00961324"/>
    <w:rsid w:val="0096154D"/>
    <w:rsid w:val="009618A9"/>
    <w:rsid w:val="00962CB9"/>
    <w:rsid w:val="009637BB"/>
    <w:rsid w:val="0096415D"/>
    <w:rsid w:val="00964312"/>
    <w:rsid w:val="0096567E"/>
    <w:rsid w:val="0096597A"/>
    <w:rsid w:val="00965B8A"/>
    <w:rsid w:val="00965F33"/>
    <w:rsid w:val="00965F45"/>
    <w:rsid w:val="00966666"/>
    <w:rsid w:val="0096735C"/>
    <w:rsid w:val="00967D48"/>
    <w:rsid w:val="00970031"/>
    <w:rsid w:val="0097071F"/>
    <w:rsid w:val="009717AC"/>
    <w:rsid w:val="00971A33"/>
    <w:rsid w:val="00971D10"/>
    <w:rsid w:val="00972A06"/>
    <w:rsid w:val="00972D73"/>
    <w:rsid w:val="00972E85"/>
    <w:rsid w:val="00973A97"/>
    <w:rsid w:val="00973BC2"/>
    <w:rsid w:val="00973CEB"/>
    <w:rsid w:val="00973D99"/>
    <w:rsid w:val="009751C1"/>
    <w:rsid w:val="00976F0A"/>
    <w:rsid w:val="00977552"/>
    <w:rsid w:val="009778E3"/>
    <w:rsid w:val="00977C0A"/>
    <w:rsid w:val="00980803"/>
    <w:rsid w:val="009811F1"/>
    <w:rsid w:val="009822F8"/>
    <w:rsid w:val="00983E57"/>
    <w:rsid w:val="00984B69"/>
    <w:rsid w:val="00984DD4"/>
    <w:rsid w:val="00985AD9"/>
    <w:rsid w:val="00985DE2"/>
    <w:rsid w:val="0098675D"/>
    <w:rsid w:val="0099139B"/>
    <w:rsid w:val="009926E0"/>
    <w:rsid w:val="0099324B"/>
    <w:rsid w:val="009944F9"/>
    <w:rsid w:val="0099451E"/>
    <w:rsid w:val="009950F7"/>
    <w:rsid w:val="00996B1A"/>
    <w:rsid w:val="0099709F"/>
    <w:rsid w:val="009971B9"/>
    <w:rsid w:val="00997339"/>
    <w:rsid w:val="00997D1E"/>
    <w:rsid w:val="009A20CB"/>
    <w:rsid w:val="009A23C0"/>
    <w:rsid w:val="009A2DCC"/>
    <w:rsid w:val="009A39B2"/>
    <w:rsid w:val="009A39FE"/>
    <w:rsid w:val="009A5552"/>
    <w:rsid w:val="009A5ABC"/>
    <w:rsid w:val="009A6629"/>
    <w:rsid w:val="009A72CB"/>
    <w:rsid w:val="009A7F10"/>
    <w:rsid w:val="009B269F"/>
    <w:rsid w:val="009B3E26"/>
    <w:rsid w:val="009B4C98"/>
    <w:rsid w:val="009C0294"/>
    <w:rsid w:val="009C17EF"/>
    <w:rsid w:val="009C3706"/>
    <w:rsid w:val="009C3A3A"/>
    <w:rsid w:val="009C4B70"/>
    <w:rsid w:val="009C4F40"/>
    <w:rsid w:val="009C67A6"/>
    <w:rsid w:val="009C6ACD"/>
    <w:rsid w:val="009C6CEA"/>
    <w:rsid w:val="009C75C5"/>
    <w:rsid w:val="009C7B85"/>
    <w:rsid w:val="009D0254"/>
    <w:rsid w:val="009D0CBE"/>
    <w:rsid w:val="009D1A64"/>
    <w:rsid w:val="009D1BC1"/>
    <w:rsid w:val="009D2147"/>
    <w:rsid w:val="009D4666"/>
    <w:rsid w:val="009D499C"/>
    <w:rsid w:val="009D5B91"/>
    <w:rsid w:val="009D6B77"/>
    <w:rsid w:val="009D70E8"/>
    <w:rsid w:val="009D792E"/>
    <w:rsid w:val="009D7AC6"/>
    <w:rsid w:val="009E006A"/>
    <w:rsid w:val="009E0DFE"/>
    <w:rsid w:val="009E15BB"/>
    <w:rsid w:val="009E19E1"/>
    <w:rsid w:val="009E295F"/>
    <w:rsid w:val="009E31F6"/>
    <w:rsid w:val="009E3A17"/>
    <w:rsid w:val="009E4A24"/>
    <w:rsid w:val="009E4C07"/>
    <w:rsid w:val="009E4C0F"/>
    <w:rsid w:val="009E5D6C"/>
    <w:rsid w:val="009E615E"/>
    <w:rsid w:val="009E72C9"/>
    <w:rsid w:val="009F0684"/>
    <w:rsid w:val="009F1DE1"/>
    <w:rsid w:val="009F43B2"/>
    <w:rsid w:val="009F44F7"/>
    <w:rsid w:val="009F5663"/>
    <w:rsid w:val="009F59A5"/>
    <w:rsid w:val="009F7DFA"/>
    <w:rsid w:val="00A008F0"/>
    <w:rsid w:val="00A00D30"/>
    <w:rsid w:val="00A01184"/>
    <w:rsid w:val="00A01A44"/>
    <w:rsid w:val="00A0301A"/>
    <w:rsid w:val="00A0371C"/>
    <w:rsid w:val="00A037C2"/>
    <w:rsid w:val="00A03D43"/>
    <w:rsid w:val="00A04380"/>
    <w:rsid w:val="00A05472"/>
    <w:rsid w:val="00A05C32"/>
    <w:rsid w:val="00A0653F"/>
    <w:rsid w:val="00A06B46"/>
    <w:rsid w:val="00A07E05"/>
    <w:rsid w:val="00A103D4"/>
    <w:rsid w:val="00A104DD"/>
    <w:rsid w:val="00A11CD0"/>
    <w:rsid w:val="00A11E3A"/>
    <w:rsid w:val="00A12F09"/>
    <w:rsid w:val="00A1303F"/>
    <w:rsid w:val="00A136E4"/>
    <w:rsid w:val="00A1388F"/>
    <w:rsid w:val="00A13948"/>
    <w:rsid w:val="00A14F87"/>
    <w:rsid w:val="00A1555B"/>
    <w:rsid w:val="00A155C5"/>
    <w:rsid w:val="00A16967"/>
    <w:rsid w:val="00A16AD8"/>
    <w:rsid w:val="00A16B55"/>
    <w:rsid w:val="00A16F78"/>
    <w:rsid w:val="00A17523"/>
    <w:rsid w:val="00A2036E"/>
    <w:rsid w:val="00A20C9F"/>
    <w:rsid w:val="00A21C95"/>
    <w:rsid w:val="00A21CF3"/>
    <w:rsid w:val="00A21E81"/>
    <w:rsid w:val="00A21FC7"/>
    <w:rsid w:val="00A22845"/>
    <w:rsid w:val="00A22F59"/>
    <w:rsid w:val="00A23B1D"/>
    <w:rsid w:val="00A24813"/>
    <w:rsid w:val="00A26A1A"/>
    <w:rsid w:val="00A26B9C"/>
    <w:rsid w:val="00A27AD6"/>
    <w:rsid w:val="00A27AEC"/>
    <w:rsid w:val="00A3028D"/>
    <w:rsid w:val="00A30311"/>
    <w:rsid w:val="00A30A83"/>
    <w:rsid w:val="00A30C51"/>
    <w:rsid w:val="00A30DBF"/>
    <w:rsid w:val="00A320DB"/>
    <w:rsid w:val="00A32123"/>
    <w:rsid w:val="00A325ED"/>
    <w:rsid w:val="00A33DD1"/>
    <w:rsid w:val="00A349D3"/>
    <w:rsid w:val="00A355BC"/>
    <w:rsid w:val="00A359B7"/>
    <w:rsid w:val="00A35D16"/>
    <w:rsid w:val="00A35EE6"/>
    <w:rsid w:val="00A36CA0"/>
    <w:rsid w:val="00A36E79"/>
    <w:rsid w:val="00A37BCD"/>
    <w:rsid w:val="00A40297"/>
    <w:rsid w:val="00A4037F"/>
    <w:rsid w:val="00A414DA"/>
    <w:rsid w:val="00A41689"/>
    <w:rsid w:val="00A419E1"/>
    <w:rsid w:val="00A421BE"/>
    <w:rsid w:val="00A42592"/>
    <w:rsid w:val="00A42905"/>
    <w:rsid w:val="00A43069"/>
    <w:rsid w:val="00A43698"/>
    <w:rsid w:val="00A436C5"/>
    <w:rsid w:val="00A43C59"/>
    <w:rsid w:val="00A44230"/>
    <w:rsid w:val="00A44446"/>
    <w:rsid w:val="00A4460D"/>
    <w:rsid w:val="00A46904"/>
    <w:rsid w:val="00A46EA2"/>
    <w:rsid w:val="00A5088B"/>
    <w:rsid w:val="00A50ECD"/>
    <w:rsid w:val="00A518F3"/>
    <w:rsid w:val="00A52562"/>
    <w:rsid w:val="00A52729"/>
    <w:rsid w:val="00A527EA"/>
    <w:rsid w:val="00A5351D"/>
    <w:rsid w:val="00A53675"/>
    <w:rsid w:val="00A564D7"/>
    <w:rsid w:val="00A56B6A"/>
    <w:rsid w:val="00A578DC"/>
    <w:rsid w:val="00A61D8F"/>
    <w:rsid w:val="00A61EE4"/>
    <w:rsid w:val="00A640E2"/>
    <w:rsid w:val="00A64D65"/>
    <w:rsid w:val="00A65362"/>
    <w:rsid w:val="00A66DFA"/>
    <w:rsid w:val="00A6725B"/>
    <w:rsid w:val="00A70605"/>
    <w:rsid w:val="00A72C5A"/>
    <w:rsid w:val="00A72DC9"/>
    <w:rsid w:val="00A73134"/>
    <w:rsid w:val="00A734DD"/>
    <w:rsid w:val="00A76001"/>
    <w:rsid w:val="00A764BA"/>
    <w:rsid w:val="00A777B2"/>
    <w:rsid w:val="00A77809"/>
    <w:rsid w:val="00A77C55"/>
    <w:rsid w:val="00A80F5B"/>
    <w:rsid w:val="00A81ABF"/>
    <w:rsid w:val="00A81F8D"/>
    <w:rsid w:val="00A825D4"/>
    <w:rsid w:val="00A828F6"/>
    <w:rsid w:val="00A82AED"/>
    <w:rsid w:val="00A82B73"/>
    <w:rsid w:val="00A84D7D"/>
    <w:rsid w:val="00A850EB"/>
    <w:rsid w:val="00A86ADF"/>
    <w:rsid w:val="00A86E8B"/>
    <w:rsid w:val="00A87164"/>
    <w:rsid w:val="00A911D0"/>
    <w:rsid w:val="00A93072"/>
    <w:rsid w:val="00A938BD"/>
    <w:rsid w:val="00A93953"/>
    <w:rsid w:val="00A93CEA"/>
    <w:rsid w:val="00A9483D"/>
    <w:rsid w:val="00A952DD"/>
    <w:rsid w:val="00A959D8"/>
    <w:rsid w:val="00A95AC4"/>
    <w:rsid w:val="00A95D4B"/>
    <w:rsid w:val="00AA0F96"/>
    <w:rsid w:val="00AA113D"/>
    <w:rsid w:val="00AA2701"/>
    <w:rsid w:val="00AA44DE"/>
    <w:rsid w:val="00AA4D3B"/>
    <w:rsid w:val="00AA5502"/>
    <w:rsid w:val="00AA5D7D"/>
    <w:rsid w:val="00AA5DB4"/>
    <w:rsid w:val="00AA623F"/>
    <w:rsid w:val="00AA647C"/>
    <w:rsid w:val="00AA6BD5"/>
    <w:rsid w:val="00AA6BD8"/>
    <w:rsid w:val="00AA6C7D"/>
    <w:rsid w:val="00AA7FD6"/>
    <w:rsid w:val="00AB042A"/>
    <w:rsid w:val="00AB19EF"/>
    <w:rsid w:val="00AB2D34"/>
    <w:rsid w:val="00AB3430"/>
    <w:rsid w:val="00AB37B9"/>
    <w:rsid w:val="00AB3960"/>
    <w:rsid w:val="00AB4730"/>
    <w:rsid w:val="00AB4AD1"/>
    <w:rsid w:val="00AB5A49"/>
    <w:rsid w:val="00AB5E07"/>
    <w:rsid w:val="00AB6F18"/>
    <w:rsid w:val="00AB7BDE"/>
    <w:rsid w:val="00AB7CFA"/>
    <w:rsid w:val="00AC19CD"/>
    <w:rsid w:val="00AC3364"/>
    <w:rsid w:val="00AC5B48"/>
    <w:rsid w:val="00AC6CFE"/>
    <w:rsid w:val="00AC6F3C"/>
    <w:rsid w:val="00AD03BB"/>
    <w:rsid w:val="00AD0F0E"/>
    <w:rsid w:val="00AD1450"/>
    <w:rsid w:val="00AD2670"/>
    <w:rsid w:val="00AD404D"/>
    <w:rsid w:val="00AD5023"/>
    <w:rsid w:val="00AD5910"/>
    <w:rsid w:val="00AD5983"/>
    <w:rsid w:val="00AD6502"/>
    <w:rsid w:val="00AD7803"/>
    <w:rsid w:val="00AE02E7"/>
    <w:rsid w:val="00AE0695"/>
    <w:rsid w:val="00AE207F"/>
    <w:rsid w:val="00AE3E7E"/>
    <w:rsid w:val="00AE4B08"/>
    <w:rsid w:val="00AE5242"/>
    <w:rsid w:val="00AE6FCD"/>
    <w:rsid w:val="00AF0FA8"/>
    <w:rsid w:val="00AF1315"/>
    <w:rsid w:val="00AF165F"/>
    <w:rsid w:val="00AF19BF"/>
    <w:rsid w:val="00AF2DC3"/>
    <w:rsid w:val="00AF3BE0"/>
    <w:rsid w:val="00AF4627"/>
    <w:rsid w:val="00B00D83"/>
    <w:rsid w:val="00B01009"/>
    <w:rsid w:val="00B01047"/>
    <w:rsid w:val="00B01382"/>
    <w:rsid w:val="00B01B34"/>
    <w:rsid w:val="00B0241A"/>
    <w:rsid w:val="00B033E5"/>
    <w:rsid w:val="00B03A63"/>
    <w:rsid w:val="00B10FF9"/>
    <w:rsid w:val="00B114BB"/>
    <w:rsid w:val="00B1242C"/>
    <w:rsid w:val="00B12582"/>
    <w:rsid w:val="00B13337"/>
    <w:rsid w:val="00B13A2F"/>
    <w:rsid w:val="00B13C44"/>
    <w:rsid w:val="00B14F37"/>
    <w:rsid w:val="00B15C58"/>
    <w:rsid w:val="00B15C65"/>
    <w:rsid w:val="00B15EAA"/>
    <w:rsid w:val="00B16DB5"/>
    <w:rsid w:val="00B17245"/>
    <w:rsid w:val="00B17C0A"/>
    <w:rsid w:val="00B201A4"/>
    <w:rsid w:val="00B201D1"/>
    <w:rsid w:val="00B213A6"/>
    <w:rsid w:val="00B21CD9"/>
    <w:rsid w:val="00B22303"/>
    <w:rsid w:val="00B22693"/>
    <w:rsid w:val="00B22895"/>
    <w:rsid w:val="00B22AD5"/>
    <w:rsid w:val="00B235B0"/>
    <w:rsid w:val="00B23AE7"/>
    <w:rsid w:val="00B24DF6"/>
    <w:rsid w:val="00B25048"/>
    <w:rsid w:val="00B254DB"/>
    <w:rsid w:val="00B25767"/>
    <w:rsid w:val="00B258D9"/>
    <w:rsid w:val="00B26C26"/>
    <w:rsid w:val="00B27DF1"/>
    <w:rsid w:val="00B302EF"/>
    <w:rsid w:val="00B30409"/>
    <w:rsid w:val="00B323BA"/>
    <w:rsid w:val="00B326A6"/>
    <w:rsid w:val="00B347AE"/>
    <w:rsid w:val="00B34FE2"/>
    <w:rsid w:val="00B35166"/>
    <w:rsid w:val="00B3576A"/>
    <w:rsid w:val="00B357D8"/>
    <w:rsid w:val="00B35C18"/>
    <w:rsid w:val="00B360F4"/>
    <w:rsid w:val="00B36A00"/>
    <w:rsid w:val="00B36EC1"/>
    <w:rsid w:val="00B37730"/>
    <w:rsid w:val="00B37BFC"/>
    <w:rsid w:val="00B40358"/>
    <w:rsid w:val="00B41042"/>
    <w:rsid w:val="00B41614"/>
    <w:rsid w:val="00B42851"/>
    <w:rsid w:val="00B42F80"/>
    <w:rsid w:val="00B435CB"/>
    <w:rsid w:val="00B44F3B"/>
    <w:rsid w:val="00B46368"/>
    <w:rsid w:val="00B46C76"/>
    <w:rsid w:val="00B505C8"/>
    <w:rsid w:val="00B505D2"/>
    <w:rsid w:val="00B50DB8"/>
    <w:rsid w:val="00B52F49"/>
    <w:rsid w:val="00B53654"/>
    <w:rsid w:val="00B53905"/>
    <w:rsid w:val="00B547BA"/>
    <w:rsid w:val="00B54B5B"/>
    <w:rsid w:val="00B5562E"/>
    <w:rsid w:val="00B55D65"/>
    <w:rsid w:val="00B57000"/>
    <w:rsid w:val="00B57F40"/>
    <w:rsid w:val="00B60939"/>
    <w:rsid w:val="00B60AFD"/>
    <w:rsid w:val="00B611C0"/>
    <w:rsid w:val="00B62715"/>
    <w:rsid w:val="00B63915"/>
    <w:rsid w:val="00B65611"/>
    <w:rsid w:val="00B70550"/>
    <w:rsid w:val="00B70E8E"/>
    <w:rsid w:val="00B7135F"/>
    <w:rsid w:val="00B7168B"/>
    <w:rsid w:val="00B71920"/>
    <w:rsid w:val="00B7233E"/>
    <w:rsid w:val="00B73CD1"/>
    <w:rsid w:val="00B73D6D"/>
    <w:rsid w:val="00B742A9"/>
    <w:rsid w:val="00B758B7"/>
    <w:rsid w:val="00B76788"/>
    <w:rsid w:val="00B76C92"/>
    <w:rsid w:val="00B77B0B"/>
    <w:rsid w:val="00B77C31"/>
    <w:rsid w:val="00B77C3D"/>
    <w:rsid w:val="00B8050A"/>
    <w:rsid w:val="00B815EB"/>
    <w:rsid w:val="00B818A4"/>
    <w:rsid w:val="00B825D9"/>
    <w:rsid w:val="00B84117"/>
    <w:rsid w:val="00B856DC"/>
    <w:rsid w:val="00B858F0"/>
    <w:rsid w:val="00B85AA2"/>
    <w:rsid w:val="00B8649C"/>
    <w:rsid w:val="00B8695D"/>
    <w:rsid w:val="00B86C85"/>
    <w:rsid w:val="00B86DEA"/>
    <w:rsid w:val="00B87CEE"/>
    <w:rsid w:val="00B87F0A"/>
    <w:rsid w:val="00B92A30"/>
    <w:rsid w:val="00B92C99"/>
    <w:rsid w:val="00B92D0B"/>
    <w:rsid w:val="00B93D52"/>
    <w:rsid w:val="00B93F9B"/>
    <w:rsid w:val="00B94945"/>
    <w:rsid w:val="00B94DD6"/>
    <w:rsid w:val="00B95AE5"/>
    <w:rsid w:val="00B963E6"/>
    <w:rsid w:val="00B9758A"/>
    <w:rsid w:val="00B9799D"/>
    <w:rsid w:val="00B97B8D"/>
    <w:rsid w:val="00BA2BE6"/>
    <w:rsid w:val="00BA322D"/>
    <w:rsid w:val="00BA3317"/>
    <w:rsid w:val="00BA63FA"/>
    <w:rsid w:val="00BB00B3"/>
    <w:rsid w:val="00BB0BDD"/>
    <w:rsid w:val="00BB13AC"/>
    <w:rsid w:val="00BB176C"/>
    <w:rsid w:val="00BB1C32"/>
    <w:rsid w:val="00BB1DC7"/>
    <w:rsid w:val="00BB2A73"/>
    <w:rsid w:val="00BB2B94"/>
    <w:rsid w:val="00BB2CEE"/>
    <w:rsid w:val="00BB30A1"/>
    <w:rsid w:val="00BB33F9"/>
    <w:rsid w:val="00BB3A45"/>
    <w:rsid w:val="00BB3B69"/>
    <w:rsid w:val="00BB3CE1"/>
    <w:rsid w:val="00BB4009"/>
    <w:rsid w:val="00BB4ACC"/>
    <w:rsid w:val="00BB4D24"/>
    <w:rsid w:val="00BB703E"/>
    <w:rsid w:val="00BB732D"/>
    <w:rsid w:val="00BB7405"/>
    <w:rsid w:val="00BC02B2"/>
    <w:rsid w:val="00BC03EA"/>
    <w:rsid w:val="00BC07B7"/>
    <w:rsid w:val="00BC33D2"/>
    <w:rsid w:val="00BC3631"/>
    <w:rsid w:val="00BC3647"/>
    <w:rsid w:val="00BC371D"/>
    <w:rsid w:val="00BC4825"/>
    <w:rsid w:val="00BC591F"/>
    <w:rsid w:val="00BC77E0"/>
    <w:rsid w:val="00BC7ADA"/>
    <w:rsid w:val="00BC7BD8"/>
    <w:rsid w:val="00BC7C5A"/>
    <w:rsid w:val="00BC7D6D"/>
    <w:rsid w:val="00BD11C7"/>
    <w:rsid w:val="00BD2108"/>
    <w:rsid w:val="00BD26D5"/>
    <w:rsid w:val="00BD279A"/>
    <w:rsid w:val="00BD3704"/>
    <w:rsid w:val="00BD4C01"/>
    <w:rsid w:val="00BD5E60"/>
    <w:rsid w:val="00BD68A3"/>
    <w:rsid w:val="00BD6938"/>
    <w:rsid w:val="00BD6CF3"/>
    <w:rsid w:val="00BD6F98"/>
    <w:rsid w:val="00BE02ED"/>
    <w:rsid w:val="00BE0C0A"/>
    <w:rsid w:val="00BE0ECA"/>
    <w:rsid w:val="00BE162A"/>
    <w:rsid w:val="00BE2180"/>
    <w:rsid w:val="00BE21F2"/>
    <w:rsid w:val="00BE322A"/>
    <w:rsid w:val="00BE4275"/>
    <w:rsid w:val="00BE4FE8"/>
    <w:rsid w:val="00BE5617"/>
    <w:rsid w:val="00BE7EBB"/>
    <w:rsid w:val="00BF06AE"/>
    <w:rsid w:val="00BF0F95"/>
    <w:rsid w:val="00BF2433"/>
    <w:rsid w:val="00BF3230"/>
    <w:rsid w:val="00BF61C9"/>
    <w:rsid w:val="00BF6237"/>
    <w:rsid w:val="00BF6418"/>
    <w:rsid w:val="00BF6C94"/>
    <w:rsid w:val="00BF6E1B"/>
    <w:rsid w:val="00C00424"/>
    <w:rsid w:val="00C00744"/>
    <w:rsid w:val="00C010DD"/>
    <w:rsid w:val="00C02AFA"/>
    <w:rsid w:val="00C0338C"/>
    <w:rsid w:val="00C03952"/>
    <w:rsid w:val="00C03A9D"/>
    <w:rsid w:val="00C0401C"/>
    <w:rsid w:val="00C04758"/>
    <w:rsid w:val="00C051A2"/>
    <w:rsid w:val="00C05226"/>
    <w:rsid w:val="00C059E3"/>
    <w:rsid w:val="00C05AD8"/>
    <w:rsid w:val="00C07C9B"/>
    <w:rsid w:val="00C10692"/>
    <w:rsid w:val="00C1179F"/>
    <w:rsid w:val="00C11F3A"/>
    <w:rsid w:val="00C12308"/>
    <w:rsid w:val="00C1235C"/>
    <w:rsid w:val="00C126E3"/>
    <w:rsid w:val="00C12C14"/>
    <w:rsid w:val="00C13FC7"/>
    <w:rsid w:val="00C1552D"/>
    <w:rsid w:val="00C15B8E"/>
    <w:rsid w:val="00C15F04"/>
    <w:rsid w:val="00C15FBC"/>
    <w:rsid w:val="00C179B3"/>
    <w:rsid w:val="00C17E3F"/>
    <w:rsid w:val="00C17F8F"/>
    <w:rsid w:val="00C200AA"/>
    <w:rsid w:val="00C20685"/>
    <w:rsid w:val="00C208BB"/>
    <w:rsid w:val="00C20CBD"/>
    <w:rsid w:val="00C21995"/>
    <w:rsid w:val="00C22E10"/>
    <w:rsid w:val="00C22E60"/>
    <w:rsid w:val="00C22EC8"/>
    <w:rsid w:val="00C23520"/>
    <w:rsid w:val="00C237ED"/>
    <w:rsid w:val="00C24632"/>
    <w:rsid w:val="00C24718"/>
    <w:rsid w:val="00C25418"/>
    <w:rsid w:val="00C25D9C"/>
    <w:rsid w:val="00C25F98"/>
    <w:rsid w:val="00C26DD1"/>
    <w:rsid w:val="00C27154"/>
    <w:rsid w:val="00C2778B"/>
    <w:rsid w:val="00C30E50"/>
    <w:rsid w:val="00C311C4"/>
    <w:rsid w:val="00C3147A"/>
    <w:rsid w:val="00C31649"/>
    <w:rsid w:val="00C3239B"/>
    <w:rsid w:val="00C3434C"/>
    <w:rsid w:val="00C40385"/>
    <w:rsid w:val="00C40A84"/>
    <w:rsid w:val="00C41320"/>
    <w:rsid w:val="00C41768"/>
    <w:rsid w:val="00C41BDB"/>
    <w:rsid w:val="00C4339E"/>
    <w:rsid w:val="00C43D95"/>
    <w:rsid w:val="00C45ACD"/>
    <w:rsid w:val="00C45B73"/>
    <w:rsid w:val="00C45E33"/>
    <w:rsid w:val="00C45E8C"/>
    <w:rsid w:val="00C470C6"/>
    <w:rsid w:val="00C475AA"/>
    <w:rsid w:val="00C50B4A"/>
    <w:rsid w:val="00C521EA"/>
    <w:rsid w:val="00C52728"/>
    <w:rsid w:val="00C53C98"/>
    <w:rsid w:val="00C55182"/>
    <w:rsid w:val="00C552F6"/>
    <w:rsid w:val="00C55DA5"/>
    <w:rsid w:val="00C56315"/>
    <w:rsid w:val="00C56FCF"/>
    <w:rsid w:val="00C57746"/>
    <w:rsid w:val="00C57AFC"/>
    <w:rsid w:val="00C57B6C"/>
    <w:rsid w:val="00C61E92"/>
    <w:rsid w:val="00C622AB"/>
    <w:rsid w:val="00C628A6"/>
    <w:rsid w:val="00C628CD"/>
    <w:rsid w:val="00C6350E"/>
    <w:rsid w:val="00C63E95"/>
    <w:rsid w:val="00C64273"/>
    <w:rsid w:val="00C64344"/>
    <w:rsid w:val="00C645D5"/>
    <w:rsid w:val="00C64F6D"/>
    <w:rsid w:val="00C65108"/>
    <w:rsid w:val="00C65576"/>
    <w:rsid w:val="00C65982"/>
    <w:rsid w:val="00C65FFA"/>
    <w:rsid w:val="00C66165"/>
    <w:rsid w:val="00C66F5F"/>
    <w:rsid w:val="00C7060A"/>
    <w:rsid w:val="00C7151A"/>
    <w:rsid w:val="00C717E3"/>
    <w:rsid w:val="00C71E8A"/>
    <w:rsid w:val="00C71F60"/>
    <w:rsid w:val="00C720BE"/>
    <w:rsid w:val="00C72241"/>
    <w:rsid w:val="00C750C8"/>
    <w:rsid w:val="00C7560F"/>
    <w:rsid w:val="00C75857"/>
    <w:rsid w:val="00C76975"/>
    <w:rsid w:val="00C76A12"/>
    <w:rsid w:val="00C76D3E"/>
    <w:rsid w:val="00C776B0"/>
    <w:rsid w:val="00C77EC4"/>
    <w:rsid w:val="00C77FB7"/>
    <w:rsid w:val="00C80A0E"/>
    <w:rsid w:val="00C80F0B"/>
    <w:rsid w:val="00C80FB0"/>
    <w:rsid w:val="00C81517"/>
    <w:rsid w:val="00C8213F"/>
    <w:rsid w:val="00C85154"/>
    <w:rsid w:val="00C85A14"/>
    <w:rsid w:val="00C85D94"/>
    <w:rsid w:val="00C86AB3"/>
    <w:rsid w:val="00C8797A"/>
    <w:rsid w:val="00C9009E"/>
    <w:rsid w:val="00C900B8"/>
    <w:rsid w:val="00C90C71"/>
    <w:rsid w:val="00C913E1"/>
    <w:rsid w:val="00C91FD1"/>
    <w:rsid w:val="00C9303A"/>
    <w:rsid w:val="00C931CF"/>
    <w:rsid w:val="00C938CF"/>
    <w:rsid w:val="00C94053"/>
    <w:rsid w:val="00C94AFB"/>
    <w:rsid w:val="00C94D15"/>
    <w:rsid w:val="00C94D5A"/>
    <w:rsid w:val="00C9606D"/>
    <w:rsid w:val="00C9624D"/>
    <w:rsid w:val="00C9660C"/>
    <w:rsid w:val="00C969DA"/>
    <w:rsid w:val="00C97B96"/>
    <w:rsid w:val="00C97D4B"/>
    <w:rsid w:val="00CA043F"/>
    <w:rsid w:val="00CA1004"/>
    <w:rsid w:val="00CA11D8"/>
    <w:rsid w:val="00CA14DD"/>
    <w:rsid w:val="00CA20DE"/>
    <w:rsid w:val="00CA2C77"/>
    <w:rsid w:val="00CA2DDD"/>
    <w:rsid w:val="00CA444F"/>
    <w:rsid w:val="00CA4A52"/>
    <w:rsid w:val="00CA50D4"/>
    <w:rsid w:val="00CA5245"/>
    <w:rsid w:val="00CA71F4"/>
    <w:rsid w:val="00CA728F"/>
    <w:rsid w:val="00CA77D7"/>
    <w:rsid w:val="00CA7B09"/>
    <w:rsid w:val="00CA7F92"/>
    <w:rsid w:val="00CB01EA"/>
    <w:rsid w:val="00CB0811"/>
    <w:rsid w:val="00CB12A5"/>
    <w:rsid w:val="00CB13F0"/>
    <w:rsid w:val="00CB1CAC"/>
    <w:rsid w:val="00CB2F2A"/>
    <w:rsid w:val="00CB41DE"/>
    <w:rsid w:val="00CB5B1A"/>
    <w:rsid w:val="00CB6B22"/>
    <w:rsid w:val="00CB7F5F"/>
    <w:rsid w:val="00CC0F8A"/>
    <w:rsid w:val="00CC18AA"/>
    <w:rsid w:val="00CC1961"/>
    <w:rsid w:val="00CC1B39"/>
    <w:rsid w:val="00CC2BB0"/>
    <w:rsid w:val="00CC35EA"/>
    <w:rsid w:val="00CC3848"/>
    <w:rsid w:val="00CC3ECA"/>
    <w:rsid w:val="00CC4DB4"/>
    <w:rsid w:val="00CC5530"/>
    <w:rsid w:val="00CC77F5"/>
    <w:rsid w:val="00CD0847"/>
    <w:rsid w:val="00CD2788"/>
    <w:rsid w:val="00CD34B8"/>
    <w:rsid w:val="00CD3F77"/>
    <w:rsid w:val="00CD6ADC"/>
    <w:rsid w:val="00CD7193"/>
    <w:rsid w:val="00CD77FE"/>
    <w:rsid w:val="00CD7C9B"/>
    <w:rsid w:val="00CE0915"/>
    <w:rsid w:val="00CE1425"/>
    <w:rsid w:val="00CE38C8"/>
    <w:rsid w:val="00CE3BBC"/>
    <w:rsid w:val="00CE3DD6"/>
    <w:rsid w:val="00CE4193"/>
    <w:rsid w:val="00CE42BF"/>
    <w:rsid w:val="00CE46D1"/>
    <w:rsid w:val="00CE5D9E"/>
    <w:rsid w:val="00CE5EA6"/>
    <w:rsid w:val="00CE6274"/>
    <w:rsid w:val="00CE74E4"/>
    <w:rsid w:val="00CE77B6"/>
    <w:rsid w:val="00CF2B8D"/>
    <w:rsid w:val="00CF3398"/>
    <w:rsid w:val="00CF3E44"/>
    <w:rsid w:val="00CF456B"/>
    <w:rsid w:val="00CF5A22"/>
    <w:rsid w:val="00CF6D03"/>
    <w:rsid w:val="00D0262E"/>
    <w:rsid w:val="00D02BBB"/>
    <w:rsid w:val="00D02E31"/>
    <w:rsid w:val="00D02FEE"/>
    <w:rsid w:val="00D047EA"/>
    <w:rsid w:val="00D04963"/>
    <w:rsid w:val="00D04C61"/>
    <w:rsid w:val="00D0579A"/>
    <w:rsid w:val="00D05E3D"/>
    <w:rsid w:val="00D06139"/>
    <w:rsid w:val="00D077AC"/>
    <w:rsid w:val="00D102AB"/>
    <w:rsid w:val="00D110BD"/>
    <w:rsid w:val="00D11670"/>
    <w:rsid w:val="00D13380"/>
    <w:rsid w:val="00D13675"/>
    <w:rsid w:val="00D141E1"/>
    <w:rsid w:val="00D15314"/>
    <w:rsid w:val="00D15972"/>
    <w:rsid w:val="00D17712"/>
    <w:rsid w:val="00D17D6C"/>
    <w:rsid w:val="00D2155B"/>
    <w:rsid w:val="00D23466"/>
    <w:rsid w:val="00D23D11"/>
    <w:rsid w:val="00D23DCC"/>
    <w:rsid w:val="00D23EBD"/>
    <w:rsid w:val="00D24176"/>
    <w:rsid w:val="00D244B6"/>
    <w:rsid w:val="00D24B00"/>
    <w:rsid w:val="00D2754D"/>
    <w:rsid w:val="00D27B27"/>
    <w:rsid w:val="00D30567"/>
    <w:rsid w:val="00D313F0"/>
    <w:rsid w:val="00D31B95"/>
    <w:rsid w:val="00D31F14"/>
    <w:rsid w:val="00D32029"/>
    <w:rsid w:val="00D32157"/>
    <w:rsid w:val="00D33522"/>
    <w:rsid w:val="00D33BE9"/>
    <w:rsid w:val="00D33F93"/>
    <w:rsid w:val="00D3471D"/>
    <w:rsid w:val="00D35512"/>
    <w:rsid w:val="00D357FF"/>
    <w:rsid w:val="00D35D7F"/>
    <w:rsid w:val="00D35F4B"/>
    <w:rsid w:val="00D367A4"/>
    <w:rsid w:val="00D379EA"/>
    <w:rsid w:val="00D37D9E"/>
    <w:rsid w:val="00D40151"/>
    <w:rsid w:val="00D42347"/>
    <w:rsid w:val="00D424C7"/>
    <w:rsid w:val="00D43B2A"/>
    <w:rsid w:val="00D43D83"/>
    <w:rsid w:val="00D44468"/>
    <w:rsid w:val="00D44B98"/>
    <w:rsid w:val="00D45E31"/>
    <w:rsid w:val="00D47575"/>
    <w:rsid w:val="00D50314"/>
    <w:rsid w:val="00D51175"/>
    <w:rsid w:val="00D51722"/>
    <w:rsid w:val="00D517BC"/>
    <w:rsid w:val="00D5243B"/>
    <w:rsid w:val="00D533EC"/>
    <w:rsid w:val="00D547DB"/>
    <w:rsid w:val="00D54D25"/>
    <w:rsid w:val="00D54D58"/>
    <w:rsid w:val="00D55CAB"/>
    <w:rsid w:val="00D56A95"/>
    <w:rsid w:val="00D57A13"/>
    <w:rsid w:val="00D60F40"/>
    <w:rsid w:val="00D62136"/>
    <w:rsid w:val="00D6257D"/>
    <w:rsid w:val="00D62D82"/>
    <w:rsid w:val="00D66975"/>
    <w:rsid w:val="00D672DA"/>
    <w:rsid w:val="00D7035F"/>
    <w:rsid w:val="00D70F16"/>
    <w:rsid w:val="00D71AF4"/>
    <w:rsid w:val="00D72404"/>
    <w:rsid w:val="00D72589"/>
    <w:rsid w:val="00D72902"/>
    <w:rsid w:val="00D72AF7"/>
    <w:rsid w:val="00D72F57"/>
    <w:rsid w:val="00D73076"/>
    <w:rsid w:val="00D741D8"/>
    <w:rsid w:val="00D758F9"/>
    <w:rsid w:val="00D76A44"/>
    <w:rsid w:val="00D7783E"/>
    <w:rsid w:val="00D815EF"/>
    <w:rsid w:val="00D81F26"/>
    <w:rsid w:val="00D83339"/>
    <w:rsid w:val="00D836DC"/>
    <w:rsid w:val="00D847E4"/>
    <w:rsid w:val="00D85DC6"/>
    <w:rsid w:val="00D86231"/>
    <w:rsid w:val="00D91589"/>
    <w:rsid w:val="00D91923"/>
    <w:rsid w:val="00D9247D"/>
    <w:rsid w:val="00D924AE"/>
    <w:rsid w:val="00D93753"/>
    <w:rsid w:val="00D93BC6"/>
    <w:rsid w:val="00D948CD"/>
    <w:rsid w:val="00D95DF4"/>
    <w:rsid w:val="00D96285"/>
    <w:rsid w:val="00D978EF"/>
    <w:rsid w:val="00DA0DB5"/>
    <w:rsid w:val="00DA1302"/>
    <w:rsid w:val="00DA183A"/>
    <w:rsid w:val="00DA3167"/>
    <w:rsid w:val="00DA36C7"/>
    <w:rsid w:val="00DA38F6"/>
    <w:rsid w:val="00DA4DC3"/>
    <w:rsid w:val="00DA67F7"/>
    <w:rsid w:val="00DA77A5"/>
    <w:rsid w:val="00DB198E"/>
    <w:rsid w:val="00DB23DE"/>
    <w:rsid w:val="00DB24BA"/>
    <w:rsid w:val="00DB294A"/>
    <w:rsid w:val="00DB2C89"/>
    <w:rsid w:val="00DB3DBF"/>
    <w:rsid w:val="00DB484F"/>
    <w:rsid w:val="00DB71F8"/>
    <w:rsid w:val="00DB79D1"/>
    <w:rsid w:val="00DC04F6"/>
    <w:rsid w:val="00DC0690"/>
    <w:rsid w:val="00DC1D65"/>
    <w:rsid w:val="00DC319A"/>
    <w:rsid w:val="00DC3C57"/>
    <w:rsid w:val="00DC4C7E"/>
    <w:rsid w:val="00DC5156"/>
    <w:rsid w:val="00DC5501"/>
    <w:rsid w:val="00DC5FA7"/>
    <w:rsid w:val="00DC6343"/>
    <w:rsid w:val="00DC64E2"/>
    <w:rsid w:val="00DC7154"/>
    <w:rsid w:val="00DC7492"/>
    <w:rsid w:val="00DC7E8A"/>
    <w:rsid w:val="00DD0F78"/>
    <w:rsid w:val="00DD1788"/>
    <w:rsid w:val="00DD273C"/>
    <w:rsid w:val="00DD3D36"/>
    <w:rsid w:val="00DD3F28"/>
    <w:rsid w:val="00DD4537"/>
    <w:rsid w:val="00DD49FC"/>
    <w:rsid w:val="00DD4E15"/>
    <w:rsid w:val="00DD593A"/>
    <w:rsid w:val="00DD6C75"/>
    <w:rsid w:val="00DE062A"/>
    <w:rsid w:val="00DE19B7"/>
    <w:rsid w:val="00DE2304"/>
    <w:rsid w:val="00DE2889"/>
    <w:rsid w:val="00DE3138"/>
    <w:rsid w:val="00DE34EB"/>
    <w:rsid w:val="00DE3607"/>
    <w:rsid w:val="00DE37F8"/>
    <w:rsid w:val="00DE4FCB"/>
    <w:rsid w:val="00DE5D07"/>
    <w:rsid w:val="00DE72A7"/>
    <w:rsid w:val="00DE7832"/>
    <w:rsid w:val="00DF090C"/>
    <w:rsid w:val="00DF0FA3"/>
    <w:rsid w:val="00DF10E5"/>
    <w:rsid w:val="00DF14E0"/>
    <w:rsid w:val="00DF18FC"/>
    <w:rsid w:val="00DF2222"/>
    <w:rsid w:val="00DF266A"/>
    <w:rsid w:val="00DF296E"/>
    <w:rsid w:val="00DF4159"/>
    <w:rsid w:val="00DF4218"/>
    <w:rsid w:val="00DF5D2B"/>
    <w:rsid w:val="00DF753A"/>
    <w:rsid w:val="00DF7E34"/>
    <w:rsid w:val="00E00E8E"/>
    <w:rsid w:val="00E01C70"/>
    <w:rsid w:val="00E02754"/>
    <w:rsid w:val="00E04C15"/>
    <w:rsid w:val="00E04EDD"/>
    <w:rsid w:val="00E05630"/>
    <w:rsid w:val="00E06DBB"/>
    <w:rsid w:val="00E10149"/>
    <w:rsid w:val="00E1085A"/>
    <w:rsid w:val="00E10A68"/>
    <w:rsid w:val="00E11340"/>
    <w:rsid w:val="00E122A1"/>
    <w:rsid w:val="00E12577"/>
    <w:rsid w:val="00E13651"/>
    <w:rsid w:val="00E14CF9"/>
    <w:rsid w:val="00E14E07"/>
    <w:rsid w:val="00E15403"/>
    <w:rsid w:val="00E158D5"/>
    <w:rsid w:val="00E16312"/>
    <w:rsid w:val="00E16372"/>
    <w:rsid w:val="00E177BD"/>
    <w:rsid w:val="00E20E4D"/>
    <w:rsid w:val="00E20ED6"/>
    <w:rsid w:val="00E21337"/>
    <w:rsid w:val="00E21358"/>
    <w:rsid w:val="00E21987"/>
    <w:rsid w:val="00E2219E"/>
    <w:rsid w:val="00E2249B"/>
    <w:rsid w:val="00E22A0D"/>
    <w:rsid w:val="00E22E76"/>
    <w:rsid w:val="00E2338C"/>
    <w:rsid w:val="00E238CC"/>
    <w:rsid w:val="00E23A01"/>
    <w:rsid w:val="00E23E22"/>
    <w:rsid w:val="00E244F6"/>
    <w:rsid w:val="00E24ECF"/>
    <w:rsid w:val="00E25A9B"/>
    <w:rsid w:val="00E2600E"/>
    <w:rsid w:val="00E265C8"/>
    <w:rsid w:val="00E2745A"/>
    <w:rsid w:val="00E2771E"/>
    <w:rsid w:val="00E27F30"/>
    <w:rsid w:val="00E30653"/>
    <w:rsid w:val="00E30711"/>
    <w:rsid w:val="00E311D4"/>
    <w:rsid w:val="00E311EF"/>
    <w:rsid w:val="00E319C9"/>
    <w:rsid w:val="00E32180"/>
    <w:rsid w:val="00E323EA"/>
    <w:rsid w:val="00E32578"/>
    <w:rsid w:val="00E33A1B"/>
    <w:rsid w:val="00E3489A"/>
    <w:rsid w:val="00E34948"/>
    <w:rsid w:val="00E34D8F"/>
    <w:rsid w:val="00E3693C"/>
    <w:rsid w:val="00E36D24"/>
    <w:rsid w:val="00E37569"/>
    <w:rsid w:val="00E375E9"/>
    <w:rsid w:val="00E401B2"/>
    <w:rsid w:val="00E40577"/>
    <w:rsid w:val="00E41551"/>
    <w:rsid w:val="00E41E30"/>
    <w:rsid w:val="00E42D86"/>
    <w:rsid w:val="00E42F73"/>
    <w:rsid w:val="00E4349B"/>
    <w:rsid w:val="00E43B17"/>
    <w:rsid w:val="00E43D70"/>
    <w:rsid w:val="00E44451"/>
    <w:rsid w:val="00E444A3"/>
    <w:rsid w:val="00E444E5"/>
    <w:rsid w:val="00E444EA"/>
    <w:rsid w:val="00E44977"/>
    <w:rsid w:val="00E466F3"/>
    <w:rsid w:val="00E479BA"/>
    <w:rsid w:val="00E47B2C"/>
    <w:rsid w:val="00E47BF5"/>
    <w:rsid w:val="00E50312"/>
    <w:rsid w:val="00E51560"/>
    <w:rsid w:val="00E52BA0"/>
    <w:rsid w:val="00E53646"/>
    <w:rsid w:val="00E53FC8"/>
    <w:rsid w:val="00E54347"/>
    <w:rsid w:val="00E55424"/>
    <w:rsid w:val="00E55596"/>
    <w:rsid w:val="00E55650"/>
    <w:rsid w:val="00E55915"/>
    <w:rsid w:val="00E55BB5"/>
    <w:rsid w:val="00E5737A"/>
    <w:rsid w:val="00E604D5"/>
    <w:rsid w:val="00E64FC0"/>
    <w:rsid w:val="00E65E79"/>
    <w:rsid w:val="00E66BA2"/>
    <w:rsid w:val="00E67416"/>
    <w:rsid w:val="00E70498"/>
    <w:rsid w:val="00E716ED"/>
    <w:rsid w:val="00E718B6"/>
    <w:rsid w:val="00E720BD"/>
    <w:rsid w:val="00E723BA"/>
    <w:rsid w:val="00E72A5D"/>
    <w:rsid w:val="00E72AAD"/>
    <w:rsid w:val="00E72BBD"/>
    <w:rsid w:val="00E73581"/>
    <w:rsid w:val="00E73E1A"/>
    <w:rsid w:val="00E74015"/>
    <w:rsid w:val="00E74F4B"/>
    <w:rsid w:val="00E763E1"/>
    <w:rsid w:val="00E779E2"/>
    <w:rsid w:val="00E81240"/>
    <w:rsid w:val="00E81857"/>
    <w:rsid w:val="00E81F07"/>
    <w:rsid w:val="00E82868"/>
    <w:rsid w:val="00E83231"/>
    <w:rsid w:val="00E833F7"/>
    <w:rsid w:val="00E83BDF"/>
    <w:rsid w:val="00E84964"/>
    <w:rsid w:val="00E84FAC"/>
    <w:rsid w:val="00E85456"/>
    <w:rsid w:val="00E8591D"/>
    <w:rsid w:val="00E861D8"/>
    <w:rsid w:val="00E86F0D"/>
    <w:rsid w:val="00E8726A"/>
    <w:rsid w:val="00E87A1D"/>
    <w:rsid w:val="00E90790"/>
    <w:rsid w:val="00E907C4"/>
    <w:rsid w:val="00E9094A"/>
    <w:rsid w:val="00E91600"/>
    <w:rsid w:val="00E91D35"/>
    <w:rsid w:val="00E9213E"/>
    <w:rsid w:val="00E926A5"/>
    <w:rsid w:val="00E93632"/>
    <w:rsid w:val="00E949A3"/>
    <w:rsid w:val="00E9511D"/>
    <w:rsid w:val="00E956D3"/>
    <w:rsid w:val="00E96038"/>
    <w:rsid w:val="00E96853"/>
    <w:rsid w:val="00EA0A6D"/>
    <w:rsid w:val="00EA17C3"/>
    <w:rsid w:val="00EA1DBB"/>
    <w:rsid w:val="00EA2CAA"/>
    <w:rsid w:val="00EA3864"/>
    <w:rsid w:val="00EA3BC3"/>
    <w:rsid w:val="00EA423E"/>
    <w:rsid w:val="00EA5197"/>
    <w:rsid w:val="00EA5C43"/>
    <w:rsid w:val="00EA6A45"/>
    <w:rsid w:val="00EA6A91"/>
    <w:rsid w:val="00EA7F1C"/>
    <w:rsid w:val="00EB0CA0"/>
    <w:rsid w:val="00EB0DCB"/>
    <w:rsid w:val="00EB147C"/>
    <w:rsid w:val="00EB15B6"/>
    <w:rsid w:val="00EB3BBC"/>
    <w:rsid w:val="00EB3D06"/>
    <w:rsid w:val="00EB3FBC"/>
    <w:rsid w:val="00EB4916"/>
    <w:rsid w:val="00EB517F"/>
    <w:rsid w:val="00EB58B4"/>
    <w:rsid w:val="00EB68A2"/>
    <w:rsid w:val="00EB6E18"/>
    <w:rsid w:val="00EB71EB"/>
    <w:rsid w:val="00EC00C9"/>
    <w:rsid w:val="00EC0DD9"/>
    <w:rsid w:val="00EC17C0"/>
    <w:rsid w:val="00EC242A"/>
    <w:rsid w:val="00EC2649"/>
    <w:rsid w:val="00EC31ED"/>
    <w:rsid w:val="00EC3A27"/>
    <w:rsid w:val="00EC4489"/>
    <w:rsid w:val="00EC45CD"/>
    <w:rsid w:val="00EC4E9A"/>
    <w:rsid w:val="00EC5836"/>
    <w:rsid w:val="00EC5EE6"/>
    <w:rsid w:val="00EC688C"/>
    <w:rsid w:val="00ED01DC"/>
    <w:rsid w:val="00ED066D"/>
    <w:rsid w:val="00ED1144"/>
    <w:rsid w:val="00ED180F"/>
    <w:rsid w:val="00ED28D9"/>
    <w:rsid w:val="00ED57EA"/>
    <w:rsid w:val="00ED5BD4"/>
    <w:rsid w:val="00ED7852"/>
    <w:rsid w:val="00ED7C0F"/>
    <w:rsid w:val="00ED7EAC"/>
    <w:rsid w:val="00EE07D3"/>
    <w:rsid w:val="00EE1996"/>
    <w:rsid w:val="00EE1C01"/>
    <w:rsid w:val="00EE22AF"/>
    <w:rsid w:val="00EE27ED"/>
    <w:rsid w:val="00EE27F0"/>
    <w:rsid w:val="00EE3828"/>
    <w:rsid w:val="00EE3D92"/>
    <w:rsid w:val="00EE4704"/>
    <w:rsid w:val="00EE5C72"/>
    <w:rsid w:val="00EF0171"/>
    <w:rsid w:val="00EF030C"/>
    <w:rsid w:val="00EF08AD"/>
    <w:rsid w:val="00EF0C66"/>
    <w:rsid w:val="00EF0F5C"/>
    <w:rsid w:val="00EF1B25"/>
    <w:rsid w:val="00EF1DA0"/>
    <w:rsid w:val="00EF4473"/>
    <w:rsid w:val="00EF4747"/>
    <w:rsid w:val="00EF4BF8"/>
    <w:rsid w:val="00EF5077"/>
    <w:rsid w:val="00EF560E"/>
    <w:rsid w:val="00EF64BF"/>
    <w:rsid w:val="00EF6A21"/>
    <w:rsid w:val="00EF6BE6"/>
    <w:rsid w:val="00EF6C70"/>
    <w:rsid w:val="00EF6FDE"/>
    <w:rsid w:val="00F006C8"/>
    <w:rsid w:val="00F02253"/>
    <w:rsid w:val="00F023C9"/>
    <w:rsid w:val="00F03233"/>
    <w:rsid w:val="00F03C2E"/>
    <w:rsid w:val="00F04A66"/>
    <w:rsid w:val="00F04B4B"/>
    <w:rsid w:val="00F0516C"/>
    <w:rsid w:val="00F05A8B"/>
    <w:rsid w:val="00F067A2"/>
    <w:rsid w:val="00F06FC1"/>
    <w:rsid w:val="00F07B0F"/>
    <w:rsid w:val="00F07B9E"/>
    <w:rsid w:val="00F1087A"/>
    <w:rsid w:val="00F1116F"/>
    <w:rsid w:val="00F11284"/>
    <w:rsid w:val="00F1263A"/>
    <w:rsid w:val="00F13D58"/>
    <w:rsid w:val="00F1447E"/>
    <w:rsid w:val="00F148AC"/>
    <w:rsid w:val="00F154C7"/>
    <w:rsid w:val="00F15B77"/>
    <w:rsid w:val="00F15D26"/>
    <w:rsid w:val="00F17379"/>
    <w:rsid w:val="00F2137C"/>
    <w:rsid w:val="00F21AB2"/>
    <w:rsid w:val="00F230A1"/>
    <w:rsid w:val="00F24837"/>
    <w:rsid w:val="00F24BB3"/>
    <w:rsid w:val="00F2575F"/>
    <w:rsid w:val="00F25967"/>
    <w:rsid w:val="00F265D9"/>
    <w:rsid w:val="00F26ED7"/>
    <w:rsid w:val="00F27565"/>
    <w:rsid w:val="00F27952"/>
    <w:rsid w:val="00F27E43"/>
    <w:rsid w:val="00F30C5F"/>
    <w:rsid w:val="00F30D95"/>
    <w:rsid w:val="00F310D4"/>
    <w:rsid w:val="00F3191A"/>
    <w:rsid w:val="00F31D5A"/>
    <w:rsid w:val="00F31F18"/>
    <w:rsid w:val="00F33975"/>
    <w:rsid w:val="00F33DE9"/>
    <w:rsid w:val="00F35E6D"/>
    <w:rsid w:val="00F3619A"/>
    <w:rsid w:val="00F37C94"/>
    <w:rsid w:val="00F40AAA"/>
    <w:rsid w:val="00F40BA7"/>
    <w:rsid w:val="00F40F9D"/>
    <w:rsid w:val="00F415D5"/>
    <w:rsid w:val="00F41ACD"/>
    <w:rsid w:val="00F42444"/>
    <w:rsid w:val="00F439F7"/>
    <w:rsid w:val="00F44568"/>
    <w:rsid w:val="00F4482D"/>
    <w:rsid w:val="00F4506A"/>
    <w:rsid w:val="00F45D5C"/>
    <w:rsid w:val="00F46CB6"/>
    <w:rsid w:val="00F471B6"/>
    <w:rsid w:val="00F4756D"/>
    <w:rsid w:val="00F47898"/>
    <w:rsid w:val="00F47DE8"/>
    <w:rsid w:val="00F51ED9"/>
    <w:rsid w:val="00F521B6"/>
    <w:rsid w:val="00F5372E"/>
    <w:rsid w:val="00F542C1"/>
    <w:rsid w:val="00F55E73"/>
    <w:rsid w:val="00F55EDA"/>
    <w:rsid w:val="00F56370"/>
    <w:rsid w:val="00F569C6"/>
    <w:rsid w:val="00F56C80"/>
    <w:rsid w:val="00F60092"/>
    <w:rsid w:val="00F61C18"/>
    <w:rsid w:val="00F64185"/>
    <w:rsid w:val="00F65299"/>
    <w:rsid w:val="00F65F4B"/>
    <w:rsid w:val="00F66F44"/>
    <w:rsid w:val="00F67536"/>
    <w:rsid w:val="00F679CF"/>
    <w:rsid w:val="00F67A69"/>
    <w:rsid w:val="00F70833"/>
    <w:rsid w:val="00F70BB1"/>
    <w:rsid w:val="00F70BFF"/>
    <w:rsid w:val="00F70C9D"/>
    <w:rsid w:val="00F71E27"/>
    <w:rsid w:val="00F73F17"/>
    <w:rsid w:val="00F74C15"/>
    <w:rsid w:val="00F74CD9"/>
    <w:rsid w:val="00F75C8A"/>
    <w:rsid w:val="00F76F3A"/>
    <w:rsid w:val="00F80055"/>
    <w:rsid w:val="00F80A7B"/>
    <w:rsid w:val="00F80E0A"/>
    <w:rsid w:val="00F80E5D"/>
    <w:rsid w:val="00F8109A"/>
    <w:rsid w:val="00F81E78"/>
    <w:rsid w:val="00F822B2"/>
    <w:rsid w:val="00F828CA"/>
    <w:rsid w:val="00F82F7E"/>
    <w:rsid w:val="00F834AB"/>
    <w:rsid w:val="00F83D65"/>
    <w:rsid w:val="00F851CE"/>
    <w:rsid w:val="00F85E4B"/>
    <w:rsid w:val="00F87BF3"/>
    <w:rsid w:val="00F90BC5"/>
    <w:rsid w:val="00F91219"/>
    <w:rsid w:val="00F91AA0"/>
    <w:rsid w:val="00F92444"/>
    <w:rsid w:val="00F92716"/>
    <w:rsid w:val="00F9380E"/>
    <w:rsid w:val="00F9393E"/>
    <w:rsid w:val="00F9430F"/>
    <w:rsid w:val="00F9451A"/>
    <w:rsid w:val="00F96FD0"/>
    <w:rsid w:val="00F97A78"/>
    <w:rsid w:val="00FA0248"/>
    <w:rsid w:val="00FA0AF6"/>
    <w:rsid w:val="00FA0B20"/>
    <w:rsid w:val="00FA15DB"/>
    <w:rsid w:val="00FA24E7"/>
    <w:rsid w:val="00FA262F"/>
    <w:rsid w:val="00FA3340"/>
    <w:rsid w:val="00FA3858"/>
    <w:rsid w:val="00FA48E2"/>
    <w:rsid w:val="00FA5EE6"/>
    <w:rsid w:val="00FA7956"/>
    <w:rsid w:val="00FB0657"/>
    <w:rsid w:val="00FB1644"/>
    <w:rsid w:val="00FB1E20"/>
    <w:rsid w:val="00FB22C7"/>
    <w:rsid w:val="00FB2FCB"/>
    <w:rsid w:val="00FB3979"/>
    <w:rsid w:val="00FB431C"/>
    <w:rsid w:val="00FB57CB"/>
    <w:rsid w:val="00FB6817"/>
    <w:rsid w:val="00FB6B42"/>
    <w:rsid w:val="00FB72BE"/>
    <w:rsid w:val="00FB7C55"/>
    <w:rsid w:val="00FC1074"/>
    <w:rsid w:val="00FC16B5"/>
    <w:rsid w:val="00FC1884"/>
    <w:rsid w:val="00FC371D"/>
    <w:rsid w:val="00FC3BD3"/>
    <w:rsid w:val="00FC3CD9"/>
    <w:rsid w:val="00FC3E11"/>
    <w:rsid w:val="00FC4DB3"/>
    <w:rsid w:val="00FC5D4C"/>
    <w:rsid w:val="00FC5F0B"/>
    <w:rsid w:val="00FC78A8"/>
    <w:rsid w:val="00FD022E"/>
    <w:rsid w:val="00FD04DF"/>
    <w:rsid w:val="00FD0829"/>
    <w:rsid w:val="00FD0D65"/>
    <w:rsid w:val="00FD2100"/>
    <w:rsid w:val="00FD2B85"/>
    <w:rsid w:val="00FD436C"/>
    <w:rsid w:val="00FD446D"/>
    <w:rsid w:val="00FD482B"/>
    <w:rsid w:val="00FD4F2C"/>
    <w:rsid w:val="00FD5195"/>
    <w:rsid w:val="00FD6394"/>
    <w:rsid w:val="00FD6A2C"/>
    <w:rsid w:val="00FD7730"/>
    <w:rsid w:val="00FE0289"/>
    <w:rsid w:val="00FE099D"/>
    <w:rsid w:val="00FE0A27"/>
    <w:rsid w:val="00FE0E6C"/>
    <w:rsid w:val="00FE1BBB"/>
    <w:rsid w:val="00FE1CDC"/>
    <w:rsid w:val="00FE385A"/>
    <w:rsid w:val="00FE4A18"/>
    <w:rsid w:val="00FE4AE3"/>
    <w:rsid w:val="00FE56E1"/>
    <w:rsid w:val="00FE70C3"/>
    <w:rsid w:val="00FE77BD"/>
    <w:rsid w:val="00FF08CF"/>
    <w:rsid w:val="00FF109E"/>
    <w:rsid w:val="00FF1A8D"/>
    <w:rsid w:val="00FF1CF2"/>
    <w:rsid w:val="00FF218F"/>
    <w:rsid w:val="00FF2AD9"/>
    <w:rsid w:val="00FF359F"/>
    <w:rsid w:val="00FF3DCF"/>
    <w:rsid w:val="00FF492C"/>
    <w:rsid w:val="00FF4A21"/>
    <w:rsid w:val="00FF5AA3"/>
    <w:rsid w:val="00FF5AD8"/>
    <w:rsid w:val="00FF7C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87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207F"/>
    <w:rPr>
      <w:rFonts w:ascii="Calibri" w:hAnsi="Calibri" w:cs="Arial"/>
      <w:b/>
      <w:caps/>
      <w:sz w:val="32"/>
      <w:szCs w:val="24"/>
    </w:rPr>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3Char">
    <w:name w:val="Heading 3 Char"/>
    <w:basedOn w:val="DefaultParagraphFont"/>
    <w:link w:val="Heading3"/>
    <w:rsid w:val="00AE207F"/>
    <w:rPr>
      <w:rFonts w:ascii="Calibri" w:hAnsi="Calibri" w:cs="Arial"/>
      <w:sz w:val="24"/>
      <w:szCs w:val="24"/>
      <w:u w:val="single"/>
    </w:rPr>
  </w:style>
  <w:style w:type="character" w:customStyle="1" w:styleId="Heading4Char">
    <w:name w:val="Heading 4 Char"/>
    <w:basedOn w:val="DefaultParagraphFont"/>
    <w:link w:val="Heading4"/>
    <w:rsid w:val="00AE207F"/>
    <w:rPr>
      <w:rFonts w:ascii="Calibri" w:hAnsi="Calibri" w:cs="Arial"/>
      <w:b/>
      <w:bCs/>
      <w:i/>
      <w:sz w:val="26"/>
      <w:szCs w:val="28"/>
    </w:rPr>
  </w:style>
  <w:style w:type="character" w:customStyle="1" w:styleId="Heading5Char">
    <w:name w:val="Heading 5 Char"/>
    <w:basedOn w:val="DefaultParagraphFont"/>
    <w:link w:val="Heading5"/>
    <w:rsid w:val="00AE207F"/>
    <w:rPr>
      <w:rFonts w:ascii="Calibri" w:hAnsi="Calibri" w:cs="Arial"/>
      <w:b/>
      <w:bCs/>
      <w:iCs/>
      <w:sz w:val="26"/>
      <w:szCs w:val="26"/>
    </w:rPr>
  </w:style>
  <w:style w:type="character" w:customStyle="1" w:styleId="Heading6Char">
    <w:name w:val="Heading 6 Char"/>
    <w:basedOn w:val="DefaultParagraphFont"/>
    <w:link w:val="Heading6"/>
    <w:rsid w:val="00AE207F"/>
    <w:rPr>
      <w:rFonts w:ascii="Calibri" w:hAnsi="Calibri" w:cs="Arial"/>
      <w:b/>
      <w:bCs/>
      <w:i/>
      <w:sz w:val="24"/>
      <w:szCs w:val="24"/>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1"/>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L,Bullet Point,Bulletr List Paragraph,FooterText"/>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paragraph" w:styleId="ListBullet">
    <w:name w:val="List Bullet"/>
    <w:basedOn w:val="Normal"/>
    <w:uiPriority w:val="99"/>
    <w:unhideWhenUsed/>
    <w:rsid w:val="00EE1996"/>
    <w:pPr>
      <w:numPr>
        <w:numId w:val="3"/>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ummary Table,PBAC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1"/>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qFormat/>
    <w:rsid w:val="00EE1996"/>
    <w:pPr>
      <w:keepNext/>
    </w:pPr>
    <w:rPr>
      <w:rFonts w:ascii="Arial Narrow" w:eastAsiaTheme="majorEastAsia" w:hAnsi="Arial Narrow"/>
      <w:b/>
      <w:szCs w:val="24"/>
      <w:lang w:val="en-US"/>
    </w:rPr>
  </w:style>
  <w:style w:type="paragraph" w:customStyle="1" w:styleId="2-SectionHeading">
    <w:name w:val="2-Section Heading"/>
    <w:link w:val="2-SectionHeadingChar"/>
    <w:qFormat/>
    <w:rsid w:val="00EE1996"/>
    <w:pPr>
      <w:keepNext/>
      <w:numPr>
        <w:numId w:val="4"/>
      </w:numPr>
      <w:spacing w:before="240" w:after="120"/>
      <w:outlineLvl w:val="0"/>
    </w:pPr>
    <w:rPr>
      <w:rFonts w:asciiTheme="minorHAnsi" w:hAnsiTheme="minorHAnsi" w:cs="Arial"/>
      <w:b/>
      <w:snapToGrid w:val="0"/>
      <w:sz w:val="32"/>
      <w:szCs w:val="32"/>
    </w:rPr>
  </w:style>
  <w:style w:type="character" w:customStyle="1" w:styleId="2-SectionHeadingChar">
    <w:name w:val="2-Section Heading Char"/>
    <w:basedOn w:val="DefaultParagraphFont"/>
    <w:link w:val="2-SectionHeading"/>
    <w:uiPriority w:val="99"/>
    <w:rsid w:val="00872AAD"/>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4"/>
      </w:numPr>
    </w:pPr>
  </w:style>
  <w:style w:type="character" w:customStyle="1" w:styleId="3-BodyTextChar">
    <w:name w:val="3-Body Text Char"/>
    <w:basedOn w:val="ListParagraphChar"/>
    <w:link w:val="3-BodyText"/>
    <w:uiPriority w:val="99"/>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FootnoteText">
    <w:name w:val="footnote text"/>
    <w:basedOn w:val="Normal"/>
    <w:link w:val="FootnoteTextChar"/>
    <w:uiPriority w:val="99"/>
    <w:semiHidden/>
    <w:unhideWhenUsed/>
    <w:rsid w:val="0067636C"/>
    <w:rPr>
      <w:sz w:val="20"/>
      <w:szCs w:val="20"/>
    </w:rPr>
  </w:style>
  <w:style w:type="character" w:customStyle="1" w:styleId="FootnoteTextChar">
    <w:name w:val="Footnote Text Char"/>
    <w:basedOn w:val="DefaultParagraphFont"/>
    <w:link w:val="FootnoteText"/>
    <w:uiPriority w:val="99"/>
    <w:semiHidden/>
    <w:rsid w:val="0067636C"/>
    <w:rPr>
      <w:rFonts w:ascii="Calibri" w:hAnsi="Calibri" w:cs="Arial"/>
    </w:rPr>
  </w:style>
  <w:style w:type="character" w:styleId="FootnoteReference">
    <w:name w:val="footnote reference"/>
    <w:basedOn w:val="DefaultParagraphFont"/>
    <w:semiHidden/>
    <w:unhideWhenUsed/>
    <w:rsid w:val="0067636C"/>
    <w:rPr>
      <w:vertAlign w:val="superscript"/>
    </w:rPr>
  </w:style>
  <w:style w:type="paragraph" w:customStyle="1" w:styleId="TableHeadingRow">
    <w:name w:val="TableHeadingRow"/>
    <w:basedOn w:val="TableText1"/>
    <w:uiPriority w:val="3"/>
    <w:qFormat/>
    <w:rsid w:val="00643768"/>
    <w:pPr>
      <w:keepNext/>
      <w:spacing w:before="40" w:after="40"/>
      <w:jc w:val="center"/>
    </w:pPr>
    <w:rPr>
      <w:b/>
      <w:bCs w:val="0"/>
    </w:rPr>
  </w:style>
  <w:style w:type="paragraph" w:customStyle="1" w:styleId="TableText1">
    <w:name w:val="TableText"/>
    <w:basedOn w:val="Normal"/>
    <w:link w:val="TableTextChar1"/>
    <w:uiPriority w:val="97"/>
    <w:qFormat/>
    <w:rsid w:val="00643768"/>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97"/>
    <w:rsid w:val="00643768"/>
    <w:rPr>
      <w:rFonts w:ascii="Calibri" w:hAnsi="Calibri" w:cs="Calibri"/>
      <w:bCs/>
      <w:lang w:eastAsia="zh-CN"/>
    </w:rPr>
  </w:style>
  <w:style w:type="character" w:customStyle="1" w:styleId="UnresolvedMention1">
    <w:name w:val="Unresolved Mention1"/>
    <w:basedOn w:val="DefaultParagraphFont"/>
    <w:uiPriority w:val="99"/>
    <w:semiHidden/>
    <w:unhideWhenUsed/>
    <w:rsid w:val="00AB6F18"/>
    <w:rPr>
      <w:color w:val="605E5C"/>
      <w:shd w:val="clear" w:color="auto" w:fill="E1DFDD"/>
    </w:rPr>
  </w:style>
  <w:style w:type="character" w:customStyle="1" w:styleId="UnresolvedMention11">
    <w:name w:val="Unresolved Mention11"/>
    <w:basedOn w:val="DefaultParagraphFont"/>
    <w:uiPriority w:val="99"/>
    <w:semiHidden/>
    <w:unhideWhenUsed/>
    <w:rsid w:val="00AE207F"/>
    <w:rPr>
      <w:color w:val="605E5C"/>
      <w:shd w:val="clear" w:color="auto" w:fill="E1DFDD"/>
    </w:rPr>
  </w:style>
  <w:style w:type="character" w:styleId="PlaceholderText">
    <w:name w:val="Placeholder Text"/>
    <w:basedOn w:val="DefaultParagraphFont"/>
    <w:uiPriority w:val="99"/>
    <w:semiHidden/>
    <w:rsid w:val="00872AAD"/>
    <w:rPr>
      <w:color w:val="808080"/>
    </w:rPr>
  </w:style>
  <w:style w:type="paragraph" w:customStyle="1" w:styleId="TableBullets">
    <w:name w:val="TableBullets"/>
    <w:basedOn w:val="Tabletext"/>
    <w:link w:val="TableBulletsChar"/>
    <w:uiPriority w:val="99"/>
    <w:qFormat/>
    <w:rsid w:val="00872AAD"/>
    <w:pPr>
      <w:numPr>
        <w:numId w:val="6"/>
      </w:numPr>
      <w:spacing w:before="20" w:after="20"/>
    </w:pPr>
    <w:rPr>
      <w:lang w:eastAsia="en-US"/>
    </w:rPr>
  </w:style>
  <w:style w:type="character" w:customStyle="1" w:styleId="TableBulletsChar">
    <w:name w:val="TableBullets Char"/>
    <w:basedOn w:val="TabletextChar"/>
    <w:link w:val="TableBullets"/>
    <w:uiPriority w:val="99"/>
    <w:rsid w:val="00872AAD"/>
    <w:rPr>
      <w:rFonts w:ascii="Arial Narrow" w:hAnsi="Arial Narrow"/>
      <w:snapToGrid w:val="0"/>
      <w:szCs w:val="24"/>
      <w:lang w:eastAsia="en-US"/>
    </w:rPr>
  </w:style>
  <w:style w:type="paragraph" w:customStyle="1" w:styleId="ES-heading">
    <w:name w:val="ES-heading"/>
    <w:basedOn w:val="4-SubsectionHeading"/>
    <w:next w:val="Normal"/>
    <w:link w:val="ES-headingChar"/>
    <w:qFormat/>
    <w:rsid w:val="00872AAD"/>
    <w:pPr>
      <w:keepNext w:val="0"/>
      <w:spacing w:before="240" w:after="240"/>
    </w:pPr>
    <w:rPr>
      <w:lang w:eastAsia="en-US"/>
    </w:rPr>
  </w:style>
  <w:style w:type="character" w:customStyle="1" w:styleId="ES-headingChar">
    <w:name w:val="ES-heading Char"/>
    <w:basedOn w:val="4-SubsectionHeadingChar"/>
    <w:link w:val="ES-heading"/>
    <w:rsid w:val="00872AAD"/>
    <w:rPr>
      <w:rFonts w:asciiTheme="minorHAnsi" w:eastAsiaTheme="majorEastAsia" w:hAnsiTheme="minorHAnsi" w:cstheme="majorBidi"/>
      <w:b/>
      <w:i/>
      <w:snapToGrid/>
      <w:spacing w:val="5"/>
      <w:kern w:val="28"/>
      <w:sz w:val="28"/>
      <w:szCs w:val="36"/>
      <w:lang w:eastAsia="en-US"/>
    </w:rPr>
  </w:style>
  <w:style w:type="paragraph" w:customStyle="1" w:styleId="ES-Section">
    <w:name w:val="ES-Section"/>
    <w:basedOn w:val="2-SectionHeading"/>
    <w:link w:val="ES-SectionChar"/>
    <w:uiPriority w:val="99"/>
    <w:qFormat/>
    <w:rsid w:val="00872AAD"/>
    <w:pPr>
      <w:numPr>
        <w:numId w:val="0"/>
      </w:numPr>
      <w:ind w:left="720" w:hanging="360"/>
    </w:pPr>
  </w:style>
  <w:style w:type="character" w:customStyle="1" w:styleId="ES-SectionChar">
    <w:name w:val="ES-Section Char"/>
    <w:basedOn w:val="2-SectionHeadingChar"/>
    <w:link w:val="ES-Section"/>
    <w:uiPriority w:val="99"/>
    <w:rsid w:val="00872AAD"/>
    <w:rPr>
      <w:rFonts w:asciiTheme="minorHAnsi" w:hAnsiTheme="minorHAnsi" w:cs="Arial"/>
      <w:b/>
      <w:snapToGrid w:val="0"/>
      <w:sz w:val="32"/>
      <w:szCs w:val="32"/>
    </w:rPr>
  </w:style>
  <w:style w:type="paragraph" w:customStyle="1" w:styleId="ES-SubSection">
    <w:name w:val="ES-SubSection"/>
    <w:basedOn w:val="Normal"/>
    <w:next w:val="3-BodyText"/>
    <w:link w:val="ES-SubSectionChar"/>
    <w:qFormat/>
    <w:rsid w:val="000D09D2"/>
    <w:pPr>
      <w:spacing w:before="120" w:after="120"/>
      <w:outlineLvl w:val="1"/>
    </w:pPr>
    <w:rPr>
      <w:rFonts w:asciiTheme="minorHAnsi" w:hAnsiTheme="minorHAnsi" w:cs="Times New Roman"/>
      <w:b/>
      <w:bCs/>
      <w:i/>
      <w:iCs/>
      <w:spacing w:val="5"/>
      <w:kern w:val="28"/>
      <w:sz w:val="28"/>
      <w:szCs w:val="20"/>
      <w:lang w:eastAsia="en-US"/>
    </w:rPr>
  </w:style>
  <w:style w:type="character" w:customStyle="1" w:styleId="ES-SubSectionChar">
    <w:name w:val="ES-SubSection Char"/>
    <w:basedOn w:val="4-SubsectionHeadingChar"/>
    <w:link w:val="ES-SubSection"/>
    <w:rsid w:val="000D09D2"/>
    <w:rPr>
      <w:rFonts w:asciiTheme="minorHAnsi" w:eastAsiaTheme="majorEastAsia" w:hAnsiTheme="minorHAnsi" w:cstheme="majorBidi"/>
      <w:b/>
      <w:bCs/>
      <w:i/>
      <w:iCs/>
      <w:snapToGrid/>
      <w:spacing w:val="5"/>
      <w:kern w:val="28"/>
      <w:sz w:val="28"/>
      <w:szCs w:val="36"/>
      <w:lang w:eastAsia="en-US"/>
    </w:rPr>
  </w:style>
  <w:style w:type="table" w:customStyle="1" w:styleId="TableGrid1">
    <w:name w:val="Table Grid1"/>
    <w:basedOn w:val="TableNormal"/>
    <w:next w:val="TableGrid"/>
    <w:rsid w:val="00872A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72A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8">
    <w:name w:val="ASD Table18"/>
    <w:basedOn w:val="TableNormal"/>
    <w:next w:val="TableGrid"/>
    <w:uiPriority w:val="39"/>
    <w:rsid w:val="0087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71">
    <w:name w:val="TOC 71"/>
    <w:basedOn w:val="Normal"/>
    <w:next w:val="Normal"/>
    <w:autoRedefine/>
    <w:uiPriority w:val="99"/>
    <w:rsid w:val="00872AAD"/>
    <w:pPr>
      <w:ind w:left="1320"/>
      <w:jc w:val="left"/>
    </w:pPr>
    <w:rPr>
      <w:sz w:val="20"/>
    </w:rPr>
  </w:style>
  <w:style w:type="paragraph" w:customStyle="1" w:styleId="TableHeading0">
    <w:name w:val="Table Heading"/>
    <w:basedOn w:val="Normal"/>
    <w:uiPriority w:val="99"/>
    <w:qFormat/>
    <w:rsid w:val="00872AAD"/>
    <w:pPr>
      <w:keepNext/>
      <w:jc w:val="left"/>
    </w:pPr>
    <w:rPr>
      <w:rFonts w:ascii="Arial Narrow" w:eastAsiaTheme="minorHAnsi" w:hAnsi="Arial Narrow" w:cstheme="minorBidi"/>
      <w:b/>
      <w:bCs/>
      <w:sz w:val="20"/>
      <w:szCs w:val="22"/>
      <w:lang w:eastAsia="en-US"/>
    </w:rPr>
  </w:style>
  <w:style w:type="paragraph" w:customStyle="1" w:styleId="Default">
    <w:name w:val="Default"/>
    <w:rsid w:val="0066401B"/>
    <w:pPr>
      <w:autoSpaceDE w:val="0"/>
      <w:autoSpaceDN w:val="0"/>
      <w:adjustRightInd w:val="0"/>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715A51"/>
    <w:rPr>
      <w:color w:val="605E5C"/>
      <w:shd w:val="clear" w:color="auto" w:fill="E1DFDD"/>
    </w:rPr>
  </w:style>
  <w:style w:type="character" w:customStyle="1" w:styleId="e24kjd">
    <w:name w:val="e24kjd"/>
    <w:basedOn w:val="DefaultParagraphFont"/>
    <w:rsid w:val="00F07B0F"/>
  </w:style>
  <w:style w:type="paragraph" w:customStyle="1" w:styleId="m7887592922032761919gmail-tabletext">
    <w:name w:val="m_7887592922032761919gmail-tabletext"/>
    <w:basedOn w:val="Normal"/>
    <w:rsid w:val="0045770F"/>
    <w:pPr>
      <w:spacing w:before="100" w:beforeAutospacing="1" w:after="100" w:afterAutospacing="1"/>
      <w:jc w:val="left"/>
    </w:pPr>
    <w:rPr>
      <w:rFonts w:ascii="Times New Roman" w:hAnsi="Times New Roman" w:cs="Times New Roman"/>
      <w:lang w:val="en-US" w:eastAsia="en-US"/>
    </w:rPr>
  </w:style>
  <w:style w:type="character" w:customStyle="1" w:styleId="text-widget3">
    <w:name w:val="text-widget3"/>
    <w:basedOn w:val="DefaultParagraphFont"/>
    <w:rsid w:val="0045770F"/>
  </w:style>
  <w:style w:type="paragraph" w:customStyle="1" w:styleId="EndNoteBibliography">
    <w:name w:val="EndNote Bibliography"/>
    <w:basedOn w:val="Normal"/>
    <w:link w:val="EndNoteBibliographyChar"/>
    <w:rsid w:val="000808F6"/>
    <w:pPr>
      <w:spacing w:after="160"/>
      <w:jc w:val="left"/>
    </w:pPr>
    <w:rPr>
      <w:rFonts w:eastAsiaTheme="minorEastAsia" w:cs="Calibri"/>
      <w:noProof/>
      <w:sz w:val="22"/>
      <w:szCs w:val="22"/>
      <w:lang w:eastAsia="zh-CN"/>
    </w:rPr>
  </w:style>
  <w:style w:type="character" w:customStyle="1" w:styleId="EndNoteBibliographyChar">
    <w:name w:val="EndNote Bibliography Char"/>
    <w:basedOn w:val="DefaultParagraphFont"/>
    <w:link w:val="EndNoteBibliography"/>
    <w:rsid w:val="000808F6"/>
    <w:rPr>
      <w:rFonts w:ascii="Calibri" w:eastAsiaTheme="minorEastAsia" w:hAnsi="Calibri" w:cs="Calibri"/>
      <w:noProof/>
      <w:sz w:val="22"/>
      <w:szCs w:val="22"/>
      <w:lang w:eastAsia="zh-CN"/>
    </w:rPr>
  </w:style>
  <w:style w:type="character" w:customStyle="1" w:styleId="nlmstring-name">
    <w:name w:val="nlm_string-name"/>
    <w:basedOn w:val="DefaultParagraphFont"/>
    <w:rsid w:val="00CE0915"/>
  </w:style>
  <w:style w:type="character" w:customStyle="1" w:styleId="journalname">
    <w:name w:val="journalname"/>
    <w:basedOn w:val="DefaultParagraphFont"/>
    <w:rsid w:val="00CE0915"/>
  </w:style>
  <w:style w:type="character" w:customStyle="1" w:styleId="year">
    <w:name w:val="year"/>
    <w:basedOn w:val="DefaultParagraphFont"/>
    <w:rsid w:val="00CE0915"/>
  </w:style>
  <w:style w:type="character" w:customStyle="1" w:styleId="volume">
    <w:name w:val="volume"/>
    <w:basedOn w:val="DefaultParagraphFont"/>
    <w:rsid w:val="00CE0915"/>
  </w:style>
  <w:style w:type="character" w:customStyle="1" w:styleId="issue3">
    <w:name w:val="issue3"/>
    <w:basedOn w:val="DefaultParagraphFont"/>
    <w:rsid w:val="00CE0915"/>
  </w:style>
  <w:style w:type="character" w:customStyle="1" w:styleId="page">
    <w:name w:val="page"/>
    <w:basedOn w:val="DefaultParagraphFont"/>
    <w:rsid w:val="00CE0915"/>
  </w:style>
  <w:style w:type="character" w:customStyle="1" w:styleId="nlmgiven-names">
    <w:name w:val="nlm_given-names"/>
    <w:basedOn w:val="DefaultParagraphFont"/>
    <w:rsid w:val="00695C16"/>
  </w:style>
  <w:style w:type="character" w:customStyle="1" w:styleId="nlmarticle-title">
    <w:name w:val="nlm_article-title"/>
    <w:basedOn w:val="DefaultParagraphFont"/>
    <w:rsid w:val="00695C16"/>
  </w:style>
  <w:style w:type="character" w:customStyle="1" w:styleId="nlmfpage">
    <w:name w:val="nlm_fpage"/>
    <w:basedOn w:val="DefaultParagraphFont"/>
    <w:rsid w:val="00695C16"/>
  </w:style>
  <w:style w:type="character" w:customStyle="1" w:styleId="nlmlpage">
    <w:name w:val="nlm_lpage"/>
    <w:basedOn w:val="DefaultParagraphFont"/>
    <w:rsid w:val="00695C16"/>
  </w:style>
  <w:style w:type="character" w:customStyle="1" w:styleId="nlmyear">
    <w:name w:val="nlm_year"/>
    <w:basedOn w:val="DefaultParagraphFont"/>
    <w:rsid w:val="00695C16"/>
  </w:style>
  <w:style w:type="paragraph" w:customStyle="1" w:styleId="StyleES-SubSectionBefore6ptAfter6pt">
    <w:name w:val="Style ES-SubSection + Before:  6 pt After:  6 pt"/>
    <w:basedOn w:val="ES-SubSection"/>
    <w:rsid w:val="000D09D2"/>
    <w:rPr>
      <w:bCs w:val="0"/>
      <w:iCs w:val="0"/>
    </w:rPr>
  </w:style>
  <w:style w:type="paragraph" w:customStyle="1" w:styleId="TableText1left">
    <w:name w:val="Table Text 1 (left)"/>
    <w:basedOn w:val="Normal"/>
    <w:link w:val="TableText1leftChar"/>
    <w:qFormat/>
    <w:rsid w:val="004B7FBF"/>
    <w:pPr>
      <w:spacing w:before="40" w:after="40"/>
      <w:jc w:val="left"/>
    </w:pPr>
    <w:rPr>
      <w:rFonts w:ascii="Times New Roman" w:eastAsia="SimSun" w:hAnsi="Times New Roman" w:cs="Times New Roman"/>
      <w:sz w:val="20"/>
      <w:szCs w:val="20"/>
      <w:lang w:val="en-GB" w:eastAsia="en-US"/>
    </w:rPr>
  </w:style>
  <w:style w:type="character" w:customStyle="1" w:styleId="TableText1leftChar">
    <w:name w:val="Table Text 1 (left) Char"/>
    <w:link w:val="TableText1left"/>
    <w:locked/>
    <w:rsid w:val="004B7FBF"/>
    <w:rPr>
      <w:rFonts w:eastAsia="SimSun"/>
      <w:lang w:val="en-GB" w:eastAsia="en-US"/>
    </w:rPr>
  </w:style>
  <w:style w:type="paragraph" w:customStyle="1" w:styleId="TableNotes">
    <w:name w:val="TableNotes"/>
    <w:basedOn w:val="Normal"/>
    <w:next w:val="Normal"/>
    <w:uiPriority w:val="3"/>
    <w:qFormat/>
    <w:rsid w:val="004B7FBF"/>
    <w:pPr>
      <w:tabs>
        <w:tab w:val="left" w:pos="1134"/>
      </w:tabs>
      <w:ind w:left="1134" w:hanging="1134"/>
      <w:jc w:val="left"/>
    </w:pPr>
    <w:rPr>
      <w:rFonts w:eastAsiaTheme="minorHAnsi" w:cstheme="minorBid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7966982">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9603883">
      <w:bodyDiv w:val="1"/>
      <w:marLeft w:val="0"/>
      <w:marRight w:val="0"/>
      <w:marTop w:val="0"/>
      <w:marBottom w:val="0"/>
      <w:divBdr>
        <w:top w:val="none" w:sz="0" w:space="0" w:color="auto"/>
        <w:left w:val="none" w:sz="0" w:space="0" w:color="auto"/>
        <w:bottom w:val="none" w:sz="0" w:space="0" w:color="auto"/>
        <w:right w:val="none" w:sz="0" w:space="0" w:color="auto"/>
      </w:divBdr>
      <w:divsChild>
        <w:div w:id="358316927">
          <w:marLeft w:val="446"/>
          <w:marRight w:val="0"/>
          <w:marTop w:val="0"/>
          <w:marBottom w:val="0"/>
          <w:divBdr>
            <w:top w:val="none" w:sz="0" w:space="0" w:color="auto"/>
            <w:left w:val="none" w:sz="0" w:space="0" w:color="auto"/>
            <w:bottom w:val="none" w:sz="0" w:space="0" w:color="auto"/>
            <w:right w:val="none" w:sz="0" w:space="0" w:color="auto"/>
          </w:divBdr>
        </w:div>
        <w:div w:id="2125996401">
          <w:marLeft w:val="446"/>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0692624">
      <w:bodyDiv w:val="1"/>
      <w:marLeft w:val="0"/>
      <w:marRight w:val="0"/>
      <w:marTop w:val="0"/>
      <w:marBottom w:val="0"/>
      <w:divBdr>
        <w:top w:val="none" w:sz="0" w:space="0" w:color="auto"/>
        <w:left w:val="none" w:sz="0" w:space="0" w:color="auto"/>
        <w:bottom w:val="none" w:sz="0" w:space="0" w:color="auto"/>
        <w:right w:val="none" w:sz="0" w:space="0" w:color="auto"/>
      </w:divBdr>
    </w:div>
    <w:div w:id="372386949">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6895521">
      <w:bodyDiv w:val="1"/>
      <w:marLeft w:val="0"/>
      <w:marRight w:val="0"/>
      <w:marTop w:val="0"/>
      <w:marBottom w:val="0"/>
      <w:divBdr>
        <w:top w:val="none" w:sz="0" w:space="0" w:color="auto"/>
        <w:left w:val="none" w:sz="0" w:space="0" w:color="auto"/>
        <w:bottom w:val="none" w:sz="0" w:space="0" w:color="auto"/>
        <w:right w:val="none" w:sz="0" w:space="0" w:color="auto"/>
      </w:divBdr>
      <w:divsChild>
        <w:div w:id="1448963631">
          <w:marLeft w:val="360"/>
          <w:marRight w:val="0"/>
          <w:marTop w:val="200"/>
          <w:marBottom w:val="0"/>
          <w:divBdr>
            <w:top w:val="none" w:sz="0" w:space="0" w:color="auto"/>
            <w:left w:val="none" w:sz="0" w:space="0" w:color="auto"/>
            <w:bottom w:val="none" w:sz="0" w:space="0" w:color="auto"/>
            <w:right w:val="none" w:sz="0" w:space="0" w:color="auto"/>
          </w:divBdr>
        </w:div>
      </w:divsChild>
    </w:div>
    <w:div w:id="469902654">
      <w:bodyDiv w:val="1"/>
      <w:marLeft w:val="0"/>
      <w:marRight w:val="0"/>
      <w:marTop w:val="0"/>
      <w:marBottom w:val="0"/>
      <w:divBdr>
        <w:top w:val="none" w:sz="0" w:space="0" w:color="auto"/>
        <w:left w:val="none" w:sz="0" w:space="0" w:color="auto"/>
        <w:bottom w:val="none" w:sz="0" w:space="0" w:color="auto"/>
        <w:right w:val="none" w:sz="0" w:space="0" w:color="auto"/>
      </w:divBdr>
    </w:div>
    <w:div w:id="470445599">
      <w:bodyDiv w:val="1"/>
      <w:marLeft w:val="0"/>
      <w:marRight w:val="0"/>
      <w:marTop w:val="0"/>
      <w:marBottom w:val="0"/>
      <w:divBdr>
        <w:top w:val="none" w:sz="0" w:space="0" w:color="auto"/>
        <w:left w:val="none" w:sz="0" w:space="0" w:color="auto"/>
        <w:bottom w:val="none" w:sz="0" w:space="0" w:color="auto"/>
        <w:right w:val="none" w:sz="0" w:space="0" w:color="auto"/>
      </w:divBdr>
      <w:divsChild>
        <w:div w:id="1980108832">
          <w:marLeft w:val="360"/>
          <w:marRight w:val="0"/>
          <w:marTop w:val="200"/>
          <w:marBottom w:val="0"/>
          <w:divBdr>
            <w:top w:val="none" w:sz="0" w:space="0" w:color="auto"/>
            <w:left w:val="none" w:sz="0" w:space="0" w:color="auto"/>
            <w:bottom w:val="none" w:sz="0" w:space="0" w:color="auto"/>
            <w:right w:val="none" w:sz="0" w:space="0" w:color="auto"/>
          </w:divBdr>
        </w:div>
      </w:divsChild>
    </w:div>
    <w:div w:id="505635190">
      <w:bodyDiv w:val="1"/>
      <w:marLeft w:val="0"/>
      <w:marRight w:val="0"/>
      <w:marTop w:val="0"/>
      <w:marBottom w:val="0"/>
      <w:divBdr>
        <w:top w:val="none" w:sz="0" w:space="0" w:color="auto"/>
        <w:left w:val="none" w:sz="0" w:space="0" w:color="auto"/>
        <w:bottom w:val="none" w:sz="0" w:space="0" w:color="auto"/>
        <w:right w:val="none" w:sz="0" w:space="0" w:color="auto"/>
      </w:divBdr>
    </w:div>
    <w:div w:id="611018588">
      <w:bodyDiv w:val="1"/>
      <w:marLeft w:val="0"/>
      <w:marRight w:val="0"/>
      <w:marTop w:val="0"/>
      <w:marBottom w:val="0"/>
      <w:divBdr>
        <w:top w:val="none" w:sz="0" w:space="0" w:color="auto"/>
        <w:left w:val="none" w:sz="0" w:space="0" w:color="auto"/>
        <w:bottom w:val="none" w:sz="0" w:space="0" w:color="auto"/>
        <w:right w:val="none" w:sz="0" w:space="0" w:color="auto"/>
      </w:divBdr>
    </w:div>
    <w:div w:id="646084553">
      <w:bodyDiv w:val="1"/>
      <w:marLeft w:val="0"/>
      <w:marRight w:val="0"/>
      <w:marTop w:val="0"/>
      <w:marBottom w:val="0"/>
      <w:divBdr>
        <w:top w:val="none" w:sz="0" w:space="0" w:color="auto"/>
        <w:left w:val="none" w:sz="0" w:space="0" w:color="auto"/>
        <w:bottom w:val="none" w:sz="0" w:space="0" w:color="auto"/>
        <w:right w:val="none" w:sz="0" w:space="0" w:color="auto"/>
      </w:divBdr>
      <w:divsChild>
        <w:div w:id="2123107043">
          <w:marLeft w:val="720"/>
          <w:marRight w:val="0"/>
          <w:marTop w:val="96"/>
          <w:marBottom w:val="0"/>
          <w:divBdr>
            <w:top w:val="none" w:sz="0" w:space="0" w:color="auto"/>
            <w:left w:val="none" w:sz="0" w:space="0" w:color="auto"/>
            <w:bottom w:val="none" w:sz="0" w:space="0" w:color="auto"/>
            <w:right w:val="none" w:sz="0" w:space="0" w:color="auto"/>
          </w:divBdr>
        </w:div>
      </w:divsChild>
    </w:div>
    <w:div w:id="670841836">
      <w:bodyDiv w:val="1"/>
      <w:marLeft w:val="0"/>
      <w:marRight w:val="0"/>
      <w:marTop w:val="0"/>
      <w:marBottom w:val="0"/>
      <w:divBdr>
        <w:top w:val="none" w:sz="0" w:space="0" w:color="auto"/>
        <w:left w:val="none" w:sz="0" w:space="0" w:color="auto"/>
        <w:bottom w:val="none" w:sz="0" w:space="0" w:color="auto"/>
        <w:right w:val="none" w:sz="0" w:space="0" w:color="auto"/>
      </w:divBdr>
    </w:div>
    <w:div w:id="784151852">
      <w:bodyDiv w:val="1"/>
      <w:marLeft w:val="0"/>
      <w:marRight w:val="0"/>
      <w:marTop w:val="0"/>
      <w:marBottom w:val="0"/>
      <w:divBdr>
        <w:top w:val="none" w:sz="0" w:space="0" w:color="auto"/>
        <w:left w:val="none" w:sz="0" w:space="0" w:color="auto"/>
        <w:bottom w:val="none" w:sz="0" w:space="0" w:color="auto"/>
        <w:right w:val="none" w:sz="0" w:space="0" w:color="auto"/>
      </w:divBdr>
    </w:div>
    <w:div w:id="864824929">
      <w:bodyDiv w:val="1"/>
      <w:marLeft w:val="0"/>
      <w:marRight w:val="0"/>
      <w:marTop w:val="0"/>
      <w:marBottom w:val="0"/>
      <w:divBdr>
        <w:top w:val="none" w:sz="0" w:space="0" w:color="auto"/>
        <w:left w:val="none" w:sz="0" w:space="0" w:color="auto"/>
        <w:bottom w:val="none" w:sz="0" w:space="0" w:color="auto"/>
        <w:right w:val="none" w:sz="0" w:space="0" w:color="auto"/>
      </w:divBdr>
      <w:divsChild>
        <w:div w:id="1808468991">
          <w:marLeft w:val="1800"/>
          <w:marRight w:val="0"/>
          <w:marTop w:val="100"/>
          <w:marBottom w:val="0"/>
          <w:divBdr>
            <w:top w:val="none" w:sz="0" w:space="0" w:color="auto"/>
            <w:left w:val="none" w:sz="0" w:space="0" w:color="auto"/>
            <w:bottom w:val="none" w:sz="0" w:space="0" w:color="auto"/>
            <w:right w:val="none" w:sz="0" w:space="0" w:color="auto"/>
          </w:divBdr>
        </w:div>
        <w:div w:id="897130499">
          <w:marLeft w:val="1800"/>
          <w:marRight w:val="0"/>
          <w:marTop w:val="100"/>
          <w:marBottom w:val="0"/>
          <w:divBdr>
            <w:top w:val="none" w:sz="0" w:space="0" w:color="auto"/>
            <w:left w:val="none" w:sz="0" w:space="0" w:color="auto"/>
            <w:bottom w:val="none" w:sz="0" w:space="0" w:color="auto"/>
            <w:right w:val="none" w:sz="0" w:space="0" w:color="auto"/>
          </w:divBdr>
        </w:div>
      </w:divsChild>
    </w:div>
    <w:div w:id="918098724">
      <w:bodyDiv w:val="1"/>
      <w:marLeft w:val="0"/>
      <w:marRight w:val="0"/>
      <w:marTop w:val="0"/>
      <w:marBottom w:val="0"/>
      <w:divBdr>
        <w:top w:val="none" w:sz="0" w:space="0" w:color="auto"/>
        <w:left w:val="none" w:sz="0" w:space="0" w:color="auto"/>
        <w:bottom w:val="none" w:sz="0" w:space="0" w:color="auto"/>
        <w:right w:val="none" w:sz="0" w:space="0" w:color="auto"/>
      </w:divBdr>
    </w:div>
    <w:div w:id="1057434930">
      <w:bodyDiv w:val="1"/>
      <w:marLeft w:val="0"/>
      <w:marRight w:val="0"/>
      <w:marTop w:val="0"/>
      <w:marBottom w:val="0"/>
      <w:divBdr>
        <w:top w:val="none" w:sz="0" w:space="0" w:color="auto"/>
        <w:left w:val="none" w:sz="0" w:space="0" w:color="auto"/>
        <w:bottom w:val="none" w:sz="0" w:space="0" w:color="auto"/>
        <w:right w:val="none" w:sz="0" w:space="0" w:color="auto"/>
      </w:divBdr>
    </w:div>
    <w:div w:id="114500215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4317">
      <w:bodyDiv w:val="1"/>
      <w:marLeft w:val="0"/>
      <w:marRight w:val="0"/>
      <w:marTop w:val="0"/>
      <w:marBottom w:val="0"/>
      <w:divBdr>
        <w:top w:val="none" w:sz="0" w:space="0" w:color="auto"/>
        <w:left w:val="none" w:sz="0" w:space="0" w:color="auto"/>
        <w:bottom w:val="none" w:sz="0" w:space="0" w:color="auto"/>
        <w:right w:val="none" w:sz="0" w:space="0" w:color="auto"/>
      </w:divBdr>
      <w:divsChild>
        <w:div w:id="769860921">
          <w:marLeft w:val="720"/>
          <w:marRight w:val="0"/>
          <w:marTop w:val="96"/>
          <w:marBottom w:val="0"/>
          <w:divBdr>
            <w:top w:val="none" w:sz="0" w:space="0" w:color="auto"/>
            <w:left w:val="none" w:sz="0" w:space="0" w:color="auto"/>
            <w:bottom w:val="none" w:sz="0" w:space="0" w:color="auto"/>
            <w:right w:val="none" w:sz="0" w:space="0" w:color="auto"/>
          </w:divBdr>
        </w:div>
        <w:div w:id="1382100181">
          <w:marLeft w:val="1152"/>
          <w:marRight w:val="0"/>
          <w:marTop w:val="86"/>
          <w:marBottom w:val="0"/>
          <w:divBdr>
            <w:top w:val="none" w:sz="0" w:space="0" w:color="auto"/>
            <w:left w:val="none" w:sz="0" w:space="0" w:color="auto"/>
            <w:bottom w:val="none" w:sz="0" w:space="0" w:color="auto"/>
            <w:right w:val="none" w:sz="0" w:space="0" w:color="auto"/>
          </w:divBdr>
        </w:div>
        <w:div w:id="1803157518">
          <w:marLeft w:val="720"/>
          <w:marRight w:val="0"/>
          <w:marTop w:val="96"/>
          <w:marBottom w:val="0"/>
          <w:divBdr>
            <w:top w:val="none" w:sz="0" w:space="0" w:color="auto"/>
            <w:left w:val="none" w:sz="0" w:space="0" w:color="auto"/>
            <w:bottom w:val="none" w:sz="0" w:space="0" w:color="auto"/>
            <w:right w:val="none" w:sz="0" w:space="0" w:color="auto"/>
          </w:divBdr>
        </w:div>
        <w:div w:id="1864705645">
          <w:marLeft w:val="1584"/>
          <w:marRight w:val="0"/>
          <w:marTop w:val="77"/>
          <w:marBottom w:val="0"/>
          <w:divBdr>
            <w:top w:val="none" w:sz="0" w:space="0" w:color="auto"/>
            <w:left w:val="none" w:sz="0" w:space="0" w:color="auto"/>
            <w:bottom w:val="none" w:sz="0" w:space="0" w:color="auto"/>
            <w:right w:val="none" w:sz="0" w:space="0" w:color="auto"/>
          </w:divBdr>
        </w:div>
        <w:div w:id="1995723144">
          <w:marLeft w:val="288"/>
          <w:marRight w:val="0"/>
          <w:marTop w:val="115"/>
          <w:marBottom w:val="0"/>
          <w:divBdr>
            <w:top w:val="none" w:sz="0" w:space="0" w:color="auto"/>
            <w:left w:val="none" w:sz="0" w:space="0" w:color="auto"/>
            <w:bottom w:val="none" w:sz="0" w:space="0" w:color="auto"/>
            <w:right w:val="none" w:sz="0" w:space="0" w:color="auto"/>
          </w:divBdr>
        </w:div>
      </w:divsChild>
    </w:div>
    <w:div w:id="1248727333">
      <w:bodyDiv w:val="1"/>
      <w:marLeft w:val="0"/>
      <w:marRight w:val="0"/>
      <w:marTop w:val="0"/>
      <w:marBottom w:val="0"/>
      <w:divBdr>
        <w:top w:val="none" w:sz="0" w:space="0" w:color="auto"/>
        <w:left w:val="none" w:sz="0" w:space="0" w:color="auto"/>
        <w:bottom w:val="none" w:sz="0" w:space="0" w:color="auto"/>
        <w:right w:val="none" w:sz="0" w:space="0" w:color="auto"/>
      </w:divBdr>
      <w:divsChild>
        <w:div w:id="1754547427">
          <w:marLeft w:val="0"/>
          <w:marRight w:val="0"/>
          <w:marTop w:val="100"/>
          <w:marBottom w:val="100"/>
          <w:divBdr>
            <w:top w:val="none" w:sz="0" w:space="0" w:color="auto"/>
            <w:left w:val="none" w:sz="0" w:space="0" w:color="auto"/>
            <w:bottom w:val="none" w:sz="0" w:space="0" w:color="auto"/>
            <w:right w:val="none" w:sz="0" w:space="0" w:color="auto"/>
          </w:divBdr>
          <w:divsChild>
            <w:div w:id="2144080553">
              <w:marLeft w:val="0"/>
              <w:marRight w:val="0"/>
              <w:marTop w:val="0"/>
              <w:marBottom w:val="0"/>
              <w:divBdr>
                <w:top w:val="none" w:sz="0" w:space="0" w:color="auto"/>
                <w:left w:val="none" w:sz="0" w:space="0" w:color="auto"/>
                <w:bottom w:val="none" w:sz="0" w:space="0" w:color="auto"/>
                <w:right w:val="none" w:sz="0" w:space="0" w:color="auto"/>
              </w:divBdr>
              <w:divsChild>
                <w:div w:id="1414160591">
                  <w:marLeft w:val="105"/>
                  <w:marRight w:val="105"/>
                  <w:marTop w:val="105"/>
                  <w:marBottom w:val="105"/>
                  <w:divBdr>
                    <w:top w:val="none" w:sz="0" w:space="0" w:color="auto"/>
                    <w:left w:val="none" w:sz="0" w:space="0" w:color="auto"/>
                    <w:bottom w:val="none" w:sz="0" w:space="0" w:color="auto"/>
                    <w:right w:val="none" w:sz="0" w:space="0" w:color="auto"/>
                  </w:divBdr>
                  <w:divsChild>
                    <w:div w:id="1998721821">
                      <w:marLeft w:val="0"/>
                      <w:marRight w:val="0"/>
                      <w:marTop w:val="0"/>
                      <w:marBottom w:val="0"/>
                      <w:divBdr>
                        <w:top w:val="none" w:sz="0" w:space="0" w:color="auto"/>
                        <w:left w:val="none" w:sz="0" w:space="0" w:color="auto"/>
                        <w:bottom w:val="none" w:sz="0" w:space="0" w:color="auto"/>
                        <w:right w:val="none" w:sz="0" w:space="0" w:color="auto"/>
                      </w:divBdr>
                      <w:divsChild>
                        <w:div w:id="2025403442">
                          <w:marLeft w:val="0"/>
                          <w:marRight w:val="0"/>
                          <w:marTop w:val="0"/>
                          <w:marBottom w:val="0"/>
                          <w:divBdr>
                            <w:top w:val="none" w:sz="0" w:space="0" w:color="auto"/>
                            <w:left w:val="none" w:sz="0" w:space="0" w:color="auto"/>
                            <w:bottom w:val="none" w:sz="0" w:space="0" w:color="auto"/>
                            <w:right w:val="none" w:sz="0" w:space="0" w:color="auto"/>
                          </w:divBdr>
                          <w:divsChild>
                            <w:div w:id="1268730141">
                              <w:marLeft w:val="0"/>
                              <w:marRight w:val="0"/>
                              <w:marTop w:val="0"/>
                              <w:marBottom w:val="0"/>
                              <w:divBdr>
                                <w:top w:val="none" w:sz="0" w:space="0" w:color="auto"/>
                                <w:left w:val="none" w:sz="0" w:space="0" w:color="auto"/>
                                <w:bottom w:val="none" w:sz="0" w:space="0" w:color="auto"/>
                                <w:right w:val="none" w:sz="0" w:space="0" w:color="auto"/>
                              </w:divBdr>
                              <w:divsChild>
                                <w:div w:id="1548377270">
                                  <w:marLeft w:val="0"/>
                                  <w:marRight w:val="0"/>
                                  <w:marTop w:val="0"/>
                                  <w:marBottom w:val="0"/>
                                  <w:divBdr>
                                    <w:top w:val="none" w:sz="0" w:space="0" w:color="auto"/>
                                    <w:left w:val="none" w:sz="0" w:space="0" w:color="auto"/>
                                    <w:bottom w:val="none" w:sz="0" w:space="0" w:color="auto"/>
                                    <w:right w:val="none" w:sz="0" w:space="0" w:color="auto"/>
                                  </w:divBdr>
                                  <w:divsChild>
                                    <w:div w:id="588082146">
                                      <w:marLeft w:val="105"/>
                                      <w:marRight w:val="105"/>
                                      <w:marTop w:val="105"/>
                                      <w:marBottom w:val="105"/>
                                      <w:divBdr>
                                        <w:top w:val="none" w:sz="0" w:space="0" w:color="auto"/>
                                        <w:left w:val="none" w:sz="0" w:space="0" w:color="auto"/>
                                        <w:bottom w:val="none" w:sz="0" w:space="0" w:color="auto"/>
                                        <w:right w:val="none" w:sz="0" w:space="0" w:color="auto"/>
                                      </w:divBdr>
                                      <w:divsChild>
                                        <w:div w:id="1128816688">
                                          <w:marLeft w:val="0"/>
                                          <w:marRight w:val="0"/>
                                          <w:marTop w:val="0"/>
                                          <w:marBottom w:val="0"/>
                                          <w:divBdr>
                                            <w:top w:val="none" w:sz="0" w:space="0" w:color="auto"/>
                                            <w:left w:val="none" w:sz="0" w:space="0" w:color="auto"/>
                                            <w:bottom w:val="none" w:sz="0" w:space="0" w:color="auto"/>
                                            <w:right w:val="none" w:sz="0" w:space="0" w:color="auto"/>
                                          </w:divBdr>
                                          <w:divsChild>
                                            <w:div w:id="766927714">
                                              <w:marLeft w:val="0"/>
                                              <w:marRight w:val="0"/>
                                              <w:marTop w:val="0"/>
                                              <w:marBottom w:val="0"/>
                                              <w:divBdr>
                                                <w:top w:val="none" w:sz="0" w:space="0" w:color="auto"/>
                                                <w:left w:val="none" w:sz="0" w:space="0" w:color="auto"/>
                                                <w:bottom w:val="none" w:sz="0" w:space="0" w:color="auto"/>
                                                <w:right w:val="none" w:sz="0" w:space="0" w:color="auto"/>
                                              </w:divBdr>
                                              <w:divsChild>
                                                <w:div w:id="693653567">
                                                  <w:marLeft w:val="105"/>
                                                  <w:marRight w:val="105"/>
                                                  <w:marTop w:val="105"/>
                                                  <w:marBottom w:val="105"/>
                                                  <w:divBdr>
                                                    <w:top w:val="none" w:sz="0" w:space="0" w:color="auto"/>
                                                    <w:left w:val="none" w:sz="0" w:space="0" w:color="auto"/>
                                                    <w:bottom w:val="none" w:sz="0" w:space="0" w:color="auto"/>
                                                    <w:right w:val="none" w:sz="0" w:space="0" w:color="auto"/>
                                                  </w:divBdr>
                                                  <w:divsChild>
                                                    <w:div w:id="10421076">
                                                      <w:marLeft w:val="0"/>
                                                      <w:marRight w:val="0"/>
                                                      <w:marTop w:val="0"/>
                                                      <w:marBottom w:val="0"/>
                                                      <w:divBdr>
                                                        <w:top w:val="none" w:sz="0" w:space="0" w:color="auto"/>
                                                        <w:left w:val="none" w:sz="0" w:space="0" w:color="auto"/>
                                                        <w:bottom w:val="none" w:sz="0" w:space="0" w:color="auto"/>
                                                        <w:right w:val="none" w:sz="0" w:space="0" w:color="auto"/>
                                                      </w:divBdr>
                                                      <w:divsChild>
                                                        <w:div w:id="1181159789">
                                                          <w:marLeft w:val="0"/>
                                                          <w:marRight w:val="0"/>
                                                          <w:marTop w:val="0"/>
                                                          <w:marBottom w:val="0"/>
                                                          <w:divBdr>
                                                            <w:top w:val="none" w:sz="0" w:space="0" w:color="auto"/>
                                                            <w:left w:val="none" w:sz="0" w:space="0" w:color="auto"/>
                                                            <w:bottom w:val="none" w:sz="0" w:space="0" w:color="auto"/>
                                                            <w:right w:val="none" w:sz="0" w:space="0" w:color="auto"/>
                                                          </w:divBdr>
                                                          <w:divsChild>
                                                            <w:div w:id="61098034">
                                                              <w:marLeft w:val="0"/>
                                                              <w:marRight w:val="0"/>
                                                              <w:marTop w:val="0"/>
                                                              <w:marBottom w:val="0"/>
                                                              <w:divBdr>
                                                                <w:top w:val="none" w:sz="0" w:space="0" w:color="auto"/>
                                                                <w:left w:val="none" w:sz="0" w:space="0" w:color="auto"/>
                                                                <w:bottom w:val="none" w:sz="0" w:space="0" w:color="auto"/>
                                                                <w:right w:val="none" w:sz="0" w:space="0" w:color="auto"/>
                                                              </w:divBdr>
                                                              <w:divsChild>
                                                                <w:div w:id="1474254787">
                                                                  <w:marLeft w:val="0"/>
                                                                  <w:marRight w:val="0"/>
                                                                  <w:marTop w:val="0"/>
                                                                  <w:marBottom w:val="0"/>
                                                                  <w:divBdr>
                                                                    <w:top w:val="none" w:sz="0" w:space="0" w:color="auto"/>
                                                                    <w:left w:val="none" w:sz="0" w:space="0" w:color="auto"/>
                                                                    <w:bottom w:val="none" w:sz="0" w:space="0" w:color="auto"/>
                                                                    <w:right w:val="none" w:sz="0" w:space="0" w:color="auto"/>
                                                                  </w:divBdr>
                                                                  <w:divsChild>
                                                                    <w:div w:id="2119332781">
                                                                      <w:marLeft w:val="0"/>
                                                                      <w:marRight w:val="0"/>
                                                                      <w:marTop w:val="0"/>
                                                                      <w:marBottom w:val="0"/>
                                                                      <w:divBdr>
                                                                        <w:top w:val="none" w:sz="0" w:space="0" w:color="auto"/>
                                                                        <w:left w:val="none" w:sz="0" w:space="0" w:color="auto"/>
                                                                        <w:bottom w:val="none" w:sz="0" w:space="0" w:color="auto"/>
                                                                        <w:right w:val="none" w:sz="0" w:space="0" w:color="auto"/>
                                                                      </w:divBdr>
                                                                      <w:divsChild>
                                                                        <w:div w:id="1630626009">
                                                                          <w:marLeft w:val="105"/>
                                                                          <w:marRight w:val="105"/>
                                                                          <w:marTop w:val="105"/>
                                                                          <w:marBottom w:val="105"/>
                                                                          <w:divBdr>
                                                                            <w:top w:val="none" w:sz="0" w:space="0" w:color="auto"/>
                                                                            <w:left w:val="none" w:sz="0" w:space="0" w:color="auto"/>
                                                                            <w:bottom w:val="none" w:sz="0" w:space="0" w:color="auto"/>
                                                                            <w:right w:val="none" w:sz="0" w:space="0" w:color="auto"/>
                                                                          </w:divBdr>
                                                                          <w:divsChild>
                                                                            <w:div w:id="208348695">
                                                                              <w:marLeft w:val="0"/>
                                                                              <w:marRight w:val="0"/>
                                                                              <w:marTop w:val="0"/>
                                                                              <w:marBottom w:val="0"/>
                                                                              <w:divBdr>
                                                                                <w:top w:val="none" w:sz="0" w:space="0" w:color="auto"/>
                                                                                <w:left w:val="none" w:sz="0" w:space="0" w:color="auto"/>
                                                                                <w:bottom w:val="none" w:sz="0" w:space="0" w:color="auto"/>
                                                                                <w:right w:val="none" w:sz="0" w:space="0" w:color="auto"/>
                                                                              </w:divBdr>
                                                                              <w:divsChild>
                                                                                <w:div w:id="1958952781">
                                                                                  <w:marLeft w:val="0"/>
                                                                                  <w:marRight w:val="0"/>
                                                                                  <w:marTop w:val="0"/>
                                                                                  <w:marBottom w:val="0"/>
                                                                                  <w:divBdr>
                                                                                    <w:top w:val="none" w:sz="0" w:space="0" w:color="auto"/>
                                                                                    <w:left w:val="none" w:sz="0" w:space="0" w:color="auto"/>
                                                                                    <w:bottom w:val="none" w:sz="0" w:space="0" w:color="auto"/>
                                                                                    <w:right w:val="none" w:sz="0" w:space="0" w:color="auto"/>
                                                                                  </w:divBdr>
                                                                                  <w:divsChild>
                                                                                    <w:div w:id="151408442">
                                                                                      <w:marLeft w:val="0"/>
                                                                                      <w:marRight w:val="0"/>
                                                                                      <w:marTop w:val="0"/>
                                                                                      <w:marBottom w:val="0"/>
                                                                                      <w:divBdr>
                                                                                        <w:top w:val="none" w:sz="0" w:space="0" w:color="auto"/>
                                                                                        <w:left w:val="none" w:sz="0" w:space="0" w:color="auto"/>
                                                                                        <w:bottom w:val="none" w:sz="0" w:space="0" w:color="auto"/>
                                                                                        <w:right w:val="none" w:sz="0" w:space="0" w:color="auto"/>
                                                                                      </w:divBdr>
                                                                                      <w:divsChild>
                                                                                        <w:div w:id="998508328">
                                                                                          <w:marLeft w:val="0"/>
                                                                                          <w:marRight w:val="0"/>
                                                                                          <w:marTop w:val="0"/>
                                                                                          <w:marBottom w:val="0"/>
                                                                                          <w:divBdr>
                                                                                            <w:top w:val="none" w:sz="0" w:space="0" w:color="auto"/>
                                                                                            <w:left w:val="none" w:sz="0" w:space="0" w:color="auto"/>
                                                                                            <w:bottom w:val="none" w:sz="0" w:space="0" w:color="auto"/>
                                                                                            <w:right w:val="none" w:sz="0" w:space="0" w:color="auto"/>
                                                                                          </w:divBdr>
                                                                                          <w:divsChild>
                                                                                            <w:div w:id="7419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234788">
      <w:bodyDiv w:val="1"/>
      <w:marLeft w:val="0"/>
      <w:marRight w:val="0"/>
      <w:marTop w:val="0"/>
      <w:marBottom w:val="0"/>
      <w:divBdr>
        <w:top w:val="none" w:sz="0" w:space="0" w:color="auto"/>
        <w:left w:val="none" w:sz="0" w:space="0" w:color="auto"/>
        <w:bottom w:val="none" w:sz="0" w:space="0" w:color="auto"/>
        <w:right w:val="none" w:sz="0" w:space="0" w:color="auto"/>
      </w:divBdr>
      <w:divsChild>
        <w:div w:id="1222248834">
          <w:marLeft w:val="1800"/>
          <w:marRight w:val="0"/>
          <w:marTop w:val="100"/>
          <w:marBottom w:val="0"/>
          <w:divBdr>
            <w:top w:val="none" w:sz="0" w:space="0" w:color="auto"/>
            <w:left w:val="none" w:sz="0" w:space="0" w:color="auto"/>
            <w:bottom w:val="none" w:sz="0" w:space="0" w:color="auto"/>
            <w:right w:val="none" w:sz="0" w:space="0" w:color="auto"/>
          </w:divBdr>
        </w:div>
      </w:divsChild>
    </w:div>
    <w:div w:id="1421945904">
      <w:bodyDiv w:val="1"/>
      <w:marLeft w:val="0"/>
      <w:marRight w:val="0"/>
      <w:marTop w:val="0"/>
      <w:marBottom w:val="0"/>
      <w:divBdr>
        <w:top w:val="none" w:sz="0" w:space="0" w:color="auto"/>
        <w:left w:val="none" w:sz="0" w:space="0" w:color="auto"/>
        <w:bottom w:val="none" w:sz="0" w:space="0" w:color="auto"/>
        <w:right w:val="none" w:sz="0" w:space="0" w:color="auto"/>
      </w:divBdr>
    </w:div>
    <w:div w:id="1533808572">
      <w:bodyDiv w:val="1"/>
      <w:marLeft w:val="0"/>
      <w:marRight w:val="0"/>
      <w:marTop w:val="0"/>
      <w:marBottom w:val="0"/>
      <w:divBdr>
        <w:top w:val="none" w:sz="0" w:space="0" w:color="auto"/>
        <w:left w:val="none" w:sz="0" w:space="0" w:color="auto"/>
        <w:bottom w:val="none" w:sz="0" w:space="0" w:color="auto"/>
        <w:right w:val="none" w:sz="0" w:space="0" w:color="auto"/>
      </w:divBdr>
    </w:div>
    <w:div w:id="1537086889">
      <w:bodyDiv w:val="1"/>
      <w:marLeft w:val="0"/>
      <w:marRight w:val="0"/>
      <w:marTop w:val="0"/>
      <w:marBottom w:val="0"/>
      <w:divBdr>
        <w:top w:val="none" w:sz="0" w:space="0" w:color="auto"/>
        <w:left w:val="none" w:sz="0" w:space="0" w:color="auto"/>
        <w:bottom w:val="none" w:sz="0" w:space="0" w:color="auto"/>
        <w:right w:val="none" w:sz="0" w:space="0" w:color="auto"/>
      </w:divBdr>
    </w:div>
    <w:div w:id="1625162407">
      <w:bodyDiv w:val="1"/>
      <w:marLeft w:val="0"/>
      <w:marRight w:val="0"/>
      <w:marTop w:val="0"/>
      <w:marBottom w:val="0"/>
      <w:divBdr>
        <w:top w:val="none" w:sz="0" w:space="0" w:color="auto"/>
        <w:left w:val="none" w:sz="0" w:space="0" w:color="auto"/>
        <w:bottom w:val="none" w:sz="0" w:space="0" w:color="auto"/>
        <w:right w:val="none" w:sz="0" w:space="0" w:color="auto"/>
      </w:divBdr>
    </w:div>
    <w:div w:id="165441146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3709599">
      <w:bodyDiv w:val="1"/>
      <w:marLeft w:val="0"/>
      <w:marRight w:val="0"/>
      <w:marTop w:val="0"/>
      <w:marBottom w:val="0"/>
      <w:divBdr>
        <w:top w:val="none" w:sz="0" w:space="0" w:color="auto"/>
        <w:left w:val="none" w:sz="0" w:space="0" w:color="auto"/>
        <w:bottom w:val="none" w:sz="0" w:space="0" w:color="auto"/>
        <w:right w:val="none" w:sz="0" w:space="0" w:color="auto"/>
      </w:divBdr>
    </w:div>
    <w:div w:id="2006200899">
      <w:bodyDiv w:val="1"/>
      <w:marLeft w:val="0"/>
      <w:marRight w:val="0"/>
      <w:marTop w:val="0"/>
      <w:marBottom w:val="0"/>
      <w:divBdr>
        <w:top w:val="none" w:sz="0" w:space="0" w:color="auto"/>
        <w:left w:val="none" w:sz="0" w:space="0" w:color="auto"/>
        <w:bottom w:val="none" w:sz="0" w:space="0" w:color="auto"/>
        <w:right w:val="none" w:sz="0" w:space="0" w:color="auto"/>
      </w:divBdr>
    </w:div>
    <w:div w:id="2083525709">
      <w:bodyDiv w:val="1"/>
      <w:marLeft w:val="0"/>
      <w:marRight w:val="0"/>
      <w:marTop w:val="0"/>
      <w:marBottom w:val="0"/>
      <w:divBdr>
        <w:top w:val="none" w:sz="0" w:space="0" w:color="auto"/>
        <w:left w:val="none" w:sz="0" w:space="0" w:color="auto"/>
        <w:bottom w:val="none" w:sz="0" w:space="0" w:color="auto"/>
        <w:right w:val="none" w:sz="0" w:space="0" w:color="auto"/>
      </w:divBdr>
    </w:div>
    <w:div w:id="213077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rrecist.com/recist/recist-comparative/10.html" TargetMode="External"/><Relationship Id="rId1" Type="http://schemas.openxmlformats.org/officeDocument/2006/relationships/hyperlink" Target="https://breast-cancer.canceraustralia.gov.au/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15E52-177D-472D-A6E0-E4F594CA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15786</Words>
  <Characters>88653</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2020-06-19T06:26:00Z</dcterms:created>
  <dcterms:modified xsi:type="dcterms:W3CDTF">2020-06-19T06:33:00Z</dcterms:modified>
</cp:coreProperties>
</file>