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B40A41" w:rsidRDefault="009670DE" w:rsidP="004A6040">
      <w:pPr>
        <w:pStyle w:val="1-MainHeading"/>
      </w:pPr>
      <w:bookmarkStart w:id="0" w:name="_Toc30419498"/>
      <w:r w:rsidRPr="00B40A41">
        <w:t>6</w:t>
      </w:r>
      <w:r w:rsidR="00433044" w:rsidRPr="00B40A41">
        <w:t>.</w:t>
      </w:r>
      <w:r w:rsidRPr="00B40A41">
        <w:t>03</w:t>
      </w:r>
      <w:r w:rsidR="00163F66" w:rsidRPr="00B40A41">
        <w:tab/>
      </w:r>
      <w:r w:rsidR="007178AF" w:rsidRPr="00B40A41">
        <w:t>PEMBROLIZUMAB</w:t>
      </w:r>
      <w:r w:rsidR="00163F66" w:rsidRPr="00B40A41">
        <w:br/>
      </w:r>
      <w:r w:rsidR="00A72232" w:rsidRPr="00B40A41">
        <w:t xml:space="preserve">Solution concentrate for I.V. infusion </w:t>
      </w:r>
      <w:r w:rsidR="007178AF" w:rsidRPr="00B40A41">
        <w:t>100 mg in 4</w:t>
      </w:r>
      <w:r w:rsidR="00A72232" w:rsidRPr="00B40A41">
        <w:t xml:space="preserve"> </w:t>
      </w:r>
      <w:r w:rsidR="007178AF" w:rsidRPr="00B40A41">
        <w:t>mL</w:t>
      </w:r>
      <w:proofErr w:type="gramStart"/>
      <w:r w:rsidR="00163F66" w:rsidRPr="00B40A41">
        <w:t>,</w:t>
      </w:r>
      <w:proofErr w:type="gramEnd"/>
      <w:r w:rsidR="00163F66" w:rsidRPr="00B40A41">
        <w:br/>
      </w:r>
      <w:r w:rsidRPr="00B40A41">
        <w:t>Keytruda</w:t>
      </w:r>
      <w:r w:rsidR="00B60939" w:rsidRPr="00B40A41">
        <w:rPr>
          <w:vertAlign w:val="superscript"/>
        </w:rPr>
        <w:t>®</w:t>
      </w:r>
      <w:r w:rsidR="004A6040" w:rsidRPr="00B40A41">
        <w:t>,</w:t>
      </w:r>
      <w:r w:rsidR="004A6040" w:rsidRPr="00B40A41">
        <w:br/>
      </w:r>
      <w:r w:rsidRPr="00B40A41">
        <w:t>Merck Sharp and Dohme</w:t>
      </w:r>
      <w:r w:rsidR="007178AF" w:rsidRPr="00B40A41">
        <w:t xml:space="preserve"> (Australia) Pty Ltd</w:t>
      </w:r>
      <w:r w:rsidR="00B60939" w:rsidRPr="00B40A41">
        <w:t>.</w:t>
      </w:r>
      <w:bookmarkEnd w:id="0"/>
    </w:p>
    <w:p w:rsidR="00B50DB8" w:rsidRPr="00B40A41" w:rsidRDefault="00B50DB8" w:rsidP="004A6040">
      <w:pPr>
        <w:pStyle w:val="2-SectionHeading"/>
      </w:pPr>
      <w:bookmarkStart w:id="1" w:name="_Toc30419500"/>
      <w:r w:rsidRPr="00B40A41">
        <w:t xml:space="preserve">Purpose of </w:t>
      </w:r>
      <w:r w:rsidR="00CD7193" w:rsidRPr="00B40A41">
        <w:t>s</w:t>
      </w:r>
      <w:r w:rsidR="00BB3A45" w:rsidRPr="00B40A41">
        <w:t>ubmission</w:t>
      </w:r>
      <w:bookmarkEnd w:id="1"/>
    </w:p>
    <w:p w:rsidR="002C2775" w:rsidRPr="00B40A41" w:rsidRDefault="007170DA" w:rsidP="004E18E9">
      <w:pPr>
        <w:pStyle w:val="3-BodyText"/>
      </w:pPr>
      <w:r w:rsidRPr="00B40A41">
        <w:t xml:space="preserve">The submission requested </w:t>
      </w:r>
      <w:r w:rsidR="007E69B3" w:rsidRPr="00B40A41">
        <w:t xml:space="preserve">expansion of </w:t>
      </w:r>
      <w:r w:rsidR="00BB573F" w:rsidRPr="00B40A41">
        <w:t xml:space="preserve">the existing PBS listing for </w:t>
      </w:r>
      <w:r w:rsidR="007E69B3" w:rsidRPr="00B40A41">
        <w:t xml:space="preserve">pembrolizumab </w:t>
      </w:r>
      <w:r w:rsidR="00BB573F" w:rsidRPr="00B40A41">
        <w:t xml:space="preserve">for the </w:t>
      </w:r>
      <w:r w:rsidR="007E69B3" w:rsidRPr="00B40A41">
        <w:t xml:space="preserve">unresectable Stage III or Stage IV </w:t>
      </w:r>
      <w:r w:rsidR="00BB573F" w:rsidRPr="00B40A41">
        <w:t xml:space="preserve">malignant melanoma, to allow first-line therapy in patients </w:t>
      </w:r>
      <w:r w:rsidR="008E6513" w:rsidRPr="00B40A41">
        <w:t xml:space="preserve">who are positive for a </w:t>
      </w:r>
      <w:r w:rsidR="007E69B3" w:rsidRPr="00B40A41">
        <w:t>BRAF V600 mutation</w:t>
      </w:r>
      <w:r w:rsidR="008B1757" w:rsidRPr="00B40A41">
        <w:t>.</w:t>
      </w:r>
    </w:p>
    <w:p w:rsidR="00E8606E" w:rsidRPr="00B40A41" w:rsidRDefault="00E8606E" w:rsidP="004E18E9">
      <w:pPr>
        <w:pStyle w:val="3-BodyText"/>
      </w:pPr>
      <w:r w:rsidRPr="00B40A41">
        <w:t>The submission also suggested changes to the current restrictions for BRAF</w:t>
      </w:r>
      <w:r w:rsidR="0013169C" w:rsidRPr="00B40A41">
        <w:rPr>
          <w:rFonts w:cstheme="minorHAnsi"/>
        </w:rPr>
        <w:t>±</w:t>
      </w:r>
      <w:r w:rsidRPr="00B40A41">
        <w:t xml:space="preserve">MEK inhibitors to allow their use as </w:t>
      </w:r>
      <w:r w:rsidR="00E77945" w:rsidRPr="00B40A41">
        <w:t>second</w:t>
      </w:r>
      <w:r w:rsidR="005A4273" w:rsidRPr="00B40A41">
        <w:t>-</w:t>
      </w:r>
      <w:r w:rsidR="00E77945" w:rsidRPr="00B40A41">
        <w:t>line</w:t>
      </w:r>
      <w:r w:rsidR="00495BF7" w:rsidRPr="00B40A41">
        <w:t xml:space="preserve"> </w:t>
      </w:r>
      <w:r w:rsidRPr="00B40A41">
        <w:t xml:space="preserve">therapy following progression on immunotherapy, </w:t>
      </w:r>
      <w:r w:rsidR="00E7353B" w:rsidRPr="00B40A41">
        <w:t>enabling</w:t>
      </w:r>
      <w:r w:rsidRPr="00B40A41">
        <w:t xml:space="preserve"> </w:t>
      </w:r>
      <w:r w:rsidR="00E7353B" w:rsidRPr="00B40A41">
        <w:t>clinicians</w:t>
      </w:r>
      <w:r w:rsidRPr="00B40A41">
        <w:t xml:space="preserve"> to determine the </w:t>
      </w:r>
      <w:r w:rsidR="00E7353B" w:rsidRPr="00B40A41">
        <w:t xml:space="preserve">optimal </w:t>
      </w:r>
      <w:r w:rsidRPr="00B40A41">
        <w:t>treatment sequence.</w:t>
      </w:r>
    </w:p>
    <w:p w:rsidR="00C2778B" w:rsidRPr="00B40A41" w:rsidRDefault="0077094F" w:rsidP="004E18E9">
      <w:pPr>
        <w:pStyle w:val="3-BodyText"/>
      </w:pPr>
      <w:r w:rsidRPr="00B40A41">
        <w:t xml:space="preserve">The submission </w:t>
      </w:r>
      <w:proofErr w:type="gramStart"/>
      <w:r w:rsidRPr="00B40A41">
        <w:t>was based</w:t>
      </w:r>
      <w:proofErr w:type="gramEnd"/>
      <w:r w:rsidRPr="00B40A41">
        <w:t xml:space="preserve"> on a cost-minimisation analysis </w:t>
      </w:r>
      <w:r w:rsidR="0042298D" w:rsidRPr="00B40A41">
        <w:t>of pembrolizumab versus</w:t>
      </w:r>
      <w:r w:rsidRPr="00B40A41">
        <w:t xml:space="preserve"> nivolumab</w:t>
      </w:r>
      <w:r w:rsidR="00BB573F" w:rsidRPr="00B40A41">
        <w:t>. The submission</w:t>
      </w:r>
      <w:r w:rsidRPr="00B40A41">
        <w:t xml:space="preserve"> </w:t>
      </w:r>
      <w:r w:rsidR="0042298D" w:rsidRPr="00B40A41">
        <w:t>assum</w:t>
      </w:r>
      <w:r w:rsidR="00BB573F" w:rsidRPr="00B40A41">
        <w:t>ed</w:t>
      </w:r>
      <w:r w:rsidR="0042298D" w:rsidRPr="00B40A41">
        <w:t xml:space="preserve"> that </w:t>
      </w:r>
      <w:r w:rsidRPr="00B40A41">
        <w:t xml:space="preserve">nivolumab </w:t>
      </w:r>
      <w:proofErr w:type="gramStart"/>
      <w:r w:rsidR="0042298D" w:rsidRPr="00B40A41">
        <w:t>would be</w:t>
      </w:r>
      <w:r w:rsidRPr="00B40A41">
        <w:t xml:space="preserve"> approved</w:t>
      </w:r>
      <w:proofErr w:type="gramEnd"/>
      <w:r w:rsidR="0042298D" w:rsidRPr="00B40A41">
        <w:t xml:space="preserve"> </w:t>
      </w:r>
      <w:r w:rsidRPr="00B40A41">
        <w:t>for first</w:t>
      </w:r>
      <w:r w:rsidR="00E77945" w:rsidRPr="00B40A41">
        <w:t xml:space="preserve"> </w:t>
      </w:r>
      <w:r w:rsidRPr="00B40A41">
        <w:t>line treatment of the target population</w:t>
      </w:r>
      <w:r w:rsidR="0042298D" w:rsidRPr="00B40A41">
        <w:t xml:space="preserve"> at the November 2019 PBAC meeting</w:t>
      </w:r>
      <w:r w:rsidRPr="00B40A41">
        <w:t xml:space="preserve">. </w:t>
      </w:r>
    </w:p>
    <w:p w:rsidR="008B1757" w:rsidRPr="00B40A41" w:rsidRDefault="008B1757" w:rsidP="008271F3">
      <w:pPr>
        <w:pStyle w:val="Tabletitles"/>
        <w:keepNext/>
        <w:rPr>
          <w:rStyle w:val="CommentReference"/>
          <w:b/>
          <w:szCs w:val="24"/>
        </w:rPr>
      </w:pPr>
      <w:r w:rsidRPr="00B40A41">
        <w:rPr>
          <w:rStyle w:val="CommentReference"/>
          <w:b/>
          <w:szCs w:val="24"/>
        </w:rPr>
        <w:t xml:space="preserve">Table </w:t>
      </w:r>
      <w:r w:rsidR="006011CB" w:rsidRPr="00B40A41">
        <w:rPr>
          <w:rStyle w:val="CommentReference"/>
          <w:b/>
          <w:szCs w:val="24"/>
        </w:rPr>
        <w:t>1</w:t>
      </w:r>
      <w:r w:rsidRPr="00B40A41">
        <w:rPr>
          <w:rStyle w:val="CommentReference"/>
          <w:b/>
          <w:szCs w:val="24"/>
        </w:rPr>
        <w:t>:</w:t>
      </w:r>
      <w:r w:rsidR="00BC591F" w:rsidRPr="00B40A41">
        <w:rPr>
          <w:rStyle w:val="CommentReference"/>
          <w:b/>
          <w:szCs w:val="24"/>
        </w:rPr>
        <w:t xml:space="preserve"> </w:t>
      </w:r>
      <w:r w:rsidRPr="00B40A41">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8B1757" w:rsidRPr="00B40A41" w:rsidTr="00960991">
        <w:trPr>
          <w:cantSplit/>
          <w:tblHeader/>
        </w:trPr>
        <w:tc>
          <w:tcPr>
            <w:tcW w:w="705" w:type="pct"/>
            <w:shd w:val="clear" w:color="auto" w:fill="auto"/>
          </w:tcPr>
          <w:p w:rsidR="008B1757" w:rsidRPr="00B40A41" w:rsidRDefault="008B1757" w:rsidP="008271F3">
            <w:pPr>
              <w:pStyle w:val="TableText0"/>
              <w:rPr>
                <w:b/>
                <w:szCs w:val="20"/>
              </w:rPr>
            </w:pPr>
            <w:r w:rsidRPr="00B40A41">
              <w:rPr>
                <w:b/>
              </w:rPr>
              <w:t>Component</w:t>
            </w:r>
          </w:p>
        </w:tc>
        <w:tc>
          <w:tcPr>
            <w:tcW w:w="4295" w:type="pct"/>
            <w:shd w:val="clear" w:color="auto" w:fill="auto"/>
          </w:tcPr>
          <w:p w:rsidR="008B1757" w:rsidRPr="00B40A41" w:rsidRDefault="008B1757" w:rsidP="008271F3">
            <w:pPr>
              <w:pStyle w:val="TableText0"/>
              <w:rPr>
                <w:b/>
              </w:rPr>
            </w:pPr>
            <w:r w:rsidRPr="00B40A41">
              <w:rPr>
                <w:b/>
              </w:rPr>
              <w:t>Description</w:t>
            </w:r>
          </w:p>
        </w:tc>
      </w:tr>
      <w:tr w:rsidR="008B1757" w:rsidRPr="00B40A41" w:rsidTr="00960991">
        <w:trPr>
          <w:cantSplit/>
        </w:trPr>
        <w:tc>
          <w:tcPr>
            <w:tcW w:w="705" w:type="pct"/>
            <w:shd w:val="clear" w:color="auto" w:fill="auto"/>
          </w:tcPr>
          <w:p w:rsidR="008B1757" w:rsidRPr="00B40A41" w:rsidRDefault="008B1757" w:rsidP="008271F3">
            <w:pPr>
              <w:pStyle w:val="TableText0"/>
            </w:pPr>
            <w:r w:rsidRPr="00B40A41">
              <w:t>Population</w:t>
            </w:r>
          </w:p>
        </w:tc>
        <w:tc>
          <w:tcPr>
            <w:tcW w:w="4295" w:type="pct"/>
            <w:shd w:val="clear" w:color="auto" w:fill="auto"/>
          </w:tcPr>
          <w:p w:rsidR="00370B89" w:rsidRPr="00B40A41" w:rsidRDefault="00370B89" w:rsidP="008271F3">
            <w:pPr>
              <w:pStyle w:val="TableText0"/>
            </w:pPr>
            <w:r w:rsidRPr="00B40A41">
              <w:t xml:space="preserve">Unresectable stage III or stage IV metastatic melanoma </w:t>
            </w:r>
            <w:r w:rsidR="00A71F89" w:rsidRPr="00B40A41">
              <w:t xml:space="preserve">adult </w:t>
            </w:r>
            <w:r w:rsidRPr="00B40A41">
              <w:t>patients with a V600 BRAF mutation, who have not received prior treatment for this condition</w:t>
            </w:r>
          </w:p>
        </w:tc>
      </w:tr>
      <w:tr w:rsidR="008B1757" w:rsidRPr="00B40A41" w:rsidTr="00960991">
        <w:trPr>
          <w:cantSplit/>
        </w:trPr>
        <w:tc>
          <w:tcPr>
            <w:tcW w:w="705" w:type="pct"/>
            <w:shd w:val="clear" w:color="auto" w:fill="auto"/>
          </w:tcPr>
          <w:p w:rsidR="008B1757" w:rsidRPr="00B40A41" w:rsidRDefault="008B1757" w:rsidP="008271F3">
            <w:pPr>
              <w:pStyle w:val="TableText0"/>
            </w:pPr>
            <w:r w:rsidRPr="00B40A41">
              <w:t>Intervention</w:t>
            </w:r>
          </w:p>
        </w:tc>
        <w:tc>
          <w:tcPr>
            <w:tcW w:w="4295" w:type="pct"/>
            <w:shd w:val="clear" w:color="auto" w:fill="auto"/>
          </w:tcPr>
          <w:p w:rsidR="00233C01" w:rsidRPr="00B40A41" w:rsidRDefault="002522CC" w:rsidP="008271F3">
            <w:pPr>
              <w:pStyle w:val="TableText0"/>
            </w:pPr>
            <w:r w:rsidRPr="00B40A41">
              <w:t>Pembrolizumab monotherapy</w:t>
            </w:r>
            <w:r w:rsidR="00370B89" w:rsidRPr="00B40A41">
              <w:t>:</w:t>
            </w:r>
            <w:r w:rsidRPr="00B40A41">
              <w:t xml:space="preserve"> </w:t>
            </w:r>
            <w:r w:rsidR="00370B89" w:rsidRPr="00B40A41">
              <w:t xml:space="preserve">200 mg </w:t>
            </w:r>
            <w:r w:rsidR="004C2F5F" w:rsidRPr="00B40A41">
              <w:t xml:space="preserve">IV </w:t>
            </w:r>
            <w:r w:rsidR="00370B89" w:rsidRPr="00B40A41">
              <w:t>Q3W</w:t>
            </w:r>
            <w:r w:rsidR="00662314" w:rsidRPr="00B40A41">
              <w:t xml:space="preserve"> </w:t>
            </w:r>
            <w:r w:rsidR="004C2F5F" w:rsidRPr="00B40A41">
              <w:t>or 400 mg IV Q6W</w:t>
            </w:r>
            <w:r w:rsidR="004C2F5F" w:rsidRPr="00B40A41">
              <w:rPr>
                <w:b/>
                <w:vertAlign w:val="superscript"/>
              </w:rPr>
              <w:t>1</w:t>
            </w:r>
          </w:p>
        </w:tc>
      </w:tr>
      <w:tr w:rsidR="008B1757" w:rsidRPr="00B40A41" w:rsidTr="00960991">
        <w:trPr>
          <w:cantSplit/>
        </w:trPr>
        <w:tc>
          <w:tcPr>
            <w:tcW w:w="705" w:type="pct"/>
            <w:shd w:val="clear" w:color="auto" w:fill="auto"/>
          </w:tcPr>
          <w:p w:rsidR="008B1757" w:rsidRPr="00B40A41" w:rsidRDefault="008B1757" w:rsidP="008271F3">
            <w:pPr>
              <w:pStyle w:val="TableText0"/>
            </w:pPr>
            <w:r w:rsidRPr="00B40A41">
              <w:t>Comparator</w:t>
            </w:r>
          </w:p>
        </w:tc>
        <w:tc>
          <w:tcPr>
            <w:tcW w:w="4295" w:type="pct"/>
            <w:shd w:val="clear" w:color="auto" w:fill="auto"/>
          </w:tcPr>
          <w:p w:rsidR="00233C01" w:rsidRPr="00B40A41" w:rsidRDefault="002522CC" w:rsidP="008271F3">
            <w:pPr>
              <w:pStyle w:val="TableText0"/>
            </w:pPr>
            <w:r w:rsidRPr="00B40A41">
              <w:t>Nivolumab monotherapy</w:t>
            </w:r>
            <w:r w:rsidR="00370B89" w:rsidRPr="00B40A41">
              <w:t>: either 3</w:t>
            </w:r>
            <w:r w:rsidR="00662314" w:rsidRPr="00B40A41">
              <w:t xml:space="preserve"> </w:t>
            </w:r>
            <w:r w:rsidR="00370B89" w:rsidRPr="00B40A41">
              <w:t>mg/kg Q2W, or 240</w:t>
            </w:r>
            <w:r w:rsidR="00662314" w:rsidRPr="00B40A41">
              <w:t xml:space="preserve"> </w:t>
            </w:r>
            <w:r w:rsidR="00370B89" w:rsidRPr="00B40A41">
              <w:t>mg Q2W, or 480</w:t>
            </w:r>
            <w:r w:rsidR="00662314" w:rsidRPr="00B40A41">
              <w:t xml:space="preserve"> </w:t>
            </w:r>
            <w:r w:rsidR="00370B89" w:rsidRPr="00B40A41">
              <w:t>mg Q4W</w:t>
            </w:r>
          </w:p>
        </w:tc>
      </w:tr>
      <w:tr w:rsidR="008B1757" w:rsidRPr="00B40A41" w:rsidTr="00960991">
        <w:trPr>
          <w:cantSplit/>
        </w:trPr>
        <w:tc>
          <w:tcPr>
            <w:tcW w:w="705" w:type="pct"/>
            <w:shd w:val="clear" w:color="auto" w:fill="auto"/>
          </w:tcPr>
          <w:p w:rsidR="008B1757" w:rsidRPr="00B40A41" w:rsidRDefault="008B1757" w:rsidP="008271F3">
            <w:pPr>
              <w:pStyle w:val="TableText0"/>
            </w:pPr>
            <w:r w:rsidRPr="00B40A41">
              <w:t>Outcomes</w:t>
            </w:r>
          </w:p>
        </w:tc>
        <w:tc>
          <w:tcPr>
            <w:tcW w:w="4295" w:type="pct"/>
            <w:shd w:val="clear" w:color="auto" w:fill="auto"/>
          </w:tcPr>
          <w:p w:rsidR="00233C01" w:rsidRPr="00B40A41" w:rsidRDefault="007376BC" w:rsidP="008271F3">
            <w:pPr>
              <w:pStyle w:val="TableText0"/>
              <w:rPr>
                <w:rFonts w:eastAsia="Times New Roman" w:cs="Arial"/>
                <w:snapToGrid w:val="0"/>
                <w:color w:val="0066FF"/>
                <w:szCs w:val="20"/>
              </w:rPr>
            </w:pPr>
            <w:r w:rsidRPr="00B40A41">
              <w:t>OS, PFS, adverse events</w:t>
            </w:r>
          </w:p>
        </w:tc>
      </w:tr>
      <w:tr w:rsidR="008B1757" w:rsidRPr="00B40A41" w:rsidTr="00960991">
        <w:trPr>
          <w:cantSplit/>
        </w:trPr>
        <w:tc>
          <w:tcPr>
            <w:tcW w:w="705" w:type="pct"/>
            <w:shd w:val="clear" w:color="auto" w:fill="auto"/>
          </w:tcPr>
          <w:p w:rsidR="008B1757" w:rsidRPr="00B40A41" w:rsidRDefault="008B1757" w:rsidP="008271F3">
            <w:pPr>
              <w:pStyle w:val="TableText0"/>
            </w:pPr>
            <w:r w:rsidRPr="00B40A41">
              <w:t>Clinical claim</w:t>
            </w:r>
          </w:p>
        </w:tc>
        <w:tc>
          <w:tcPr>
            <w:tcW w:w="4295" w:type="pct"/>
            <w:shd w:val="clear" w:color="auto" w:fill="auto"/>
          </w:tcPr>
          <w:p w:rsidR="00233C01" w:rsidRPr="00B40A41" w:rsidRDefault="007376BC" w:rsidP="008271F3">
            <w:pPr>
              <w:pStyle w:val="TableText0"/>
            </w:pPr>
            <w:r w:rsidRPr="00B40A41">
              <w:t>In previously untreated metastatic melanoma patients with a V600 BRAF mutation, pembrolizumab is as effective as nivolumab in terms of efficacy outcomes and has a similar safety profile to nivolumab</w:t>
            </w:r>
          </w:p>
        </w:tc>
      </w:tr>
    </w:tbl>
    <w:p w:rsidR="00370B89" w:rsidRPr="00B40A41" w:rsidRDefault="00C778B6" w:rsidP="00684A6A">
      <w:pPr>
        <w:pStyle w:val="TableFigureFooter"/>
        <w:keepNext/>
        <w:keepLines/>
      </w:pPr>
      <w:r w:rsidRPr="00B40A41">
        <w:t>IV = intravenous; OS = overall survival; PFS = progression-free survival</w:t>
      </w:r>
      <w:r w:rsidR="004160A6" w:rsidRPr="00B40A41">
        <w:t>;</w:t>
      </w:r>
      <w:r w:rsidRPr="00B40A41">
        <w:t xml:space="preserve"> </w:t>
      </w:r>
      <w:r w:rsidR="00370B89" w:rsidRPr="00B40A41">
        <w:t>Q2W</w:t>
      </w:r>
      <w:r w:rsidR="00856400" w:rsidRPr="00B40A41">
        <w:t xml:space="preserve"> </w:t>
      </w:r>
      <w:r w:rsidR="00370B89" w:rsidRPr="00B40A41">
        <w:t>= every 2 weeks; Q3W</w:t>
      </w:r>
      <w:r w:rsidR="00856400" w:rsidRPr="00B40A41">
        <w:t xml:space="preserve"> </w:t>
      </w:r>
      <w:r w:rsidR="00370B89" w:rsidRPr="00B40A41">
        <w:t>= every 3 weeks; Q4W</w:t>
      </w:r>
      <w:r w:rsidR="00856400" w:rsidRPr="00B40A41">
        <w:t xml:space="preserve"> </w:t>
      </w:r>
      <w:r w:rsidR="00370B89" w:rsidRPr="00B40A41">
        <w:t>= every 4 weeks</w:t>
      </w:r>
      <w:r w:rsidR="007376BC" w:rsidRPr="00B40A41">
        <w:t xml:space="preserve">; </w:t>
      </w:r>
      <w:r w:rsidR="004C2F5F" w:rsidRPr="00B40A41">
        <w:t>Q6W</w:t>
      </w:r>
      <w:r w:rsidR="00856400" w:rsidRPr="00B40A41">
        <w:t xml:space="preserve"> </w:t>
      </w:r>
      <w:r w:rsidR="004C2F5F" w:rsidRPr="00B40A41">
        <w:t>= every 6 weeks</w:t>
      </w:r>
      <w:r w:rsidR="00370B89" w:rsidRPr="00B40A41">
        <w:t xml:space="preserve">. </w:t>
      </w:r>
    </w:p>
    <w:p w:rsidR="004C2F5F" w:rsidRPr="00B40A41" w:rsidRDefault="004C2F5F" w:rsidP="00684A6A">
      <w:pPr>
        <w:pStyle w:val="TableFigureFooter"/>
        <w:keepNext/>
        <w:keepLines/>
      </w:pPr>
      <w:r w:rsidRPr="00B40A41">
        <w:rPr>
          <w:b/>
          <w:bCs/>
          <w:vertAlign w:val="superscript"/>
        </w:rPr>
        <w:t>1</w:t>
      </w:r>
      <w:r w:rsidRPr="00B40A41">
        <w:t xml:space="preserve"> The 400 mg dose Q6W </w:t>
      </w:r>
      <w:proofErr w:type="gramStart"/>
      <w:r w:rsidRPr="00B40A41">
        <w:t>has been recommended</w:t>
      </w:r>
      <w:proofErr w:type="gramEnd"/>
      <w:r w:rsidRPr="00B40A41">
        <w:t xml:space="preserve"> by TGA (pp- 4, 64-65 of Keytruda </w:t>
      </w:r>
      <w:r w:rsidR="0045201D" w:rsidRPr="00B40A41">
        <w:t>P</w:t>
      </w:r>
      <w:r w:rsidRPr="00B40A41">
        <w:t xml:space="preserve">roduct </w:t>
      </w:r>
      <w:r w:rsidR="0045201D" w:rsidRPr="00B40A41">
        <w:t>I</w:t>
      </w:r>
      <w:r w:rsidRPr="00B40A41">
        <w:t xml:space="preserve">nformation) </w:t>
      </w:r>
      <w:r w:rsidR="006376CF" w:rsidRPr="00B40A41">
        <w:t>and is being considered by PBAC at the March 2020 meeting</w:t>
      </w:r>
      <w:r w:rsidRPr="00B40A41">
        <w:t>.</w:t>
      </w:r>
    </w:p>
    <w:p w:rsidR="004E43B2" w:rsidRPr="00B40A41" w:rsidRDefault="008B1757" w:rsidP="00684A6A">
      <w:pPr>
        <w:pStyle w:val="TableFigureFooter"/>
        <w:keepNext/>
        <w:keepLines/>
      </w:pPr>
      <w:r w:rsidRPr="00B40A41">
        <w:t>Source: Table</w:t>
      </w:r>
      <w:r w:rsidR="00370B89" w:rsidRPr="00B40A41">
        <w:t xml:space="preserve"> 1.1-1</w:t>
      </w:r>
      <w:r w:rsidRPr="00B40A41">
        <w:t>, p</w:t>
      </w:r>
      <w:r w:rsidR="00370B89" w:rsidRPr="00B40A41">
        <w:t>p 9-10</w:t>
      </w:r>
      <w:r w:rsidRPr="00B40A41">
        <w:t xml:space="preserve"> of the submission</w:t>
      </w:r>
      <w:r w:rsidR="00495BF7" w:rsidRPr="00B40A41">
        <w:t>, and compiled during the evaluation.</w:t>
      </w:r>
    </w:p>
    <w:p w:rsidR="005C25FF" w:rsidRPr="00B40A41" w:rsidRDefault="005C25FF" w:rsidP="004A6040">
      <w:pPr>
        <w:pStyle w:val="2-SectionHeading"/>
      </w:pPr>
      <w:bookmarkStart w:id="2" w:name="_Toc30419501"/>
      <w:r w:rsidRPr="00B40A41">
        <w:t>Background</w:t>
      </w:r>
      <w:bookmarkEnd w:id="2"/>
    </w:p>
    <w:p w:rsidR="005C25FF" w:rsidRPr="00B40A41" w:rsidRDefault="005C25FF" w:rsidP="004A6040">
      <w:pPr>
        <w:pStyle w:val="4-SubsectionHeading"/>
      </w:pPr>
      <w:bookmarkStart w:id="3" w:name="_Toc22897638"/>
      <w:bookmarkStart w:id="4" w:name="_Toc30419502"/>
      <w:r w:rsidRPr="00B40A41">
        <w:t>Registration status</w:t>
      </w:r>
      <w:bookmarkEnd w:id="3"/>
      <w:bookmarkEnd w:id="4"/>
    </w:p>
    <w:p w:rsidR="000E0F4B" w:rsidRPr="00B40A41" w:rsidRDefault="000E0F4B" w:rsidP="004E18E9">
      <w:pPr>
        <w:pStyle w:val="3-BodyText"/>
      </w:pPr>
      <w:r w:rsidRPr="00B40A41">
        <w:t xml:space="preserve">Relevant to the current submission, pembrolizumab </w:t>
      </w:r>
      <w:proofErr w:type="gramStart"/>
      <w:r w:rsidR="00306C25" w:rsidRPr="00B40A41">
        <w:t xml:space="preserve">was </w:t>
      </w:r>
      <w:r w:rsidRPr="00B40A41">
        <w:t>listed</w:t>
      </w:r>
      <w:proofErr w:type="gramEnd"/>
      <w:r w:rsidRPr="00B40A41">
        <w:t xml:space="preserve"> on the Australian Register of Therapeutic Goods </w:t>
      </w:r>
      <w:r w:rsidR="00306C25" w:rsidRPr="00B40A41">
        <w:t xml:space="preserve">on 16 April 2015 </w:t>
      </w:r>
      <w:r w:rsidRPr="00B40A41">
        <w:t xml:space="preserve">as monotherapy for the treatment of patients with unresectable (Stage III) or metastatic (Stage IV) melanoma, regardless of the BRAF mutation status. </w:t>
      </w:r>
    </w:p>
    <w:p w:rsidR="005C25FF" w:rsidRPr="00B40A41" w:rsidRDefault="005C25FF" w:rsidP="004E18E9">
      <w:pPr>
        <w:pStyle w:val="4-SubsectionHeading"/>
      </w:pPr>
      <w:bookmarkStart w:id="5" w:name="_Toc22897639"/>
      <w:bookmarkStart w:id="6" w:name="_Toc30419503"/>
      <w:r w:rsidRPr="00B40A41">
        <w:t>Previous PBAC consideration</w:t>
      </w:r>
      <w:bookmarkEnd w:id="5"/>
      <w:bookmarkEnd w:id="6"/>
    </w:p>
    <w:p w:rsidR="0013169C" w:rsidRPr="00B40A41" w:rsidRDefault="001C17DE" w:rsidP="003460E8">
      <w:pPr>
        <w:pStyle w:val="3-BodyText"/>
      </w:pPr>
      <w:r w:rsidRPr="00B40A41">
        <w:rPr>
          <w:snapToGrid/>
        </w:rPr>
        <w:t xml:space="preserve">Pembrolizumab is currently listed </w:t>
      </w:r>
      <w:r w:rsidR="004343F4" w:rsidRPr="00B40A41">
        <w:rPr>
          <w:snapToGrid/>
        </w:rPr>
        <w:t xml:space="preserve">on the PBS </w:t>
      </w:r>
      <w:r w:rsidRPr="00B40A41">
        <w:rPr>
          <w:snapToGrid/>
        </w:rPr>
        <w:t>for</w:t>
      </w:r>
      <w:r w:rsidR="00A8704B" w:rsidRPr="00B40A41">
        <w:rPr>
          <w:snapToGrid/>
        </w:rPr>
        <w:t xml:space="preserve"> unresectable Stage III or Stage IV malignant melanoma patients as</w:t>
      </w:r>
      <w:r w:rsidRPr="00B40A41">
        <w:rPr>
          <w:snapToGrid/>
        </w:rPr>
        <w:t>:</w:t>
      </w:r>
    </w:p>
    <w:p w:rsidR="0013169C" w:rsidRPr="00B40A41" w:rsidRDefault="00E77945" w:rsidP="00616BA4">
      <w:pPr>
        <w:pStyle w:val="ListParagraph"/>
        <w:ind w:left="1077" w:hanging="357"/>
      </w:pPr>
      <w:r w:rsidRPr="00B40A41">
        <w:lastRenderedPageBreak/>
        <w:t>First line</w:t>
      </w:r>
      <w:r w:rsidR="001C17DE" w:rsidRPr="00B40A41">
        <w:t xml:space="preserve"> immunotherapy </w:t>
      </w:r>
      <w:r w:rsidR="00A8704B" w:rsidRPr="00B40A41">
        <w:t xml:space="preserve">for the </w:t>
      </w:r>
      <w:r w:rsidR="001C17DE" w:rsidRPr="00B40A41">
        <w:t>BRAF V600 mutation</w:t>
      </w:r>
      <w:r w:rsidR="00A8704B" w:rsidRPr="00B40A41">
        <w:t xml:space="preserve"> negative subpopulation</w:t>
      </w:r>
      <w:r w:rsidR="00900E57" w:rsidRPr="00B40A41">
        <w:t>.</w:t>
      </w:r>
    </w:p>
    <w:p w:rsidR="00DE3F90" w:rsidRPr="00B40A41" w:rsidRDefault="001C17DE" w:rsidP="00616BA4">
      <w:pPr>
        <w:pStyle w:val="ListParagraph"/>
        <w:ind w:left="1077" w:hanging="357"/>
      </w:pPr>
      <w:r w:rsidRPr="00B40A41">
        <w:t>Later-line therapy</w:t>
      </w:r>
      <w:r w:rsidR="00A8704B" w:rsidRPr="00B40A41">
        <w:t xml:space="preserve"> for the BRAF mutation positive subpopulation</w:t>
      </w:r>
      <w:r w:rsidRPr="00B40A41">
        <w:t xml:space="preserve"> </w:t>
      </w:r>
      <w:r w:rsidR="00A8704B" w:rsidRPr="00B40A41">
        <w:t>after</w:t>
      </w:r>
      <w:r w:rsidR="007C0801" w:rsidRPr="00B40A41">
        <w:t xml:space="preserve"> the</w:t>
      </w:r>
      <w:r w:rsidR="00A8704B" w:rsidRPr="00B40A41">
        <w:t xml:space="preserve"> failure of the</w:t>
      </w:r>
      <w:r w:rsidRPr="00B40A41">
        <w:t xml:space="preserve"> </w:t>
      </w:r>
      <w:r w:rsidR="00E77945" w:rsidRPr="00B40A41">
        <w:t>first line</w:t>
      </w:r>
      <w:r w:rsidR="00A8704B" w:rsidRPr="00B40A41">
        <w:t xml:space="preserve"> </w:t>
      </w:r>
      <w:r w:rsidRPr="00B40A41">
        <w:t>treatment with a BRAF inhibitor (with or without a MEK inhibitor), unless contraindicated or not tolerated</w:t>
      </w:r>
      <w:r w:rsidR="00A8704B" w:rsidRPr="00B40A41">
        <w:t>.</w:t>
      </w:r>
    </w:p>
    <w:p w:rsidR="00CD3445" w:rsidRPr="00B40A41" w:rsidRDefault="00CD3445" w:rsidP="003460E8">
      <w:pPr>
        <w:pStyle w:val="3-BodyText"/>
      </w:pPr>
      <w:r w:rsidRPr="00B40A41">
        <w:rPr>
          <w:snapToGrid/>
        </w:rPr>
        <w:t xml:space="preserve">Pembrolizumab </w:t>
      </w:r>
      <w:proofErr w:type="gramStart"/>
      <w:r w:rsidRPr="00B40A41">
        <w:rPr>
          <w:snapToGrid/>
        </w:rPr>
        <w:t>has not previously been considered</w:t>
      </w:r>
      <w:proofErr w:type="gramEnd"/>
      <w:r w:rsidRPr="00B40A41">
        <w:rPr>
          <w:snapToGrid/>
        </w:rPr>
        <w:t xml:space="preserve"> by the PBAC for the target population within the submission</w:t>
      </w:r>
      <w:r w:rsidR="00B40A41">
        <w:rPr>
          <w:snapToGrid/>
        </w:rPr>
        <w:t xml:space="preserve">. </w:t>
      </w:r>
    </w:p>
    <w:p w:rsidR="003460E8" w:rsidRPr="00B40A41" w:rsidRDefault="003460E8" w:rsidP="003460E8">
      <w:pPr>
        <w:pStyle w:val="3-BodyText"/>
      </w:pPr>
      <w:r w:rsidRPr="00B40A41">
        <w:t xml:space="preserve">At the </w:t>
      </w:r>
      <w:r w:rsidRPr="00B40A41">
        <w:rPr>
          <w:snapToGrid/>
        </w:rPr>
        <w:t>November</w:t>
      </w:r>
      <w:r w:rsidRPr="00B40A41">
        <w:t xml:space="preserve"> </w:t>
      </w:r>
      <w:proofErr w:type="gramStart"/>
      <w:r w:rsidRPr="00B40A41">
        <w:t>2019</w:t>
      </w:r>
      <w:proofErr w:type="gramEnd"/>
      <w:r w:rsidRPr="00B40A41">
        <w:t xml:space="preserve"> meeting the PBAC recommended nivolumab and nivolumab + ipilimumab as first-line immunotherapeutic agents for BRAF mutant unresectable malignant melanoma patients. The PBS restrictions for nivolumab and ipilimumab </w:t>
      </w:r>
      <w:proofErr w:type="gramStart"/>
      <w:r w:rsidRPr="00B40A41">
        <w:t>were extended</w:t>
      </w:r>
      <w:proofErr w:type="gramEnd"/>
      <w:r w:rsidRPr="00B40A41">
        <w:t xml:space="preserve"> to include this indication on 1 March 2020.</w:t>
      </w:r>
    </w:p>
    <w:p w:rsidR="00AC29F0" w:rsidRPr="00B40A41" w:rsidRDefault="00B202C2" w:rsidP="00B202C2">
      <w:pPr>
        <w:pStyle w:val="ListBullet"/>
        <w:numPr>
          <w:ilvl w:val="0"/>
          <w:numId w:val="0"/>
        </w:numPr>
        <w:ind w:left="720"/>
        <w:rPr>
          <w:i/>
        </w:rPr>
      </w:pPr>
      <w:r w:rsidRPr="00B40A41">
        <w:rPr>
          <w:i/>
        </w:rPr>
        <w:t>For more detail on PBAC’s view, see Section 7 PBAC outcome.</w:t>
      </w:r>
    </w:p>
    <w:p w:rsidR="00B60939" w:rsidRPr="00B40A41" w:rsidRDefault="00B50DB8" w:rsidP="004E18E9">
      <w:pPr>
        <w:pStyle w:val="2-SectionHeading"/>
      </w:pPr>
      <w:bookmarkStart w:id="7" w:name="_Toc30419504"/>
      <w:r w:rsidRPr="00B40A41">
        <w:t>Requested listing</w:t>
      </w:r>
      <w:bookmarkEnd w:id="7"/>
    </w:p>
    <w:p w:rsidR="00BD55A4" w:rsidRPr="00B40A41" w:rsidRDefault="00BD55A4" w:rsidP="00BD55A4">
      <w:pPr>
        <w:pStyle w:val="3-BodyText"/>
        <w:rPr>
          <w:color w:val="0066FF"/>
        </w:rPr>
      </w:pPr>
      <w:r w:rsidRPr="00B40A41">
        <w:t>The submission proposed listing on a cost-minimisation basis</w:t>
      </w:r>
      <w:r w:rsidR="00BB573F" w:rsidRPr="00B40A41">
        <w:t>,</w:t>
      </w:r>
      <w:r w:rsidRPr="00B40A41">
        <w:t xml:space="preserve"> with the final effective price of pembrolizumab monotherapy to be determined based on the effective approved ex-manufacturer prices (AEMP) of nivolumab.</w:t>
      </w:r>
    </w:p>
    <w:p w:rsidR="00617E12" w:rsidRPr="00B40A41" w:rsidRDefault="003B34D3" w:rsidP="00616BA4">
      <w:pPr>
        <w:keepNext/>
        <w:rPr>
          <w:rFonts w:ascii="Arial Narrow" w:hAnsi="Arial Narrow"/>
          <w:b/>
          <w:bCs/>
          <w:sz w:val="20"/>
          <w:szCs w:val="20"/>
        </w:rPr>
      </w:pPr>
      <w:r w:rsidRPr="00B40A41">
        <w:rPr>
          <w:rFonts w:ascii="Arial Narrow" w:hAnsi="Arial Narrow"/>
          <w:b/>
          <w:bCs/>
          <w:sz w:val="20"/>
          <w:szCs w:val="20"/>
        </w:rPr>
        <w:t>Essential elements of the requested listing for pembrolizumab</w:t>
      </w:r>
    </w:p>
    <w:tbl>
      <w:tblPr>
        <w:tblW w:w="5000" w:type="pct"/>
        <w:tblCellMar>
          <w:left w:w="28" w:type="dxa"/>
          <w:right w:w="28" w:type="dxa"/>
        </w:tblCellMar>
        <w:tblLook w:val="0000" w:firstRow="0" w:lastRow="0" w:firstColumn="0" w:lastColumn="0" w:noHBand="0" w:noVBand="0"/>
      </w:tblPr>
      <w:tblGrid>
        <w:gridCol w:w="1985"/>
        <w:gridCol w:w="1417"/>
        <w:gridCol w:w="1094"/>
        <w:gridCol w:w="850"/>
        <w:gridCol w:w="1526"/>
        <w:gridCol w:w="657"/>
        <w:gridCol w:w="1498"/>
      </w:tblGrid>
      <w:tr w:rsidR="003517F9" w:rsidRPr="00B40A41" w:rsidTr="00960991">
        <w:trPr>
          <w:cantSplit/>
          <w:trHeight w:val="463"/>
        </w:trPr>
        <w:tc>
          <w:tcPr>
            <w:tcW w:w="1884" w:type="pct"/>
            <w:gridSpan w:val="2"/>
            <w:tcBorders>
              <w:top w:val="single" w:sz="4" w:space="0" w:color="auto"/>
              <w:bottom w:val="single" w:sz="4" w:space="0" w:color="auto"/>
            </w:tcBorders>
            <w:vAlign w:val="center"/>
          </w:tcPr>
          <w:p w:rsidR="00617E12" w:rsidRPr="00B40A41" w:rsidRDefault="00617E12" w:rsidP="00616BA4">
            <w:pPr>
              <w:pStyle w:val="In-tableHeading"/>
              <w:rPr>
                <w:lang w:val="en-AU"/>
              </w:rPr>
            </w:pPr>
            <w:r w:rsidRPr="00B40A41">
              <w:rPr>
                <w:lang w:val="en-AU"/>
              </w:rPr>
              <w:t>Name, Restriction,</w:t>
            </w:r>
          </w:p>
          <w:p w:rsidR="00617E12" w:rsidRPr="00B40A41" w:rsidRDefault="00617E12" w:rsidP="00616BA4">
            <w:pPr>
              <w:pStyle w:val="In-tableHeading"/>
              <w:rPr>
                <w:lang w:val="en-AU"/>
              </w:rPr>
            </w:pPr>
            <w:r w:rsidRPr="00B40A41">
              <w:rPr>
                <w:lang w:val="en-AU"/>
              </w:rPr>
              <w:t>Manner of administration and form</w:t>
            </w:r>
          </w:p>
        </w:tc>
        <w:tc>
          <w:tcPr>
            <w:tcW w:w="606" w:type="pct"/>
            <w:tcBorders>
              <w:top w:val="single" w:sz="4" w:space="0" w:color="auto"/>
              <w:bottom w:val="single" w:sz="4" w:space="0" w:color="auto"/>
            </w:tcBorders>
            <w:vAlign w:val="center"/>
          </w:tcPr>
          <w:p w:rsidR="00617E12" w:rsidRPr="00B40A41" w:rsidRDefault="00617E12" w:rsidP="00616BA4">
            <w:pPr>
              <w:pStyle w:val="In-tableHeading"/>
              <w:rPr>
                <w:lang w:val="en-AU"/>
              </w:rPr>
            </w:pPr>
            <w:r w:rsidRPr="00B40A41">
              <w:rPr>
                <w:lang w:val="en-AU"/>
              </w:rPr>
              <w:t>Max</w:t>
            </w:r>
            <w:r w:rsidR="006A17E9" w:rsidRPr="00B40A41">
              <w:rPr>
                <w:lang w:val="en-AU"/>
              </w:rPr>
              <w:t>imum</w:t>
            </w:r>
          </w:p>
          <w:p w:rsidR="00617E12" w:rsidRPr="00B40A41" w:rsidRDefault="008B1757" w:rsidP="00616BA4">
            <w:pPr>
              <w:pStyle w:val="In-tableHeading"/>
              <w:rPr>
                <w:lang w:val="en-AU"/>
              </w:rPr>
            </w:pPr>
            <w:r w:rsidRPr="00B40A41">
              <w:rPr>
                <w:lang w:val="en-AU"/>
              </w:rPr>
              <w:t>Am</w:t>
            </w:r>
            <w:r w:rsidR="003B34D3" w:rsidRPr="00B40A41">
              <w:rPr>
                <w:lang w:val="en-AU"/>
              </w:rPr>
              <w:t>ount</w:t>
            </w:r>
          </w:p>
        </w:tc>
        <w:tc>
          <w:tcPr>
            <w:tcW w:w="471" w:type="pct"/>
            <w:tcBorders>
              <w:top w:val="single" w:sz="4" w:space="0" w:color="auto"/>
              <w:bottom w:val="single" w:sz="4" w:space="0" w:color="auto"/>
            </w:tcBorders>
            <w:vAlign w:val="center"/>
          </w:tcPr>
          <w:p w:rsidR="00617E12" w:rsidRPr="00B40A41" w:rsidRDefault="006A17E9" w:rsidP="00616BA4">
            <w:pPr>
              <w:pStyle w:val="In-tableHeading"/>
              <w:rPr>
                <w:lang w:val="en-AU"/>
              </w:rPr>
            </w:pPr>
            <w:r w:rsidRPr="00B40A41">
              <w:rPr>
                <w:lang w:val="en-AU"/>
              </w:rPr>
              <w:t>No</w:t>
            </w:r>
            <w:r w:rsidR="00617E12" w:rsidRPr="00B40A41">
              <w:rPr>
                <w:lang w:val="en-AU"/>
              </w:rPr>
              <w:t>.</w:t>
            </w:r>
            <w:r w:rsidRPr="00B40A41">
              <w:rPr>
                <w:lang w:val="en-AU"/>
              </w:rPr>
              <w:t xml:space="preserve"> </w:t>
            </w:r>
            <w:r w:rsidR="00617E12" w:rsidRPr="00B40A41">
              <w:rPr>
                <w:lang w:val="en-AU"/>
              </w:rPr>
              <w:t>of</w:t>
            </w:r>
          </w:p>
          <w:p w:rsidR="00617E12" w:rsidRPr="00B40A41" w:rsidRDefault="00617E12" w:rsidP="00616BA4">
            <w:pPr>
              <w:pStyle w:val="In-tableHeading"/>
              <w:rPr>
                <w:lang w:val="en-AU"/>
              </w:rPr>
            </w:pPr>
            <w:r w:rsidRPr="00B40A41">
              <w:rPr>
                <w:lang w:val="en-AU"/>
              </w:rPr>
              <w:t>Rpts</w:t>
            </w:r>
          </w:p>
        </w:tc>
        <w:tc>
          <w:tcPr>
            <w:tcW w:w="845" w:type="pct"/>
            <w:tcBorders>
              <w:top w:val="single" w:sz="4" w:space="0" w:color="auto"/>
              <w:bottom w:val="single" w:sz="4" w:space="0" w:color="auto"/>
            </w:tcBorders>
            <w:vAlign w:val="center"/>
          </w:tcPr>
          <w:p w:rsidR="00617E12" w:rsidRPr="00B40A41" w:rsidRDefault="00617E12" w:rsidP="00616BA4">
            <w:pPr>
              <w:pStyle w:val="In-tableHeading"/>
              <w:rPr>
                <w:lang w:val="en-AU"/>
              </w:rPr>
            </w:pPr>
            <w:r w:rsidRPr="00B40A41">
              <w:rPr>
                <w:lang w:val="en-AU"/>
              </w:rPr>
              <w:t xml:space="preserve">Dispensed Price for Max. </w:t>
            </w:r>
            <w:r w:rsidR="00591957" w:rsidRPr="00B40A41">
              <w:rPr>
                <w:lang w:val="en-AU"/>
              </w:rPr>
              <w:t>Amt</w:t>
            </w:r>
          </w:p>
        </w:tc>
        <w:tc>
          <w:tcPr>
            <w:tcW w:w="1194" w:type="pct"/>
            <w:gridSpan w:val="2"/>
            <w:tcBorders>
              <w:top w:val="single" w:sz="4" w:space="0" w:color="auto"/>
              <w:bottom w:val="single" w:sz="4" w:space="0" w:color="auto"/>
            </w:tcBorders>
            <w:vAlign w:val="center"/>
          </w:tcPr>
          <w:p w:rsidR="00617E12" w:rsidRPr="00B40A41" w:rsidRDefault="00617E12" w:rsidP="00616BA4">
            <w:pPr>
              <w:pStyle w:val="In-tableHeading"/>
              <w:rPr>
                <w:lang w:val="en-AU"/>
              </w:rPr>
            </w:pPr>
            <w:r w:rsidRPr="00B40A41">
              <w:rPr>
                <w:lang w:val="en-AU"/>
              </w:rPr>
              <w:t>Proprietary Name and Manufacturer</w:t>
            </w:r>
          </w:p>
        </w:tc>
      </w:tr>
      <w:tr w:rsidR="003517F9" w:rsidRPr="00B40A41" w:rsidTr="00960991">
        <w:trPr>
          <w:cantSplit/>
          <w:trHeight w:val="567"/>
        </w:trPr>
        <w:tc>
          <w:tcPr>
            <w:tcW w:w="1884" w:type="pct"/>
            <w:gridSpan w:val="2"/>
            <w:vAlign w:val="center"/>
          </w:tcPr>
          <w:p w:rsidR="00617E12" w:rsidRPr="00B40A41" w:rsidRDefault="003B34D3" w:rsidP="00616BA4">
            <w:pPr>
              <w:pStyle w:val="Tabletext"/>
              <w:keepNext/>
            </w:pPr>
            <w:r w:rsidRPr="00B40A41">
              <w:rPr>
                <w:smallCaps/>
              </w:rPr>
              <w:t>PEMBROLIZUMAB</w:t>
            </w:r>
          </w:p>
          <w:p w:rsidR="00617E12" w:rsidRPr="00B40A41" w:rsidRDefault="003B34D3" w:rsidP="00616BA4">
            <w:pPr>
              <w:pStyle w:val="Tabletext"/>
              <w:keepNext/>
            </w:pPr>
            <w:r w:rsidRPr="00B40A41">
              <w:t>100 mg vial for IV infusion</w:t>
            </w:r>
          </w:p>
        </w:tc>
        <w:tc>
          <w:tcPr>
            <w:tcW w:w="606" w:type="pct"/>
            <w:vAlign w:val="center"/>
          </w:tcPr>
          <w:p w:rsidR="00617E12" w:rsidRPr="00B40A41" w:rsidRDefault="003B34D3" w:rsidP="00616BA4">
            <w:pPr>
              <w:pStyle w:val="Tabletext"/>
              <w:keepNext/>
            </w:pPr>
            <w:r w:rsidRPr="00B40A41">
              <w:t>200 mg</w:t>
            </w:r>
          </w:p>
        </w:tc>
        <w:tc>
          <w:tcPr>
            <w:tcW w:w="471" w:type="pct"/>
            <w:vAlign w:val="center"/>
          </w:tcPr>
          <w:p w:rsidR="00617E12" w:rsidRPr="00B40A41" w:rsidRDefault="003B34D3" w:rsidP="00616BA4">
            <w:pPr>
              <w:pStyle w:val="Tabletext"/>
              <w:keepNext/>
            </w:pPr>
            <w:r w:rsidRPr="00B40A41">
              <w:t>5</w:t>
            </w:r>
          </w:p>
        </w:tc>
        <w:tc>
          <w:tcPr>
            <w:tcW w:w="845" w:type="pct"/>
            <w:vAlign w:val="center"/>
          </w:tcPr>
          <w:p w:rsidR="0059353C" w:rsidRPr="00B40A41" w:rsidRDefault="00974F52" w:rsidP="00616BA4">
            <w:pPr>
              <w:pStyle w:val="Tabletext"/>
              <w:keepNext/>
              <w:rPr>
                <w:u w:val="single"/>
                <w:vertAlign w:val="superscript"/>
              </w:rPr>
            </w:pPr>
            <w:r w:rsidRPr="00B40A41">
              <w:rPr>
                <w:u w:val="single"/>
              </w:rPr>
              <w:t>Published</w:t>
            </w:r>
            <w:r w:rsidR="0059353C" w:rsidRPr="00B40A41">
              <w:rPr>
                <w:u w:val="single"/>
              </w:rPr>
              <w:t xml:space="preserve"> price</w:t>
            </w:r>
            <w:r w:rsidR="005B3D89" w:rsidRPr="00B40A41">
              <w:rPr>
                <w:u w:val="single"/>
                <w:vertAlign w:val="superscript"/>
              </w:rPr>
              <w:t>1</w:t>
            </w:r>
          </w:p>
          <w:p w:rsidR="0059353C" w:rsidRPr="00B40A41" w:rsidRDefault="0059353C" w:rsidP="00616BA4">
            <w:pPr>
              <w:pStyle w:val="Tabletext"/>
              <w:keepNext/>
            </w:pPr>
            <w:r w:rsidRPr="00B40A41">
              <w:t>$</w:t>
            </w:r>
            <w:r w:rsidR="00456866" w:rsidRPr="00B40A41">
              <w:t>8,559.06</w:t>
            </w:r>
            <w:r w:rsidRPr="00B40A41">
              <w:t xml:space="preserve"> (public)</w:t>
            </w:r>
          </w:p>
          <w:p w:rsidR="0059353C" w:rsidRPr="00B40A41" w:rsidRDefault="0059353C" w:rsidP="00616BA4">
            <w:pPr>
              <w:pStyle w:val="Tabletext"/>
              <w:keepNext/>
            </w:pPr>
            <w:r w:rsidRPr="00B40A41">
              <w:t>$</w:t>
            </w:r>
            <w:r w:rsidR="00456866" w:rsidRPr="00B40A41">
              <w:t>8,717.46</w:t>
            </w:r>
            <w:r w:rsidRPr="00B40A41">
              <w:t xml:space="preserve"> (private)</w:t>
            </w:r>
          </w:p>
          <w:p w:rsidR="0059353C" w:rsidRPr="00B40A41" w:rsidRDefault="0059353C" w:rsidP="00616BA4">
            <w:pPr>
              <w:pStyle w:val="Tabletext"/>
              <w:keepNext/>
              <w:rPr>
                <w:u w:val="single"/>
                <w:vertAlign w:val="superscript"/>
              </w:rPr>
            </w:pPr>
            <w:r w:rsidRPr="00B40A41">
              <w:rPr>
                <w:u w:val="single"/>
              </w:rPr>
              <w:t>Effective price</w:t>
            </w:r>
            <w:r w:rsidR="0063609A" w:rsidRPr="00B40A41">
              <w:rPr>
                <w:u w:val="single"/>
                <w:vertAlign w:val="superscript"/>
              </w:rPr>
              <w:t>2</w:t>
            </w:r>
          </w:p>
          <w:p w:rsidR="00617E12" w:rsidRPr="00B40A41" w:rsidRDefault="0059353C" w:rsidP="00616BA4">
            <w:pPr>
              <w:pStyle w:val="Tabletext"/>
              <w:keepNext/>
              <w:rPr>
                <w:vertAlign w:val="superscript"/>
              </w:rPr>
            </w:pPr>
            <w:r w:rsidRPr="00B40A41">
              <w:t>To be determined</w:t>
            </w:r>
          </w:p>
        </w:tc>
        <w:tc>
          <w:tcPr>
            <w:tcW w:w="364" w:type="pct"/>
            <w:vAlign w:val="center"/>
          </w:tcPr>
          <w:p w:rsidR="00617E12" w:rsidRPr="00B40A41" w:rsidRDefault="00617E12" w:rsidP="00616BA4">
            <w:pPr>
              <w:pStyle w:val="Tabletext"/>
              <w:keepNext/>
            </w:pPr>
          </w:p>
        </w:tc>
        <w:tc>
          <w:tcPr>
            <w:tcW w:w="830" w:type="pct"/>
            <w:vAlign w:val="center"/>
          </w:tcPr>
          <w:p w:rsidR="0064646E" w:rsidRPr="00B40A41" w:rsidRDefault="0064646E" w:rsidP="00616BA4">
            <w:pPr>
              <w:pStyle w:val="Tabletext"/>
              <w:keepNext/>
            </w:pPr>
            <w:r w:rsidRPr="00B40A41">
              <w:t>Keytruda</w:t>
            </w:r>
            <w:r w:rsidRPr="00B40A41">
              <w:rPr>
                <w:vertAlign w:val="superscript"/>
              </w:rPr>
              <w:t>®</w:t>
            </w:r>
          </w:p>
          <w:p w:rsidR="00591957" w:rsidRPr="00B40A41" w:rsidRDefault="0064646E" w:rsidP="00616BA4">
            <w:pPr>
              <w:pStyle w:val="Tabletext"/>
              <w:keepNext/>
            </w:pPr>
            <w:r w:rsidRPr="00B40A41">
              <w:t xml:space="preserve">Merck Sharp and Dohme (Australia) Pty Ltd </w:t>
            </w:r>
          </w:p>
        </w:tc>
      </w:tr>
      <w:tr w:rsidR="00542C2D" w:rsidRPr="00B40A41" w:rsidTr="00960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99" w:type="pct"/>
            <w:tcBorders>
              <w:top w:val="single" w:sz="4" w:space="0" w:color="auto"/>
              <w:left w:val="single" w:sz="4" w:space="0" w:color="auto"/>
              <w:bottom w:val="single" w:sz="4" w:space="0" w:color="auto"/>
              <w:right w:val="single" w:sz="4" w:space="0" w:color="auto"/>
            </w:tcBorders>
            <w:hideMark/>
          </w:tcPr>
          <w:p w:rsidR="00542C2D" w:rsidRPr="00B40A41" w:rsidRDefault="00591957" w:rsidP="00616BA4">
            <w:pPr>
              <w:pStyle w:val="In-tableHeading"/>
              <w:rPr>
                <w:lang w:val="en-AU"/>
              </w:rPr>
            </w:pPr>
            <w:r w:rsidRPr="00B40A41">
              <w:rPr>
                <w:lang w:val="en-AU"/>
              </w:rPr>
              <w:t>Category/Program:</w:t>
            </w:r>
          </w:p>
        </w:tc>
        <w:tc>
          <w:tcPr>
            <w:tcW w:w="3901" w:type="pct"/>
            <w:gridSpan w:val="6"/>
            <w:tcBorders>
              <w:top w:val="single" w:sz="4" w:space="0" w:color="auto"/>
              <w:left w:val="single" w:sz="4" w:space="0" w:color="auto"/>
              <w:bottom w:val="single" w:sz="4" w:space="0" w:color="auto"/>
              <w:right w:val="single" w:sz="4" w:space="0" w:color="auto"/>
            </w:tcBorders>
          </w:tcPr>
          <w:p w:rsidR="00542C2D" w:rsidRPr="00B40A41" w:rsidRDefault="003B34D3" w:rsidP="00616BA4">
            <w:pPr>
              <w:pStyle w:val="Tabletext"/>
              <w:keepNext/>
            </w:pPr>
            <w:r w:rsidRPr="00B40A41">
              <w:t xml:space="preserve">Section 100 </w:t>
            </w:r>
            <w:r w:rsidR="0059353C" w:rsidRPr="00B40A41">
              <w:t>-</w:t>
            </w:r>
            <w:r w:rsidRPr="00B40A41">
              <w:t xml:space="preserve"> Efficient funding of Chemotherapy</w:t>
            </w:r>
          </w:p>
        </w:tc>
      </w:tr>
      <w:tr w:rsidR="0059353C" w:rsidRPr="00B40A41" w:rsidTr="00960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99" w:type="pct"/>
            <w:tcBorders>
              <w:top w:val="single" w:sz="4" w:space="0" w:color="auto"/>
              <w:left w:val="single" w:sz="4" w:space="0" w:color="auto"/>
              <w:bottom w:val="single" w:sz="4" w:space="0" w:color="auto"/>
              <w:right w:val="single" w:sz="4" w:space="0" w:color="auto"/>
            </w:tcBorders>
            <w:hideMark/>
          </w:tcPr>
          <w:p w:rsidR="0059353C" w:rsidRPr="00B40A41" w:rsidRDefault="0059353C" w:rsidP="00616BA4">
            <w:pPr>
              <w:pStyle w:val="In-tableHeading"/>
              <w:rPr>
                <w:lang w:val="en-AU"/>
              </w:rPr>
            </w:pPr>
            <w:r w:rsidRPr="00B40A41">
              <w:rPr>
                <w:lang w:val="en-AU"/>
              </w:rPr>
              <w:t>Prescriber type</w:t>
            </w:r>
          </w:p>
        </w:tc>
        <w:tc>
          <w:tcPr>
            <w:tcW w:w="3901" w:type="pct"/>
            <w:gridSpan w:val="6"/>
            <w:tcBorders>
              <w:top w:val="single" w:sz="4" w:space="0" w:color="auto"/>
              <w:left w:val="single" w:sz="4" w:space="0" w:color="auto"/>
              <w:bottom w:val="single" w:sz="4" w:space="0" w:color="auto"/>
              <w:right w:val="single" w:sz="4" w:space="0" w:color="auto"/>
            </w:tcBorders>
          </w:tcPr>
          <w:p w:rsidR="0059353C" w:rsidRPr="00B40A41" w:rsidRDefault="0059353C" w:rsidP="00616BA4">
            <w:pPr>
              <w:pStyle w:val="Tabletext"/>
              <w:keepNext/>
            </w:pPr>
            <w:r w:rsidRPr="00B40A41">
              <w:fldChar w:fldCharType="begin">
                <w:ffData>
                  <w:name w:val=""/>
                  <w:enabled/>
                  <w:calcOnExit w:val="0"/>
                  <w:checkBox>
                    <w:sizeAuto/>
                    <w:default w:val="1"/>
                  </w:checkBox>
                </w:ffData>
              </w:fldChar>
            </w:r>
            <w:r w:rsidRPr="00B40A41">
              <w:instrText xml:space="preserve"> FORMCHECKBOX </w:instrText>
            </w:r>
            <w:r w:rsidR="004B18CD">
              <w:fldChar w:fldCharType="separate"/>
            </w:r>
            <w:r w:rsidRPr="00B40A41">
              <w:fldChar w:fldCharType="end"/>
            </w:r>
            <w:r w:rsidRPr="00B40A41">
              <w:t xml:space="preserve">Medical Practitioners  </w:t>
            </w:r>
          </w:p>
        </w:tc>
      </w:tr>
      <w:tr w:rsidR="00542C2D" w:rsidRPr="00B40A41" w:rsidTr="00960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99" w:type="pct"/>
            <w:tcBorders>
              <w:top w:val="single" w:sz="4" w:space="0" w:color="auto"/>
              <w:left w:val="single" w:sz="4" w:space="0" w:color="auto"/>
              <w:bottom w:val="single" w:sz="4" w:space="0" w:color="auto"/>
              <w:right w:val="single" w:sz="4" w:space="0" w:color="auto"/>
            </w:tcBorders>
            <w:hideMark/>
          </w:tcPr>
          <w:p w:rsidR="00542C2D" w:rsidRPr="00B40A41" w:rsidRDefault="00591957" w:rsidP="00616BA4">
            <w:pPr>
              <w:pStyle w:val="In-tableHeading"/>
              <w:rPr>
                <w:lang w:val="en-AU"/>
              </w:rPr>
            </w:pPr>
            <w:r w:rsidRPr="00B40A41">
              <w:rPr>
                <w:lang w:val="en-AU"/>
              </w:rPr>
              <w:t>PBS indication:</w:t>
            </w:r>
          </w:p>
        </w:tc>
        <w:tc>
          <w:tcPr>
            <w:tcW w:w="3901" w:type="pct"/>
            <w:gridSpan w:val="6"/>
            <w:tcBorders>
              <w:top w:val="single" w:sz="4" w:space="0" w:color="auto"/>
              <w:left w:val="single" w:sz="4" w:space="0" w:color="auto"/>
              <w:bottom w:val="single" w:sz="4" w:space="0" w:color="auto"/>
              <w:right w:val="single" w:sz="4" w:space="0" w:color="auto"/>
            </w:tcBorders>
          </w:tcPr>
          <w:p w:rsidR="00542C2D" w:rsidRPr="00B40A41" w:rsidRDefault="003B34D3" w:rsidP="00616BA4">
            <w:pPr>
              <w:pStyle w:val="Tabletext"/>
              <w:keepNext/>
            </w:pPr>
            <w:r w:rsidRPr="00B40A41">
              <w:t>Unresectable stage III or stage IV metastatic malignant melanoma</w:t>
            </w:r>
          </w:p>
        </w:tc>
      </w:tr>
      <w:tr w:rsidR="0059353C" w:rsidRPr="00B40A41" w:rsidTr="00960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99" w:type="pct"/>
            <w:tcBorders>
              <w:top w:val="single" w:sz="4" w:space="0" w:color="auto"/>
              <w:left w:val="single" w:sz="4" w:space="0" w:color="auto"/>
              <w:bottom w:val="single" w:sz="4" w:space="0" w:color="auto"/>
              <w:right w:val="single" w:sz="4" w:space="0" w:color="auto"/>
            </w:tcBorders>
            <w:hideMark/>
          </w:tcPr>
          <w:p w:rsidR="0059353C" w:rsidRPr="00B40A41" w:rsidRDefault="0059353C" w:rsidP="00616BA4">
            <w:pPr>
              <w:pStyle w:val="In-tableHeading"/>
              <w:rPr>
                <w:lang w:val="en-AU"/>
              </w:rPr>
            </w:pPr>
            <w:r w:rsidRPr="00B40A41">
              <w:rPr>
                <w:lang w:val="en-AU"/>
              </w:rPr>
              <w:t>Condition:</w:t>
            </w:r>
          </w:p>
        </w:tc>
        <w:tc>
          <w:tcPr>
            <w:tcW w:w="3901" w:type="pct"/>
            <w:gridSpan w:val="6"/>
            <w:tcBorders>
              <w:top w:val="single" w:sz="4" w:space="0" w:color="auto"/>
              <w:left w:val="single" w:sz="4" w:space="0" w:color="auto"/>
              <w:bottom w:val="single" w:sz="4" w:space="0" w:color="auto"/>
              <w:right w:val="single" w:sz="4" w:space="0" w:color="auto"/>
            </w:tcBorders>
          </w:tcPr>
          <w:p w:rsidR="0059353C" w:rsidRPr="00B40A41" w:rsidRDefault="0059353C" w:rsidP="00616BA4">
            <w:pPr>
              <w:pStyle w:val="Tabletext"/>
              <w:keepNext/>
            </w:pPr>
            <w:r w:rsidRPr="00B40A41">
              <w:t>Malignant melanoma</w:t>
            </w:r>
          </w:p>
        </w:tc>
      </w:tr>
      <w:tr w:rsidR="00542C2D" w:rsidRPr="00B40A41" w:rsidTr="00960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99" w:type="pct"/>
            <w:tcBorders>
              <w:top w:val="single" w:sz="4" w:space="0" w:color="auto"/>
              <w:left w:val="single" w:sz="4" w:space="0" w:color="auto"/>
              <w:bottom w:val="single" w:sz="4" w:space="0" w:color="auto"/>
              <w:right w:val="single" w:sz="4" w:space="0" w:color="auto"/>
            </w:tcBorders>
            <w:hideMark/>
          </w:tcPr>
          <w:p w:rsidR="00542C2D" w:rsidRPr="00B40A41" w:rsidRDefault="00591957" w:rsidP="00616BA4">
            <w:pPr>
              <w:pStyle w:val="In-tableHeading"/>
              <w:rPr>
                <w:lang w:val="en-AU"/>
              </w:rPr>
            </w:pPr>
            <w:r w:rsidRPr="00B40A41">
              <w:rPr>
                <w:lang w:val="en-AU"/>
              </w:rPr>
              <w:t>Treatment phase:</w:t>
            </w:r>
          </w:p>
        </w:tc>
        <w:tc>
          <w:tcPr>
            <w:tcW w:w="3901" w:type="pct"/>
            <w:gridSpan w:val="6"/>
            <w:tcBorders>
              <w:top w:val="single" w:sz="4" w:space="0" w:color="auto"/>
              <w:left w:val="single" w:sz="4" w:space="0" w:color="auto"/>
              <w:bottom w:val="single" w:sz="4" w:space="0" w:color="auto"/>
              <w:right w:val="single" w:sz="4" w:space="0" w:color="auto"/>
            </w:tcBorders>
          </w:tcPr>
          <w:p w:rsidR="00542C2D" w:rsidRPr="00B40A41" w:rsidRDefault="003B34D3" w:rsidP="00616BA4">
            <w:pPr>
              <w:pStyle w:val="Tabletext"/>
              <w:keepNext/>
            </w:pPr>
            <w:r w:rsidRPr="00B40A41">
              <w:t>Initial</w:t>
            </w:r>
            <w:r w:rsidR="0059353C" w:rsidRPr="00B40A41">
              <w:t xml:space="preserve"> Treatment</w:t>
            </w:r>
          </w:p>
        </w:tc>
      </w:tr>
      <w:tr w:rsidR="00542C2D" w:rsidRPr="00B40A41" w:rsidTr="00960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99" w:type="pct"/>
            <w:tcBorders>
              <w:top w:val="single" w:sz="4" w:space="0" w:color="auto"/>
              <w:left w:val="single" w:sz="4" w:space="0" w:color="auto"/>
              <w:bottom w:val="single" w:sz="4" w:space="0" w:color="auto"/>
              <w:right w:val="single" w:sz="4" w:space="0" w:color="auto"/>
            </w:tcBorders>
            <w:hideMark/>
          </w:tcPr>
          <w:p w:rsidR="00542C2D" w:rsidRPr="00B40A41" w:rsidRDefault="00542C2D" w:rsidP="00616BA4">
            <w:pPr>
              <w:pStyle w:val="In-tableHeading"/>
              <w:rPr>
                <w:lang w:val="en-AU"/>
              </w:rPr>
            </w:pPr>
            <w:r w:rsidRPr="00B40A41">
              <w:rPr>
                <w:lang w:val="en-AU"/>
              </w:rPr>
              <w:t>Restriction</w:t>
            </w:r>
            <w:r w:rsidR="00591957" w:rsidRPr="00B40A41">
              <w:rPr>
                <w:lang w:val="en-AU"/>
              </w:rPr>
              <w:t>:</w:t>
            </w:r>
          </w:p>
        </w:tc>
        <w:tc>
          <w:tcPr>
            <w:tcW w:w="3901" w:type="pct"/>
            <w:gridSpan w:val="6"/>
            <w:tcBorders>
              <w:top w:val="single" w:sz="4" w:space="0" w:color="auto"/>
              <w:left w:val="single" w:sz="4" w:space="0" w:color="auto"/>
              <w:bottom w:val="single" w:sz="4" w:space="0" w:color="auto"/>
              <w:right w:val="single" w:sz="4" w:space="0" w:color="auto"/>
            </w:tcBorders>
          </w:tcPr>
          <w:p w:rsidR="00542C2D" w:rsidRPr="00B40A41" w:rsidRDefault="003B34D3" w:rsidP="00616BA4">
            <w:pPr>
              <w:pStyle w:val="Tabletext"/>
              <w:keepNext/>
            </w:pPr>
            <w:r w:rsidRPr="00B40A41">
              <w:t xml:space="preserve"> </w:t>
            </w:r>
            <w:r w:rsidRPr="00B40A41">
              <w:fldChar w:fldCharType="begin">
                <w:ffData>
                  <w:name w:val="Check5"/>
                  <w:enabled/>
                  <w:calcOnExit w:val="0"/>
                  <w:checkBox>
                    <w:sizeAuto/>
                    <w:default w:val="1"/>
                  </w:checkBox>
                </w:ffData>
              </w:fldChar>
            </w:r>
            <w:r w:rsidRPr="00B40A41">
              <w:instrText xml:space="preserve"> FORMCHECKBOX </w:instrText>
            </w:r>
            <w:r w:rsidR="004B18CD">
              <w:fldChar w:fldCharType="separate"/>
            </w:r>
            <w:r w:rsidRPr="00B40A41">
              <w:fldChar w:fldCharType="end"/>
            </w:r>
            <w:r w:rsidRPr="00B40A41">
              <w:t xml:space="preserve"> Streamlined</w:t>
            </w:r>
          </w:p>
        </w:tc>
      </w:tr>
      <w:tr w:rsidR="00542C2D" w:rsidRPr="00B40A41" w:rsidTr="00960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99" w:type="pct"/>
            <w:tcBorders>
              <w:top w:val="single" w:sz="4" w:space="0" w:color="auto"/>
              <w:left w:val="single" w:sz="4" w:space="0" w:color="auto"/>
              <w:bottom w:val="single" w:sz="4" w:space="0" w:color="auto"/>
              <w:right w:val="single" w:sz="4" w:space="0" w:color="auto"/>
            </w:tcBorders>
            <w:hideMark/>
          </w:tcPr>
          <w:p w:rsidR="00542C2D" w:rsidRPr="00B40A41" w:rsidRDefault="00542C2D" w:rsidP="00616BA4">
            <w:pPr>
              <w:pStyle w:val="In-tableHeading"/>
              <w:rPr>
                <w:lang w:val="en-AU"/>
              </w:rPr>
            </w:pPr>
            <w:r w:rsidRPr="00B40A41">
              <w:rPr>
                <w:lang w:val="en-AU"/>
              </w:rPr>
              <w:t>Clinical criteria</w:t>
            </w:r>
            <w:r w:rsidR="00591957" w:rsidRPr="00B40A41">
              <w:rPr>
                <w:lang w:val="en-AU"/>
              </w:rPr>
              <w:t>:</w:t>
            </w:r>
          </w:p>
        </w:tc>
        <w:tc>
          <w:tcPr>
            <w:tcW w:w="3901" w:type="pct"/>
            <w:gridSpan w:val="6"/>
            <w:tcBorders>
              <w:top w:val="single" w:sz="4" w:space="0" w:color="auto"/>
              <w:left w:val="single" w:sz="4" w:space="0" w:color="auto"/>
              <w:bottom w:val="single" w:sz="4" w:space="0" w:color="auto"/>
              <w:right w:val="single" w:sz="4" w:space="0" w:color="auto"/>
            </w:tcBorders>
          </w:tcPr>
          <w:p w:rsidR="003B34D3" w:rsidRPr="00B40A41" w:rsidRDefault="003B34D3" w:rsidP="00616BA4">
            <w:pPr>
              <w:pStyle w:val="Tabletext"/>
              <w:keepNext/>
            </w:pPr>
            <w:r w:rsidRPr="00B40A41">
              <w:t>The patient must not have received prior treatment with ipilimumab or a programmed cell death-1 (PD-1) inhibitor for this condition,</w:t>
            </w:r>
          </w:p>
          <w:p w:rsidR="003B34D3" w:rsidRPr="00B40A41" w:rsidRDefault="003B34D3" w:rsidP="00616BA4">
            <w:pPr>
              <w:pStyle w:val="Tabletext"/>
              <w:keepNext/>
            </w:pPr>
            <w:r w:rsidRPr="00B40A41">
              <w:t>AND</w:t>
            </w:r>
          </w:p>
          <w:p w:rsidR="003B34D3" w:rsidRPr="00B40A41" w:rsidRDefault="003B34D3" w:rsidP="00616BA4">
            <w:pPr>
              <w:pStyle w:val="Tabletext"/>
              <w:keepNext/>
            </w:pPr>
            <w:r w:rsidRPr="00B40A41">
              <w:t>The treatment must be the sole PBS-subsidised therapy for this condition,</w:t>
            </w:r>
          </w:p>
          <w:p w:rsidR="003B34D3" w:rsidRPr="00B40A41" w:rsidRDefault="003B34D3" w:rsidP="00616BA4">
            <w:pPr>
              <w:pStyle w:val="Tabletext"/>
              <w:keepNext/>
            </w:pPr>
            <w:r w:rsidRPr="00B40A41">
              <w:t>AND</w:t>
            </w:r>
          </w:p>
          <w:p w:rsidR="00542C2D" w:rsidRPr="00B40A41" w:rsidRDefault="003B34D3" w:rsidP="00616BA4">
            <w:pPr>
              <w:pStyle w:val="Tabletext"/>
              <w:keepNext/>
            </w:pPr>
            <w:r w:rsidRPr="00B40A41">
              <w:t xml:space="preserve">The treatment must not exceed </w:t>
            </w:r>
            <w:proofErr w:type="gramStart"/>
            <w:r w:rsidRPr="00B40A41">
              <w:t>a total of 6</w:t>
            </w:r>
            <w:proofErr w:type="gramEnd"/>
            <w:r w:rsidRPr="00B40A41">
              <w:t xml:space="preserve"> doses</w:t>
            </w:r>
            <w:r w:rsidR="00B40A41">
              <w:t xml:space="preserve">. </w:t>
            </w:r>
          </w:p>
        </w:tc>
      </w:tr>
      <w:tr w:rsidR="00591957" w:rsidRPr="00B40A41" w:rsidTr="00960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99" w:type="pct"/>
            <w:tcBorders>
              <w:top w:val="single" w:sz="4" w:space="0" w:color="auto"/>
              <w:left w:val="single" w:sz="4" w:space="0" w:color="auto"/>
              <w:bottom w:val="single" w:sz="4" w:space="0" w:color="auto"/>
              <w:right w:val="single" w:sz="4" w:space="0" w:color="auto"/>
            </w:tcBorders>
          </w:tcPr>
          <w:p w:rsidR="00591957" w:rsidRPr="00B40A41" w:rsidRDefault="0059353C" w:rsidP="00616BA4">
            <w:pPr>
              <w:pStyle w:val="In-tableHeading"/>
              <w:rPr>
                <w:lang w:val="en-AU"/>
              </w:rPr>
            </w:pPr>
            <w:r w:rsidRPr="00B40A41">
              <w:rPr>
                <w:lang w:val="en-AU"/>
              </w:rPr>
              <w:t>Prescriber Instructions:</w:t>
            </w:r>
          </w:p>
        </w:tc>
        <w:tc>
          <w:tcPr>
            <w:tcW w:w="3901" w:type="pct"/>
            <w:gridSpan w:val="6"/>
            <w:tcBorders>
              <w:top w:val="single" w:sz="4" w:space="0" w:color="auto"/>
              <w:left w:val="single" w:sz="4" w:space="0" w:color="auto"/>
              <w:bottom w:val="single" w:sz="4" w:space="0" w:color="auto"/>
              <w:right w:val="single" w:sz="4" w:space="0" w:color="auto"/>
            </w:tcBorders>
          </w:tcPr>
          <w:p w:rsidR="00591957" w:rsidRPr="00B40A41" w:rsidRDefault="0059353C" w:rsidP="00616BA4">
            <w:pPr>
              <w:pStyle w:val="Tabletext"/>
              <w:keepNext/>
              <w:rPr>
                <w:color w:val="000000"/>
              </w:rPr>
            </w:pPr>
            <w:r w:rsidRPr="00B40A41">
              <w:rPr>
                <w:color w:val="000000"/>
              </w:rPr>
              <w:t>In the first few months after the start of immunotherapy, some patients can have a transient tumour flare with subsequent disease response</w:t>
            </w:r>
            <w:r w:rsidR="00B40A41">
              <w:rPr>
                <w:color w:val="000000"/>
              </w:rPr>
              <w:t xml:space="preserve">. </w:t>
            </w:r>
            <w:r w:rsidRPr="00B40A41">
              <w:rPr>
                <w:color w:val="000000"/>
              </w:rPr>
              <w:t xml:space="preserve">When progression </w:t>
            </w:r>
            <w:proofErr w:type="gramStart"/>
            <w:r w:rsidRPr="00B40A41">
              <w:rPr>
                <w:color w:val="000000"/>
              </w:rPr>
              <w:t>is suspected</w:t>
            </w:r>
            <w:proofErr w:type="gramEnd"/>
            <w:r w:rsidRPr="00B40A41">
              <w:rPr>
                <w:color w:val="000000"/>
              </w:rPr>
              <w:t>, this should be confirmed through a confirmatory scan, taken at least 4 weeks later.</w:t>
            </w:r>
          </w:p>
        </w:tc>
      </w:tr>
      <w:tr w:rsidR="0059353C" w:rsidRPr="00B40A41" w:rsidTr="00960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99" w:type="pct"/>
            <w:tcBorders>
              <w:top w:val="single" w:sz="4" w:space="0" w:color="auto"/>
              <w:left w:val="single" w:sz="4" w:space="0" w:color="auto"/>
              <w:bottom w:val="single" w:sz="4" w:space="0" w:color="auto"/>
              <w:right w:val="single" w:sz="4" w:space="0" w:color="auto"/>
            </w:tcBorders>
          </w:tcPr>
          <w:p w:rsidR="0059353C" w:rsidRPr="00B40A41" w:rsidRDefault="0059353C" w:rsidP="00616BA4">
            <w:pPr>
              <w:pStyle w:val="In-tableHeading"/>
              <w:rPr>
                <w:lang w:val="en-AU"/>
              </w:rPr>
            </w:pPr>
            <w:r w:rsidRPr="00B40A41">
              <w:rPr>
                <w:lang w:val="en-AU"/>
              </w:rPr>
              <w:t>Administrative Advice</w:t>
            </w:r>
            <w:r w:rsidR="00616BA4" w:rsidRPr="00B40A41">
              <w:rPr>
                <w:lang w:val="en-AU"/>
              </w:rPr>
              <w:t>:</w:t>
            </w:r>
          </w:p>
        </w:tc>
        <w:tc>
          <w:tcPr>
            <w:tcW w:w="3901" w:type="pct"/>
            <w:gridSpan w:val="6"/>
            <w:tcBorders>
              <w:top w:val="single" w:sz="4" w:space="0" w:color="auto"/>
              <w:left w:val="single" w:sz="4" w:space="0" w:color="auto"/>
              <w:bottom w:val="single" w:sz="4" w:space="0" w:color="auto"/>
              <w:right w:val="single" w:sz="4" w:space="0" w:color="auto"/>
            </w:tcBorders>
          </w:tcPr>
          <w:p w:rsidR="0059353C" w:rsidRPr="00B40A41" w:rsidRDefault="0059353C" w:rsidP="00616BA4">
            <w:pPr>
              <w:pStyle w:val="Tabletext"/>
              <w:keepNext/>
              <w:rPr>
                <w:color w:val="000000"/>
              </w:rPr>
            </w:pPr>
            <w:r w:rsidRPr="00B40A41">
              <w:rPr>
                <w:color w:val="000000"/>
              </w:rPr>
              <w:t>No increase in the maximum quantity or number of units or number of repeats will be authorised.</w:t>
            </w:r>
          </w:p>
          <w:p w:rsidR="0059353C" w:rsidRPr="00B40A41" w:rsidRDefault="0059353C" w:rsidP="00616BA4">
            <w:pPr>
              <w:pStyle w:val="Tabletext"/>
              <w:keepNext/>
              <w:rPr>
                <w:color w:val="000000"/>
              </w:rPr>
            </w:pPr>
            <w:r w:rsidRPr="00B40A41">
              <w:rPr>
                <w:color w:val="000000"/>
              </w:rPr>
              <w:t xml:space="preserve">Patient </w:t>
            </w:r>
            <w:proofErr w:type="gramStart"/>
            <w:r w:rsidRPr="00B40A41">
              <w:rPr>
                <w:color w:val="000000"/>
              </w:rPr>
              <w:t>must be treated</w:t>
            </w:r>
            <w:proofErr w:type="gramEnd"/>
            <w:r w:rsidRPr="00B40A41">
              <w:rPr>
                <w:color w:val="000000"/>
              </w:rPr>
              <w:t xml:space="preserve"> with the recommended dose of pembrolizumab according to the TGA-approved Product Information.</w:t>
            </w:r>
          </w:p>
        </w:tc>
      </w:tr>
    </w:tbl>
    <w:p w:rsidR="005B3D89" w:rsidRPr="00B40A41" w:rsidRDefault="005B3D89" w:rsidP="00960991">
      <w:pPr>
        <w:pStyle w:val="TableFigureFooter"/>
        <w:rPr>
          <w:rStyle w:val="TableFigureFooterChar"/>
          <w:b/>
          <w:bCs/>
        </w:rPr>
      </w:pPr>
      <w:r w:rsidRPr="00B40A41">
        <w:rPr>
          <w:rStyle w:val="TableFigureFooterChar"/>
          <w:vertAlign w:val="superscript"/>
        </w:rPr>
        <w:t xml:space="preserve">1 </w:t>
      </w:r>
      <w:r w:rsidRPr="00B40A41">
        <w:rPr>
          <w:rStyle w:val="TableFigureFooterChar"/>
        </w:rPr>
        <w:t>The published prices were taken from the 1 December 2019 PBS update for the Efficient Funding of Chemotherapy Supplement.</w:t>
      </w:r>
    </w:p>
    <w:p w:rsidR="00CC02EF" w:rsidRPr="00B40A41" w:rsidRDefault="005B3D89" w:rsidP="00960991">
      <w:pPr>
        <w:pStyle w:val="TableFigureFooter"/>
        <w:rPr>
          <w:rStyle w:val="TableFigureFooterChar"/>
        </w:rPr>
      </w:pPr>
      <w:r w:rsidRPr="00B40A41">
        <w:rPr>
          <w:rStyle w:val="TableFigureFooterChar"/>
          <w:vertAlign w:val="superscript"/>
        </w:rPr>
        <w:t>2</w:t>
      </w:r>
      <w:r w:rsidR="0059353C" w:rsidRPr="00B40A41">
        <w:rPr>
          <w:vertAlign w:val="superscript"/>
        </w:rPr>
        <w:t xml:space="preserve"> </w:t>
      </w:r>
      <w:r w:rsidR="0059353C" w:rsidRPr="00B40A41">
        <w:rPr>
          <w:rStyle w:val="TableFigureFooterChar"/>
        </w:rPr>
        <w:t xml:space="preserve">The submission proposed listing on a cost-minimisation basis against the effective price of </w:t>
      </w:r>
      <w:r w:rsidR="0064646E" w:rsidRPr="00B40A41">
        <w:rPr>
          <w:rStyle w:val="TableFigureFooterChar"/>
        </w:rPr>
        <w:t>nivolumab.</w:t>
      </w:r>
    </w:p>
    <w:p w:rsidR="0064646E" w:rsidRPr="00B40A41" w:rsidRDefault="0064646E" w:rsidP="00960991">
      <w:pPr>
        <w:pStyle w:val="TableFigureFooter"/>
        <w:rPr>
          <w:rStyle w:val="TableFigureFooterChar"/>
        </w:rPr>
      </w:pPr>
      <w:r w:rsidRPr="00B40A41">
        <w:rPr>
          <w:rStyle w:val="TableFigureFooterChar"/>
        </w:rPr>
        <w:t xml:space="preserve">Source: </w:t>
      </w:r>
      <w:r w:rsidR="00302EB9" w:rsidRPr="00B40A41">
        <w:rPr>
          <w:rStyle w:val="TableFigureFooterChar"/>
        </w:rPr>
        <w:t>Compiled during</w:t>
      </w:r>
      <w:r w:rsidR="00F542C4" w:rsidRPr="00B40A41">
        <w:rPr>
          <w:rStyle w:val="TableFigureFooterChar"/>
        </w:rPr>
        <w:t xml:space="preserve"> </w:t>
      </w:r>
      <w:r w:rsidR="00302EB9" w:rsidRPr="00B40A41">
        <w:rPr>
          <w:rStyle w:val="TableFigureFooterChar"/>
        </w:rPr>
        <w:t xml:space="preserve">the evaluation based on </w:t>
      </w:r>
      <w:r w:rsidRPr="00B40A41">
        <w:rPr>
          <w:rStyle w:val="TableFigureFooterChar"/>
        </w:rPr>
        <w:t>Table 1.4-1</w:t>
      </w:r>
      <w:r w:rsidR="003D5015" w:rsidRPr="00B40A41">
        <w:rPr>
          <w:rStyle w:val="TableFigureFooterChar"/>
        </w:rPr>
        <w:t xml:space="preserve"> and Table 1.4-2</w:t>
      </w:r>
      <w:r w:rsidRPr="00B40A41">
        <w:rPr>
          <w:rStyle w:val="TableFigureFooterChar"/>
        </w:rPr>
        <w:t>, p</w:t>
      </w:r>
      <w:r w:rsidR="003D5015" w:rsidRPr="00B40A41">
        <w:rPr>
          <w:rStyle w:val="TableFigureFooterChar"/>
        </w:rPr>
        <w:t>p</w:t>
      </w:r>
      <w:r w:rsidRPr="00B40A41">
        <w:rPr>
          <w:rStyle w:val="TableFigureFooterChar"/>
        </w:rPr>
        <w:t>14</w:t>
      </w:r>
      <w:r w:rsidR="003D5015" w:rsidRPr="00B40A41">
        <w:rPr>
          <w:rStyle w:val="TableFigureFooterChar"/>
        </w:rPr>
        <w:t>-15</w:t>
      </w:r>
      <w:r w:rsidRPr="00B40A41">
        <w:rPr>
          <w:rStyle w:val="TableFigureFooterChar"/>
        </w:rPr>
        <w:t xml:space="preserve"> of the submission. </w:t>
      </w:r>
    </w:p>
    <w:p w:rsidR="008A1A6F" w:rsidRPr="00B40A41" w:rsidRDefault="008A1A6F" w:rsidP="00616BA4">
      <w:pPr>
        <w:pStyle w:val="3-BodyText"/>
        <w:keepNext/>
      </w:pPr>
      <w:r w:rsidRPr="00B40A41">
        <w:lastRenderedPageBreak/>
        <w:t xml:space="preserve">The restrictions for continuing treatment with pembrolizumab were unchanged from the current restrictions, and no grandfathering arrangements apply to this submission. </w:t>
      </w:r>
    </w:p>
    <w:p w:rsidR="008A1A6F" w:rsidRPr="00B40A41" w:rsidRDefault="008A1A6F" w:rsidP="00616BA4">
      <w:pPr>
        <w:pStyle w:val="3-BodyText"/>
        <w:keepNext/>
        <w:rPr>
          <w:color w:val="0066FF"/>
        </w:rPr>
      </w:pPr>
      <w:r w:rsidRPr="00B40A41">
        <w:t>The current PBS listings for initial treatment with pembrolizumab are dependent on the patients’ BRAF mutation status. The submission proposed to delet</w:t>
      </w:r>
      <w:r w:rsidR="001A7645" w:rsidRPr="00B40A41">
        <w:t>e</w:t>
      </w:r>
      <w:r w:rsidRPr="00B40A41">
        <w:t xml:space="preserve"> the initial treatment </w:t>
      </w:r>
      <w:proofErr w:type="gramStart"/>
      <w:r w:rsidRPr="00B40A41">
        <w:t>listings which</w:t>
      </w:r>
      <w:proofErr w:type="gramEnd"/>
      <w:r w:rsidRPr="00B40A41">
        <w:t xml:space="preserve"> restrict </w:t>
      </w:r>
      <w:r w:rsidR="00BB573F" w:rsidRPr="00B40A41">
        <w:t xml:space="preserve">the use of </w:t>
      </w:r>
      <w:r w:rsidRPr="00B40A41">
        <w:t>pembrolizumab</w:t>
      </w:r>
      <w:r w:rsidR="00BB573F" w:rsidRPr="00B40A41">
        <w:t xml:space="preserve"> in patients with</w:t>
      </w:r>
      <w:r w:rsidRPr="00B40A41">
        <w:t xml:space="preserve"> BRAF mutation positive melanomas </w:t>
      </w:r>
      <w:r w:rsidR="003460E8" w:rsidRPr="00B40A41">
        <w:t>to</w:t>
      </w:r>
      <w:r w:rsidRPr="00B40A41">
        <w:t xml:space="preserve"> the second line setting after the failure of BRAF/MEK inhibitors</w:t>
      </w:r>
      <w:r w:rsidR="001A7645" w:rsidRPr="00B40A41">
        <w:t xml:space="preserve">. It also proposed </w:t>
      </w:r>
      <w:r w:rsidRPr="00B40A41">
        <w:t>modifying the current initial treatment listings for BRAF V600 mutation negative melanoma by removing the clinical criterion ‘The condition must be negative for a BRAF V600 mutation’.</w:t>
      </w:r>
    </w:p>
    <w:p w:rsidR="00C05606" w:rsidRPr="00B40A41" w:rsidRDefault="00E42FCA" w:rsidP="00C05606">
      <w:pPr>
        <w:pStyle w:val="3-BodyText"/>
        <w:rPr>
          <w:color w:val="0066FF"/>
        </w:rPr>
      </w:pPr>
      <w:r w:rsidRPr="00B40A41">
        <w:t xml:space="preserve">The requested amendments are consistent with </w:t>
      </w:r>
      <w:r w:rsidR="00BE33EE" w:rsidRPr="00B40A41">
        <w:t xml:space="preserve">the </w:t>
      </w:r>
      <w:r w:rsidRPr="00B40A41">
        <w:t xml:space="preserve">TGA indication for </w:t>
      </w:r>
      <w:r w:rsidR="000923CD" w:rsidRPr="00B40A41">
        <w:t xml:space="preserve">pembrolizumab for </w:t>
      </w:r>
      <w:r w:rsidRPr="00B40A41">
        <w:t xml:space="preserve">unresectable Stage III or Stage IV </w:t>
      </w:r>
      <w:r w:rsidR="00A71F89" w:rsidRPr="00B40A41">
        <w:t xml:space="preserve">malignant </w:t>
      </w:r>
      <w:r w:rsidRPr="00B40A41">
        <w:t xml:space="preserve">melanoma, which does not restrict its use </w:t>
      </w:r>
      <w:r w:rsidR="00A71F89" w:rsidRPr="00B40A41">
        <w:t xml:space="preserve">either </w:t>
      </w:r>
      <w:r w:rsidRPr="00B40A41">
        <w:t xml:space="preserve">by </w:t>
      </w:r>
      <w:r w:rsidR="000B5CFC" w:rsidRPr="00B40A41">
        <w:t xml:space="preserve">the </w:t>
      </w:r>
      <w:r w:rsidRPr="00B40A41">
        <w:t>line of therapy or BRAF mutation status.</w:t>
      </w:r>
    </w:p>
    <w:p w:rsidR="00E42FCA" w:rsidRPr="00B40A41" w:rsidRDefault="00621D04" w:rsidP="00A71F89">
      <w:pPr>
        <w:pStyle w:val="3-BodyText"/>
        <w:rPr>
          <w:color w:val="0066FF"/>
        </w:rPr>
      </w:pPr>
      <w:r w:rsidRPr="00B40A41">
        <w:t>The requested restriction was consistent with the eligibility criteria for the key</w:t>
      </w:r>
      <w:r w:rsidR="005460A1" w:rsidRPr="00B40A41">
        <w:t xml:space="preserve"> pembrolizumab</w:t>
      </w:r>
      <w:r w:rsidRPr="00B40A41">
        <w:t xml:space="preserve"> (KN006)</w:t>
      </w:r>
      <w:r w:rsidR="00AE3126" w:rsidRPr="00B40A41">
        <w:t xml:space="preserve"> and nivolumab (CM067) trials</w:t>
      </w:r>
      <w:r w:rsidRPr="00B40A41">
        <w:t xml:space="preserve">, </w:t>
      </w:r>
      <w:r w:rsidR="00AE3126" w:rsidRPr="00B40A41">
        <w:t xml:space="preserve">both of </w:t>
      </w:r>
      <w:r w:rsidRPr="00B40A41">
        <w:t xml:space="preserve">which </w:t>
      </w:r>
      <w:r w:rsidR="00AE3126" w:rsidRPr="00B40A41">
        <w:t>excluded pa</w:t>
      </w:r>
      <w:r w:rsidRPr="00B40A41">
        <w:t xml:space="preserve">tients who had received prior </w:t>
      </w:r>
      <w:r w:rsidR="00E77945" w:rsidRPr="00B40A41">
        <w:t>first line</w:t>
      </w:r>
      <w:r w:rsidRPr="00B40A41">
        <w:t xml:space="preserve"> systemic therapy with </w:t>
      </w:r>
      <w:r w:rsidR="00AE3126" w:rsidRPr="00B40A41">
        <w:t xml:space="preserve">ipilimumab, </w:t>
      </w:r>
      <w:r w:rsidRPr="00B40A41">
        <w:t xml:space="preserve">a </w:t>
      </w:r>
      <w:r w:rsidR="004160A6" w:rsidRPr="00B40A41">
        <w:t>programmed cell death-1 (</w:t>
      </w:r>
      <w:r w:rsidRPr="00B40A41">
        <w:t>PD-1</w:t>
      </w:r>
      <w:r w:rsidR="004160A6" w:rsidRPr="00B40A41">
        <w:t xml:space="preserve">) or </w:t>
      </w:r>
      <w:r w:rsidR="00AE3126" w:rsidRPr="00B40A41">
        <w:t xml:space="preserve">a </w:t>
      </w:r>
      <w:r w:rsidR="004160A6" w:rsidRPr="00B40A41">
        <w:t>programmed cell death-ligand 1 (</w:t>
      </w:r>
      <w:r w:rsidR="00F542C4" w:rsidRPr="00B40A41">
        <w:t>PD-L1</w:t>
      </w:r>
      <w:r w:rsidR="004160A6" w:rsidRPr="00B40A41">
        <w:t>)</w:t>
      </w:r>
      <w:r w:rsidRPr="00B40A41">
        <w:t xml:space="preserve"> inhibitor. </w:t>
      </w:r>
    </w:p>
    <w:p w:rsidR="001F5C4A" w:rsidRPr="00B40A41" w:rsidRDefault="00CE29DD" w:rsidP="00A71F89">
      <w:pPr>
        <w:pStyle w:val="3-BodyText"/>
        <w:rPr>
          <w:color w:val="0066FF"/>
        </w:rPr>
      </w:pPr>
      <w:r w:rsidRPr="00B40A41">
        <w:t>The submission acknowledged the need for availability of BRAF</w:t>
      </w:r>
      <w:r w:rsidRPr="00B40A41">
        <w:rPr>
          <w:rFonts w:cstheme="minorHAnsi"/>
        </w:rPr>
        <w:t>±</w:t>
      </w:r>
      <w:r w:rsidRPr="00B40A41">
        <w:t xml:space="preserve">MEK inhibitor therapy after progression on the </w:t>
      </w:r>
      <w:r w:rsidR="00E77945" w:rsidRPr="00B40A41">
        <w:t>first line</w:t>
      </w:r>
      <w:r w:rsidRPr="00B40A41">
        <w:t xml:space="preserve"> immunotherapy</w:t>
      </w:r>
      <w:r w:rsidR="00A71F89" w:rsidRPr="00B40A41">
        <w:t xml:space="preserve"> in the target population</w:t>
      </w:r>
      <w:r w:rsidRPr="00B40A41">
        <w:t xml:space="preserve">. </w:t>
      </w:r>
    </w:p>
    <w:p w:rsidR="00A71F89" w:rsidRPr="00B40A41" w:rsidRDefault="00616BA4" w:rsidP="00371D4D">
      <w:pPr>
        <w:pStyle w:val="3-BodyText"/>
      </w:pPr>
      <w:r w:rsidRPr="00B40A41">
        <w:t>C</w:t>
      </w:r>
      <w:r w:rsidR="00B15787" w:rsidRPr="00B40A41">
        <w:t>urrent Australian and international guidelines</w:t>
      </w:r>
      <w:r w:rsidR="00B15787" w:rsidRPr="00B40A41">
        <w:rPr>
          <w:rStyle w:val="FootnoteReference"/>
        </w:rPr>
        <w:footnoteReference w:id="1"/>
      </w:r>
      <w:r w:rsidR="00B15787" w:rsidRPr="00B40A41">
        <w:t xml:space="preserve"> recommend the use of first</w:t>
      </w:r>
      <w:r w:rsidR="00E77945" w:rsidRPr="00B40A41">
        <w:t xml:space="preserve"> </w:t>
      </w:r>
      <w:r w:rsidR="00B15787" w:rsidRPr="00B40A41">
        <w:t xml:space="preserve">line immunotherapy in asymptomatic patients with slow-growing tumours due to its ability to produce </w:t>
      </w:r>
      <w:proofErr w:type="gramStart"/>
      <w:r w:rsidR="00B15787" w:rsidRPr="00B40A41">
        <w:t>long</w:t>
      </w:r>
      <w:r w:rsidR="00B60C1C" w:rsidRPr="00B40A41">
        <w:t xml:space="preserve"> </w:t>
      </w:r>
      <w:r w:rsidR="00B15787" w:rsidRPr="00B40A41">
        <w:t>term</w:t>
      </w:r>
      <w:proofErr w:type="gramEnd"/>
      <w:r w:rsidR="00B15787" w:rsidRPr="00B40A41">
        <w:t xml:space="preserve"> treatment-free survival</w:t>
      </w:r>
      <w:r w:rsidR="00BA5049" w:rsidRPr="00B40A41">
        <w:t>.</w:t>
      </w:r>
      <w:r w:rsidR="00B15787" w:rsidRPr="00B40A41">
        <w:t xml:space="preserve"> </w:t>
      </w:r>
      <w:r w:rsidR="00BA5049" w:rsidRPr="00B40A41">
        <w:t>F</w:t>
      </w:r>
      <w:r w:rsidR="00E77945" w:rsidRPr="00B40A41">
        <w:t>irst line</w:t>
      </w:r>
      <w:r w:rsidR="00B15787" w:rsidRPr="00B40A41">
        <w:t xml:space="preserve"> BRAF±MEK targeted therapy is recommended for more aggressive and </w:t>
      </w:r>
      <w:proofErr w:type="gramStart"/>
      <w:r w:rsidR="00B15787" w:rsidRPr="00B40A41">
        <w:t>highly symptomatic</w:t>
      </w:r>
      <w:proofErr w:type="gramEnd"/>
      <w:r w:rsidR="00B15787" w:rsidRPr="00B40A41">
        <w:t xml:space="preserve"> disease as it is associated with more</w:t>
      </w:r>
      <w:r w:rsidR="00BA5049" w:rsidRPr="00B40A41">
        <w:t xml:space="preserve"> short term</w:t>
      </w:r>
      <w:r w:rsidR="00B15787" w:rsidRPr="00B40A41">
        <w:t xml:space="preserve"> rapid and reliable responses. </w:t>
      </w:r>
      <w:proofErr w:type="gramStart"/>
      <w:r w:rsidR="00371D4D" w:rsidRPr="00B40A41">
        <w:t>The September 2019 update for European Society for Medical Oncology (ESMO) Clinical Practice Guidelines for cutaneous melanoma</w:t>
      </w:r>
      <w:r w:rsidR="00DE3F90" w:rsidRPr="00B40A41">
        <w:t xml:space="preserve"> reflected the recent changes which</w:t>
      </w:r>
      <w:r w:rsidR="00371D4D" w:rsidRPr="00B40A41">
        <w:t xml:space="preserve"> state that </w:t>
      </w:r>
      <w:r w:rsidR="00D32F40" w:rsidRPr="00B40A41">
        <w:t>“despite the lack of direct randomised trials, recent meta-analyses show the BRAF</w:t>
      </w:r>
      <w:r w:rsidR="00D32F40" w:rsidRPr="00B40A41">
        <w:rPr>
          <w:rFonts w:cstheme="minorHAnsi"/>
        </w:rPr>
        <w:t>±</w:t>
      </w:r>
      <w:r w:rsidR="00D32F40" w:rsidRPr="00B40A41">
        <w:t>MEK targeted therapy to</w:t>
      </w:r>
      <w:r w:rsidR="00B15787" w:rsidRPr="00B40A41">
        <w:t xml:space="preserve"> have</w:t>
      </w:r>
      <w:r w:rsidR="00D32F40" w:rsidRPr="00B40A41">
        <w:t xml:space="preserve"> better outcomes within the first 12 months of treatment whereas immunotherapy patients may have a better survival after one year” (</w:t>
      </w:r>
      <w:r w:rsidR="00B15787" w:rsidRPr="00B40A41">
        <w:t>Michielin</w:t>
      </w:r>
      <w:r w:rsidR="00662314" w:rsidRPr="00B40A41">
        <w:t>,</w:t>
      </w:r>
      <w:r w:rsidR="00B15787" w:rsidRPr="00B40A41">
        <w:t xml:space="preserve"> 2019</w:t>
      </w:r>
      <w:r w:rsidR="00D32F40" w:rsidRPr="00B40A41">
        <w:t>)</w:t>
      </w:r>
      <w:bookmarkStart w:id="8" w:name="_Hlk26523331"/>
      <w:r w:rsidR="00152391" w:rsidRPr="00B40A41">
        <w:t>.</w:t>
      </w:r>
      <w:r w:rsidR="00E77945" w:rsidRPr="00B40A41">
        <w:rPr>
          <w:rStyle w:val="FootnoteReference"/>
        </w:rPr>
        <w:footnoteReference w:id="2"/>
      </w:r>
      <w:bookmarkEnd w:id="8"/>
      <w:proofErr w:type="gramEnd"/>
    </w:p>
    <w:p w:rsidR="006F4853" w:rsidRPr="00B40A41" w:rsidRDefault="006F4853" w:rsidP="00371D4D">
      <w:pPr>
        <w:pStyle w:val="3-BodyText"/>
      </w:pPr>
      <w:r w:rsidRPr="00B40A41">
        <w:t xml:space="preserve">The submission noted that two head-to-head randomised controlled trials are currently underway to determine the optimal sequence and duration of therapy </w:t>
      </w:r>
      <w:r w:rsidR="00F91834" w:rsidRPr="00B40A41">
        <w:t xml:space="preserve">of </w:t>
      </w:r>
      <w:r w:rsidR="00F91834" w:rsidRPr="00B40A41">
        <w:lastRenderedPageBreak/>
        <w:t xml:space="preserve">nivolumab + ipilimumab </w:t>
      </w:r>
      <w:r w:rsidRPr="00B40A41">
        <w:t>in the target population. The SECOMBIT</w:t>
      </w:r>
      <w:r w:rsidRPr="00B40A41">
        <w:rPr>
          <w:rStyle w:val="FootnoteReference"/>
        </w:rPr>
        <w:footnoteReference w:id="3"/>
      </w:r>
      <w:r w:rsidRPr="00B40A41">
        <w:t xml:space="preserve"> trial (NCT02631447) compares the combination therapy of nivolumab</w:t>
      </w:r>
      <w:r w:rsidR="00B60C1C" w:rsidRPr="00B40A41">
        <w:t xml:space="preserve"> </w:t>
      </w:r>
      <w:r w:rsidRPr="00B40A41">
        <w:t>+</w:t>
      </w:r>
      <w:r w:rsidR="00B60C1C" w:rsidRPr="00B40A41">
        <w:t xml:space="preserve"> ipilimumab</w:t>
      </w:r>
      <w:r w:rsidRPr="00B40A41">
        <w:t xml:space="preserve"> with encorafenib</w:t>
      </w:r>
      <w:r w:rsidR="00B60C1C" w:rsidRPr="00B40A41">
        <w:t xml:space="preserve"> </w:t>
      </w:r>
      <w:r w:rsidRPr="00B40A41">
        <w:t>+</w:t>
      </w:r>
      <w:r w:rsidR="00B60C1C" w:rsidRPr="00B40A41">
        <w:t xml:space="preserve"> </w:t>
      </w:r>
      <w:r w:rsidRPr="00B40A41">
        <w:t xml:space="preserve">binimetinib </w:t>
      </w:r>
      <w:r w:rsidR="00B60C1C" w:rsidRPr="00B40A41">
        <w:t>(</w:t>
      </w:r>
      <w:r w:rsidRPr="00B40A41">
        <w:t>BRAF+MEK</w:t>
      </w:r>
      <w:r w:rsidR="00B60C1C" w:rsidRPr="00B40A41">
        <w:t>)</w:t>
      </w:r>
      <w:r w:rsidRPr="00B40A41">
        <w:t xml:space="preserve"> inhibitors, whereas DREAMseq</w:t>
      </w:r>
      <w:r w:rsidRPr="00B40A41">
        <w:rPr>
          <w:rStyle w:val="FootnoteReference"/>
        </w:rPr>
        <w:footnoteReference w:id="4"/>
      </w:r>
      <w:r w:rsidRPr="00B40A41">
        <w:t xml:space="preserve"> (NCT02224781) compares the sequence and duration of BRAF</w:t>
      </w:r>
      <w:r w:rsidR="0013169C" w:rsidRPr="00B40A41">
        <w:rPr>
          <w:rFonts w:cstheme="minorHAnsi"/>
        </w:rPr>
        <w:t>±</w:t>
      </w:r>
      <w:r w:rsidRPr="00B40A41">
        <w:t>MEK inhibitor therapy followed by combination immunotherapy or combination immunotherapy followed by BRAF</w:t>
      </w:r>
      <w:r w:rsidR="0013169C" w:rsidRPr="00B40A41">
        <w:rPr>
          <w:rFonts w:cstheme="minorHAnsi"/>
        </w:rPr>
        <w:t>±</w:t>
      </w:r>
      <w:r w:rsidRPr="00B40A41">
        <w:t xml:space="preserve">MEK inhibitor therapy. </w:t>
      </w:r>
    </w:p>
    <w:p w:rsidR="001F5C4A" w:rsidRPr="00B40A41" w:rsidRDefault="00A71F89" w:rsidP="006E7644">
      <w:pPr>
        <w:pStyle w:val="3-BodyText"/>
        <w:rPr>
          <w:color w:val="0066FF"/>
        </w:rPr>
      </w:pPr>
      <w:r w:rsidRPr="00B40A41">
        <w:rPr>
          <w:iCs/>
        </w:rPr>
        <w:t xml:space="preserve">The </w:t>
      </w:r>
      <w:r w:rsidR="00371D4D" w:rsidRPr="00B40A41">
        <w:rPr>
          <w:iCs/>
        </w:rPr>
        <w:t xml:space="preserve">consensus in various </w:t>
      </w:r>
      <w:r w:rsidR="00977A9C" w:rsidRPr="00B40A41">
        <w:rPr>
          <w:iCs/>
        </w:rPr>
        <w:t xml:space="preserve">guidelines </w:t>
      </w:r>
      <w:r w:rsidR="00BE33EE" w:rsidRPr="00B40A41">
        <w:rPr>
          <w:iCs/>
        </w:rPr>
        <w:t xml:space="preserve">is </w:t>
      </w:r>
      <w:r w:rsidR="00977A9C" w:rsidRPr="00B40A41">
        <w:rPr>
          <w:iCs/>
        </w:rPr>
        <w:t xml:space="preserve">that </w:t>
      </w:r>
      <w:r w:rsidR="00371D4D" w:rsidRPr="00B40A41">
        <w:rPr>
          <w:iCs/>
        </w:rPr>
        <w:t xml:space="preserve">while </w:t>
      </w:r>
      <w:r w:rsidR="00977A9C" w:rsidRPr="00B40A41">
        <w:rPr>
          <w:iCs/>
        </w:rPr>
        <w:t xml:space="preserve">the </w:t>
      </w:r>
      <w:r w:rsidRPr="00B40A41">
        <w:rPr>
          <w:iCs/>
        </w:rPr>
        <w:t>optimal treatment sequence is the subject of ongoing investigation</w:t>
      </w:r>
      <w:r w:rsidR="00351387" w:rsidRPr="00B40A41">
        <w:rPr>
          <w:iCs/>
        </w:rPr>
        <w:t xml:space="preserve">, </w:t>
      </w:r>
      <w:r w:rsidR="00BE33EE" w:rsidRPr="00B40A41">
        <w:rPr>
          <w:iCs/>
        </w:rPr>
        <w:t>in practice, the</w:t>
      </w:r>
      <w:r w:rsidR="00351387" w:rsidRPr="00B40A41">
        <w:rPr>
          <w:iCs/>
        </w:rPr>
        <w:t xml:space="preserve"> treatment sequence </w:t>
      </w:r>
      <w:proofErr w:type="gramStart"/>
      <w:r w:rsidR="00351387" w:rsidRPr="00B40A41">
        <w:rPr>
          <w:iCs/>
        </w:rPr>
        <w:t>should be based</w:t>
      </w:r>
      <w:proofErr w:type="gramEnd"/>
      <w:r w:rsidR="00351387" w:rsidRPr="00B40A41">
        <w:rPr>
          <w:iCs/>
        </w:rPr>
        <w:t xml:space="preserve"> on </w:t>
      </w:r>
      <w:r w:rsidR="009263C1" w:rsidRPr="00B40A41">
        <w:rPr>
          <w:iCs/>
        </w:rPr>
        <w:t xml:space="preserve">clinician and </w:t>
      </w:r>
      <w:r w:rsidR="00351387" w:rsidRPr="00B40A41">
        <w:rPr>
          <w:iCs/>
        </w:rPr>
        <w:t xml:space="preserve">patient </w:t>
      </w:r>
      <w:r w:rsidR="00BE33EE" w:rsidRPr="00B40A41">
        <w:rPr>
          <w:iCs/>
        </w:rPr>
        <w:t>preference</w:t>
      </w:r>
      <w:r w:rsidRPr="00B40A41">
        <w:t>.</w:t>
      </w:r>
    </w:p>
    <w:p w:rsidR="00B202C2" w:rsidRPr="00B40A41" w:rsidRDefault="00B202C2" w:rsidP="00B202C2">
      <w:pPr>
        <w:pStyle w:val="3-BodyText"/>
        <w:numPr>
          <w:ilvl w:val="0"/>
          <w:numId w:val="0"/>
        </w:numPr>
        <w:ind w:left="720"/>
        <w:rPr>
          <w:i/>
          <w:color w:val="0066FF"/>
        </w:rPr>
      </w:pPr>
      <w:r w:rsidRPr="00B40A41">
        <w:rPr>
          <w:i/>
        </w:rPr>
        <w:t>For more detail on PBAC’s view, see Section 7 PBAC outcome.</w:t>
      </w:r>
    </w:p>
    <w:p w:rsidR="00B50DB8" w:rsidRPr="00B40A41" w:rsidRDefault="00203181" w:rsidP="004E18E9">
      <w:pPr>
        <w:pStyle w:val="2-SectionHeading"/>
      </w:pPr>
      <w:bookmarkStart w:id="9" w:name="_Toc30419505"/>
      <w:r w:rsidRPr="00B40A41">
        <w:t xml:space="preserve">Population and </w:t>
      </w:r>
      <w:r w:rsidR="008E0D3C" w:rsidRPr="00B40A41">
        <w:t>d</w:t>
      </w:r>
      <w:r w:rsidRPr="00B40A41">
        <w:t>isease</w:t>
      </w:r>
      <w:bookmarkEnd w:id="9"/>
    </w:p>
    <w:p w:rsidR="00C2725B" w:rsidRPr="00B40A41" w:rsidRDefault="00C2725B" w:rsidP="00D40E0C">
      <w:pPr>
        <w:pStyle w:val="3-BodyText"/>
        <w:rPr>
          <w:color w:val="0066FF"/>
        </w:rPr>
      </w:pPr>
      <w:r w:rsidRPr="00B40A41">
        <w:t xml:space="preserve">Australia </w:t>
      </w:r>
      <w:r w:rsidR="003F743F" w:rsidRPr="00B40A41">
        <w:t xml:space="preserve">has one of </w:t>
      </w:r>
      <w:r w:rsidRPr="00B40A41">
        <w:t xml:space="preserve">the highest </w:t>
      </w:r>
      <w:r w:rsidR="003F743F" w:rsidRPr="00B40A41">
        <w:t>rates</w:t>
      </w:r>
      <w:r w:rsidRPr="00B40A41">
        <w:t xml:space="preserve"> of melanoma in the world, with the age-standardised incidence rate of 52 cases per 100,000 people in Australia</w:t>
      </w:r>
      <w:r w:rsidR="00BA5049" w:rsidRPr="00B40A41">
        <w:t>.</w:t>
      </w:r>
      <w:r w:rsidRPr="00B40A41">
        <w:rPr>
          <w:rStyle w:val="FootnoteReference"/>
        </w:rPr>
        <w:footnoteReference w:id="5"/>
      </w:r>
      <w:r w:rsidRPr="00B40A41">
        <w:t xml:space="preserve"> </w:t>
      </w:r>
      <w:r w:rsidR="003F743F" w:rsidRPr="00B40A41">
        <w:t xml:space="preserve">Melanoma was the fourth </w:t>
      </w:r>
      <w:r w:rsidR="00B60C1C" w:rsidRPr="00B40A41">
        <w:t>most commonly diagnosed</w:t>
      </w:r>
      <w:r w:rsidR="003F743F" w:rsidRPr="00B40A41">
        <w:t xml:space="preserve"> cancer in Australia in 2015. </w:t>
      </w:r>
      <w:r w:rsidRPr="00B40A41">
        <w:t>The target population</w:t>
      </w:r>
      <w:r w:rsidR="00B60C1C" w:rsidRPr="00B40A41">
        <w:t xml:space="preserve"> in the submission</w:t>
      </w:r>
      <w:r w:rsidRPr="00B40A41">
        <w:t xml:space="preserve"> was unresectable Stage III or Stage IV </w:t>
      </w:r>
      <w:r w:rsidR="00B60C1C" w:rsidRPr="00B40A41">
        <w:t xml:space="preserve">systemic </w:t>
      </w:r>
      <w:proofErr w:type="gramStart"/>
      <w:r w:rsidRPr="00B40A41">
        <w:t>treatment naïve melanoma patients</w:t>
      </w:r>
      <w:proofErr w:type="gramEnd"/>
      <w:r w:rsidRPr="00B40A41">
        <w:t xml:space="preserve"> who are positive for a BRAF </w:t>
      </w:r>
      <w:r w:rsidR="003F743F" w:rsidRPr="00B40A41">
        <w:t xml:space="preserve">V600 </w:t>
      </w:r>
      <w:r w:rsidRPr="00B40A41">
        <w:t>mutation.</w:t>
      </w:r>
    </w:p>
    <w:p w:rsidR="00894489" w:rsidRPr="00B40A41" w:rsidRDefault="00C2725B" w:rsidP="00D40E0C">
      <w:pPr>
        <w:pStyle w:val="3-BodyText"/>
        <w:rPr>
          <w:color w:val="0066FF"/>
        </w:rPr>
      </w:pPr>
      <w:r w:rsidRPr="00B40A41">
        <w:t>BRAF</w:t>
      </w:r>
      <w:r w:rsidR="00E77945" w:rsidRPr="00B40A41">
        <w:rPr>
          <w:rFonts w:cstheme="minorHAnsi"/>
        </w:rPr>
        <w:t>±</w:t>
      </w:r>
      <w:r w:rsidRPr="00B40A41">
        <w:t>MEK inhibitors are currently PBS listed for the target population</w:t>
      </w:r>
      <w:r w:rsidR="002954C6" w:rsidRPr="00B40A41">
        <w:t>, with nivolumab, as monotherapy or in combination with ipilimumab, recommended for the target population at the November 2019 PBAC meeting</w:t>
      </w:r>
      <w:r w:rsidRPr="00B40A41">
        <w:t xml:space="preserve">. As per the current Australian and international guidelines, the submission proposed pembrolizumab immunotherapy as an alternative </w:t>
      </w:r>
      <w:r w:rsidR="00075A4C" w:rsidRPr="00B40A41">
        <w:t>treatment</w:t>
      </w:r>
      <w:r w:rsidRPr="00B40A41">
        <w:t xml:space="preserve"> for the target population</w:t>
      </w:r>
      <w:r w:rsidR="003F743F" w:rsidRPr="00B40A41">
        <w:t xml:space="preserve">. </w:t>
      </w:r>
    </w:p>
    <w:p w:rsidR="00EE06B8" w:rsidRPr="00B40A41" w:rsidRDefault="00EE06B8" w:rsidP="00D40E0C">
      <w:pPr>
        <w:pStyle w:val="3-BodyText"/>
        <w:rPr>
          <w:color w:val="0066FF"/>
        </w:rPr>
      </w:pPr>
      <w:r w:rsidRPr="00B40A41">
        <w:t xml:space="preserve">Pembrolizumab </w:t>
      </w:r>
      <w:r w:rsidR="005363A1" w:rsidRPr="00B40A41">
        <w:t xml:space="preserve">is a humanised monoclonal </w:t>
      </w:r>
      <w:proofErr w:type="gramStart"/>
      <w:r w:rsidR="005363A1" w:rsidRPr="00B40A41">
        <w:t>antibody which</w:t>
      </w:r>
      <w:proofErr w:type="gramEnd"/>
      <w:r w:rsidR="005363A1" w:rsidRPr="00B40A41">
        <w:t xml:space="preserve"> blocks the PD-1</w:t>
      </w:r>
      <w:r w:rsidR="00BC1A45" w:rsidRPr="00B40A41">
        <w:t xml:space="preserve"> receptor</w:t>
      </w:r>
      <w:r w:rsidR="005363A1" w:rsidRPr="00B40A41">
        <w:t xml:space="preserve">. PD-1 is an important immune checkpoint molecule that </w:t>
      </w:r>
      <w:proofErr w:type="gramStart"/>
      <w:r w:rsidR="005363A1" w:rsidRPr="00B40A41">
        <w:t>is expressed</w:t>
      </w:r>
      <w:proofErr w:type="gramEnd"/>
      <w:r w:rsidR="005363A1" w:rsidRPr="00B40A41">
        <w:t xml:space="preserve"> on the surface of activated T-cells. Many cancers, including melanoma, produce proteins (PD-L1 and PD-L2) that bind to PD-1, thus negating the ability of T-cells to kill cancer cells. Pembrolizumab prevents the binding of PD-L1 and PD-L2 to PD-1, allowing the immune system to target and destroy cancer cells.</w:t>
      </w:r>
    </w:p>
    <w:p w:rsidR="00B202C2" w:rsidRPr="00B40A41" w:rsidRDefault="00B202C2" w:rsidP="00B202C2">
      <w:pPr>
        <w:pStyle w:val="3-BodyText"/>
        <w:numPr>
          <w:ilvl w:val="0"/>
          <w:numId w:val="0"/>
        </w:numPr>
        <w:ind w:left="720"/>
        <w:rPr>
          <w:i/>
          <w:color w:val="0066FF"/>
        </w:rPr>
      </w:pPr>
      <w:r w:rsidRPr="00B40A41">
        <w:rPr>
          <w:i/>
        </w:rPr>
        <w:t>For more detail on PBAC’s view, see Section 7 PBAC outcome.</w:t>
      </w:r>
    </w:p>
    <w:p w:rsidR="00B50DB8" w:rsidRPr="00B40A41" w:rsidRDefault="00B50DB8" w:rsidP="004E18E9">
      <w:pPr>
        <w:pStyle w:val="2-SectionHeading"/>
      </w:pPr>
      <w:bookmarkStart w:id="10" w:name="_Toc30419506"/>
      <w:r w:rsidRPr="00B40A41">
        <w:lastRenderedPageBreak/>
        <w:t>Comparator</w:t>
      </w:r>
      <w:bookmarkEnd w:id="10"/>
    </w:p>
    <w:p w:rsidR="007E68D7" w:rsidRPr="00B40A41" w:rsidRDefault="001E27A7" w:rsidP="00882E3C">
      <w:pPr>
        <w:pStyle w:val="3-BodyText"/>
        <w:rPr>
          <w:snapToGrid/>
        </w:rPr>
      </w:pPr>
      <w:r w:rsidRPr="00B40A41">
        <w:rPr>
          <w:snapToGrid/>
        </w:rPr>
        <w:t xml:space="preserve">The submission nominated nivolumab monotherapy as the sole comparator under the assumption that </w:t>
      </w:r>
      <w:r w:rsidR="00621D04" w:rsidRPr="00B40A41">
        <w:rPr>
          <w:snapToGrid/>
        </w:rPr>
        <w:t xml:space="preserve">it would </w:t>
      </w:r>
      <w:r w:rsidRPr="00B40A41">
        <w:rPr>
          <w:snapToGrid/>
        </w:rPr>
        <w:t xml:space="preserve">receive a positive recommendation </w:t>
      </w:r>
      <w:r w:rsidR="00D40E0C" w:rsidRPr="00B40A41">
        <w:rPr>
          <w:snapToGrid/>
        </w:rPr>
        <w:t>in</w:t>
      </w:r>
      <w:r w:rsidRPr="00B40A41">
        <w:rPr>
          <w:snapToGrid/>
        </w:rPr>
        <w:t xml:space="preserve"> the November 2019 </w:t>
      </w:r>
      <w:r w:rsidR="00D40E0C" w:rsidRPr="00B40A41">
        <w:rPr>
          <w:snapToGrid/>
        </w:rPr>
        <w:t xml:space="preserve">PBAC </w:t>
      </w:r>
      <w:r w:rsidRPr="00B40A41">
        <w:rPr>
          <w:snapToGrid/>
        </w:rPr>
        <w:t>meeting.</w:t>
      </w:r>
      <w:r w:rsidR="00621D04" w:rsidRPr="00B40A41">
        <w:rPr>
          <w:snapToGrid/>
        </w:rPr>
        <w:t xml:space="preserve"> </w:t>
      </w:r>
    </w:p>
    <w:p w:rsidR="000777EA" w:rsidRPr="00B40A41" w:rsidRDefault="00DA62EE" w:rsidP="00882E3C">
      <w:pPr>
        <w:pStyle w:val="3-BodyText"/>
        <w:rPr>
          <w:snapToGrid/>
        </w:rPr>
      </w:pPr>
      <w:r w:rsidRPr="00B40A41">
        <w:rPr>
          <w:iCs/>
          <w:snapToGrid/>
        </w:rPr>
        <w:t>Given that n</w:t>
      </w:r>
      <w:r w:rsidR="00621D04" w:rsidRPr="00B40A41">
        <w:rPr>
          <w:iCs/>
          <w:snapToGrid/>
        </w:rPr>
        <w:t xml:space="preserve">ivolumab </w:t>
      </w:r>
      <w:proofErr w:type="gramStart"/>
      <w:r w:rsidR="00621D04" w:rsidRPr="00B40A41">
        <w:rPr>
          <w:iCs/>
          <w:snapToGrid/>
        </w:rPr>
        <w:t>was recommended</w:t>
      </w:r>
      <w:proofErr w:type="gramEnd"/>
      <w:r w:rsidR="00621D04" w:rsidRPr="00B40A41">
        <w:rPr>
          <w:iCs/>
          <w:snapToGrid/>
        </w:rPr>
        <w:t xml:space="preserve"> by the PBAC</w:t>
      </w:r>
      <w:r w:rsidR="00131B2D" w:rsidRPr="00B40A41">
        <w:rPr>
          <w:iCs/>
          <w:snapToGrid/>
        </w:rPr>
        <w:t xml:space="preserve"> for the same indication in November 2019</w:t>
      </w:r>
      <w:r w:rsidRPr="00B40A41">
        <w:rPr>
          <w:iCs/>
          <w:snapToGrid/>
        </w:rPr>
        <w:t>,</w:t>
      </w:r>
      <w:r w:rsidR="00621D04" w:rsidRPr="00B40A41">
        <w:rPr>
          <w:iCs/>
          <w:snapToGrid/>
        </w:rPr>
        <w:t xml:space="preserve"> </w:t>
      </w:r>
      <w:r w:rsidR="00131B2D" w:rsidRPr="00B40A41">
        <w:rPr>
          <w:iCs/>
          <w:snapToGrid/>
        </w:rPr>
        <w:t xml:space="preserve">the ESC considered that </w:t>
      </w:r>
      <w:r w:rsidR="00621D04" w:rsidRPr="00B40A41">
        <w:rPr>
          <w:iCs/>
          <w:snapToGrid/>
        </w:rPr>
        <w:t xml:space="preserve">it </w:t>
      </w:r>
      <w:r w:rsidR="00131B2D" w:rsidRPr="00B40A41">
        <w:rPr>
          <w:iCs/>
          <w:snapToGrid/>
        </w:rPr>
        <w:t>was</w:t>
      </w:r>
      <w:r w:rsidR="00621D04" w:rsidRPr="00B40A41">
        <w:rPr>
          <w:iCs/>
          <w:snapToGrid/>
        </w:rPr>
        <w:t xml:space="preserve"> a relevant comparator.</w:t>
      </w:r>
      <w:r w:rsidR="001E27A7" w:rsidRPr="00B40A41">
        <w:rPr>
          <w:iCs/>
          <w:snapToGrid/>
        </w:rPr>
        <w:t xml:space="preserve"> </w:t>
      </w:r>
      <w:r w:rsidR="002954C6" w:rsidRPr="00B40A41">
        <w:rPr>
          <w:iCs/>
          <w:snapToGrid/>
        </w:rPr>
        <w:t>As</w:t>
      </w:r>
      <w:r w:rsidR="001E27A7" w:rsidRPr="00B40A41">
        <w:rPr>
          <w:iCs/>
          <w:snapToGrid/>
        </w:rPr>
        <w:t xml:space="preserve"> </w:t>
      </w:r>
      <w:proofErr w:type="gramStart"/>
      <w:r w:rsidR="001E27A7" w:rsidRPr="00B40A41">
        <w:rPr>
          <w:iCs/>
          <w:snapToGrid/>
        </w:rPr>
        <w:t>BRAF</w:t>
      </w:r>
      <w:r w:rsidR="0013169C" w:rsidRPr="00B40A41">
        <w:rPr>
          <w:rFonts w:cstheme="minorHAnsi"/>
          <w:iCs/>
          <w:snapToGrid/>
        </w:rPr>
        <w:t>±</w:t>
      </w:r>
      <w:r w:rsidR="001E27A7" w:rsidRPr="00B40A41">
        <w:rPr>
          <w:iCs/>
          <w:snapToGrid/>
        </w:rPr>
        <w:t>MEK</w:t>
      </w:r>
      <w:proofErr w:type="gramEnd"/>
      <w:r w:rsidR="001E27A7" w:rsidRPr="00B40A41">
        <w:rPr>
          <w:iCs/>
          <w:snapToGrid/>
        </w:rPr>
        <w:t xml:space="preserve"> inhibitor</w:t>
      </w:r>
      <w:r w:rsidR="00AE7B54" w:rsidRPr="00B40A41">
        <w:rPr>
          <w:iCs/>
          <w:snapToGrid/>
        </w:rPr>
        <w:t xml:space="preserve"> therapy is </w:t>
      </w:r>
      <w:r w:rsidR="001E27A7" w:rsidRPr="00B40A41">
        <w:rPr>
          <w:iCs/>
          <w:snapToGrid/>
        </w:rPr>
        <w:t xml:space="preserve">the </w:t>
      </w:r>
      <w:r w:rsidR="002954C6" w:rsidRPr="00B40A41">
        <w:rPr>
          <w:iCs/>
          <w:snapToGrid/>
        </w:rPr>
        <w:t xml:space="preserve">current </w:t>
      </w:r>
      <w:r w:rsidR="001E27A7" w:rsidRPr="00B40A41">
        <w:rPr>
          <w:iCs/>
          <w:snapToGrid/>
        </w:rPr>
        <w:t xml:space="preserve">standard </w:t>
      </w:r>
      <w:r w:rsidR="003858C6" w:rsidRPr="00B40A41">
        <w:rPr>
          <w:iCs/>
          <w:snapToGrid/>
        </w:rPr>
        <w:t>first line</w:t>
      </w:r>
      <w:r w:rsidR="001E27A7" w:rsidRPr="00B40A41">
        <w:rPr>
          <w:iCs/>
          <w:snapToGrid/>
        </w:rPr>
        <w:t xml:space="preserve"> treatment </w:t>
      </w:r>
      <w:r w:rsidR="006B4551" w:rsidRPr="00B40A41">
        <w:rPr>
          <w:iCs/>
          <w:snapToGrid/>
        </w:rPr>
        <w:t xml:space="preserve">option </w:t>
      </w:r>
      <w:r w:rsidR="001E27A7" w:rsidRPr="00B40A41">
        <w:rPr>
          <w:iCs/>
          <w:snapToGrid/>
        </w:rPr>
        <w:t>for the target population</w:t>
      </w:r>
      <w:r w:rsidR="00AE7B54" w:rsidRPr="00B40A41">
        <w:rPr>
          <w:iCs/>
          <w:snapToGrid/>
        </w:rPr>
        <w:t>,</w:t>
      </w:r>
      <w:r w:rsidR="002954C6" w:rsidRPr="00B40A41">
        <w:rPr>
          <w:iCs/>
          <w:snapToGrid/>
        </w:rPr>
        <w:t xml:space="preserve"> </w:t>
      </w:r>
      <w:r w:rsidR="008465FB" w:rsidRPr="00B40A41">
        <w:rPr>
          <w:iCs/>
          <w:snapToGrid/>
        </w:rPr>
        <w:t xml:space="preserve">it could also </w:t>
      </w:r>
      <w:r w:rsidR="002954C6" w:rsidRPr="00B40A41">
        <w:rPr>
          <w:iCs/>
          <w:snapToGrid/>
        </w:rPr>
        <w:t xml:space="preserve">have been </w:t>
      </w:r>
      <w:r w:rsidR="004810C6" w:rsidRPr="00B40A41">
        <w:rPr>
          <w:iCs/>
          <w:snapToGrid/>
        </w:rPr>
        <w:t xml:space="preserve">considered as </w:t>
      </w:r>
      <w:r w:rsidR="00181202" w:rsidRPr="00B40A41">
        <w:rPr>
          <w:iCs/>
          <w:snapToGrid/>
        </w:rPr>
        <w:t>a</w:t>
      </w:r>
      <w:r w:rsidR="00F86294" w:rsidRPr="00B40A41">
        <w:rPr>
          <w:iCs/>
          <w:snapToGrid/>
        </w:rPr>
        <w:t xml:space="preserve"> main</w:t>
      </w:r>
      <w:r w:rsidR="00AE7B54" w:rsidRPr="00B40A41">
        <w:rPr>
          <w:iCs/>
          <w:snapToGrid/>
        </w:rPr>
        <w:t xml:space="preserve"> </w:t>
      </w:r>
      <w:r w:rsidR="004810C6" w:rsidRPr="00B40A41">
        <w:rPr>
          <w:iCs/>
          <w:snapToGrid/>
        </w:rPr>
        <w:t>comparator</w:t>
      </w:r>
      <w:r w:rsidR="001E27A7" w:rsidRPr="00B40A41">
        <w:rPr>
          <w:snapToGrid/>
        </w:rPr>
        <w:t xml:space="preserve">. </w:t>
      </w:r>
      <w:r w:rsidR="00556403" w:rsidRPr="00B40A41">
        <w:rPr>
          <w:snapToGrid/>
        </w:rPr>
        <w:t>The PBAC considered nivolumab was the appropriate comparator.</w:t>
      </w:r>
    </w:p>
    <w:p w:rsidR="00B202C2" w:rsidRPr="00B40A41" w:rsidRDefault="00B202C2" w:rsidP="00B202C2">
      <w:pPr>
        <w:pStyle w:val="3-BodyText"/>
        <w:numPr>
          <w:ilvl w:val="0"/>
          <w:numId w:val="0"/>
        </w:numPr>
        <w:ind w:left="720"/>
        <w:rPr>
          <w:i/>
          <w:snapToGrid/>
        </w:rPr>
      </w:pPr>
      <w:r w:rsidRPr="00B40A41">
        <w:rPr>
          <w:i/>
          <w:iCs/>
          <w:snapToGrid/>
        </w:rPr>
        <w:t>For more detail on PBAC’s view, see Section 7 PBAC outcome.</w:t>
      </w:r>
    </w:p>
    <w:p w:rsidR="00223D5A" w:rsidRPr="00B40A41" w:rsidRDefault="00223D5A" w:rsidP="00223D5A">
      <w:pPr>
        <w:pStyle w:val="2-SectionHeading"/>
      </w:pPr>
      <w:bookmarkStart w:id="11" w:name="_Toc30419507"/>
      <w:bookmarkStart w:id="12" w:name="_Toc22897640"/>
      <w:r w:rsidRPr="00B40A41">
        <w:t>Consideration of the evidence</w:t>
      </w:r>
      <w:bookmarkEnd w:id="11"/>
    </w:p>
    <w:p w:rsidR="00B202C2" w:rsidRPr="00B40A41" w:rsidRDefault="00B202C2" w:rsidP="00B202C2">
      <w:pPr>
        <w:pStyle w:val="4-SubsectionHeading"/>
        <w:rPr>
          <w:snapToGrid w:val="0"/>
        </w:rPr>
      </w:pPr>
      <w:bookmarkStart w:id="13" w:name="_Toc30419508"/>
      <w:r w:rsidRPr="00B40A41">
        <w:rPr>
          <w:snapToGrid w:val="0"/>
        </w:rPr>
        <w:t>Sponsor hearing</w:t>
      </w:r>
    </w:p>
    <w:p w:rsidR="00B202C2" w:rsidRPr="00B40A41" w:rsidRDefault="00B202C2" w:rsidP="00556403">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There was no hearing for this item.</w:t>
      </w:r>
    </w:p>
    <w:p w:rsidR="00B202C2" w:rsidRPr="00B40A41" w:rsidRDefault="00B202C2" w:rsidP="00B202C2">
      <w:pPr>
        <w:pStyle w:val="4-SubsectionHeading"/>
        <w:rPr>
          <w:snapToGrid w:val="0"/>
        </w:rPr>
      </w:pPr>
      <w:r w:rsidRPr="00B40A41">
        <w:rPr>
          <w:snapToGrid w:val="0"/>
        </w:rPr>
        <w:t>Consumer comments</w:t>
      </w:r>
    </w:p>
    <w:p w:rsidR="0042369B" w:rsidRPr="00B40A41" w:rsidRDefault="00B202C2"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 xml:space="preserve">The PBAC </w:t>
      </w:r>
      <w:r w:rsidR="001A5179">
        <w:rPr>
          <w:rFonts w:asciiTheme="minorHAnsi" w:hAnsiTheme="minorHAnsi"/>
          <w:bCs/>
          <w:snapToGrid w:val="0"/>
        </w:rPr>
        <w:t>noted and welcomed the input fro</w:t>
      </w:r>
      <w:r w:rsidRPr="00B40A41">
        <w:rPr>
          <w:rFonts w:asciiTheme="minorHAnsi" w:hAnsiTheme="minorHAnsi"/>
          <w:bCs/>
          <w:snapToGrid w:val="0"/>
        </w:rPr>
        <w:t>m an organisation (</w:t>
      </w:r>
      <w:r w:rsidR="0042369B" w:rsidRPr="00B40A41">
        <w:rPr>
          <w:rFonts w:asciiTheme="minorHAnsi" w:hAnsiTheme="minorHAnsi"/>
          <w:bCs/>
          <w:snapToGrid w:val="0"/>
        </w:rPr>
        <w:t>1</w:t>
      </w:r>
      <w:r w:rsidRPr="00B40A41">
        <w:rPr>
          <w:rFonts w:asciiTheme="minorHAnsi" w:hAnsiTheme="minorHAnsi"/>
          <w:bCs/>
          <w:snapToGrid w:val="0"/>
        </w:rPr>
        <w:t>) via the Consumer Comments facility on the PBS website</w:t>
      </w:r>
      <w:r w:rsidR="001A5179">
        <w:rPr>
          <w:rFonts w:asciiTheme="minorHAnsi" w:hAnsiTheme="minorHAnsi"/>
          <w:bCs/>
          <w:snapToGrid w:val="0"/>
        </w:rPr>
        <w:t>.</w:t>
      </w:r>
    </w:p>
    <w:p w:rsidR="00B202C2" w:rsidRPr="00B40A41" w:rsidRDefault="00B202C2" w:rsidP="00826992">
      <w:pPr>
        <w:widowControl w:val="0"/>
        <w:numPr>
          <w:ilvl w:val="1"/>
          <w:numId w:val="1"/>
        </w:numPr>
        <w:spacing w:after="120"/>
        <w:rPr>
          <w:rFonts w:asciiTheme="minorHAnsi" w:hAnsiTheme="minorHAnsi" w:cstheme="minorHAnsi"/>
          <w:snapToGrid w:val="0"/>
          <w:lang w:eastAsia="en-US"/>
        </w:rPr>
      </w:pPr>
      <w:r w:rsidRPr="00B40A41">
        <w:rPr>
          <w:rFonts w:asciiTheme="minorHAnsi" w:hAnsiTheme="minorHAnsi"/>
          <w:bCs/>
          <w:snapToGrid w:val="0"/>
        </w:rPr>
        <w:t xml:space="preserve">The Medical Oncology Group of Australia (MOGA) expressed its strong support for the </w:t>
      </w:r>
      <w:r w:rsidR="0042369B" w:rsidRPr="00B40A41">
        <w:rPr>
          <w:rFonts w:asciiTheme="minorHAnsi" w:hAnsiTheme="minorHAnsi"/>
          <w:bCs/>
          <w:snapToGrid w:val="0"/>
        </w:rPr>
        <w:t>pembrolizumab</w:t>
      </w:r>
      <w:r w:rsidRPr="00B40A41">
        <w:rPr>
          <w:rFonts w:asciiTheme="minorHAnsi" w:hAnsiTheme="minorHAnsi"/>
          <w:bCs/>
          <w:snapToGrid w:val="0"/>
        </w:rPr>
        <w:t xml:space="preserve"> submission, categorising it as one of the therapies of “high priority for PBS listing” </w:t>
      </w:r>
      <w:proofErr w:type="gramStart"/>
      <w:r w:rsidRPr="00B40A41">
        <w:rPr>
          <w:rFonts w:asciiTheme="minorHAnsi" w:hAnsiTheme="minorHAnsi"/>
          <w:bCs/>
          <w:snapToGrid w:val="0"/>
        </w:rPr>
        <w:t>on the basis of</w:t>
      </w:r>
      <w:proofErr w:type="gramEnd"/>
      <w:r w:rsidRPr="00B40A41">
        <w:rPr>
          <w:rFonts w:asciiTheme="minorHAnsi" w:hAnsiTheme="minorHAnsi"/>
          <w:bCs/>
          <w:snapToGrid w:val="0"/>
        </w:rPr>
        <w:t xml:space="preserve"> the </w:t>
      </w:r>
      <w:r w:rsidR="00826992" w:rsidRPr="00B40A41">
        <w:rPr>
          <w:rFonts w:asciiTheme="minorHAnsi" w:hAnsiTheme="minorHAnsi"/>
          <w:bCs/>
          <w:snapToGrid w:val="0"/>
        </w:rPr>
        <w:t>KN006</w:t>
      </w:r>
      <w:r w:rsidRPr="00B40A41">
        <w:rPr>
          <w:rFonts w:asciiTheme="minorHAnsi" w:hAnsiTheme="minorHAnsi"/>
          <w:bCs/>
          <w:snapToGrid w:val="0"/>
        </w:rPr>
        <w:t xml:space="preserve"> trial. The PBAC noted that the MOGA </w:t>
      </w:r>
      <w:r w:rsidR="00826992" w:rsidRPr="00B40A41">
        <w:rPr>
          <w:rFonts w:asciiTheme="minorHAnsi" w:hAnsiTheme="minorHAnsi"/>
          <w:bCs/>
          <w:snapToGrid w:val="0"/>
        </w:rPr>
        <w:t xml:space="preserve">was unable to </w:t>
      </w:r>
      <w:r w:rsidRPr="00B40A41">
        <w:rPr>
          <w:rFonts w:asciiTheme="minorHAnsi" w:hAnsiTheme="minorHAnsi"/>
          <w:bCs/>
          <w:snapToGrid w:val="0"/>
        </w:rPr>
        <w:t xml:space="preserve">present a European Society for Medical Oncology Magnitude of Clinical Benefit Scale (ESMO-MCBS) for </w:t>
      </w:r>
      <w:r w:rsidR="00826992" w:rsidRPr="00B40A41">
        <w:rPr>
          <w:rFonts w:asciiTheme="minorHAnsi" w:hAnsiTheme="minorHAnsi"/>
          <w:bCs/>
          <w:snapToGrid w:val="0"/>
        </w:rPr>
        <w:t>pembrolizumab as a first-line therapy in BRAF mutant patients with unresectable or metastatic melanoma</w:t>
      </w:r>
      <w:r w:rsidRPr="00B40A41">
        <w:rPr>
          <w:rFonts w:asciiTheme="minorHAnsi" w:hAnsiTheme="minorHAnsi"/>
          <w:bCs/>
          <w:snapToGrid w:val="0"/>
        </w:rPr>
        <w:t xml:space="preserve">, </w:t>
      </w:r>
      <w:r w:rsidR="00826992" w:rsidRPr="00B40A41">
        <w:rPr>
          <w:rFonts w:asciiTheme="minorHAnsi" w:hAnsiTheme="minorHAnsi"/>
          <w:bCs/>
          <w:snapToGrid w:val="0"/>
        </w:rPr>
        <w:t>as there are no direct comparisons of pembrolizumab versus the current PBS-listed treatments (BRAF</w:t>
      </w:r>
      <w:r w:rsidR="00826992" w:rsidRPr="00B40A41">
        <w:rPr>
          <w:rFonts w:asciiTheme="minorHAnsi" w:hAnsiTheme="minorHAnsi" w:cstheme="minorHAnsi"/>
          <w:bCs/>
          <w:snapToGrid w:val="0"/>
        </w:rPr>
        <w:t>±</w:t>
      </w:r>
      <w:r w:rsidR="00826992" w:rsidRPr="00B40A41">
        <w:rPr>
          <w:rFonts w:asciiTheme="minorHAnsi" w:hAnsiTheme="minorHAnsi"/>
          <w:bCs/>
          <w:snapToGrid w:val="0"/>
        </w:rPr>
        <w:t xml:space="preserve">MEK inhibitors) in this setting. </w:t>
      </w:r>
    </w:p>
    <w:p w:rsidR="00B60939" w:rsidRPr="00B40A41" w:rsidRDefault="00B60939" w:rsidP="002E4F02">
      <w:pPr>
        <w:pStyle w:val="4-SubsectionHeading"/>
      </w:pPr>
      <w:r w:rsidRPr="00B40A41">
        <w:t>Clinical trials</w:t>
      </w:r>
      <w:bookmarkEnd w:id="12"/>
      <w:bookmarkEnd w:id="13"/>
    </w:p>
    <w:p w:rsidR="007F1017" w:rsidRPr="00B40A41" w:rsidRDefault="00A73134" w:rsidP="002E4F02">
      <w:pPr>
        <w:pStyle w:val="3-BodyText"/>
        <w:rPr>
          <w:color w:val="0066FF"/>
        </w:rPr>
      </w:pPr>
      <w:r w:rsidRPr="00B40A41">
        <w:rPr>
          <w:snapToGrid/>
        </w:rPr>
        <w:t>The submission</w:t>
      </w:r>
      <w:r w:rsidR="00F73399" w:rsidRPr="00B40A41">
        <w:rPr>
          <w:snapToGrid/>
        </w:rPr>
        <w:t xml:space="preserve"> </w:t>
      </w:r>
      <w:r w:rsidR="00D5243B" w:rsidRPr="00B40A41">
        <w:rPr>
          <w:snapToGrid/>
        </w:rPr>
        <w:t>wa</w:t>
      </w:r>
      <w:r w:rsidRPr="00B40A41">
        <w:rPr>
          <w:snapToGrid/>
        </w:rPr>
        <w:t xml:space="preserve">s based on </w:t>
      </w:r>
      <w:r w:rsidR="00F73399" w:rsidRPr="00B40A41">
        <w:rPr>
          <w:snapToGrid/>
        </w:rPr>
        <w:t>two</w:t>
      </w:r>
      <w:r w:rsidR="00D71674" w:rsidRPr="00B40A41">
        <w:rPr>
          <w:snapToGrid/>
        </w:rPr>
        <w:t xml:space="preserve"> clinical trials</w:t>
      </w:r>
      <w:r w:rsidR="00316922" w:rsidRPr="00B40A41">
        <w:rPr>
          <w:snapToGrid/>
        </w:rPr>
        <w:t xml:space="preserve">: </w:t>
      </w:r>
    </w:p>
    <w:p w:rsidR="009D6D64" w:rsidRPr="00B40A41" w:rsidRDefault="007D3D15" w:rsidP="007D3D15">
      <w:pPr>
        <w:pStyle w:val="ListParagraph"/>
        <w:ind w:left="1134" w:hanging="425"/>
      </w:pPr>
      <w:r w:rsidRPr="00B40A41">
        <w:t>KN006 was a</w:t>
      </w:r>
      <w:r w:rsidR="004E6EE5" w:rsidRPr="00B40A41">
        <w:t xml:space="preserve">n </w:t>
      </w:r>
      <w:r w:rsidRPr="00B40A41">
        <w:t>open-label, three-arm randomised controlled trial</w:t>
      </w:r>
      <w:r w:rsidR="003E1455" w:rsidRPr="00B40A41">
        <w:t xml:space="preserve"> </w:t>
      </w:r>
      <w:r w:rsidRPr="00B40A41">
        <w:t xml:space="preserve">comparing </w:t>
      </w:r>
      <w:r w:rsidR="00DC6D69" w:rsidRPr="00B40A41">
        <w:t xml:space="preserve">two dose frequencies of </w:t>
      </w:r>
      <w:r w:rsidRPr="00B40A41">
        <w:t>pe</w:t>
      </w:r>
      <w:r w:rsidR="00D71674" w:rsidRPr="00B40A41">
        <w:t>m</w:t>
      </w:r>
      <w:r w:rsidRPr="00B40A41">
        <w:t xml:space="preserve">brolizumab </w:t>
      </w:r>
      <w:r w:rsidR="00DC6D69" w:rsidRPr="00B40A41">
        <w:t>(10</w:t>
      </w:r>
      <w:r w:rsidR="009A73F4" w:rsidRPr="00B40A41">
        <w:t xml:space="preserve"> </w:t>
      </w:r>
      <w:r w:rsidR="00DC6D69" w:rsidRPr="00B40A41">
        <w:t xml:space="preserve">mg/kg given every 2 weeks </w:t>
      </w:r>
      <w:r w:rsidR="00DD1C1E" w:rsidRPr="00B40A41">
        <w:t>(N=</w:t>
      </w:r>
      <w:r w:rsidR="00DC6D69" w:rsidRPr="00B40A41">
        <w:t>278</w:t>
      </w:r>
      <w:r w:rsidR="00DD1C1E" w:rsidRPr="00B40A41">
        <w:t>)</w:t>
      </w:r>
      <w:r w:rsidR="00DC6D69" w:rsidRPr="00B40A41">
        <w:t xml:space="preserve"> and 10</w:t>
      </w:r>
      <w:r w:rsidR="009A73F4" w:rsidRPr="00B40A41">
        <w:t xml:space="preserve"> </w:t>
      </w:r>
      <w:r w:rsidR="00DC6D69" w:rsidRPr="00B40A41">
        <w:t>mg/kg given every 3 weeks (N=277))</w:t>
      </w:r>
      <w:r w:rsidRPr="00B40A41">
        <w:t xml:space="preserve"> with ipilimumab monotherapy</w:t>
      </w:r>
      <w:r w:rsidR="00DD1C1E" w:rsidRPr="00B40A41">
        <w:t xml:space="preserve"> (N=</w:t>
      </w:r>
      <w:r w:rsidR="00DC6D69" w:rsidRPr="00B40A41">
        <w:t>278</w:t>
      </w:r>
      <w:r w:rsidR="00DD1C1E" w:rsidRPr="00B40A41">
        <w:t>)</w:t>
      </w:r>
      <w:r w:rsidR="00DC6D69" w:rsidRPr="00B40A41">
        <w:t xml:space="preserve"> in </w:t>
      </w:r>
      <w:r w:rsidR="002954C6" w:rsidRPr="00B40A41">
        <w:t>S</w:t>
      </w:r>
      <w:r w:rsidR="00DC6D69" w:rsidRPr="00B40A41">
        <w:t>tage III/IV unresectable malignant melanoma patients. This submission compared the relevant</w:t>
      </w:r>
      <w:r w:rsidR="005D6811" w:rsidRPr="00B40A41">
        <w:t xml:space="preserve"> subgroup of </w:t>
      </w:r>
      <w:r w:rsidR="00DB0E15" w:rsidRPr="00B40A41">
        <w:t xml:space="preserve">systemic </w:t>
      </w:r>
      <w:r w:rsidR="009D6D64" w:rsidRPr="00B40A41">
        <w:t>treatment naïve BRAF mutation positive unresectable malignant melanoma patients</w:t>
      </w:r>
      <w:r w:rsidR="00DC6D69" w:rsidRPr="00B40A41">
        <w:t xml:space="preserve"> comprising of pembrolizumab (both dose frequencies combined (N=108))</w:t>
      </w:r>
      <w:r w:rsidR="000A5EB6" w:rsidRPr="00B40A41">
        <w:t xml:space="preserve"> and ipilimumab (N=55)</w:t>
      </w:r>
      <w:r w:rsidR="009D6D64" w:rsidRPr="00B40A41">
        <w:t>.</w:t>
      </w:r>
    </w:p>
    <w:p w:rsidR="00316922" w:rsidRPr="00B40A41" w:rsidRDefault="004E6EE5" w:rsidP="007D3D15">
      <w:pPr>
        <w:pStyle w:val="ListParagraph"/>
        <w:ind w:left="1134" w:hanging="425"/>
      </w:pPr>
      <w:r w:rsidRPr="00B40A41">
        <w:t>CM067 was a randomised double-blind trial comparing nivolumab</w:t>
      </w:r>
      <w:r w:rsidR="00900D8D" w:rsidRPr="00B40A41">
        <w:t xml:space="preserve"> monotherapy</w:t>
      </w:r>
      <w:r w:rsidRPr="00B40A41">
        <w:t xml:space="preserve"> </w:t>
      </w:r>
      <w:r w:rsidR="00DD1C1E" w:rsidRPr="00B40A41">
        <w:t>(N=</w:t>
      </w:r>
      <w:r w:rsidR="000A5EB6" w:rsidRPr="00B40A41">
        <w:t>31</w:t>
      </w:r>
      <w:r w:rsidR="00493435" w:rsidRPr="00B40A41">
        <w:t>3</w:t>
      </w:r>
      <w:r w:rsidR="00DD1C1E" w:rsidRPr="00B40A41">
        <w:t>)</w:t>
      </w:r>
      <w:r w:rsidR="000A5EB6" w:rsidRPr="00B40A41">
        <w:t xml:space="preserve"> or nivolumab</w:t>
      </w:r>
      <w:r w:rsidR="009A73F4" w:rsidRPr="00B40A41">
        <w:t xml:space="preserve"> </w:t>
      </w:r>
      <w:r w:rsidR="000A5EB6" w:rsidRPr="00B40A41">
        <w:t>+</w:t>
      </w:r>
      <w:r w:rsidR="009A73F4" w:rsidRPr="00B40A41">
        <w:t xml:space="preserve"> </w:t>
      </w:r>
      <w:r w:rsidR="000A5EB6" w:rsidRPr="00B40A41">
        <w:t>ipilimumab combination therapy (</w:t>
      </w:r>
      <w:r w:rsidR="00493435" w:rsidRPr="00B40A41">
        <w:t>N=313</w:t>
      </w:r>
      <w:r w:rsidR="000A5EB6" w:rsidRPr="00B40A41">
        <w:t>)</w:t>
      </w:r>
      <w:r w:rsidRPr="00B40A41">
        <w:t xml:space="preserve"> </w:t>
      </w:r>
      <w:r w:rsidR="00DD1C1E" w:rsidRPr="00B40A41">
        <w:t>with</w:t>
      </w:r>
      <w:r w:rsidRPr="00B40A41">
        <w:t xml:space="preserve"> </w:t>
      </w:r>
      <w:r w:rsidR="00DD1C1E" w:rsidRPr="00B40A41">
        <w:lastRenderedPageBreak/>
        <w:t>ipilimumab</w:t>
      </w:r>
      <w:r w:rsidR="00900D8D" w:rsidRPr="00B40A41">
        <w:t xml:space="preserve"> monotherapy</w:t>
      </w:r>
      <w:r w:rsidRPr="00B40A41">
        <w:t xml:space="preserve"> (N=</w:t>
      </w:r>
      <w:r w:rsidR="000A5EB6" w:rsidRPr="00B40A41">
        <w:t>31</w:t>
      </w:r>
      <w:r w:rsidR="00493435" w:rsidRPr="00B40A41">
        <w:t>1</w:t>
      </w:r>
      <w:r w:rsidRPr="00B40A41">
        <w:t>)</w:t>
      </w:r>
      <w:r w:rsidR="00493435" w:rsidRPr="00B40A41">
        <w:t xml:space="preserve"> in </w:t>
      </w:r>
      <w:r w:rsidR="002954C6" w:rsidRPr="00B40A41">
        <w:t>S</w:t>
      </w:r>
      <w:r w:rsidR="00493435" w:rsidRPr="00B40A41">
        <w:t xml:space="preserve">tage III/IV unresectable malignant melanoma patients. This submission compared the relevant </w:t>
      </w:r>
      <w:r w:rsidR="005D6811" w:rsidRPr="00B40A41">
        <w:t xml:space="preserve">subgroup of </w:t>
      </w:r>
      <w:r w:rsidR="00900D8D" w:rsidRPr="00B40A41">
        <w:t>systemic treatment naïve BRAF mutation positive unresectable malignant melanoma patients</w:t>
      </w:r>
      <w:r w:rsidR="00493435" w:rsidRPr="00B40A41">
        <w:t xml:space="preserve"> comprising of nivolumab alone (N=98) and ipilimumab (N=100)</w:t>
      </w:r>
      <w:r w:rsidR="00DD1C1E" w:rsidRPr="00B40A41">
        <w:t xml:space="preserve">. </w:t>
      </w:r>
    </w:p>
    <w:p w:rsidR="00424993" w:rsidRPr="001B10FD" w:rsidRDefault="00A73134" w:rsidP="001B10FD">
      <w:pPr>
        <w:pStyle w:val="3-BodyText"/>
        <w:rPr>
          <w:rStyle w:val="CommentReference"/>
          <w:rFonts w:asciiTheme="minorHAnsi" w:hAnsiTheme="minorHAnsi"/>
          <w:b w:val="0"/>
          <w:snapToGrid/>
          <w:sz w:val="24"/>
          <w:szCs w:val="24"/>
        </w:rPr>
      </w:pPr>
      <w:r w:rsidRPr="00B40A41">
        <w:rPr>
          <w:snapToGrid/>
        </w:rPr>
        <w:t xml:space="preserve">Details of the trials </w:t>
      </w:r>
      <w:proofErr w:type="gramStart"/>
      <w:r w:rsidRPr="00B40A41">
        <w:rPr>
          <w:snapToGrid/>
        </w:rPr>
        <w:t>are provided</w:t>
      </w:r>
      <w:proofErr w:type="gramEnd"/>
      <w:r w:rsidRPr="00B40A41">
        <w:rPr>
          <w:snapToGrid/>
        </w:rPr>
        <w:t xml:space="preserve"> in </w:t>
      </w:r>
      <w:r w:rsidR="006011CB" w:rsidRPr="00B40A41">
        <w:rPr>
          <w:snapToGrid/>
        </w:rPr>
        <w:t>Table 2</w:t>
      </w:r>
      <w:r w:rsidR="00BA5049" w:rsidRPr="00B40A41">
        <w:rPr>
          <w:snapToGrid/>
        </w:rPr>
        <w:t>.</w:t>
      </w:r>
      <w:r w:rsidR="00BC591F" w:rsidRPr="00B40A41">
        <w:rPr>
          <w:snapToGrid/>
        </w:rPr>
        <w:t xml:space="preserve"> </w:t>
      </w:r>
      <w:bookmarkStart w:id="14" w:name="_Ref33448676"/>
    </w:p>
    <w:p w:rsidR="008E0D3C" w:rsidRPr="00B40A41" w:rsidRDefault="008E0D3C" w:rsidP="00960991">
      <w:pPr>
        <w:pStyle w:val="TableHeading"/>
        <w:rPr>
          <w:rStyle w:val="CommentReference"/>
          <w:b/>
          <w:szCs w:val="24"/>
        </w:rPr>
      </w:pPr>
      <w:r w:rsidRPr="00B40A41">
        <w:rPr>
          <w:rStyle w:val="CommentReference"/>
          <w:b/>
          <w:szCs w:val="24"/>
        </w:rPr>
        <w:t xml:space="preserve">Table </w:t>
      </w:r>
      <w:r w:rsidR="006011CB" w:rsidRPr="00B40A41">
        <w:rPr>
          <w:rStyle w:val="CommentReference"/>
          <w:b/>
          <w:szCs w:val="24"/>
        </w:rPr>
        <w:t>2</w:t>
      </w:r>
      <w:bookmarkEnd w:id="14"/>
      <w:r w:rsidRPr="00B40A41">
        <w:rPr>
          <w:rStyle w:val="CommentReference"/>
          <w:b/>
          <w:szCs w:val="24"/>
        </w:rPr>
        <w:t>:</w:t>
      </w:r>
      <w:r w:rsidR="00BC591F" w:rsidRPr="00B40A41">
        <w:rPr>
          <w:rStyle w:val="CommentReference"/>
          <w:b/>
          <w:szCs w:val="24"/>
        </w:rPr>
        <w:t xml:space="preserve"> </w:t>
      </w:r>
      <w:r w:rsidRPr="00B40A41">
        <w:rPr>
          <w:rStyle w:val="CommentReference"/>
          <w:b/>
          <w:szCs w:val="24"/>
        </w:rPr>
        <w:t>Trials and associated reports presented in the submission</w:t>
      </w:r>
    </w:p>
    <w:tbl>
      <w:tblPr>
        <w:tblStyle w:val="ASDTable2"/>
        <w:tblW w:w="5000" w:type="pct"/>
        <w:tblLook w:val="04A0" w:firstRow="1" w:lastRow="0" w:firstColumn="1" w:lastColumn="0" w:noHBand="0" w:noVBand="1"/>
        <w:tblCaption w:val="Table 2: Trials and associated reports presented in the submission"/>
      </w:tblPr>
      <w:tblGrid>
        <w:gridCol w:w="988"/>
        <w:gridCol w:w="5755"/>
        <w:gridCol w:w="2274"/>
      </w:tblGrid>
      <w:tr w:rsidR="002456CA" w:rsidRPr="00B40A41" w:rsidTr="001A5179">
        <w:trPr>
          <w:tblHeader/>
        </w:trPr>
        <w:tc>
          <w:tcPr>
            <w:tcW w:w="548" w:type="pct"/>
            <w:tcMar>
              <w:left w:w="28" w:type="dxa"/>
              <w:right w:w="28" w:type="dxa"/>
            </w:tcMar>
          </w:tcPr>
          <w:p w:rsidR="002456CA" w:rsidRPr="00B40A41" w:rsidRDefault="002456CA" w:rsidP="00181202">
            <w:pPr>
              <w:pStyle w:val="TableFigureFooter"/>
              <w:spacing w:after="0"/>
              <w:rPr>
                <w:b/>
                <w:sz w:val="20"/>
                <w:szCs w:val="20"/>
              </w:rPr>
            </w:pPr>
            <w:r w:rsidRPr="00B40A41">
              <w:rPr>
                <w:b/>
                <w:sz w:val="20"/>
                <w:szCs w:val="20"/>
              </w:rPr>
              <w:t>Trial ID</w:t>
            </w:r>
          </w:p>
        </w:tc>
        <w:tc>
          <w:tcPr>
            <w:tcW w:w="3191" w:type="pct"/>
            <w:tcMar>
              <w:left w:w="28" w:type="dxa"/>
              <w:right w:w="28" w:type="dxa"/>
            </w:tcMar>
          </w:tcPr>
          <w:p w:rsidR="002456CA" w:rsidRPr="00B40A41" w:rsidRDefault="002456CA" w:rsidP="00181202">
            <w:pPr>
              <w:pStyle w:val="TableFigureFooter"/>
              <w:spacing w:after="0"/>
              <w:rPr>
                <w:b/>
                <w:sz w:val="20"/>
                <w:szCs w:val="20"/>
              </w:rPr>
            </w:pPr>
            <w:r w:rsidRPr="00B40A41">
              <w:rPr>
                <w:b/>
                <w:sz w:val="20"/>
                <w:szCs w:val="20"/>
              </w:rPr>
              <w:t>Protocol title/ Publication title</w:t>
            </w:r>
          </w:p>
        </w:tc>
        <w:tc>
          <w:tcPr>
            <w:tcW w:w="1261" w:type="pct"/>
            <w:tcMar>
              <w:left w:w="28" w:type="dxa"/>
              <w:right w:w="28" w:type="dxa"/>
            </w:tcMar>
          </w:tcPr>
          <w:p w:rsidR="002456CA" w:rsidRPr="00B40A41" w:rsidRDefault="002456CA" w:rsidP="00181202">
            <w:pPr>
              <w:pStyle w:val="TableFigureFooter"/>
              <w:spacing w:after="0"/>
              <w:rPr>
                <w:b/>
                <w:sz w:val="20"/>
                <w:szCs w:val="20"/>
              </w:rPr>
            </w:pPr>
            <w:r w:rsidRPr="00B40A41">
              <w:rPr>
                <w:b/>
                <w:sz w:val="20"/>
                <w:szCs w:val="20"/>
              </w:rPr>
              <w:t>Publication Citation</w:t>
            </w:r>
          </w:p>
        </w:tc>
      </w:tr>
      <w:tr w:rsidR="002456CA" w:rsidRPr="00B40A41" w:rsidTr="00960991">
        <w:tc>
          <w:tcPr>
            <w:tcW w:w="548" w:type="pct"/>
            <w:tcMar>
              <w:left w:w="28" w:type="dxa"/>
              <w:right w:w="28" w:type="dxa"/>
            </w:tcMar>
          </w:tcPr>
          <w:p w:rsidR="002456CA" w:rsidRPr="00B40A41" w:rsidRDefault="002456CA" w:rsidP="00960991">
            <w:pPr>
              <w:pStyle w:val="Tabletext"/>
            </w:pPr>
            <w:r w:rsidRPr="00B40A41">
              <w:t>KN006</w:t>
            </w:r>
          </w:p>
        </w:tc>
        <w:tc>
          <w:tcPr>
            <w:tcW w:w="3191" w:type="pct"/>
            <w:tcMar>
              <w:left w:w="28" w:type="dxa"/>
              <w:right w:w="28" w:type="dxa"/>
            </w:tcMar>
          </w:tcPr>
          <w:p w:rsidR="002456CA" w:rsidRPr="00B40A41" w:rsidRDefault="002456CA" w:rsidP="00960991">
            <w:pPr>
              <w:pStyle w:val="Tabletext"/>
            </w:pPr>
            <w:r w:rsidRPr="00B40A41">
              <w:t>A Multicentre, Randomised Controlled, Three-Arm, Phase III Study to Evaluate the Safety and Efficacy of Two Dosing Schedules of Pembrolizumab (MK-3475) Compared to Ipilimumab in Patients with Advanced Melanoma.</w:t>
            </w:r>
          </w:p>
          <w:p w:rsidR="00181202" w:rsidRPr="00B40A41" w:rsidRDefault="00181202" w:rsidP="00960991">
            <w:pPr>
              <w:pStyle w:val="Tabletext"/>
            </w:pPr>
          </w:p>
          <w:p w:rsidR="002456CA" w:rsidRPr="00B40A41" w:rsidRDefault="002456CA" w:rsidP="00960991">
            <w:pPr>
              <w:pStyle w:val="Tabletext"/>
            </w:pPr>
            <w:r w:rsidRPr="00B40A41">
              <w:t>Robert C</w:t>
            </w:r>
            <w:r w:rsidR="00181202" w:rsidRPr="00B40A41">
              <w:t>,</w:t>
            </w:r>
            <w:r w:rsidRPr="00B40A41">
              <w:t xml:space="preserve"> et al. Pembrolizumab versus ipilimumab in advanced melanoma (KEYNOTE-006): post-hoc 5-year results from an open-label, multicentre, randomised, controlled, phase 3 study. </w:t>
            </w:r>
          </w:p>
          <w:p w:rsidR="00181202" w:rsidRPr="00B40A41" w:rsidRDefault="00181202" w:rsidP="00960991">
            <w:pPr>
              <w:pStyle w:val="Tabletext"/>
            </w:pPr>
          </w:p>
          <w:p w:rsidR="002456CA" w:rsidRPr="00B40A41" w:rsidRDefault="002456CA" w:rsidP="00960991">
            <w:pPr>
              <w:pStyle w:val="Tabletext"/>
            </w:pPr>
            <w:r w:rsidRPr="00B40A41">
              <w:t>Long GV</w:t>
            </w:r>
            <w:r w:rsidR="00BF58B2" w:rsidRPr="00B40A41">
              <w:t>,</w:t>
            </w:r>
            <w:r w:rsidRPr="00B40A41">
              <w:t xml:space="preserve"> et al. 4-year survival and outcomes after cessation of pembrolizumab (</w:t>
            </w:r>
            <w:proofErr w:type="spellStart"/>
            <w:r w:rsidRPr="00B40A41">
              <w:t>pembro</w:t>
            </w:r>
            <w:proofErr w:type="spellEnd"/>
            <w:r w:rsidRPr="00B40A41">
              <w:t>) after 2-years in patients (pts) with ipilimumab (</w:t>
            </w:r>
            <w:proofErr w:type="spellStart"/>
            <w:r w:rsidRPr="00B40A41">
              <w:t>ipi</w:t>
            </w:r>
            <w:proofErr w:type="spellEnd"/>
            <w:r w:rsidRPr="00B40A41">
              <w:t>)-naive advanced melanoma in KEYNOTE-006.</w:t>
            </w:r>
          </w:p>
          <w:p w:rsidR="00181202" w:rsidRPr="00B40A41" w:rsidRDefault="00181202" w:rsidP="00960991">
            <w:pPr>
              <w:pStyle w:val="Tabletext"/>
            </w:pPr>
          </w:p>
          <w:p w:rsidR="002456CA" w:rsidRPr="00B40A41" w:rsidRDefault="002456CA" w:rsidP="00960991">
            <w:pPr>
              <w:pStyle w:val="Tabletext"/>
            </w:pPr>
            <w:proofErr w:type="spellStart"/>
            <w:r w:rsidRPr="00B40A41">
              <w:t>Schachter</w:t>
            </w:r>
            <w:proofErr w:type="spellEnd"/>
            <w:r w:rsidRPr="00B40A41">
              <w:t xml:space="preserve"> J, et al. Pembrolizumab versus ipilimumab for advanced melanoma: final overall survival results of a multicentre, randomised, open-label phase 3 study (KEYNOTE-006). </w:t>
            </w:r>
          </w:p>
        </w:tc>
        <w:tc>
          <w:tcPr>
            <w:tcW w:w="1261" w:type="pct"/>
            <w:tcMar>
              <w:left w:w="28" w:type="dxa"/>
              <w:right w:w="28" w:type="dxa"/>
            </w:tcMar>
          </w:tcPr>
          <w:p w:rsidR="002456CA" w:rsidRPr="00B40A41" w:rsidRDefault="002456CA" w:rsidP="00960991">
            <w:pPr>
              <w:pStyle w:val="Tabletext"/>
            </w:pPr>
            <w:r w:rsidRPr="00B40A41">
              <w:t>August 2015</w:t>
            </w:r>
          </w:p>
          <w:p w:rsidR="002456CA" w:rsidRPr="00B40A41" w:rsidRDefault="002456CA" w:rsidP="00960991">
            <w:pPr>
              <w:pStyle w:val="Tabletext"/>
            </w:pPr>
          </w:p>
          <w:p w:rsidR="002456CA" w:rsidRPr="00B40A41" w:rsidRDefault="002456CA" w:rsidP="00960991">
            <w:pPr>
              <w:pStyle w:val="Tabletext"/>
            </w:pPr>
          </w:p>
          <w:p w:rsidR="00181202" w:rsidRPr="00B40A41" w:rsidRDefault="00181202" w:rsidP="00960991">
            <w:pPr>
              <w:pStyle w:val="Tabletext"/>
            </w:pPr>
          </w:p>
          <w:p w:rsidR="002456CA" w:rsidRPr="00B40A41" w:rsidRDefault="002456CA" w:rsidP="00960991">
            <w:pPr>
              <w:pStyle w:val="Tabletext"/>
            </w:pPr>
            <w:r w:rsidRPr="00B40A41">
              <w:t>Lancet Oncol. 2019 Sep;20(9):1239-1251</w:t>
            </w:r>
          </w:p>
          <w:p w:rsidR="002456CA" w:rsidRPr="00B40A41" w:rsidRDefault="002456CA" w:rsidP="00960991">
            <w:pPr>
              <w:pStyle w:val="Tabletext"/>
            </w:pPr>
          </w:p>
          <w:p w:rsidR="00181202" w:rsidRPr="00B40A41" w:rsidRDefault="00181202" w:rsidP="00960991">
            <w:pPr>
              <w:pStyle w:val="Tabletext"/>
            </w:pPr>
          </w:p>
          <w:p w:rsidR="002456CA" w:rsidRPr="00B40A41" w:rsidRDefault="002456CA" w:rsidP="00960991">
            <w:pPr>
              <w:pStyle w:val="Tabletext"/>
            </w:pPr>
            <w:r w:rsidRPr="00B40A41">
              <w:t>J of Clin Onc. 2018 May 2018</w:t>
            </w:r>
          </w:p>
          <w:p w:rsidR="002456CA" w:rsidRPr="00B40A41" w:rsidRDefault="002456CA" w:rsidP="00960991">
            <w:pPr>
              <w:pStyle w:val="Tabletext"/>
            </w:pPr>
          </w:p>
          <w:p w:rsidR="002456CA" w:rsidRPr="00B40A41" w:rsidRDefault="002456CA" w:rsidP="00960991">
            <w:pPr>
              <w:pStyle w:val="Tabletext"/>
            </w:pPr>
          </w:p>
          <w:p w:rsidR="00181202" w:rsidRPr="00B40A41" w:rsidRDefault="00181202" w:rsidP="00960991">
            <w:pPr>
              <w:pStyle w:val="Tabletext"/>
            </w:pPr>
          </w:p>
          <w:p w:rsidR="002456CA" w:rsidRPr="00B40A41" w:rsidRDefault="002456CA" w:rsidP="00960991">
            <w:pPr>
              <w:pStyle w:val="Tabletext"/>
            </w:pPr>
            <w:r w:rsidRPr="00B40A41">
              <w:t>Lancet. 2017 Oct 21;390(10105):1853-1862</w:t>
            </w:r>
          </w:p>
        </w:tc>
      </w:tr>
      <w:tr w:rsidR="002456CA" w:rsidRPr="00B40A41" w:rsidTr="00960991">
        <w:tc>
          <w:tcPr>
            <w:tcW w:w="548" w:type="pct"/>
            <w:tcMar>
              <w:left w:w="28" w:type="dxa"/>
              <w:right w:w="28" w:type="dxa"/>
            </w:tcMar>
          </w:tcPr>
          <w:p w:rsidR="002456CA" w:rsidRPr="00B40A41" w:rsidRDefault="002456CA" w:rsidP="00960991">
            <w:pPr>
              <w:pStyle w:val="Tabletext"/>
            </w:pPr>
            <w:r w:rsidRPr="00B40A41">
              <w:t>CM067</w:t>
            </w:r>
          </w:p>
        </w:tc>
        <w:tc>
          <w:tcPr>
            <w:tcW w:w="3191" w:type="pct"/>
            <w:tcMar>
              <w:left w:w="28" w:type="dxa"/>
              <w:right w:w="28" w:type="dxa"/>
            </w:tcMar>
          </w:tcPr>
          <w:p w:rsidR="002456CA" w:rsidRPr="00B40A41" w:rsidRDefault="002456CA" w:rsidP="00960991">
            <w:pPr>
              <w:pStyle w:val="Tabletext"/>
            </w:pPr>
            <w:r w:rsidRPr="00B40A41">
              <w:t xml:space="preserve">Clinical Study Report </w:t>
            </w:r>
            <w:r w:rsidR="008C090C" w:rsidRPr="00B40A41">
              <w:t>- n</w:t>
            </w:r>
            <w:r w:rsidRPr="00B40A41">
              <w:t>ot publicly available</w:t>
            </w:r>
          </w:p>
          <w:p w:rsidR="002456CA" w:rsidRPr="00B40A41" w:rsidRDefault="002456CA" w:rsidP="00960991">
            <w:pPr>
              <w:pStyle w:val="Tabletext"/>
            </w:pPr>
          </w:p>
          <w:p w:rsidR="002456CA" w:rsidRPr="00B40A41" w:rsidRDefault="002456CA" w:rsidP="00960991">
            <w:pPr>
              <w:pStyle w:val="Tabletext"/>
            </w:pPr>
            <w:r w:rsidRPr="00B40A41">
              <w:t xml:space="preserve">Larkin J, et al. Five-Year Survival with Combined Nivolumab and Ipilimumab in Advanced Melanoma. </w:t>
            </w:r>
          </w:p>
          <w:p w:rsidR="008C090C" w:rsidRPr="00B40A41" w:rsidRDefault="008C090C" w:rsidP="00960991">
            <w:pPr>
              <w:pStyle w:val="Tabletext"/>
            </w:pPr>
          </w:p>
          <w:p w:rsidR="002456CA" w:rsidRPr="00B40A41" w:rsidRDefault="002456CA" w:rsidP="00960991">
            <w:pPr>
              <w:pStyle w:val="Tabletext"/>
            </w:pPr>
            <w:r w:rsidRPr="00B40A41">
              <w:t xml:space="preserve">Hodi FS, et al. Nivolumab plus ipilimumab or nivolumab alone versus ipilimumab alone in advanced melanoma (CheckMate 067): 4-year outcomes of a multicentre, randomised, phase 3 trial. </w:t>
            </w:r>
          </w:p>
          <w:p w:rsidR="002456CA" w:rsidRPr="00B40A41" w:rsidRDefault="002456CA" w:rsidP="00960991">
            <w:pPr>
              <w:pStyle w:val="Tabletext"/>
            </w:pPr>
            <w:r w:rsidRPr="00B40A41">
              <w:t>Erratum in: Lancet Oncol. 2018 Dec</w:t>
            </w:r>
            <w:proofErr w:type="gramStart"/>
            <w:r w:rsidRPr="00B40A41">
              <w:t>;19</w:t>
            </w:r>
            <w:proofErr w:type="gramEnd"/>
            <w:r w:rsidRPr="00B40A41">
              <w:t>(12):e668.</w:t>
            </w:r>
          </w:p>
          <w:p w:rsidR="008C090C" w:rsidRPr="00B40A41" w:rsidRDefault="008C090C" w:rsidP="00960991">
            <w:pPr>
              <w:pStyle w:val="Tabletext"/>
            </w:pPr>
          </w:p>
          <w:p w:rsidR="002456CA" w:rsidRPr="00B40A41" w:rsidRDefault="002456CA" w:rsidP="00960991">
            <w:pPr>
              <w:pStyle w:val="Tabletext"/>
            </w:pPr>
            <w:r w:rsidRPr="00B40A41">
              <w:t>Larkin J, et al. Combined Nivolumab and Ipilimumab or Monotherapy in Untreated Melanoma.</w:t>
            </w:r>
          </w:p>
          <w:p w:rsidR="002456CA" w:rsidRPr="00B40A41" w:rsidRDefault="002456CA" w:rsidP="00960991">
            <w:pPr>
              <w:pStyle w:val="Tabletext"/>
            </w:pPr>
          </w:p>
          <w:p w:rsidR="002456CA" w:rsidRPr="00B40A41" w:rsidRDefault="002456CA" w:rsidP="00960991">
            <w:pPr>
              <w:pStyle w:val="Tabletext"/>
            </w:pPr>
            <w:r w:rsidRPr="00B40A41">
              <w:t>Abstracts</w:t>
            </w:r>
            <w:r w:rsidR="008C090C" w:rsidRPr="00B40A41">
              <w:t>:</w:t>
            </w:r>
          </w:p>
          <w:p w:rsidR="002456CA" w:rsidRPr="00B40A41" w:rsidRDefault="002456CA" w:rsidP="00960991">
            <w:pPr>
              <w:pStyle w:val="Tabletext"/>
            </w:pPr>
            <w:r w:rsidRPr="00B40A41">
              <w:t xml:space="preserve">Hodi FS, et al. LBA44. Overall survival at 4 years of follow-up in a phase III trial of nivolumab plus ipilimumab combination therapy in advanced melanoma (CheckMate 067). </w:t>
            </w:r>
          </w:p>
          <w:p w:rsidR="008C090C" w:rsidRPr="00B40A41" w:rsidRDefault="008C090C" w:rsidP="00960991">
            <w:pPr>
              <w:pStyle w:val="Tabletext"/>
            </w:pPr>
          </w:p>
          <w:p w:rsidR="002456CA" w:rsidRPr="00B40A41" w:rsidRDefault="002456CA" w:rsidP="00960991">
            <w:pPr>
              <w:pStyle w:val="Tabletext"/>
            </w:pPr>
            <w:r w:rsidRPr="00B40A41">
              <w:t>Overall survival (OS) results from a phase III trial of nivolumab (NIVO) combined with ipilimumab (IPI) in treatment-naïve patients with advanced melanoma (CheckMate 067).</w:t>
            </w:r>
          </w:p>
        </w:tc>
        <w:tc>
          <w:tcPr>
            <w:tcW w:w="1261" w:type="pct"/>
            <w:tcMar>
              <w:left w:w="28" w:type="dxa"/>
              <w:right w:w="28" w:type="dxa"/>
            </w:tcMar>
          </w:tcPr>
          <w:p w:rsidR="002456CA" w:rsidRPr="00B40A41" w:rsidRDefault="002456CA" w:rsidP="00960991">
            <w:pPr>
              <w:pStyle w:val="Tabletext"/>
            </w:pPr>
          </w:p>
          <w:p w:rsidR="002456CA" w:rsidRPr="00B40A41" w:rsidRDefault="002456CA" w:rsidP="00960991">
            <w:pPr>
              <w:pStyle w:val="Tabletext"/>
            </w:pPr>
          </w:p>
          <w:p w:rsidR="002456CA" w:rsidRPr="00B40A41" w:rsidRDefault="002456CA" w:rsidP="00960991">
            <w:pPr>
              <w:pStyle w:val="Tabletext"/>
            </w:pPr>
            <w:r w:rsidRPr="00B40A41">
              <w:t>N Engl J Med. 2019 Sep 28</w:t>
            </w:r>
          </w:p>
          <w:p w:rsidR="002456CA" w:rsidRPr="00B40A41" w:rsidRDefault="002456CA" w:rsidP="00960991">
            <w:pPr>
              <w:pStyle w:val="Tabletext"/>
            </w:pPr>
          </w:p>
          <w:p w:rsidR="008C090C" w:rsidRPr="00B40A41" w:rsidRDefault="008C090C" w:rsidP="00960991">
            <w:pPr>
              <w:pStyle w:val="Tabletext"/>
            </w:pPr>
          </w:p>
          <w:p w:rsidR="002456CA" w:rsidRPr="00B40A41" w:rsidRDefault="002456CA" w:rsidP="00960991">
            <w:pPr>
              <w:pStyle w:val="Tabletext"/>
            </w:pPr>
            <w:r w:rsidRPr="00B40A41">
              <w:t>Lancet Oncol. 2018 Nov;19(11):1480-1492</w:t>
            </w:r>
            <w:bookmarkStart w:id="15" w:name="_GoBack"/>
          </w:p>
          <w:p w:rsidR="002456CA" w:rsidRPr="00B40A41" w:rsidRDefault="002456CA" w:rsidP="00960991">
            <w:pPr>
              <w:pStyle w:val="Tabletext"/>
            </w:pPr>
          </w:p>
          <w:p w:rsidR="002456CA" w:rsidRPr="00B40A41" w:rsidRDefault="002456CA" w:rsidP="00960991">
            <w:pPr>
              <w:pStyle w:val="Tabletext"/>
            </w:pPr>
          </w:p>
          <w:p w:rsidR="008C090C" w:rsidRPr="00B40A41" w:rsidRDefault="008C090C" w:rsidP="00960991">
            <w:pPr>
              <w:pStyle w:val="Tabletext"/>
            </w:pPr>
          </w:p>
          <w:bookmarkEnd w:id="15"/>
          <w:p w:rsidR="002456CA" w:rsidRPr="00B40A41" w:rsidRDefault="002456CA" w:rsidP="00960991">
            <w:pPr>
              <w:pStyle w:val="Tabletext"/>
            </w:pPr>
            <w:r w:rsidRPr="00B40A41">
              <w:t>N Engl J Med. 2015 Jul 2;373(1):23-34</w:t>
            </w:r>
          </w:p>
          <w:p w:rsidR="002456CA" w:rsidRPr="00B40A41" w:rsidRDefault="002456CA" w:rsidP="00960991">
            <w:pPr>
              <w:pStyle w:val="Tabletext"/>
            </w:pPr>
          </w:p>
          <w:p w:rsidR="002456CA" w:rsidRPr="00B40A41" w:rsidRDefault="002456CA" w:rsidP="00960991">
            <w:pPr>
              <w:pStyle w:val="Tabletext"/>
            </w:pPr>
          </w:p>
          <w:p w:rsidR="002456CA" w:rsidRPr="00B40A41" w:rsidRDefault="002456CA" w:rsidP="00960991">
            <w:pPr>
              <w:pStyle w:val="Tabletext"/>
            </w:pPr>
            <w:r w:rsidRPr="00B40A41">
              <w:t>Annals of Oncology, Volume 29, Issue suppl_8, October 2018</w:t>
            </w:r>
          </w:p>
          <w:p w:rsidR="008C090C" w:rsidRPr="00B40A41" w:rsidRDefault="008C090C" w:rsidP="00960991">
            <w:pPr>
              <w:pStyle w:val="Tabletext"/>
            </w:pPr>
          </w:p>
          <w:p w:rsidR="002456CA" w:rsidRPr="00B40A41" w:rsidRDefault="002456CA" w:rsidP="00960991">
            <w:pPr>
              <w:pStyle w:val="Tabletext"/>
            </w:pPr>
            <w:r w:rsidRPr="00B40A41">
              <w:t>Cancer Res July 1 2017 (77) (13 Supplement) CT075</w:t>
            </w:r>
          </w:p>
        </w:tc>
      </w:tr>
    </w:tbl>
    <w:p w:rsidR="008E0D3C" w:rsidRPr="00B40A41" w:rsidRDefault="008E0D3C" w:rsidP="00EC5836">
      <w:pPr>
        <w:pStyle w:val="TableFigureFooter"/>
        <w:rPr>
          <w:sz w:val="20"/>
        </w:rPr>
      </w:pPr>
      <w:r w:rsidRPr="00B40A41">
        <w:t xml:space="preserve">Source: </w:t>
      </w:r>
      <w:r w:rsidR="00F97ED3" w:rsidRPr="00B40A41">
        <w:t>Table 2.1-1, p22 of the submission</w:t>
      </w:r>
      <w:r w:rsidRPr="00B40A41">
        <w:t>.</w:t>
      </w:r>
    </w:p>
    <w:p w:rsidR="0085071A" w:rsidRPr="00B40A41" w:rsidRDefault="00AB616D" w:rsidP="0085071A">
      <w:pPr>
        <w:pStyle w:val="3-BodyText"/>
      </w:pPr>
      <w:r w:rsidRPr="00B40A41">
        <w:t>Four</w:t>
      </w:r>
      <w:r w:rsidR="0085071A" w:rsidRPr="00B40A41">
        <w:t xml:space="preserve"> </w:t>
      </w:r>
      <w:r w:rsidR="00C654FE" w:rsidRPr="00B40A41">
        <w:t xml:space="preserve">network </w:t>
      </w:r>
      <w:r w:rsidR="0085071A" w:rsidRPr="00B40A41">
        <w:t>meta-analyse</w:t>
      </w:r>
      <w:r w:rsidR="00C654FE" w:rsidRPr="00B40A41">
        <w:t>s</w:t>
      </w:r>
      <w:r w:rsidR="00C654FE" w:rsidRPr="00B40A41">
        <w:rPr>
          <w:rStyle w:val="FootnoteReference"/>
        </w:rPr>
        <w:footnoteReference w:id="6"/>
      </w:r>
      <w:r w:rsidR="00BE352D" w:rsidRPr="00B40A41">
        <w:t xml:space="preserve"> identified </w:t>
      </w:r>
      <w:r w:rsidR="008922D6" w:rsidRPr="00B40A41">
        <w:t>during the evaluation</w:t>
      </w:r>
      <w:r w:rsidR="00BA5049" w:rsidRPr="00B40A41">
        <w:t xml:space="preserve"> </w:t>
      </w:r>
      <w:r w:rsidR="0085071A" w:rsidRPr="00B40A41">
        <w:t>compar</w:t>
      </w:r>
      <w:r w:rsidR="00BA5049" w:rsidRPr="00B40A41">
        <w:t>ed</w:t>
      </w:r>
      <w:r w:rsidR="0085071A" w:rsidRPr="00B40A41">
        <w:t xml:space="preserve"> the efficacy and safety of </w:t>
      </w:r>
      <w:r w:rsidR="00C654FE" w:rsidRPr="00B40A41">
        <w:t>various therapeutic combinations for</w:t>
      </w:r>
      <w:r w:rsidR="00BE352D" w:rsidRPr="00B40A41">
        <w:t xml:space="preserve"> </w:t>
      </w:r>
      <w:r w:rsidR="00997076" w:rsidRPr="00B40A41">
        <w:t>the target population</w:t>
      </w:r>
      <w:r w:rsidR="00BE352D" w:rsidRPr="00B40A41">
        <w:t>.</w:t>
      </w:r>
      <w:r w:rsidR="009D7265" w:rsidRPr="00B40A41">
        <w:t xml:space="preserve"> These </w:t>
      </w:r>
      <w:r w:rsidR="009D7265" w:rsidRPr="00B40A41">
        <w:lastRenderedPageBreak/>
        <w:t>studies reported BRAF</w:t>
      </w:r>
      <w:r w:rsidR="00D751CE" w:rsidRPr="00B40A41">
        <w:rPr>
          <w:rFonts w:cstheme="minorHAnsi"/>
        </w:rPr>
        <w:t>±</w:t>
      </w:r>
      <w:r w:rsidR="00D751CE" w:rsidRPr="00B40A41">
        <w:t>MEK</w:t>
      </w:r>
      <w:r w:rsidR="009D7265" w:rsidRPr="00B40A41">
        <w:t xml:space="preserve"> inhibitor therapy to be more efficacious in the first</w:t>
      </w:r>
      <w:r w:rsidR="00917BFB" w:rsidRPr="00B40A41">
        <w:t xml:space="preserve"> </w:t>
      </w:r>
      <w:r w:rsidR="009D7265" w:rsidRPr="00B40A41">
        <w:t xml:space="preserve">line setting while immunotherapies had a better safety profile. </w:t>
      </w:r>
      <w:r w:rsidR="009D7265" w:rsidRPr="00B40A41">
        <w:rPr>
          <w:iCs/>
        </w:rPr>
        <w:t xml:space="preserve">However, due to the lack of direct </w:t>
      </w:r>
      <w:r w:rsidR="000A1359" w:rsidRPr="00B40A41">
        <w:rPr>
          <w:iCs/>
        </w:rPr>
        <w:t>randomised controlled trial</w:t>
      </w:r>
      <w:r w:rsidR="009D7265" w:rsidRPr="00B40A41">
        <w:rPr>
          <w:iCs/>
        </w:rPr>
        <w:t xml:space="preserve"> comparison and underlying heterogeneity, the conclusions presented </w:t>
      </w:r>
      <w:r w:rsidR="00FE062F" w:rsidRPr="00B40A41">
        <w:rPr>
          <w:iCs/>
        </w:rPr>
        <w:t>from</w:t>
      </w:r>
      <w:r w:rsidR="009D7265" w:rsidRPr="00B40A41">
        <w:rPr>
          <w:iCs/>
        </w:rPr>
        <w:t xml:space="preserve"> these meta-analyses </w:t>
      </w:r>
      <w:r w:rsidR="00BA5049" w:rsidRPr="00B40A41">
        <w:rPr>
          <w:iCs/>
        </w:rPr>
        <w:t>are uncertain.</w:t>
      </w:r>
    </w:p>
    <w:p w:rsidR="002370FA" w:rsidRPr="00B40A41" w:rsidRDefault="008F120A" w:rsidP="0085071A">
      <w:pPr>
        <w:pStyle w:val="3-BodyText"/>
      </w:pPr>
      <w:r w:rsidRPr="00B40A41">
        <w:t xml:space="preserve">The key features of the randomised trials are summarised in </w:t>
      </w:r>
      <w:r w:rsidR="006011CB" w:rsidRPr="00B40A41">
        <w:t>Table 3</w:t>
      </w:r>
      <w:r w:rsidRPr="00B40A41">
        <w:t>.</w:t>
      </w:r>
      <w:r w:rsidR="00BC591F" w:rsidRPr="00B40A41">
        <w:t xml:space="preserve"> </w:t>
      </w:r>
      <w:r w:rsidR="00997076" w:rsidRPr="00B40A41">
        <w:t>The</w:t>
      </w:r>
      <w:r w:rsidR="00997076" w:rsidRPr="00B40A41">
        <w:rPr>
          <w:snapToGrid/>
        </w:rPr>
        <w:t xml:space="preserve"> submission </w:t>
      </w:r>
      <w:proofErr w:type="gramStart"/>
      <w:r w:rsidR="00997076" w:rsidRPr="00B40A41">
        <w:rPr>
          <w:snapToGrid/>
        </w:rPr>
        <w:t>was based</w:t>
      </w:r>
      <w:proofErr w:type="gramEnd"/>
      <w:r w:rsidR="00997076" w:rsidRPr="00B40A41">
        <w:rPr>
          <w:snapToGrid/>
        </w:rPr>
        <w:t xml:space="preserve"> on an indirec</w:t>
      </w:r>
      <w:r w:rsidR="008C6E34" w:rsidRPr="00B40A41">
        <w:rPr>
          <w:snapToGrid/>
        </w:rPr>
        <w:t xml:space="preserve">t comparison between pembrolizumab and </w:t>
      </w:r>
      <w:r w:rsidR="00997076" w:rsidRPr="00B40A41">
        <w:rPr>
          <w:snapToGrid/>
        </w:rPr>
        <w:t>nivolumab, with ipilimumab as the common comparator.</w:t>
      </w:r>
    </w:p>
    <w:p w:rsidR="008A1A6F" w:rsidRPr="00B40A41" w:rsidRDefault="008A1A6F" w:rsidP="0085071A">
      <w:pPr>
        <w:pStyle w:val="3-BodyText"/>
      </w:pPr>
      <w:r w:rsidRPr="00B40A41">
        <w:t xml:space="preserve">The submission stated that the total population in CM067 </w:t>
      </w:r>
      <w:proofErr w:type="gramStart"/>
      <w:r w:rsidRPr="00B40A41">
        <w:t>was compared</w:t>
      </w:r>
      <w:proofErr w:type="gramEnd"/>
      <w:r w:rsidRPr="00B40A41">
        <w:t xml:space="preserve"> with the previously untreated BRAF mutation positive subgroup of KN006 to evaluate safety outcomes, whereas only BRAF mutant </w:t>
      </w:r>
      <w:bookmarkStart w:id="16" w:name="_Hlk26614289"/>
      <w:r w:rsidRPr="00B40A41">
        <w:t>treatment naïve</w:t>
      </w:r>
      <w:bookmarkEnd w:id="16"/>
      <w:r w:rsidRPr="00B40A41">
        <w:t xml:space="preserve"> subgroups were compared for the efficacy outcomes of </w:t>
      </w:r>
      <w:r w:rsidR="004160A6" w:rsidRPr="00B40A41">
        <w:t xml:space="preserve">progression free survival (PFS) and </w:t>
      </w:r>
      <w:r w:rsidRPr="00B40A41">
        <w:t xml:space="preserve">overall survival (OS). </w:t>
      </w:r>
    </w:p>
    <w:p w:rsidR="007F1017" w:rsidRPr="00B40A41" w:rsidRDefault="007F1017" w:rsidP="00960991">
      <w:pPr>
        <w:pStyle w:val="TableHeading"/>
        <w:rPr>
          <w:rStyle w:val="CommentReference"/>
          <w:b/>
          <w:szCs w:val="24"/>
        </w:rPr>
      </w:pPr>
      <w:bookmarkStart w:id="17" w:name="_Ref33448755"/>
      <w:r w:rsidRPr="00B40A41">
        <w:rPr>
          <w:rStyle w:val="CommentReference"/>
          <w:b/>
          <w:szCs w:val="24"/>
        </w:rPr>
        <w:t xml:space="preserve">Table </w:t>
      </w:r>
      <w:r w:rsidR="006011CB" w:rsidRPr="00B40A41">
        <w:rPr>
          <w:rStyle w:val="CommentReference"/>
          <w:b/>
          <w:szCs w:val="24"/>
        </w:rPr>
        <w:t>3</w:t>
      </w:r>
      <w:bookmarkEnd w:id="17"/>
      <w:r w:rsidRPr="00B40A41">
        <w:rPr>
          <w:rStyle w:val="CommentReference"/>
          <w:b/>
          <w:szCs w:val="24"/>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5"/>
        <w:gridCol w:w="1251"/>
        <w:gridCol w:w="1419"/>
        <w:gridCol w:w="851"/>
        <w:gridCol w:w="2689"/>
        <w:gridCol w:w="859"/>
        <w:gridCol w:w="1363"/>
      </w:tblGrid>
      <w:tr w:rsidR="006F4853" w:rsidRPr="00B40A41" w:rsidTr="00960991">
        <w:trPr>
          <w:tblHeader/>
        </w:trPr>
        <w:tc>
          <w:tcPr>
            <w:tcW w:w="324" w:type="pct"/>
            <w:shd w:val="clear" w:color="auto" w:fill="auto"/>
            <w:vAlign w:val="center"/>
          </w:tcPr>
          <w:p w:rsidR="006F4853" w:rsidRPr="00B40A41" w:rsidRDefault="006F4853" w:rsidP="001E34DF">
            <w:pPr>
              <w:pStyle w:val="In-tableHeading"/>
              <w:rPr>
                <w:lang w:val="en-AU"/>
              </w:rPr>
            </w:pPr>
            <w:r w:rsidRPr="00B40A41">
              <w:rPr>
                <w:lang w:val="en-AU"/>
              </w:rPr>
              <w:t>Trial</w:t>
            </w:r>
          </w:p>
        </w:tc>
        <w:tc>
          <w:tcPr>
            <w:tcW w:w="694" w:type="pct"/>
            <w:shd w:val="clear" w:color="auto" w:fill="auto"/>
            <w:vAlign w:val="center"/>
          </w:tcPr>
          <w:p w:rsidR="006F4853" w:rsidRPr="00B40A41" w:rsidRDefault="006F4853" w:rsidP="00EC5836">
            <w:pPr>
              <w:pStyle w:val="In-tableHeading"/>
              <w:jc w:val="center"/>
              <w:rPr>
                <w:lang w:val="en-AU"/>
              </w:rPr>
            </w:pPr>
            <w:r w:rsidRPr="00B40A41">
              <w:rPr>
                <w:lang w:val="en-AU"/>
              </w:rPr>
              <w:t>N</w:t>
            </w:r>
          </w:p>
        </w:tc>
        <w:tc>
          <w:tcPr>
            <w:tcW w:w="787" w:type="pct"/>
            <w:shd w:val="clear" w:color="auto" w:fill="auto"/>
            <w:vAlign w:val="center"/>
          </w:tcPr>
          <w:p w:rsidR="006F4853" w:rsidRPr="00B40A41" w:rsidRDefault="006F4853" w:rsidP="00EC5836">
            <w:pPr>
              <w:pStyle w:val="In-tableHeading"/>
              <w:jc w:val="center"/>
              <w:rPr>
                <w:lang w:val="en-AU"/>
              </w:rPr>
            </w:pPr>
            <w:r w:rsidRPr="00B40A41">
              <w:rPr>
                <w:lang w:val="en-AU"/>
              </w:rPr>
              <w:t>Design/ duration</w:t>
            </w:r>
          </w:p>
        </w:tc>
        <w:tc>
          <w:tcPr>
            <w:tcW w:w="472" w:type="pct"/>
            <w:shd w:val="clear" w:color="auto" w:fill="auto"/>
            <w:vAlign w:val="center"/>
          </w:tcPr>
          <w:p w:rsidR="006F4853" w:rsidRPr="00B40A41" w:rsidRDefault="006F4853" w:rsidP="00EC5836">
            <w:pPr>
              <w:pStyle w:val="In-tableHeading"/>
              <w:jc w:val="center"/>
              <w:rPr>
                <w:lang w:val="en-AU"/>
              </w:rPr>
            </w:pPr>
            <w:r w:rsidRPr="00B40A41">
              <w:rPr>
                <w:lang w:val="en-AU"/>
              </w:rPr>
              <w:t>Risk of bias</w:t>
            </w:r>
          </w:p>
        </w:tc>
        <w:tc>
          <w:tcPr>
            <w:tcW w:w="1491" w:type="pct"/>
            <w:shd w:val="clear" w:color="auto" w:fill="auto"/>
            <w:vAlign w:val="center"/>
          </w:tcPr>
          <w:p w:rsidR="006F4853" w:rsidRPr="00B40A41" w:rsidRDefault="006F4853" w:rsidP="00EC5836">
            <w:pPr>
              <w:pStyle w:val="In-tableHeading"/>
              <w:jc w:val="center"/>
              <w:rPr>
                <w:lang w:val="en-AU"/>
              </w:rPr>
            </w:pPr>
            <w:r w:rsidRPr="00B40A41">
              <w:rPr>
                <w:lang w:val="en-AU"/>
              </w:rPr>
              <w:t>Patient population</w:t>
            </w:r>
          </w:p>
        </w:tc>
        <w:tc>
          <w:tcPr>
            <w:tcW w:w="476" w:type="pct"/>
            <w:shd w:val="clear" w:color="auto" w:fill="auto"/>
            <w:vAlign w:val="center"/>
          </w:tcPr>
          <w:p w:rsidR="006F4853" w:rsidRPr="00B40A41" w:rsidRDefault="006F4853" w:rsidP="00EC5836">
            <w:pPr>
              <w:pStyle w:val="In-tableHeading"/>
              <w:jc w:val="center"/>
              <w:rPr>
                <w:lang w:val="en-AU"/>
              </w:rPr>
            </w:pPr>
            <w:r w:rsidRPr="00B40A41">
              <w:rPr>
                <w:lang w:val="en-AU"/>
              </w:rPr>
              <w:t>Outcomes</w:t>
            </w:r>
          </w:p>
        </w:tc>
        <w:tc>
          <w:tcPr>
            <w:tcW w:w="756" w:type="pct"/>
          </w:tcPr>
          <w:p w:rsidR="006F4853" w:rsidRPr="00B40A41" w:rsidRDefault="006F4853" w:rsidP="00EC5836">
            <w:pPr>
              <w:pStyle w:val="In-tableHeading"/>
              <w:jc w:val="center"/>
              <w:rPr>
                <w:lang w:val="en-AU"/>
              </w:rPr>
            </w:pPr>
            <w:r w:rsidRPr="00B40A41">
              <w:rPr>
                <w:lang w:val="en-AU"/>
              </w:rPr>
              <w:t>Use in modelled evaluation</w:t>
            </w:r>
          </w:p>
        </w:tc>
      </w:tr>
      <w:tr w:rsidR="00917BFB" w:rsidRPr="00B40A41" w:rsidTr="00960991">
        <w:tc>
          <w:tcPr>
            <w:tcW w:w="5000" w:type="pct"/>
            <w:gridSpan w:val="7"/>
            <w:shd w:val="clear" w:color="auto" w:fill="auto"/>
            <w:vAlign w:val="center"/>
          </w:tcPr>
          <w:p w:rsidR="00917BFB" w:rsidRPr="00B40A41" w:rsidRDefault="00917BFB" w:rsidP="00960991">
            <w:pPr>
              <w:pStyle w:val="TableText0"/>
              <w:rPr>
                <w:b/>
              </w:rPr>
            </w:pPr>
            <w:r w:rsidRPr="00B40A41">
              <w:rPr>
                <w:b/>
              </w:rPr>
              <w:t>Pembrolizumab vs. Ipilimumab</w:t>
            </w:r>
          </w:p>
        </w:tc>
      </w:tr>
      <w:tr w:rsidR="006F4853" w:rsidRPr="00B40A41" w:rsidTr="00960991">
        <w:tc>
          <w:tcPr>
            <w:tcW w:w="324" w:type="pct"/>
            <w:shd w:val="clear" w:color="auto" w:fill="auto"/>
            <w:vAlign w:val="center"/>
          </w:tcPr>
          <w:p w:rsidR="006F4853" w:rsidRPr="00B40A41" w:rsidRDefault="006F4853" w:rsidP="00197602">
            <w:pPr>
              <w:pStyle w:val="TableText0"/>
            </w:pPr>
            <w:r w:rsidRPr="00B40A41">
              <w:t>KN006</w:t>
            </w:r>
          </w:p>
        </w:tc>
        <w:tc>
          <w:tcPr>
            <w:tcW w:w="694" w:type="pct"/>
            <w:shd w:val="clear" w:color="auto" w:fill="auto"/>
            <w:vAlign w:val="center"/>
          </w:tcPr>
          <w:p w:rsidR="006F4853" w:rsidRPr="00B40A41" w:rsidRDefault="006F4853" w:rsidP="00197602">
            <w:pPr>
              <w:pStyle w:val="TableText0"/>
              <w:jc w:val="center"/>
              <w:rPr>
                <w:vertAlign w:val="superscript"/>
              </w:rPr>
            </w:pPr>
            <w:r w:rsidRPr="00B40A41">
              <w:t>PEMBRO: 108</w:t>
            </w:r>
            <w:r w:rsidRPr="00B40A41">
              <w:rPr>
                <w:i/>
                <w:iCs/>
                <w:vertAlign w:val="superscript"/>
              </w:rPr>
              <w:t>a</w:t>
            </w:r>
          </w:p>
          <w:p w:rsidR="006F4853" w:rsidRPr="00B40A41" w:rsidRDefault="006F4853" w:rsidP="00197602">
            <w:pPr>
              <w:pStyle w:val="TableText0"/>
              <w:jc w:val="center"/>
            </w:pPr>
            <w:r w:rsidRPr="00B40A41">
              <w:t>IPI: 55</w:t>
            </w:r>
            <w:r w:rsidRPr="00B40A41">
              <w:rPr>
                <w:i/>
                <w:iCs/>
                <w:vertAlign w:val="superscript"/>
              </w:rPr>
              <w:t>a</w:t>
            </w:r>
          </w:p>
        </w:tc>
        <w:tc>
          <w:tcPr>
            <w:tcW w:w="787" w:type="pct"/>
            <w:shd w:val="clear" w:color="auto" w:fill="auto"/>
            <w:vAlign w:val="center"/>
          </w:tcPr>
          <w:p w:rsidR="006F4853" w:rsidRPr="00B40A41" w:rsidRDefault="006F4853" w:rsidP="00197602">
            <w:pPr>
              <w:pStyle w:val="TableText0"/>
              <w:jc w:val="center"/>
            </w:pPr>
            <w:r w:rsidRPr="00B40A41">
              <w:t>R, OL, MC</w:t>
            </w:r>
          </w:p>
          <w:p w:rsidR="006F4853" w:rsidRPr="00B40A41" w:rsidRDefault="006F4853" w:rsidP="00197602">
            <w:pPr>
              <w:pStyle w:val="TableText0"/>
              <w:jc w:val="center"/>
            </w:pPr>
            <w:r w:rsidRPr="00B40A41">
              <w:t>minimum 5 years</w:t>
            </w:r>
            <w:r w:rsidRPr="00B40A41">
              <w:rPr>
                <w:i/>
                <w:iCs/>
                <w:vertAlign w:val="superscript"/>
              </w:rPr>
              <w:t>b</w:t>
            </w:r>
          </w:p>
        </w:tc>
        <w:tc>
          <w:tcPr>
            <w:tcW w:w="472" w:type="pct"/>
            <w:shd w:val="clear" w:color="auto" w:fill="auto"/>
            <w:vAlign w:val="center"/>
          </w:tcPr>
          <w:p w:rsidR="006F4853" w:rsidRPr="00B40A41" w:rsidRDefault="006F4853" w:rsidP="00197602">
            <w:pPr>
              <w:pStyle w:val="TableText0"/>
              <w:jc w:val="center"/>
            </w:pPr>
            <w:r w:rsidRPr="00B40A41">
              <w:t>Low</w:t>
            </w:r>
            <w:r w:rsidRPr="00B40A41">
              <w:rPr>
                <w:vertAlign w:val="superscript"/>
              </w:rPr>
              <w:t>c</w:t>
            </w:r>
          </w:p>
        </w:tc>
        <w:tc>
          <w:tcPr>
            <w:tcW w:w="1491" w:type="pct"/>
            <w:shd w:val="clear" w:color="auto" w:fill="auto"/>
            <w:vAlign w:val="center"/>
          </w:tcPr>
          <w:p w:rsidR="006F4853" w:rsidRPr="00B40A41" w:rsidRDefault="006F4853" w:rsidP="00197602">
            <w:pPr>
              <w:pStyle w:val="TableText0"/>
              <w:jc w:val="center"/>
            </w:pPr>
            <w:r w:rsidRPr="00B40A41">
              <w:t xml:space="preserve">BRAF mutant unresectable Stage III or Stage IV melanoma </w:t>
            </w:r>
            <w:r w:rsidR="009A73F4" w:rsidRPr="00B40A41">
              <w:t xml:space="preserve">patients </w:t>
            </w:r>
            <w:r w:rsidRPr="00B40A41">
              <w:t>who have not been previously treated with BRAF±MEK or immunotherapy</w:t>
            </w:r>
          </w:p>
        </w:tc>
        <w:tc>
          <w:tcPr>
            <w:tcW w:w="476" w:type="pct"/>
            <w:shd w:val="clear" w:color="auto" w:fill="auto"/>
            <w:vAlign w:val="center"/>
          </w:tcPr>
          <w:p w:rsidR="006F4853" w:rsidRPr="00B40A41" w:rsidRDefault="006F4853" w:rsidP="00197602">
            <w:pPr>
              <w:pStyle w:val="TableText0"/>
              <w:jc w:val="center"/>
            </w:pPr>
            <w:r w:rsidRPr="00B40A41">
              <w:t>OS, PFS</w:t>
            </w:r>
          </w:p>
        </w:tc>
        <w:tc>
          <w:tcPr>
            <w:tcW w:w="756" w:type="pct"/>
            <w:vAlign w:val="center"/>
          </w:tcPr>
          <w:p w:rsidR="006F4853" w:rsidRPr="00B40A41" w:rsidRDefault="006F4853" w:rsidP="00917BFB">
            <w:pPr>
              <w:pStyle w:val="TableText0"/>
              <w:jc w:val="center"/>
            </w:pPr>
            <w:r w:rsidRPr="00B40A41">
              <w:t>Used</w:t>
            </w:r>
          </w:p>
        </w:tc>
      </w:tr>
      <w:tr w:rsidR="00917BFB" w:rsidRPr="00B40A41" w:rsidTr="00960991">
        <w:tc>
          <w:tcPr>
            <w:tcW w:w="5000" w:type="pct"/>
            <w:gridSpan w:val="7"/>
            <w:shd w:val="clear" w:color="auto" w:fill="auto"/>
            <w:vAlign w:val="center"/>
          </w:tcPr>
          <w:p w:rsidR="00917BFB" w:rsidRPr="00B40A41" w:rsidRDefault="00917BFB" w:rsidP="00960991">
            <w:pPr>
              <w:pStyle w:val="TableText0"/>
              <w:rPr>
                <w:b/>
              </w:rPr>
            </w:pPr>
            <w:r w:rsidRPr="00B40A41">
              <w:rPr>
                <w:b/>
              </w:rPr>
              <w:t>Nivolumab vs. Ipilimumab</w:t>
            </w:r>
          </w:p>
        </w:tc>
      </w:tr>
      <w:tr w:rsidR="006F4853" w:rsidRPr="00B40A41" w:rsidTr="00960991">
        <w:tc>
          <w:tcPr>
            <w:tcW w:w="324" w:type="pct"/>
            <w:shd w:val="clear" w:color="auto" w:fill="auto"/>
            <w:vAlign w:val="center"/>
          </w:tcPr>
          <w:p w:rsidR="006F4853" w:rsidRPr="00B40A41" w:rsidRDefault="006F4853" w:rsidP="00EA69FD">
            <w:pPr>
              <w:pStyle w:val="TableText0"/>
            </w:pPr>
            <w:r w:rsidRPr="00B40A41">
              <w:t>CM067</w:t>
            </w:r>
          </w:p>
        </w:tc>
        <w:tc>
          <w:tcPr>
            <w:tcW w:w="694" w:type="pct"/>
            <w:shd w:val="clear" w:color="auto" w:fill="auto"/>
            <w:vAlign w:val="center"/>
          </w:tcPr>
          <w:p w:rsidR="006F4853" w:rsidRPr="00B40A41" w:rsidRDefault="006F4853" w:rsidP="00EA69FD">
            <w:pPr>
              <w:pStyle w:val="TableText0"/>
              <w:jc w:val="center"/>
              <w:rPr>
                <w:vertAlign w:val="superscript"/>
              </w:rPr>
            </w:pPr>
            <w:r w:rsidRPr="00B40A41">
              <w:t>NIVO: 98</w:t>
            </w:r>
            <w:r w:rsidRPr="00B40A41">
              <w:rPr>
                <w:i/>
                <w:iCs/>
                <w:vertAlign w:val="superscript"/>
              </w:rPr>
              <w:t>a</w:t>
            </w:r>
          </w:p>
          <w:p w:rsidR="006F4853" w:rsidRPr="00B40A41" w:rsidRDefault="006F4853" w:rsidP="00EA69FD">
            <w:pPr>
              <w:pStyle w:val="TableText0"/>
              <w:jc w:val="center"/>
            </w:pPr>
            <w:r w:rsidRPr="00B40A41">
              <w:t>IPI: 100</w:t>
            </w:r>
            <w:r w:rsidRPr="00B40A41">
              <w:rPr>
                <w:i/>
                <w:iCs/>
                <w:vertAlign w:val="superscript"/>
              </w:rPr>
              <w:t>a</w:t>
            </w:r>
          </w:p>
        </w:tc>
        <w:tc>
          <w:tcPr>
            <w:tcW w:w="787" w:type="pct"/>
            <w:shd w:val="clear" w:color="auto" w:fill="auto"/>
            <w:vAlign w:val="center"/>
          </w:tcPr>
          <w:p w:rsidR="006F4853" w:rsidRPr="00B40A41" w:rsidRDefault="006F4853" w:rsidP="00EA69FD">
            <w:pPr>
              <w:pStyle w:val="TableText0"/>
              <w:jc w:val="center"/>
            </w:pPr>
            <w:r w:rsidRPr="00B40A41">
              <w:t>R, DB, MC</w:t>
            </w:r>
          </w:p>
          <w:p w:rsidR="006F4853" w:rsidRPr="00B40A41" w:rsidRDefault="006F4853" w:rsidP="00EA69FD">
            <w:pPr>
              <w:pStyle w:val="TableText0"/>
              <w:jc w:val="center"/>
            </w:pPr>
            <w:r w:rsidRPr="00B40A41">
              <w:t>minimum 4 years</w:t>
            </w:r>
            <w:r w:rsidRPr="00B40A41">
              <w:rPr>
                <w:i/>
                <w:iCs/>
                <w:vertAlign w:val="superscript"/>
              </w:rPr>
              <w:t>b</w:t>
            </w:r>
          </w:p>
        </w:tc>
        <w:tc>
          <w:tcPr>
            <w:tcW w:w="472" w:type="pct"/>
            <w:shd w:val="clear" w:color="auto" w:fill="auto"/>
            <w:vAlign w:val="center"/>
          </w:tcPr>
          <w:p w:rsidR="006F4853" w:rsidRPr="00B40A41" w:rsidRDefault="006F4853" w:rsidP="00EA69FD">
            <w:pPr>
              <w:pStyle w:val="TableText0"/>
              <w:jc w:val="center"/>
            </w:pPr>
            <w:r w:rsidRPr="00B40A41">
              <w:t>Low</w:t>
            </w:r>
          </w:p>
        </w:tc>
        <w:tc>
          <w:tcPr>
            <w:tcW w:w="1491" w:type="pct"/>
            <w:shd w:val="clear" w:color="auto" w:fill="auto"/>
            <w:vAlign w:val="center"/>
          </w:tcPr>
          <w:p w:rsidR="006F4853" w:rsidRPr="00B40A41" w:rsidRDefault="006F4853" w:rsidP="00EA69FD">
            <w:pPr>
              <w:pStyle w:val="TableText0"/>
              <w:jc w:val="center"/>
            </w:pPr>
            <w:r w:rsidRPr="00B40A41">
              <w:t xml:space="preserve">BRAF mutant unresectable Stage III or Stage IV melanoma </w:t>
            </w:r>
            <w:r w:rsidR="009A73F4" w:rsidRPr="00B40A41">
              <w:t xml:space="preserve">patients </w:t>
            </w:r>
            <w:r w:rsidRPr="00B40A41">
              <w:t>who have not been previously treated with BRAF±MEK or immunotherapy</w:t>
            </w:r>
          </w:p>
        </w:tc>
        <w:tc>
          <w:tcPr>
            <w:tcW w:w="476" w:type="pct"/>
            <w:shd w:val="clear" w:color="auto" w:fill="auto"/>
            <w:vAlign w:val="center"/>
          </w:tcPr>
          <w:p w:rsidR="006F4853" w:rsidRPr="00B40A41" w:rsidRDefault="006F4853" w:rsidP="00EA69FD">
            <w:pPr>
              <w:pStyle w:val="TableText0"/>
              <w:jc w:val="center"/>
            </w:pPr>
            <w:r w:rsidRPr="00B40A41">
              <w:t>OS, PFS</w:t>
            </w:r>
          </w:p>
        </w:tc>
        <w:tc>
          <w:tcPr>
            <w:tcW w:w="756" w:type="pct"/>
            <w:vAlign w:val="center"/>
          </w:tcPr>
          <w:p w:rsidR="006F4853" w:rsidRPr="00B40A41" w:rsidRDefault="006F4853" w:rsidP="00917BFB">
            <w:pPr>
              <w:pStyle w:val="TableText0"/>
              <w:jc w:val="center"/>
            </w:pPr>
            <w:r w:rsidRPr="00B40A41">
              <w:t>Used</w:t>
            </w:r>
          </w:p>
        </w:tc>
      </w:tr>
    </w:tbl>
    <w:p w:rsidR="00EA69FD" w:rsidRPr="00B40A41" w:rsidRDefault="00EA69FD" w:rsidP="00EA69FD">
      <w:pPr>
        <w:pStyle w:val="TableFigureFooter"/>
      </w:pPr>
      <w:r w:rsidRPr="00B40A41">
        <w:t xml:space="preserve">DB = double blind; </w:t>
      </w:r>
      <w:r w:rsidR="004160A6" w:rsidRPr="00B40A41">
        <w:t xml:space="preserve">IPI= ipilimumab; </w:t>
      </w:r>
      <w:r w:rsidRPr="00B40A41">
        <w:t xml:space="preserve">MC = multi-centre; </w:t>
      </w:r>
      <w:r w:rsidR="004160A6" w:rsidRPr="00B40A41">
        <w:t xml:space="preserve">NIVO= nivolumab; </w:t>
      </w:r>
      <w:r w:rsidRPr="00B40A41">
        <w:t xml:space="preserve">OL = open label; OS = overall survival; </w:t>
      </w:r>
      <w:r w:rsidR="004160A6" w:rsidRPr="00B40A41">
        <w:t xml:space="preserve">PEMBRO = pembrolizumab; </w:t>
      </w:r>
      <w:r w:rsidRPr="00B40A41">
        <w:t>PFS = progression-free survival; R = randomised.</w:t>
      </w:r>
    </w:p>
    <w:p w:rsidR="00EA69FD" w:rsidRPr="00B40A41" w:rsidRDefault="00EA69FD" w:rsidP="00EA69FD">
      <w:pPr>
        <w:pStyle w:val="TableFigureFooter"/>
      </w:pPr>
      <w:proofErr w:type="gramStart"/>
      <w:r w:rsidRPr="00B40A41">
        <w:rPr>
          <w:vertAlign w:val="superscript"/>
        </w:rPr>
        <w:t>a</w:t>
      </w:r>
      <w:proofErr w:type="gramEnd"/>
      <w:r w:rsidR="008C6E34" w:rsidRPr="00B40A41">
        <w:t xml:space="preserve"> N</w:t>
      </w:r>
      <w:r w:rsidRPr="00B40A41">
        <w:t xml:space="preserve">umber of patients in the </w:t>
      </w:r>
      <w:r w:rsidR="00997076" w:rsidRPr="00B40A41">
        <w:t>first</w:t>
      </w:r>
      <w:r w:rsidR="00917BFB" w:rsidRPr="00B40A41">
        <w:t xml:space="preserve"> </w:t>
      </w:r>
      <w:r w:rsidR="00997076" w:rsidRPr="00B40A41">
        <w:t xml:space="preserve">line </w:t>
      </w:r>
      <w:r w:rsidRPr="00B40A41">
        <w:t>BRAF mutation positive relevant subgroup.</w:t>
      </w:r>
    </w:p>
    <w:p w:rsidR="00EA69FD" w:rsidRPr="00B40A41" w:rsidRDefault="00EA69FD" w:rsidP="00EA69FD">
      <w:pPr>
        <w:pStyle w:val="TableFigureFooter"/>
      </w:pPr>
      <w:proofErr w:type="gramStart"/>
      <w:r w:rsidRPr="00B40A41">
        <w:rPr>
          <w:vertAlign w:val="superscript"/>
        </w:rPr>
        <w:t>b</w:t>
      </w:r>
      <w:proofErr w:type="gramEnd"/>
      <w:r w:rsidR="008C6E34" w:rsidRPr="00B40A41">
        <w:t xml:space="preserve"> M</w:t>
      </w:r>
      <w:r w:rsidRPr="00B40A41">
        <w:t>inimum follow-up in all patients alive at the time of analysis.</w:t>
      </w:r>
    </w:p>
    <w:p w:rsidR="00EA69FD" w:rsidRPr="00B40A41" w:rsidRDefault="00EA69FD" w:rsidP="00EA69FD">
      <w:pPr>
        <w:pStyle w:val="TableFigureFooter"/>
      </w:pPr>
      <w:proofErr w:type="gramStart"/>
      <w:r w:rsidRPr="00B40A41">
        <w:rPr>
          <w:vertAlign w:val="superscript"/>
        </w:rPr>
        <w:t>c</w:t>
      </w:r>
      <w:proofErr w:type="gramEnd"/>
      <w:r w:rsidR="008C6E34" w:rsidRPr="00B40A41">
        <w:t xml:space="preserve"> A</w:t>
      </w:r>
      <w:r w:rsidRPr="00B40A41">
        <w:t xml:space="preserve"> high-risk of subjective bias for subjective outcomes was inherently present due to the open label design of the study. </w:t>
      </w:r>
      <w:r w:rsidR="00E367C4" w:rsidRPr="00B40A41">
        <w:t xml:space="preserve">However, in KN006, the analysis and reporting team </w:t>
      </w:r>
      <w:proofErr w:type="gramStart"/>
      <w:r w:rsidR="00E367C4" w:rsidRPr="00B40A41">
        <w:t>were blinded</w:t>
      </w:r>
      <w:proofErr w:type="gramEnd"/>
      <w:r w:rsidR="00E367C4" w:rsidRPr="00B40A41">
        <w:t xml:space="preserve"> to the treatment assignments</w:t>
      </w:r>
      <w:r w:rsidR="009A73F4" w:rsidRPr="00B40A41">
        <w:t xml:space="preserve"> (p132, KN006 CSR)</w:t>
      </w:r>
      <w:r w:rsidR="00E367C4" w:rsidRPr="00B40A41">
        <w:t>.</w:t>
      </w:r>
    </w:p>
    <w:p w:rsidR="00620C25" w:rsidRPr="00B40A41" w:rsidRDefault="00EA69FD" w:rsidP="00EA69FD">
      <w:pPr>
        <w:pStyle w:val="TableFigureFooter"/>
      </w:pPr>
      <w:r w:rsidRPr="00B40A41">
        <w:t xml:space="preserve">Source: </w:t>
      </w:r>
      <w:r w:rsidR="009A73F4" w:rsidRPr="00B40A41">
        <w:t xml:space="preserve">Table </w:t>
      </w:r>
      <w:r w:rsidRPr="00B40A41">
        <w:t>based on sections 2.3 and 2.4 of the submission</w:t>
      </w:r>
      <w:r w:rsidR="00620C25" w:rsidRPr="00B40A41">
        <w:t>.</w:t>
      </w:r>
    </w:p>
    <w:p w:rsidR="00C874F7" w:rsidRPr="00B40A41" w:rsidRDefault="00424219" w:rsidP="00C874F7">
      <w:pPr>
        <w:pStyle w:val="3-BodyText"/>
      </w:pPr>
      <w:r w:rsidRPr="00B40A41">
        <w:t>Notable differences between the patients in the trials included the greater proportion with ECOG</w:t>
      </w:r>
      <w:r w:rsidRPr="00B40A41">
        <w:rPr>
          <w:rStyle w:val="FootnoteReference"/>
        </w:rPr>
        <w:footnoteReference w:id="7"/>
      </w:r>
      <w:r w:rsidRPr="00B40A41">
        <w:t xml:space="preserve"> level 1 and elevated </w:t>
      </w:r>
      <w:r w:rsidR="003A42C2" w:rsidRPr="00B40A41">
        <w:t>lactate dehydrogenase</w:t>
      </w:r>
      <w:r w:rsidRPr="00B40A41">
        <w:rPr>
          <w:rStyle w:val="FootnoteReference"/>
        </w:rPr>
        <w:footnoteReference w:id="8"/>
      </w:r>
      <w:r w:rsidRPr="00B40A41">
        <w:t xml:space="preserve"> levels in CM067 compared with KN006, </w:t>
      </w:r>
      <w:r w:rsidRPr="00B40A41">
        <w:rPr>
          <w:iCs/>
        </w:rPr>
        <w:t>suggesting that patients in CM067 may have had more advanced disease</w:t>
      </w:r>
      <w:r w:rsidRPr="00B40A41">
        <w:t xml:space="preserve">. </w:t>
      </w:r>
      <w:r w:rsidRPr="00B40A41">
        <w:lastRenderedPageBreak/>
        <w:t xml:space="preserve">However, KN006 had a slightly greater proportion of patients with brain metastasis than CM067, as these patients </w:t>
      </w:r>
      <w:proofErr w:type="gramStart"/>
      <w:r w:rsidRPr="00B40A41">
        <w:t>were excluded</w:t>
      </w:r>
      <w:proofErr w:type="gramEnd"/>
      <w:r w:rsidRPr="00B40A41">
        <w:t xml:space="preserve"> from CM067 but not from KN006. </w:t>
      </w:r>
      <w:r w:rsidR="00420698" w:rsidRPr="00B40A41">
        <w:t xml:space="preserve">Another key </w:t>
      </w:r>
      <w:r w:rsidR="0033277E" w:rsidRPr="00B40A41">
        <w:t xml:space="preserve">difference </w:t>
      </w:r>
      <w:r w:rsidR="00420698" w:rsidRPr="00B40A41">
        <w:t>was</w:t>
      </w:r>
      <w:r w:rsidR="006A1480" w:rsidRPr="00B40A41">
        <w:t xml:space="preserve"> that 9.3% of the BRAF mutant subgroup population in KN006 had received first</w:t>
      </w:r>
      <w:r w:rsidR="00917BFB" w:rsidRPr="00B40A41">
        <w:t xml:space="preserve"> </w:t>
      </w:r>
      <w:r w:rsidR="006A1480" w:rsidRPr="00B40A41">
        <w:t>line therapy (but not immunotherapy</w:t>
      </w:r>
      <w:r w:rsidR="00420698" w:rsidRPr="00B40A41">
        <w:t xml:space="preserve"> with PD-L1/PD</w:t>
      </w:r>
      <w:r w:rsidR="009A73F4" w:rsidRPr="00B40A41">
        <w:t>-</w:t>
      </w:r>
      <w:r w:rsidR="00420698" w:rsidRPr="00B40A41">
        <w:t>1 inhibitor or ipilimumab</w:t>
      </w:r>
      <w:r w:rsidR="006A1480" w:rsidRPr="00B40A41">
        <w:t xml:space="preserve">), whereas </w:t>
      </w:r>
      <w:r w:rsidR="00EC5845" w:rsidRPr="00B40A41">
        <w:t xml:space="preserve">no CM067 </w:t>
      </w:r>
      <w:r w:rsidR="006A1480" w:rsidRPr="00B40A41">
        <w:t>participants received prior systemic treatment with BRAF</w:t>
      </w:r>
      <w:r w:rsidR="006A1480" w:rsidRPr="00B40A41">
        <w:rPr>
          <w:rFonts w:cstheme="minorHAnsi"/>
        </w:rPr>
        <w:t>±</w:t>
      </w:r>
      <w:r w:rsidR="006A1480" w:rsidRPr="00B40A41">
        <w:t>MEK inhibitors or</w:t>
      </w:r>
      <w:r w:rsidR="00420698" w:rsidRPr="00B40A41">
        <w:t xml:space="preserve"> PD-L1/PD</w:t>
      </w:r>
      <w:r w:rsidR="009A73F4" w:rsidRPr="00B40A41">
        <w:t>-</w:t>
      </w:r>
      <w:r w:rsidR="00420698" w:rsidRPr="00B40A41">
        <w:t>1/ipilimumab</w:t>
      </w:r>
      <w:r w:rsidR="006A1480" w:rsidRPr="00B40A41">
        <w:t xml:space="preserve"> immunotherapy. </w:t>
      </w:r>
    </w:p>
    <w:p w:rsidR="001E1D25" w:rsidRPr="00B40A41" w:rsidRDefault="00F357F5" w:rsidP="00842C10">
      <w:pPr>
        <w:pStyle w:val="3-BodyText"/>
      </w:pPr>
      <w:r w:rsidRPr="00B40A41">
        <w:t xml:space="preserve">The </w:t>
      </w:r>
      <w:r w:rsidR="00955CBE" w:rsidRPr="00B40A41">
        <w:t xml:space="preserve">submission </w:t>
      </w:r>
      <w:r w:rsidR="006A1480" w:rsidRPr="00B40A41">
        <w:t>claimed</w:t>
      </w:r>
      <w:r w:rsidR="00955CBE" w:rsidRPr="00B40A41">
        <w:t xml:space="preserve"> that differences</w:t>
      </w:r>
      <w:r w:rsidR="00D70740" w:rsidRPr="00B40A41">
        <w:t xml:space="preserve"> in </w:t>
      </w:r>
      <w:r w:rsidR="00FE062F" w:rsidRPr="00B40A41">
        <w:t xml:space="preserve">baseline </w:t>
      </w:r>
      <w:r w:rsidR="00D70740" w:rsidRPr="00B40A41">
        <w:t>patient</w:t>
      </w:r>
      <w:r w:rsidR="00FE062F" w:rsidRPr="00B40A41">
        <w:t xml:space="preserve"> characteristic</w:t>
      </w:r>
      <w:r w:rsidR="00D70740" w:rsidRPr="00B40A41">
        <w:t xml:space="preserve">s between the two trials </w:t>
      </w:r>
      <w:r w:rsidR="00955CBE" w:rsidRPr="00B40A41">
        <w:t xml:space="preserve">were </w:t>
      </w:r>
      <w:r w:rsidR="001956D5" w:rsidRPr="00B40A41">
        <w:t xml:space="preserve">unlikely to </w:t>
      </w:r>
      <w:r w:rsidR="00D70740" w:rsidRPr="00B40A41">
        <w:t xml:space="preserve">substantially </w:t>
      </w:r>
      <w:proofErr w:type="gramStart"/>
      <w:r w:rsidR="001956D5" w:rsidRPr="00B40A41">
        <w:t>impact</w:t>
      </w:r>
      <w:proofErr w:type="gramEnd"/>
      <w:r w:rsidR="001956D5" w:rsidRPr="00B40A41">
        <w:t xml:space="preserve"> the results</w:t>
      </w:r>
      <w:r w:rsidR="00D70740" w:rsidRPr="00B40A41">
        <w:t xml:space="preserve"> of the indirect comparison</w:t>
      </w:r>
      <w:r w:rsidR="00955CBE" w:rsidRPr="00B40A41">
        <w:t xml:space="preserve">. </w:t>
      </w:r>
      <w:r w:rsidR="00D70740" w:rsidRPr="00B40A41">
        <w:rPr>
          <w:iCs/>
        </w:rPr>
        <w:t xml:space="preserve">Although the patient </w:t>
      </w:r>
      <w:r w:rsidR="009A73F4" w:rsidRPr="00B40A41">
        <w:rPr>
          <w:iCs/>
        </w:rPr>
        <w:t>characteristics</w:t>
      </w:r>
      <w:r w:rsidR="00D70740" w:rsidRPr="00B40A41">
        <w:rPr>
          <w:iCs/>
        </w:rPr>
        <w:t xml:space="preserve"> of the two trials were broadly similar, a</w:t>
      </w:r>
      <w:r w:rsidR="00955CBE" w:rsidRPr="00B40A41">
        <w:rPr>
          <w:iCs/>
        </w:rPr>
        <w:t xml:space="preserve"> statistical population adjustment method</w:t>
      </w:r>
      <w:r w:rsidR="00D70740" w:rsidRPr="00B40A41">
        <w:rPr>
          <w:iCs/>
        </w:rPr>
        <w:t>,</w:t>
      </w:r>
      <w:r w:rsidR="00955CBE" w:rsidRPr="00B40A41">
        <w:rPr>
          <w:iCs/>
        </w:rPr>
        <w:t xml:space="preserve"> such as a Matching-Adjusted Indirect Comparison or Simulated Treatment Comparison</w:t>
      </w:r>
      <w:r w:rsidR="00E71313" w:rsidRPr="00B40A41">
        <w:rPr>
          <w:iCs/>
        </w:rPr>
        <w:t>,</w:t>
      </w:r>
      <w:r w:rsidR="00955CBE" w:rsidRPr="00B40A41">
        <w:rPr>
          <w:iCs/>
        </w:rPr>
        <w:t xml:space="preserve"> could have been utilised to address any lack of exchangeability of treatment effects between the two trials</w:t>
      </w:r>
      <w:r w:rsidR="00955CBE" w:rsidRPr="00B40A41">
        <w:t>.</w:t>
      </w:r>
      <w:r w:rsidR="008A34E6" w:rsidRPr="00B40A41">
        <w:t xml:space="preserve"> </w:t>
      </w:r>
      <w:r w:rsidR="00E77A90" w:rsidRPr="00B40A41">
        <w:t>T</w:t>
      </w:r>
      <w:r w:rsidR="00CD586A" w:rsidRPr="00B40A41">
        <w:t>he sponsor</w:t>
      </w:r>
      <w:r w:rsidR="00E77A90" w:rsidRPr="00B40A41">
        <w:t xml:space="preserve"> </w:t>
      </w:r>
      <w:r w:rsidR="00511F9C" w:rsidRPr="00B40A41">
        <w:t xml:space="preserve">stated that </w:t>
      </w:r>
      <w:r w:rsidR="00CD586A" w:rsidRPr="00B40A41">
        <w:t>such a technique was not utilised</w:t>
      </w:r>
      <w:r w:rsidR="00511F9C" w:rsidRPr="00B40A41">
        <w:t xml:space="preserve"> </w:t>
      </w:r>
      <w:r w:rsidR="00DA11C7" w:rsidRPr="00B40A41">
        <w:t xml:space="preserve">because </w:t>
      </w:r>
      <w:r w:rsidR="00CD586A" w:rsidRPr="00B40A41">
        <w:t>baseline characteristics for the target population in trial CM067</w:t>
      </w:r>
      <w:r w:rsidR="00DA11C7" w:rsidRPr="00B40A41">
        <w:t xml:space="preserve"> were not available</w:t>
      </w:r>
      <w:r w:rsidR="00057B53" w:rsidRPr="00B40A41">
        <w:t xml:space="preserve">, and </w:t>
      </w:r>
      <w:r w:rsidR="00DA11C7" w:rsidRPr="00B40A41">
        <w:t>because</w:t>
      </w:r>
      <w:r w:rsidR="00DA11C7" w:rsidRPr="00B40A41">
        <w:rPr>
          <w:iCs/>
        </w:rPr>
        <w:t xml:space="preserve"> </w:t>
      </w:r>
      <w:r w:rsidR="00CD586A" w:rsidRPr="00B40A41">
        <w:t>any assumptions made on the makeup of the baseline characteristics</w:t>
      </w:r>
      <w:r w:rsidR="00FE062F" w:rsidRPr="00B40A41">
        <w:t xml:space="preserve"> for the BRAF mutant subpopulation</w:t>
      </w:r>
      <w:r w:rsidR="00CD586A" w:rsidRPr="00B40A41">
        <w:t xml:space="preserve"> would introduce more uncertainty and bias.</w:t>
      </w:r>
      <w:r w:rsidR="00CD586A" w:rsidRPr="00B40A41">
        <w:rPr>
          <w:iCs/>
        </w:rPr>
        <w:t xml:space="preserve"> Th</w:t>
      </w:r>
      <w:r w:rsidR="00C763F6" w:rsidRPr="00B40A41">
        <w:rPr>
          <w:iCs/>
        </w:rPr>
        <w:t xml:space="preserve">e ESC considered that this </w:t>
      </w:r>
      <w:r w:rsidR="00CD586A" w:rsidRPr="00B40A41">
        <w:rPr>
          <w:iCs/>
        </w:rPr>
        <w:t xml:space="preserve">explanation </w:t>
      </w:r>
      <w:r w:rsidR="00E400C9" w:rsidRPr="00B40A41">
        <w:rPr>
          <w:iCs/>
        </w:rPr>
        <w:t>wa</w:t>
      </w:r>
      <w:r w:rsidR="00CD586A" w:rsidRPr="00B40A41">
        <w:rPr>
          <w:iCs/>
        </w:rPr>
        <w:t>s reasonable</w:t>
      </w:r>
      <w:r w:rsidR="006E3B53" w:rsidRPr="00B40A41">
        <w:rPr>
          <w:iCs/>
        </w:rPr>
        <w:t xml:space="preserve">. </w:t>
      </w:r>
    </w:p>
    <w:p w:rsidR="005D6141" w:rsidRPr="00B40A41" w:rsidRDefault="005D6141" w:rsidP="00BA7B61">
      <w:pPr>
        <w:pStyle w:val="3-BodyText"/>
        <w:rPr>
          <w:iCs/>
        </w:rPr>
      </w:pPr>
      <w:r w:rsidRPr="00B40A41">
        <w:rPr>
          <w:iCs/>
        </w:rPr>
        <w:t>The submission provided no information on subsequent treatments for CM067. A greater proportion of patients in KN006 received subsequent treatments in the ipilimumab control group (79%) compared to the two pembrolizumab arms (54%).</w:t>
      </w:r>
      <w:r w:rsidR="000D4371" w:rsidRPr="00B40A41">
        <w:rPr>
          <w:iCs/>
        </w:rPr>
        <w:t xml:space="preserve"> </w:t>
      </w:r>
      <w:r w:rsidR="00131B2D" w:rsidRPr="00B40A41">
        <w:t>The</w:t>
      </w:r>
      <w:r w:rsidR="000D4371" w:rsidRPr="00B40A41">
        <w:t xml:space="preserve"> </w:t>
      </w:r>
      <w:r w:rsidR="00FD78C7">
        <w:t>Pre-Sub-Committee Response (PSCR)</w:t>
      </w:r>
      <w:r w:rsidR="000D4371" w:rsidRPr="00B40A41">
        <w:t xml:space="preserve"> </w:t>
      </w:r>
      <w:r w:rsidR="00131B2D" w:rsidRPr="00B40A41">
        <w:t xml:space="preserve">stated that in the intention to treat population of </w:t>
      </w:r>
      <w:r w:rsidR="000D4371" w:rsidRPr="00B40A41">
        <w:t>CM067 the use of subsequent therapies</w:t>
      </w:r>
      <w:r w:rsidR="00131B2D" w:rsidRPr="00B40A41">
        <w:t xml:space="preserve"> (75% in the ipilimumab arm and 58% in the nivolumab arm)</w:t>
      </w:r>
      <w:r w:rsidR="000D4371" w:rsidRPr="00B40A41">
        <w:t xml:space="preserve"> was similar to the </w:t>
      </w:r>
      <w:r w:rsidR="00131B2D" w:rsidRPr="00B40A41">
        <w:t xml:space="preserve">BRAF mutant </w:t>
      </w:r>
      <w:r w:rsidR="000D4371" w:rsidRPr="00B40A41">
        <w:t xml:space="preserve">subgroup </w:t>
      </w:r>
      <w:r w:rsidR="00131B2D" w:rsidRPr="00B40A41">
        <w:t>in the KN006</w:t>
      </w:r>
      <w:r w:rsidR="000D4371" w:rsidRPr="00B40A41">
        <w:t xml:space="preserve">. </w:t>
      </w:r>
      <w:r w:rsidR="00131B2D" w:rsidRPr="00B40A41">
        <w:t>D</w:t>
      </w:r>
      <w:r w:rsidR="000D4371" w:rsidRPr="00B40A41">
        <w:t xml:space="preserve">ata </w:t>
      </w:r>
      <w:r w:rsidR="00131B2D" w:rsidRPr="00B40A41">
        <w:t>from the BRAF mutant</w:t>
      </w:r>
      <w:r w:rsidR="000D4371" w:rsidRPr="00B40A41">
        <w:t xml:space="preserve"> subgroup </w:t>
      </w:r>
      <w:r w:rsidR="00131B2D" w:rsidRPr="00B40A41">
        <w:t>in CM067 were</w:t>
      </w:r>
      <w:r w:rsidR="000D4371" w:rsidRPr="00B40A41">
        <w:t xml:space="preserve"> not available.</w:t>
      </w:r>
    </w:p>
    <w:p w:rsidR="009D52F7" w:rsidRPr="00B40A41" w:rsidRDefault="009D52F7" w:rsidP="000D13C4">
      <w:pPr>
        <w:pStyle w:val="3-BodyText"/>
        <w:rPr>
          <w:iCs/>
        </w:rPr>
      </w:pPr>
      <w:r w:rsidRPr="00B40A41">
        <w:rPr>
          <w:iCs/>
        </w:rPr>
        <w:t>Due to the lack of head-to-head randomised trials, the indirect comparisons made in the submission increased the overall risk of bias</w:t>
      </w:r>
      <w:r w:rsidRPr="00B40A41">
        <w:t xml:space="preserve">. </w:t>
      </w:r>
    </w:p>
    <w:p w:rsidR="003A42C2" w:rsidRPr="00B40A41" w:rsidRDefault="003A42C2" w:rsidP="000D13C4">
      <w:pPr>
        <w:pStyle w:val="3-BodyText"/>
        <w:rPr>
          <w:iCs/>
        </w:rPr>
      </w:pPr>
      <w:r w:rsidRPr="00B40A41">
        <w:t xml:space="preserve">Differences </w:t>
      </w:r>
      <w:proofErr w:type="gramStart"/>
      <w:r w:rsidRPr="00B40A41">
        <w:t>were noted</w:t>
      </w:r>
      <w:proofErr w:type="gramEnd"/>
      <w:r w:rsidRPr="00B40A41">
        <w:t xml:space="preserve"> in the rates of discontinuation between the ipilimumab arm (36%) and the pembrolizumab arms (75% and 79%) of KN006 due to progressive disease, despite better PFS in the pembrolizumab arms. The PSCR stated that this was due to ipilimumab being administered for 12 weeks only; whereas, pembrolizumab is continued generally until progression or death.</w:t>
      </w:r>
    </w:p>
    <w:p w:rsidR="00CC5266" w:rsidRPr="00B40A41" w:rsidRDefault="002101CD" w:rsidP="00441015">
      <w:pPr>
        <w:pStyle w:val="3-BodyText"/>
      </w:pPr>
      <w:proofErr w:type="gramStart"/>
      <w:r w:rsidRPr="00B40A41">
        <w:rPr>
          <w:iCs/>
        </w:rPr>
        <w:t xml:space="preserve">For trial KN006, </w:t>
      </w:r>
      <w:r w:rsidR="001A5347" w:rsidRPr="00B40A41">
        <w:rPr>
          <w:iCs/>
        </w:rPr>
        <w:t xml:space="preserve">a </w:t>
      </w:r>
      <w:r w:rsidRPr="00B40A41">
        <w:rPr>
          <w:iCs/>
        </w:rPr>
        <w:t>10</w:t>
      </w:r>
      <w:r w:rsidR="009D52F7" w:rsidRPr="00B40A41">
        <w:rPr>
          <w:iCs/>
        </w:rPr>
        <w:t xml:space="preserve"> </w:t>
      </w:r>
      <w:r w:rsidRPr="00B40A41">
        <w:rPr>
          <w:iCs/>
        </w:rPr>
        <w:t>mg/kg dose of pembrolizumab was administered either every 2 weeks (Q2W) or every 3 weeks (Q3W), which is different from the current PBS listing of 2</w:t>
      </w:r>
      <w:r w:rsidR="009D52F7" w:rsidRPr="00B40A41">
        <w:rPr>
          <w:iCs/>
        </w:rPr>
        <w:t xml:space="preserve"> </w:t>
      </w:r>
      <w:r w:rsidRPr="00B40A41">
        <w:rPr>
          <w:iCs/>
        </w:rPr>
        <w:t xml:space="preserve">mg/kg Q3W with a maximum amount of 200 mg. Trial KN006 did not state the maximum allowable dose, implying that the doses used in KN006 may have been </w:t>
      </w:r>
      <w:r w:rsidR="009D52F7" w:rsidRPr="00B40A41">
        <w:rPr>
          <w:iCs/>
        </w:rPr>
        <w:t xml:space="preserve">substantially </w:t>
      </w:r>
      <w:r w:rsidRPr="00B40A41">
        <w:rPr>
          <w:iCs/>
        </w:rPr>
        <w:t xml:space="preserve">higher than </w:t>
      </w:r>
      <w:r w:rsidR="00E10D7E" w:rsidRPr="00B40A41">
        <w:rPr>
          <w:iCs/>
        </w:rPr>
        <w:t xml:space="preserve">the </w:t>
      </w:r>
      <w:r w:rsidRPr="00B40A41">
        <w:rPr>
          <w:iCs/>
        </w:rPr>
        <w:t xml:space="preserve">currently </w:t>
      </w:r>
      <w:r w:rsidR="00E10D7E" w:rsidRPr="00B40A41">
        <w:rPr>
          <w:iCs/>
        </w:rPr>
        <w:t>approved dose</w:t>
      </w:r>
      <w:r w:rsidRPr="00B40A41">
        <w:rPr>
          <w:iCs/>
        </w:rPr>
        <w:t xml:space="preserve"> in Australia.</w:t>
      </w:r>
      <w:proofErr w:type="gramEnd"/>
      <w:r w:rsidR="001A5347" w:rsidRPr="00B40A41">
        <w:rPr>
          <w:iCs/>
        </w:rPr>
        <w:t xml:space="preserve"> Any differences in dosing between the trial and clinical practice could potentially lead to differences in </w:t>
      </w:r>
      <w:r w:rsidR="00960AD7" w:rsidRPr="00B40A41">
        <w:rPr>
          <w:iCs/>
        </w:rPr>
        <w:t xml:space="preserve">the </w:t>
      </w:r>
      <w:r w:rsidR="001A5347" w:rsidRPr="00B40A41">
        <w:rPr>
          <w:iCs/>
        </w:rPr>
        <w:t>effectiveness</w:t>
      </w:r>
      <w:r w:rsidR="009D52F7" w:rsidRPr="00B40A41">
        <w:rPr>
          <w:iCs/>
        </w:rPr>
        <w:t xml:space="preserve"> and safety</w:t>
      </w:r>
      <w:r w:rsidR="001A5347" w:rsidRPr="00B40A41">
        <w:rPr>
          <w:iCs/>
        </w:rPr>
        <w:t xml:space="preserve"> of pembrolizumab.</w:t>
      </w:r>
      <w:r w:rsidRPr="00B40A41">
        <w:rPr>
          <w:iCs/>
        </w:rPr>
        <w:t xml:space="preserve"> However, </w:t>
      </w:r>
      <w:r w:rsidR="00441015" w:rsidRPr="00B40A41">
        <w:rPr>
          <w:iCs/>
        </w:rPr>
        <w:t>the PBAC has previously considered that the evidence suggests, but does not guarantee, that there were no important differences in effectiveness or safety between the 2</w:t>
      </w:r>
      <w:r w:rsidR="006C72D1" w:rsidRPr="00B40A41">
        <w:rPr>
          <w:iCs/>
        </w:rPr>
        <w:t xml:space="preserve"> </w:t>
      </w:r>
      <w:r w:rsidR="00441015" w:rsidRPr="00B40A41">
        <w:rPr>
          <w:iCs/>
        </w:rPr>
        <w:t>mg/kg and 10</w:t>
      </w:r>
      <w:r w:rsidR="006C72D1" w:rsidRPr="00B40A41">
        <w:rPr>
          <w:iCs/>
        </w:rPr>
        <w:t> </w:t>
      </w:r>
      <w:r w:rsidR="00441015" w:rsidRPr="00B40A41">
        <w:rPr>
          <w:iCs/>
        </w:rPr>
        <w:t xml:space="preserve">mg/kg dosing regimens for treatment of metastatic melanoma (para 7.7, Pembrolizumab, </w:t>
      </w:r>
      <w:r w:rsidR="00441015" w:rsidRPr="00B40A41">
        <w:rPr>
          <w:iCs/>
        </w:rPr>
        <w:lastRenderedPageBreak/>
        <w:t>PSD, March 2015).</w:t>
      </w:r>
      <w:r w:rsidRPr="00B40A41">
        <w:rPr>
          <w:iCs/>
        </w:rPr>
        <w:t xml:space="preserve"> </w:t>
      </w:r>
      <w:r w:rsidR="001A5347" w:rsidRPr="00B40A41">
        <w:rPr>
          <w:iCs/>
        </w:rPr>
        <w:t xml:space="preserve">The </w:t>
      </w:r>
      <w:r w:rsidR="006C72D1" w:rsidRPr="00B40A41">
        <w:rPr>
          <w:iCs/>
        </w:rPr>
        <w:t>Australian Product Information</w:t>
      </w:r>
      <w:r w:rsidR="00960AD7" w:rsidRPr="00B40A41">
        <w:rPr>
          <w:iCs/>
        </w:rPr>
        <w:t xml:space="preserve"> </w:t>
      </w:r>
      <w:r w:rsidRPr="00B40A41">
        <w:rPr>
          <w:iCs/>
        </w:rPr>
        <w:t>also state</w:t>
      </w:r>
      <w:r w:rsidR="006C72D1" w:rsidRPr="00B40A41">
        <w:rPr>
          <w:iCs/>
        </w:rPr>
        <w:t>s</w:t>
      </w:r>
      <w:r w:rsidRPr="00B40A41">
        <w:rPr>
          <w:iCs/>
        </w:rPr>
        <w:t xml:space="preserve"> that patients receiving up to 10</w:t>
      </w:r>
      <w:r w:rsidR="009D52F7" w:rsidRPr="00B40A41">
        <w:rPr>
          <w:iCs/>
        </w:rPr>
        <w:t xml:space="preserve"> </w:t>
      </w:r>
      <w:r w:rsidRPr="00B40A41">
        <w:rPr>
          <w:iCs/>
        </w:rPr>
        <w:t xml:space="preserve">mg/kg dose had a similar safety profile to that seen in patients receiving 2 mg/kg (p26 of Keytruda </w:t>
      </w:r>
      <w:r w:rsidR="00511F9C" w:rsidRPr="00B40A41">
        <w:rPr>
          <w:iCs/>
        </w:rPr>
        <w:t>P</w:t>
      </w:r>
      <w:r w:rsidRPr="00B40A41">
        <w:rPr>
          <w:iCs/>
        </w:rPr>
        <w:t xml:space="preserve">roduct </w:t>
      </w:r>
      <w:r w:rsidR="00511F9C" w:rsidRPr="00B40A41">
        <w:rPr>
          <w:iCs/>
        </w:rPr>
        <w:t>I</w:t>
      </w:r>
      <w:r w:rsidRPr="00B40A41">
        <w:rPr>
          <w:iCs/>
        </w:rPr>
        <w:t>nformation).</w:t>
      </w:r>
      <w:r w:rsidR="00203E6C" w:rsidRPr="00B40A41">
        <w:t xml:space="preserve"> </w:t>
      </w:r>
    </w:p>
    <w:p w:rsidR="00B60939" w:rsidRPr="00B40A41" w:rsidRDefault="00B60939" w:rsidP="00EC5836">
      <w:pPr>
        <w:pStyle w:val="4-SubsectionHeading"/>
      </w:pPr>
      <w:bookmarkStart w:id="18" w:name="_Toc22897641"/>
      <w:bookmarkStart w:id="19" w:name="_Toc30419509"/>
      <w:r w:rsidRPr="00B40A41">
        <w:t>Comparative effectiveness</w:t>
      </w:r>
      <w:bookmarkEnd w:id="18"/>
      <w:bookmarkEnd w:id="19"/>
    </w:p>
    <w:p w:rsidR="009351CD" w:rsidRPr="00B40A41" w:rsidRDefault="009351CD" w:rsidP="00EC5836">
      <w:pPr>
        <w:pStyle w:val="3-BodyText"/>
      </w:pPr>
      <w:r w:rsidRPr="00B40A41">
        <w:t xml:space="preserve">The </w:t>
      </w:r>
      <w:r w:rsidR="005D655C" w:rsidRPr="00B40A41">
        <w:t>PFS and OS</w:t>
      </w:r>
      <w:r w:rsidRPr="00B40A41">
        <w:t xml:space="preserve"> results relevant to the BRAF mutation positive</w:t>
      </w:r>
      <w:r w:rsidR="006D6BC9" w:rsidRPr="00B40A41">
        <w:t xml:space="preserve"> treatment naïve </w:t>
      </w:r>
      <w:r w:rsidRPr="00B40A41">
        <w:t xml:space="preserve">subgroups in KN006 and CM067 are summarised </w:t>
      </w:r>
      <w:r w:rsidR="00960AD7" w:rsidRPr="00B40A41">
        <w:t xml:space="preserve">in </w:t>
      </w:r>
      <w:r w:rsidR="006011CB" w:rsidRPr="00B40A41">
        <w:t>Table 4</w:t>
      </w:r>
      <w:r w:rsidR="00960991" w:rsidRPr="00B40A41">
        <w:t xml:space="preserve"> </w:t>
      </w:r>
      <w:r w:rsidR="00960AD7" w:rsidRPr="00B40A41">
        <w:t xml:space="preserve">and </w:t>
      </w:r>
      <w:r w:rsidR="006011CB" w:rsidRPr="00B40A41">
        <w:t>Table 5</w:t>
      </w:r>
      <w:r w:rsidR="00960AD7" w:rsidRPr="00B40A41">
        <w:t>.</w:t>
      </w:r>
      <w:r w:rsidRPr="00B40A41">
        <w:t xml:space="preserve"> </w:t>
      </w:r>
    </w:p>
    <w:p w:rsidR="0061549B" w:rsidRPr="00B40A41" w:rsidRDefault="0061549B" w:rsidP="00960991">
      <w:pPr>
        <w:pStyle w:val="TableHeading"/>
        <w:rPr>
          <w:rStyle w:val="CommentReference"/>
          <w:b/>
          <w:szCs w:val="24"/>
        </w:rPr>
      </w:pPr>
      <w:bookmarkStart w:id="20" w:name="_Ref33448904"/>
      <w:r w:rsidRPr="00B40A41">
        <w:rPr>
          <w:rStyle w:val="CommentReference"/>
          <w:b/>
          <w:szCs w:val="24"/>
        </w:rPr>
        <w:t xml:space="preserve">Table </w:t>
      </w:r>
      <w:r w:rsidR="006011CB" w:rsidRPr="00B40A41">
        <w:rPr>
          <w:rStyle w:val="CommentReference"/>
          <w:b/>
          <w:szCs w:val="24"/>
        </w:rPr>
        <w:t>4</w:t>
      </w:r>
      <w:bookmarkEnd w:id="20"/>
      <w:r w:rsidRPr="00B40A41">
        <w:rPr>
          <w:rStyle w:val="CommentReference"/>
          <w:b/>
          <w:szCs w:val="24"/>
        </w:rPr>
        <w:t>: Summary of survival outcomes</w:t>
      </w:r>
      <w:r w:rsidR="009351CD" w:rsidRPr="00B40A41">
        <w:rPr>
          <w:rStyle w:val="CommentReference"/>
          <w:b/>
          <w:szCs w:val="24"/>
        </w:rPr>
        <w:t xml:space="preserve"> across the relevant treatment subgroups</w:t>
      </w:r>
      <w:r w:rsidRPr="00B40A41">
        <w:rPr>
          <w:rStyle w:val="CommentReference"/>
          <w:b/>
          <w:szCs w:val="24"/>
        </w:rPr>
        <w:t xml:space="preserve"> in </w:t>
      </w:r>
      <w:r w:rsidR="009351CD" w:rsidRPr="00B40A41">
        <w:rPr>
          <w:rStyle w:val="CommentReference"/>
          <w:b/>
          <w:szCs w:val="24"/>
        </w:rPr>
        <w:t xml:space="preserve">the randomised </w:t>
      </w:r>
      <w:r w:rsidRPr="00B40A41">
        <w:rPr>
          <w:rStyle w:val="CommentReference"/>
          <w:b/>
          <w:szCs w:val="24"/>
        </w:rPr>
        <w:t>trial</w:t>
      </w:r>
      <w:r w:rsidR="009351CD" w:rsidRPr="00B40A41">
        <w:rPr>
          <w:rStyle w:val="CommentReference"/>
          <w:b/>
          <w:szCs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558"/>
        <w:gridCol w:w="1562"/>
        <w:gridCol w:w="1558"/>
        <w:gridCol w:w="1508"/>
      </w:tblGrid>
      <w:tr w:rsidR="005D655C" w:rsidRPr="00B40A41" w:rsidTr="00960991">
        <w:trPr>
          <w:cantSplit/>
          <w:tblHeader/>
        </w:trPr>
        <w:tc>
          <w:tcPr>
            <w:tcW w:w="1570" w:type="pct"/>
            <w:vMerge w:val="restart"/>
            <w:vAlign w:val="center"/>
          </w:tcPr>
          <w:p w:rsidR="005D655C" w:rsidRPr="00B40A41" w:rsidRDefault="005D655C" w:rsidP="00057B53">
            <w:pPr>
              <w:pStyle w:val="In-tableHeading"/>
              <w:jc w:val="center"/>
              <w:rPr>
                <w:szCs w:val="20"/>
                <w:lang w:val="en-AU"/>
              </w:rPr>
            </w:pPr>
          </w:p>
        </w:tc>
        <w:tc>
          <w:tcPr>
            <w:tcW w:w="1730" w:type="pct"/>
            <w:gridSpan w:val="2"/>
            <w:vAlign w:val="center"/>
          </w:tcPr>
          <w:p w:rsidR="005D655C" w:rsidRPr="00B40A41" w:rsidRDefault="005D655C" w:rsidP="00057B53">
            <w:pPr>
              <w:pStyle w:val="In-tableHeading"/>
              <w:jc w:val="center"/>
              <w:rPr>
                <w:szCs w:val="20"/>
                <w:lang w:val="en-AU"/>
              </w:rPr>
            </w:pPr>
            <w:r w:rsidRPr="00B40A41">
              <w:rPr>
                <w:szCs w:val="20"/>
                <w:lang w:val="en-AU"/>
              </w:rPr>
              <w:t xml:space="preserve">KN006 </w:t>
            </w:r>
          </w:p>
          <w:p w:rsidR="005D655C" w:rsidRPr="00B40A41" w:rsidRDefault="005D655C" w:rsidP="00057B53">
            <w:pPr>
              <w:pStyle w:val="In-tableHeading"/>
              <w:jc w:val="center"/>
              <w:rPr>
                <w:szCs w:val="20"/>
                <w:lang w:val="en-AU"/>
              </w:rPr>
            </w:pPr>
            <w:r w:rsidRPr="00B40A41">
              <w:rPr>
                <w:szCs w:val="20"/>
                <w:lang w:val="en-AU"/>
              </w:rPr>
              <w:t>BRAF mutant Rx naïve subgroup</w:t>
            </w:r>
          </w:p>
        </w:tc>
        <w:tc>
          <w:tcPr>
            <w:tcW w:w="1700" w:type="pct"/>
            <w:gridSpan w:val="2"/>
            <w:vAlign w:val="center"/>
          </w:tcPr>
          <w:p w:rsidR="005D655C" w:rsidRPr="00B40A41" w:rsidRDefault="005D655C" w:rsidP="00057B53">
            <w:pPr>
              <w:pStyle w:val="In-tableHeading"/>
              <w:jc w:val="center"/>
              <w:rPr>
                <w:szCs w:val="20"/>
                <w:lang w:val="en-AU"/>
              </w:rPr>
            </w:pPr>
            <w:r w:rsidRPr="00B40A41">
              <w:rPr>
                <w:szCs w:val="20"/>
                <w:lang w:val="en-AU"/>
              </w:rPr>
              <w:t xml:space="preserve">CM067 </w:t>
            </w:r>
          </w:p>
          <w:p w:rsidR="005D655C" w:rsidRPr="00B40A41" w:rsidRDefault="005D655C" w:rsidP="00057B53">
            <w:pPr>
              <w:pStyle w:val="In-tableHeading"/>
              <w:jc w:val="center"/>
              <w:rPr>
                <w:szCs w:val="20"/>
                <w:lang w:val="en-AU"/>
              </w:rPr>
            </w:pPr>
            <w:r w:rsidRPr="00B40A41">
              <w:rPr>
                <w:szCs w:val="20"/>
                <w:lang w:val="en-AU"/>
              </w:rPr>
              <w:t>BRAF mutant Rx naïve subgroup</w:t>
            </w:r>
          </w:p>
        </w:tc>
      </w:tr>
      <w:tr w:rsidR="005D655C" w:rsidRPr="00B40A41" w:rsidTr="00960991">
        <w:trPr>
          <w:cantSplit/>
          <w:tblHeader/>
        </w:trPr>
        <w:tc>
          <w:tcPr>
            <w:tcW w:w="1570" w:type="pct"/>
            <w:vMerge/>
            <w:vAlign w:val="center"/>
          </w:tcPr>
          <w:p w:rsidR="005D655C" w:rsidRPr="00B40A41" w:rsidRDefault="005D655C" w:rsidP="00057B53">
            <w:pPr>
              <w:pStyle w:val="In-tableHeading"/>
              <w:jc w:val="center"/>
              <w:rPr>
                <w:szCs w:val="20"/>
                <w:lang w:val="en-AU"/>
              </w:rPr>
            </w:pPr>
          </w:p>
        </w:tc>
        <w:tc>
          <w:tcPr>
            <w:tcW w:w="864" w:type="pct"/>
            <w:vAlign w:val="center"/>
          </w:tcPr>
          <w:p w:rsidR="005D655C" w:rsidRPr="00B40A41" w:rsidRDefault="005D655C" w:rsidP="00057B53">
            <w:pPr>
              <w:pStyle w:val="In-tableHeading"/>
              <w:jc w:val="center"/>
              <w:rPr>
                <w:szCs w:val="20"/>
                <w:lang w:val="en-AU"/>
              </w:rPr>
            </w:pPr>
            <w:r w:rsidRPr="00B40A41">
              <w:rPr>
                <w:szCs w:val="20"/>
                <w:lang w:val="en-AU"/>
              </w:rPr>
              <w:t xml:space="preserve">Pembrolizumab </w:t>
            </w:r>
          </w:p>
          <w:p w:rsidR="005D655C" w:rsidRPr="00B40A41" w:rsidRDefault="005D655C" w:rsidP="008C6E34">
            <w:pPr>
              <w:pStyle w:val="In-tableHeading"/>
              <w:jc w:val="center"/>
              <w:rPr>
                <w:szCs w:val="20"/>
                <w:lang w:val="en-AU"/>
              </w:rPr>
            </w:pPr>
            <w:r w:rsidRPr="00B40A41">
              <w:rPr>
                <w:szCs w:val="20"/>
                <w:lang w:val="en-AU"/>
              </w:rPr>
              <w:t>N=108</w:t>
            </w:r>
          </w:p>
        </w:tc>
        <w:tc>
          <w:tcPr>
            <w:tcW w:w="866" w:type="pct"/>
            <w:vAlign w:val="center"/>
          </w:tcPr>
          <w:p w:rsidR="005D655C" w:rsidRPr="00B40A41" w:rsidRDefault="005D655C" w:rsidP="00057B53">
            <w:pPr>
              <w:pStyle w:val="In-tableHeading"/>
              <w:jc w:val="center"/>
              <w:rPr>
                <w:szCs w:val="20"/>
                <w:lang w:val="en-AU"/>
              </w:rPr>
            </w:pPr>
            <w:r w:rsidRPr="00B40A41">
              <w:rPr>
                <w:szCs w:val="20"/>
                <w:lang w:val="en-AU"/>
              </w:rPr>
              <w:t>Ipilimumab</w:t>
            </w:r>
          </w:p>
          <w:p w:rsidR="005D655C" w:rsidRPr="00B40A41" w:rsidRDefault="005D655C" w:rsidP="008C6E34">
            <w:pPr>
              <w:pStyle w:val="In-tableHeading"/>
              <w:jc w:val="center"/>
              <w:rPr>
                <w:szCs w:val="20"/>
                <w:lang w:val="en-AU"/>
              </w:rPr>
            </w:pPr>
            <w:r w:rsidRPr="00B40A41">
              <w:rPr>
                <w:szCs w:val="20"/>
                <w:lang w:val="en-AU"/>
              </w:rPr>
              <w:t xml:space="preserve"> N=55</w:t>
            </w:r>
          </w:p>
        </w:tc>
        <w:tc>
          <w:tcPr>
            <w:tcW w:w="864" w:type="pct"/>
            <w:vAlign w:val="center"/>
          </w:tcPr>
          <w:p w:rsidR="005D655C" w:rsidRPr="00B40A41" w:rsidRDefault="005D655C" w:rsidP="00057B53">
            <w:pPr>
              <w:pStyle w:val="In-tableHeading"/>
              <w:jc w:val="center"/>
              <w:rPr>
                <w:szCs w:val="20"/>
                <w:lang w:val="en-AU"/>
              </w:rPr>
            </w:pPr>
            <w:r w:rsidRPr="00B40A41">
              <w:rPr>
                <w:szCs w:val="20"/>
                <w:lang w:val="en-AU"/>
              </w:rPr>
              <w:t xml:space="preserve">Ipilimumab </w:t>
            </w:r>
          </w:p>
          <w:p w:rsidR="005D655C" w:rsidRPr="00B40A41" w:rsidRDefault="005D655C" w:rsidP="008C6E34">
            <w:pPr>
              <w:pStyle w:val="In-tableHeading"/>
              <w:jc w:val="center"/>
              <w:rPr>
                <w:szCs w:val="20"/>
                <w:lang w:val="en-AU"/>
              </w:rPr>
            </w:pPr>
            <w:r w:rsidRPr="00B40A41">
              <w:rPr>
                <w:szCs w:val="20"/>
                <w:lang w:val="en-AU"/>
              </w:rPr>
              <w:t>N=100</w:t>
            </w:r>
          </w:p>
        </w:tc>
        <w:tc>
          <w:tcPr>
            <w:tcW w:w="836" w:type="pct"/>
          </w:tcPr>
          <w:p w:rsidR="005D655C" w:rsidRPr="00B40A41" w:rsidRDefault="005D655C" w:rsidP="00057B53">
            <w:pPr>
              <w:pStyle w:val="In-tableHeading"/>
              <w:jc w:val="center"/>
              <w:rPr>
                <w:szCs w:val="20"/>
                <w:lang w:val="en-AU"/>
              </w:rPr>
            </w:pPr>
            <w:r w:rsidRPr="00B40A41">
              <w:rPr>
                <w:szCs w:val="20"/>
                <w:lang w:val="en-AU"/>
              </w:rPr>
              <w:t xml:space="preserve">Nivolumab </w:t>
            </w:r>
          </w:p>
          <w:p w:rsidR="005D655C" w:rsidRPr="00B40A41" w:rsidRDefault="005D655C" w:rsidP="008C6E34">
            <w:pPr>
              <w:pStyle w:val="In-tableHeading"/>
              <w:jc w:val="center"/>
              <w:rPr>
                <w:szCs w:val="20"/>
                <w:lang w:val="en-AU"/>
              </w:rPr>
            </w:pPr>
            <w:r w:rsidRPr="00B40A41">
              <w:rPr>
                <w:szCs w:val="20"/>
                <w:lang w:val="en-AU"/>
              </w:rPr>
              <w:t>N=98</w:t>
            </w:r>
          </w:p>
        </w:tc>
      </w:tr>
      <w:tr w:rsidR="00057B53" w:rsidRPr="00B40A41" w:rsidTr="00960991">
        <w:trPr>
          <w:cantSplit/>
          <w:tblHeader/>
        </w:trPr>
        <w:tc>
          <w:tcPr>
            <w:tcW w:w="5000" w:type="pct"/>
            <w:gridSpan w:val="5"/>
            <w:vAlign w:val="center"/>
          </w:tcPr>
          <w:p w:rsidR="00057B53" w:rsidRPr="00B40A41" w:rsidRDefault="00057B53" w:rsidP="00057B53">
            <w:pPr>
              <w:pStyle w:val="In-tableHeading"/>
              <w:rPr>
                <w:szCs w:val="20"/>
                <w:lang w:val="en-AU"/>
              </w:rPr>
            </w:pPr>
            <w:r w:rsidRPr="00B40A41">
              <w:rPr>
                <w:szCs w:val="20"/>
                <w:lang w:val="en-AU"/>
              </w:rPr>
              <w:t>Progression-free survival</w:t>
            </w:r>
          </w:p>
        </w:tc>
      </w:tr>
      <w:tr w:rsidR="00057B53" w:rsidRPr="00B40A41" w:rsidTr="00960991">
        <w:trPr>
          <w:cantSplit/>
        </w:trPr>
        <w:tc>
          <w:tcPr>
            <w:tcW w:w="1570" w:type="pct"/>
            <w:vAlign w:val="center"/>
          </w:tcPr>
          <w:p w:rsidR="00057B53" w:rsidRPr="00B40A41" w:rsidRDefault="00057B53" w:rsidP="00057B53">
            <w:pPr>
              <w:pStyle w:val="TableText0"/>
              <w:rPr>
                <w:szCs w:val="20"/>
              </w:rPr>
            </w:pPr>
            <w:r w:rsidRPr="00B40A41">
              <w:rPr>
                <w:szCs w:val="20"/>
              </w:rPr>
              <w:t>Median PFS, months (95% CI)</w:t>
            </w:r>
          </w:p>
        </w:tc>
        <w:tc>
          <w:tcPr>
            <w:tcW w:w="864" w:type="pct"/>
            <w:vAlign w:val="center"/>
          </w:tcPr>
          <w:p w:rsidR="00057B53" w:rsidRPr="00B40A41" w:rsidRDefault="00057B53" w:rsidP="00057B53">
            <w:pPr>
              <w:pStyle w:val="TableText0"/>
              <w:jc w:val="center"/>
              <w:rPr>
                <w:szCs w:val="20"/>
              </w:rPr>
            </w:pPr>
            <w:r w:rsidRPr="00B40A41">
              <w:rPr>
                <w:szCs w:val="20"/>
              </w:rPr>
              <w:t>14.4 (7.0, 21.5)</w:t>
            </w:r>
          </w:p>
        </w:tc>
        <w:tc>
          <w:tcPr>
            <w:tcW w:w="866" w:type="pct"/>
            <w:vAlign w:val="center"/>
          </w:tcPr>
          <w:p w:rsidR="00057B53" w:rsidRPr="00B40A41" w:rsidRDefault="00057B53" w:rsidP="00057B53">
            <w:pPr>
              <w:pStyle w:val="TableText0"/>
              <w:jc w:val="center"/>
              <w:rPr>
                <w:szCs w:val="20"/>
              </w:rPr>
            </w:pPr>
            <w:r w:rsidRPr="00B40A41">
              <w:rPr>
                <w:szCs w:val="20"/>
              </w:rPr>
              <w:t>4.2 (2.9, 8.3)</w:t>
            </w:r>
          </w:p>
        </w:tc>
        <w:tc>
          <w:tcPr>
            <w:tcW w:w="864" w:type="pct"/>
            <w:vAlign w:val="center"/>
          </w:tcPr>
          <w:p w:rsidR="00057B53" w:rsidRPr="00B40A41" w:rsidRDefault="00057B53" w:rsidP="00057B53">
            <w:pPr>
              <w:pStyle w:val="TableText0"/>
              <w:jc w:val="center"/>
              <w:rPr>
                <w:szCs w:val="20"/>
              </w:rPr>
            </w:pPr>
            <w:r w:rsidRPr="00B40A41">
              <w:rPr>
                <w:szCs w:val="20"/>
              </w:rPr>
              <w:t>NR</w:t>
            </w:r>
          </w:p>
        </w:tc>
        <w:tc>
          <w:tcPr>
            <w:tcW w:w="836" w:type="pct"/>
            <w:vAlign w:val="center"/>
          </w:tcPr>
          <w:p w:rsidR="00057B53" w:rsidRPr="00B40A41" w:rsidRDefault="00057B53" w:rsidP="00057B53">
            <w:pPr>
              <w:pStyle w:val="TableText0"/>
              <w:jc w:val="center"/>
              <w:rPr>
                <w:szCs w:val="20"/>
                <w:vertAlign w:val="superscript"/>
              </w:rPr>
            </w:pPr>
            <w:r w:rsidRPr="00B40A41">
              <w:rPr>
                <w:szCs w:val="20"/>
              </w:rPr>
              <w:t>5.6 (2.8, 9.5)</w:t>
            </w:r>
            <w:r w:rsidRPr="00B40A41">
              <w:rPr>
                <w:szCs w:val="20"/>
                <w:vertAlign w:val="superscript"/>
              </w:rPr>
              <w:t>a</w:t>
            </w:r>
          </w:p>
        </w:tc>
      </w:tr>
      <w:tr w:rsidR="00057B53" w:rsidRPr="00B40A41" w:rsidTr="00960991">
        <w:trPr>
          <w:cantSplit/>
        </w:trPr>
        <w:tc>
          <w:tcPr>
            <w:tcW w:w="5000" w:type="pct"/>
            <w:gridSpan w:val="5"/>
            <w:vAlign w:val="center"/>
          </w:tcPr>
          <w:p w:rsidR="00057B53" w:rsidRPr="00B40A41" w:rsidRDefault="00057B53" w:rsidP="00057B53">
            <w:pPr>
              <w:pStyle w:val="TableText0"/>
              <w:rPr>
                <w:szCs w:val="20"/>
              </w:rPr>
            </w:pPr>
            <w:r w:rsidRPr="00B40A41">
              <w:rPr>
                <w:szCs w:val="20"/>
              </w:rPr>
              <w:t>PFS at landmark months, KM</w:t>
            </w:r>
            <w:r w:rsidR="008C6E34" w:rsidRPr="00B40A41">
              <w:rPr>
                <w:szCs w:val="20"/>
              </w:rPr>
              <w:t xml:space="preserve"> </w:t>
            </w:r>
            <w:r w:rsidRPr="00B40A41">
              <w:rPr>
                <w:szCs w:val="20"/>
              </w:rPr>
              <w:t>% (95% CI)</w:t>
            </w:r>
          </w:p>
        </w:tc>
      </w:tr>
      <w:tr w:rsidR="00057B53" w:rsidRPr="00B40A41" w:rsidTr="00960991">
        <w:trPr>
          <w:cantSplit/>
        </w:trPr>
        <w:tc>
          <w:tcPr>
            <w:tcW w:w="1570" w:type="pct"/>
          </w:tcPr>
          <w:p w:rsidR="00057B53" w:rsidRPr="00B40A41" w:rsidRDefault="00057B53" w:rsidP="00057B53">
            <w:pPr>
              <w:pStyle w:val="TableText0"/>
              <w:jc w:val="center"/>
              <w:rPr>
                <w:szCs w:val="20"/>
              </w:rPr>
            </w:pPr>
            <w:r w:rsidRPr="00B40A41">
              <w:rPr>
                <w:szCs w:val="20"/>
              </w:rPr>
              <w:t>24 months</w:t>
            </w:r>
          </w:p>
        </w:tc>
        <w:tc>
          <w:tcPr>
            <w:tcW w:w="864" w:type="pct"/>
            <w:vAlign w:val="center"/>
          </w:tcPr>
          <w:p w:rsidR="00057B53" w:rsidRPr="00B40A41" w:rsidRDefault="00057B53" w:rsidP="00057B53">
            <w:pPr>
              <w:pStyle w:val="TableText0"/>
              <w:jc w:val="center"/>
              <w:rPr>
                <w:rFonts w:cs="Arial"/>
                <w:szCs w:val="20"/>
              </w:rPr>
            </w:pPr>
            <w:r w:rsidRPr="00B40A41">
              <w:rPr>
                <w:rFonts w:cs="Arial"/>
                <w:szCs w:val="20"/>
              </w:rPr>
              <w:t>34.7</w:t>
            </w:r>
            <w:r w:rsidR="008C6E34" w:rsidRPr="00B40A41">
              <w:rPr>
                <w:rFonts w:cs="Arial"/>
                <w:szCs w:val="20"/>
              </w:rPr>
              <w:t>%</w:t>
            </w:r>
          </w:p>
        </w:tc>
        <w:tc>
          <w:tcPr>
            <w:tcW w:w="866" w:type="pct"/>
            <w:vAlign w:val="center"/>
          </w:tcPr>
          <w:p w:rsidR="00057B53" w:rsidRPr="00B40A41" w:rsidRDefault="00057B53" w:rsidP="00057B53">
            <w:pPr>
              <w:pStyle w:val="TableText0"/>
              <w:jc w:val="center"/>
              <w:rPr>
                <w:rFonts w:cs="Arial"/>
                <w:szCs w:val="20"/>
              </w:rPr>
            </w:pPr>
            <w:r w:rsidRPr="00B40A41">
              <w:rPr>
                <w:rFonts w:cs="Arial"/>
                <w:szCs w:val="20"/>
              </w:rPr>
              <w:t>15.8</w:t>
            </w:r>
            <w:r w:rsidR="008C6E34" w:rsidRPr="00B40A41">
              <w:rPr>
                <w:rFonts w:cs="Arial"/>
                <w:szCs w:val="20"/>
              </w:rPr>
              <w:t>%</w:t>
            </w:r>
          </w:p>
        </w:tc>
        <w:tc>
          <w:tcPr>
            <w:tcW w:w="864" w:type="pct"/>
            <w:vAlign w:val="center"/>
          </w:tcPr>
          <w:p w:rsidR="00057B53" w:rsidRPr="00B40A41" w:rsidRDefault="00057B53" w:rsidP="00057B53">
            <w:pPr>
              <w:pStyle w:val="TableText0"/>
              <w:jc w:val="center"/>
              <w:rPr>
                <w:rFonts w:cs="Arial"/>
                <w:szCs w:val="20"/>
              </w:rPr>
            </w:pPr>
            <w:r w:rsidRPr="00B40A41">
              <w:rPr>
                <w:rFonts w:cs="Arial"/>
                <w:szCs w:val="20"/>
              </w:rPr>
              <w:t>NR</w:t>
            </w:r>
          </w:p>
        </w:tc>
        <w:tc>
          <w:tcPr>
            <w:tcW w:w="836" w:type="pct"/>
          </w:tcPr>
          <w:p w:rsidR="00057B53" w:rsidRPr="00B40A41" w:rsidRDefault="00057B53" w:rsidP="00057B53">
            <w:pPr>
              <w:pStyle w:val="TableText0"/>
              <w:jc w:val="center"/>
              <w:rPr>
                <w:rFonts w:cs="Arial"/>
                <w:szCs w:val="20"/>
                <w:vertAlign w:val="superscript"/>
              </w:rPr>
            </w:pPr>
            <w:r w:rsidRPr="00B40A41">
              <w:rPr>
                <w:rFonts w:cs="Arial"/>
                <w:szCs w:val="20"/>
              </w:rPr>
              <w:t>30</w:t>
            </w:r>
            <w:r w:rsidR="008C6E34" w:rsidRPr="00B40A41">
              <w:rPr>
                <w:rFonts w:cs="Arial"/>
                <w:szCs w:val="20"/>
              </w:rPr>
              <w:t>%</w:t>
            </w:r>
            <w:r w:rsidRPr="00B40A41">
              <w:rPr>
                <w:rFonts w:cs="Arial"/>
                <w:szCs w:val="20"/>
                <w:vertAlign w:val="superscript"/>
              </w:rPr>
              <w:t>a</w:t>
            </w:r>
          </w:p>
        </w:tc>
      </w:tr>
      <w:tr w:rsidR="00057B53" w:rsidRPr="00B40A41" w:rsidTr="00960991">
        <w:trPr>
          <w:cantSplit/>
        </w:trPr>
        <w:tc>
          <w:tcPr>
            <w:tcW w:w="1570" w:type="pct"/>
            <w:vAlign w:val="center"/>
          </w:tcPr>
          <w:p w:rsidR="00057B53" w:rsidRPr="00B40A41" w:rsidRDefault="00057B53" w:rsidP="00057B53">
            <w:pPr>
              <w:pStyle w:val="TableText0"/>
              <w:jc w:val="center"/>
              <w:rPr>
                <w:szCs w:val="20"/>
              </w:rPr>
            </w:pPr>
            <w:r w:rsidRPr="00B40A41">
              <w:rPr>
                <w:szCs w:val="20"/>
              </w:rPr>
              <w:t>36 months</w:t>
            </w:r>
          </w:p>
        </w:tc>
        <w:tc>
          <w:tcPr>
            <w:tcW w:w="864" w:type="pct"/>
            <w:vAlign w:val="center"/>
          </w:tcPr>
          <w:p w:rsidR="00057B53" w:rsidRPr="00B40A41" w:rsidRDefault="00057B53" w:rsidP="00057B53">
            <w:pPr>
              <w:pStyle w:val="TableText0"/>
              <w:jc w:val="center"/>
              <w:rPr>
                <w:szCs w:val="20"/>
              </w:rPr>
            </w:pPr>
            <w:r w:rsidRPr="00B40A41">
              <w:rPr>
                <w:szCs w:val="20"/>
              </w:rPr>
              <w:t>31.3</w:t>
            </w:r>
            <w:r w:rsidR="008C6E34" w:rsidRPr="00B40A41">
              <w:rPr>
                <w:szCs w:val="20"/>
              </w:rPr>
              <w:t>%</w:t>
            </w:r>
          </w:p>
        </w:tc>
        <w:tc>
          <w:tcPr>
            <w:tcW w:w="866" w:type="pct"/>
            <w:vAlign w:val="center"/>
          </w:tcPr>
          <w:p w:rsidR="00057B53" w:rsidRPr="00B40A41" w:rsidRDefault="00057B53" w:rsidP="00057B53">
            <w:pPr>
              <w:pStyle w:val="TableText0"/>
              <w:jc w:val="center"/>
              <w:rPr>
                <w:szCs w:val="20"/>
              </w:rPr>
            </w:pPr>
            <w:r w:rsidRPr="00B40A41">
              <w:rPr>
                <w:szCs w:val="20"/>
              </w:rPr>
              <w:t>11.3</w:t>
            </w:r>
            <w:r w:rsidR="008C6E34" w:rsidRPr="00B40A41">
              <w:rPr>
                <w:szCs w:val="20"/>
              </w:rPr>
              <w:t>%</w:t>
            </w:r>
          </w:p>
        </w:tc>
        <w:tc>
          <w:tcPr>
            <w:tcW w:w="864" w:type="pct"/>
            <w:vAlign w:val="center"/>
          </w:tcPr>
          <w:p w:rsidR="00057B53" w:rsidRPr="00B40A41" w:rsidRDefault="00057B53" w:rsidP="00057B53">
            <w:pPr>
              <w:pStyle w:val="TableText0"/>
              <w:jc w:val="center"/>
              <w:rPr>
                <w:szCs w:val="20"/>
              </w:rPr>
            </w:pPr>
            <w:r w:rsidRPr="00B40A41">
              <w:rPr>
                <w:szCs w:val="20"/>
              </w:rPr>
              <w:t>NR</w:t>
            </w:r>
          </w:p>
        </w:tc>
        <w:tc>
          <w:tcPr>
            <w:tcW w:w="836" w:type="pct"/>
          </w:tcPr>
          <w:p w:rsidR="00057B53" w:rsidRPr="00B40A41" w:rsidRDefault="00057B53" w:rsidP="00057B53">
            <w:pPr>
              <w:pStyle w:val="TableText0"/>
              <w:jc w:val="center"/>
              <w:rPr>
                <w:szCs w:val="20"/>
                <w:vertAlign w:val="superscript"/>
              </w:rPr>
            </w:pPr>
            <w:r w:rsidRPr="00B40A41">
              <w:rPr>
                <w:szCs w:val="20"/>
              </w:rPr>
              <w:t>23</w:t>
            </w:r>
            <w:r w:rsidR="008C6E34" w:rsidRPr="00B40A41">
              <w:rPr>
                <w:szCs w:val="20"/>
              </w:rPr>
              <w:t>%</w:t>
            </w:r>
            <w:r w:rsidRPr="00B40A41">
              <w:rPr>
                <w:szCs w:val="20"/>
                <w:vertAlign w:val="superscript"/>
              </w:rPr>
              <w:t>a</w:t>
            </w:r>
          </w:p>
        </w:tc>
      </w:tr>
      <w:tr w:rsidR="00057B53" w:rsidRPr="00B40A41" w:rsidTr="00960991">
        <w:trPr>
          <w:cantSplit/>
        </w:trPr>
        <w:tc>
          <w:tcPr>
            <w:tcW w:w="1570" w:type="pct"/>
            <w:vAlign w:val="center"/>
          </w:tcPr>
          <w:p w:rsidR="00057B53" w:rsidRPr="00B40A41" w:rsidRDefault="00057B53" w:rsidP="00057B53">
            <w:pPr>
              <w:pStyle w:val="TableText0"/>
              <w:jc w:val="center"/>
              <w:rPr>
                <w:szCs w:val="20"/>
              </w:rPr>
            </w:pPr>
            <w:r w:rsidRPr="00B40A41">
              <w:rPr>
                <w:szCs w:val="20"/>
              </w:rPr>
              <w:t>48 months</w:t>
            </w:r>
          </w:p>
        </w:tc>
        <w:tc>
          <w:tcPr>
            <w:tcW w:w="864" w:type="pct"/>
            <w:vAlign w:val="center"/>
          </w:tcPr>
          <w:p w:rsidR="00057B53" w:rsidRPr="00B40A41" w:rsidRDefault="00057B53" w:rsidP="00057B53">
            <w:pPr>
              <w:pStyle w:val="TableText0"/>
              <w:jc w:val="center"/>
              <w:rPr>
                <w:szCs w:val="20"/>
              </w:rPr>
            </w:pPr>
            <w:r w:rsidRPr="00B40A41">
              <w:rPr>
                <w:szCs w:val="20"/>
              </w:rPr>
              <w:t>28.6</w:t>
            </w:r>
            <w:r w:rsidR="008C6E34" w:rsidRPr="00B40A41">
              <w:rPr>
                <w:szCs w:val="20"/>
              </w:rPr>
              <w:t>%</w:t>
            </w:r>
          </w:p>
        </w:tc>
        <w:tc>
          <w:tcPr>
            <w:tcW w:w="866" w:type="pct"/>
            <w:vAlign w:val="center"/>
          </w:tcPr>
          <w:p w:rsidR="00057B53" w:rsidRPr="00B40A41" w:rsidRDefault="00057B53" w:rsidP="00057B53">
            <w:pPr>
              <w:pStyle w:val="TableText0"/>
              <w:jc w:val="center"/>
              <w:rPr>
                <w:szCs w:val="20"/>
              </w:rPr>
            </w:pPr>
            <w:r w:rsidRPr="00B40A41">
              <w:rPr>
                <w:szCs w:val="20"/>
              </w:rPr>
              <w:t>9.0</w:t>
            </w:r>
            <w:r w:rsidR="008C6E34" w:rsidRPr="00B40A41">
              <w:rPr>
                <w:szCs w:val="20"/>
              </w:rPr>
              <w:t>%</w:t>
            </w:r>
          </w:p>
        </w:tc>
        <w:tc>
          <w:tcPr>
            <w:tcW w:w="864" w:type="pct"/>
            <w:vAlign w:val="center"/>
          </w:tcPr>
          <w:p w:rsidR="00057B53" w:rsidRPr="00B40A41" w:rsidRDefault="00057B53" w:rsidP="00057B53">
            <w:pPr>
              <w:pStyle w:val="TableText0"/>
              <w:jc w:val="center"/>
              <w:rPr>
                <w:szCs w:val="20"/>
              </w:rPr>
            </w:pPr>
            <w:r w:rsidRPr="00B40A41">
              <w:rPr>
                <w:szCs w:val="20"/>
              </w:rPr>
              <w:t>10</w:t>
            </w:r>
            <w:r w:rsidR="008C6E34" w:rsidRPr="00B40A41">
              <w:rPr>
                <w:szCs w:val="20"/>
              </w:rPr>
              <w:t>%</w:t>
            </w:r>
          </w:p>
        </w:tc>
        <w:tc>
          <w:tcPr>
            <w:tcW w:w="836" w:type="pct"/>
          </w:tcPr>
          <w:p w:rsidR="00057B53" w:rsidRPr="00B40A41" w:rsidRDefault="00057B53" w:rsidP="00057B53">
            <w:pPr>
              <w:pStyle w:val="TableText0"/>
              <w:jc w:val="center"/>
              <w:rPr>
                <w:szCs w:val="20"/>
              </w:rPr>
            </w:pPr>
            <w:r w:rsidRPr="00B40A41">
              <w:rPr>
                <w:szCs w:val="20"/>
              </w:rPr>
              <w:t>23</w:t>
            </w:r>
            <w:r w:rsidR="008C6E34" w:rsidRPr="00B40A41">
              <w:rPr>
                <w:szCs w:val="20"/>
              </w:rPr>
              <w:t>%</w:t>
            </w:r>
          </w:p>
        </w:tc>
      </w:tr>
      <w:tr w:rsidR="00057B53" w:rsidRPr="00B40A41" w:rsidTr="00960991">
        <w:trPr>
          <w:cantSplit/>
        </w:trPr>
        <w:tc>
          <w:tcPr>
            <w:tcW w:w="5000" w:type="pct"/>
            <w:gridSpan w:val="5"/>
            <w:vAlign w:val="center"/>
          </w:tcPr>
          <w:p w:rsidR="00057B53" w:rsidRPr="00B40A41" w:rsidRDefault="00057B53" w:rsidP="00057B53">
            <w:pPr>
              <w:pStyle w:val="In-tableHeading"/>
              <w:rPr>
                <w:szCs w:val="20"/>
                <w:lang w:val="en-AU"/>
              </w:rPr>
            </w:pPr>
            <w:r w:rsidRPr="00B40A41">
              <w:rPr>
                <w:szCs w:val="20"/>
                <w:lang w:val="en-AU"/>
              </w:rPr>
              <w:t>Overall survival</w:t>
            </w:r>
          </w:p>
        </w:tc>
      </w:tr>
      <w:tr w:rsidR="00057B53" w:rsidRPr="00B40A41" w:rsidTr="00960991">
        <w:trPr>
          <w:cantSplit/>
        </w:trPr>
        <w:tc>
          <w:tcPr>
            <w:tcW w:w="1570" w:type="pct"/>
            <w:vAlign w:val="center"/>
          </w:tcPr>
          <w:p w:rsidR="00057B53" w:rsidRPr="00B40A41" w:rsidRDefault="00057B53" w:rsidP="00057B53">
            <w:pPr>
              <w:pStyle w:val="TableText0"/>
              <w:rPr>
                <w:szCs w:val="20"/>
              </w:rPr>
            </w:pPr>
            <w:r w:rsidRPr="00B40A41">
              <w:rPr>
                <w:szCs w:val="20"/>
              </w:rPr>
              <w:t>Median OS, months (95% CI)</w:t>
            </w:r>
          </w:p>
        </w:tc>
        <w:tc>
          <w:tcPr>
            <w:tcW w:w="864" w:type="pct"/>
            <w:vAlign w:val="center"/>
          </w:tcPr>
          <w:p w:rsidR="00057B53" w:rsidRPr="00B40A41" w:rsidRDefault="00057B53" w:rsidP="008C6E34">
            <w:pPr>
              <w:pStyle w:val="TableText0"/>
              <w:jc w:val="center"/>
              <w:rPr>
                <w:szCs w:val="20"/>
              </w:rPr>
            </w:pPr>
            <w:r w:rsidRPr="00B40A41">
              <w:rPr>
                <w:szCs w:val="20"/>
              </w:rPr>
              <w:t>NR (36.1</w:t>
            </w:r>
            <w:r w:rsidR="008C6E34" w:rsidRPr="00B40A41">
              <w:rPr>
                <w:szCs w:val="20"/>
              </w:rPr>
              <w:t xml:space="preserve">, </w:t>
            </w:r>
            <w:r w:rsidRPr="00B40A41">
              <w:rPr>
                <w:szCs w:val="20"/>
              </w:rPr>
              <w:t>NR)</w:t>
            </w:r>
          </w:p>
        </w:tc>
        <w:tc>
          <w:tcPr>
            <w:tcW w:w="866" w:type="pct"/>
            <w:vAlign w:val="center"/>
          </w:tcPr>
          <w:p w:rsidR="00057B53" w:rsidRPr="00B40A41" w:rsidRDefault="00057B53" w:rsidP="008C6E34">
            <w:pPr>
              <w:pStyle w:val="TableText0"/>
              <w:jc w:val="center"/>
              <w:rPr>
                <w:szCs w:val="20"/>
              </w:rPr>
            </w:pPr>
            <w:r w:rsidRPr="00B40A41">
              <w:rPr>
                <w:szCs w:val="20"/>
              </w:rPr>
              <w:t>26.2 (16.0</w:t>
            </w:r>
            <w:r w:rsidR="008C6E34" w:rsidRPr="00B40A41">
              <w:rPr>
                <w:szCs w:val="20"/>
              </w:rPr>
              <w:t xml:space="preserve">, </w:t>
            </w:r>
            <w:r w:rsidRPr="00B40A41">
              <w:rPr>
                <w:szCs w:val="20"/>
              </w:rPr>
              <w:t>NR)</w:t>
            </w:r>
          </w:p>
        </w:tc>
        <w:tc>
          <w:tcPr>
            <w:tcW w:w="864" w:type="pct"/>
            <w:vAlign w:val="center"/>
          </w:tcPr>
          <w:p w:rsidR="00057B53" w:rsidRPr="00B40A41" w:rsidRDefault="00057B53" w:rsidP="00057B53">
            <w:pPr>
              <w:pStyle w:val="TableText0"/>
              <w:jc w:val="center"/>
              <w:rPr>
                <w:szCs w:val="20"/>
              </w:rPr>
            </w:pPr>
            <w:r w:rsidRPr="00B40A41">
              <w:rPr>
                <w:rFonts w:cs="Arial"/>
                <w:szCs w:val="20"/>
              </w:rPr>
              <w:t>2</w:t>
            </w:r>
            <w:r w:rsidR="008C6E34" w:rsidRPr="00B40A41">
              <w:rPr>
                <w:rFonts w:cs="Arial"/>
                <w:szCs w:val="20"/>
              </w:rPr>
              <w:t xml:space="preserve">4.6 (17.9, </w:t>
            </w:r>
            <w:r w:rsidRPr="00B40A41">
              <w:rPr>
                <w:rFonts w:cs="Arial"/>
                <w:szCs w:val="20"/>
              </w:rPr>
              <w:t>31.0)</w:t>
            </w:r>
          </w:p>
        </w:tc>
        <w:tc>
          <w:tcPr>
            <w:tcW w:w="836" w:type="pct"/>
            <w:vAlign w:val="center"/>
          </w:tcPr>
          <w:p w:rsidR="00057B53" w:rsidRPr="00B40A41" w:rsidRDefault="00057B53" w:rsidP="008C6E34">
            <w:pPr>
              <w:pStyle w:val="TableText0"/>
              <w:jc w:val="center"/>
              <w:rPr>
                <w:szCs w:val="20"/>
              </w:rPr>
            </w:pPr>
            <w:r w:rsidRPr="00B40A41">
              <w:rPr>
                <w:szCs w:val="20"/>
              </w:rPr>
              <w:t>45.5 (26.4</w:t>
            </w:r>
            <w:r w:rsidR="008C6E34" w:rsidRPr="00B40A41">
              <w:rPr>
                <w:szCs w:val="20"/>
              </w:rPr>
              <w:t xml:space="preserve">, </w:t>
            </w:r>
            <w:r w:rsidRPr="00B40A41">
              <w:rPr>
                <w:szCs w:val="20"/>
              </w:rPr>
              <w:t>NR)</w:t>
            </w:r>
          </w:p>
        </w:tc>
      </w:tr>
      <w:tr w:rsidR="00057B53" w:rsidRPr="00B40A41" w:rsidTr="00960991">
        <w:trPr>
          <w:cantSplit/>
        </w:trPr>
        <w:tc>
          <w:tcPr>
            <w:tcW w:w="5000" w:type="pct"/>
            <w:gridSpan w:val="5"/>
            <w:vAlign w:val="center"/>
          </w:tcPr>
          <w:p w:rsidR="00057B53" w:rsidRPr="00B40A41" w:rsidRDefault="00057B53" w:rsidP="00057B53">
            <w:pPr>
              <w:pStyle w:val="TableText0"/>
              <w:rPr>
                <w:szCs w:val="20"/>
              </w:rPr>
            </w:pPr>
            <w:r w:rsidRPr="00B40A41">
              <w:rPr>
                <w:szCs w:val="20"/>
              </w:rPr>
              <w:t>PFS at landmark months, KM% (95% CI)</w:t>
            </w:r>
          </w:p>
        </w:tc>
      </w:tr>
      <w:tr w:rsidR="00057B53" w:rsidRPr="00B40A41" w:rsidTr="00960991">
        <w:trPr>
          <w:cantSplit/>
        </w:trPr>
        <w:tc>
          <w:tcPr>
            <w:tcW w:w="1570" w:type="pct"/>
          </w:tcPr>
          <w:p w:rsidR="00057B53" w:rsidRPr="00B40A41" w:rsidRDefault="00057B53" w:rsidP="00057B53">
            <w:pPr>
              <w:pStyle w:val="TableText0"/>
              <w:jc w:val="center"/>
              <w:rPr>
                <w:szCs w:val="20"/>
              </w:rPr>
            </w:pPr>
            <w:r w:rsidRPr="00B40A41">
              <w:rPr>
                <w:szCs w:val="20"/>
              </w:rPr>
              <w:t>24 months</w:t>
            </w:r>
          </w:p>
        </w:tc>
        <w:tc>
          <w:tcPr>
            <w:tcW w:w="864" w:type="pct"/>
            <w:vAlign w:val="center"/>
          </w:tcPr>
          <w:p w:rsidR="00057B53" w:rsidRPr="00B40A41" w:rsidRDefault="00057B53" w:rsidP="00057B53">
            <w:pPr>
              <w:pStyle w:val="TableText0"/>
              <w:jc w:val="center"/>
              <w:rPr>
                <w:rFonts w:cs="Arial"/>
                <w:szCs w:val="20"/>
              </w:rPr>
            </w:pPr>
            <w:r w:rsidRPr="00B40A41">
              <w:rPr>
                <w:szCs w:val="20"/>
              </w:rPr>
              <w:t>69.0</w:t>
            </w:r>
            <w:r w:rsidR="008C6E34" w:rsidRPr="00B40A41">
              <w:rPr>
                <w:szCs w:val="20"/>
              </w:rPr>
              <w:t>%</w:t>
            </w:r>
          </w:p>
        </w:tc>
        <w:tc>
          <w:tcPr>
            <w:tcW w:w="866" w:type="pct"/>
            <w:vAlign w:val="center"/>
          </w:tcPr>
          <w:p w:rsidR="00057B53" w:rsidRPr="00B40A41" w:rsidRDefault="00057B53" w:rsidP="00057B53">
            <w:pPr>
              <w:pStyle w:val="TableText0"/>
              <w:jc w:val="center"/>
              <w:rPr>
                <w:rFonts w:cs="Arial"/>
                <w:szCs w:val="20"/>
              </w:rPr>
            </w:pPr>
            <w:r w:rsidRPr="00B40A41">
              <w:rPr>
                <w:rFonts w:cs="Arial"/>
                <w:szCs w:val="20"/>
              </w:rPr>
              <w:t>52.7</w:t>
            </w:r>
            <w:r w:rsidR="008C6E34" w:rsidRPr="00B40A41">
              <w:rPr>
                <w:rFonts w:cs="Arial"/>
                <w:szCs w:val="20"/>
              </w:rPr>
              <w:t>%</w:t>
            </w:r>
            <w:r w:rsidRPr="00B40A41">
              <w:rPr>
                <w:rFonts w:cs="Arial"/>
                <w:szCs w:val="20"/>
              </w:rPr>
              <w:t xml:space="preserve"> </w:t>
            </w:r>
          </w:p>
        </w:tc>
        <w:tc>
          <w:tcPr>
            <w:tcW w:w="864" w:type="pct"/>
            <w:vAlign w:val="center"/>
          </w:tcPr>
          <w:p w:rsidR="00057B53" w:rsidRPr="00B40A41" w:rsidRDefault="00057B53" w:rsidP="00057B53">
            <w:pPr>
              <w:pStyle w:val="TableText0"/>
              <w:jc w:val="center"/>
              <w:rPr>
                <w:rFonts w:cs="Arial"/>
                <w:szCs w:val="20"/>
              </w:rPr>
            </w:pPr>
            <w:r w:rsidRPr="00B40A41">
              <w:rPr>
                <w:rFonts w:cs="Arial"/>
                <w:szCs w:val="20"/>
              </w:rPr>
              <w:t>NR</w:t>
            </w:r>
          </w:p>
        </w:tc>
        <w:tc>
          <w:tcPr>
            <w:tcW w:w="836" w:type="pct"/>
            <w:vAlign w:val="center"/>
          </w:tcPr>
          <w:p w:rsidR="00057B53" w:rsidRPr="00B40A41" w:rsidRDefault="00057B53" w:rsidP="00057B53">
            <w:pPr>
              <w:pStyle w:val="TableText0"/>
              <w:jc w:val="center"/>
              <w:rPr>
                <w:rFonts w:cs="Arial"/>
                <w:szCs w:val="20"/>
              </w:rPr>
            </w:pPr>
            <w:r w:rsidRPr="00B40A41">
              <w:rPr>
                <w:rFonts w:cs="Arial"/>
                <w:szCs w:val="20"/>
              </w:rPr>
              <w:t>NR</w:t>
            </w:r>
          </w:p>
        </w:tc>
      </w:tr>
      <w:tr w:rsidR="00057B53" w:rsidRPr="00B40A41" w:rsidTr="00960991">
        <w:trPr>
          <w:cantSplit/>
        </w:trPr>
        <w:tc>
          <w:tcPr>
            <w:tcW w:w="1570" w:type="pct"/>
            <w:vAlign w:val="center"/>
          </w:tcPr>
          <w:p w:rsidR="00057B53" w:rsidRPr="00B40A41" w:rsidRDefault="00057B53" w:rsidP="00057B53">
            <w:pPr>
              <w:pStyle w:val="TableText0"/>
              <w:jc w:val="center"/>
              <w:rPr>
                <w:szCs w:val="20"/>
              </w:rPr>
            </w:pPr>
            <w:r w:rsidRPr="00B40A41">
              <w:rPr>
                <w:szCs w:val="20"/>
              </w:rPr>
              <w:t>36 months</w:t>
            </w:r>
          </w:p>
        </w:tc>
        <w:tc>
          <w:tcPr>
            <w:tcW w:w="864" w:type="pct"/>
            <w:vAlign w:val="center"/>
          </w:tcPr>
          <w:p w:rsidR="00057B53" w:rsidRPr="00B40A41" w:rsidRDefault="00057B53" w:rsidP="00057B53">
            <w:pPr>
              <w:pStyle w:val="TableText0"/>
              <w:jc w:val="center"/>
              <w:rPr>
                <w:rFonts w:cs="Arial"/>
                <w:szCs w:val="20"/>
              </w:rPr>
            </w:pPr>
            <w:r w:rsidRPr="00B40A41">
              <w:rPr>
                <w:rFonts w:cs="Arial"/>
                <w:szCs w:val="20"/>
              </w:rPr>
              <w:t>60.1</w:t>
            </w:r>
            <w:r w:rsidR="008C6E34" w:rsidRPr="00B40A41">
              <w:rPr>
                <w:rFonts w:cs="Arial"/>
                <w:szCs w:val="20"/>
              </w:rPr>
              <w:t>%</w:t>
            </w:r>
          </w:p>
        </w:tc>
        <w:tc>
          <w:tcPr>
            <w:tcW w:w="866" w:type="pct"/>
            <w:vAlign w:val="center"/>
          </w:tcPr>
          <w:p w:rsidR="00057B53" w:rsidRPr="00B40A41" w:rsidRDefault="00057B53" w:rsidP="00057B53">
            <w:pPr>
              <w:pStyle w:val="TableText0"/>
              <w:jc w:val="center"/>
              <w:rPr>
                <w:rFonts w:cs="Arial"/>
                <w:szCs w:val="20"/>
              </w:rPr>
            </w:pPr>
            <w:r w:rsidRPr="00B40A41">
              <w:rPr>
                <w:rFonts w:cs="Arial"/>
                <w:szCs w:val="20"/>
              </w:rPr>
              <w:t>46.5</w:t>
            </w:r>
            <w:r w:rsidR="008C6E34" w:rsidRPr="00B40A41">
              <w:rPr>
                <w:rFonts w:cs="Arial"/>
                <w:szCs w:val="20"/>
              </w:rPr>
              <w:t>%</w:t>
            </w:r>
          </w:p>
        </w:tc>
        <w:tc>
          <w:tcPr>
            <w:tcW w:w="864" w:type="pct"/>
            <w:vAlign w:val="center"/>
          </w:tcPr>
          <w:p w:rsidR="00057B53" w:rsidRPr="00B40A41" w:rsidRDefault="00057B53" w:rsidP="00057B53">
            <w:pPr>
              <w:pStyle w:val="TableText0"/>
              <w:jc w:val="center"/>
              <w:rPr>
                <w:rFonts w:cs="Arial"/>
                <w:szCs w:val="20"/>
              </w:rPr>
            </w:pPr>
            <w:r w:rsidRPr="00B40A41">
              <w:rPr>
                <w:rFonts w:cs="Arial"/>
                <w:szCs w:val="20"/>
              </w:rPr>
              <w:t>NR</w:t>
            </w:r>
          </w:p>
        </w:tc>
        <w:tc>
          <w:tcPr>
            <w:tcW w:w="836" w:type="pct"/>
            <w:vAlign w:val="center"/>
          </w:tcPr>
          <w:p w:rsidR="00057B53" w:rsidRPr="00B40A41" w:rsidRDefault="00057B53" w:rsidP="00057B53">
            <w:pPr>
              <w:pStyle w:val="TableText0"/>
              <w:jc w:val="center"/>
              <w:rPr>
                <w:rFonts w:cs="Arial"/>
                <w:szCs w:val="20"/>
              </w:rPr>
            </w:pPr>
            <w:r w:rsidRPr="00B40A41">
              <w:rPr>
                <w:rFonts w:cs="Arial"/>
                <w:szCs w:val="20"/>
              </w:rPr>
              <w:t>NR</w:t>
            </w:r>
          </w:p>
        </w:tc>
      </w:tr>
      <w:tr w:rsidR="00057B53" w:rsidRPr="00B40A41" w:rsidTr="00960991">
        <w:trPr>
          <w:cantSplit/>
        </w:trPr>
        <w:tc>
          <w:tcPr>
            <w:tcW w:w="1570" w:type="pct"/>
            <w:vAlign w:val="center"/>
          </w:tcPr>
          <w:p w:rsidR="00057B53" w:rsidRPr="00B40A41" w:rsidRDefault="00057B53" w:rsidP="00057B53">
            <w:pPr>
              <w:pStyle w:val="TableText0"/>
              <w:jc w:val="center"/>
              <w:rPr>
                <w:szCs w:val="20"/>
              </w:rPr>
            </w:pPr>
            <w:r w:rsidRPr="00B40A41">
              <w:rPr>
                <w:szCs w:val="20"/>
              </w:rPr>
              <w:t>48 months</w:t>
            </w:r>
          </w:p>
        </w:tc>
        <w:tc>
          <w:tcPr>
            <w:tcW w:w="864" w:type="pct"/>
            <w:vAlign w:val="center"/>
          </w:tcPr>
          <w:p w:rsidR="00057B53" w:rsidRPr="00B40A41" w:rsidRDefault="00057B53" w:rsidP="00057B53">
            <w:pPr>
              <w:pStyle w:val="TableText0"/>
              <w:jc w:val="center"/>
              <w:rPr>
                <w:rFonts w:cs="Arial"/>
                <w:szCs w:val="20"/>
              </w:rPr>
            </w:pPr>
            <w:r w:rsidRPr="00B40A41">
              <w:rPr>
                <w:rFonts w:cs="Arial"/>
                <w:szCs w:val="20"/>
              </w:rPr>
              <w:t>53.9</w:t>
            </w:r>
            <w:r w:rsidR="008C6E34" w:rsidRPr="00B40A41">
              <w:rPr>
                <w:rFonts w:cs="Arial"/>
                <w:szCs w:val="20"/>
              </w:rPr>
              <w:t>%</w:t>
            </w:r>
          </w:p>
        </w:tc>
        <w:tc>
          <w:tcPr>
            <w:tcW w:w="866" w:type="pct"/>
            <w:vAlign w:val="center"/>
          </w:tcPr>
          <w:p w:rsidR="00057B53" w:rsidRPr="00B40A41" w:rsidRDefault="00057B53" w:rsidP="00057B53">
            <w:pPr>
              <w:pStyle w:val="TableText0"/>
              <w:jc w:val="center"/>
              <w:rPr>
                <w:rFonts w:cs="Arial"/>
                <w:szCs w:val="20"/>
              </w:rPr>
            </w:pPr>
            <w:r w:rsidRPr="00B40A41">
              <w:rPr>
                <w:rFonts w:cs="Arial"/>
                <w:szCs w:val="20"/>
              </w:rPr>
              <w:t>40.2</w:t>
            </w:r>
            <w:r w:rsidR="008C6E34" w:rsidRPr="00B40A41">
              <w:rPr>
                <w:rFonts w:cs="Arial"/>
                <w:szCs w:val="20"/>
              </w:rPr>
              <w:t>%</w:t>
            </w:r>
          </w:p>
        </w:tc>
        <w:tc>
          <w:tcPr>
            <w:tcW w:w="864" w:type="pct"/>
            <w:vAlign w:val="center"/>
          </w:tcPr>
          <w:p w:rsidR="00057B53" w:rsidRPr="00B40A41" w:rsidRDefault="00057B53" w:rsidP="00057B53">
            <w:pPr>
              <w:pStyle w:val="TableText0"/>
              <w:jc w:val="center"/>
              <w:rPr>
                <w:rFonts w:cs="Arial"/>
                <w:szCs w:val="20"/>
              </w:rPr>
            </w:pPr>
            <w:r w:rsidRPr="00B40A41">
              <w:rPr>
                <w:rFonts w:cs="Arial"/>
                <w:szCs w:val="20"/>
              </w:rPr>
              <w:t>46</w:t>
            </w:r>
            <w:r w:rsidR="008C6E34" w:rsidRPr="00B40A41">
              <w:rPr>
                <w:rFonts w:cs="Arial"/>
                <w:szCs w:val="20"/>
              </w:rPr>
              <w:t>%</w:t>
            </w:r>
          </w:p>
        </w:tc>
        <w:tc>
          <w:tcPr>
            <w:tcW w:w="836" w:type="pct"/>
            <w:vAlign w:val="center"/>
          </w:tcPr>
          <w:p w:rsidR="00057B53" w:rsidRPr="00B40A41" w:rsidRDefault="00057B53" w:rsidP="00057B53">
            <w:pPr>
              <w:pStyle w:val="TableText0"/>
              <w:jc w:val="center"/>
              <w:rPr>
                <w:rFonts w:cs="Arial"/>
                <w:szCs w:val="20"/>
              </w:rPr>
            </w:pPr>
            <w:r w:rsidRPr="00B40A41">
              <w:rPr>
                <w:rFonts w:cs="Arial"/>
                <w:szCs w:val="20"/>
              </w:rPr>
              <w:t>50</w:t>
            </w:r>
            <w:r w:rsidR="008C6E34" w:rsidRPr="00B40A41">
              <w:rPr>
                <w:rFonts w:cs="Arial"/>
                <w:szCs w:val="20"/>
              </w:rPr>
              <w:t>%</w:t>
            </w:r>
          </w:p>
        </w:tc>
      </w:tr>
      <w:tr w:rsidR="00057B53" w:rsidRPr="00B40A41" w:rsidTr="00960991">
        <w:trPr>
          <w:cantSplit/>
        </w:trPr>
        <w:tc>
          <w:tcPr>
            <w:tcW w:w="1570" w:type="pct"/>
            <w:vAlign w:val="center"/>
          </w:tcPr>
          <w:p w:rsidR="00057B53" w:rsidRPr="00B40A41" w:rsidRDefault="00057B53" w:rsidP="00057B53">
            <w:pPr>
              <w:pStyle w:val="TableText0"/>
              <w:jc w:val="center"/>
              <w:rPr>
                <w:szCs w:val="20"/>
              </w:rPr>
            </w:pPr>
            <w:r w:rsidRPr="00B40A41">
              <w:rPr>
                <w:szCs w:val="20"/>
              </w:rPr>
              <w:t>60 months</w:t>
            </w:r>
          </w:p>
        </w:tc>
        <w:tc>
          <w:tcPr>
            <w:tcW w:w="864" w:type="pct"/>
            <w:vAlign w:val="center"/>
          </w:tcPr>
          <w:p w:rsidR="00057B53" w:rsidRPr="00B40A41" w:rsidRDefault="00057B53" w:rsidP="00057B53">
            <w:pPr>
              <w:pStyle w:val="TableText0"/>
              <w:jc w:val="center"/>
              <w:rPr>
                <w:rFonts w:cs="Arial"/>
                <w:szCs w:val="20"/>
              </w:rPr>
            </w:pPr>
            <w:r w:rsidRPr="00B40A41">
              <w:rPr>
                <w:rFonts w:cs="Arial"/>
                <w:szCs w:val="20"/>
              </w:rPr>
              <w:t>40.2</w:t>
            </w:r>
            <w:r w:rsidR="008C6E34" w:rsidRPr="00B40A41">
              <w:rPr>
                <w:rFonts w:cs="Arial"/>
                <w:szCs w:val="20"/>
              </w:rPr>
              <w:t>%</w:t>
            </w:r>
          </w:p>
        </w:tc>
        <w:tc>
          <w:tcPr>
            <w:tcW w:w="866" w:type="pct"/>
            <w:vAlign w:val="center"/>
          </w:tcPr>
          <w:p w:rsidR="00057B53" w:rsidRPr="00B40A41" w:rsidRDefault="00057B53" w:rsidP="00057B53">
            <w:pPr>
              <w:pStyle w:val="TableText0"/>
              <w:jc w:val="center"/>
              <w:rPr>
                <w:rFonts w:cs="Arial"/>
                <w:szCs w:val="20"/>
              </w:rPr>
            </w:pPr>
            <w:r w:rsidRPr="00B40A41">
              <w:rPr>
                <w:rFonts w:cs="Arial"/>
                <w:szCs w:val="20"/>
              </w:rPr>
              <w:t>38.1</w:t>
            </w:r>
            <w:r w:rsidR="008C6E34" w:rsidRPr="00B40A41">
              <w:rPr>
                <w:rFonts w:cs="Arial"/>
                <w:szCs w:val="20"/>
              </w:rPr>
              <w:t>%</w:t>
            </w:r>
          </w:p>
        </w:tc>
        <w:tc>
          <w:tcPr>
            <w:tcW w:w="864" w:type="pct"/>
            <w:vAlign w:val="center"/>
          </w:tcPr>
          <w:p w:rsidR="00057B53" w:rsidRPr="00B40A41" w:rsidRDefault="00057B53" w:rsidP="00057B53">
            <w:pPr>
              <w:pStyle w:val="TableText0"/>
              <w:jc w:val="center"/>
              <w:rPr>
                <w:rFonts w:cs="Arial"/>
                <w:szCs w:val="20"/>
              </w:rPr>
            </w:pPr>
            <w:r w:rsidRPr="00B40A41">
              <w:rPr>
                <w:rFonts w:cs="Arial"/>
                <w:szCs w:val="20"/>
              </w:rPr>
              <w:t>30</w:t>
            </w:r>
            <w:r w:rsidR="008C6E34" w:rsidRPr="00B40A41">
              <w:rPr>
                <w:rFonts w:cs="Arial"/>
                <w:szCs w:val="20"/>
              </w:rPr>
              <w:t>%</w:t>
            </w:r>
          </w:p>
        </w:tc>
        <w:tc>
          <w:tcPr>
            <w:tcW w:w="836" w:type="pct"/>
            <w:vAlign w:val="center"/>
          </w:tcPr>
          <w:p w:rsidR="00057B53" w:rsidRPr="00B40A41" w:rsidRDefault="00057B53" w:rsidP="00057B53">
            <w:pPr>
              <w:pStyle w:val="TableText0"/>
              <w:jc w:val="center"/>
              <w:rPr>
                <w:rFonts w:cs="Arial"/>
                <w:szCs w:val="20"/>
              </w:rPr>
            </w:pPr>
            <w:r w:rsidRPr="00B40A41">
              <w:rPr>
                <w:rFonts w:cs="Arial"/>
                <w:szCs w:val="20"/>
              </w:rPr>
              <w:t>33</w:t>
            </w:r>
            <w:r w:rsidR="008C6E34" w:rsidRPr="00B40A41">
              <w:rPr>
                <w:rFonts w:cs="Arial"/>
                <w:szCs w:val="20"/>
              </w:rPr>
              <w:t>%</w:t>
            </w:r>
          </w:p>
        </w:tc>
      </w:tr>
    </w:tbl>
    <w:p w:rsidR="005E61E8" w:rsidRPr="00B40A41" w:rsidRDefault="00C2250F" w:rsidP="00D86231">
      <w:pPr>
        <w:pStyle w:val="TableFigureFooter"/>
        <w:rPr>
          <w:rFonts w:eastAsia="Calibri"/>
        </w:rPr>
      </w:pPr>
      <w:r w:rsidRPr="00B40A41">
        <w:rPr>
          <w:rFonts w:eastAsia="Calibri"/>
        </w:rPr>
        <w:t>CI</w:t>
      </w:r>
      <w:r w:rsidR="00BC525C" w:rsidRPr="00B40A41">
        <w:rPr>
          <w:rFonts w:eastAsia="Calibri"/>
        </w:rPr>
        <w:t xml:space="preserve"> </w:t>
      </w:r>
      <w:r w:rsidRPr="00B40A41">
        <w:rPr>
          <w:rFonts w:eastAsia="Calibri"/>
        </w:rPr>
        <w:t xml:space="preserve">= confidence interval; </w:t>
      </w:r>
      <w:r w:rsidR="005D655C" w:rsidRPr="00B40A41">
        <w:rPr>
          <w:rFonts w:eastAsia="Calibri"/>
        </w:rPr>
        <w:t xml:space="preserve">KM = Kaplan-Meier; NR = not reached; OS = overall survival; </w:t>
      </w:r>
      <w:r w:rsidRPr="00B40A41">
        <w:rPr>
          <w:rFonts w:eastAsia="Calibri"/>
        </w:rPr>
        <w:t>PFS</w:t>
      </w:r>
      <w:r w:rsidR="00BC525C" w:rsidRPr="00B40A41">
        <w:rPr>
          <w:rFonts w:eastAsia="Calibri"/>
        </w:rPr>
        <w:t xml:space="preserve"> </w:t>
      </w:r>
      <w:r w:rsidRPr="00B40A41">
        <w:rPr>
          <w:rFonts w:eastAsia="Calibri"/>
        </w:rPr>
        <w:t xml:space="preserve">= progression free survival; </w:t>
      </w:r>
      <w:r w:rsidR="006D6BC9" w:rsidRPr="00B40A41">
        <w:rPr>
          <w:rFonts w:eastAsia="Calibri"/>
        </w:rPr>
        <w:t>Rx</w:t>
      </w:r>
      <w:r w:rsidR="00BC525C" w:rsidRPr="00B40A41">
        <w:rPr>
          <w:rFonts w:eastAsia="Calibri"/>
        </w:rPr>
        <w:t xml:space="preserve"> </w:t>
      </w:r>
      <w:r w:rsidR="006D6BC9" w:rsidRPr="00B40A41">
        <w:rPr>
          <w:rFonts w:eastAsia="Calibri"/>
        </w:rPr>
        <w:t>= treatment</w:t>
      </w:r>
      <w:r w:rsidRPr="00B40A41">
        <w:rPr>
          <w:rFonts w:eastAsia="Calibri"/>
        </w:rPr>
        <w:t>.</w:t>
      </w:r>
    </w:p>
    <w:p w:rsidR="008F6EE8" w:rsidRPr="00B40A41" w:rsidRDefault="008F6EE8" w:rsidP="00D86231">
      <w:pPr>
        <w:pStyle w:val="TableFigureFooter"/>
        <w:rPr>
          <w:rFonts w:eastAsia="Calibri"/>
        </w:rPr>
      </w:pPr>
      <w:proofErr w:type="gramStart"/>
      <w:r w:rsidRPr="00B40A41">
        <w:rPr>
          <w:rFonts w:eastAsia="Calibri"/>
          <w:vertAlign w:val="superscript"/>
        </w:rPr>
        <w:t>a</w:t>
      </w:r>
      <w:proofErr w:type="gramEnd"/>
      <w:r w:rsidRPr="00B40A41">
        <w:rPr>
          <w:rFonts w:eastAsia="Calibri"/>
        </w:rPr>
        <w:t xml:space="preserve"> </w:t>
      </w:r>
      <w:r w:rsidR="005D655C" w:rsidRPr="00B40A41">
        <w:rPr>
          <w:rFonts w:eastAsia="Calibri"/>
        </w:rPr>
        <w:t>From</w:t>
      </w:r>
      <w:r w:rsidRPr="00B40A41">
        <w:rPr>
          <w:rFonts w:eastAsia="Calibri"/>
        </w:rPr>
        <w:t xml:space="preserve"> Table 5, p15, nivolumab</w:t>
      </w:r>
      <w:r w:rsidR="009D52F7" w:rsidRPr="00B40A41">
        <w:rPr>
          <w:rFonts w:eastAsia="Calibri"/>
        </w:rPr>
        <w:t xml:space="preserve"> </w:t>
      </w:r>
      <w:r w:rsidRPr="00B40A41">
        <w:rPr>
          <w:rFonts w:eastAsia="Calibri"/>
        </w:rPr>
        <w:t>+</w:t>
      </w:r>
      <w:r w:rsidR="009D52F7" w:rsidRPr="00B40A41">
        <w:rPr>
          <w:rFonts w:eastAsia="Calibri"/>
        </w:rPr>
        <w:t xml:space="preserve"> </w:t>
      </w:r>
      <w:r w:rsidRPr="00B40A41">
        <w:rPr>
          <w:rFonts w:eastAsia="Calibri"/>
        </w:rPr>
        <w:t xml:space="preserve">ipilimumab, PBAC </w:t>
      </w:r>
      <w:r w:rsidR="006517CE">
        <w:rPr>
          <w:rFonts w:eastAsia="Calibri"/>
        </w:rPr>
        <w:t>Public Summary Document (PSD)</w:t>
      </w:r>
      <w:r w:rsidRPr="00B40A41">
        <w:rPr>
          <w:rFonts w:eastAsia="Calibri"/>
        </w:rPr>
        <w:t>, November 2019</w:t>
      </w:r>
      <w:r w:rsidR="00B40A41">
        <w:rPr>
          <w:rFonts w:eastAsia="Calibri"/>
        </w:rPr>
        <w:t xml:space="preserve">. </w:t>
      </w:r>
    </w:p>
    <w:p w:rsidR="0061549B" w:rsidRPr="00B40A41" w:rsidRDefault="0061549B" w:rsidP="00D86231">
      <w:pPr>
        <w:pStyle w:val="TableFigureFooter"/>
        <w:rPr>
          <w:rFonts w:eastAsia="Calibri"/>
        </w:rPr>
      </w:pPr>
      <w:r w:rsidRPr="00B40A41">
        <w:rPr>
          <w:rFonts w:eastAsia="Calibri"/>
        </w:rPr>
        <w:t xml:space="preserve">Source: </w:t>
      </w:r>
      <w:r w:rsidR="00917BFB" w:rsidRPr="00B40A41">
        <w:rPr>
          <w:rFonts w:eastAsia="Calibri"/>
        </w:rPr>
        <w:t xml:space="preserve">Table compiled during the evaluation </w:t>
      </w:r>
      <w:r w:rsidR="007F64A5" w:rsidRPr="00B40A41">
        <w:rPr>
          <w:rFonts w:eastAsia="Calibri"/>
        </w:rPr>
        <w:t xml:space="preserve">based on </w:t>
      </w:r>
      <w:r w:rsidRPr="00B40A41">
        <w:rPr>
          <w:rFonts w:eastAsia="Calibri"/>
        </w:rPr>
        <w:t>Table</w:t>
      </w:r>
      <w:r w:rsidR="009A68B7" w:rsidRPr="00B40A41">
        <w:rPr>
          <w:rFonts w:eastAsia="Calibri"/>
        </w:rPr>
        <w:t xml:space="preserve"> 2.6-1 and 2.6-2</w:t>
      </w:r>
      <w:r w:rsidRPr="00B40A41">
        <w:rPr>
          <w:rFonts w:eastAsia="Calibri"/>
        </w:rPr>
        <w:t>, p</w:t>
      </w:r>
      <w:r w:rsidR="009A68B7" w:rsidRPr="00B40A41">
        <w:rPr>
          <w:rFonts w:eastAsia="Calibri"/>
        </w:rPr>
        <w:t>39 and p42</w:t>
      </w:r>
      <w:r w:rsidRPr="00B40A41">
        <w:rPr>
          <w:rFonts w:eastAsia="Calibri"/>
        </w:rPr>
        <w:t xml:space="preserve"> of the submission.</w:t>
      </w:r>
      <w:r w:rsidR="009A68B7" w:rsidRPr="00B40A41">
        <w:rPr>
          <w:rFonts w:eastAsia="Calibri"/>
        </w:rPr>
        <w:t xml:space="preserve"> </w:t>
      </w:r>
    </w:p>
    <w:p w:rsidR="00EF0171" w:rsidRPr="00B40A41" w:rsidRDefault="00EF0171" w:rsidP="00960991">
      <w:pPr>
        <w:pStyle w:val="TableHeading"/>
      </w:pPr>
      <w:bookmarkStart w:id="21" w:name="_Ref33448911"/>
      <w:r w:rsidRPr="00B40A41">
        <w:t xml:space="preserve">Table </w:t>
      </w:r>
      <w:r w:rsidR="006011CB" w:rsidRPr="00B40A41">
        <w:t>5</w:t>
      </w:r>
      <w:bookmarkEnd w:id="21"/>
      <w:r w:rsidRPr="00B40A41">
        <w:t xml:space="preserve">: </w:t>
      </w:r>
      <w:r w:rsidR="009A68B7" w:rsidRPr="00B40A41">
        <w:t>Summary of results of the indirect comparison of pembrolizumab versus nivolumab using ipilimumab as the common reference</w:t>
      </w:r>
      <w:r w:rsidR="006D6BC9" w:rsidRPr="00B40A41">
        <w:t xml:space="preserve"> in the target population</w:t>
      </w:r>
    </w:p>
    <w:tbl>
      <w:tblPr>
        <w:tblStyle w:val="ASDTable2"/>
        <w:tblW w:w="5000" w:type="pct"/>
        <w:jc w:val="center"/>
        <w:tblLook w:val="04A0" w:firstRow="1" w:lastRow="0" w:firstColumn="1" w:lastColumn="0" w:noHBand="0" w:noVBand="1"/>
        <w:tblCaption w:val="Table 5: Summary of results of the indirect comparison of pembrolizumab versus nivolumab using ipilimumab as the common reference in the target population"/>
      </w:tblPr>
      <w:tblGrid>
        <w:gridCol w:w="1270"/>
        <w:gridCol w:w="2411"/>
        <w:gridCol w:w="2269"/>
        <w:gridCol w:w="2126"/>
        <w:gridCol w:w="941"/>
      </w:tblGrid>
      <w:tr w:rsidR="00343BBC" w:rsidRPr="00B40A41" w:rsidTr="001A5179">
        <w:trPr>
          <w:trHeight w:val="53"/>
          <w:tblHeader/>
          <w:jc w:val="center"/>
        </w:trPr>
        <w:tc>
          <w:tcPr>
            <w:tcW w:w="704" w:type="pct"/>
            <w:vMerge w:val="restart"/>
            <w:noWrap/>
            <w:hideMark/>
          </w:tcPr>
          <w:p w:rsidR="00343BBC" w:rsidRPr="00B40A41" w:rsidRDefault="00343BBC" w:rsidP="009A68B7">
            <w:pPr>
              <w:pStyle w:val="TableText0"/>
              <w:rPr>
                <w:lang w:eastAsia="en-US"/>
              </w:rPr>
            </w:pPr>
          </w:p>
        </w:tc>
        <w:tc>
          <w:tcPr>
            <w:tcW w:w="1337" w:type="pct"/>
            <w:noWrap/>
            <w:hideMark/>
          </w:tcPr>
          <w:p w:rsidR="00343BBC" w:rsidRPr="00B40A41" w:rsidRDefault="005D655C" w:rsidP="00343BBC">
            <w:pPr>
              <w:pStyle w:val="In-tableHeading"/>
              <w:jc w:val="center"/>
              <w:rPr>
                <w:rFonts w:cs="Calibri"/>
                <w:lang w:val="en-AU" w:eastAsia="en-US"/>
              </w:rPr>
            </w:pPr>
            <w:r w:rsidRPr="00B40A41">
              <w:rPr>
                <w:lang w:val="en-AU" w:eastAsia="en-US"/>
              </w:rPr>
              <w:t>KN</w:t>
            </w:r>
            <w:r w:rsidR="00343BBC" w:rsidRPr="00B40A41">
              <w:rPr>
                <w:lang w:val="en-AU" w:eastAsia="en-US"/>
              </w:rPr>
              <w:t>006</w:t>
            </w:r>
          </w:p>
        </w:tc>
        <w:tc>
          <w:tcPr>
            <w:tcW w:w="1258" w:type="pct"/>
            <w:noWrap/>
            <w:hideMark/>
          </w:tcPr>
          <w:p w:rsidR="00343BBC" w:rsidRPr="00B40A41" w:rsidRDefault="00343BBC" w:rsidP="00343BBC">
            <w:pPr>
              <w:pStyle w:val="In-tableHeading"/>
              <w:jc w:val="center"/>
              <w:rPr>
                <w:lang w:val="en-AU" w:eastAsia="en-US"/>
              </w:rPr>
            </w:pPr>
            <w:r w:rsidRPr="00B40A41">
              <w:rPr>
                <w:lang w:val="en-AU" w:eastAsia="en-US"/>
              </w:rPr>
              <w:t>CM067</w:t>
            </w:r>
          </w:p>
        </w:tc>
        <w:tc>
          <w:tcPr>
            <w:tcW w:w="1179" w:type="pct"/>
            <w:vMerge w:val="restart"/>
            <w:noWrap/>
            <w:hideMark/>
          </w:tcPr>
          <w:p w:rsidR="00343BBC" w:rsidRPr="00B40A41" w:rsidRDefault="00343BBC" w:rsidP="00343BBC">
            <w:pPr>
              <w:pStyle w:val="In-tableHeading"/>
              <w:jc w:val="center"/>
              <w:rPr>
                <w:lang w:val="en-AU" w:eastAsia="en-US"/>
              </w:rPr>
            </w:pPr>
            <w:r w:rsidRPr="00B40A41">
              <w:rPr>
                <w:lang w:val="en-AU" w:eastAsia="en-US"/>
              </w:rPr>
              <w:t>Indirect Comparison</w:t>
            </w:r>
          </w:p>
          <w:p w:rsidR="00343BBC" w:rsidRPr="00B40A41" w:rsidRDefault="00343BBC" w:rsidP="00343BBC">
            <w:pPr>
              <w:pStyle w:val="In-tableHeading"/>
              <w:jc w:val="center"/>
              <w:rPr>
                <w:lang w:val="en-AU" w:eastAsia="en-US"/>
              </w:rPr>
            </w:pPr>
            <w:r w:rsidRPr="00B40A41">
              <w:rPr>
                <w:lang w:val="en-AU" w:eastAsia="en-US"/>
              </w:rPr>
              <w:t>(95% CI)</w:t>
            </w:r>
          </w:p>
        </w:tc>
        <w:tc>
          <w:tcPr>
            <w:tcW w:w="522" w:type="pct"/>
            <w:vMerge w:val="restart"/>
          </w:tcPr>
          <w:p w:rsidR="00343BBC" w:rsidRPr="00B40A41" w:rsidRDefault="008C6E34" w:rsidP="00343BBC">
            <w:pPr>
              <w:pStyle w:val="In-tableHeading"/>
              <w:jc w:val="center"/>
              <w:rPr>
                <w:lang w:val="en-AU" w:eastAsia="en-US"/>
              </w:rPr>
            </w:pPr>
            <w:r w:rsidRPr="00B40A41">
              <w:rPr>
                <w:lang w:val="en-AU" w:eastAsia="en-US"/>
              </w:rPr>
              <w:t>p</w:t>
            </w:r>
            <w:r w:rsidR="00343BBC" w:rsidRPr="00B40A41">
              <w:rPr>
                <w:lang w:val="en-AU" w:eastAsia="en-US"/>
              </w:rPr>
              <w:t>-value</w:t>
            </w:r>
          </w:p>
        </w:tc>
      </w:tr>
      <w:tr w:rsidR="00343BBC" w:rsidRPr="00B40A41" w:rsidTr="001A5179">
        <w:trPr>
          <w:trHeight w:val="257"/>
          <w:tblHeader/>
          <w:jc w:val="center"/>
        </w:trPr>
        <w:tc>
          <w:tcPr>
            <w:tcW w:w="704" w:type="pct"/>
            <w:vMerge/>
            <w:hideMark/>
          </w:tcPr>
          <w:p w:rsidR="00343BBC" w:rsidRPr="00B40A41" w:rsidRDefault="00343BBC" w:rsidP="009A68B7">
            <w:pPr>
              <w:pStyle w:val="TableText0"/>
              <w:rPr>
                <w:rFonts w:cs="Calibri"/>
                <w:lang w:eastAsia="en-US"/>
              </w:rPr>
            </w:pPr>
          </w:p>
        </w:tc>
        <w:tc>
          <w:tcPr>
            <w:tcW w:w="1337" w:type="pct"/>
            <w:noWrap/>
            <w:hideMark/>
          </w:tcPr>
          <w:p w:rsidR="00343BBC" w:rsidRPr="00B40A41" w:rsidRDefault="008C6E34" w:rsidP="00343BBC">
            <w:pPr>
              <w:pStyle w:val="In-tableHeading"/>
              <w:jc w:val="center"/>
              <w:rPr>
                <w:lang w:val="en-AU" w:eastAsia="en-US"/>
              </w:rPr>
            </w:pPr>
            <w:r w:rsidRPr="00B40A41">
              <w:rPr>
                <w:lang w:val="en-AU" w:eastAsia="en-US"/>
              </w:rPr>
              <w:t>Pembro vs. Ipi, HR (95% CI)</w:t>
            </w:r>
          </w:p>
        </w:tc>
        <w:tc>
          <w:tcPr>
            <w:tcW w:w="1258" w:type="pct"/>
            <w:noWrap/>
            <w:hideMark/>
          </w:tcPr>
          <w:p w:rsidR="00343BBC" w:rsidRPr="00B40A41" w:rsidRDefault="00343BBC" w:rsidP="00343BBC">
            <w:pPr>
              <w:pStyle w:val="In-tableHeading"/>
              <w:jc w:val="center"/>
              <w:rPr>
                <w:lang w:val="en-AU" w:eastAsia="en-US"/>
              </w:rPr>
            </w:pPr>
            <w:r w:rsidRPr="00B40A41">
              <w:rPr>
                <w:lang w:val="en-AU" w:eastAsia="en-US"/>
              </w:rPr>
              <w:t>Nivo vs Ipi</w:t>
            </w:r>
            <w:r w:rsidR="008C6E34" w:rsidRPr="00B40A41">
              <w:rPr>
                <w:lang w:val="en-AU" w:eastAsia="en-US"/>
              </w:rPr>
              <w:t>, HR</w:t>
            </w:r>
            <w:r w:rsidRPr="00B40A41">
              <w:rPr>
                <w:lang w:val="en-AU" w:eastAsia="en-US"/>
              </w:rPr>
              <w:t xml:space="preserve"> (95% CI)</w:t>
            </w:r>
          </w:p>
        </w:tc>
        <w:tc>
          <w:tcPr>
            <w:tcW w:w="1179" w:type="pct"/>
            <w:vMerge/>
            <w:noWrap/>
            <w:hideMark/>
          </w:tcPr>
          <w:p w:rsidR="00343BBC" w:rsidRPr="00B40A41" w:rsidRDefault="00343BBC" w:rsidP="009A68B7">
            <w:pPr>
              <w:pStyle w:val="In-tableHeading"/>
              <w:rPr>
                <w:lang w:val="en-AU" w:eastAsia="en-US"/>
              </w:rPr>
            </w:pPr>
          </w:p>
        </w:tc>
        <w:tc>
          <w:tcPr>
            <w:tcW w:w="522" w:type="pct"/>
            <w:vMerge/>
          </w:tcPr>
          <w:p w:rsidR="00343BBC" w:rsidRPr="00B40A41" w:rsidRDefault="00343BBC" w:rsidP="009A68B7">
            <w:pPr>
              <w:pStyle w:val="TableText0"/>
              <w:rPr>
                <w:color w:val="000000"/>
                <w:lang w:eastAsia="en-US"/>
              </w:rPr>
            </w:pPr>
          </w:p>
        </w:tc>
      </w:tr>
      <w:tr w:rsidR="00343BBC" w:rsidRPr="00B40A41" w:rsidTr="00960991">
        <w:trPr>
          <w:trHeight w:val="257"/>
          <w:jc w:val="center"/>
        </w:trPr>
        <w:tc>
          <w:tcPr>
            <w:tcW w:w="704" w:type="pct"/>
            <w:noWrap/>
            <w:hideMark/>
          </w:tcPr>
          <w:p w:rsidR="009A68B7" w:rsidRPr="00B40A41" w:rsidRDefault="008C6E34" w:rsidP="004F0971">
            <w:pPr>
              <w:pStyle w:val="In-tableHeading"/>
              <w:rPr>
                <w:lang w:val="en-AU" w:eastAsia="en-US"/>
              </w:rPr>
            </w:pPr>
            <w:r w:rsidRPr="00B40A41">
              <w:rPr>
                <w:lang w:val="en-AU" w:eastAsia="en-US"/>
              </w:rPr>
              <w:t>OS</w:t>
            </w:r>
          </w:p>
        </w:tc>
        <w:tc>
          <w:tcPr>
            <w:tcW w:w="1337" w:type="pct"/>
            <w:noWrap/>
          </w:tcPr>
          <w:p w:rsidR="009A68B7" w:rsidRPr="00B40A41" w:rsidRDefault="009A68B7" w:rsidP="009A68B7">
            <w:pPr>
              <w:pStyle w:val="TableText0"/>
              <w:jc w:val="center"/>
              <w:rPr>
                <w:color w:val="000000"/>
                <w:lang w:eastAsia="en-US"/>
              </w:rPr>
            </w:pPr>
            <w:r w:rsidRPr="00B40A41">
              <w:rPr>
                <w:color w:val="000000"/>
                <w:lang w:eastAsia="en-US"/>
              </w:rPr>
              <w:t>0.70 (0.44, 1.11)</w:t>
            </w:r>
          </w:p>
        </w:tc>
        <w:tc>
          <w:tcPr>
            <w:tcW w:w="1258" w:type="pct"/>
            <w:noWrap/>
          </w:tcPr>
          <w:p w:rsidR="009A68B7" w:rsidRPr="00B40A41" w:rsidRDefault="009A68B7" w:rsidP="009A68B7">
            <w:pPr>
              <w:pStyle w:val="TableText0"/>
              <w:jc w:val="center"/>
              <w:rPr>
                <w:color w:val="000000"/>
                <w:lang w:eastAsia="en-US"/>
              </w:rPr>
            </w:pPr>
            <w:r w:rsidRPr="00B40A41">
              <w:rPr>
                <w:color w:val="000000"/>
                <w:lang w:eastAsia="en-US"/>
              </w:rPr>
              <w:t>0.63 (0.44, 0.90)</w:t>
            </w:r>
          </w:p>
        </w:tc>
        <w:tc>
          <w:tcPr>
            <w:tcW w:w="1179" w:type="pct"/>
            <w:noWrap/>
          </w:tcPr>
          <w:p w:rsidR="009A68B7" w:rsidRPr="00B40A41" w:rsidRDefault="009A68B7" w:rsidP="009A68B7">
            <w:pPr>
              <w:pStyle w:val="TableText0"/>
              <w:jc w:val="center"/>
              <w:rPr>
                <w:color w:val="000000"/>
                <w:lang w:eastAsia="en-US"/>
              </w:rPr>
            </w:pPr>
            <w:r w:rsidRPr="00B40A41">
              <w:rPr>
                <w:color w:val="000000"/>
                <w:lang w:eastAsia="en-US"/>
              </w:rPr>
              <w:t>1.11 (0.62, 1.99)</w:t>
            </w:r>
          </w:p>
        </w:tc>
        <w:tc>
          <w:tcPr>
            <w:tcW w:w="522" w:type="pct"/>
          </w:tcPr>
          <w:p w:rsidR="009A68B7" w:rsidRPr="00B40A41" w:rsidRDefault="009A68B7" w:rsidP="009A68B7">
            <w:pPr>
              <w:pStyle w:val="TableText0"/>
              <w:jc w:val="center"/>
              <w:rPr>
                <w:color w:val="000000"/>
                <w:lang w:eastAsia="en-US"/>
              </w:rPr>
            </w:pPr>
            <w:r w:rsidRPr="00B40A41">
              <w:rPr>
                <w:color w:val="000000"/>
                <w:lang w:eastAsia="en-US"/>
              </w:rPr>
              <w:t>0.7240</w:t>
            </w:r>
          </w:p>
        </w:tc>
      </w:tr>
      <w:tr w:rsidR="00343BBC" w:rsidRPr="00B40A41" w:rsidTr="00960991">
        <w:trPr>
          <w:trHeight w:val="257"/>
          <w:jc w:val="center"/>
        </w:trPr>
        <w:tc>
          <w:tcPr>
            <w:tcW w:w="704" w:type="pct"/>
            <w:noWrap/>
            <w:hideMark/>
          </w:tcPr>
          <w:p w:rsidR="009A68B7" w:rsidRPr="00B40A41" w:rsidRDefault="008C6E34" w:rsidP="008C6E34">
            <w:pPr>
              <w:pStyle w:val="In-tableHeading"/>
              <w:rPr>
                <w:lang w:val="en-AU" w:eastAsia="en-US"/>
              </w:rPr>
            </w:pPr>
            <w:r w:rsidRPr="00B40A41">
              <w:rPr>
                <w:lang w:val="en-AU" w:eastAsia="en-US"/>
              </w:rPr>
              <w:t>PFS</w:t>
            </w:r>
          </w:p>
        </w:tc>
        <w:tc>
          <w:tcPr>
            <w:tcW w:w="1337" w:type="pct"/>
            <w:noWrap/>
          </w:tcPr>
          <w:p w:rsidR="009A68B7" w:rsidRPr="00B40A41" w:rsidRDefault="009A68B7" w:rsidP="009A68B7">
            <w:pPr>
              <w:pStyle w:val="TableText0"/>
              <w:jc w:val="center"/>
              <w:rPr>
                <w:color w:val="000000"/>
                <w:lang w:eastAsia="en-US"/>
              </w:rPr>
            </w:pPr>
            <w:r w:rsidRPr="00B40A41">
              <w:rPr>
                <w:color w:val="000000"/>
                <w:lang w:eastAsia="en-US"/>
              </w:rPr>
              <w:t>0.62 (0.42, 0.91)</w:t>
            </w:r>
          </w:p>
        </w:tc>
        <w:tc>
          <w:tcPr>
            <w:tcW w:w="1258" w:type="pct"/>
            <w:noWrap/>
          </w:tcPr>
          <w:p w:rsidR="009A68B7" w:rsidRPr="00B40A41" w:rsidRDefault="009A68B7" w:rsidP="009A68B7">
            <w:pPr>
              <w:pStyle w:val="TableText0"/>
              <w:jc w:val="center"/>
              <w:rPr>
                <w:color w:val="000000"/>
                <w:lang w:eastAsia="en-US"/>
              </w:rPr>
            </w:pPr>
            <w:r w:rsidRPr="00B40A41">
              <w:rPr>
                <w:color w:val="000000"/>
                <w:lang w:eastAsia="en-US"/>
              </w:rPr>
              <w:t>0.73 (0.52, 1.01)</w:t>
            </w:r>
          </w:p>
        </w:tc>
        <w:tc>
          <w:tcPr>
            <w:tcW w:w="1179" w:type="pct"/>
            <w:noWrap/>
          </w:tcPr>
          <w:p w:rsidR="009A68B7" w:rsidRPr="00B40A41" w:rsidRDefault="009A68B7" w:rsidP="009A68B7">
            <w:pPr>
              <w:pStyle w:val="TableText0"/>
              <w:jc w:val="center"/>
              <w:rPr>
                <w:color w:val="000000"/>
                <w:lang w:eastAsia="en-US"/>
              </w:rPr>
            </w:pPr>
            <w:r w:rsidRPr="00B40A41">
              <w:rPr>
                <w:color w:val="000000"/>
                <w:lang w:eastAsia="en-US"/>
              </w:rPr>
              <w:t>0.85 (0.51, 1.41)</w:t>
            </w:r>
          </w:p>
        </w:tc>
        <w:tc>
          <w:tcPr>
            <w:tcW w:w="522" w:type="pct"/>
          </w:tcPr>
          <w:p w:rsidR="009A68B7" w:rsidRPr="00B40A41" w:rsidRDefault="009A68B7" w:rsidP="009A68B7">
            <w:pPr>
              <w:pStyle w:val="TableText0"/>
              <w:jc w:val="center"/>
              <w:rPr>
                <w:color w:val="000000"/>
                <w:lang w:eastAsia="en-US"/>
              </w:rPr>
            </w:pPr>
            <w:r w:rsidRPr="00B40A41">
              <w:rPr>
                <w:color w:val="000000"/>
                <w:lang w:eastAsia="en-US"/>
              </w:rPr>
              <w:t>0.5298</w:t>
            </w:r>
          </w:p>
        </w:tc>
      </w:tr>
    </w:tbl>
    <w:p w:rsidR="009A68B7" w:rsidRPr="00B40A41" w:rsidRDefault="00407560" w:rsidP="00D86231">
      <w:pPr>
        <w:pStyle w:val="TableFigureFooter"/>
      </w:pPr>
      <w:r w:rsidRPr="00B40A41">
        <w:t xml:space="preserve">CI = confidence interval; </w:t>
      </w:r>
      <w:r w:rsidR="00343BBC" w:rsidRPr="00B40A41">
        <w:t>HR</w:t>
      </w:r>
      <w:r w:rsidR="00BC525C" w:rsidRPr="00B40A41">
        <w:t xml:space="preserve"> </w:t>
      </w:r>
      <w:r w:rsidR="00343BBC" w:rsidRPr="00B40A41">
        <w:t xml:space="preserve">= hazard ratio; </w:t>
      </w:r>
      <w:r w:rsidR="008C6E34" w:rsidRPr="00B40A41">
        <w:t xml:space="preserve">Ipi = ipilimumab; Nivo = nivolumab; OS = overall survival; </w:t>
      </w:r>
      <w:r w:rsidR="00C1624C" w:rsidRPr="00B40A41">
        <w:t>Pembro</w:t>
      </w:r>
      <w:r w:rsidR="00BC525C" w:rsidRPr="00B40A41">
        <w:t xml:space="preserve"> </w:t>
      </w:r>
      <w:r w:rsidR="00C1624C" w:rsidRPr="00B40A41">
        <w:t xml:space="preserve">= pembrolizumab; </w:t>
      </w:r>
      <w:r w:rsidR="008C6E34" w:rsidRPr="00B40A41">
        <w:t>PFS = progression free survival</w:t>
      </w:r>
      <w:r w:rsidR="00BC525C" w:rsidRPr="00B40A41">
        <w:t>.</w:t>
      </w:r>
    </w:p>
    <w:p w:rsidR="00EF0171" w:rsidRPr="00B40A41" w:rsidRDefault="00EF0171" w:rsidP="00D86231">
      <w:pPr>
        <w:pStyle w:val="TableFigureFooter"/>
      </w:pPr>
      <w:r w:rsidRPr="00B40A41">
        <w:t>Source: Table</w:t>
      </w:r>
      <w:r w:rsidR="00C1624C" w:rsidRPr="00B40A41">
        <w:t xml:space="preserve"> 2.6-6</w:t>
      </w:r>
      <w:r w:rsidRPr="00B40A41">
        <w:t>, p</w:t>
      </w:r>
      <w:r w:rsidR="00C1624C" w:rsidRPr="00B40A41">
        <w:t>46</w:t>
      </w:r>
      <w:r w:rsidRPr="00B40A41">
        <w:t xml:space="preserve"> of the submission.</w:t>
      </w:r>
    </w:p>
    <w:p w:rsidR="00CE1A41" w:rsidRPr="00B40A41" w:rsidRDefault="00CE1A41" w:rsidP="00C1624C">
      <w:pPr>
        <w:pStyle w:val="3-BodyText"/>
      </w:pPr>
      <w:r w:rsidRPr="00B40A41">
        <w:t xml:space="preserve">The ESC </w:t>
      </w:r>
      <w:proofErr w:type="gramStart"/>
      <w:r w:rsidRPr="00B40A41">
        <w:t>noted</w:t>
      </w:r>
      <w:r w:rsidR="00B3668D" w:rsidRPr="00B40A41">
        <w:t xml:space="preserve"> </w:t>
      </w:r>
      <w:r w:rsidRPr="00B40A41">
        <w:t xml:space="preserve">in the KN006 trial </w:t>
      </w:r>
      <w:r w:rsidR="00CF5A84" w:rsidRPr="00B40A41">
        <w:t>that</w:t>
      </w:r>
      <w:r w:rsidRPr="00B40A41">
        <w:t xml:space="preserve"> pembrolizumab was statistically significantly better than ipilimumab in terms of PFS, but not in terms of OS, whereas</w:t>
      </w:r>
      <w:r w:rsidR="00CF5A84" w:rsidRPr="00B40A41">
        <w:t xml:space="preserve"> in the CM067 trial</w:t>
      </w:r>
      <w:r w:rsidRPr="00B40A41">
        <w:t xml:space="preserve"> nivolumab was statistically significantly better than ipilimumab in terms of OS, but not in terms of PFS</w:t>
      </w:r>
      <w:proofErr w:type="gramEnd"/>
      <w:r w:rsidR="00304476" w:rsidRPr="00B40A41">
        <w:t>.</w:t>
      </w:r>
    </w:p>
    <w:p w:rsidR="007E7C41" w:rsidRPr="00B40A41" w:rsidRDefault="00842C10" w:rsidP="00C1624C">
      <w:pPr>
        <w:pStyle w:val="3-BodyText"/>
        <w:rPr>
          <w:color w:val="0066FF"/>
        </w:rPr>
      </w:pPr>
      <w:r w:rsidRPr="00B40A41">
        <w:t>The submission claimed non-inferiority</w:t>
      </w:r>
      <w:r w:rsidR="00843EBA" w:rsidRPr="00B40A41">
        <w:t xml:space="preserve"> of pembrolizumab versus nivolumab</w:t>
      </w:r>
      <w:r w:rsidRPr="00B40A41">
        <w:t xml:space="preserve"> for OS and PFS based on the non-significant p-values derived from indirect comparisons</w:t>
      </w:r>
      <w:r w:rsidR="00513789" w:rsidRPr="00B40A41">
        <w:t xml:space="preserve"> of survival hazard ratios</w:t>
      </w:r>
      <w:r w:rsidRPr="00B40A41">
        <w:t>.</w:t>
      </w:r>
      <w:r w:rsidR="00843EBA" w:rsidRPr="00B40A41">
        <w:t xml:space="preserve"> </w:t>
      </w:r>
      <w:r w:rsidR="00843EBA" w:rsidRPr="00B40A41">
        <w:rPr>
          <w:iCs/>
        </w:rPr>
        <w:t xml:space="preserve">However, </w:t>
      </w:r>
      <w:r w:rsidR="002101CD" w:rsidRPr="00B40A41">
        <w:rPr>
          <w:iCs/>
        </w:rPr>
        <w:t xml:space="preserve">the PBAC </w:t>
      </w:r>
      <w:r w:rsidR="001A5347" w:rsidRPr="00B40A41">
        <w:rPr>
          <w:iCs/>
        </w:rPr>
        <w:t>G</w:t>
      </w:r>
      <w:r w:rsidR="002101CD" w:rsidRPr="00B40A41">
        <w:rPr>
          <w:iCs/>
        </w:rPr>
        <w:t>uidelines state that lack of a statistically significant difference between the proposed medicine and the comparator does not adequately establish non</w:t>
      </w:r>
      <w:r w:rsidR="008B35BE" w:rsidRPr="00B40A41">
        <w:rPr>
          <w:iCs/>
        </w:rPr>
        <w:t>-</w:t>
      </w:r>
      <w:r w:rsidR="002101CD" w:rsidRPr="00B40A41">
        <w:rPr>
          <w:iCs/>
        </w:rPr>
        <w:t xml:space="preserve">inferiority (section 2.4.5, p47 of PBAC </w:t>
      </w:r>
      <w:r w:rsidR="001A5347" w:rsidRPr="00B40A41">
        <w:rPr>
          <w:iCs/>
        </w:rPr>
        <w:t>G</w:t>
      </w:r>
      <w:r w:rsidR="002101CD" w:rsidRPr="00B40A41">
        <w:rPr>
          <w:iCs/>
        </w:rPr>
        <w:t>uidelines version 5, 2016)</w:t>
      </w:r>
      <w:r w:rsidR="002F4D1C" w:rsidRPr="00B40A41">
        <w:rPr>
          <w:iCs/>
        </w:rPr>
        <w:t>.</w:t>
      </w:r>
    </w:p>
    <w:p w:rsidR="00513789" w:rsidRPr="00B40A41" w:rsidRDefault="004F0971" w:rsidP="00C1624C">
      <w:pPr>
        <w:pStyle w:val="3-BodyText"/>
        <w:rPr>
          <w:color w:val="0066FF"/>
        </w:rPr>
      </w:pPr>
      <w:r w:rsidRPr="00B40A41">
        <w:rPr>
          <w:iCs/>
        </w:rPr>
        <w:lastRenderedPageBreak/>
        <w:t>T</w:t>
      </w:r>
      <w:r w:rsidR="00513789" w:rsidRPr="00B40A41">
        <w:rPr>
          <w:iCs/>
        </w:rPr>
        <w:t xml:space="preserve">he upper 95% confidence intervals of 1.41 for PFS and 1.99 for OS are substantially higher than </w:t>
      </w:r>
      <w:proofErr w:type="gramStart"/>
      <w:r w:rsidR="00513789" w:rsidRPr="00B40A41">
        <w:rPr>
          <w:iCs/>
        </w:rPr>
        <w:t>1</w:t>
      </w:r>
      <w:proofErr w:type="gramEnd"/>
      <w:r w:rsidR="00513789" w:rsidRPr="00B40A41">
        <w:rPr>
          <w:iCs/>
        </w:rPr>
        <w:t xml:space="preserve">, and </w:t>
      </w:r>
      <w:r w:rsidR="00960AD7" w:rsidRPr="00B40A41">
        <w:rPr>
          <w:iCs/>
        </w:rPr>
        <w:t xml:space="preserve">likely </w:t>
      </w:r>
      <w:r w:rsidR="00513789" w:rsidRPr="00B40A41">
        <w:rPr>
          <w:iCs/>
        </w:rPr>
        <w:t>higher than any reasonable non-inferiority margin</w:t>
      </w:r>
      <w:r w:rsidR="00513789" w:rsidRPr="00B40A41">
        <w:t>.</w:t>
      </w:r>
      <w:r w:rsidR="002101CD" w:rsidRPr="00B40A41">
        <w:t xml:space="preserve"> </w:t>
      </w:r>
      <w:r w:rsidR="00E43B56" w:rsidRPr="00B40A41">
        <w:t xml:space="preserve">The PSCR noted that the upper confidence bounds were high, </w:t>
      </w:r>
      <w:r w:rsidR="00E400C9" w:rsidRPr="00B40A41">
        <w:t xml:space="preserve">but stated that </w:t>
      </w:r>
      <w:r w:rsidR="00E43B56" w:rsidRPr="00B40A41">
        <w:t xml:space="preserve">this was </w:t>
      </w:r>
      <w:r w:rsidR="00E400C9" w:rsidRPr="00B40A41">
        <w:t xml:space="preserve">due to </w:t>
      </w:r>
      <w:r w:rsidR="00C763F6" w:rsidRPr="00B40A41">
        <w:t xml:space="preserve">the use of subgroups and the </w:t>
      </w:r>
      <w:r w:rsidR="00E43B56" w:rsidRPr="00B40A41">
        <w:t xml:space="preserve">lack of power associated with the comparison between pembrolizumab and nivolumab. </w:t>
      </w:r>
    </w:p>
    <w:p w:rsidR="00D06C11" w:rsidRPr="00B40A41" w:rsidRDefault="008C2E52" w:rsidP="00D06C11">
      <w:pPr>
        <w:pStyle w:val="3-BodyText"/>
        <w:rPr>
          <w:iCs/>
          <w:color w:val="0066FF"/>
        </w:rPr>
      </w:pPr>
      <w:r w:rsidRPr="00B40A41">
        <w:t xml:space="preserve">The submission </w:t>
      </w:r>
      <w:r w:rsidR="00AE3126" w:rsidRPr="00B40A41">
        <w:t>claimed</w:t>
      </w:r>
      <w:r w:rsidR="009E26C8" w:rsidRPr="00B40A41">
        <w:t xml:space="preserve"> that non-inferiority </w:t>
      </w:r>
      <w:r w:rsidR="005D655C" w:rsidRPr="00B40A41">
        <w:t xml:space="preserve">in efficacy </w:t>
      </w:r>
      <w:proofErr w:type="gramStart"/>
      <w:r w:rsidR="005D655C" w:rsidRPr="00B40A41">
        <w:t>wa</w:t>
      </w:r>
      <w:r w:rsidR="009E26C8" w:rsidRPr="00B40A41">
        <w:t>s demonstrated</w:t>
      </w:r>
      <w:proofErr w:type="gramEnd"/>
      <w:r w:rsidR="00B16DC0" w:rsidRPr="00B40A41">
        <w:t xml:space="preserve"> as the</w:t>
      </w:r>
      <w:r w:rsidRPr="00B40A41">
        <w:t xml:space="preserve"> median OS for pembrolizumab (not reached) </w:t>
      </w:r>
      <w:r w:rsidR="00AE3126" w:rsidRPr="00B40A41">
        <w:t>wa</w:t>
      </w:r>
      <w:r w:rsidR="006E182B" w:rsidRPr="00B40A41">
        <w:t xml:space="preserve">s </w:t>
      </w:r>
      <w:r w:rsidRPr="00B40A41">
        <w:t xml:space="preserve">no less than nivolumab (45.5 months) and the 5-year survival rate of pembrolizumab (50.8%) </w:t>
      </w:r>
      <w:r w:rsidR="009E26C8" w:rsidRPr="00B40A41">
        <w:t xml:space="preserve">was </w:t>
      </w:r>
      <w:r w:rsidRPr="00B40A41">
        <w:t xml:space="preserve">at least as </w:t>
      </w:r>
      <w:r w:rsidR="009E26C8" w:rsidRPr="00B40A41">
        <w:t>high</w:t>
      </w:r>
      <w:r w:rsidRPr="00B40A41">
        <w:t xml:space="preserve"> as </w:t>
      </w:r>
      <w:r w:rsidR="009E26C8" w:rsidRPr="00B40A41">
        <w:t xml:space="preserve">for </w:t>
      </w:r>
      <w:r w:rsidRPr="00B40A41">
        <w:t>nivolumab (46.0%).</w:t>
      </w:r>
      <w:r w:rsidR="00A84784" w:rsidRPr="00B40A41">
        <w:t xml:space="preserve"> </w:t>
      </w:r>
      <w:r w:rsidR="00884449" w:rsidRPr="00B40A41">
        <w:rPr>
          <w:iCs/>
        </w:rPr>
        <w:t>Th</w:t>
      </w:r>
      <w:r w:rsidR="00C217AB" w:rsidRPr="00B40A41">
        <w:rPr>
          <w:iCs/>
        </w:rPr>
        <w:t>e evaluators considered that th</w:t>
      </w:r>
      <w:r w:rsidR="00884449" w:rsidRPr="00B40A41">
        <w:rPr>
          <w:iCs/>
        </w:rPr>
        <w:t xml:space="preserve">is argument </w:t>
      </w:r>
      <w:proofErr w:type="gramStart"/>
      <w:r w:rsidR="00C217AB" w:rsidRPr="00B40A41">
        <w:rPr>
          <w:iCs/>
        </w:rPr>
        <w:t>wa</w:t>
      </w:r>
      <w:r w:rsidR="00884449" w:rsidRPr="00B40A41">
        <w:rPr>
          <w:iCs/>
        </w:rPr>
        <w:t>s flawed</w:t>
      </w:r>
      <w:proofErr w:type="gramEnd"/>
      <w:r w:rsidR="00884449" w:rsidRPr="00B40A41">
        <w:rPr>
          <w:iCs/>
        </w:rPr>
        <w:t xml:space="preserve"> as </w:t>
      </w:r>
      <w:r w:rsidR="00CF5A84" w:rsidRPr="00B40A41">
        <w:rPr>
          <w:iCs/>
        </w:rPr>
        <w:t xml:space="preserve">the </w:t>
      </w:r>
      <w:r w:rsidR="00884449" w:rsidRPr="00B40A41">
        <w:rPr>
          <w:iCs/>
        </w:rPr>
        <w:t>indirect comparisons consider the difference in survival between pembrolizumab and ipilimumab and separately between nivolumab and ipilimumab, not between pembrolizumab and nivolumab directly.</w:t>
      </w:r>
      <w:r w:rsidR="00AE3126" w:rsidRPr="00B40A41">
        <w:rPr>
          <w:iCs/>
        </w:rPr>
        <w:t xml:space="preserve"> The pre-PBAC response reiterated the statements made in the submission regarding median overall survival and survival rates at five years, adding that the </w:t>
      </w:r>
      <w:r w:rsidR="00AE3126" w:rsidRPr="00B40A41">
        <w:t>hazard ratios for overall survival were also similar (pembrolizumab HR = 0.70; nivolumab HR = 0.63)</w:t>
      </w:r>
    </w:p>
    <w:p w:rsidR="00934988" w:rsidRPr="00B40A41" w:rsidRDefault="008C2E52" w:rsidP="00D06C11">
      <w:pPr>
        <w:pStyle w:val="3-BodyText"/>
        <w:rPr>
          <w:rStyle w:val="CommentReference"/>
          <w:rFonts w:asciiTheme="minorHAnsi" w:hAnsiTheme="minorHAnsi"/>
          <w:b w:val="0"/>
          <w:sz w:val="24"/>
          <w:szCs w:val="24"/>
        </w:rPr>
      </w:pPr>
      <w:r w:rsidRPr="00B40A41">
        <w:t xml:space="preserve">The submission </w:t>
      </w:r>
      <w:r w:rsidR="00101B21" w:rsidRPr="00B40A41">
        <w:t>further</w:t>
      </w:r>
      <w:r w:rsidRPr="00B40A41">
        <w:t xml:space="preserve"> argued that </w:t>
      </w:r>
      <w:r w:rsidR="009E26C8" w:rsidRPr="00B40A41">
        <w:t xml:space="preserve">the </w:t>
      </w:r>
      <w:r w:rsidRPr="00B40A41">
        <w:t xml:space="preserve">PBAC had previously accepted </w:t>
      </w:r>
      <w:r w:rsidR="00101B21" w:rsidRPr="00B40A41">
        <w:t xml:space="preserve">nivolumab to be non-inferior to pembrolizumab based on indirect comparisons using ipilimumab as the common reference (para 7.5, </w:t>
      </w:r>
      <w:r w:rsidR="005D655C" w:rsidRPr="00B40A41">
        <w:t>N</w:t>
      </w:r>
      <w:r w:rsidR="00101B21" w:rsidRPr="00B40A41">
        <w:t xml:space="preserve">ivolumab, PSD, November 2015). </w:t>
      </w:r>
    </w:p>
    <w:p w:rsidR="00C53D8D" w:rsidRPr="00B40A41" w:rsidRDefault="00AC5076" w:rsidP="00AE3126">
      <w:pPr>
        <w:pStyle w:val="3-BodyText"/>
        <w:rPr>
          <w:rStyle w:val="CommentReference"/>
          <w:rFonts w:asciiTheme="minorHAnsi" w:hAnsiTheme="minorHAnsi"/>
          <w:b w:val="0"/>
          <w:sz w:val="24"/>
          <w:szCs w:val="24"/>
        </w:rPr>
      </w:pPr>
      <w:r w:rsidRPr="00B40A41">
        <w:t>Overall, the ESC were concerned that the upper 95% confidence interval for OS, which indicated up to twice the hazard of death with pembrolizumab compared to nivolumab, did not demonstrate non-inferiority</w:t>
      </w:r>
      <w:r w:rsidR="00C217AB" w:rsidRPr="00B40A41">
        <w:t xml:space="preserve"> </w:t>
      </w:r>
      <w:r w:rsidR="008465FB" w:rsidRPr="00B40A41">
        <w:t xml:space="preserve">between pembrolizumab and </w:t>
      </w:r>
      <w:r w:rsidR="00C217AB" w:rsidRPr="00B40A41">
        <w:t>nivolumab</w:t>
      </w:r>
      <w:r w:rsidRPr="00B40A41">
        <w:t>.</w:t>
      </w:r>
      <w:r w:rsidR="005B5C97" w:rsidRPr="00B40A41">
        <w:t xml:space="preserve"> </w:t>
      </w:r>
    </w:p>
    <w:p w:rsidR="00556403" w:rsidRPr="00B40A41" w:rsidRDefault="00556403" w:rsidP="005D655C">
      <w:pPr>
        <w:pStyle w:val="3-BodyText"/>
        <w:rPr>
          <w:rStyle w:val="CommentReference"/>
          <w:rFonts w:asciiTheme="minorHAnsi" w:hAnsiTheme="minorHAnsi"/>
          <w:b w:val="0"/>
          <w:iCs/>
          <w:sz w:val="24"/>
          <w:szCs w:val="24"/>
        </w:rPr>
      </w:pPr>
      <w:r w:rsidRPr="00B40A41">
        <w:rPr>
          <w:rStyle w:val="CommentReference"/>
          <w:rFonts w:asciiTheme="minorHAnsi" w:hAnsiTheme="minorHAnsi"/>
          <w:b w:val="0"/>
          <w:iCs/>
          <w:sz w:val="24"/>
          <w:szCs w:val="24"/>
        </w:rPr>
        <w:t>The PBAC noted that neither KN006 nor CM067 were adequately powered to examine in-trial differences in the BRAF mutant subgroups or between trial differences, and considered that the wide confidence intervals of the indirect analyses were likely due to the fact that the analyses were based on a “subgroup of a subgroup”.</w:t>
      </w:r>
    </w:p>
    <w:p w:rsidR="005D6141" w:rsidRPr="00B40A41" w:rsidRDefault="00286752" w:rsidP="005D655C">
      <w:pPr>
        <w:pStyle w:val="3-BodyText"/>
        <w:rPr>
          <w:rStyle w:val="CommentReference"/>
          <w:rFonts w:asciiTheme="minorHAnsi" w:hAnsiTheme="minorHAnsi"/>
          <w:b w:val="0"/>
          <w:iCs/>
          <w:sz w:val="24"/>
          <w:szCs w:val="24"/>
        </w:rPr>
      </w:pPr>
      <w:r w:rsidRPr="00B40A41">
        <w:rPr>
          <w:rStyle w:val="CommentReference"/>
          <w:rFonts w:asciiTheme="minorHAnsi" w:hAnsiTheme="minorHAnsi"/>
          <w:b w:val="0"/>
          <w:iCs/>
          <w:sz w:val="24"/>
          <w:szCs w:val="24"/>
        </w:rPr>
        <w:t>The indirect comparison of overall survival did not consider the impact of subsequent treatments on survival in the KN006 and CM067 trials.</w:t>
      </w:r>
      <w:r w:rsidRPr="00B40A41">
        <w:rPr>
          <w:rStyle w:val="CommentReference"/>
          <w:rFonts w:asciiTheme="minorHAnsi" w:hAnsiTheme="minorHAnsi"/>
          <w:b w:val="0"/>
          <w:sz w:val="24"/>
          <w:szCs w:val="24"/>
        </w:rPr>
        <w:t xml:space="preserve"> </w:t>
      </w:r>
      <w:r w:rsidR="00554FCC" w:rsidRPr="00B40A41">
        <w:rPr>
          <w:rStyle w:val="CommentReference"/>
          <w:rFonts w:asciiTheme="minorHAnsi" w:hAnsiTheme="minorHAnsi"/>
          <w:b w:val="0"/>
          <w:sz w:val="24"/>
          <w:szCs w:val="24"/>
        </w:rPr>
        <w:t xml:space="preserve">As noted above in paragraph 6.8, a </w:t>
      </w:r>
      <w:r w:rsidR="005D6141" w:rsidRPr="00B40A41">
        <w:rPr>
          <w:rStyle w:val="CommentReference"/>
          <w:rFonts w:asciiTheme="minorHAnsi" w:hAnsiTheme="minorHAnsi"/>
          <w:b w:val="0"/>
          <w:sz w:val="24"/>
          <w:szCs w:val="24"/>
        </w:rPr>
        <w:t xml:space="preserve">greater proportion of patients in </w:t>
      </w:r>
      <w:r w:rsidR="00554FCC" w:rsidRPr="00B40A41">
        <w:rPr>
          <w:rStyle w:val="CommentReference"/>
          <w:rFonts w:asciiTheme="minorHAnsi" w:hAnsiTheme="minorHAnsi"/>
          <w:b w:val="0"/>
          <w:sz w:val="24"/>
          <w:szCs w:val="24"/>
        </w:rPr>
        <w:t xml:space="preserve">the BRAF mutant subgroup of </w:t>
      </w:r>
      <w:proofErr w:type="gramStart"/>
      <w:r w:rsidR="005D6141" w:rsidRPr="00B40A41">
        <w:rPr>
          <w:rStyle w:val="CommentReference"/>
          <w:rFonts w:asciiTheme="minorHAnsi" w:hAnsiTheme="minorHAnsi"/>
          <w:b w:val="0"/>
          <w:sz w:val="24"/>
          <w:szCs w:val="24"/>
        </w:rPr>
        <w:t>KN006</w:t>
      </w:r>
      <w:proofErr w:type="gramEnd"/>
      <w:r w:rsidR="005D6141" w:rsidRPr="00B40A41">
        <w:rPr>
          <w:rStyle w:val="CommentReference"/>
          <w:rFonts w:asciiTheme="minorHAnsi" w:hAnsiTheme="minorHAnsi"/>
          <w:b w:val="0"/>
          <w:sz w:val="24"/>
          <w:szCs w:val="24"/>
        </w:rPr>
        <w:t xml:space="preserve"> received subsequent treatments in the ipilimumab control group (79%) compared to the two pembrolizumab arms (54%).</w:t>
      </w:r>
      <w:r w:rsidR="00554FCC" w:rsidRPr="00B40A41">
        <w:rPr>
          <w:rStyle w:val="CommentReference"/>
          <w:rFonts w:asciiTheme="minorHAnsi" w:hAnsiTheme="minorHAnsi"/>
          <w:b w:val="0"/>
          <w:sz w:val="24"/>
          <w:szCs w:val="24"/>
        </w:rPr>
        <w:t xml:space="preserve"> Although the PSCR provided additional information suggesting that the proportions of patients in the CN067 trial </w:t>
      </w:r>
      <w:r w:rsidR="00C217AB" w:rsidRPr="00B40A41">
        <w:rPr>
          <w:rStyle w:val="CommentReference"/>
          <w:rFonts w:asciiTheme="minorHAnsi" w:hAnsiTheme="minorHAnsi"/>
          <w:b w:val="0"/>
          <w:sz w:val="24"/>
          <w:szCs w:val="24"/>
        </w:rPr>
        <w:t>who r</w:t>
      </w:r>
      <w:r w:rsidR="00554FCC" w:rsidRPr="00B40A41">
        <w:rPr>
          <w:rStyle w:val="CommentReference"/>
          <w:rFonts w:asciiTheme="minorHAnsi" w:hAnsiTheme="minorHAnsi"/>
          <w:b w:val="0"/>
          <w:sz w:val="24"/>
          <w:szCs w:val="24"/>
        </w:rPr>
        <w:t>eceived subsequent therapy</w:t>
      </w:r>
      <w:r w:rsidR="00C217AB" w:rsidRPr="00B40A41">
        <w:rPr>
          <w:rStyle w:val="CommentReference"/>
          <w:rFonts w:asciiTheme="minorHAnsi" w:hAnsiTheme="minorHAnsi"/>
          <w:b w:val="0"/>
          <w:sz w:val="24"/>
          <w:szCs w:val="24"/>
        </w:rPr>
        <w:t xml:space="preserve"> were similar</w:t>
      </w:r>
      <w:r w:rsidR="00554FCC" w:rsidRPr="00B40A41">
        <w:rPr>
          <w:rStyle w:val="CommentReference"/>
          <w:rFonts w:asciiTheme="minorHAnsi" w:hAnsiTheme="minorHAnsi"/>
          <w:b w:val="0"/>
          <w:sz w:val="24"/>
          <w:szCs w:val="24"/>
        </w:rPr>
        <w:t>, the proportions of patients in the BRAF mutant subgroup receiving subsequent therapies was unknown</w:t>
      </w:r>
      <w:r w:rsidR="00B40A41">
        <w:rPr>
          <w:rStyle w:val="CommentReference"/>
          <w:rFonts w:asciiTheme="minorHAnsi" w:hAnsiTheme="minorHAnsi"/>
          <w:b w:val="0"/>
          <w:sz w:val="24"/>
          <w:szCs w:val="24"/>
        </w:rPr>
        <w:t xml:space="preserve">. </w:t>
      </w:r>
      <w:r w:rsidR="00CE1A41" w:rsidRPr="00B40A41">
        <w:rPr>
          <w:rStyle w:val="CommentReference"/>
          <w:rFonts w:asciiTheme="minorHAnsi" w:hAnsiTheme="minorHAnsi"/>
          <w:b w:val="0"/>
          <w:sz w:val="24"/>
          <w:szCs w:val="24"/>
        </w:rPr>
        <w:t xml:space="preserve">The ESC considered that imbalances in subsequent treatments could affect the hazard ratios. </w:t>
      </w:r>
    </w:p>
    <w:p w:rsidR="00B60939" w:rsidRPr="00B40A41" w:rsidRDefault="00B60939" w:rsidP="00286752">
      <w:pPr>
        <w:pStyle w:val="4-SubsectionHeading"/>
      </w:pPr>
      <w:bookmarkStart w:id="22" w:name="_Toc22897642"/>
      <w:bookmarkStart w:id="23" w:name="_Toc30419510"/>
      <w:r w:rsidRPr="00B40A41">
        <w:t>Comparative harms</w:t>
      </w:r>
      <w:bookmarkEnd w:id="22"/>
      <w:bookmarkEnd w:id="23"/>
    </w:p>
    <w:p w:rsidR="00BC525C" w:rsidRPr="00B40A41" w:rsidRDefault="00045585" w:rsidP="00286752">
      <w:pPr>
        <w:pStyle w:val="3-BodyText"/>
      </w:pPr>
      <w:r w:rsidRPr="00B40A41">
        <w:t>A summary of the indirect comparison of key adverse events occurring in the BRAF mutation positive subgroup of trial KN006 and the total intention to treat population of trial CM067</w:t>
      </w:r>
      <w:r w:rsidR="00707FCB" w:rsidRPr="00B40A41">
        <w:t xml:space="preserve"> </w:t>
      </w:r>
      <w:proofErr w:type="gramStart"/>
      <w:r w:rsidR="00707FCB" w:rsidRPr="00B40A41">
        <w:t>is presented</w:t>
      </w:r>
      <w:proofErr w:type="gramEnd"/>
      <w:r w:rsidR="00707FCB" w:rsidRPr="00B40A41">
        <w:t xml:space="preserve"> </w:t>
      </w:r>
      <w:r w:rsidR="00960AD7" w:rsidRPr="00B40A41">
        <w:t xml:space="preserve">in </w:t>
      </w:r>
      <w:r w:rsidR="006011CB" w:rsidRPr="00B40A41">
        <w:t>Table 6</w:t>
      </w:r>
      <w:r w:rsidR="00960AD7" w:rsidRPr="00B40A41">
        <w:t>.</w:t>
      </w:r>
    </w:p>
    <w:p w:rsidR="00960AD7" w:rsidRPr="00B40A41" w:rsidRDefault="00960AD7" w:rsidP="00286752">
      <w:pPr>
        <w:pStyle w:val="3-BodyText"/>
      </w:pPr>
      <w:r w:rsidRPr="00B40A41">
        <w:lastRenderedPageBreak/>
        <w:t xml:space="preserve">The submission used safety data from the total population of CM067, noting that the safety data from the BRAF mutation positive treatment naïve subgroup of CM067 was not publicly available. The total CM067 population </w:t>
      </w:r>
      <w:proofErr w:type="gramStart"/>
      <w:r w:rsidRPr="00B40A41">
        <w:t>was compared</w:t>
      </w:r>
      <w:proofErr w:type="gramEnd"/>
      <w:r w:rsidRPr="00B40A41">
        <w:t xml:space="preserve"> with the BRAF mutant population of KN006 to calculate relative risks as</w:t>
      </w:r>
      <w:r w:rsidR="00BD555E" w:rsidRPr="00B40A41">
        <w:t>sociated with adverse events.</w:t>
      </w:r>
      <w:r w:rsidRPr="00B40A41">
        <w:t xml:space="preserve"> </w:t>
      </w:r>
    </w:p>
    <w:p w:rsidR="00B60939" w:rsidRPr="00B40A41" w:rsidRDefault="00173565" w:rsidP="00960991">
      <w:pPr>
        <w:pStyle w:val="TableHeading"/>
        <w:rPr>
          <w:rStyle w:val="CommentReference"/>
          <w:b/>
          <w:szCs w:val="24"/>
        </w:rPr>
      </w:pPr>
      <w:bookmarkStart w:id="24" w:name="_Ref33449017"/>
      <w:r w:rsidRPr="00B40A41">
        <w:rPr>
          <w:rStyle w:val="CommentReference"/>
          <w:b/>
          <w:szCs w:val="24"/>
        </w:rPr>
        <w:t xml:space="preserve">Table </w:t>
      </w:r>
      <w:r w:rsidR="006011CB" w:rsidRPr="00B40A41">
        <w:rPr>
          <w:rStyle w:val="CommentReference"/>
          <w:b/>
          <w:szCs w:val="24"/>
        </w:rPr>
        <w:t>6</w:t>
      </w:r>
      <w:bookmarkEnd w:id="24"/>
      <w:r w:rsidR="005D26B4" w:rsidRPr="00B40A41">
        <w:rPr>
          <w:rStyle w:val="CommentReference"/>
          <w:b/>
          <w:szCs w:val="24"/>
        </w:rPr>
        <w:t>:</w:t>
      </w:r>
      <w:r w:rsidR="00BC591F" w:rsidRPr="00B40A41">
        <w:rPr>
          <w:rStyle w:val="CommentReference"/>
          <w:b/>
          <w:szCs w:val="24"/>
        </w:rPr>
        <w:t xml:space="preserve"> </w:t>
      </w:r>
      <w:r w:rsidR="00F701A9" w:rsidRPr="00B40A41">
        <w:rPr>
          <w:rStyle w:val="CommentReference"/>
          <w:b/>
          <w:szCs w:val="24"/>
        </w:rPr>
        <w:t>Indirect comparison of a</w:t>
      </w:r>
      <w:r w:rsidR="00045585" w:rsidRPr="00B40A41">
        <w:rPr>
          <w:rStyle w:val="CommentReference"/>
          <w:b/>
          <w:szCs w:val="24"/>
        </w:rPr>
        <w:t xml:space="preserve">dverse </w:t>
      </w:r>
      <w:r w:rsidR="00F701A9" w:rsidRPr="00B40A41">
        <w:rPr>
          <w:rStyle w:val="CommentReference"/>
          <w:b/>
          <w:szCs w:val="24"/>
        </w:rPr>
        <w:t>e</w:t>
      </w:r>
      <w:r w:rsidR="00045585" w:rsidRPr="00B40A41">
        <w:rPr>
          <w:rStyle w:val="CommentReference"/>
          <w:b/>
          <w:szCs w:val="24"/>
        </w:rPr>
        <w:t xml:space="preserve">vents from KN006 (BRAF mutant </w:t>
      </w:r>
      <w:r w:rsidR="006D6BC9" w:rsidRPr="00B40A41">
        <w:rPr>
          <w:rStyle w:val="CommentReference"/>
          <w:b/>
          <w:szCs w:val="24"/>
        </w:rPr>
        <w:t xml:space="preserve">Rx naïve </w:t>
      </w:r>
      <w:r w:rsidR="00045585" w:rsidRPr="00B40A41">
        <w:rPr>
          <w:rStyle w:val="CommentReference"/>
          <w:b/>
          <w:szCs w:val="24"/>
        </w:rPr>
        <w:t>subgroup) and CM067 (ITT population)</w:t>
      </w:r>
    </w:p>
    <w:tbl>
      <w:tblPr>
        <w:tblStyle w:val="ASDTable2"/>
        <w:tblW w:w="5000" w:type="pct"/>
        <w:tblLook w:val="04A0" w:firstRow="1" w:lastRow="0" w:firstColumn="1" w:lastColumn="0" w:noHBand="0" w:noVBand="1"/>
        <w:tblCaption w:val="Table 6: Indirect comparison of adverse events from KN006 (BRAF mutant Rx naïve subgroup) and CM067 (ITT population)"/>
      </w:tblPr>
      <w:tblGrid>
        <w:gridCol w:w="2306"/>
        <w:gridCol w:w="2868"/>
        <w:gridCol w:w="2058"/>
        <w:gridCol w:w="1785"/>
      </w:tblGrid>
      <w:tr w:rsidR="00045585" w:rsidRPr="00B40A41" w:rsidTr="001A5179">
        <w:trPr>
          <w:tblHeader/>
        </w:trPr>
        <w:tc>
          <w:tcPr>
            <w:tcW w:w="1279" w:type="pct"/>
            <w:vMerge w:val="restart"/>
            <w:noWrap/>
            <w:hideMark/>
          </w:tcPr>
          <w:p w:rsidR="00045585" w:rsidRPr="00B40A41" w:rsidRDefault="00045585" w:rsidP="00684A6A">
            <w:pPr>
              <w:pStyle w:val="Tabletext"/>
              <w:keepNext/>
              <w:keepLines/>
              <w:rPr>
                <w:rFonts w:eastAsia="Arial"/>
                <w:lang w:eastAsia="en-US"/>
              </w:rPr>
            </w:pPr>
          </w:p>
        </w:tc>
        <w:tc>
          <w:tcPr>
            <w:tcW w:w="1590" w:type="pct"/>
            <w:noWrap/>
            <w:vAlign w:val="center"/>
            <w:hideMark/>
          </w:tcPr>
          <w:p w:rsidR="00045585" w:rsidRPr="00B40A41" w:rsidRDefault="00045585" w:rsidP="00684A6A">
            <w:pPr>
              <w:pStyle w:val="Tabletext"/>
              <w:keepNext/>
              <w:keepLines/>
              <w:jc w:val="center"/>
              <w:rPr>
                <w:rFonts w:eastAsiaTheme="majorEastAsia"/>
                <w:b/>
                <w:lang w:eastAsia="en-US"/>
              </w:rPr>
            </w:pPr>
            <w:r w:rsidRPr="00B40A41">
              <w:rPr>
                <w:rFonts w:eastAsiaTheme="majorEastAsia"/>
                <w:b/>
                <w:lang w:eastAsia="en-US"/>
              </w:rPr>
              <w:t>KN006</w:t>
            </w:r>
          </w:p>
          <w:p w:rsidR="00045585" w:rsidRPr="00B40A41" w:rsidRDefault="00045585" w:rsidP="00684A6A">
            <w:pPr>
              <w:pStyle w:val="Tabletext"/>
              <w:keepNext/>
              <w:keepLines/>
              <w:jc w:val="center"/>
              <w:rPr>
                <w:rFonts w:eastAsiaTheme="majorEastAsia"/>
                <w:b/>
                <w:lang w:eastAsia="en-US"/>
              </w:rPr>
            </w:pPr>
            <w:r w:rsidRPr="00B40A41">
              <w:rPr>
                <w:rFonts w:eastAsiaTheme="majorEastAsia"/>
                <w:b/>
                <w:lang w:eastAsia="en-US"/>
              </w:rPr>
              <w:t xml:space="preserve">BRAF mutant </w:t>
            </w:r>
            <w:r w:rsidR="006D6BC9" w:rsidRPr="00B40A41">
              <w:rPr>
                <w:rFonts w:eastAsiaTheme="majorEastAsia"/>
                <w:b/>
                <w:lang w:eastAsia="en-US"/>
              </w:rPr>
              <w:t xml:space="preserve">Rx naïve </w:t>
            </w:r>
            <w:r w:rsidRPr="00B40A41">
              <w:rPr>
                <w:rFonts w:eastAsiaTheme="majorEastAsia"/>
                <w:b/>
                <w:lang w:eastAsia="en-US"/>
              </w:rPr>
              <w:t>population</w:t>
            </w:r>
          </w:p>
        </w:tc>
        <w:tc>
          <w:tcPr>
            <w:tcW w:w="1141" w:type="pct"/>
            <w:noWrap/>
            <w:vAlign w:val="center"/>
            <w:hideMark/>
          </w:tcPr>
          <w:p w:rsidR="00045585" w:rsidRPr="00B40A41" w:rsidRDefault="00045585" w:rsidP="00684A6A">
            <w:pPr>
              <w:pStyle w:val="Tabletext"/>
              <w:keepNext/>
              <w:keepLines/>
              <w:jc w:val="center"/>
              <w:rPr>
                <w:rFonts w:eastAsiaTheme="majorEastAsia"/>
                <w:b/>
                <w:lang w:eastAsia="en-US"/>
              </w:rPr>
            </w:pPr>
            <w:r w:rsidRPr="00B40A41">
              <w:rPr>
                <w:rFonts w:eastAsiaTheme="majorEastAsia"/>
                <w:b/>
                <w:lang w:eastAsia="en-US"/>
              </w:rPr>
              <w:t>CM067</w:t>
            </w:r>
          </w:p>
          <w:p w:rsidR="00045585" w:rsidRPr="00B40A41" w:rsidRDefault="00045585" w:rsidP="00684A6A">
            <w:pPr>
              <w:pStyle w:val="Tabletext"/>
              <w:keepNext/>
              <w:keepLines/>
              <w:jc w:val="center"/>
              <w:rPr>
                <w:rFonts w:eastAsiaTheme="majorEastAsia"/>
                <w:b/>
                <w:lang w:eastAsia="en-US"/>
              </w:rPr>
            </w:pPr>
            <w:r w:rsidRPr="00B40A41">
              <w:rPr>
                <w:rFonts w:eastAsiaTheme="majorEastAsia"/>
                <w:b/>
                <w:lang w:eastAsia="en-US"/>
              </w:rPr>
              <w:t>Total population</w:t>
            </w:r>
          </w:p>
        </w:tc>
        <w:tc>
          <w:tcPr>
            <w:tcW w:w="990" w:type="pct"/>
            <w:noWrap/>
            <w:vAlign w:val="center"/>
            <w:hideMark/>
          </w:tcPr>
          <w:p w:rsidR="00045585" w:rsidRPr="00B40A41" w:rsidRDefault="00045585" w:rsidP="00684A6A">
            <w:pPr>
              <w:pStyle w:val="Tabletext"/>
              <w:keepNext/>
              <w:keepLines/>
              <w:jc w:val="center"/>
              <w:rPr>
                <w:rFonts w:eastAsiaTheme="majorEastAsia"/>
                <w:b/>
                <w:lang w:eastAsia="en-US"/>
              </w:rPr>
            </w:pPr>
            <w:r w:rsidRPr="00B40A41">
              <w:rPr>
                <w:rFonts w:eastAsiaTheme="majorEastAsia"/>
                <w:b/>
                <w:lang w:eastAsia="en-US"/>
              </w:rPr>
              <w:t>Indirect</w:t>
            </w:r>
            <w:r w:rsidR="00F701A9" w:rsidRPr="00B40A41">
              <w:rPr>
                <w:rFonts w:eastAsiaTheme="majorEastAsia"/>
                <w:b/>
                <w:lang w:eastAsia="en-US"/>
              </w:rPr>
              <w:t xml:space="preserve"> comparison</w:t>
            </w:r>
          </w:p>
        </w:tc>
      </w:tr>
      <w:tr w:rsidR="00045585" w:rsidRPr="00B40A41" w:rsidTr="001A5179">
        <w:trPr>
          <w:tblHeader/>
        </w:trPr>
        <w:tc>
          <w:tcPr>
            <w:tcW w:w="1279" w:type="pct"/>
            <w:vMerge/>
            <w:hideMark/>
          </w:tcPr>
          <w:p w:rsidR="00045585" w:rsidRPr="00B40A41" w:rsidRDefault="00045585" w:rsidP="00684A6A">
            <w:pPr>
              <w:pStyle w:val="Tabletext"/>
              <w:keepNext/>
              <w:keepLines/>
              <w:rPr>
                <w:rFonts w:eastAsia="Arial"/>
                <w:lang w:eastAsia="en-US"/>
              </w:rPr>
            </w:pPr>
          </w:p>
        </w:tc>
        <w:tc>
          <w:tcPr>
            <w:tcW w:w="1590" w:type="pct"/>
            <w:noWrap/>
            <w:vAlign w:val="center"/>
            <w:hideMark/>
          </w:tcPr>
          <w:p w:rsidR="00045585" w:rsidRPr="00B40A41" w:rsidRDefault="00045585" w:rsidP="00684A6A">
            <w:pPr>
              <w:pStyle w:val="Tabletext"/>
              <w:keepNext/>
              <w:keepLines/>
              <w:jc w:val="center"/>
              <w:rPr>
                <w:rFonts w:eastAsiaTheme="majorEastAsia"/>
                <w:b/>
                <w:lang w:eastAsia="en-US"/>
              </w:rPr>
            </w:pPr>
            <w:r w:rsidRPr="00B40A41">
              <w:rPr>
                <w:rFonts w:eastAsiaTheme="majorEastAsia"/>
                <w:b/>
                <w:lang w:eastAsia="en-US"/>
              </w:rPr>
              <w:t>Pembro vs. Ipi</w:t>
            </w:r>
            <w:r w:rsidR="00F701A9" w:rsidRPr="00B40A41">
              <w:rPr>
                <w:rFonts w:eastAsiaTheme="majorEastAsia"/>
                <w:b/>
                <w:lang w:eastAsia="en-US"/>
              </w:rPr>
              <w:t>, RR</w:t>
            </w:r>
            <w:r w:rsidRPr="00B40A41">
              <w:rPr>
                <w:rFonts w:eastAsiaTheme="majorEastAsia"/>
                <w:b/>
                <w:lang w:eastAsia="en-US"/>
              </w:rPr>
              <w:t xml:space="preserve"> (95% CI)</w:t>
            </w:r>
          </w:p>
        </w:tc>
        <w:tc>
          <w:tcPr>
            <w:tcW w:w="1141" w:type="pct"/>
            <w:noWrap/>
            <w:vAlign w:val="center"/>
            <w:hideMark/>
          </w:tcPr>
          <w:p w:rsidR="00045585" w:rsidRPr="00B40A41" w:rsidRDefault="00045585" w:rsidP="00684A6A">
            <w:pPr>
              <w:pStyle w:val="Tabletext"/>
              <w:keepNext/>
              <w:keepLines/>
              <w:jc w:val="center"/>
              <w:rPr>
                <w:rFonts w:eastAsiaTheme="majorEastAsia"/>
                <w:b/>
                <w:lang w:eastAsia="en-US"/>
              </w:rPr>
            </w:pPr>
            <w:r w:rsidRPr="00B40A41">
              <w:rPr>
                <w:rFonts w:eastAsiaTheme="majorEastAsia"/>
                <w:b/>
                <w:lang w:eastAsia="en-US"/>
              </w:rPr>
              <w:t>Nivo vs Ipi</w:t>
            </w:r>
            <w:r w:rsidR="00F701A9" w:rsidRPr="00B40A41">
              <w:rPr>
                <w:rFonts w:eastAsiaTheme="majorEastAsia"/>
                <w:b/>
                <w:lang w:eastAsia="en-US"/>
              </w:rPr>
              <w:t>, RR</w:t>
            </w:r>
            <w:r w:rsidRPr="00B40A41">
              <w:rPr>
                <w:rFonts w:eastAsiaTheme="majorEastAsia"/>
                <w:b/>
                <w:lang w:eastAsia="en-US"/>
              </w:rPr>
              <w:t xml:space="preserve"> (95% CI)</w:t>
            </w:r>
          </w:p>
        </w:tc>
        <w:tc>
          <w:tcPr>
            <w:tcW w:w="990" w:type="pct"/>
            <w:noWrap/>
            <w:vAlign w:val="center"/>
            <w:hideMark/>
          </w:tcPr>
          <w:p w:rsidR="00045585" w:rsidRPr="00B40A41" w:rsidRDefault="00F701A9" w:rsidP="00684A6A">
            <w:pPr>
              <w:pStyle w:val="Tabletext"/>
              <w:keepNext/>
              <w:keepLines/>
              <w:jc w:val="center"/>
              <w:rPr>
                <w:rFonts w:eastAsiaTheme="majorEastAsia"/>
                <w:b/>
                <w:lang w:eastAsia="en-US"/>
              </w:rPr>
            </w:pPr>
            <w:r w:rsidRPr="00B40A41">
              <w:rPr>
                <w:rFonts w:eastAsiaTheme="majorEastAsia"/>
                <w:b/>
                <w:lang w:eastAsia="en-US"/>
              </w:rPr>
              <w:t xml:space="preserve">RR, </w:t>
            </w:r>
            <w:r w:rsidR="00045585" w:rsidRPr="00B40A41">
              <w:rPr>
                <w:rFonts w:eastAsiaTheme="majorEastAsia"/>
                <w:b/>
                <w:lang w:eastAsia="en-US"/>
              </w:rPr>
              <w:t>(95% CI)</w:t>
            </w:r>
          </w:p>
        </w:tc>
      </w:tr>
      <w:tr w:rsidR="00045585" w:rsidRPr="00B40A41" w:rsidTr="00960991">
        <w:tc>
          <w:tcPr>
            <w:tcW w:w="5000" w:type="pct"/>
            <w:gridSpan w:val="4"/>
            <w:noWrap/>
            <w:vAlign w:val="center"/>
            <w:hideMark/>
          </w:tcPr>
          <w:p w:rsidR="00045585" w:rsidRPr="00B40A41" w:rsidRDefault="00F701A9" w:rsidP="00684A6A">
            <w:pPr>
              <w:pStyle w:val="Tabletext"/>
              <w:keepNext/>
              <w:keepLines/>
              <w:rPr>
                <w:rFonts w:eastAsiaTheme="majorEastAsia" w:cstheme="majorBidi"/>
                <w:b/>
                <w:bCs/>
              </w:rPr>
            </w:pPr>
            <w:r w:rsidRPr="00B40A41">
              <w:rPr>
                <w:rFonts w:eastAsiaTheme="majorEastAsia" w:cstheme="majorBidi"/>
                <w:b/>
                <w:bCs/>
              </w:rPr>
              <w:t>Adverse events</w:t>
            </w:r>
          </w:p>
        </w:tc>
      </w:tr>
      <w:tr w:rsidR="00045585" w:rsidRPr="00B40A41" w:rsidTr="00960991">
        <w:tc>
          <w:tcPr>
            <w:tcW w:w="1279" w:type="pct"/>
            <w:noWrap/>
            <w:vAlign w:val="center"/>
            <w:hideMark/>
          </w:tcPr>
          <w:p w:rsidR="00045585" w:rsidRPr="00B40A41" w:rsidRDefault="00045585" w:rsidP="00684A6A">
            <w:pPr>
              <w:pStyle w:val="Tabletext"/>
              <w:keepNext/>
              <w:keepLines/>
              <w:jc w:val="both"/>
            </w:pPr>
            <w:r w:rsidRPr="00B40A41">
              <w:t>Total (drug-related)</w:t>
            </w:r>
          </w:p>
        </w:tc>
        <w:tc>
          <w:tcPr>
            <w:tcW w:w="1590" w:type="pct"/>
            <w:noWrap/>
            <w:vAlign w:val="center"/>
            <w:hideMark/>
          </w:tcPr>
          <w:p w:rsidR="00045585" w:rsidRPr="00B40A41" w:rsidRDefault="00045585" w:rsidP="00684A6A">
            <w:pPr>
              <w:pStyle w:val="Tabletext"/>
              <w:keepNext/>
              <w:keepLines/>
              <w:jc w:val="center"/>
            </w:pPr>
            <w:r w:rsidRPr="00B40A41">
              <w:t>1.06 (0.91, 1.23)</w:t>
            </w:r>
          </w:p>
        </w:tc>
        <w:tc>
          <w:tcPr>
            <w:tcW w:w="1141" w:type="pct"/>
            <w:noWrap/>
            <w:vAlign w:val="center"/>
            <w:hideMark/>
          </w:tcPr>
          <w:p w:rsidR="00045585" w:rsidRPr="00B40A41" w:rsidRDefault="00045585" w:rsidP="00684A6A">
            <w:pPr>
              <w:pStyle w:val="Tabletext"/>
              <w:keepNext/>
              <w:keepLines/>
              <w:jc w:val="center"/>
            </w:pPr>
            <w:r w:rsidRPr="00B40A41">
              <w:t>1.00 (0.94,1.07)</w:t>
            </w:r>
          </w:p>
        </w:tc>
        <w:tc>
          <w:tcPr>
            <w:tcW w:w="990" w:type="pct"/>
            <w:noWrap/>
            <w:vAlign w:val="center"/>
            <w:hideMark/>
          </w:tcPr>
          <w:p w:rsidR="00045585" w:rsidRPr="00B40A41" w:rsidRDefault="00045585" w:rsidP="00684A6A">
            <w:pPr>
              <w:pStyle w:val="Tabletext"/>
              <w:keepNext/>
              <w:keepLines/>
              <w:jc w:val="center"/>
            </w:pPr>
            <w:r w:rsidRPr="00B40A41">
              <w:t>1.06</w:t>
            </w:r>
            <w:r w:rsidR="00D05D15" w:rsidRPr="00B40A41">
              <w:t xml:space="preserve"> </w:t>
            </w:r>
            <w:r w:rsidRPr="00B40A41">
              <w:t>(0.90, 1.25)</w:t>
            </w:r>
          </w:p>
        </w:tc>
      </w:tr>
      <w:tr w:rsidR="00045585" w:rsidRPr="00B40A41" w:rsidTr="00960991">
        <w:tc>
          <w:tcPr>
            <w:tcW w:w="1279" w:type="pct"/>
            <w:noWrap/>
            <w:hideMark/>
          </w:tcPr>
          <w:p w:rsidR="00045585" w:rsidRPr="00B40A41" w:rsidRDefault="00045585" w:rsidP="00684A6A">
            <w:pPr>
              <w:pStyle w:val="Tabletext"/>
              <w:keepNext/>
              <w:keepLines/>
            </w:pPr>
            <w:r w:rsidRPr="00B40A41">
              <w:t>Grade 3-5 (drug-related)</w:t>
            </w:r>
          </w:p>
        </w:tc>
        <w:tc>
          <w:tcPr>
            <w:tcW w:w="1590" w:type="pct"/>
            <w:noWrap/>
            <w:vAlign w:val="center"/>
            <w:hideMark/>
          </w:tcPr>
          <w:p w:rsidR="00045585" w:rsidRPr="00B40A41" w:rsidRDefault="00045585" w:rsidP="00684A6A">
            <w:pPr>
              <w:pStyle w:val="Tabletext"/>
              <w:keepNext/>
              <w:keepLines/>
              <w:jc w:val="center"/>
            </w:pPr>
            <w:r w:rsidRPr="00B40A41">
              <w:t>0.67 (0.33, 1.35)</w:t>
            </w:r>
          </w:p>
        </w:tc>
        <w:tc>
          <w:tcPr>
            <w:tcW w:w="1141" w:type="pct"/>
            <w:noWrap/>
            <w:vAlign w:val="center"/>
            <w:hideMark/>
          </w:tcPr>
          <w:p w:rsidR="00045585" w:rsidRPr="00B40A41" w:rsidRDefault="00045585" w:rsidP="00684A6A">
            <w:pPr>
              <w:pStyle w:val="Tabletext"/>
              <w:keepNext/>
              <w:keepLines/>
              <w:jc w:val="center"/>
            </w:pPr>
            <w:r w:rsidRPr="00B40A41">
              <w:t>0.84 (0.64,1.10)</w:t>
            </w:r>
          </w:p>
        </w:tc>
        <w:tc>
          <w:tcPr>
            <w:tcW w:w="990" w:type="pct"/>
            <w:noWrap/>
            <w:vAlign w:val="center"/>
            <w:hideMark/>
          </w:tcPr>
          <w:p w:rsidR="00045585" w:rsidRPr="00B40A41" w:rsidRDefault="00045585" w:rsidP="00684A6A">
            <w:pPr>
              <w:pStyle w:val="Tabletext"/>
              <w:keepNext/>
              <w:keepLines/>
              <w:jc w:val="center"/>
            </w:pPr>
            <w:r w:rsidRPr="00B40A41">
              <w:t>0.80</w:t>
            </w:r>
            <w:r w:rsidR="00D05D15" w:rsidRPr="00B40A41">
              <w:t xml:space="preserve"> </w:t>
            </w:r>
            <w:r w:rsidRPr="00B40A41">
              <w:t>(0.38, 1.70)</w:t>
            </w:r>
          </w:p>
        </w:tc>
      </w:tr>
      <w:tr w:rsidR="00045585" w:rsidRPr="00B40A41" w:rsidTr="00960991">
        <w:tc>
          <w:tcPr>
            <w:tcW w:w="1279" w:type="pct"/>
            <w:noWrap/>
            <w:hideMark/>
          </w:tcPr>
          <w:p w:rsidR="00045585" w:rsidRPr="00B40A41" w:rsidRDefault="00045585" w:rsidP="00684A6A">
            <w:pPr>
              <w:pStyle w:val="Tabletext"/>
              <w:keepNext/>
              <w:keepLines/>
            </w:pPr>
            <w:r w:rsidRPr="00B40A41">
              <w:t>Discontinuations due to AEs</w:t>
            </w:r>
          </w:p>
        </w:tc>
        <w:tc>
          <w:tcPr>
            <w:tcW w:w="1590" w:type="pct"/>
            <w:noWrap/>
            <w:vAlign w:val="center"/>
            <w:hideMark/>
          </w:tcPr>
          <w:p w:rsidR="00045585" w:rsidRPr="00B40A41" w:rsidRDefault="00045585" w:rsidP="00684A6A">
            <w:pPr>
              <w:pStyle w:val="Tabletext"/>
              <w:keepNext/>
              <w:keepLines/>
              <w:jc w:val="center"/>
            </w:pPr>
            <w:r w:rsidRPr="00B40A41">
              <w:t>0.79 (0.27, 2.28)</w:t>
            </w:r>
          </w:p>
        </w:tc>
        <w:tc>
          <w:tcPr>
            <w:tcW w:w="1141" w:type="pct"/>
            <w:noWrap/>
            <w:vAlign w:val="center"/>
            <w:hideMark/>
          </w:tcPr>
          <w:p w:rsidR="00045585" w:rsidRPr="00B40A41" w:rsidRDefault="00045585" w:rsidP="00684A6A">
            <w:pPr>
              <w:pStyle w:val="Tabletext"/>
              <w:keepNext/>
              <w:keepLines/>
              <w:jc w:val="center"/>
            </w:pPr>
            <w:r w:rsidRPr="00B40A41">
              <w:t>0.85 (0.57,1.25)</w:t>
            </w:r>
          </w:p>
        </w:tc>
        <w:tc>
          <w:tcPr>
            <w:tcW w:w="990" w:type="pct"/>
            <w:noWrap/>
            <w:vAlign w:val="center"/>
            <w:hideMark/>
          </w:tcPr>
          <w:p w:rsidR="00045585" w:rsidRPr="00B40A41" w:rsidRDefault="00045585" w:rsidP="00684A6A">
            <w:pPr>
              <w:pStyle w:val="Tabletext"/>
              <w:keepNext/>
              <w:keepLines/>
              <w:jc w:val="center"/>
            </w:pPr>
            <w:r w:rsidRPr="00B40A41">
              <w:t>0.93</w:t>
            </w:r>
            <w:r w:rsidR="00D05D15" w:rsidRPr="00B40A41">
              <w:t xml:space="preserve"> </w:t>
            </w:r>
            <w:r w:rsidRPr="00B40A41">
              <w:t>(0.30, 2.90)</w:t>
            </w:r>
          </w:p>
        </w:tc>
      </w:tr>
      <w:tr w:rsidR="00045585" w:rsidRPr="00B40A41" w:rsidTr="00960991">
        <w:tc>
          <w:tcPr>
            <w:tcW w:w="1279" w:type="pct"/>
            <w:noWrap/>
            <w:hideMark/>
          </w:tcPr>
          <w:p w:rsidR="00045585" w:rsidRPr="00B40A41" w:rsidRDefault="00A503EA" w:rsidP="00684A6A">
            <w:pPr>
              <w:pStyle w:val="Tabletext"/>
              <w:keepNext/>
              <w:keepLines/>
            </w:pPr>
            <w:r w:rsidRPr="00B40A41">
              <w:t xml:space="preserve">  </w:t>
            </w:r>
            <w:r w:rsidR="00045585" w:rsidRPr="00B40A41">
              <w:t>Diarrhoea (Grade 3-5)</w:t>
            </w:r>
          </w:p>
        </w:tc>
        <w:tc>
          <w:tcPr>
            <w:tcW w:w="1590" w:type="pct"/>
            <w:noWrap/>
            <w:vAlign w:val="center"/>
            <w:hideMark/>
          </w:tcPr>
          <w:p w:rsidR="00045585" w:rsidRPr="00B40A41" w:rsidRDefault="00045585" w:rsidP="00684A6A">
            <w:pPr>
              <w:pStyle w:val="Tabletext"/>
              <w:keepNext/>
              <w:keepLines/>
              <w:jc w:val="center"/>
            </w:pPr>
            <w:r w:rsidRPr="00B40A41">
              <w:t>0.49 (0.03, 7.69)</w:t>
            </w:r>
          </w:p>
        </w:tc>
        <w:tc>
          <w:tcPr>
            <w:tcW w:w="1141" w:type="pct"/>
            <w:noWrap/>
            <w:vAlign w:val="center"/>
            <w:hideMark/>
          </w:tcPr>
          <w:p w:rsidR="00045585" w:rsidRPr="00B40A41" w:rsidRDefault="00045585" w:rsidP="00684A6A">
            <w:pPr>
              <w:pStyle w:val="Tabletext"/>
              <w:keepNext/>
              <w:keepLines/>
              <w:jc w:val="center"/>
            </w:pPr>
            <w:r w:rsidRPr="00B40A41">
              <w:t>0.50 (0.23, 1.09)</w:t>
            </w:r>
          </w:p>
        </w:tc>
        <w:tc>
          <w:tcPr>
            <w:tcW w:w="990" w:type="pct"/>
            <w:noWrap/>
            <w:vAlign w:val="center"/>
            <w:hideMark/>
          </w:tcPr>
          <w:p w:rsidR="00045585" w:rsidRPr="00B40A41" w:rsidRDefault="00045585" w:rsidP="00684A6A">
            <w:pPr>
              <w:pStyle w:val="Tabletext"/>
              <w:keepNext/>
              <w:keepLines/>
              <w:jc w:val="center"/>
            </w:pPr>
            <w:r w:rsidRPr="00B40A41">
              <w:t>0.98</w:t>
            </w:r>
            <w:r w:rsidR="00D05D15" w:rsidRPr="00B40A41">
              <w:t xml:space="preserve"> </w:t>
            </w:r>
            <w:r w:rsidRPr="00B40A41">
              <w:t>(0.05, 17.46)</w:t>
            </w:r>
          </w:p>
        </w:tc>
      </w:tr>
      <w:tr w:rsidR="00045585" w:rsidRPr="00B40A41" w:rsidTr="00960991">
        <w:tc>
          <w:tcPr>
            <w:tcW w:w="1279" w:type="pct"/>
            <w:noWrap/>
            <w:hideMark/>
          </w:tcPr>
          <w:p w:rsidR="00045585" w:rsidRPr="00B40A41" w:rsidRDefault="00A503EA" w:rsidP="00684A6A">
            <w:pPr>
              <w:pStyle w:val="Tabletext"/>
              <w:keepNext/>
              <w:keepLines/>
            </w:pPr>
            <w:r w:rsidRPr="00B40A41">
              <w:t xml:space="preserve">  </w:t>
            </w:r>
            <w:r w:rsidR="00045585" w:rsidRPr="00B40A41">
              <w:t>Colitis (Grade 3-5)</w:t>
            </w:r>
          </w:p>
        </w:tc>
        <w:tc>
          <w:tcPr>
            <w:tcW w:w="1590" w:type="pct"/>
            <w:noWrap/>
            <w:vAlign w:val="center"/>
            <w:hideMark/>
          </w:tcPr>
          <w:p w:rsidR="00045585" w:rsidRPr="00B40A41" w:rsidRDefault="00045585" w:rsidP="00684A6A">
            <w:pPr>
              <w:pStyle w:val="Tabletext"/>
              <w:keepNext/>
              <w:keepLines/>
              <w:jc w:val="center"/>
            </w:pPr>
            <w:r w:rsidRPr="00B40A41">
              <w:t>0.2</w:t>
            </w:r>
            <w:r w:rsidR="003A42C2" w:rsidRPr="00B40A41">
              <w:t>0</w:t>
            </w:r>
            <w:r w:rsidRPr="00B40A41">
              <w:t xml:space="preserve"> (0.04, 0.98)</w:t>
            </w:r>
          </w:p>
        </w:tc>
        <w:tc>
          <w:tcPr>
            <w:tcW w:w="1141" w:type="pct"/>
            <w:noWrap/>
            <w:vAlign w:val="center"/>
            <w:hideMark/>
          </w:tcPr>
          <w:p w:rsidR="00045585" w:rsidRPr="00B40A41" w:rsidRDefault="00045585" w:rsidP="00684A6A">
            <w:pPr>
              <w:pStyle w:val="Tabletext"/>
              <w:keepNext/>
              <w:keepLines/>
              <w:jc w:val="center"/>
            </w:pPr>
            <w:r w:rsidRPr="00B40A41">
              <w:t>0.33 (0.15, 0.73)</w:t>
            </w:r>
          </w:p>
        </w:tc>
        <w:tc>
          <w:tcPr>
            <w:tcW w:w="990" w:type="pct"/>
            <w:noWrap/>
            <w:vAlign w:val="center"/>
            <w:hideMark/>
          </w:tcPr>
          <w:p w:rsidR="00045585" w:rsidRPr="00B40A41" w:rsidRDefault="00045585" w:rsidP="00684A6A">
            <w:pPr>
              <w:pStyle w:val="Tabletext"/>
              <w:keepNext/>
              <w:keepLines/>
              <w:jc w:val="center"/>
            </w:pPr>
            <w:r w:rsidRPr="00B40A41">
              <w:t>0.61</w:t>
            </w:r>
            <w:r w:rsidR="00D05D15" w:rsidRPr="00B40A41">
              <w:t xml:space="preserve"> </w:t>
            </w:r>
            <w:r w:rsidRPr="00B40A41">
              <w:t>(0.1</w:t>
            </w:r>
            <w:r w:rsidR="00554FCC" w:rsidRPr="00B40A41">
              <w:t>0</w:t>
            </w:r>
            <w:r w:rsidRPr="00B40A41">
              <w:t>, 3.61)</w:t>
            </w:r>
          </w:p>
        </w:tc>
      </w:tr>
    </w:tbl>
    <w:p w:rsidR="00045585" w:rsidRPr="00B40A41" w:rsidRDefault="00407560" w:rsidP="00684A6A">
      <w:pPr>
        <w:pStyle w:val="TableFigureFooter"/>
        <w:keepNext/>
        <w:keepLines/>
      </w:pPr>
      <w:r w:rsidRPr="00B40A41">
        <w:t xml:space="preserve">AEs = adverse events; CI = confidence interval; </w:t>
      </w:r>
      <w:r w:rsidR="00045585" w:rsidRPr="00B40A41">
        <w:t>Ipi</w:t>
      </w:r>
      <w:r w:rsidRPr="00B40A41">
        <w:t xml:space="preserve"> </w:t>
      </w:r>
      <w:r w:rsidR="00045585" w:rsidRPr="00B40A41">
        <w:t xml:space="preserve">= ipilimumab; </w:t>
      </w:r>
      <w:r w:rsidRPr="00B40A41">
        <w:t xml:space="preserve">ITT= intention to treat; </w:t>
      </w:r>
      <w:r w:rsidR="00045585" w:rsidRPr="00B40A41">
        <w:t>Nivo</w:t>
      </w:r>
      <w:r w:rsidRPr="00B40A41">
        <w:t xml:space="preserve"> </w:t>
      </w:r>
      <w:r w:rsidR="00045585" w:rsidRPr="00B40A41">
        <w:t xml:space="preserve">= nivolumab; </w:t>
      </w:r>
      <w:r w:rsidRPr="00B40A41">
        <w:t xml:space="preserve">Pembro = pembrolizumab; </w:t>
      </w:r>
      <w:r w:rsidR="00045585" w:rsidRPr="00B40A41">
        <w:t>RR</w:t>
      </w:r>
      <w:r w:rsidRPr="00B40A41">
        <w:t xml:space="preserve"> </w:t>
      </w:r>
      <w:r w:rsidR="00045585" w:rsidRPr="00B40A41">
        <w:t xml:space="preserve">= relative risk; </w:t>
      </w:r>
      <w:r w:rsidR="006D6BC9" w:rsidRPr="00B40A41">
        <w:t>Rx= treatment</w:t>
      </w:r>
      <w:r w:rsidR="00707FCB" w:rsidRPr="00B40A41">
        <w:t>.</w:t>
      </w:r>
    </w:p>
    <w:p w:rsidR="005D26B4" w:rsidRPr="00B40A41" w:rsidRDefault="005D26B4" w:rsidP="00684A6A">
      <w:pPr>
        <w:pStyle w:val="TableFigureFooter"/>
        <w:keepNext/>
        <w:keepLines/>
        <w:rPr>
          <w:sz w:val="20"/>
        </w:rPr>
      </w:pPr>
      <w:r w:rsidRPr="00B40A41">
        <w:t>Source: Table</w:t>
      </w:r>
      <w:r w:rsidR="00707FCB" w:rsidRPr="00B40A41">
        <w:t xml:space="preserve"> 2.6-7</w:t>
      </w:r>
      <w:r w:rsidRPr="00B40A41">
        <w:t>, p</w:t>
      </w:r>
      <w:r w:rsidR="008211B1" w:rsidRPr="00B40A41">
        <w:t>47</w:t>
      </w:r>
      <w:r w:rsidRPr="00B40A41">
        <w:t xml:space="preserve"> of the submission.</w:t>
      </w:r>
    </w:p>
    <w:p w:rsidR="007F1017" w:rsidRPr="00B40A41" w:rsidRDefault="007F1017" w:rsidP="00D86231">
      <w:pPr>
        <w:pStyle w:val="4-SubsectionHeading"/>
      </w:pPr>
      <w:bookmarkStart w:id="25" w:name="_Toc22897643"/>
      <w:bookmarkStart w:id="26" w:name="_Toc30419511"/>
      <w:r w:rsidRPr="00B40A41">
        <w:t>Benefits/harms</w:t>
      </w:r>
      <w:bookmarkEnd w:id="25"/>
      <w:bookmarkEnd w:id="26"/>
    </w:p>
    <w:p w:rsidR="00FC1884" w:rsidRPr="00B40A41" w:rsidRDefault="00D54CE4" w:rsidP="00BA7B61">
      <w:pPr>
        <w:pStyle w:val="3-BodyText"/>
      </w:pPr>
      <w:r w:rsidRPr="00B40A41">
        <w:rPr>
          <w:snapToGrid/>
        </w:rPr>
        <w:t xml:space="preserve">A benefits/harms table </w:t>
      </w:r>
      <w:proofErr w:type="gramStart"/>
      <w:r w:rsidR="00960AD7" w:rsidRPr="00B40A41">
        <w:rPr>
          <w:snapToGrid/>
        </w:rPr>
        <w:t>w</w:t>
      </w:r>
      <w:r w:rsidRPr="00B40A41">
        <w:rPr>
          <w:snapToGrid/>
        </w:rPr>
        <w:t>as not presented</w:t>
      </w:r>
      <w:proofErr w:type="gramEnd"/>
      <w:r w:rsidR="00960AD7" w:rsidRPr="00B40A41">
        <w:rPr>
          <w:snapToGrid/>
        </w:rPr>
        <w:t xml:space="preserve"> as</w:t>
      </w:r>
      <w:r w:rsidRPr="00B40A41">
        <w:rPr>
          <w:snapToGrid/>
        </w:rPr>
        <w:t xml:space="preserve"> the submission claim</w:t>
      </w:r>
      <w:r w:rsidR="00960AD7" w:rsidRPr="00B40A41">
        <w:rPr>
          <w:snapToGrid/>
        </w:rPr>
        <w:t>ed</w:t>
      </w:r>
      <w:r w:rsidRPr="00B40A41">
        <w:rPr>
          <w:snapToGrid/>
        </w:rPr>
        <w:t xml:space="preserve"> non-inferiority</w:t>
      </w:r>
      <w:r w:rsidR="00677F36" w:rsidRPr="00B40A41">
        <w:rPr>
          <w:snapToGrid/>
        </w:rPr>
        <w:t>.</w:t>
      </w:r>
      <w:r w:rsidR="001956D5" w:rsidRPr="00B40A41">
        <w:rPr>
          <w:snapToGrid/>
        </w:rPr>
        <w:t xml:space="preserve"> </w:t>
      </w:r>
    </w:p>
    <w:p w:rsidR="007C70FF" w:rsidRPr="00B40A41" w:rsidRDefault="00B60939" w:rsidP="005D00F8">
      <w:pPr>
        <w:pStyle w:val="4-SubsectionHeading"/>
      </w:pPr>
      <w:bookmarkStart w:id="27" w:name="_Toc22897644"/>
      <w:bookmarkStart w:id="28" w:name="_Toc30419512"/>
      <w:r w:rsidRPr="00B40A41">
        <w:t>Clinical claim</w:t>
      </w:r>
      <w:bookmarkEnd w:id="27"/>
      <w:bookmarkEnd w:id="28"/>
    </w:p>
    <w:p w:rsidR="0042369B" w:rsidRPr="00B40A41" w:rsidRDefault="005F7588" w:rsidP="0042369B">
      <w:pPr>
        <w:pStyle w:val="3-BodyText"/>
        <w:rPr>
          <w:rFonts w:eastAsia="Calibri"/>
        </w:rPr>
      </w:pPr>
      <w:r w:rsidRPr="00B40A41">
        <w:rPr>
          <w:rFonts w:eastAsia="Calibri"/>
        </w:rPr>
        <w:t xml:space="preserve">The submission described </w:t>
      </w:r>
      <w:r w:rsidR="00785E8B" w:rsidRPr="00B40A41">
        <w:rPr>
          <w:rFonts w:eastAsia="Calibri"/>
        </w:rPr>
        <w:t xml:space="preserve">pembrolizumab </w:t>
      </w:r>
      <w:r w:rsidRPr="00B40A41">
        <w:rPr>
          <w:rFonts w:eastAsia="Calibri"/>
        </w:rPr>
        <w:t xml:space="preserve">as non-inferior in terms of effectiveness </w:t>
      </w:r>
      <w:r w:rsidR="00785E8B" w:rsidRPr="00B40A41">
        <w:rPr>
          <w:rFonts w:eastAsia="Calibri"/>
        </w:rPr>
        <w:t xml:space="preserve">and safety </w:t>
      </w:r>
      <w:r w:rsidRPr="00B40A41">
        <w:rPr>
          <w:rFonts w:eastAsia="Calibri"/>
        </w:rPr>
        <w:t xml:space="preserve">compared </w:t>
      </w:r>
      <w:r w:rsidR="00785E8B" w:rsidRPr="00B40A41">
        <w:rPr>
          <w:rFonts w:eastAsia="Calibri"/>
        </w:rPr>
        <w:t>with</w:t>
      </w:r>
      <w:r w:rsidRPr="00B40A41">
        <w:rPr>
          <w:rFonts w:eastAsia="Calibri"/>
        </w:rPr>
        <w:t xml:space="preserve"> </w:t>
      </w:r>
      <w:r w:rsidR="00785E8B" w:rsidRPr="00B40A41">
        <w:rPr>
          <w:rFonts w:eastAsia="Calibri"/>
        </w:rPr>
        <w:t>nivolumab</w:t>
      </w:r>
      <w:r w:rsidRPr="00B40A41">
        <w:rPr>
          <w:rFonts w:eastAsia="Calibri"/>
        </w:rPr>
        <w:t xml:space="preserve">. </w:t>
      </w:r>
      <w:r w:rsidR="00AC5076" w:rsidRPr="00B40A41">
        <w:rPr>
          <w:rFonts w:eastAsia="Calibri"/>
        </w:rPr>
        <w:t xml:space="preserve">The ESC considered that the claim of non-inferior safety was supported, but that the claim of non-inferior efficacy was </w:t>
      </w:r>
      <w:r w:rsidRPr="00B40A41">
        <w:rPr>
          <w:rFonts w:eastAsia="Calibri"/>
        </w:rPr>
        <w:t>not adequately supported</w:t>
      </w:r>
      <w:r w:rsidR="00785E8B" w:rsidRPr="00B40A41">
        <w:rPr>
          <w:rFonts w:eastAsia="Calibri"/>
        </w:rPr>
        <w:t xml:space="preserve"> given</w:t>
      </w:r>
      <w:r w:rsidR="00347383" w:rsidRPr="00B40A41">
        <w:rPr>
          <w:rFonts w:eastAsia="Calibri"/>
        </w:rPr>
        <w:t xml:space="preserve"> that</w:t>
      </w:r>
      <w:r w:rsidR="00785E8B" w:rsidRPr="00B40A41">
        <w:rPr>
          <w:rFonts w:eastAsia="Calibri"/>
        </w:rPr>
        <w:t>:</w:t>
      </w:r>
    </w:p>
    <w:p w:rsidR="0042369B" w:rsidRPr="00B40A41" w:rsidRDefault="0042369B" w:rsidP="0042369B">
      <w:pPr>
        <w:pStyle w:val="ListParagraph"/>
        <w:numPr>
          <w:ilvl w:val="0"/>
          <w:numId w:val="45"/>
        </w:numPr>
        <w:ind w:left="1077" w:hanging="357"/>
        <w:rPr>
          <w:rFonts w:eastAsia="Calibri"/>
        </w:rPr>
      </w:pPr>
      <w:r w:rsidRPr="00B40A41">
        <w:rPr>
          <w:rFonts w:eastAsia="Calibri"/>
        </w:rPr>
        <w:t xml:space="preserve">No pre-defined non-inferiority margins </w:t>
      </w:r>
      <w:proofErr w:type="gramStart"/>
      <w:r w:rsidRPr="00B40A41">
        <w:rPr>
          <w:rFonts w:eastAsia="Calibri"/>
        </w:rPr>
        <w:t>were nominated</w:t>
      </w:r>
      <w:proofErr w:type="gramEnd"/>
      <w:r w:rsidRPr="00B40A41">
        <w:rPr>
          <w:rFonts w:eastAsia="Calibri"/>
        </w:rPr>
        <w:t xml:space="preserve"> and the upper 95% confidence intervals for the PFS and OS hazard ratios exceeded unity by substantial margins. </w:t>
      </w:r>
    </w:p>
    <w:p w:rsidR="0042369B" w:rsidRPr="00B40A41" w:rsidRDefault="0042369B" w:rsidP="0042369B">
      <w:pPr>
        <w:pStyle w:val="ListParagraph"/>
        <w:numPr>
          <w:ilvl w:val="0"/>
          <w:numId w:val="45"/>
        </w:numPr>
        <w:ind w:left="1077" w:hanging="357"/>
        <w:rPr>
          <w:rFonts w:eastAsia="Calibri"/>
        </w:rPr>
      </w:pPr>
      <w:r w:rsidRPr="00B40A41">
        <w:rPr>
          <w:rFonts w:eastAsia="Calibri"/>
        </w:rPr>
        <w:t xml:space="preserve">The indirect comparisons were amenable to high risk of bias and considerable confounding, e.g. due to possible imbalances in subsequent treatments. </w:t>
      </w:r>
    </w:p>
    <w:p w:rsidR="0042369B" w:rsidRPr="00B40A41" w:rsidRDefault="0042369B" w:rsidP="0042369B">
      <w:pPr>
        <w:pStyle w:val="3-BodyText"/>
        <w:rPr>
          <w:rFonts w:eastAsia="Calibri"/>
        </w:rPr>
      </w:pPr>
      <w:r w:rsidRPr="00B40A41">
        <w:rPr>
          <w:lang w:eastAsia="en-US"/>
        </w:rPr>
        <w:t>The PBAC</w:t>
      </w:r>
      <w:r w:rsidR="00AE3126" w:rsidRPr="00B40A41">
        <w:rPr>
          <w:lang w:eastAsia="en-US"/>
        </w:rPr>
        <w:t xml:space="preserve"> </w:t>
      </w:r>
      <w:r w:rsidRPr="00B40A41">
        <w:rPr>
          <w:lang w:eastAsia="en-US"/>
        </w:rPr>
        <w:t xml:space="preserve">considered that the claim of non-inferior comparative effectiveness </w:t>
      </w:r>
      <w:r w:rsidR="001870CF" w:rsidRPr="00B40A41">
        <w:rPr>
          <w:lang w:eastAsia="en-US"/>
        </w:rPr>
        <w:t xml:space="preserve">between pembrolizumab and nivolumab </w:t>
      </w:r>
      <w:r w:rsidRPr="00B40A41">
        <w:rPr>
          <w:lang w:eastAsia="en-US"/>
        </w:rPr>
        <w:t xml:space="preserve">was </w:t>
      </w:r>
      <w:r w:rsidR="007139A0" w:rsidRPr="00B40A41">
        <w:rPr>
          <w:lang w:eastAsia="en-US"/>
        </w:rPr>
        <w:t xml:space="preserve">uncertain but </w:t>
      </w:r>
      <w:r w:rsidR="001870CF" w:rsidRPr="00B40A41">
        <w:rPr>
          <w:lang w:eastAsia="en-US"/>
        </w:rPr>
        <w:t xml:space="preserve">likely to be </w:t>
      </w:r>
      <w:r w:rsidRPr="00B40A41">
        <w:rPr>
          <w:lang w:eastAsia="en-US"/>
        </w:rPr>
        <w:t>reasonable.</w:t>
      </w:r>
    </w:p>
    <w:p w:rsidR="0042369B" w:rsidRPr="00B40A41" w:rsidRDefault="0042369B" w:rsidP="0042369B">
      <w:pPr>
        <w:pStyle w:val="3-BodyText"/>
        <w:rPr>
          <w:rFonts w:eastAsia="Calibri"/>
        </w:rPr>
      </w:pPr>
      <w:r w:rsidRPr="00B40A41">
        <w:rPr>
          <w:lang w:eastAsia="en-US"/>
        </w:rPr>
        <w:t>The PBAC considered that the claim of non-inferior comparative safety was reasonable.</w:t>
      </w:r>
    </w:p>
    <w:p w:rsidR="00376367" w:rsidRPr="00B40A41" w:rsidRDefault="00B60939" w:rsidP="001956D5">
      <w:pPr>
        <w:pStyle w:val="4-SubsectionHeading"/>
      </w:pPr>
      <w:bookmarkStart w:id="29" w:name="_Toc22897645"/>
      <w:bookmarkStart w:id="30" w:name="_Toc30419513"/>
      <w:r w:rsidRPr="00B40A41">
        <w:t>Economic analysis</w:t>
      </w:r>
      <w:bookmarkEnd w:id="29"/>
      <w:bookmarkEnd w:id="30"/>
    </w:p>
    <w:p w:rsidR="00376367" w:rsidRPr="00B40A41" w:rsidRDefault="00376367" w:rsidP="000B56AD">
      <w:pPr>
        <w:pStyle w:val="3-BodyText"/>
      </w:pPr>
      <w:r w:rsidRPr="00B40A41">
        <w:t>The submission presented a cost-minimisation analysis of pembrolizumab compared to nivolumab.</w:t>
      </w:r>
    </w:p>
    <w:p w:rsidR="006376CF" w:rsidRPr="00B40A41" w:rsidRDefault="00BE5956" w:rsidP="006376CF">
      <w:pPr>
        <w:pStyle w:val="3-BodyText"/>
      </w:pPr>
      <w:r w:rsidRPr="00B40A41">
        <w:t xml:space="preserve">The </w:t>
      </w:r>
      <w:proofErr w:type="spellStart"/>
      <w:r w:rsidRPr="00B40A41">
        <w:t>equi</w:t>
      </w:r>
      <w:proofErr w:type="spellEnd"/>
      <w:r w:rsidRPr="00B40A41">
        <w:t>-effective doses were estimated as:</w:t>
      </w:r>
    </w:p>
    <w:p w:rsidR="006376CF" w:rsidRPr="00B40A41" w:rsidRDefault="006376CF" w:rsidP="006376CF">
      <w:pPr>
        <w:pStyle w:val="3-BodyText"/>
        <w:numPr>
          <w:ilvl w:val="0"/>
          <w:numId w:val="0"/>
        </w:numPr>
        <w:ind w:left="1440"/>
      </w:pPr>
      <w:r w:rsidRPr="00B40A41">
        <w:t>Pembrolizuma</w:t>
      </w:r>
      <w:r w:rsidR="003E3B92" w:rsidRPr="00B40A41">
        <w:t>b 200 mg every 3 weeks = nivolu</w:t>
      </w:r>
      <w:r w:rsidRPr="00B40A41">
        <w:t>mab 360 mg every 3 weeks</w:t>
      </w:r>
    </w:p>
    <w:p w:rsidR="006376CF" w:rsidRPr="00B40A41" w:rsidRDefault="006376CF" w:rsidP="006376CF">
      <w:pPr>
        <w:pStyle w:val="3-BodyText"/>
      </w:pPr>
      <w:r w:rsidRPr="00B40A41">
        <w:lastRenderedPageBreak/>
        <w:t xml:space="preserve">The </w:t>
      </w:r>
      <w:proofErr w:type="spellStart"/>
      <w:r w:rsidRPr="00B40A41">
        <w:t>equi</w:t>
      </w:r>
      <w:proofErr w:type="spellEnd"/>
      <w:r w:rsidRPr="00B40A41">
        <w:t>-effective doses</w:t>
      </w:r>
      <w:r w:rsidR="007139A0" w:rsidRPr="00B40A41">
        <w:t xml:space="preserve"> </w:t>
      </w:r>
      <w:proofErr w:type="gramStart"/>
      <w:r w:rsidR="007139A0" w:rsidRPr="00B40A41">
        <w:t>were</w:t>
      </w:r>
      <w:r w:rsidRPr="00B40A41">
        <w:t xml:space="preserve"> </w:t>
      </w:r>
      <w:r w:rsidRPr="00B40A41">
        <w:rPr>
          <w:iCs/>
        </w:rPr>
        <w:t>based</w:t>
      </w:r>
      <w:proofErr w:type="gramEnd"/>
      <w:r w:rsidRPr="00B40A41">
        <w:rPr>
          <w:iCs/>
        </w:rPr>
        <w:t xml:space="preserve"> on the cited evidence within the two randomised trials KN006 and CM067</w:t>
      </w:r>
      <w:r w:rsidR="007139A0" w:rsidRPr="00B40A41">
        <w:rPr>
          <w:iCs/>
        </w:rPr>
        <w:t xml:space="preserve"> and the assumption</w:t>
      </w:r>
      <w:r w:rsidRPr="00B40A41">
        <w:rPr>
          <w:iCs/>
        </w:rPr>
        <w:t xml:space="preserve"> that the mean duration of therapy is equal for pembrolizumab and nivolumab. The PSCR noted that the PBAC has previously accepted the durations of pembrolizumab and nivolumab therapy to be equal when considering pembrolizumab as a second-line treatment for BRAF mutant patients and as a first-line treatment for BRAF wild type patients. The ESC considered that the </w:t>
      </w:r>
      <w:proofErr w:type="spellStart"/>
      <w:r w:rsidRPr="00B40A41">
        <w:rPr>
          <w:iCs/>
        </w:rPr>
        <w:t>equi</w:t>
      </w:r>
      <w:proofErr w:type="spellEnd"/>
      <w:r w:rsidRPr="00B40A41">
        <w:rPr>
          <w:iCs/>
        </w:rPr>
        <w:t>-effective doses were appropriate. The ESC considered that the assumption that the mean durations of therapy for pembrolizumab and nivolumab were equal was uncertain given that there was uncertainty surrounding whether pembrolizumab and nivolumab were non-inferior in terms of PFS due to the high upper 95% confidence limit of the hazard ratio</w:t>
      </w:r>
      <w:r w:rsidR="003E3B92" w:rsidRPr="00B40A41">
        <w:rPr>
          <w:iCs/>
        </w:rPr>
        <w:t>.</w:t>
      </w:r>
      <w:r w:rsidRPr="00B40A41">
        <w:t xml:space="preserve"> </w:t>
      </w:r>
    </w:p>
    <w:p w:rsidR="00A9202A" w:rsidRPr="00B40A41" w:rsidRDefault="00A9202A" w:rsidP="008465FB">
      <w:pPr>
        <w:pStyle w:val="3-BodyText"/>
      </w:pPr>
      <w:r w:rsidRPr="00B40A41">
        <w:rPr>
          <w:iCs/>
        </w:rPr>
        <w:t>DUSC ha</w:t>
      </w:r>
      <w:r w:rsidR="007139A0" w:rsidRPr="00B40A41">
        <w:rPr>
          <w:iCs/>
        </w:rPr>
        <w:t>s</w:t>
      </w:r>
      <w:r w:rsidRPr="00B40A41">
        <w:rPr>
          <w:iCs/>
        </w:rPr>
        <w:t xml:space="preserve"> previously considered treatment duration data from the Department of Human Services (DUSC May 2018 Public Research Document, Medicines for the treatment of melanoma). This indicates a similar duration on treatment in second line treatment (mean 142 days for pembrolizumab, compared to 137 days for nivolumab); but this is not the case in first line therapy (mean 276 days for pembrolizumab, compared with 239 days for nivolumab). However, this data is uncertain given the low number treated with nivolumab (n=7), relative to pembrolizumab (n=586) (Table 7 of the DUSC May 2018 Public Research Document, Medicines for the treatment of melanoma).</w:t>
      </w:r>
    </w:p>
    <w:p w:rsidR="00F701A9" w:rsidRPr="00B40A41" w:rsidRDefault="00FD1884" w:rsidP="008465FB">
      <w:pPr>
        <w:pStyle w:val="3-BodyText"/>
      </w:pPr>
      <w:r w:rsidRPr="00B40A41">
        <w:rPr>
          <w:iCs/>
        </w:rPr>
        <w:t xml:space="preserve"> </w:t>
      </w:r>
      <w:r w:rsidR="00BE5956" w:rsidRPr="00B40A41">
        <w:t xml:space="preserve">The economic evaluation </w:t>
      </w:r>
      <w:r w:rsidR="00EE6F45" w:rsidRPr="00B40A41">
        <w:t xml:space="preserve">was based on the </w:t>
      </w:r>
      <w:r w:rsidR="00BE5956" w:rsidRPr="00B40A41">
        <w:t>administration</w:t>
      </w:r>
      <w:r w:rsidR="00EE6F45" w:rsidRPr="00B40A41">
        <w:t xml:space="preserve"> of</w:t>
      </w:r>
      <w:r w:rsidR="00F701A9" w:rsidRPr="00B40A41">
        <w:t>:</w:t>
      </w:r>
    </w:p>
    <w:p w:rsidR="00BE5956" w:rsidRPr="00B40A41" w:rsidRDefault="00F701A9" w:rsidP="00F701A9">
      <w:pPr>
        <w:pStyle w:val="3-BodyText"/>
        <w:numPr>
          <w:ilvl w:val="0"/>
          <w:numId w:val="0"/>
        </w:numPr>
        <w:ind w:left="720" w:firstLine="720"/>
      </w:pPr>
      <w:r w:rsidRPr="00B40A41">
        <w:t>P</w:t>
      </w:r>
      <w:r w:rsidR="00EE6F45" w:rsidRPr="00B40A41">
        <w:t xml:space="preserve">embrolizumab </w:t>
      </w:r>
      <w:r w:rsidRPr="00B40A41">
        <w:t xml:space="preserve">200mg </w:t>
      </w:r>
      <w:r w:rsidR="00BE5956" w:rsidRPr="00B40A41">
        <w:t>every 3 weeks</w:t>
      </w:r>
      <w:r w:rsidRPr="00B40A41">
        <w:t xml:space="preserve"> and nivolu</w:t>
      </w:r>
      <w:r w:rsidR="00BE5956" w:rsidRPr="00B40A41">
        <w:t>mab 480</w:t>
      </w:r>
      <w:r w:rsidR="00C05950" w:rsidRPr="00B40A41">
        <w:t xml:space="preserve"> </w:t>
      </w:r>
      <w:r w:rsidR="00BE5956" w:rsidRPr="00B40A41">
        <w:t>mg every 4 weeks</w:t>
      </w:r>
      <w:r w:rsidR="00286752" w:rsidRPr="00B40A41">
        <w:t>.</w:t>
      </w:r>
      <w:r w:rsidR="00BE5956" w:rsidRPr="00B40A41">
        <w:t xml:space="preserve"> </w:t>
      </w:r>
    </w:p>
    <w:p w:rsidR="00BE5956" w:rsidRPr="00B40A41" w:rsidRDefault="00BE5956" w:rsidP="00BE5956">
      <w:pPr>
        <w:pStyle w:val="4-SubsectionHeading"/>
      </w:pPr>
      <w:bookmarkStart w:id="31" w:name="_Toc22897646"/>
      <w:bookmarkStart w:id="32" w:name="_Toc22898858"/>
      <w:bookmarkStart w:id="33" w:name="_Toc30419514"/>
      <w:r w:rsidRPr="00B40A41">
        <w:t>Drug cost/patient/year</w:t>
      </w:r>
      <w:bookmarkEnd w:id="31"/>
      <w:bookmarkEnd w:id="32"/>
      <w:bookmarkEnd w:id="33"/>
    </w:p>
    <w:p w:rsidR="00BE5956" w:rsidRPr="00B40A41" w:rsidRDefault="00BE5956" w:rsidP="00BE5956">
      <w:pPr>
        <w:pStyle w:val="3-BodyText"/>
      </w:pPr>
      <w:r w:rsidRPr="00B40A41">
        <w:t>The submission propose</w:t>
      </w:r>
      <w:r w:rsidR="008551AF" w:rsidRPr="00B40A41">
        <w:t xml:space="preserve">d the cost of </w:t>
      </w:r>
      <w:r w:rsidRPr="00B40A41">
        <w:t>pembrolizumab</w:t>
      </w:r>
      <w:r w:rsidR="008551AF" w:rsidRPr="00B40A41">
        <w:t xml:space="preserve">, based on the </w:t>
      </w:r>
      <w:r w:rsidR="006E6911" w:rsidRPr="00B40A41">
        <w:t xml:space="preserve">published approved ex-manufacturer price </w:t>
      </w:r>
      <w:r w:rsidR="00CF60D1" w:rsidRPr="00B40A41">
        <w:t xml:space="preserve">(AEMP) </w:t>
      </w:r>
      <w:r w:rsidR="006E6911" w:rsidRPr="00B40A41">
        <w:t>of nivolumab,</w:t>
      </w:r>
      <w:r w:rsidRPr="00B40A41">
        <w:t xml:space="preserve"> as:</w:t>
      </w:r>
    </w:p>
    <w:p w:rsidR="00BE5956" w:rsidRPr="00B40A41" w:rsidRDefault="00BE5956" w:rsidP="00F701A9">
      <w:pPr>
        <w:pStyle w:val="ListParagraph"/>
        <w:ind w:left="1077" w:hanging="357"/>
      </w:pPr>
      <w:r w:rsidRPr="00B40A41">
        <w:t>$1</w:t>
      </w:r>
      <w:r w:rsidR="00004E17" w:rsidRPr="00B40A41">
        <w:t>29,751.41</w:t>
      </w:r>
      <w:r w:rsidRPr="00B40A41">
        <w:t xml:space="preserve"> per patient per year, for 200</w:t>
      </w:r>
      <w:r w:rsidR="00F701A9" w:rsidRPr="00B40A41">
        <w:t xml:space="preserve"> </w:t>
      </w:r>
      <w:r w:rsidRPr="00B40A41">
        <w:t xml:space="preserve">mg administered every 3-weeks. </w:t>
      </w:r>
    </w:p>
    <w:p w:rsidR="00BE5956" w:rsidRPr="00B40A41" w:rsidRDefault="00BE5956" w:rsidP="00BE5956">
      <w:pPr>
        <w:pStyle w:val="4-SubsectionHeading"/>
      </w:pPr>
      <w:bookmarkStart w:id="34" w:name="_Toc22897647"/>
      <w:bookmarkStart w:id="35" w:name="_Toc22898859"/>
      <w:bookmarkStart w:id="36" w:name="_Toc30419515"/>
      <w:r w:rsidRPr="00B40A41">
        <w:t>Estimated PBS usage &amp; financial implications</w:t>
      </w:r>
      <w:bookmarkEnd w:id="34"/>
      <w:bookmarkEnd w:id="35"/>
      <w:bookmarkEnd w:id="36"/>
    </w:p>
    <w:p w:rsidR="00BE5956" w:rsidRPr="00B40A41" w:rsidRDefault="00BE5956" w:rsidP="00BE5956">
      <w:pPr>
        <w:pStyle w:val="3-BodyText"/>
      </w:pPr>
      <w:r w:rsidRPr="00B40A41">
        <w:t xml:space="preserve">This submission </w:t>
      </w:r>
      <w:proofErr w:type="gramStart"/>
      <w:r w:rsidR="009151B5" w:rsidRPr="00B40A41">
        <w:t xml:space="preserve">was </w:t>
      </w:r>
      <w:r w:rsidRPr="00B40A41">
        <w:t>not considered</w:t>
      </w:r>
      <w:proofErr w:type="gramEnd"/>
      <w:r w:rsidRPr="00B40A41">
        <w:t xml:space="preserve"> by DUSC. </w:t>
      </w:r>
    </w:p>
    <w:p w:rsidR="00BE5956" w:rsidRPr="00B40A41" w:rsidRDefault="00BE5956" w:rsidP="004006A8">
      <w:pPr>
        <w:pStyle w:val="3-BodyText"/>
      </w:pPr>
      <w:r w:rsidRPr="00B40A41">
        <w:t>The submission employed an epidemiological approach to estimate the usage and financial implications for all PD-1 inhibitors (including, but not limited to pembrolizumab) as first line therapy for BRAF mutation positive patients, relative to existing BRAF/MEK inhibitor</w:t>
      </w:r>
      <w:r w:rsidR="000A10B5" w:rsidRPr="00B40A41">
        <w:t>s</w:t>
      </w:r>
      <w:r w:rsidR="004006A8" w:rsidRPr="00B40A41">
        <w:t xml:space="preserve">. </w:t>
      </w:r>
      <w:r w:rsidRPr="00B40A41">
        <w:rPr>
          <w:iCs/>
        </w:rPr>
        <w:t xml:space="preserve">This was inconsistent </w:t>
      </w:r>
      <w:r w:rsidR="00A9202A" w:rsidRPr="00B40A41">
        <w:rPr>
          <w:iCs/>
        </w:rPr>
        <w:t xml:space="preserve">with the clinical evidence and economic analysis presented in </w:t>
      </w:r>
      <w:r w:rsidRPr="00B40A41">
        <w:rPr>
          <w:iCs/>
        </w:rPr>
        <w:t xml:space="preserve">the submission, which focused on pembrolizumab compared to nivolumab. </w:t>
      </w:r>
    </w:p>
    <w:p w:rsidR="00B0141A" w:rsidRPr="00B40A41" w:rsidRDefault="00B0141A" w:rsidP="00960991">
      <w:pPr>
        <w:pStyle w:val="3-BodyText"/>
        <w:rPr>
          <w:iCs/>
        </w:rPr>
      </w:pPr>
      <w:r w:rsidRPr="00B40A41">
        <w:rPr>
          <w:iCs/>
        </w:rPr>
        <w:t>The PSCR provided an updated budget impact model to reflect the cost minimisation approach. The new model included data on the incidence of melanoma, removed a sub-population (20% of expected incidence) predicted to receive nivolumab and ipilimumab combination therapy and assumed a 50%/</w:t>
      </w:r>
      <w:proofErr w:type="gramStart"/>
      <w:r w:rsidRPr="00B40A41">
        <w:rPr>
          <w:iCs/>
        </w:rPr>
        <w:t>50%</w:t>
      </w:r>
      <w:proofErr w:type="gramEnd"/>
      <w:r w:rsidRPr="00B40A41">
        <w:rPr>
          <w:iCs/>
        </w:rPr>
        <w:t xml:space="preserve"> market share split between pembrolizumab and nivolumab.</w:t>
      </w:r>
      <w:r w:rsidR="000D4371" w:rsidRPr="00B40A41">
        <w:rPr>
          <w:iCs/>
        </w:rPr>
        <w:t xml:space="preserve"> The revised model </w:t>
      </w:r>
      <w:r w:rsidR="007139A0" w:rsidRPr="00B40A41">
        <w:rPr>
          <w:iCs/>
        </w:rPr>
        <w:t>estimates</w:t>
      </w:r>
      <w:r w:rsidR="000D4371" w:rsidRPr="00B40A41">
        <w:rPr>
          <w:iCs/>
        </w:rPr>
        <w:t xml:space="preserve"> no additional cost to the </w:t>
      </w:r>
      <w:r w:rsidR="000D4371" w:rsidRPr="00B40A41">
        <w:rPr>
          <w:iCs/>
        </w:rPr>
        <w:lastRenderedPageBreak/>
        <w:t>PBS</w:t>
      </w:r>
      <w:r w:rsidR="00C874F7" w:rsidRPr="00B40A41">
        <w:rPr>
          <w:iCs/>
        </w:rPr>
        <w:t>, which the ESC considered appropriate</w:t>
      </w:r>
      <w:r w:rsidR="00F8117F" w:rsidRPr="00B40A41">
        <w:rPr>
          <w:iCs/>
        </w:rPr>
        <w:t xml:space="preserve"> if the assumption of equal duration of treatment for pembrolizumab and nivolumab was accepted</w:t>
      </w:r>
      <w:r w:rsidR="00C874F7" w:rsidRPr="00B40A41">
        <w:rPr>
          <w:iCs/>
        </w:rPr>
        <w:t>.</w:t>
      </w:r>
    </w:p>
    <w:p w:rsidR="00C53D8D" w:rsidRPr="00B40A41" w:rsidRDefault="00C53D8D" w:rsidP="00EA030D">
      <w:pPr>
        <w:pStyle w:val="Tabletitles"/>
        <w:keepNext/>
        <w:keepLines/>
      </w:pPr>
      <w:r w:rsidRPr="00B40A41">
        <w:t xml:space="preserve">Table </w:t>
      </w:r>
      <w:r w:rsidR="006011CB" w:rsidRPr="00B40A41">
        <w:t>7</w:t>
      </w:r>
      <w:r w:rsidRPr="00B40A41">
        <w:t xml:space="preserve">: Revised net financial implication of listing pembrolizumab </w:t>
      </w:r>
      <w:proofErr w:type="gramStart"/>
      <w:r w:rsidRPr="00B40A41">
        <w:t>on the PBS for first-line use in BRAF mutant patients with unresectable or metastatic melanoma, as presented in the PSCR</w:t>
      </w:r>
      <w:proofErr w:type="gramEnd"/>
      <w:r w:rsidRPr="00B40A41">
        <w:t xml:space="preserve"> (published prices)</w:t>
      </w:r>
    </w:p>
    <w:tbl>
      <w:tblPr>
        <w:tblStyle w:val="TableGrid"/>
        <w:tblW w:w="5000" w:type="pct"/>
        <w:tblLook w:val="04A0" w:firstRow="1" w:lastRow="0" w:firstColumn="1" w:lastColumn="0" w:noHBand="0" w:noVBand="1"/>
        <w:tblCaption w:val="Table 7: Revised net financial implication of listing pembrolizumab on the PBS for first-line use in BRAF mutant patients with unresectable or metastatic melanoma, as presented in the PSCR (published prices)"/>
      </w:tblPr>
      <w:tblGrid>
        <w:gridCol w:w="2264"/>
        <w:gridCol w:w="1135"/>
        <w:gridCol w:w="1134"/>
        <w:gridCol w:w="1134"/>
        <w:gridCol w:w="1134"/>
        <w:gridCol w:w="1134"/>
        <w:gridCol w:w="1082"/>
      </w:tblGrid>
      <w:tr w:rsidR="00C53D8D" w:rsidRPr="00B40A41" w:rsidTr="001A5179">
        <w:trPr>
          <w:tblHeader/>
        </w:trPr>
        <w:tc>
          <w:tcPr>
            <w:tcW w:w="1255" w:type="pct"/>
            <w:tcMar>
              <w:left w:w="28" w:type="dxa"/>
              <w:right w:w="28" w:type="dxa"/>
            </w:tcMar>
          </w:tcPr>
          <w:p w:rsidR="00C53D8D" w:rsidRPr="00B40A41" w:rsidRDefault="00C53D8D" w:rsidP="00EA030D">
            <w:pPr>
              <w:pStyle w:val="TableText0"/>
              <w:keepLines/>
            </w:pPr>
          </w:p>
        </w:tc>
        <w:tc>
          <w:tcPr>
            <w:tcW w:w="629" w:type="pct"/>
            <w:tcMar>
              <w:left w:w="28" w:type="dxa"/>
              <w:right w:w="28" w:type="dxa"/>
            </w:tcMar>
          </w:tcPr>
          <w:p w:rsidR="00C53D8D" w:rsidRPr="00B40A41" w:rsidRDefault="00C53D8D" w:rsidP="00EA030D">
            <w:pPr>
              <w:pStyle w:val="TableText0"/>
              <w:keepLines/>
              <w:jc w:val="center"/>
              <w:rPr>
                <w:b/>
              </w:rPr>
            </w:pPr>
            <w:r w:rsidRPr="00B40A41">
              <w:rPr>
                <w:b/>
              </w:rPr>
              <w:t>2020</w:t>
            </w:r>
          </w:p>
        </w:tc>
        <w:tc>
          <w:tcPr>
            <w:tcW w:w="629" w:type="pct"/>
            <w:tcMar>
              <w:left w:w="28" w:type="dxa"/>
              <w:right w:w="28" w:type="dxa"/>
            </w:tcMar>
          </w:tcPr>
          <w:p w:rsidR="00C53D8D" w:rsidRPr="00B40A41" w:rsidRDefault="00C53D8D" w:rsidP="00EA030D">
            <w:pPr>
              <w:pStyle w:val="TableText0"/>
              <w:keepLines/>
              <w:jc w:val="center"/>
              <w:rPr>
                <w:b/>
              </w:rPr>
            </w:pPr>
            <w:r w:rsidRPr="00B40A41">
              <w:rPr>
                <w:b/>
              </w:rPr>
              <w:t>2021</w:t>
            </w:r>
          </w:p>
        </w:tc>
        <w:tc>
          <w:tcPr>
            <w:tcW w:w="629" w:type="pct"/>
            <w:tcMar>
              <w:left w:w="28" w:type="dxa"/>
              <w:right w:w="28" w:type="dxa"/>
            </w:tcMar>
          </w:tcPr>
          <w:p w:rsidR="00C53D8D" w:rsidRPr="00B40A41" w:rsidRDefault="00C53D8D" w:rsidP="00EA030D">
            <w:pPr>
              <w:pStyle w:val="TableText0"/>
              <w:keepLines/>
              <w:jc w:val="center"/>
              <w:rPr>
                <w:b/>
              </w:rPr>
            </w:pPr>
            <w:r w:rsidRPr="00B40A41">
              <w:rPr>
                <w:b/>
              </w:rPr>
              <w:t>2022</w:t>
            </w:r>
          </w:p>
        </w:tc>
        <w:tc>
          <w:tcPr>
            <w:tcW w:w="629" w:type="pct"/>
            <w:tcMar>
              <w:left w:w="28" w:type="dxa"/>
              <w:right w:w="28" w:type="dxa"/>
            </w:tcMar>
          </w:tcPr>
          <w:p w:rsidR="00C53D8D" w:rsidRPr="00B40A41" w:rsidRDefault="00C53D8D" w:rsidP="00EA030D">
            <w:pPr>
              <w:pStyle w:val="TableText0"/>
              <w:keepLines/>
              <w:jc w:val="center"/>
              <w:rPr>
                <w:b/>
              </w:rPr>
            </w:pPr>
            <w:r w:rsidRPr="00B40A41">
              <w:rPr>
                <w:b/>
              </w:rPr>
              <w:t>2023</w:t>
            </w:r>
          </w:p>
        </w:tc>
        <w:tc>
          <w:tcPr>
            <w:tcW w:w="629" w:type="pct"/>
            <w:tcMar>
              <w:left w:w="28" w:type="dxa"/>
              <w:right w:w="28" w:type="dxa"/>
            </w:tcMar>
          </w:tcPr>
          <w:p w:rsidR="00C53D8D" w:rsidRPr="00B40A41" w:rsidRDefault="00C53D8D" w:rsidP="00EA030D">
            <w:pPr>
              <w:pStyle w:val="TableText0"/>
              <w:keepLines/>
              <w:jc w:val="center"/>
              <w:rPr>
                <w:b/>
              </w:rPr>
            </w:pPr>
            <w:r w:rsidRPr="00B40A41">
              <w:rPr>
                <w:b/>
              </w:rPr>
              <w:t>2024</w:t>
            </w:r>
          </w:p>
        </w:tc>
        <w:tc>
          <w:tcPr>
            <w:tcW w:w="601" w:type="pct"/>
            <w:tcMar>
              <w:left w:w="28" w:type="dxa"/>
              <w:right w:w="28" w:type="dxa"/>
            </w:tcMar>
          </w:tcPr>
          <w:p w:rsidR="00C53D8D" w:rsidRPr="00B40A41" w:rsidRDefault="00C53D8D" w:rsidP="00EA030D">
            <w:pPr>
              <w:pStyle w:val="TableText0"/>
              <w:keepLines/>
              <w:jc w:val="center"/>
              <w:rPr>
                <w:b/>
              </w:rPr>
            </w:pPr>
            <w:r w:rsidRPr="00B40A41">
              <w:rPr>
                <w:b/>
              </w:rPr>
              <w:t>2025</w:t>
            </w:r>
          </w:p>
        </w:tc>
      </w:tr>
      <w:tr w:rsidR="00C53D8D" w:rsidRPr="00B40A41" w:rsidTr="008271F3">
        <w:tc>
          <w:tcPr>
            <w:tcW w:w="1255" w:type="pct"/>
            <w:tcMar>
              <w:left w:w="28" w:type="dxa"/>
              <w:right w:w="28" w:type="dxa"/>
            </w:tcMar>
          </w:tcPr>
          <w:p w:rsidR="00C53D8D" w:rsidRPr="00B40A41" w:rsidRDefault="00C53D8D" w:rsidP="00EA030D">
            <w:pPr>
              <w:pStyle w:val="TableText0"/>
              <w:keepLines/>
            </w:pPr>
            <w:r w:rsidRPr="00B40A41">
              <w:t>Patients receiving 1</w:t>
            </w:r>
            <w:r w:rsidRPr="00B40A41">
              <w:rPr>
                <w:vertAlign w:val="superscript"/>
              </w:rPr>
              <w:t>st</w:t>
            </w:r>
            <w:r w:rsidRPr="00B40A41">
              <w:t xml:space="preserve"> line PEMBRO</w:t>
            </w:r>
          </w:p>
        </w:tc>
        <w:tc>
          <w:tcPr>
            <w:tcW w:w="629" w:type="pct"/>
            <w:tcMar>
              <w:left w:w="28" w:type="dxa"/>
              <w:right w:w="28" w:type="dxa"/>
            </w:tcMar>
            <w:vAlign w:val="center"/>
          </w:tcPr>
          <w:p w:rsidR="00C53D8D" w:rsidRPr="00A9714E" w:rsidRDefault="00A9714E" w:rsidP="00EA030D">
            <w:pPr>
              <w:pStyle w:val="TableText0"/>
              <w:keepLines/>
              <w:jc w:val="center"/>
              <w:rPr>
                <w:highlight w:val="black"/>
              </w:rPr>
            </w:pPr>
            <w:r>
              <w:rPr>
                <w:noProof/>
                <w:color w:val="000000"/>
                <w:highlight w:val="black"/>
              </w:rPr>
              <w:t>'''''''''</w:t>
            </w:r>
          </w:p>
        </w:tc>
        <w:tc>
          <w:tcPr>
            <w:tcW w:w="629" w:type="pct"/>
            <w:tcMar>
              <w:left w:w="28" w:type="dxa"/>
              <w:right w:w="28" w:type="dxa"/>
            </w:tcMar>
            <w:vAlign w:val="center"/>
          </w:tcPr>
          <w:p w:rsidR="00C53D8D" w:rsidRPr="00A9714E" w:rsidRDefault="00A9714E" w:rsidP="00EA030D">
            <w:pPr>
              <w:pStyle w:val="TableText0"/>
              <w:keepLines/>
              <w:jc w:val="center"/>
              <w:rPr>
                <w:highlight w:val="black"/>
              </w:rPr>
            </w:pPr>
            <w:r>
              <w:rPr>
                <w:noProof/>
                <w:color w:val="000000"/>
                <w:highlight w:val="black"/>
              </w:rPr>
              <w:t>'''''''''</w:t>
            </w:r>
          </w:p>
        </w:tc>
        <w:tc>
          <w:tcPr>
            <w:tcW w:w="629" w:type="pct"/>
            <w:tcMar>
              <w:left w:w="28" w:type="dxa"/>
              <w:right w:w="28" w:type="dxa"/>
            </w:tcMar>
            <w:vAlign w:val="center"/>
          </w:tcPr>
          <w:p w:rsidR="00C53D8D" w:rsidRPr="00A9714E" w:rsidRDefault="00A9714E" w:rsidP="00EA030D">
            <w:pPr>
              <w:pStyle w:val="TableText0"/>
              <w:keepLines/>
              <w:jc w:val="center"/>
              <w:rPr>
                <w:highlight w:val="black"/>
              </w:rPr>
            </w:pPr>
            <w:r>
              <w:rPr>
                <w:noProof/>
                <w:color w:val="000000"/>
                <w:highlight w:val="black"/>
              </w:rPr>
              <w:t>''''''''''</w:t>
            </w:r>
          </w:p>
        </w:tc>
        <w:tc>
          <w:tcPr>
            <w:tcW w:w="629" w:type="pct"/>
            <w:tcMar>
              <w:left w:w="28" w:type="dxa"/>
              <w:right w:w="28" w:type="dxa"/>
            </w:tcMar>
            <w:vAlign w:val="center"/>
          </w:tcPr>
          <w:p w:rsidR="00C53D8D" w:rsidRPr="00A9714E" w:rsidRDefault="00A9714E" w:rsidP="00EA030D">
            <w:pPr>
              <w:pStyle w:val="TableText0"/>
              <w:keepLines/>
              <w:jc w:val="center"/>
              <w:rPr>
                <w:highlight w:val="black"/>
              </w:rPr>
            </w:pPr>
            <w:r>
              <w:rPr>
                <w:noProof/>
                <w:color w:val="000000"/>
                <w:highlight w:val="black"/>
              </w:rPr>
              <w:t>''''''''''</w:t>
            </w:r>
          </w:p>
        </w:tc>
        <w:tc>
          <w:tcPr>
            <w:tcW w:w="629" w:type="pct"/>
            <w:tcMar>
              <w:left w:w="28" w:type="dxa"/>
              <w:right w:w="28" w:type="dxa"/>
            </w:tcMar>
            <w:vAlign w:val="center"/>
          </w:tcPr>
          <w:p w:rsidR="00C53D8D" w:rsidRPr="00A9714E" w:rsidRDefault="00A9714E" w:rsidP="00EA030D">
            <w:pPr>
              <w:pStyle w:val="TableText0"/>
              <w:keepLines/>
              <w:jc w:val="center"/>
              <w:rPr>
                <w:highlight w:val="black"/>
              </w:rPr>
            </w:pPr>
            <w:r>
              <w:rPr>
                <w:noProof/>
                <w:color w:val="000000"/>
                <w:highlight w:val="black"/>
              </w:rPr>
              <w:t>'''''''''</w:t>
            </w:r>
          </w:p>
        </w:tc>
        <w:tc>
          <w:tcPr>
            <w:tcW w:w="601" w:type="pct"/>
            <w:tcMar>
              <w:left w:w="28" w:type="dxa"/>
              <w:right w:w="28" w:type="dxa"/>
            </w:tcMar>
            <w:vAlign w:val="center"/>
          </w:tcPr>
          <w:p w:rsidR="00C53D8D" w:rsidRPr="00A9714E" w:rsidRDefault="00A9714E" w:rsidP="00EA030D">
            <w:pPr>
              <w:pStyle w:val="TableText0"/>
              <w:keepLines/>
              <w:jc w:val="center"/>
              <w:rPr>
                <w:highlight w:val="black"/>
              </w:rPr>
            </w:pPr>
            <w:r>
              <w:rPr>
                <w:noProof/>
                <w:color w:val="000000"/>
                <w:highlight w:val="black"/>
              </w:rPr>
              <w:t>''''''''</w:t>
            </w:r>
          </w:p>
        </w:tc>
      </w:tr>
      <w:tr w:rsidR="00C53D8D" w:rsidRPr="00B40A41" w:rsidTr="008271F3">
        <w:tc>
          <w:tcPr>
            <w:tcW w:w="1255" w:type="pct"/>
            <w:tcMar>
              <w:left w:w="28" w:type="dxa"/>
              <w:right w:w="28" w:type="dxa"/>
            </w:tcMar>
          </w:tcPr>
          <w:p w:rsidR="00C53D8D" w:rsidRPr="00B40A41" w:rsidRDefault="00C53D8D" w:rsidP="00EA030D">
            <w:pPr>
              <w:pStyle w:val="TableText0"/>
              <w:keepLines/>
            </w:pPr>
            <w:r w:rsidRPr="00B40A41">
              <w:t>Cost of 1</w:t>
            </w:r>
            <w:r w:rsidRPr="00B40A41">
              <w:rPr>
                <w:vertAlign w:val="superscript"/>
              </w:rPr>
              <w:t>st</w:t>
            </w:r>
            <w:r w:rsidRPr="00B40A41">
              <w:t xml:space="preserve"> line PEMBRO </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01"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r>
      <w:tr w:rsidR="00C53D8D" w:rsidRPr="00B40A41" w:rsidTr="008271F3">
        <w:tc>
          <w:tcPr>
            <w:tcW w:w="1255" w:type="pct"/>
            <w:tcMar>
              <w:left w:w="28" w:type="dxa"/>
              <w:right w:w="28" w:type="dxa"/>
            </w:tcMar>
          </w:tcPr>
          <w:p w:rsidR="00C53D8D" w:rsidRPr="00B40A41" w:rsidRDefault="00C53D8D" w:rsidP="00EA030D">
            <w:pPr>
              <w:pStyle w:val="TableText0"/>
              <w:keepLines/>
            </w:pPr>
            <w:r w:rsidRPr="00B40A41">
              <w:t>Cost offsets due to reduced 1</w:t>
            </w:r>
            <w:r w:rsidRPr="00B40A41">
              <w:rPr>
                <w:vertAlign w:val="superscript"/>
              </w:rPr>
              <w:t>st</w:t>
            </w:r>
            <w:r w:rsidRPr="00B40A41">
              <w:t xml:space="preserve"> line use of NIVO</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c>
          <w:tcPr>
            <w:tcW w:w="601"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w:t>
            </w:r>
            <w:r w:rsidR="00A9714E">
              <w:rPr>
                <w:rFonts w:cs="Arial"/>
                <w:bCs w:val="0"/>
                <w:noProof/>
                <w:color w:val="000000"/>
                <w:szCs w:val="20"/>
                <w:highlight w:val="black"/>
              </w:rPr>
              <w:t>''''''''''''''''''''''''''</w:t>
            </w:r>
          </w:p>
        </w:tc>
      </w:tr>
      <w:tr w:rsidR="00C53D8D" w:rsidRPr="00B40A41" w:rsidTr="008271F3">
        <w:tc>
          <w:tcPr>
            <w:tcW w:w="1255" w:type="pct"/>
            <w:tcMar>
              <w:left w:w="28" w:type="dxa"/>
              <w:right w:w="28" w:type="dxa"/>
            </w:tcMar>
          </w:tcPr>
          <w:p w:rsidR="00C53D8D" w:rsidRPr="00B40A41" w:rsidRDefault="00C53D8D" w:rsidP="00EA030D">
            <w:pPr>
              <w:pStyle w:val="TableText0"/>
              <w:keepLines/>
            </w:pPr>
            <w:r w:rsidRPr="00B40A41">
              <w:t>Net cost to PBS/RPBS</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$0</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-$2</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$1</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-$1</w:t>
            </w:r>
          </w:p>
        </w:tc>
        <w:tc>
          <w:tcPr>
            <w:tcW w:w="629"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$2</w:t>
            </w:r>
          </w:p>
        </w:tc>
        <w:tc>
          <w:tcPr>
            <w:tcW w:w="601" w:type="pct"/>
            <w:tcMar>
              <w:left w:w="28" w:type="dxa"/>
              <w:right w:w="28" w:type="dxa"/>
            </w:tcMar>
            <w:vAlign w:val="center"/>
          </w:tcPr>
          <w:p w:rsidR="00C53D8D" w:rsidRPr="00B40A41" w:rsidRDefault="00C53D8D" w:rsidP="00EA030D">
            <w:pPr>
              <w:pStyle w:val="TableText0"/>
              <w:keepLines/>
              <w:jc w:val="center"/>
            </w:pPr>
            <w:r w:rsidRPr="00B40A41">
              <w:rPr>
                <w:rFonts w:cs="Arial"/>
                <w:bCs w:val="0"/>
                <w:szCs w:val="20"/>
              </w:rPr>
              <w:t>$0</w:t>
            </w:r>
          </w:p>
        </w:tc>
      </w:tr>
    </w:tbl>
    <w:p w:rsidR="00C53D8D" w:rsidRPr="00B40A41" w:rsidRDefault="00C53D8D" w:rsidP="00C53D8D">
      <w:pPr>
        <w:pStyle w:val="TableFooter"/>
      </w:pPr>
      <w:r w:rsidRPr="00B40A41">
        <w:t>NIVO = nivolumab; PBS = Pharmaceutical Benefits Scheme; PEMBRO = pembrolizumab; PSCR = Pre-Sub-Committee Response; RPBS = Repatriation Pharmaceutical Benefits Scheme</w:t>
      </w:r>
    </w:p>
    <w:p w:rsidR="00C53D8D" w:rsidRPr="00B40A41" w:rsidRDefault="00C53D8D" w:rsidP="00FE2A30">
      <w:pPr>
        <w:pStyle w:val="TableFooter"/>
      </w:pPr>
      <w:r w:rsidRPr="00B40A41">
        <w:t>Source: Table 3, p6 of the PSCR and BI Model – 1L BRAF_mutant_UPDATED – Excel model</w:t>
      </w:r>
    </w:p>
    <w:p w:rsidR="00C53D8D" w:rsidRPr="00B40A41" w:rsidRDefault="00C53D8D" w:rsidP="00C53D8D">
      <w:pPr>
        <w:pStyle w:val="4-SubsectionHeading"/>
      </w:pPr>
      <w:bookmarkStart w:id="37" w:name="_Toc22897649"/>
      <w:bookmarkStart w:id="38" w:name="_Toc30588530"/>
      <w:r w:rsidRPr="00B40A41">
        <w:t>Financial Management – Risk Sharing Arrangements</w:t>
      </w:r>
      <w:bookmarkEnd w:id="37"/>
      <w:bookmarkEnd w:id="38"/>
    </w:p>
    <w:p w:rsidR="00C53D8D" w:rsidRPr="00B40A41" w:rsidRDefault="00C53D8D" w:rsidP="00960991">
      <w:pPr>
        <w:pStyle w:val="3-BodyText"/>
        <w:rPr>
          <w:iCs/>
        </w:rPr>
      </w:pPr>
      <w:r w:rsidRPr="00B40A41">
        <w:rPr>
          <w:iCs/>
        </w:rPr>
        <w:t>The pre-PBAC response</w:t>
      </w:r>
      <w:r w:rsidR="00FE2A30" w:rsidRPr="00B40A41">
        <w:rPr>
          <w:iCs/>
        </w:rPr>
        <w:t xml:space="preserve"> stated that a cap uplift associated with the listing of PD-1 inhibitors for first-line use in patients with BRAF mutant unresectable or metastatic Stage III or IV melanoma was expected. The pre-PBAC response also claimed that the existing melanoma deed </w:t>
      </w:r>
      <w:proofErr w:type="gramStart"/>
      <w:r w:rsidR="00FE2A30" w:rsidRPr="00B40A41">
        <w:rPr>
          <w:iCs/>
        </w:rPr>
        <w:t>was based</w:t>
      </w:r>
      <w:proofErr w:type="gramEnd"/>
      <w:r w:rsidR="00FE2A30" w:rsidRPr="00B40A41">
        <w:rPr>
          <w:iCs/>
        </w:rPr>
        <w:t xml:space="preserve"> on patient numbers that are significantly less than the eligible PBS population.</w:t>
      </w:r>
    </w:p>
    <w:p w:rsidR="001870CF" w:rsidRPr="00B40A41" w:rsidRDefault="001870CF" w:rsidP="00960991">
      <w:pPr>
        <w:pStyle w:val="3-BodyText"/>
        <w:rPr>
          <w:iCs/>
        </w:rPr>
      </w:pPr>
      <w:r w:rsidRPr="00B40A41">
        <w:rPr>
          <w:iCs/>
        </w:rPr>
        <w:t xml:space="preserve">The PBAC recalled that </w:t>
      </w:r>
      <w:r w:rsidRPr="00B40A41">
        <w:rPr>
          <w:bCs/>
        </w:rPr>
        <w:t>it reviewed the RSA of the PD-1 inhibitors across the adjuvant and unresectable or metastatic melanoma settings as part of the</w:t>
      </w:r>
      <w:r w:rsidR="000B0713" w:rsidRPr="00B40A41">
        <w:rPr>
          <w:bCs/>
        </w:rPr>
        <w:t xml:space="preserve"> consideration of the</w:t>
      </w:r>
      <w:r w:rsidRPr="00B40A41">
        <w:rPr>
          <w:bCs/>
        </w:rPr>
        <w:t xml:space="preserve"> November 2019 nivolumab submissions. The PBAC noted that the accepted RSA included a growth factor for the forward estimates, </w:t>
      </w:r>
      <w:r w:rsidRPr="00B40A41">
        <w:rPr>
          <w:rFonts w:eastAsiaTheme="minorHAnsi" w:cstheme="minorBidi"/>
          <w:color w:val="000000" w:themeColor="text1"/>
          <w:szCs w:val="22"/>
        </w:rPr>
        <w:t xml:space="preserve">encompassed the entire melanoma market and consisted of subsidisation caps beyond which </w:t>
      </w:r>
      <w:r w:rsidR="00A9714E">
        <w:rPr>
          <w:rFonts w:eastAsiaTheme="minorHAnsi" w:cstheme="minorBidi"/>
          <w:noProof/>
          <w:color w:val="000000"/>
          <w:szCs w:val="22"/>
          <w:highlight w:val="black"/>
        </w:rPr>
        <w:t>''''''''</w:t>
      </w:r>
      <w:r w:rsidRPr="00B40A41">
        <w:rPr>
          <w:rFonts w:eastAsiaTheme="minorHAnsi" w:cstheme="minorBidi"/>
          <w:color w:val="000000" w:themeColor="text1"/>
          <w:szCs w:val="22"/>
        </w:rPr>
        <w:t xml:space="preserve">% rebates would apply. </w:t>
      </w:r>
    </w:p>
    <w:p w:rsidR="00BE5956" w:rsidRPr="00B40A41" w:rsidRDefault="00BE5956" w:rsidP="00BE5956">
      <w:pPr>
        <w:pStyle w:val="4-SubsectionHeading"/>
      </w:pPr>
      <w:bookmarkStart w:id="39" w:name="_Toc22897648"/>
      <w:bookmarkStart w:id="40" w:name="_Toc22898860"/>
      <w:bookmarkStart w:id="41" w:name="_Toc30419516"/>
      <w:r w:rsidRPr="00B40A41">
        <w:t>Quality Use of Medicines</w:t>
      </w:r>
      <w:bookmarkEnd w:id="39"/>
      <w:bookmarkEnd w:id="40"/>
      <w:bookmarkEnd w:id="41"/>
    </w:p>
    <w:p w:rsidR="002148C5" w:rsidRPr="00B40A41" w:rsidRDefault="00BE5956" w:rsidP="00C778B6">
      <w:pPr>
        <w:pStyle w:val="3-BodyText"/>
        <w:rPr>
          <w:iCs/>
        </w:rPr>
      </w:pPr>
      <w:r w:rsidRPr="00B40A41">
        <w:t>The submission noted that clinicians would need to be educated about changes to the restriction for pembrolizumab use to include first line</w:t>
      </w:r>
      <w:r w:rsidR="001C64B1" w:rsidRPr="00B40A41">
        <w:t xml:space="preserve"> use in patients with BRAF positive unresectable Stage III or IV melanoma</w:t>
      </w:r>
      <w:r w:rsidRPr="00B40A41">
        <w:t xml:space="preserve">. </w:t>
      </w:r>
    </w:p>
    <w:p w:rsidR="00B202C2" w:rsidRPr="00B40A41" w:rsidRDefault="00B202C2" w:rsidP="00B202C2">
      <w:pPr>
        <w:pStyle w:val="3-BodyText"/>
        <w:numPr>
          <w:ilvl w:val="0"/>
          <w:numId w:val="0"/>
        </w:numPr>
        <w:ind w:left="720"/>
        <w:rPr>
          <w:i/>
        </w:rPr>
      </w:pPr>
      <w:r w:rsidRPr="00B40A41">
        <w:rPr>
          <w:i/>
        </w:rPr>
        <w:t>For more detail on PBAC’s view, see Section 7 PBAC outcome.</w:t>
      </w:r>
    </w:p>
    <w:p w:rsidR="0042369B" w:rsidRPr="00B40A41" w:rsidRDefault="0042369B" w:rsidP="0042369B">
      <w:pPr>
        <w:pStyle w:val="2-SectionHeading"/>
      </w:pPr>
      <w:r w:rsidRPr="00B40A41">
        <w:t>PBAC Outcome</w:t>
      </w:r>
    </w:p>
    <w:p w:rsidR="00AF46D3" w:rsidRPr="00B40A41" w:rsidRDefault="00AF46D3"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 xml:space="preserve">The PBAC recommended the extension of the PBS listing for pembrolizumab to allow its use as a first-line therapy in the treatment of BRAF V600 mutant Stage III or Stage IV unresectable or metastatic melanoma. The PBAC considered that pembrolizumab would be cost-effective in this population if it </w:t>
      </w:r>
      <w:proofErr w:type="gramStart"/>
      <w:r w:rsidRPr="00B40A41">
        <w:rPr>
          <w:rFonts w:asciiTheme="minorHAnsi" w:hAnsiTheme="minorHAnsi"/>
          <w:bCs/>
          <w:snapToGrid w:val="0"/>
        </w:rPr>
        <w:t>was</w:t>
      </w:r>
      <w:proofErr w:type="gramEnd"/>
      <w:r w:rsidRPr="00B40A41">
        <w:rPr>
          <w:rFonts w:asciiTheme="minorHAnsi" w:hAnsiTheme="minorHAnsi"/>
          <w:bCs/>
          <w:snapToGrid w:val="0"/>
        </w:rPr>
        <w:t xml:space="preserve"> cost-minimised to nivolumab, which was recommended for the same indication in November 2019</w:t>
      </w:r>
      <w:r w:rsidR="00FD5E94">
        <w:rPr>
          <w:rFonts w:asciiTheme="minorHAnsi" w:hAnsiTheme="minorHAnsi"/>
          <w:bCs/>
          <w:snapToGrid w:val="0"/>
        </w:rPr>
        <w:t xml:space="preserve"> and subsequently listed on the PBS on 1 March 2020</w:t>
      </w:r>
      <w:r w:rsidRPr="00B40A41">
        <w:rPr>
          <w:rFonts w:asciiTheme="minorHAnsi" w:hAnsiTheme="minorHAnsi"/>
          <w:bCs/>
          <w:snapToGrid w:val="0"/>
        </w:rPr>
        <w:t xml:space="preserve">. In addition, the PBAC recommended that pembrolizumab be included in the risk-sharing arrangement (RSA) </w:t>
      </w:r>
      <w:r w:rsidR="00AE3FEF">
        <w:rPr>
          <w:rFonts w:asciiTheme="minorHAnsi" w:hAnsiTheme="minorHAnsi"/>
          <w:bCs/>
          <w:snapToGrid w:val="0"/>
        </w:rPr>
        <w:t>agreed for nivolumab</w:t>
      </w:r>
      <w:r w:rsidRPr="00B40A41">
        <w:rPr>
          <w:rFonts w:asciiTheme="minorHAnsi" w:hAnsiTheme="minorHAnsi"/>
          <w:bCs/>
          <w:snapToGrid w:val="0"/>
        </w:rPr>
        <w:t xml:space="preserve"> in the treatment of melanoma.</w:t>
      </w:r>
    </w:p>
    <w:p w:rsidR="00AF46D3" w:rsidRPr="00B40A41" w:rsidRDefault="00AF46D3"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lastRenderedPageBreak/>
        <w:t xml:space="preserve">In terms of the clinical place in therapy, the PBAC recalled that it had previously restricted the use of pembrolizumab in patients with BRAF mutant unresectable or metastatic melanoma to those patients who had progressed following treatment </w:t>
      </w:r>
      <w:proofErr w:type="gramStart"/>
      <w:r w:rsidRPr="00B40A41">
        <w:rPr>
          <w:rFonts w:asciiTheme="minorHAnsi" w:hAnsiTheme="minorHAnsi"/>
          <w:bCs/>
          <w:snapToGrid w:val="0"/>
        </w:rPr>
        <w:t>with a</w:t>
      </w:r>
      <w:proofErr w:type="gramEnd"/>
      <w:r w:rsidRPr="00B40A41">
        <w:rPr>
          <w:rFonts w:asciiTheme="minorHAnsi" w:hAnsiTheme="minorHAnsi"/>
          <w:bCs/>
          <w:snapToGrid w:val="0"/>
        </w:rPr>
        <w:t xml:space="preserve"> BRAF</w:t>
      </w:r>
      <w:r w:rsidRPr="00B40A41">
        <w:rPr>
          <w:rFonts w:asciiTheme="minorHAnsi" w:hAnsiTheme="minorHAnsi" w:cstheme="minorHAnsi"/>
          <w:bCs/>
          <w:snapToGrid w:val="0"/>
        </w:rPr>
        <w:t>±</w:t>
      </w:r>
      <w:r w:rsidRPr="00B40A41">
        <w:rPr>
          <w:rFonts w:asciiTheme="minorHAnsi" w:hAnsiTheme="minorHAnsi"/>
          <w:bCs/>
          <w:snapToGrid w:val="0"/>
        </w:rPr>
        <w:t xml:space="preserve">MEK inhibitors. The PBAC recalled that it had recommended nivolumab monotherapy and nivolumab in combination with ipilimumab </w:t>
      </w:r>
      <w:r w:rsidR="00935CAE" w:rsidRPr="00B40A41">
        <w:rPr>
          <w:rFonts w:asciiTheme="minorHAnsi" w:hAnsiTheme="minorHAnsi"/>
          <w:bCs/>
        </w:rPr>
        <w:t>as first-line therapies for these patients</w:t>
      </w:r>
      <w:r w:rsidR="00935CAE" w:rsidRPr="00B40A41">
        <w:rPr>
          <w:rFonts w:asciiTheme="minorHAnsi" w:hAnsiTheme="minorHAnsi"/>
          <w:bCs/>
          <w:snapToGrid w:val="0"/>
        </w:rPr>
        <w:t xml:space="preserve"> </w:t>
      </w:r>
      <w:r w:rsidRPr="00B40A41">
        <w:rPr>
          <w:rFonts w:asciiTheme="minorHAnsi" w:hAnsiTheme="minorHAnsi"/>
          <w:bCs/>
          <w:snapToGrid w:val="0"/>
        </w:rPr>
        <w:t>in November 2019</w:t>
      </w:r>
      <w:r w:rsidRPr="00B40A41">
        <w:rPr>
          <w:rFonts w:asciiTheme="minorHAnsi" w:hAnsiTheme="minorHAnsi"/>
          <w:bCs/>
        </w:rPr>
        <w:t>. The PBAC noted that guidelines state that first-line systemic therapy should be individualised, with clinical factors dictating preference for use of BRAF-targeted treatment or immunotherapy.</w:t>
      </w:r>
    </w:p>
    <w:p w:rsidR="00AF46D3" w:rsidRPr="00B40A41" w:rsidRDefault="00AF46D3"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The PBAC considered that nivolumab was the appropriate comparator for pembrolizumab</w:t>
      </w:r>
      <w:r w:rsidR="00710766" w:rsidRPr="00B40A41">
        <w:rPr>
          <w:rFonts w:asciiTheme="minorHAnsi" w:hAnsiTheme="minorHAnsi"/>
          <w:bCs/>
          <w:snapToGrid w:val="0"/>
        </w:rPr>
        <w:t xml:space="preserve"> as first-line therapy in BRAF mutant unresectable or metastatic melanoma.</w:t>
      </w:r>
    </w:p>
    <w:p w:rsidR="00710766" w:rsidRPr="00B40A41" w:rsidRDefault="00710766"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 xml:space="preserve">The PBAC noted that the submission was based on an indirect comparison </w:t>
      </w:r>
      <w:r w:rsidR="00603A1A" w:rsidRPr="00B40A41">
        <w:rPr>
          <w:rFonts w:asciiTheme="minorHAnsi" w:hAnsiTheme="minorHAnsi"/>
          <w:bCs/>
          <w:snapToGrid w:val="0"/>
        </w:rPr>
        <w:t xml:space="preserve">of subgroups of patients from the KN006 (pembrolizumab) and CM067 (nivolumab) trials in treatment naïve, BRAF mutant patients with unresectable or metastatic melanoma. Ipilimumab was the common comparator. </w:t>
      </w:r>
    </w:p>
    <w:p w:rsidR="009873BB" w:rsidRPr="00B40A41" w:rsidRDefault="009873BB"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The PBAC considered</w:t>
      </w:r>
      <w:r w:rsidR="00935CAE" w:rsidRPr="00B40A41">
        <w:rPr>
          <w:rFonts w:asciiTheme="minorHAnsi" w:hAnsiTheme="minorHAnsi"/>
          <w:bCs/>
          <w:snapToGrid w:val="0"/>
        </w:rPr>
        <w:t>, based on the available evidence for pembrolizumab and nivolumab for the treatment of melanoma,</w:t>
      </w:r>
      <w:r w:rsidRPr="00B40A41">
        <w:rPr>
          <w:rFonts w:asciiTheme="minorHAnsi" w:hAnsiTheme="minorHAnsi"/>
          <w:bCs/>
          <w:snapToGrid w:val="0"/>
        </w:rPr>
        <w:t xml:space="preserve"> that the claim of non-inferior efficacy between pembrolizumab and nivolumab was</w:t>
      </w:r>
      <w:r w:rsidR="000B0713" w:rsidRPr="00B40A41">
        <w:rPr>
          <w:rFonts w:asciiTheme="minorHAnsi" w:hAnsiTheme="minorHAnsi"/>
          <w:bCs/>
          <w:snapToGrid w:val="0"/>
        </w:rPr>
        <w:t xml:space="preserve"> uncertain but</w:t>
      </w:r>
      <w:r w:rsidRPr="00B40A41">
        <w:rPr>
          <w:rFonts w:asciiTheme="minorHAnsi" w:hAnsiTheme="minorHAnsi"/>
          <w:bCs/>
          <w:snapToGrid w:val="0"/>
        </w:rPr>
        <w:t xml:space="preserve"> likely to </w:t>
      </w:r>
      <w:proofErr w:type="gramStart"/>
      <w:r w:rsidRPr="00B40A41">
        <w:rPr>
          <w:rFonts w:asciiTheme="minorHAnsi" w:hAnsiTheme="minorHAnsi"/>
          <w:bCs/>
          <w:snapToGrid w:val="0"/>
        </w:rPr>
        <w:t>be supported</w:t>
      </w:r>
      <w:proofErr w:type="gramEnd"/>
      <w:r w:rsidRPr="00B40A41">
        <w:rPr>
          <w:rFonts w:asciiTheme="minorHAnsi" w:hAnsiTheme="minorHAnsi"/>
          <w:bCs/>
          <w:snapToGrid w:val="0"/>
        </w:rPr>
        <w:t xml:space="preserve"> by the data.</w:t>
      </w:r>
    </w:p>
    <w:p w:rsidR="009873BB" w:rsidRPr="00B40A41" w:rsidRDefault="009873BB"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In terms of comparative harms, the PBAC considered that pembrolizumab was non-inferior compared to nivolumab.</w:t>
      </w:r>
    </w:p>
    <w:p w:rsidR="00FD39C5" w:rsidRPr="00B40A41" w:rsidRDefault="009873BB"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 xml:space="preserve">The PBAC noted that the </w:t>
      </w:r>
      <w:r w:rsidR="00FD39C5" w:rsidRPr="00B40A41">
        <w:rPr>
          <w:rFonts w:asciiTheme="minorHAnsi" w:hAnsiTheme="minorHAnsi"/>
          <w:bCs/>
          <w:snapToGrid w:val="0"/>
        </w:rPr>
        <w:t xml:space="preserve">submission presented a cost-minimisation analysis comparing pembrolizumab with nivolumab. </w:t>
      </w:r>
    </w:p>
    <w:p w:rsidR="00FD39C5" w:rsidRPr="00B40A41" w:rsidRDefault="00FD39C5"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 xml:space="preserve">The PBAC noted that the durations of treatment for pembrolizumab and nivolumab were assumed </w:t>
      </w:r>
      <w:proofErr w:type="gramStart"/>
      <w:r w:rsidRPr="00B40A41">
        <w:rPr>
          <w:rFonts w:asciiTheme="minorHAnsi" w:hAnsiTheme="minorHAnsi"/>
          <w:bCs/>
          <w:snapToGrid w:val="0"/>
        </w:rPr>
        <w:t>to be equal</w:t>
      </w:r>
      <w:proofErr w:type="gramEnd"/>
      <w:r w:rsidRPr="00B40A41">
        <w:rPr>
          <w:rFonts w:asciiTheme="minorHAnsi" w:hAnsiTheme="minorHAnsi"/>
          <w:bCs/>
          <w:snapToGrid w:val="0"/>
        </w:rPr>
        <w:t xml:space="preserve">, and that both are given until disease progression. The PBAC considered that this was appropriate. The PBAC considered that the </w:t>
      </w:r>
      <w:proofErr w:type="spellStart"/>
      <w:r w:rsidRPr="00B40A41">
        <w:rPr>
          <w:rFonts w:asciiTheme="minorHAnsi" w:hAnsiTheme="minorHAnsi"/>
          <w:bCs/>
          <w:snapToGrid w:val="0"/>
        </w:rPr>
        <w:t>equi</w:t>
      </w:r>
      <w:proofErr w:type="spellEnd"/>
      <w:r w:rsidRPr="00B40A41">
        <w:rPr>
          <w:rFonts w:asciiTheme="minorHAnsi" w:hAnsiTheme="minorHAnsi"/>
          <w:bCs/>
          <w:snapToGrid w:val="0"/>
        </w:rPr>
        <w:t>-effective doses were:</w:t>
      </w:r>
    </w:p>
    <w:p w:rsidR="009873BB" w:rsidRPr="00B40A41" w:rsidRDefault="00FD39C5" w:rsidP="00FD39C5">
      <w:pPr>
        <w:widowControl w:val="0"/>
        <w:spacing w:after="120"/>
        <w:ind w:left="1440"/>
        <w:rPr>
          <w:rFonts w:asciiTheme="minorHAnsi" w:hAnsiTheme="minorHAnsi"/>
          <w:bCs/>
          <w:snapToGrid w:val="0"/>
        </w:rPr>
      </w:pPr>
      <w:r w:rsidRPr="00B40A41">
        <w:rPr>
          <w:rFonts w:asciiTheme="minorHAnsi" w:hAnsiTheme="minorHAnsi"/>
          <w:bCs/>
          <w:snapToGrid w:val="0"/>
        </w:rPr>
        <w:t xml:space="preserve">Pembrolizumab 200 mg every 3 weeks = Nivolumab </w:t>
      </w:r>
      <w:r w:rsidR="001D315F">
        <w:rPr>
          <w:rFonts w:asciiTheme="minorHAnsi" w:hAnsiTheme="minorHAnsi"/>
          <w:bCs/>
          <w:snapToGrid w:val="0"/>
        </w:rPr>
        <w:t>360</w:t>
      </w:r>
      <w:r w:rsidR="001D315F" w:rsidRPr="00B40A41">
        <w:rPr>
          <w:rFonts w:asciiTheme="minorHAnsi" w:hAnsiTheme="minorHAnsi"/>
          <w:bCs/>
          <w:snapToGrid w:val="0"/>
        </w:rPr>
        <w:t xml:space="preserve"> </w:t>
      </w:r>
      <w:r w:rsidR="00603A1A" w:rsidRPr="00B40A41">
        <w:rPr>
          <w:rFonts w:asciiTheme="minorHAnsi" w:hAnsiTheme="minorHAnsi"/>
          <w:bCs/>
          <w:snapToGrid w:val="0"/>
        </w:rPr>
        <w:t xml:space="preserve">mg every </w:t>
      </w:r>
      <w:r w:rsidR="001D315F">
        <w:rPr>
          <w:rFonts w:asciiTheme="minorHAnsi" w:hAnsiTheme="minorHAnsi"/>
          <w:bCs/>
          <w:snapToGrid w:val="0"/>
        </w:rPr>
        <w:t>3</w:t>
      </w:r>
      <w:r w:rsidR="001D315F" w:rsidRPr="00B40A41">
        <w:rPr>
          <w:rFonts w:asciiTheme="minorHAnsi" w:hAnsiTheme="minorHAnsi"/>
          <w:bCs/>
          <w:snapToGrid w:val="0"/>
        </w:rPr>
        <w:t xml:space="preserve"> </w:t>
      </w:r>
      <w:r w:rsidR="00603A1A" w:rsidRPr="00B40A41">
        <w:rPr>
          <w:rFonts w:asciiTheme="minorHAnsi" w:hAnsiTheme="minorHAnsi"/>
          <w:bCs/>
          <w:snapToGrid w:val="0"/>
        </w:rPr>
        <w:t>weeks</w:t>
      </w:r>
    </w:p>
    <w:p w:rsidR="00FD39C5" w:rsidRPr="00B40A41" w:rsidRDefault="00FD39C5"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 xml:space="preserve">The PBAC noted that the PSCR provided an updated estimate of the financial impact of the </w:t>
      </w:r>
      <w:r w:rsidR="00935CAE" w:rsidRPr="00B40A41">
        <w:rPr>
          <w:rFonts w:asciiTheme="minorHAnsi" w:hAnsiTheme="minorHAnsi"/>
          <w:bCs/>
          <w:snapToGrid w:val="0"/>
        </w:rPr>
        <w:t>revised</w:t>
      </w:r>
      <w:r w:rsidRPr="00B40A41">
        <w:rPr>
          <w:rFonts w:asciiTheme="minorHAnsi" w:hAnsiTheme="minorHAnsi"/>
          <w:bCs/>
          <w:snapToGrid w:val="0"/>
        </w:rPr>
        <w:t xml:space="preserve"> pembrolizumab </w:t>
      </w:r>
      <w:r w:rsidR="00935CAE" w:rsidRPr="00B40A41">
        <w:rPr>
          <w:rFonts w:asciiTheme="minorHAnsi" w:hAnsiTheme="minorHAnsi"/>
          <w:bCs/>
          <w:snapToGrid w:val="0"/>
        </w:rPr>
        <w:t xml:space="preserve">listing </w:t>
      </w:r>
      <w:r w:rsidRPr="00B40A41">
        <w:rPr>
          <w:rFonts w:asciiTheme="minorHAnsi" w:hAnsiTheme="minorHAnsi"/>
          <w:bCs/>
          <w:snapToGrid w:val="0"/>
        </w:rPr>
        <w:t>which indicated that</w:t>
      </w:r>
      <w:r w:rsidR="00603A1A" w:rsidRPr="00B40A41">
        <w:rPr>
          <w:rFonts w:asciiTheme="minorHAnsi" w:hAnsiTheme="minorHAnsi"/>
          <w:bCs/>
          <w:snapToGrid w:val="0"/>
        </w:rPr>
        <w:t xml:space="preserve"> there would be no additional cost to the PBS. </w:t>
      </w:r>
      <w:r w:rsidRPr="00B40A41">
        <w:rPr>
          <w:rFonts w:asciiTheme="minorHAnsi" w:hAnsiTheme="minorHAnsi"/>
          <w:bCs/>
          <w:snapToGrid w:val="0"/>
        </w:rPr>
        <w:t xml:space="preserve">The PBAC </w:t>
      </w:r>
      <w:r w:rsidR="00603A1A" w:rsidRPr="00B40A41">
        <w:rPr>
          <w:rFonts w:asciiTheme="minorHAnsi" w:hAnsiTheme="minorHAnsi"/>
          <w:bCs/>
          <w:snapToGrid w:val="0"/>
        </w:rPr>
        <w:t xml:space="preserve">considered that this was appropriate as it </w:t>
      </w:r>
      <w:r w:rsidRPr="00B40A41">
        <w:rPr>
          <w:rFonts w:asciiTheme="minorHAnsi" w:hAnsiTheme="minorHAnsi"/>
          <w:bCs/>
          <w:snapToGrid w:val="0"/>
        </w:rPr>
        <w:t xml:space="preserve">recalled that in November 2019 it advised that </w:t>
      </w:r>
      <w:r w:rsidR="00D85B4D" w:rsidRPr="00B40A41">
        <w:rPr>
          <w:rFonts w:asciiTheme="minorHAnsi" w:hAnsiTheme="minorHAnsi"/>
          <w:bCs/>
          <w:snapToGrid w:val="0"/>
        </w:rPr>
        <w:t xml:space="preserve">the </w:t>
      </w:r>
      <w:r w:rsidRPr="00B40A41">
        <w:rPr>
          <w:rFonts w:asciiTheme="minorHAnsi" w:hAnsiTheme="minorHAnsi"/>
          <w:bCs/>
          <w:snapToGrid w:val="0"/>
        </w:rPr>
        <w:t>restriction changes</w:t>
      </w:r>
      <w:r w:rsidR="00D85B4D" w:rsidRPr="00B40A41">
        <w:rPr>
          <w:rFonts w:asciiTheme="minorHAnsi" w:hAnsiTheme="minorHAnsi"/>
          <w:bCs/>
          <w:snapToGrid w:val="0"/>
        </w:rPr>
        <w:t xml:space="preserve"> for nivolumab and ipilimumab</w:t>
      </w:r>
      <w:r w:rsidRPr="00B40A41">
        <w:rPr>
          <w:rFonts w:asciiTheme="minorHAnsi" w:hAnsiTheme="minorHAnsi"/>
          <w:bCs/>
          <w:snapToGrid w:val="0"/>
        </w:rPr>
        <w:t xml:space="preserve"> should result in no additional costs to the PBS/RPBS.</w:t>
      </w:r>
    </w:p>
    <w:p w:rsidR="00FD39C5" w:rsidRPr="00B40A41" w:rsidRDefault="00FD39C5"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t xml:space="preserve">The PBAC </w:t>
      </w:r>
      <w:r w:rsidR="00F17649" w:rsidRPr="00B40A41">
        <w:rPr>
          <w:rFonts w:asciiTheme="minorHAnsi" w:hAnsiTheme="minorHAnsi"/>
          <w:bCs/>
          <w:snapToGrid w:val="0"/>
        </w:rPr>
        <w:t>recalled that it reviewed the RSA of the PD-1 inhibitors across the adjuvant and unresectable or metastatic melanoma settings as part of the</w:t>
      </w:r>
      <w:r w:rsidR="00D85B4D" w:rsidRPr="00B40A41">
        <w:rPr>
          <w:rFonts w:asciiTheme="minorHAnsi" w:hAnsiTheme="minorHAnsi"/>
          <w:bCs/>
          <w:snapToGrid w:val="0"/>
        </w:rPr>
        <w:t xml:space="preserve"> cons</w:t>
      </w:r>
      <w:r w:rsidR="00864EF1" w:rsidRPr="00B40A41">
        <w:rPr>
          <w:rFonts w:asciiTheme="minorHAnsi" w:hAnsiTheme="minorHAnsi"/>
          <w:bCs/>
          <w:snapToGrid w:val="0"/>
        </w:rPr>
        <w:t>i</w:t>
      </w:r>
      <w:r w:rsidR="00D85B4D" w:rsidRPr="00B40A41">
        <w:rPr>
          <w:rFonts w:asciiTheme="minorHAnsi" w:hAnsiTheme="minorHAnsi"/>
          <w:bCs/>
          <w:snapToGrid w:val="0"/>
        </w:rPr>
        <w:t>dera</w:t>
      </w:r>
      <w:r w:rsidR="00864EF1" w:rsidRPr="00B40A41">
        <w:rPr>
          <w:rFonts w:asciiTheme="minorHAnsi" w:hAnsiTheme="minorHAnsi"/>
          <w:bCs/>
          <w:snapToGrid w:val="0"/>
        </w:rPr>
        <w:t>tion of the</w:t>
      </w:r>
      <w:r w:rsidR="00F17649" w:rsidRPr="00B40A41">
        <w:rPr>
          <w:rFonts w:asciiTheme="minorHAnsi" w:hAnsiTheme="minorHAnsi"/>
          <w:bCs/>
          <w:snapToGrid w:val="0"/>
        </w:rPr>
        <w:t xml:space="preserve"> November 2019 nivolumab submissions. The PBAC noted that the accepted RSA </w:t>
      </w:r>
      <w:r w:rsidR="00F17649" w:rsidRPr="00B40A41">
        <w:rPr>
          <w:rFonts w:asciiTheme="minorHAnsi" w:eastAsiaTheme="minorHAnsi" w:hAnsiTheme="minorHAnsi" w:cstheme="minorBidi"/>
          <w:color w:val="000000" w:themeColor="text1"/>
          <w:szCs w:val="22"/>
        </w:rPr>
        <w:t xml:space="preserve">encompassed the entire melanoma market and consisted of subsidisation caps beyond which </w:t>
      </w:r>
      <w:r w:rsidR="00FD5E94">
        <w:rPr>
          <w:rFonts w:asciiTheme="minorHAnsi" w:eastAsiaTheme="minorHAnsi" w:hAnsiTheme="minorHAnsi" w:cstheme="minorBidi"/>
          <w:color w:val="000000" w:themeColor="text1"/>
          <w:szCs w:val="22"/>
        </w:rPr>
        <w:t xml:space="preserve">100 per cent </w:t>
      </w:r>
      <w:r w:rsidR="00F17649" w:rsidRPr="00B40A41">
        <w:rPr>
          <w:rFonts w:asciiTheme="minorHAnsi" w:eastAsiaTheme="minorHAnsi" w:hAnsiTheme="minorHAnsi" w:cstheme="minorBidi"/>
          <w:color w:val="000000" w:themeColor="text1"/>
          <w:szCs w:val="22"/>
        </w:rPr>
        <w:t>rebates would apply. The PBAC recommended that pembrolizumab join the revised RSA.</w:t>
      </w:r>
    </w:p>
    <w:p w:rsidR="00A06BA8" w:rsidRPr="00B40A41" w:rsidRDefault="00A06BA8" w:rsidP="0042369B">
      <w:pPr>
        <w:widowControl w:val="0"/>
        <w:numPr>
          <w:ilvl w:val="1"/>
          <w:numId w:val="1"/>
        </w:numPr>
        <w:spacing w:after="120"/>
        <w:rPr>
          <w:rFonts w:asciiTheme="minorHAnsi" w:hAnsiTheme="minorHAnsi"/>
          <w:bCs/>
          <w:snapToGrid w:val="0"/>
        </w:rPr>
      </w:pPr>
      <w:r w:rsidRPr="00B40A41">
        <w:rPr>
          <w:rFonts w:asciiTheme="minorHAnsi" w:hAnsiTheme="minorHAnsi"/>
          <w:bCs/>
          <w:snapToGrid w:val="0"/>
        </w:rPr>
        <w:lastRenderedPageBreak/>
        <w:t xml:space="preserve">In terms of the Special Pricing Arrangement (SPA) for pembrolizumab, the PBAC </w:t>
      </w:r>
      <w:r w:rsidR="00FD5E94">
        <w:rPr>
          <w:rFonts w:asciiTheme="minorHAnsi" w:hAnsiTheme="minorHAnsi"/>
          <w:bCs/>
          <w:snapToGrid w:val="0"/>
        </w:rPr>
        <w:t xml:space="preserve">considered </w:t>
      </w:r>
      <w:r w:rsidRPr="00B40A41">
        <w:rPr>
          <w:rFonts w:asciiTheme="minorHAnsi" w:hAnsiTheme="minorHAnsi"/>
          <w:bCs/>
          <w:snapToGrid w:val="0"/>
        </w:rPr>
        <w:t xml:space="preserve">that the price of pembrolizumab should be </w:t>
      </w:r>
      <w:r w:rsidR="00FD5E94">
        <w:rPr>
          <w:rFonts w:asciiTheme="minorHAnsi" w:hAnsiTheme="minorHAnsi"/>
          <w:bCs/>
          <w:snapToGrid w:val="0"/>
        </w:rPr>
        <w:t>consistent</w:t>
      </w:r>
      <w:r w:rsidR="00FD5E94" w:rsidRPr="00B40A41">
        <w:rPr>
          <w:rFonts w:asciiTheme="minorHAnsi" w:hAnsiTheme="minorHAnsi"/>
          <w:bCs/>
          <w:snapToGrid w:val="0"/>
        </w:rPr>
        <w:t xml:space="preserve"> </w:t>
      </w:r>
      <w:r w:rsidRPr="00B40A41">
        <w:rPr>
          <w:rFonts w:asciiTheme="minorHAnsi" w:hAnsiTheme="minorHAnsi"/>
          <w:bCs/>
          <w:snapToGrid w:val="0"/>
        </w:rPr>
        <w:t xml:space="preserve">across the adjuvant and unresectable or metastatic settings </w:t>
      </w:r>
      <w:r w:rsidR="00FD5E94">
        <w:rPr>
          <w:rFonts w:asciiTheme="minorHAnsi" w:hAnsiTheme="minorHAnsi"/>
          <w:bCs/>
          <w:snapToGrid w:val="0"/>
        </w:rPr>
        <w:t>with the agreed</w:t>
      </w:r>
      <w:r w:rsidRPr="00B40A41">
        <w:rPr>
          <w:rFonts w:asciiTheme="minorHAnsi" w:hAnsiTheme="minorHAnsi"/>
          <w:bCs/>
          <w:snapToGrid w:val="0"/>
        </w:rPr>
        <w:t xml:space="preserve"> </w:t>
      </w:r>
      <w:r w:rsidR="00FD5E94">
        <w:rPr>
          <w:rFonts w:asciiTheme="minorHAnsi" w:hAnsiTheme="minorHAnsi"/>
          <w:bCs/>
          <w:snapToGrid w:val="0"/>
        </w:rPr>
        <w:t xml:space="preserve">weighted </w:t>
      </w:r>
      <w:r w:rsidRPr="00B40A41">
        <w:rPr>
          <w:rFonts w:asciiTheme="minorHAnsi" w:hAnsiTheme="minorHAnsi"/>
          <w:bCs/>
          <w:snapToGrid w:val="0"/>
        </w:rPr>
        <w:t>pricing of nivolumab.</w:t>
      </w:r>
    </w:p>
    <w:p w:rsidR="00A06BA8" w:rsidRPr="00B40A41" w:rsidRDefault="00A06BA8" w:rsidP="00A06BA8">
      <w:pPr>
        <w:widowControl w:val="0"/>
        <w:numPr>
          <w:ilvl w:val="1"/>
          <w:numId w:val="1"/>
        </w:numPr>
        <w:spacing w:after="120"/>
        <w:rPr>
          <w:rFonts w:asciiTheme="minorHAnsi" w:hAnsiTheme="minorHAnsi"/>
          <w:bCs/>
        </w:rPr>
      </w:pPr>
      <w:r w:rsidRPr="00B40A41">
        <w:rPr>
          <w:rFonts w:asciiTheme="minorHAnsi" w:hAnsiTheme="minorHAnsi"/>
          <w:bCs/>
        </w:rPr>
        <w:t>For patients who receive a PD-1 inhibitor in the adjuvant setting the PBAC advised that pembrolizumab could only be used as retreatment in the unresectable o</w:t>
      </w:r>
      <w:r w:rsidR="00347210" w:rsidRPr="00B40A41">
        <w:rPr>
          <w:rFonts w:asciiTheme="minorHAnsi" w:hAnsiTheme="minorHAnsi"/>
          <w:bCs/>
        </w:rPr>
        <w:t>r</w:t>
      </w:r>
      <w:r w:rsidRPr="00B40A41">
        <w:rPr>
          <w:rFonts w:asciiTheme="minorHAnsi" w:hAnsiTheme="minorHAnsi"/>
          <w:bCs/>
        </w:rPr>
        <w:t xml:space="preserve"> metastatic setting if patients had completed 12 months of adjuvant therapy and remained recurrence free for six months following completion of adjuvant therapy.</w:t>
      </w:r>
    </w:p>
    <w:p w:rsidR="00A06BA8" w:rsidRPr="00B40A41" w:rsidRDefault="00A06BA8" w:rsidP="00A06BA8">
      <w:pPr>
        <w:widowControl w:val="0"/>
        <w:numPr>
          <w:ilvl w:val="1"/>
          <w:numId w:val="1"/>
        </w:numPr>
        <w:spacing w:after="120"/>
        <w:rPr>
          <w:rFonts w:asciiTheme="minorHAnsi" w:hAnsiTheme="minorHAnsi"/>
          <w:bCs/>
        </w:rPr>
      </w:pPr>
      <w:r w:rsidRPr="00B40A41">
        <w:rPr>
          <w:rFonts w:asciiTheme="minorHAnsi" w:hAnsiTheme="minorHAnsi"/>
          <w:bCs/>
        </w:rPr>
        <w:t>The PBAC advised that pembrolizumab is not suitable for prescribing by nurse practitioners.</w:t>
      </w:r>
    </w:p>
    <w:p w:rsidR="00A06BA8" w:rsidRPr="00B40A41" w:rsidRDefault="00A06BA8" w:rsidP="00A06BA8">
      <w:pPr>
        <w:widowControl w:val="0"/>
        <w:numPr>
          <w:ilvl w:val="1"/>
          <w:numId w:val="1"/>
        </w:numPr>
        <w:spacing w:after="120"/>
        <w:rPr>
          <w:rFonts w:asciiTheme="minorHAnsi" w:hAnsiTheme="minorHAnsi"/>
          <w:bCs/>
        </w:rPr>
      </w:pPr>
      <w:r w:rsidRPr="00B40A41">
        <w:rPr>
          <w:rFonts w:asciiTheme="minorHAnsi" w:hAnsiTheme="minorHAnsi"/>
          <w:bCs/>
        </w:rPr>
        <w:t>The PBAC recommended that the Early Supply Rule should not apply to the listing of pembrolizumab combination therapy.</w:t>
      </w:r>
    </w:p>
    <w:p w:rsidR="00A06BA8" w:rsidRPr="002C5558" w:rsidRDefault="00A06BA8" w:rsidP="00BF1AD6">
      <w:pPr>
        <w:widowControl w:val="0"/>
        <w:numPr>
          <w:ilvl w:val="1"/>
          <w:numId w:val="1"/>
        </w:numPr>
        <w:spacing w:after="120"/>
        <w:rPr>
          <w:rFonts w:asciiTheme="minorHAnsi" w:hAnsiTheme="minorHAnsi"/>
          <w:bCs/>
        </w:rPr>
      </w:pPr>
      <w:proofErr w:type="gramStart"/>
      <w:r w:rsidRPr="002C5558">
        <w:rPr>
          <w:rFonts w:asciiTheme="minorHAnsi" w:hAnsiTheme="minorHAnsi"/>
          <w:bCs/>
        </w:rPr>
        <w:t xml:space="preserve">The PBAC noted that its recommendation was on a cost-minimisation basis and advised that, because the availability of pembrolizumab as a first-line treatment option for patients with BRAF mutant unresectable or metastatic melanoma was not expected to provide a substantial and clinically relevant improvement in efficacy, or reduction of toxicity, over nivolumab, and not expected to address a high and urgent unmet clinical need, the criteria prescribed by the </w:t>
      </w:r>
      <w:r w:rsidRPr="002C5558">
        <w:rPr>
          <w:rFonts w:asciiTheme="minorHAnsi" w:hAnsiTheme="minorHAnsi"/>
          <w:bCs/>
          <w:i/>
        </w:rPr>
        <w:t>National Health (Pharmaceuticals and Vaccines – Cost Recovery) Regulations 2009</w:t>
      </w:r>
      <w:r w:rsidRPr="002C5558">
        <w:rPr>
          <w:rFonts w:asciiTheme="minorHAnsi" w:hAnsiTheme="minorHAnsi"/>
          <w:bCs/>
        </w:rPr>
        <w:t xml:space="preserve"> for Pricing Pathway A were not met.</w:t>
      </w:r>
      <w:proofErr w:type="gramEnd"/>
      <w:r w:rsidRPr="002C5558">
        <w:rPr>
          <w:rFonts w:asciiTheme="minorHAnsi" w:hAnsiTheme="minorHAnsi"/>
          <w:bCs/>
        </w:rPr>
        <w:t xml:space="preserve"> </w:t>
      </w:r>
    </w:p>
    <w:p w:rsidR="00A06BA8" w:rsidRPr="00B40A41" w:rsidRDefault="00A06BA8" w:rsidP="00332D40">
      <w:pPr>
        <w:widowControl w:val="0"/>
        <w:numPr>
          <w:ilvl w:val="1"/>
          <w:numId w:val="1"/>
        </w:numPr>
        <w:spacing w:after="120"/>
        <w:rPr>
          <w:rFonts w:asciiTheme="minorHAnsi" w:hAnsiTheme="minorHAnsi"/>
          <w:bCs/>
          <w:snapToGrid w:val="0"/>
        </w:rPr>
      </w:pPr>
      <w:r w:rsidRPr="00B40A41">
        <w:rPr>
          <w:rFonts w:asciiTheme="minorHAnsi" w:hAnsiTheme="minorHAnsi"/>
          <w:bCs/>
        </w:rPr>
        <w:t>The PBAC noted that this submission is not eligible for an Independent Review as it received a positive recommendation.</w:t>
      </w:r>
    </w:p>
    <w:p w:rsidR="0042369B" w:rsidRPr="00B40A41" w:rsidRDefault="0042369B" w:rsidP="0042369B">
      <w:pPr>
        <w:spacing w:before="240"/>
        <w:rPr>
          <w:rFonts w:asciiTheme="minorHAnsi" w:hAnsiTheme="minorHAnsi"/>
          <w:b/>
          <w:bCs/>
          <w:snapToGrid w:val="0"/>
        </w:rPr>
      </w:pPr>
      <w:r w:rsidRPr="00B40A41">
        <w:rPr>
          <w:rFonts w:asciiTheme="minorHAnsi" w:hAnsiTheme="minorHAnsi"/>
          <w:b/>
          <w:bCs/>
          <w:snapToGrid w:val="0"/>
        </w:rPr>
        <w:t>Outcome:</w:t>
      </w:r>
    </w:p>
    <w:p w:rsidR="0042369B" w:rsidRPr="00B40A41" w:rsidRDefault="0042369B" w:rsidP="0042369B">
      <w:pPr>
        <w:rPr>
          <w:rFonts w:asciiTheme="minorHAnsi" w:hAnsiTheme="minorHAnsi"/>
          <w:bCs/>
          <w:snapToGrid w:val="0"/>
        </w:rPr>
      </w:pPr>
      <w:r w:rsidRPr="00B40A41">
        <w:rPr>
          <w:rFonts w:asciiTheme="minorHAnsi" w:hAnsiTheme="minorHAnsi"/>
          <w:bCs/>
          <w:snapToGrid w:val="0"/>
        </w:rPr>
        <w:t xml:space="preserve">Recommended </w:t>
      </w:r>
    </w:p>
    <w:p w:rsidR="0042369B" w:rsidRPr="00B40A41" w:rsidRDefault="0042369B" w:rsidP="0042369B">
      <w:pPr>
        <w:pStyle w:val="2-SectionHeading"/>
        <w:rPr>
          <w:i/>
        </w:rPr>
      </w:pPr>
      <w:r w:rsidRPr="00B40A41">
        <w:t>Recommended listing</w:t>
      </w:r>
    </w:p>
    <w:p w:rsidR="00485E73" w:rsidRPr="00B40A41" w:rsidRDefault="00485E73" w:rsidP="00BD1396">
      <w:pPr>
        <w:widowControl w:val="0"/>
        <w:numPr>
          <w:ilvl w:val="1"/>
          <w:numId w:val="1"/>
        </w:numPr>
        <w:spacing w:after="120"/>
        <w:rPr>
          <w:rFonts w:asciiTheme="minorHAnsi" w:hAnsiTheme="minorHAnsi"/>
          <w:b/>
          <w:bCs/>
          <w:snapToGrid w:val="0"/>
        </w:rPr>
      </w:pPr>
      <w:r w:rsidRPr="00B40A41">
        <w:rPr>
          <w:rFonts w:cs="Calibri"/>
        </w:rPr>
        <w:t>Amend existing unresectable Stage III or Stage IV malignant melanoma listing</w:t>
      </w:r>
      <w:r w:rsidR="00BD1396" w:rsidRPr="00B40A41">
        <w:rPr>
          <w:rFonts w:cs="Calibri"/>
        </w:rPr>
        <w:t>s (by retaining and amending Initial 2; delete Initial 1) to read as follows:</w:t>
      </w:r>
      <w:r w:rsidRPr="00B40A41">
        <w:rPr>
          <w:rFonts w:cs="Calibri"/>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418"/>
        <w:gridCol w:w="992"/>
        <w:gridCol w:w="709"/>
        <w:gridCol w:w="2977"/>
      </w:tblGrid>
      <w:tr w:rsidR="00485E73" w:rsidRPr="00B40A41" w:rsidTr="00485E73">
        <w:trPr>
          <w:cantSplit/>
          <w:trHeight w:val="471"/>
        </w:trPr>
        <w:tc>
          <w:tcPr>
            <w:tcW w:w="2830" w:type="dxa"/>
          </w:tcPr>
          <w:p w:rsidR="00485E73" w:rsidRPr="00B40A41" w:rsidRDefault="00485E73" w:rsidP="00485E73">
            <w:pPr>
              <w:keepNext/>
              <w:ind w:left="-108"/>
              <w:rPr>
                <w:rFonts w:ascii="Arial Narrow" w:eastAsia="Calibri" w:hAnsi="Arial Narrow"/>
                <w:b/>
                <w:sz w:val="18"/>
                <w:szCs w:val="18"/>
                <w:lang w:eastAsia="en-US"/>
              </w:rPr>
            </w:pPr>
            <w:r w:rsidRPr="00B40A41">
              <w:rPr>
                <w:rFonts w:ascii="Arial Narrow" w:eastAsia="Calibri" w:hAnsi="Arial Narrow"/>
                <w:b/>
                <w:sz w:val="18"/>
                <w:szCs w:val="18"/>
                <w:lang w:eastAsia="en-US"/>
              </w:rPr>
              <w:t xml:space="preserve"> Name, Restriction,</w:t>
            </w:r>
          </w:p>
          <w:p w:rsidR="00485E73" w:rsidRPr="00B40A41" w:rsidRDefault="00485E73" w:rsidP="00485E73">
            <w:pPr>
              <w:keepNext/>
              <w:ind w:left="-108"/>
              <w:rPr>
                <w:rFonts w:ascii="Arial Narrow" w:eastAsia="Calibri" w:hAnsi="Arial Narrow"/>
                <w:b/>
                <w:sz w:val="18"/>
                <w:szCs w:val="18"/>
                <w:lang w:eastAsia="en-US"/>
              </w:rPr>
            </w:pPr>
            <w:r w:rsidRPr="00B40A41">
              <w:rPr>
                <w:rFonts w:ascii="Arial Narrow" w:eastAsia="Calibri" w:hAnsi="Arial Narrow"/>
                <w:b/>
                <w:sz w:val="18"/>
                <w:szCs w:val="18"/>
                <w:lang w:eastAsia="en-US"/>
              </w:rPr>
              <w:t xml:space="preserve"> Manner of administration and form</w:t>
            </w:r>
          </w:p>
        </w:tc>
        <w:tc>
          <w:tcPr>
            <w:tcW w:w="1418" w:type="dxa"/>
          </w:tcPr>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PBS item code</w:t>
            </w:r>
          </w:p>
        </w:tc>
        <w:tc>
          <w:tcPr>
            <w:tcW w:w="992" w:type="dxa"/>
          </w:tcPr>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Max.</w:t>
            </w:r>
          </w:p>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Amount</w:t>
            </w:r>
          </w:p>
        </w:tc>
        <w:tc>
          <w:tcPr>
            <w:tcW w:w="709" w:type="dxa"/>
          </w:tcPr>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№.of</w:t>
            </w:r>
          </w:p>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Rpts</w:t>
            </w:r>
          </w:p>
        </w:tc>
        <w:tc>
          <w:tcPr>
            <w:tcW w:w="2977" w:type="dxa"/>
          </w:tcPr>
          <w:p w:rsidR="00485E73" w:rsidRPr="00B40A41" w:rsidRDefault="00485E73" w:rsidP="00485E73">
            <w:pPr>
              <w:keepNext/>
              <w:rPr>
                <w:rFonts w:ascii="Arial Narrow" w:eastAsia="Calibri" w:hAnsi="Arial Narrow"/>
                <w:b/>
                <w:sz w:val="18"/>
                <w:szCs w:val="18"/>
                <w:lang w:eastAsia="en-US"/>
              </w:rPr>
            </w:pPr>
            <w:r w:rsidRPr="00B40A41">
              <w:rPr>
                <w:rFonts w:ascii="Arial Narrow" w:eastAsia="Calibri" w:hAnsi="Arial Narrow"/>
                <w:b/>
                <w:sz w:val="18"/>
                <w:szCs w:val="18"/>
                <w:lang w:eastAsia="en-US"/>
              </w:rPr>
              <w:t>Manufacturer</w:t>
            </w:r>
          </w:p>
        </w:tc>
      </w:tr>
      <w:tr w:rsidR="00485E73" w:rsidRPr="00B40A41" w:rsidTr="00485E73">
        <w:trPr>
          <w:cantSplit/>
          <w:trHeight w:val="577"/>
        </w:trPr>
        <w:tc>
          <w:tcPr>
            <w:tcW w:w="2830" w:type="dxa"/>
          </w:tcPr>
          <w:p w:rsidR="00485E73" w:rsidRPr="00B40A41" w:rsidRDefault="00485E73" w:rsidP="00485E73">
            <w:pPr>
              <w:keepNext/>
              <w:ind w:left="-108"/>
              <w:rPr>
                <w:rFonts w:ascii="Arial Narrow" w:eastAsia="Calibri" w:hAnsi="Arial Narrow"/>
                <w:sz w:val="18"/>
                <w:szCs w:val="18"/>
                <w:lang w:eastAsia="en-US"/>
              </w:rPr>
            </w:pPr>
            <w:r w:rsidRPr="00B40A41">
              <w:rPr>
                <w:rFonts w:ascii="Arial Narrow" w:eastAsia="Calibri" w:hAnsi="Arial Narrow"/>
                <w:sz w:val="18"/>
                <w:szCs w:val="18"/>
                <w:lang w:eastAsia="en-US"/>
              </w:rPr>
              <w:t xml:space="preserve"> PEMBROLIZUMAB </w:t>
            </w:r>
          </w:p>
          <w:p w:rsidR="00485E73" w:rsidRPr="00B40A41" w:rsidRDefault="00485E73" w:rsidP="00485E73">
            <w:pPr>
              <w:keepNext/>
              <w:ind w:left="-108"/>
              <w:rPr>
                <w:rFonts w:ascii="Arial Narrow" w:eastAsia="Calibri" w:hAnsi="Arial Narrow"/>
                <w:sz w:val="18"/>
                <w:szCs w:val="18"/>
                <w:lang w:eastAsia="en-US"/>
              </w:rPr>
            </w:pPr>
            <w:r w:rsidRPr="00B40A41">
              <w:rPr>
                <w:rFonts w:ascii="Arial Narrow" w:eastAsia="Calibri" w:hAnsi="Arial Narrow" w:cs="Arial Narrow"/>
                <w:sz w:val="20"/>
                <w:szCs w:val="20"/>
                <w:lang w:eastAsia="en-US"/>
              </w:rPr>
              <w:t xml:space="preserve"> </w:t>
            </w:r>
            <w:r w:rsidRPr="00B40A41">
              <w:rPr>
                <w:rFonts w:ascii="Arial Narrow" w:eastAsia="Calibri" w:hAnsi="Arial Narrow" w:cs="Arial Narrow"/>
                <w:sz w:val="18"/>
                <w:szCs w:val="18"/>
                <w:lang w:eastAsia="en-US"/>
              </w:rPr>
              <w:t xml:space="preserve">Injection </w:t>
            </w:r>
          </w:p>
        </w:tc>
        <w:tc>
          <w:tcPr>
            <w:tcW w:w="1418" w:type="dxa"/>
          </w:tcPr>
          <w:p w:rsidR="00485E73" w:rsidRPr="00B40A41" w:rsidRDefault="00485E73" w:rsidP="00485E73">
            <w:pPr>
              <w:keepNext/>
              <w:ind w:left="-108"/>
              <w:jc w:val="center"/>
              <w:rPr>
                <w:rFonts w:ascii="Arial Narrow" w:eastAsia="Calibri" w:hAnsi="Arial Narrow"/>
                <w:sz w:val="18"/>
                <w:szCs w:val="18"/>
                <w:lang w:eastAsia="en-US"/>
              </w:rPr>
            </w:pP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10493G (Public)</w:t>
            </w: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10475H (Private)</w:t>
            </w:r>
          </w:p>
        </w:tc>
        <w:tc>
          <w:tcPr>
            <w:tcW w:w="992" w:type="dxa"/>
          </w:tcPr>
          <w:p w:rsidR="00485E73" w:rsidRPr="00B40A41" w:rsidRDefault="00485E73" w:rsidP="00485E73">
            <w:pPr>
              <w:keepNext/>
              <w:ind w:left="-108"/>
              <w:jc w:val="center"/>
              <w:rPr>
                <w:rFonts w:ascii="Arial Narrow" w:eastAsia="Calibri" w:hAnsi="Arial Narrow"/>
                <w:sz w:val="18"/>
                <w:szCs w:val="18"/>
                <w:lang w:eastAsia="en-US"/>
              </w:rPr>
            </w:pP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200 mg</w:t>
            </w:r>
          </w:p>
        </w:tc>
        <w:tc>
          <w:tcPr>
            <w:tcW w:w="709" w:type="dxa"/>
          </w:tcPr>
          <w:p w:rsidR="00485E73" w:rsidRPr="00B40A41" w:rsidRDefault="00485E73" w:rsidP="00485E73">
            <w:pPr>
              <w:keepNext/>
              <w:ind w:left="-108"/>
              <w:jc w:val="center"/>
              <w:rPr>
                <w:rFonts w:ascii="Arial Narrow" w:eastAsia="Calibri" w:hAnsi="Arial Narrow"/>
                <w:i/>
                <w:sz w:val="18"/>
                <w:szCs w:val="18"/>
                <w:lang w:eastAsia="en-US"/>
              </w:rPr>
            </w:pP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5</w:t>
            </w:r>
          </w:p>
        </w:tc>
        <w:tc>
          <w:tcPr>
            <w:tcW w:w="2977" w:type="dxa"/>
          </w:tcPr>
          <w:p w:rsidR="00485E73" w:rsidRPr="00B40A41" w:rsidRDefault="00485E73" w:rsidP="00485E73">
            <w:pPr>
              <w:keepNext/>
              <w:jc w:val="left"/>
              <w:rPr>
                <w:rFonts w:ascii="Arial Narrow" w:eastAsia="Calibri" w:hAnsi="Arial Narrow" w:cs="Times New Roman"/>
                <w:sz w:val="18"/>
                <w:szCs w:val="18"/>
                <w:lang w:eastAsia="en-US"/>
              </w:rPr>
            </w:pPr>
          </w:p>
          <w:p w:rsidR="00485E73" w:rsidRPr="00B40A41" w:rsidRDefault="00485E73" w:rsidP="00485E73">
            <w:pPr>
              <w:keepNext/>
              <w:jc w:val="left"/>
              <w:rPr>
                <w:rFonts w:ascii="Arial Narrow" w:eastAsia="Calibri" w:hAnsi="Arial Narrow"/>
                <w:sz w:val="18"/>
                <w:szCs w:val="18"/>
                <w:lang w:eastAsia="en-US"/>
              </w:rPr>
            </w:pPr>
            <w:r w:rsidRPr="00B40A41">
              <w:rPr>
                <w:rFonts w:ascii="Arial Narrow" w:hAnsi="Arial Narrow"/>
                <w:sz w:val="18"/>
                <w:szCs w:val="18"/>
              </w:rPr>
              <w:t>Merck Sharp &amp; Dohme (Australia) Pty Ltd</w:t>
            </w:r>
          </w:p>
        </w:tc>
      </w:tr>
      <w:tr w:rsidR="00485E73" w:rsidRPr="00B40A41" w:rsidTr="00485E73">
        <w:trPr>
          <w:cantSplit/>
          <w:trHeight w:val="225"/>
        </w:trPr>
        <w:tc>
          <w:tcPr>
            <w:tcW w:w="8926" w:type="dxa"/>
            <w:gridSpan w:val="5"/>
          </w:tcPr>
          <w:p w:rsidR="00485E73" w:rsidRPr="00B40A41" w:rsidRDefault="00485E73" w:rsidP="00485E73">
            <w:pPr>
              <w:keepNext/>
              <w:jc w:val="left"/>
              <w:rPr>
                <w:rFonts w:ascii="Arial Narrow" w:eastAsia="Calibri" w:hAnsi="Arial Narrow" w:cs="Times New Roman"/>
                <w:b/>
                <w:sz w:val="18"/>
                <w:szCs w:val="18"/>
                <w:lang w:eastAsia="en-US"/>
              </w:rPr>
            </w:pPr>
            <w:r w:rsidRPr="00B40A41">
              <w:rPr>
                <w:rFonts w:ascii="Arial Narrow" w:eastAsia="Calibri" w:hAnsi="Arial Narrow" w:cs="Times New Roman"/>
                <w:b/>
                <w:sz w:val="18"/>
                <w:szCs w:val="18"/>
                <w:lang w:eastAsia="en-US"/>
              </w:rPr>
              <w:t>Available brands</w:t>
            </w:r>
          </w:p>
        </w:tc>
      </w:tr>
      <w:tr w:rsidR="00485E73" w:rsidRPr="00B40A41" w:rsidTr="00485E73">
        <w:trPr>
          <w:cantSplit/>
          <w:trHeight w:val="360"/>
        </w:trPr>
        <w:tc>
          <w:tcPr>
            <w:tcW w:w="8926" w:type="dxa"/>
            <w:gridSpan w:val="5"/>
          </w:tcPr>
          <w:p w:rsidR="00485E73" w:rsidRPr="00B40A41" w:rsidRDefault="00485E73" w:rsidP="00485E73">
            <w:pPr>
              <w:rPr>
                <w:rFonts w:ascii="Arial Narrow" w:eastAsia="Calibri" w:hAnsi="Arial Narrow"/>
                <w:sz w:val="18"/>
                <w:szCs w:val="18"/>
                <w:lang w:eastAsia="en-US"/>
              </w:rPr>
            </w:pPr>
            <w:r w:rsidRPr="00B40A41">
              <w:rPr>
                <w:rFonts w:ascii="Arial Narrow" w:eastAsia="Calibri" w:hAnsi="Arial Narrow"/>
                <w:sz w:val="18"/>
                <w:szCs w:val="18"/>
                <w:lang w:eastAsia="en-US"/>
              </w:rPr>
              <w:t>Keytruda</w:t>
            </w:r>
          </w:p>
          <w:p w:rsidR="00485E73" w:rsidRPr="00B40A41" w:rsidRDefault="00485E73" w:rsidP="00485E73">
            <w:pPr>
              <w:rPr>
                <w:rFonts w:ascii="Arial Narrow" w:eastAsia="Calibri" w:hAnsi="Arial Narrow"/>
                <w:sz w:val="18"/>
                <w:szCs w:val="18"/>
                <w:lang w:eastAsia="en-US"/>
              </w:rPr>
            </w:pPr>
            <w:r w:rsidRPr="00B40A41">
              <w:rPr>
                <w:rFonts w:ascii="Arial Narrow" w:eastAsia="Calibri" w:hAnsi="Arial Narrow"/>
                <w:sz w:val="18"/>
                <w:szCs w:val="18"/>
                <w:lang w:eastAsia="en-US"/>
              </w:rPr>
              <w:t>(pembrolizumab 100 mg/4 mL injection, 4 mL vial)</w:t>
            </w:r>
          </w:p>
        </w:tc>
      </w:tr>
    </w:tbl>
    <w:p w:rsidR="00485E73" w:rsidRPr="00B40A41" w:rsidRDefault="00485E73" w:rsidP="00485E73">
      <w:pPr>
        <w:rPr>
          <w:rFonts w:ascii="Arial Narrow" w:hAnsi="Arial Narrow" w:cstheme="minorHAnsi"/>
          <w:b/>
          <w:sz w:val="18"/>
          <w:szCs w:val="18"/>
        </w:rPr>
      </w:pPr>
    </w:p>
    <w:tbl>
      <w:tblPr>
        <w:tblW w:w="8926" w:type="dxa"/>
        <w:tblLayout w:type="fixed"/>
        <w:tblLook w:val="0000" w:firstRow="0" w:lastRow="0" w:firstColumn="0" w:lastColumn="0" w:noHBand="0" w:noVBand="0"/>
      </w:tblPr>
      <w:tblGrid>
        <w:gridCol w:w="8926"/>
      </w:tblGrid>
      <w:tr w:rsidR="00BD1396" w:rsidRPr="00B40A41" w:rsidTr="00BD1396">
        <w:trPr>
          <w:cantSplit/>
          <w:trHeight w:val="203"/>
        </w:trPr>
        <w:tc>
          <w:tcPr>
            <w:tcW w:w="8926" w:type="dxa"/>
            <w:tcBorders>
              <w:top w:val="single" w:sz="4" w:space="0" w:color="auto"/>
              <w:left w:val="single" w:sz="4" w:space="0" w:color="auto"/>
              <w:bottom w:val="single" w:sz="4" w:space="0" w:color="auto"/>
              <w:right w:val="single" w:sz="4" w:space="0" w:color="auto"/>
            </w:tcBorders>
            <w:tcMar>
              <w:left w:w="28" w:type="dxa"/>
              <w:right w:w="28" w:type="dxa"/>
            </w:tcMar>
          </w:tcPr>
          <w:p w:rsidR="00BD1396" w:rsidRPr="00B40A41" w:rsidRDefault="00BD1396" w:rsidP="00485E73">
            <w:pPr>
              <w:keepLines/>
              <w:rPr>
                <w:rFonts w:ascii="Arial Narrow" w:eastAsia="Calibri" w:hAnsi="Arial Narrow"/>
                <w:sz w:val="18"/>
                <w:szCs w:val="18"/>
              </w:rPr>
            </w:pPr>
            <w:r w:rsidRPr="00B40A41">
              <w:rPr>
                <w:rFonts w:ascii="Arial Narrow" w:eastAsia="Calibri" w:hAnsi="Arial Narrow"/>
                <w:b/>
                <w:sz w:val="18"/>
                <w:szCs w:val="18"/>
              </w:rPr>
              <w:t>Category/Program:</w:t>
            </w:r>
            <w:r w:rsidRPr="00B40A41">
              <w:rPr>
                <w:rFonts w:ascii="Arial Narrow" w:eastAsia="Calibri" w:hAnsi="Arial Narrow"/>
                <w:sz w:val="18"/>
                <w:szCs w:val="18"/>
              </w:rPr>
              <w:t xml:space="preserve"> Section 100 Efficient Funding of Chemotherapy</w:t>
            </w:r>
          </w:p>
        </w:tc>
      </w:tr>
      <w:tr w:rsidR="00BD1396" w:rsidRPr="00B40A41" w:rsidTr="00BD1396">
        <w:trPr>
          <w:cantSplit/>
          <w:trHeight w:val="250"/>
        </w:trPr>
        <w:tc>
          <w:tcPr>
            <w:tcW w:w="8926" w:type="dxa"/>
            <w:tcBorders>
              <w:top w:val="single" w:sz="4" w:space="0" w:color="auto"/>
              <w:left w:val="single" w:sz="4" w:space="0" w:color="auto"/>
              <w:bottom w:val="single" w:sz="4" w:space="0" w:color="auto"/>
              <w:right w:val="single" w:sz="4" w:space="0" w:color="auto"/>
            </w:tcBorders>
            <w:tcMar>
              <w:left w:w="28" w:type="dxa"/>
              <w:right w:w="28" w:type="dxa"/>
            </w:tcMar>
          </w:tcPr>
          <w:p w:rsidR="00BD1396" w:rsidRPr="00B40A41" w:rsidRDefault="00BD1396" w:rsidP="00485E73">
            <w:pPr>
              <w:keepLines/>
              <w:rPr>
                <w:rFonts w:ascii="Arial Narrow" w:eastAsia="Calibri" w:hAnsi="Arial Narrow"/>
                <w:sz w:val="18"/>
                <w:szCs w:val="18"/>
              </w:rPr>
            </w:pPr>
            <w:r w:rsidRPr="00B40A41">
              <w:rPr>
                <w:rFonts w:ascii="Arial Narrow" w:eastAsia="Calibri" w:hAnsi="Arial Narrow"/>
                <w:b/>
                <w:sz w:val="18"/>
                <w:szCs w:val="18"/>
              </w:rPr>
              <w:t>Prescriber type:</w:t>
            </w:r>
            <w:r w:rsidRPr="00B40A41">
              <w:rPr>
                <w:rFonts w:ascii="Arial Narrow" w:eastAsia="Calibri" w:hAnsi="Arial Narrow"/>
                <w:sz w:val="18"/>
                <w:szCs w:val="18"/>
              </w:rPr>
              <w:t xml:space="preserve">  </w:t>
            </w:r>
            <w:r w:rsidRPr="00B40A41">
              <w:rPr>
                <w:rFonts w:ascii="Arial Narrow" w:eastAsia="Calibri" w:hAnsi="Arial Narrow"/>
                <w:sz w:val="18"/>
                <w:szCs w:val="18"/>
              </w:rPr>
              <w:fldChar w:fldCharType="begin">
                <w:ffData>
                  <w:name w:val="Check1"/>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Dental </w:t>
            </w:r>
            <w:r w:rsidRPr="00B40A41">
              <w:rPr>
                <w:rFonts w:ascii="Arial Narrow" w:eastAsia="Calibri" w:hAnsi="Arial Narrow"/>
                <w:sz w:val="18"/>
                <w:szCs w:val="18"/>
              </w:rPr>
              <w:fldChar w:fldCharType="begin">
                <w:ffData>
                  <w:name w:val=""/>
                  <w:enabled/>
                  <w:calcOnExit w:val="0"/>
                  <w:checkBox>
                    <w:sizeAuto/>
                    <w:default w:val="1"/>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Medical Practitioners </w:t>
            </w:r>
            <w:r w:rsidRPr="00B40A41">
              <w:rPr>
                <w:rFonts w:ascii="Arial Narrow" w:eastAsia="Calibri" w:hAnsi="Arial Narrow"/>
                <w:sz w:val="18"/>
                <w:szCs w:val="18"/>
              </w:rPr>
              <w:fldChar w:fldCharType="begin">
                <w:ffData>
                  <w:name w:val="Check3"/>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Nurse practitioners </w:t>
            </w:r>
            <w:r w:rsidRPr="00B40A41">
              <w:rPr>
                <w:rFonts w:ascii="Arial Narrow" w:eastAsia="Calibri" w:hAnsi="Arial Narrow"/>
                <w:sz w:val="18"/>
                <w:szCs w:val="18"/>
              </w:rPr>
              <w:fldChar w:fldCharType="begin">
                <w:ffData>
                  <w:name w:val=""/>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Optometrists </w:t>
            </w:r>
            <w:r w:rsidRPr="00B40A41">
              <w:rPr>
                <w:rFonts w:ascii="Arial Narrow" w:eastAsia="Calibri" w:hAnsi="Arial Narrow"/>
                <w:sz w:val="18"/>
                <w:szCs w:val="18"/>
              </w:rPr>
              <w:fldChar w:fldCharType="begin">
                <w:ffData>
                  <w:name w:val="Check5"/>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Midwives</w:t>
            </w:r>
          </w:p>
        </w:tc>
      </w:tr>
      <w:tr w:rsidR="00BD1396" w:rsidRPr="00B40A41" w:rsidTr="00BD1396">
        <w:trPr>
          <w:cantSplit/>
          <w:trHeight w:val="250"/>
        </w:trPr>
        <w:tc>
          <w:tcPr>
            <w:tcW w:w="8926" w:type="dxa"/>
            <w:tcBorders>
              <w:top w:val="single" w:sz="4" w:space="0" w:color="auto"/>
              <w:left w:val="single" w:sz="4" w:space="0" w:color="auto"/>
              <w:bottom w:val="single" w:sz="4" w:space="0" w:color="auto"/>
              <w:right w:val="single" w:sz="4" w:space="0" w:color="auto"/>
            </w:tcBorders>
            <w:tcMar>
              <w:left w:w="28" w:type="dxa"/>
              <w:right w:w="28" w:type="dxa"/>
            </w:tcMar>
          </w:tcPr>
          <w:p w:rsidR="00BD1396" w:rsidRPr="00B40A41" w:rsidRDefault="00BD1396" w:rsidP="00BD1396">
            <w:pPr>
              <w:pStyle w:val="TableText0"/>
              <w:keepNext w:val="0"/>
              <w:keepLines/>
              <w:rPr>
                <w:rFonts w:cs="Times New Roman"/>
                <w:sz w:val="18"/>
                <w:szCs w:val="18"/>
              </w:rPr>
            </w:pPr>
            <w:r w:rsidRPr="00B40A41">
              <w:rPr>
                <w:rFonts w:cs="Times New Roman"/>
                <w:b/>
                <w:sz w:val="18"/>
                <w:szCs w:val="18"/>
              </w:rPr>
              <w:t xml:space="preserve">Restriction Level / Method: </w:t>
            </w:r>
            <w:r w:rsidRPr="00B40A41">
              <w:rPr>
                <w:sz w:val="18"/>
                <w:szCs w:val="18"/>
              </w:rPr>
              <w:fldChar w:fldCharType="begin">
                <w:ffData>
                  <w:name w:val="Check5"/>
                  <w:enabled/>
                  <w:calcOnExit w:val="0"/>
                  <w:checkBox>
                    <w:sizeAuto/>
                    <w:default w:val="1"/>
                  </w:checkBox>
                </w:ffData>
              </w:fldChar>
            </w:r>
            <w:r w:rsidRPr="00B40A41">
              <w:rPr>
                <w:sz w:val="18"/>
                <w:szCs w:val="18"/>
              </w:rPr>
              <w:instrText xml:space="preserve"> FORMCHECKBOX </w:instrText>
            </w:r>
            <w:r w:rsidR="004B18CD">
              <w:rPr>
                <w:sz w:val="18"/>
                <w:szCs w:val="18"/>
              </w:rPr>
            </w:r>
            <w:r w:rsidR="004B18CD">
              <w:rPr>
                <w:sz w:val="18"/>
                <w:szCs w:val="18"/>
              </w:rPr>
              <w:fldChar w:fldCharType="separate"/>
            </w:r>
            <w:r w:rsidRPr="00B40A41">
              <w:rPr>
                <w:sz w:val="18"/>
                <w:szCs w:val="18"/>
              </w:rPr>
              <w:fldChar w:fldCharType="end"/>
            </w:r>
            <w:r w:rsidR="00D15784" w:rsidRPr="00B40A41">
              <w:rPr>
                <w:sz w:val="18"/>
                <w:szCs w:val="18"/>
              </w:rPr>
              <w:t xml:space="preserve"> </w:t>
            </w:r>
            <w:r w:rsidRPr="00B40A41">
              <w:rPr>
                <w:sz w:val="18"/>
                <w:szCs w:val="18"/>
              </w:rPr>
              <w:t>Authority Required - Streamlined (10088)</w:t>
            </w:r>
          </w:p>
        </w:tc>
      </w:tr>
      <w:tr w:rsidR="00BD1396" w:rsidRPr="00B40A41" w:rsidTr="00BD1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906"/>
        </w:trPr>
        <w:tc>
          <w:tcPr>
            <w:tcW w:w="8926" w:type="dxa"/>
            <w:vAlign w:val="center"/>
          </w:tcPr>
          <w:p w:rsidR="00BD1396" w:rsidRPr="00B40A41" w:rsidRDefault="00BD1396" w:rsidP="00485E73">
            <w:pPr>
              <w:keepLines/>
              <w:rPr>
                <w:rFonts w:ascii="Arial Narrow" w:hAnsi="Arial Narrow"/>
                <w:sz w:val="18"/>
                <w:szCs w:val="18"/>
              </w:rPr>
            </w:pPr>
            <w:r w:rsidRPr="00B40A41">
              <w:rPr>
                <w:rFonts w:ascii="Arial Narrow" w:hAnsi="Arial Narrow"/>
                <w:b/>
                <w:bCs/>
                <w:sz w:val="18"/>
                <w:szCs w:val="18"/>
              </w:rPr>
              <w:t>Administrative Advice:</w:t>
            </w:r>
            <w:r w:rsidRPr="00B40A41">
              <w:rPr>
                <w:rFonts w:ascii="Arial Narrow" w:hAnsi="Arial Narrow"/>
                <w:sz w:val="18"/>
                <w:szCs w:val="18"/>
              </w:rPr>
              <w:t xml:space="preserve"> </w:t>
            </w:r>
          </w:p>
          <w:p w:rsidR="00BD1396" w:rsidRPr="00B40A41" w:rsidRDefault="00BD1396" w:rsidP="00485E73">
            <w:pPr>
              <w:keepLines/>
              <w:rPr>
                <w:rFonts w:ascii="Arial Narrow" w:hAnsi="Arial Narrow"/>
                <w:b/>
                <w:bCs/>
                <w:sz w:val="18"/>
                <w:szCs w:val="18"/>
              </w:rPr>
            </w:pPr>
            <w:r w:rsidRPr="00B40A41">
              <w:rPr>
                <w:rFonts w:ascii="Arial Narrow" w:hAnsi="Arial Narrow"/>
                <w:sz w:val="18"/>
                <w:szCs w:val="18"/>
              </w:rPr>
              <w:t>No increase in the maximum number of repeats may be authorised.</w:t>
            </w:r>
          </w:p>
          <w:p w:rsidR="00BD1396" w:rsidRPr="00B40A41" w:rsidRDefault="00BD1396" w:rsidP="00485E73">
            <w:pPr>
              <w:keepLines/>
              <w:rPr>
                <w:rFonts w:ascii="Arial Narrow" w:hAnsi="Arial Narrow"/>
                <w:sz w:val="18"/>
                <w:szCs w:val="18"/>
              </w:rPr>
            </w:pPr>
            <w:r w:rsidRPr="00B40A41">
              <w:rPr>
                <w:rFonts w:ascii="Arial Narrow" w:hAnsi="Arial Narrow"/>
                <w:sz w:val="18"/>
                <w:szCs w:val="18"/>
              </w:rPr>
              <w:t>Special Pricing Arrangements apply.</w:t>
            </w:r>
          </w:p>
          <w:p w:rsidR="00BD1396" w:rsidRPr="00B40A41" w:rsidRDefault="00BD1396" w:rsidP="00485E73">
            <w:pPr>
              <w:keepLines/>
              <w:rPr>
                <w:rFonts w:ascii="Arial Narrow" w:hAnsi="Arial Narrow"/>
                <w:b/>
                <w:bCs/>
                <w:sz w:val="18"/>
                <w:szCs w:val="18"/>
              </w:rPr>
            </w:pPr>
            <w:r w:rsidRPr="00B40A41">
              <w:rPr>
                <w:rFonts w:ascii="Arial Narrow" w:hAnsi="Arial Narrow"/>
                <w:sz w:val="18"/>
                <w:szCs w:val="18"/>
              </w:rPr>
              <w:t xml:space="preserve">Patient </w:t>
            </w:r>
            <w:proofErr w:type="gramStart"/>
            <w:r w:rsidRPr="00B40A41">
              <w:rPr>
                <w:rFonts w:ascii="Arial Narrow" w:hAnsi="Arial Narrow"/>
                <w:sz w:val="18"/>
                <w:szCs w:val="18"/>
              </w:rPr>
              <w:t>should be treated</w:t>
            </w:r>
            <w:proofErr w:type="gramEnd"/>
            <w:r w:rsidRPr="00B40A41">
              <w:rPr>
                <w:rFonts w:ascii="Arial Narrow" w:hAnsi="Arial Narrow"/>
                <w:sz w:val="18"/>
                <w:szCs w:val="18"/>
              </w:rPr>
              <w:t xml:space="preserve"> with the recommended dose of pembrolizumab according to the TGA-approved Product Information.</w:t>
            </w:r>
          </w:p>
        </w:tc>
      </w:tr>
      <w:tr w:rsidR="00BD1396" w:rsidRPr="00B40A41" w:rsidTr="00BD1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64"/>
        </w:trPr>
        <w:tc>
          <w:tcPr>
            <w:tcW w:w="8926" w:type="dxa"/>
            <w:vAlign w:val="center"/>
            <w:hideMark/>
          </w:tcPr>
          <w:p w:rsidR="00BD1396" w:rsidRPr="00B40A41" w:rsidRDefault="00BD1396" w:rsidP="00485E73">
            <w:pPr>
              <w:keepLines/>
              <w:rPr>
                <w:rFonts w:ascii="Arial Narrow" w:hAnsi="Arial Narrow"/>
                <w:sz w:val="18"/>
                <w:szCs w:val="18"/>
              </w:rPr>
            </w:pPr>
            <w:r w:rsidRPr="00B40A41">
              <w:rPr>
                <w:rFonts w:ascii="Arial Narrow" w:hAnsi="Arial Narrow"/>
                <w:b/>
                <w:bCs/>
                <w:sz w:val="18"/>
                <w:szCs w:val="18"/>
              </w:rPr>
              <w:lastRenderedPageBreak/>
              <w:t>Indication:</w:t>
            </w:r>
            <w:r w:rsidRPr="00B40A41">
              <w:rPr>
                <w:rFonts w:ascii="Arial Narrow" w:hAnsi="Arial Narrow"/>
                <w:sz w:val="18"/>
                <w:szCs w:val="18"/>
              </w:rPr>
              <w:t xml:space="preserve"> Unresectable Stage III or Stage IV malignant melanoma</w:t>
            </w:r>
          </w:p>
        </w:tc>
      </w:tr>
      <w:tr w:rsidR="00BD1396" w:rsidRPr="00B40A41" w:rsidTr="00BD1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vAlign w:val="center"/>
            <w:hideMark/>
          </w:tcPr>
          <w:p w:rsidR="00BD1396" w:rsidRPr="00B40A41" w:rsidRDefault="00BD1396" w:rsidP="00BD1396">
            <w:pPr>
              <w:keepLines/>
              <w:rPr>
                <w:rFonts w:ascii="Arial Narrow" w:hAnsi="Arial Narrow"/>
                <w:sz w:val="18"/>
                <w:szCs w:val="18"/>
              </w:rPr>
            </w:pPr>
            <w:r w:rsidRPr="00B40A41">
              <w:rPr>
                <w:rFonts w:ascii="Arial Narrow" w:hAnsi="Arial Narrow"/>
                <w:b/>
                <w:bCs/>
                <w:sz w:val="18"/>
                <w:szCs w:val="18"/>
              </w:rPr>
              <w:t>Treatment Phase:</w:t>
            </w:r>
            <w:r w:rsidRPr="00B40A41">
              <w:rPr>
                <w:rFonts w:ascii="Arial Narrow" w:hAnsi="Arial Narrow"/>
                <w:sz w:val="18"/>
                <w:szCs w:val="18"/>
              </w:rPr>
              <w:t xml:space="preserve"> Initial treatment </w:t>
            </w:r>
            <w:r w:rsidRPr="00B40A41">
              <w:rPr>
                <w:rFonts w:ascii="Arial Narrow" w:hAnsi="Arial Narrow"/>
                <w:i/>
                <w:sz w:val="18"/>
                <w:szCs w:val="18"/>
              </w:rPr>
              <w:t xml:space="preserve">– </w:t>
            </w:r>
            <w:r w:rsidRPr="00B40A41">
              <w:rPr>
                <w:rFonts w:ascii="Arial Narrow" w:hAnsi="Arial Narrow"/>
                <w:sz w:val="18"/>
                <w:szCs w:val="18"/>
              </w:rPr>
              <w:t>3 weekly treatment regimen</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bottom w:val="single" w:sz="4" w:space="0" w:color="auto"/>
            </w:tcBorders>
            <w:vAlign w:val="center"/>
            <w:hideMark/>
          </w:tcPr>
          <w:p w:rsidR="00BD1396" w:rsidRPr="00B40A41" w:rsidRDefault="00BD1396" w:rsidP="00485E73">
            <w:pPr>
              <w:keepLines/>
              <w:rPr>
                <w:rFonts w:ascii="Arial Narrow" w:hAnsi="Arial Narrow"/>
                <w:sz w:val="18"/>
                <w:szCs w:val="18"/>
              </w:rPr>
            </w:pPr>
            <w:r w:rsidRPr="00B40A41">
              <w:rPr>
                <w:rFonts w:ascii="Arial Narrow" w:hAnsi="Arial Narrow"/>
                <w:b/>
                <w:bCs/>
                <w:sz w:val="18"/>
                <w:szCs w:val="18"/>
              </w:rPr>
              <w:t>Clinical criteria:</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28"/>
        </w:trPr>
        <w:tc>
          <w:tcPr>
            <w:tcW w:w="8926" w:type="dxa"/>
            <w:tcBorders>
              <w:bottom w:val="nil"/>
            </w:tcBorders>
            <w:vAlign w:val="center"/>
            <w:hideMark/>
          </w:tcPr>
          <w:p w:rsidR="00BD1396" w:rsidRPr="00B40A41" w:rsidRDefault="00BD1396" w:rsidP="00D15784">
            <w:pPr>
              <w:pStyle w:val="ListParagraph"/>
              <w:keepLines/>
              <w:numPr>
                <w:ilvl w:val="0"/>
                <w:numId w:val="48"/>
              </w:numPr>
              <w:spacing w:after="0"/>
              <w:rPr>
                <w:rFonts w:ascii="Arial Narrow" w:hAnsi="Arial Narrow"/>
                <w:sz w:val="18"/>
                <w:szCs w:val="18"/>
              </w:rPr>
            </w:pPr>
            <w:r w:rsidRPr="00B40A41">
              <w:rPr>
                <w:rFonts w:ascii="Arial Narrow" w:hAnsi="Arial Narrow"/>
                <w:sz w:val="18"/>
                <w:szCs w:val="18"/>
              </w:rPr>
              <w:t>Patient must not have received prior treatment with ipilimumab or a PD-1 (programmed cell death-1) inhibitor for the treatment of unresectable Stage III or Stage IV malignant melanoma</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16"/>
        </w:trPr>
        <w:tc>
          <w:tcPr>
            <w:tcW w:w="8926" w:type="dxa"/>
            <w:tcBorders>
              <w:top w:val="nil"/>
              <w:bottom w:val="nil"/>
            </w:tcBorders>
            <w:vAlign w:val="center"/>
          </w:tcPr>
          <w:p w:rsidR="00BD1396" w:rsidRPr="00B40A41" w:rsidRDefault="00BD1396" w:rsidP="00D15784">
            <w:pPr>
              <w:pStyle w:val="ListParagraph"/>
              <w:keepLines/>
              <w:numPr>
                <w:ilvl w:val="0"/>
                <w:numId w:val="0"/>
              </w:numPr>
              <w:spacing w:after="0"/>
              <w:ind w:left="720"/>
              <w:rPr>
                <w:rFonts w:ascii="Arial Narrow" w:hAnsi="Arial Narrow"/>
                <w:b/>
                <w:sz w:val="18"/>
                <w:szCs w:val="18"/>
              </w:rPr>
            </w:pPr>
            <w:r w:rsidRPr="00B40A41">
              <w:rPr>
                <w:rFonts w:ascii="Arial Narrow" w:hAnsi="Arial Narrow"/>
                <w:b/>
                <w:sz w:val="18"/>
                <w:szCs w:val="18"/>
              </w:rPr>
              <w:t>AND</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38"/>
        </w:trPr>
        <w:tc>
          <w:tcPr>
            <w:tcW w:w="8926" w:type="dxa"/>
            <w:tcBorders>
              <w:top w:val="nil"/>
              <w:bottom w:val="nil"/>
            </w:tcBorders>
            <w:vAlign w:val="center"/>
          </w:tcPr>
          <w:p w:rsidR="00BD1396" w:rsidRPr="00B40A41" w:rsidRDefault="00BD1396" w:rsidP="00D15784">
            <w:pPr>
              <w:pStyle w:val="ListParagraph"/>
              <w:keepLines/>
              <w:numPr>
                <w:ilvl w:val="0"/>
                <w:numId w:val="48"/>
              </w:numPr>
              <w:spacing w:after="0"/>
              <w:rPr>
                <w:rFonts w:ascii="Arial Narrow" w:hAnsi="Arial Narrow"/>
                <w:sz w:val="18"/>
                <w:szCs w:val="18"/>
              </w:rPr>
            </w:pPr>
            <w:r w:rsidRPr="00B40A41">
              <w:rPr>
                <w:rFonts w:ascii="Arial Narrow" w:hAnsi="Arial Narrow"/>
                <w:color w:val="333333"/>
                <w:sz w:val="18"/>
                <w:szCs w:val="18"/>
              </w:rPr>
              <w:t xml:space="preserve">Patient must not have experienced disease progression whilst on adjuvant PD-1 inhibitor treatment or disease recurrence within 6 months of completion of adjuvant PD-1 inhibitor treatment if treated for resected Stage IIIB, IIIC, IIID or IV melanoma </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84"/>
        </w:trPr>
        <w:tc>
          <w:tcPr>
            <w:tcW w:w="8926" w:type="dxa"/>
            <w:tcBorders>
              <w:top w:val="nil"/>
              <w:bottom w:val="nil"/>
            </w:tcBorders>
            <w:vAlign w:val="center"/>
            <w:hideMark/>
          </w:tcPr>
          <w:p w:rsidR="00BD1396" w:rsidRPr="00B40A41" w:rsidRDefault="00BD1396" w:rsidP="00D15784">
            <w:pPr>
              <w:pStyle w:val="ListParagraph"/>
              <w:keepLines/>
              <w:numPr>
                <w:ilvl w:val="0"/>
                <w:numId w:val="0"/>
              </w:numPr>
              <w:spacing w:after="0"/>
              <w:ind w:left="720"/>
              <w:rPr>
                <w:rFonts w:ascii="Arial Narrow" w:hAnsi="Arial Narrow"/>
                <w:sz w:val="18"/>
                <w:szCs w:val="18"/>
              </w:rPr>
            </w:pPr>
            <w:r w:rsidRPr="00B40A41">
              <w:rPr>
                <w:rFonts w:ascii="Arial Narrow" w:hAnsi="Arial Narrow"/>
                <w:b/>
                <w:bCs/>
                <w:sz w:val="18"/>
                <w:szCs w:val="18"/>
              </w:rPr>
              <w:t>AND</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bottom w:val="nil"/>
            </w:tcBorders>
            <w:vAlign w:val="center"/>
            <w:hideMark/>
          </w:tcPr>
          <w:p w:rsidR="00BD1396" w:rsidRPr="00B40A41" w:rsidRDefault="00BD1396" w:rsidP="00D15784">
            <w:pPr>
              <w:pStyle w:val="ListParagraph"/>
              <w:keepLines/>
              <w:numPr>
                <w:ilvl w:val="0"/>
                <w:numId w:val="48"/>
              </w:numPr>
              <w:spacing w:after="0"/>
              <w:rPr>
                <w:rFonts w:ascii="Arial Narrow" w:hAnsi="Arial Narrow"/>
                <w:sz w:val="18"/>
                <w:szCs w:val="18"/>
              </w:rPr>
            </w:pPr>
            <w:r w:rsidRPr="00B40A41">
              <w:rPr>
                <w:rFonts w:ascii="Arial Narrow" w:hAnsi="Arial Narrow"/>
                <w:sz w:val="18"/>
                <w:szCs w:val="18"/>
              </w:rPr>
              <w:t>The treatment must be the sole PBS-subsidised therapy for this condition</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bottom w:val="nil"/>
            </w:tcBorders>
            <w:vAlign w:val="center"/>
            <w:hideMark/>
          </w:tcPr>
          <w:p w:rsidR="00BD1396" w:rsidRPr="00B40A41" w:rsidRDefault="00BD1396" w:rsidP="00D15784">
            <w:pPr>
              <w:pStyle w:val="ListParagraph"/>
              <w:keepLines/>
              <w:numPr>
                <w:ilvl w:val="0"/>
                <w:numId w:val="0"/>
              </w:numPr>
              <w:spacing w:after="0"/>
              <w:ind w:left="720"/>
              <w:rPr>
                <w:rFonts w:ascii="Arial Narrow" w:hAnsi="Arial Narrow"/>
                <w:sz w:val="18"/>
                <w:szCs w:val="18"/>
              </w:rPr>
            </w:pPr>
            <w:r w:rsidRPr="00B40A41">
              <w:rPr>
                <w:rFonts w:ascii="Arial Narrow" w:hAnsi="Arial Narrow"/>
                <w:b/>
                <w:bCs/>
                <w:sz w:val="18"/>
                <w:szCs w:val="18"/>
              </w:rPr>
              <w:t>AND</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38"/>
        </w:trPr>
        <w:tc>
          <w:tcPr>
            <w:tcW w:w="8926" w:type="dxa"/>
            <w:tcBorders>
              <w:top w:val="nil"/>
            </w:tcBorders>
            <w:vAlign w:val="center"/>
          </w:tcPr>
          <w:p w:rsidR="00BD1396" w:rsidRPr="00B40A41" w:rsidRDefault="00BD1396" w:rsidP="00D15784">
            <w:pPr>
              <w:pStyle w:val="ListParagraph"/>
              <w:keepLines/>
              <w:numPr>
                <w:ilvl w:val="0"/>
                <w:numId w:val="48"/>
              </w:numPr>
              <w:spacing w:after="0"/>
              <w:rPr>
                <w:rFonts w:ascii="Arial Narrow" w:hAnsi="Arial Narrow"/>
                <w:sz w:val="18"/>
                <w:szCs w:val="18"/>
              </w:rPr>
            </w:pPr>
            <w:r w:rsidRPr="00B40A41">
              <w:rPr>
                <w:rFonts w:ascii="Arial Narrow" w:hAnsi="Arial Narrow"/>
                <w:sz w:val="18"/>
                <w:szCs w:val="18"/>
              </w:rPr>
              <w:t>The treatment must not exceed a total of 6 doses under this restriction</w:t>
            </w:r>
          </w:p>
        </w:tc>
      </w:tr>
      <w:tr w:rsidR="00BD1396" w:rsidRPr="00B40A41" w:rsidTr="00BD1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vAlign w:val="center"/>
            <w:hideMark/>
          </w:tcPr>
          <w:p w:rsidR="00BD1396" w:rsidRPr="00B40A41" w:rsidRDefault="00BD1396" w:rsidP="00485E73">
            <w:pPr>
              <w:keepLines/>
              <w:rPr>
                <w:rFonts w:ascii="Arial Narrow" w:hAnsi="Arial Narrow"/>
                <w:sz w:val="18"/>
                <w:szCs w:val="18"/>
              </w:rPr>
            </w:pPr>
            <w:r w:rsidRPr="00B40A41">
              <w:rPr>
                <w:rFonts w:ascii="Arial Narrow" w:hAnsi="Arial Narrow"/>
                <w:b/>
                <w:bCs/>
                <w:sz w:val="18"/>
                <w:szCs w:val="18"/>
              </w:rPr>
              <w:t>Administrative Advice:</w:t>
            </w:r>
          </w:p>
          <w:p w:rsidR="00BD1396" w:rsidRPr="00B40A41" w:rsidRDefault="00BD1396" w:rsidP="00485E73">
            <w:pPr>
              <w:keepLines/>
              <w:rPr>
                <w:rFonts w:ascii="Arial Narrow" w:hAnsi="Arial Narrow"/>
                <w:sz w:val="18"/>
                <w:szCs w:val="18"/>
              </w:rPr>
            </w:pPr>
            <w:r w:rsidRPr="00B40A41">
              <w:rPr>
                <w:rFonts w:ascii="Arial Narrow" w:hAnsi="Arial Narrow"/>
                <w:sz w:val="18"/>
                <w:szCs w:val="18"/>
              </w:rPr>
              <w:t xml:space="preserve">In the first few months after start of immunotherapy, some patients can have a transient tumour flare with subsequent disease response. When progression </w:t>
            </w:r>
            <w:proofErr w:type="gramStart"/>
            <w:r w:rsidRPr="00B40A41">
              <w:rPr>
                <w:rFonts w:ascii="Arial Narrow" w:hAnsi="Arial Narrow"/>
                <w:sz w:val="18"/>
                <w:szCs w:val="18"/>
              </w:rPr>
              <w:t>is suspected</w:t>
            </w:r>
            <w:proofErr w:type="gramEnd"/>
            <w:r w:rsidRPr="00B40A41">
              <w:rPr>
                <w:rFonts w:ascii="Arial Narrow" w:hAnsi="Arial Narrow"/>
                <w:sz w:val="18"/>
                <w:szCs w:val="18"/>
              </w:rPr>
              <w:t>, this should be confirmed through a confirmatory scan, taken at least 4 weeks later.</w:t>
            </w:r>
          </w:p>
        </w:tc>
      </w:tr>
    </w:tbl>
    <w:p w:rsidR="00485E73" w:rsidRPr="00B40A41" w:rsidRDefault="00485E73" w:rsidP="00485E73"/>
    <w:p w:rsidR="00485E73" w:rsidRPr="00B40A41" w:rsidRDefault="00485E73" w:rsidP="00485E73">
      <w:pPr>
        <w:spacing w:after="160" w:line="259" w:lineRule="auto"/>
        <w:contextualSpacing/>
        <w:rPr>
          <w:i/>
        </w:rPr>
      </w:pPr>
      <w:r w:rsidRPr="00B40A41">
        <w:rPr>
          <w:i/>
        </w:rPr>
        <w:t>For the continuing restriction, apart from updating the treatment phase description, no changes are required for pembrolizumab’s ‘continuing treatment’ criteria in unresectable Stage III or Stage IV malignant melanoma, as there is no BRAF specific language.</w:t>
      </w:r>
      <w:r w:rsidRPr="00B40A41">
        <w:t xml:space="preserve"> </w:t>
      </w:r>
    </w:p>
    <w:p w:rsidR="00485E73" w:rsidRPr="00B40A41" w:rsidRDefault="00485E73" w:rsidP="00485E73">
      <w:pPr>
        <w:rPr>
          <w:rFonts w:asciiTheme="minorHAnsi" w:hAnsiTheme="minorHAnsi" w:cstheme="minorHAnsi"/>
        </w:rPr>
      </w:pPr>
    </w:p>
    <w:p w:rsidR="00485E73" w:rsidRPr="00B40A41" w:rsidRDefault="00BD1396" w:rsidP="00485E73">
      <w:pPr>
        <w:pStyle w:val="3-BodyText"/>
      </w:pPr>
      <w:r w:rsidRPr="00B40A41">
        <w:rPr>
          <w:rFonts w:cs="Calibri"/>
        </w:rPr>
        <w:t>Add new 6-weekly treatment listing</w:t>
      </w:r>
      <w:r w:rsidR="00170506" w:rsidRPr="00B40A41">
        <w:rPr>
          <w:rFonts w:cs="Calibri"/>
        </w:rPr>
        <w:t xml:space="preserve"> as per recommendation f</w:t>
      </w:r>
      <w:r w:rsidR="004C1B4A">
        <w:rPr>
          <w:rFonts w:cs="Calibri"/>
        </w:rPr>
        <w:t xml:space="preserve">rom the </w:t>
      </w:r>
      <w:r w:rsidR="005907EA">
        <w:rPr>
          <w:rFonts w:cs="Calibri"/>
        </w:rPr>
        <w:t>Public Summary Document</w:t>
      </w:r>
      <w:r w:rsidR="001B10FD">
        <w:rPr>
          <w:rFonts w:cs="Calibri"/>
        </w:rPr>
        <w:t xml:space="preserve"> </w:t>
      </w:r>
      <w:r w:rsidR="004C1B4A">
        <w:rPr>
          <w:rFonts w:cs="Calibri"/>
        </w:rPr>
        <w:t xml:space="preserve">of </w:t>
      </w:r>
      <w:r w:rsidR="00170506" w:rsidRPr="00B40A41">
        <w:rPr>
          <w:rFonts w:cs="Calibri"/>
        </w:rPr>
        <w:t>item 6.13</w:t>
      </w:r>
      <w:r w:rsidR="005907EA">
        <w:rPr>
          <w:rFonts w:cs="Calibri"/>
        </w:rPr>
        <w:t xml:space="preserve"> pembrolizumab</w:t>
      </w:r>
      <w:r w:rsidR="00170506" w:rsidRPr="00B40A41">
        <w:rPr>
          <w:rFonts w:cs="Calibri"/>
        </w:rPr>
        <w:t xml:space="preserve"> of this meeting</w:t>
      </w:r>
      <w:r w:rsidRPr="00B40A41">
        <w:rPr>
          <w:rFonts w:cs="Calibri"/>
        </w:rPr>
        <w:t xml:space="preserve">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418"/>
        <w:gridCol w:w="992"/>
        <w:gridCol w:w="709"/>
        <w:gridCol w:w="2977"/>
      </w:tblGrid>
      <w:tr w:rsidR="00485E73" w:rsidRPr="00B40A41" w:rsidTr="00485E73">
        <w:trPr>
          <w:cantSplit/>
          <w:trHeight w:val="471"/>
        </w:trPr>
        <w:tc>
          <w:tcPr>
            <w:tcW w:w="2830" w:type="dxa"/>
          </w:tcPr>
          <w:p w:rsidR="00485E73" w:rsidRPr="00B40A41" w:rsidRDefault="00485E73" w:rsidP="00485E73">
            <w:pPr>
              <w:keepNext/>
              <w:ind w:left="-108"/>
              <w:rPr>
                <w:rFonts w:ascii="Arial Narrow" w:eastAsia="Calibri" w:hAnsi="Arial Narrow"/>
                <w:b/>
                <w:sz w:val="18"/>
                <w:szCs w:val="18"/>
                <w:lang w:eastAsia="en-US"/>
              </w:rPr>
            </w:pPr>
            <w:r w:rsidRPr="00B40A41">
              <w:rPr>
                <w:rFonts w:ascii="Arial Narrow" w:eastAsia="Calibri" w:hAnsi="Arial Narrow"/>
                <w:b/>
                <w:sz w:val="18"/>
                <w:szCs w:val="18"/>
                <w:lang w:eastAsia="en-US"/>
              </w:rPr>
              <w:t>Name, Restriction,</w:t>
            </w:r>
          </w:p>
          <w:p w:rsidR="00485E73" w:rsidRPr="00B40A41" w:rsidRDefault="00485E73" w:rsidP="00485E73">
            <w:pPr>
              <w:keepNext/>
              <w:ind w:left="-108"/>
              <w:rPr>
                <w:rFonts w:ascii="Arial Narrow" w:eastAsia="Calibri" w:hAnsi="Arial Narrow"/>
                <w:b/>
                <w:sz w:val="18"/>
                <w:szCs w:val="18"/>
                <w:lang w:eastAsia="en-US"/>
              </w:rPr>
            </w:pPr>
            <w:r w:rsidRPr="00B40A41">
              <w:rPr>
                <w:rFonts w:ascii="Arial Narrow" w:eastAsia="Calibri" w:hAnsi="Arial Narrow"/>
                <w:b/>
                <w:sz w:val="18"/>
                <w:szCs w:val="18"/>
                <w:lang w:eastAsia="en-US"/>
              </w:rPr>
              <w:t xml:space="preserve"> Manner of administration and form</w:t>
            </w:r>
          </w:p>
        </w:tc>
        <w:tc>
          <w:tcPr>
            <w:tcW w:w="1418" w:type="dxa"/>
          </w:tcPr>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PBS item code</w:t>
            </w:r>
          </w:p>
        </w:tc>
        <w:tc>
          <w:tcPr>
            <w:tcW w:w="992" w:type="dxa"/>
          </w:tcPr>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Max.</w:t>
            </w:r>
          </w:p>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Amount</w:t>
            </w:r>
          </w:p>
        </w:tc>
        <w:tc>
          <w:tcPr>
            <w:tcW w:w="709" w:type="dxa"/>
          </w:tcPr>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№.of</w:t>
            </w:r>
          </w:p>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Rpts</w:t>
            </w:r>
          </w:p>
        </w:tc>
        <w:tc>
          <w:tcPr>
            <w:tcW w:w="2977" w:type="dxa"/>
          </w:tcPr>
          <w:p w:rsidR="00485E73" w:rsidRPr="00B40A41" w:rsidRDefault="00485E73" w:rsidP="00485E73">
            <w:pPr>
              <w:keepNext/>
              <w:rPr>
                <w:rFonts w:ascii="Arial Narrow" w:eastAsia="Calibri" w:hAnsi="Arial Narrow"/>
                <w:b/>
                <w:sz w:val="18"/>
                <w:szCs w:val="18"/>
                <w:lang w:eastAsia="en-US"/>
              </w:rPr>
            </w:pPr>
            <w:r w:rsidRPr="00B40A41">
              <w:rPr>
                <w:rFonts w:ascii="Arial Narrow" w:eastAsia="Calibri" w:hAnsi="Arial Narrow"/>
                <w:b/>
                <w:sz w:val="18"/>
                <w:szCs w:val="18"/>
                <w:lang w:eastAsia="en-US"/>
              </w:rPr>
              <w:t>Manufacturer</w:t>
            </w:r>
          </w:p>
        </w:tc>
      </w:tr>
      <w:tr w:rsidR="00485E73" w:rsidRPr="00B40A41" w:rsidTr="00485E73">
        <w:trPr>
          <w:cantSplit/>
          <w:trHeight w:val="577"/>
        </w:trPr>
        <w:tc>
          <w:tcPr>
            <w:tcW w:w="2830" w:type="dxa"/>
          </w:tcPr>
          <w:p w:rsidR="00485E73" w:rsidRPr="00B40A41" w:rsidRDefault="00485E73" w:rsidP="00485E73">
            <w:pPr>
              <w:keepNext/>
              <w:ind w:left="-108"/>
              <w:rPr>
                <w:rFonts w:ascii="Arial Narrow" w:eastAsia="Calibri" w:hAnsi="Arial Narrow"/>
                <w:sz w:val="18"/>
                <w:szCs w:val="18"/>
                <w:lang w:eastAsia="en-US"/>
              </w:rPr>
            </w:pPr>
            <w:r w:rsidRPr="00B40A41">
              <w:rPr>
                <w:rFonts w:ascii="Arial Narrow" w:eastAsia="Calibri" w:hAnsi="Arial Narrow"/>
                <w:sz w:val="18"/>
                <w:szCs w:val="18"/>
                <w:lang w:eastAsia="en-US"/>
              </w:rPr>
              <w:t xml:space="preserve"> PEMBROLIZUMAB </w:t>
            </w:r>
          </w:p>
          <w:p w:rsidR="00485E73" w:rsidRPr="00B40A41" w:rsidRDefault="00485E73" w:rsidP="00485E73">
            <w:pPr>
              <w:keepNext/>
              <w:ind w:left="-108"/>
              <w:rPr>
                <w:rFonts w:ascii="Arial Narrow" w:eastAsia="Calibri" w:hAnsi="Arial Narrow"/>
                <w:sz w:val="18"/>
                <w:szCs w:val="18"/>
                <w:lang w:eastAsia="en-US"/>
              </w:rPr>
            </w:pPr>
            <w:r w:rsidRPr="00B40A41">
              <w:rPr>
                <w:rFonts w:ascii="Arial Narrow" w:eastAsia="Calibri" w:hAnsi="Arial Narrow" w:cs="Arial Narrow"/>
                <w:sz w:val="20"/>
                <w:szCs w:val="20"/>
                <w:lang w:eastAsia="en-US"/>
              </w:rPr>
              <w:t xml:space="preserve"> </w:t>
            </w:r>
            <w:r w:rsidRPr="00B40A41">
              <w:rPr>
                <w:rFonts w:ascii="Arial Narrow" w:eastAsia="Calibri" w:hAnsi="Arial Narrow" w:cs="Arial Narrow"/>
                <w:sz w:val="18"/>
                <w:szCs w:val="18"/>
                <w:lang w:eastAsia="en-US"/>
              </w:rPr>
              <w:t xml:space="preserve">Injection </w:t>
            </w:r>
          </w:p>
        </w:tc>
        <w:tc>
          <w:tcPr>
            <w:tcW w:w="1418" w:type="dxa"/>
          </w:tcPr>
          <w:p w:rsidR="00485E73" w:rsidRPr="00B40A41" w:rsidRDefault="00485E73" w:rsidP="00485E73">
            <w:pPr>
              <w:keepNext/>
              <w:ind w:left="-108"/>
              <w:jc w:val="center"/>
              <w:rPr>
                <w:rFonts w:ascii="Arial Narrow" w:eastAsia="Calibri" w:hAnsi="Arial Narrow"/>
                <w:sz w:val="18"/>
                <w:szCs w:val="18"/>
                <w:lang w:eastAsia="en-US"/>
              </w:rPr>
            </w:pP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NEW (Public)</w:t>
            </w: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NEW (Private)</w:t>
            </w:r>
          </w:p>
        </w:tc>
        <w:tc>
          <w:tcPr>
            <w:tcW w:w="992" w:type="dxa"/>
          </w:tcPr>
          <w:p w:rsidR="00485E73" w:rsidRPr="00B40A41" w:rsidRDefault="00485E73" w:rsidP="00485E73">
            <w:pPr>
              <w:keepNext/>
              <w:ind w:left="-108"/>
              <w:jc w:val="center"/>
              <w:rPr>
                <w:rFonts w:ascii="Arial Narrow" w:eastAsia="Calibri" w:hAnsi="Arial Narrow"/>
                <w:sz w:val="18"/>
                <w:szCs w:val="18"/>
                <w:lang w:eastAsia="en-US"/>
              </w:rPr>
            </w:pP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400 mg</w:t>
            </w:r>
          </w:p>
        </w:tc>
        <w:tc>
          <w:tcPr>
            <w:tcW w:w="709" w:type="dxa"/>
          </w:tcPr>
          <w:p w:rsidR="00485E73" w:rsidRPr="00B40A41" w:rsidRDefault="00485E73" w:rsidP="00485E73">
            <w:pPr>
              <w:keepNext/>
              <w:ind w:left="-108"/>
              <w:jc w:val="center"/>
              <w:rPr>
                <w:rFonts w:ascii="Arial Narrow" w:eastAsia="Calibri" w:hAnsi="Arial Narrow"/>
                <w:i/>
                <w:sz w:val="18"/>
                <w:szCs w:val="18"/>
                <w:lang w:eastAsia="en-US"/>
              </w:rPr>
            </w:pP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2</w:t>
            </w:r>
          </w:p>
        </w:tc>
        <w:tc>
          <w:tcPr>
            <w:tcW w:w="2977" w:type="dxa"/>
          </w:tcPr>
          <w:p w:rsidR="00485E73" w:rsidRPr="00B40A41" w:rsidRDefault="00485E73" w:rsidP="00485E73">
            <w:pPr>
              <w:keepNext/>
              <w:jc w:val="left"/>
              <w:rPr>
                <w:rFonts w:ascii="Arial Narrow" w:eastAsia="Calibri" w:hAnsi="Arial Narrow" w:cs="Times New Roman"/>
                <w:sz w:val="18"/>
                <w:szCs w:val="18"/>
                <w:lang w:eastAsia="en-US"/>
              </w:rPr>
            </w:pPr>
          </w:p>
          <w:p w:rsidR="00485E73" w:rsidRPr="00B40A41" w:rsidRDefault="00485E73" w:rsidP="00485E73">
            <w:pPr>
              <w:keepNext/>
              <w:jc w:val="left"/>
              <w:rPr>
                <w:rFonts w:ascii="Arial Narrow" w:eastAsia="Calibri" w:hAnsi="Arial Narrow"/>
                <w:sz w:val="18"/>
                <w:szCs w:val="18"/>
                <w:lang w:eastAsia="en-US"/>
              </w:rPr>
            </w:pPr>
            <w:r w:rsidRPr="00B40A41">
              <w:rPr>
                <w:rFonts w:ascii="Arial Narrow" w:hAnsi="Arial Narrow"/>
                <w:sz w:val="18"/>
                <w:szCs w:val="18"/>
              </w:rPr>
              <w:t>Merck Sharp &amp; Dohme (Australia) Pty Ltd</w:t>
            </w:r>
          </w:p>
        </w:tc>
      </w:tr>
      <w:tr w:rsidR="00485E73" w:rsidRPr="00B40A41" w:rsidTr="00485E73">
        <w:trPr>
          <w:cantSplit/>
          <w:trHeight w:val="225"/>
        </w:trPr>
        <w:tc>
          <w:tcPr>
            <w:tcW w:w="8926" w:type="dxa"/>
            <w:gridSpan w:val="5"/>
          </w:tcPr>
          <w:p w:rsidR="00485E73" w:rsidRPr="00B40A41" w:rsidRDefault="00485E73" w:rsidP="00485E73">
            <w:pPr>
              <w:keepNext/>
              <w:jc w:val="left"/>
              <w:rPr>
                <w:rFonts w:ascii="Arial Narrow" w:eastAsia="Calibri" w:hAnsi="Arial Narrow" w:cs="Times New Roman"/>
                <w:b/>
                <w:sz w:val="18"/>
                <w:szCs w:val="18"/>
                <w:lang w:eastAsia="en-US"/>
              </w:rPr>
            </w:pPr>
            <w:r w:rsidRPr="00B40A41">
              <w:rPr>
                <w:rFonts w:ascii="Arial Narrow" w:eastAsia="Calibri" w:hAnsi="Arial Narrow" w:cs="Times New Roman"/>
                <w:b/>
                <w:sz w:val="18"/>
                <w:szCs w:val="18"/>
                <w:lang w:eastAsia="en-US"/>
              </w:rPr>
              <w:t>Available brands</w:t>
            </w:r>
          </w:p>
        </w:tc>
      </w:tr>
      <w:tr w:rsidR="00485E73" w:rsidRPr="00B40A41" w:rsidTr="00485E73">
        <w:trPr>
          <w:cantSplit/>
          <w:trHeight w:val="360"/>
        </w:trPr>
        <w:tc>
          <w:tcPr>
            <w:tcW w:w="8926" w:type="dxa"/>
            <w:gridSpan w:val="5"/>
          </w:tcPr>
          <w:p w:rsidR="00485E73" w:rsidRPr="00B40A41" w:rsidRDefault="00485E73" w:rsidP="00485E73">
            <w:pPr>
              <w:rPr>
                <w:rFonts w:ascii="Arial Narrow" w:eastAsia="Calibri" w:hAnsi="Arial Narrow"/>
                <w:sz w:val="18"/>
                <w:szCs w:val="18"/>
                <w:lang w:eastAsia="en-US"/>
              </w:rPr>
            </w:pPr>
            <w:r w:rsidRPr="00B40A41">
              <w:rPr>
                <w:rFonts w:ascii="Arial Narrow" w:eastAsia="Calibri" w:hAnsi="Arial Narrow"/>
                <w:sz w:val="18"/>
                <w:szCs w:val="18"/>
                <w:lang w:eastAsia="en-US"/>
              </w:rPr>
              <w:t>Keytruda</w:t>
            </w:r>
          </w:p>
          <w:p w:rsidR="00485E73" w:rsidRPr="00B40A41" w:rsidRDefault="00485E73" w:rsidP="00485E73">
            <w:pPr>
              <w:rPr>
                <w:rFonts w:ascii="Arial Narrow" w:eastAsia="Calibri" w:hAnsi="Arial Narrow"/>
                <w:sz w:val="18"/>
                <w:szCs w:val="18"/>
                <w:lang w:eastAsia="en-US"/>
              </w:rPr>
            </w:pPr>
            <w:r w:rsidRPr="00B40A41">
              <w:rPr>
                <w:rFonts w:ascii="Arial Narrow" w:eastAsia="Calibri" w:hAnsi="Arial Narrow"/>
                <w:sz w:val="18"/>
                <w:szCs w:val="18"/>
                <w:lang w:eastAsia="en-US"/>
              </w:rPr>
              <w:t>(pembrolizumab 100 mg/4 mL injection, 4 mL vial)</w:t>
            </w:r>
          </w:p>
        </w:tc>
      </w:tr>
    </w:tbl>
    <w:p w:rsidR="00485E73" w:rsidRPr="00B40A41" w:rsidRDefault="00485E73" w:rsidP="00485E73">
      <w:pPr>
        <w:keepNext/>
        <w:rPr>
          <w:rFonts w:ascii="Arial Narrow" w:hAnsi="Arial Narrow" w:cstheme="minorHAnsi"/>
          <w:b/>
          <w:sz w:val="18"/>
          <w:szCs w:val="18"/>
        </w:rPr>
      </w:pPr>
    </w:p>
    <w:tbl>
      <w:tblPr>
        <w:tblW w:w="8926" w:type="dxa"/>
        <w:tblLayout w:type="fixed"/>
        <w:tblLook w:val="0000" w:firstRow="0" w:lastRow="0" w:firstColumn="0" w:lastColumn="0" w:noHBand="0" w:noVBand="0"/>
      </w:tblPr>
      <w:tblGrid>
        <w:gridCol w:w="8926"/>
      </w:tblGrid>
      <w:tr w:rsidR="00BD1396" w:rsidRPr="00B40A41" w:rsidTr="00D15784">
        <w:trPr>
          <w:cantSplit/>
          <w:trHeight w:val="203"/>
        </w:trPr>
        <w:tc>
          <w:tcPr>
            <w:tcW w:w="8926" w:type="dxa"/>
            <w:tcBorders>
              <w:top w:val="single" w:sz="4" w:space="0" w:color="auto"/>
              <w:left w:val="single" w:sz="4" w:space="0" w:color="auto"/>
              <w:bottom w:val="single" w:sz="4" w:space="0" w:color="auto"/>
              <w:right w:val="single" w:sz="4" w:space="0" w:color="auto"/>
            </w:tcBorders>
            <w:tcMar>
              <w:left w:w="28" w:type="dxa"/>
              <w:right w:w="28" w:type="dxa"/>
            </w:tcMar>
          </w:tcPr>
          <w:p w:rsidR="00BD1396" w:rsidRPr="00B40A41" w:rsidRDefault="00BD1396" w:rsidP="00485E73">
            <w:pPr>
              <w:keepNext/>
              <w:keepLines/>
              <w:rPr>
                <w:rFonts w:ascii="Arial Narrow" w:eastAsia="Calibri" w:hAnsi="Arial Narrow"/>
                <w:sz w:val="18"/>
                <w:szCs w:val="18"/>
              </w:rPr>
            </w:pPr>
            <w:r w:rsidRPr="00B40A41">
              <w:rPr>
                <w:rFonts w:ascii="Arial Narrow" w:eastAsia="Calibri" w:hAnsi="Arial Narrow"/>
                <w:b/>
                <w:sz w:val="18"/>
                <w:szCs w:val="18"/>
              </w:rPr>
              <w:t>Category/Program:</w:t>
            </w:r>
            <w:r w:rsidRPr="00B40A41">
              <w:rPr>
                <w:rFonts w:ascii="Arial Narrow" w:eastAsia="Calibri" w:hAnsi="Arial Narrow"/>
                <w:sz w:val="18"/>
                <w:szCs w:val="18"/>
              </w:rPr>
              <w:t xml:space="preserve"> Section 100 Efficient Funding of Chemotherapy</w:t>
            </w:r>
          </w:p>
        </w:tc>
      </w:tr>
      <w:tr w:rsidR="00BD1396" w:rsidRPr="00B40A41" w:rsidTr="00D15784">
        <w:trPr>
          <w:cantSplit/>
          <w:trHeight w:val="250"/>
        </w:trPr>
        <w:tc>
          <w:tcPr>
            <w:tcW w:w="8926" w:type="dxa"/>
            <w:tcBorders>
              <w:top w:val="single" w:sz="4" w:space="0" w:color="auto"/>
              <w:left w:val="single" w:sz="4" w:space="0" w:color="auto"/>
              <w:bottom w:val="single" w:sz="4" w:space="0" w:color="auto"/>
              <w:right w:val="single" w:sz="4" w:space="0" w:color="auto"/>
            </w:tcBorders>
            <w:tcMar>
              <w:left w:w="28" w:type="dxa"/>
              <w:right w:w="28" w:type="dxa"/>
            </w:tcMar>
          </w:tcPr>
          <w:p w:rsidR="00BD1396" w:rsidRPr="00B40A41" w:rsidRDefault="00BD1396" w:rsidP="00485E73">
            <w:pPr>
              <w:keepNext/>
              <w:keepLines/>
              <w:rPr>
                <w:rFonts w:ascii="Arial Narrow" w:eastAsia="Calibri" w:hAnsi="Arial Narrow"/>
                <w:sz w:val="18"/>
                <w:szCs w:val="18"/>
              </w:rPr>
            </w:pPr>
            <w:r w:rsidRPr="00B40A41">
              <w:rPr>
                <w:rFonts w:ascii="Arial Narrow" w:eastAsia="Calibri" w:hAnsi="Arial Narrow"/>
                <w:b/>
                <w:sz w:val="18"/>
                <w:szCs w:val="18"/>
              </w:rPr>
              <w:t>Prescriber type:</w:t>
            </w:r>
            <w:r w:rsidRPr="00B40A41">
              <w:rPr>
                <w:rFonts w:ascii="Arial Narrow" w:eastAsia="Calibri" w:hAnsi="Arial Narrow"/>
                <w:sz w:val="18"/>
                <w:szCs w:val="18"/>
              </w:rPr>
              <w:t xml:space="preserve">  </w:t>
            </w:r>
            <w:r w:rsidRPr="00B40A41">
              <w:rPr>
                <w:rFonts w:ascii="Arial Narrow" w:eastAsia="Calibri" w:hAnsi="Arial Narrow"/>
                <w:sz w:val="18"/>
                <w:szCs w:val="18"/>
              </w:rPr>
              <w:fldChar w:fldCharType="begin">
                <w:ffData>
                  <w:name w:val="Check1"/>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Dental </w:t>
            </w:r>
            <w:r w:rsidRPr="00B40A41">
              <w:rPr>
                <w:rFonts w:ascii="Arial Narrow" w:eastAsia="Calibri" w:hAnsi="Arial Narrow"/>
                <w:sz w:val="18"/>
                <w:szCs w:val="18"/>
              </w:rPr>
              <w:fldChar w:fldCharType="begin">
                <w:ffData>
                  <w:name w:val=""/>
                  <w:enabled/>
                  <w:calcOnExit w:val="0"/>
                  <w:checkBox>
                    <w:sizeAuto/>
                    <w:default w:val="1"/>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Medical Practitioners </w:t>
            </w:r>
            <w:r w:rsidRPr="00B40A41">
              <w:rPr>
                <w:rFonts w:ascii="Arial Narrow" w:eastAsia="Calibri" w:hAnsi="Arial Narrow"/>
                <w:sz w:val="18"/>
                <w:szCs w:val="18"/>
              </w:rPr>
              <w:fldChar w:fldCharType="begin">
                <w:ffData>
                  <w:name w:val="Check3"/>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Nurse practitioners </w:t>
            </w:r>
            <w:r w:rsidRPr="00B40A41">
              <w:rPr>
                <w:rFonts w:ascii="Arial Narrow" w:eastAsia="Calibri" w:hAnsi="Arial Narrow"/>
                <w:sz w:val="18"/>
                <w:szCs w:val="18"/>
              </w:rPr>
              <w:fldChar w:fldCharType="begin">
                <w:ffData>
                  <w:name w:val=""/>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Optometrists </w:t>
            </w:r>
            <w:r w:rsidRPr="00B40A41">
              <w:rPr>
                <w:rFonts w:ascii="Arial Narrow" w:eastAsia="Calibri" w:hAnsi="Arial Narrow"/>
                <w:sz w:val="18"/>
                <w:szCs w:val="18"/>
              </w:rPr>
              <w:fldChar w:fldCharType="begin">
                <w:ffData>
                  <w:name w:val="Check5"/>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Midwives</w:t>
            </w:r>
          </w:p>
        </w:tc>
      </w:tr>
      <w:tr w:rsidR="00BD1396" w:rsidRPr="00B40A41" w:rsidTr="00D15784">
        <w:trPr>
          <w:cantSplit/>
          <w:trHeight w:val="250"/>
        </w:trPr>
        <w:tc>
          <w:tcPr>
            <w:tcW w:w="8926" w:type="dxa"/>
            <w:tcBorders>
              <w:top w:val="single" w:sz="4" w:space="0" w:color="auto"/>
              <w:left w:val="single" w:sz="4" w:space="0" w:color="auto"/>
              <w:bottom w:val="single" w:sz="4" w:space="0" w:color="auto"/>
              <w:right w:val="single" w:sz="4" w:space="0" w:color="auto"/>
            </w:tcBorders>
            <w:tcMar>
              <w:left w:w="28" w:type="dxa"/>
              <w:right w:w="28" w:type="dxa"/>
            </w:tcMar>
          </w:tcPr>
          <w:p w:rsidR="00BD1396" w:rsidRPr="00B40A41" w:rsidRDefault="00BD1396" w:rsidP="00BD1396">
            <w:pPr>
              <w:pStyle w:val="TableText0"/>
              <w:keepLines/>
              <w:rPr>
                <w:rFonts w:cs="Times New Roman"/>
                <w:sz w:val="18"/>
                <w:szCs w:val="18"/>
              </w:rPr>
            </w:pPr>
            <w:r w:rsidRPr="00B40A41">
              <w:rPr>
                <w:rFonts w:cs="Times New Roman"/>
                <w:b/>
                <w:sz w:val="18"/>
                <w:szCs w:val="18"/>
              </w:rPr>
              <w:t xml:space="preserve">Restriction Level / Method: </w:t>
            </w:r>
            <w:r w:rsidRPr="00B40A41">
              <w:rPr>
                <w:sz w:val="18"/>
                <w:szCs w:val="18"/>
              </w:rPr>
              <w:fldChar w:fldCharType="begin">
                <w:ffData>
                  <w:name w:val="Check5"/>
                  <w:enabled/>
                  <w:calcOnExit w:val="0"/>
                  <w:checkBox>
                    <w:sizeAuto/>
                    <w:default w:val="1"/>
                  </w:checkBox>
                </w:ffData>
              </w:fldChar>
            </w:r>
            <w:r w:rsidRPr="00B40A41">
              <w:rPr>
                <w:sz w:val="18"/>
                <w:szCs w:val="18"/>
              </w:rPr>
              <w:instrText xml:space="preserve"> FORMCHECKBOX </w:instrText>
            </w:r>
            <w:r w:rsidR="004B18CD">
              <w:rPr>
                <w:sz w:val="18"/>
                <w:szCs w:val="18"/>
              </w:rPr>
            </w:r>
            <w:r w:rsidR="004B18CD">
              <w:rPr>
                <w:sz w:val="18"/>
                <w:szCs w:val="18"/>
              </w:rPr>
              <w:fldChar w:fldCharType="separate"/>
            </w:r>
            <w:r w:rsidRPr="00B40A41">
              <w:rPr>
                <w:sz w:val="18"/>
                <w:szCs w:val="18"/>
              </w:rPr>
              <w:fldChar w:fldCharType="end"/>
            </w:r>
            <w:r w:rsidR="00D15784" w:rsidRPr="00B40A41">
              <w:rPr>
                <w:sz w:val="18"/>
                <w:szCs w:val="18"/>
              </w:rPr>
              <w:t xml:space="preserve"> Authority Required - </w:t>
            </w:r>
            <w:r w:rsidRPr="00B40A41">
              <w:rPr>
                <w:sz w:val="18"/>
                <w:szCs w:val="18"/>
              </w:rPr>
              <w:t>Streamlined (NEW CODE)</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906"/>
        </w:trPr>
        <w:tc>
          <w:tcPr>
            <w:tcW w:w="8926" w:type="dxa"/>
            <w:vAlign w:val="center"/>
          </w:tcPr>
          <w:p w:rsidR="00BD1396" w:rsidRPr="00B40A41" w:rsidRDefault="00BD1396" w:rsidP="00485E73">
            <w:pPr>
              <w:keepNext/>
              <w:keepLines/>
              <w:rPr>
                <w:rFonts w:ascii="Arial Narrow" w:hAnsi="Arial Narrow"/>
                <w:sz w:val="18"/>
                <w:szCs w:val="18"/>
              </w:rPr>
            </w:pPr>
            <w:r w:rsidRPr="00B40A41">
              <w:rPr>
                <w:rFonts w:ascii="Arial Narrow" w:hAnsi="Arial Narrow"/>
                <w:b/>
                <w:bCs/>
                <w:sz w:val="18"/>
                <w:szCs w:val="18"/>
              </w:rPr>
              <w:t>Administrative Advice:</w:t>
            </w:r>
            <w:r w:rsidRPr="00B40A41">
              <w:rPr>
                <w:rFonts w:ascii="Arial Narrow" w:hAnsi="Arial Narrow"/>
                <w:sz w:val="18"/>
                <w:szCs w:val="18"/>
              </w:rPr>
              <w:t xml:space="preserve"> </w:t>
            </w:r>
          </w:p>
          <w:p w:rsidR="00BD1396" w:rsidRPr="00B40A41" w:rsidRDefault="00BD1396" w:rsidP="00485E73">
            <w:pPr>
              <w:keepNext/>
              <w:keepLines/>
              <w:rPr>
                <w:rFonts w:ascii="Arial Narrow" w:hAnsi="Arial Narrow"/>
                <w:b/>
                <w:bCs/>
                <w:sz w:val="18"/>
                <w:szCs w:val="18"/>
              </w:rPr>
            </w:pPr>
            <w:r w:rsidRPr="00B40A41">
              <w:rPr>
                <w:rFonts w:ascii="Arial Narrow" w:hAnsi="Arial Narrow"/>
                <w:sz w:val="18"/>
                <w:szCs w:val="18"/>
              </w:rPr>
              <w:t>No increase in the maximum number of repeats may be authorised.</w:t>
            </w:r>
          </w:p>
          <w:p w:rsidR="00BD1396" w:rsidRPr="00B40A41" w:rsidRDefault="00BD1396" w:rsidP="00485E73">
            <w:pPr>
              <w:keepNext/>
              <w:keepLines/>
              <w:rPr>
                <w:rFonts w:ascii="Arial Narrow" w:hAnsi="Arial Narrow"/>
                <w:sz w:val="18"/>
                <w:szCs w:val="18"/>
              </w:rPr>
            </w:pPr>
            <w:r w:rsidRPr="00B40A41">
              <w:rPr>
                <w:rFonts w:ascii="Arial Narrow" w:hAnsi="Arial Narrow"/>
                <w:sz w:val="18"/>
                <w:szCs w:val="18"/>
              </w:rPr>
              <w:t>Special Pricing Arrangements apply.</w:t>
            </w:r>
          </w:p>
          <w:p w:rsidR="00BD1396" w:rsidRPr="00B40A41" w:rsidRDefault="00BD1396" w:rsidP="00485E73">
            <w:pPr>
              <w:keepNext/>
              <w:keepLines/>
              <w:rPr>
                <w:rFonts w:ascii="Arial Narrow" w:hAnsi="Arial Narrow"/>
                <w:b/>
                <w:bCs/>
                <w:sz w:val="18"/>
                <w:szCs w:val="18"/>
              </w:rPr>
            </w:pPr>
            <w:r w:rsidRPr="00B40A41">
              <w:rPr>
                <w:rFonts w:ascii="Arial Narrow" w:hAnsi="Arial Narrow"/>
                <w:sz w:val="18"/>
                <w:szCs w:val="18"/>
              </w:rPr>
              <w:t xml:space="preserve">Patient </w:t>
            </w:r>
            <w:proofErr w:type="gramStart"/>
            <w:r w:rsidRPr="00B40A41">
              <w:rPr>
                <w:rFonts w:ascii="Arial Narrow" w:hAnsi="Arial Narrow"/>
                <w:sz w:val="18"/>
                <w:szCs w:val="18"/>
              </w:rPr>
              <w:t>should be treated</w:t>
            </w:r>
            <w:proofErr w:type="gramEnd"/>
            <w:r w:rsidRPr="00B40A41">
              <w:rPr>
                <w:rFonts w:ascii="Arial Narrow" w:hAnsi="Arial Narrow"/>
                <w:sz w:val="18"/>
                <w:szCs w:val="18"/>
              </w:rPr>
              <w:t xml:space="preserve"> with the recommended dose of pembrolizumab according to the TGA-approved Product Information.</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57"/>
        </w:trPr>
        <w:tc>
          <w:tcPr>
            <w:tcW w:w="8926" w:type="dxa"/>
            <w:vAlign w:val="center"/>
            <w:hideMark/>
          </w:tcPr>
          <w:p w:rsidR="00BD1396" w:rsidRPr="00B40A41" w:rsidRDefault="00BD1396" w:rsidP="00485E73">
            <w:pPr>
              <w:keepNext/>
              <w:keepLines/>
              <w:rPr>
                <w:rFonts w:ascii="Arial Narrow" w:hAnsi="Arial Narrow"/>
                <w:sz w:val="18"/>
                <w:szCs w:val="18"/>
              </w:rPr>
            </w:pPr>
            <w:r w:rsidRPr="00B40A41">
              <w:rPr>
                <w:rFonts w:ascii="Arial Narrow" w:hAnsi="Arial Narrow"/>
                <w:b/>
                <w:bCs/>
                <w:sz w:val="18"/>
                <w:szCs w:val="18"/>
              </w:rPr>
              <w:t>Indication:</w:t>
            </w:r>
            <w:r w:rsidRPr="00B40A41">
              <w:rPr>
                <w:rFonts w:ascii="Arial Narrow" w:hAnsi="Arial Narrow"/>
                <w:sz w:val="18"/>
                <w:szCs w:val="18"/>
              </w:rPr>
              <w:t xml:space="preserve"> Unresectable Stage III or Stage IV malignant melanoma</w:t>
            </w:r>
          </w:p>
        </w:tc>
      </w:tr>
      <w:tr w:rsidR="00BD1396" w:rsidRPr="00B40A41" w:rsidTr="00170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bottom w:val="single" w:sz="4" w:space="0" w:color="auto"/>
            </w:tcBorders>
            <w:vAlign w:val="center"/>
            <w:hideMark/>
          </w:tcPr>
          <w:p w:rsidR="00BD1396" w:rsidRPr="00B40A41" w:rsidRDefault="00BD1396" w:rsidP="00485E73">
            <w:pPr>
              <w:keepNext/>
              <w:keepLines/>
              <w:rPr>
                <w:rFonts w:ascii="Arial Narrow" w:hAnsi="Arial Narrow"/>
                <w:sz w:val="18"/>
                <w:szCs w:val="18"/>
              </w:rPr>
            </w:pPr>
            <w:r w:rsidRPr="00B40A41">
              <w:rPr>
                <w:rFonts w:ascii="Arial Narrow" w:hAnsi="Arial Narrow"/>
                <w:b/>
                <w:bCs/>
                <w:sz w:val="18"/>
                <w:szCs w:val="18"/>
              </w:rPr>
              <w:t>Treatment Phase:</w:t>
            </w:r>
            <w:r w:rsidRPr="00B40A41">
              <w:rPr>
                <w:rFonts w:ascii="Arial Narrow" w:hAnsi="Arial Narrow"/>
                <w:sz w:val="18"/>
                <w:szCs w:val="18"/>
              </w:rPr>
              <w:t xml:space="preserve"> Initial treatment – 6 weekly treatment regimen</w:t>
            </w:r>
          </w:p>
        </w:tc>
      </w:tr>
      <w:tr w:rsidR="00BD1396" w:rsidRPr="00B40A41" w:rsidTr="00170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bottom w:val="nil"/>
            </w:tcBorders>
            <w:vAlign w:val="center"/>
          </w:tcPr>
          <w:p w:rsidR="00BD1396" w:rsidRPr="00B40A41" w:rsidRDefault="00BD1396" w:rsidP="00485E73">
            <w:pPr>
              <w:keepNext/>
              <w:keepLines/>
              <w:rPr>
                <w:rFonts w:ascii="Arial Narrow" w:hAnsi="Arial Narrow"/>
                <w:sz w:val="18"/>
                <w:szCs w:val="18"/>
              </w:rPr>
            </w:pPr>
            <w:r w:rsidRPr="00B40A41">
              <w:rPr>
                <w:rFonts w:ascii="Arial Narrow" w:hAnsi="Arial Narrow"/>
                <w:b/>
                <w:bCs/>
                <w:sz w:val="18"/>
                <w:szCs w:val="18"/>
              </w:rPr>
              <w:t>Clinical criteria:</w:t>
            </w:r>
          </w:p>
        </w:tc>
      </w:tr>
      <w:tr w:rsidR="00BD1396" w:rsidRPr="00B40A41" w:rsidTr="00170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22"/>
        </w:trPr>
        <w:tc>
          <w:tcPr>
            <w:tcW w:w="8926" w:type="dxa"/>
            <w:tcBorders>
              <w:top w:val="nil"/>
              <w:bottom w:val="nil"/>
            </w:tcBorders>
            <w:vAlign w:val="center"/>
          </w:tcPr>
          <w:p w:rsidR="00BD1396" w:rsidRPr="00B40A41" w:rsidRDefault="00BD1396" w:rsidP="00D15784">
            <w:pPr>
              <w:pStyle w:val="ListParagraph"/>
              <w:keepNext/>
              <w:keepLines/>
              <w:numPr>
                <w:ilvl w:val="0"/>
                <w:numId w:val="49"/>
              </w:numPr>
              <w:spacing w:after="0"/>
              <w:ind w:left="714" w:hanging="357"/>
              <w:rPr>
                <w:rFonts w:ascii="Arial Narrow" w:hAnsi="Arial Narrow"/>
                <w:sz w:val="18"/>
                <w:szCs w:val="18"/>
              </w:rPr>
            </w:pPr>
            <w:r w:rsidRPr="00B40A41">
              <w:rPr>
                <w:rFonts w:ascii="Arial Narrow" w:hAnsi="Arial Narrow"/>
                <w:sz w:val="18"/>
                <w:szCs w:val="18"/>
              </w:rPr>
              <w:t>Patient must not have received prior treatment with ipilimumab or a PD-1 (programmed cell death-1) inhibitor for the treatment of unresectable Stage III or Stage IV malignant melanoma</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16"/>
        </w:trPr>
        <w:tc>
          <w:tcPr>
            <w:tcW w:w="8926" w:type="dxa"/>
            <w:tcBorders>
              <w:top w:val="nil"/>
              <w:bottom w:val="nil"/>
            </w:tcBorders>
            <w:vAlign w:val="center"/>
          </w:tcPr>
          <w:p w:rsidR="00BD1396" w:rsidRPr="00B40A41" w:rsidRDefault="00BD1396" w:rsidP="00D15784">
            <w:pPr>
              <w:pStyle w:val="ListParagraph"/>
              <w:keepNext/>
              <w:keepLines/>
              <w:numPr>
                <w:ilvl w:val="0"/>
                <w:numId w:val="0"/>
              </w:numPr>
              <w:spacing w:after="0"/>
              <w:ind w:left="714"/>
              <w:rPr>
                <w:rFonts w:ascii="Arial Narrow" w:hAnsi="Arial Narrow"/>
                <w:b/>
                <w:sz w:val="18"/>
                <w:szCs w:val="18"/>
              </w:rPr>
            </w:pPr>
            <w:r w:rsidRPr="00B40A41">
              <w:rPr>
                <w:rFonts w:ascii="Arial Narrow" w:hAnsi="Arial Narrow"/>
                <w:b/>
                <w:sz w:val="18"/>
                <w:szCs w:val="18"/>
              </w:rPr>
              <w:t>AND</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38"/>
        </w:trPr>
        <w:tc>
          <w:tcPr>
            <w:tcW w:w="8926" w:type="dxa"/>
            <w:tcBorders>
              <w:top w:val="nil"/>
              <w:bottom w:val="nil"/>
            </w:tcBorders>
            <w:vAlign w:val="center"/>
          </w:tcPr>
          <w:p w:rsidR="00BD1396" w:rsidRPr="00B40A41" w:rsidRDefault="00BD1396" w:rsidP="00D15784">
            <w:pPr>
              <w:pStyle w:val="ListParagraph"/>
              <w:keepNext/>
              <w:keepLines/>
              <w:numPr>
                <w:ilvl w:val="0"/>
                <w:numId w:val="49"/>
              </w:numPr>
              <w:spacing w:after="0"/>
              <w:ind w:left="714" w:hanging="357"/>
              <w:rPr>
                <w:rFonts w:ascii="Arial Narrow" w:hAnsi="Arial Narrow"/>
                <w:sz w:val="18"/>
                <w:szCs w:val="18"/>
              </w:rPr>
            </w:pPr>
            <w:r w:rsidRPr="00B40A41">
              <w:rPr>
                <w:rFonts w:ascii="Arial Narrow" w:hAnsi="Arial Narrow"/>
                <w:color w:val="333333"/>
                <w:sz w:val="18"/>
                <w:szCs w:val="18"/>
              </w:rPr>
              <w:t xml:space="preserve">Patient must not have experienced disease progression whilst on adjuvant PD-1 inhibitor treatment or disease recurrence within 6 months of completion of adjuvant PD-1 inhibitor treatment if treated for resected Stage IIIB, IIIC, IIID or IV melanoma </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bottom w:val="nil"/>
            </w:tcBorders>
            <w:vAlign w:val="center"/>
            <w:hideMark/>
          </w:tcPr>
          <w:p w:rsidR="00BD1396" w:rsidRPr="00B40A41" w:rsidRDefault="00BD1396" w:rsidP="00D15784">
            <w:pPr>
              <w:pStyle w:val="ListParagraph"/>
              <w:keepNext/>
              <w:keepLines/>
              <w:numPr>
                <w:ilvl w:val="0"/>
                <w:numId w:val="0"/>
              </w:numPr>
              <w:spacing w:after="0"/>
              <w:ind w:left="714"/>
              <w:rPr>
                <w:rFonts w:ascii="Arial Narrow" w:hAnsi="Arial Narrow"/>
                <w:sz w:val="18"/>
                <w:szCs w:val="18"/>
              </w:rPr>
            </w:pPr>
            <w:r w:rsidRPr="00B40A41">
              <w:rPr>
                <w:rFonts w:ascii="Arial Narrow" w:hAnsi="Arial Narrow"/>
                <w:b/>
                <w:bCs/>
                <w:sz w:val="18"/>
                <w:szCs w:val="18"/>
              </w:rPr>
              <w:t>AND</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bottom w:val="nil"/>
            </w:tcBorders>
            <w:vAlign w:val="center"/>
            <w:hideMark/>
          </w:tcPr>
          <w:p w:rsidR="00BD1396" w:rsidRPr="00B40A41" w:rsidRDefault="00BD1396" w:rsidP="00D15784">
            <w:pPr>
              <w:pStyle w:val="ListParagraph"/>
              <w:keepNext/>
              <w:keepLines/>
              <w:numPr>
                <w:ilvl w:val="0"/>
                <w:numId w:val="49"/>
              </w:numPr>
              <w:spacing w:after="0"/>
              <w:ind w:left="714" w:hanging="357"/>
              <w:rPr>
                <w:rFonts w:ascii="Arial Narrow" w:hAnsi="Arial Narrow"/>
                <w:sz w:val="18"/>
                <w:szCs w:val="18"/>
              </w:rPr>
            </w:pPr>
            <w:r w:rsidRPr="00B40A41">
              <w:rPr>
                <w:rFonts w:ascii="Arial Narrow" w:hAnsi="Arial Narrow"/>
                <w:sz w:val="18"/>
                <w:szCs w:val="18"/>
              </w:rPr>
              <w:t>The treatment must be the sole PBS-subsidised therapy for this condition</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bottom w:val="nil"/>
            </w:tcBorders>
            <w:vAlign w:val="center"/>
            <w:hideMark/>
          </w:tcPr>
          <w:p w:rsidR="00BD1396" w:rsidRPr="00B40A41" w:rsidRDefault="00BD1396" w:rsidP="00D15784">
            <w:pPr>
              <w:pStyle w:val="ListParagraph"/>
              <w:keepNext/>
              <w:keepLines/>
              <w:numPr>
                <w:ilvl w:val="0"/>
                <w:numId w:val="0"/>
              </w:numPr>
              <w:spacing w:after="0"/>
              <w:ind w:left="714"/>
              <w:rPr>
                <w:rFonts w:ascii="Arial Narrow" w:hAnsi="Arial Narrow"/>
                <w:sz w:val="18"/>
                <w:szCs w:val="18"/>
              </w:rPr>
            </w:pPr>
            <w:r w:rsidRPr="00B40A41">
              <w:rPr>
                <w:rFonts w:ascii="Arial Narrow" w:hAnsi="Arial Narrow"/>
                <w:b/>
                <w:bCs/>
                <w:sz w:val="18"/>
                <w:szCs w:val="18"/>
              </w:rPr>
              <w:t>AND</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47"/>
        </w:trPr>
        <w:tc>
          <w:tcPr>
            <w:tcW w:w="8926" w:type="dxa"/>
            <w:tcBorders>
              <w:top w:val="nil"/>
            </w:tcBorders>
            <w:vAlign w:val="center"/>
          </w:tcPr>
          <w:p w:rsidR="00BD1396" w:rsidRPr="00B40A41" w:rsidRDefault="00BD1396" w:rsidP="00D15784">
            <w:pPr>
              <w:pStyle w:val="ListParagraph"/>
              <w:keepNext/>
              <w:keepLines/>
              <w:numPr>
                <w:ilvl w:val="0"/>
                <w:numId w:val="49"/>
              </w:numPr>
              <w:spacing w:after="0"/>
              <w:ind w:left="714" w:hanging="357"/>
              <w:rPr>
                <w:rFonts w:ascii="Arial Narrow" w:hAnsi="Arial Narrow"/>
                <w:sz w:val="18"/>
                <w:szCs w:val="18"/>
              </w:rPr>
            </w:pPr>
            <w:r w:rsidRPr="00B40A41">
              <w:rPr>
                <w:rFonts w:ascii="Arial Narrow" w:hAnsi="Arial Narrow"/>
                <w:sz w:val="18"/>
                <w:szCs w:val="18"/>
              </w:rPr>
              <w:t>The treatment must not exceed a total of 3 doses under this restriction</w:t>
            </w:r>
          </w:p>
        </w:tc>
      </w:tr>
      <w:tr w:rsidR="00BD1396"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vAlign w:val="center"/>
            <w:hideMark/>
          </w:tcPr>
          <w:p w:rsidR="00BD1396" w:rsidRPr="00B40A41" w:rsidRDefault="00BD1396" w:rsidP="00485E73">
            <w:pPr>
              <w:keepNext/>
              <w:keepLines/>
              <w:rPr>
                <w:rFonts w:ascii="Arial Narrow" w:hAnsi="Arial Narrow"/>
                <w:sz w:val="18"/>
                <w:szCs w:val="18"/>
              </w:rPr>
            </w:pPr>
            <w:r w:rsidRPr="00B40A41">
              <w:rPr>
                <w:rFonts w:ascii="Arial Narrow" w:hAnsi="Arial Narrow"/>
                <w:b/>
                <w:bCs/>
                <w:sz w:val="18"/>
                <w:szCs w:val="18"/>
              </w:rPr>
              <w:t>Administrative Advice:</w:t>
            </w:r>
          </w:p>
          <w:p w:rsidR="00BD1396" w:rsidRPr="00B40A41" w:rsidRDefault="00BD1396" w:rsidP="00485E73">
            <w:pPr>
              <w:keepNext/>
              <w:keepLines/>
              <w:rPr>
                <w:rFonts w:ascii="Arial Narrow" w:hAnsi="Arial Narrow"/>
                <w:sz w:val="18"/>
                <w:szCs w:val="18"/>
              </w:rPr>
            </w:pPr>
            <w:r w:rsidRPr="00B40A41">
              <w:rPr>
                <w:rFonts w:ascii="Arial Narrow" w:hAnsi="Arial Narrow"/>
                <w:sz w:val="18"/>
                <w:szCs w:val="18"/>
              </w:rPr>
              <w:t xml:space="preserve">In the first few months after start of immunotherapy, some patients can have a transient tumour flare with subsequent disease response. When progression </w:t>
            </w:r>
            <w:proofErr w:type="gramStart"/>
            <w:r w:rsidRPr="00B40A41">
              <w:rPr>
                <w:rFonts w:ascii="Arial Narrow" w:hAnsi="Arial Narrow"/>
                <w:sz w:val="18"/>
                <w:szCs w:val="18"/>
              </w:rPr>
              <w:t>is suspected</w:t>
            </w:r>
            <w:proofErr w:type="gramEnd"/>
            <w:r w:rsidRPr="00B40A41">
              <w:rPr>
                <w:rFonts w:ascii="Arial Narrow" w:hAnsi="Arial Narrow"/>
                <w:sz w:val="18"/>
                <w:szCs w:val="18"/>
              </w:rPr>
              <w:t>, this should be confirmed through a confirmatory scan, taken at least 4 weeks later.</w:t>
            </w:r>
          </w:p>
        </w:tc>
      </w:tr>
    </w:tbl>
    <w:p w:rsidR="00485E73" w:rsidRPr="00B40A41" w:rsidRDefault="00485E73" w:rsidP="00485E73">
      <w:pPr>
        <w:rPr>
          <w:b/>
        </w:rPr>
      </w:pPr>
    </w:p>
    <w:p w:rsidR="00485E73" w:rsidRPr="00B40A41" w:rsidRDefault="00485E73" w:rsidP="00485E73">
      <w:pPr>
        <w:rPr>
          <w:rFonts w:asciiTheme="minorHAnsi" w:hAnsiTheme="minorHAnsi" w:cstheme="minorHAns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418"/>
        <w:gridCol w:w="992"/>
        <w:gridCol w:w="709"/>
        <w:gridCol w:w="2977"/>
      </w:tblGrid>
      <w:tr w:rsidR="00485E73" w:rsidRPr="00B40A41" w:rsidTr="00485E73">
        <w:trPr>
          <w:cantSplit/>
          <w:trHeight w:val="471"/>
        </w:trPr>
        <w:tc>
          <w:tcPr>
            <w:tcW w:w="2830" w:type="dxa"/>
          </w:tcPr>
          <w:p w:rsidR="00485E73" w:rsidRPr="00B40A41" w:rsidRDefault="00485E73" w:rsidP="00485E73">
            <w:pPr>
              <w:keepNext/>
              <w:ind w:left="-108"/>
              <w:rPr>
                <w:rFonts w:ascii="Arial Narrow" w:eastAsia="Calibri" w:hAnsi="Arial Narrow"/>
                <w:b/>
                <w:sz w:val="18"/>
                <w:szCs w:val="18"/>
                <w:lang w:eastAsia="en-US"/>
              </w:rPr>
            </w:pPr>
            <w:r w:rsidRPr="00B40A41">
              <w:rPr>
                <w:rFonts w:ascii="Arial Narrow" w:eastAsia="Calibri" w:hAnsi="Arial Narrow"/>
                <w:b/>
                <w:sz w:val="18"/>
                <w:szCs w:val="18"/>
                <w:lang w:eastAsia="en-US"/>
              </w:rPr>
              <w:t>Name, Restriction,</w:t>
            </w:r>
          </w:p>
          <w:p w:rsidR="00485E73" w:rsidRPr="00B40A41" w:rsidRDefault="00485E73" w:rsidP="00485E73">
            <w:pPr>
              <w:keepNext/>
              <w:ind w:left="-108"/>
              <w:rPr>
                <w:rFonts w:ascii="Arial Narrow" w:eastAsia="Calibri" w:hAnsi="Arial Narrow"/>
                <w:b/>
                <w:sz w:val="18"/>
                <w:szCs w:val="18"/>
                <w:lang w:eastAsia="en-US"/>
              </w:rPr>
            </w:pPr>
            <w:r w:rsidRPr="00B40A41">
              <w:rPr>
                <w:rFonts w:ascii="Arial Narrow" w:eastAsia="Calibri" w:hAnsi="Arial Narrow"/>
                <w:b/>
                <w:sz w:val="18"/>
                <w:szCs w:val="18"/>
                <w:lang w:eastAsia="en-US"/>
              </w:rPr>
              <w:t xml:space="preserve"> Manner of administration and form</w:t>
            </w:r>
          </w:p>
        </w:tc>
        <w:tc>
          <w:tcPr>
            <w:tcW w:w="1418" w:type="dxa"/>
          </w:tcPr>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PBS item code</w:t>
            </w:r>
          </w:p>
        </w:tc>
        <w:tc>
          <w:tcPr>
            <w:tcW w:w="992" w:type="dxa"/>
          </w:tcPr>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Max.</w:t>
            </w:r>
          </w:p>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Amount</w:t>
            </w:r>
          </w:p>
        </w:tc>
        <w:tc>
          <w:tcPr>
            <w:tcW w:w="709" w:type="dxa"/>
          </w:tcPr>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№.of</w:t>
            </w:r>
          </w:p>
          <w:p w:rsidR="00485E73" w:rsidRPr="00B40A41" w:rsidRDefault="00485E73" w:rsidP="00485E73">
            <w:pPr>
              <w:keepNext/>
              <w:ind w:left="-108"/>
              <w:jc w:val="center"/>
              <w:rPr>
                <w:rFonts w:ascii="Arial Narrow" w:eastAsia="Calibri" w:hAnsi="Arial Narrow"/>
                <w:b/>
                <w:sz w:val="18"/>
                <w:szCs w:val="18"/>
                <w:lang w:eastAsia="en-US"/>
              </w:rPr>
            </w:pPr>
            <w:r w:rsidRPr="00B40A41">
              <w:rPr>
                <w:rFonts w:ascii="Arial Narrow" w:eastAsia="Calibri" w:hAnsi="Arial Narrow"/>
                <w:b/>
                <w:sz w:val="18"/>
                <w:szCs w:val="18"/>
                <w:lang w:eastAsia="en-US"/>
              </w:rPr>
              <w:t>Rpts</w:t>
            </w:r>
          </w:p>
        </w:tc>
        <w:tc>
          <w:tcPr>
            <w:tcW w:w="2977" w:type="dxa"/>
          </w:tcPr>
          <w:p w:rsidR="00485E73" w:rsidRPr="00B40A41" w:rsidRDefault="00485E73" w:rsidP="00485E73">
            <w:pPr>
              <w:keepNext/>
              <w:rPr>
                <w:rFonts w:ascii="Arial Narrow" w:eastAsia="Calibri" w:hAnsi="Arial Narrow"/>
                <w:b/>
                <w:sz w:val="18"/>
                <w:szCs w:val="18"/>
                <w:lang w:eastAsia="en-US"/>
              </w:rPr>
            </w:pPr>
            <w:r w:rsidRPr="00B40A41">
              <w:rPr>
                <w:rFonts w:ascii="Arial Narrow" w:eastAsia="Calibri" w:hAnsi="Arial Narrow"/>
                <w:b/>
                <w:sz w:val="18"/>
                <w:szCs w:val="18"/>
                <w:lang w:eastAsia="en-US"/>
              </w:rPr>
              <w:t>Manufacturer</w:t>
            </w:r>
          </w:p>
        </w:tc>
      </w:tr>
      <w:tr w:rsidR="00485E73" w:rsidRPr="00B40A41" w:rsidTr="00485E73">
        <w:trPr>
          <w:cantSplit/>
          <w:trHeight w:val="577"/>
        </w:trPr>
        <w:tc>
          <w:tcPr>
            <w:tcW w:w="2830" w:type="dxa"/>
          </w:tcPr>
          <w:p w:rsidR="00485E73" w:rsidRPr="00B40A41" w:rsidRDefault="00485E73" w:rsidP="00485E73">
            <w:pPr>
              <w:keepNext/>
              <w:ind w:left="-108"/>
              <w:rPr>
                <w:rFonts w:ascii="Arial Narrow" w:eastAsia="Calibri" w:hAnsi="Arial Narrow"/>
                <w:sz w:val="18"/>
                <w:szCs w:val="18"/>
                <w:lang w:eastAsia="en-US"/>
              </w:rPr>
            </w:pPr>
            <w:r w:rsidRPr="00B40A41">
              <w:rPr>
                <w:rFonts w:ascii="Arial Narrow" w:eastAsia="Calibri" w:hAnsi="Arial Narrow"/>
                <w:sz w:val="18"/>
                <w:szCs w:val="18"/>
                <w:lang w:eastAsia="en-US"/>
              </w:rPr>
              <w:t xml:space="preserve"> PEMBROLIZUMAB </w:t>
            </w:r>
          </w:p>
          <w:p w:rsidR="00485E73" w:rsidRPr="00B40A41" w:rsidRDefault="00485E73" w:rsidP="00485E73">
            <w:pPr>
              <w:keepNext/>
              <w:ind w:left="-108"/>
              <w:rPr>
                <w:rFonts w:ascii="Arial Narrow" w:eastAsia="Calibri" w:hAnsi="Arial Narrow"/>
                <w:sz w:val="18"/>
                <w:szCs w:val="18"/>
                <w:lang w:eastAsia="en-US"/>
              </w:rPr>
            </w:pPr>
            <w:r w:rsidRPr="00B40A41">
              <w:rPr>
                <w:rFonts w:ascii="Arial Narrow" w:eastAsia="Calibri" w:hAnsi="Arial Narrow" w:cs="Arial Narrow"/>
                <w:sz w:val="20"/>
                <w:szCs w:val="20"/>
                <w:lang w:eastAsia="en-US"/>
              </w:rPr>
              <w:t xml:space="preserve"> </w:t>
            </w:r>
            <w:r w:rsidRPr="00B40A41">
              <w:rPr>
                <w:rFonts w:ascii="Arial Narrow" w:eastAsia="Calibri" w:hAnsi="Arial Narrow" w:cs="Arial Narrow"/>
                <w:sz w:val="18"/>
                <w:szCs w:val="18"/>
                <w:lang w:eastAsia="en-US"/>
              </w:rPr>
              <w:t xml:space="preserve">Injection </w:t>
            </w:r>
          </w:p>
        </w:tc>
        <w:tc>
          <w:tcPr>
            <w:tcW w:w="1418" w:type="dxa"/>
          </w:tcPr>
          <w:p w:rsidR="00485E73" w:rsidRPr="00B40A41" w:rsidRDefault="00485E73" w:rsidP="00485E73">
            <w:pPr>
              <w:keepNext/>
              <w:ind w:left="-108"/>
              <w:jc w:val="center"/>
              <w:rPr>
                <w:rFonts w:ascii="Arial Narrow" w:eastAsia="Calibri" w:hAnsi="Arial Narrow"/>
                <w:sz w:val="18"/>
                <w:szCs w:val="18"/>
                <w:lang w:eastAsia="en-US"/>
              </w:rPr>
            </w:pP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NEW (Public)</w:t>
            </w: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NEW (Private)</w:t>
            </w:r>
          </w:p>
        </w:tc>
        <w:tc>
          <w:tcPr>
            <w:tcW w:w="992" w:type="dxa"/>
          </w:tcPr>
          <w:p w:rsidR="00485E73" w:rsidRPr="00B40A41" w:rsidRDefault="00485E73" w:rsidP="00485E73">
            <w:pPr>
              <w:keepNext/>
              <w:ind w:left="-108"/>
              <w:jc w:val="center"/>
              <w:rPr>
                <w:rFonts w:ascii="Arial Narrow" w:eastAsia="Calibri" w:hAnsi="Arial Narrow"/>
                <w:sz w:val="18"/>
                <w:szCs w:val="18"/>
                <w:lang w:eastAsia="en-US"/>
              </w:rPr>
            </w:pP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400 mg</w:t>
            </w:r>
          </w:p>
        </w:tc>
        <w:tc>
          <w:tcPr>
            <w:tcW w:w="709" w:type="dxa"/>
          </w:tcPr>
          <w:p w:rsidR="00485E73" w:rsidRPr="00B40A41" w:rsidRDefault="00485E73" w:rsidP="00485E73">
            <w:pPr>
              <w:keepNext/>
              <w:ind w:left="-108"/>
              <w:jc w:val="center"/>
              <w:rPr>
                <w:rFonts w:ascii="Arial Narrow" w:eastAsia="Calibri" w:hAnsi="Arial Narrow"/>
                <w:sz w:val="18"/>
                <w:szCs w:val="18"/>
                <w:lang w:eastAsia="en-US"/>
              </w:rPr>
            </w:pPr>
          </w:p>
          <w:p w:rsidR="00485E73" w:rsidRPr="00B40A41" w:rsidRDefault="00485E73" w:rsidP="00485E73">
            <w:pPr>
              <w:keepNext/>
              <w:ind w:left="-108"/>
              <w:jc w:val="center"/>
              <w:rPr>
                <w:rFonts w:ascii="Arial Narrow" w:eastAsia="Calibri" w:hAnsi="Arial Narrow"/>
                <w:sz w:val="18"/>
                <w:szCs w:val="18"/>
                <w:lang w:eastAsia="en-US"/>
              </w:rPr>
            </w:pPr>
            <w:r w:rsidRPr="00B40A41">
              <w:rPr>
                <w:rFonts w:ascii="Arial Narrow" w:eastAsia="Calibri" w:hAnsi="Arial Narrow"/>
                <w:sz w:val="18"/>
                <w:szCs w:val="18"/>
                <w:lang w:eastAsia="en-US"/>
              </w:rPr>
              <w:t>3</w:t>
            </w:r>
          </w:p>
        </w:tc>
        <w:tc>
          <w:tcPr>
            <w:tcW w:w="2977" w:type="dxa"/>
          </w:tcPr>
          <w:p w:rsidR="00485E73" w:rsidRPr="00B40A41" w:rsidRDefault="00485E73" w:rsidP="00485E73">
            <w:pPr>
              <w:keepNext/>
              <w:jc w:val="left"/>
              <w:rPr>
                <w:rFonts w:ascii="Arial Narrow" w:eastAsia="Calibri" w:hAnsi="Arial Narrow" w:cs="Times New Roman"/>
                <w:sz w:val="18"/>
                <w:szCs w:val="18"/>
                <w:lang w:eastAsia="en-US"/>
              </w:rPr>
            </w:pPr>
          </w:p>
          <w:p w:rsidR="00485E73" w:rsidRPr="00B40A41" w:rsidRDefault="00485E73" w:rsidP="00485E73">
            <w:pPr>
              <w:keepNext/>
              <w:jc w:val="left"/>
              <w:rPr>
                <w:rFonts w:ascii="Arial Narrow" w:eastAsia="Calibri" w:hAnsi="Arial Narrow"/>
                <w:sz w:val="18"/>
                <w:szCs w:val="18"/>
                <w:lang w:eastAsia="en-US"/>
              </w:rPr>
            </w:pPr>
            <w:r w:rsidRPr="00B40A41">
              <w:rPr>
                <w:rFonts w:ascii="Arial Narrow" w:hAnsi="Arial Narrow"/>
                <w:sz w:val="18"/>
                <w:szCs w:val="18"/>
              </w:rPr>
              <w:t>Merck Sharp &amp; Dohme (Australia) Pty Ltd</w:t>
            </w:r>
          </w:p>
        </w:tc>
      </w:tr>
      <w:tr w:rsidR="00485E73" w:rsidRPr="00B40A41" w:rsidTr="00485E73">
        <w:trPr>
          <w:cantSplit/>
          <w:trHeight w:val="225"/>
        </w:trPr>
        <w:tc>
          <w:tcPr>
            <w:tcW w:w="8926" w:type="dxa"/>
            <w:gridSpan w:val="5"/>
          </w:tcPr>
          <w:p w:rsidR="00485E73" w:rsidRPr="00B40A41" w:rsidRDefault="00485E73" w:rsidP="00485E73">
            <w:pPr>
              <w:keepNext/>
              <w:jc w:val="left"/>
              <w:rPr>
                <w:rFonts w:ascii="Arial Narrow" w:eastAsia="Calibri" w:hAnsi="Arial Narrow" w:cs="Times New Roman"/>
                <w:b/>
                <w:sz w:val="18"/>
                <w:szCs w:val="18"/>
                <w:lang w:eastAsia="en-US"/>
              </w:rPr>
            </w:pPr>
            <w:r w:rsidRPr="00B40A41">
              <w:rPr>
                <w:rFonts w:ascii="Arial Narrow" w:eastAsia="Calibri" w:hAnsi="Arial Narrow" w:cs="Times New Roman"/>
                <w:b/>
                <w:sz w:val="18"/>
                <w:szCs w:val="18"/>
                <w:lang w:eastAsia="en-US"/>
              </w:rPr>
              <w:t>Available brands</w:t>
            </w:r>
          </w:p>
        </w:tc>
      </w:tr>
      <w:tr w:rsidR="00485E73" w:rsidRPr="00B40A41" w:rsidTr="00485E73">
        <w:trPr>
          <w:cantSplit/>
          <w:trHeight w:val="360"/>
        </w:trPr>
        <w:tc>
          <w:tcPr>
            <w:tcW w:w="8926" w:type="dxa"/>
            <w:gridSpan w:val="5"/>
          </w:tcPr>
          <w:p w:rsidR="00485E73" w:rsidRPr="00B40A41" w:rsidRDefault="00485E73" w:rsidP="00485E73">
            <w:pPr>
              <w:rPr>
                <w:rFonts w:ascii="Arial Narrow" w:eastAsia="Calibri" w:hAnsi="Arial Narrow"/>
                <w:sz w:val="18"/>
                <w:szCs w:val="18"/>
                <w:lang w:eastAsia="en-US"/>
              </w:rPr>
            </w:pPr>
            <w:r w:rsidRPr="00B40A41">
              <w:rPr>
                <w:rFonts w:ascii="Arial Narrow" w:eastAsia="Calibri" w:hAnsi="Arial Narrow"/>
                <w:sz w:val="18"/>
                <w:szCs w:val="18"/>
                <w:lang w:eastAsia="en-US"/>
              </w:rPr>
              <w:t>Keytruda</w:t>
            </w:r>
          </w:p>
          <w:p w:rsidR="00485E73" w:rsidRPr="00B40A41" w:rsidRDefault="00485E73" w:rsidP="00485E73">
            <w:pPr>
              <w:rPr>
                <w:rFonts w:ascii="Arial Narrow" w:eastAsia="Calibri" w:hAnsi="Arial Narrow"/>
                <w:sz w:val="18"/>
                <w:szCs w:val="18"/>
                <w:lang w:eastAsia="en-US"/>
              </w:rPr>
            </w:pPr>
            <w:r w:rsidRPr="00B40A41">
              <w:rPr>
                <w:rFonts w:ascii="Arial Narrow" w:eastAsia="Calibri" w:hAnsi="Arial Narrow"/>
                <w:sz w:val="18"/>
                <w:szCs w:val="18"/>
                <w:lang w:eastAsia="en-US"/>
              </w:rPr>
              <w:t>(pembrolizumab 100 mg/4 mL injection, 4 mL vial)</w:t>
            </w:r>
          </w:p>
        </w:tc>
      </w:tr>
    </w:tbl>
    <w:p w:rsidR="00485E73" w:rsidRPr="00B40A41" w:rsidRDefault="00485E73" w:rsidP="00485E73">
      <w:pPr>
        <w:rPr>
          <w:rFonts w:ascii="Arial Narrow" w:hAnsi="Arial Narrow" w:cstheme="minorHAnsi"/>
          <w:b/>
          <w:sz w:val="18"/>
          <w:szCs w:val="18"/>
        </w:rPr>
      </w:pPr>
    </w:p>
    <w:tbl>
      <w:tblPr>
        <w:tblW w:w="8926" w:type="dxa"/>
        <w:tblLayout w:type="fixed"/>
        <w:tblLook w:val="0000" w:firstRow="0" w:lastRow="0" w:firstColumn="0" w:lastColumn="0" w:noHBand="0" w:noVBand="0"/>
      </w:tblPr>
      <w:tblGrid>
        <w:gridCol w:w="8926"/>
      </w:tblGrid>
      <w:tr w:rsidR="00D15784" w:rsidRPr="00B40A41" w:rsidTr="00D15784">
        <w:trPr>
          <w:cantSplit/>
          <w:trHeight w:val="203"/>
        </w:trPr>
        <w:tc>
          <w:tcPr>
            <w:tcW w:w="8926" w:type="dxa"/>
            <w:tcBorders>
              <w:top w:val="single" w:sz="4" w:space="0" w:color="auto"/>
              <w:left w:val="single" w:sz="4" w:space="0" w:color="auto"/>
              <w:bottom w:val="single" w:sz="4" w:space="0" w:color="auto"/>
              <w:right w:val="single" w:sz="4" w:space="0" w:color="auto"/>
            </w:tcBorders>
            <w:tcMar>
              <w:left w:w="28" w:type="dxa"/>
              <w:right w:w="28" w:type="dxa"/>
            </w:tcMar>
          </w:tcPr>
          <w:p w:rsidR="00D15784" w:rsidRPr="00B40A41" w:rsidRDefault="00D15784" w:rsidP="00485E73">
            <w:pPr>
              <w:keepLines/>
              <w:rPr>
                <w:rFonts w:ascii="Arial Narrow" w:eastAsia="Calibri" w:hAnsi="Arial Narrow"/>
                <w:sz w:val="18"/>
                <w:szCs w:val="18"/>
              </w:rPr>
            </w:pPr>
            <w:r w:rsidRPr="00B40A41">
              <w:rPr>
                <w:rFonts w:ascii="Arial Narrow" w:eastAsia="Calibri" w:hAnsi="Arial Narrow"/>
                <w:b/>
                <w:sz w:val="18"/>
                <w:szCs w:val="18"/>
              </w:rPr>
              <w:t>Category/Program:</w:t>
            </w:r>
            <w:r w:rsidRPr="00B40A41">
              <w:rPr>
                <w:rFonts w:ascii="Arial Narrow" w:eastAsia="Calibri" w:hAnsi="Arial Narrow"/>
                <w:sz w:val="18"/>
                <w:szCs w:val="18"/>
              </w:rPr>
              <w:t xml:space="preserve"> Section 100 Efficient Funding of Chemotherapy</w:t>
            </w:r>
          </w:p>
        </w:tc>
      </w:tr>
      <w:tr w:rsidR="00D15784" w:rsidRPr="00B40A41" w:rsidTr="00D15784">
        <w:trPr>
          <w:cantSplit/>
          <w:trHeight w:val="250"/>
        </w:trPr>
        <w:tc>
          <w:tcPr>
            <w:tcW w:w="8926" w:type="dxa"/>
            <w:tcBorders>
              <w:top w:val="single" w:sz="4" w:space="0" w:color="auto"/>
              <w:left w:val="single" w:sz="4" w:space="0" w:color="auto"/>
              <w:bottom w:val="single" w:sz="4" w:space="0" w:color="auto"/>
              <w:right w:val="single" w:sz="4" w:space="0" w:color="auto"/>
            </w:tcBorders>
            <w:tcMar>
              <w:left w:w="28" w:type="dxa"/>
              <w:right w:w="28" w:type="dxa"/>
            </w:tcMar>
          </w:tcPr>
          <w:p w:rsidR="00D15784" w:rsidRPr="00B40A41" w:rsidRDefault="00D15784" w:rsidP="00485E73">
            <w:pPr>
              <w:keepLines/>
              <w:rPr>
                <w:rFonts w:ascii="Arial Narrow" w:eastAsia="Calibri" w:hAnsi="Arial Narrow"/>
                <w:sz w:val="18"/>
                <w:szCs w:val="18"/>
              </w:rPr>
            </w:pPr>
            <w:r w:rsidRPr="00B40A41">
              <w:rPr>
                <w:rFonts w:ascii="Arial Narrow" w:eastAsia="Calibri" w:hAnsi="Arial Narrow"/>
                <w:b/>
                <w:sz w:val="18"/>
                <w:szCs w:val="18"/>
              </w:rPr>
              <w:t>Prescriber type:</w:t>
            </w:r>
            <w:r w:rsidRPr="00B40A41">
              <w:rPr>
                <w:rFonts w:ascii="Arial Narrow" w:eastAsia="Calibri" w:hAnsi="Arial Narrow"/>
                <w:sz w:val="18"/>
                <w:szCs w:val="18"/>
              </w:rPr>
              <w:t xml:space="preserve">  </w:t>
            </w:r>
            <w:r w:rsidRPr="00B40A41">
              <w:rPr>
                <w:rFonts w:ascii="Arial Narrow" w:eastAsia="Calibri" w:hAnsi="Arial Narrow"/>
                <w:sz w:val="18"/>
                <w:szCs w:val="18"/>
              </w:rPr>
              <w:fldChar w:fldCharType="begin">
                <w:ffData>
                  <w:name w:val="Check1"/>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Dental </w:t>
            </w:r>
            <w:r w:rsidRPr="00B40A41">
              <w:rPr>
                <w:rFonts w:ascii="Arial Narrow" w:eastAsia="Calibri" w:hAnsi="Arial Narrow"/>
                <w:sz w:val="18"/>
                <w:szCs w:val="18"/>
              </w:rPr>
              <w:fldChar w:fldCharType="begin">
                <w:ffData>
                  <w:name w:val=""/>
                  <w:enabled/>
                  <w:calcOnExit w:val="0"/>
                  <w:checkBox>
                    <w:sizeAuto/>
                    <w:default w:val="1"/>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Medical Practitioners </w:t>
            </w:r>
            <w:r w:rsidRPr="00B40A41">
              <w:rPr>
                <w:rFonts w:ascii="Arial Narrow" w:eastAsia="Calibri" w:hAnsi="Arial Narrow"/>
                <w:sz w:val="18"/>
                <w:szCs w:val="18"/>
              </w:rPr>
              <w:fldChar w:fldCharType="begin">
                <w:ffData>
                  <w:name w:val="Check3"/>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Nurse practitioners </w:t>
            </w:r>
            <w:r w:rsidRPr="00B40A41">
              <w:rPr>
                <w:rFonts w:ascii="Arial Narrow" w:eastAsia="Calibri" w:hAnsi="Arial Narrow"/>
                <w:sz w:val="18"/>
                <w:szCs w:val="18"/>
              </w:rPr>
              <w:fldChar w:fldCharType="begin">
                <w:ffData>
                  <w:name w:val=""/>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 xml:space="preserve">Optometrists </w:t>
            </w:r>
            <w:r w:rsidRPr="00B40A41">
              <w:rPr>
                <w:rFonts w:ascii="Arial Narrow" w:eastAsia="Calibri" w:hAnsi="Arial Narrow"/>
                <w:sz w:val="18"/>
                <w:szCs w:val="18"/>
              </w:rPr>
              <w:fldChar w:fldCharType="begin">
                <w:ffData>
                  <w:name w:val="Check5"/>
                  <w:enabled/>
                  <w:calcOnExit w:val="0"/>
                  <w:checkBox>
                    <w:sizeAuto/>
                    <w:default w:val="0"/>
                  </w:checkBox>
                </w:ffData>
              </w:fldChar>
            </w:r>
            <w:r w:rsidRPr="00B40A41">
              <w:rPr>
                <w:rFonts w:ascii="Arial Narrow" w:eastAsia="Calibri" w:hAnsi="Arial Narrow"/>
                <w:sz w:val="18"/>
                <w:szCs w:val="18"/>
              </w:rPr>
              <w:instrText xml:space="preserve"> FORMCHECKBOX </w:instrText>
            </w:r>
            <w:r w:rsidR="004B18CD">
              <w:rPr>
                <w:rFonts w:ascii="Arial Narrow" w:eastAsia="Calibri" w:hAnsi="Arial Narrow"/>
                <w:sz w:val="18"/>
                <w:szCs w:val="18"/>
              </w:rPr>
            </w:r>
            <w:r w:rsidR="004B18CD">
              <w:rPr>
                <w:rFonts w:ascii="Arial Narrow" w:eastAsia="Calibri" w:hAnsi="Arial Narrow"/>
                <w:sz w:val="18"/>
                <w:szCs w:val="18"/>
              </w:rPr>
              <w:fldChar w:fldCharType="separate"/>
            </w:r>
            <w:r w:rsidRPr="00B40A41">
              <w:rPr>
                <w:rFonts w:ascii="Arial Narrow" w:eastAsia="Calibri" w:hAnsi="Arial Narrow"/>
                <w:sz w:val="18"/>
                <w:szCs w:val="18"/>
              </w:rPr>
              <w:fldChar w:fldCharType="end"/>
            </w:r>
            <w:r w:rsidRPr="00B40A41">
              <w:rPr>
                <w:rFonts w:ascii="Arial Narrow" w:eastAsia="Calibri" w:hAnsi="Arial Narrow"/>
                <w:sz w:val="18"/>
                <w:szCs w:val="18"/>
              </w:rPr>
              <w:t>Midwives</w:t>
            </w:r>
          </w:p>
        </w:tc>
      </w:tr>
      <w:tr w:rsidR="00D15784" w:rsidRPr="00B40A41" w:rsidTr="00D15784">
        <w:trPr>
          <w:cantSplit/>
          <w:trHeight w:val="250"/>
        </w:trPr>
        <w:tc>
          <w:tcPr>
            <w:tcW w:w="8926" w:type="dxa"/>
            <w:tcBorders>
              <w:top w:val="single" w:sz="4" w:space="0" w:color="auto"/>
              <w:left w:val="single" w:sz="4" w:space="0" w:color="auto"/>
              <w:bottom w:val="single" w:sz="4" w:space="0" w:color="auto"/>
              <w:right w:val="single" w:sz="4" w:space="0" w:color="auto"/>
            </w:tcBorders>
            <w:tcMar>
              <w:left w:w="28" w:type="dxa"/>
              <w:right w:w="28" w:type="dxa"/>
            </w:tcMar>
          </w:tcPr>
          <w:p w:rsidR="00D15784" w:rsidRPr="00B40A41" w:rsidRDefault="00D15784" w:rsidP="00D15784">
            <w:pPr>
              <w:pStyle w:val="TableText0"/>
              <w:keepNext w:val="0"/>
              <w:keepLines/>
              <w:rPr>
                <w:rFonts w:cs="Times New Roman"/>
                <w:sz w:val="18"/>
                <w:szCs w:val="18"/>
              </w:rPr>
            </w:pPr>
            <w:r w:rsidRPr="00B40A41">
              <w:rPr>
                <w:rFonts w:cs="Times New Roman"/>
                <w:b/>
                <w:sz w:val="18"/>
                <w:szCs w:val="18"/>
              </w:rPr>
              <w:t xml:space="preserve">Restriction Level / Method: </w:t>
            </w:r>
            <w:r w:rsidRPr="00B40A41">
              <w:rPr>
                <w:sz w:val="18"/>
                <w:szCs w:val="18"/>
              </w:rPr>
              <w:fldChar w:fldCharType="begin">
                <w:ffData>
                  <w:name w:val="Check5"/>
                  <w:enabled/>
                  <w:calcOnExit w:val="0"/>
                  <w:checkBox>
                    <w:sizeAuto/>
                    <w:default w:val="1"/>
                  </w:checkBox>
                </w:ffData>
              </w:fldChar>
            </w:r>
            <w:r w:rsidRPr="00B40A41">
              <w:rPr>
                <w:sz w:val="18"/>
                <w:szCs w:val="18"/>
              </w:rPr>
              <w:instrText xml:space="preserve"> FORMCHECKBOX </w:instrText>
            </w:r>
            <w:r w:rsidR="004B18CD">
              <w:rPr>
                <w:sz w:val="18"/>
                <w:szCs w:val="18"/>
              </w:rPr>
            </w:r>
            <w:r w:rsidR="004B18CD">
              <w:rPr>
                <w:sz w:val="18"/>
                <w:szCs w:val="18"/>
              </w:rPr>
              <w:fldChar w:fldCharType="separate"/>
            </w:r>
            <w:r w:rsidRPr="00B40A41">
              <w:rPr>
                <w:sz w:val="18"/>
                <w:szCs w:val="18"/>
              </w:rPr>
              <w:fldChar w:fldCharType="end"/>
            </w:r>
            <w:r w:rsidRPr="00B40A41">
              <w:rPr>
                <w:sz w:val="18"/>
                <w:szCs w:val="18"/>
              </w:rPr>
              <w:t xml:space="preserve"> Authority Required - Streamlined (NEW CODE)</w:t>
            </w:r>
          </w:p>
        </w:tc>
      </w:tr>
      <w:tr w:rsidR="00D15784" w:rsidRPr="00B40A41" w:rsidTr="006A4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906"/>
        </w:trPr>
        <w:tc>
          <w:tcPr>
            <w:tcW w:w="8926" w:type="dxa"/>
            <w:vAlign w:val="center"/>
          </w:tcPr>
          <w:p w:rsidR="00D15784" w:rsidRPr="00B40A41" w:rsidRDefault="00D15784" w:rsidP="00485E73">
            <w:pPr>
              <w:keepLines/>
              <w:rPr>
                <w:rFonts w:ascii="Arial Narrow" w:hAnsi="Arial Narrow"/>
                <w:sz w:val="18"/>
                <w:szCs w:val="18"/>
              </w:rPr>
            </w:pPr>
            <w:r w:rsidRPr="00B40A41">
              <w:rPr>
                <w:rFonts w:ascii="Arial Narrow" w:hAnsi="Arial Narrow"/>
                <w:b/>
                <w:bCs/>
                <w:sz w:val="18"/>
                <w:szCs w:val="18"/>
              </w:rPr>
              <w:t>Administrative Advice:</w:t>
            </w:r>
            <w:r w:rsidRPr="00B40A41">
              <w:rPr>
                <w:rFonts w:ascii="Arial Narrow" w:hAnsi="Arial Narrow"/>
                <w:sz w:val="18"/>
                <w:szCs w:val="18"/>
              </w:rPr>
              <w:t xml:space="preserve"> </w:t>
            </w:r>
          </w:p>
          <w:p w:rsidR="00D15784" w:rsidRPr="00B40A41" w:rsidRDefault="00D15784" w:rsidP="00485E73">
            <w:pPr>
              <w:keepLines/>
              <w:rPr>
                <w:rFonts w:ascii="Arial Narrow" w:hAnsi="Arial Narrow"/>
                <w:b/>
                <w:bCs/>
                <w:sz w:val="18"/>
                <w:szCs w:val="18"/>
              </w:rPr>
            </w:pPr>
            <w:r w:rsidRPr="00B40A41">
              <w:rPr>
                <w:rFonts w:ascii="Arial Narrow" w:hAnsi="Arial Narrow"/>
                <w:sz w:val="18"/>
                <w:szCs w:val="18"/>
              </w:rPr>
              <w:t>No increase in the maximum number of repeats may be authorised.</w:t>
            </w:r>
          </w:p>
          <w:p w:rsidR="00D15784" w:rsidRPr="00B40A41" w:rsidRDefault="00D15784" w:rsidP="00485E73">
            <w:pPr>
              <w:keepLines/>
              <w:rPr>
                <w:rFonts w:ascii="Arial Narrow" w:hAnsi="Arial Narrow"/>
                <w:b/>
                <w:bCs/>
                <w:sz w:val="18"/>
                <w:szCs w:val="18"/>
              </w:rPr>
            </w:pPr>
            <w:r w:rsidRPr="00B40A41">
              <w:rPr>
                <w:rFonts w:ascii="Arial Narrow" w:hAnsi="Arial Narrow"/>
                <w:sz w:val="18"/>
                <w:szCs w:val="18"/>
              </w:rPr>
              <w:t>Special Pricing Arrangements apply.</w:t>
            </w:r>
          </w:p>
          <w:p w:rsidR="00D15784" w:rsidRPr="00B40A41" w:rsidRDefault="00D15784" w:rsidP="00485E73">
            <w:pPr>
              <w:keepLines/>
              <w:rPr>
                <w:rFonts w:ascii="Arial Narrow" w:hAnsi="Arial Narrow"/>
                <w:b/>
                <w:bCs/>
                <w:sz w:val="18"/>
                <w:szCs w:val="18"/>
              </w:rPr>
            </w:pPr>
            <w:r w:rsidRPr="00B40A41">
              <w:rPr>
                <w:rFonts w:ascii="Arial Narrow" w:hAnsi="Arial Narrow"/>
                <w:sz w:val="18"/>
                <w:szCs w:val="18"/>
              </w:rPr>
              <w:t xml:space="preserve">Patient </w:t>
            </w:r>
            <w:proofErr w:type="gramStart"/>
            <w:r w:rsidRPr="00B40A41">
              <w:rPr>
                <w:rFonts w:ascii="Arial Narrow" w:hAnsi="Arial Narrow"/>
                <w:sz w:val="18"/>
                <w:szCs w:val="18"/>
              </w:rPr>
              <w:t>should be treated</w:t>
            </w:r>
            <w:proofErr w:type="gramEnd"/>
            <w:r w:rsidRPr="00B40A41">
              <w:rPr>
                <w:rFonts w:ascii="Arial Narrow" w:hAnsi="Arial Narrow"/>
                <w:sz w:val="18"/>
                <w:szCs w:val="18"/>
              </w:rPr>
              <w:t xml:space="preserve"> with the recommended dose of pembrolizumab according to the TGA-approved Product Information.</w:t>
            </w:r>
          </w:p>
        </w:tc>
      </w:tr>
      <w:tr w:rsidR="00D15784"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64"/>
        </w:trPr>
        <w:tc>
          <w:tcPr>
            <w:tcW w:w="8926" w:type="dxa"/>
            <w:vAlign w:val="center"/>
            <w:hideMark/>
          </w:tcPr>
          <w:p w:rsidR="00D15784" w:rsidRPr="00B40A41" w:rsidRDefault="00D15784" w:rsidP="00485E73">
            <w:pPr>
              <w:keepLines/>
              <w:rPr>
                <w:rFonts w:ascii="Arial Narrow" w:hAnsi="Arial Narrow"/>
                <w:sz w:val="18"/>
                <w:szCs w:val="18"/>
              </w:rPr>
            </w:pPr>
            <w:r w:rsidRPr="00B40A41">
              <w:rPr>
                <w:rFonts w:ascii="Arial Narrow" w:hAnsi="Arial Narrow"/>
                <w:b/>
                <w:bCs/>
                <w:sz w:val="18"/>
                <w:szCs w:val="18"/>
              </w:rPr>
              <w:t>Indication:</w:t>
            </w:r>
            <w:r w:rsidRPr="00B40A41">
              <w:rPr>
                <w:rFonts w:ascii="Arial Narrow" w:hAnsi="Arial Narrow"/>
                <w:sz w:val="18"/>
                <w:szCs w:val="18"/>
              </w:rPr>
              <w:t xml:space="preserve"> Unresectable Stage III or Stage IV malignant melanoma</w:t>
            </w:r>
          </w:p>
        </w:tc>
      </w:tr>
      <w:tr w:rsidR="00D15784"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bottom w:val="single" w:sz="4" w:space="0" w:color="auto"/>
            </w:tcBorders>
            <w:vAlign w:val="center"/>
            <w:hideMark/>
          </w:tcPr>
          <w:p w:rsidR="00D15784" w:rsidRPr="00B40A41" w:rsidRDefault="00D15784" w:rsidP="00485E73">
            <w:pPr>
              <w:keepLines/>
              <w:rPr>
                <w:rFonts w:ascii="Arial Narrow" w:hAnsi="Arial Narrow"/>
                <w:sz w:val="18"/>
                <w:szCs w:val="18"/>
              </w:rPr>
            </w:pPr>
            <w:r w:rsidRPr="00B40A41">
              <w:rPr>
                <w:rFonts w:ascii="Arial Narrow" w:hAnsi="Arial Narrow"/>
                <w:b/>
                <w:bCs/>
                <w:sz w:val="18"/>
                <w:szCs w:val="18"/>
              </w:rPr>
              <w:t>Treatment Phase:</w:t>
            </w:r>
            <w:r w:rsidRPr="00B40A41">
              <w:rPr>
                <w:rFonts w:ascii="Arial Narrow" w:hAnsi="Arial Narrow"/>
                <w:sz w:val="18"/>
                <w:szCs w:val="18"/>
              </w:rPr>
              <w:t xml:space="preserve"> Continuing treatment – 6 weekly treatment regimen</w:t>
            </w:r>
          </w:p>
        </w:tc>
      </w:tr>
      <w:tr w:rsidR="00D15784"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single" w:sz="4" w:space="0" w:color="auto"/>
              <w:left w:val="single" w:sz="4" w:space="0" w:color="auto"/>
              <w:bottom w:val="nil"/>
              <w:right w:val="single" w:sz="4" w:space="0" w:color="auto"/>
            </w:tcBorders>
            <w:vAlign w:val="center"/>
          </w:tcPr>
          <w:p w:rsidR="00D15784" w:rsidRPr="00B40A41" w:rsidRDefault="00D15784" w:rsidP="00485E73">
            <w:pPr>
              <w:keepLines/>
              <w:rPr>
                <w:rFonts w:ascii="Arial Narrow" w:hAnsi="Arial Narrow"/>
                <w:b/>
                <w:bCs/>
                <w:sz w:val="18"/>
                <w:szCs w:val="18"/>
              </w:rPr>
            </w:pPr>
            <w:r w:rsidRPr="00B40A41">
              <w:rPr>
                <w:rFonts w:ascii="Arial Narrow" w:hAnsi="Arial Narrow"/>
                <w:b/>
                <w:bCs/>
                <w:sz w:val="18"/>
                <w:szCs w:val="18"/>
              </w:rPr>
              <w:t>Clinical criteria:</w:t>
            </w:r>
          </w:p>
        </w:tc>
      </w:tr>
      <w:tr w:rsidR="00D15784"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left w:val="single" w:sz="4" w:space="0" w:color="auto"/>
              <w:bottom w:val="nil"/>
              <w:right w:val="single" w:sz="4" w:space="0" w:color="auto"/>
            </w:tcBorders>
            <w:vAlign w:val="center"/>
          </w:tcPr>
          <w:p w:rsidR="00D15784" w:rsidRPr="00B40A41" w:rsidRDefault="00D15784" w:rsidP="00D15784">
            <w:pPr>
              <w:pStyle w:val="ListParagraph"/>
              <w:keepLines/>
              <w:numPr>
                <w:ilvl w:val="0"/>
                <w:numId w:val="49"/>
              </w:numPr>
              <w:spacing w:after="0"/>
              <w:ind w:left="714" w:hanging="357"/>
              <w:rPr>
                <w:rFonts w:ascii="Arial Narrow" w:hAnsi="Arial Narrow"/>
                <w:bCs/>
                <w:sz w:val="18"/>
                <w:szCs w:val="18"/>
              </w:rPr>
            </w:pPr>
            <w:r w:rsidRPr="00B40A41">
              <w:rPr>
                <w:rFonts w:ascii="Arial Narrow" w:hAnsi="Arial Narrow"/>
                <w:bCs/>
                <w:sz w:val="18"/>
                <w:szCs w:val="18"/>
              </w:rPr>
              <w:t>The treatment must be the sole PBS-subsidised therapy for this condition</w:t>
            </w:r>
          </w:p>
        </w:tc>
      </w:tr>
      <w:tr w:rsidR="00D15784"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left w:val="single" w:sz="4" w:space="0" w:color="auto"/>
              <w:bottom w:val="nil"/>
              <w:right w:val="single" w:sz="4" w:space="0" w:color="auto"/>
            </w:tcBorders>
            <w:vAlign w:val="center"/>
          </w:tcPr>
          <w:p w:rsidR="00D15784" w:rsidRPr="00B40A41" w:rsidRDefault="00D15784" w:rsidP="00D15784">
            <w:pPr>
              <w:pStyle w:val="ListParagraph"/>
              <w:keepLines/>
              <w:numPr>
                <w:ilvl w:val="0"/>
                <w:numId w:val="0"/>
              </w:numPr>
              <w:spacing w:after="0"/>
              <w:ind w:left="714"/>
              <w:rPr>
                <w:rFonts w:ascii="Arial Narrow" w:hAnsi="Arial Narrow"/>
                <w:b/>
                <w:bCs/>
                <w:sz w:val="18"/>
                <w:szCs w:val="18"/>
              </w:rPr>
            </w:pPr>
            <w:r w:rsidRPr="00B40A41">
              <w:rPr>
                <w:rFonts w:ascii="Arial Narrow" w:hAnsi="Arial Narrow"/>
                <w:b/>
                <w:bCs/>
                <w:sz w:val="18"/>
                <w:szCs w:val="18"/>
              </w:rPr>
              <w:t>AND</w:t>
            </w:r>
          </w:p>
        </w:tc>
      </w:tr>
      <w:tr w:rsidR="00D15784"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left w:val="single" w:sz="4" w:space="0" w:color="auto"/>
              <w:bottom w:val="nil"/>
              <w:right w:val="single" w:sz="4" w:space="0" w:color="auto"/>
            </w:tcBorders>
            <w:vAlign w:val="center"/>
          </w:tcPr>
          <w:p w:rsidR="00D15784" w:rsidRPr="00B40A41" w:rsidRDefault="00D15784" w:rsidP="00D15784">
            <w:pPr>
              <w:pStyle w:val="ListParagraph"/>
              <w:keepLines/>
              <w:numPr>
                <w:ilvl w:val="0"/>
                <w:numId w:val="49"/>
              </w:numPr>
              <w:spacing w:after="0"/>
              <w:ind w:left="714" w:hanging="357"/>
              <w:rPr>
                <w:rFonts w:ascii="Arial Narrow" w:hAnsi="Arial Narrow"/>
                <w:bCs/>
                <w:sz w:val="18"/>
                <w:szCs w:val="18"/>
              </w:rPr>
            </w:pPr>
            <w:r w:rsidRPr="00B40A41">
              <w:rPr>
                <w:rFonts w:ascii="Arial Narrow" w:hAnsi="Arial Narrow"/>
                <w:bCs/>
                <w:sz w:val="18"/>
                <w:szCs w:val="18"/>
              </w:rPr>
              <w:t>Patient must have previously been issued with an authority prescription for this drug for this condition</w:t>
            </w:r>
          </w:p>
        </w:tc>
      </w:tr>
      <w:tr w:rsidR="00D15784"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left w:val="single" w:sz="4" w:space="0" w:color="auto"/>
              <w:bottom w:val="nil"/>
              <w:right w:val="single" w:sz="4" w:space="0" w:color="auto"/>
            </w:tcBorders>
            <w:vAlign w:val="center"/>
          </w:tcPr>
          <w:p w:rsidR="00D15784" w:rsidRPr="00B40A41" w:rsidRDefault="00D15784" w:rsidP="00D15784">
            <w:pPr>
              <w:pStyle w:val="ListParagraph"/>
              <w:keepLines/>
              <w:numPr>
                <w:ilvl w:val="0"/>
                <w:numId w:val="0"/>
              </w:numPr>
              <w:spacing w:after="0"/>
              <w:ind w:left="714"/>
              <w:rPr>
                <w:rFonts w:ascii="Arial Narrow" w:hAnsi="Arial Narrow"/>
                <w:b/>
                <w:bCs/>
                <w:sz w:val="18"/>
                <w:szCs w:val="18"/>
              </w:rPr>
            </w:pPr>
            <w:r w:rsidRPr="00B40A41">
              <w:rPr>
                <w:rFonts w:ascii="Arial Narrow" w:hAnsi="Arial Narrow"/>
                <w:b/>
                <w:bCs/>
                <w:sz w:val="18"/>
                <w:szCs w:val="18"/>
              </w:rPr>
              <w:t>AND</w:t>
            </w:r>
          </w:p>
        </w:tc>
      </w:tr>
      <w:tr w:rsidR="00D15784" w:rsidRPr="00B40A41" w:rsidTr="00D15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926" w:type="dxa"/>
            <w:tcBorders>
              <w:top w:val="nil"/>
              <w:left w:val="single" w:sz="4" w:space="0" w:color="auto"/>
              <w:bottom w:val="single" w:sz="4" w:space="0" w:color="auto"/>
              <w:right w:val="single" w:sz="4" w:space="0" w:color="auto"/>
            </w:tcBorders>
            <w:vAlign w:val="center"/>
          </w:tcPr>
          <w:p w:rsidR="00D15784" w:rsidRPr="00B40A41" w:rsidRDefault="00D15784" w:rsidP="00D15784">
            <w:pPr>
              <w:pStyle w:val="ListParagraph"/>
              <w:keepLines/>
              <w:numPr>
                <w:ilvl w:val="0"/>
                <w:numId w:val="49"/>
              </w:numPr>
              <w:spacing w:after="0"/>
              <w:ind w:left="714" w:hanging="357"/>
              <w:rPr>
                <w:rFonts w:ascii="Arial Narrow" w:hAnsi="Arial Narrow"/>
                <w:bCs/>
                <w:sz w:val="18"/>
                <w:szCs w:val="18"/>
              </w:rPr>
            </w:pPr>
            <w:r w:rsidRPr="00B40A41">
              <w:rPr>
                <w:rFonts w:ascii="Arial Narrow" w:hAnsi="Arial Narrow"/>
                <w:bCs/>
                <w:sz w:val="18"/>
                <w:szCs w:val="18"/>
              </w:rPr>
              <w:t>Patient must have stable or responding disease</w:t>
            </w:r>
          </w:p>
        </w:tc>
      </w:tr>
    </w:tbl>
    <w:p w:rsidR="00485E73" w:rsidRPr="00B40A41" w:rsidRDefault="00485E73" w:rsidP="00485E73">
      <w:pPr>
        <w:rPr>
          <w:rFonts w:asciiTheme="minorHAnsi" w:hAnsiTheme="minorHAnsi" w:cstheme="minorHAnsi"/>
        </w:rPr>
      </w:pPr>
    </w:p>
    <w:p w:rsidR="00AB22BA" w:rsidRDefault="00424993" w:rsidP="00AC3125">
      <w:pPr>
        <w:rPr>
          <w:rFonts w:asciiTheme="minorHAnsi" w:hAnsiTheme="minorHAnsi" w:cstheme="minorHAnsi"/>
          <w:b/>
          <w:i/>
          <w:szCs w:val="22"/>
        </w:rPr>
      </w:pPr>
      <w:r w:rsidRPr="00424993">
        <w:rPr>
          <w:rFonts w:asciiTheme="minorHAnsi" w:hAnsiTheme="minorHAnsi" w:cstheme="minorHAnsi"/>
          <w:b/>
          <w:i/>
          <w:szCs w:val="22"/>
        </w:rPr>
        <w:t>This restriction may be subject to further review. Should there be any changes made to the restriction the Sponsor will be informed.</w:t>
      </w:r>
    </w:p>
    <w:p w:rsidR="00AB22BA" w:rsidRDefault="00AB22BA" w:rsidP="00AB22BA">
      <w:pPr>
        <w:pStyle w:val="2Sections"/>
        <w:numPr>
          <w:ilvl w:val="0"/>
          <w:numId w:val="1"/>
        </w:numPr>
        <w:rPr>
          <w:color w:val="1F497D"/>
        </w:rPr>
      </w:pPr>
      <w:r w:rsidRPr="00C07617">
        <w:lastRenderedPageBreak/>
        <w:t>Context for Decision</w:t>
      </w:r>
    </w:p>
    <w:p w:rsidR="00AB22BA" w:rsidRPr="007129F2" w:rsidRDefault="00AB22BA" w:rsidP="001B10FD">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bCs/>
          <w:lang w:val="en-GB"/>
        </w:rPr>
        <w:t>should be made</w:t>
      </w:r>
      <w:proofErr w:type="gramEnd"/>
      <w:r w:rsidRPr="007129F2">
        <w:rPr>
          <w:rFonts w:asciiTheme="minorHAnsi" w:hAnsiTheme="minorHAnsi"/>
          <w:bCs/>
          <w:lang w:val="en-GB"/>
        </w:rPr>
        <w:t xml:space="preserve"> available through the PBS. The PBAC welcomes applications containing new information at any time.</w:t>
      </w:r>
    </w:p>
    <w:p w:rsidR="00AB22BA" w:rsidRPr="00C07617" w:rsidRDefault="00AB22BA" w:rsidP="00AB22BA">
      <w:pPr>
        <w:pStyle w:val="2Sections"/>
        <w:numPr>
          <w:ilvl w:val="0"/>
          <w:numId w:val="1"/>
        </w:numPr>
        <w:rPr>
          <w:b w:val="0"/>
        </w:rPr>
      </w:pPr>
      <w:r>
        <w:t>Sponsor’s Comment</w:t>
      </w:r>
    </w:p>
    <w:p w:rsidR="00AB22BA" w:rsidRPr="00AB22BA" w:rsidRDefault="00297F83" w:rsidP="001B10FD">
      <w:pPr>
        <w:spacing w:after="120"/>
        <w:rPr>
          <w:rFonts w:asciiTheme="minorHAnsi" w:hAnsiTheme="minorHAnsi"/>
          <w:bCs/>
        </w:rPr>
      </w:pPr>
      <w:r>
        <w:t xml:space="preserve">MSD </w:t>
      </w:r>
      <w:proofErr w:type="gramStart"/>
      <w:r>
        <w:t>is pleased</w:t>
      </w:r>
      <w:proofErr w:type="gramEnd"/>
      <w:r>
        <w:t xml:space="preserve"> with the positive recommendation by the PBAC for this indication, as is working with the Department to try to achieve a PBS listing as soon as possible.</w:t>
      </w:r>
    </w:p>
    <w:sectPr w:rsidR="00AB22BA" w:rsidRPr="00AB22BA" w:rsidSect="00006D56">
      <w:headerReference w:type="even" r:id="rId8"/>
      <w:headerReference w:type="default" r:id="rId9"/>
      <w:footerReference w:type="even" r:id="rId10"/>
      <w:footerReference w:type="default" r:id="rId11"/>
      <w:headerReference w:type="first" r:id="rId12"/>
      <w:footerReference w:type="first" r:id="rId13"/>
      <w:footnotePr>
        <w:numFmt w:val="lowerLetter"/>
      </w:footnotePr>
      <w:type w:val="continuous"/>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14E" w:rsidRDefault="00A9714E" w:rsidP="00124A51">
      <w:r>
        <w:separator/>
      </w:r>
    </w:p>
    <w:p w:rsidR="00A9714E" w:rsidRDefault="00A9714E"/>
  </w:endnote>
  <w:endnote w:type="continuationSeparator" w:id="0">
    <w:p w:rsidR="00A9714E" w:rsidRDefault="00A9714E" w:rsidP="00124A51">
      <w:r>
        <w:continuationSeparator/>
      </w:r>
    </w:p>
    <w:p w:rsidR="00A9714E" w:rsidRDefault="00A97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4E" w:rsidRDefault="00A97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072369"/>
      <w:docPartObj>
        <w:docPartGallery w:val="Page Numbers (Bottom of Page)"/>
        <w:docPartUnique/>
      </w:docPartObj>
    </w:sdtPr>
    <w:sdtEndPr>
      <w:rPr>
        <w:noProof/>
      </w:rPr>
    </w:sdtEndPr>
    <w:sdtContent>
      <w:p w:rsidR="006A48EF" w:rsidRDefault="006A48EF">
        <w:pPr>
          <w:pStyle w:val="Footer"/>
          <w:jc w:val="center"/>
        </w:pPr>
      </w:p>
      <w:p w:rsidR="006A48EF" w:rsidRDefault="006A48EF" w:rsidP="00EC5D76">
        <w:pPr>
          <w:pStyle w:val="Footer"/>
          <w:jc w:val="center"/>
        </w:pPr>
        <w:r w:rsidRPr="00153AD2">
          <w:rPr>
            <w:b/>
          </w:rPr>
          <w:fldChar w:fldCharType="begin"/>
        </w:r>
        <w:r w:rsidRPr="00153AD2">
          <w:rPr>
            <w:b/>
          </w:rPr>
          <w:instrText xml:space="preserve"> PAGE   \* MERGEFORMAT </w:instrText>
        </w:r>
        <w:r w:rsidRPr="00153AD2">
          <w:rPr>
            <w:b/>
          </w:rPr>
          <w:fldChar w:fldCharType="separate"/>
        </w:r>
        <w:r w:rsidR="004B18CD">
          <w:rPr>
            <w:b/>
            <w:noProof/>
          </w:rPr>
          <w:t>7</w:t>
        </w:r>
        <w:r w:rsidRPr="00153AD2">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4E" w:rsidRDefault="00A9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14E" w:rsidRDefault="00A9714E" w:rsidP="00124A51">
      <w:r>
        <w:separator/>
      </w:r>
    </w:p>
    <w:p w:rsidR="00A9714E" w:rsidRDefault="00A9714E"/>
  </w:footnote>
  <w:footnote w:type="continuationSeparator" w:id="0">
    <w:p w:rsidR="00A9714E" w:rsidRDefault="00A9714E" w:rsidP="00124A51">
      <w:r>
        <w:continuationSeparator/>
      </w:r>
    </w:p>
    <w:p w:rsidR="00A9714E" w:rsidRDefault="00A9714E"/>
  </w:footnote>
  <w:footnote w:id="1">
    <w:p w:rsidR="006A48EF" w:rsidRDefault="006A48EF">
      <w:pPr>
        <w:pStyle w:val="FootnoteText"/>
      </w:pPr>
      <w:r>
        <w:rPr>
          <w:rStyle w:val="FootnoteReference"/>
        </w:rPr>
        <w:footnoteRef/>
      </w:r>
      <w:r>
        <w:t xml:space="preserve"> </w:t>
      </w:r>
      <w:r w:rsidRPr="00977A9C">
        <w:t xml:space="preserve">Cancer Council of Australia. Summary of recommendations and practice points: Clinical practice guidelines for the diagnosis and management of melanoma, Practice points 6, 7. Source: </w:t>
      </w:r>
    </w:p>
    <w:p w:rsidR="006A48EF" w:rsidRDefault="006A48EF">
      <w:pPr>
        <w:pStyle w:val="FootnoteText"/>
      </w:pPr>
      <w:r w:rsidRPr="00977A9C">
        <w:t>https://wiki.cancer.org.au/australia/Guidelines:Immunotherapy_for_melanoma_recommendations</w:t>
      </w:r>
    </w:p>
    <w:p w:rsidR="006A48EF" w:rsidRPr="00B15787" w:rsidRDefault="006A48EF">
      <w:pPr>
        <w:pStyle w:val="FootnoteText"/>
        <w:rPr>
          <w:lang w:val="en-US"/>
        </w:rPr>
      </w:pPr>
      <w:r w:rsidRPr="00164B5F">
        <w:rPr>
          <w:lang w:val="en-US"/>
        </w:rPr>
        <w:t xml:space="preserve">National Comprehensive Cancer Network. NCCN Clinical Practice Guidelines in Oncology:  Melanoma. Version 2.2019. </w:t>
      </w:r>
      <w:r>
        <w:rPr>
          <w:lang w:val="en-US"/>
        </w:rPr>
        <w:t>Source</w:t>
      </w:r>
      <w:r w:rsidRPr="00164B5F">
        <w:rPr>
          <w:lang w:val="en-US"/>
        </w:rPr>
        <w:t>: www.nccn.org/</w:t>
      </w:r>
    </w:p>
  </w:footnote>
  <w:footnote w:id="2">
    <w:p w:rsidR="006A48EF" w:rsidRPr="00B15787" w:rsidRDefault="006A48EF" w:rsidP="00E77945">
      <w:pPr>
        <w:pStyle w:val="FootnoteText"/>
        <w:rPr>
          <w:lang w:val="en-US"/>
        </w:rPr>
      </w:pPr>
      <w:r>
        <w:rPr>
          <w:rStyle w:val="FootnoteReference"/>
        </w:rPr>
        <w:footnoteRef/>
      </w:r>
      <w:r>
        <w:t xml:space="preserve"> </w:t>
      </w:r>
      <w:r w:rsidRPr="00B15787">
        <w:t xml:space="preserve">O Michielin, A van Akkooi, P Ascierto, R Dummer, U Keilholz, ESMO Guidelines Committee. (2019). </w:t>
      </w:r>
      <w:proofErr w:type="gramStart"/>
      <w:r w:rsidRPr="00B15787">
        <w:t>Cutaneous</w:t>
      </w:r>
      <w:proofErr w:type="gramEnd"/>
      <w:r w:rsidRPr="00B15787">
        <w:t xml:space="preserve"> melanoma: ESMO Clinical Practice Guidelines for diagnosis, treatment and follow-up. Annals of Oncology. https://doi.org/10.1093/annonc/mdz411</w:t>
      </w:r>
      <w:r>
        <w:t xml:space="preserve">. </w:t>
      </w:r>
    </w:p>
  </w:footnote>
  <w:footnote w:id="3">
    <w:p w:rsidR="006A48EF" w:rsidRPr="00B07BC8" w:rsidRDefault="006A48EF" w:rsidP="006F4853">
      <w:pPr>
        <w:pStyle w:val="FootnoteText"/>
        <w:rPr>
          <w:lang w:val="en-US"/>
        </w:rPr>
      </w:pPr>
      <w:r>
        <w:rPr>
          <w:rStyle w:val="FootnoteReference"/>
        </w:rPr>
        <w:footnoteRef/>
      </w:r>
      <w:r>
        <w:t xml:space="preserve"> </w:t>
      </w:r>
      <w:r w:rsidRPr="00B07BC8">
        <w:t xml:space="preserve">SECOMBIT </w:t>
      </w:r>
      <w:r>
        <w:t>has</w:t>
      </w:r>
      <w:r w:rsidRPr="00B07BC8">
        <w:t xml:space="preserve"> the following treatment arms: ENCO+BINI followed by NIVO+IPI; NIVO+IPI followed by ENCO+BINI; ENCO+BINI for 8 weeks, then NIVO+IPI until progression, followed by ENCO+BINI post-progression</w:t>
      </w:r>
    </w:p>
  </w:footnote>
  <w:footnote w:id="4">
    <w:p w:rsidR="006A48EF" w:rsidRPr="00B07BC8" w:rsidRDefault="006A48EF" w:rsidP="006F4853">
      <w:pPr>
        <w:pStyle w:val="FootnoteText"/>
        <w:rPr>
          <w:lang w:val="en-US"/>
        </w:rPr>
      </w:pPr>
      <w:r>
        <w:rPr>
          <w:rStyle w:val="FootnoteReference"/>
        </w:rPr>
        <w:footnoteRef/>
      </w:r>
      <w:r>
        <w:t xml:space="preserve">  </w:t>
      </w:r>
      <w:r w:rsidRPr="00B07BC8">
        <w:t>DREAMseq</w:t>
      </w:r>
      <w:r>
        <w:t xml:space="preserve"> includes the following therapy sequence: NIVO on day 1 followed by IPI on day 22; NIVO on days 1,15,29; various BRAF inhibitors on days 1-42; NIVO days 1 and 22 followed by IPI days 1-22; NIVO days 1,15,29.</w:t>
      </w:r>
    </w:p>
  </w:footnote>
  <w:footnote w:id="5">
    <w:p w:rsidR="006A48EF" w:rsidRDefault="006A48EF">
      <w:pPr>
        <w:pStyle w:val="FootnoteText"/>
      </w:pPr>
      <w:r>
        <w:rPr>
          <w:rStyle w:val="FootnoteReference"/>
        </w:rPr>
        <w:footnoteRef/>
      </w:r>
      <w:r>
        <w:t xml:space="preserve"> </w:t>
      </w:r>
      <w:r w:rsidRPr="00C2725B">
        <w:t xml:space="preserve">Cancer Australia. Melanoma of the skin statistics. Last updated: 26/08/2019. Source: </w:t>
      </w:r>
    </w:p>
    <w:p w:rsidR="006A48EF" w:rsidRDefault="006A48EF">
      <w:pPr>
        <w:pStyle w:val="FootnoteText"/>
      </w:pPr>
      <w:r w:rsidRPr="003E1455">
        <w:t>https://melanoma.canceraustralia.gov.au/statistics</w:t>
      </w:r>
    </w:p>
    <w:p w:rsidR="006A48EF" w:rsidRPr="00C2725B" w:rsidRDefault="006A48EF">
      <w:pPr>
        <w:pStyle w:val="FootnoteText"/>
        <w:rPr>
          <w:lang w:val="en-US"/>
        </w:rPr>
      </w:pPr>
    </w:p>
  </w:footnote>
  <w:footnote w:id="6">
    <w:p w:rsidR="006A48EF" w:rsidRDefault="006A48EF">
      <w:pPr>
        <w:pStyle w:val="FootnoteText"/>
      </w:pPr>
      <w:r>
        <w:rPr>
          <w:rStyle w:val="FootnoteReference"/>
        </w:rPr>
        <w:footnoteRef/>
      </w:r>
      <w:r>
        <w:t xml:space="preserve"> </w:t>
      </w:r>
      <w:r w:rsidRPr="00D751CE">
        <w:t xml:space="preserve">Franken, M. G., </w:t>
      </w:r>
      <w:r>
        <w:t>et al</w:t>
      </w:r>
      <w:r w:rsidRPr="00D751CE">
        <w:t>. (2019). A systematic literature review and network meta-analysis of effectiveness and safety outcomes in advanced melanoma. European Journal of Cancer, 123, 58-71.</w:t>
      </w:r>
    </w:p>
    <w:p w:rsidR="006A48EF" w:rsidRDefault="006A48EF">
      <w:pPr>
        <w:pStyle w:val="FootnoteText"/>
      </w:pPr>
      <w:proofErr w:type="spellStart"/>
      <w:r w:rsidRPr="00AB616D">
        <w:t>Garzón‐Orjuela</w:t>
      </w:r>
      <w:proofErr w:type="spellEnd"/>
      <w:r w:rsidRPr="00AB616D">
        <w:t xml:space="preserve">, N., </w:t>
      </w:r>
      <w:r>
        <w:t>et al</w:t>
      </w:r>
      <w:r w:rsidRPr="00AB616D">
        <w:t>. (2019). Efficacy and safety of dabrafenib–trametinib in the treatment of unresectable advanced/metastatic melanoma with BRAF‐V600 mutation: a systematic review and network meta‐analysis. Dermatologic therapy.</w:t>
      </w:r>
    </w:p>
    <w:p w:rsidR="006A48EF" w:rsidRDefault="006A48EF">
      <w:pPr>
        <w:pStyle w:val="FootnoteText"/>
        <w:rPr>
          <w:snapToGrid w:val="0"/>
        </w:rPr>
      </w:pPr>
      <w:r w:rsidRPr="00AB616D">
        <w:rPr>
          <w:snapToGrid w:val="0"/>
        </w:rPr>
        <w:t xml:space="preserve">An, Q., &amp; </w:t>
      </w:r>
      <w:proofErr w:type="gramStart"/>
      <w:r w:rsidRPr="00AB616D">
        <w:rPr>
          <w:snapToGrid w:val="0"/>
        </w:rPr>
        <w:t>Liu</w:t>
      </w:r>
      <w:r>
        <w:rPr>
          <w:snapToGrid w:val="0"/>
        </w:rPr>
        <w:t>.</w:t>
      </w:r>
      <w:r w:rsidRPr="00AB616D">
        <w:rPr>
          <w:snapToGrid w:val="0"/>
        </w:rPr>
        <w:t>,</w:t>
      </w:r>
      <w:proofErr w:type="gramEnd"/>
      <w:r w:rsidRPr="00AB616D">
        <w:rPr>
          <w:snapToGrid w:val="0"/>
        </w:rPr>
        <w:t xml:space="preserve"> Z. (2019). Comparative efficacy and safety of combination therapies for advanced melanoma: a network meta-analysis. BMC cancer, 19(1), 43. </w:t>
      </w:r>
    </w:p>
    <w:p w:rsidR="006A48EF" w:rsidRPr="00C654FE" w:rsidRDefault="006A48EF">
      <w:pPr>
        <w:pStyle w:val="FootnoteText"/>
        <w:rPr>
          <w:lang w:val="en-US"/>
        </w:rPr>
      </w:pPr>
      <w:proofErr w:type="spellStart"/>
      <w:r w:rsidRPr="00AB616D">
        <w:rPr>
          <w:snapToGrid w:val="0"/>
        </w:rPr>
        <w:t>Zoratti</w:t>
      </w:r>
      <w:proofErr w:type="spellEnd"/>
      <w:r w:rsidRPr="00AB616D">
        <w:rPr>
          <w:snapToGrid w:val="0"/>
        </w:rPr>
        <w:t xml:space="preserve">, M. J., </w:t>
      </w:r>
      <w:r>
        <w:rPr>
          <w:snapToGrid w:val="0"/>
        </w:rPr>
        <w:t>et al</w:t>
      </w:r>
      <w:r w:rsidRPr="00AB616D">
        <w:rPr>
          <w:snapToGrid w:val="0"/>
        </w:rPr>
        <w:t>. (2019). Network meta-analysis of therapies for previously untreated advanced BRAF-mutated melanoma. Cancer treatment reviews.</w:t>
      </w:r>
    </w:p>
  </w:footnote>
  <w:footnote w:id="7">
    <w:p w:rsidR="006A48EF" w:rsidRPr="00955E29" w:rsidRDefault="006A48EF" w:rsidP="00424219">
      <w:pPr>
        <w:pStyle w:val="FootnoteText"/>
        <w:rPr>
          <w:lang w:val="en-US"/>
        </w:rPr>
      </w:pPr>
      <w:r w:rsidRPr="002101CD">
        <w:rPr>
          <w:rStyle w:val="FootnoteReference"/>
        </w:rPr>
        <w:footnoteRef/>
      </w:r>
      <w:r>
        <w:t xml:space="preserve"> </w:t>
      </w:r>
      <w:r w:rsidRPr="00415212">
        <w:t>Eastern Cooperative Oncology Group</w:t>
      </w:r>
      <w:r>
        <w:t xml:space="preserve"> (ECOG) performance </w:t>
      </w:r>
      <w:r w:rsidRPr="00415212">
        <w:t>scores rang</w:t>
      </w:r>
      <w:r>
        <w:t>e</w:t>
      </w:r>
      <w:r w:rsidRPr="00415212">
        <w:t xml:space="preserve"> from </w:t>
      </w:r>
      <w:proofErr w:type="gramStart"/>
      <w:r w:rsidRPr="00415212">
        <w:t>0</w:t>
      </w:r>
      <w:proofErr w:type="gramEnd"/>
      <w:r w:rsidRPr="00415212">
        <w:t xml:space="preserve"> to 5</w:t>
      </w:r>
      <w:r>
        <w:t xml:space="preserve"> with a score of 1 indicating the patient is s</w:t>
      </w:r>
      <w:r w:rsidRPr="00415212">
        <w:t>ymptomatic</w:t>
      </w:r>
      <w:r>
        <w:t xml:space="preserve"> of disease,</w:t>
      </w:r>
      <w:r w:rsidRPr="00415212">
        <w:t xml:space="preserve"> but c</w:t>
      </w:r>
      <w:r>
        <w:t xml:space="preserve">ompletely mobile. A score of O indicates asymptomatic disease and </w:t>
      </w:r>
      <w:proofErr w:type="gramStart"/>
      <w:r>
        <w:t>5</w:t>
      </w:r>
      <w:proofErr w:type="gramEnd"/>
      <w:r>
        <w:t xml:space="preserve"> indicates death. Source</w:t>
      </w:r>
      <w:r w:rsidRPr="0051499B">
        <w:t xml:space="preserve">: Oken MM, Creech RH, Tormey DC, et al. Toxicity and response criteria of </w:t>
      </w:r>
      <w:r w:rsidRPr="00955E29">
        <w:t xml:space="preserve">the Eastern Cooperative Oncology Group. Am J Clin Oncol 1982; </w:t>
      </w:r>
      <w:proofErr w:type="gramStart"/>
      <w:r w:rsidRPr="00955E29">
        <w:t>5:649.</w:t>
      </w:r>
      <w:proofErr w:type="gramEnd"/>
      <w:r w:rsidRPr="00955E29">
        <w:t xml:space="preserve"> </w:t>
      </w:r>
    </w:p>
  </w:footnote>
  <w:footnote w:id="8">
    <w:p w:rsidR="006A48EF" w:rsidRPr="009B5C74" w:rsidRDefault="006A48EF" w:rsidP="00424219">
      <w:pPr>
        <w:pStyle w:val="FootnoteText"/>
        <w:rPr>
          <w:lang w:val="en-US"/>
        </w:rPr>
      </w:pPr>
      <w:r w:rsidRPr="00955E29">
        <w:rPr>
          <w:rStyle w:val="FootnoteReference"/>
        </w:rPr>
        <w:footnoteRef/>
      </w:r>
      <w:r>
        <w:t xml:space="preserve"> </w:t>
      </w:r>
      <w:r w:rsidRPr="00955E29">
        <w:rPr>
          <w:lang w:val="en-US"/>
        </w:rPr>
        <w:t xml:space="preserve">Lactate dehydrogenase (LDH) levels are </w:t>
      </w:r>
      <w:r>
        <w:rPr>
          <w:lang w:val="en-US"/>
        </w:rPr>
        <w:t>associated with</w:t>
      </w:r>
      <w:r w:rsidRPr="00955E29">
        <w:rPr>
          <w:lang w:val="en-US"/>
        </w:rPr>
        <w:t xml:space="preserve"> increased resistance to therapy</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4E" w:rsidRDefault="00A97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8EF" w:rsidRPr="00153AD2" w:rsidRDefault="00AB22BA" w:rsidP="00AB22BA">
    <w:pPr>
      <w:tabs>
        <w:tab w:val="left" w:pos="142"/>
        <w:tab w:val="right" w:pos="9027"/>
      </w:tabs>
      <w:jc w:val="center"/>
      <w:rPr>
        <w:i/>
      </w:rPr>
    </w:pPr>
    <w:r>
      <w:rPr>
        <w:i/>
      </w:rPr>
      <w:t>Public Summary Document</w:t>
    </w:r>
    <w:r w:rsidR="006A48EF" w:rsidRPr="00153AD2">
      <w:rPr>
        <w:i/>
      </w:rPr>
      <w:t xml:space="preserve"> – March 2020 PBAC Meeting</w:t>
    </w:r>
  </w:p>
  <w:p w:rsidR="006A48EF" w:rsidRDefault="006A48EF" w:rsidP="00101762">
    <w:pPr>
      <w:tabs>
        <w:tab w:val="left" w:pos="142"/>
        <w:tab w:val="right" w:pos="9027"/>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14E" w:rsidRDefault="00A97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54248A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A5266"/>
    <w:multiLevelType w:val="hybridMultilevel"/>
    <w:tmpl w:val="A660393A"/>
    <w:lvl w:ilvl="0" w:tplc="67EADA6C">
      <w:start w:val="1"/>
      <w:numFmt w:val="decimal"/>
      <w:lvlText w:val="6.%1"/>
      <w:lvlJc w:val="left"/>
      <w:pPr>
        <w:ind w:left="360" w:hanging="360"/>
      </w:pPr>
      <w:rPr>
        <w:rFonts w:asciiTheme="minorHAnsi" w:hAnsiTheme="minorHAnsi" w:cstheme="minorHAnsi" w:hint="default"/>
        <w:b w:val="0"/>
        <w:i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1A6CFB"/>
    <w:multiLevelType w:val="hybridMultilevel"/>
    <w:tmpl w:val="24624ABC"/>
    <w:lvl w:ilvl="0" w:tplc="2B3E360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7535A1"/>
    <w:multiLevelType w:val="hybridMultilevel"/>
    <w:tmpl w:val="653071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C11D0"/>
    <w:multiLevelType w:val="hybridMultilevel"/>
    <w:tmpl w:val="9E0246DE"/>
    <w:lvl w:ilvl="0" w:tplc="46DE2746">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32C19"/>
    <w:multiLevelType w:val="hybridMultilevel"/>
    <w:tmpl w:val="AB72CFEC"/>
    <w:lvl w:ilvl="0" w:tplc="FAA059E8">
      <w:start w:val="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F44B60"/>
    <w:multiLevelType w:val="hybridMultilevel"/>
    <w:tmpl w:val="ED56AB0A"/>
    <w:lvl w:ilvl="0" w:tplc="EC9A8ABC">
      <w:start w:val="4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0C5CD0"/>
    <w:multiLevelType w:val="multilevel"/>
    <w:tmpl w:val="DE5C11F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8564FB"/>
    <w:multiLevelType w:val="hybridMultilevel"/>
    <w:tmpl w:val="7EDAE482"/>
    <w:lvl w:ilvl="0" w:tplc="4EEC303E">
      <w:start w:val="1"/>
      <w:numFmt w:val="decimal"/>
      <w:lvlText w:val="1.%1"/>
      <w:lvlJc w:val="left"/>
      <w:pPr>
        <w:ind w:left="360" w:hanging="360"/>
      </w:pPr>
      <w:rPr>
        <w:rFonts w:hint="default"/>
        <w:b w:val="0"/>
        <w:i w:val="0"/>
      </w:rPr>
    </w:lvl>
    <w:lvl w:ilvl="1" w:tplc="0C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525789"/>
    <w:multiLevelType w:val="multilevel"/>
    <w:tmpl w:val="F232F28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43048"/>
    <w:multiLevelType w:val="hybridMultilevel"/>
    <w:tmpl w:val="4614E59A"/>
    <w:lvl w:ilvl="0" w:tplc="49B8A4BC">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0550C3"/>
    <w:multiLevelType w:val="multilevel"/>
    <w:tmpl w:val="11C4E1F0"/>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563D8"/>
    <w:multiLevelType w:val="hybridMultilevel"/>
    <w:tmpl w:val="6494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8D67A6"/>
    <w:multiLevelType w:val="hybridMultilevel"/>
    <w:tmpl w:val="7102E66A"/>
    <w:lvl w:ilvl="0" w:tplc="F7B0E48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46FFD"/>
    <w:multiLevelType w:val="multilevel"/>
    <w:tmpl w:val="11C4E1F0"/>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B3021E"/>
    <w:multiLevelType w:val="hybridMultilevel"/>
    <w:tmpl w:val="E44235A2"/>
    <w:lvl w:ilvl="0" w:tplc="8C2E409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5F18BE"/>
    <w:multiLevelType w:val="hybridMultilevel"/>
    <w:tmpl w:val="7CB83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8A7E65"/>
    <w:multiLevelType w:val="hybridMultilevel"/>
    <w:tmpl w:val="688E7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84109B"/>
    <w:multiLevelType w:val="hybridMultilevel"/>
    <w:tmpl w:val="50D8CE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A50C07"/>
    <w:multiLevelType w:val="hybridMultilevel"/>
    <w:tmpl w:val="BF5804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8549CC"/>
    <w:multiLevelType w:val="hybridMultilevel"/>
    <w:tmpl w:val="CC70A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A44CC3"/>
    <w:multiLevelType w:val="hybridMultilevel"/>
    <w:tmpl w:val="5C9E7F0C"/>
    <w:lvl w:ilvl="0" w:tplc="249A7058">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84D033C"/>
    <w:multiLevelType w:val="multilevel"/>
    <w:tmpl w:val="8B387386"/>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BE3D2F"/>
    <w:multiLevelType w:val="hybridMultilevel"/>
    <w:tmpl w:val="DB1AF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26"/>
  </w:num>
  <w:num w:numId="4">
    <w:abstractNumId w:val="19"/>
  </w:num>
  <w:num w:numId="5">
    <w:abstractNumId w:val="1"/>
  </w:num>
  <w:num w:numId="6">
    <w:abstractNumId w:val="42"/>
  </w:num>
  <w:num w:numId="7">
    <w:abstractNumId w:val="40"/>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1"/>
  </w:num>
  <w:num w:numId="11">
    <w:abstractNumId w:val="32"/>
  </w:num>
  <w:num w:numId="12">
    <w:abstractNumId w:val="12"/>
  </w:num>
  <w:num w:numId="13">
    <w:abstractNumId w:val="44"/>
  </w:num>
  <w:num w:numId="14">
    <w:abstractNumId w:val="38"/>
  </w:num>
  <w:num w:numId="15">
    <w:abstractNumId w:val="29"/>
  </w:num>
  <w:num w:numId="16">
    <w:abstractNumId w:val="23"/>
  </w:num>
  <w:num w:numId="17">
    <w:abstractNumId w:val="28"/>
  </w:num>
  <w:num w:numId="18">
    <w:abstractNumId w:val="33"/>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9"/>
  </w:num>
  <w:num w:numId="22">
    <w:abstractNumId w:val="6"/>
  </w:num>
  <w:num w:numId="23">
    <w:abstractNumId w:val="30"/>
  </w:num>
  <w:num w:numId="24">
    <w:abstractNumId w:val="41"/>
  </w:num>
  <w:num w:numId="25">
    <w:abstractNumId w:val="9"/>
  </w:num>
  <w:num w:numId="26">
    <w:abstractNumId w:val="5"/>
  </w:num>
  <w:num w:numId="27">
    <w:abstractNumId w:val="16"/>
  </w:num>
  <w:num w:numId="28">
    <w:abstractNumId w:val="25"/>
  </w:num>
  <w:num w:numId="29">
    <w:abstractNumId w:val="8"/>
  </w:num>
  <w:num w:numId="30">
    <w:abstractNumId w:val="0"/>
  </w:num>
  <w:num w:numId="31">
    <w:abstractNumId w:val="10"/>
  </w:num>
  <w:num w:numId="32">
    <w:abstractNumId w:val="43"/>
  </w:num>
  <w:num w:numId="33">
    <w:abstractNumId w:val="20"/>
  </w:num>
  <w:num w:numId="34">
    <w:abstractNumId w:val="37"/>
  </w:num>
  <w:num w:numId="35">
    <w:abstractNumId w:val="11"/>
  </w:num>
  <w:num w:numId="36">
    <w:abstractNumId w:val="3"/>
  </w:num>
  <w:num w:numId="37">
    <w:abstractNumId w:val="35"/>
  </w:num>
  <w:num w:numId="38">
    <w:abstractNumId w:val="36"/>
  </w:num>
  <w:num w:numId="39">
    <w:abstractNumId w:val="4"/>
  </w:num>
  <w:num w:numId="40">
    <w:abstractNumId w:val="2"/>
  </w:num>
  <w:num w:numId="41">
    <w:abstractNumId w:val="15"/>
  </w:num>
  <w:num w:numId="42">
    <w:abstractNumId w:val="17"/>
  </w:num>
  <w:num w:numId="43">
    <w:abstractNumId w:val="14"/>
  </w:num>
  <w:num w:numId="44">
    <w:abstractNumId w:val="27"/>
  </w:num>
  <w:num w:numId="45">
    <w:abstractNumId w:val="22"/>
  </w:num>
  <w:num w:numId="46">
    <w:abstractNumId w:val="18"/>
  </w:num>
  <w:num w:numId="47">
    <w:abstractNumId w:val="42"/>
  </w:num>
  <w:num w:numId="48">
    <w:abstractNumId w:val="7"/>
  </w:num>
  <w:num w:numId="49">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xMzK1MLc0MjdU0lEKTi0uzszPAykwM68FAFEBuLAtAAAA"/>
  </w:docVars>
  <w:rsids>
    <w:rsidRoot w:val="00E65E79"/>
    <w:rsid w:val="00000790"/>
    <w:rsid w:val="0000110B"/>
    <w:rsid w:val="00003499"/>
    <w:rsid w:val="000038FA"/>
    <w:rsid w:val="000039B7"/>
    <w:rsid w:val="00004E17"/>
    <w:rsid w:val="000055BE"/>
    <w:rsid w:val="0000639A"/>
    <w:rsid w:val="00006D4D"/>
    <w:rsid w:val="00006D56"/>
    <w:rsid w:val="0000718B"/>
    <w:rsid w:val="00010215"/>
    <w:rsid w:val="00013247"/>
    <w:rsid w:val="0001384A"/>
    <w:rsid w:val="00013F28"/>
    <w:rsid w:val="00014452"/>
    <w:rsid w:val="00014AD6"/>
    <w:rsid w:val="0001546A"/>
    <w:rsid w:val="00015886"/>
    <w:rsid w:val="000162EF"/>
    <w:rsid w:val="0001707B"/>
    <w:rsid w:val="000207C9"/>
    <w:rsid w:val="0002171C"/>
    <w:rsid w:val="00021D33"/>
    <w:rsid w:val="0002225F"/>
    <w:rsid w:val="00023763"/>
    <w:rsid w:val="00026EA3"/>
    <w:rsid w:val="000274B8"/>
    <w:rsid w:val="00033863"/>
    <w:rsid w:val="00035DC0"/>
    <w:rsid w:val="00036829"/>
    <w:rsid w:val="0003690A"/>
    <w:rsid w:val="00037EE7"/>
    <w:rsid w:val="00040895"/>
    <w:rsid w:val="000423DC"/>
    <w:rsid w:val="000435EE"/>
    <w:rsid w:val="00043C37"/>
    <w:rsid w:val="00044A6C"/>
    <w:rsid w:val="00044AFF"/>
    <w:rsid w:val="00045017"/>
    <w:rsid w:val="00045585"/>
    <w:rsid w:val="00045A2B"/>
    <w:rsid w:val="0004698F"/>
    <w:rsid w:val="00051E8D"/>
    <w:rsid w:val="000535FB"/>
    <w:rsid w:val="000539D0"/>
    <w:rsid w:val="00054126"/>
    <w:rsid w:val="00054621"/>
    <w:rsid w:val="000546D7"/>
    <w:rsid w:val="00055D64"/>
    <w:rsid w:val="00056346"/>
    <w:rsid w:val="00056ECF"/>
    <w:rsid w:val="00057B53"/>
    <w:rsid w:val="000604DF"/>
    <w:rsid w:val="000612B2"/>
    <w:rsid w:val="000648CC"/>
    <w:rsid w:val="000653B5"/>
    <w:rsid w:val="00066360"/>
    <w:rsid w:val="00066AF8"/>
    <w:rsid w:val="00067029"/>
    <w:rsid w:val="00071248"/>
    <w:rsid w:val="000720B9"/>
    <w:rsid w:val="000727AF"/>
    <w:rsid w:val="000737F7"/>
    <w:rsid w:val="00074BE3"/>
    <w:rsid w:val="00075A4C"/>
    <w:rsid w:val="00075F02"/>
    <w:rsid w:val="0007672F"/>
    <w:rsid w:val="00076B54"/>
    <w:rsid w:val="000774F0"/>
    <w:rsid w:val="000777EA"/>
    <w:rsid w:val="00080909"/>
    <w:rsid w:val="000812CA"/>
    <w:rsid w:val="00081668"/>
    <w:rsid w:val="00081E63"/>
    <w:rsid w:val="0008258D"/>
    <w:rsid w:val="00083E99"/>
    <w:rsid w:val="00084FA8"/>
    <w:rsid w:val="00085111"/>
    <w:rsid w:val="000856C5"/>
    <w:rsid w:val="00085C31"/>
    <w:rsid w:val="000902D9"/>
    <w:rsid w:val="000909DC"/>
    <w:rsid w:val="00090C7E"/>
    <w:rsid w:val="0009223C"/>
    <w:rsid w:val="000923CD"/>
    <w:rsid w:val="00092600"/>
    <w:rsid w:val="0009262B"/>
    <w:rsid w:val="00093310"/>
    <w:rsid w:val="0009445C"/>
    <w:rsid w:val="00094B46"/>
    <w:rsid w:val="00095200"/>
    <w:rsid w:val="00095FE5"/>
    <w:rsid w:val="00096284"/>
    <w:rsid w:val="0009697B"/>
    <w:rsid w:val="000A10B5"/>
    <w:rsid w:val="000A1274"/>
    <w:rsid w:val="000A1359"/>
    <w:rsid w:val="000A1BC0"/>
    <w:rsid w:val="000A33F5"/>
    <w:rsid w:val="000A5EB6"/>
    <w:rsid w:val="000A6039"/>
    <w:rsid w:val="000A6B6D"/>
    <w:rsid w:val="000A7453"/>
    <w:rsid w:val="000A7D08"/>
    <w:rsid w:val="000A7F3F"/>
    <w:rsid w:val="000B0121"/>
    <w:rsid w:val="000B0670"/>
    <w:rsid w:val="000B0713"/>
    <w:rsid w:val="000B0E75"/>
    <w:rsid w:val="000B2DCB"/>
    <w:rsid w:val="000B4FFC"/>
    <w:rsid w:val="000B56AD"/>
    <w:rsid w:val="000B56FC"/>
    <w:rsid w:val="000B5CE0"/>
    <w:rsid w:val="000B5CFC"/>
    <w:rsid w:val="000B6913"/>
    <w:rsid w:val="000B6CAC"/>
    <w:rsid w:val="000B7612"/>
    <w:rsid w:val="000B78AE"/>
    <w:rsid w:val="000C3DF9"/>
    <w:rsid w:val="000C455D"/>
    <w:rsid w:val="000C5483"/>
    <w:rsid w:val="000C5C40"/>
    <w:rsid w:val="000C6713"/>
    <w:rsid w:val="000C684E"/>
    <w:rsid w:val="000C6C30"/>
    <w:rsid w:val="000C6D84"/>
    <w:rsid w:val="000D13C4"/>
    <w:rsid w:val="000D1A42"/>
    <w:rsid w:val="000D1BFC"/>
    <w:rsid w:val="000D1D5D"/>
    <w:rsid w:val="000D1FB4"/>
    <w:rsid w:val="000D281A"/>
    <w:rsid w:val="000D2848"/>
    <w:rsid w:val="000D2C1D"/>
    <w:rsid w:val="000D326A"/>
    <w:rsid w:val="000D419A"/>
    <w:rsid w:val="000D4371"/>
    <w:rsid w:val="000D51FB"/>
    <w:rsid w:val="000D6586"/>
    <w:rsid w:val="000D7891"/>
    <w:rsid w:val="000E0640"/>
    <w:rsid w:val="000E0F4B"/>
    <w:rsid w:val="000E135D"/>
    <w:rsid w:val="000E3829"/>
    <w:rsid w:val="000E70EF"/>
    <w:rsid w:val="000F00BA"/>
    <w:rsid w:val="000F0929"/>
    <w:rsid w:val="000F0984"/>
    <w:rsid w:val="000F316A"/>
    <w:rsid w:val="000F326B"/>
    <w:rsid w:val="000F3C74"/>
    <w:rsid w:val="000F4BB8"/>
    <w:rsid w:val="000F4D19"/>
    <w:rsid w:val="000F4FA9"/>
    <w:rsid w:val="000F53FB"/>
    <w:rsid w:val="000F67A9"/>
    <w:rsid w:val="000F6994"/>
    <w:rsid w:val="000F7127"/>
    <w:rsid w:val="000F7B54"/>
    <w:rsid w:val="00100F8A"/>
    <w:rsid w:val="00101762"/>
    <w:rsid w:val="00101B21"/>
    <w:rsid w:val="0010452E"/>
    <w:rsid w:val="00105AE2"/>
    <w:rsid w:val="001060C6"/>
    <w:rsid w:val="00106B80"/>
    <w:rsid w:val="001077FB"/>
    <w:rsid w:val="00107EA6"/>
    <w:rsid w:val="0011032E"/>
    <w:rsid w:val="00111D61"/>
    <w:rsid w:val="0011230B"/>
    <w:rsid w:val="0011348B"/>
    <w:rsid w:val="00115982"/>
    <w:rsid w:val="001161CD"/>
    <w:rsid w:val="00116C53"/>
    <w:rsid w:val="00121525"/>
    <w:rsid w:val="00121799"/>
    <w:rsid w:val="00121E76"/>
    <w:rsid w:val="001222FC"/>
    <w:rsid w:val="00123902"/>
    <w:rsid w:val="00124A51"/>
    <w:rsid w:val="00126621"/>
    <w:rsid w:val="00126B1D"/>
    <w:rsid w:val="00126DDD"/>
    <w:rsid w:val="001271DB"/>
    <w:rsid w:val="001301E9"/>
    <w:rsid w:val="00130EB4"/>
    <w:rsid w:val="0013169C"/>
    <w:rsid w:val="00131B2D"/>
    <w:rsid w:val="00131D82"/>
    <w:rsid w:val="00132B22"/>
    <w:rsid w:val="00133D36"/>
    <w:rsid w:val="00137645"/>
    <w:rsid w:val="0014015A"/>
    <w:rsid w:val="00140E99"/>
    <w:rsid w:val="001415FB"/>
    <w:rsid w:val="001423C3"/>
    <w:rsid w:val="00143980"/>
    <w:rsid w:val="00143F67"/>
    <w:rsid w:val="00145540"/>
    <w:rsid w:val="001456B0"/>
    <w:rsid w:val="001467F5"/>
    <w:rsid w:val="00146B99"/>
    <w:rsid w:val="0014712F"/>
    <w:rsid w:val="00152391"/>
    <w:rsid w:val="00153AD2"/>
    <w:rsid w:val="00153E3B"/>
    <w:rsid w:val="00154D6C"/>
    <w:rsid w:val="00155240"/>
    <w:rsid w:val="00155AE4"/>
    <w:rsid w:val="00156F8F"/>
    <w:rsid w:val="00157130"/>
    <w:rsid w:val="001576B1"/>
    <w:rsid w:val="0016047B"/>
    <w:rsid w:val="00160A4C"/>
    <w:rsid w:val="00162913"/>
    <w:rsid w:val="00163580"/>
    <w:rsid w:val="001639C8"/>
    <w:rsid w:val="00163EFF"/>
    <w:rsid w:val="00163F66"/>
    <w:rsid w:val="00164191"/>
    <w:rsid w:val="00164B5F"/>
    <w:rsid w:val="001661FB"/>
    <w:rsid w:val="001671A0"/>
    <w:rsid w:val="0016767F"/>
    <w:rsid w:val="001678BD"/>
    <w:rsid w:val="00170506"/>
    <w:rsid w:val="00173565"/>
    <w:rsid w:val="00173B07"/>
    <w:rsid w:val="001749AC"/>
    <w:rsid w:val="001751B1"/>
    <w:rsid w:val="001751FA"/>
    <w:rsid w:val="00175311"/>
    <w:rsid w:val="001767AB"/>
    <w:rsid w:val="00181202"/>
    <w:rsid w:val="00181D9C"/>
    <w:rsid w:val="00184B0E"/>
    <w:rsid w:val="00185C8C"/>
    <w:rsid w:val="00186693"/>
    <w:rsid w:val="001870CF"/>
    <w:rsid w:val="0018752F"/>
    <w:rsid w:val="00191A3B"/>
    <w:rsid w:val="001928EC"/>
    <w:rsid w:val="00192F8A"/>
    <w:rsid w:val="00193838"/>
    <w:rsid w:val="00194AD8"/>
    <w:rsid w:val="001950A8"/>
    <w:rsid w:val="00195222"/>
    <w:rsid w:val="001956D5"/>
    <w:rsid w:val="001975D8"/>
    <w:rsid w:val="00197602"/>
    <w:rsid w:val="001A12D3"/>
    <w:rsid w:val="001A178E"/>
    <w:rsid w:val="001A1A9C"/>
    <w:rsid w:val="001A22B0"/>
    <w:rsid w:val="001A43FA"/>
    <w:rsid w:val="001A47C5"/>
    <w:rsid w:val="001A5179"/>
    <w:rsid w:val="001A5347"/>
    <w:rsid w:val="001A59FB"/>
    <w:rsid w:val="001A5AEF"/>
    <w:rsid w:val="001A5E9E"/>
    <w:rsid w:val="001A6326"/>
    <w:rsid w:val="001A6354"/>
    <w:rsid w:val="001A6366"/>
    <w:rsid w:val="001A65DE"/>
    <w:rsid w:val="001A7645"/>
    <w:rsid w:val="001A7AE8"/>
    <w:rsid w:val="001B10FD"/>
    <w:rsid w:val="001B204E"/>
    <w:rsid w:val="001B2372"/>
    <w:rsid w:val="001B3443"/>
    <w:rsid w:val="001B3673"/>
    <w:rsid w:val="001B4D20"/>
    <w:rsid w:val="001B76B4"/>
    <w:rsid w:val="001B7E18"/>
    <w:rsid w:val="001C17DE"/>
    <w:rsid w:val="001C2A9B"/>
    <w:rsid w:val="001C3386"/>
    <w:rsid w:val="001C33D8"/>
    <w:rsid w:val="001C4299"/>
    <w:rsid w:val="001C4874"/>
    <w:rsid w:val="001C5F94"/>
    <w:rsid w:val="001C64B1"/>
    <w:rsid w:val="001C6E66"/>
    <w:rsid w:val="001C77E2"/>
    <w:rsid w:val="001D1100"/>
    <w:rsid w:val="001D1391"/>
    <w:rsid w:val="001D14F8"/>
    <w:rsid w:val="001D25D7"/>
    <w:rsid w:val="001D315F"/>
    <w:rsid w:val="001D50B2"/>
    <w:rsid w:val="001D6084"/>
    <w:rsid w:val="001D6E16"/>
    <w:rsid w:val="001D7645"/>
    <w:rsid w:val="001D79AA"/>
    <w:rsid w:val="001E0256"/>
    <w:rsid w:val="001E0B67"/>
    <w:rsid w:val="001E1D25"/>
    <w:rsid w:val="001E1E86"/>
    <w:rsid w:val="001E238E"/>
    <w:rsid w:val="001E2483"/>
    <w:rsid w:val="001E27A7"/>
    <w:rsid w:val="001E2B1E"/>
    <w:rsid w:val="001E2CFF"/>
    <w:rsid w:val="001E2F24"/>
    <w:rsid w:val="001E30D4"/>
    <w:rsid w:val="001E34DF"/>
    <w:rsid w:val="001E44C5"/>
    <w:rsid w:val="001E4B94"/>
    <w:rsid w:val="001E4BA2"/>
    <w:rsid w:val="001E52EB"/>
    <w:rsid w:val="001E61D2"/>
    <w:rsid w:val="001E6375"/>
    <w:rsid w:val="001E639C"/>
    <w:rsid w:val="001E740C"/>
    <w:rsid w:val="001F1235"/>
    <w:rsid w:val="001F1CB3"/>
    <w:rsid w:val="001F38B5"/>
    <w:rsid w:val="001F4081"/>
    <w:rsid w:val="001F5C4A"/>
    <w:rsid w:val="001F7361"/>
    <w:rsid w:val="00200807"/>
    <w:rsid w:val="002011B0"/>
    <w:rsid w:val="002019DF"/>
    <w:rsid w:val="00203181"/>
    <w:rsid w:val="00203783"/>
    <w:rsid w:val="0020385F"/>
    <w:rsid w:val="00203E6C"/>
    <w:rsid w:val="00204228"/>
    <w:rsid w:val="002068A0"/>
    <w:rsid w:val="00207021"/>
    <w:rsid w:val="0020732F"/>
    <w:rsid w:val="00207D00"/>
    <w:rsid w:val="002101CD"/>
    <w:rsid w:val="002105C1"/>
    <w:rsid w:val="00210B82"/>
    <w:rsid w:val="00211259"/>
    <w:rsid w:val="00213EF5"/>
    <w:rsid w:val="002148C5"/>
    <w:rsid w:val="002165DC"/>
    <w:rsid w:val="00216BF5"/>
    <w:rsid w:val="00222D5E"/>
    <w:rsid w:val="00223021"/>
    <w:rsid w:val="002231BD"/>
    <w:rsid w:val="00223B49"/>
    <w:rsid w:val="00223D5A"/>
    <w:rsid w:val="00224DD4"/>
    <w:rsid w:val="002266A8"/>
    <w:rsid w:val="002266B4"/>
    <w:rsid w:val="00226759"/>
    <w:rsid w:val="002278A0"/>
    <w:rsid w:val="002309CC"/>
    <w:rsid w:val="0023209F"/>
    <w:rsid w:val="00232F49"/>
    <w:rsid w:val="00233C01"/>
    <w:rsid w:val="0023413C"/>
    <w:rsid w:val="002346F0"/>
    <w:rsid w:val="0023629D"/>
    <w:rsid w:val="002370FA"/>
    <w:rsid w:val="00237255"/>
    <w:rsid w:val="002402C4"/>
    <w:rsid w:val="002424AF"/>
    <w:rsid w:val="0024374E"/>
    <w:rsid w:val="002439DC"/>
    <w:rsid w:val="00243E59"/>
    <w:rsid w:val="002441D2"/>
    <w:rsid w:val="00244914"/>
    <w:rsid w:val="00244DC8"/>
    <w:rsid w:val="002456CA"/>
    <w:rsid w:val="002458BA"/>
    <w:rsid w:val="00245CE9"/>
    <w:rsid w:val="0024636C"/>
    <w:rsid w:val="002464C2"/>
    <w:rsid w:val="00247925"/>
    <w:rsid w:val="00251006"/>
    <w:rsid w:val="00251458"/>
    <w:rsid w:val="002522CC"/>
    <w:rsid w:val="002524D5"/>
    <w:rsid w:val="00253384"/>
    <w:rsid w:val="00253B1D"/>
    <w:rsid w:val="00254DCF"/>
    <w:rsid w:val="0025534B"/>
    <w:rsid w:val="00255897"/>
    <w:rsid w:val="00255BB7"/>
    <w:rsid w:val="002573DA"/>
    <w:rsid w:val="00257541"/>
    <w:rsid w:val="00257A39"/>
    <w:rsid w:val="00257AC4"/>
    <w:rsid w:val="0026091F"/>
    <w:rsid w:val="00261EEF"/>
    <w:rsid w:val="00262A1A"/>
    <w:rsid w:val="00262A87"/>
    <w:rsid w:val="00262C72"/>
    <w:rsid w:val="00263D7E"/>
    <w:rsid w:val="00264D26"/>
    <w:rsid w:val="00267642"/>
    <w:rsid w:val="00267A51"/>
    <w:rsid w:val="00267AEA"/>
    <w:rsid w:val="00267B71"/>
    <w:rsid w:val="002700E6"/>
    <w:rsid w:val="002713E6"/>
    <w:rsid w:val="0027294B"/>
    <w:rsid w:val="00273DF6"/>
    <w:rsid w:val="00273EB4"/>
    <w:rsid w:val="00274682"/>
    <w:rsid w:val="00275C5A"/>
    <w:rsid w:val="00281014"/>
    <w:rsid w:val="002841C7"/>
    <w:rsid w:val="0028665D"/>
    <w:rsid w:val="00286752"/>
    <w:rsid w:val="00287D0A"/>
    <w:rsid w:val="002933B7"/>
    <w:rsid w:val="00294521"/>
    <w:rsid w:val="002954C6"/>
    <w:rsid w:val="00295F2D"/>
    <w:rsid w:val="00297199"/>
    <w:rsid w:val="002973F9"/>
    <w:rsid w:val="00297D2E"/>
    <w:rsid w:val="00297F83"/>
    <w:rsid w:val="002A00BF"/>
    <w:rsid w:val="002A033C"/>
    <w:rsid w:val="002A1493"/>
    <w:rsid w:val="002A14AB"/>
    <w:rsid w:val="002A251D"/>
    <w:rsid w:val="002A2ADE"/>
    <w:rsid w:val="002A2F50"/>
    <w:rsid w:val="002B05A1"/>
    <w:rsid w:val="002B09A4"/>
    <w:rsid w:val="002B1C1F"/>
    <w:rsid w:val="002B432F"/>
    <w:rsid w:val="002B62B3"/>
    <w:rsid w:val="002B6754"/>
    <w:rsid w:val="002B6CCE"/>
    <w:rsid w:val="002C2510"/>
    <w:rsid w:val="002C2775"/>
    <w:rsid w:val="002C27C1"/>
    <w:rsid w:val="002C3943"/>
    <w:rsid w:val="002C438E"/>
    <w:rsid w:val="002C472A"/>
    <w:rsid w:val="002C4B25"/>
    <w:rsid w:val="002C5099"/>
    <w:rsid w:val="002C5558"/>
    <w:rsid w:val="002C5889"/>
    <w:rsid w:val="002C6680"/>
    <w:rsid w:val="002C71CE"/>
    <w:rsid w:val="002D0691"/>
    <w:rsid w:val="002D08F8"/>
    <w:rsid w:val="002D34C3"/>
    <w:rsid w:val="002D4F57"/>
    <w:rsid w:val="002D577C"/>
    <w:rsid w:val="002D6246"/>
    <w:rsid w:val="002D7FB7"/>
    <w:rsid w:val="002E1071"/>
    <w:rsid w:val="002E15B9"/>
    <w:rsid w:val="002E1785"/>
    <w:rsid w:val="002E1CBA"/>
    <w:rsid w:val="002E2158"/>
    <w:rsid w:val="002E4F02"/>
    <w:rsid w:val="002E65BD"/>
    <w:rsid w:val="002E6C2F"/>
    <w:rsid w:val="002E7722"/>
    <w:rsid w:val="002F07BA"/>
    <w:rsid w:val="002F09DB"/>
    <w:rsid w:val="002F0DA9"/>
    <w:rsid w:val="002F1014"/>
    <w:rsid w:val="002F4D1C"/>
    <w:rsid w:val="002F60F6"/>
    <w:rsid w:val="002F643C"/>
    <w:rsid w:val="002F71C0"/>
    <w:rsid w:val="002F74F1"/>
    <w:rsid w:val="00301017"/>
    <w:rsid w:val="0030155F"/>
    <w:rsid w:val="00302EB9"/>
    <w:rsid w:val="00304476"/>
    <w:rsid w:val="00304ACB"/>
    <w:rsid w:val="0030587B"/>
    <w:rsid w:val="00305FAB"/>
    <w:rsid w:val="00306C25"/>
    <w:rsid w:val="00306D98"/>
    <w:rsid w:val="0030786C"/>
    <w:rsid w:val="0031031A"/>
    <w:rsid w:val="00310981"/>
    <w:rsid w:val="003124D9"/>
    <w:rsid w:val="00312594"/>
    <w:rsid w:val="00315498"/>
    <w:rsid w:val="00316474"/>
    <w:rsid w:val="00316922"/>
    <w:rsid w:val="00320D80"/>
    <w:rsid w:val="00322107"/>
    <w:rsid w:val="00322355"/>
    <w:rsid w:val="00322846"/>
    <w:rsid w:val="00326A0D"/>
    <w:rsid w:val="00326DA7"/>
    <w:rsid w:val="0032703F"/>
    <w:rsid w:val="003270E4"/>
    <w:rsid w:val="00330DAA"/>
    <w:rsid w:val="00330F5C"/>
    <w:rsid w:val="0033277E"/>
    <w:rsid w:val="00332D40"/>
    <w:rsid w:val="003352EA"/>
    <w:rsid w:val="003366C9"/>
    <w:rsid w:val="00336DA6"/>
    <w:rsid w:val="003371B0"/>
    <w:rsid w:val="003372EC"/>
    <w:rsid w:val="00340DF1"/>
    <w:rsid w:val="00343BBC"/>
    <w:rsid w:val="003460E8"/>
    <w:rsid w:val="00347210"/>
    <w:rsid w:val="00347383"/>
    <w:rsid w:val="00347F4D"/>
    <w:rsid w:val="00351387"/>
    <w:rsid w:val="003517F9"/>
    <w:rsid w:val="00351BA9"/>
    <w:rsid w:val="00351E46"/>
    <w:rsid w:val="0035253A"/>
    <w:rsid w:val="00354F64"/>
    <w:rsid w:val="00355771"/>
    <w:rsid w:val="0035620E"/>
    <w:rsid w:val="00360345"/>
    <w:rsid w:val="00361A05"/>
    <w:rsid w:val="003624C4"/>
    <w:rsid w:val="003628D7"/>
    <w:rsid w:val="00363B00"/>
    <w:rsid w:val="00363B98"/>
    <w:rsid w:val="003654AC"/>
    <w:rsid w:val="00370B89"/>
    <w:rsid w:val="0037100E"/>
    <w:rsid w:val="003710CF"/>
    <w:rsid w:val="00371D4D"/>
    <w:rsid w:val="0037358A"/>
    <w:rsid w:val="003750F6"/>
    <w:rsid w:val="003760FC"/>
    <w:rsid w:val="00376367"/>
    <w:rsid w:val="0038365C"/>
    <w:rsid w:val="0038369B"/>
    <w:rsid w:val="00383B78"/>
    <w:rsid w:val="00384B2D"/>
    <w:rsid w:val="00384F43"/>
    <w:rsid w:val="003858C6"/>
    <w:rsid w:val="00385A9D"/>
    <w:rsid w:val="00385C85"/>
    <w:rsid w:val="003902B1"/>
    <w:rsid w:val="0039039B"/>
    <w:rsid w:val="0039103E"/>
    <w:rsid w:val="0039156C"/>
    <w:rsid w:val="0039179C"/>
    <w:rsid w:val="003957ED"/>
    <w:rsid w:val="00396896"/>
    <w:rsid w:val="00396FD0"/>
    <w:rsid w:val="003A1A7A"/>
    <w:rsid w:val="003A2392"/>
    <w:rsid w:val="003A2831"/>
    <w:rsid w:val="003A3CB6"/>
    <w:rsid w:val="003A3ED1"/>
    <w:rsid w:val="003A42C2"/>
    <w:rsid w:val="003A44DB"/>
    <w:rsid w:val="003A72D9"/>
    <w:rsid w:val="003B34D3"/>
    <w:rsid w:val="003B3971"/>
    <w:rsid w:val="003B44AE"/>
    <w:rsid w:val="003B55D1"/>
    <w:rsid w:val="003B5B61"/>
    <w:rsid w:val="003C03E4"/>
    <w:rsid w:val="003C1654"/>
    <w:rsid w:val="003C5542"/>
    <w:rsid w:val="003C7D19"/>
    <w:rsid w:val="003C7D2F"/>
    <w:rsid w:val="003D0852"/>
    <w:rsid w:val="003D1828"/>
    <w:rsid w:val="003D1DE4"/>
    <w:rsid w:val="003D1E9A"/>
    <w:rsid w:val="003D2422"/>
    <w:rsid w:val="003D39A1"/>
    <w:rsid w:val="003D3FBF"/>
    <w:rsid w:val="003D4A30"/>
    <w:rsid w:val="003D5015"/>
    <w:rsid w:val="003D5C57"/>
    <w:rsid w:val="003D6976"/>
    <w:rsid w:val="003D7452"/>
    <w:rsid w:val="003D79BB"/>
    <w:rsid w:val="003D7C98"/>
    <w:rsid w:val="003D7D9D"/>
    <w:rsid w:val="003E0036"/>
    <w:rsid w:val="003E0543"/>
    <w:rsid w:val="003E1455"/>
    <w:rsid w:val="003E3B92"/>
    <w:rsid w:val="003E749E"/>
    <w:rsid w:val="003E786D"/>
    <w:rsid w:val="003F19CA"/>
    <w:rsid w:val="003F4156"/>
    <w:rsid w:val="003F456F"/>
    <w:rsid w:val="003F5ADF"/>
    <w:rsid w:val="003F743F"/>
    <w:rsid w:val="003F7642"/>
    <w:rsid w:val="004006A8"/>
    <w:rsid w:val="00400B29"/>
    <w:rsid w:val="00401F72"/>
    <w:rsid w:val="004036ED"/>
    <w:rsid w:val="0040504B"/>
    <w:rsid w:val="004059F4"/>
    <w:rsid w:val="00405CB2"/>
    <w:rsid w:val="00406A02"/>
    <w:rsid w:val="00407560"/>
    <w:rsid w:val="00407FE5"/>
    <w:rsid w:val="004101B0"/>
    <w:rsid w:val="00410326"/>
    <w:rsid w:val="00410708"/>
    <w:rsid w:val="004109A3"/>
    <w:rsid w:val="00410EC7"/>
    <w:rsid w:val="0041137C"/>
    <w:rsid w:val="00411B39"/>
    <w:rsid w:val="004127A7"/>
    <w:rsid w:val="00413A1E"/>
    <w:rsid w:val="00414476"/>
    <w:rsid w:val="0041484A"/>
    <w:rsid w:val="00414C2E"/>
    <w:rsid w:val="004151CF"/>
    <w:rsid w:val="00415212"/>
    <w:rsid w:val="004160A6"/>
    <w:rsid w:val="00416364"/>
    <w:rsid w:val="00416AAC"/>
    <w:rsid w:val="00420386"/>
    <w:rsid w:val="0042047F"/>
    <w:rsid w:val="00420698"/>
    <w:rsid w:val="00420AA6"/>
    <w:rsid w:val="00420B9F"/>
    <w:rsid w:val="0042192C"/>
    <w:rsid w:val="00422260"/>
    <w:rsid w:val="0042298D"/>
    <w:rsid w:val="0042369B"/>
    <w:rsid w:val="0042413F"/>
    <w:rsid w:val="00424219"/>
    <w:rsid w:val="00424915"/>
    <w:rsid w:val="00424993"/>
    <w:rsid w:val="004319F8"/>
    <w:rsid w:val="00431E55"/>
    <w:rsid w:val="004321F6"/>
    <w:rsid w:val="00432D83"/>
    <w:rsid w:val="00433044"/>
    <w:rsid w:val="00434088"/>
    <w:rsid w:val="004343F4"/>
    <w:rsid w:val="00435817"/>
    <w:rsid w:val="004375B9"/>
    <w:rsid w:val="0043774F"/>
    <w:rsid w:val="00440F76"/>
    <w:rsid w:val="00441015"/>
    <w:rsid w:val="00441895"/>
    <w:rsid w:val="00441CBF"/>
    <w:rsid w:val="004428D0"/>
    <w:rsid w:val="00442913"/>
    <w:rsid w:val="0044355C"/>
    <w:rsid w:val="00443DE3"/>
    <w:rsid w:val="00444185"/>
    <w:rsid w:val="004443A7"/>
    <w:rsid w:val="0044442C"/>
    <w:rsid w:val="00444855"/>
    <w:rsid w:val="00444E64"/>
    <w:rsid w:val="00445941"/>
    <w:rsid w:val="004464EB"/>
    <w:rsid w:val="00447D26"/>
    <w:rsid w:val="00447DFC"/>
    <w:rsid w:val="00451796"/>
    <w:rsid w:val="0045201D"/>
    <w:rsid w:val="004532DB"/>
    <w:rsid w:val="0045548E"/>
    <w:rsid w:val="00455BB1"/>
    <w:rsid w:val="00455D45"/>
    <w:rsid w:val="00455F22"/>
    <w:rsid w:val="00456866"/>
    <w:rsid w:val="00456949"/>
    <w:rsid w:val="00461456"/>
    <w:rsid w:val="00461A7D"/>
    <w:rsid w:val="00463729"/>
    <w:rsid w:val="00463BB3"/>
    <w:rsid w:val="00464595"/>
    <w:rsid w:val="004658B5"/>
    <w:rsid w:val="00465E8E"/>
    <w:rsid w:val="00467322"/>
    <w:rsid w:val="00470392"/>
    <w:rsid w:val="00470DF4"/>
    <w:rsid w:val="00471EA5"/>
    <w:rsid w:val="00472A79"/>
    <w:rsid w:val="00473F19"/>
    <w:rsid w:val="00475E22"/>
    <w:rsid w:val="004800D1"/>
    <w:rsid w:val="0048088E"/>
    <w:rsid w:val="00480F2B"/>
    <w:rsid w:val="004810C6"/>
    <w:rsid w:val="00482720"/>
    <w:rsid w:val="004835E7"/>
    <w:rsid w:val="00484A3A"/>
    <w:rsid w:val="00485E73"/>
    <w:rsid w:val="004867E2"/>
    <w:rsid w:val="00486C6E"/>
    <w:rsid w:val="0049084A"/>
    <w:rsid w:val="00490B17"/>
    <w:rsid w:val="00491B3A"/>
    <w:rsid w:val="00492CFD"/>
    <w:rsid w:val="00493435"/>
    <w:rsid w:val="00494207"/>
    <w:rsid w:val="00494DD5"/>
    <w:rsid w:val="00495BF7"/>
    <w:rsid w:val="004962D2"/>
    <w:rsid w:val="004A0DA1"/>
    <w:rsid w:val="004A13D6"/>
    <w:rsid w:val="004A52E9"/>
    <w:rsid w:val="004A6040"/>
    <w:rsid w:val="004A6597"/>
    <w:rsid w:val="004A7848"/>
    <w:rsid w:val="004A79B6"/>
    <w:rsid w:val="004B18CD"/>
    <w:rsid w:val="004B1CB4"/>
    <w:rsid w:val="004B2F18"/>
    <w:rsid w:val="004B3DDB"/>
    <w:rsid w:val="004B44FD"/>
    <w:rsid w:val="004B5CFC"/>
    <w:rsid w:val="004B6C0C"/>
    <w:rsid w:val="004B6F79"/>
    <w:rsid w:val="004B774D"/>
    <w:rsid w:val="004C1B4A"/>
    <w:rsid w:val="004C2F5F"/>
    <w:rsid w:val="004C4AA2"/>
    <w:rsid w:val="004C4AED"/>
    <w:rsid w:val="004C4FE1"/>
    <w:rsid w:val="004C55BF"/>
    <w:rsid w:val="004D0577"/>
    <w:rsid w:val="004D103D"/>
    <w:rsid w:val="004D2B99"/>
    <w:rsid w:val="004D2C2D"/>
    <w:rsid w:val="004D361A"/>
    <w:rsid w:val="004D5254"/>
    <w:rsid w:val="004D69B5"/>
    <w:rsid w:val="004D6F99"/>
    <w:rsid w:val="004D7227"/>
    <w:rsid w:val="004E02F8"/>
    <w:rsid w:val="004E0E7F"/>
    <w:rsid w:val="004E0EB8"/>
    <w:rsid w:val="004E16CF"/>
    <w:rsid w:val="004E18E9"/>
    <w:rsid w:val="004E19FD"/>
    <w:rsid w:val="004E2ADC"/>
    <w:rsid w:val="004E43B2"/>
    <w:rsid w:val="004E5444"/>
    <w:rsid w:val="004E5B29"/>
    <w:rsid w:val="004E6360"/>
    <w:rsid w:val="004E6EE5"/>
    <w:rsid w:val="004F0971"/>
    <w:rsid w:val="004F1D02"/>
    <w:rsid w:val="004F24EF"/>
    <w:rsid w:val="004F2679"/>
    <w:rsid w:val="004F2F21"/>
    <w:rsid w:val="004F3DE5"/>
    <w:rsid w:val="004F4AE6"/>
    <w:rsid w:val="004F6913"/>
    <w:rsid w:val="004F6AEF"/>
    <w:rsid w:val="004F7865"/>
    <w:rsid w:val="004F7F59"/>
    <w:rsid w:val="0050174E"/>
    <w:rsid w:val="00501854"/>
    <w:rsid w:val="005020D0"/>
    <w:rsid w:val="0050219B"/>
    <w:rsid w:val="00503F17"/>
    <w:rsid w:val="00506928"/>
    <w:rsid w:val="005077EF"/>
    <w:rsid w:val="005113A1"/>
    <w:rsid w:val="00511AD5"/>
    <w:rsid w:val="00511DC7"/>
    <w:rsid w:val="00511F9C"/>
    <w:rsid w:val="00512597"/>
    <w:rsid w:val="00513789"/>
    <w:rsid w:val="005142C5"/>
    <w:rsid w:val="0051446C"/>
    <w:rsid w:val="0051499B"/>
    <w:rsid w:val="0051501B"/>
    <w:rsid w:val="005152B5"/>
    <w:rsid w:val="00515D00"/>
    <w:rsid w:val="0051616A"/>
    <w:rsid w:val="00516412"/>
    <w:rsid w:val="00516BDF"/>
    <w:rsid w:val="005205D1"/>
    <w:rsid w:val="0052085D"/>
    <w:rsid w:val="0052123C"/>
    <w:rsid w:val="00521319"/>
    <w:rsid w:val="00522BC8"/>
    <w:rsid w:val="00523AED"/>
    <w:rsid w:val="00523C28"/>
    <w:rsid w:val="0053176B"/>
    <w:rsid w:val="005363A1"/>
    <w:rsid w:val="00536F42"/>
    <w:rsid w:val="00537182"/>
    <w:rsid w:val="00537575"/>
    <w:rsid w:val="0054182E"/>
    <w:rsid w:val="00541EDD"/>
    <w:rsid w:val="00542743"/>
    <w:rsid w:val="00542C2D"/>
    <w:rsid w:val="005460A1"/>
    <w:rsid w:val="005478BD"/>
    <w:rsid w:val="005479E3"/>
    <w:rsid w:val="00551985"/>
    <w:rsid w:val="00551F16"/>
    <w:rsid w:val="00552BD3"/>
    <w:rsid w:val="005532A0"/>
    <w:rsid w:val="00554FCC"/>
    <w:rsid w:val="00555109"/>
    <w:rsid w:val="0055517D"/>
    <w:rsid w:val="00556403"/>
    <w:rsid w:val="00556B35"/>
    <w:rsid w:val="0055741A"/>
    <w:rsid w:val="005611B7"/>
    <w:rsid w:val="005618D4"/>
    <w:rsid w:val="00563021"/>
    <w:rsid w:val="005649C4"/>
    <w:rsid w:val="00565DF0"/>
    <w:rsid w:val="0056696F"/>
    <w:rsid w:val="00566BFD"/>
    <w:rsid w:val="00571281"/>
    <w:rsid w:val="00572269"/>
    <w:rsid w:val="0057244A"/>
    <w:rsid w:val="00572770"/>
    <w:rsid w:val="00572DAB"/>
    <w:rsid w:val="00572F26"/>
    <w:rsid w:val="0057488A"/>
    <w:rsid w:val="005750C5"/>
    <w:rsid w:val="005752DE"/>
    <w:rsid w:val="00575D8D"/>
    <w:rsid w:val="005762BA"/>
    <w:rsid w:val="00576972"/>
    <w:rsid w:val="00577F9F"/>
    <w:rsid w:val="00583699"/>
    <w:rsid w:val="00583925"/>
    <w:rsid w:val="00584D96"/>
    <w:rsid w:val="00585C10"/>
    <w:rsid w:val="00585CDD"/>
    <w:rsid w:val="005868E8"/>
    <w:rsid w:val="00587058"/>
    <w:rsid w:val="005876C0"/>
    <w:rsid w:val="005907EA"/>
    <w:rsid w:val="00591957"/>
    <w:rsid w:val="005925FE"/>
    <w:rsid w:val="00592DBF"/>
    <w:rsid w:val="0059353C"/>
    <w:rsid w:val="005945BC"/>
    <w:rsid w:val="00595AFE"/>
    <w:rsid w:val="0059705C"/>
    <w:rsid w:val="00597BF9"/>
    <w:rsid w:val="005A1762"/>
    <w:rsid w:val="005A309A"/>
    <w:rsid w:val="005A373D"/>
    <w:rsid w:val="005A3CA7"/>
    <w:rsid w:val="005A4273"/>
    <w:rsid w:val="005A7473"/>
    <w:rsid w:val="005B0B58"/>
    <w:rsid w:val="005B2873"/>
    <w:rsid w:val="005B3D89"/>
    <w:rsid w:val="005B41BF"/>
    <w:rsid w:val="005B4E53"/>
    <w:rsid w:val="005B5857"/>
    <w:rsid w:val="005B5C97"/>
    <w:rsid w:val="005B619A"/>
    <w:rsid w:val="005B79DC"/>
    <w:rsid w:val="005C188E"/>
    <w:rsid w:val="005C1B83"/>
    <w:rsid w:val="005C22DC"/>
    <w:rsid w:val="005C25FF"/>
    <w:rsid w:val="005C2D55"/>
    <w:rsid w:val="005C346B"/>
    <w:rsid w:val="005D00F8"/>
    <w:rsid w:val="005D044D"/>
    <w:rsid w:val="005D06D3"/>
    <w:rsid w:val="005D0ABD"/>
    <w:rsid w:val="005D12D6"/>
    <w:rsid w:val="005D16E9"/>
    <w:rsid w:val="005D18AD"/>
    <w:rsid w:val="005D26B4"/>
    <w:rsid w:val="005D4EA6"/>
    <w:rsid w:val="005D6141"/>
    <w:rsid w:val="005D655C"/>
    <w:rsid w:val="005D6811"/>
    <w:rsid w:val="005E02FA"/>
    <w:rsid w:val="005E411C"/>
    <w:rsid w:val="005E61E8"/>
    <w:rsid w:val="005E6CBC"/>
    <w:rsid w:val="005E72FF"/>
    <w:rsid w:val="005E73C0"/>
    <w:rsid w:val="005F0211"/>
    <w:rsid w:val="005F0332"/>
    <w:rsid w:val="005F2706"/>
    <w:rsid w:val="005F315E"/>
    <w:rsid w:val="005F4D3B"/>
    <w:rsid w:val="005F63E5"/>
    <w:rsid w:val="005F695F"/>
    <w:rsid w:val="005F6A8F"/>
    <w:rsid w:val="005F6BB7"/>
    <w:rsid w:val="005F7588"/>
    <w:rsid w:val="006011CB"/>
    <w:rsid w:val="00603A1A"/>
    <w:rsid w:val="00603DB9"/>
    <w:rsid w:val="00604C22"/>
    <w:rsid w:val="00604C56"/>
    <w:rsid w:val="00606166"/>
    <w:rsid w:val="00606FBA"/>
    <w:rsid w:val="00607669"/>
    <w:rsid w:val="006076F4"/>
    <w:rsid w:val="00607AFD"/>
    <w:rsid w:val="00610DB2"/>
    <w:rsid w:val="00611ACA"/>
    <w:rsid w:val="00612F97"/>
    <w:rsid w:val="0061345D"/>
    <w:rsid w:val="0061549B"/>
    <w:rsid w:val="00616802"/>
    <w:rsid w:val="00616BA4"/>
    <w:rsid w:val="00617E12"/>
    <w:rsid w:val="0062053B"/>
    <w:rsid w:val="006209EC"/>
    <w:rsid w:val="00620C25"/>
    <w:rsid w:val="00621477"/>
    <w:rsid w:val="00621ADA"/>
    <w:rsid w:val="00621D04"/>
    <w:rsid w:val="00623F7B"/>
    <w:rsid w:val="006243A9"/>
    <w:rsid w:val="00625056"/>
    <w:rsid w:val="00630469"/>
    <w:rsid w:val="0063158F"/>
    <w:rsid w:val="00631D6B"/>
    <w:rsid w:val="00631ED6"/>
    <w:rsid w:val="00632183"/>
    <w:rsid w:val="00632AEE"/>
    <w:rsid w:val="006330A1"/>
    <w:rsid w:val="0063479F"/>
    <w:rsid w:val="006353F0"/>
    <w:rsid w:val="006357B5"/>
    <w:rsid w:val="0063609A"/>
    <w:rsid w:val="006364A1"/>
    <w:rsid w:val="0063678E"/>
    <w:rsid w:val="006367A4"/>
    <w:rsid w:val="006374D5"/>
    <w:rsid w:val="006376CF"/>
    <w:rsid w:val="00637BFD"/>
    <w:rsid w:val="00641C4E"/>
    <w:rsid w:val="00641FB3"/>
    <w:rsid w:val="0064434C"/>
    <w:rsid w:val="0064646E"/>
    <w:rsid w:val="006467C7"/>
    <w:rsid w:val="006471CC"/>
    <w:rsid w:val="00647A29"/>
    <w:rsid w:val="0065079F"/>
    <w:rsid w:val="006517CE"/>
    <w:rsid w:val="00652A28"/>
    <w:rsid w:val="0065303B"/>
    <w:rsid w:val="0065379F"/>
    <w:rsid w:val="00655217"/>
    <w:rsid w:val="00656188"/>
    <w:rsid w:val="0065715A"/>
    <w:rsid w:val="006610F1"/>
    <w:rsid w:val="00661C6B"/>
    <w:rsid w:val="00662106"/>
    <w:rsid w:val="00662314"/>
    <w:rsid w:val="00665049"/>
    <w:rsid w:val="00667635"/>
    <w:rsid w:val="00667DFF"/>
    <w:rsid w:val="0067062A"/>
    <w:rsid w:val="00671004"/>
    <w:rsid w:val="0067136A"/>
    <w:rsid w:val="00672646"/>
    <w:rsid w:val="00672BCA"/>
    <w:rsid w:val="0067351C"/>
    <w:rsid w:val="00674E42"/>
    <w:rsid w:val="006754A9"/>
    <w:rsid w:val="00677F36"/>
    <w:rsid w:val="006813F8"/>
    <w:rsid w:val="006817A4"/>
    <w:rsid w:val="00681C13"/>
    <w:rsid w:val="00682112"/>
    <w:rsid w:val="0068214F"/>
    <w:rsid w:val="00682BA6"/>
    <w:rsid w:val="0068336E"/>
    <w:rsid w:val="006844A4"/>
    <w:rsid w:val="00684A6A"/>
    <w:rsid w:val="00685753"/>
    <w:rsid w:val="0068631F"/>
    <w:rsid w:val="00686957"/>
    <w:rsid w:val="006872BA"/>
    <w:rsid w:val="00690795"/>
    <w:rsid w:val="00691648"/>
    <w:rsid w:val="006917D7"/>
    <w:rsid w:val="0069330A"/>
    <w:rsid w:val="0069434C"/>
    <w:rsid w:val="00694F44"/>
    <w:rsid w:val="006960E0"/>
    <w:rsid w:val="00696F51"/>
    <w:rsid w:val="006970BC"/>
    <w:rsid w:val="006979A5"/>
    <w:rsid w:val="006A1480"/>
    <w:rsid w:val="006A16A7"/>
    <w:rsid w:val="006A17E9"/>
    <w:rsid w:val="006A48EF"/>
    <w:rsid w:val="006A6B99"/>
    <w:rsid w:val="006A7A61"/>
    <w:rsid w:val="006A7E5F"/>
    <w:rsid w:val="006B0D72"/>
    <w:rsid w:val="006B261B"/>
    <w:rsid w:val="006B2C90"/>
    <w:rsid w:val="006B352D"/>
    <w:rsid w:val="006B35E6"/>
    <w:rsid w:val="006B42A7"/>
    <w:rsid w:val="006B4551"/>
    <w:rsid w:val="006B465A"/>
    <w:rsid w:val="006B6DD0"/>
    <w:rsid w:val="006B6F52"/>
    <w:rsid w:val="006B7A77"/>
    <w:rsid w:val="006C0399"/>
    <w:rsid w:val="006C048C"/>
    <w:rsid w:val="006C2A8E"/>
    <w:rsid w:val="006C3255"/>
    <w:rsid w:val="006C3461"/>
    <w:rsid w:val="006C3895"/>
    <w:rsid w:val="006C3D94"/>
    <w:rsid w:val="006C3F26"/>
    <w:rsid w:val="006C6BCC"/>
    <w:rsid w:val="006C6E10"/>
    <w:rsid w:val="006C72D1"/>
    <w:rsid w:val="006C76E1"/>
    <w:rsid w:val="006D0D17"/>
    <w:rsid w:val="006D1722"/>
    <w:rsid w:val="006D3519"/>
    <w:rsid w:val="006D3B60"/>
    <w:rsid w:val="006D3C7D"/>
    <w:rsid w:val="006D4659"/>
    <w:rsid w:val="006D4C6B"/>
    <w:rsid w:val="006D5D5F"/>
    <w:rsid w:val="006D611E"/>
    <w:rsid w:val="006D619E"/>
    <w:rsid w:val="006D68FB"/>
    <w:rsid w:val="006D6BC9"/>
    <w:rsid w:val="006E0933"/>
    <w:rsid w:val="006E182B"/>
    <w:rsid w:val="006E2868"/>
    <w:rsid w:val="006E36EA"/>
    <w:rsid w:val="006E38C5"/>
    <w:rsid w:val="006E3A2E"/>
    <w:rsid w:val="006E3A9A"/>
    <w:rsid w:val="006E3B53"/>
    <w:rsid w:val="006E6911"/>
    <w:rsid w:val="006E7644"/>
    <w:rsid w:val="006F0953"/>
    <w:rsid w:val="006F306C"/>
    <w:rsid w:val="006F3C45"/>
    <w:rsid w:val="006F4853"/>
    <w:rsid w:val="006F63A5"/>
    <w:rsid w:val="006F6C60"/>
    <w:rsid w:val="0070142B"/>
    <w:rsid w:val="0070276E"/>
    <w:rsid w:val="007028DE"/>
    <w:rsid w:val="00702F8F"/>
    <w:rsid w:val="007079FC"/>
    <w:rsid w:val="00707FCB"/>
    <w:rsid w:val="00710345"/>
    <w:rsid w:val="00710766"/>
    <w:rsid w:val="00711A36"/>
    <w:rsid w:val="0071296F"/>
    <w:rsid w:val="0071350B"/>
    <w:rsid w:val="007139A0"/>
    <w:rsid w:val="0071435E"/>
    <w:rsid w:val="00714C26"/>
    <w:rsid w:val="0071529C"/>
    <w:rsid w:val="00715C01"/>
    <w:rsid w:val="00715D69"/>
    <w:rsid w:val="007160FD"/>
    <w:rsid w:val="007170DA"/>
    <w:rsid w:val="007172AD"/>
    <w:rsid w:val="007178AF"/>
    <w:rsid w:val="00717E89"/>
    <w:rsid w:val="00720801"/>
    <w:rsid w:val="007227D8"/>
    <w:rsid w:val="00722B1B"/>
    <w:rsid w:val="0072416F"/>
    <w:rsid w:val="00725C7A"/>
    <w:rsid w:val="00727C94"/>
    <w:rsid w:val="00730E24"/>
    <w:rsid w:val="00731B0A"/>
    <w:rsid w:val="00731EAE"/>
    <w:rsid w:val="00733073"/>
    <w:rsid w:val="0073395F"/>
    <w:rsid w:val="00734137"/>
    <w:rsid w:val="00735033"/>
    <w:rsid w:val="00735328"/>
    <w:rsid w:val="0073685B"/>
    <w:rsid w:val="007371CB"/>
    <w:rsid w:val="007376BC"/>
    <w:rsid w:val="00740DA7"/>
    <w:rsid w:val="00742528"/>
    <w:rsid w:val="007449BF"/>
    <w:rsid w:val="007461D3"/>
    <w:rsid w:val="007468F9"/>
    <w:rsid w:val="00746BC0"/>
    <w:rsid w:val="007510B4"/>
    <w:rsid w:val="00752142"/>
    <w:rsid w:val="007523F9"/>
    <w:rsid w:val="0075357E"/>
    <w:rsid w:val="007546C7"/>
    <w:rsid w:val="007573E8"/>
    <w:rsid w:val="00760C4E"/>
    <w:rsid w:val="00760CDE"/>
    <w:rsid w:val="00760F9E"/>
    <w:rsid w:val="007627BE"/>
    <w:rsid w:val="00762A6C"/>
    <w:rsid w:val="00764F03"/>
    <w:rsid w:val="00765B1A"/>
    <w:rsid w:val="0077094F"/>
    <w:rsid w:val="007714BC"/>
    <w:rsid w:val="00772E16"/>
    <w:rsid w:val="00777335"/>
    <w:rsid w:val="00781637"/>
    <w:rsid w:val="00781CFD"/>
    <w:rsid w:val="0078203C"/>
    <w:rsid w:val="007826FD"/>
    <w:rsid w:val="00783AF4"/>
    <w:rsid w:val="007843F2"/>
    <w:rsid w:val="00784A43"/>
    <w:rsid w:val="00785A9F"/>
    <w:rsid w:val="00785E8B"/>
    <w:rsid w:val="00786DA1"/>
    <w:rsid w:val="007925DF"/>
    <w:rsid w:val="007933DC"/>
    <w:rsid w:val="00794556"/>
    <w:rsid w:val="00795BE9"/>
    <w:rsid w:val="007A0441"/>
    <w:rsid w:val="007A05DF"/>
    <w:rsid w:val="007A08AA"/>
    <w:rsid w:val="007A0A12"/>
    <w:rsid w:val="007A132D"/>
    <w:rsid w:val="007A1345"/>
    <w:rsid w:val="007A16EE"/>
    <w:rsid w:val="007A2138"/>
    <w:rsid w:val="007A2CF5"/>
    <w:rsid w:val="007A2DDB"/>
    <w:rsid w:val="007A70BA"/>
    <w:rsid w:val="007B0D68"/>
    <w:rsid w:val="007B2321"/>
    <w:rsid w:val="007B24B1"/>
    <w:rsid w:val="007B251D"/>
    <w:rsid w:val="007B2D3D"/>
    <w:rsid w:val="007B4F58"/>
    <w:rsid w:val="007B528D"/>
    <w:rsid w:val="007B63CA"/>
    <w:rsid w:val="007B7614"/>
    <w:rsid w:val="007B77D1"/>
    <w:rsid w:val="007C07C7"/>
    <w:rsid w:val="007C0801"/>
    <w:rsid w:val="007C0A8A"/>
    <w:rsid w:val="007C1123"/>
    <w:rsid w:val="007C1CD9"/>
    <w:rsid w:val="007C32EF"/>
    <w:rsid w:val="007C361D"/>
    <w:rsid w:val="007C4B84"/>
    <w:rsid w:val="007C6C75"/>
    <w:rsid w:val="007C70FF"/>
    <w:rsid w:val="007C7C25"/>
    <w:rsid w:val="007C7E28"/>
    <w:rsid w:val="007D004F"/>
    <w:rsid w:val="007D0B38"/>
    <w:rsid w:val="007D3D15"/>
    <w:rsid w:val="007D5440"/>
    <w:rsid w:val="007D69EB"/>
    <w:rsid w:val="007D6E91"/>
    <w:rsid w:val="007E128F"/>
    <w:rsid w:val="007E2CB7"/>
    <w:rsid w:val="007E4C8C"/>
    <w:rsid w:val="007E59E2"/>
    <w:rsid w:val="007E68D7"/>
    <w:rsid w:val="007E69B3"/>
    <w:rsid w:val="007E7590"/>
    <w:rsid w:val="007E7C41"/>
    <w:rsid w:val="007F0854"/>
    <w:rsid w:val="007F1017"/>
    <w:rsid w:val="007F1F14"/>
    <w:rsid w:val="007F2710"/>
    <w:rsid w:val="007F3E0F"/>
    <w:rsid w:val="007F4827"/>
    <w:rsid w:val="007F4A3F"/>
    <w:rsid w:val="007F4A61"/>
    <w:rsid w:val="007F5255"/>
    <w:rsid w:val="007F56CC"/>
    <w:rsid w:val="007F61C2"/>
    <w:rsid w:val="007F64A5"/>
    <w:rsid w:val="007F7B24"/>
    <w:rsid w:val="008004B9"/>
    <w:rsid w:val="00802196"/>
    <w:rsid w:val="00805142"/>
    <w:rsid w:val="00805CC7"/>
    <w:rsid w:val="00805FCE"/>
    <w:rsid w:val="0080626C"/>
    <w:rsid w:val="00807A8B"/>
    <w:rsid w:val="0081025E"/>
    <w:rsid w:val="00811383"/>
    <w:rsid w:val="008113DA"/>
    <w:rsid w:val="00812149"/>
    <w:rsid w:val="00812CAC"/>
    <w:rsid w:val="00812CCE"/>
    <w:rsid w:val="00813AD9"/>
    <w:rsid w:val="00816361"/>
    <w:rsid w:val="00816502"/>
    <w:rsid w:val="008166EF"/>
    <w:rsid w:val="00816FEF"/>
    <w:rsid w:val="00817589"/>
    <w:rsid w:val="00817B53"/>
    <w:rsid w:val="00820A8C"/>
    <w:rsid w:val="008211B1"/>
    <w:rsid w:val="008215FB"/>
    <w:rsid w:val="00821A9D"/>
    <w:rsid w:val="00823174"/>
    <w:rsid w:val="00824BA3"/>
    <w:rsid w:val="00825751"/>
    <w:rsid w:val="008264EB"/>
    <w:rsid w:val="00826992"/>
    <w:rsid w:val="008271F3"/>
    <w:rsid w:val="00830091"/>
    <w:rsid w:val="00830DB5"/>
    <w:rsid w:val="00831AE5"/>
    <w:rsid w:val="00833B05"/>
    <w:rsid w:val="00833F12"/>
    <w:rsid w:val="008362B4"/>
    <w:rsid w:val="00836BAC"/>
    <w:rsid w:val="00837149"/>
    <w:rsid w:val="00837494"/>
    <w:rsid w:val="00837CD9"/>
    <w:rsid w:val="00840017"/>
    <w:rsid w:val="00840CA2"/>
    <w:rsid w:val="00842C10"/>
    <w:rsid w:val="008434E8"/>
    <w:rsid w:val="0084374F"/>
    <w:rsid w:val="00843EBA"/>
    <w:rsid w:val="00844A22"/>
    <w:rsid w:val="008465FB"/>
    <w:rsid w:val="00847703"/>
    <w:rsid w:val="00847DF5"/>
    <w:rsid w:val="0085071A"/>
    <w:rsid w:val="00851956"/>
    <w:rsid w:val="008520A8"/>
    <w:rsid w:val="0085309D"/>
    <w:rsid w:val="008540C1"/>
    <w:rsid w:val="008551AF"/>
    <w:rsid w:val="00856400"/>
    <w:rsid w:val="00856897"/>
    <w:rsid w:val="00856E9A"/>
    <w:rsid w:val="008570B2"/>
    <w:rsid w:val="0086075D"/>
    <w:rsid w:val="00860F37"/>
    <w:rsid w:val="0086198F"/>
    <w:rsid w:val="0086206C"/>
    <w:rsid w:val="00862502"/>
    <w:rsid w:val="00862CC1"/>
    <w:rsid w:val="00864432"/>
    <w:rsid w:val="00864EF1"/>
    <w:rsid w:val="008659CA"/>
    <w:rsid w:val="00865EC0"/>
    <w:rsid w:val="008660D4"/>
    <w:rsid w:val="008718DE"/>
    <w:rsid w:val="00871F8C"/>
    <w:rsid w:val="00871FA9"/>
    <w:rsid w:val="008728E9"/>
    <w:rsid w:val="00882874"/>
    <w:rsid w:val="00882C29"/>
    <w:rsid w:val="00882E3C"/>
    <w:rsid w:val="00883787"/>
    <w:rsid w:val="00884449"/>
    <w:rsid w:val="00884988"/>
    <w:rsid w:val="008855E4"/>
    <w:rsid w:val="00886CD2"/>
    <w:rsid w:val="00891E6F"/>
    <w:rsid w:val="008922D6"/>
    <w:rsid w:val="008923D8"/>
    <w:rsid w:val="0089275D"/>
    <w:rsid w:val="008929B1"/>
    <w:rsid w:val="00892A36"/>
    <w:rsid w:val="00893239"/>
    <w:rsid w:val="00894489"/>
    <w:rsid w:val="008963A5"/>
    <w:rsid w:val="00896D5D"/>
    <w:rsid w:val="00896E3A"/>
    <w:rsid w:val="00897D4C"/>
    <w:rsid w:val="008A0613"/>
    <w:rsid w:val="008A1A6F"/>
    <w:rsid w:val="008A3363"/>
    <w:rsid w:val="008A3371"/>
    <w:rsid w:val="008A34E6"/>
    <w:rsid w:val="008A3C3E"/>
    <w:rsid w:val="008A5699"/>
    <w:rsid w:val="008A5E95"/>
    <w:rsid w:val="008A66BE"/>
    <w:rsid w:val="008A79DE"/>
    <w:rsid w:val="008B0009"/>
    <w:rsid w:val="008B1757"/>
    <w:rsid w:val="008B1F80"/>
    <w:rsid w:val="008B35BE"/>
    <w:rsid w:val="008B36D1"/>
    <w:rsid w:val="008B39A9"/>
    <w:rsid w:val="008B415E"/>
    <w:rsid w:val="008B44B4"/>
    <w:rsid w:val="008B7992"/>
    <w:rsid w:val="008B7D7E"/>
    <w:rsid w:val="008C090C"/>
    <w:rsid w:val="008C2E52"/>
    <w:rsid w:val="008C38A8"/>
    <w:rsid w:val="008C5610"/>
    <w:rsid w:val="008C5739"/>
    <w:rsid w:val="008C623A"/>
    <w:rsid w:val="008C6E34"/>
    <w:rsid w:val="008C7ECB"/>
    <w:rsid w:val="008D3B86"/>
    <w:rsid w:val="008D4755"/>
    <w:rsid w:val="008D4C3D"/>
    <w:rsid w:val="008D743C"/>
    <w:rsid w:val="008E0D3C"/>
    <w:rsid w:val="008E1B9E"/>
    <w:rsid w:val="008E408C"/>
    <w:rsid w:val="008E55AB"/>
    <w:rsid w:val="008E639B"/>
    <w:rsid w:val="008E6513"/>
    <w:rsid w:val="008E6DE3"/>
    <w:rsid w:val="008F0A34"/>
    <w:rsid w:val="008F120A"/>
    <w:rsid w:val="008F1EB5"/>
    <w:rsid w:val="008F2094"/>
    <w:rsid w:val="008F27E0"/>
    <w:rsid w:val="008F2BE1"/>
    <w:rsid w:val="008F3C3B"/>
    <w:rsid w:val="008F48EB"/>
    <w:rsid w:val="008F4F0B"/>
    <w:rsid w:val="008F5874"/>
    <w:rsid w:val="008F6EE8"/>
    <w:rsid w:val="00900D8D"/>
    <w:rsid w:val="00900E57"/>
    <w:rsid w:val="00901522"/>
    <w:rsid w:val="00902E65"/>
    <w:rsid w:val="009046C4"/>
    <w:rsid w:val="009062A5"/>
    <w:rsid w:val="00910FA7"/>
    <w:rsid w:val="00911272"/>
    <w:rsid w:val="009135D6"/>
    <w:rsid w:val="00913898"/>
    <w:rsid w:val="00914C77"/>
    <w:rsid w:val="009151B5"/>
    <w:rsid w:val="00915811"/>
    <w:rsid w:val="00917724"/>
    <w:rsid w:val="00917BFB"/>
    <w:rsid w:val="00921490"/>
    <w:rsid w:val="00921ACB"/>
    <w:rsid w:val="0092317E"/>
    <w:rsid w:val="0092369B"/>
    <w:rsid w:val="009253AB"/>
    <w:rsid w:val="009263C1"/>
    <w:rsid w:val="00930E05"/>
    <w:rsid w:val="00934988"/>
    <w:rsid w:val="009351CD"/>
    <w:rsid w:val="00935CAE"/>
    <w:rsid w:val="00937089"/>
    <w:rsid w:val="00937B1F"/>
    <w:rsid w:val="00942AEB"/>
    <w:rsid w:val="00943ADA"/>
    <w:rsid w:val="00944AD7"/>
    <w:rsid w:val="00944F8A"/>
    <w:rsid w:val="0094530C"/>
    <w:rsid w:val="009473C9"/>
    <w:rsid w:val="00947F61"/>
    <w:rsid w:val="009510A2"/>
    <w:rsid w:val="009526E3"/>
    <w:rsid w:val="00952C42"/>
    <w:rsid w:val="00953257"/>
    <w:rsid w:val="00953E4B"/>
    <w:rsid w:val="0095474C"/>
    <w:rsid w:val="00955133"/>
    <w:rsid w:val="00955758"/>
    <w:rsid w:val="00955CBE"/>
    <w:rsid w:val="00955E29"/>
    <w:rsid w:val="00960991"/>
    <w:rsid w:val="00960A96"/>
    <w:rsid w:val="00960AD7"/>
    <w:rsid w:val="00961762"/>
    <w:rsid w:val="00962CB9"/>
    <w:rsid w:val="00964312"/>
    <w:rsid w:val="00965B8A"/>
    <w:rsid w:val="00965C67"/>
    <w:rsid w:val="009670DE"/>
    <w:rsid w:val="0097071F"/>
    <w:rsid w:val="00970A2B"/>
    <w:rsid w:val="009717AC"/>
    <w:rsid w:val="00972FD4"/>
    <w:rsid w:val="009735AD"/>
    <w:rsid w:val="00974433"/>
    <w:rsid w:val="00974F52"/>
    <w:rsid w:val="009751C1"/>
    <w:rsid w:val="00977A9C"/>
    <w:rsid w:val="009805F3"/>
    <w:rsid w:val="009811F1"/>
    <w:rsid w:val="00981D78"/>
    <w:rsid w:val="00983E57"/>
    <w:rsid w:val="0098411B"/>
    <w:rsid w:val="00985DE2"/>
    <w:rsid w:val="00986164"/>
    <w:rsid w:val="0098675D"/>
    <w:rsid w:val="009873BB"/>
    <w:rsid w:val="009926E0"/>
    <w:rsid w:val="0099451E"/>
    <w:rsid w:val="009954CA"/>
    <w:rsid w:val="009969EA"/>
    <w:rsid w:val="00996B1A"/>
    <w:rsid w:val="00997076"/>
    <w:rsid w:val="009A1C84"/>
    <w:rsid w:val="009A24DD"/>
    <w:rsid w:val="009A2DCC"/>
    <w:rsid w:val="009A4C58"/>
    <w:rsid w:val="009A5ABC"/>
    <w:rsid w:val="009A68B7"/>
    <w:rsid w:val="009A73F4"/>
    <w:rsid w:val="009A7565"/>
    <w:rsid w:val="009A7F10"/>
    <w:rsid w:val="009B3E05"/>
    <w:rsid w:val="009B3E26"/>
    <w:rsid w:val="009B5004"/>
    <w:rsid w:val="009B5C74"/>
    <w:rsid w:val="009B619F"/>
    <w:rsid w:val="009C0ED8"/>
    <w:rsid w:val="009C1899"/>
    <w:rsid w:val="009C22A8"/>
    <w:rsid w:val="009C321D"/>
    <w:rsid w:val="009C3706"/>
    <w:rsid w:val="009C3A3A"/>
    <w:rsid w:val="009C3FB7"/>
    <w:rsid w:val="009C6CEA"/>
    <w:rsid w:val="009C6FE3"/>
    <w:rsid w:val="009C7B85"/>
    <w:rsid w:val="009D0254"/>
    <w:rsid w:val="009D11A7"/>
    <w:rsid w:val="009D1A64"/>
    <w:rsid w:val="009D1C16"/>
    <w:rsid w:val="009D3BC6"/>
    <w:rsid w:val="009D44E3"/>
    <w:rsid w:val="009D52F7"/>
    <w:rsid w:val="009D5B91"/>
    <w:rsid w:val="009D6D64"/>
    <w:rsid w:val="009D7265"/>
    <w:rsid w:val="009D74C9"/>
    <w:rsid w:val="009D792E"/>
    <w:rsid w:val="009E0DFE"/>
    <w:rsid w:val="009E2086"/>
    <w:rsid w:val="009E26C8"/>
    <w:rsid w:val="009E31F6"/>
    <w:rsid w:val="009E3802"/>
    <w:rsid w:val="009E4C07"/>
    <w:rsid w:val="009E4E45"/>
    <w:rsid w:val="009E6F13"/>
    <w:rsid w:val="009F24FE"/>
    <w:rsid w:val="009F261E"/>
    <w:rsid w:val="009F3D2C"/>
    <w:rsid w:val="009F7663"/>
    <w:rsid w:val="00A000CF"/>
    <w:rsid w:val="00A01184"/>
    <w:rsid w:val="00A037C2"/>
    <w:rsid w:val="00A03D43"/>
    <w:rsid w:val="00A04380"/>
    <w:rsid w:val="00A05472"/>
    <w:rsid w:val="00A05A45"/>
    <w:rsid w:val="00A05C32"/>
    <w:rsid w:val="00A0653F"/>
    <w:rsid w:val="00A06BA8"/>
    <w:rsid w:val="00A11CD0"/>
    <w:rsid w:val="00A13948"/>
    <w:rsid w:val="00A1555B"/>
    <w:rsid w:val="00A155C5"/>
    <w:rsid w:val="00A15B02"/>
    <w:rsid w:val="00A16AD8"/>
    <w:rsid w:val="00A20246"/>
    <w:rsid w:val="00A21C95"/>
    <w:rsid w:val="00A21CF3"/>
    <w:rsid w:val="00A225CE"/>
    <w:rsid w:val="00A2378B"/>
    <w:rsid w:val="00A23DF8"/>
    <w:rsid w:val="00A23E48"/>
    <w:rsid w:val="00A24813"/>
    <w:rsid w:val="00A25691"/>
    <w:rsid w:val="00A27AEC"/>
    <w:rsid w:val="00A320DB"/>
    <w:rsid w:val="00A35D16"/>
    <w:rsid w:val="00A35FA6"/>
    <w:rsid w:val="00A37BCD"/>
    <w:rsid w:val="00A404BF"/>
    <w:rsid w:val="00A41689"/>
    <w:rsid w:val="00A42592"/>
    <w:rsid w:val="00A42B7F"/>
    <w:rsid w:val="00A43C59"/>
    <w:rsid w:val="00A45E1A"/>
    <w:rsid w:val="00A503EA"/>
    <w:rsid w:val="00A50ECD"/>
    <w:rsid w:val="00A518F3"/>
    <w:rsid w:val="00A52729"/>
    <w:rsid w:val="00A53675"/>
    <w:rsid w:val="00A564D7"/>
    <w:rsid w:val="00A56B6A"/>
    <w:rsid w:val="00A57866"/>
    <w:rsid w:val="00A578DC"/>
    <w:rsid w:val="00A57A7D"/>
    <w:rsid w:val="00A632DA"/>
    <w:rsid w:val="00A6346E"/>
    <w:rsid w:val="00A640E2"/>
    <w:rsid w:val="00A64D65"/>
    <w:rsid w:val="00A6515F"/>
    <w:rsid w:val="00A6725B"/>
    <w:rsid w:val="00A70605"/>
    <w:rsid w:val="00A71F0D"/>
    <w:rsid w:val="00A71F89"/>
    <w:rsid w:val="00A72232"/>
    <w:rsid w:val="00A7267D"/>
    <w:rsid w:val="00A73134"/>
    <w:rsid w:val="00A73655"/>
    <w:rsid w:val="00A73899"/>
    <w:rsid w:val="00A750F7"/>
    <w:rsid w:val="00A752A2"/>
    <w:rsid w:val="00A76001"/>
    <w:rsid w:val="00A77289"/>
    <w:rsid w:val="00A777B2"/>
    <w:rsid w:val="00A800A8"/>
    <w:rsid w:val="00A81E7D"/>
    <w:rsid w:val="00A825D4"/>
    <w:rsid w:val="00A828F6"/>
    <w:rsid w:val="00A82B73"/>
    <w:rsid w:val="00A84784"/>
    <w:rsid w:val="00A86E8B"/>
    <w:rsid w:val="00A8704B"/>
    <w:rsid w:val="00A87164"/>
    <w:rsid w:val="00A9202A"/>
    <w:rsid w:val="00A93072"/>
    <w:rsid w:val="00A938BD"/>
    <w:rsid w:val="00A93953"/>
    <w:rsid w:val="00A959D8"/>
    <w:rsid w:val="00A95C9E"/>
    <w:rsid w:val="00A963A5"/>
    <w:rsid w:val="00A9714E"/>
    <w:rsid w:val="00A97C44"/>
    <w:rsid w:val="00AA0DEA"/>
    <w:rsid w:val="00AA10B8"/>
    <w:rsid w:val="00AA113D"/>
    <w:rsid w:val="00AA2DB0"/>
    <w:rsid w:val="00AA6BD5"/>
    <w:rsid w:val="00AA6BD8"/>
    <w:rsid w:val="00AA6C7D"/>
    <w:rsid w:val="00AA7FD6"/>
    <w:rsid w:val="00AB042A"/>
    <w:rsid w:val="00AB19EF"/>
    <w:rsid w:val="00AB22BA"/>
    <w:rsid w:val="00AB2D34"/>
    <w:rsid w:val="00AB3155"/>
    <w:rsid w:val="00AB31E1"/>
    <w:rsid w:val="00AB3430"/>
    <w:rsid w:val="00AB37B9"/>
    <w:rsid w:val="00AB4035"/>
    <w:rsid w:val="00AB4AD1"/>
    <w:rsid w:val="00AB5E07"/>
    <w:rsid w:val="00AB616D"/>
    <w:rsid w:val="00AB65F3"/>
    <w:rsid w:val="00AB7CFA"/>
    <w:rsid w:val="00AC0601"/>
    <w:rsid w:val="00AC1548"/>
    <w:rsid w:val="00AC29F0"/>
    <w:rsid w:val="00AC2BC2"/>
    <w:rsid w:val="00AC3125"/>
    <w:rsid w:val="00AC5076"/>
    <w:rsid w:val="00AC5672"/>
    <w:rsid w:val="00AC5B48"/>
    <w:rsid w:val="00AC7EFA"/>
    <w:rsid w:val="00AD006B"/>
    <w:rsid w:val="00AD1450"/>
    <w:rsid w:val="00AD2AC0"/>
    <w:rsid w:val="00AD3439"/>
    <w:rsid w:val="00AD44B9"/>
    <w:rsid w:val="00AD6502"/>
    <w:rsid w:val="00AD6579"/>
    <w:rsid w:val="00AE0695"/>
    <w:rsid w:val="00AE1431"/>
    <w:rsid w:val="00AE3126"/>
    <w:rsid w:val="00AE348C"/>
    <w:rsid w:val="00AE3E7E"/>
    <w:rsid w:val="00AE3FEF"/>
    <w:rsid w:val="00AE49E6"/>
    <w:rsid w:val="00AE7B54"/>
    <w:rsid w:val="00AF1315"/>
    <w:rsid w:val="00AF19BF"/>
    <w:rsid w:val="00AF2DC3"/>
    <w:rsid w:val="00AF3385"/>
    <w:rsid w:val="00AF46D3"/>
    <w:rsid w:val="00AF7035"/>
    <w:rsid w:val="00B0031C"/>
    <w:rsid w:val="00B007C8"/>
    <w:rsid w:val="00B00AC6"/>
    <w:rsid w:val="00B0141A"/>
    <w:rsid w:val="00B033E5"/>
    <w:rsid w:val="00B03A63"/>
    <w:rsid w:val="00B04386"/>
    <w:rsid w:val="00B046CB"/>
    <w:rsid w:val="00B05BC9"/>
    <w:rsid w:val="00B07BC8"/>
    <w:rsid w:val="00B11C52"/>
    <w:rsid w:val="00B124E4"/>
    <w:rsid w:val="00B13123"/>
    <w:rsid w:val="00B14CF8"/>
    <w:rsid w:val="00B15787"/>
    <w:rsid w:val="00B16DC0"/>
    <w:rsid w:val="00B17E0A"/>
    <w:rsid w:val="00B201A4"/>
    <w:rsid w:val="00B201D1"/>
    <w:rsid w:val="00B202C2"/>
    <w:rsid w:val="00B213A6"/>
    <w:rsid w:val="00B235B0"/>
    <w:rsid w:val="00B246FF"/>
    <w:rsid w:val="00B24DF6"/>
    <w:rsid w:val="00B2764A"/>
    <w:rsid w:val="00B3243D"/>
    <w:rsid w:val="00B34FE2"/>
    <w:rsid w:val="00B35166"/>
    <w:rsid w:val="00B357D8"/>
    <w:rsid w:val="00B360F4"/>
    <w:rsid w:val="00B361B2"/>
    <w:rsid w:val="00B3668D"/>
    <w:rsid w:val="00B36A00"/>
    <w:rsid w:val="00B37943"/>
    <w:rsid w:val="00B37BFC"/>
    <w:rsid w:val="00B37CA6"/>
    <w:rsid w:val="00B37F35"/>
    <w:rsid w:val="00B4005E"/>
    <w:rsid w:val="00B40358"/>
    <w:rsid w:val="00B40504"/>
    <w:rsid w:val="00B40A41"/>
    <w:rsid w:val="00B41614"/>
    <w:rsid w:val="00B42851"/>
    <w:rsid w:val="00B42F80"/>
    <w:rsid w:val="00B435CB"/>
    <w:rsid w:val="00B47669"/>
    <w:rsid w:val="00B4768D"/>
    <w:rsid w:val="00B505C8"/>
    <w:rsid w:val="00B50DB8"/>
    <w:rsid w:val="00B534C0"/>
    <w:rsid w:val="00B53654"/>
    <w:rsid w:val="00B53905"/>
    <w:rsid w:val="00B53CC0"/>
    <w:rsid w:val="00B53FB7"/>
    <w:rsid w:val="00B5443A"/>
    <w:rsid w:val="00B54B5B"/>
    <w:rsid w:val="00B5562E"/>
    <w:rsid w:val="00B55D65"/>
    <w:rsid w:val="00B57000"/>
    <w:rsid w:val="00B57A5E"/>
    <w:rsid w:val="00B60939"/>
    <w:rsid w:val="00B60AFD"/>
    <w:rsid w:val="00B60C1C"/>
    <w:rsid w:val="00B6259C"/>
    <w:rsid w:val="00B62715"/>
    <w:rsid w:val="00B64B8C"/>
    <w:rsid w:val="00B65611"/>
    <w:rsid w:val="00B65CAF"/>
    <w:rsid w:val="00B669C3"/>
    <w:rsid w:val="00B67B18"/>
    <w:rsid w:val="00B7046C"/>
    <w:rsid w:val="00B70E8E"/>
    <w:rsid w:val="00B71E37"/>
    <w:rsid w:val="00B76C92"/>
    <w:rsid w:val="00B779CA"/>
    <w:rsid w:val="00B818A4"/>
    <w:rsid w:val="00B81E21"/>
    <w:rsid w:val="00B84117"/>
    <w:rsid w:val="00B8491C"/>
    <w:rsid w:val="00B858F0"/>
    <w:rsid w:val="00B85AA2"/>
    <w:rsid w:val="00B8649C"/>
    <w:rsid w:val="00B8695D"/>
    <w:rsid w:val="00B86A86"/>
    <w:rsid w:val="00B87F0A"/>
    <w:rsid w:val="00B92C9C"/>
    <w:rsid w:val="00B92D0B"/>
    <w:rsid w:val="00B93D7E"/>
    <w:rsid w:val="00B94374"/>
    <w:rsid w:val="00B94945"/>
    <w:rsid w:val="00B94DD6"/>
    <w:rsid w:val="00B961B6"/>
    <w:rsid w:val="00BA013D"/>
    <w:rsid w:val="00BA2BA9"/>
    <w:rsid w:val="00BA322D"/>
    <w:rsid w:val="00BA5049"/>
    <w:rsid w:val="00BA63FA"/>
    <w:rsid w:val="00BA7B61"/>
    <w:rsid w:val="00BB00B3"/>
    <w:rsid w:val="00BB0BDD"/>
    <w:rsid w:val="00BB176C"/>
    <w:rsid w:val="00BB2A73"/>
    <w:rsid w:val="00BB330A"/>
    <w:rsid w:val="00BB3A45"/>
    <w:rsid w:val="00BB4ACC"/>
    <w:rsid w:val="00BB573F"/>
    <w:rsid w:val="00BB5929"/>
    <w:rsid w:val="00BB5D90"/>
    <w:rsid w:val="00BB703E"/>
    <w:rsid w:val="00BB732D"/>
    <w:rsid w:val="00BB7405"/>
    <w:rsid w:val="00BB78CD"/>
    <w:rsid w:val="00BC0F4A"/>
    <w:rsid w:val="00BC1A45"/>
    <w:rsid w:val="00BC3631"/>
    <w:rsid w:val="00BC42A7"/>
    <w:rsid w:val="00BC525C"/>
    <w:rsid w:val="00BC591F"/>
    <w:rsid w:val="00BC7D6D"/>
    <w:rsid w:val="00BD1396"/>
    <w:rsid w:val="00BD2108"/>
    <w:rsid w:val="00BD457C"/>
    <w:rsid w:val="00BD4D5C"/>
    <w:rsid w:val="00BD555E"/>
    <w:rsid w:val="00BD55A4"/>
    <w:rsid w:val="00BD647A"/>
    <w:rsid w:val="00BD68A3"/>
    <w:rsid w:val="00BD6938"/>
    <w:rsid w:val="00BD6CF3"/>
    <w:rsid w:val="00BE0DD2"/>
    <w:rsid w:val="00BE0ECA"/>
    <w:rsid w:val="00BE1219"/>
    <w:rsid w:val="00BE2180"/>
    <w:rsid w:val="00BE21F2"/>
    <w:rsid w:val="00BE33EE"/>
    <w:rsid w:val="00BE352D"/>
    <w:rsid w:val="00BE4275"/>
    <w:rsid w:val="00BE4C52"/>
    <w:rsid w:val="00BE4D5C"/>
    <w:rsid w:val="00BE5956"/>
    <w:rsid w:val="00BE5C5D"/>
    <w:rsid w:val="00BF06AE"/>
    <w:rsid w:val="00BF0F95"/>
    <w:rsid w:val="00BF2433"/>
    <w:rsid w:val="00BF2808"/>
    <w:rsid w:val="00BF2AB7"/>
    <w:rsid w:val="00BF3F62"/>
    <w:rsid w:val="00BF4D19"/>
    <w:rsid w:val="00BF51AB"/>
    <w:rsid w:val="00BF58B2"/>
    <w:rsid w:val="00BF61C9"/>
    <w:rsid w:val="00BF669A"/>
    <w:rsid w:val="00BF6C94"/>
    <w:rsid w:val="00C00424"/>
    <w:rsid w:val="00C0097B"/>
    <w:rsid w:val="00C01392"/>
    <w:rsid w:val="00C02415"/>
    <w:rsid w:val="00C05606"/>
    <w:rsid w:val="00C05950"/>
    <w:rsid w:val="00C07B67"/>
    <w:rsid w:val="00C07D0C"/>
    <w:rsid w:val="00C1179F"/>
    <w:rsid w:val="00C12C14"/>
    <w:rsid w:val="00C133CE"/>
    <w:rsid w:val="00C15BA1"/>
    <w:rsid w:val="00C15F04"/>
    <w:rsid w:val="00C1624C"/>
    <w:rsid w:val="00C179B3"/>
    <w:rsid w:val="00C17E3F"/>
    <w:rsid w:val="00C200AA"/>
    <w:rsid w:val="00C217AB"/>
    <w:rsid w:val="00C218B5"/>
    <w:rsid w:val="00C2250F"/>
    <w:rsid w:val="00C237ED"/>
    <w:rsid w:val="00C23EF7"/>
    <w:rsid w:val="00C24632"/>
    <w:rsid w:val="00C25418"/>
    <w:rsid w:val="00C25D9C"/>
    <w:rsid w:val="00C2725B"/>
    <w:rsid w:val="00C2778B"/>
    <w:rsid w:val="00C303C8"/>
    <w:rsid w:val="00C31649"/>
    <w:rsid w:val="00C3434C"/>
    <w:rsid w:val="00C3484E"/>
    <w:rsid w:val="00C35F39"/>
    <w:rsid w:val="00C37576"/>
    <w:rsid w:val="00C40385"/>
    <w:rsid w:val="00C40494"/>
    <w:rsid w:val="00C41768"/>
    <w:rsid w:val="00C41787"/>
    <w:rsid w:val="00C43918"/>
    <w:rsid w:val="00C475AA"/>
    <w:rsid w:val="00C50F55"/>
    <w:rsid w:val="00C53C98"/>
    <w:rsid w:val="00C53D8D"/>
    <w:rsid w:val="00C54127"/>
    <w:rsid w:val="00C54639"/>
    <w:rsid w:val="00C5585C"/>
    <w:rsid w:val="00C5671B"/>
    <w:rsid w:val="00C56FCF"/>
    <w:rsid w:val="00C573AE"/>
    <w:rsid w:val="00C57B6C"/>
    <w:rsid w:val="00C60829"/>
    <w:rsid w:val="00C628A6"/>
    <w:rsid w:val="00C62A20"/>
    <w:rsid w:val="00C64344"/>
    <w:rsid w:val="00C648E7"/>
    <w:rsid w:val="00C65108"/>
    <w:rsid w:val="00C654EA"/>
    <w:rsid w:val="00C654FE"/>
    <w:rsid w:val="00C65576"/>
    <w:rsid w:val="00C657B5"/>
    <w:rsid w:val="00C6581B"/>
    <w:rsid w:val="00C66165"/>
    <w:rsid w:val="00C66391"/>
    <w:rsid w:val="00C7060A"/>
    <w:rsid w:val="00C7151A"/>
    <w:rsid w:val="00C717E3"/>
    <w:rsid w:val="00C71C33"/>
    <w:rsid w:val="00C71F60"/>
    <w:rsid w:val="00C72241"/>
    <w:rsid w:val="00C750C8"/>
    <w:rsid w:val="00C7560F"/>
    <w:rsid w:val="00C75A09"/>
    <w:rsid w:val="00C763F6"/>
    <w:rsid w:val="00C768A2"/>
    <w:rsid w:val="00C778B6"/>
    <w:rsid w:val="00C80A0E"/>
    <w:rsid w:val="00C81C99"/>
    <w:rsid w:val="00C8213F"/>
    <w:rsid w:val="00C8263C"/>
    <w:rsid w:val="00C82D32"/>
    <w:rsid w:val="00C85154"/>
    <w:rsid w:val="00C86EFB"/>
    <w:rsid w:val="00C870E4"/>
    <w:rsid w:val="00C874F7"/>
    <w:rsid w:val="00C8797A"/>
    <w:rsid w:val="00C900B8"/>
    <w:rsid w:val="00C90C71"/>
    <w:rsid w:val="00C91FD1"/>
    <w:rsid w:val="00C931CF"/>
    <w:rsid w:val="00C938CF"/>
    <w:rsid w:val="00C94053"/>
    <w:rsid w:val="00C9526D"/>
    <w:rsid w:val="00C9624D"/>
    <w:rsid w:val="00C9626F"/>
    <w:rsid w:val="00C969DA"/>
    <w:rsid w:val="00CA07CB"/>
    <w:rsid w:val="00CA28E6"/>
    <w:rsid w:val="00CA2C77"/>
    <w:rsid w:val="00CA444F"/>
    <w:rsid w:val="00CA5005"/>
    <w:rsid w:val="00CA5245"/>
    <w:rsid w:val="00CA71F4"/>
    <w:rsid w:val="00CA7B09"/>
    <w:rsid w:val="00CA7EEE"/>
    <w:rsid w:val="00CB12A5"/>
    <w:rsid w:val="00CB1CAC"/>
    <w:rsid w:val="00CB1CBF"/>
    <w:rsid w:val="00CB2A29"/>
    <w:rsid w:val="00CB2F2A"/>
    <w:rsid w:val="00CB2F78"/>
    <w:rsid w:val="00CB4AF6"/>
    <w:rsid w:val="00CB58FA"/>
    <w:rsid w:val="00CB5B1A"/>
    <w:rsid w:val="00CB6698"/>
    <w:rsid w:val="00CB6B22"/>
    <w:rsid w:val="00CB7F5F"/>
    <w:rsid w:val="00CC02EF"/>
    <w:rsid w:val="00CC1B39"/>
    <w:rsid w:val="00CC3216"/>
    <w:rsid w:val="00CC35EA"/>
    <w:rsid w:val="00CC3848"/>
    <w:rsid w:val="00CC5266"/>
    <w:rsid w:val="00CC5DB6"/>
    <w:rsid w:val="00CC6E05"/>
    <w:rsid w:val="00CD3445"/>
    <w:rsid w:val="00CD3F77"/>
    <w:rsid w:val="00CD586A"/>
    <w:rsid w:val="00CD6ADC"/>
    <w:rsid w:val="00CD7193"/>
    <w:rsid w:val="00CE1A41"/>
    <w:rsid w:val="00CE2172"/>
    <w:rsid w:val="00CE29DD"/>
    <w:rsid w:val="00CE38C8"/>
    <w:rsid w:val="00CE6274"/>
    <w:rsid w:val="00CE77B6"/>
    <w:rsid w:val="00CF1FC4"/>
    <w:rsid w:val="00CF20BD"/>
    <w:rsid w:val="00CF2B8D"/>
    <w:rsid w:val="00CF456B"/>
    <w:rsid w:val="00CF4ACA"/>
    <w:rsid w:val="00CF5A22"/>
    <w:rsid w:val="00CF5A84"/>
    <w:rsid w:val="00CF60D1"/>
    <w:rsid w:val="00D0143D"/>
    <w:rsid w:val="00D0262E"/>
    <w:rsid w:val="00D02BE5"/>
    <w:rsid w:val="00D0546B"/>
    <w:rsid w:val="00D05D15"/>
    <w:rsid w:val="00D05E3D"/>
    <w:rsid w:val="00D06139"/>
    <w:rsid w:val="00D06C11"/>
    <w:rsid w:val="00D0723C"/>
    <w:rsid w:val="00D07615"/>
    <w:rsid w:val="00D104A8"/>
    <w:rsid w:val="00D110BD"/>
    <w:rsid w:val="00D11C7E"/>
    <w:rsid w:val="00D13675"/>
    <w:rsid w:val="00D141E1"/>
    <w:rsid w:val="00D14B00"/>
    <w:rsid w:val="00D15314"/>
    <w:rsid w:val="00D15784"/>
    <w:rsid w:val="00D15B5A"/>
    <w:rsid w:val="00D17224"/>
    <w:rsid w:val="00D17BD6"/>
    <w:rsid w:val="00D17C19"/>
    <w:rsid w:val="00D17D6C"/>
    <w:rsid w:val="00D204FA"/>
    <w:rsid w:val="00D2155B"/>
    <w:rsid w:val="00D23D11"/>
    <w:rsid w:val="00D244B6"/>
    <w:rsid w:val="00D2754D"/>
    <w:rsid w:val="00D27B27"/>
    <w:rsid w:val="00D306CB"/>
    <w:rsid w:val="00D30E22"/>
    <w:rsid w:val="00D316A1"/>
    <w:rsid w:val="00D32F40"/>
    <w:rsid w:val="00D339A7"/>
    <w:rsid w:val="00D33BE9"/>
    <w:rsid w:val="00D33F93"/>
    <w:rsid w:val="00D34AC3"/>
    <w:rsid w:val="00D357FF"/>
    <w:rsid w:val="00D35E54"/>
    <w:rsid w:val="00D364AE"/>
    <w:rsid w:val="00D40E0C"/>
    <w:rsid w:val="00D424C7"/>
    <w:rsid w:val="00D43B2A"/>
    <w:rsid w:val="00D43D83"/>
    <w:rsid w:val="00D44F1C"/>
    <w:rsid w:val="00D47575"/>
    <w:rsid w:val="00D50D65"/>
    <w:rsid w:val="00D5243B"/>
    <w:rsid w:val="00D533EC"/>
    <w:rsid w:val="00D54CE4"/>
    <w:rsid w:val="00D5544F"/>
    <w:rsid w:val="00D56A95"/>
    <w:rsid w:val="00D62029"/>
    <w:rsid w:val="00D64782"/>
    <w:rsid w:val="00D67760"/>
    <w:rsid w:val="00D67ECF"/>
    <w:rsid w:val="00D70740"/>
    <w:rsid w:val="00D70F16"/>
    <w:rsid w:val="00D71674"/>
    <w:rsid w:val="00D72F57"/>
    <w:rsid w:val="00D751CE"/>
    <w:rsid w:val="00D76A44"/>
    <w:rsid w:val="00D77B88"/>
    <w:rsid w:val="00D80F37"/>
    <w:rsid w:val="00D815EF"/>
    <w:rsid w:val="00D81ADF"/>
    <w:rsid w:val="00D81F26"/>
    <w:rsid w:val="00D83CE5"/>
    <w:rsid w:val="00D85B4D"/>
    <w:rsid w:val="00D86231"/>
    <w:rsid w:val="00D9107D"/>
    <w:rsid w:val="00D91923"/>
    <w:rsid w:val="00D92A38"/>
    <w:rsid w:val="00D93753"/>
    <w:rsid w:val="00D94066"/>
    <w:rsid w:val="00DA11C7"/>
    <w:rsid w:val="00DA2E41"/>
    <w:rsid w:val="00DA3167"/>
    <w:rsid w:val="00DA40A8"/>
    <w:rsid w:val="00DA4DC3"/>
    <w:rsid w:val="00DA4FBF"/>
    <w:rsid w:val="00DA62EE"/>
    <w:rsid w:val="00DA74EB"/>
    <w:rsid w:val="00DA77A5"/>
    <w:rsid w:val="00DA7A9C"/>
    <w:rsid w:val="00DB0BE1"/>
    <w:rsid w:val="00DB0E15"/>
    <w:rsid w:val="00DB1F09"/>
    <w:rsid w:val="00DB330F"/>
    <w:rsid w:val="00DB3DBF"/>
    <w:rsid w:val="00DB484F"/>
    <w:rsid w:val="00DB5AA7"/>
    <w:rsid w:val="00DB75C0"/>
    <w:rsid w:val="00DB7966"/>
    <w:rsid w:val="00DC01FA"/>
    <w:rsid w:val="00DC04F6"/>
    <w:rsid w:val="00DC0690"/>
    <w:rsid w:val="00DC1D65"/>
    <w:rsid w:val="00DC23E4"/>
    <w:rsid w:val="00DC2D12"/>
    <w:rsid w:val="00DC32E7"/>
    <w:rsid w:val="00DC3653"/>
    <w:rsid w:val="00DC3C57"/>
    <w:rsid w:val="00DC51AB"/>
    <w:rsid w:val="00DC5501"/>
    <w:rsid w:val="00DC6D69"/>
    <w:rsid w:val="00DC7154"/>
    <w:rsid w:val="00DC7335"/>
    <w:rsid w:val="00DC7407"/>
    <w:rsid w:val="00DC7E8A"/>
    <w:rsid w:val="00DD0F78"/>
    <w:rsid w:val="00DD1C1E"/>
    <w:rsid w:val="00DD23A6"/>
    <w:rsid w:val="00DD273C"/>
    <w:rsid w:val="00DD2F7B"/>
    <w:rsid w:val="00DD3F28"/>
    <w:rsid w:val="00DD4537"/>
    <w:rsid w:val="00DD46DA"/>
    <w:rsid w:val="00DD4E15"/>
    <w:rsid w:val="00DD51D8"/>
    <w:rsid w:val="00DE2304"/>
    <w:rsid w:val="00DE2F32"/>
    <w:rsid w:val="00DE3138"/>
    <w:rsid w:val="00DE37F8"/>
    <w:rsid w:val="00DE3F90"/>
    <w:rsid w:val="00DE4FCB"/>
    <w:rsid w:val="00DE5D07"/>
    <w:rsid w:val="00DE72A7"/>
    <w:rsid w:val="00DE7406"/>
    <w:rsid w:val="00DE7832"/>
    <w:rsid w:val="00DF18FC"/>
    <w:rsid w:val="00DF2232"/>
    <w:rsid w:val="00DF261B"/>
    <w:rsid w:val="00DF2884"/>
    <w:rsid w:val="00DF2C19"/>
    <w:rsid w:val="00DF5D2B"/>
    <w:rsid w:val="00DF6A57"/>
    <w:rsid w:val="00E00E8E"/>
    <w:rsid w:val="00E01F4A"/>
    <w:rsid w:val="00E05630"/>
    <w:rsid w:val="00E0565C"/>
    <w:rsid w:val="00E066D1"/>
    <w:rsid w:val="00E06DBB"/>
    <w:rsid w:val="00E07EF3"/>
    <w:rsid w:val="00E10149"/>
    <w:rsid w:val="00E10D7E"/>
    <w:rsid w:val="00E11340"/>
    <w:rsid w:val="00E122A1"/>
    <w:rsid w:val="00E12A21"/>
    <w:rsid w:val="00E13B20"/>
    <w:rsid w:val="00E154E8"/>
    <w:rsid w:val="00E15DA0"/>
    <w:rsid w:val="00E16372"/>
    <w:rsid w:val="00E17541"/>
    <w:rsid w:val="00E209AF"/>
    <w:rsid w:val="00E20E4D"/>
    <w:rsid w:val="00E20ED6"/>
    <w:rsid w:val="00E21358"/>
    <w:rsid w:val="00E2249B"/>
    <w:rsid w:val="00E228BA"/>
    <w:rsid w:val="00E22A0D"/>
    <w:rsid w:val="00E22AA8"/>
    <w:rsid w:val="00E244F6"/>
    <w:rsid w:val="00E24B67"/>
    <w:rsid w:val="00E255AD"/>
    <w:rsid w:val="00E2771E"/>
    <w:rsid w:val="00E27EB8"/>
    <w:rsid w:val="00E3058D"/>
    <w:rsid w:val="00E311EF"/>
    <w:rsid w:val="00E32180"/>
    <w:rsid w:val="00E32C31"/>
    <w:rsid w:val="00E33A43"/>
    <w:rsid w:val="00E34948"/>
    <w:rsid w:val="00E354D1"/>
    <w:rsid w:val="00E363DD"/>
    <w:rsid w:val="00E367C4"/>
    <w:rsid w:val="00E36839"/>
    <w:rsid w:val="00E370F6"/>
    <w:rsid w:val="00E37569"/>
    <w:rsid w:val="00E400C9"/>
    <w:rsid w:val="00E401B2"/>
    <w:rsid w:val="00E41E30"/>
    <w:rsid w:val="00E42F73"/>
    <w:rsid w:val="00E42FCA"/>
    <w:rsid w:val="00E431DA"/>
    <w:rsid w:val="00E43B56"/>
    <w:rsid w:val="00E43D70"/>
    <w:rsid w:val="00E454A8"/>
    <w:rsid w:val="00E466F3"/>
    <w:rsid w:val="00E47B2C"/>
    <w:rsid w:val="00E5052C"/>
    <w:rsid w:val="00E50D6E"/>
    <w:rsid w:val="00E51560"/>
    <w:rsid w:val="00E52468"/>
    <w:rsid w:val="00E53FC8"/>
    <w:rsid w:val="00E54347"/>
    <w:rsid w:val="00E55424"/>
    <w:rsid w:val="00E55915"/>
    <w:rsid w:val="00E55BB5"/>
    <w:rsid w:val="00E62798"/>
    <w:rsid w:val="00E6432D"/>
    <w:rsid w:val="00E64810"/>
    <w:rsid w:val="00E650F2"/>
    <w:rsid w:val="00E659CB"/>
    <w:rsid w:val="00E65E79"/>
    <w:rsid w:val="00E6634A"/>
    <w:rsid w:val="00E66BA2"/>
    <w:rsid w:val="00E67416"/>
    <w:rsid w:val="00E71313"/>
    <w:rsid w:val="00E718B6"/>
    <w:rsid w:val="00E719B8"/>
    <w:rsid w:val="00E723BA"/>
    <w:rsid w:val="00E7353B"/>
    <w:rsid w:val="00E73581"/>
    <w:rsid w:val="00E77945"/>
    <w:rsid w:val="00E77A90"/>
    <w:rsid w:val="00E8309A"/>
    <w:rsid w:val="00E833F7"/>
    <w:rsid w:val="00E83BDF"/>
    <w:rsid w:val="00E841D6"/>
    <w:rsid w:val="00E85469"/>
    <w:rsid w:val="00E8606E"/>
    <w:rsid w:val="00E8775B"/>
    <w:rsid w:val="00E87977"/>
    <w:rsid w:val="00E87A1D"/>
    <w:rsid w:val="00E9094A"/>
    <w:rsid w:val="00E91D35"/>
    <w:rsid w:val="00E926A5"/>
    <w:rsid w:val="00E9668F"/>
    <w:rsid w:val="00E96B14"/>
    <w:rsid w:val="00EA030D"/>
    <w:rsid w:val="00EA11F7"/>
    <w:rsid w:val="00EA17C3"/>
    <w:rsid w:val="00EA2CAA"/>
    <w:rsid w:val="00EA3864"/>
    <w:rsid w:val="00EA4BB0"/>
    <w:rsid w:val="00EA64DA"/>
    <w:rsid w:val="00EA69FD"/>
    <w:rsid w:val="00EA75F6"/>
    <w:rsid w:val="00EA77A5"/>
    <w:rsid w:val="00EA7F1C"/>
    <w:rsid w:val="00EB0A5F"/>
    <w:rsid w:val="00EB15B6"/>
    <w:rsid w:val="00EB3D06"/>
    <w:rsid w:val="00EB4916"/>
    <w:rsid w:val="00EB6E34"/>
    <w:rsid w:val="00EB7B54"/>
    <w:rsid w:val="00EC00C9"/>
    <w:rsid w:val="00EC0475"/>
    <w:rsid w:val="00EC0DD9"/>
    <w:rsid w:val="00EC129D"/>
    <w:rsid w:val="00EC1566"/>
    <w:rsid w:val="00EC2648"/>
    <w:rsid w:val="00EC2649"/>
    <w:rsid w:val="00EC31ED"/>
    <w:rsid w:val="00EC57DF"/>
    <w:rsid w:val="00EC5836"/>
    <w:rsid w:val="00EC5845"/>
    <w:rsid w:val="00EC5D76"/>
    <w:rsid w:val="00EC688C"/>
    <w:rsid w:val="00EC7B0B"/>
    <w:rsid w:val="00ED17B8"/>
    <w:rsid w:val="00ED2E17"/>
    <w:rsid w:val="00ED57EA"/>
    <w:rsid w:val="00ED5BD4"/>
    <w:rsid w:val="00EE06B8"/>
    <w:rsid w:val="00EE07D3"/>
    <w:rsid w:val="00EE07FA"/>
    <w:rsid w:val="00EE1996"/>
    <w:rsid w:val="00EE1C01"/>
    <w:rsid w:val="00EE22AF"/>
    <w:rsid w:val="00EE625E"/>
    <w:rsid w:val="00EE6F45"/>
    <w:rsid w:val="00EE770E"/>
    <w:rsid w:val="00EE7DFA"/>
    <w:rsid w:val="00EF0171"/>
    <w:rsid w:val="00EF1101"/>
    <w:rsid w:val="00EF1B25"/>
    <w:rsid w:val="00EF1DA0"/>
    <w:rsid w:val="00EF28BC"/>
    <w:rsid w:val="00EF4747"/>
    <w:rsid w:val="00EF4BF8"/>
    <w:rsid w:val="00F02253"/>
    <w:rsid w:val="00F03C2E"/>
    <w:rsid w:val="00F04A66"/>
    <w:rsid w:val="00F04B4B"/>
    <w:rsid w:val="00F0516C"/>
    <w:rsid w:val="00F0615B"/>
    <w:rsid w:val="00F067A2"/>
    <w:rsid w:val="00F073C5"/>
    <w:rsid w:val="00F07B9E"/>
    <w:rsid w:val="00F1116F"/>
    <w:rsid w:val="00F1263A"/>
    <w:rsid w:val="00F15B77"/>
    <w:rsid w:val="00F15FC0"/>
    <w:rsid w:val="00F17649"/>
    <w:rsid w:val="00F20C40"/>
    <w:rsid w:val="00F24837"/>
    <w:rsid w:val="00F2575F"/>
    <w:rsid w:val="00F26C54"/>
    <w:rsid w:val="00F27565"/>
    <w:rsid w:val="00F30A43"/>
    <w:rsid w:val="00F310D4"/>
    <w:rsid w:val="00F31D5A"/>
    <w:rsid w:val="00F33975"/>
    <w:rsid w:val="00F33DE9"/>
    <w:rsid w:val="00F33FDB"/>
    <w:rsid w:val="00F357F5"/>
    <w:rsid w:val="00F35E6D"/>
    <w:rsid w:val="00F3619A"/>
    <w:rsid w:val="00F36260"/>
    <w:rsid w:val="00F36E29"/>
    <w:rsid w:val="00F40AAA"/>
    <w:rsid w:val="00F40BA7"/>
    <w:rsid w:val="00F40CD9"/>
    <w:rsid w:val="00F40F9D"/>
    <w:rsid w:val="00F41ACD"/>
    <w:rsid w:val="00F41B33"/>
    <w:rsid w:val="00F42B5B"/>
    <w:rsid w:val="00F43D49"/>
    <w:rsid w:val="00F45D93"/>
    <w:rsid w:val="00F46C8F"/>
    <w:rsid w:val="00F46CB6"/>
    <w:rsid w:val="00F4756D"/>
    <w:rsid w:val="00F47DE8"/>
    <w:rsid w:val="00F5028B"/>
    <w:rsid w:val="00F50371"/>
    <w:rsid w:val="00F51F9D"/>
    <w:rsid w:val="00F52287"/>
    <w:rsid w:val="00F542C1"/>
    <w:rsid w:val="00F542C4"/>
    <w:rsid w:val="00F54920"/>
    <w:rsid w:val="00F55977"/>
    <w:rsid w:val="00F55E73"/>
    <w:rsid w:val="00F55EDA"/>
    <w:rsid w:val="00F56C80"/>
    <w:rsid w:val="00F57470"/>
    <w:rsid w:val="00F5760D"/>
    <w:rsid w:val="00F57E03"/>
    <w:rsid w:val="00F60092"/>
    <w:rsid w:val="00F61C18"/>
    <w:rsid w:val="00F65F4B"/>
    <w:rsid w:val="00F66BA6"/>
    <w:rsid w:val="00F67A69"/>
    <w:rsid w:val="00F701A9"/>
    <w:rsid w:val="00F70ADF"/>
    <w:rsid w:val="00F70BFF"/>
    <w:rsid w:val="00F70C9D"/>
    <w:rsid w:val="00F73399"/>
    <w:rsid w:val="00F7369F"/>
    <w:rsid w:val="00F73F3A"/>
    <w:rsid w:val="00F748B7"/>
    <w:rsid w:val="00F74CD9"/>
    <w:rsid w:val="00F76128"/>
    <w:rsid w:val="00F80A7B"/>
    <w:rsid w:val="00F80E5D"/>
    <w:rsid w:val="00F8117F"/>
    <w:rsid w:val="00F81E78"/>
    <w:rsid w:val="00F83D67"/>
    <w:rsid w:val="00F84A31"/>
    <w:rsid w:val="00F8514E"/>
    <w:rsid w:val="00F851CE"/>
    <w:rsid w:val="00F86294"/>
    <w:rsid w:val="00F86D47"/>
    <w:rsid w:val="00F8731B"/>
    <w:rsid w:val="00F91219"/>
    <w:rsid w:val="00F91834"/>
    <w:rsid w:val="00F92239"/>
    <w:rsid w:val="00F92444"/>
    <w:rsid w:val="00F92881"/>
    <w:rsid w:val="00F9393E"/>
    <w:rsid w:val="00F95F23"/>
    <w:rsid w:val="00F969AC"/>
    <w:rsid w:val="00F96FD0"/>
    <w:rsid w:val="00F97A78"/>
    <w:rsid w:val="00F97ED3"/>
    <w:rsid w:val="00FA0B20"/>
    <w:rsid w:val="00FA24E7"/>
    <w:rsid w:val="00FA5EE6"/>
    <w:rsid w:val="00FA7956"/>
    <w:rsid w:val="00FB2FCB"/>
    <w:rsid w:val="00FB7839"/>
    <w:rsid w:val="00FB7C55"/>
    <w:rsid w:val="00FC1074"/>
    <w:rsid w:val="00FC1884"/>
    <w:rsid w:val="00FC371D"/>
    <w:rsid w:val="00FC5B13"/>
    <w:rsid w:val="00FC5F0B"/>
    <w:rsid w:val="00FD1884"/>
    <w:rsid w:val="00FD2100"/>
    <w:rsid w:val="00FD39C5"/>
    <w:rsid w:val="00FD436C"/>
    <w:rsid w:val="00FD446D"/>
    <w:rsid w:val="00FD4D88"/>
    <w:rsid w:val="00FD4F2C"/>
    <w:rsid w:val="00FD5E94"/>
    <w:rsid w:val="00FD6356"/>
    <w:rsid w:val="00FD6394"/>
    <w:rsid w:val="00FD78C7"/>
    <w:rsid w:val="00FE062F"/>
    <w:rsid w:val="00FE0E6C"/>
    <w:rsid w:val="00FE1CDC"/>
    <w:rsid w:val="00FE2A30"/>
    <w:rsid w:val="00FE33BF"/>
    <w:rsid w:val="00FE62B6"/>
    <w:rsid w:val="00FE70C3"/>
    <w:rsid w:val="00FF05B3"/>
    <w:rsid w:val="00FF1C87"/>
    <w:rsid w:val="00FF2AD9"/>
    <w:rsid w:val="00FF359F"/>
    <w:rsid w:val="00FF3BED"/>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3F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D7E"/>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ListNumber">
    <w:name w:val="List Number"/>
    <w:basedOn w:val="Normal"/>
    <w:uiPriority w:val="16"/>
    <w:qFormat/>
    <w:rsid w:val="00F73F3A"/>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basedOn w:val="Normal"/>
    <w:uiPriority w:val="16"/>
    <w:qFormat/>
    <w:rsid w:val="00F73F3A"/>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F73F3A"/>
    <w:pPr>
      <w:numPr>
        <w:numId w:val="17"/>
      </w:numPr>
    </w:pPr>
  </w:style>
  <w:style w:type="paragraph" w:styleId="ListNumber3">
    <w:name w:val="List Number 3"/>
    <w:aliases w:val="Char"/>
    <w:basedOn w:val="Normal"/>
    <w:uiPriority w:val="16"/>
    <w:qFormat/>
    <w:rsid w:val="00F73F3A"/>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F73F3A"/>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table" w:customStyle="1" w:styleId="ASDTable2">
    <w:name w:val="ASD Table2"/>
    <w:basedOn w:val="TableNormal"/>
    <w:next w:val="TableGrid"/>
    <w:uiPriority w:val="59"/>
    <w:rsid w:val="00E3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535FB"/>
    <w:rPr>
      <w:sz w:val="20"/>
      <w:szCs w:val="20"/>
    </w:rPr>
  </w:style>
  <w:style w:type="character" w:customStyle="1" w:styleId="FootnoteTextChar">
    <w:name w:val="Footnote Text Char"/>
    <w:basedOn w:val="DefaultParagraphFont"/>
    <w:link w:val="FootnoteText"/>
    <w:semiHidden/>
    <w:rsid w:val="000535FB"/>
    <w:rPr>
      <w:rFonts w:ascii="Calibri" w:hAnsi="Calibri" w:cs="Arial"/>
    </w:rPr>
  </w:style>
  <w:style w:type="character" w:styleId="FootnoteReference">
    <w:name w:val="footnote reference"/>
    <w:basedOn w:val="DefaultParagraphFont"/>
    <w:semiHidden/>
    <w:unhideWhenUsed/>
    <w:rsid w:val="000535FB"/>
    <w:rPr>
      <w:vertAlign w:val="superscript"/>
    </w:rPr>
  </w:style>
  <w:style w:type="character" w:customStyle="1" w:styleId="UnresolvedMention1">
    <w:name w:val="Unresolved Mention1"/>
    <w:basedOn w:val="DefaultParagraphFont"/>
    <w:uiPriority w:val="99"/>
    <w:semiHidden/>
    <w:unhideWhenUsed/>
    <w:rsid w:val="008570B2"/>
    <w:rPr>
      <w:color w:val="605E5C"/>
      <w:shd w:val="clear" w:color="auto" w:fill="E1DFDD"/>
    </w:rPr>
  </w:style>
  <w:style w:type="table" w:customStyle="1" w:styleId="MSDTableGrid1">
    <w:name w:val="MSD Table Grid1"/>
    <w:basedOn w:val="TableNormal"/>
    <w:next w:val="TableGrid"/>
    <w:uiPriority w:val="59"/>
    <w:rsid w:val="00760CDE"/>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2">
    <w:name w:val="MSD Table Grid2"/>
    <w:basedOn w:val="TableNormal"/>
    <w:next w:val="TableGrid"/>
    <w:uiPriority w:val="59"/>
    <w:rsid w:val="00F51F9D"/>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21">
    <w:name w:val="MSD Table Grid21"/>
    <w:basedOn w:val="TableNormal"/>
    <w:next w:val="TableGrid"/>
    <w:uiPriority w:val="59"/>
    <w:rsid w:val="00267A51"/>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3">
    <w:name w:val="MSD Table Grid3"/>
    <w:basedOn w:val="TableNormal"/>
    <w:next w:val="TableGrid"/>
    <w:uiPriority w:val="59"/>
    <w:rsid w:val="006844A4"/>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4">
    <w:name w:val="MSD Table Grid4"/>
    <w:basedOn w:val="TableNormal"/>
    <w:next w:val="TableGrid"/>
    <w:uiPriority w:val="59"/>
    <w:rsid w:val="00986164"/>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5">
    <w:name w:val="MSD Table Grid5"/>
    <w:basedOn w:val="TableNormal"/>
    <w:next w:val="TableGrid"/>
    <w:uiPriority w:val="59"/>
    <w:rsid w:val="0001546A"/>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6">
    <w:name w:val="MSD Table Grid6"/>
    <w:basedOn w:val="TableNormal"/>
    <w:next w:val="TableGrid"/>
    <w:uiPriority w:val="59"/>
    <w:rsid w:val="0001546A"/>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41">
    <w:name w:val="MSD Table Grid41"/>
    <w:basedOn w:val="TableNormal"/>
    <w:next w:val="TableGrid"/>
    <w:uiPriority w:val="59"/>
    <w:rsid w:val="001D6084"/>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7">
    <w:name w:val="MSD Table Grid7"/>
    <w:basedOn w:val="TableNormal"/>
    <w:next w:val="TableGrid"/>
    <w:uiPriority w:val="59"/>
    <w:rsid w:val="00C133CE"/>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8">
    <w:name w:val="MSD Table Grid8"/>
    <w:basedOn w:val="TableNormal"/>
    <w:next w:val="TableGrid"/>
    <w:uiPriority w:val="59"/>
    <w:rsid w:val="00E255AD"/>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9">
    <w:name w:val="MSD Table Grid9"/>
    <w:basedOn w:val="TableNormal"/>
    <w:next w:val="TableGrid"/>
    <w:uiPriority w:val="59"/>
    <w:rsid w:val="00AF3385"/>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10">
    <w:name w:val="MSD Table Grid10"/>
    <w:basedOn w:val="TableNormal"/>
    <w:next w:val="TableGrid"/>
    <w:uiPriority w:val="59"/>
    <w:rsid w:val="00B53CC0"/>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11">
    <w:name w:val="MSD Table Grid11"/>
    <w:basedOn w:val="TableNormal"/>
    <w:next w:val="TableGrid"/>
    <w:uiPriority w:val="59"/>
    <w:rsid w:val="00E24B67"/>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12">
    <w:name w:val="MSD Table Grid12"/>
    <w:basedOn w:val="TableNormal"/>
    <w:next w:val="TableGrid"/>
    <w:uiPriority w:val="59"/>
    <w:rsid w:val="00A2378B"/>
    <w:pPr>
      <w:spacing w:after="120" w:line="360" w:lineRule="auto"/>
      <w:ind w:right="57"/>
    </w:pPr>
    <w:rPr>
      <w:rFonts w:ascii="Arial" w:eastAsia="Arial" w:hAnsi="Arial"/>
      <w:lang w:eastAsia="en-US"/>
    </w:rPr>
    <w:tblPr>
      <w:tblInd w:w="0" w:type="nil"/>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13">
    <w:name w:val="MSD Table Grid13"/>
    <w:basedOn w:val="TableNormal"/>
    <w:uiPriority w:val="59"/>
    <w:rsid w:val="00AD3439"/>
    <w:pPr>
      <w:spacing w:after="120" w:line="360" w:lineRule="auto"/>
      <w:ind w:right="57"/>
    </w:pPr>
    <w:rPr>
      <w:rFonts w:ascii="Arial" w:eastAsia="Arial" w:hAnsi="Arial"/>
      <w:lang w:eastAsia="en-US"/>
    </w:rPr>
    <w:tblPr>
      <w:tblInd w:w="0" w:type="nil"/>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14">
    <w:name w:val="MSD Table Grid14"/>
    <w:basedOn w:val="TableNormal"/>
    <w:uiPriority w:val="59"/>
    <w:rsid w:val="006C048C"/>
    <w:pPr>
      <w:spacing w:after="120" w:line="360" w:lineRule="auto"/>
      <w:ind w:right="57"/>
    </w:pPr>
    <w:rPr>
      <w:rFonts w:ascii="Arial" w:eastAsia="Arial" w:hAnsi="Arial"/>
      <w:lang w:eastAsia="en-US"/>
    </w:rPr>
    <w:tblPr>
      <w:tblInd w:w="0" w:type="nil"/>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15">
    <w:name w:val="MSD Table Grid15"/>
    <w:basedOn w:val="TableNormal"/>
    <w:next w:val="TableGrid"/>
    <w:uiPriority w:val="59"/>
    <w:rsid w:val="007B7614"/>
    <w:pPr>
      <w:spacing w:after="120" w:line="360" w:lineRule="auto"/>
      <w:ind w:right="57"/>
    </w:pPr>
    <w:rPr>
      <w:rFonts w:ascii="Arial" w:eastAsia="Arial" w:hAnsi="Arial"/>
      <w:lang w:eastAsia="en-US"/>
    </w:rPr>
    <w:tblPr>
      <w:tblInd w:w="0" w:type="nil"/>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MSDTableGrid16">
    <w:name w:val="MSD Table Grid16"/>
    <w:basedOn w:val="TableNormal"/>
    <w:next w:val="TableGrid"/>
    <w:uiPriority w:val="59"/>
    <w:rsid w:val="00E50D6E"/>
    <w:pPr>
      <w:spacing w:after="120" w:line="360" w:lineRule="auto"/>
      <w:ind w:right="57"/>
    </w:pPr>
    <w:rPr>
      <w:rFonts w:ascii="Arial" w:eastAsia="Arial" w:hAnsi="Arial"/>
      <w:lang w:eastAsia="en-US"/>
    </w:rPr>
    <w:tblPr>
      <w:tblInd w:w="0" w:type="nil"/>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character" w:styleId="PlaceholderText">
    <w:name w:val="Placeholder Text"/>
    <w:basedOn w:val="DefaultParagraphFont"/>
    <w:uiPriority w:val="99"/>
    <w:semiHidden/>
    <w:rsid w:val="00977A9C"/>
    <w:rPr>
      <w:color w:val="808080"/>
    </w:rPr>
  </w:style>
  <w:style w:type="paragraph" w:styleId="ListBullet2">
    <w:name w:val="List Bullet 2"/>
    <w:basedOn w:val="Normal"/>
    <w:unhideWhenUsed/>
    <w:rsid w:val="00376367"/>
    <w:pPr>
      <w:numPr>
        <w:numId w:val="30"/>
      </w:numPr>
      <w:contextualSpacing/>
    </w:pPr>
  </w:style>
  <w:style w:type="paragraph" w:customStyle="1" w:styleId="2Sections">
    <w:name w:val="2. Sections"/>
    <w:qFormat/>
    <w:rsid w:val="006E6911"/>
    <w:pPr>
      <w:spacing w:before="240" w:after="120"/>
      <w:ind w:left="720" w:hanging="720"/>
      <w:outlineLvl w:val="0"/>
    </w:pPr>
    <w:rPr>
      <w:rFonts w:asciiTheme="minorHAnsi" w:hAnsiTheme="minorHAnsi" w:cs="Arial"/>
      <w:b/>
      <w:snapToGrid w:val="0"/>
      <w:sz w:val="32"/>
      <w:szCs w:val="32"/>
      <w:lang w:eastAsia="en-US"/>
    </w:rPr>
  </w:style>
  <w:style w:type="paragraph" w:customStyle="1" w:styleId="Tabletitles">
    <w:name w:val="Table titles"/>
    <w:basedOn w:val="NoSpacing"/>
    <w:link w:val="TabletitlesChar"/>
    <w:qFormat/>
    <w:rsid w:val="006E6911"/>
    <w:pPr>
      <w:widowControl/>
      <w:spacing w:after="60"/>
    </w:pPr>
    <w:rPr>
      <w:rFonts w:ascii="Arial Narrow" w:hAnsi="Arial Narrow" w:cs="Times New Roman"/>
      <w:b/>
      <w:snapToGrid/>
      <w:sz w:val="20"/>
      <w:szCs w:val="22"/>
      <w:lang w:eastAsia="en-AU"/>
    </w:rPr>
  </w:style>
  <w:style w:type="character" w:customStyle="1" w:styleId="TabletitlesChar">
    <w:name w:val="Table titles Char"/>
    <w:basedOn w:val="DefaultParagraphFont"/>
    <w:link w:val="Tabletitles"/>
    <w:rsid w:val="006E6911"/>
    <w:rPr>
      <w:rFonts w:ascii="Arial Narrow" w:hAnsi="Arial Narrow"/>
      <w:b/>
      <w:szCs w:val="22"/>
    </w:rPr>
  </w:style>
  <w:style w:type="paragraph" w:customStyle="1" w:styleId="3Bodytext">
    <w:name w:val="3. Body text"/>
    <w:basedOn w:val="ListParagraph"/>
    <w:qFormat/>
    <w:rsid w:val="006E6911"/>
    <w:pPr>
      <w:numPr>
        <w:numId w:val="0"/>
      </w:numPr>
      <w:ind w:left="720" w:hanging="720"/>
    </w:pPr>
    <w:rPr>
      <w:rFonts w:eastAsiaTheme="minorHAnsi" w:cstheme="minorBidi"/>
      <w:snapToGrid/>
      <w:szCs w:val="22"/>
      <w:lang w:eastAsia="en-US"/>
    </w:rPr>
  </w:style>
  <w:style w:type="paragraph" w:customStyle="1" w:styleId="3-SubsectionHeading">
    <w:name w:val="3-Subsection Heading"/>
    <w:basedOn w:val="Heading2"/>
    <w:next w:val="Normal"/>
    <w:link w:val="3-SubsectionHeadingChar"/>
    <w:qFormat/>
    <w:rsid w:val="00C53D8D"/>
    <w:pPr>
      <w:keepNext/>
      <w:spacing w:before="120" w:after="120"/>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C53D8D"/>
    <w:rPr>
      <w:rFonts w:asciiTheme="minorHAnsi" w:eastAsiaTheme="majorEastAsia" w:hAnsiTheme="minorHAnsi" w:cstheme="majorBidi"/>
      <w:b/>
      <w:i/>
      <w:snapToGrid/>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186270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23696208">
      <w:bodyDiv w:val="1"/>
      <w:marLeft w:val="0"/>
      <w:marRight w:val="0"/>
      <w:marTop w:val="0"/>
      <w:marBottom w:val="0"/>
      <w:divBdr>
        <w:top w:val="none" w:sz="0" w:space="0" w:color="auto"/>
        <w:left w:val="none" w:sz="0" w:space="0" w:color="auto"/>
        <w:bottom w:val="none" w:sz="0" w:space="0" w:color="auto"/>
        <w:right w:val="none" w:sz="0" w:space="0" w:color="auto"/>
      </w:divBdr>
    </w:div>
    <w:div w:id="488907866">
      <w:bodyDiv w:val="1"/>
      <w:marLeft w:val="0"/>
      <w:marRight w:val="0"/>
      <w:marTop w:val="0"/>
      <w:marBottom w:val="0"/>
      <w:divBdr>
        <w:top w:val="none" w:sz="0" w:space="0" w:color="auto"/>
        <w:left w:val="none" w:sz="0" w:space="0" w:color="auto"/>
        <w:bottom w:val="none" w:sz="0" w:space="0" w:color="auto"/>
        <w:right w:val="none" w:sz="0" w:space="0" w:color="auto"/>
      </w:divBdr>
    </w:div>
    <w:div w:id="917832518">
      <w:bodyDiv w:val="1"/>
      <w:marLeft w:val="0"/>
      <w:marRight w:val="0"/>
      <w:marTop w:val="0"/>
      <w:marBottom w:val="0"/>
      <w:divBdr>
        <w:top w:val="none" w:sz="0" w:space="0" w:color="auto"/>
        <w:left w:val="none" w:sz="0" w:space="0" w:color="auto"/>
        <w:bottom w:val="none" w:sz="0" w:space="0" w:color="auto"/>
        <w:right w:val="none" w:sz="0" w:space="0" w:color="auto"/>
      </w:divBdr>
    </w:div>
    <w:div w:id="107277674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3208">
      <w:bodyDiv w:val="1"/>
      <w:marLeft w:val="0"/>
      <w:marRight w:val="0"/>
      <w:marTop w:val="0"/>
      <w:marBottom w:val="0"/>
      <w:divBdr>
        <w:top w:val="none" w:sz="0" w:space="0" w:color="auto"/>
        <w:left w:val="none" w:sz="0" w:space="0" w:color="auto"/>
        <w:bottom w:val="none" w:sz="0" w:space="0" w:color="auto"/>
        <w:right w:val="none" w:sz="0" w:space="0" w:color="auto"/>
      </w:divBdr>
    </w:div>
    <w:div w:id="1492333418">
      <w:bodyDiv w:val="1"/>
      <w:marLeft w:val="0"/>
      <w:marRight w:val="0"/>
      <w:marTop w:val="0"/>
      <w:marBottom w:val="0"/>
      <w:divBdr>
        <w:top w:val="none" w:sz="0" w:space="0" w:color="auto"/>
        <w:left w:val="none" w:sz="0" w:space="0" w:color="auto"/>
        <w:bottom w:val="none" w:sz="0" w:space="0" w:color="auto"/>
        <w:right w:val="none" w:sz="0" w:space="0" w:color="auto"/>
      </w:divBdr>
    </w:div>
    <w:div w:id="153106365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8F55D-9A73-4636-9F32-AF2FB639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6598</Words>
  <Characters>37832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2020-06-19T03:47:00Z</dcterms:created>
  <dcterms:modified xsi:type="dcterms:W3CDTF">2020-06-19T03:55:00Z</dcterms:modified>
</cp:coreProperties>
</file>