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9BD" w:rsidRDefault="006559BD" w:rsidP="009A7708">
      <w:pPr>
        <w:pStyle w:val="1-MainHeading"/>
        <w:tabs>
          <w:tab w:val="left" w:pos="720"/>
          <w:tab w:val="left" w:pos="1440"/>
          <w:tab w:val="left" w:pos="2160"/>
          <w:tab w:val="left" w:pos="3341"/>
        </w:tabs>
      </w:pPr>
      <w:bookmarkStart w:id="0" w:name="_Toc27061674"/>
      <w:bookmarkStart w:id="1" w:name="_Toc30410037"/>
      <w:bookmarkStart w:id="2" w:name="_Toc27061675"/>
      <w:bookmarkStart w:id="3" w:name="_Toc22897637"/>
      <w:r>
        <w:t>5.05</w:t>
      </w:r>
      <w:r w:rsidRPr="00551C76">
        <w:tab/>
        <w:t>OZANIMOD,</w:t>
      </w:r>
      <w:r w:rsidR="009A7708">
        <w:tab/>
      </w:r>
      <w:r w:rsidRPr="00551C76">
        <w:br/>
        <w:t>Capsule,</w:t>
      </w:r>
      <w:r w:rsidR="00580ECF">
        <w:t xml:space="preserve"> </w:t>
      </w:r>
      <w:r w:rsidR="00535935">
        <w:t xml:space="preserve">230 </w:t>
      </w:r>
      <w:r w:rsidR="00580ECF">
        <w:t>micrograms, 460 micrograms, 920 </w:t>
      </w:r>
      <w:r w:rsidR="00535935">
        <w:t>micrograms</w:t>
      </w:r>
      <w:r w:rsidRPr="00551C76">
        <w:t>,</w:t>
      </w:r>
      <w:r w:rsidRPr="00551C76">
        <w:br/>
        <w:t>Zeposia®,</w:t>
      </w:r>
      <w:r w:rsidRPr="00551C76">
        <w:br/>
        <w:t>Celgene Proprietary Limited.</w:t>
      </w:r>
      <w:bookmarkEnd w:id="0"/>
      <w:bookmarkEnd w:id="1"/>
    </w:p>
    <w:p w:rsidR="006559BD" w:rsidRPr="006B7398" w:rsidRDefault="006559BD" w:rsidP="006B7398">
      <w:pPr>
        <w:pStyle w:val="2-SectionHeading"/>
      </w:pPr>
      <w:bookmarkStart w:id="4" w:name="_Toc30410039"/>
      <w:bookmarkStart w:id="5" w:name="_Toc27061676"/>
      <w:bookmarkEnd w:id="2"/>
      <w:bookmarkEnd w:id="3"/>
      <w:r w:rsidRPr="006B7398">
        <w:t>Purpose of submission</w:t>
      </w:r>
      <w:bookmarkEnd w:id="4"/>
    </w:p>
    <w:p w:rsidR="006559BD" w:rsidRPr="00551C76" w:rsidRDefault="006559BD" w:rsidP="000A5230">
      <w:pPr>
        <w:pStyle w:val="3-BodyText"/>
      </w:pPr>
      <w:r w:rsidRPr="00551C76">
        <w:t>The submission requested</w:t>
      </w:r>
      <w:r w:rsidR="00037246">
        <w:t xml:space="preserve"> an </w:t>
      </w:r>
      <w:r w:rsidRPr="00551C76">
        <w:t>Authority Required listing for ozanimod for the treatment of clinically definite relapsing-remitting multiple sclerosis</w:t>
      </w:r>
      <w:r>
        <w:t xml:space="preserve"> (RRMS)</w:t>
      </w:r>
      <w:r w:rsidRPr="00551C76">
        <w:t xml:space="preserve">. </w:t>
      </w:r>
    </w:p>
    <w:p w:rsidR="006559BD" w:rsidRPr="00551C76" w:rsidRDefault="006559BD" w:rsidP="000A5230">
      <w:pPr>
        <w:pStyle w:val="3-BodyText"/>
      </w:pPr>
      <w:r w:rsidRPr="00551C76">
        <w:t xml:space="preserve">Listing was requested on the basis of a cost-minimisation analysis </w:t>
      </w:r>
      <w:r>
        <w:t>v</w:t>
      </w:r>
      <w:r w:rsidR="00E8667C">
        <w:t>ersus</w:t>
      </w:r>
      <w:r>
        <w:t xml:space="preserve"> </w:t>
      </w:r>
      <w:r w:rsidRPr="00551C76">
        <w:t>fingolimod. The key components of the clinical issue addressed by the submission are summarised below.</w:t>
      </w:r>
      <w:r w:rsidRPr="00551C76">
        <w:rPr>
          <w:color w:val="0066FF"/>
        </w:rPr>
        <w:t xml:space="preserve">  </w:t>
      </w:r>
    </w:p>
    <w:p w:rsidR="006559BD" w:rsidRPr="00551C76" w:rsidRDefault="006559BD" w:rsidP="000A5230">
      <w:pPr>
        <w:pStyle w:val="TableFigureHeading"/>
        <w:rPr>
          <w:rStyle w:val="CommentReference"/>
        </w:rPr>
      </w:pPr>
      <w:r w:rsidRPr="00551C76">
        <w:rPr>
          <w:rStyle w:val="CommentReference"/>
        </w:rPr>
        <w:t>Table 1: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6559BD" w:rsidRPr="00551C76" w:rsidTr="000A5230">
        <w:tc>
          <w:tcPr>
            <w:tcW w:w="1668" w:type="dxa"/>
            <w:vAlign w:val="center"/>
          </w:tcPr>
          <w:p w:rsidR="006559BD" w:rsidRPr="00551C76" w:rsidRDefault="006559BD" w:rsidP="000A5230">
            <w:pPr>
              <w:pStyle w:val="In-tableHeading"/>
              <w:rPr>
                <w:lang w:val="en-AU"/>
              </w:rPr>
            </w:pPr>
            <w:r w:rsidRPr="00551C76">
              <w:rPr>
                <w:lang w:val="en-AU"/>
              </w:rPr>
              <w:t>Component</w:t>
            </w:r>
          </w:p>
        </w:tc>
        <w:tc>
          <w:tcPr>
            <w:tcW w:w="7488" w:type="dxa"/>
            <w:vAlign w:val="center"/>
          </w:tcPr>
          <w:p w:rsidR="006559BD" w:rsidRPr="00551C76" w:rsidRDefault="006559BD" w:rsidP="000A5230">
            <w:pPr>
              <w:pStyle w:val="In-tableHeading"/>
              <w:rPr>
                <w:lang w:val="en-AU"/>
              </w:rPr>
            </w:pPr>
            <w:r w:rsidRPr="00551C76">
              <w:rPr>
                <w:lang w:val="en-AU"/>
              </w:rPr>
              <w:t>Description</w:t>
            </w:r>
          </w:p>
        </w:tc>
      </w:tr>
      <w:tr w:rsidR="006559BD" w:rsidRPr="00551C76" w:rsidTr="000A5230">
        <w:tc>
          <w:tcPr>
            <w:tcW w:w="1668" w:type="dxa"/>
            <w:vAlign w:val="center"/>
          </w:tcPr>
          <w:p w:rsidR="006559BD" w:rsidRPr="00551C76" w:rsidRDefault="006559BD" w:rsidP="000A5230">
            <w:pPr>
              <w:pStyle w:val="TableText0"/>
            </w:pPr>
            <w:r w:rsidRPr="00551C76">
              <w:t>Population</w:t>
            </w:r>
          </w:p>
        </w:tc>
        <w:tc>
          <w:tcPr>
            <w:tcW w:w="7488" w:type="dxa"/>
            <w:vAlign w:val="center"/>
          </w:tcPr>
          <w:p w:rsidR="006559BD" w:rsidRPr="00551C76" w:rsidRDefault="006559BD" w:rsidP="000A5230">
            <w:pPr>
              <w:pStyle w:val="TableText0"/>
            </w:pPr>
            <w:r w:rsidRPr="00551C76">
              <w:t>Patients with RRMS</w:t>
            </w:r>
          </w:p>
        </w:tc>
      </w:tr>
      <w:tr w:rsidR="006559BD" w:rsidRPr="00551C76" w:rsidTr="000A5230">
        <w:tc>
          <w:tcPr>
            <w:tcW w:w="1668" w:type="dxa"/>
            <w:vAlign w:val="center"/>
          </w:tcPr>
          <w:p w:rsidR="006559BD" w:rsidRPr="00551C76" w:rsidRDefault="006559BD" w:rsidP="000A5230">
            <w:pPr>
              <w:pStyle w:val="TableText0"/>
            </w:pPr>
            <w:r w:rsidRPr="00551C76">
              <w:t>Intervention</w:t>
            </w:r>
          </w:p>
        </w:tc>
        <w:tc>
          <w:tcPr>
            <w:tcW w:w="7488" w:type="dxa"/>
            <w:vAlign w:val="center"/>
          </w:tcPr>
          <w:p w:rsidR="006559BD" w:rsidRPr="00551C76" w:rsidRDefault="006559BD" w:rsidP="000A5230">
            <w:pPr>
              <w:pStyle w:val="TableText0"/>
            </w:pPr>
            <w:r w:rsidRPr="00551C76">
              <w:t>Ozanimod</w:t>
            </w:r>
          </w:p>
        </w:tc>
      </w:tr>
      <w:tr w:rsidR="006559BD" w:rsidRPr="00551C76" w:rsidTr="000A5230">
        <w:tc>
          <w:tcPr>
            <w:tcW w:w="1668" w:type="dxa"/>
            <w:vAlign w:val="center"/>
          </w:tcPr>
          <w:p w:rsidR="006559BD" w:rsidRPr="00551C76" w:rsidRDefault="006559BD" w:rsidP="000A5230">
            <w:pPr>
              <w:pStyle w:val="TableText0"/>
            </w:pPr>
            <w:r w:rsidRPr="00551C76">
              <w:t>Comparator</w:t>
            </w:r>
          </w:p>
        </w:tc>
        <w:tc>
          <w:tcPr>
            <w:tcW w:w="7488" w:type="dxa"/>
            <w:vAlign w:val="center"/>
          </w:tcPr>
          <w:p w:rsidR="006559BD" w:rsidRPr="00551C76" w:rsidRDefault="006559BD" w:rsidP="000A5230">
            <w:pPr>
              <w:pStyle w:val="TableText0"/>
            </w:pPr>
            <w:r w:rsidRPr="00551C76">
              <w:t>Fingolimod</w:t>
            </w:r>
          </w:p>
        </w:tc>
      </w:tr>
      <w:tr w:rsidR="006559BD" w:rsidRPr="00551C76" w:rsidTr="000A5230">
        <w:tc>
          <w:tcPr>
            <w:tcW w:w="1668" w:type="dxa"/>
            <w:vAlign w:val="center"/>
          </w:tcPr>
          <w:p w:rsidR="006559BD" w:rsidRPr="00551C76" w:rsidRDefault="006559BD" w:rsidP="000A5230">
            <w:pPr>
              <w:pStyle w:val="TableText0"/>
            </w:pPr>
            <w:r w:rsidRPr="00551C76">
              <w:t>Outcomes</w:t>
            </w:r>
          </w:p>
        </w:tc>
        <w:tc>
          <w:tcPr>
            <w:tcW w:w="7488" w:type="dxa"/>
            <w:vAlign w:val="center"/>
          </w:tcPr>
          <w:p w:rsidR="006559BD" w:rsidRPr="00551C76" w:rsidRDefault="006559BD" w:rsidP="000A5230">
            <w:pPr>
              <w:pStyle w:val="TableText0"/>
            </w:pPr>
            <w:r w:rsidRPr="00551C76">
              <w:t xml:space="preserve">Primary: </w:t>
            </w:r>
            <w:r>
              <w:t>Annualised relapse rate (</w:t>
            </w:r>
            <w:r w:rsidRPr="00551C76">
              <w:t>ARR</w:t>
            </w:r>
            <w:r>
              <w:t>)</w:t>
            </w:r>
          </w:p>
          <w:p w:rsidR="006559BD" w:rsidRPr="00551C76" w:rsidRDefault="006559BD" w:rsidP="000A5230">
            <w:pPr>
              <w:pStyle w:val="TableText0"/>
            </w:pPr>
            <w:r w:rsidRPr="00551C76">
              <w:t>Secondary: time to onset of disability progression; MRI outcomes; safety</w:t>
            </w:r>
          </w:p>
        </w:tc>
      </w:tr>
      <w:tr w:rsidR="006559BD" w:rsidRPr="00551C76" w:rsidTr="000A5230">
        <w:tc>
          <w:tcPr>
            <w:tcW w:w="1668" w:type="dxa"/>
            <w:vAlign w:val="center"/>
          </w:tcPr>
          <w:p w:rsidR="006559BD" w:rsidRPr="00551C76" w:rsidRDefault="006559BD" w:rsidP="000A5230">
            <w:pPr>
              <w:pStyle w:val="TableText0"/>
            </w:pPr>
            <w:r w:rsidRPr="00551C76">
              <w:t>Clinical claim</w:t>
            </w:r>
          </w:p>
        </w:tc>
        <w:tc>
          <w:tcPr>
            <w:tcW w:w="7488" w:type="dxa"/>
            <w:vAlign w:val="center"/>
          </w:tcPr>
          <w:p w:rsidR="006559BD" w:rsidRPr="00551C76" w:rsidRDefault="006559BD" w:rsidP="000A5230">
            <w:pPr>
              <w:pStyle w:val="TableText0"/>
            </w:pPr>
            <w:r w:rsidRPr="00551C76">
              <w:t>In patients with RRMS, ozanimod is non-inferior compared with fingolimod at reducing relapses and preventing disease progression and non-inferior (potentially superior) compared with fingolimod in terms of comparative safety</w:t>
            </w:r>
          </w:p>
        </w:tc>
      </w:tr>
    </w:tbl>
    <w:p w:rsidR="006559BD" w:rsidRPr="00551C76" w:rsidRDefault="006559BD" w:rsidP="000A5230">
      <w:pPr>
        <w:pStyle w:val="TableFigureFooter"/>
      </w:pPr>
      <w:r w:rsidRPr="00551C76">
        <w:t>Source: Table 13, p2 of the submission</w:t>
      </w:r>
      <w:r>
        <w:t>.</w:t>
      </w:r>
    </w:p>
    <w:p w:rsidR="006559BD" w:rsidRPr="00551C76" w:rsidRDefault="006559BD" w:rsidP="000A5230">
      <w:pPr>
        <w:pStyle w:val="TableFigureFooter"/>
      </w:pPr>
      <w:r w:rsidRPr="00551C76">
        <w:t xml:space="preserve">Abbreviation: MRI </w:t>
      </w:r>
      <w:r>
        <w:t>= </w:t>
      </w:r>
      <w:r w:rsidRPr="00551C76">
        <w:t xml:space="preserve">magnetic resonance imaging; RRMS </w:t>
      </w:r>
      <w:r>
        <w:t>= r</w:t>
      </w:r>
      <w:r w:rsidRPr="00551C76">
        <w:t xml:space="preserve">elapsing-remitting multiple sclerosis </w:t>
      </w:r>
    </w:p>
    <w:p w:rsidR="006559BD" w:rsidRPr="00551C76" w:rsidRDefault="006559BD" w:rsidP="001725E0">
      <w:pPr>
        <w:pStyle w:val="2-SectionHeading"/>
        <w:keepNext w:val="0"/>
      </w:pPr>
      <w:bookmarkStart w:id="6" w:name="_Toc30410040"/>
      <w:bookmarkStart w:id="7" w:name="_Toc27061677"/>
      <w:bookmarkEnd w:id="5"/>
      <w:r w:rsidRPr="00551C76">
        <w:t>Background</w:t>
      </w:r>
      <w:bookmarkEnd w:id="6"/>
    </w:p>
    <w:p w:rsidR="006559BD" w:rsidRPr="00551C76" w:rsidRDefault="006559BD" w:rsidP="001725E0">
      <w:pPr>
        <w:pStyle w:val="4-SubsectionHeading"/>
        <w:keepNext w:val="0"/>
        <w:keepLines w:val="0"/>
      </w:pPr>
      <w:bookmarkStart w:id="8" w:name="_Toc22897638"/>
      <w:bookmarkStart w:id="9" w:name="_Toc30410041"/>
      <w:r w:rsidRPr="00551C76">
        <w:t>Registration status</w:t>
      </w:r>
      <w:bookmarkEnd w:id="8"/>
      <w:bookmarkEnd w:id="9"/>
    </w:p>
    <w:p w:rsidR="006559BD" w:rsidRPr="00CA6278" w:rsidRDefault="00656E2A" w:rsidP="001725E0">
      <w:pPr>
        <w:pStyle w:val="3-BodyText"/>
      </w:pPr>
      <w:r w:rsidRPr="00CA6278">
        <w:t xml:space="preserve">TGA status at time of </w:t>
      </w:r>
      <w:r w:rsidR="00A32574" w:rsidRPr="00CA6278">
        <w:t>PBAC consideration</w:t>
      </w:r>
      <w:r w:rsidRPr="00CA6278">
        <w:t xml:space="preserve">: </w:t>
      </w:r>
      <w:r w:rsidR="006559BD" w:rsidRPr="00CA6278">
        <w:t>The submission was made under the TGA/PBAC Parallel Process.</w:t>
      </w:r>
      <w:r w:rsidR="00CD2010" w:rsidRPr="00CA6278">
        <w:t xml:space="preserve"> At the time of PBAC consideration, t</w:t>
      </w:r>
      <w:r w:rsidR="00F72908" w:rsidRPr="00CA6278">
        <w:t>he TGA Round 1 Clinical Evaluation Report</w:t>
      </w:r>
      <w:r w:rsidR="00580ECF" w:rsidRPr="00CA6278">
        <w:t xml:space="preserve"> (CER)</w:t>
      </w:r>
      <w:r w:rsidR="00CA6278">
        <w:t xml:space="preserve"> </w:t>
      </w:r>
      <w:r w:rsidR="00CD2010" w:rsidRPr="00CA6278">
        <w:t>was available</w:t>
      </w:r>
      <w:r w:rsidR="00F72908" w:rsidRPr="00CA6278">
        <w:t>.</w:t>
      </w:r>
      <w:r w:rsidR="006559BD" w:rsidRPr="00CA6278">
        <w:t xml:space="preserve"> The TGA </w:t>
      </w:r>
      <w:r w:rsidR="00CD2010" w:rsidRPr="00CA6278">
        <w:t>D</w:t>
      </w:r>
      <w:r w:rsidR="006559BD" w:rsidRPr="00CA6278">
        <w:t xml:space="preserve">elegate’s </w:t>
      </w:r>
      <w:r w:rsidR="00CD2010" w:rsidRPr="00CA6278">
        <w:t>O</w:t>
      </w:r>
      <w:r w:rsidR="006559BD" w:rsidRPr="00CA6278">
        <w:t xml:space="preserve">verview is expected in May 2020. </w:t>
      </w:r>
    </w:p>
    <w:p w:rsidR="006559BD" w:rsidRPr="00FB21F0" w:rsidRDefault="006559BD" w:rsidP="000A5230">
      <w:pPr>
        <w:pStyle w:val="2-SectionHeading"/>
        <w:spacing w:after="240"/>
      </w:pPr>
      <w:bookmarkStart w:id="10" w:name="_Toc30410042"/>
      <w:bookmarkStart w:id="11" w:name="_Toc27061679"/>
      <w:bookmarkEnd w:id="7"/>
      <w:r w:rsidRPr="00FB21F0">
        <w:t>Requested listing</w:t>
      </w:r>
      <w:bookmarkEnd w:id="10"/>
    </w:p>
    <w:p w:rsidR="00614411" w:rsidRPr="00CA6278" w:rsidRDefault="00CB28B2" w:rsidP="00614411">
      <w:pPr>
        <w:pStyle w:val="3-BodyText"/>
      </w:pPr>
      <w:r w:rsidRPr="00CA6278">
        <w:t xml:space="preserve">See </w:t>
      </w:r>
      <w:r w:rsidR="00A32574" w:rsidRPr="00CA6278">
        <w:t xml:space="preserve">below for the requested listing. </w:t>
      </w:r>
      <w:r w:rsidR="00CD2010" w:rsidRPr="00CA6278">
        <w:t xml:space="preserve">Suggestions and additions </w:t>
      </w:r>
      <w:r w:rsidR="00CA6278" w:rsidRPr="00CA6278">
        <w:t xml:space="preserve">proposed by the Secretariat are </w:t>
      </w:r>
      <w:r w:rsidR="00CD2010" w:rsidRPr="00CA6278">
        <w:t>added in italics and suggested deletions are crossed out with strikethrough.</w:t>
      </w:r>
    </w:p>
    <w:tbl>
      <w:tblPr>
        <w:tblW w:w="4977" w:type="pct"/>
        <w:tblInd w:w="28" w:type="dxa"/>
        <w:tblCellMar>
          <w:left w:w="28" w:type="dxa"/>
          <w:right w:w="28" w:type="dxa"/>
        </w:tblCellMar>
        <w:tblLook w:val="0000" w:firstRow="0" w:lastRow="0" w:firstColumn="0" w:lastColumn="0" w:noHBand="0" w:noVBand="0"/>
      </w:tblPr>
      <w:tblGrid>
        <w:gridCol w:w="1957"/>
        <w:gridCol w:w="1427"/>
        <w:gridCol w:w="1089"/>
        <w:gridCol w:w="846"/>
        <w:gridCol w:w="1518"/>
        <w:gridCol w:w="933"/>
        <w:gridCol w:w="1215"/>
      </w:tblGrid>
      <w:tr w:rsidR="00614411" w:rsidRPr="009535D2" w:rsidTr="00614411">
        <w:trPr>
          <w:cantSplit/>
          <w:trHeight w:val="463"/>
        </w:trPr>
        <w:tc>
          <w:tcPr>
            <w:tcW w:w="1883" w:type="pct"/>
            <w:gridSpan w:val="2"/>
            <w:tcBorders>
              <w:top w:val="single" w:sz="4" w:space="0" w:color="auto"/>
              <w:bottom w:val="single" w:sz="4" w:space="0" w:color="auto"/>
            </w:tcBorders>
            <w:vAlign w:val="center"/>
          </w:tcPr>
          <w:p w:rsidR="00614411" w:rsidRPr="00551C76" w:rsidRDefault="00614411" w:rsidP="00614411">
            <w:pPr>
              <w:keepNext/>
              <w:spacing w:before="0"/>
              <w:contextualSpacing/>
              <w:jc w:val="left"/>
              <w:rPr>
                <w:rFonts w:ascii="Arial Narrow" w:hAnsi="Arial Narrow"/>
                <w:b/>
                <w:sz w:val="20"/>
              </w:rPr>
            </w:pPr>
            <w:r w:rsidRPr="00551C76">
              <w:rPr>
                <w:rFonts w:ascii="Arial Narrow" w:hAnsi="Arial Narrow"/>
                <w:b/>
                <w:sz w:val="20"/>
              </w:rPr>
              <w:lastRenderedPageBreak/>
              <w:t>Name, Restriction,</w:t>
            </w:r>
          </w:p>
          <w:p w:rsidR="00614411" w:rsidRPr="00551C76" w:rsidRDefault="00614411" w:rsidP="00614411">
            <w:pPr>
              <w:keepNext/>
              <w:spacing w:before="0"/>
              <w:contextualSpacing/>
              <w:rPr>
                <w:rFonts w:ascii="Arial Narrow" w:hAnsi="Arial Narrow"/>
                <w:b/>
                <w:sz w:val="20"/>
              </w:rPr>
            </w:pPr>
            <w:r w:rsidRPr="00551C76">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Max.</w:t>
            </w:r>
          </w:p>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 xml:space="preserve">Qty </w:t>
            </w:r>
          </w:p>
        </w:tc>
        <w:tc>
          <w:tcPr>
            <w:tcW w:w="471" w:type="pct"/>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9535D2">
              <w:rPr>
                <w:rFonts w:ascii="Arial Narrow" w:hAnsi="Arial Narrow"/>
                <w:b/>
                <w:sz w:val="20"/>
              </w:rPr>
              <w:t>№</w:t>
            </w:r>
            <w:r w:rsidRPr="00551C76">
              <w:rPr>
                <w:rFonts w:ascii="Arial Narrow" w:hAnsi="Arial Narrow"/>
                <w:b/>
                <w:sz w:val="20"/>
              </w:rPr>
              <w:t>. of</w:t>
            </w:r>
          </w:p>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Rpts</w:t>
            </w:r>
          </w:p>
        </w:tc>
        <w:tc>
          <w:tcPr>
            <w:tcW w:w="845" w:type="pct"/>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 xml:space="preserve">Dispensed Price for Max. Qty </w:t>
            </w:r>
          </w:p>
        </w:tc>
        <w:tc>
          <w:tcPr>
            <w:tcW w:w="1195" w:type="pct"/>
            <w:gridSpan w:val="2"/>
            <w:tcBorders>
              <w:top w:val="single" w:sz="4" w:space="0" w:color="auto"/>
              <w:bottom w:val="single" w:sz="4" w:space="0" w:color="auto"/>
            </w:tcBorders>
            <w:vAlign w:val="center"/>
          </w:tcPr>
          <w:p w:rsidR="00614411" w:rsidRPr="00551C76" w:rsidRDefault="00614411" w:rsidP="00614411">
            <w:pPr>
              <w:keepNext/>
              <w:spacing w:after="120"/>
              <w:contextualSpacing/>
              <w:jc w:val="center"/>
              <w:rPr>
                <w:rFonts w:ascii="Arial Narrow" w:hAnsi="Arial Narrow"/>
                <w:b/>
                <w:sz w:val="20"/>
              </w:rPr>
            </w:pPr>
            <w:r w:rsidRPr="00551C76">
              <w:rPr>
                <w:rFonts w:ascii="Arial Narrow" w:hAnsi="Arial Narrow"/>
                <w:b/>
                <w:sz w:val="20"/>
              </w:rPr>
              <w:t>Proprietary Name and Manufacturer</w:t>
            </w:r>
          </w:p>
        </w:tc>
      </w:tr>
      <w:tr w:rsidR="00614411" w:rsidRPr="00551C76" w:rsidTr="00614411">
        <w:trPr>
          <w:cantSplit/>
          <w:trHeight w:val="567"/>
        </w:trPr>
        <w:tc>
          <w:tcPr>
            <w:tcW w:w="1883" w:type="pct"/>
            <w:gridSpan w:val="2"/>
            <w:tcBorders>
              <w:top w:val="single" w:sz="4" w:space="0" w:color="auto"/>
            </w:tcBorders>
            <w:vAlign w:val="center"/>
          </w:tcPr>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OZANIMOD</w:t>
            </w:r>
          </w:p>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 xml:space="preserve">Capsule, 0.23 mg, 4 capsules </w:t>
            </w:r>
          </w:p>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Capsule, 0.46 mg, 3 capsules</w:t>
            </w:r>
          </w:p>
        </w:tc>
        <w:tc>
          <w:tcPr>
            <w:tcW w:w="606" w:type="pc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7</w:t>
            </w:r>
          </w:p>
        </w:tc>
        <w:tc>
          <w:tcPr>
            <w:tcW w:w="471" w:type="pc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0</w:t>
            </w:r>
          </w:p>
        </w:tc>
        <w:tc>
          <w:tcPr>
            <w:tcW w:w="845" w:type="pc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i/>
                <w:sz w:val="20"/>
                <w:vertAlign w:val="superscript"/>
              </w:rPr>
            </w:pPr>
            <w:r w:rsidRPr="00551C76">
              <w:rPr>
                <w:rFonts w:ascii="Arial Narrow" w:hAnsi="Arial Narrow"/>
                <w:i/>
                <w:sz w:val="20"/>
              </w:rPr>
              <w:t>$</w:t>
            </w:r>
            <w:r w:rsidRPr="0032783A">
              <w:rPr>
                <w:rFonts w:ascii="Arial Narrow" w:hAnsi="Arial Narrow"/>
                <w:i/>
                <w:sz w:val="20"/>
              </w:rPr>
              <w:t>552.60</w:t>
            </w:r>
            <w:r w:rsidRPr="00551C76">
              <w:rPr>
                <w:rFonts w:ascii="Arial Narrow" w:hAnsi="Arial Narrow"/>
                <w:i/>
                <w:sz w:val="20"/>
              </w:rPr>
              <w:t xml:space="preserve"> </w:t>
            </w:r>
            <w:r w:rsidRPr="00551C76">
              <w:rPr>
                <w:rFonts w:ascii="Arial Narrow" w:hAnsi="Arial Narrow"/>
                <w:i/>
                <w:sz w:val="20"/>
                <w:vertAlign w:val="superscript"/>
              </w:rPr>
              <w:t>a</w:t>
            </w:r>
          </w:p>
        </w:tc>
        <w:tc>
          <w:tcPr>
            <w:tcW w:w="519" w:type="pct"/>
            <w:vMerge w:val="restar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ZEPOSIA</w:t>
            </w:r>
            <w:r w:rsidRPr="00551C76">
              <w:rPr>
                <w:rFonts w:ascii="Arial Narrow" w:hAnsi="Arial Narrow"/>
                <w:sz w:val="20"/>
                <w:vertAlign w:val="superscript"/>
              </w:rPr>
              <w:t>®</w:t>
            </w:r>
          </w:p>
        </w:tc>
        <w:tc>
          <w:tcPr>
            <w:tcW w:w="676" w:type="pct"/>
            <w:vMerge w:val="restart"/>
            <w:tcBorders>
              <w:top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Celgene Pty Ltd</w:t>
            </w:r>
          </w:p>
        </w:tc>
      </w:tr>
      <w:tr w:rsidR="00614411" w:rsidRPr="00551C76" w:rsidTr="00614411">
        <w:trPr>
          <w:cantSplit/>
          <w:trHeight w:val="567"/>
        </w:trPr>
        <w:tc>
          <w:tcPr>
            <w:tcW w:w="1883" w:type="pct"/>
            <w:gridSpan w:val="2"/>
            <w:vAlign w:val="center"/>
          </w:tcPr>
          <w:p w:rsidR="00614411" w:rsidRPr="00551C76" w:rsidRDefault="00614411" w:rsidP="00614411">
            <w:pPr>
              <w:keepNext/>
              <w:spacing w:after="120"/>
              <w:contextualSpacing/>
              <w:jc w:val="left"/>
              <w:rPr>
                <w:rFonts w:ascii="Arial Narrow" w:hAnsi="Arial Narrow"/>
                <w:sz w:val="20"/>
              </w:rPr>
            </w:pPr>
            <w:r w:rsidRPr="00551C76">
              <w:rPr>
                <w:rFonts w:ascii="Arial Narrow" w:hAnsi="Arial Narrow"/>
                <w:sz w:val="20"/>
              </w:rPr>
              <w:t>Capsule, 0.92 mg capsules</w:t>
            </w:r>
          </w:p>
        </w:tc>
        <w:tc>
          <w:tcPr>
            <w:tcW w:w="606" w:type="pct"/>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28</w:t>
            </w:r>
          </w:p>
        </w:tc>
        <w:tc>
          <w:tcPr>
            <w:tcW w:w="471" w:type="pct"/>
            <w:vAlign w:val="center"/>
          </w:tcPr>
          <w:p w:rsidR="00614411" w:rsidRPr="00551C76" w:rsidRDefault="00614411" w:rsidP="00614411">
            <w:pPr>
              <w:keepNext/>
              <w:spacing w:after="120"/>
              <w:contextualSpacing/>
              <w:jc w:val="center"/>
              <w:rPr>
                <w:rFonts w:ascii="Arial Narrow" w:hAnsi="Arial Narrow"/>
                <w:sz w:val="20"/>
              </w:rPr>
            </w:pPr>
            <w:r w:rsidRPr="00551C76">
              <w:rPr>
                <w:rFonts w:ascii="Arial Narrow" w:hAnsi="Arial Narrow"/>
                <w:sz w:val="20"/>
              </w:rPr>
              <w:t>5</w:t>
            </w:r>
          </w:p>
        </w:tc>
        <w:tc>
          <w:tcPr>
            <w:tcW w:w="845" w:type="pct"/>
            <w:vAlign w:val="center"/>
          </w:tcPr>
          <w:p w:rsidR="00614411" w:rsidRPr="00551C76" w:rsidRDefault="00614411" w:rsidP="00614411">
            <w:pPr>
              <w:keepNext/>
              <w:spacing w:after="120"/>
              <w:contextualSpacing/>
              <w:jc w:val="center"/>
              <w:rPr>
                <w:rFonts w:ascii="Arial Narrow" w:hAnsi="Arial Narrow"/>
                <w:i/>
                <w:sz w:val="20"/>
              </w:rPr>
            </w:pPr>
            <w:r w:rsidRPr="00551C76">
              <w:rPr>
                <w:rFonts w:ascii="Arial Narrow" w:hAnsi="Arial Narrow"/>
                <w:i/>
                <w:sz w:val="20"/>
              </w:rPr>
              <w:t>$</w:t>
            </w:r>
            <w:r w:rsidRPr="0032783A">
              <w:rPr>
                <w:rFonts w:ascii="Arial Narrow" w:hAnsi="Arial Narrow"/>
                <w:i/>
                <w:sz w:val="20"/>
              </w:rPr>
              <w:t>2,210.41</w:t>
            </w:r>
            <w:r w:rsidRPr="00551C76">
              <w:rPr>
                <w:rFonts w:ascii="Arial Narrow" w:hAnsi="Arial Narrow"/>
                <w:i/>
                <w:sz w:val="20"/>
                <w:vertAlign w:val="superscript"/>
              </w:rPr>
              <w:t>a</w:t>
            </w:r>
          </w:p>
        </w:tc>
        <w:tc>
          <w:tcPr>
            <w:tcW w:w="519" w:type="pct"/>
            <w:vMerge/>
            <w:tcBorders>
              <w:bottom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p>
        </w:tc>
        <w:tc>
          <w:tcPr>
            <w:tcW w:w="676" w:type="pct"/>
            <w:vMerge/>
            <w:tcBorders>
              <w:bottom w:val="single" w:sz="4" w:space="0" w:color="auto"/>
            </w:tcBorders>
            <w:vAlign w:val="center"/>
          </w:tcPr>
          <w:p w:rsidR="00614411" w:rsidRPr="00551C76" w:rsidRDefault="00614411" w:rsidP="00614411">
            <w:pPr>
              <w:keepNext/>
              <w:spacing w:after="120"/>
              <w:contextualSpacing/>
              <w:jc w:val="center"/>
              <w:rPr>
                <w:rFonts w:ascii="Arial Narrow" w:hAnsi="Arial Narrow"/>
                <w:sz w:val="20"/>
              </w:rPr>
            </w:pP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Category/Program:</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pPr>
            <w:r w:rsidRPr="00551C76">
              <w:t>General Schedule</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PBS indication: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pPr>
            <w:r w:rsidRPr="00551C76">
              <w:t>Multiple sclerosis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Treatment phase:</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pPr>
            <w:r w:rsidRPr="00551C76">
              <w:t>Initial</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Restriction: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Default="00614411" w:rsidP="00614411">
            <w:pPr>
              <w:pStyle w:val="Tabletext"/>
              <w:rPr>
                <w:strike/>
              </w:rPr>
            </w:pPr>
            <w:r w:rsidRPr="00614411">
              <w:rPr>
                <w:strike/>
              </w:rPr>
              <w:t>Authority – Telephone, Electronic</w:t>
            </w:r>
          </w:p>
          <w:p w:rsidR="00614411" w:rsidRPr="00614411" w:rsidRDefault="00614411" w:rsidP="00614411">
            <w:pPr>
              <w:pStyle w:val="Tabletext"/>
              <w:rPr>
                <w:i/>
              </w:rPr>
            </w:pPr>
            <w:r w:rsidRPr="00614411">
              <w:rPr>
                <w:i/>
              </w:rPr>
              <w:t>Authority - Streamlined</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Clinical criteria:</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The condition must be diagnosed as clinically definite relapsing-remitting multiple sclerosis by magnetic resonance imaging of the brain and/or spinal cord; OR</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AND</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The treatment must be a sole PBS-subsidised disease modifying therapy for this condition,</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AND</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Patient must have experienced at least 2 documented attacks of neurological dysfunction, believed to be due to multiple sclerosis, in the preceding 2 years of commencing a PBS-subsidised disease modifying therapy for this condition,</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AND</w:t>
            </w:r>
          </w:p>
          <w:p w:rsidR="00614411" w:rsidRPr="00551C76" w:rsidRDefault="00614411" w:rsidP="00614411">
            <w:pPr>
              <w:keepNext/>
              <w:spacing w:before="0"/>
              <w:contextualSpacing/>
              <w:jc w:val="left"/>
              <w:rPr>
                <w:rFonts w:ascii="Arial Narrow" w:eastAsia="TimesNewRoman" w:hAnsi="Arial Narrow"/>
                <w:sz w:val="20"/>
                <w:szCs w:val="20"/>
                <w:shd w:val="clear" w:color="auto" w:fill="FFFFFF"/>
              </w:rPr>
            </w:pPr>
            <w:r w:rsidRPr="00551C76">
              <w:rPr>
                <w:rFonts w:ascii="Arial Narrow" w:eastAsia="TimesNewRoman" w:hAnsi="Arial Narrow"/>
                <w:sz w:val="20"/>
                <w:szCs w:val="20"/>
                <w:shd w:val="clear" w:color="auto" w:fill="FFFFFF"/>
              </w:rPr>
              <w:t>Patient must be ambulatory (without assistance or support).</w:t>
            </w:r>
          </w:p>
          <w:p w:rsidR="00614411" w:rsidRPr="002359C9" w:rsidRDefault="00614411" w:rsidP="00614411">
            <w:pPr>
              <w:keepNext/>
              <w:spacing w:before="0"/>
              <w:contextualSpacing/>
              <w:jc w:val="left"/>
              <w:rPr>
                <w:rFonts w:ascii="Arial Narrow" w:eastAsia="TimesNewRoman" w:hAnsi="Arial Narrow"/>
                <w:bCs/>
                <w:sz w:val="20"/>
                <w:szCs w:val="20"/>
                <w:shd w:val="clear" w:color="auto" w:fill="FFFFFF"/>
              </w:rPr>
            </w:pPr>
            <w:r w:rsidRPr="002359C9">
              <w:rPr>
                <w:rFonts w:ascii="Arial Narrow" w:eastAsia="TimesNewRoman" w:hAnsi="Arial Narrow"/>
                <w:bCs/>
                <w:sz w:val="20"/>
                <w:szCs w:val="20"/>
                <w:shd w:val="clear" w:color="auto" w:fill="FFFFFF"/>
              </w:rPr>
              <w:t>OR</w:t>
            </w:r>
          </w:p>
          <w:p w:rsidR="00614411" w:rsidRPr="00614411" w:rsidRDefault="00614411" w:rsidP="00614411">
            <w:pPr>
              <w:keepNext/>
              <w:spacing w:before="0"/>
              <w:contextualSpacing/>
              <w:jc w:val="left"/>
              <w:rPr>
                <w:rFonts w:ascii="Arial Narrow" w:eastAsia="TimesNewRoman" w:hAnsi="Arial Narrow"/>
                <w:strike/>
                <w:sz w:val="20"/>
                <w:szCs w:val="20"/>
                <w:shd w:val="clear" w:color="auto" w:fill="FFFFFF"/>
              </w:rPr>
            </w:pPr>
            <w:r w:rsidRPr="00614411">
              <w:rPr>
                <w:rFonts w:ascii="Arial Narrow" w:eastAsia="TimesNewRoman" w:hAnsi="Arial Narrow"/>
                <w:strike/>
                <w:sz w:val="20"/>
                <w:szCs w:val="20"/>
                <w:shd w:val="clear" w:color="auto" w:fill="FFFFFF"/>
              </w:rPr>
              <w:t>Patients must have previously received PBS-subsided treatment with this drug for this condition,</w:t>
            </w:r>
          </w:p>
          <w:p w:rsidR="00614411" w:rsidRPr="00614411" w:rsidRDefault="00614411" w:rsidP="00614411">
            <w:pPr>
              <w:keepNext/>
              <w:spacing w:before="0"/>
              <w:contextualSpacing/>
              <w:jc w:val="left"/>
              <w:rPr>
                <w:rFonts w:ascii="Arial Narrow" w:eastAsia="TimesNewRoman" w:hAnsi="Arial Narrow"/>
                <w:strike/>
                <w:sz w:val="20"/>
                <w:szCs w:val="20"/>
                <w:shd w:val="clear" w:color="auto" w:fill="FFFFFF"/>
              </w:rPr>
            </w:pPr>
            <w:r w:rsidRPr="00614411">
              <w:rPr>
                <w:rFonts w:ascii="Arial Narrow" w:eastAsia="TimesNewRoman" w:hAnsi="Arial Narrow"/>
                <w:strike/>
                <w:sz w:val="20"/>
                <w:szCs w:val="20"/>
                <w:shd w:val="clear" w:color="auto" w:fill="FFFFFF"/>
              </w:rPr>
              <w:t>AND</w:t>
            </w:r>
          </w:p>
          <w:p w:rsidR="00614411" w:rsidRPr="002359C9" w:rsidRDefault="00614411" w:rsidP="00614411">
            <w:pPr>
              <w:pStyle w:val="Tabletext"/>
            </w:pPr>
            <w:r w:rsidRPr="002359C9">
              <w:rPr>
                <w:rFonts w:eastAsia="TimesNewRoman" w:cs="Arial"/>
                <w:snapToGrid/>
                <w:szCs w:val="20"/>
                <w:shd w:val="clear" w:color="auto" w:fill="FFFFFF"/>
              </w:rPr>
              <w:t>Patient requires re-initiation of therapy following treatment interruption of more than 14 consecutive days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tcPr>
          <w:p w:rsidR="00614411" w:rsidRPr="00535935" w:rsidRDefault="00614411" w:rsidP="00614411">
            <w:pPr>
              <w:pStyle w:val="Tabletext"/>
              <w:rPr>
                <w:b/>
              </w:rPr>
            </w:pPr>
            <w:r w:rsidRPr="00535935">
              <w:rPr>
                <w:b/>
              </w:rPr>
              <w:t>Prescriber Instructions:</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rPr>
                <w:color w:val="000000"/>
              </w:rPr>
            </w:pPr>
            <w:r w:rsidRPr="00551C76">
              <w:rPr>
                <w:rFonts w:eastAsia="TimesNewRoman" w:cs="Arial"/>
                <w:szCs w:val="20"/>
                <w:shd w:val="clear" w:color="auto" w:fill="FFFFFF"/>
              </w:rPr>
              <w:t>Where applicable, the date of the magnetic resonance imaging scan must be recorded in the patient's medical records.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614411">
            <w:pPr>
              <w:pStyle w:val="Tabletext"/>
              <w:rPr>
                <w:b/>
              </w:rPr>
            </w:pPr>
            <w:r w:rsidRPr="00535935">
              <w:rPr>
                <w:b/>
              </w:rPr>
              <w:t>Administrative Advice:</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614411">
            <w:pPr>
              <w:pStyle w:val="Tabletext"/>
              <w:rPr>
                <w:color w:val="000000"/>
              </w:rPr>
            </w:pPr>
            <w:r w:rsidRPr="00551C76">
              <w:rPr>
                <w:color w:val="000000"/>
              </w:rPr>
              <w:t>No increase in the maximum quantity or number of units may be authorised.</w:t>
            </w:r>
          </w:p>
          <w:p w:rsidR="00614411" w:rsidRPr="00551C76" w:rsidRDefault="00614411" w:rsidP="00614411">
            <w:pPr>
              <w:pStyle w:val="Tabletext"/>
              <w:rPr>
                <w:color w:val="000000"/>
              </w:rPr>
            </w:pPr>
            <w:r w:rsidRPr="00551C76">
              <w:rPr>
                <w:color w:val="000000"/>
              </w:rPr>
              <w:t>No increase in the maximum number of repeats may be authorised.</w:t>
            </w:r>
          </w:p>
          <w:p w:rsidR="00614411" w:rsidRPr="00551C76" w:rsidRDefault="00614411" w:rsidP="00614411">
            <w:pPr>
              <w:pStyle w:val="Tabletext"/>
              <w:rPr>
                <w:color w:val="000000"/>
              </w:rPr>
            </w:pPr>
            <w:r w:rsidRPr="00551C76">
              <w:rPr>
                <w:color w:val="000000"/>
              </w:rPr>
              <w:t>Special Pricing Arrangements apply.</w:t>
            </w:r>
          </w:p>
        </w:tc>
      </w:tr>
    </w:tbl>
    <w:p w:rsidR="00614411" w:rsidRPr="00551C76" w:rsidRDefault="00614411" w:rsidP="00614411">
      <w:pPr>
        <w:pStyle w:val="TableFigureFooter"/>
        <w:rPr>
          <w:i/>
        </w:rPr>
      </w:pPr>
      <w:r w:rsidRPr="00551C76">
        <w:rPr>
          <w:i/>
          <w:vertAlign w:val="superscript"/>
        </w:rPr>
        <w:t xml:space="preserve">a </w:t>
      </w:r>
      <w:r w:rsidRPr="00551C76">
        <w:rPr>
          <w:i/>
        </w:rPr>
        <w:t>Published DPMQ used in financial estimates based on daily treatment cost with fingolimod</w:t>
      </w:r>
      <w:r>
        <w:rPr>
          <w:i/>
        </w:rPr>
        <w:t>.</w:t>
      </w:r>
    </w:p>
    <w:tbl>
      <w:tblPr>
        <w:tblW w:w="4977" w:type="pct"/>
        <w:tblInd w:w="28" w:type="dxa"/>
        <w:tblCellMar>
          <w:left w:w="28" w:type="dxa"/>
          <w:right w:w="28" w:type="dxa"/>
        </w:tblCellMar>
        <w:tblLook w:val="0000" w:firstRow="0" w:lastRow="0" w:firstColumn="0" w:lastColumn="0" w:noHBand="0" w:noVBand="0"/>
      </w:tblPr>
      <w:tblGrid>
        <w:gridCol w:w="1957"/>
        <w:gridCol w:w="1427"/>
        <w:gridCol w:w="1089"/>
        <w:gridCol w:w="846"/>
        <w:gridCol w:w="1518"/>
        <w:gridCol w:w="933"/>
        <w:gridCol w:w="1215"/>
      </w:tblGrid>
      <w:tr w:rsidR="00614411" w:rsidRPr="00551C76" w:rsidTr="00614411">
        <w:trPr>
          <w:cantSplit/>
          <w:trHeight w:val="463"/>
        </w:trPr>
        <w:tc>
          <w:tcPr>
            <w:tcW w:w="1883" w:type="pct"/>
            <w:gridSpan w:val="2"/>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left"/>
              <w:rPr>
                <w:rFonts w:ascii="Arial Narrow" w:hAnsi="Arial Narrow"/>
                <w:b/>
                <w:sz w:val="20"/>
              </w:rPr>
            </w:pPr>
            <w:r w:rsidRPr="00551C76">
              <w:rPr>
                <w:rFonts w:ascii="Arial Narrow" w:hAnsi="Arial Narrow"/>
                <w:b/>
                <w:sz w:val="20"/>
              </w:rPr>
              <w:lastRenderedPageBreak/>
              <w:t>Name, Restriction,</w:t>
            </w:r>
          </w:p>
          <w:p w:rsidR="00614411" w:rsidRPr="00551C76" w:rsidRDefault="00614411" w:rsidP="0090475B">
            <w:pPr>
              <w:keepNext/>
              <w:widowControl w:val="0"/>
              <w:spacing w:before="0"/>
              <w:contextualSpacing/>
              <w:jc w:val="left"/>
              <w:rPr>
                <w:rFonts w:ascii="Arial Narrow" w:hAnsi="Arial Narrow"/>
                <w:b/>
                <w:sz w:val="20"/>
              </w:rPr>
            </w:pPr>
            <w:r w:rsidRPr="00551C76">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Max.</w:t>
            </w:r>
          </w:p>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 xml:space="preserve">Qty </w:t>
            </w:r>
          </w:p>
        </w:tc>
        <w:tc>
          <w:tcPr>
            <w:tcW w:w="471" w:type="pct"/>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cs="Times New Roman"/>
                <w:b/>
                <w:sz w:val="20"/>
              </w:rPr>
              <w:t>№</w:t>
            </w:r>
            <w:r w:rsidRPr="00551C76">
              <w:rPr>
                <w:rFonts w:ascii="Arial Narrow" w:hAnsi="Arial Narrow"/>
                <w:b/>
                <w:sz w:val="20"/>
              </w:rPr>
              <w:t>. of</w:t>
            </w:r>
          </w:p>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Rpts</w:t>
            </w:r>
          </w:p>
        </w:tc>
        <w:tc>
          <w:tcPr>
            <w:tcW w:w="845" w:type="pct"/>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 xml:space="preserve">Dispensed Price for Max. Qty </w:t>
            </w:r>
          </w:p>
        </w:tc>
        <w:tc>
          <w:tcPr>
            <w:tcW w:w="1195" w:type="pct"/>
            <w:gridSpan w:val="2"/>
            <w:tcBorders>
              <w:top w:val="single" w:sz="4" w:space="0" w:color="auto"/>
              <w:bottom w:val="single" w:sz="4" w:space="0" w:color="auto"/>
            </w:tcBorders>
            <w:vAlign w:val="center"/>
          </w:tcPr>
          <w:p w:rsidR="00614411" w:rsidRPr="00551C76" w:rsidRDefault="00614411" w:rsidP="0090475B">
            <w:pPr>
              <w:keepNext/>
              <w:widowControl w:val="0"/>
              <w:spacing w:before="0"/>
              <w:contextualSpacing/>
              <w:jc w:val="center"/>
              <w:rPr>
                <w:rFonts w:ascii="Arial Narrow" w:hAnsi="Arial Narrow"/>
                <w:b/>
                <w:sz w:val="20"/>
              </w:rPr>
            </w:pPr>
            <w:r w:rsidRPr="00551C76">
              <w:rPr>
                <w:rFonts w:ascii="Arial Narrow" w:hAnsi="Arial Narrow"/>
                <w:b/>
                <w:sz w:val="20"/>
              </w:rPr>
              <w:t>Proprietary Name and Manufacturer</w:t>
            </w:r>
          </w:p>
        </w:tc>
      </w:tr>
      <w:tr w:rsidR="00614411" w:rsidRPr="00551C76" w:rsidTr="00614411">
        <w:trPr>
          <w:cantSplit/>
          <w:trHeight w:val="567"/>
        </w:trPr>
        <w:tc>
          <w:tcPr>
            <w:tcW w:w="1883" w:type="pct"/>
            <w:gridSpan w:val="2"/>
            <w:vAlign w:val="center"/>
          </w:tcPr>
          <w:p w:rsidR="00614411" w:rsidRPr="00551C76" w:rsidRDefault="00614411" w:rsidP="0090475B">
            <w:pPr>
              <w:keepNext/>
              <w:widowControl w:val="0"/>
              <w:contextualSpacing/>
              <w:jc w:val="left"/>
              <w:rPr>
                <w:rFonts w:ascii="Arial Narrow" w:hAnsi="Arial Narrow"/>
                <w:sz w:val="20"/>
              </w:rPr>
            </w:pPr>
            <w:r w:rsidRPr="00551C76">
              <w:rPr>
                <w:rFonts w:ascii="Arial Narrow" w:hAnsi="Arial Narrow"/>
                <w:sz w:val="20"/>
              </w:rPr>
              <w:t>Capsule, 0.92 mg capsules</w:t>
            </w:r>
          </w:p>
        </w:tc>
        <w:tc>
          <w:tcPr>
            <w:tcW w:w="606"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28</w:t>
            </w:r>
          </w:p>
        </w:tc>
        <w:tc>
          <w:tcPr>
            <w:tcW w:w="471"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5</w:t>
            </w:r>
          </w:p>
        </w:tc>
        <w:tc>
          <w:tcPr>
            <w:tcW w:w="845" w:type="pct"/>
            <w:vAlign w:val="center"/>
          </w:tcPr>
          <w:p w:rsidR="00614411" w:rsidRPr="00551C76" w:rsidRDefault="00614411" w:rsidP="0090475B">
            <w:pPr>
              <w:keepNext/>
              <w:widowControl w:val="0"/>
              <w:contextualSpacing/>
              <w:jc w:val="center"/>
              <w:rPr>
                <w:rFonts w:ascii="Arial Narrow" w:hAnsi="Arial Narrow"/>
                <w:i/>
                <w:sz w:val="20"/>
              </w:rPr>
            </w:pPr>
            <w:r w:rsidRPr="00551C76">
              <w:rPr>
                <w:rFonts w:ascii="Arial Narrow" w:hAnsi="Arial Narrow"/>
                <w:i/>
                <w:sz w:val="20"/>
              </w:rPr>
              <w:t>$</w:t>
            </w:r>
            <w:r w:rsidRPr="0032783A">
              <w:rPr>
                <w:rFonts w:ascii="Arial Narrow" w:hAnsi="Arial Narrow"/>
                <w:i/>
                <w:sz w:val="20"/>
              </w:rPr>
              <w:t>2,210.41</w:t>
            </w:r>
            <w:r w:rsidRPr="00551C76">
              <w:rPr>
                <w:rFonts w:ascii="Arial Narrow" w:hAnsi="Arial Narrow"/>
                <w:i/>
                <w:sz w:val="20"/>
                <w:vertAlign w:val="superscript"/>
              </w:rPr>
              <w:t>a</w:t>
            </w:r>
          </w:p>
        </w:tc>
        <w:tc>
          <w:tcPr>
            <w:tcW w:w="519"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ZEPOSIA</w:t>
            </w:r>
            <w:r w:rsidRPr="00551C76">
              <w:rPr>
                <w:rFonts w:ascii="Arial Narrow" w:hAnsi="Arial Narrow"/>
                <w:sz w:val="20"/>
                <w:vertAlign w:val="superscript"/>
              </w:rPr>
              <w:t>®</w:t>
            </w:r>
          </w:p>
        </w:tc>
        <w:tc>
          <w:tcPr>
            <w:tcW w:w="676" w:type="pct"/>
            <w:vAlign w:val="center"/>
          </w:tcPr>
          <w:p w:rsidR="00614411" w:rsidRPr="00551C76" w:rsidRDefault="00614411" w:rsidP="0090475B">
            <w:pPr>
              <w:keepNext/>
              <w:widowControl w:val="0"/>
              <w:contextualSpacing/>
              <w:jc w:val="center"/>
              <w:rPr>
                <w:rFonts w:ascii="Arial Narrow" w:hAnsi="Arial Narrow"/>
                <w:sz w:val="20"/>
              </w:rPr>
            </w:pPr>
            <w:r w:rsidRPr="00551C76">
              <w:rPr>
                <w:rFonts w:ascii="Arial Narrow" w:hAnsi="Arial Narrow"/>
                <w:sz w:val="20"/>
              </w:rPr>
              <w:t>Celgene Pty Ltd</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Category/Program:</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pPr>
            <w:r w:rsidRPr="00551C76">
              <w:t>General Schedule</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PBS indication: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pPr>
            <w:r w:rsidRPr="00551C76">
              <w:t>Multiple sclerosis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Treatment phase:</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pPr>
            <w:r w:rsidRPr="00551C76">
              <w:t>Continuing</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Restriction:</w:t>
            </w:r>
          </w:p>
        </w:tc>
        <w:tc>
          <w:tcPr>
            <w:tcW w:w="3911" w:type="pct"/>
            <w:gridSpan w:val="6"/>
            <w:tcBorders>
              <w:top w:val="single" w:sz="4" w:space="0" w:color="auto"/>
              <w:left w:val="single" w:sz="4" w:space="0" w:color="auto"/>
              <w:bottom w:val="single" w:sz="4" w:space="0" w:color="auto"/>
              <w:right w:val="single" w:sz="4" w:space="0" w:color="auto"/>
            </w:tcBorders>
          </w:tcPr>
          <w:p w:rsidR="00614411" w:rsidRDefault="00614411" w:rsidP="0090475B">
            <w:pPr>
              <w:pStyle w:val="Tabletext"/>
              <w:keepNext/>
              <w:widowControl w:val="0"/>
              <w:rPr>
                <w:strike/>
              </w:rPr>
            </w:pPr>
            <w:r w:rsidRPr="00614411">
              <w:rPr>
                <w:strike/>
              </w:rPr>
              <w:t>Authority – Telephone, Electronic</w:t>
            </w:r>
          </w:p>
          <w:p w:rsidR="00614411" w:rsidRPr="00551C76" w:rsidRDefault="00614411" w:rsidP="0090475B">
            <w:pPr>
              <w:pStyle w:val="Tabletext"/>
              <w:keepNext/>
              <w:widowControl w:val="0"/>
            </w:pPr>
            <w:r w:rsidRPr="00614411">
              <w:rPr>
                <w:i/>
              </w:rPr>
              <w:t>Authority - Streamlined</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Clinical criteria:</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0"/>
              <w:keepLines/>
              <w:widowControl w:val="0"/>
              <w:contextualSpacing/>
              <w:rPr>
                <w:rFonts w:cs="Arial"/>
              </w:rPr>
            </w:pPr>
            <w:r w:rsidRPr="00551C76">
              <w:rPr>
                <w:rFonts w:cs="Arial"/>
              </w:rPr>
              <w:t>The condition must be diagnosed as clinically definite relapsing-remitting multiple sclerosis,</w:t>
            </w:r>
          </w:p>
          <w:p w:rsidR="00614411" w:rsidRPr="00551C76" w:rsidRDefault="00614411" w:rsidP="0090475B">
            <w:pPr>
              <w:pStyle w:val="TableText0"/>
              <w:keepLines/>
              <w:widowControl w:val="0"/>
              <w:contextualSpacing/>
              <w:rPr>
                <w:rFonts w:cs="Arial"/>
              </w:rPr>
            </w:pPr>
            <w:r w:rsidRPr="00551C76">
              <w:rPr>
                <w:rFonts w:cs="Arial"/>
              </w:rPr>
              <w:t>AND</w:t>
            </w:r>
          </w:p>
          <w:p w:rsidR="00614411" w:rsidRPr="00551C76" w:rsidRDefault="00614411" w:rsidP="0090475B">
            <w:pPr>
              <w:pStyle w:val="TableText0"/>
              <w:keepLines/>
              <w:widowControl w:val="0"/>
              <w:contextualSpacing/>
              <w:rPr>
                <w:rFonts w:cs="Arial"/>
              </w:rPr>
            </w:pPr>
            <w:r w:rsidRPr="00551C76">
              <w:rPr>
                <w:rFonts w:cs="Arial"/>
              </w:rPr>
              <w:t>The treatment must be a sole PBS-subsidised disease modifying therapy for this condition,</w:t>
            </w:r>
          </w:p>
          <w:p w:rsidR="00614411" w:rsidRPr="00551C76" w:rsidRDefault="00614411" w:rsidP="0090475B">
            <w:pPr>
              <w:pStyle w:val="TableText0"/>
              <w:keepLines/>
              <w:widowControl w:val="0"/>
              <w:contextualSpacing/>
              <w:rPr>
                <w:rFonts w:cs="Arial"/>
              </w:rPr>
            </w:pPr>
            <w:r w:rsidRPr="00551C76">
              <w:rPr>
                <w:rFonts w:cs="Arial"/>
              </w:rPr>
              <w:t>AND</w:t>
            </w:r>
          </w:p>
          <w:p w:rsidR="00614411" w:rsidRPr="00551C76" w:rsidRDefault="00614411" w:rsidP="0090475B">
            <w:pPr>
              <w:pStyle w:val="TableText0"/>
              <w:keepLines/>
              <w:widowControl w:val="0"/>
              <w:contextualSpacing/>
              <w:rPr>
                <w:rFonts w:cs="Arial"/>
              </w:rPr>
            </w:pPr>
            <w:r w:rsidRPr="00551C76">
              <w:rPr>
                <w:rFonts w:cs="Arial"/>
              </w:rPr>
              <w:t>Patient must have previously received PBS-subsidised treatment with this drug for this condition,</w:t>
            </w:r>
          </w:p>
          <w:p w:rsidR="00614411" w:rsidRPr="00551C76" w:rsidRDefault="00614411" w:rsidP="0090475B">
            <w:pPr>
              <w:pStyle w:val="TableText0"/>
              <w:keepLines/>
              <w:widowControl w:val="0"/>
              <w:contextualSpacing/>
              <w:rPr>
                <w:rFonts w:cs="Arial"/>
              </w:rPr>
            </w:pPr>
            <w:r w:rsidRPr="00551C76">
              <w:rPr>
                <w:rFonts w:cs="Arial"/>
              </w:rPr>
              <w:t>AND</w:t>
            </w:r>
          </w:p>
          <w:p w:rsidR="00614411" w:rsidRDefault="00614411" w:rsidP="0090475B">
            <w:pPr>
              <w:pStyle w:val="TableText0"/>
              <w:keepLines/>
              <w:widowControl w:val="0"/>
              <w:contextualSpacing/>
              <w:rPr>
                <w:rFonts w:cs="Arial"/>
                <w:i/>
                <w:vertAlign w:val="superscript"/>
              </w:rPr>
            </w:pPr>
            <w:r w:rsidRPr="000E7015">
              <w:rPr>
                <w:rFonts w:cs="Arial"/>
                <w:strike/>
              </w:rPr>
              <w:t>Patient must be receiving benefit from treatment with this drug</w:t>
            </w:r>
          </w:p>
          <w:p w:rsidR="000E7015" w:rsidRPr="000E7015" w:rsidRDefault="000E7015" w:rsidP="0090475B">
            <w:pPr>
              <w:pStyle w:val="TableText0"/>
              <w:keepLines/>
              <w:widowControl w:val="0"/>
              <w:contextualSpacing/>
              <w:rPr>
                <w:rFonts w:cs="Arial"/>
                <w:sz w:val="22"/>
              </w:rPr>
            </w:pPr>
            <w:r w:rsidRPr="000E7015">
              <w:rPr>
                <w:i/>
                <w:color w:val="333333"/>
                <w:szCs w:val="20"/>
              </w:rPr>
              <w:t>Patient must not show continuing progression of disability due to multiple sclerosis while on treatment with this drug</w:t>
            </w:r>
          </w:p>
          <w:p w:rsidR="00614411" w:rsidRPr="00551C76" w:rsidRDefault="00614411" w:rsidP="0090475B">
            <w:pPr>
              <w:pStyle w:val="TableText0"/>
              <w:keepLines/>
              <w:widowControl w:val="0"/>
              <w:contextualSpacing/>
              <w:rPr>
                <w:rFonts w:cs="Arial"/>
              </w:rPr>
            </w:pPr>
            <w:r w:rsidRPr="00551C76">
              <w:rPr>
                <w:rFonts w:cs="Arial"/>
              </w:rPr>
              <w:t>AND</w:t>
            </w:r>
          </w:p>
          <w:p w:rsidR="00614411" w:rsidRPr="00551C76" w:rsidRDefault="00614411" w:rsidP="0090475B">
            <w:pPr>
              <w:pStyle w:val="Tabletext"/>
              <w:keepNext/>
              <w:widowControl w:val="0"/>
            </w:pPr>
            <w:r w:rsidRPr="00551C76">
              <w:rPr>
                <w:rFonts w:cs="Arial"/>
              </w:rPr>
              <w:t>Patient must have demonstrated compliance with, and an ability to tolerate this therapy.</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tcPr>
          <w:p w:rsidR="00614411" w:rsidRPr="00535935" w:rsidRDefault="00614411" w:rsidP="0090475B">
            <w:pPr>
              <w:pStyle w:val="Tabletext"/>
              <w:keepNext/>
              <w:widowControl w:val="0"/>
              <w:rPr>
                <w:b/>
              </w:rPr>
            </w:pPr>
            <w:r w:rsidRPr="00535935">
              <w:rPr>
                <w:b/>
              </w:rPr>
              <w:t>Prescriber Instructions</w:t>
            </w:r>
            <w:r>
              <w:rPr>
                <w:b/>
              </w:rPr>
              <w:t>:</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rPr>
                <w:color w:val="000000"/>
              </w:rPr>
            </w:pPr>
            <w:r w:rsidRPr="00551C76">
              <w:rPr>
                <w:rFonts w:eastAsia="TimesNewRoman" w:cs="Arial"/>
                <w:szCs w:val="20"/>
                <w:shd w:val="clear" w:color="auto" w:fill="FFFFFF"/>
              </w:rPr>
              <w:t>Where applicable, the date of the magnetic resonance imaging scan must be recorded in the patient's medical records.</w:t>
            </w:r>
          </w:p>
        </w:tc>
      </w:tr>
      <w:tr w:rsidR="00614411" w:rsidRPr="00551C76" w:rsidTr="00614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614411" w:rsidRPr="00535935" w:rsidRDefault="00614411" w:rsidP="0090475B">
            <w:pPr>
              <w:pStyle w:val="Tabletext"/>
              <w:keepNext/>
              <w:widowControl w:val="0"/>
              <w:rPr>
                <w:b/>
              </w:rPr>
            </w:pPr>
            <w:r w:rsidRPr="00535935">
              <w:rPr>
                <w:b/>
              </w:rPr>
              <w:t>Administrative Advice</w:t>
            </w:r>
            <w:r>
              <w:rPr>
                <w:b/>
              </w:rPr>
              <w:t>:</w:t>
            </w:r>
          </w:p>
        </w:tc>
        <w:tc>
          <w:tcPr>
            <w:tcW w:w="3911" w:type="pct"/>
            <w:gridSpan w:val="6"/>
            <w:tcBorders>
              <w:top w:val="single" w:sz="4" w:space="0" w:color="auto"/>
              <w:left w:val="single" w:sz="4" w:space="0" w:color="auto"/>
              <w:bottom w:val="single" w:sz="4" w:space="0" w:color="auto"/>
              <w:right w:val="single" w:sz="4" w:space="0" w:color="auto"/>
            </w:tcBorders>
          </w:tcPr>
          <w:p w:rsidR="00614411" w:rsidRPr="00551C76" w:rsidRDefault="00614411" w:rsidP="0090475B">
            <w:pPr>
              <w:pStyle w:val="Tabletext"/>
              <w:keepNext/>
              <w:widowControl w:val="0"/>
              <w:rPr>
                <w:color w:val="000000"/>
              </w:rPr>
            </w:pPr>
            <w:r w:rsidRPr="00551C76">
              <w:rPr>
                <w:color w:val="000000"/>
              </w:rPr>
              <w:t>No increase in the maximum quantity or number of units may be authorised.</w:t>
            </w:r>
          </w:p>
          <w:p w:rsidR="00614411" w:rsidRPr="00551C76" w:rsidRDefault="00614411" w:rsidP="0090475B">
            <w:pPr>
              <w:pStyle w:val="Tabletext"/>
              <w:keepNext/>
              <w:widowControl w:val="0"/>
              <w:rPr>
                <w:color w:val="000000"/>
              </w:rPr>
            </w:pPr>
            <w:r w:rsidRPr="00551C76">
              <w:rPr>
                <w:color w:val="000000"/>
              </w:rPr>
              <w:t>No increase in the maximum number of repeats may be authorised.</w:t>
            </w:r>
          </w:p>
          <w:p w:rsidR="00614411" w:rsidRPr="00551C76" w:rsidRDefault="00614411" w:rsidP="0090475B">
            <w:pPr>
              <w:pStyle w:val="Tabletext"/>
              <w:keepNext/>
              <w:widowControl w:val="0"/>
              <w:rPr>
                <w:color w:val="000000"/>
              </w:rPr>
            </w:pPr>
            <w:r w:rsidRPr="00551C76">
              <w:rPr>
                <w:color w:val="000000"/>
              </w:rPr>
              <w:t>Special Pricing Arrangements apply.</w:t>
            </w:r>
          </w:p>
        </w:tc>
      </w:tr>
    </w:tbl>
    <w:p w:rsidR="00614411" w:rsidRPr="000E7015" w:rsidRDefault="00614411" w:rsidP="0090475B">
      <w:pPr>
        <w:pStyle w:val="TableFigureFooter"/>
        <w:keepNext/>
        <w:widowControl w:val="0"/>
        <w:rPr>
          <w:i/>
        </w:rPr>
      </w:pPr>
      <w:r w:rsidRPr="00551C76">
        <w:rPr>
          <w:i/>
          <w:vertAlign w:val="superscript"/>
        </w:rPr>
        <w:t xml:space="preserve">a </w:t>
      </w:r>
      <w:r w:rsidRPr="00551C76">
        <w:rPr>
          <w:i/>
        </w:rPr>
        <w:t>Published DPMQ used in the financial estimates consistent with the published DPMQ of fingolimod</w:t>
      </w:r>
      <w:r>
        <w:rPr>
          <w:i/>
        </w:rPr>
        <w:t>.</w:t>
      </w:r>
      <w:r w:rsidR="000E7015">
        <w:rPr>
          <w:i/>
        </w:rPr>
        <w:t xml:space="preserve"> </w:t>
      </w:r>
    </w:p>
    <w:p w:rsidR="006559BD" w:rsidRPr="00AE2F8B" w:rsidRDefault="006559BD" w:rsidP="00CA6278">
      <w:pPr>
        <w:pStyle w:val="3-BodyText"/>
        <w:spacing w:before="120"/>
        <w:rPr>
          <w:color w:val="0066FF"/>
        </w:rPr>
      </w:pPr>
      <w:r w:rsidRPr="00AE2F8B">
        <w:t>The submission requested listing on a cost minimisation basis with fingolimod. As fingolimod is subject to a special pricing arrangement (SPA), the requested price for ozanimod was based on the published price of fingolimod. The submission sought a SPA consistent with the effective price of fingolimod.</w:t>
      </w:r>
    </w:p>
    <w:p w:rsidR="006559BD" w:rsidRPr="00AE2F8B" w:rsidRDefault="006559BD" w:rsidP="000A5230">
      <w:pPr>
        <w:pStyle w:val="3-BodyText"/>
      </w:pPr>
      <w:r w:rsidRPr="00AE2F8B">
        <w:t>At its November 2019 meeting, the PBAC recommended changing the authority level of the current listings for dimethyl fumarate, fingolimod, teriflunomide and cladribine for the treatment of RRMS to Authority Required (Streamlined)</w:t>
      </w:r>
      <w:r w:rsidRPr="00AE2F8B">
        <w:rPr>
          <w:rStyle w:val="FootnoteReference"/>
          <w:rFonts w:eastAsiaTheme="majorEastAsia"/>
        </w:rPr>
        <w:footnoteReference w:id="1"/>
      </w:r>
      <w:r w:rsidRPr="00AE2F8B">
        <w:t xml:space="preserve">. </w:t>
      </w:r>
      <w:r w:rsidR="00F72908" w:rsidRPr="00AE2F8B">
        <w:t>The Pre-Sub-Committee Response (PSCR) agreed with the proposal to align the authority level of ozanimod with that of other oral RRMS therapies per the November 2019 PBAC recommendation.</w:t>
      </w:r>
    </w:p>
    <w:p w:rsidR="006559BD" w:rsidRPr="00AE2F8B" w:rsidRDefault="006559BD" w:rsidP="000A5230">
      <w:pPr>
        <w:pStyle w:val="3-BodyText"/>
      </w:pPr>
      <w:bookmarkStart w:id="12" w:name="_Hlk29800623"/>
      <w:r w:rsidRPr="00AE2F8B">
        <w:t xml:space="preserve">The submission requested that prescribers be able to prescribe the seven-day titration pack and first 28-day pack with five repeats at the same time. The submission noted that this would provide a similar length of initiation treatment as the fingolimod listing and would be more convenient for prescribers and patients. </w:t>
      </w:r>
      <w:bookmarkEnd w:id="12"/>
      <w:r w:rsidR="00AE4528" w:rsidRPr="00AE2F8B">
        <w:t>The ESC considered that this approach was appropriate.</w:t>
      </w:r>
      <w:bookmarkStart w:id="13" w:name="_GoBack"/>
      <w:bookmarkEnd w:id="13"/>
    </w:p>
    <w:p w:rsidR="006559BD" w:rsidRDefault="006559BD" w:rsidP="00EF5FE1">
      <w:pPr>
        <w:pStyle w:val="3-BodyText"/>
      </w:pPr>
      <w:r w:rsidRPr="00AE2F8B">
        <w:lastRenderedPageBreak/>
        <w:t xml:space="preserve">The </w:t>
      </w:r>
      <w:r w:rsidRPr="00CA6278">
        <w:t>submission</w:t>
      </w:r>
      <w:r w:rsidRPr="00AE2F8B">
        <w:t xml:space="preserve"> proposed alternative</w:t>
      </w:r>
      <w:r w:rsidR="0011074D">
        <w:t xml:space="preserve"> text for</w:t>
      </w:r>
      <w:r w:rsidRPr="00AE2F8B">
        <w:t xml:space="preserve"> the continuation criterion</w:t>
      </w:r>
      <w:r w:rsidR="004536A9">
        <w:t xml:space="preserve"> for fingolimod</w:t>
      </w:r>
      <w:r w:rsidRPr="00AE2F8B">
        <w:t>, ‘Patient must not show continuing progression of disability while on treatment with this drug’ with the wording: ‘Patient must be receiving benefit from treatment with this drug</w:t>
      </w:r>
      <w:r w:rsidR="0031350D" w:rsidRPr="00AE2F8B">
        <w:t>’</w:t>
      </w:r>
      <w:r w:rsidRPr="00AE2F8B">
        <w:t xml:space="preserve">. The submission considered the existing criterion was ambiguous and may prevent subsidy for patients who have worsening disability due to other factors (such as age) rather than disease progression. </w:t>
      </w:r>
      <w:r w:rsidR="00EF5FE1">
        <w:t>The Secretariat proposed alternative wording to clarify the current criteria</w:t>
      </w:r>
      <w:r w:rsidRPr="00AE2F8B">
        <w:t xml:space="preserve"> ‘Patient must not show continuing progression of disability due to multiple sclerosis while on treatment with this drug’. </w:t>
      </w:r>
      <w:r w:rsidR="00EF5FE1" w:rsidRPr="00A74C41">
        <w:t>The PBAC considered</w:t>
      </w:r>
      <w:r w:rsidR="001B0B7E">
        <w:t xml:space="preserve"> that no change to the continuation criteria was necessary.</w:t>
      </w:r>
    </w:p>
    <w:p w:rsidR="00B64997" w:rsidRPr="00EF5FE1" w:rsidRDefault="00B64997" w:rsidP="001B0B7E">
      <w:pPr>
        <w:pStyle w:val="3-BodyText"/>
        <w:numPr>
          <w:ilvl w:val="0"/>
          <w:numId w:val="0"/>
        </w:numPr>
        <w:ind w:firstLine="720"/>
        <w:rPr>
          <w:i/>
        </w:rPr>
      </w:pPr>
      <w:r w:rsidRPr="00EF5FE1">
        <w:rPr>
          <w:i/>
        </w:rPr>
        <w:t>For more detail on PBAC’s view, see section 7 PBAC outcome.</w:t>
      </w:r>
    </w:p>
    <w:p w:rsidR="006559BD" w:rsidRPr="00AE2F8B" w:rsidRDefault="006559BD" w:rsidP="000A5230">
      <w:pPr>
        <w:pStyle w:val="2-SectionHeading"/>
        <w:spacing w:after="240"/>
      </w:pPr>
      <w:bookmarkStart w:id="14" w:name="_Toc27061680"/>
      <w:bookmarkStart w:id="15" w:name="_Toc30410043"/>
      <w:bookmarkEnd w:id="11"/>
      <w:r w:rsidRPr="00AE2F8B">
        <w:t>Population and disease</w:t>
      </w:r>
      <w:bookmarkEnd w:id="14"/>
      <w:bookmarkEnd w:id="15"/>
    </w:p>
    <w:p w:rsidR="006559BD" w:rsidRPr="00AE2F8B" w:rsidRDefault="006559BD" w:rsidP="000A5230">
      <w:pPr>
        <w:pStyle w:val="3-BodyText"/>
      </w:pPr>
      <w:r w:rsidRPr="00AE2F8B">
        <w:t>Multiple sclerosis (MS) is an idiopathic neurodegenerative disease characterised by autoimmune degradation of myelin sheaths surrounding the nerve cells in the central nervous system (CNS), leading to impaired nervous conduction of electrical impulses. This is thought to be started by lymphocytes crossing the blood brain barrier. MS can cause a range of symptoms which may include numbness and weakness in the legs, difficulty walking, loss of sensation, vision loss, loss of coordination, cognitive dysfunction, fatigue, pain, bladder and bowel disturbance, and neuropsychological symptoms such as depression.</w:t>
      </w:r>
    </w:p>
    <w:p w:rsidR="006559BD" w:rsidRPr="00AE2F8B" w:rsidRDefault="006559BD" w:rsidP="000A5230">
      <w:pPr>
        <w:pStyle w:val="3-BodyText"/>
      </w:pPr>
      <w:r w:rsidRPr="00AE2F8B">
        <w:t>RRMS is the most common type of MS and is estimated to affect 85% of newly diagnosed MS patients. Patients with RRMS experience exacerbations (‘flare-ups’ or relapses) of symptoms, followed by remission of symptoms. Patients with RRMS typically develop irreversible disability over time. The c</w:t>
      </w:r>
      <w:r w:rsidR="009A7708">
        <w:t>linical course of MS is varied.</w:t>
      </w:r>
      <w:r w:rsidRPr="00AE2F8B">
        <w:t xml:space="preserve"> The symptoms of MS and accumulation of disability progressively reduce the quality of life for people with MS.</w:t>
      </w:r>
    </w:p>
    <w:p w:rsidR="00B64997" w:rsidRDefault="006559BD" w:rsidP="00B64997">
      <w:pPr>
        <w:pStyle w:val="3-BodyText"/>
      </w:pPr>
      <w:r w:rsidRPr="00AE2F8B">
        <w:t xml:space="preserve">Ozanimod is a selective sphingosine 1-phosphate (S1P) receptor (S1PR) modulator. The mechanism of action for ozanimod is not fully understood; however, the submission stated that ozanimod reduces the movement of activated lymphocytes into the brain, reducing the autoimmune attack on nerve cells. Ozanimod and fingolimod have a similar mechanism of action; but ozanimod demonstrates greater receptor specificity (S1PR2 and S1PR5 receptor subtypes) compared with fingolimod (S1PR1, S1PR3, S1PR4, S1PR5 receptor subtypes). </w:t>
      </w:r>
      <w:r w:rsidR="008B0B8D" w:rsidRPr="007624F4">
        <w:rPr>
          <w:bCs/>
          <w:lang w:val="en-GB"/>
        </w:rPr>
        <w:t xml:space="preserve">The PBAC noted there are a number of S1P inhibitor </w:t>
      </w:r>
      <w:r w:rsidR="008B0B8D">
        <w:rPr>
          <w:bCs/>
          <w:lang w:val="en-GB"/>
        </w:rPr>
        <w:t>drugs</w:t>
      </w:r>
      <w:r w:rsidR="008B0B8D" w:rsidRPr="007624F4">
        <w:rPr>
          <w:bCs/>
          <w:lang w:val="en-GB"/>
        </w:rPr>
        <w:t xml:space="preserve"> undergoing clinical trials, and that newer generation drugs are more selective for specific S1P receptor subtypes, whilst fingolimod is relatively non-selective. </w:t>
      </w:r>
    </w:p>
    <w:p w:rsidR="00B64997" w:rsidRPr="009A7708" w:rsidRDefault="00B64997" w:rsidP="000B6D51">
      <w:pPr>
        <w:pStyle w:val="ListParagraph"/>
        <w:numPr>
          <w:ilvl w:val="0"/>
          <w:numId w:val="0"/>
        </w:numPr>
        <w:ind w:left="720"/>
        <w:rPr>
          <w:i/>
        </w:rPr>
      </w:pPr>
      <w:r w:rsidRPr="00525B39">
        <w:rPr>
          <w:i/>
        </w:rPr>
        <w:t>For more detail on PBAC’s view, see section 7 PBAC outcome.</w:t>
      </w:r>
    </w:p>
    <w:p w:rsidR="006559BD" w:rsidRPr="00AE2F8B" w:rsidRDefault="006559BD" w:rsidP="000A5230">
      <w:pPr>
        <w:pStyle w:val="2-SectionHeading"/>
        <w:spacing w:after="240"/>
      </w:pPr>
      <w:bookmarkStart w:id="16" w:name="_Toc30410044"/>
      <w:bookmarkStart w:id="17" w:name="_Toc27061681"/>
      <w:r w:rsidRPr="00AE2F8B">
        <w:lastRenderedPageBreak/>
        <w:t>Comparator</w:t>
      </w:r>
      <w:bookmarkEnd w:id="16"/>
    </w:p>
    <w:p w:rsidR="00B64997" w:rsidRPr="00A260E1" w:rsidRDefault="006559BD" w:rsidP="00A260E1">
      <w:pPr>
        <w:pStyle w:val="3-BodyText"/>
        <w:rPr>
          <w:snapToGrid/>
        </w:rPr>
      </w:pPr>
      <w:r w:rsidRPr="00AE2F8B">
        <w:rPr>
          <w:snapToGrid/>
        </w:rPr>
        <w:t xml:space="preserve">The submission nominated fingolimod as the comparator. This was based on both drugs being pharmacological analogues that target the S1P receptor pathway, fingolimod having the largest market share of RRMS treatments, and both treatments being oral DMTs. This was </w:t>
      </w:r>
      <w:r w:rsidR="007624F4">
        <w:rPr>
          <w:snapToGrid/>
        </w:rPr>
        <w:t>reasonable.</w:t>
      </w:r>
      <w:r w:rsidRPr="00AE2F8B">
        <w:rPr>
          <w:snapToGrid/>
        </w:rPr>
        <w:t xml:space="preserve"> However, in practice, ozanimod could substitute for all PBS subsidised RRMS medicines.</w:t>
      </w:r>
      <w:r w:rsidR="008B0B8D">
        <w:rPr>
          <w:snapToGrid/>
        </w:rPr>
        <w:t xml:space="preserve"> </w:t>
      </w:r>
      <w:r w:rsidR="008B0B8D" w:rsidRPr="00AE2F8B">
        <w:t>If PBS-listed, ozanimod w</w:t>
      </w:r>
      <w:r w:rsidR="008B0B8D">
        <w:t>ould</w:t>
      </w:r>
      <w:r w:rsidR="0011074D">
        <w:t xml:space="preserve"> </w:t>
      </w:r>
      <w:r w:rsidR="008B0B8D" w:rsidRPr="00AE2F8B">
        <w:t>be one of more than 10 DMTs available on the PBS for patients with RRMS.</w:t>
      </w:r>
    </w:p>
    <w:p w:rsidR="006559BD" w:rsidRPr="00AE2F8B" w:rsidRDefault="006559BD" w:rsidP="00090D36">
      <w:pPr>
        <w:pStyle w:val="3-BodyText"/>
        <w:rPr>
          <w:snapToGrid/>
        </w:rPr>
      </w:pPr>
      <w:bookmarkStart w:id="18" w:name="_Hlk29556161"/>
      <w:r w:rsidRPr="00AE2F8B">
        <w:rPr>
          <w:snapToGrid/>
        </w:rPr>
        <w:t>Based on the randomised head-to-head trials presented in the submission, ozanimod demonstrated statistically significant reductions in annualised relapse rate (ARR) compared with IFN</w:t>
      </w:r>
      <w:r w:rsidRPr="00AE2F8B">
        <w:rPr>
          <w:snapToGrid/>
        </w:rPr>
        <w:noBreakHyphen/>
        <w:t>β1a. Other PBS-listed treatments for RRMS listed on a cost</w:t>
      </w:r>
      <w:r w:rsidRPr="00AE2F8B">
        <w:rPr>
          <w:snapToGrid/>
        </w:rPr>
        <w:noBreakHyphen/>
        <w:t>minimisation basis with IFN-β1a include the other ABCR therapies (subcutaneous IFN</w:t>
      </w:r>
      <w:r w:rsidRPr="00AE2F8B">
        <w:rPr>
          <w:snapToGrid/>
        </w:rPr>
        <w:noBreakHyphen/>
        <w:t>β1a, intramuscular IFN</w:t>
      </w:r>
      <w:r w:rsidRPr="00AE2F8B">
        <w:rPr>
          <w:snapToGrid/>
        </w:rPr>
        <w:noBreakHyphen/>
        <w:t>β1a, IFN-β1b, peginterferon-β1a and glatiramer acetate), teriflunomide</w:t>
      </w:r>
      <w:r w:rsidRPr="00AE2F8B" w:rsidDel="00A5638E">
        <w:rPr>
          <w:snapToGrid/>
        </w:rPr>
        <w:t xml:space="preserve"> </w:t>
      </w:r>
      <w:r w:rsidRPr="00AE2F8B">
        <w:rPr>
          <w:snapToGrid/>
        </w:rPr>
        <w:t>and dimethyl fumarate.</w:t>
      </w:r>
    </w:p>
    <w:bookmarkEnd w:id="18"/>
    <w:p w:rsidR="006559BD" w:rsidRPr="00AE2F8B" w:rsidRDefault="006559BD" w:rsidP="000A5230">
      <w:pPr>
        <w:pStyle w:val="3-BodyText"/>
        <w:rPr>
          <w:snapToGrid/>
        </w:rPr>
      </w:pPr>
      <w:r w:rsidRPr="00AE2F8B">
        <w:rPr>
          <w:snapToGrid/>
        </w:rPr>
        <w:t>Fingolimod and natalizumab were recommended on a cost-effectiveness basis compared with IFN-β1a and IFN-β1b, respectively.</w:t>
      </w:r>
      <w:r w:rsidRPr="00AE2F8B">
        <w:t xml:space="preserve"> </w:t>
      </w:r>
      <w:bookmarkStart w:id="19" w:name="_Hlk30085677"/>
      <w:r w:rsidR="004D4CF9" w:rsidRPr="00AE2F8B">
        <w:rPr>
          <w:snapToGrid/>
        </w:rPr>
        <w:t>Ocrelizumab</w:t>
      </w:r>
      <w:r w:rsidR="00E32E8A" w:rsidRPr="00AE2F8B">
        <w:rPr>
          <w:snapToGrid/>
        </w:rPr>
        <w:t xml:space="preserve"> and cladribine were listed on a cost minimisation basis with fingolimod and alemtuzumab was listed on a cost minimisation basis with both fingolimod and natalizumab. </w:t>
      </w:r>
      <w:bookmarkEnd w:id="19"/>
    </w:p>
    <w:p w:rsidR="00A260E1" w:rsidRPr="00A260E1" w:rsidRDefault="006559BD" w:rsidP="00A260E1">
      <w:pPr>
        <w:pStyle w:val="3-BodyText"/>
        <w:rPr>
          <w:snapToGrid/>
          <w:color w:val="0066FF"/>
        </w:rPr>
      </w:pPr>
      <w:r w:rsidRPr="00AE2F8B">
        <w:t>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rsidR="00B64997" w:rsidRPr="00A260E1" w:rsidRDefault="00B64997" w:rsidP="001B0B7E">
      <w:pPr>
        <w:pStyle w:val="3-BodyText"/>
        <w:numPr>
          <w:ilvl w:val="0"/>
          <w:numId w:val="0"/>
        </w:numPr>
        <w:ind w:firstLine="720"/>
        <w:rPr>
          <w:snapToGrid/>
        </w:rPr>
      </w:pPr>
      <w:r w:rsidRPr="00A260E1">
        <w:rPr>
          <w:i/>
        </w:rPr>
        <w:t>For more detail on PBAC’s view, see section 7 PBAC outcome.</w:t>
      </w:r>
    </w:p>
    <w:p w:rsidR="006559BD" w:rsidRPr="00AE2F8B" w:rsidRDefault="006559BD" w:rsidP="000A5230">
      <w:pPr>
        <w:pStyle w:val="2-SectionHeading"/>
      </w:pPr>
      <w:bookmarkStart w:id="20" w:name="_Toc30410045"/>
      <w:bookmarkStart w:id="21" w:name="_Toc22897640"/>
      <w:bookmarkEnd w:id="17"/>
      <w:r w:rsidRPr="00AE2F8B">
        <w:t>Consideration of the evidence</w:t>
      </w:r>
      <w:bookmarkEnd w:id="20"/>
    </w:p>
    <w:p w:rsidR="00B64997" w:rsidRPr="000B6D51" w:rsidRDefault="00B64997" w:rsidP="000B6D51">
      <w:pPr>
        <w:pStyle w:val="4-SubsectionHeading"/>
        <w:rPr>
          <w:i w:val="0"/>
          <w:snapToGrid w:val="0"/>
        </w:rPr>
      </w:pPr>
      <w:bookmarkStart w:id="22" w:name="_Toc30410046"/>
      <w:r w:rsidRPr="000B6D51">
        <w:rPr>
          <w:i w:val="0"/>
          <w:snapToGrid w:val="0"/>
        </w:rPr>
        <w:t>Sponsor hearing</w:t>
      </w:r>
    </w:p>
    <w:p w:rsidR="00B64997" w:rsidRPr="00836F75" w:rsidRDefault="00B64997" w:rsidP="00B64997">
      <w:pPr>
        <w:keepLines w:val="0"/>
        <w:widowControl w:val="0"/>
        <w:numPr>
          <w:ilvl w:val="1"/>
          <w:numId w:val="1"/>
        </w:numPr>
        <w:spacing w:before="0" w:after="120"/>
        <w:rPr>
          <w:rFonts w:asciiTheme="minorHAnsi" w:hAnsiTheme="minorHAnsi"/>
          <w:bCs/>
          <w:snapToGrid w:val="0"/>
        </w:rPr>
      </w:pPr>
      <w:r w:rsidRPr="00836F75">
        <w:rPr>
          <w:rFonts w:asciiTheme="minorHAnsi" w:hAnsiTheme="minorHAnsi"/>
          <w:bCs/>
          <w:snapToGrid w:val="0"/>
        </w:rPr>
        <w:t>The</w:t>
      </w:r>
      <w:r>
        <w:rPr>
          <w:rFonts w:asciiTheme="minorHAnsi" w:hAnsiTheme="minorHAnsi"/>
          <w:bCs/>
          <w:snapToGrid w:val="0"/>
        </w:rPr>
        <w:t>re was no hearing for this item</w:t>
      </w:r>
      <w:r w:rsidRPr="00836F75">
        <w:rPr>
          <w:rFonts w:asciiTheme="minorHAnsi" w:hAnsiTheme="minorHAnsi"/>
          <w:bCs/>
          <w:snapToGrid w:val="0"/>
        </w:rPr>
        <w:t>.</w:t>
      </w:r>
    </w:p>
    <w:p w:rsidR="00B64997" w:rsidRPr="000B6D51" w:rsidRDefault="00B64997" w:rsidP="000B6D51">
      <w:pPr>
        <w:pStyle w:val="4-SubsectionHeading"/>
        <w:rPr>
          <w:i w:val="0"/>
          <w:snapToGrid w:val="0"/>
        </w:rPr>
      </w:pPr>
      <w:r w:rsidRPr="000B6D51">
        <w:rPr>
          <w:i w:val="0"/>
          <w:snapToGrid w:val="0"/>
        </w:rPr>
        <w:t>Consumer comments</w:t>
      </w:r>
    </w:p>
    <w:p w:rsidR="00B64997" w:rsidRPr="00836F75" w:rsidRDefault="00B64997" w:rsidP="00B64997">
      <w:pPr>
        <w:keepLines w:val="0"/>
        <w:widowControl w:val="0"/>
        <w:numPr>
          <w:ilvl w:val="1"/>
          <w:numId w:val="1"/>
        </w:numPr>
        <w:spacing w:before="0" w:after="120"/>
        <w:rPr>
          <w:rFonts w:asciiTheme="minorHAnsi" w:hAnsiTheme="minorHAnsi"/>
          <w:bCs/>
          <w:snapToGrid w:val="0"/>
        </w:rPr>
      </w:pPr>
      <w:r w:rsidRPr="00836F75">
        <w:rPr>
          <w:rFonts w:asciiTheme="minorHAnsi" w:hAnsiTheme="minorHAnsi"/>
          <w:bCs/>
          <w:snapToGrid w:val="0"/>
        </w:rPr>
        <w:t xml:space="preserve">The PBAC noted and welcomed the input from </w:t>
      </w:r>
      <w:r w:rsidR="00863763">
        <w:rPr>
          <w:rFonts w:asciiTheme="minorHAnsi" w:hAnsiTheme="minorHAnsi"/>
          <w:bCs/>
          <w:snapToGrid w:val="0"/>
        </w:rPr>
        <w:t xml:space="preserve">MS Australia and MS Research supporting the listing of ozanimod for RRMS. The submissions noted the importance of having a range of treatment options for RRMS and highlighted </w:t>
      </w:r>
      <w:r w:rsidR="00B8251B">
        <w:rPr>
          <w:rFonts w:asciiTheme="minorHAnsi" w:hAnsiTheme="minorHAnsi"/>
          <w:bCs/>
          <w:snapToGrid w:val="0"/>
        </w:rPr>
        <w:t>the results of the SUNBEAM</w:t>
      </w:r>
      <w:r w:rsidR="00CF0EAC">
        <w:rPr>
          <w:rFonts w:asciiTheme="minorHAnsi" w:hAnsiTheme="minorHAnsi"/>
          <w:bCs/>
          <w:snapToGrid w:val="0"/>
        </w:rPr>
        <w:t xml:space="preserve"> and RADIANCE</w:t>
      </w:r>
      <w:r w:rsidR="00B8251B">
        <w:rPr>
          <w:rFonts w:asciiTheme="minorHAnsi" w:hAnsiTheme="minorHAnsi"/>
          <w:bCs/>
          <w:snapToGrid w:val="0"/>
        </w:rPr>
        <w:t xml:space="preserve"> trial</w:t>
      </w:r>
      <w:r w:rsidR="00CF0EAC">
        <w:rPr>
          <w:rFonts w:asciiTheme="minorHAnsi" w:hAnsiTheme="minorHAnsi"/>
          <w:bCs/>
          <w:snapToGrid w:val="0"/>
        </w:rPr>
        <w:t>s</w:t>
      </w:r>
      <w:r w:rsidR="00B8251B">
        <w:rPr>
          <w:rFonts w:asciiTheme="minorHAnsi" w:hAnsiTheme="minorHAnsi"/>
          <w:bCs/>
          <w:snapToGrid w:val="0"/>
        </w:rPr>
        <w:t xml:space="preserve"> supported the effectiveness of ozanimod.</w:t>
      </w:r>
      <w:r w:rsidRPr="00836F75">
        <w:rPr>
          <w:rFonts w:asciiTheme="minorHAnsi" w:hAnsiTheme="minorHAnsi"/>
          <w:bCs/>
          <w:snapToGrid w:val="0"/>
        </w:rPr>
        <w:t xml:space="preserve">  </w:t>
      </w:r>
    </w:p>
    <w:p w:rsidR="006559BD" w:rsidRPr="00AE2F8B" w:rsidRDefault="006559BD" w:rsidP="000A5230">
      <w:pPr>
        <w:pStyle w:val="4-SubsectionHeading"/>
        <w:rPr>
          <w:i w:val="0"/>
        </w:rPr>
      </w:pPr>
      <w:r w:rsidRPr="00AE2F8B">
        <w:rPr>
          <w:i w:val="0"/>
        </w:rPr>
        <w:lastRenderedPageBreak/>
        <w:t>Clinical trials</w:t>
      </w:r>
      <w:bookmarkEnd w:id="21"/>
      <w:bookmarkEnd w:id="22"/>
    </w:p>
    <w:p w:rsidR="006559BD" w:rsidRPr="00AE2F8B" w:rsidRDefault="006559BD" w:rsidP="002452FF">
      <w:pPr>
        <w:pStyle w:val="3-BodyText"/>
        <w:rPr>
          <w:color w:val="0066FF"/>
        </w:rPr>
      </w:pPr>
      <w:r w:rsidRPr="00AE2F8B">
        <w:rPr>
          <w:snapToGrid/>
        </w:rPr>
        <w:t>No head-to-head trials comparing ozanimod to fingolimod were available. The submission was based on two indirect treatment comparisons (ITCs) between ozanimod and fingolimod using IFN</w:t>
      </w:r>
      <w:r w:rsidRPr="00AE2F8B">
        <w:rPr>
          <w:snapToGrid/>
        </w:rPr>
        <w:noBreakHyphen/>
        <w:t>β1a as the common comparator:</w:t>
      </w:r>
    </w:p>
    <w:p w:rsidR="006559BD" w:rsidRPr="00AE2F8B" w:rsidRDefault="006559BD" w:rsidP="00101998">
      <w:pPr>
        <w:pStyle w:val="ListParagraph"/>
        <w:ind w:left="1134"/>
      </w:pPr>
      <w:r w:rsidRPr="00AE2F8B">
        <w:t>The main ITC compared ozanimod (SUNBEAM) with fingolimod (TRANSFORMS). These trials were nominated for the main ITC due to similar trial durations (at least 12 months, and 12 months, respectively); and</w:t>
      </w:r>
    </w:p>
    <w:p w:rsidR="006559BD" w:rsidRPr="00AE2F8B" w:rsidRDefault="006559BD" w:rsidP="00101998">
      <w:pPr>
        <w:pStyle w:val="ListParagraph"/>
        <w:ind w:left="1134"/>
      </w:pPr>
      <w:r w:rsidRPr="00AE2F8B">
        <w:t>A sensitivity analysis of the ITC compared ozanimod (meta-analysis of SUNBEAM and RADIANCE B [24 months]) with fingolimod (TRANSFORMS).</w:t>
      </w:r>
    </w:p>
    <w:p w:rsidR="006559BD" w:rsidRPr="00AE2F8B" w:rsidRDefault="006559BD" w:rsidP="000A5230">
      <w:pPr>
        <w:pStyle w:val="3-BodyText"/>
      </w:pPr>
      <w:r w:rsidRPr="00AE2F8B">
        <w:rPr>
          <w:snapToGrid/>
        </w:rPr>
        <w:t>Details of the trials presented in the submis</w:t>
      </w:r>
      <w:r w:rsidR="00DC6727" w:rsidRPr="00AE2F8B">
        <w:rPr>
          <w:snapToGrid/>
        </w:rPr>
        <w:t>sion are provided in Table 2</w:t>
      </w:r>
      <w:r w:rsidRPr="00AE2F8B">
        <w:rPr>
          <w:snapToGrid/>
        </w:rPr>
        <w:t xml:space="preserve">. </w:t>
      </w:r>
    </w:p>
    <w:p w:rsidR="006559BD" w:rsidRPr="00551C76" w:rsidRDefault="00DC6727" w:rsidP="00DC6727">
      <w:pPr>
        <w:pStyle w:val="TableFigureHeading"/>
        <w:rPr>
          <w:rStyle w:val="CommentReference"/>
        </w:rPr>
      </w:pPr>
      <w:r>
        <w:rPr>
          <w:rStyle w:val="CommentReference"/>
        </w:rPr>
        <w:t>Table 2</w:t>
      </w:r>
      <w:r w:rsidR="006559BD" w:rsidRPr="00551C76">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3"/>
        <w:gridCol w:w="5508"/>
        <w:gridCol w:w="2076"/>
      </w:tblGrid>
      <w:tr w:rsidR="006559BD" w:rsidRPr="00551C76" w:rsidTr="000A5230">
        <w:trPr>
          <w:cantSplit/>
          <w:tblHeader/>
        </w:trPr>
        <w:tc>
          <w:tcPr>
            <w:tcW w:w="795" w:type="pct"/>
            <w:vAlign w:val="center"/>
          </w:tcPr>
          <w:p w:rsidR="006559BD" w:rsidRPr="00551C76" w:rsidRDefault="006559BD" w:rsidP="00DC6727">
            <w:pPr>
              <w:pStyle w:val="In-tableHeading"/>
              <w:rPr>
                <w:lang w:val="en-AU"/>
              </w:rPr>
            </w:pPr>
            <w:r w:rsidRPr="00551C76">
              <w:rPr>
                <w:lang w:val="en-AU"/>
              </w:rPr>
              <w:t>Trial ID</w:t>
            </w:r>
          </w:p>
        </w:tc>
        <w:tc>
          <w:tcPr>
            <w:tcW w:w="3054" w:type="pct"/>
            <w:vAlign w:val="center"/>
          </w:tcPr>
          <w:p w:rsidR="006559BD" w:rsidRPr="00551C76" w:rsidRDefault="006559BD" w:rsidP="00DC6727">
            <w:pPr>
              <w:pStyle w:val="In-tableHeading"/>
              <w:jc w:val="center"/>
              <w:rPr>
                <w:lang w:val="en-AU"/>
              </w:rPr>
            </w:pPr>
            <w:r w:rsidRPr="00551C76">
              <w:rPr>
                <w:lang w:val="en-AU"/>
              </w:rPr>
              <w:t>Protocol title/ Publication title</w:t>
            </w:r>
          </w:p>
        </w:tc>
        <w:tc>
          <w:tcPr>
            <w:tcW w:w="1151" w:type="pct"/>
            <w:vAlign w:val="center"/>
          </w:tcPr>
          <w:p w:rsidR="006559BD" w:rsidRPr="00551C76" w:rsidRDefault="006559BD" w:rsidP="00DC6727">
            <w:pPr>
              <w:pStyle w:val="In-tableHeading"/>
              <w:jc w:val="center"/>
              <w:rPr>
                <w:lang w:val="en-AU"/>
              </w:rPr>
            </w:pPr>
            <w:r w:rsidRPr="00551C76">
              <w:rPr>
                <w:lang w:val="en-AU"/>
              </w:rPr>
              <w:t>Publication citation</w:t>
            </w:r>
          </w:p>
        </w:tc>
      </w:tr>
      <w:tr w:rsidR="006559BD" w:rsidRPr="00551C76" w:rsidTr="000A5230">
        <w:trPr>
          <w:cantSplit/>
        </w:trPr>
        <w:tc>
          <w:tcPr>
            <w:tcW w:w="5000" w:type="pct"/>
            <w:gridSpan w:val="3"/>
            <w:vAlign w:val="center"/>
          </w:tcPr>
          <w:p w:rsidR="006559BD" w:rsidRPr="00551C76" w:rsidRDefault="006559BD" w:rsidP="00DC6727">
            <w:pPr>
              <w:pStyle w:val="In-tableHeading"/>
              <w:rPr>
                <w:lang w:val="en-AU"/>
              </w:rPr>
            </w:pPr>
            <w:r w:rsidRPr="00551C76">
              <w:rPr>
                <w:lang w:val="en-AU"/>
              </w:rPr>
              <w:t>Trials comparing ozanimod with IFN</w:t>
            </w:r>
            <w:r w:rsidRPr="00551C76">
              <w:rPr>
                <w:lang w:val="en-AU"/>
              </w:rPr>
              <w:noBreakHyphen/>
              <w:t>β1a</w:t>
            </w:r>
          </w:p>
        </w:tc>
      </w:tr>
      <w:tr w:rsidR="006559BD" w:rsidRPr="00551C76" w:rsidTr="00435CF9">
        <w:trPr>
          <w:cantSplit/>
        </w:trPr>
        <w:tc>
          <w:tcPr>
            <w:tcW w:w="795" w:type="pct"/>
            <w:vMerge w:val="restart"/>
            <w:vAlign w:val="center"/>
          </w:tcPr>
          <w:p w:rsidR="006559BD" w:rsidRPr="00551C76" w:rsidRDefault="006559BD" w:rsidP="00DC6727">
            <w:pPr>
              <w:pStyle w:val="TableText0"/>
              <w:rPr>
                <w:rFonts w:ascii="Times" w:hAnsi="Times"/>
              </w:rPr>
            </w:pPr>
            <w:r w:rsidRPr="00551C76">
              <w:t>SUNBEAM</w:t>
            </w:r>
          </w:p>
        </w:tc>
        <w:tc>
          <w:tcPr>
            <w:tcW w:w="3054" w:type="pct"/>
            <w:tcBorders>
              <w:bottom w:val="nil"/>
            </w:tcBorders>
            <w:vAlign w:val="center"/>
          </w:tcPr>
          <w:p w:rsidR="006559BD" w:rsidRPr="00551C76" w:rsidRDefault="006559BD" w:rsidP="00DC6727">
            <w:pPr>
              <w:pStyle w:val="TableText0"/>
            </w:pPr>
            <w:r w:rsidRPr="00551C76">
              <w:rPr>
                <w:szCs w:val="18"/>
              </w:rPr>
              <w:t>A Phase 3, Multi-Centre, Randomised, Double-Blind, Double-Dummy, Active-Controlled, Parallel Group Study to Evaluate the Efficacy and Safety of RPC1063 Administered Orally to Relapsing Multiple Sclerosis Patients.</w:t>
            </w:r>
          </w:p>
        </w:tc>
        <w:tc>
          <w:tcPr>
            <w:tcW w:w="1151" w:type="pct"/>
            <w:tcBorders>
              <w:bottom w:val="nil"/>
            </w:tcBorders>
          </w:tcPr>
          <w:p w:rsidR="006559BD" w:rsidRPr="00551C76" w:rsidRDefault="006559BD" w:rsidP="00435CF9">
            <w:pPr>
              <w:pStyle w:val="TableText0"/>
              <w:rPr>
                <w:rFonts w:ascii="Times" w:hAnsi="Times"/>
              </w:rPr>
            </w:pPr>
            <w:r w:rsidRPr="00551C76">
              <w:t>CSR</w:t>
            </w:r>
          </w:p>
        </w:tc>
      </w:tr>
      <w:tr w:rsidR="006559BD" w:rsidRPr="00551C76" w:rsidTr="00435CF9">
        <w:trPr>
          <w:cantSplit/>
        </w:trPr>
        <w:tc>
          <w:tcPr>
            <w:tcW w:w="795" w:type="pct"/>
            <w:vMerge/>
            <w:vAlign w:val="center"/>
          </w:tcPr>
          <w:p w:rsidR="006559BD" w:rsidRPr="00551C76" w:rsidRDefault="006559BD" w:rsidP="00DC6727">
            <w:pPr>
              <w:pStyle w:val="TableText0"/>
            </w:pPr>
          </w:p>
        </w:tc>
        <w:tc>
          <w:tcPr>
            <w:tcW w:w="3054" w:type="pct"/>
            <w:tcBorders>
              <w:top w:val="nil"/>
              <w:bottom w:val="nil"/>
            </w:tcBorders>
          </w:tcPr>
          <w:p w:rsidR="006559BD" w:rsidRPr="00551C76" w:rsidRDefault="006559BD" w:rsidP="00435CF9">
            <w:pPr>
              <w:pStyle w:val="TableText0"/>
            </w:pPr>
            <w:r w:rsidRPr="00551C76">
              <w:rPr>
                <w:szCs w:val="18"/>
              </w:rPr>
              <w:t xml:space="preserve">Comi G, Kappos L, </w:t>
            </w:r>
            <w:r w:rsidRPr="00551C76">
              <w:rPr>
                <w:i/>
                <w:szCs w:val="18"/>
              </w:rPr>
              <w:t>et al.</w:t>
            </w:r>
            <w:r w:rsidRPr="00551C76">
              <w:rPr>
                <w:szCs w:val="18"/>
              </w:rPr>
              <w:t xml:space="preserve"> Safety and efficacy of ozanimod versus interferon beta-1a in relapsing multiple sclerosis (SUNBEAM): a multi-centre, randomised, minimum 12-month, Phase 3 trial</w:t>
            </w:r>
            <w:r>
              <w:rPr>
                <w:szCs w:val="18"/>
              </w:rPr>
              <w:t>.</w:t>
            </w:r>
          </w:p>
        </w:tc>
        <w:tc>
          <w:tcPr>
            <w:tcW w:w="1151" w:type="pct"/>
            <w:tcBorders>
              <w:top w:val="nil"/>
              <w:bottom w:val="nil"/>
            </w:tcBorders>
          </w:tcPr>
          <w:p w:rsidR="006559BD" w:rsidRPr="00551C76" w:rsidRDefault="006559BD" w:rsidP="00435CF9">
            <w:pPr>
              <w:pStyle w:val="TableText0"/>
            </w:pPr>
            <w:r w:rsidRPr="00551C76">
              <w:rPr>
                <w:szCs w:val="18"/>
              </w:rPr>
              <w:t>Lancet Neurol. 2019 Sep 3. pii: S1474-4422(19)30239-X. doi: 10.1016/S1474-4422(19)30239-X</w:t>
            </w:r>
          </w:p>
        </w:tc>
      </w:tr>
      <w:tr w:rsidR="006559BD" w:rsidRPr="00551C76" w:rsidTr="00435CF9">
        <w:trPr>
          <w:cantSplit/>
        </w:trPr>
        <w:tc>
          <w:tcPr>
            <w:tcW w:w="795" w:type="pct"/>
            <w:vMerge w:val="restart"/>
            <w:vAlign w:val="center"/>
          </w:tcPr>
          <w:p w:rsidR="006559BD" w:rsidRPr="00551C76" w:rsidRDefault="006559BD" w:rsidP="00DC6727">
            <w:pPr>
              <w:pStyle w:val="TableText0"/>
              <w:rPr>
                <w:rFonts w:ascii="Times" w:hAnsi="Times"/>
              </w:rPr>
            </w:pPr>
            <w:r w:rsidRPr="00551C76">
              <w:t>RADIANCE B</w:t>
            </w:r>
          </w:p>
        </w:tc>
        <w:tc>
          <w:tcPr>
            <w:tcW w:w="3054" w:type="pct"/>
            <w:tcBorders>
              <w:bottom w:val="nil"/>
            </w:tcBorders>
          </w:tcPr>
          <w:p w:rsidR="006559BD" w:rsidRPr="00551C76" w:rsidRDefault="006559BD" w:rsidP="00435CF9">
            <w:pPr>
              <w:pStyle w:val="TableText0"/>
              <w:rPr>
                <w:rFonts w:ascii="Times" w:hAnsi="Times"/>
              </w:rPr>
            </w:pPr>
            <w:r w:rsidRPr="00551C76">
              <w:rPr>
                <w:szCs w:val="18"/>
              </w:rPr>
              <w:t>A Phase 3, Multi-Centre, Randomised Double-Blind, Double-Dummy, Active-Controlled (Part B), Parallel Group Study To Evaluate the Efficacy and Safety of RPC1063 Administered Orally to Relapsing Multiple Sclerosis Patients</w:t>
            </w:r>
            <w:r>
              <w:rPr>
                <w:szCs w:val="18"/>
              </w:rPr>
              <w:t>.</w:t>
            </w:r>
          </w:p>
        </w:tc>
        <w:tc>
          <w:tcPr>
            <w:tcW w:w="1151" w:type="pct"/>
            <w:tcBorders>
              <w:bottom w:val="nil"/>
            </w:tcBorders>
          </w:tcPr>
          <w:p w:rsidR="006559BD" w:rsidRPr="00551C76" w:rsidRDefault="006559BD" w:rsidP="00435CF9">
            <w:pPr>
              <w:pStyle w:val="TableText0"/>
            </w:pPr>
            <w:r w:rsidRPr="00551C76">
              <w:t>CSR</w:t>
            </w:r>
          </w:p>
        </w:tc>
      </w:tr>
      <w:tr w:rsidR="006559BD" w:rsidRPr="00551C76" w:rsidTr="00435CF9">
        <w:trPr>
          <w:cantSplit/>
        </w:trPr>
        <w:tc>
          <w:tcPr>
            <w:tcW w:w="795" w:type="pct"/>
            <w:vMerge/>
            <w:vAlign w:val="center"/>
          </w:tcPr>
          <w:p w:rsidR="006559BD" w:rsidRPr="00551C76" w:rsidRDefault="006559BD" w:rsidP="00DC6727">
            <w:pPr>
              <w:pStyle w:val="TableText0"/>
              <w:jc w:val="center"/>
            </w:pPr>
          </w:p>
        </w:tc>
        <w:tc>
          <w:tcPr>
            <w:tcW w:w="3054" w:type="pct"/>
            <w:tcBorders>
              <w:top w:val="nil"/>
              <w:bottom w:val="nil"/>
            </w:tcBorders>
          </w:tcPr>
          <w:p w:rsidR="006559BD" w:rsidRPr="00551C76" w:rsidRDefault="006559BD" w:rsidP="00435CF9">
            <w:pPr>
              <w:pStyle w:val="TableText0"/>
            </w:pPr>
            <w:r w:rsidRPr="00551C76">
              <w:rPr>
                <w:szCs w:val="18"/>
              </w:rPr>
              <w:t xml:space="preserve">Cohen JA, Comi G, </w:t>
            </w:r>
            <w:r w:rsidRPr="00551C76">
              <w:rPr>
                <w:i/>
                <w:szCs w:val="18"/>
              </w:rPr>
              <w:t>et al.</w:t>
            </w:r>
            <w:r w:rsidRPr="00551C76">
              <w:rPr>
                <w:szCs w:val="18"/>
              </w:rPr>
              <w:t xml:space="preserve"> Safety and efficacy of ozanimod versus interferon beta-1a in relapsing multiple sclerosis (RADIANCE): a multi-centre, randomised, 24-month, Phase 3 trial</w:t>
            </w:r>
            <w:r>
              <w:rPr>
                <w:szCs w:val="18"/>
              </w:rPr>
              <w:t>.</w:t>
            </w:r>
          </w:p>
        </w:tc>
        <w:tc>
          <w:tcPr>
            <w:tcW w:w="1151" w:type="pct"/>
            <w:tcBorders>
              <w:top w:val="nil"/>
              <w:bottom w:val="nil"/>
            </w:tcBorders>
          </w:tcPr>
          <w:p w:rsidR="006559BD" w:rsidRPr="00551C76" w:rsidRDefault="006559BD" w:rsidP="00435CF9">
            <w:pPr>
              <w:pStyle w:val="TableText0"/>
              <w:rPr>
                <w:i/>
              </w:rPr>
            </w:pPr>
            <w:r w:rsidRPr="00551C76">
              <w:rPr>
                <w:szCs w:val="18"/>
              </w:rPr>
              <w:t>Lancet Neurol. 2019 Sep 3. pii: S1474-4422(19)30238-8. doi: 10.1016/S1474-4422(19)30238-8.</w:t>
            </w:r>
          </w:p>
        </w:tc>
      </w:tr>
      <w:tr w:rsidR="006559BD" w:rsidRPr="00551C76" w:rsidTr="000A5230">
        <w:trPr>
          <w:cantSplit/>
        </w:trPr>
        <w:tc>
          <w:tcPr>
            <w:tcW w:w="5000" w:type="pct"/>
            <w:gridSpan w:val="3"/>
            <w:tcBorders>
              <w:bottom w:val="single" w:sz="4" w:space="0" w:color="auto"/>
            </w:tcBorders>
            <w:vAlign w:val="center"/>
          </w:tcPr>
          <w:p w:rsidR="006559BD" w:rsidRPr="00551C76" w:rsidRDefault="006559BD" w:rsidP="00DC6727">
            <w:pPr>
              <w:pStyle w:val="In-tableHeading"/>
              <w:rPr>
                <w:lang w:val="en-AU"/>
              </w:rPr>
            </w:pPr>
            <w:r w:rsidRPr="00551C76">
              <w:rPr>
                <w:lang w:val="en-AU"/>
              </w:rPr>
              <w:t>Trial comparing fingolimod with IFN</w:t>
            </w:r>
            <w:r w:rsidRPr="00551C76">
              <w:rPr>
                <w:lang w:val="en-AU"/>
              </w:rPr>
              <w:noBreakHyphen/>
              <w:t>β1a</w:t>
            </w:r>
          </w:p>
        </w:tc>
      </w:tr>
      <w:tr w:rsidR="006559BD" w:rsidRPr="00551C76" w:rsidTr="00435CF9">
        <w:trPr>
          <w:cantSplit/>
        </w:trPr>
        <w:tc>
          <w:tcPr>
            <w:tcW w:w="795" w:type="pct"/>
            <w:vMerge w:val="restart"/>
            <w:vAlign w:val="center"/>
          </w:tcPr>
          <w:p w:rsidR="006559BD" w:rsidRPr="00551C76" w:rsidRDefault="006559BD" w:rsidP="00DC6727">
            <w:pPr>
              <w:pStyle w:val="TableText0"/>
              <w:rPr>
                <w:rFonts w:ascii="Times" w:hAnsi="Times"/>
              </w:rPr>
            </w:pPr>
            <w:r w:rsidRPr="00551C76">
              <w:t>TRANSFORMS</w:t>
            </w:r>
          </w:p>
        </w:tc>
        <w:tc>
          <w:tcPr>
            <w:tcW w:w="3054" w:type="pct"/>
            <w:tcBorders>
              <w:bottom w:val="nil"/>
            </w:tcBorders>
          </w:tcPr>
          <w:p w:rsidR="006559BD" w:rsidRPr="00551C76" w:rsidRDefault="006559BD" w:rsidP="00435CF9">
            <w:pPr>
              <w:pStyle w:val="TableText0"/>
              <w:rPr>
                <w:rFonts w:ascii="Times" w:hAnsi="Times"/>
              </w:rPr>
            </w:pPr>
            <w:r w:rsidRPr="00551C76">
              <w:t xml:space="preserve">Cohen JA, Barkhof F, </w:t>
            </w:r>
            <w:r w:rsidRPr="00551C76">
              <w:rPr>
                <w:i/>
              </w:rPr>
              <w:t>et al.</w:t>
            </w:r>
            <w:r w:rsidRPr="00551C76">
              <w:t xml:space="preserve"> (2010). Oral fingolimod or intramuscular interferon for relapsing multiple sclerosis. </w:t>
            </w:r>
          </w:p>
        </w:tc>
        <w:tc>
          <w:tcPr>
            <w:tcW w:w="1151" w:type="pct"/>
            <w:tcBorders>
              <w:bottom w:val="nil"/>
            </w:tcBorders>
          </w:tcPr>
          <w:p w:rsidR="006559BD" w:rsidRPr="00551C76" w:rsidRDefault="006559BD" w:rsidP="00435CF9">
            <w:pPr>
              <w:pStyle w:val="TableText0"/>
            </w:pPr>
            <w:r w:rsidRPr="00551C76">
              <w:t>New England Journal of Medicine 362: 402-415.</w:t>
            </w:r>
          </w:p>
        </w:tc>
      </w:tr>
      <w:tr w:rsidR="006559BD" w:rsidRPr="00551C76" w:rsidTr="00435CF9">
        <w:trPr>
          <w:cantSplit/>
        </w:trPr>
        <w:tc>
          <w:tcPr>
            <w:tcW w:w="795" w:type="pct"/>
            <w:vMerge/>
            <w:vAlign w:val="center"/>
          </w:tcPr>
          <w:p w:rsidR="006559BD" w:rsidRPr="00551C76" w:rsidRDefault="006559BD" w:rsidP="00DC6727">
            <w:pPr>
              <w:pStyle w:val="TableText0"/>
              <w:jc w:val="center"/>
            </w:pPr>
          </w:p>
        </w:tc>
        <w:tc>
          <w:tcPr>
            <w:tcW w:w="3054" w:type="pct"/>
            <w:tcBorders>
              <w:top w:val="nil"/>
              <w:bottom w:val="nil"/>
            </w:tcBorders>
          </w:tcPr>
          <w:p w:rsidR="006559BD" w:rsidRPr="00551C76" w:rsidRDefault="006559BD" w:rsidP="00435CF9">
            <w:pPr>
              <w:pStyle w:val="TableText0"/>
            </w:pPr>
            <w:r w:rsidRPr="00551C76">
              <w:t xml:space="preserve">Barkhof F, De Jong R, </w:t>
            </w:r>
            <w:r w:rsidRPr="00551C76">
              <w:rPr>
                <w:i/>
              </w:rPr>
              <w:t>et al.</w:t>
            </w:r>
            <w:r w:rsidRPr="00551C76">
              <w:t xml:space="preserve"> (2014). The influence of patient demographics, disease characteristics and treatment on brain volume loss in Trial Assessing Injectable Interferon </w:t>
            </w:r>
            <w:r>
              <w:t xml:space="preserve">vs. </w:t>
            </w:r>
            <w:r w:rsidRPr="00551C76">
              <w:t xml:space="preserve">FTY720 Oral in Relapsing-Remitting Multiple Sclerosis (TRANSFORMS), a Phase 3 study of fingolimod in multiple sclerosis. </w:t>
            </w:r>
          </w:p>
        </w:tc>
        <w:tc>
          <w:tcPr>
            <w:tcW w:w="1151" w:type="pct"/>
            <w:tcBorders>
              <w:top w:val="nil"/>
              <w:bottom w:val="nil"/>
            </w:tcBorders>
          </w:tcPr>
          <w:p w:rsidR="006559BD" w:rsidRPr="00551C76" w:rsidRDefault="006559BD" w:rsidP="00435CF9">
            <w:pPr>
              <w:pStyle w:val="TableText0"/>
              <w:rPr>
                <w:i/>
              </w:rPr>
            </w:pPr>
            <w:r w:rsidRPr="00551C76">
              <w:t>Multiple Sclerosis 20: 1704-1713.</w:t>
            </w:r>
          </w:p>
        </w:tc>
      </w:tr>
      <w:tr w:rsidR="006559BD" w:rsidRPr="00551C76" w:rsidTr="00435CF9">
        <w:trPr>
          <w:cantSplit/>
        </w:trPr>
        <w:tc>
          <w:tcPr>
            <w:tcW w:w="795" w:type="pct"/>
            <w:vMerge/>
            <w:vAlign w:val="center"/>
          </w:tcPr>
          <w:p w:rsidR="006559BD" w:rsidRPr="00551C76" w:rsidRDefault="006559BD" w:rsidP="00DC6727">
            <w:pPr>
              <w:pStyle w:val="TableText0"/>
              <w:jc w:val="center"/>
            </w:pPr>
          </w:p>
        </w:tc>
        <w:tc>
          <w:tcPr>
            <w:tcW w:w="3054" w:type="pct"/>
            <w:tcBorders>
              <w:top w:val="nil"/>
              <w:bottom w:val="nil"/>
            </w:tcBorders>
          </w:tcPr>
          <w:p w:rsidR="006559BD" w:rsidRPr="00551C76" w:rsidRDefault="006559BD" w:rsidP="00435CF9">
            <w:pPr>
              <w:pStyle w:val="TableText0"/>
              <w:rPr>
                <w:szCs w:val="18"/>
              </w:rPr>
            </w:pPr>
            <w:r w:rsidRPr="00551C76">
              <w:t xml:space="preserve">Khatri BO, Pelletier J, </w:t>
            </w:r>
            <w:r w:rsidRPr="00551C76">
              <w:rPr>
                <w:i/>
              </w:rPr>
              <w:t>et al.</w:t>
            </w:r>
            <w:r w:rsidRPr="00551C76">
              <w:t xml:space="preserve"> (2014). Effect of prior treatment status and reasons for discontinuation on the efficacy and safety of fingolimod </w:t>
            </w:r>
            <w:r>
              <w:t xml:space="preserve">vs. </w:t>
            </w:r>
            <w:r w:rsidRPr="00551C76">
              <w:t xml:space="preserve">interferon β-1a intramuscular: Subgroup analyses of the Trial Assessing Injectable Interferon </w:t>
            </w:r>
            <w:r>
              <w:t xml:space="preserve">vs. </w:t>
            </w:r>
            <w:r w:rsidRPr="00551C76">
              <w:t xml:space="preserve">Fingolimod Oral in Relapsing-Remitting Multiple Sclerosis (TRANSFORMS). </w:t>
            </w:r>
          </w:p>
        </w:tc>
        <w:tc>
          <w:tcPr>
            <w:tcW w:w="1151" w:type="pct"/>
            <w:tcBorders>
              <w:top w:val="nil"/>
              <w:bottom w:val="nil"/>
            </w:tcBorders>
          </w:tcPr>
          <w:p w:rsidR="006559BD" w:rsidRPr="00551C76" w:rsidRDefault="006559BD" w:rsidP="00435CF9">
            <w:pPr>
              <w:pStyle w:val="TableText0"/>
              <w:rPr>
                <w:szCs w:val="18"/>
              </w:rPr>
            </w:pPr>
            <w:r w:rsidRPr="00551C76">
              <w:t>Multiple Sclerosis and Related Disorders 3: 355-363.</w:t>
            </w:r>
          </w:p>
        </w:tc>
      </w:tr>
      <w:tr w:rsidR="006559BD" w:rsidRPr="00551C76" w:rsidTr="00435CF9">
        <w:trPr>
          <w:cantSplit/>
        </w:trPr>
        <w:tc>
          <w:tcPr>
            <w:tcW w:w="795" w:type="pct"/>
            <w:vMerge/>
            <w:tcBorders>
              <w:bottom w:val="single" w:sz="4" w:space="0" w:color="auto"/>
            </w:tcBorders>
            <w:vAlign w:val="center"/>
          </w:tcPr>
          <w:p w:rsidR="006559BD" w:rsidRPr="00551C76" w:rsidRDefault="006559BD" w:rsidP="00DC6727">
            <w:pPr>
              <w:pStyle w:val="TableText0"/>
              <w:jc w:val="center"/>
            </w:pPr>
          </w:p>
        </w:tc>
        <w:tc>
          <w:tcPr>
            <w:tcW w:w="3054" w:type="pct"/>
            <w:tcBorders>
              <w:top w:val="nil"/>
              <w:bottom w:val="single" w:sz="4" w:space="0" w:color="auto"/>
            </w:tcBorders>
          </w:tcPr>
          <w:p w:rsidR="006559BD" w:rsidRPr="00551C76" w:rsidRDefault="006559BD" w:rsidP="00435CF9">
            <w:pPr>
              <w:pStyle w:val="TableText0"/>
            </w:pPr>
            <w:r w:rsidRPr="00551C76">
              <w:t xml:space="preserve">Cohen JA, Barkhof F, </w:t>
            </w:r>
            <w:r w:rsidRPr="00551C76">
              <w:rPr>
                <w:i/>
              </w:rPr>
              <w:t>et al.</w:t>
            </w:r>
            <w:r w:rsidRPr="00551C76">
              <w:t xml:space="preserve"> (2013). Fingolimod versus intramuscular interferon in patient subgroups from TRANSFORMS. </w:t>
            </w:r>
          </w:p>
        </w:tc>
        <w:tc>
          <w:tcPr>
            <w:tcW w:w="1151" w:type="pct"/>
            <w:tcBorders>
              <w:top w:val="nil"/>
              <w:bottom w:val="single" w:sz="4" w:space="0" w:color="auto"/>
            </w:tcBorders>
          </w:tcPr>
          <w:p w:rsidR="006559BD" w:rsidRPr="00551C76" w:rsidRDefault="006559BD" w:rsidP="00435CF9">
            <w:pPr>
              <w:pStyle w:val="TableText0"/>
              <w:rPr>
                <w:rFonts w:ascii="Times" w:hAnsi="Times"/>
              </w:rPr>
            </w:pPr>
            <w:r w:rsidRPr="00551C76">
              <w:t>Journal of Neurology 260: 2023-2032.</w:t>
            </w:r>
          </w:p>
        </w:tc>
      </w:tr>
    </w:tbl>
    <w:p w:rsidR="006559BD" w:rsidRPr="00551C76" w:rsidRDefault="006559BD" w:rsidP="000A5230">
      <w:pPr>
        <w:pStyle w:val="TableFigureFooter"/>
      </w:pPr>
      <w:r w:rsidRPr="00551C76">
        <w:t xml:space="preserve">Source: Table 26, </w:t>
      </w:r>
      <w:r>
        <w:t>p</w:t>
      </w:r>
      <w:r w:rsidRPr="00551C76">
        <w:t xml:space="preserve">29 of the </w:t>
      </w:r>
      <w:r>
        <w:t>submission.</w:t>
      </w:r>
    </w:p>
    <w:p w:rsidR="006559BD" w:rsidRPr="00551C76" w:rsidRDefault="006559BD" w:rsidP="000A5230">
      <w:pPr>
        <w:pStyle w:val="TableFigureFooter"/>
        <w:rPr>
          <w:sz w:val="20"/>
        </w:rPr>
      </w:pPr>
      <w:r w:rsidRPr="00551C76">
        <w:t xml:space="preserve">CSR </w:t>
      </w:r>
      <w:r>
        <w:t>= clinical study report</w:t>
      </w:r>
    </w:p>
    <w:p w:rsidR="006559BD" w:rsidRPr="00551C76" w:rsidRDefault="006559BD" w:rsidP="000A5230">
      <w:pPr>
        <w:pStyle w:val="3-BodyText"/>
        <w:rPr>
          <w:color w:val="0066FF"/>
        </w:rPr>
      </w:pPr>
      <w:r w:rsidRPr="00551C76">
        <w:t xml:space="preserve">The key features of the direct randomised trials used in the ITC are summarised in the table below. </w:t>
      </w:r>
    </w:p>
    <w:p w:rsidR="006559BD" w:rsidRPr="00551C76" w:rsidRDefault="00DC6727" w:rsidP="000A5230">
      <w:pPr>
        <w:pStyle w:val="TableFigureHeading"/>
        <w:rPr>
          <w:rStyle w:val="CommentReference"/>
        </w:rPr>
      </w:pPr>
      <w:r>
        <w:rPr>
          <w:rStyle w:val="CommentReference"/>
        </w:rPr>
        <w:lastRenderedPageBreak/>
        <w:t>Table 3</w:t>
      </w:r>
      <w:r w:rsidR="006559BD" w:rsidRPr="00551C76">
        <w:rPr>
          <w:rStyle w:val="CommentReference"/>
        </w:rPr>
        <w:t xml:space="preserve">: Key features of the included evidence – indirect </w:t>
      </w:r>
      <w:r w:rsidR="006559BD">
        <w:rPr>
          <w:rStyle w:val="CommentReference"/>
        </w:rPr>
        <w:t xml:space="preserve">treatment </w:t>
      </w:r>
      <w:r w:rsidR="006559BD" w:rsidRPr="00551C76">
        <w:rPr>
          <w:rStyle w:val="CommentReference"/>
        </w:rPr>
        <w:t>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3"/>
        <w:gridCol w:w="680"/>
        <w:gridCol w:w="1560"/>
        <w:gridCol w:w="1134"/>
        <w:gridCol w:w="1984"/>
        <w:gridCol w:w="2076"/>
      </w:tblGrid>
      <w:tr w:rsidR="006559BD" w:rsidRPr="00551C76" w:rsidTr="00DC6727">
        <w:trPr>
          <w:cantSplit/>
          <w:tblHeader/>
        </w:trPr>
        <w:tc>
          <w:tcPr>
            <w:tcW w:w="878" w:type="pct"/>
            <w:shd w:val="clear" w:color="auto" w:fill="auto"/>
            <w:vAlign w:val="center"/>
          </w:tcPr>
          <w:p w:rsidR="006559BD" w:rsidRPr="00551C76" w:rsidRDefault="006559BD" w:rsidP="000A5230">
            <w:pPr>
              <w:pStyle w:val="In-tableHeading"/>
              <w:rPr>
                <w:lang w:val="en-AU"/>
              </w:rPr>
            </w:pPr>
            <w:r w:rsidRPr="00551C76">
              <w:rPr>
                <w:lang w:val="en-AU"/>
              </w:rPr>
              <w:t>Trial</w:t>
            </w:r>
          </w:p>
        </w:tc>
        <w:tc>
          <w:tcPr>
            <w:tcW w:w="377" w:type="pct"/>
            <w:shd w:val="clear" w:color="auto" w:fill="auto"/>
            <w:vAlign w:val="center"/>
          </w:tcPr>
          <w:p w:rsidR="006559BD" w:rsidRPr="00551C76" w:rsidRDefault="006559BD" w:rsidP="000A5230">
            <w:pPr>
              <w:pStyle w:val="In-tableHeading"/>
              <w:jc w:val="center"/>
              <w:rPr>
                <w:lang w:val="en-AU"/>
              </w:rPr>
            </w:pPr>
            <w:r w:rsidRPr="00551C76">
              <w:rPr>
                <w:lang w:val="en-AU"/>
              </w:rPr>
              <w:t>N</w:t>
            </w:r>
          </w:p>
        </w:tc>
        <w:tc>
          <w:tcPr>
            <w:tcW w:w="865" w:type="pct"/>
            <w:shd w:val="clear" w:color="auto" w:fill="auto"/>
            <w:vAlign w:val="center"/>
          </w:tcPr>
          <w:p w:rsidR="006559BD" w:rsidRPr="00551C76" w:rsidRDefault="006559BD" w:rsidP="000A5230">
            <w:pPr>
              <w:pStyle w:val="In-tableHeading"/>
              <w:jc w:val="center"/>
              <w:rPr>
                <w:lang w:val="en-AU"/>
              </w:rPr>
            </w:pPr>
            <w:r w:rsidRPr="00551C76">
              <w:rPr>
                <w:lang w:val="en-AU"/>
              </w:rPr>
              <w:t>Design/ duration</w:t>
            </w:r>
          </w:p>
        </w:tc>
        <w:tc>
          <w:tcPr>
            <w:tcW w:w="629" w:type="pct"/>
            <w:shd w:val="clear" w:color="auto" w:fill="auto"/>
            <w:vAlign w:val="center"/>
          </w:tcPr>
          <w:p w:rsidR="006559BD" w:rsidRPr="00551C76" w:rsidRDefault="006559BD" w:rsidP="000A5230">
            <w:pPr>
              <w:pStyle w:val="In-tableHeading"/>
              <w:jc w:val="center"/>
              <w:rPr>
                <w:lang w:val="en-AU"/>
              </w:rPr>
            </w:pPr>
            <w:r w:rsidRPr="00551C76">
              <w:rPr>
                <w:lang w:val="en-AU"/>
              </w:rPr>
              <w:t>Risk of bias</w:t>
            </w:r>
          </w:p>
        </w:tc>
        <w:tc>
          <w:tcPr>
            <w:tcW w:w="1100" w:type="pct"/>
            <w:shd w:val="clear" w:color="auto" w:fill="auto"/>
            <w:vAlign w:val="center"/>
          </w:tcPr>
          <w:p w:rsidR="006559BD" w:rsidRPr="00551C76" w:rsidRDefault="006559BD" w:rsidP="000A5230">
            <w:pPr>
              <w:pStyle w:val="In-tableHeading"/>
              <w:jc w:val="center"/>
              <w:rPr>
                <w:lang w:val="en-AU"/>
              </w:rPr>
            </w:pPr>
            <w:r w:rsidRPr="00551C76">
              <w:rPr>
                <w:lang w:val="en-AU"/>
              </w:rPr>
              <w:t>Patient population</w:t>
            </w:r>
          </w:p>
        </w:tc>
        <w:tc>
          <w:tcPr>
            <w:tcW w:w="1151" w:type="pct"/>
            <w:shd w:val="clear" w:color="auto" w:fill="auto"/>
            <w:vAlign w:val="center"/>
          </w:tcPr>
          <w:p w:rsidR="006559BD" w:rsidRPr="00551C76" w:rsidRDefault="006559BD" w:rsidP="000A5230">
            <w:pPr>
              <w:pStyle w:val="In-tableHeading"/>
              <w:jc w:val="center"/>
              <w:rPr>
                <w:lang w:val="en-AU"/>
              </w:rPr>
            </w:pPr>
            <w:r w:rsidRPr="00551C76">
              <w:rPr>
                <w:lang w:val="en-AU"/>
              </w:rPr>
              <w:t>Outcome(s)</w:t>
            </w:r>
          </w:p>
        </w:tc>
      </w:tr>
      <w:tr w:rsidR="006559BD" w:rsidRPr="00551C76" w:rsidTr="000A5230">
        <w:trPr>
          <w:cantSplit/>
        </w:trPr>
        <w:tc>
          <w:tcPr>
            <w:tcW w:w="5000" w:type="pct"/>
            <w:gridSpan w:val="6"/>
            <w:shd w:val="clear" w:color="auto" w:fill="auto"/>
            <w:vAlign w:val="center"/>
          </w:tcPr>
          <w:p w:rsidR="006559BD" w:rsidRPr="00551C76" w:rsidRDefault="006559BD" w:rsidP="000A5230">
            <w:pPr>
              <w:pStyle w:val="In-tableHeading"/>
              <w:rPr>
                <w:lang w:val="en-AU"/>
              </w:rPr>
            </w:pPr>
            <w:r w:rsidRPr="00551C76">
              <w:rPr>
                <w:lang w:val="en-AU"/>
              </w:rPr>
              <w:t xml:space="preserve">Ozanimod </w:t>
            </w:r>
            <w:r>
              <w:rPr>
                <w:lang w:val="en-AU"/>
              </w:rPr>
              <w:t xml:space="preserve">vs. </w:t>
            </w:r>
            <w:r w:rsidRPr="00551C76">
              <w:rPr>
                <w:lang w:val="en-AU"/>
              </w:rPr>
              <w:t>IFN</w:t>
            </w:r>
            <w:r w:rsidRPr="00551C76">
              <w:rPr>
                <w:lang w:val="en-AU"/>
              </w:rPr>
              <w:noBreakHyphen/>
              <w:t>β1a</w:t>
            </w:r>
          </w:p>
        </w:tc>
      </w:tr>
      <w:tr w:rsidR="006559BD" w:rsidRPr="00551C76" w:rsidTr="00DC6727">
        <w:trPr>
          <w:cantSplit/>
        </w:trPr>
        <w:tc>
          <w:tcPr>
            <w:tcW w:w="878" w:type="pct"/>
            <w:shd w:val="clear" w:color="auto" w:fill="auto"/>
            <w:vAlign w:val="center"/>
          </w:tcPr>
          <w:p w:rsidR="006559BD" w:rsidRPr="00551C76" w:rsidRDefault="006559BD" w:rsidP="000A5230">
            <w:pPr>
              <w:pStyle w:val="TableText0"/>
            </w:pPr>
            <w:r w:rsidRPr="00551C76">
              <w:t>SUNBEAM</w:t>
            </w:r>
          </w:p>
        </w:tc>
        <w:tc>
          <w:tcPr>
            <w:tcW w:w="377" w:type="pct"/>
            <w:shd w:val="clear" w:color="auto" w:fill="auto"/>
            <w:vAlign w:val="center"/>
          </w:tcPr>
          <w:p w:rsidR="006559BD" w:rsidRPr="00551C76" w:rsidRDefault="006559BD" w:rsidP="000A5230">
            <w:pPr>
              <w:pStyle w:val="TableText0"/>
              <w:jc w:val="center"/>
            </w:pPr>
            <w:r w:rsidRPr="00551C76">
              <w:t>1,346</w:t>
            </w:r>
          </w:p>
        </w:tc>
        <w:tc>
          <w:tcPr>
            <w:tcW w:w="865" w:type="pct"/>
            <w:shd w:val="clear" w:color="auto" w:fill="auto"/>
            <w:vAlign w:val="center"/>
          </w:tcPr>
          <w:p w:rsidR="006559BD" w:rsidRPr="00551C76" w:rsidRDefault="006559BD" w:rsidP="000A5230">
            <w:pPr>
              <w:pStyle w:val="TableText0"/>
              <w:jc w:val="center"/>
            </w:pPr>
            <w:r w:rsidRPr="00551C76">
              <w:t>DB, MC, R</w:t>
            </w:r>
          </w:p>
          <w:p w:rsidR="006559BD" w:rsidRPr="00551C76" w:rsidRDefault="006559BD" w:rsidP="000A5230">
            <w:pPr>
              <w:pStyle w:val="TableText0"/>
              <w:jc w:val="center"/>
            </w:pPr>
            <w:r>
              <w:t>≥ </w:t>
            </w:r>
            <w:r w:rsidRPr="00551C76">
              <w:t>12 months</w:t>
            </w:r>
          </w:p>
        </w:tc>
        <w:tc>
          <w:tcPr>
            <w:tcW w:w="629" w:type="pct"/>
            <w:shd w:val="clear" w:color="auto" w:fill="auto"/>
            <w:vAlign w:val="center"/>
          </w:tcPr>
          <w:p w:rsidR="006559BD" w:rsidRPr="00551C76" w:rsidRDefault="006559BD" w:rsidP="000A5230">
            <w:pPr>
              <w:pStyle w:val="TableText0"/>
              <w:jc w:val="center"/>
            </w:pPr>
            <w:r w:rsidRPr="00551C76">
              <w:t>Low</w:t>
            </w:r>
          </w:p>
        </w:tc>
        <w:tc>
          <w:tcPr>
            <w:tcW w:w="1100" w:type="pct"/>
            <w:shd w:val="clear" w:color="auto" w:fill="auto"/>
            <w:vAlign w:val="center"/>
          </w:tcPr>
          <w:p w:rsidR="006559BD" w:rsidRPr="00551C76" w:rsidRDefault="006559BD" w:rsidP="000A5230">
            <w:pPr>
              <w:pStyle w:val="TableText0"/>
              <w:jc w:val="center"/>
            </w:pPr>
            <w:r w:rsidRPr="00551C76">
              <w:t>Adult, RMS</w:t>
            </w:r>
          </w:p>
        </w:tc>
        <w:tc>
          <w:tcPr>
            <w:tcW w:w="1151" w:type="pct"/>
            <w:shd w:val="clear" w:color="auto" w:fill="auto"/>
            <w:vAlign w:val="center"/>
          </w:tcPr>
          <w:p w:rsidR="006559BD" w:rsidRPr="00551C76" w:rsidRDefault="006559BD" w:rsidP="000A5230">
            <w:pPr>
              <w:pStyle w:val="TableText0"/>
              <w:jc w:val="center"/>
              <w:rPr>
                <w:vertAlign w:val="superscript"/>
              </w:rPr>
            </w:pPr>
            <w:r w:rsidRPr="00551C76">
              <w:t xml:space="preserve">Relapse rate </w:t>
            </w:r>
            <w:r w:rsidRPr="00551C76">
              <w:rPr>
                <w:vertAlign w:val="superscript"/>
              </w:rPr>
              <w:t>a</w:t>
            </w:r>
          </w:p>
          <w:p w:rsidR="006559BD" w:rsidRPr="00551C76" w:rsidRDefault="006559BD" w:rsidP="000A5230">
            <w:pPr>
              <w:pStyle w:val="TableText0"/>
              <w:jc w:val="center"/>
              <w:rPr>
                <w:vertAlign w:val="superscript"/>
              </w:rPr>
            </w:pPr>
            <w:r w:rsidRPr="00551C76">
              <w:t xml:space="preserve">Disability progression </w:t>
            </w:r>
          </w:p>
          <w:p w:rsidR="006559BD" w:rsidRPr="00551C76" w:rsidRDefault="006559BD" w:rsidP="000A5230">
            <w:pPr>
              <w:pStyle w:val="TableText0"/>
              <w:jc w:val="center"/>
            </w:pPr>
            <w:r w:rsidRPr="00551C76">
              <w:t>MS related lesions</w:t>
            </w:r>
          </w:p>
        </w:tc>
      </w:tr>
      <w:tr w:rsidR="006559BD" w:rsidRPr="00551C76" w:rsidTr="00DC6727">
        <w:trPr>
          <w:cantSplit/>
        </w:trPr>
        <w:tc>
          <w:tcPr>
            <w:tcW w:w="878" w:type="pct"/>
            <w:shd w:val="clear" w:color="auto" w:fill="auto"/>
            <w:vAlign w:val="center"/>
          </w:tcPr>
          <w:p w:rsidR="006559BD" w:rsidRPr="00551C76" w:rsidRDefault="006559BD" w:rsidP="000A5230">
            <w:pPr>
              <w:pStyle w:val="TableText0"/>
            </w:pPr>
            <w:r w:rsidRPr="00551C76">
              <w:t>RADIANCE B</w:t>
            </w:r>
          </w:p>
        </w:tc>
        <w:tc>
          <w:tcPr>
            <w:tcW w:w="377" w:type="pct"/>
            <w:shd w:val="clear" w:color="auto" w:fill="auto"/>
            <w:vAlign w:val="center"/>
          </w:tcPr>
          <w:p w:rsidR="006559BD" w:rsidRPr="00551C76" w:rsidRDefault="006559BD" w:rsidP="000A5230">
            <w:pPr>
              <w:pStyle w:val="TableText0"/>
              <w:jc w:val="center"/>
            </w:pPr>
            <w:r w:rsidRPr="00551C76">
              <w:t>1,313</w:t>
            </w:r>
          </w:p>
        </w:tc>
        <w:tc>
          <w:tcPr>
            <w:tcW w:w="865" w:type="pct"/>
            <w:shd w:val="clear" w:color="auto" w:fill="auto"/>
            <w:vAlign w:val="center"/>
          </w:tcPr>
          <w:p w:rsidR="006559BD" w:rsidRPr="00551C76" w:rsidRDefault="006559BD" w:rsidP="000A5230">
            <w:pPr>
              <w:pStyle w:val="TableText0"/>
              <w:jc w:val="center"/>
            </w:pPr>
            <w:r w:rsidRPr="00551C76">
              <w:t>DB, MC, R</w:t>
            </w:r>
          </w:p>
          <w:p w:rsidR="006559BD" w:rsidRPr="00551C76" w:rsidRDefault="006559BD" w:rsidP="000A5230">
            <w:pPr>
              <w:pStyle w:val="TableText0"/>
              <w:jc w:val="center"/>
            </w:pPr>
            <w:r w:rsidRPr="00551C76">
              <w:t>24 months</w:t>
            </w:r>
          </w:p>
        </w:tc>
        <w:tc>
          <w:tcPr>
            <w:tcW w:w="629" w:type="pct"/>
            <w:shd w:val="clear" w:color="auto" w:fill="auto"/>
            <w:vAlign w:val="center"/>
          </w:tcPr>
          <w:p w:rsidR="006559BD" w:rsidRPr="00551C76" w:rsidRDefault="006559BD" w:rsidP="000A5230">
            <w:pPr>
              <w:pStyle w:val="TableText0"/>
              <w:jc w:val="center"/>
            </w:pPr>
            <w:r w:rsidRPr="00551C76">
              <w:t>Low</w:t>
            </w:r>
          </w:p>
        </w:tc>
        <w:tc>
          <w:tcPr>
            <w:tcW w:w="1100" w:type="pct"/>
            <w:shd w:val="clear" w:color="auto" w:fill="auto"/>
            <w:vAlign w:val="center"/>
          </w:tcPr>
          <w:p w:rsidR="006559BD" w:rsidRPr="00551C76" w:rsidRDefault="006559BD" w:rsidP="000A5230">
            <w:pPr>
              <w:pStyle w:val="TableText0"/>
              <w:jc w:val="center"/>
            </w:pPr>
            <w:r w:rsidRPr="00551C76">
              <w:t>Adult, RMS</w:t>
            </w:r>
          </w:p>
        </w:tc>
        <w:tc>
          <w:tcPr>
            <w:tcW w:w="1151" w:type="pct"/>
            <w:shd w:val="clear" w:color="auto" w:fill="auto"/>
            <w:vAlign w:val="center"/>
          </w:tcPr>
          <w:p w:rsidR="006559BD" w:rsidRPr="00551C76" w:rsidRDefault="006559BD" w:rsidP="000A5230">
            <w:pPr>
              <w:pStyle w:val="TableText0"/>
              <w:jc w:val="center"/>
            </w:pPr>
            <w:r w:rsidRPr="00551C76">
              <w:t xml:space="preserve">Relapse rate </w:t>
            </w:r>
            <w:r w:rsidRPr="00551C76">
              <w:rPr>
                <w:vertAlign w:val="superscript"/>
              </w:rPr>
              <w:t>a</w:t>
            </w:r>
          </w:p>
          <w:p w:rsidR="006559BD" w:rsidRPr="00551C76" w:rsidRDefault="006559BD" w:rsidP="000A5230">
            <w:pPr>
              <w:pStyle w:val="TableText0"/>
              <w:jc w:val="center"/>
            </w:pPr>
            <w:r w:rsidRPr="00551C76">
              <w:t>Disability progression</w:t>
            </w:r>
          </w:p>
          <w:p w:rsidR="006559BD" w:rsidRPr="00551C76" w:rsidRDefault="006559BD" w:rsidP="000A5230">
            <w:pPr>
              <w:pStyle w:val="TableText0"/>
              <w:jc w:val="center"/>
            </w:pPr>
            <w:r w:rsidRPr="00551C76">
              <w:t>MS related lesions</w:t>
            </w:r>
          </w:p>
        </w:tc>
      </w:tr>
      <w:tr w:rsidR="006559BD" w:rsidRPr="00551C76" w:rsidTr="000A5230">
        <w:trPr>
          <w:cantSplit/>
        </w:trPr>
        <w:tc>
          <w:tcPr>
            <w:tcW w:w="5000" w:type="pct"/>
            <w:gridSpan w:val="6"/>
            <w:shd w:val="clear" w:color="auto" w:fill="auto"/>
            <w:vAlign w:val="center"/>
          </w:tcPr>
          <w:p w:rsidR="006559BD" w:rsidRPr="00551C76" w:rsidRDefault="006559BD" w:rsidP="000A5230">
            <w:pPr>
              <w:pStyle w:val="In-tableHeading"/>
              <w:rPr>
                <w:lang w:val="en-AU"/>
              </w:rPr>
            </w:pPr>
            <w:r w:rsidRPr="00551C76">
              <w:rPr>
                <w:lang w:val="en-AU"/>
              </w:rPr>
              <w:t xml:space="preserve">Fingolimod </w:t>
            </w:r>
            <w:r>
              <w:rPr>
                <w:lang w:val="en-AU"/>
              </w:rPr>
              <w:t xml:space="preserve">vs. </w:t>
            </w:r>
            <w:r w:rsidRPr="00551C76">
              <w:rPr>
                <w:lang w:val="en-AU"/>
              </w:rPr>
              <w:t>IFN</w:t>
            </w:r>
            <w:r w:rsidRPr="00551C76">
              <w:rPr>
                <w:lang w:val="en-AU"/>
              </w:rPr>
              <w:noBreakHyphen/>
              <w:t>β1a</w:t>
            </w:r>
          </w:p>
        </w:tc>
      </w:tr>
      <w:tr w:rsidR="006559BD" w:rsidRPr="00551C76" w:rsidTr="00DC6727">
        <w:trPr>
          <w:cantSplit/>
        </w:trPr>
        <w:tc>
          <w:tcPr>
            <w:tcW w:w="878" w:type="pct"/>
            <w:shd w:val="clear" w:color="auto" w:fill="auto"/>
            <w:vAlign w:val="center"/>
          </w:tcPr>
          <w:p w:rsidR="006559BD" w:rsidRPr="00551C76" w:rsidRDefault="006559BD" w:rsidP="000A5230">
            <w:pPr>
              <w:pStyle w:val="TableText0"/>
            </w:pPr>
            <w:r w:rsidRPr="00551C76">
              <w:t>TRANSFORMS</w:t>
            </w:r>
          </w:p>
        </w:tc>
        <w:tc>
          <w:tcPr>
            <w:tcW w:w="377" w:type="pct"/>
            <w:shd w:val="clear" w:color="auto" w:fill="auto"/>
            <w:vAlign w:val="center"/>
          </w:tcPr>
          <w:p w:rsidR="006559BD" w:rsidRPr="00551C76" w:rsidRDefault="006559BD" w:rsidP="000A5230">
            <w:pPr>
              <w:pStyle w:val="TableText0"/>
              <w:jc w:val="center"/>
            </w:pPr>
            <w:r w:rsidRPr="00551C76">
              <w:t>1,292</w:t>
            </w:r>
          </w:p>
        </w:tc>
        <w:tc>
          <w:tcPr>
            <w:tcW w:w="865" w:type="pct"/>
            <w:shd w:val="clear" w:color="auto" w:fill="auto"/>
            <w:vAlign w:val="center"/>
          </w:tcPr>
          <w:p w:rsidR="006559BD" w:rsidRPr="00551C76" w:rsidRDefault="006559BD" w:rsidP="000A5230">
            <w:pPr>
              <w:pStyle w:val="TableText0"/>
              <w:jc w:val="center"/>
            </w:pPr>
            <w:r w:rsidRPr="00551C76">
              <w:t>DB, MC, R</w:t>
            </w:r>
          </w:p>
          <w:p w:rsidR="006559BD" w:rsidRPr="00551C76" w:rsidRDefault="006559BD" w:rsidP="000A5230">
            <w:pPr>
              <w:pStyle w:val="TableText0"/>
              <w:jc w:val="center"/>
            </w:pPr>
            <w:r>
              <w:t> </w:t>
            </w:r>
            <w:r w:rsidRPr="00551C76">
              <w:t>12 months</w:t>
            </w:r>
          </w:p>
        </w:tc>
        <w:tc>
          <w:tcPr>
            <w:tcW w:w="629" w:type="pct"/>
            <w:shd w:val="clear" w:color="auto" w:fill="auto"/>
            <w:vAlign w:val="center"/>
          </w:tcPr>
          <w:p w:rsidR="006559BD" w:rsidRPr="00551C76" w:rsidRDefault="006559BD" w:rsidP="000A5230">
            <w:pPr>
              <w:pStyle w:val="TableText0"/>
              <w:jc w:val="center"/>
            </w:pPr>
            <w:r w:rsidRPr="00551C76">
              <w:t>Low</w:t>
            </w:r>
          </w:p>
        </w:tc>
        <w:tc>
          <w:tcPr>
            <w:tcW w:w="1100" w:type="pct"/>
            <w:shd w:val="clear" w:color="auto" w:fill="auto"/>
            <w:vAlign w:val="center"/>
          </w:tcPr>
          <w:p w:rsidR="006559BD" w:rsidRPr="00551C76" w:rsidRDefault="006559BD" w:rsidP="000A5230">
            <w:pPr>
              <w:pStyle w:val="TableText0"/>
              <w:jc w:val="center"/>
            </w:pPr>
            <w:r w:rsidRPr="00551C76">
              <w:t xml:space="preserve">Adult, </w:t>
            </w:r>
            <w:r>
              <w:t>R</w:t>
            </w:r>
            <w:r w:rsidRPr="00551C76">
              <w:t>RMS</w:t>
            </w:r>
          </w:p>
        </w:tc>
        <w:tc>
          <w:tcPr>
            <w:tcW w:w="1151" w:type="pct"/>
            <w:shd w:val="clear" w:color="auto" w:fill="auto"/>
            <w:vAlign w:val="center"/>
          </w:tcPr>
          <w:p w:rsidR="006559BD" w:rsidRPr="00551C76" w:rsidRDefault="006559BD" w:rsidP="000A5230">
            <w:pPr>
              <w:pStyle w:val="TableText0"/>
              <w:jc w:val="center"/>
            </w:pPr>
            <w:r w:rsidRPr="00551C76">
              <w:t>Relapse rate</w:t>
            </w:r>
            <w:r w:rsidRPr="00551C76">
              <w:rPr>
                <w:vertAlign w:val="superscript"/>
              </w:rPr>
              <w:t xml:space="preserve"> b</w:t>
            </w:r>
          </w:p>
          <w:p w:rsidR="006559BD" w:rsidRPr="00551C76" w:rsidRDefault="006559BD" w:rsidP="000A5230">
            <w:pPr>
              <w:pStyle w:val="TableText0"/>
              <w:jc w:val="center"/>
            </w:pPr>
            <w:r w:rsidRPr="00551C76">
              <w:t>Disability progression</w:t>
            </w:r>
          </w:p>
          <w:p w:rsidR="006559BD" w:rsidRPr="00551C76" w:rsidRDefault="006559BD" w:rsidP="000A5230">
            <w:pPr>
              <w:pStyle w:val="TableText0"/>
              <w:jc w:val="center"/>
            </w:pPr>
            <w:r w:rsidRPr="00551C76">
              <w:t>MS related lesions</w:t>
            </w:r>
          </w:p>
        </w:tc>
      </w:tr>
    </w:tbl>
    <w:p w:rsidR="006559BD" w:rsidRPr="00551C76" w:rsidRDefault="006559BD" w:rsidP="000A5230">
      <w:pPr>
        <w:pStyle w:val="TableFigureFooter"/>
      </w:pPr>
      <w:r w:rsidRPr="00551C76">
        <w:t>Source: Sections 2.2-2.4, p</w:t>
      </w:r>
      <w:r>
        <w:t>p</w:t>
      </w:r>
      <w:r w:rsidRPr="00551C76">
        <w:t xml:space="preserve">24-43 of the </w:t>
      </w:r>
      <w:r>
        <w:t>submission.</w:t>
      </w:r>
    </w:p>
    <w:p w:rsidR="006559BD" w:rsidRDefault="006559BD" w:rsidP="000A5230">
      <w:pPr>
        <w:pStyle w:val="TableFigureFooter"/>
      </w:pPr>
      <w:r w:rsidRPr="00551C76">
        <w:t>DB </w:t>
      </w:r>
      <w:r>
        <w:t>= </w:t>
      </w:r>
      <w:r w:rsidRPr="00551C76">
        <w:t xml:space="preserve">double blind; EDSS </w:t>
      </w:r>
      <w:r>
        <w:t>= Expanded Disability Status Scale</w:t>
      </w:r>
      <w:r w:rsidRPr="00551C76">
        <w:t xml:space="preserve">; FS </w:t>
      </w:r>
      <w:r>
        <w:t>= </w:t>
      </w:r>
      <w:r w:rsidRPr="00551C76">
        <w:t xml:space="preserve">functional system; IFN </w:t>
      </w:r>
      <w:r>
        <w:t>= interferon;</w:t>
      </w:r>
      <w:r w:rsidRPr="00551C76">
        <w:t xml:space="preserve"> MC </w:t>
      </w:r>
      <w:r>
        <w:t>= </w:t>
      </w:r>
      <w:r w:rsidRPr="00551C76">
        <w:t>multi-centre; OL </w:t>
      </w:r>
      <w:r>
        <w:t>= </w:t>
      </w:r>
      <w:r w:rsidRPr="00551C76">
        <w:t xml:space="preserve">open label; </w:t>
      </w:r>
      <w:r>
        <w:t xml:space="preserve">PRMS = Primary progressive multiple sclerosis; </w:t>
      </w:r>
      <w:r w:rsidRPr="00551C76">
        <w:t>R </w:t>
      </w:r>
      <w:r>
        <w:t>= </w:t>
      </w:r>
      <w:r w:rsidRPr="00551C76">
        <w:t xml:space="preserve">randomised; RMS </w:t>
      </w:r>
      <w:r>
        <w:t>= relapsing multiple sclerosis;</w:t>
      </w:r>
      <w:r w:rsidRPr="00551C76">
        <w:t xml:space="preserve"> RRMS </w:t>
      </w:r>
      <w:r>
        <w:t>= relapsing-remitting multiple sclerosis; SPMS = secondary-progressive multiple sclerosis</w:t>
      </w:r>
    </w:p>
    <w:p w:rsidR="006559BD" w:rsidRPr="00551C76" w:rsidRDefault="006559BD" w:rsidP="000A5230">
      <w:pPr>
        <w:pStyle w:val="TableFigureFooter"/>
      </w:pPr>
      <w:r>
        <w:t xml:space="preserve">Note: </w:t>
      </w:r>
      <w:r w:rsidRPr="005525F9">
        <w:t>The ozanimod trials, SUNBEAM and RADIANCE B, included a small proportion of participants with SPMS (five and one participant, respectively) and PRMS (19 and 23 participants, respectively)</w:t>
      </w:r>
      <w:r>
        <w:t>.</w:t>
      </w:r>
    </w:p>
    <w:p w:rsidR="006559BD" w:rsidRPr="00551C76" w:rsidRDefault="006559BD" w:rsidP="000A5230">
      <w:pPr>
        <w:pStyle w:val="TableFigureFooter"/>
      </w:pPr>
      <w:r w:rsidRPr="00551C76">
        <w:rPr>
          <w:vertAlign w:val="superscript"/>
        </w:rPr>
        <w:t>a</w:t>
      </w:r>
      <w:r w:rsidRPr="00551C76">
        <w:t xml:space="preserve"> A relapse was defined as new or worsening neurological symptoms (</w:t>
      </w:r>
      <w:r>
        <w:t xml:space="preserve">≥ 0.5 </w:t>
      </w:r>
      <w:r w:rsidRPr="00551C76">
        <w:t xml:space="preserve">EDSS point, or </w:t>
      </w:r>
      <w:r>
        <w:t>≥ </w:t>
      </w:r>
      <w:r w:rsidRPr="00551C76">
        <w:t xml:space="preserve">2 points on a single FS, or </w:t>
      </w:r>
      <w:r>
        <w:t>≥ </w:t>
      </w:r>
      <w:r w:rsidRPr="00551C76">
        <w:t xml:space="preserve">1 point on </w:t>
      </w:r>
      <w:r>
        <w:t>≥ </w:t>
      </w:r>
      <w:r w:rsidRPr="00551C76">
        <w:t>2 FS)</w:t>
      </w:r>
      <w:r>
        <w:t>.</w:t>
      </w:r>
      <w:r w:rsidRPr="00551C76">
        <w:t xml:space="preserve"> </w:t>
      </w:r>
    </w:p>
    <w:p w:rsidR="006559BD" w:rsidRPr="00551C76" w:rsidRDefault="006559BD" w:rsidP="000A5230">
      <w:pPr>
        <w:pStyle w:val="TableFigureFooter"/>
        <w:rPr>
          <w:sz w:val="20"/>
        </w:rPr>
      </w:pPr>
      <w:r w:rsidRPr="00551C76">
        <w:rPr>
          <w:vertAlign w:val="superscript"/>
        </w:rPr>
        <w:t>b</w:t>
      </w:r>
      <w:r w:rsidRPr="00551C76">
        <w:t xml:space="preserve"> A relapse was defined as new or worsening neurological symptoms (</w:t>
      </w:r>
      <w:r>
        <w:t>≥ </w:t>
      </w:r>
      <w:r w:rsidRPr="00551C76">
        <w:t xml:space="preserve">0.5 EDSS point, or </w:t>
      </w:r>
      <w:r>
        <w:t>≥ </w:t>
      </w:r>
      <w:r w:rsidRPr="00551C76">
        <w:t xml:space="preserve">2 points on a single FS, or </w:t>
      </w:r>
      <w:r>
        <w:t>≥ </w:t>
      </w:r>
      <w:r w:rsidRPr="00551C76">
        <w:t xml:space="preserve">1 point on </w:t>
      </w:r>
      <w:r>
        <w:t>≥ </w:t>
      </w:r>
      <w:r w:rsidRPr="00551C76">
        <w:t xml:space="preserve">2 FS excluding changes in bowel or bladder function and cognition) attributable to MS and immediately preceded by a relatively stable or improving neurological state of </w:t>
      </w:r>
      <w:r>
        <w:t>≥ </w:t>
      </w:r>
      <w:r w:rsidRPr="00551C76">
        <w:t>30 days</w:t>
      </w:r>
      <w:r>
        <w:t>.</w:t>
      </w:r>
    </w:p>
    <w:p w:rsidR="006559BD" w:rsidRDefault="006559BD" w:rsidP="000A5230">
      <w:pPr>
        <w:pStyle w:val="3-BodyText"/>
      </w:pPr>
      <w:r w:rsidRPr="00551C76">
        <w:t xml:space="preserve">There were differences across the trials in treatment durations; the SUNBEAM and TRANSFORMS trials </w:t>
      </w:r>
      <w:r>
        <w:t>had</w:t>
      </w:r>
      <w:r w:rsidRPr="00551C76">
        <w:t xml:space="preserve"> a one-year duration; and the RADIANCE B trial </w:t>
      </w:r>
      <w:r>
        <w:t>had</w:t>
      </w:r>
      <w:r w:rsidRPr="00551C76">
        <w:t xml:space="preserve"> a two-year duration. The submission addressed this by presenting two ITCs: a main ITC that compared the one-year trials and an ITC sensitivity analysis that included both ozanimod trials with the key fingolimod trial. </w:t>
      </w:r>
    </w:p>
    <w:p w:rsidR="00122A22" w:rsidRPr="00AE2F8B" w:rsidRDefault="006559BD" w:rsidP="00DB12D2">
      <w:pPr>
        <w:pStyle w:val="3-BodyText"/>
      </w:pPr>
      <w:r w:rsidRPr="00AE2F8B">
        <w:t>The ozanimod trials (SUNBEAM and RADIANCE B) and the fingolimod trial (TRANSFORMS) differed with respect to the</w:t>
      </w:r>
      <w:r w:rsidR="00122A22" w:rsidRPr="00AE2F8B">
        <w:t xml:space="preserve"> key eligibility criteria</w:t>
      </w:r>
      <w:r w:rsidR="008B77AB" w:rsidRPr="00AE2F8B">
        <w:t xml:space="preserve"> as</w:t>
      </w:r>
      <w:r w:rsidR="00122A22" w:rsidRPr="00AE2F8B">
        <w:t xml:space="preserve"> </w:t>
      </w:r>
      <w:r w:rsidR="008B77AB" w:rsidRPr="00AE2F8B">
        <w:t xml:space="preserve">outlined in Table 4 below. </w:t>
      </w:r>
      <w:r w:rsidR="00DB12D2" w:rsidRPr="00AE2F8B">
        <w:t>Key differences between the 2005 and 2010 McDonald criteria relate to changes to requirements for demonstrating dissemination of lesions in space (DIS) and time (DIT) as part of the diagnosis of MS</w:t>
      </w:r>
      <w:r w:rsidR="00DB12D2" w:rsidRPr="00AE2F8B">
        <w:rPr>
          <w:rStyle w:val="FootnoteReference"/>
        </w:rPr>
        <w:footnoteReference w:id="2"/>
      </w:r>
      <w:r w:rsidR="00DB12D2" w:rsidRPr="00AE2F8B">
        <w:t xml:space="preserve">. </w:t>
      </w:r>
    </w:p>
    <w:p w:rsidR="00122A22" w:rsidRPr="00AE2F8B" w:rsidRDefault="00122A22" w:rsidP="00122A22">
      <w:pPr>
        <w:pStyle w:val="TableFigureHeading"/>
        <w:rPr>
          <w:rStyle w:val="CommentReference"/>
        </w:rPr>
      </w:pPr>
      <w:r w:rsidRPr="00AE2F8B">
        <w:rPr>
          <w:rStyle w:val="CommentReference"/>
        </w:rPr>
        <w:lastRenderedPageBreak/>
        <w:t>Table 4: Key differences in the eligibility criteria across the randomised trials</w:t>
      </w:r>
    </w:p>
    <w:tbl>
      <w:tblPr>
        <w:tblStyle w:val="TableGrid"/>
        <w:tblW w:w="0" w:type="auto"/>
        <w:tblLook w:val="04A0" w:firstRow="1" w:lastRow="0" w:firstColumn="1" w:lastColumn="0" w:noHBand="0" w:noVBand="1"/>
        <w:tblCaption w:val="Table 4: Key differences in the eligibility criteria across the randomised trials"/>
        <w:tblDescription w:val="Table 4: Key differences in the eligibility criteria across the randomised trials"/>
      </w:tblPr>
      <w:tblGrid>
        <w:gridCol w:w="1838"/>
        <w:gridCol w:w="2393"/>
        <w:gridCol w:w="2393"/>
        <w:gridCol w:w="2393"/>
      </w:tblGrid>
      <w:tr w:rsidR="00122A22" w:rsidRPr="00AE2F8B" w:rsidTr="00F76705">
        <w:trPr>
          <w:tblHeader/>
        </w:trPr>
        <w:tc>
          <w:tcPr>
            <w:tcW w:w="1838" w:type="dxa"/>
          </w:tcPr>
          <w:p w:rsidR="00122A22" w:rsidRPr="00AE2F8B" w:rsidRDefault="00122A22" w:rsidP="00FB21F0">
            <w:pPr>
              <w:pStyle w:val="TableText0"/>
              <w:rPr>
                <w:b/>
              </w:rPr>
            </w:pPr>
          </w:p>
        </w:tc>
        <w:tc>
          <w:tcPr>
            <w:tcW w:w="2393" w:type="dxa"/>
          </w:tcPr>
          <w:p w:rsidR="00122A22" w:rsidRPr="00AE2F8B" w:rsidRDefault="00122A22" w:rsidP="00FB21F0">
            <w:pPr>
              <w:pStyle w:val="TableText0"/>
              <w:jc w:val="center"/>
              <w:rPr>
                <w:b/>
              </w:rPr>
            </w:pPr>
            <w:r w:rsidRPr="00AE2F8B">
              <w:rPr>
                <w:b/>
              </w:rPr>
              <w:t>SUNBEAM</w:t>
            </w:r>
          </w:p>
        </w:tc>
        <w:tc>
          <w:tcPr>
            <w:tcW w:w="2393" w:type="dxa"/>
          </w:tcPr>
          <w:p w:rsidR="00122A22" w:rsidRPr="00AE2F8B" w:rsidRDefault="00122A22" w:rsidP="00FB21F0">
            <w:pPr>
              <w:pStyle w:val="TableText0"/>
              <w:jc w:val="center"/>
              <w:rPr>
                <w:b/>
              </w:rPr>
            </w:pPr>
            <w:r w:rsidRPr="00AE2F8B">
              <w:rPr>
                <w:b/>
              </w:rPr>
              <w:t>RADIANCE B</w:t>
            </w:r>
          </w:p>
        </w:tc>
        <w:tc>
          <w:tcPr>
            <w:tcW w:w="2393" w:type="dxa"/>
          </w:tcPr>
          <w:p w:rsidR="00122A22" w:rsidRPr="00AE2F8B" w:rsidRDefault="00122A22" w:rsidP="00FB21F0">
            <w:pPr>
              <w:pStyle w:val="TableText0"/>
              <w:jc w:val="center"/>
              <w:rPr>
                <w:b/>
              </w:rPr>
            </w:pPr>
            <w:r w:rsidRPr="00AE2F8B">
              <w:rPr>
                <w:b/>
              </w:rPr>
              <w:t>TRANSFORMS</w:t>
            </w:r>
          </w:p>
        </w:tc>
      </w:tr>
      <w:tr w:rsidR="00122A22" w:rsidRPr="00AE2F8B" w:rsidTr="00FB21F0">
        <w:tc>
          <w:tcPr>
            <w:tcW w:w="1838" w:type="dxa"/>
          </w:tcPr>
          <w:p w:rsidR="00122A22" w:rsidRPr="00AE2F8B" w:rsidRDefault="00122A22" w:rsidP="00FB21F0">
            <w:pPr>
              <w:pStyle w:val="TableText0"/>
            </w:pPr>
            <w:r w:rsidRPr="00AE2F8B">
              <w:t>Diagnosis</w:t>
            </w:r>
          </w:p>
        </w:tc>
        <w:tc>
          <w:tcPr>
            <w:tcW w:w="2393" w:type="dxa"/>
          </w:tcPr>
          <w:p w:rsidR="00122A22" w:rsidRPr="00AE2F8B" w:rsidRDefault="00122A22" w:rsidP="00FB21F0">
            <w:pPr>
              <w:pStyle w:val="TableText0"/>
            </w:pPr>
            <w:r w:rsidRPr="00AE2F8B">
              <w:t>Diagnosis of MS using 2010 McDonald criteria</w:t>
            </w:r>
          </w:p>
        </w:tc>
        <w:tc>
          <w:tcPr>
            <w:tcW w:w="2393" w:type="dxa"/>
          </w:tcPr>
          <w:p w:rsidR="00122A22" w:rsidRPr="00AE2F8B" w:rsidRDefault="00122A22" w:rsidP="00FB21F0">
            <w:pPr>
              <w:pStyle w:val="TableText0"/>
            </w:pPr>
            <w:r w:rsidRPr="00AE2F8B">
              <w:t>Diagnosis of MS using 2010 McDonald criteria</w:t>
            </w:r>
          </w:p>
        </w:tc>
        <w:tc>
          <w:tcPr>
            <w:tcW w:w="2393" w:type="dxa"/>
          </w:tcPr>
          <w:p w:rsidR="00122A22" w:rsidRPr="00AE2F8B" w:rsidRDefault="00122A22" w:rsidP="00FB21F0">
            <w:pPr>
              <w:pStyle w:val="TableText0"/>
            </w:pPr>
            <w:r w:rsidRPr="00AE2F8B">
              <w:t>Diagnosis of MS using the 2005 McDonald criteria</w:t>
            </w:r>
          </w:p>
        </w:tc>
      </w:tr>
      <w:tr w:rsidR="00122A22" w:rsidRPr="00AE2F8B" w:rsidTr="00FB21F0">
        <w:tc>
          <w:tcPr>
            <w:tcW w:w="1838" w:type="dxa"/>
          </w:tcPr>
          <w:p w:rsidR="00122A22" w:rsidRPr="00AE2F8B" w:rsidRDefault="00122A22" w:rsidP="00FB21F0">
            <w:pPr>
              <w:pStyle w:val="TableText0"/>
            </w:pPr>
            <w:r w:rsidRPr="00AE2F8B">
              <w:t>Disease course</w:t>
            </w:r>
          </w:p>
        </w:tc>
        <w:tc>
          <w:tcPr>
            <w:tcW w:w="2393" w:type="dxa"/>
          </w:tcPr>
          <w:p w:rsidR="00122A22" w:rsidRPr="00AE2F8B" w:rsidRDefault="00122A22" w:rsidP="00FB21F0">
            <w:pPr>
              <w:pStyle w:val="TableText0"/>
            </w:pPr>
            <w:r w:rsidRPr="00AE2F8B">
              <w:t>Relapsing clinical course and history of brain lesions consistent with MS</w:t>
            </w:r>
          </w:p>
        </w:tc>
        <w:tc>
          <w:tcPr>
            <w:tcW w:w="2393" w:type="dxa"/>
          </w:tcPr>
          <w:p w:rsidR="00122A22" w:rsidRPr="00AE2F8B" w:rsidRDefault="00122A22" w:rsidP="00FB21F0">
            <w:pPr>
              <w:pStyle w:val="TableText0"/>
            </w:pPr>
            <w:r w:rsidRPr="00AE2F8B">
              <w:t>Relapsing clinical course and history of brain lesions consistent with MS</w:t>
            </w:r>
          </w:p>
        </w:tc>
        <w:tc>
          <w:tcPr>
            <w:tcW w:w="2393" w:type="dxa"/>
          </w:tcPr>
          <w:p w:rsidR="00122A22" w:rsidRPr="00AE2F8B" w:rsidRDefault="00122A22" w:rsidP="00FB21F0">
            <w:pPr>
              <w:pStyle w:val="TableText0"/>
            </w:pPr>
            <w:r w:rsidRPr="00AE2F8B">
              <w:t>RRMS course of disease only</w:t>
            </w:r>
          </w:p>
        </w:tc>
      </w:tr>
      <w:tr w:rsidR="00122A22" w:rsidRPr="00AE2F8B" w:rsidTr="00FB21F0">
        <w:tc>
          <w:tcPr>
            <w:tcW w:w="1838" w:type="dxa"/>
          </w:tcPr>
          <w:p w:rsidR="00122A22" w:rsidRPr="00AE2F8B" w:rsidRDefault="00122A22" w:rsidP="00FB21F0">
            <w:pPr>
              <w:pStyle w:val="TableText0"/>
            </w:pPr>
            <w:r w:rsidRPr="00AE2F8B">
              <w:t>Disease progression</w:t>
            </w:r>
          </w:p>
        </w:tc>
        <w:tc>
          <w:tcPr>
            <w:tcW w:w="2393" w:type="dxa"/>
          </w:tcPr>
          <w:p w:rsidR="00122A22" w:rsidRPr="00AE2F8B" w:rsidRDefault="00122A22" w:rsidP="00FB21F0">
            <w:pPr>
              <w:pStyle w:val="TableText0"/>
            </w:pPr>
            <w:r w:rsidRPr="00AE2F8B">
              <w:t>EDSS score of 0 to 5.0</w:t>
            </w:r>
          </w:p>
        </w:tc>
        <w:tc>
          <w:tcPr>
            <w:tcW w:w="2393" w:type="dxa"/>
          </w:tcPr>
          <w:p w:rsidR="00122A22" w:rsidRPr="00AE2F8B" w:rsidRDefault="00122A22" w:rsidP="00FB21F0">
            <w:pPr>
              <w:pStyle w:val="TableText0"/>
            </w:pPr>
            <w:r w:rsidRPr="00AE2F8B">
              <w:t>EDSS score of 0 to 5.0</w:t>
            </w:r>
          </w:p>
        </w:tc>
        <w:tc>
          <w:tcPr>
            <w:tcW w:w="2393" w:type="dxa"/>
          </w:tcPr>
          <w:p w:rsidR="00122A22" w:rsidRPr="00AE2F8B" w:rsidRDefault="00122A22" w:rsidP="00FB21F0">
            <w:pPr>
              <w:pStyle w:val="TableText0"/>
            </w:pPr>
            <w:r w:rsidRPr="00AE2F8B">
              <w:t>EDSS score of 0 to 5.5</w:t>
            </w:r>
          </w:p>
        </w:tc>
      </w:tr>
      <w:tr w:rsidR="00122A22" w:rsidRPr="00AE2F8B" w:rsidTr="00FB21F0">
        <w:tc>
          <w:tcPr>
            <w:tcW w:w="1838" w:type="dxa"/>
          </w:tcPr>
          <w:p w:rsidR="00122A22" w:rsidRPr="00AE2F8B" w:rsidRDefault="00122A22" w:rsidP="00FB21F0">
            <w:pPr>
              <w:pStyle w:val="TableText0"/>
            </w:pPr>
            <w:r w:rsidRPr="00AE2F8B">
              <w:t>Relapse history</w:t>
            </w:r>
          </w:p>
        </w:tc>
        <w:tc>
          <w:tcPr>
            <w:tcW w:w="2393" w:type="dxa"/>
          </w:tcPr>
          <w:p w:rsidR="00122A22" w:rsidRPr="00AE2F8B" w:rsidRDefault="00122A22" w:rsidP="00FB21F0">
            <w:pPr>
              <w:pStyle w:val="TableText0"/>
            </w:pPr>
            <w:r w:rsidRPr="00AE2F8B">
              <w:t>≥ 1 relapse in the last 12 months OR 1 relapse in the last 24 months and evidence of ≥ 1 Gde brain lesion in the last 12 months</w:t>
            </w:r>
          </w:p>
        </w:tc>
        <w:tc>
          <w:tcPr>
            <w:tcW w:w="2393" w:type="dxa"/>
          </w:tcPr>
          <w:p w:rsidR="00122A22" w:rsidRPr="00AE2F8B" w:rsidRDefault="00122A22" w:rsidP="00FB21F0">
            <w:pPr>
              <w:pStyle w:val="TableText0"/>
            </w:pPr>
            <w:r w:rsidRPr="00AE2F8B">
              <w:t>≥ 1 relapse in the last 12 months OR 1 relapse in the last 24 months and evidence of ≥ 1 Gde brain lesion in the last 12 months</w:t>
            </w:r>
          </w:p>
        </w:tc>
        <w:tc>
          <w:tcPr>
            <w:tcW w:w="2393" w:type="dxa"/>
          </w:tcPr>
          <w:p w:rsidR="00122A22" w:rsidRPr="00AE2F8B" w:rsidRDefault="00122A22" w:rsidP="00FB21F0">
            <w:pPr>
              <w:pStyle w:val="TableText0"/>
            </w:pPr>
            <w:r w:rsidRPr="00AE2F8B">
              <w:t>1 relapse in the last 12 months OR 2 relapses in previous 24 months</w:t>
            </w:r>
          </w:p>
        </w:tc>
      </w:tr>
    </w:tbl>
    <w:p w:rsidR="00122A22" w:rsidRPr="00AE2F8B" w:rsidRDefault="00122A22" w:rsidP="00122A22">
      <w:pPr>
        <w:pStyle w:val="TableFigureFooter"/>
      </w:pPr>
      <w:r w:rsidRPr="00AE2F8B">
        <w:t>Source: Table A 1, Appendix A, p3 of the submission.</w:t>
      </w:r>
    </w:p>
    <w:p w:rsidR="00122A22" w:rsidRPr="00AE2F8B" w:rsidRDefault="00122A22" w:rsidP="00122A22">
      <w:pPr>
        <w:pStyle w:val="TableFigureFooter"/>
      </w:pPr>
      <w:r w:rsidRPr="00AE2F8B">
        <w:t>EDSS = Expanded Disability Status Scale; Gde = gadolinium enhanced; MS = multiple sclerosis; RRMS = relapsing-remitting multiple sclerosis.</w:t>
      </w:r>
    </w:p>
    <w:p w:rsidR="00B226E2" w:rsidRDefault="006559BD" w:rsidP="002452FF">
      <w:pPr>
        <w:pStyle w:val="3-BodyText"/>
      </w:pPr>
      <w:r w:rsidRPr="00CB28B2">
        <w:t xml:space="preserve">The submission considered the differences in the baseline characteristics of participants in the trials in terms of prior treatment history, presence and volume of magnetic resonance imaging (MRI) lesions, relapse history, disability, and region did not affect the transitivity assumption. However, there were differences in disability progression rates in the IFN-β1a arm of the trials (refer to </w:t>
      </w:r>
      <w:r w:rsidR="00E7504D">
        <w:t>paragraph 6.12</w:t>
      </w:r>
      <w:r w:rsidRPr="00CB28B2">
        <w:t>). The submission argued that patients in the ozanimod trial had a greater MRI disease burden, based on fewer gadolinium-enhanced (Gde) T1 lesions, greater mean volume of T2 lesions, and a lower normalised brain volume. The submission did not present evidence to support its claim that MRI disease burden affected treatment response. A post-hoc analysis of fingolimod trials reported that lower normalised brain volume was found to be predictive of disability worsening (Sormani et al. 2017).</w:t>
      </w:r>
      <w:r w:rsidR="00E7504D">
        <w:t xml:space="preserve"> </w:t>
      </w:r>
      <w:r w:rsidR="00B226E2">
        <w:t>There were also differences in the</w:t>
      </w:r>
      <w:r w:rsidR="00B226E2" w:rsidRPr="00551C76">
        <w:t xml:space="preserve"> definition of a relapse</w:t>
      </w:r>
      <w:r w:rsidR="00B226E2">
        <w:t xml:space="preserve"> as the </w:t>
      </w:r>
      <w:r w:rsidR="00B226E2" w:rsidRPr="009C5E9C">
        <w:t xml:space="preserve">fingolimod trial (TRANSFORMS) did not consider changes in </w:t>
      </w:r>
      <w:r w:rsidR="00B226E2">
        <w:t xml:space="preserve">the </w:t>
      </w:r>
      <w:r w:rsidR="00B226E2" w:rsidRPr="009C5E9C">
        <w:t>bowel</w:t>
      </w:r>
      <w:r w:rsidR="00B226E2">
        <w:t xml:space="preserve"> and</w:t>
      </w:r>
      <w:r w:rsidR="00B226E2" w:rsidRPr="009C5E9C">
        <w:t xml:space="preserve"> bladder </w:t>
      </w:r>
      <w:r w:rsidR="00B226E2">
        <w:t xml:space="preserve">or </w:t>
      </w:r>
      <w:r w:rsidR="00B226E2" w:rsidRPr="009C5E9C">
        <w:t>cognition</w:t>
      </w:r>
      <w:r w:rsidR="00B226E2">
        <w:t xml:space="preserve"> functional systems</w:t>
      </w:r>
      <w:r w:rsidR="00B226E2" w:rsidRPr="009C5E9C">
        <w:t xml:space="preserve">. </w:t>
      </w:r>
      <w:r w:rsidR="00B226E2" w:rsidRPr="00CB28B2">
        <w:t>The differences in the assessment of relapses was a transitivity issue of the indirect comparison of ARR, with an unclear direction of bias.</w:t>
      </w:r>
      <w:r w:rsidR="00B226E2">
        <w:t xml:space="preserve"> </w:t>
      </w:r>
    </w:p>
    <w:p w:rsidR="00AD5772" w:rsidRPr="00AE2F8B" w:rsidRDefault="00AD5772" w:rsidP="00AD5772">
      <w:pPr>
        <w:pStyle w:val="3-BodyText"/>
      </w:pPr>
      <w:bookmarkStart w:id="23" w:name="_Ref36028714"/>
      <w:r w:rsidRPr="00AE2F8B">
        <w:t>The PSCR argued that the SUNBEAM trial had a higher mean baseline Expanded Disability Status Scale (EDSS) score and higher MRI burden than TRANFORMS, which biased against ozanimod in the indirect comparison. The ESC considered that differences in patient baseline characteristics, differences in 3-month confirmed disability progression in the comparator (IFN-β1a) arms in the clinical trials and differences in the definition of relapse were all potential transitivity issues, which had an unknown effect on outcomes and uncertain direction of bias.</w:t>
      </w:r>
      <w:r w:rsidR="00661184" w:rsidRPr="00AE2F8B">
        <w:t xml:space="preserve"> In particular, the ESC noted that a greater proportion of patients in the TRANSFORMS trial had prior treatment with </w:t>
      </w:r>
      <w:r w:rsidR="001D0AFC" w:rsidRPr="00AE2F8B">
        <w:t>DMT</w:t>
      </w:r>
      <w:r w:rsidR="00661184" w:rsidRPr="00AE2F8B">
        <w:t xml:space="preserve"> at baseline (56.7%) compared to the SUNBEAM and RADIANCE B</w:t>
      </w:r>
      <w:r w:rsidR="001D0AFC" w:rsidRPr="00AE2F8B">
        <w:t xml:space="preserve"> trials</w:t>
      </w:r>
      <w:r w:rsidR="00661184" w:rsidRPr="00AE2F8B">
        <w:t xml:space="preserve"> (30.5% and 28.9% respectively).</w:t>
      </w:r>
      <w:bookmarkEnd w:id="23"/>
    </w:p>
    <w:p w:rsidR="006559BD" w:rsidRPr="00551C76" w:rsidRDefault="006559BD" w:rsidP="000A5230">
      <w:pPr>
        <w:pStyle w:val="4-SubsectionHeading"/>
      </w:pPr>
      <w:bookmarkStart w:id="24" w:name="_Toc22897641"/>
      <w:bookmarkStart w:id="25" w:name="_Toc30410047"/>
      <w:r w:rsidRPr="00551C76">
        <w:t>Comparative effectiveness</w:t>
      </w:r>
      <w:bookmarkEnd w:id="24"/>
      <w:bookmarkEnd w:id="25"/>
    </w:p>
    <w:p w:rsidR="006559BD" w:rsidRPr="00551C76" w:rsidRDefault="006559BD" w:rsidP="000A5230">
      <w:pPr>
        <w:pStyle w:val="3-BodyText"/>
      </w:pPr>
      <w:r w:rsidRPr="00551C76">
        <w:rPr>
          <w:color w:val="000000" w:themeColor="text1"/>
        </w:rPr>
        <w:t>The results for the key direct and indirect comparisons presented in the sub</w:t>
      </w:r>
      <w:r w:rsidR="00DC6727">
        <w:rPr>
          <w:color w:val="000000" w:themeColor="text1"/>
        </w:rPr>
        <w:t xml:space="preserve">mission are presented in Table </w:t>
      </w:r>
      <w:r w:rsidR="00DC3D7C">
        <w:rPr>
          <w:color w:val="000000" w:themeColor="text1"/>
        </w:rPr>
        <w:t>5</w:t>
      </w:r>
      <w:r>
        <w:rPr>
          <w:color w:val="000000" w:themeColor="text1"/>
        </w:rPr>
        <w:t>.</w:t>
      </w:r>
    </w:p>
    <w:p w:rsidR="006559BD" w:rsidRPr="00551C76" w:rsidRDefault="00DC6727" w:rsidP="002452FF">
      <w:pPr>
        <w:pStyle w:val="TableFigureHeading"/>
        <w:keepLines/>
        <w:widowControl w:val="0"/>
        <w:rPr>
          <w:rStyle w:val="CommentReference"/>
        </w:rPr>
      </w:pPr>
      <w:r>
        <w:rPr>
          <w:rStyle w:val="CommentReference"/>
        </w:rPr>
        <w:lastRenderedPageBreak/>
        <w:t xml:space="preserve">Table </w:t>
      </w:r>
      <w:r w:rsidR="00DC3D7C">
        <w:rPr>
          <w:rStyle w:val="CommentReference"/>
        </w:rPr>
        <w:t>5</w:t>
      </w:r>
      <w:r w:rsidR="006559BD" w:rsidRPr="00551C76">
        <w:rPr>
          <w:rStyle w:val="CommentReference"/>
        </w:rPr>
        <w:t>: Key relapse, disability, and MRI outcomes between ozanimod</w:t>
      </w:r>
      <w:r w:rsidR="006559BD">
        <w:rPr>
          <w:rStyle w:val="CommentReference"/>
        </w:rPr>
        <w:t>, fingolimod</w:t>
      </w:r>
      <w:r w:rsidR="006559BD" w:rsidRPr="00551C76">
        <w:rPr>
          <w:rStyle w:val="CommentReference"/>
        </w:rPr>
        <w:t xml:space="preserve"> and IFN-β1a </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43"/>
        <w:gridCol w:w="1842"/>
        <w:gridCol w:w="1534"/>
        <w:gridCol w:w="2573"/>
      </w:tblGrid>
      <w:tr w:rsidR="006559BD" w:rsidRPr="00551C76" w:rsidTr="000A5230">
        <w:trPr>
          <w:tblHeader/>
          <w:jc w:val="center"/>
        </w:trPr>
        <w:tc>
          <w:tcPr>
            <w:tcW w:w="1476" w:type="dxa"/>
            <w:shd w:val="clear" w:color="auto" w:fill="auto"/>
            <w:vAlign w:val="center"/>
          </w:tcPr>
          <w:p w:rsidR="006559BD" w:rsidRPr="00551C76" w:rsidRDefault="006559BD" w:rsidP="002452FF">
            <w:pPr>
              <w:keepNext/>
              <w:widowControl w:val="0"/>
              <w:spacing w:before="0"/>
              <w:jc w:val="left"/>
              <w:rPr>
                <w:rFonts w:ascii="Arial Narrow" w:hAnsi="Arial Narrow" w:cs="Times New Roman"/>
                <w:b/>
                <w:snapToGrid w:val="0"/>
                <w:sz w:val="20"/>
              </w:rPr>
            </w:pPr>
            <w:r w:rsidRPr="00551C76">
              <w:rPr>
                <w:rFonts w:ascii="Arial Narrow" w:hAnsi="Arial Narrow" w:cs="Times New Roman"/>
                <w:b/>
                <w:snapToGrid w:val="0"/>
                <w:sz w:val="20"/>
              </w:rPr>
              <w:t>Trial</w:t>
            </w:r>
          </w:p>
        </w:tc>
        <w:tc>
          <w:tcPr>
            <w:tcW w:w="164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imes New Roman"/>
                <w:b/>
                <w:sz w:val="20"/>
              </w:rPr>
            </w:pPr>
            <w:r w:rsidRPr="00551C76">
              <w:rPr>
                <w:rFonts w:ascii="Arial Narrow" w:eastAsiaTheme="majorEastAsia" w:hAnsi="Arial Narrow" w:cs="Times New Roman"/>
                <w:b/>
                <w:sz w:val="20"/>
              </w:rPr>
              <w:t xml:space="preserve">Ozanimod </w:t>
            </w:r>
          </w:p>
        </w:tc>
        <w:tc>
          <w:tcPr>
            <w:tcW w:w="1842"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imes New Roman"/>
                <w:b/>
                <w:sz w:val="20"/>
              </w:rPr>
            </w:pPr>
            <w:r w:rsidRPr="00551C76">
              <w:rPr>
                <w:rFonts w:ascii="Arial Narrow" w:eastAsiaTheme="majorEastAsia" w:hAnsi="Arial Narrow" w:cs="Times New Roman"/>
                <w:b/>
                <w:sz w:val="20"/>
              </w:rPr>
              <w:t xml:space="preserve">IFN-β1a </w:t>
            </w:r>
          </w:p>
        </w:tc>
        <w:tc>
          <w:tcPr>
            <w:tcW w:w="1534"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imes New Roman"/>
                <w:b/>
                <w:sz w:val="20"/>
              </w:rPr>
            </w:pPr>
            <w:r w:rsidRPr="00551C76">
              <w:rPr>
                <w:rFonts w:ascii="Arial Narrow" w:eastAsiaTheme="majorEastAsia" w:hAnsi="Arial Narrow" w:cs="Times New Roman"/>
                <w:b/>
                <w:sz w:val="20"/>
              </w:rPr>
              <w:t>Fingolimod</w:t>
            </w:r>
          </w:p>
        </w:tc>
        <w:tc>
          <w:tcPr>
            <w:tcW w:w="2573" w:type="dxa"/>
            <w:shd w:val="clear" w:color="auto" w:fill="auto"/>
            <w:vAlign w:val="center"/>
          </w:tcPr>
          <w:p w:rsidR="006559BD" w:rsidRPr="00551C76" w:rsidRDefault="006559BD" w:rsidP="002452FF">
            <w:pPr>
              <w:keepNext/>
              <w:widowControl w:val="0"/>
              <w:spacing w:before="0"/>
              <w:jc w:val="center"/>
              <w:rPr>
                <w:rFonts w:ascii="Arial Narrow" w:hAnsi="Arial Narrow" w:cs="Times New Roman"/>
                <w:b/>
                <w:snapToGrid w:val="0"/>
                <w:sz w:val="20"/>
              </w:rPr>
            </w:pPr>
            <w:r w:rsidRPr="00551C76">
              <w:rPr>
                <w:rFonts w:ascii="Arial Narrow" w:hAnsi="Arial Narrow" w:cs="Times New Roman"/>
                <w:b/>
                <w:snapToGrid w:val="0"/>
                <w:sz w:val="20"/>
              </w:rPr>
              <w:t>Treatment difference (95% CI)</w:t>
            </w:r>
          </w:p>
        </w:tc>
      </w:tr>
      <w:tr w:rsidR="006559BD" w:rsidRPr="00551C76" w:rsidTr="000A5230">
        <w:trPr>
          <w:jc w:val="center"/>
        </w:trPr>
        <w:tc>
          <w:tcPr>
            <w:tcW w:w="9068" w:type="dxa"/>
            <w:gridSpan w:val="5"/>
            <w:shd w:val="clear" w:color="auto" w:fill="auto"/>
            <w:vAlign w:val="center"/>
          </w:tcPr>
          <w:p w:rsidR="006559BD" w:rsidRPr="00551C76" w:rsidRDefault="006559BD" w:rsidP="002452FF">
            <w:pPr>
              <w:keepNext/>
              <w:widowControl w:val="0"/>
              <w:spacing w:before="0"/>
              <w:jc w:val="left"/>
              <w:rPr>
                <w:rFonts w:ascii="Arial Narrow" w:eastAsiaTheme="majorEastAsia" w:hAnsi="Arial Narrow" w:cstheme="majorBidi"/>
                <w:b/>
                <w:bCs/>
                <w:sz w:val="20"/>
              </w:rPr>
            </w:pPr>
            <w:r w:rsidRPr="00551C76">
              <w:rPr>
                <w:rFonts w:ascii="Arial Narrow" w:eastAsiaTheme="majorEastAsia" w:hAnsi="Arial Narrow" w:cstheme="majorBidi"/>
                <w:b/>
                <w:bCs/>
                <w:sz w:val="20"/>
              </w:rPr>
              <w:t>Annualised relapse rate, RR (95% CI)</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SUNBEAM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0.18 (0.14, 0.24)</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0.35 (0.28, 0.44)</w:t>
            </w:r>
          </w:p>
        </w:tc>
        <w:tc>
          <w:tcPr>
            <w:tcW w:w="1534"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w:t>
            </w:r>
          </w:p>
        </w:tc>
        <w:tc>
          <w:tcPr>
            <w:tcW w:w="2573" w:type="dxa"/>
            <w:vAlign w:val="center"/>
          </w:tcPr>
          <w:p w:rsidR="006559BD" w:rsidRPr="00551C76" w:rsidRDefault="006559BD" w:rsidP="002452FF">
            <w:pPr>
              <w:pStyle w:val="TableText0"/>
              <w:keepLines/>
              <w:widowControl w:val="0"/>
              <w:jc w:val="center"/>
              <w:rPr>
                <w:b/>
              </w:rPr>
            </w:pPr>
            <w:r w:rsidRPr="00551C76">
              <w:rPr>
                <w:b/>
                <w:noProof/>
              </w:rPr>
              <w:t>0.52 (0.41, 0.66)</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RADIANCE B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0.17 (0.14, 0.21)</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0.28 (0.23, 0.32)</w:t>
            </w:r>
          </w:p>
        </w:tc>
        <w:tc>
          <w:tcPr>
            <w:tcW w:w="1534"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w:t>
            </w:r>
          </w:p>
        </w:tc>
        <w:tc>
          <w:tcPr>
            <w:tcW w:w="2573" w:type="dxa"/>
            <w:vAlign w:val="center"/>
          </w:tcPr>
          <w:p w:rsidR="006559BD" w:rsidRPr="00551C76" w:rsidRDefault="006559BD" w:rsidP="002452FF">
            <w:pPr>
              <w:pStyle w:val="TableText0"/>
              <w:keepLines/>
              <w:widowControl w:val="0"/>
              <w:jc w:val="center"/>
              <w:rPr>
                <w:b/>
              </w:rPr>
            </w:pPr>
            <w:r w:rsidRPr="00551C76">
              <w:rPr>
                <w:b/>
                <w:noProof/>
              </w:rPr>
              <w:t>0.62 (0.51, 0.77)</w:t>
            </w:r>
          </w:p>
        </w:tc>
      </w:tr>
      <w:tr w:rsidR="006559BD" w:rsidRPr="00551C76" w:rsidTr="000A5230">
        <w:trPr>
          <w:jc w:val="center"/>
        </w:trPr>
        <w:tc>
          <w:tcPr>
            <w:tcW w:w="6495" w:type="dxa"/>
            <w:gridSpan w:val="4"/>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Meta-analysis of ozanimod trials (Chi2</w:t>
            </w:r>
            <w:r>
              <w:rPr>
                <w:rFonts w:ascii="Arial Narrow" w:eastAsiaTheme="majorEastAsia" w:hAnsi="Arial Narrow" w:cstheme="majorBidi"/>
                <w:bCs/>
                <w:sz w:val="20"/>
              </w:rPr>
              <w:t>= </w:t>
            </w:r>
            <w:r w:rsidRPr="00551C76">
              <w:rPr>
                <w:rFonts w:ascii="Arial Narrow" w:eastAsiaTheme="majorEastAsia" w:hAnsi="Arial Narrow" w:cstheme="majorBidi"/>
                <w:bCs/>
                <w:sz w:val="20"/>
              </w:rPr>
              <w:t xml:space="preserve">1.26; I2 </w:t>
            </w:r>
            <w:r>
              <w:rPr>
                <w:rFonts w:ascii="Arial Narrow" w:eastAsiaTheme="majorEastAsia" w:hAnsi="Arial Narrow" w:cstheme="majorBidi"/>
                <w:bCs/>
                <w:sz w:val="20"/>
              </w:rPr>
              <w:t>= </w:t>
            </w:r>
            <w:r w:rsidRPr="00551C76">
              <w:rPr>
                <w:rFonts w:ascii="Arial Narrow" w:eastAsiaTheme="majorEastAsia" w:hAnsi="Arial Narrow" w:cstheme="majorBidi"/>
                <w:bCs/>
                <w:sz w:val="20"/>
              </w:rPr>
              <w:t>21%; p</w:t>
            </w:r>
            <w:r>
              <w:rPr>
                <w:rFonts w:ascii="Arial Narrow" w:eastAsiaTheme="majorEastAsia" w:hAnsi="Arial Narrow" w:cstheme="majorBidi"/>
                <w:bCs/>
                <w:sz w:val="20"/>
              </w:rPr>
              <w:t>= </w:t>
            </w:r>
            <w:r w:rsidRPr="00551C76">
              <w:rPr>
                <w:rFonts w:ascii="Arial Narrow" w:eastAsiaTheme="majorEastAsia" w:hAnsi="Arial Narrow" w:cstheme="majorBidi"/>
                <w:bCs/>
                <w:sz w:val="20"/>
              </w:rPr>
              <w:t>0.26)</w:t>
            </w:r>
          </w:p>
        </w:tc>
        <w:tc>
          <w:tcPr>
            <w:tcW w:w="2573" w:type="dxa"/>
            <w:tcBorders>
              <w:bottom w:val="single" w:sz="4" w:space="0" w:color="auto"/>
            </w:tcBorders>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
                <w:bCs/>
                <w:sz w:val="20"/>
              </w:rPr>
            </w:pPr>
            <w:r w:rsidRPr="00551C76">
              <w:rPr>
                <w:rFonts w:ascii="Arial Narrow" w:eastAsiaTheme="majorEastAsia" w:hAnsi="Arial Narrow" w:cstheme="majorBidi"/>
                <w:b/>
                <w:bCs/>
                <w:sz w:val="20"/>
              </w:rPr>
              <w:t>0.58 (0.48, 0.69)</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rPr>
                <w:noProof/>
              </w:rPr>
            </w:pPr>
            <w:r w:rsidRPr="00551C76">
              <w:rPr>
                <w:noProof/>
              </w:rPr>
              <w:t xml:space="preserve">TRANSFORMS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right"/>
              <w:rPr>
                <w:rFonts w:cs="Arial"/>
              </w:rPr>
            </w:pPr>
            <w:r w:rsidRPr="00551C76">
              <w:rPr>
                <w:rFonts w:cs="Arial"/>
              </w:rPr>
              <w:t>-</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cs="Arial"/>
              </w:rPr>
            </w:pPr>
            <w:r w:rsidRPr="00551C76">
              <w:rPr>
                <w:rFonts w:cs="Arial"/>
              </w:rPr>
              <w:t>0.33 (0.26, 0.42)</w:t>
            </w:r>
          </w:p>
        </w:tc>
        <w:tc>
          <w:tcPr>
            <w:tcW w:w="1534"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eastAsiaTheme="majorEastAsia" w:cstheme="majorBidi"/>
                <w:bCs/>
              </w:rPr>
            </w:pPr>
            <w:r w:rsidRPr="00551C76">
              <w:rPr>
                <w:rFonts w:cs="Arial"/>
              </w:rPr>
              <w:t>0.16 (0.12, 0.21)</w:t>
            </w:r>
          </w:p>
        </w:tc>
        <w:tc>
          <w:tcPr>
            <w:tcW w:w="2573" w:type="dxa"/>
            <w:tcBorders>
              <w:left w:val="single" w:sz="4" w:space="0" w:color="auto"/>
            </w:tcBorders>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
                <w:bCs/>
                <w:sz w:val="20"/>
              </w:rPr>
            </w:pPr>
            <w:r w:rsidRPr="00551C76">
              <w:rPr>
                <w:rFonts w:ascii="Arial Narrow" w:eastAsiaTheme="majorEastAsia" w:hAnsi="Arial Narrow" w:cstheme="majorBidi"/>
                <w:b/>
                <w:bCs/>
                <w:sz w:val="20"/>
              </w:rPr>
              <w:t>0.48 (0.37, 0.64)</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 xml:space="preserve">Main ITC (ozanimod [SUNBEAM] </w:t>
            </w:r>
            <w:r>
              <w:rPr>
                <w:rFonts w:ascii="Arial Narrow" w:eastAsiaTheme="majorEastAsia" w:hAnsi="Arial Narrow" w:cstheme="majorBidi"/>
                <w:bCs/>
                <w:sz w:val="20"/>
              </w:rPr>
              <w:t xml:space="preserve">vs. </w:t>
            </w:r>
            <w:r w:rsidRPr="00551C76">
              <w:rPr>
                <w:rFonts w:ascii="Arial Narrow" w:eastAsiaTheme="majorEastAsia" w:hAnsi="Arial Narrow" w:cstheme="majorBidi"/>
                <w:bCs/>
                <w:sz w:val="20"/>
              </w:rPr>
              <w:t>fingolimod)</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1.08 (0.75, 1.56)</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 xml:space="preserve">ITC sensitivity analysis (ozanimod [meta-analysis] </w:t>
            </w:r>
            <w:r>
              <w:rPr>
                <w:rFonts w:ascii="Arial Narrow" w:eastAsiaTheme="majorEastAsia" w:hAnsi="Arial Narrow" w:cstheme="majorBidi"/>
                <w:bCs/>
                <w:sz w:val="20"/>
              </w:rPr>
              <w:t xml:space="preserve">vs. </w:t>
            </w:r>
            <w:r w:rsidRPr="00551C76">
              <w:rPr>
                <w:rFonts w:ascii="Arial Narrow" w:eastAsiaTheme="majorEastAsia" w:hAnsi="Arial Narrow" w:cstheme="majorBidi"/>
                <w:bCs/>
                <w:sz w:val="20"/>
              </w:rPr>
              <w:t>fingolimod)</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1.21 (0.88, 1.66)</w:t>
            </w:r>
          </w:p>
        </w:tc>
      </w:tr>
      <w:tr w:rsidR="006559BD" w:rsidRPr="00551C76" w:rsidTr="000A5230">
        <w:trPr>
          <w:jc w:val="center"/>
        </w:trPr>
        <w:tc>
          <w:tcPr>
            <w:tcW w:w="9068" w:type="dxa"/>
            <w:gridSpan w:val="5"/>
            <w:shd w:val="clear" w:color="auto" w:fill="auto"/>
            <w:vAlign w:val="center"/>
          </w:tcPr>
          <w:p w:rsidR="006559BD" w:rsidRPr="00551C76" w:rsidRDefault="006559BD" w:rsidP="002452FF">
            <w:pPr>
              <w:pStyle w:val="TableText0"/>
              <w:keepLines/>
              <w:widowControl w:val="0"/>
              <w:rPr>
                <w:b/>
              </w:rPr>
            </w:pPr>
            <w:r w:rsidRPr="00551C76">
              <w:rPr>
                <w:b/>
                <w:noProof/>
              </w:rPr>
              <w:t>Confirmed 3-month disability progression, HR (95% CI)</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SUNBEAM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13 (2.91%)</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19 (4.24%)</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vAlign w:val="center"/>
          </w:tcPr>
          <w:p w:rsidR="006559BD" w:rsidRPr="00551C76" w:rsidRDefault="006559BD" w:rsidP="002452FF">
            <w:pPr>
              <w:pStyle w:val="TableText0"/>
              <w:keepLines/>
              <w:widowControl w:val="0"/>
              <w:jc w:val="center"/>
            </w:pPr>
            <w:r w:rsidRPr="00551C76">
              <w:rPr>
                <w:noProof/>
              </w:rPr>
              <w:t>0.69 (0.34, 1.40)</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RADIANCE B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54 (12.47%)</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50 (11.34%)</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tcBorders>
              <w:bottom w:val="single" w:sz="4" w:space="0" w:color="auto"/>
            </w:tcBorders>
            <w:vAlign w:val="center"/>
          </w:tcPr>
          <w:p w:rsidR="006559BD" w:rsidRPr="00551C76" w:rsidRDefault="006559BD" w:rsidP="002452FF">
            <w:pPr>
              <w:pStyle w:val="TableText0"/>
              <w:keepLines/>
              <w:widowControl w:val="0"/>
              <w:jc w:val="center"/>
            </w:pPr>
            <w:r w:rsidRPr="00551C76">
              <w:rPr>
                <w:noProof/>
              </w:rPr>
              <w:t>1.05 (0.71, 1.54)</w:t>
            </w:r>
          </w:p>
        </w:tc>
      </w:tr>
      <w:tr w:rsidR="006559BD" w:rsidRPr="00551C76" w:rsidTr="000A5230">
        <w:trPr>
          <w:jc w:val="center"/>
        </w:trPr>
        <w:tc>
          <w:tcPr>
            <w:tcW w:w="6495" w:type="dxa"/>
            <w:gridSpan w:val="4"/>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spacing w:before="0" w:after="0"/>
              <w:jc w:val="right"/>
              <w:rPr>
                <w:rFonts w:eastAsiaTheme="majorEastAsia" w:cstheme="majorBidi"/>
                <w:bCs/>
              </w:rPr>
            </w:pPr>
            <w:r w:rsidRPr="00551C76">
              <w:rPr>
                <w:rFonts w:cs="Arial"/>
              </w:rPr>
              <w:t>Meta-analysis of ozanimod trials</w:t>
            </w:r>
            <w:r w:rsidRPr="00551C76">
              <w:t xml:space="preserve"> </w:t>
            </w:r>
            <w:r w:rsidRPr="00551C76">
              <w:rPr>
                <w:rFonts w:cs="Arial"/>
              </w:rPr>
              <w:t>(Chi</w:t>
            </w:r>
            <w:r w:rsidRPr="00551C76">
              <w:rPr>
                <w:rFonts w:cs="Arial"/>
                <w:vertAlign w:val="superscript"/>
              </w:rPr>
              <w:t>2</w:t>
            </w:r>
            <w:r>
              <w:rPr>
                <w:rFonts w:cs="Arial"/>
              </w:rPr>
              <w:t>= </w:t>
            </w:r>
            <w:r w:rsidRPr="00551C76">
              <w:rPr>
                <w:rFonts w:cs="Arial"/>
              </w:rPr>
              <w:t>1.02; I</w:t>
            </w:r>
            <w:r w:rsidRPr="00551C76">
              <w:rPr>
                <w:rFonts w:cs="Arial"/>
                <w:vertAlign w:val="superscript"/>
              </w:rPr>
              <w:t>2</w:t>
            </w:r>
            <w:r w:rsidRPr="00551C76">
              <w:rPr>
                <w:rFonts w:cs="Arial"/>
              </w:rPr>
              <w:t xml:space="preserve"> </w:t>
            </w:r>
            <w:r>
              <w:rPr>
                <w:rFonts w:cs="Arial"/>
              </w:rPr>
              <w:t>= </w:t>
            </w:r>
            <w:r w:rsidRPr="00551C76">
              <w:rPr>
                <w:rFonts w:cs="Arial"/>
              </w:rPr>
              <w:t>2%; P</w:t>
            </w:r>
            <w:r>
              <w:rPr>
                <w:rFonts w:cs="Arial"/>
              </w:rPr>
              <w:t>= </w:t>
            </w:r>
            <w:r w:rsidRPr="00551C76">
              <w:rPr>
                <w:rFonts w:cs="Arial"/>
              </w:rPr>
              <w:t>0.31)</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tcPr>
          <w:p w:rsidR="006559BD" w:rsidRPr="00551C76" w:rsidRDefault="006559BD" w:rsidP="002452FF">
            <w:pPr>
              <w:pStyle w:val="TableText0"/>
              <w:keepLines/>
              <w:widowControl w:val="0"/>
              <w:jc w:val="center"/>
            </w:pPr>
            <w:r w:rsidRPr="00551C76">
              <w:t>0.95 (0.67, 1.34)</w:t>
            </w:r>
          </w:p>
        </w:tc>
      </w:tr>
      <w:tr w:rsidR="006559BD" w:rsidRPr="00551C76" w:rsidTr="000A5230">
        <w:trPr>
          <w:jc w:val="center"/>
        </w:trPr>
        <w:tc>
          <w:tcPr>
            <w:tcW w:w="1476" w:type="dxa"/>
            <w:shd w:val="clear" w:color="auto" w:fill="auto"/>
            <w:vAlign w:val="center"/>
          </w:tcPr>
          <w:p w:rsidR="006559BD" w:rsidRPr="00551C76" w:rsidRDefault="006559BD" w:rsidP="002452FF">
            <w:pPr>
              <w:keepNext/>
              <w:widowControl w:val="0"/>
              <w:spacing w:before="0"/>
              <w:jc w:val="left"/>
              <w:rPr>
                <w:rFonts w:ascii="Arial Narrow" w:eastAsiaTheme="majorEastAsia" w:hAnsi="Arial Narrow" w:cstheme="majorBidi"/>
                <w:bCs/>
                <w:sz w:val="20"/>
              </w:rPr>
            </w:pPr>
            <w:r w:rsidRPr="00551C76">
              <w:rPr>
                <w:rFonts w:ascii="Arial Narrow" w:eastAsiaTheme="majorEastAsia" w:hAnsi="Arial Narrow" w:cstheme="majorBidi"/>
                <w:bCs/>
                <w:sz w:val="20"/>
              </w:rPr>
              <w:t xml:space="preserve">TRANSFORMS </w:t>
            </w:r>
          </w:p>
        </w:tc>
        <w:tc>
          <w:tcPr>
            <w:tcW w:w="164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spacing w:before="0" w:after="0"/>
              <w:jc w:val="center"/>
              <w:rPr>
                <w:rFonts w:eastAsiaTheme="majorEastAsia" w:cstheme="majorBidi"/>
                <w:bCs/>
              </w:rPr>
            </w:pPr>
            <w:r w:rsidRPr="00551C76">
              <w:rPr>
                <w:rFonts w:cs="Arial"/>
              </w:rPr>
              <w:t>34 (7.89%)</w:t>
            </w:r>
          </w:p>
        </w:tc>
        <w:tc>
          <w:tcPr>
            <w:tcW w:w="1534"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spacing w:before="0" w:after="0"/>
              <w:jc w:val="center"/>
              <w:rPr>
                <w:rFonts w:eastAsiaTheme="majorEastAsia" w:cstheme="majorBidi"/>
                <w:bCs/>
              </w:rPr>
            </w:pPr>
            <w:r w:rsidRPr="00551C76">
              <w:rPr>
                <w:rFonts w:cs="Arial"/>
              </w:rPr>
              <w:t>25 (5.83%)</w:t>
            </w:r>
          </w:p>
        </w:tc>
        <w:tc>
          <w:tcPr>
            <w:tcW w:w="2573" w:type="dxa"/>
            <w:tcBorders>
              <w:left w:val="single" w:sz="4" w:space="0" w:color="auto"/>
            </w:tcBorders>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0.71 (0.42, 1.21)</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 xml:space="preserve">Main ITC (ozanimod [SUNBEAM] </w:t>
            </w:r>
            <w:r>
              <w:rPr>
                <w:rFonts w:ascii="Arial Narrow" w:eastAsiaTheme="majorEastAsia" w:hAnsi="Arial Narrow" w:cstheme="majorBidi"/>
                <w:bCs/>
                <w:sz w:val="20"/>
              </w:rPr>
              <w:t xml:space="preserve">vs. </w:t>
            </w:r>
            <w:r w:rsidRPr="00551C76">
              <w:rPr>
                <w:rFonts w:ascii="Arial Narrow" w:eastAsiaTheme="majorEastAsia" w:hAnsi="Arial Narrow" w:cstheme="majorBidi"/>
                <w:bCs/>
                <w:sz w:val="20"/>
              </w:rPr>
              <w:t>fingolimod)</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0.97 (0.40, 2.35)</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keepNext/>
              <w:widowControl w:val="0"/>
              <w:spacing w:before="0"/>
              <w:jc w:val="right"/>
              <w:rPr>
                <w:rFonts w:ascii="Arial Narrow" w:eastAsiaTheme="majorEastAsia" w:hAnsi="Arial Narrow" w:cstheme="majorBidi"/>
                <w:bCs/>
                <w:sz w:val="20"/>
              </w:rPr>
            </w:pPr>
            <w:r w:rsidRPr="00551C76">
              <w:rPr>
                <w:rFonts w:ascii="Arial Narrow" w:eastAsiaTheme="majorEastAsia" w:hAnsi="Arial Narrow" w:cstheme="majorBidi"/>
                <w:bCs/>
                <w:sz w:val="20"/>
              </w:rPr>
              <w:t xml:space="preserve">ITC sensitivity analysis (ozanimod [meta-analysis] </w:t>
            </w:r>
            <w:r>
              <w:rPr>
                <w:rFonts w:ascii="Arial Narrow" w:eastAsiaTheme="majorEastAsia" w:hAnsi="Arial Narrow" w:cstheme="majorBidi"/>
                <w:bCs/>
                <w:sz w:val="20"/>
              </w:rPr>
              <w:t xml:space="preserve">vs. </w:t>
            </w:r>
            <w:r w:rsidRPr="00551C76">
              <w:rPr>
                <w:rFonts w:ascii="Arial Narrow" w:eastAsiaTheme="majorEastAsia" w:hAnsi="Arial Narrow" w:cstheme="majorBidi"/>
                <w:bCs/>
                <w:sz w:val="20"/>
              </w:rPr>
              <w:t>fingolimod)</w:t>
            </w:r>
          </w:p>
        </w:tc>
        <w:tc>
          <w:tcPr>
            <w:tcW w:w="2573" w:type="dxa"/>
            <w:shd w:val="clear" w:color="auto" w:fill="auto"/>
            <w:vAlign w:val="center"/>
          </w:tcPr>
          <w:p w:rsidR="006559BD" w:rsidRPr="00551C76" w:rsidRDefault="006559BD" w:rsidP="002452FF">
            <w:pPr>
              <w:keepNext/>
              <w:widowControl w:val="0"/>
              <w:spacing w:before="0"/>
              <w:jc w:val="center"/>
              <w:rPr>
                <w:rFonts w:ascii="Arial Narrow" w:eastAsiaTheme="majorEastAsia" w:hAnsi="Arial Narrow" w:cstheme="majorBidi"/>
                <w:bCs/>
                <w:sz w:val="20"/>
              </w:rPr>
            </w:pPr>
            <w:r w:rsidRPr="00551C76">
              <w:rPr>
                <w:rFonts w:ascii="Arial Narrow" w:eastAsiaTheme="majorEastAsia" w:hAnsi="Arial Narrow" w:cstheme="majorBidi"/>
                <w:bCs/>
                <w:sz w:val="20"/>
              </w:rPr>
              <w:t>1.34 (0.71, 2.52)</w:t>
            </w:r>
          </w:p>
        </w:tc>
      </w:tr>
      <w:tr w:rsidR="006559BD" w:rsidRPr="00551C76" w:rsidTr="000A5230">
        <w:trPr>
          <w:jc w:val="center"/>
        </w:trPr>
        <w:tc>
          <w:tcPr>
            <w:tcW w:w="9068" w:type="dxa"/>
            <w:gridSpan w:val="5"/>
            <w:shd w:val="clear" w:color="auto" w:fill="auto"/>
            <w:vAlign w:val="center"/>
          </w:tcPr>
          <w:p w:rsidR="006559BD" w:rsidRPr="00551C76" w:rsidRDefault="006559BD" w:rsidP="002452FF">
            <w:pPr>
              <w:keepNext/>
              <w:widowControl w:val="0"/>
              <w:spacing w:before="0"/>
              <w:jc w:val="left"/>
              <w:rPr>
                <w:rFonts w:ascii="Arial Narrow" w:eastAsiaTheme="majorEastAsia" w:hAnsi="Arial Narrow" w:cstheme="majorBidi"/>
                <w:b/>
                <w:bCs/>
                <w:sz w:val="20"/>
              </w:rPr>
            </w:pPr>
            <w:r w:rsidRPr="00551C76">
              <w:rPr>
                <w:rFonts w:ascii="Arial Narrow" w:eastAsiaTheme="majorEastAsia" w:hAnsi="Arial Narrow" w:cstheme="majorBidi"/>
                <w:b/>
                <w:bCs/>
                <w:sz w:val="20"/>
              </w:rPr>
              <w:t>Number of new or enlarging hyperintense lesions on T2 weighted images, RR (95% CI)</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SUNBEAM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1.47 (1.20, 1.78)</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0"/>
              <w:keepLines/>
              <w:widowControl w:val="0"/>
              <w:jc w:val="center"/>
            </w:pPr>
            <w:r w:rsidRPr="00551C76">
              <w:rPr>
                <w:rFonts w:cs="Arial"/>
              </w:rPr>
              <w:t>2.84 (2.33, 3.45)</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0.52 (0.43, 0.63)</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pPr>
            <w:r w:rsidRPr="00551C76">
              <w:rPr>
                <w:noProof/>
              </w:rPr>
              <w:t xml:space="preserve">RADIANCE B </w:t>
            </w:r>
          </w:p>
        </w:tc>
        <w:tc>
          <w:tcPr>
            <w:tcW w:w="1643"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eastAsiaTheme="majorEastAsia"/>
                <w:bCs/>
              </w:rPr>
            </w:pPr>
            <w:r w:rsidRPr="00551C76">
              <w:rPr>
                <w:rFonts w:cs="Arial"/>
              </w:rPr>
              <w:t>1.84 (1.52, 2.21)</w:t>
            </w:r>
          </w:p>
        </w:tc>
        <w:tc>
          <w:tcPr>
            <w:tcW w:w="1842" w:type="dxa"/>
            <w:tcBorders>
              <w:top w:val="single" w:sz="4" w:space="0" w:color="auto"/>
              <w:left w:val="single" w:sz="4" w:space="0" w:color="auto"/>
              <w:bottom w:val="single" w:sz="4" w:space="0" w:color="auto"/>
              <w:right w:val="single" w:sz="4" w:space="0" w:color="auto"/>
            </w:tcBorders>
            <w:vAlign w:val="center"/>
          </w:tcPr>
          <w:p w:rsidR="006559BD" w:rsidRPr="00551C76" w:rsidRDefault="006559BD" w:rsidP="002452FF">
            <w:pPr>
              <w:pStyle w:val="TableText1"/>
              <w:widowControl w:val="0"/>
              <w:jc w:val="center"/>
              <w:rPr>
                <w:rFonts w:eastAsiaTheme="majorEastAsia"/>
                <w:bCs/>
              </w:rPr>
            </w:pPr>
            <w:r w:rsidRPr="00551C76">
              <w:rPr>
                <w:rFonts w:cs="Arial"/>
              </w:rPr>
              <w:t>3.18 (2.64, 3.84)</w:t>
            </w:r>
          </w:p>
        </w:tc>
        <w:tc>
          <w:tcPr>
            <w:tcW w:w="1534" w:type="dxa"/>
            <w:shd w:val="clear" w:color="auto" w:fill="auto"/>
            <w:vAlign w:val="center"/>
          </w:tcPr>
          <w:p w:rsidR="006559BD" w:rsidRPr="00551C76" w:rsidRDefault="006559BD" w:rsidP="002452FF">
            <w:pPr>
              <w:pStyle w:val="TableText0"/>
              <w:keepLines/>
              <w:widowControl w:val="0"/>
              <w:jc w:val="center"/>
            </w:pPr>
            <w:r w:rsidRPr="00551C76">
              <w:t>-</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0.58 (0.47, 0.71)</w:t>
            </w:r>
          </w:p>
        </w:tc>
      </w:tr>
      <w:tr w:rsidR="006559BD" w:rsidRPr="00551C76" w:rsidTr="000A5230">
        <w:trPr>
          <w:jc w:val="center"/>
        </w:trPr>
        <w:tc>
          <w:tcPr>
            <w:tcW w:w="6495" w:type="dxa"/>
            <w:gridSpan w:val="4"/>
            <w:vAlign w:val="center"/>
          </w:tcPr>
          <w:p w:rsidR="006559BD" w:rsidRPr="00551C76" w:rsidRDefault="006559BD" w:rsidP="002452FF">
            <w:pPr>
              <w:pStyle w:val="TableText0"/>
              <w:keepLines/>
              <w:widowControl w:val="0"/>
              <w:jc w:val="right"/>
            </w:pPr>
            <w:r w:rsidRPr="00551C76">
              <w:t>Meta-analysis of ozanimod trials (Chi2</w:t>
            </w:r>
            <w:r>
              <w:t>= </w:t>
            </w:r>
            <w:r w:rsidRPr="00551C76">
              <w:t xml:space="preserve">0.60; I2 </w:t>
            </w:r>
            <w:r>
              <w:t>= </w:t>
            </w:r>
            <w:r w:rsidRPr="00551C76">
              <w:t>0%; P</w:t>
            </w:r>
            <w:r>
              <w:t>= </w:t>
            </w:r>
            <w:r w:rsidRPr="00551C76">
              <w:t>0.44)</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0.54 (0.47, 0.62)</w:t>
            </w:r>
          </w:p>
        </w:tc>
      </w:tr>
      <w:tr w:rsidR="006559BD" w:rsidRPr="00551C76" w:rsidTr="000A5230">
        <w:trPr>
          <w:jc w:val="center"/>
        </w:trPr>
        <w:tc>
          <w:tcPr>
            <w:tcW w:w="1476" w:type="dxa"/>
            <w:vAlign w:val="center"/>
          </w:tcPr>
          <w:p w:rsidR="006559BD" w:rsidRPr="00551C76" w:rsidRDefault="006559BD" w:rsidP="002452FF">
            <w:pPr>
              <w:pStyle w:val="TableText0"/>
              <w:keepLines/>
              <w:widowControl w:val="0"/>
              <w:rPr>
                <w:noProof/>
              </w:rPr>
            </w:pPr>
            <w:r w:rsidRPr="00551C76">
              <w:rPr>
                <w:noProof/>
              </w:rPr>
              <w:t xml:space="preserve">TRANSFORMS </w:t>
            </w:r>
          </w:p>
        </w:tc>
        <w:tc>
          <w:tcPr>
            <w:tcW w:w="1643" w:type="dxa"/>
            <w:shd w:val="clear" w:color="auto" w:fill="auto"/>
            <w:vAlign w:val="center"/>
          </w:tcPr>
          <w:p w:rsidR="006559BD" w:rsidRPr="00551C76" w:rsidRDefault="006559BD" w:rsidP="002452FF">
            <w:pPr>
              <w:pStyle w:val="TableText0"/>
              <w:keepLines/>
              <w:widowControl w:val="0"/>
              <w:jc w:val="center"/>
            </w:pPr>
            <w:r w:rsidRPr="00551C76">
              <w:t>-</w:t>
            </w:r>
          </w:p>
        </w:tc>
        <w:tc>
          <w:tcPr>
            <w:tcW w:w="1842" w:type="dxa"/>
            <w:shd w:val="clear" w:color="auto" w:fill="auto"/>
            <w:vAlign w:val="center"/>
          </w:tcPr>
          <w:p w:rsidR="006559BD" w:rsidRPr="00551C76" w:rsidRDefault="006559BD" w:rsidP="002452FF">
            <w:pPr>
              <w:pStyle w:val="TableText0"/>
              <w:keepLines/>
              <w:widowControl w:val="0"/>
              <w:jc w:val="center"/>
            </w:pPr>
            <w:r w:rsidRPr="00551C76">
              <w:t>2.60 (2.00, 3.20)</w:t>
            </w:r>
          </w:p>
        </w:tc>
        <w:tc>
          <w:tcPr>
            <w:tcW w:w="1534" w:type="dxa"/>
            <w:shd w:val="clear" w:color="auto" w:fill="auto"/>
            <w:vAlign w:val="center"/>
          </w:tcPr>
          <w:p w:rsidR="006559BD" w:rsidRPr="00551C76" w:rsidRDefault="006559BD" w:rsidP="002452FF">
            <w:pPr>
              <w:pStyle w:val="TableText0"/>
              <w:keepLines/>
              <w:widowControl w:val="0"/>
            </w:pPr>
            <w:r w:rsidRPr="00551C76">
              <w:t>1.70 (1.30, 2.10)</w:t>
            </w:r>
          </w:p>
        </w:tc>
        <w:tc>
          <w:tcPr>
            <w:tcW w:w="2573" w:type="dxa"/>
            <w:shd w:val="clear" w:color="auto" w:fill="auto"/>
            <w:vAlign w:val="center"/>
          </w:tcPr>
          <w:p w:rsidR="006559BD" w:rsidRPr="00551C76" w:rsidRDefault="006559BD" w:rsidP="002452FF">
            <w:pPr>
              <w:pStyle w:val="TableText0"/>
              <w:keepLines/>
              <w:widowControl w:val="0"/>
              <w:jc w:val="center"/>
              <w:rPr>
                <w:b/>
              </w:rPr>
            </w:pPr>
            <w:r w:rsidRPr="00551C76">
              <w:rPr>
                <w:b/>
              </w:rPr>
              <w:t>0.65 (0.49, 0.87)</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pStyle w:val="TableText0"/>
              <w:keepLines/>
              <w:widowControl w:val="0"/>
              <w:jc w:val="right"/>
            </w:pPr>
            <w:r w:rsidRPr="00551C76">
              <w:rPr>
                <w:bCs w:val="0"/>
              </w:rPr>
              <w:t xml:space="preserve">Main ITC (ozanimod [SUNBEAM] </w:t>
            </w:r>
            <w:r>
              <w:rPr>
                <w:bCs w:val="0"/>
              </w:rPr>
              <w:t xml:space="preserve">vs. </w:t>
            </w:r>
            <w:r w:rsidRPr="00551C76">
              <w:rPr>
                <w:bCs w:val="0"/>
              </w:rPr>
              <w:t>fingolimod)</w:t>
            </w:r>
          </w:p>
        </w:tc>
        <w:tc>
          <w:tcPr>
            <w:tcW w:w="2573" w:type="dxa"/>
            <w:shd w:val="clear" w:color="auto" w:fill="auto"/>
            <w:vAlign w:val="center"/>
          </w:tcPr>
          <w:p w:rsidR="006559BD" w:rsidRPr="00551C76" w:rsidRDefault="006559BD" w:rsidP="002452FF">
            <w:pPr>
              <w:pStyle w:val="TableText0"/>
              <w:keepLines/>
              <w:widowControl w:val="0"/>
              <w:jc w:val="center"/>
            </w:pPr>
            <w:r w:rsidRPr="00551C76">
              <w:t>0.79 (0.56, 1.12)</w:t>
            </w:r>
          </w:p>
        </w:tc>
      </w:tr>
      <w:tr w:rsidR="006559BD" w:rsidRPr="00551C76" w:rsidTr="000A5230">
        <w:trPr>
          <w:jc w:val="center"/>
        </w:trPr>
        <w:tc>
          <w:tcPr>
            <w:tcW w:w="6495" w:type="dxa"/>
            <w:gridSpan w:val="4"/>
            <w:shd w:val="clear" w:color="auto" w:fill="auto"/>
            <w:vAlign w:val="center"/>
          </w:tcPr>
          <w:p w:rsidR="006559BD" w:rsidRPr="00551C76" w:rsidRDefault="006559BD" w:rsidP="002452FF">
            <w:pPr>
              <w:pStyle w:val="TableText0"/>
              <w:keepLines/>
              <w:widowControl w:val="0"/>
              <w:jc w:val="right"/>
            </w:pPr>
            <w:r w:rsidRPr="00551C76">
              <w:rPr>
                <w:bCs w:val="0"/>
              </w:rPr>
              <w:t xml:space="preserve">ITC sensitivity analysis (ozanimod [meta-analysis] </w:t>
            </w:r>
            <w:r>
              <w:rPr>
                <w:bCs w:val="0"/>
              </w:rPr>
              <w:t xml:space="preserve">vs. </w:t>
            </w:r>
            <w:r w:rsidRPr="00551C76">
              <w:rPr>
                <w:bCs w:val="0"/>
              </w:rPr>
              <w:t>fingolimod)</w:t>
            </w:r>
          </w:p>
        </w:tc>
        <w:tc>
          <w:tcPr>
            <w:tcW w:w="2573" w:type="dxa"/>
            <w:shd w:val="clear" w:color="auto" w:fill="auto"/>
            <w:vAlign w:val="center"/>
          </w:tcPr>
          <w:p w:rsidR="006559BD" w:rsidRPr="00551C76" w:rsidRDefault="006559BD" w:rsidP="002452FF">
            <w:pPr>
              <w:pStyle w:val="TableText0"/>
              <w:keepLines/>
              <w:widowControl w:val="0"/>
              <w:jc w:val="center"/>
            </w:pPr>
            <w:r w:rsidRPr="00551C76">
              <w:t>0.83 (0.60, 1.14)</w:t>
            </w:r>
          </w:p>
        </w:tc>
      </w:tr>
    </w:tbl>
    <w:p w:rsidR="006559BD" w:rsidRPr="00551C76" w:rsidRDefault="006559BD" w:rsidP="002452FF">
      <w:pPr>
        <w:pStyle w:val="TableFigureFooter"/>
        <w:keepNext/>
        <w:widowControl w:val="0"/>
      </w:pPr>
      <w:r w:rsidRPr="00551C76">
        <w:t xml:space="preserve">Source: Table 66, </w:t>
      </w:r>
      <w:r>
        <w:t>p</w:t>
      </w:r>
      <w:r w:rsidRPr="00551C76">
        <w:t xml:space="preserve">107; Table 67, </w:t>
      </w:r>
      <w:r>
        <w:t>p</w:t>
      </w:r>
      <w:r w:rsidRPr="00551C76">
        <w:t xml:space="preserve">108; and Table 68, </w:t>
      </w:r>
      <w:r>
        <w:t>p</w:t>
      </w:r>
      <w:r w:rsidRPr="00551C76">
        <w:t>109 of the submission</w:t>
      </w:r>
      <w:r>
        <w:t>.</w:t>
      </w:r>
    </w:p>
    <w:p w:rsidR="006559BD" w:rsidRPr="00551C76" w:rsidRDefault="006559BD" w:rsidP="002452FF">
      <w:pPr>
        <w:pStyle w:val="TableFigureFooter"/>
        <w:keepNext/>
        <w:widowControl w:val="0"/>
      </w:pPr>
      <w:r w:rsidRPr="00551C76">
        <w:t xml:space="preserve">HR </w:t>
      </w:r>
      <w:r>
        <w:t>= hazard ratio;</w:t>
      </w:r>
      <w:r w:rsidRPr="00551C76">
        <w:t xml:space="preserve"> IFN </w:t>
      </w:r>
      <w:r>
        <w:t>= interferon;</w:t>
      </w:r>
      <w:r w:rsidRPr="00551C76">
        <w:t xml:space="preserve"> ITC </w:t>
      </w:r>
      <w:r>
        <w:t xml:space="preserve">= indirect treatment comparison; MRI = magnetic resonance imaging; </w:t>
      </w:r>
      <w:r w:rsidRPr="00551C76">
        <w:t xml:space="preserve">RR </w:t>
      </w:r>
      <w:r>
        <w:t>= rate-ratio; vs. = versus</w:t>
      </w:r>
    </w:p>
    <w:p w:rsidR="006559BD" w:rsidRPr="00551C76" w:rsidRDefault="006559BD" w:rsidP="002452FF">
      <w:pPr>
        <w:pStyle w:val="TableFigureFooter"/>
        <w:keepNext/>
        <w:widowControl w:val="0"/>
      </w:pPr>
      <w:r w:rsidRPr="00551C76">
        <w:t>Note: Bolded values indicate statistically significant difference</w:t>
      </w:r>
    </w:p>
    <w:p w:rsidR="00B37CFD" w:rsidRDefault="006559BD" w:rsidP="002452FF">
      <w:pPr>
        <w:pStyle w:val="TableFigureFooter"/>
        <w:keepNext/>
        <w:widowControl w:val="0"/>
      </w:pPr>
      <w:r w:rsidRPr="00551C76">
        <w:t xml:space="preserve">Note: Rate-ratio or hazard ratio </w:t>
      </w:r>
      <w:r>
        <w:t>&lt; </w:t>
      </w:r>
      <w:r w:rsidRPr="00551C76">
        <w:t xml:space="preserve">1 favours ozanimod/fingolimod in the direct comparisons or ozanimod in the ITC. </w:t>
      </w:r>
    </w:p>
    <w:p w:rsidR="006559BD" w:rsidRPr="00AE2F8B" w:rsidRDefault="006559BD" w:rsidP="00786D71">
      <w:pPr>
        <w:pStyle w:val="3-BodyText"/>
      </w:pPr>
      <w:r w:rsidRPr="00551C76">
        <w:t xml:space="preserve">Treatment with ozanimod was associated with a statistically significant reduction in ARR and a reduction in the number of new or enlarging hyperintense lesions on T2 weighted images on MRI (referred to hereafter as “MRI outcomes”) compared with IFN-β1a. </w:t>
      </w:r>
      <w:r w:rsidRPr="00551C76">
        <w:rPr>
          <w:color w:val="000000" w:themeColor="text1"/>
        </w:rPr>
        <w:t>There was no statistically significant difference in confirmed 3</w:t>
      </w:r>
      <w:r w:rsidRPr="00551C76">
        <w:rPr>
          <w:color w:val="000000" w:themeColor="text1"/>
        </w:rPr>
        <w:noBreakHyphen/>
        <w:t>month disability progression events between ozanimod and IFN-β1a. The hazard ratio for confirmed 3-month disability progression favoured ozanimod in the SUNBEAM trial (hazard ratio</w:t>
      </w:r>
      <w:r>
        <w:rPr>
          <w:color w:val="000000" w:themeColor="text1"/>
        </w:rPr>
        <w:t>:</w:t>
      </w:r>
      <w:r w:rsidRPr="00551C76">
        <w:rPr>
          <w:color w:val="000000" w:themeColor="text1"/>
        </w:rPr>
        <w:t xml:space="preserve"> 0.69 over 12 </w:t>
      </w:r>
      <w:r w:rsidRPr="00551C76">
        <w:t xml:space="preserve">months) but </w:t>
      </w:r>
      <w:r>
        <w:t>was neutral</w:t>
      </w:r>
      <w:r w:rsidRPr="00551C76">
        <w:t xml:space="preserve"> in the RADIANCE B trial (hazard ratio</w:t>
      </w:r>
      <w:r>
        <w:t>:</w:t>
      </w:r>
      <w:r w:rsidRPr="00551C76">
        <w:t xml:space="preserve"> 1.05 over 2 years). The submission </w:t>
      </w:r>
      <w:r>
        <w:t>argued</w:t>
      </w:r>
      <w:r w:rsidRPr="00551C76">
        <w:t xml:space="preserve"> disability progression may take several years to accumulate and as such it is challenging to measure in trials due to limitations of the EDSS instrument and relatively shorter trial durations.</w:t>
      </w:r>
      <w:r>
        <w:t xml:space="preserve"> </w:t>
      </w:r>
      <w:bookmarkStart w:id="26" w:name="_Hlk30147330"/>
      <w:r w:rsidRPr="00CB28B2">
        <w:t xml:space="preserve">This claim was reasonable as the trials were not powered to detect differences in disability progression </w:t>
      </w:r>
      <w:r w:rsidR="008818E2" w:rsidRPr="00CB28B2">
        <w:t>and the</w:t>
      </w:r>
      <w:r w:rsidRPr="00CB28B2">
        <w:t xml:space="preserve"> low sensitivity of the EDSS </w:t>
      </w:r>
      <w:r w:rsidRPr="00CB28B2">
        <w:rPr>
          <w:noProof/>
        </w:rPr>
        <w:t>(Uitdehaag, 2018)</w:t>
      </w:r>
      <w:r w:rsidRPr="00CB28B2">
        <w:t xml:space="preserve">. </w:t>
      </w:r>
      <w:bookmarkEnd w:id="26"/>
      <w:r w:rsidRPr="00CB28B2">
        <w:t xml:space="preserve">However, the proportion of patients with 3-month confirmed disability progression in the longer </w:t>
      </w:r>
      <w:r w:rsidRPr="00AE2F8B">
        <w:t>RADIANCE B trial was similar in</w:t>
      </w:r>
      <w:r w:rsidR="00CB444B">
        <w:t xml:space="preserve"> the ozanimod and IFN-β1a arms.</w:t>
      </w:r>
      <w:r w:rsidRPr="00AE2F8B">
        <w:t xml:space="preserve"> </w:t>
      </w:r>
      <w:r w:rsidR="00634E68" w:rsidRPr="00AE2F8B">
        <w:t>The ESC considered that, on balance, the evidence supported ozanimod having superior effectiveness compared to IFN-β1a.</w:t>
      </w:r>
    </w:p>
    <w:p w:rsidR="006559BD" w:rsidRPr="00AE2F8B" w:rsidRDefault="006559BD" w:rsidP="00AB2859">
      <w:pPr>
        <w:pStyle w:val="3-BodyText"/>
      </w:pPr>
      <w:r w:rsidRPr="00AE2F8B">
        <w:t>The main ITC between ozanimod and fingolimod found no statistically significant difference in ARR, disability progression, or MRI outcomes</w:t>
      </w:r>
      <w:r w:rsidR="008314D8" w:rsidRPr="00AE2F8B">
        <w:t xml:space="preserve">, </w:t>
      </w:r>
      <w:r w:rsidR="004B5641">
        <w:t>with</w:t>
      </w:r>
      <w:r w:rsidR="004B5641" w:rsidRPr="00AE2F8B">
        <w:t xml:space="preserve"> </w:t>
      </w:r>
      <w:r w:rsidR="004312D0" w:rsidRPr="00AE2F8B">
        <w:t xml:space="preserve">the point estimates </w:t>
      </w:r>
      <w:r w:rsidR="008314D8" w:rsidRPr="00AE2F8B">
        <w:t xml:space="preserve">numerically favoured ozanimod </w:t>
      </w:r>
      <w:r w:rsidR="00377619" w:rsidRPr="00AE2F8B">
        <w:t xml:space="preserve">marginally </w:t>
      </w:r>
      <w:r w:rsidR="008314D8" w:rsidRPr="00AE2F8B">
        <w:t>for</w:t>
      </w:r>
      <w:r w:rsidR="00AB2859" w:rsidRPr="00AE2F8B">
        <w:t xml:space="preserve"> two of the three </w:t>
      </w:r>
      <w:r w:rsidR="008314D8" w:rsidRPr="00AE2F8B">
        <w:t xml:space="preserve">outcomes </w:t>
      </w:r>
      <w:r w:rsidR="00AB2859" w:rsidRPr="00AE2F8B">
        <w:t>(</w:t>
      </w:r>
      <w:r w:rsidR="008314D8" w:rsidRPr="00AE2F8B">
        <w:t xml:space="preserve">disability </w:t>
      </w:r>
      <w:r w:rsidR="008314D8" w:rsidRPr="00AE2F8B">
        <w:lastRenderedPageBreak/>
        <w:t>progression and MRI outcomes</w:t>
      </w:r>
      <w:r w:rsidR="00AB2859" w:rsidRPr="00AE2F8B">
        <w:t>)</w:t>
      </w:r>
      <w:r w:rsidRPr="00AE2F8B">
        <w:t>. The ITC sensitivity analysis, which included both ozanimod trials, also found no statistically significant difference in ARR, disability progression, or MRI outcomes, however the point estimates shifted further in favour of fingolimod</w:t>
      </w:r>
      <w:r w:rsidR="008314D8" w:rsidRPr="00AE2F8B">
        <w:t xml:space="preserve"> for ARR, favoured fingolimod for disability progression, and continued to favour ozanimod for MRI outcomes</w:t>
      </w:r>
      <w:r w:rsidRPr="00AE2F8B">
        <w:t>. The disability progression rates differed between the IFN</w:t>
      </w:r>
      <w:r w:rsidRPr="00AE2F8B">
        <w:noBreakHyphen/>
        <w:t xml:space="preserve">β1a arms of the SUNBEAM and TRANSFORMS trials (4.2% vs. 7.9%, respectively) although the trials were of a similar duration. This may suggest patients in the TRANSFORMS trial were at a greater risk of worsening disability. </w:t>
      </w:r>
      <w:r w:rsidR="00AB2859" w:rsidRPr="00AE2F8B">
        <w:t xml:space="preserve">The ESC noted patients in the TRANSFORMS trial had a higher use of prior DMTs at baseline (paragraph </w:t>
      </w:r>
      <w:r w:rsidR="00716BE4">
        <w:t>6.9</w:t>
      </w:r>
      <w:r w:rsidR="00AB2859" w:rsidRPr="00AE2F8B">
        <w:t xml:space="preserve">) which </w:t>
      </w:r>
      <w:r w:rsidR="00DA6568" w:rsidRPr="00AE2F8B">
        <w:t xml:space="preserve">may further indicate these patients are </w:t>
      </w:r>
      <w:r w:rsidR="00AB2859" w:rsidRPr="00AE2F8B">
        <w:t xml:space="preserve">at </w:t>
      </w:r>
      <w:r w:rsidR="00DA6568" w:rsidRPr="00AE2F8B">
        <w:t xml:space="preserve">a </w:t>
      </w:r>
      <w:r w:rsidR="00AB2859" w:rsidRPr="00AE2F8B">
        <w:t xml:space="preserve">greater risk of worsening disability. </w:t>
      </w:r>
    </w:p>
    <w:p w:rsidR="006559BD" w:rsidRPr="00AE2F8B" w:rsidRDefault="006559BD" w:rsidP="000A5230">
      <w:pPr>
        <w:pStyle w:val="3-BodyText"/>
        <w:rPr>
          <w:color w:val="000000" w:themeColor="text1"/>
        </w:rPr>
      </w:pPr>
      <w:r w:rsidRPr="00AE2F8B">
        <w:t>The submission argued the lack of statistically significant differences across ARR, 3-month confirmed disability progression and lesion outcomes in the ITC supported the claim of non-inferiority. The submission did not nominate a non</w:t>
      </w:r>
      <w:r w:rsidRPr="00AE2F8B">
        <w:noBreakHyphen/>
        <w:t xml:space="preserve">inferiority margin. The </w:t>
      </w:r>
      <w:r w:rsidR="001A1DD7" w:rsidRPr="00AE2F8B">
        <w:t xml:space="preserve">ESC noted the </w:t>
      </w:r>
      <w:r w:rsidRPr="00AE2F8B">
        <w:t xml:space="preserve">confidence intervals in the ITC were wide and greater than the minimal clinically important differences (MCIDs) for RRMS previously presented to the PBAC. </w:t>
      </w:r>
    </w:p>
    <w:p w:rsidR="001A1DD7" w:rsidRPr="00AE2F8B" w:rsidRDefault="001A1DD7" w:rsidP="00433173">
      <w:pPr>
        <w:pStyle w:val="3-BodyText"/>
        <w:rPr>
          <w:color w:val="000000" w:themeColor="text1"/>
        </w:rPr>
      </w:pPr>
      <w:r w:rsidRPr="00AE2F8B">
        <w:rPr>
          <w:color w:val="000000" w:themeColor="text1"/>
        </w:rPr>
        <w:t>The ESC noted the PBAC has not previously specified an acceptable non-inferiority margin for ARR for RRMS.</w:t>
      </w:r>
      <w:r w:rsidR="0092114E" w:rsidRPr="00AE2F8B">
        <w:rPr>
          <w:color w:val="000000" w:themeColor="text1"/>
        </w:rPr>
        <w:t xml:space="preserve"> </w:t>
      </w:r>
      <w:r w:rsidR="0092114E" w:rsidRPr="00AE2F8B">
        <w:t xml:space="preserve">MCIDs for ARR previously considered, but not formally accepted by the PBAC for RRMS included 1.46 (paragraph 6.3, cladribine PSD, July 2018 PBAC meeting) and 1.23 (paragraph 6.14, ocrelizumab PSD, July 2017 PBAC meeting).  </w:t>
      </w:r>
    </w:p>
    <w:p w:rsidR="00CF11D6" w:rsidRPr="00AE2F8B" w:rsidRDefault="00877EA4" w:rsidP="000A5230">
      <w:pPr>
        <w:pStyle w:val="3-BodyText"/>
        <w:rPr>
          <w:color w:val="000000" w:themeColor="text1"/>
        </w:rPr>
      </w:pPr>
      <w:r w:rsidRPr="00AE2F8B">
        <w:t xml:space="preserve">The ESC agreed with the PSCR that the results from the main ITC </w:t>
      </w:r>
      <w:r w:rsidR="00DA4CDB" w:rsidRPr="00AE2F8B">
        <w:t xml:space="preserve">of the SUNBEAM and TRANSFORMS trials </w:t>
      </w:r>
      <w:r w:rsidRPr="00AE2F8B">
        <w:t>were the most reliable basis upon which to consider the comparative effectiveness of ozanimod and fingolimod.</w:t>
      </w:r>
      <w:r w:rsidR="00CF11D6" w:rsidRPr="00AE2F8B">
        <w:t xml:space="preserve"> The ESC noted there were no statistically significant differences in any of the primary or secondary efficacy outcomes in the main ITC or the sensitivity analysis</w:t>
      </w:r>
      <w:r w:rsidR="00DA6568" w:rsidRPr="00AE2F8B">
        <w:t xml:space="preserve"> using </w:t>
      </w:r>
      <w:r w:rsidR="00CF11D6" w:rsidRPr="00AE2F8B">
        <w:t>the meta-analysed SUNBEAM and RADIANCE-B trials</w:t>
      </w:r>
      <w:r w:rsidR="00DA4CDB" w:rsidRPr="00AE2F8B">
        <w:t>.</w:t>
      </w:r>
    </w:p>
    <w:p w:rsidR="006559BD" w:rsidRPr="00551C76" w:rsidRDefault="006559BD" w:rsidP="000A5230">
      <w:pPr>
        <w:pStyle w:val="4-SubsectionHeading"/>
      </w:pPr>
      <w:bookmarkStart w:id="27" w:name="_Toc22897642"/>
      <w:bookmarkStart w:id="28" w:name="_Toc30410048"/>
      <w:r w:rsidRPr="00551C76">
        <w:t>Comparative harms</w:t>
      </w:r>
      <w:bookmarkEnd w:id="27"/>
      <w:bookmarkEnd w:id="28"/>
    </w:p>
    <w:p w:rsidR="006559BD" w:rsidRPr="00E07071" w:rsidRDefault="00DC6727" w:rsidP="000A5230">
      <w:pPr>
        <w:pStyle w:val="3-BodyText"/>
        <w:rPr>
          <w:color w:val="0066FF"/>
        </w:rPr>
      </w:pPr>
      <w:r>
        <w:rPr>
          <w:color w:val="000000" w:themeColor="text1"/>
        </w:rPr>
        <w:t xml:space="preserve">Table </w:t>
      </w:r>
      <w:r w:rsidR="00275A40">
        <w:rPr>
          <w:color w:val="000000" w:themeColor="text1"/>
        </w:rPr>
        <w:t>6</w:t>
      </w:r>
      <w:r w:rsidR="006559BD">
        <w:rPr>
          <w:color w:val="000000" w:themeColor="text1"/>
        </w:rPr>
        <w:t xml:space="preserve"> presents a summary of key adverse events (AEs) from the ozanimod trials. </w:t>
      </w:r>
    </w:p>
    <w:p w:rsidR="006559BD" w:rsidRDefault="00DC6727" w:rsidP="00786D71">
      <w:pPr>
        <w:keepNext/>
        <w:widowControl w:val="0"/>
        <w:spacing w:before="0"/>
        <w:jc w:val="left"/>
        <w:rPr>
          <w:rFonts w:ascii="Arial Narrow" w:eastAsiaTheme="majorEastAsia" w:hAnsi="Arial Narrow" w:cstheme="majorBidi"/>
          <w:b/>
          <w:bCs/>
          <w:sz w:val="20"/>
        </w:rPr>
      </w:pPr>
      <w:r>
        <w:rPr>
          <w:rFonts w:ascii="Arial Narrow" w:eastAsiaTheme="majorEastAsia" w:hAnsi="Arial Narrow" w:cstheme="majorBidi"/>
          <w:b/>
          <w:bCs/>
          <w:sz w:val="20"/>
        </w:rPr>
        <w:lastRenderedPageBreak/>
        <w:t xml:space="preserve">Table </w:t>
      </w:r>
      <w:r w:rsidR="00275A40">
        <w:rPr>
          <w:rFonts w:ascii="Arial Narrow" w:eastAsiaTheme="majorEastAsia" w:hAnsi="Arial Narrow" w:cstheme="majorBidi"/>
          <w:b/>
          <w:bCs/>
          <w:sz w:val="20"/>
        </w:rPr>
        <w:t>6</w:t>
      </w:r>
      <w:r w:rsidR="006559BD" w:rsidRPr="00551C76">
        <w:rPr>
          <w:rFonts w:ascii="Arial Narrow" w:eastAsiaTheme="majorEastAsia" w:hAnsi="Arial Narrow" w:cstheme="majorBidi"/>
          <w:b/>
          <w:bCs/>
          <w:sz w:val="20"/>
        </w:rPr>
        <w:t>: Summary of key adverse events in the ozanimod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29"/>
        <w:gridCol w:w="1230"/>
        <w:gridCol w:w="1230"/>
        <w:gridCol w:w="1230"/>
        <w:gridCol w:w="1230"/>
        <w:gridCol w:w="1230"/>
      </w:tblGrid>
      <w:tr w:rsidR="006559BD" w:rsidRPr="005525F9" w:rsidTr="000A5230">
        <w:trPr>
          <w:tblHeader/>
        </w:trPr>
        <w:tc>
          <w:tcPr>
            <w:tcW w:w="1638" w:type="dxa"/>
            <w:vMerge w:val="restart"/>
            <w:vAlign w:val="center"/>
          </w:tcPr>
          <w:p w:rsidR="006559BD" w:rsidRPr="005525F9" w:rsidRDefault="006559BD" w:rsidP="00786D71">
            <w:pPr>
              <w:pStyle w:val="In-tableHeading"/>
              <w:keepLines/>
              <w:widowControl w:val="0"/>
              <w:rPr>
                <w:lang w:val="en-AU"/>
              </w:rPr>
            </w:pPr>
          </w:p>
        </w:tc>
        <w:tc>
          <w:tcPr>
            <w:tcW w:w="3689" w:type="dxa"/>
            <w:gridSpan w:val="3"/>
            <w:vAlign w:val="center"/>
          </w:tcPr>
          <w:p w:rsidR="006559BD" w:rsidRPr="005525F9" w:rsidRDefault="006559BD" w:rsidP="00786D71">
            <w:pPr>
              <w:pStyle w:val="In-tableHeading"/>
              <w:keepLines/>
              <w:widowControl w:val="0"/>
              <w:jc w:val="center"/>
              <w:rPr>
                <w:lang w:val="en-AU"/>
              </w:rPr>
            </w:pPr>
            <w:r w:rsidRPr="005525F9">
              <w:rPr>
                <w:lang w:val="en-AU"/>
              </w:rPr>
              <w:t>SUNBEAM (at least 12 months)</w:t>
            </w:r>
          </w:p>
        </w:tc>
        <w:tc>
          <w:tcPr>
            <w:tcW w:w="3690" w:type="dxa"/>
            <w:gridSpan w:val="3"/>
            <w:vAlign w:val="center"/>
          </w:tcPr>
          <w:p w:rsidR="006559BD" w:rsidRPr="005525F9" w:rsidRDefault="006559BD" w:rsidP="00786D71">
            <w:pPr>
              <w:pStyle w:val="In-tableHeading"/>
              <w:keepLines/>
              <w:widowControl w:val="0"/>
              <w:jc w:val="center"/>
              <w:rPr>
                <w:lang w:val="en-AU"/>
              </w:rPr>
            </w:pPr>
            <w:r w:rsidRPr="005525F9">
              <w:rPr>
                <w:lang w:val="en-AU"/>
              </w:rPr>
              <w:t>RADIANCE B (24 months)</w:t>
            </w:r>
          </w:p>
        </w:tc>
      </w:tr>
      <w:tr w:rsidR="006559BD" w:rsidRPr="005525F9" w:rsidTr="000A5230">
        <w:trPr>
          <w:tblHeader/>
        </w:trPr>
        <w:tc>
          <w:tcPr>
            <w:tcW w:w="1638" w:type="dxa"/>
            <w:vMerge/>
            <w:vAlign w:val="center"/>
          </w:tcPr>
          <w:p w:rsidR="006559BD" w:rsidRPr="005525F9" w:rsidRDefault="006559BD" w:rsidP="00786D71">
            <w:pPr>
              <w:pStyle w:val="In-tableHeading"/>
              <w:keepLines/>
              <w:widowControl w:val="0"/>
              <w:rPr>
                <w:lang w:val="en-AU"/>
              </w:rPr>
            </w:pPr>
          </w:p>
        </w:tc>
        <w:tc>
          <w:tcPr>
            <w:tcW w:w="1229" w:type="dxa"/>
            <w:vAlign w:val="center"/>
          </w:tcPr>
          <w:p w:rsidR="006559BD" w:rsidRPr="005525F9" w:rsidRDefault="006559BD" w:rsidP="00786D71">
            <w:pPr>
              <w:pStyle w:val="In-tableHeading"/>
              <w:keepLines/>
              <w:widowControl w:val="0"/>
              <w:jc w:val="center"/>
              <w:rPr>
                <w:lang w:val="en-AU"/>
              </w:rPr>
            </w:pPr>
            <w:r w:rsidRPr="005525F9">
              <w:rPr>
                <w:lang w:val="en-AU"/>
              </w:rPr>
              <w:t>Ozanimod 0.92 mg</w:t>
            </w:r>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IFN</w:t>
            </w:r>
            <w:r w:rsidRPr="005525F9">
              <w:rPr>
                <w:lang w:val="en-AU"/>
              </w:rPr>
              <w:noBreakHyphen/>
              <w:t>β1a 30 μg</w:t>
            </w:r>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RD (95%CI)</w:t>
            </w:r>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Ozanimod 0.92 mg</w:t>
            </w:r>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IFN-β1a 30 μg</w:t>
            </w:r>
          </w:p>
        </w:tc>
        <w:tc>
          <w:tcPr>
            <w:tcW w:w="1230" w:type="dxa"/>
            <w:vAlign w:val="center"/>
          </w:tcPr>
          <w:p w:rsidR="006559BD" w:rsidRPr="005525F9" w:rsidRDefault="006559BD" w:rsidP="00786D71">
            <w:pPr>
              <w:pStyle w:val="In-tableHeading"/>
              <w:keepLines/>
              <w:widowControl w:val="0"/>
              <w:jc w:val="center"/>
              <w:rPr>
                <w:lang w:val="en-AU"/>
              </w:rPr>
            </w:pPr>
            <w:r w:rsidRPr="005525F9">
              <w:rPr>
                <w:lang w:val="en-AU"/>
              </w:rPr>
              <w:t>RD (95%CI)</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N</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448</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445</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c>
          <w:tcPr>
            <w:tcW w:w="1230" w:type="dxa"/>
            <w:vAlign w:val="center"/>
          </w:tcPr>
          <w:p w:rsidR="006559BD" w:rsidRPr="005525F9" w:rsidRDefault="006559BD" w:rsidP="00786D71">
            <w:pPr>
              <w:pStyle w:val="TableText0"/>
              <w:keepLines/>
              <w:widowControl w:val="0"/>
              <w:jc w:val="center"/>
            </w:pPr>
            <w:r w:rsidRPr="005525F9">
              <w:t>434</w:t>
            </w:r>
          </w:p>
        </w:tc>
        <w:tc>
          <w:tcPr>
            <w:tcW w:w="1230" w:type="dxa"/>
            <w:vAlign w:val="center"/>
          </w:tcPr>
          <w:p w:rsidR="006559BD" w:rsidRPr="005525F9" w:rsidRDefault="006559BD" w:rsidP="00786D71">
            <w:pPr>
              <w:pStyle w:val="TableText0"/>
              <w:keepLines/>
              <w:widowControl w:val="0"/>
              <w:jc w:val="center"/>
            </w:pPr>
            <w:r w:rsidRPr="005525F9">
              <w:t>440</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Follow up, median days (range)</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413</w:t>
            </w:r>
          </w:p>
          <w:p w:rsidR="006559BD" w:rsidRPr="005525F9" w:rsidRDefault="006559BD" w:rsidP="00786D71">
            <w:pPr>
              <w:pStyle w:val="TableText0"/>
              <w:keepLines/>
              <w:widowControl w:val="0"/>
              <w:jc w:val="center"/>
              <w:rPr>
                <w:noProof/>
              </w:rPr>
            </w:pPr>
            <w:r w:rsidRPr="005525F9">
              <w:rPr>
                <w:noProof/>
              </w:rPr>
              <w:t>(4, 671)</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414</w:t>
            </w:r>
          </w:p>
          <w:p w:rsidR="006559BD" w:rsidRPr="005525F9" w:rsidRDefault="006559BD" w:rsidP="00786D71">
            <w:pPr>
              <w:pStyle w:val="TableText0"/>
              <w:keepLines/>
              <w:widowControl w:val="0"/>
              <w:jc w:val="center"/>
              <w:rPr>
                <w:noProof/>
              </w:rPr>
            </w:pPr>
            <w:r w:rsidRPr="005525F9">
              <w:rPr>
                <w:noProof/>
              </w:rPr>
              <w:t>(5, 639)</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c>
          <w:tcPr>
            <w:tcW w:w="1230" w:type="dxa"/>
            <w:vAlign w:val="center"/>
          </w:tcPr>
          <w:p w:rsidR="006559BD" w:rsidRPr="005525F9" w:rsidRDefault="006559BD" w:rsidP="00786D71">
            <w:pPr>
              <w:pStyle w:val="TableText0"/>
              <w:keepLines/>
              <w:widowControl w:val="0"/>
              <w:jc w:val="center"/>
            </w:pPr>
            <w:r w:rsidRPr="005525F9">
              <w:t>729</w:t>
            </w:r>
          </w:p>
          <w:p w:rsidR="006559BD" w:rsidRPr="005525F9" w:rsidRDefault="006559BD" w:rsidP="00786D71">
            <w:pPr>
              <w:pStyle w:val="TableText0"/>
              <w:keepLines/>
              <w:widowControl w:val="0"/>
              <w:jc w:val="center"/>
            </w:pPr>
            <w:r w:rsidRPr="005525F9">
              <w:t>(3, 745)</w:t>
            </w:r>
          </w:p>
        </w:tc>
        <w:tc>
          <w:tcPr>
            <w:tcW w:w="1230" w:type="dxa"/>
            <w:vAlign w:val="center"/>
          </w:tcPr>
          <w:p w:rsidR="006559BD" w:rsidRPr="005525F9" w:rsidRDefault="006559BD" w:rsidP="00786D71">
            <w:pPr>
              <w:pStyle w:val="TableText0"/>
              <w:keepLines/>
              <w:widowControl w:val="0"/>
              <w:jc w:val="center"/>
            </w:pPr>
            <w:r w:rsidRPr="005525F9">
              <w:t>729</w:t>
            </w:r>
          </w:p>
          <w:p w:rsidR="006559BD" w:rsidRPr="005525F9" w:rsidRDefault="006559BD" w:rsidP="00786D71">
            <w:pPr>
              <w:pStyle w:val="TableText0"/>
              <w:keepLines/>
              <w:widowControl w:val="0"/>
              <w:jc w:val="center"/>
            </w:pPr>
            <w:r w:rsidRPr="005525F9">
              <w:t>(1, 743)</w:t>
            </w:r>
          </w:p>
        </w:tc>
        <w:tc>
          <w:tcPr>
            <w:tcW w:w="1230" w:type="dxa"/>
            <w:vAlign w:val="center"/>
          </w:tcPr>
          <w:p w:rsidR="006559BD" w:rsidRPr="005525F9" w:rsidRDefault="006559BD" w:rsidP="00786D71">
            <w:pPr>
              <w:pStyle w:val="TableText0"/>
              <w:keepLines/>
              <w:widowControl w:val="0"/>
              <w:jc w:val="center"/>
              <w:rPr>
                <w:b/>
              </w:rPr>
            </w:pPr>
            <w:r w:rsidRPr="005525F9">
              <w:rPr>
                <w:b/>
              </w:rPr>
              <w:t>-</w:t>
            </w:r>
          </w:p>
        </w:tc>
      </w:tr>
      <w:tr w:rsidR="006559BD" w:rsidRPr="005525F9" w:rsidTr="000A5230">
        <w:tc>
          <w:tcPr>
            <w:tcW w:w="9017" w:type="dxa"/>
            <w:gridSpan w:val="7"/>
            <w:vAlign w:val="center"/>
          </w:tcPr>
          <w:p w:rsidR="006559BD" w:rsidRPr="005525F9" w:rsidRDefault="006559BD" w:rsidP="00786D71">
            <w:pPr>
              <w:pStyle w:val="TableText0"/>
              <w:keepLines/>
              <w:widowControl w:val="0"/>
              <w:rPr>
                <w:b/>
              </w:rPr>
            </w:pPr>
            <w:r w:rsidRPr="005525F9">
              <w:rPr>
                <w:b/>
              </w:rPr>
              <w:t>Summary of adverse events, n (%)</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At least one AE</w:t>
            </w:r>
          </w:p>
        </w:tc>
        <w:tc>
          <w:tcPr>
            <w:tcW w:w="1229" w:type="dxa"/>
            <w:vAlign w:val="center"/>
          </w:tcPr>
          <w:p w:rsidR="006559BD" w:rsidRPr="005525F9" w:rsidRDefault="006559BD" w:rsidP="00786D71">
            <w:pPr>
              <w:pStyle w:val="TableText0"/>
              <w:keepLines/>
              <w:widowControl w:val="0"/>
              <w:jc w:val="center"/>
            </w:pPr>
            <w:r w:rsidRPr="005525F9">
              <w:rPr>
                <w:noProof/>
              </w:rPr>
              <w:t>268 (59.8)</w:t>
            </w:r>
          </w:p>
        </w:tc>
        <w:tc>
          <w:tcPr>
            <w:tcW w:w="1230" w:type="dxa"/>
            <w:vAlign w:val="center"/>
          </w:tcPr>
          <w:p w:rsidR="006559BD" w:rsidRPr="005525F9" w:rsidRDefault="006559BD" w:rsidP="00786D71">
            <w:pPr>
              <w:pStyle w:val="TableText0"/>
              <w:keepLines/>
              <w:widowControl w:val="0"/>
              <w:jc w:val="center"/>
            </w:pPr>
            <w:r w:rsidRPr="005525F9">
              <w:rPr>
                <w:noProof/>
              </w:rPr>
              <w:t>336 (75.5)</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-0.16 </w:t>
            </w:r>
          </w:p>
          <w:p w:rsidR="006559BD" w:rsidRPr="005525F9" w:rsidRDefault="006559BD" w:rsidP="00786D71">
            <w:pPr>
              <w:pStyle w:val="TableText0"/>
              <w:keepLines/>
              <w:widowControl w:val="0"/>
              <w:jc w:val="center"/>
              <w:rPr>
                <w:b/>
              </w:rPr>
            </w:pPr>
            <w:r w:rsidRPr="005525F9">
              <w:rPr>
                <w:b/>
              </w:rPr>
              <w:t>(-0.22, -0.10)</w:t>
            </w:r>
          </w:p>
        </w:tc>
        <w:tc>
          <w:tcPr>
            <w:tcW w:w="1230" w:type="dxa"/>
            <w:vAlign w:val="center"/>
          </w:tcPr>
          <w:p w:rsidR="006559BD" w:rsidRPr="005525F9" w:rsidRDefault="006559BD" w:rsidP="00786D71">
            <w:pPr>
              <w:pStyle w:val="TableText0"/>
              <w:keepLines/>
              <w:widowControl w:val="0"/>
              <w:jc w:val="center"/>
            </w:pPr>
            <w:r w:rsidRPr="005525F9">
              <w:t>324 (74.7)</w:t>
            </w:r>
          </w:p>
        </w:tc>
        <w:tc>
          <w:tcPr>
            <w:tcW w:w="1230" w:type="dxa"/>
            <w:vAlign w:val="center"/>
          </w:tcPr>
          <w:p w:rsidR="006559BD" w:rsidRPr="005525F9" w:rsidRDefault="006559BD" w:rsidP="00786D71">
            <w:pPr>
              <w:pStyle w:val="TableText0"/>
              <w:keepLines/>
              <w:widowControl w:val="0"/>
              <w:jc w:val="center"/>
            </w:pPr>
            <w:r w:rsidRPr="005525F9">
              <w:t>365 (83.0)</w:t>
            </w:r>
          </w:p>
        </w:tc>
        <w:tc>
          <w:tcPr>
            <w:tcW w:w="1230" w:type="dxa"/>
            <w:vAlign w:val="center"/>
          </w:tcPr>
          <w:p w:rsidR="006559BD" w:rsidRPr="005525F9" w:rsidRDefault="006559BD" w:rsidP="00786D71">
            <w:pPr>
              <w:pStyle w:val="TableText0"/>
              <w:keepLines/>
              <w:widowControl w:val="0"/>
              <w:jc w:val="center"/>
              <w:rPr>
                <w:b/>
              </w:rPr>
            </w:pPr>
            <w:r w:rsidRPr="005525F9">
              <w:rPr>
                <w:b/>
              </w:rPr>
              <w:t>-0.08</w:t>
            </w:r>
          </w:p>
          <w:p w:rsidR="006559BD" w:rsidRPr="005525F9" w:rsidRDefault="006559BD" w:rsidP="00786D71">
            <w:pPr>
              <w:pStyle w:val="TableText0"/>
              <w:keepLines/>
              <w:widowControl w:val="0"/>
              <w:jc w:val="center"/>
            </w:pPr>
            <w:r w:rsidRPr="005525F9">
              <w:rPr>
                <w:b/>
              </w:rPr>
              <w:t>(-0.14, -0.03)</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At least one moderate or severe AE</w:t>
            </w:r>
          </w:p>
        </w:tc>
        <w:tc>
          <w:tcPr>
            <w:tcW w:w="1229" w:type="dxa"/>
            <w:vAlign w:val="center"/>
          </w:tcPr>
          <w:p w:rsidR="006559BD" w:rsidRPr="005525F9" w:rsidRDefault="006559BD" w:rsidP="00786D71">
            <w:pPr>
              <w:pStyle w:val="TableText0"/>
              <w:keepLines/>
              <w:widowControl w:val="0"/>
              <w:jc w:val="center"/>
            </w:pPr>
            <w:r w:rsidRPr="005525F9">
              <w:rPr>
                <w:noProof/>
              </w:rPr>
              <w:t>138 (30.8)</w:t>
            </w:r>
          </w:p>
        </w:tc>
        <w:tc>
          <w:tcPr>
            <w:tcW w:w="1230" w:type="dxa"/>
            <w:vAlign w:val="center"/>
          </w:tcPr>
          <w:p w:rsidR="006559BD" w:rsidRPr="005525F9" w:rsidRDefault="006559BD" w:rsidP="00786D71">
            <w:pPr>
              <w:pStyle w:val="TableText0"/>
              <w:keepLines/>
              <w:widowControl w:val="0"/>
              <w:jc w:val="center"/>
            </w:pPr>
            <w:r w:rsidRPr="005525F9">
              <w:rPr>
                <w:noProof/>
              </w:rPr>
              <w:t>182 (40.9)</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-0.10 </w:t>
            </w:r>
          </w:p>
          <w:p w:rsidR="006559BD" w:rsidRPr="005525F9" w:rsidRDefault="006559BD" w:rsidP="00786D71">
            <w:pPr>
              <w:pStyle w:val="TableText0"/>
              <w:keepLines/>
              <w:widowControl w:val="0"/>
              <w:jc w:val="center"/>
              <w:rPr>
                <w:b/>
              </w:rPr>
            </w:pPr>
            <w:r w:rsidRPr="005525F9">
              <w:rPr>
                <w:b/>
              </w:rPr>
              <w:t>(-0.16, -0.04)</w:t>
            </w:r>
          </w:p>
        </w:tc>
        <w:tc>
          <w:tcPr>
            <w:tcW w:w="1230" w:type="dxa"/>
            <w:vAlign w:val="center"/>
          </w:tcPr>
          <w:p w:rsidR="006559BD" w:rsidRPr="005525F9" w:rsidRDefault="006559BD" w:rsidP="00786D71">
            <w:pPr>
              <w:pStyle w:val="TableText0"/>
              <w:keepLines/>
              <w:widowControl w:val="0"/>
              <w:jc w:val="center"/>
            </w:pPr>
            <w:r w:rsidRPr="005525F9">
              <w:t>170 (39.2)</w:t>
            </w:r>
          </w:p>
        </w:tc>
        <w:tc>
          <w:tcPr>
            <w:tcW w:w="1230" w:type="dxa"/>
            <w:vAlign w:val="center"/>
          </w:tcPr>
          <w:p w:rsidR="006559BD" w:rsidRPr="005525F9" w:rsidRDefault="006559BD" w:rsidP="00786D71">
            <w:pPr>
              <w:pStyle w:val="TableText0"/>
              <w:keepLines/>
              <w:widowControl w:val="0"/>
              <w:jc w:val="center"/>
            </w:pPr>
            <w:r w:rsidRPr="005525F9">
              <w:t>235 (53.4)</w:t>
            </w:r>
          </w:p>
        </w:tc>
        <w:tc>
          <w:tcPr>
            <w:tcW w:w="1230" w:type="dxa"/>
            <w:vAlign w:val="center"/>
          </w:tcPr>
          <w:p w:rsidR="006559BD" w:rsidRPr="005525F9" w:rsidRDefault="006559BD" w:rsidP="00786D71">
            <w:pPr>
              <w:pStyle w:val="TableText0"/>
              <w:keepLines/>
              <w:widowControl w:val="0"/>
              <w:jc w:val="center"/>
              <w:rPr>
                <w:b/>
              </w:rPr>
            </w:pPr>
            <w:r w:rsidRPr="005525F9">
              <w:rPr>
                <w:b/>
              </w:rPr>
              <w:t>-0.14</w:t>
            </w:r>
          </w:p>
          <w:p w:rsidR="006559BD" w:rsidRPr="005525F9" w:rsidRDefault="006559BD" w:rsidP="00786D71">
            <w:pPr>
              <w:pStyle w:val="TableText0"/>
              <w:keepLines/>
              <w:widowControl w:val="0"/>
              <w:jc w:val="center"/>
            </w:pPr>
            <w:r w:rsidRPr="005525F9">
              <w:rPr>
                <w:b/>
              </w:rPr>
              <w:t>(-0.21, -0.08)</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At least one severe AE</w:t>
            </w:r>
          </w:p>
        </w:tc>
        <w:tc>
          <w:tcPr>
            <w:tcW w:w="1229" w:type="dxa"/>
            <w:vAlign w:val="center"/>
          </w:tcPr>
          <w:p w:rsidR="006559BD" w:rsidRPr="005525F9" w:rsidRDefault="006559BD" w:rsidP="00786D71">
            <w:pPr>
              <w:pStyle w:val="TableText0"/>
              <w:keepLines/>
              <w:widowControl w:val="0"/>
              <w:jc w:val="center"/>
            </w:pPr>
            <w:r w:rsidRPr="005525F9">
              <w:rPr>
                <w:noProof/>
              </w:rPr>
              <w:t>7 (1.6)</w:t>
            </w:r>
          </w:p>
        </w:tc>
        <w:tc>
          <w:tcPr>
            <w:tcW w:w="1230" w:type="dxa"/>
            <w:vAlign w:val="center"/>
          </w:tcPr>
          <w:p w:rsidR="006559BD" w:rsidRPr="005525F9" w:rsidRDefault="006559BD" w:rsidP="00786D71">
            <w:pPr>
              <w:pStyle w:val="TableText0"/>
              <w:keepLines/>
              <w:widowControl w:val="0"/>
              <w:jc w:val="center"/>
            </w:pPr>
            <w:r w:rsidRPr="005525F9">
              <w:rPr>
                <w:noProof/>
              </w:rPr>
              <w:t>10 (2.2)</w:t>
            </w:r>
          </w:p>
        </w:tc>
        <w:tc>
          <w:tcPr>
            <w:tcW w:w="1230" w:type="dxa"/>
            <w:vAlign w:val="center"/>
          </w:tcPr>
          <w:p w:rsidR="006559BD" w:rsidRPr="005525F9" w:rsidRDefault="006559BD" w:rsidP="00786D71">
            <w:pPr>
              <w:pStyle w:val="TableText0"/>
              <w:keepLines/>
              <w:widowControl w:val="0"/>
              <w:jc w:val="center"/>
            </w:pPr>
            <w:r w:rsidRPr="005525F9">
              <w:t>-0.01</w:t>
            </w:r>
          </w:p>
          <w:p w:rsidR="006559BD" w:rsidRPr="005525F9" w:rsidRDefault="006559BD" w:rsidP="00786D71">
            <w:pPr>
              <w:pStyle w:val="TableText0"/>
              <w:keepLines/>
              <w:widowControl w:val="0"/>
              <w:jc w:val="center"/>
            </w:pPr>
            <w:r w:rsidRPr="005525F9">
              <w:t>(-0.02, 0.01)</w:t>
            </w:r>
          </w:p>
        </w:tc>
        <w:tc>
          <w:tcPr>
            <w:tcW w:w="1230" w:type="dxa"/>
            <w:vAlign w:val="center"/>
          </w:tcPr>
          <w:p w:rsidR="006559BD" w:rsidRPr="005525F9" w:rsidRDefault="006559BD" w:rsidP="00786D71">
            <w:pPr>
              <w:pStyle w:val="TableText0"/>
              <w:keepLines/>
              <w:widowControl w:val="0"/>
              <w:jc w:val="center"/>
            </w:pPr>
            <w:r w:rsidRPr="005525F9">
              <w:t>15 (3.5)</w:t>
            </w:r>
          </w:p>
        </w:tc>
        <w:tc>
          <w:tcPr>
            <w:tcW w:w="1230" w:type="dxa"/>
            <w:vAlign w:val="center"/>
          </w:tcPr>
          <w:p w:rsidR="006559BD" w:rsidRPr="005525F9" w:rsidRDefault="006559BD" w:rsidP="00786D71">
            <w:pPr>
              <w:pStyle w:val="TableText0"/>
              <w:keepLines/>
              <w:widowControl w:val="0"/>
              <w:jc w:val="center"/>
            </w:pPr>
            <w:r w:rsidRPr="005525F9">
              <w:t>19 (4.3)</w:t>
            </w:r>
          </w:p>
        </w:tc>
        <w:tc>
          <w:tcPr>
            <w:tcW w:w="1230" w:type="dxa"/>
            <w:vAlign w:val="center"/>
          </w:tcPr>
          <w:p w:rsidR="006559BD" w:rsidRPr="005525F9" w:rsidRDefault="006559BD" w:rsidP="00786D71">
            <w:pPr>
              <w:pStyle w:val="TableText0"/>
              <w:keepLines/>
              <w:widowControl w:val="0"/>
              <w:jc w:val="center"/>
              <w:rPr>
                <w:b/>
              </w:rPr>
            </w:pPr>
            <w:r w:rsidRPr="005525F9">
              <w:rPr>
                <w:b/>
              </w:rPr>
              <w:t>-0.01</w:t>
            </w:r>
          </w:p>
          <w:p w:rsidR="006559BD" w:rsidRPr="005525F9" w:rsidRDefault="006559BD" w:rsidP="00786D71">
            <w:pPr>
              <w:pStyle w:val="TableText0"/>
              <w:keepLines/>
              <w:widowControl w:val="0"/>
              <w:jc w:val="center"/>
            </w:pPr>
            <w:r w:rsidRPr="005525F9">
              <w:rPr>
                <w:b/>
              </w:rPr>
              <w:t>(-0.03, -0.02)</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rPr>
                <w:noProof/>
              </w:rPr>
              <w:t>Influenza</w:t>
            </w:r>
            <w:r>
              <w:rPr>
                <w:noProof/>
              </w:rPr>
              <w:t>-</w:t>
            </w:r>
            <w:r w:rsidRPr="005525F9">
              <w:rPr>
                <w:noProof/>
              </w:rPr>
              <w:t>like illness</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17 (3.8)</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227 (51.0)</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-0.47 </w:t>
            </w:r>
          </w:p>
          <w:p w:rsidR="006559BD" w:rsidRPr="005525F9" w:rsidRDefault="006559BD" w:rsidP="00786D71">
            <w:pPr>
              <w:pStyle w:val="TableText0"/>
              <w:keepLines/>
              <w:widowControl w:val="0"/>
              <w:jc w:val="center"/>
            </w:pPr>
            <w:r w:rsidRPr="005525F9">
              <w:rPr>
                <w:b/>
              </w:rPr>
              <w:t>(-0.52, -0.42)</w:t>
            </w:r>
          </w:p>
        </w:tc>
        <w:tc>
          <w:tcPr>
            <w:tcW w:w="1230" w:type="dxa"/>
            <w:vAlign w:val="center"/>
          </w:tcPr>
          <w:p w:rsidR="006559BD" w:rsidRPr="005525F9" w:rsidRDefault="006559BD" w:rsidP="00786D71">
            <w:pPr>
              <w:pStyle w:val="TableText0"/>
              <w:keepLines/>
              <w:widowControl w:val="0"/>
              <w:jc w:val="center"/>
            </w:pPr>
            <w:r w:rsidRPr="005525F9">
              <w:rPr>
                <w:noProof/>
              </w:rPr>
              <w:t>27 (6.2)</w:t>
            </w:r>
          </w:p>
        </w:tc>
        <w:tc>
          <w:tcPr>
            <w:tcW w:w="1230" w:type="dxa"/>
            <w:vAlign w:val="center"/>
          </w:tcPr>
          <w:p w:rsidR="006559BD" w:rsidRPr="005525F9" w:rsidRDefault="006559BD" w:rsidP="00786D71">
            <w:pPr>
              <w:pStyle w:val="TableText0"/>
              <w:keepLines/>
              <w:widowControl w:val="0"/>
              <w:jc w:val="center"/>
            </w:pPr>
            <w:r w:rsidRPr="005525F9">
              <w:rPr>
                <w:noProof/>
              </w:rPr>
              <w:t>215 (48.9)</w:t>
            </w:r>
          </w:p>
        </w:tc>
        <w:tc>
          <w:tcPr>
            <w:tcW w:w="1230" w:type="dxa"/>
            <w:vAlign w:val="center"/>
          </w:tcPr>
          <w:p w:rsidR="006559BD" w:rsidRPr="005525F9" w:rsidRDefault="006559BD" w:rsidP="00786D71">
            <w:pPr>
              <w:pStyle w:val="TableText0"/>
              <w:keepLines/>
              <w:widowControl w:val="0"/>
              <w:jc w:val="center"/>
              <w:rPr>
                <w:b/>
              </w:rPr>
            </w:pPr>
            <w:r w:rsidRPr="005525F9">
              <w:rPr>
                <w:b/>
              </w:rPr>
              <w:t>-0.43</w:t>
            </w:r>
          </w:p>
          <w:p w:rsidR="006559BD" w:rsidRPr="005525F9" w:rsidRDefault="006559BD" w:rsidP="00786D71">
            <w:pPr>
              <w:pStyle w:val="TableText0"/>
              <w:keepLines/>
              <w:widowControl w:val="0"/>
              <w:jc w:val="center"/>
              <w:rPr>
                <w:b/>
              </w:rPr>
            </w:pPr>
            <w:r w:rsidRPr="005525F9">
              <w:rPr>
                <w:b/>
              </w:rPr>
              <w:t>(-0.48, -0.37)</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rPr>
                <w:noProof/>
              </w:rPr>
              <w:t>Pyrexia</w:t>
            </w:r>
          </w:p>
        </w:tc>
        <w:tc>
          <w:tcPr>
            <w:tcW w:w="1229" w:type="dxa"/>
            <w:vAlign w:val="center"/>
          </w:tcPr>
          <w:p w:rsidR="006559BD" w:rsidRPr="005525F9" w:rsidRDefault="006559BD" w:rsidP="00786D71">
            <w:pPr>
              <w:pStyle w:val="TableText0"/>
              <w:keepLines/>
              <w:widowControl w:val="0"/>
              <w:jc w:val="center"/>
              <w:rPr>
                <w:noProof/>
              </w:rPr>
            </w:pPr>
            <w:r w:rsidRPr="005525F9">
              <w:rPr>
                <w:noProof/>
              </w:rPr>
              <w:t>5 (1.1)</w:t>
            </w:r>
          </w:p>
        </w:tc>
        <w:tc>
          <w:tcPr>
            <w:tcW w:w="1230" w:type="dxa"/>
            <w:vAlign w:val="center"/>
          </w:tcPr>
          <w:p w:rsidR="006559BD" w:rsidRPr="005525F9" w:rsidRDefault="006559BD" w:rsidP="00786D71">
            <w:pPr>
              <w:pStyle w:val="TableText0"/>
              <w:keepLines/>
              <w:widowControl w:val="0"/>
              <w:jc w:val="center"/>
              <w:rPr>
                <w:noProof/>
              </w:rPr>
            </w:pPr>
            <w:r w:rsidRPr="005525F9">
              <w:rPr>
                <w:noProof/>
              </w:rPr>
              <w:t>28 (6.3)</w:t>
            </w:r>
          </w:p>
        </w:tc>
        <w:tc>
          <w:tcPr>
            <w:tcW w:w="1230" w:type="dxa"/>
            <w:vAlign w:val="center"/>
          </w:tcPr>
          <w:p w:rsidR="006559BD" w:rsidRPr="005525F9" w:rsidRDefault="006559BD" w:rsidP="00786D71">
            <w:pPr>
              <w:pStyle w:val="TableText0"/>
              <w:keepLines/>
              <w:widowControl w:val="0"/>
              <w:jc w:val="center"/>
              <w:rPr>
                <w:b/>
              </w:rPr>
            </w:pPr>
            <w:r w:rsidRPr="005525F9">
              <w:rPr>
                <w:b/>
              </w:rPr>
              <w:t>-0.05</w:t>
            </w:r>
          </w:p>
          <w:p w:rsidR="006559BD" w:rsidRPr="005525F9" w:rsidRDefault="006559BD" w:rsidP="00786D71">
            <w:pPr>
              <w:pStyle w:val="TableText0"/>
              <w:keepLines/>
              <w:widowControl w:val="0"/>
              <w:jc w:val="center"/>
            </w:pPr>
            <w:r w:rsidRPr="005525F9">
              <w:rPr>
                <w:b/>
              </w:rPr>
              <w:t>(-0.08, -0.03)</w:t>
            </w:r>
          </w:p>
        </w:tc>
        <w:tc>
          <w:tcPr>
            <w:tcW w:w="1230" w:type="dxa"/>
            <w:vAlign w:val="center"/>
          </w:tcPr>
          <w:p w:rsidR="006559BD" w:rsidRPr="005525F9" w:rsidRDefault="006559BD" w:rsidP="00786D71">
            <w:pPr>
              <w:pStyle w:val="TableText0"/>
              <w:keepLines/>
              <w:widowControl w:val="0"/>
              <w:jc w:val="center"/>
            </w:pPr>
            <w:r w:rsidRPr="005525F9">
              <w:rPr>
                <w:noProof/>
              </w:rPr>
              <w:t>11 (2.5)</w:t>
            </w:r>
          </w:p>
        </w:tc>
        <w:tc>
          <w:tcPr>
            <w:tcW w:w="1230" w:type="dxa"/>
            <w:vAlign w:val="center"/>
          </w:tcPr>
          <w:p w:rsidR="006559BD" w:rsidRPr="005525F9" w:rsidRDefault="006559BD" w:rsidP="00786D71">
            <w:pPr>
              <w:pStyle w:val="TableText0"/>
              <w:keepLines/>
              <w:widowControl w:val="0"/>
              <w:jc w:val="center"/>
            </w:pPr>
            <w:r w:rsidRPr="005525F9">
              <w:rPr>
                <w:noProof/>
              </w:rPr>
              <w:t>28 (6.4)</w:t>
            </w:r>
          </w:p>
        </w:tc>
        <w:tc>
          <w:tcPr>
            <w:tcW w:w="1230" w:type="dxa"/>
            <w:vAlign w:val="center"/>
          </w:tcPr>
          <w:p w:rsidR="006559BD" w:rsidRPr="005525F9" w:rsidRDefault="006559BD" w:rsidP="00786D71">
            <w:pPr>
              <w:pStyle w:val="TableText0"/>
              <w:keepLines/>
              <w:widowControl w:val="0"/>
              <w:jc w:val="center"/>
              <w:rPr>
                <w:b/>
              </w:rPr>
            </w:pPr>
            <w:r w:rsidRPr="005525F9">
              <w:rPr>
                <w:b/>
              </w:rPr>
              <w:t>-0.04</w:t>
            </w:r>
          </w:p>
          <w:p w:rsidR="006559BD" w:rsidRPr="005525F9" w:rsidRDefault="006559BD" w:rsidP="00786D71">
            <w:pPr>
              <w:pStyle w:val="TableText0"/>
              <w:keepLines/>
              <w:widowControl w:val="0"/>
              <w:jc w:val="center"/>
              <w:rPr>
                <w:b/>
              </w:rPr>
            </w:pPr>
            <w:r w:rsidRPr="005525F9">
              <w:rPr>
                <w:b/>
              </w:rPr>
              <w:t>(-0.07, 0.01)</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t>Increased ALT</w:t>
            </w:r>
          </w:p>
        </w:tc>
        <w:tc>
          <w:tcPr>
            <w:tcW w:w="1229" w:type="dxa"/>
            <w:vAlign w:val="center"/>
          </w:tcPr>
          <w:p w:rsidR="006559BD" w:rsidRPr="005525F9" w:rsidRDefault="006559BD" w:rsidP="00786D71">
            <w:pPr>
              <w:pStyle w:val="TableText0"/>
              <w:keepLines/>
              <w:widowControl w:val="0"/>
              <w:jc w:val="center"/>
              <w:rPr>
                <w:noProof/>
              </w:rPr>
            </w:pPr>
            <w:r w:rsidRPr="005525F9">
              <w:t>21 (4.7)</w:t>
            </w:r>
          </w:p>
        </w:tc>
        <w:tc>
          <w:tcPr>
            <w:tcW w:w="1230" w:type="dxa"/>
            <w:vAlign w:val="center"/>
          </w:tcPr>
          <w:p w:rsidR="006559BD" w:rsidRPr="005525F9" w:rsidRDefault="006559BD" w:rsidP="00786D71">
            <w:pPr>
              <w:pStyle w:val="TableText0"/>
              <w:keepLines/>
              <w:widowControl w:val="0"/>
              <w:jc w:val="center"/>
              <w:rPr>
                <w:noProof/>
              </w:rPr>
            </w:pPr>
            <w:r w:rsidRPr="005525F9">
              <w:t>8 (1.8)</w:t>
            </w:r>
          </w:p>
        </w:tc>
        <w:tc>
          <w:tcPr>
            <w:tcW w:w="1230" w:type="dxa"/>
            <w:vAlign w:val="center"/>
          </w:tcPr>
          <w:p w:rsidR="006559BD" w:rsidRPr="005525F9" w:rsidRDefault="006559BD" w:rsidP="00786D71">
            <w:pPr>
              <w:pStyle w:val="TableText0"/>
              <w:keepLines/>
              <w:widowControl w:val="0"/>
              <w:jc w:val="center"/>
              <w:rPr>
                <w:b/>
              </w:rPr>
            </w:pPr>
            <w:r w:rsidRPr="005525F9">
              <w:rPr>
                <w:b/>
              </w:rPr>
              <w:t>0.03</w:t>
            </w:r>
          </w:p>
          <w:p w:rsidR="006559BD" w:rsidRPr="005525F9" w:rsidRDefault="006559BD" w:rsidP="00786D71">
            <w:pPr>
              <w:pStyle w:val="TableText0"/>
              <w:keepLines/>
              <w:widowControl w:val="0"/>
              <w:jc w:val="center"/>
            </w:pPr>
            <w:r w:rsidRPr="005525F9">
              <w:rPr>
                <w:b/>
              </w:rPr>
              <w:t>(0.01, 0.05)</w:t>
            </w:r>
          </w:p>
        </w:tc>
        <w:tc>
          <w:tcPr>
            <w:tcW w:w="1230" w:type="dxa"/>
            <w:vAlign w:val="center"/>
          </w:tcPr>
          <w:p w:rsidR="006559BD" w:rsidRPr="005525F9" w:rsidRDefault="006559BD" w:rsidP="00786D71">
            <w:pPr>
              <w:pStyle w:val="TableText0"/>
              <w:keepLines/>
              <w:widowControl w:val="0"/>
              <w:jc w:val="center"/>
            </w:pPr>
            <w:r w:rsidRPr="005525F9">
              <w:rPr>
                <w:noProof/>
              </w:rPr>
              <w:t>26 (6.0)</w:t>
            </w:r>
          </w:p>
        </w:tc>
        <w:tc>
          <w:tcPr>
            <w:tcW w:w="1230" w:type="dxa"/>
            <w:vAlign w:val="center"/>
          </w:tcPr>
          <w:p w:rsidR="006559BD" w:rsidRPr="005525F9" w:rsidRDefault="006559BD" w:rsidP="00786D71">
            <w:pPr>
              <w:pStyle w:val="TableText0"/>
              <w:keepLines/>
              <w:widowControl w:val="0"/>
              <w:jc w:val="center"/>
            </w:pPr>
            <w:r w:rsidRPr="005525F9">
              <w:rPr>
                <w:noProof/>
              </w:rPr>
              <w:t>20 (4.5)</w:t>
            </w:r>
          </w:p>
        </w:tc>
        <w:tc>
          <w:tcPr>
            <w:tcW w:w="1230" w:type="dxa"/>
            <w:vAlign w:val="center"/>
          </w:tcPr>
          <w:p w:rsidR="006559BD" w:rsidRPr="005525F9" w:rsidRDefault="006559BD" w:rsidP="00786D71">
            <w:pPr>
              <w:pStyle w:val="TableText0"/>
              <w:keepLines/>
              <w:widowControl w:val="0"/>
              <w:jc w:val="center"/>
            </w:pPr>
            <w:r w:rsidRPr="005525F9">
              <w:t>0.01</w:t>
            </w:r>
          </w:p>
          <w:p w:rsidR="006559BD" w:rsidRPr="005525F9" w:rsidRDefault="006559BD" w:rsidP="00786D71">
            <w:pPr>
              <w:pStyle w:val="TableText0"/>
              <w:keepLines/>
              <w:widowControl w:val="0"/>
              <w:jc w:val="center"/>
              <w:rPr>
                <w:b/>
              </w:rPr>
            </w:pPr>
            <w:r w:rsidRPr="005525F9">
              <w:t>(-0.02, 0.04)</w:t>
            </w:r>
          </w:p>
        </w:tc>
      </w:tr>
      <w:tr w:rsidR="006559BD" w:rsidRPr="005525F9" w:rsidTr="000A5230">
        <w:tc>
          <w:tcPr>
            <w:tcW w:w="1638" w:type="dxa"/>
            <w:vAlign w:val="center"/>
          </w:tcPr>
          <w:p w:rsidR="006559BD" w:rsidRPr="005525F9" w:rsidRDefault="006559BD" w:rsidP="00786D71">
            <w:pPr>
              <w:pStyle w:val="TableText0"/>
              <w:keepLines/>
              <w:widowControl w:val="0"/>
            </w:pPr>
            <w:r w:rsidRPr="005525F9">
              <w:rPr>
                <w:noProof/>
              </w:rPr>
              <w:t>Increased GGT</w:t>
            </w:r>
          </w:p>
        </w:tc>
        <w:tc>
          <w:tcPr>
            <w:tcW w:w="1229" w:type="dxa"/>
            <w:vAlign w:val="center"/>
          </w:tcPr>
          <w:p w:rsidR="006559BD" w:rsidRPr="005525F9" w:rsidRDefault="006559BD" w:rsidP="00786D71">
            <w:pPr>
              <w:pStyle w:val="TableText0"/>
              <w:keepLines/>
              <w:widowControl w:val="0"/>
              <w:jc w:val="center"/>
              <w:rPr>
                <w:noProof/>
              </w:rPr>
            </w:pPr>
            <w:r w:rsidRPr="005525F9">
              <w:t>15 (3.3)</w:t>
            </w:r>
          </w:p>
        </w:tc>
        <w:tc>
          <w:tcPr>
            <w:tcW w:w="1230" w:type="dxa"/>
            <w:vAlign w:val="center"/>
          </w:tcPr>
          <w:p w:rsidR="006559BD" w:rsidRPr="005525F9" w:rsidRDefault="006559BD" w:rsidP="00786D71">
            <w:pPr>
              <w:pStyle w:val="TableText0"/>
              <w:keepLines/>
              <w:widowControl w:val="0"/>
              <w:jc w:val="center"/>
              <w:rPr>
                <w:noProof/>
              </w:rPr>
            </w:pPr>
            <w:r w:rsidRPr="005525F9">
              <w:t>2 (0.4)</w:t>
            </w:r>
          </w:p>
        </w:tc>
        <w:tc>
          <w:tcPr>
            <w:tcW w:w="1230" w:type="dxa"/>
            <w:vAlign w:val="center"/>
          </w:tcPr>
          <w:p w:rsidR="006559BD" w:rsidRPr="005525F9" w:rsidRDefault="006559BD" w:rsidP="00786D71">
            <w:pPr>
              <w:pStyle w:val="TableText0"/>
              <w:keepLines/>
              <w:widowControl w:val="0"/>
              <w:jc w:val="center"/>
              <w:rPr>
                <w:b/>
              </w:rPr>
            </w:pPr>
            <w:r w:rsidRPr="005525F9">
              <w:rPr>
                <w:b/>
              </w:rPr>
              <w:t xml:space="preserve">0.03 </w:t>
            </w:r>
          </w:p>
          <w:p w:rsidR="006559BD" w:rsidRPr="005525F9" w:rsidRDefault="006559BD" w:rsidP="00786D71">
            <w:pPr>
              <w:pStyle w:val="TableText0"/>
              <w:keepLines/>
              <w:widowControl w:val="0"/>
              <w:jc w:val="center"/>
            </w:pPr>
            <w:r w:rsidRPr="005525F9">
              <w:rPr>
                <w:b/>
              </w:rPr>
              <w:t>(0.01, 0.05)</w:t>
            </w:r>
          </w:p>
        </w:tc>
        <w:tc>
          <w:tcPr>
            <w:tcW w:w="1230" w:type="dxa"/>
            <w:vAlign w:val="center"/>
          </w:tcPr>
          <w:p w:rsidR="006559BD" w:rsidRPr="005525F9" w:rsidRDefault="006559BD" w:rsidP="00786D71">
            <w:pPr>
              <w:pStyle w:val="TableText0"/>
              <w:keepLines/>
              <w:widowControl w:val="0"/>
              <w:jc w:val="center"/>
            </w:pPr>
            <w:r w:rsidRPr="005525F9">
              <w:rPr>
                <w:noProof/>
              </w:rPr>
              <w:t>25 (5.8)</w:t>
            </w:r>
          </w:p>
        </w:tc>
        <w:tc>
          <w:tcPr>
            <w:tcW w:w="1230" w:type="dxa"/>
            <w:vAlign w:val="center"/>
          </w:tcPr>
          <w:p w:rsidR="006559BD" w:rsidRPr="005525F9" w:rsidRDefault="006559BD" w:rsidP="00786D71">
            <w:pPr>
              <w:pStyle w:val="TableText0"/>
              <w:keepLines/>
              <w:widowControl w:val="0"/>
              <w:jc w:val="center"/>
            </w:pPr>
            <w:r w:rsidRPr="005525F9">
              <w:rPr>
                <w:noProof/>
              </w:rPr>
              <w:t>9 (2.0)</w:t>
            </w:r>
          </w:p>
        </w:tc>
        <w:tc>
          <w:tcPr>
            <w:tcW w:w="1230" w:type="dxa"/>
            <w:vAlign w:val="center"/>
          </w:tcPr>
          <w:p w:rsidR="006559BD" w:rsidRPr="005525F9" w:rsidRDefault="006559BD" w:rsidP="00786D71">
            <w:pPr>
              <w:pStyle w:val="TableText0"/>
              <w:keepLines/>
              <w:widowControl w:val="0"/>
              <w:jc w:val="center"/>
              <w:rPr>
                <w:b/>
              </w:rPr>
            </w:pPr>
            <w:r w:rsidRPr="005525F9">
              <w:rPr>
                <w:b/>
              </w:rPr>
              <w:t>0.04</w:t>
            </w:r>
          </w:p>
          <w:p w:rsidR="006559BD" w:rsidRPr="005525F9" w:rsidRDefault="006559BD" w:rsidP="00786D71">
            <w:pPr>
              <w:pStyle w:val="TableText0"/>
              <w:keepLines/>
              <w:widowControl w:val="0"/>
              <w:jc w:val="center"/>
              <w:rPr>
                <w:b/>
              </w:rPr>
            </w:pPr>
            <w:r w:rsidRPr="005525F9">
              <w:rPr>
                <w:b/>
              </w:rPr>
              <w:t>(0.01, 0.06)</w:t>
            </w:r>
          </w:p>
        </w:tc>
      </w:tr>
    </w:tbl>
    <w:p w:rsidR="006559BD" w:rsidRPr="005525F9" w:rsidRDefault="006559BD" w:rsidP="00786D71">
      <w:pPr>
        <w:pStyle w:val="TableFigureFooter"/>
        <w:keepNext/>
        <w:widowControl w:val="0"/>
      </w:pPr>
      <w:r w:rsidRPr="005525F9">
        <w:t xml:space="preserve">Source: Table 49, </w:t>
      </w:r>
      <w:r>
        <w:t>p</w:t>
      </w:r>
      <w:r w:rsidRPr="005525F9">
        <w:t xml:space="preserve">83; Table 42, </w:t>
      </w:r>
      <w:r>
        <w:t>p</w:t>
      </w:r>
      <w:r w:rsidRPr="005525F9">
        <w:t xml:space="preserve">75; Table 48, </w:t>
      </w:r>
      <w:r>
        <w:t>p</w:t>
      </w:r>
      <w:r w:rsidRPr="005525F9">
        <w:t xml:space="preserve">82; Table 56, </w:t>
      </w:r>
      <w:r>
        <w:t>p</w:t>
      </w:r>
      <w:r w:rsidRPr="005525F9">
        <w:t xml:space="preserve">92 of the </w:t>
      </w:r>
      <w:r>
        <w:t>submission.</w:t>
      </w:r>
    </w:p>
    <w:p w:rsidR="006559BD" w:rsidRPr="005525F9" w:rsidRDefault="006559BD" w:rsidP="00786D71">
      <w:pPr>
        <w:pStyle w:val="TableFigureFooter"/>
        <w:keepNext/>
        <w:widowControl w:val="0"/>
        <w:rPr>
          <w:rFonts w:eastAsia="Calibri"/>
        </w:rPr>
      </w:pPr>
      <w:r w:rsidRPr="005525F9">
        <w:rPr>
          <w:rFonts w:eastAsia="Calibri"/>
        </w:rPr>
        <w:t xml:space="preserve">ALT </w:t>
      </w:r>
      <w:r>
        <w:rPr>
          <w:rFonts w:eastAsia="Calibri"/>
        </w:rPr>
        <w:t>= alanine aminotransferase;</w:t>
      </w:r>
      <w:r w:rsidRPr="005525F9">
        <w:rPr>
          <w:rFonts w:eastAsia="Calibri"/>
        </w:rPr>
        <w:t xml:space="preserve"> </w:t>
      </w:r>
      <w:r w:rsidRPr="005525F9">
        <w:rPr>
          <w:noProof/>
        </w:rPr>
        <w:t xml:space="preserve">AST </w:t>
      </w:r>
      <w:r>
        <w:rPr>
          <w:noProof/>
        </w:rPr>
        <w:t>= aspartate aminotransferase;</w:t>
      </w:r>
      <w:r w:rsidRPr="005525F9">
        <w:rPr>
          <w:noProof/>
        </w:rPr>
        <w:t xml:space="preserve"> GGT </w:t>
      </w:r>
      <w:r>
        <w:rPr>
          <w:noProof/>
        </w:rPr>
        <w:t>= gamma-glutamyltransferase;</w:t>
      </w:r>
      <w:r w:rsidRPr="005525F9">
        <w:rPr>
          <w:noProof/>
        </w:rPr>
        <w:t xml:space="preserve"> IFN </w:t>
      </w:r>
      <w:r>
        <w:rPr>
          <w:noProof/>
        </w:rPr>
        <w:t>= interferon;</w:t>
      </w:r>
      <w:r w:rsidRPr="005525F9">
        <w:rPr>
          <w:noProof/>
        </w:rPr>
        <w:t xml:space="preserve"> </w:t>
      </w:r>
      <w:r w:rsidRPr="005525F9">
        <w:rPr>
          <w:rFonts w:eastAsia="Calibri"/>
        </w:rPr>
        <w:t xml:space="preserve">NR </w:t>
      </w:r>
      <w:r>
        <w:rPr>
          <w:rFonts w:eastAsia="Calibri"/>
        </w:rPr>
        <w:t>= not reported;</w:t>
      </w:r>
      <w:r w:rsidRPr="005525F9">
        <w:rPr>
          <w:rFonts w:eastAsia="Calibri"/>
        </w:rPr>
        <w:t xml:space="preserve"> RD </w:t>
      </w:r>
      <w:r>
        <w:rPr>
          <w:rFonts w:eastAsia="Calibri"/>
        </w:rPr>
        <w:t>= risk difference;</w:t>
      </w:r>
      <w:r w:rsidRPr="005525F9">
        <w:rPr>
          <w:rFonts w:eastAsia="Calibri"/>
        </w:rPr>
        <w:t xml:space="preserve"> ULN </w:t>
      </w:r>
      <w:r>
        <w:rPr>
          <w:rFonts w:eastAsia="Calibri"/>
        </w:rPr>
        <w:t>= u</w:t>
      </w:r>
      <w:r w:rsidRPr="005525F9">
        <w:rPr>
          <w:rFonts w:eastAsia="Calibri"/>
        </w:rPr>
        <w:t>pper limit of normal</w:t>
      </w:r>
    </w:p>
    <w:p w:rsidR="006559BD" w:rsidRPr="005525F9" w:rsidRDefault="006559BD" w:rsidP="00786D71">
      <w:pPr>
        <w:pStyle w:val="TableFigureFooter"/>
        <w:keepNext/>
        <w:widowControl w:val="0"/>
        <w:rPr>
          <w:rFonts w:eastAsia="Calibri"/>
        </w:rPr>
      </w:pPr>
      <w:r w:rsidRPr="005525F9">
        <w:rPr>
          <w:rFonts w:eastAsia="Calibri"/>
        </w:rPr>
        <w:t>Note: RD</w:t>
      </w:r>
      <w:r>
        <w:rPr>
          <w:rFonts w:eastAsia="Calibri"/>
        </w:rPr>
        <w:t>&lt; </w:t>
      </w:r>
      <w:r w:rsidRPr="005525F9">
        <w:rPr>
          <w:rFonts w:eastAsia="Calibri"/>
        </w:rPr>
        <w:t>0 is associated with fewer events in the ozanimod treatment group</w:t>
      </w:r>
    </w:p>
    <w:p w:rsidR="006559BD" w:rsidRPr="005525F9" w:rsidRDefault="006559BD" w:rsidP="00786D71">
      <w:pPr>
        <w:pStyle w:val="TableFigureFooter"/>
        <w:keepNext/>
        <w:widowControl w:val="0"/>
        <w:rPr>
          <w:rFonts w:eastAsia="Calibri"/>
        </w:rPr>
      </w:pPr>
      <w:r w:rsidRPr="005525F9">
        <w:rPr>
          <w:rFonts w:eastAsia="Calibri"/>
        </w:rPr>
        <w:t>Note: Bolded values indicate statistical significance based on 95% CI</w:t>
      </w:r>
    </w:p>
    <w:p w:rsidR="006559BD" w:rsidRPr="009D2166" w:rsidRDefault="006559BD" w:rsidP="000A5230">
      <w:pPr>
        <w:pStyle w:val="3-BodyText"/>
        <w:rPr>
          <w:color w:val="0066FF"/>
        </w:rPr>
      </w:pPr>
      <w:r>
        <w:t xml:space="preserve">In both trials, ozanimod was associated with fewer AEs than </w:t>
      </w:r>
      <w:r w:rsidRPr="00FB586C">
        <w:rPr>
          <w:color w:val="000000" w:themeColor="text1"/>
        </w:rPr>
        <w:t>IFN-β1a</w:t>
      </w:r>
      <w:r w:rsidR="009B41DD">
        <w:rPr>
          <w:color w:val="000000" w:themeColor="text1"/>
        </w:rPr>
        <w:t>, including</w:t>
      </w:r>
      <w:r>
        <w:t xml:space="preserve"> fewer instances of influenza-like illness and pyrexia. Patients in the ozanimod arms were more likely to have raised alanine aminotransferase (ALT) and g</w:t>
      </w:r>
      <w:r w:rsidRPr="006B4CC4">
        <w:t>amma</w:t>
      </w:r>
      <w:r>
        <w:noBreakHyphen/>
      </w:r>
      <w:r w:rsidRPr="006B4CC4">
        <w:t>glutamyltransferase</w:t>
      </w:r>
      <w:r>
        <w:t xml:space="preserve"> (GGT</w:t>
      </w:r>
      <w:r w:rsidRPr="00AE2F8B">
        <w:t xml:space="preserve">). </w:t>
      </w:r>
      <w:r w:rsidR="007F28BA" w:rsidRPr="00AE2F8B">
        <w:t xml:space="preserve">The ESC considered the evidence supported ozanimod having </w:t>
      </w:r>
      <w:r w:rsidR="009B41DD">
        <w:t xml:space="preserve">a </w:t>
      </w:r>
      <w:r w:rsidR="007F28BA" w:rsidRPr="00AE2F8B">
        <w:t>superior safety profile compared to IFN-β1a</w:t>
      </w:r>
      <w:r w:rsidR="002D2D4D" w:rsidRPr="00AE2F8B">
        <w:t>.</w:t>
      </w:r>
    </w:p>
    <w:p w:rsidR="006559BD" w:rsidRPr="00CB28B2" w:rsidRDefault="006559BD" w:rsidP="000A5230">
      <w:pPr>
        <w:pStyle w:val="3-BodyText"/>
        <w:rPr>
          <w:color w:val="0066FF"/>
        </w:rPr>
      </w:pPr>
      <w:r w:rsidRPr="009D2166">
        <w:rPr>
          <w:color w:val="000000" w:themeColor="text1"/>
        </w:rPr>
        <w:t xml:space="preserve">The </w:t>
      </w:r>
      <w:r>
        <w:rPr>
          <w:color w:val="000000" w:themeColor="text1"/>
        </w:rPr>
        <w:t xml:space="preserve">submission presented a naïve comparison of AEs across the </w:t>
      </w:r>
      <w:r w:rsidRPr="009D2166">
        <w:rPr>
          <w:color w:val="000000" w:themeColor="text1"/>
        </w:rPr>
        <w:t xml:space="preserve">ozanimod and fingolimod </w:t>
      </w:r>
      <w:r w:rsidR="00DC6727">
        <w:rPr>
          <w:color w:val="000000" w:themeColor="text1"/>
        </w:rPr>
        <w:t xml:space="preserve">trials (Table </w:t>
      </w:r>
      <w:r w:rsidR="00275A40">
        <w:rPr>
          <w:color w:val="000000" w:themeColor="text1"/>
        </w:rPr>
        <w:t>7</w:t>
      </w:r>
      <w:r>
        <w:rPr>
          <w:color w:val="000000" w:themeColor="text1"/>
        </w:rPr>
        <w:t xml:space="preserve">). </w:t>
      </w:r>
      <w:r w:rsidRPr="0079793C">
        <w:rPr>
          <w:color w:val="000000" w:themeColor="text1"/>
        </w:rPr>
        <w:t xml:space="preserve">The submission considered an </w:t>
      </w:r>
      <w:r>
        <w:rPr>
          <w:color w:val="000000" w:themeColor="text1"/>
        </w:rPr>
        <w:t>ITC</w:t>
      </w:r>
      <w:r w:rsidRPr="0079793C">
        <w:rPr>
          <w:color w:val="000000" w:themeColor="text1"/>
        </w:rPr>
        <w:t xml:space="preserve"> for safety was not appropriate given the potential confounding </w:t>
      </w:r>
      <w:r>
        <w:rPr>
          <w:color w:val="000000" w:themeColor="text1"/>
        </w:rPr>
        <w:t>differences in the proportion of</w:t>
      </w:r>
      <w:r w:rsidRPr="0079793C">
        <w:rPr>
          <w:color w:val="000000" w:themeColor="text1"/>
        </w:rPr>
        <w:t xml:space="preserve"> participants who had received DMT prior to baseline. </w:t>
      </w:r>
      <w:r w:rsidRPr="00CB28B2">
        <w:rPr>
          <w:color w:val="000000" w:themeColor="text1"/>
        </w:rPr>
        <w:t>This was not consistent with the use of an ITC for effectiveness outcomes.</w:t>
      </w:r>
    </w:p>
    <w:p w:rsidR="006559BD" w:rsidRDefault="006559BD" w:rsidP="00DC6727">
      <w:pPr>
        <w:pStyle w:val="TableFigureHeading"/>
      </w:pPr>
      <w:r w:rsidRPr="00551C76">
        <w:lastRenderedPageBreak/>
        <w:t xml:space="preserve">Table </w:t>
      </w:r>
      <w:r w:rsidR="00275A40">
        <w:t>7</w:t>
      </w:r>
      <w:r w:rsidRPr="00551C76">
        <w:t>: Summary of adverse events reported during ozanimod and fingolimod trials (Safety population)</w:t>
      </w:r>
    </w:p>
    <w:tbl>
      <w:tblPr>
        <w:tblStyle w:val="ASDTable18"/>
        <w:tblW w:w="5000" w:type="pct"/>
        <w:tblLayout w:type="fixed"/>
        <w:tblLook w:val="04A0" w:firstRow="1" w:lastRow="0" w:firstColumn="1" w:lastColumn="0" w:noHBand="0" w:noVBand="1"/>
        <w:tblCaption w:val="Table 7: Summary of adverse events reported during ozanimod and fingolimod trials (Safety population)"/>
      </w:tblPr>
      <w:tblGrid>
        <w:gridCol w:w="1981"/>
        <w:gridCol w:w="1277"/>
        <w:gridCol w:w="1134"/>
        <w:gridCol w:w="1134"/>
        <w:gridCol w:w="1134"/>
        <w:gridCol w:w="1134"/>
        <w:gridCol w:w="1223"/>
      </w:tblGrid>
      <w:tr w:rsidR="006559BD" w:rsidRPr="005525F9" w:rsidTr="000A5230">
        <w:trPr>
          <w:trHeight w:val="292"/>
          <w:tblHeader/>
        </w:trPr>
        <w:tc>
          <w:tcPr>
            <w:tcW w:w="1098" w:type="pct"/>
            <w:vMerge w:val="restart"/>
            <w:vAlign w:val="center"/>
          </w:tcPr>
          <w:p w:rsidR="006559BD" w:rsidRPr="005525F9" w:rsidRDefault="006559BD" w:rsidP="00DC6727">
            <w:pPr>
              <w:pStyle w:val="TableText0"/>
              <w:rPr>
                <w:noProof/>
                <w:szCs w:val="20"/>
              </w:rPr>
            </w:pPr>
          </w:p>
        </w:tc>
        <w:tc>
          <w:tcPr>
            <w:tcW w:w="1337" w:type="pct"/>
            <w:gridSpan w:val="2"/>
            <w:vAlign w:val="center"/>
          </w:tcPr>
          <w:p w:rsidR="006559BD" w:rsidRPr="005525F9" w:rsidRDefault="006559BD" w:rsidP="00DC6727">
            <w:pPr>
              <w:pStyle w:val="TableText0"/>
              <w:jc w:val="center"/>
              <w:rPr>
                <w:b/>
                <w:noProof/>
                <w:szCs w:val="20"/>
              </w:rPr>
            </w:pPr>
            <w:r w:rsidRPr="005525F9">
              <w:rPr>
                <w:b/>
                <w:noProof/>
                <w:szCs w:val="20"/>
              </w:rPr>
              <w:t>SUNBEAM (</w:t>
            </w:r>
            <w:r>
              <w:rPr>
                <w:b/>
                <w:noProof/>
                <w:szCs w:val="20"/>
              </w:rPr>
              <w:t>≥ </w:t>
            </w:r>
            <w:r w:rsidRPr="005525F9">
              <w:rPr>
                <w:b/>
                <w:noProof/>
                <w:szCs w:val="20"/>
              </w:rPr>
              <w:t>12 months)</w:t>
            </w:r>
          </w:p>
        </w:tc>
        <w:tc>
          <w:tcPr>
            <w:tcW w:w="1258" w:type="pct"/>
            <w:gridSpan w:val="2"/>
            <w:vAlign w:val="center"/>
          </w:tcPr>
          <w:p w:rsidR="006559BD" w:rsidRPr="005525F9" w:rsidRDefault="006559BD" w:rsidP="00DC6727">
            <w:pPr>
              <w:pStyle w:val="TableText0"/>
              <w:jc w:val="center"/>
              <w:rPr>
                <w:b/>
                <w:noProof/>
                <w:szCs w:val="20"/>
              </w:rPr>
            </w:pPr>
            <w:r w:rsidRPr="005525F9">
              <w:rPr>
                <w:b/>
                <w:noProof/>
                <w:szCs w:val="20"/>
              </w:rPr>
              <w:t>RADIANCE B (24 months)</w:t>
            </w:r>
          </w:p>
        </w:tc>
        <w:tc>
          <w:tcPr>
            <w:tcW w:w="1307" w:type="pct"/>
            <w:gridSpan w:val="2"/>
            <w:vAlign w:val="center"/>
          </w:tcPr>
          <w:p w:rsidR="006559BD" w:rsidRPr="005525F9" w:rsidRDefault="006559BD" w:rsidP="00DC6727">
            <w:pPr>
              <w:pStyle w:val="TableText0"/>
              <w:jc w:val="center"/>
              <w:rPr>
                <w:b/>
                <w:noProof/>
                <w:szCs w:val="20"/>
              </w:rPr>
            </w:pPr>
            <w:r w:rsidRPr="005525F9">
              <w:rPr>
                <w:b/>
                <w:noProof/>
                <w:szCs w:val="20"/>
              </w:rPr>
              <w:t>TRANSFORMS (12 months)</w:t>
            </w:r>
          </w:p>
        </w:tc>
      </w:tr>
      <w:tr w:rsidR="006559BD" w:rsidRPr="005525F9" w:rsidTr="000A5230">
        <w:trPr>
          <w:tblHeader/>
        </w:trPr>
        <w:tc>
          <w:tcPr>
            <w:tcW w:w="1098" w:type="pct"/>
            <w:vMerge/>
            <w:vAlign w:val="center"/>
          </w:tcPr>
          <w:p w:rsidR="006559BD" w:rsidRPr="005525F9" w:rsidRDefault="006559BD" w:rsidP="00DC6727">
            <w:pPr>
              <w:pStyle w:val="TableText0"/>
              <w:rPr>
                <w:noProof/>
                <w:szCs w:val="20"/>
              </w:rPr>
            </w:pPr>
          </w:p>
        </w:tc>
        <w:tc>
          <w:tcPr>
            <w:tcW w:w="708" w:type="pct"/>
            <w:vAlign w:val="center"/>
          </w:tcPr>
          <w:p w:rsidR="006559BD" w:rsidRPr="005525F9" w:rsidRDefault="006559BD" w:rsidP="00DC6727">
            <w:pPr>
              <w:pStyle w:val="TableText0"/>
              <w:jc w:val="center"/>
              <w:rPr>
                <w:b/>
                <w:noProof/>
                <w:szCs w:val="20"/>
              </w:rPr>
            </w:pPr>
            <w:r w:rsidRPr="005525F9">
              <w:rPr>
                <w:b/>
                <w:noProof/>
                <w:szCs w:val="20"/>
              </w:rPr>
              <w:t>OZ 0.92 mg</w:t>
            </w:r>
          </w:p>
          <w:p w:rsidR="006559BD" w:rsidRPr="005525F9" w:rsidRDefault="006559BD" w:rsidP="00DC6727">
            <w:pPr>
              <w:pStyle w:val="TableText0"/>
              <w:jc w:val="center"/>
              <w:rPr>
                <w:b/>
                <w:noProof/>
                <w:szCs w:val="20"/>
              </w:rPr>
            </w:pPr>
            <w:r w:rsidRPr="005525F9">
              <w:rPr>
                <w:b/>
                <w:i/>
                <w:noProof/>
                <w:szCs w:val="20"/>
              </w:rPr>
              <w:t>N</w:t>
            </w:r>
            <w:r>
              <w:rPr>
                <w:b/>
                <w:i/>
                <w:noProof/>
                <w:szCs w:val="20"/>
              </w:rPr>
              <w:t xml:space="preserve"> = </w:t>
            </w:r>
            <w:r w:rsidRPr="005525F9">
              <w:rPr>
                <w:b/>
                <w:i/>
                <w:noProof/>
                <w:szCs w:val="20"/>
              </w:rPr>
              <w:t>448</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IFN-β 30 µg</w:t>
            </w:r>
          </w:p>
          <w:p w:rsidR="006559BD" w:rsidRPr="005525F9" w:rsidRDefault="006559BD" w:rsidP="00DC6727">
            <w:pPr>
              <w:pStyle w:val="TableText0"/>
              <w:jc w:val="center"/>
              <w:rPr>
                <w:b/>
                <w:noProof/>
                <w:szCs w:val="20"/>
              </w:rPr>
            </w:pPr>
            <w:r w:rsidRPr="005525F9">
              <w:rPr>
                <w:b/>
                <w:i/>
                <w:noProof/>
                <w:szCs w:val="20"/>
              </w:rPr>
              <w:t>N</w:t>
            </w:r>
            <w:r>
              <w:rPr>
                <w:b/>
                <w:i/>
                <w:noProof/>
                <w:szCs w:val="20"/>
              </w:rPr>
              <w:t xml:space="preserve"> = </w:t>
            </w:r>
            <w:r w:rsidRPr="005525F9">
              <w:rPr>
                <w:b/>
                <w:i/>
                <w:noProof/>
                <w:szCs w:val="20"/>
              </w:rPr>
              <w:t>445</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OZ 0.92 mg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434</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IFN-β 30 µg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440</w:t>
            </w:r>
          </w:p>
        </w:tc>
        <w:tc>
          <w:tcPr>
            <w:tcW w:w="629" w:type="pct"/>
            <w:vAlign w:val="center"/>
          </w:tcPr>
          <w:p w:rsidR="006559BD" w:rsidRPr="005525F9" w:rsidRDefault="006559BD" w:rsidP="00DC6727">
            <w:pPr>
              <w:pStyle w:val="TableText0"/>
              <w:jc w:val="center"/>
              <w:rPr>
                <w:b/>
                <w:noProof/>
                <w:szCs w:val="20"/>
              </w:rPr>
            </w:pPr>
            <w:r w:rsidRPr="005525F9">
              <w:rPr>
                <w:b/>
                <w:noProof/>
                <w:szCs w:val="20"/>
              </w:rPr>
              <w:t>FING.5 mg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429</w:t>
            </w:r>
          </w:p>
        </w:tc>
        <w:tc>
          <w:tcPr>
            <w:tcW w:w="678" w:type="pct"/>
            <w:vAlign w:val="center"/>
          </w:tcPr>
          <w:p w:rsidR="006559BD" w:rsidRPr="005525F9" w:rsidRDefault="006559BD" w:rsidP="00DC6727">
            <w:pPr>
              <w:pStyle w:val="TableText0"/>
              <w:jc w:val="center"/>
              <w:rPr>
                <w:b/>
                <w:noProof/>
                <w:szCs w:val="20"/>
              </w:rPr>
            </w:pPr>
            <w:r w:rsidRPr="005525F9">
              <w:rPr>
                <w:b/>
                <w:noProof/>
                <w:szCs w:val="20"/>
              </w:rPr>
              <w:t>IFN-β 30 µg</w:t>
            </w:r>
          </w:p>
          <w:p w:rsidR="006559BD" w:rsidRPr="005525F9" w:rsidRDefault="006559BD" w:rsidP="00DC6727">
            <w:pPr>
              <w:pStyle w:val="TableText0"/>
              <w:jc w:val="center"/>
              <w:rPr>
                <w:b/>
                <w:noProof/>
                <w:szCs w:val="20"/>
              </w:rPr>
            </w:pPr>
            <w:r w:rsidRPr="005525F9">
              <w:rPr>
                <w:b/>
                <w:noProof/>
                <w:szCs w:val="20"/>
              </w:rPr>
              <w:t>N</w:t>
            </w:r>
            <w:r>
              <w:rPr>
                <w:b/>
                <w:noProof/>
                <w:szCs w:val="20"/>
              </w:rPr>
              <w:t xml:space="preserve"> = </w:t>
            </w:r>
            <w:r w:rsidRPr="005525F9">
              <w:rPr>
                <w:b/>
                <w:noProof/>
                <w:szCs w:val="20"/>
              </w:rPr>
              <w:t>431</w:t>
            </w:r>
          </w:p>
        </w:tc>
      </w:tr>
      <w:tr w:rsidR="006559BD" w:rsidRPr="005525F9" w:rsidTr="000A5230">
        <w:tc>
          <w:tcPr>
            <w:tcW w:w="5000" w:type="pct"/>
            <w:gridSpan w:val="7"/>
            <w:vAlign w:val="center"/>
          </w:tcPr>
          <w:p w:rsidR="006559BD" w:rsidRPr="005525F9" w:rsidRDefault="006559BD" w:rsidP="00DC6727">
            <w:pPr>
              <w:pStyle w:val="TableText0"/>
              <w:rPr>
                <w:b/>
                <w:noProof/>
                <w:szCs w:val="20"/>
              </w:rPr>
            </w:pPr>
            <w:r w:rsidRPr="005525F9">
              <w:rPr>
                <w:b/>
                <w:szCs w:val="20"/>
              </w:rPr>
              <w:t>Summary of adverse events reported during trials, n (%)</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At least one AE</w:t>
            </w:r>
          </w:p>
        </w:tc>
        <w:tc>
          <w:tcPr>
            <w:tcW w:w="708" w:type="pct"/>
            <w:vAlign w:val="center"/>
          </w:tcPr>
          <w:p w:rsidR="006559BD" w:rsidRPr="005525F9" w:rsidRDefault="006559BD" w:rsidP="00DC6727">
            <w:pPr>
              <w:pStyle w:val="TableText0"/>
              <w:jc w:val="center"/>
              <w:rPr>
                <w:noProof/>
                <w:szCs w:val="20"/>
              </w:rPr>
            </w:pPr>
            <w:r w:rsidRPr="005525F9">
              <w:rPr>
                <w:noProof/>
                <w:szCs w:val="20"/>
              </w:rPr>
              <w:t>268 (59.8)</w:t>
            </w:r>
          </w:p>
        </w:tc>
        <w:tc>
          <w:tcPr>
            <w:tcW w:w="629" w:type="pct"/>
            <w:vAlign w:val="center"/>
          </w:tcPr>
          <w:p w:rsidR="006559BD" w:rsidRPr="005525F9" w:rsidRDefault="006559BD" w:rsidP="00DC6727">
            <w:pPr>
              <w:pStyle w:val="TableText0"/>
              <w:jc w:val="center"/>
              <w:rPr>
                <w:noProof/>
                <w:szCs w:val="20"/>
              </w:rPr>
            </w:pPr>
            <w:r w:rsidRPr="005525F9">
              <w:rPr>
                <w:noProof/>
                <w:szCs w:val="20"/>
              </w:rPr>
              <w:t>336 (75.5)</w:t>
            </w:r>
          </w:p>
        </w:tc>
        <w:tc>
          <w:tcPr>
            <w:tcW w:w="629" w:type="pct"/>
            <w:vAlign w:val="center"/>
          </w:tcPr>
          <w:p w:rsidR="006559BD" w:rsidRPr="005525F9" w:rsidRDefault="006559BD" w:rsidP="00DC6727">
            <w:pPr>
              <w:pStyle w:val="TableText0"/>
              <w:jc w:val="center"/>
              <w:rPr>
                <w:noProof/>
                <w:szCs w:val="20"/>
              </w:rPr>
            </w:pPr>
            <w:r w:rsidRPr="005525F9">
              <w:rPr>
                <w:noProof/>
                <w:szCs w:val="20"/>
              </w:rPr>
              <w:t>324 (74.7)</w:t>
            </w:r>
          </w:p>
        </w:tc>
        <w:tc>
          <w:tcPr>
            <w:tcW w:w="629" w:type="pct"/>
            <w:vAlign w:val="center"/>
          </w:tcPr>
          <w:p w:rsidR="006559BD" w:rsidRPr="005525F9" w:rsidRDefault="006559BD" w:rsidP="00DC6727">
            <w:pPr>
              <w:pStyle w:val="TableText0"/>
              <w:jc w:val="center"/>
              <w:rPr>
                <w:noProof/>
                <w:szCs w:val="20"/>
              </w:rPr>
            </w:pPr>
            <w:r w:rsidRPr="005525F9">
              <w:rPr>
                <w:noProof/>
                <w:szCs w:val="20"/>
              </w:rPr>
              <w:t>365 (83.0)</w:t>
            </w:r>
          </w:p>
        </w:tc>
        <w:tc>
          <w:tcPr>
            <w:tcW w:w="629" w:type="pct"/>
            <w:vAlign w:val="center"/>
          </w:tcPr>
          <w:p w:rsidR="006559BD" w:rsidRPr="005525F9" w:rsidRDefault="006559BD" w:rsidP="00DC6727">
            <w:pPr>
              <w:pStyle w:val="TableText0"/>
              <w:jc w:val="center"/>
              <w:rPr>
                <w:noProof/>
                <w:szCs w:val="20"/>
              </w:rPr>
            </w:pPr>
            <w:r w:rsidRPr="005525F9">
              <w:rPr>
                <w:noProof/>
                <w:szCs w:val="20"/>
              </w:rPr>
              <w:t>369 (86.0)</w:t>
            </w:r>
          </w:p>
        </w:tc>
        <w:tc>
          <w:tcPr>
            <w:tcW w:w="678" w:type="pct"/>
            <w:vAlign w:val="center"/>
          </w:tcPr>
          <w:p w:rsidR="006559BD" w:rsidRPr="005525F9" w:rsidRDefault="006559BD" w:rsidP="00DC6727">
            <w:pPr>
              <w:pStyle w:val="TableText0"/>
              <w:jc w:val="center"/>
              <w:rPr>
                <w:noProof/>
                <w:szCs w:val="20"/>
              </w:rPr>
            </w:pPr>
            <w:r w:rsidRPr="005525F9">
              <w:rPr>
                <w:noProof/>
                <w:szCs w:val="20"/>
              </w:rPr>
              <w:t>395 (91.6)</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At least one serious AE</w:t>
            </w:r>
          </w:p>
        </w:tc>
        <w:tc>
          <w:tcPr>
            <w:tcW w:w="708" w:type="pct"/>
            <w:vAlign w:val="center"/>
          </w:tcPr>
          <w:p w:rsidR="006559BD" w:rsidRPr="005525F9" w:rsidRDefault="006559BD" w:rsidP="00DC6727">
            <w:pPr>
              <w:pStyle w:val="TableText0"/>
              <w:jc w:val="center"/>
              <w:rPr>
                <w:noProof/>
                <w:szCs w:val="20"/>
              </w:rPr>
            </w:pPr>
            <w:r w:rsidRPr="005525F9">
              <w:rPr>
                <w:noProof/>
                <w:szCs w:val="20"/>
              </w:rPr>
              <w:t>13 (2.9)</w:t>
            </w:r>
          </w:p>
        </w:tc>
        <w:tc>
          <w:tcPr>
            <w:tcW w:w="629" w:type="pct"/>
            <w:vAlign w:val="center"/>
          </w:tcPr>
          <w:p w:rsidR="006559BD" w:rsidRPr="005525F9" w:rsidRDefault="006559BD" w:rsidP="00DC6727">
            <w:pPr>
              <w:pStyle w:val="TableText0"/>
              <w:jc w:val="center"/>
              <w:rPr>
                <w:noProof/>
                <w:szCs w:val="20"/>
              </w:rPr>
            </w:pPr>
            <w:r w:rsidRPr="005525F9">
              <w:rPr>
                <w:noProof/>
                <w:szCs w:val="20"/>
              </w:rPr>
              <w:t>11 (2.5)</w:t>
            </w:r>
          </w:p>
        </w:tc>
        <w:tc>
          <w:tcPr>
            <w:tcW w:w="629" w:type="pct"/>
            <w:vAlign w:val="center"/>
          </w:tcPr>
          <w:p w:rsidR="006559BD" w:rsidRPr="005525F9" w:rsidRDefault="006559BD" w:rsidP="00DC6727">
            <w:pPr>
              <w:pStyle w:val="TableText0"/>
              <w:jc w:val="center"/>
              <w:rPr>
                <w:noProof/>
                <w:szCs w:val="20"/>
              </w:rPr>
            </w:pPr>
            <w:r w:rsidRPr="005525F9">
              <w:rPr>
                <w:noProof/>
                <w:szCs w:val="20"/>
              </w:rPr>
              <w:t>28 (6.5)</w:t>
            </w:r>
          </w:p>
        </w:tc>
        <w:tc>
          <w:tcPr>
            <w:tcW w:w="629" w:type="pct"/>
            <w:vAlign w:val="center"/>
          </w:tcPr>
          <w:p w:rsidR="006559BD" w:rsidRPr="005525F9" w:rsidRDefault="006559BD" w:rsidP="00DC6727">
            <w:pPr>
              <w:pStyle w:val="TableText0"/>
              <w:jc w:val="center"/>
              <w:rPr>
                <w:noProof/>
                <w:szCs w:val="20"/>
              </w:rPr>
            </w:pPr>
            <w:r w:rsidRPr="005525F9">
              <w:rPr>
                <w:noProof/>
                <w:szCs w:val="20"/>
              </w:rPr>
              <w:t>28 (6.4)</w:t>
            </w:r>
          </w:p>
        </w:tc>
        <w:tc>
          <w:tcPr>
            <w:tcW w:w="629" w:type="pct"/>
            <w:vAlign w:val="center"/>
          </w:tcPr>
          <w:p w:rsidR="006559BD" w:rsidRPr="005525F9" w:rsidRDefault="006559BD" w:rsidP="00DC6727">
            <w:pPr>
              <w:pStyle w:val="TableText0"/>
              <w:jc w:val="center"/>
              <w:rPr>
                <w:noProof/>
                <w:szCs w:val="20"/>
              </w:rPr>
            </w:pPr>
            <w:r w:rsidRPr="005525F9">
              <w:rPr>
                <w:noProof/>
                <w:szCs w:val="20"/>
              </w:rPr>
              <w:t>30 (7.0)</w:t>
            </w:r>
          </w:p>
        </w:tc>
        <w:tc>
          <w:tcPr>
            <w:tcW w:w="678" w:type="pct"/>
            <w:vAlign w:val="center"/>
          </w:tcPr>
          <w:p w:rsidR="006559BD" w:rsidRPr="005525F9" w:rsidRDefault="006559BD" w:rsidP="00DC6727">
            <w:pPr>
              <w:pStyle w:val="TableText0"/>
              <w:jc w:val="center"/>
              <w:rPr>
                <w:noProof/>
                <w:szCs w:val="20"/>
              </w:rPr>
            </w:pPr>
            <w:r w:rsidRPr="005525F9">
              <w:rPr>
                <w:noProof/>
                <w:szCs w:val="20"/>
              </w:rPr>
              <w:t>25 (5.8)</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Discontinuation of study drug due to AE</w:t>
            </w:r>
          </w:p>
        </w:tc>
        <w:tc>
          <w:tcPr>
            <w:tcW w:w="708" w:type="pct"/>
            <w:vAlign w:val="center"/>
          </w:tcPr>
          <w:p w:rsidR="006559BD" w:rsidRPr="005525F9" w:rsidRDefault="006559BD" w:rsidP="00DC6727">
            <w:pPr>
              <w:pStyle w:val="TableText0"/>
              <w:jc w:val="center"/>
              <w:rPr>
                <w:noProof/>
                <w:szCs w:val="20"/>
              </w:rPr>
            </w:pPr>
            <w:r w:rsidRPr="005525F9">
              <w:rPr>
                <w:noProof/>
                <w:szCs w:val="20"/>
              </w:rPr>
              <w:t>13 (2.9)</w:t>
            </w:r>
          </w:p>
        </w:tc>
        <w:tc>
          <w:tcPr>
            <w:tcW w:w="629" w:type="pct"/>
            <w:vAlign w:val="center"/>
          </w:tcPr>
          <w:p w:rsidR="006559BD" w:rsidRPr="005525F9" w:rsidRDefault="006559BD" w:rsidP="00DC6727">
            <w:pPr>
              <w:pStyle w:val="TableText0"/>
              <w:jc w:val="center"/>
              <w:rPr>
                <w:noProof/>
                <w:szCs w:val="20"/>
              </w:rPr>
            </w:pPr>
            <w:r w:rsidRPr="005525F9">
              <w:rPr>
                <w:noProof/>
                <w:szCs w:val="20"/>
              </w:rPr>
              <w:t>16 (3.6)</w:t>
            </w:r>
          </w:p>
        </w:tc>
        <w:tc>
          <w:tcPr>
            <w:tcW w:w="629" w:type="pct"/>
            <w:vAlign w:val="center"/>
          </w:tcPr>
          <w:p w:rsidR="006559BD" w:rsidRPr="005525F9" w:rsidRDefault="006559BD" w:rsidP="00DC6727">
            <w:pPr>
              <w:pStyle w:val="TableText0"/>
              <w:jc w:val="center"/>
              <w:rPr>
                <w:noProof/>
                <w:szCs w:val="20"/>
              </w:rPr>
            </w:pPr>
            <w:r w:rsidRPr="005525F9">
              <w:rPr>
                <w:noProof/>
                <w:szCs w:val="20"/>
              </w:rPr>
              <w:t>13 (3.0)</w:t>
            </w:r>
          </w:p>
        </w:tc>
        <w:tc>
          <w:tcPr>
            <w:tcW w:w="629" w:type="pct"/>
            <w:vAlign w:val="center"/>
          </w:tcPr>
          <w:p w:rsidR="006559BD" w:rsidRPr="005525F9" w:rsidRDefault="006559BD" w:rsidP="00DC6727">
            <w:pPr>
              <w:pStyle w:val="TableText0"/>
              <w:jc w:val="center"/>
              <w:rPr>
                <w:noProof/>
                <w:szCs w:val="20"/>
              </w:rPr>
            </w:pPr>
            <w:r w:rsidRPr="005525F9">
              <w:rPr>
                <w:noProof/>
                <w:szCs w:val="20"/>
              </w:rPr>
              <w:t>18 (4.1)</w:t>
            </w:r>
          </w:p>
        </w:tc>
        <w:tc>
          <w:tcPr>
            <w:tcW w:w="629" w:type="pct"/>
            <w:vAlign w:val="center"/>
          </w:tcPr>
          <w:p w:rsidR="006559BD" w:rsidRPr="005525F9" w:rsidRDefault="006559BD" w:rsidP="00DC6727">
            <w:pPr>
              <w:pStyle w:val="TableText0"/>
              <w:jc w:val="center"/>
              <w:rPr>
                <w:noProof/>
                <w:szCs w:val="20"/>
              </w:rPr>
            </w:pPr>
            <w:r w:rsidRPr="005525F9">
              <w:rPr>
                <w:noProof/>
                <w:szCs w:val="20"/>
              </w:rPr>
              <w:t>24 (5.6)</w:t>
            </w:r>
          </w:p>
        </w:tc>
        <w:tc>
          <w:tcPr>
            <w:tcW w:w="678" w:type="pct"/>
            <w:vAlign w:val="center"/>
          </w:tcPr>
          <w:p w:rsidR="006559BD" w:rsidRPr="005525F9" w:rsidRDefault="006559BD" w:rsidP="00DC6727">
            <w:pPr>
              <w:pStyle w:val="TableText0"/>
              <w:jc w:val="center"/>
              <w:rPr>
                <w:noProof/>
                <w:szCs w:val="20"/>
              </w:rPr>
            </w:pPr>
            <w:r w:rsidRPr="005525F9">
              <w:rPr>
                <w:noProof/>
                <w:szCs w:val="20"/>
              </w:rPr>
              <w:t>16 (3.7)</w:t>
            </w:r>
          </w:p>
        </w:tc>
      </w:tr>
      <w:tr w:rsidR="006559BD" w:rsidRPr="005525F9" w:rsidTr="000A5230">
        <w:tc>
          <w:tcPr>
            <w:tcW w:w="5000" w:type="pct"/>
            <w:gridSpan w:val="7"/>
            <w:vAlign w:val="center"/>
          </w:tcPr>
          <w:p w:rsidR="006559BD" w:rsidRPr="005525F9" w:rsidRDefault="006559BD" w:rsidP="00DC6727">
            <w:pPr>
              <w:pStyle w:val="TableText0"/>
              <w:rPr>
                <w:b/>
                <w:noProof/>
                <w:szCs w:val="20"/>
              </w:rPr>
            </w:pPr>
            <w:r>
              <w:rPr>
                <w:b/>
                <w:noProof/>
                <w:szCs w:val="20"/>
              </w:rPr>
              <w:t>Key adverse events</w:t>
            </w:r>
            <w:r w:rsidRPr="005525F9">
              <w:rPr>
                <w:b/>
                <w:noProof/>
                <w:szCs w:val="20"/>
              </w:rPr>
              <w:t>, n (%)</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Bradycardia</w:t>
            </w:r>
          </w:p>
        </w:tc>
        <w:tc>
          <w:tcPr>
            <w:tcW w:w="708" w:type="pct"/>
          </w:tcPr>
          <w:p w:rsidR="006559BD" w:rsidRPr="005525F9" w:rsidRDefault="006559BD" w:rsidP="00DC6727">
            <w:pPr>
              <w:pStyle w:val="Tabletext"/>
              <w:keepNext/>
              <w:jc w:val="center"/>
              <w:rPr>
                <w:noProof/>
                <w:szCs w:val="20"/>
              </w:rPr>
            </w:pPr>
            <w:r w:rsidRPr="004018C0">
              <w:t>1 (0.2)</w:t>
            </w:r>
          </w:p>
        </w:tc>
        <w:tc>
          <w:tcPr>
            <w:tcW w:w="629" w:type="pct"/>
          </w:tcPr>
          <w:p w:rsidR="006559BD" w:rsidRPr="005525F9" w:rsidRDefault="006559BD" w:rsidP="00DC6727">
            <w:pPr>
              <w:pStyle w:val="Tabletext"/>
              <w:keepNext/>
              <w:jc w:val="center"/>
              <w:rPr>
                <w:noProof/>
                <w:szCs w:val="20"/>
              </w:rPr>
            </w:pPr>
            <w:r w:rsidRPr="004018C0">
              <w:t>0</w:t>
            </w:r>
          </w:p>
        </w:tc>
        <w:tc>
          <w:tcPr>
            <w:tcW w:w="629" w:type="pct"/>
          </w:tcPr>
          <w:p w:rsidR="006559BD" w:rsidRPr="005525F9" w:rsidRDefault="006559BD" w:rsidP="00DC6727">
            <w:pPr>
              <w:pStyle w:val="Tabletext"/>
              <w:keepNext/>
              <w:jc w:val="center"/>
              <w:rPr>
                <w:noProof/>
                <w:szCs w:val="20"/>
              </w:rPr>
            </w:pPr>
            <w:r w:rsidRPr="00486032">
              <w:t>0</w:t>
            </w:r>
          </w:p>
        </w:tc>
        <w:tc>
          <w:tcPr>
            <w:tcW w:w="629" w:type="pct"/>
          </w:tcPr>
          <w:p w:rsidR="006559BD" w:rsidRPr="005525F9" w:rsidRDefault="006559BD" w:rsidP="00DC6727">
            <w:pPr>
              <w:pStyle w:val="Tabletext"/>
              <w:keepNext/>
              <w:jc w:val="center"/>
              <w:rPr>
                <w:noProof/>
                <w:szCs w:val="20"/>
              </w:rPr>
            </w:pPr>
            <w:r w:rsidRPr="00486032">
              <w:t>0</w:t>
            </w:r>
          </w:p>
        </w:tc>
        <w:tc>
          <w:tcPr>
            <w:tcW w:w="629" w:type="pct"/>
          </w:tcPr>
          <w:p w:rsidR="006559BD" w:rsidRPr="005525F9" w:rsidRDefault="006559BD" w:rsidP="00DC6727">
            <w:pPr>
              <w:pStyle w:val="Tabletext"/>
              <w:keepNext/>
              <w:jc w:val="center"/>
              <w:rPr>
                <w:noProof/>
                <w:szCs w:val="20"/>
              </w:rPr>
            </w:pPr>
            <w:r w:rsidRPr="00890004">
              <w:t>2 (0.5)</w:t>
            </w:r>
          </w:p>
        </w:tc>
        <w:tc>
          <w:tcPr>
            <w:tcW w:w="678" w:type="pct"/>
          </w:tcPr>
          <w:p w:rsidR="006559BD" w:rsidRPr="005525F9" w:rsidRDefault="006559BD" w:rsidP="00DC6727">
            <w:pPr>
              <w:pStyle w:val="Tabletext"/>
              <w:keepNext/>
              <w:jc w:val="center"/>
              <w:rPr>
                <w:noProof/>
                <w:szCs w:val="20"/>
              </w:rPr>
            </w:pPr>
            <w:r w:rsidRPr="00890004">
              <w:t>0</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AV-block (1</w:t>
            </w:r>
            <w:r w:rsidRPr="006B4CC4">
              <w:rPr>
                <w:noProof/>
                <w:szCs w:val="20"/>
                <w:vertAlign w:val="superscript"/>
              </w:rPr>
              <w:t>st</w:t>
            </w:r>
            <w:r>
              <w:rPr>
                <w:noProof/>
                <w:szCs w:val="20"/>
              </w:rPr>
              <w:t xml:space="preserve"> degree)</w:t>
            </w:r>
          </w:p>
        </w:tc>
        <w:tc>
          <w:tcPr>
            <w:tcW w:w="708" w:type="pct"/>
          </w:tcPr>
          <w:p w:rsidR="006559BD" w:rsidRPr="005525F9" w:rsidRDefault="006559BD" w:rsidP="00DC6727">
            <w:pPr>
              <w:pStyle w:val="Tabletext"/>
              <w:keepNext/>
              <w:jc w:val="center"/>
              <w:rPr>
                <w:noProof/>
                <w:szCs w:val="20"/>
              </w:rPr>
            </w:pPr>
            <w:r w:rsidRPr="00D0485C">
              <w:t>2 (0.2)</w:t>
            </w:r>
          </w:p>
        </w:tc>
        <w:tc>
          <w:tcPr>
            <w:tcW w:w="629" w:type="pct"/>
          </w:tcPr>
          <w:p w:rsidR="006559BD" w:rsidRPr="005525F9" w:rsidRDefault="006559BD" w:rsidP="00DC6727">
            <w:pPr>
              <w:pStyle w:val="Tabletext"/>
              <w:keepNext/>
              <w:jc w:val="center"/>
              <w:rPr>
                <w:noProof/>
                <w:szCs w:val="20"/>
              </w:rPr>
            </w:pPr>
            <w:r w:rsidRPr="00D0485C">
              <w:t>0</w:t>
            </w:r>
          </w:p>
        </w:tc>
        <w:tc>
          <w:tcPr>
            <w:tcW w:w="629" w:type="pct"/>
          </w:tcPr>
          <w:p w:rsidR="006559BD" w:rsidRPr="005525F9" w:rsidRDefault="006559BD" w:rsidP="00DC6727">
            <w:pPr>
              <w:pStyle w:val="Tabletext"/>
              <w:keepNext/>
              <w:jc w:val="center"/>
              <w:rPr>
                <w:noProof/>
                <w:szCs w:val="20"/>
              </w:rPr>
            </w:pPr>
            <w:r w:rsidRPr="00362A67">
              <w:t>0</w:t>
            </w:r>
          </w:p>
        </w:tc>
        <w:tc>
          <w:tcPr>
            <w:tcW w:w="629" w:type="pct"/>
          </w:tcPr>
          <w:p w:rsidR="006559BD" w:rsidRPr="005525F9" w:rsidRDefault="006559BD" w:rsidP="00DC6727">
            <w:pPr>
              <w:pStyle w:val="Tabletext"/>
              <w:keepNext/>
              <w:jc w:val="center"/>
              <w:rPr>
                <w:noProof/>
                <w:szCs w:val="20"/>
              </w:rPr>
            </w:pPr>
            <w:r w:rsidRPr="00362A67">
              <w:t>0</w:t>
            </w:r>
          </w:p>
        </w:tc>
        <w:tc>
          <w:tcPr>
            <w:tcW w:w="629" w:type="pct"/>
          </w:tcPr>
          <w:p w:rsidR="006559BD" w:rsidRPr="005525F9" w:rsidRDefault="006559BD" w:rsidP="00DC6727">
            <w:pPr>
              <w:pStyle w:val="Tabletext"/>
              <w:keepNext/>
              <w:jc w:val="center"/>
              <w:rPr>
                <w:noProof/>
                <w:szCs w:val="20"/>
              </w:rPr>
            </w:pPr>
            <w:r w:rsidRPr="00EF2A18">
              <w:t>1 (0.2)</w:t>
            </w:r>
          </w:p>
        </w:tc>
        <w:tc>
          <w:tcPr>
            <w:tcW w:w="678" w:type="pct"/>
          </w:tcPr>
          <w:p w:rsidR="006559BD" w:rsidRPr="005525F9" w:rsidRDefault="006559BD" w:rsidP="00DC6727">
            <w:pPr>
              <w:pStyle w:val="Tabletext"/>
              <w:keepNext/>
              <w:jc w:val="center"/>
              <w:rPr>
                <w:noProof/>
                <w:szCs w:val="20"/>
              </w:rPr>
            </w:pPr>
            <w:r w:rsidRPr="00EF2A18">
              <w:t>0</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AV-block (2</w:t>
            </w:r>
            <w:r w:rsidRPr="006B4CC4">
              <w:rPr>
                <w:noProof/>
                <w:szCs w:val="20"/>
                <w:vertAlign w:val="superscript"/>
              </w:rPr>
              <w:t>nd</w:t>
            </w:r>
            <w:r>
              <w:rPr>
                <w:noProof/>
                <w:szCs w:val="20"/>
              </w:rPr>
              <w:t xml:space="preserve"> degree)</w:t>
            </w:r>
          </w:p>
        </w:tc>
        <w:tc>
          <w:tcPr>
            <w:tcW w:w="708"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vAlign w:val="center"/>
          </w:tcPr>
          <w:p w:rsidR="006559BD" w:rsidRPr="005525F9" w:rsidRDefault="006559BD" w:rsidP="00DC6727">
            <w:pPr>
              <w:pStyle w:val="Tabletext"/>
              <w:keepNext/>
              <w:jc w:val="center"/>
              <w:rPr>
                <w:noProof/>
                <w:szCs w:val="20"/>
              </w:rPr>
            </w:pPr>
            <w:r w:rsidRPr="005525F9">
              <w:rPr>
                <w:rFonts w:cs="Calibri"/>
                <w:color w:val="000000"/>
                <w:szCs w:val="20"/>
              </w:rPr>
              <w:t>0</w:t>
            </w:r>
          </w:p>
        </w:tc>
        <w:tc>
          <w:tcPr>
            <w:tcW w:w="629" w:type="pct"/>
          </w:tcPr>
          <w:p w:rsidR="006559BD" w:rsidRPr="005525F9" w:rsidRDefault="006559BD" w:rsidP="00DC6727">
            <w:pPr>
              <w:pStyle w:val="Tabletext"/>
              <w:keepNext/>
              <w:jc w:val="center"/>
              <w:rPr>
                <w:noProof/>
                <w:szCs w:val="20"/>
              </w:rPr>
            </w:pPr>
            <w:r w:rsidRPr="00E46CBF">
              <w:t>1 (0.2)</w:t>
            </w:r>
          </w:p>
        </w:tc>
        <w:tc>
          <w:tcPr>
            <w:tcW w:w="678" w:type="pct"/>
          </w:tcPr>
          <w:p w:rsidR="006559BD" w:rsidRPr="005525F9" w:rsidRDefault="006559BD" w:rsidP="00DC6727">
            <w:pPr>
              <w:pStyle w:val="Tabletext"/>
              <w:keepNext/>
              <w:jc w:val="center"/>
              <w:rPr>
                <w:noProof/>
                <w:szCs w:val="20"/>
              </w:rPr>
            </w:pPr>
            <w:r w:rsidRPr="00E46CBF">
              <w:t>0</w:t>
            </w:r>
          </w:p>
        </w:tc>
      </w:tr>
      <w:tr w:rsidR="006559BD" w:rsidRPr="005525F9" w:rsidTr="000A5230">
        <w:tc>
          <w:tcPr>
            <w:tcW w:w="1098" w:type="pct"/>
            <w:vAlign w:val="center"/>
          </w:tcPr>
          <w:p w:rsidR="006559BD" w:rsidRPr="005525F9" w:rsidRDefault="006559BD" w:rsidP="00DC6727">
            <w:pPr>
              <w:pStyle w:val="TableText0"/>
              <w:rPr>
                <w:noProof/>
                <w:szCs w:val="20"/>
              </w:rPr>
            </w:pPr>
            <w:r>
              <w:rPr>
                <w:noProof/>
                <w:szCs w:val="20"/>
              </w:rPr>
              <w:t xml:space="preserve">Mean change in heart rate following first dose, BPM (SD) </w:t>
            </w:r>
            <w:r w:rsidRPr="0079793C">
              <w:rPr>
                <w:noProof/>
                <w:szCs w:val="20"/>
                <w:vertAlign w:val="superscript"/>
              </w:rPr>
              <w:t>a</w:t>
            </w:r>
          </w:p>
        </w:tc>
        <w:tc>
          <w:tcPr>
            <w:tcW w:w="708" w:type="pct"/>
            <w:vAlign w:val="center"/>
          </w:tcPr>
          <w:p w:rsidR="006559BD" w:rsidRPr="005525F9" w:rsidRDefault="006559BD" w:rsidP="00DC6727">
            <w:pPr>
              <w:pStyle w:val="TableText0"/>
              <w:jc w:val="center"/>
              <w:rPr>
                <w:noProof/>
                <w:szCs w:val="20"/>
              </w:rPr>
            </w:pPr>
            <w:r w:rsidRPr="00263F60">
              <w:rPr>
                <w:noProof/>
                <w:szCs w:val="20"/>
              </w:rPr>
              <w:t>0.6</w:t>
            </w:r>
            <w:r>
              <w:rPr>
                <w:noProof/>
                <w:szCs w:val="20"/>
              </w:rPr>
              <w:t xml:space="preserve"> </w:t>
            </w:r>
            <w:r w:rsidRPr="00263F60">
              <w:rPr>
                <w:noProof/>
                <w:szCs w:val="20"/>
              </w:rPr>
              <w:t>(7.85)</w:t>
            </w:r>
          </w:p>
        </w:tc>
        <w:tc>
          <w:tcPr>
            <w:tcW w:w="629" w:type="pct"/>
            <w:vAlign w:val="center"/>
          </w:tcPr>
          <w:p w:rsidR="006559BD" w:rsidRPr="005525F9" w:rsidRDefault="006559BD" w:rsidP="00DC6727">
            <w:pPr>
              <w:pStyle w:val="TableText0"/>
              <w:jc w:val="center"/>
              <w:rPr>
                <w:noProof/>
                <w:szCs w:val="20"/>
              </w:rPr>
            </w:pPr>
            <w:r w:rsidRPr="005D72FB">
              <w:rPr>
                <w:noProof/>
                <w:szCs w:val="20"/>
              </w:rPr>
              <w:t>8.2 (9.54)</w:t>
            </w:r>
          </w:p>
        </w:tc>
        <w:tc>
          <w:tcPr>
            <w:tcW w:w="629" w:type="pct"/>
            <w:vAlign w:val="center"/>
          </w:tcPr>
          <w:p w:rsidR="006559BD" w:rsidRPr="005525F9" w:rsidRDefault="006559BD" w:rsidP="00DC6727">
            <w:pPr>
              <w:pStyle w:val="TableText0"/>
              <w:jc w:val="center"/>
              <w:rPr>
                <w:noProof/>
                <w:szCs w:val="20"/>
              </w:rPr>
            </w:pPr>
            <w:r>
              <w:rPr>
                <w:noProof/>
                <w:szCs w:val="20"/>
              </w:rPr>
              <w:t>0.4</w:t>
            </w:r>
            <w:r w:rsidRPr="00263F60">
              <w:rPr>
                <w:noProof/>
                <w:szCs w:val="20"/>
              </w:rPr>
              <w:t xml:space="preserve"> (7.</w:t>
            </w:r>
            <w:r>
              <w:rPr>
                <w:noProof/>
                <w:szCs w:val="20"/>
              </w:rPr>
              <w:t>47</w:t>
            </w:r>
            <w:r w:rsidRPr="00263F60">
              <w:rPr>
                <w:noProof/>
                <w:szCs w:val="20"/>
              </w:rPr>
              <w:t>)</w:t>
            </w:r>
          </w:p>
        </w:tc>
        <w:tc>
          <w:tcPr>
            <w:tcW w:w="629" w:type="pct"/>
            <w:vAlign w:val="center"/>
          </w:tcPr>
          <w:p w:rsidR="006559BD" w:rsidRPr="005525F9" w:rsidRDefault="006559BD" w:rsidP="00DC6727">
            <w:pPr>
              <w:pStyle w:val="TableText0"/>
              <w:jc w:val="center"/>
              <w:rPr>
                <w:noProof/>
                <w:szCs w:val="20"/>
              </w:rPr>
            </w:pPr>
            <w:r>
              <w:rPr>
                <w:noProof/>
                <w:szCs w:val="20"/>
              </w:rPr>
              <w:t>8.9 (10.67)</w:t>
            </w:r>
          </w:p>
        </w:tc>
        <w:tc>
          <w:tcPr>
            <w:tcW w:w="629" w:type="pct"/>
            <w:vAlign w:val="center"/>
          </w:tcPr>
          <w:p w:rsidR="006559BD" w:rsidRPr="005525F9" w:rsidRDefault="006559BD" w:rsidP="00DC6727">
            <w:pPr>
              <w:pStyle w:val="TableText0"/>
              <w:jc w:val="center"/>
              <w:rPr>
                <w:noProof/>
                <w:szCs w:val="20"/>
              </w:rPr>
            </w:pPr>
            <w:r>
              <w:rPr>
                <w:noProof/>
                <w:szCs w:val="20"/>
              </w:rPr>
              <w:t>-</w:t>
            </w:r>
            <w:r w:rsidRPr="00263F60">
              <w:rPr>
                <w:noProof/>
                <w:szCs w:val="20"/>
              </w:rPr>
              <w:t>8 (NR)</w:t>
            </w:r>
          </w:p>
        </w:tc>
        <w:tc>
          <w:tcPr>
            <w:tcW w:w="678" w:type="pct"/>
            <w:vAlign w:val="center"/>
          </w:tcPr>
          <w:p w:rsidR="006559BD" w:rsidRPr="005525F9" w:rsidRDefault="006559BD" w:rsidP="00DC6727">
            <w:pPr>
              <w:pStyle w:val="TableText0"/>
              <w:jc w:val="center"/>
              <w:rPr>
                <w:noProof/>
                <w:szCs w:val="20"/>
              </w:rPr>
            </w:pPr>
            <w:r>
              <w:rPr>
                <w:noProof/>
                <w:szCs w:val="20"/>
              </w:rPr>
              <w:t>NR</w:t>
            </w:r>
          </w:p>
        </w:tc>
      </w:tr>
      <w:tr w:rsidR="006559BD" w:rsidRPr="005D72FB" w:rsidTr="000A5230">
        <w:tc>
          <w:tcPr>
            <w:tcW w:w="1098" w:type="pct"/>
            <w:vAlign w:val="center"/>
          </w:tcPr>
          <w:p w:rsidR="006559BD" w:rsidRPr="005D72FB" w:rsidRDefault="006559BD" w:rsidP="00DC6727">
            <w:pPr>
              <w:pStyle w:val="TableText0"/>
              <w:rPr>
                <w:noProof/>
                <w:szCs w:val="20"/>
              </w:rPr>
            </w:pPr>
            <w:r w:rsidRPr="005D72FB">
              <w:rPr>
                <w:noProof/>
                <w:szCs w:val="20"/>
              </w:rPr>
              <w:t>Maximum mean change in heart rate following first dose</w:t>
            </w:r>
            <w:r>
              <w:rPr>
                <w:noProof/>
                <w:szCs w:val="20"/>
              </w:rPr>
              <w:t>, BPM</w:t>
            </w:r>
          </w:p>
        </w:tc>
        <w:tc>
          <w:tcPr>
            <w:tcW w:w="708" w:type="pct"/>
            <w:vAlign w:val="center"/>
          </w:tcPr>
          <w:p w:rsidR="006559BD" w:rsidRPr="005D72FB" w:rsidRDefault="006559BD" w:rsidP="00DC6727">
            <w:pPr>
              <w:pStyle w:val="TableText0"/>
              <w:jc w:val="center"/>
              <w:rPr>
                <w:noProof/>
                <w:szCs w:val="20"/>
              </w:rPr>
            </w:pPr>
            <w:r w:rsidRPr="005D72FB">
              <w:rPr>
                <w:noProof/>
                <w:szCs w:val="20"/>
              </w:rPr>
              <w:t>-1.8</w:t>
            </w:r>
          </w:p>
        </w:tc>
        <w:tc>
          <w:tcPr>
            <w:tcW w:w="629" w:type="pct"/>
            <w:vAlign w:val="center"/>
          </w:tcPr>
          <w:p w:rsidR="006559BD" w:rsidRPr="005D72FB" w:rsidRDefault="006559BD" w:rsidP="00DC6727">
            <w:pPr>
              <w:pStyle w:val="TableText0"/>
              <w:jc w:val="center"/>
              <w:rPr>
                <w:noProof/>
                <w:szCs w:val="20"/>
              </w:rPr>
            </w:pPr>
            <w:r w:rsidRPr="005D72FB">
              <w:rPr>
                <w:noProof/>
                <w:szCs w:val="20"/>
              </w:rPr>
              <w:t>NR</w:t>
            </w:r>
          </w:p>
        </w:tc>
        <w:tc>
          <w:tcPr>
            <w:tcW w:w="629" w:type="pct"/>
            <w:vAlign w:val="center"/>
          </w:tcPr>
          <w:p w:rsidR="006559BD" w:rsidRPr="005D72FB" w:rsidRDefault="006559BD" w:rsidP="00DC6727">
            <w:pPr>
              <w:pStyle w:val="TableText0"/>
              <w:jc w:val="center"/>
              <w:rPr>
                <w:noProof/>
                <w:szCs w:val="20"/>
              </w:rPr>
            </w:pPr>
            <w:r w:rsidRPr="005D72FB">
              <w:rPr>
                <w:noProof/>
                <w:szCs w:val="20"/>
              </w:rPr>
              <w:t>1.7</w:t>
            </w:r>
          </w:p>
        </w:tc>
        <w:tc>
          <w:tcPr>
            <w:tcW w:w="629" w:type="pct"/>
            <w:vAlign w:val="center"/>
          </w:tcPr>
          <w:p w:rsidR="006559BD" w:rsidRPr="005D72FB" w:rsidRDefault="006559BD" w:rsidP="00DC6727">
            <w:pPr>
              <w:pStyle w:val="TableText0"/>
              <w:jc w:val="center"/>
              <w:rPr>
                <w:noProof/>
                <w:szCs w:val="20"/>
              </w:rPr>
            </w:pPr>
            <w:r w:rsidRPr="005D72FB">
              <w:rPr>
                <w:noProof/>
                <w:szCs w:val="20"/>
              </w:rPr>
              <w:t>NR</w:t>
            </w:r>
          </w:p>
        </w:tc>
        <w:tc>
          <w:tcPr>
            <w:tcW w:w="629" w:type="pct"/>
            <w:vAlign w:val="center"/>
          </w:tcPr>
          <w:p w:rsidR="006559BD" w:rsidRPr="005D72FB" w:rsidRDefault="006559BD" w:rsidP="00DC6727">
            <w:pPr>
              <w:pStyle w:val="TableText0"/>
              <w:jc w:val="center"/>
              <w:rPr>
                <w:noProof/>
                <w:szCs w:val="20"/>
              </w:rPr>
            </w:pPr>
            <w:r w:rsidRPr="005D72FB">
              <w:rPr>
                <w:noProof/>
                <w:szCs w:val="20"/>
              </w:rPr>
              <w:t>8.0</w:t>
            </w:r>
          </w:p>
        </w:tc>
        <w:tc>
          <w:tcPr>
            <w:tcW w:w="678" w:type="pct"/>
            <w:vAlign w:val="center"/>
          </w:tcPr>
          <w:p w:rsidR="006559BD" w:rsidRPr="005D72FB" w:rsidRDefault="006559BD" w:rsidP="00DC6727">
            <w:pPr>
              <w:pStyle w:val="TableText0"/>
              <w:jc w:val="center"/>
              <w:rPr>
                <w:noProof/>
                <w:szCs w:val="20"/>
              </w:rPr>
            </w:pPr>
            <w:r w:rsidRPr="005D72FB">
              <w:rPr>
                <w:noProof/>
                <w:szCs w:val="20"/>
              </w:rPr>
              <w:t>NR</w:t>
            </w:r>
          </w:p>
        </w:tc>
      </w:tr>
      <w:tr w:rsidR="006559BD" w:rsidRPr="005525F9" w:rsidTr="000A5230">
        <w:tc>
          <w:tcPr>
            <w:tcW w:w="1098" w:type="pct"/>
          </w:tcPr>
          <w:p w:rsidR="006559BD" w:rsidRDefault="006559BD" w:rsidP="00DC6727">
            <w:pPr>
              <w:pStyle w:val="Tabletext"/>
              <w:keepNext/>
              <w:rPr>
                <w:noProof/>
                <w:szCs w:val="20"/>
              </w:rPr>
            </w:pPr>
            <w:r w:rsidRPr="005525F9">
              <w:t>ALC</w:t>
            </w:r>
            <w:r>
              <w:t>&lt; </w:t>
            </w:r>
            <w:r w:rsidRPr="005525F9">
              <w:t>0.5 x 10</w:t>
            </w:r>
            <w:r w:rsidRPr="000E7759">
              <w:rPr>
                <w:vertAlign w:val="superscript"/>
              </w:rPr>
              <w:t>9</w:t>
            </w:r>
            <w:r w:rsidRPr="005525F9">
              <w:t>/L, n (%)</w:t>
            </w:r>
          </w:p>
        </w:tc>
        <w:tc>
          <w:tcPr>
            <w:tcW w:w="708" w:type="pct"/>
            <w:vAlign w:val="center"/>
          </w:tcPr>
          <w:p w:rsidR="006559BD" w:rsidRPr="00263F60" w:rsidRDefault="006559BD" w:rsidP="00DC6727">
            <w:pPr>
              <w:pStyle w:val="Tabletext"/>
              <w:keepNext/>
              <w:jc w:val="center"/>
              <w:rPr>
                <w:noProof/>
                <w:szCs w:val="20"/>
              </w:rPr>
            </w:pPr>
            <w:r w:rsidRPr="005525F9">
              <w:t>231 (51.8)</w:t>
            </w:r>
          </w:p>
        </w:tc>
        <w:tc>
          <w:tcPr>
            <w:tcW w:w="629" w:type="pct"/>
            <w:vAlign w:val="center"/>
          </w:tcPr>
          <w:p w:rsidR="006559BD" w:rsidRDefault="006559BD" w:rsidP="00DC6727">
            <w:pPr>
              <w:pStyle w:val="Tabletext"/>
              <w:keepNext/>
              <w:jc w:val="center"/>
              <w:rPr>
                <w:noProof/>
                <w:szCs w:val="20"/>
              </w:rPr>
            </w:pPr>
            <w:r w:rsidRPr="005525F9">
              <w:t>8 (1.8)</w:t>
            </w:r>
          </w:p>
        </w:tc>
        <w:tc>
          <w:tcPr>
            <w:tcW w:w="629" w:type="pct"/>
            <w:vAlign w:val="center"/>
          </w:tcPr>
          <w:p w:rsidR="006559BD" w:rsidRPr="00263F60" w:rsidRDefault="006559BD" w:rsidP="00DC6727">
            <w:pPr>
              <w:pStyle w:val="Tabletext"/>
              <w:keepNext/>
              <w:jc w:val="center"/>
              <w:rPr>
                <w:noProof/>
                <w:szCs w:val="20"/>
              </w:rPr>
            </w:pPr>
            <w:r w:rsidRPr="005525F9">
              <w:t>249 (57.8)</w:t>
            </w:r>
          </w:p>
        </w:tc>
        <w:tc>
          <w:tcPr>
            <w:tcW w:w="629" w:type="pct"/>
            <w:vAlign w:val="center"/>
          </w:tcPr>
          <w:p w:rsidR="006559BD" w:rsidRDefault="006559BD" w:rsidP="00DC6727">
            <w:pPr>
              <w:pStyle w:val="Tabletext"/>
              <w:keepNext/>
              <w:jc w:val="center"/>
              <w:rPr>
                <w:noProof/>
                <w:szCs w:val="20"/>
              </w:rPr>
            </w:pPr>
            <w:r w:rsidRPr="005525F9">
              <w:t>6(1.4)</w:t>
            </w:r>
          </w:p>
        </w:tc>
        <w:tc>
          <w:tcPr>
            <w:tcW w:w="629" w:type="pct"/>
            <w:vAlign w:val="center"/>
          </w:tcPr>
          <w:p w:rsidR="006559BD" w:rsidRPr="00263F60" w:rsidRDefault="006559BD" w:rsidP="00DC6727">
            <w:pPr>
              <w:pStyle w:val="Tabletext"/>
              <w:keepNext/>
              <w:jc w:val="center"/>
              <w:rPr>
                <w:noProof/>
                <w:szCs w:val="20"/>
              </w:rPr>
            </w:pPr>
            <w:r w:rsidRPr="005525F9">
              <w:t>NR</w:t>
            </w:r>
          </w:p>
        </w:tc>
        <w:tc>
          <w:tcPr>
            <w:tcW w:w="678" w:type="pct"/>
            <w:vAlign w:val="center"/>
          </w:tcPr>
          <w:p w:rsidR="006559BD" w:rsidRDefault="006559BD" w:rsidP="00DC6727">
            <w:pPr>
              <w:pStyle w:val="Tabletext"/>
              <w:keepNext/>
              <w:jc w:val="center"/>
              <w:rPr>
                <w:noProof/>
                <w:szCs w:val="20"/>
              </w:rPr>
            </w:pPr>
            <w:r w:rsidRPr="005525F9">
              <w:t>NR</w:t>
            </w:r>
          </w:p>
        </w:tc>
      </w:tr>
      <w:tr w:rsidR="006559BD" w:rsidRPr="005525F9" w:rsidTr="000A5230">
        <w:tc>
          <w:tcPr>
            <w:tcW w:w="1098" w:type="pct"/>
          </w:tcPr>
          <w:p w:rsidR="006559BD" w:rsidRDefault="006559BD" w:rsidP="00DC6727">
            <w:pPr>
              <w:pStyle w:val="Tabletext"/>
              <w:keepNext/>
              <w:rPr>
                <w:noProof/>
                <w:szCs w:val="20"/>
              </w:rPr>
            </w:pPr>
            <w:r w:rsidRPr="005525F9">
              <w:t>ALC</w:t>
            </w:r>
            <w:r>
              <w:t>&lt; </w:t>
            </w:r>
            <w:r w:rsidRPr="005525F9">
              <w:t>0.4 x 10</w:t>
            </w:r>
            <w:r w:rsidRPr="000E7759">
              <w:rPr>
                <w:vertAlign w:val="superscript"/>
              </w:rPr>
              <w:t>9</w:t>
            </w:r>
            <w:r w:rsidRPr="005525F9">
              <w:t>/L, n (%)</w:t>
            </w:r>
          </w:p>
        </w:tc>
        <w:tc>
          <w:tcPr>
            <w:tcW w:w="708" w:type="pct"/>
            <w:vAlign w:val="center"/>
          </w:tcPr>
          <w:p w:rsidR="006559BD" w:rsidRPr="00263F60" w:rsidRDefault="006559BD" w:rsidP="00DC6727">
            <w:pPr>
              <w:pStyle w:val="Tabletext"/>
              <w:keepNext/>
              <w:jc w:val="center"/>
              <w:rPr>
                <w:noProof/>
                <w:szCs w:val="20"/>
              </w:rPr>
            </w:pPr>
            <w:r w:rsidRPr="005525F9">
              <w:t>NR</w:t>
            </w:r>
          </w:p>
        </w:tc>
        <w:tc>
          <w:tcPr>
            <w:tcW w:w="629" w:type="pct"/>
            <w:vAlign w:val="center"/>
          </w:tcPr>
          <w:p w:rsidR="006559BD" w:rsidRDefault="006559BD" w:rsidP="00DC6727">
            <w:pPr>
              <w:pStyle w:val="Tabletext"/>
              <w:keepNext/>
              <w:jc w:val="center"/>
              <w:rPr>
                <w:noProof/>
                <w:szCs w:val="20"/>
              </w:rPr>
            </w:pPr>
            <w:r w:rsidRPr="005525F9">
              <w:t>NR</w:t>
            </w:r>
          </w:p>
        </w:tc>
        <w:tc>
          <w:tcPr>
            <w:tcW w:w="629" w:type="pct"/>
            <w:vAlign w:val="center"/>
          </w:tcPr>
          <w:p w:rsidR="006559BD" w:rsidRPr="00263F60" w:rsidRDefault="006559BD" w:rsidP="00DC6727">
            <w:pPr>
              <w:pStyle w:val="Tabletext"/>
              <w:keepNext/>
              <w:jc w:val="center"/>
              <w:rPr>
                <w:noProof/>
                <w:szCs w:val="20"/>
              </w:rPr>
            </w:pPr>
            <w:r w:rsidRPr="005525F9">
              <w:t>NR</w:t>
            </w:r>
          </w:p>
        </w:tc>
        <w:tc>
          <w:tcPr>
            <w:tcW w:w="629" w:type="pct"/>
            <w:vAlign w:val="center"/>
          </w:tcPr>
          <w:p w:rsidR="006559BD" w:rsidRDefault="006559BD" w:rsidP="00DC6727">
            <w:pPr>
              <w:pStyle w:val="Tabletext"/>
              <w:keepNext/>
              <w:jc w:val="center"/>
              <w:rPr>
                <w:noProof/>
                <w:szCs w:val="20"/>
              </w:rPr>
            </w:pPr>
            <w:r w:rsidRPr="005525F9">
              <w:t>NR</w:t>
            </w:r>
          </w:p>
        </w:tc>
        <w:tc>
          <w:tcPr>
            <w:tcW w:w="629" w:type="pct"/>
            <w:vAlign w:val="center"/>
          </w:tcPr>
          <w:p w:rsidR="006559BD" w:rsidRPr="00263F60" w:rsidRDefault="006559BD" w:rsidP="00DC6727">
            <w:pPr>
              <w:pStyle w:val="Tabletext"/>
              <w:keepNext/>
              <w:jc w:val="center"/>
              <w:rPr>
                <w:noProof/>
                <w:szCs w:val="20"/>
              </w:rPr>
            </w:pPr>
            <w:r w:rsidRPr="005525F9">
              <w:t>308 (71.8)</w:t>
            </w:r>
          </w:p>
        </w:tc>
        <w:tc>
          <w:tcPr>
            <w:tcW w:w="678" w:type="pct"/>
            <w:vAlign w:val="center"/>
          </w:tcPr>
          <w:p w:rsidR="006559BD" w:rsidRDefault="006559BD" w:rsidP="00DC6727">
            <w:pPr>
              <w:pStyle w:val="Tabletext"/>
              <w:keepNext/>
              <w:jc w:val="center"/>
              <w:rPr>
                <w:noProof/>
                <w:szCs w:val="20"/>
              </w:rPr>
            </w:pPr>
            <w:r w:rsidRPr="005525F9">
              <w:t>11 (2.6)</w:t>
            </w:r>
          </w:p>
        </w:tc>
      </w:tr>
      <w:tr w:rsidR="006559BD" w:rsidRPr="005525F9" w:rsidTr="000A5230">
        <w:tc>
          <w:tcPr>
            <w:tcW w:w="1098" w:type="pct"/>
          </w:tcPr>
          <w:p w:rsidR="006559BD" w:rsidRPr="005525F9" w:rsidRDefault="006559BD" w:rsidP="00DC6727">
            <w:pPr>
              <w:pStyle w:val="Tabletext"/>
              <w:keepNext/>
            </w:pPr>
            <w:r>
              <w:t>Infections (serious)</w:t>
            </w:r>
          </w:p>
        </w:tc>
        <w:tc>
          <w:tcPr>
            <w:tcW w:w="708" w:type="pct"/>
            <w:vAlign w:val="center"/>
          </w:tcPr>
          <w:p w:rsidR="006559BD" w:rsidRPr="005525F9" w:rsidRDefault="006559BD" w:rsidP="00DC6727">
            <w:pPr>
              <w:pStyle w:val="Tabletext"/>
              <w:keepNext/>
              <w:jc w:val="center"/>
            </w:pPr>
            <w:r w:rsidRPr="00F82E86">
              <w:t>5 (1.1)</w:t>
            </w:r>
          </w:p>
        </w:tc>
        <w:tc>
          <w:tcPr>
            <w:tcW w:w="629" w:type="pct"/>
            <w:vAlign w:val="center"/>
          </w:tcPr>
          <w:p w:rsidR="006559BD" w:rsidRPr="005525F9" w:rsidRDefault="006559BD" w:rsidP="00DC6727">
            <w:pPr>
              <w:pStyle w:val="Tabletext"/>
              <w:keepNext/>
              <w:jc w:val="center"/>
            </w:pPr>
            <w:r w:rsidRPr="00F82E86">
              <w:t>3 (0.7)</w:t>
            </w:r>
          </w:p>
        </w:tc>
        <w:tc>
          <w:tcPr>
            <w:tcW w:w="629" w:type="pct"/>
            <w:vAlign w:val="center"/>
          </w:tcPr>
          <w:p w:rsidR="006559BD" w:rsidRPr="005525F9" w:rsidRDefault="006559BD" w:rsidP="00DC6727">
            <w:pPr>
              <w:pStyle w:val="Tabletext"/>
              <w:keepNext/>
              <w:jc w:val="center"/>
            </w:pPr>
            <w:r w:rsidRPr="00F82E86">
              <w:t>4 (0.9)</w:t>
            </w:r>
          </w:p>
        </w:tc>
        <w:tc>
          <w:tcPr>
            <w:tcW w:w="629" w:type="pct"/>
            <w:vAlign w:val="center"/>
          </w:tcPr>
          <w:p w:rsidR="006559BD" w:rsidRPr="005525F9" w:rsidRDefault="006559BD" w:rsidP="00DC6727">
            <w:pPr>
              <w:pStyle w:val="Tabletext"/>
              <w:keepNext/>
              <w:jc w:val="center"/>
            </w:pPr>
            <w:r w:rsidRPr="00F82E86">
              <w:t>4 (0.9)</w:t>
            </w:r>
          </w:p>
        </w:tc>
        <w:tc>
          <w:tcPr>
            <w:tcW w:w="1307" w:type="pct"/>
            <w:gridSpan w:val="2"/>
            <w:vAlign w:val="center"/>
          </w:tcPr>
          <w:p w:rsidR="006559BD" w:rsidRPr="005525F9" w:rsidRDefault="006559BD" w:rsidP="00DC6727">
            <w:pPr>
              <w:pStyle w:val="Tabletext"/>
              <w:keepNext/>
              <w:jc w:val="center"/>
            </w:pPr>
            <w:r>
              <w:t xml:space="preserve"> NR (</w:t>
            </w:r>
            <w:r w:rsidRPr="00C405B9">
              <w:t>0.2</w:t>
            </w:r>
            <w:r>
              <w:t>%</w:t>
            </w:r>
            <w:r w:rsidRPr="00C405B9">
              <w:t xml:space="preserve"> to 1.7%</w:t>
            </w:r>
            <w:r>
              <w:t>)</w:t>
            </w:r>
          </w:p>
        </w:tc>
      </w:tr>
      <w:tr w:rsidR="006559BD" w:rsidRPr="005525F9" w:rsidTr="000A5230">
        <w:tc>
          <w:tcPr>
            <w:tcW w:w="1098" w:type="pct"/>
            <w:vAlign w:val="center"/>
          </w:tcPr>
          <w:p w:rsidR="006559BD" w:rsidRPr="00183959" w:rsidRDefault="006559BD" w:rsidP="00DC6727">
            <w:pPr>
              <w:pStyle w:val="TableText0"/>
              <w:rPr>
                <w:noProof/>
                <w:szCs w:val="20"/>
                <w:vertAlign w:val="superscript"/>
              </w:rPr>
            </w:pPr>
            <w:r w:rsidRPr="005525F9">
              <w:rPr>
                <w:noProof/>
                <w:szCs w:val="20"/>
              </w:rPr>
              <w:t>Increased ALT</w:t>
            </w:r>
            <w:r>
              <w:rPr>
                <w:noProof/>
                <w:szCs w:val="20"/>
              </w:rPr>
              <w:t xml:space="preserve"> </w:t>
            </w:r>
            <w:r>
              <w:rPr>
                <w:noProof/>
                <w:szCs w:val="20"/>
                <w:vertAlign w:val="superscript"/>
              </w:rPr>
              <w:t>b</w:t>
            </w:r>
          </w:p>
        </w:tc>
        <w:tc>
          <w:tcPr>
            <w:tcW w:w="708" w:type="pct"/>
          </w:tcPr>
          <w:p w:rsidR="006559BD" w:rsidRPr="00183959" w:rsidRDefault="006559BD" w:rsidP="00DC6727">
            <w:pPr>
              <w:pStyle w:val="Tabletext"/>
              <w:keepNext/>
              <w:jc w:val="center"/>
            </w:pPr>
            <w:r w:rsidRPr="00183959">
              <w:t>19/447</w:t>
            </w:r>
            <w:r>
              <w:t xml:space="preserve"> </w:t>
            </w:r>
            <w:r w:rsidRPr="00183959">
              <w:t>(4.3)</w:t>
            </w:r>
          </w:p>
        </w:tc>
        <w:tc>
          <w:tcPr>
            <w:tcW w:w="629" w:type="pct"/>
          </w:tcPr>
          <w:p w:rsidR="006559BD" w:rsidRPr="00183959" w:rsidRDefault="006559BD" w:rsidP="00DC6727">
            <w:pPr>
              <w:pStyle w:val="Tabletext"/>
              <w:keepNext/>
              <w:jc w:val="center"/>
            </w:pPr>
            <w:r w:rsidRPr="00183959">
              <w:t>10/445</w:t>
            </w:r>
            <w:r>
              <w:t xml:space="preserve"> </w:t>
            </w:r>
            <w:r w:rsidRPr="00183959">
              <w:t>(2.2)</w:t>
            </w:r>
          </w:p>
        </w:tc>
        <w:tc>
          <w:tcPr>
            <w:tcW w:w="629" w:type="pct"/>
          </w:tcPr>
          <w:p w:rsidR="006559BD" w:rsidRPr="00183959" w:rsidRDefault="006559BD" w:rsidP="00DC6727">
            <w:pPr>
              <w:pStyle w:val="Tabletext"/>
              <w:keepNext/>
              <w:jc w:val="center"/>
            </w:pPr>
            <w:r w:rsidRPr="00183959">
              <w:t>29/431 (6.7)</w:t>
            </w:r>
          </w:p>
        </w:tc>
        <w:tc>
          <w:tcPr>
            <w:tcW w:w="629" w:type="pct"/>
          </w:tcPr>
          <w:p w:rsidR="006559BD" w:rsidRPr="00183959" w:rsidRDefault="006559BD" w:rsidP="00DC6727">
            <w:pPr>
              <w:pStyle w:val="Tabletext"/>
              <w:keepNext/>
              <w:jc w:val="center"/>
            </w:pPr>
            <w:r w:rsidRPr="00183959">
              <w:t>17/434</w:t>
            </w:r>
            <w:r>
              <w:t xml:space="preserve"> </w:t>
            </w:r>
            <w:r w:rsidRPr="00183959">
              <w:t>(3.9)</w:t>
            </w:r>
          </w:p>
        </w:tc>
        <w:tc>
          <w:tcPr>
            <w:tcW w:w="629" w:type="pct"/>
          </w:tcPr>
          <w:p w:rsidR="006559BD" w:rsidRPr="00183959" w:rsidRDefault="006559BD" w:rsidP="00DC6727">
            <w:pPr>
              <w:pStyle w:val="Tabletext"/>
              <w:keepNext/>
              <w:jc w:val="center"/>
            </w:pPr>
            <w:r w:rsidRPr="00183959">
              <w:t>32/380 (8.4)</w:t>
            </w:r>
          </w:p>
        </w:tc>
        <w:tc>
          <w:tcPr>
            <w:tcW w:w="678" w:type="pct"/>
          </w:tcPr>
          <w:p w:rsidR="006559BD" w:rsidRPr="00183959" w:rsidRDefault="006559BD" w:rsidP="00DC6727">
            <w:pPr>
              <w:pStyle w:val="Tabletext"/>
              <w:keepNext/>
              <w:jc w:val="center"/>
            </w:pPr>
            <w:r w:rsidRPr="00183959">
              <w:t>9/378</w:t>
            </w:r>
            <w:r>
              <w:t xml:space="preserve"> </w:t>
            </w:r>
            <w:r w:rsidRPr="00183959">
              <w:t>(2.3)</w:t>
            </w:r>
          </w:p>
        </w:tc>
      </w:tr>
      <w:tr w:rsidR="006559BD" w:rsidRPr="005525F9" w:rsidTr="000A5230">
        <w:tc>
          <w:tcPr>
            <w:tcW w:w="1098" w:type="pct"/>
            <w:vAlign w:val="center"/>
          </w:tcPr>
          <w:p w:rsidR="006559BD" w:rsidRPr="005525F9" w:rsidRDefault="006559BD" w:rsidP="00DC6727">
            <w:pPr>
              <w:pStyle w:val="Tabletext"/>
              <w:keepNext/>
              <w:rPr>
                <w:noProof/>
              </w:rPr>
            </w:pPr>
            <w:r>
              <w:rPr>
                <w:noProof/>
              </w:rPr>
              <w:t>Increased AST</w:t>
            </w:r>
          </w:p>
        </w:tc>
        <w:tc>
          <w:tcPr>
            <w:tcW w:w="708" w:type="pct"/>
          </w:tcPr>
          <w:p w:rsidR="006559BD" w:rsidRPr="00183959" w:rsidRDefault="006559BD" w:rsidP="00DC6727">
            <w:pPr>
              <w:pStyle w:val="Tabletext"/>
              <w:keepNext/>
              <w:jc w:val="center"/>
            </w:pPr>
            <w:r w:rsidRPr="00183959">
              <w:t>3/447</w:t>
            </w:r>
            <w:r>
              <w:t xml:space="preserve"> </w:t>
            </w:r>
            <w:r w:rsidRPr="00183959">
              <w:t>(0.7)</w:t>
            </w:r>
            <w:r>
              <w:t xml:space="preserve"> </w:t>
            </w:r>
          </w:p>
        </w:tc>
        <w:tc>
          <w:tcPr>
            <w:tcW w:w="629" w:type="pct"/>
          </w:tcPr>
          <w:p w:rsidR="006559BD" w:rsidRPr="00183959" w:rsidRDefault="006559BD" w:rsidP="00DC6727">
            <w:pPr>
              <w:pStyle w:val="Tabletext"/>
              <w:keepNext/>
              <w:jc w:val="center"/>
            </w:pPr>
            <w:r w:rsidRPr="00183959">
              <w:t>7/445</w:t>
            </w:r>
            <w:r>
              <w:t xml:space="preserve"> </w:t>
            </w:r>
            <w:r w:rsidRPr="00183959">
              <w:t>(1.6)</w:t>
            </w:r>
          </w:p>
        </w:tc>
        <w:tc>
          <w:tcPr>
            <w:tcW w:w="629" w:type="pct"/>
          </w:tcPr>
          <w:p w:rsidR="006559BD" w:rsidRPr="00183959" w:rsidRDefault="006559BD" w:rsidP="00DC6727">
            <w:pPr>
              <w:pStyle w:val="Tabletext"/>
              <w:keepNext/>
              <w:jc w:val="center"/>
            </w:pPr>
            <w:r w:rsidRPr="00183959">
              <w:t>6/431</w:t>
            </w:r>
            <w:r>
              <w:t xml:space="preserve"> </w:t>
            </w:r>
            <w:r w:rsidRPr="00183959">
              <w:t>(1.4)</w:t>
            </w:r>
          </w:p>
        </w:tc>
        <w:tc>
          <w:tcPr>
            <w:tcW w:w="629" w:type="pct"/>
          </w:tcPr>
          <w:p w:rsidR="006559BD" w:rsidRPr="00183959" w:rsidRDefault="006559BD" w:rsidP="00DC6727">
            <w:pPr>
              <w:pStyle w:val="Tabletext"/>
              <w:keepNext/>
              <w:jc w:val="center"/>
            </w:pPr>
            <w:r w:rsidRPr="00183959">
              <w:t>12/434 (2.8)</w:t>
            </w:r>
          </w:p>
        </w:tc>
        <w:tc>
          <w:tcPr>
            <w:tcW w:w="629" w:type="pct"/>
          </w:tcPr>
          <w:p w:rsidR="006559BD" w:rsidRPr="00183959" w:rsidRDefault="006559BD" w:rsidP="00DC6727">
            <w:pPr>
              <w:pStyle w:val="Tabletext"/>
              <w:keepNext/>
              <w:jc w:val="center"/>
            </w:pPr>
            <w:r w:rsidRPr="00183959">
              <w:t>8/380</w:t>
            </w:r>
            <w:r>
              <w:t xml:space="preserve"> </w:t>
            </w:r>
            <w:r w:rsidRPr="00183959">
              <w:t>(2.1)</w:t>
            </w:r>
          </w:p>
        </w:tc>
        <w:tc>
          <w:tcPr>
            <w:tcW w:w="678" w:type="pct"/>
          </w:tcPr>
          <w:p w:rsidR="006559BD" w:rsidRPr="00183959" w:rsidRDefault="006559BD" w:rsidP="00DC6727">
            <w:pPr>
              <w:pStyle w:val="Tabletext"/>
              <w:keepNext/>
              <w:jc w:val="center"/>
            </w:pPr>
            <w:r w:rsidRPr="00183959">
              <w:t>7/377</w:t>
            </w:r>
            <w:r>
              <w:t xml:space="preserve"> </w:t>
            </w:r>
            <w:r w:rsidRPr="00183959">
              <w:t>(1.9)</w:t>
            </w:r>
          </w:p>
        </w:tc>
      </w:tr>
      <w:tr w:rsidR="006559BD" w:rsidRPr="005525F9" w:rsidTr="000A5230">
        <w:tc>
          <w:tcPr>
            <w:tcW w:w="1098" w:type="pct"/>
            <w:vAlign w:val="center"/>
          </w:tcPr>
          <w:p w:rsidR="006559BD" w:rsidRPr="005525F9" w:rsidRDefault="006559BD" w:rsidP="00DC6727">
            <w:pPr>
              <w:pStyle w:val="TableText0"/>
              <w:rPr>
                <w:noProof/>
                <w:szCs w:val="20"/>
              </w:rPr>
            </w:pPr>
            <w:r w:rsidRPr="005525F9">
              <w:rPr>
                <w:noProof/>
                <w:szCs w:val="20"/>
              </w:rPr>
              <w:t>Increased GGT</w:t>
            </w:r>
          </w:p>
        </w:tc>
        <w:tc>
          <w:tcPr>
            <w:tcW w:w="708" w:type="pct"/>
            <w:vAlign w:val="center"/>
          </w:tcPr>
          <w:p w:rsidR="006559BD" w:rsidRPr="005525F9" w:rsidRDefault="006559BD" w:rsidP="00DC6727">
            <w:pPr>
              <w:pStyle w:val="TableText0"/>
              <w:jc w:val="center"/>
              <w:rPr>
                <w:noProof/>
                <w:szCs w:val="20"/>
              </w:rPr>
            </w:pPr>
            <w:r w:rsidRPr="005525F9">
              <w:rPr>
                <w:noProof/>
                <w:szCs w:val="20"/>
              </w:rPr>
              <w:t>15 (3.3)</w:t>
            </w:r>
          </w:p>
        </w:tc>
        <w:tc>
          <w:tcPr>
            <w:tcW w:w="629" w:type="pct"/>
            <w:vAlign w:val="center"/>
          </w:tcPr>
          <w:p w:rsidR="006559BD" w:rsidRPr="005525F9" w:rsidRDefault="006559BD" w:rsidP="00DC6727">
            <w:pPr>
              <w:pStyle w:val="TableText0"/>
              <w:jc w:val="center"/>
              <w:rPr>
                <w:noProof/>
                <w:szCs w:val="20"/>
              </w:rPr>
            </w:pPr>
            <w:r w:rsidRPr="005525F9">
              <w:rPr>
                <w:noProof/>
                <w:szCs w:val="20"/>
              </w:rPr>
              <w:t>2 (0.4)</w:t>
            </w:r>
          </w:p>
        </w:tc>
        <w:tc>
          <w:tcPr>
            <w:tcW w:w="629" w:type="pct"/>
            <w:vAlign w:val="center"/>
          </w:tcPr>
          <w:p w:rsidR="006559BD" w:rsidRPr="005525F9" w:rsidRDefault="006559BD" w:rsidP="00DC6727">
            <w:pPr>
              <w:pStyle w:val="TableText0"/>
              <w:jc w:val="center"/>
              <w:rPr>
                <w:noProof/>
                <w:szCs w:val="20"/>
              </w:rPr>
            </w:pPr>
            <w:r w:rsidRPr="005525F9">
              <w:rPr>
                <w:noProof/>
                <w:szCs w:val="20"/>
              </w:rPr>
              <w:t>25 (5.8)</w:t>
            </w:r>
          </w:p>
        </w:tc>
        <w:tc>
          <w:tcPr>
            <w:tcW w:w="629" w:type="pct"/>
            <w:vAlign w:val="center"/>
          </w:tcPr>
          <w:p w:rsidR="006559BD" w:rsidRPr="005525F9" w:rsidRDefault="006559BD" w:rsidP="00DC6727">
            <w:pPr>
              <w:pStyle w:val="TableText0"/>
              <w:jc w:val="center"/>
              <w:rPr>
                <w:noProof/>
                <w:szCs w:val="20"/>
              </w:rPr>
            </w:pPr>
            <w:r w:rsidRPr="005525F9">
              <w:rPr>
                <w:noProof/>
                <w:szCs w:val="20"/>
              </w:rPr>
              <w:t>9 (2.0)</w:t>
            </w:r>
          </w:p>
        </w:tc>
        <w:tc>
          <w:tcPr>
            <w:tcW w:w="1307" w:type="pct"/>
            <w:gridSpan w:val="2"/>
            <w:vAlign w:val="center"/>
          </w:tcPr>
          <w:p w:rsidR="006559BD" w:rsidRDefault="006559BD" w:rsidP="00DC6727">
            <w:pPr>
              <w:pStyle w:val="TableText0"/>
              <w:jc w:val="center"/>
              <w:rPr>
                <w:noProof/>
                <w:szCs w:val="20"/>
                <w:vertAlign w:val="superscript"/>
              </w:rPr>
            </w:pPr>
            <w:r>
              <w:rPr>
                <w:noProof/>
                <w:szCs w:val="20"/>
              </w:rPr>
              <w:t>NR</w:t>
            </w:r>
            <w:r>
              <w:rPr>
                <w:noProof/>
                <w:szCs w:val="20"/>
                <w:vertAlign w:val="superscript"/>
              </w:rPr>
              <w:t xml:space="preserve">  </w:t>
            </w:r>
          </w:p>
          <w:p w:rsidR="006559BD" w:rsidRPr="00CB28B2" w:rsidRDefault="006559BD" w:rsidP="00DC6727">
            <w:pPr>
              <w:pStyle w:val="TableText0"/>
              <w:jc w:val="center"/>
              <w:rPr>
                <w:noProof/>
                <w:szCs w:val="20"/>
                <w:vertAlign w:val="superscript"/>
              </w:rPr>
            </w:pPr>
            <w:r w:rsidRPr="00CB28B2">
              <w:rPr>
                <w:noProof/>
                <w:szCs w:val="20"/>
              </w:rPr>
              <w:t xml:space="preserve">All fingolimod trials: 6.0% </w:t>
            </w:r>
            <w:r w:rsidRPr="00CB28B2">
              <w:rPr>
                <w:noProof/>
                <w:szCs w:val="20"/>
                <w:vertAlign w:val="superscript"/>
              </w:rPr>
              <w:t>c</w:t>
            </w:r>
          </w:p>
        </w:tc>
      </w:tr>
    </w:tbl>
    <w:p w:rsidR="006559BD" w:rsidRPr="00CB28B2" w:rsidRDefault="006559BD" w:rsidP="000A5230">
      <w:pPr>
        <w:pStyle w:val="TableFigureFooter"/>
        <w:rPr>
          <w:sz w:val="20"/>
        </w:rPr>
      </w:pPr>
      <w:r w:rsidRPr="005525F9">
        <w:t xml:space="preserve">Source: Table 69, </w:t>
      </w:r>
      <w:r>
        <w:t>p</w:t>
      </w:r>
      <w:r w:rsidRPr="005525F9">
        <w:t xml:space="preserve">111, and Table 70, </w:t>
      </w:r>
      <w:r>
        <w:t>p</w:t>
      </w:r>
      <w:r w:rsidRPr="005525F9">
        <w:t xml:space="preserve">113 </w:t>
      </w:r>
      <w:r w:rsidRPr="00CB28B2">
        <w:t>of the submission; Table 77, p168 of the fingolimod AUSPAR; Table 14.3.2.1 of the SUNBEAM CSR; Table 14.3.2.1 of the RADIANCE B CSR.</w:t>
      </w:r>
    </w:p>
    <w:p w:rsidR="006559BD" w:rsidRPr="00CB28B2" w:rsidRDefault="006559BD" w:rsidP="000A5230">
      <w:pPr>
        <w:pStyle w:val="TableFigureFooter"/>
        <w:rPr>
          <w:rFonts w:eastAsia="Calibri"/>
        </w:rPr>
      </w:pPr>
      <w:r w:rsidRPr="005525F9">
        <w:rPr>
          <w:rFonts w:eastAsia="Calibri"/>
        </w:rPr>
        <w:t xml:space="preserve">AE </w:t>
      </w:r>
      <w:r>
        <w:rPr>
          <w:rFonts w:eastAsia="Calibri"/>
        </w:rPr>
        <w:t>= adverse event;</w:t>
      </w:r>
      <w:r w:rsidRPr="005525F9">
        <w:rPr>
          <w:rFonts w:eastAsia="Calibri"/>
        </w:rPr>
        <w:t xml:space="preserve"> </w:t>
      </w:r>
      <w:r>
        <w:rPr>
          <w:rFonts w:eastAsia="Calibri"/>
        </w:rPr>
        <w:t xml:space="preserve">ALC = absolute lymphocyte count; </w:t>
      </w:r>
      <w:r w:rsidRPr="005525F9">
        <w:rPr>
          <w:rFonts w:eastAsia="Calibri"/>
        </w:rPr>
        <w:t xml:space="preserve">ALT </w:t>
      </w:r>
      <w:r>
        <w:rPr>
          <w:rFonts w:eastAsia="Calibri"/>
        </w:rPr>
        <w:t>= alanine aminotransferase;</w:t>
      </w:r>
      <w:r w:rsidRPr="005525F9">
        <w:rPr>
          <w:rFonts w:eastAsia="Calibri"/>
        </w:rPr>
        <w:t xml:space="preserve"> </w:t>
      </w:r>
      <w:r w:rsidRPr="005525F9">
        <w:rPr>
          <w:noProof/>
        </w:rPr>
        <w:t xml:space="preserve">AST </w:t>
      </w:r>
      <w:r>
        <w:rPr>
          <w:noProof/>
        </w:rPr>
        <w:t>= aspartate aminotransferase;</w:t>
      </w:r>
      <w:r w:rsidRPr="005525F9">
        <w:rPr>
          <w:noProof/>
        </w:rPr>
        <w:t xml:space="preserve"> </w:t>
      </w:r>
      <w:r>
        <w:rPr>
          <w:rFonts w:eastAsia="Calibri"/>
        </w:rPr>
        <w:t xml:space="preserve">AV </w:t>
      </w:r>
      <w:r w:rsidRPr="00CB28B2">
        <w:rPr>
          <w:rFonts w:eastAsia="Calibri"/>
        </w:rPr>
        <w:t xml:space="preserve">= atrioventricular; BPM = beats per minute; CSR = clinical study report; </w:t>
      </w:r>
      <w:r w:rsidRPr="00CB28B2">
        <w:rPr>
          <w:noProof/>
        </w:rPr>
        <w:t xml:space="preserve">GGT = gamma-glutamyltransferase; IFN = interferon; </w:t>
      </w:r>
      <w:r w:rsidRPr="00CB28B2">
        <w:rPr>
          <w:rFonts w:eastAsia="Calibri"/>
        </w:rPr>
        <w:t>NR = not reported; SD = standard deviation</w:t>
      </w:r>
    </w:p>
    <w:p w:rsidR="006559BD" w:rsidRPr="00CB28B2" w:rsidRDefault="006559BD" w:rsidP="000A5230">
      <w:pPr>
        <w:pStyle w:val="TableFigureFooter"/>
        <w:rPr>
          <w:rFonts w:eastAsia="Calibri"/>
        </w:rPr>
      </w:pPr>
      <w:r w:rsidRPr="00CB28B2">
        <w:rPr>
          <w:rFonts w:eastAsia="Calibri"/>
          <w:vertAlign w:val="superscript"/>
        </w:rPr>
        <w:t>a</w:t>
      </w:r>
      <w:r w:rsidRPr="00CB28B2">
        <w:rPr>
          <w:rFonts w:eastAsia="Calibri"/>
        </w:rPr>
        <w:t xml:space="preserve"> First-dose heart rate measurements were conducted from baseline to six hours in SUNBEAM and RADIANCE B. The duration of first-dose heart rate measurements was not reported in TRANSFORMS; however, maximum mean changes in heart rate were observed four to five hours after baseline </w:t>
      </w:r>
    </w:p>
    <w:p w:rsidR="006559BD" w:rsidRPr="00CB28B2" w:rsidRDefault="006559BD" w:rsidP="000A5230">
      <w:pPr>
        <w:pStyle w:val="TableFigureFooter"/>
        <w:rPr>
          <w:rFonts w:eastAsia="Calibri"/>
        </w:rPr>
      </w:pPr>
      <w:r w:rsidRPr="00CB28B2">
        <w:rPr>
          <w:rFonts w:eastAsia="Calibri"/>
          <w:vertAlign w:val="superscript"/>
        </w:rPr>
        <w:t xml:space="preserve">b </w:t>
      </w:r>
      <w:r w:rsidRPr="00CB28B2">
        <w:rPr>
          <w:rFonts w:eastAsia="Calibri"/>
        </w:rPr>
        <w:t>Greater than or equal to 3 times of upper limit of normal range.</w:t>
      </w:r>
    </w:p>
    <w:p w:rsidR="006559BD" w:rsidRPr="00CB28B2" w:rsidRDefault="006559BD" w:rsidP="000A5230">
      <w:pPr>
        <w:pStyle w:val="TableFigureFooter"/>
        <w:rPr>
          <w:rFonts w:eastAsia="Calibri"/>
        </w:rPr>
      </w:pPr>
      <w:r w:rsidRPr="00CB28B2">
        <w:rPr>
          <w:rFonts w:eastAsia="Calibri"/>
          <w:vertAlign w:val="superscript"/>
        </w:rPr>
        <w:t>c</w:t>
      </w:r>
      <w:r w:rsidRPr="00CB28B2">
        <w:rPr>
          <w:rFonts w:eastAsia="Calibri"/>
        </w:rPr>
        <w:t xml:space="preserve"> Data from all patients in double-blind, randomised, and placebo or active-controlled studies fingolimod studies at 12 months with GGT greater than three times upper level of normal.</w:t>
      </w:r>
    </w:p>
    <w:p w:rsidR="006559BD" w:rsidRPr="00FB21F0" w:rsidRDefault="006559BD" w:rsidP="00F3186D">
      <w:pPr>
        <w:pStyle w:val="3-BodyText"/>
        <w:rPr>
          <w:color w:val="000000" w:themeColor="text1"/>
        </w:rPr>
      </w:pPr>
      <w:r w:rsidRPr="000F58BB">
        <w:rPr>
          <w:color w:val="000000" w:themeColor="text1"/>
        </w:rPr>
        <w:t>The submission considered the naïve comparison of AEs suggested the safety profile of ozanimod was similar to fingolimod, with the exception of</w:t>
      </w:r>
      <w:r>
        <w:rPr>
          <w:color w:val="000000" w:themeColor="text1"/>
        </w:rPr>
        <w:t xml:space="preserve"> ozanimod having fewer first dose cardiac events such as bradycardia or decreased heart rate, and atrioventricular block.</w:t>
      </w:r>
      <w:r w:rsidRPr="00580ECF">
        <w:rPr>
          <w:color w:val="000000" w:themeColor="text1"/>
        </w:rPr>
        <w:t xml:space="preserve"> Ozanimod was also associated with lower reductions in absolute lymphocyte count (ALC), fewer increases in liver enzymes (ALT and AST), and fewe</w:t>
      </w:r>
      <w:r w:rsidRPr="001C729B">
        <w:rPr>
          <w:color w:val="000000" w:themeColor="text1"/>
        </w:rPr>
        <w:t>r discontinuations due to AEs. Bradycardia and atrioventricular block both occurred with ozanimod and fingolimod but not with IFN-β1a. However, the mean change in heart rate appeared lower in the ozanimod trials compared with the TRANSFORMS trial. The submission’s claim that ozanimod wa</w:t>
      </w:r>
      <w:r w:rsidRPr="005820D3">
        <w:rPr>
          <w:color w:val="000000" w:themeColor="text1"/>
        </w:rPr>
        <w:t>s associated with lower reductions in ALC compared with fingolimod appeared reasonable</w:t>
      </w:r>
      <w:r w:rsidR="001D2D4E" w:rsidRPr="00FB21F0">
        <w:rPr>
          <w:color w:val="000000" w:themeColor="text1"/>
        </w:rPr>
        <w:t xml:space="preserve"> over the trial durations</w:t>
      </w:r>
      <w:r w:rsidRPr="00FB21F0">
        <w:rPr>
          <w:color w:val="000000" w:themeColor="text1"/>
        </w:rPr>
        <w:t xml:space="preserve">. The submission considered lower reductions in ALC may be clinically important, since ALC in peripheral blood is associated with protection against infection and immune surveillance against cancer cells. However, the incidence of serious </w:t>
      </w:r>
      <w:r w:rsidRPr="00FB21F0">
        <w:rPr>
          <w:color w:val="000000" w:themeColor="text1"/>
        </w:rPr>
        <w:lastRenderedPageBreak/>
        <w:t>infections were similar between the ozanimod and fingolimod treatment arms compared with IFN</w:t>
      </w:r>
      <w:r w:rsidRPr="00FB21F0">
        <w:rPr>
          <w:color w:val="000000" w:themeColor="text1"/>
        </w:rPr>
        <w:noBreakHyphen/>
        <w:t xml:space="preserve">β1a. Ozanimod had numerically lower proportions of patients with increases in ALT and AST; however, it was not clear whether these differences were clinically meaningful. </w:t>
      </w:r>
    </w:p>
    <w:p w:rsidR="000740F6" w:rsidRPr="00816210" w:rsidRDefault="006559BD" w:rsidP="00634E68">
      <w:pPr>
        <w:pStyle w:val="3-BodyText"/>
      </w:pPr>
      <w:r w:rsidRPr="00656E2A">
        <w:t xml:space="preserve">The submission stated ozanimod does not require first-dose cardiac </w:t>
      </w:r>
      <w:r w:rsidRPr="00F3186D">
        <w:t>monitoring</w:t>
      </w:r>
      <w:r w:rsidRPr="00656E2A">
        <w:t xml:space="preserve">. </w:t>
      </w:r>
      <w:r w:rsidR="00FB21F0" w:rsidRPr="00AE2F8B">
        <w:t>The ESC noted the TGA CER)</w:t>
      </w:r>
      <w:r w:rsidR="00924670" w:rsidRPr="00AE2F8B">
        <w:t xml:space="preserve"> </w:t>
      </w:r>
      <w:r w:rsidR="00634E68" w:rsidRPr="00AE2F8B">
        <w:t xml:space="preserve">received during </w:t>
      </w:r>
      <w:r w:rsidR="00435CF9" w:rsidRPr="00AE2F8B">
        <w:t>evaluation supported</w:t>
      </w:r>
      <w:r w:rsidR="00FB21F0" w:rsidRPr="00AE2F8B">
        <w:t xml:space="preserve"> this claim, with the evaluator stating that, ‘</w:t>
      </w:r>
      <w:r w:rsidR="00CA0ED0">
        <w:t xml:space="preserve">introduction of </w:t>
      </w:r>
      <w:r w:rsidR="00FB21F0" w:rsidRPr="00AE2F8B">
        <w:t>a 7-day dose escalation regimen</w:t>
      </w:r>
      <w:r w:rsidR="00CA0ED0">
        <w:t>…</w:t>
      </w:r>
      <w:r w:rsidR="00FB21F0" w:rsidRPr="00AE2F8B">
        <w:t>was not associated with any clinically meaningful HR</w:t>
      </w:r>
      <w:r w:rsidR="00CB444B">
        <w:t xml:space="preserve"> [heart rate]</w:t>
      </w:r>
      <w:r w:rsidR="00FB21F0" w:rsidRPr="00AE2F8B">
        <w:t xml:space="preserve"> reductions, conduction or rhythm </w:t>
      </w:r>
      <w:r w:rsidR="00CA0ED0">
        <w:t>abnormalities or cardiac AEs [adverse events]. Hence, first-dose cardiac monitoring is not necessary in patients who do not have significant cardiovascular condition’</w:t>
      </w:r>
      <w:r w:rsidR="00FB21F0" w:rsidRPr="00AE2F8B">
        <w:t>.</w:t>
      </w:r>
    </w:p>
    <w:p w:rsidR="006559BD" w:rsidRPr="00551C76" w:rsidRDefault="006559BD" w:rsidP="000A5230">
      <w:pPr>
        <w:pStyle w:val="4-SubsectionHeading"/>
      </w:pPr>
      <w:bookmarkStart w:id="29" w:name="_Toc22897644"/>
      <w:bookmarkStart w:id="30" w:name="_Toc30410050"/>
      <w:r w:rsidRPr="00551C76">
        <w:t>Clinical claim</w:t>
      </w:r>
      <w:bookmarkEnd w:id="29"/>
      <w:bookmarkEnd w:id="30"/>
    </w:p>
    <w:p w:rsidR="006559BD" w:rsidRPr="00656E2A" w:rsidRDefault="006559BD" w:rsidP="000A5230">
      <w:pPr>
        <w:pStyle w:val="3-BodyText"/>
        <w:rPr>
          <w:rFonts w:eastAsia="Calibri"/>
        </w:rPr>
      </w:pPr>
      <w:bookmarkStart w:id="31" w:name="_Ref36029082"/>
      <w:r w:rsidRPr="00551C76">
        <w:rPr>
          <w:rFonts w:eastAsia="Calibri"/>
        </w:rPr>
        <w:t xml:space="preserve">The submission described ozanimod as non-inferior in terms of effectiveness compared </w:t>
      </w:r>
      <w:r w:rsidRPr="00656E2A">
        <w:rPr>
          <w:rFonts w:eastAsia="Calibri"/>
        </w:rPr>
        <w:t>to fingolimod. The submission’s claim of non-inferiority may not be fully supported as:</w:t>
      </w:r>
      <w:bookmarkEnd w:id="31"/>
      <w:r w:rsidRPr="00656E2A">
        <w:rPr>
          <w:rFonts w:eastAsia="Calibri"/>
        </w:rPr>
        <w:t xml:space="preserve"> </w:t>
      </w:r>
    </w:p>
    <w:p w:rsidR="006559BD" w:rsidRPr="00656E2A" w:rsidRDefault="006559BD" w:rsidP="009E031A">
      <w:pPr>
        <w:pStyle w:val="3-BodyText"/>
        <w:numPr>
          <w:ilvl w:val="0"/>
          <w:numId w:val="5"/>
        </w:numPr>
        <w:ind w:left="1077" w:hanging="357"/>
        <w:rPr>
          <w:rFonts w:eastAsia="Calibri"/>
        </w:rPr>
      </w:pPr>
      <w:r w:rsidRPr="00656E2A">
        <w:rPr>
          <w:rFonts w:eastAsia="Calibri"/>
        </w:rPr>
        <w:t xml:space="preserve">the 95% confidence intervals were wide and the upper limit for ARR was higher than </w:t>
      </w:r>
      <w:r w:rsidRPr="00656E2A">
        <w:t>MCID values presented in previous RRMS submissions (although these values were not accepted by the PBAC)</w:t>
      </w:r>
      <w:r w:rsidRPr="00656E2A">
        <w:rPr>
          <w:rFonts w:eastAsia="Calibri"/>
        </w:rPr>
        <w:t>; and</w:t>
      </w:r>
    </w:p>
    <w:p w:rsidR="006559BD" w:rsidRPr="00656E2A" w:rsidRDefault="006559BD" w:rsidP="009E031A">
      <w:pPr>
        <w:pStyle w:val="3-BodyText"/>
        <w:numPr>
          <w:ilvl w:val="0"/>
          <w:numId w:val="5"/>
        </w:numPr>
        <w:ind w:left="1077" w:hanging="357"/>
        <w:rPr>
          <w:rFonts w:eastAsia="Calibri"/>
        </w:rPr>
      </w:pPr>
      <w:r w:rsidRPr="00656E2A">
        <w:rPr>
          <w:rFonts w:eastAsia="Calibri"/>
        </w:rPr>
        <w:t xml:space="preserve">differences in the rates of 3-month confirmed disability progression in </w:t>
      </w:r>
      <w:r w:rsidR="004F4470">
        <w:rPr>
          <w:rFonts w:eastAsia="Calibri"/>
        </w:rPr>
        <w:t xml:space="preserve">the </w:t>
      </w:r>
      <w:r w:rsidRPr="00656E2A">
        <w:rPr>
          <w:rFonts w:eastAsia="Calibri"/>
        </w:rPr>
        <w:t xml:space="preserve">IFN-β1a arms in the SUNBEAM and TRANSFORMS trials </w:t>
      </w:r>
      <w:r w:rsidR="00894E18" w:rsidRPr="00AE2F8B">
        <w:rPr>
          <w:rFonts w:eastAsia="Calibri"/>
        </w:rPr>
        <w:t xml:space="preserve">and differences in the baseline proportion of patients with prior treatment with DMTs </w:t>
      </w:r>
      <w:r w:rsidRPr="00AE2F8B">
        <w:rPr>
          <w:rFonts w:eastAsia="Calibri"/>
        </w:rPr>
        <w:t>suggested there may be underlying differences in the patient populations</w:t>
      </w:r>
      <w:r w:rsidR="001D0AFC" w:rsidRPr="00AE2F8B">
        <w:rPr>
          <w:rFonts w:ascii="Calibri" w:hAnsi="Calibri"/>
          <w:snapToGrid/>
        </w:rPr>
        <w:t xml:space="preserve"> and a possible transitivity issue, with an unknown effect on outcomes</w:t>
      </w:r>
      <w:r w:rsidRPr="00AE2F8B">
        <w:rPr>
          <w:rFonts w:eastAsia="Calibri"/>
        </w:rPr>
        <w:t>.</w:t>
      </w:r>
      <w:r w:rsidRPr="00656E2A">
        <w:rPr>
          <w:rFonts w:eastAsia="Calibri"/>
        </w:rPr>
        <w:t xml:space="preserve"> </w:t>
      </w:r>
    </w:p>
    <w:p w:rsidR="00B8251B" w:rsidRDefault="006559BD" w:rsidP="00B8251B">
      <w:pPr>
        <w:pStyle w:val="3-BodyText"/>
        <w:rPr>
          <w:rFonts w:eastAsia="Calibri"/>
        </w:rPr>
      </w:pPr>
      <w:r w:rsidRPr="00656E2A">
        <w:rPr>
          <w:rFonts w:eastAsia="Calibri"/>
        </w:rPr>
        <w:t xml:space="preserve">The submission described ozanimod as non-inferior (potentially superior) in terms of safety compared with fingolimod. </w:t>
      </w:r>
      <w:r w:rsidRPr="00AE2F8B">
        <w:rPr>
          <w:rFonts w:eastAsia="Calibri"/>
        </w:rPr>
        <w:t>The</w:t>
      </w:r>
      <w:r w:rsidR="001B1745" w:rsidRPr="00AE2F8B">
        <w:rPr>
          <w:rFonts w:eastAsia="Calibri"/>
        </w:rPr>
        <w:t xml:space="preserve"> ESC considered that the</w:t>
      </w:r>
      <w:r w:rsidRPr="00AE2F8B">
        <w:rPr>
          <w:rFonts w:eastAsia="Calibri"/>
        </w:rPr>
        <w:t xml:space="preserve"> claim of non</w:t>
      </w:r>
      <w:r w:rsidRPr="00AE2F8B">
        <w:rPr>
          <w:rFonts w:eastAsia="Calibri"/>
        </w:rPr>
        <w:noBreakHyphen/>
        <w:t xml:space="preserve">inferior safety was adequately supported. </w:t>
      </w:r>
    </w:p>
    <w:p w:rsidR="00B8251B" w:rsidRPr="00B8251B" w:rsidRDefault="00B8251B" w:rsidP="00B8251B">
      <w:pPr>
        <w:pStyle w:val="3-BodyText"/>
        <w:rPr>
          <w:rFonts w:eastAsia="Calibri"/>
        </w:rPr>
      </w:pPr>
      <w:r w:rsidRPr="00B8251B">
        <w:rPr>
          <w:rFonts w:eastAsia="Calibri"/>
        </w:rPr>
        <w:t>The PBAC considered that</w:t>
      </w:r>
      <w:r w:rsidR="00E411A4">
        <w:rPr>
          <w:rFonts w:eastAsia="Calibri"/>
        </w:rPr>
        <w:t xml:space="preserve">, on balance, </w:t>
      </w:r>
      <w:r w:rsidRPr="00B8251B">
        <w:rPr>
          <w:rFonts w:eastAsia="Calibri"/>
        </w:rPr>
        <w:t>the claim of non-inferior comparative effectiveness was reasonable</w:t>
      </w:r>
      <w:r w:rsidR="00E411A4">
        <w:rPr>
          <w:rFonts w:eastAsia="Calibri"/>
        </w:rPr>
        <w:t>.</w:t>
      </w:r>
      <w:r w:rsidR="00E411A4" w:rsidDel="00E411A4">
        <w:rPr>
          <w:rFonts w:eastAsia="Calibri"/>
        </w:rPr>
        <w:t xml:space="preserve"> </w:t>
      </w:r>
    </w:p>
    <w:p w:rsidR="00B8251B" w:rsidRPr="00033A7F" w:rsidRDefault="00B8251B" w:rsidP="00033A7F">
      <w:pPr>
        <w:pStyle w:val="3-BodyText"/>
        <w:rPr>
          <w:rFonts w:eastAsia="Calibri"/>
        </w:rPr>
      </w:pPr>
      <w:r w:rsidRPr="00B8251B">
        <w:rPr>
          <w:rFonts w:eastAsia="Calibri"/>
        </w:rPr>
        <w:t>The PBAC considered that the claim of non-inferior comparative safety was reasonable</w:t>
      </w:r>
      <w:r w:rsidR="007514D7">
        <w:rPr>
          <w:rFonts w:eastAsia="Calibri"/>
        </w:rPr>
        <w:t xml:space="preserve"> overall and that ozanimod may have a modest safety advantage at </w:t>
      </w:r>
      <w:r w:rsidR="00033A7F">
        <w:rPr>
          <w:rFonts w:eastAsia="Calibri"/>
        </w:rPr>
        <w:t xml:space="preserve">the </w:t>
      </w:r>
      <w:r w:rsidR="007514D7">
        <w:rPr>
          <w:rFonts w:eastAsia="Calibri"/>
        </w:rPr>
        <w:t xml:space="preserve">time of initiation due to lower risk of first-dose cardiac adverse events. </w:t>
      </w:r>
    </w:p>
    <w:p w:rsidR="006559BD" w:rsidRPr="00551C76" w:rsidRDefault="006559BD" w:rsidP="000A5230">
      <w:pPr>
        <w:pStyle w:val="4-SubsectionHeading"/>
      </w:pPr>
      <w:bookmarkStart w:id="32" w:name="_Toc30410051"/>
      <w:r w:rsidRPr="00551C76">
        <w:t>Economic analysis</w:t>
      </w:r>
      <w:bookmarkEnd w:id="32"/>
      <w:r w:rsidRPr="00551C76">
        <w:t xml:space="preserve"> </w:t>
      </w:r>
    </w:p>
    <w:p w:rsidR="006559BD" w:rsidRPr="00656E2A" w:rsidRDefault="006559BD" w:rsidP="000A5230">
      <w:pPr>
        <w:pStyle w:val="3-BodyText"/>
      </w:pPr>
      <w:r w:rsidRPr="00551C76">
        <w:t>The submission presented a cost minimi</w:t>
      </w:r>
      <w:r>
        <w:t>s</w:t>
      </w:r>
      <w:r w:rsidRPr="00551C76">
        <w:t xml:space="preserve">ation analysis based on a claim of non-inferiority compared with fingolimod (Table </w:t>
      </w:r>
      <w:r w:rsidR="001B1745">
        <w:t>8</w:t>
      </w:r>
      <w:r w:rsidRPr="00551C76">
        <w:t xml:space="preserve">). </w:t>
      </w:r>
      <w:r w:rsidRPr="00656E2A">
        <w:t xml:space="preserve">The equi-effective doses were estimated as ozanimod 0.92 mg </w:t>
      </w:r>
      <w:r w:rsidR="00802754" w:rsidRPr="00656E2A">
        <w:t>once daily</w:t>
      </w:r>
      <w:r w:rsidRPr="00656E2A">
        <w:t xml:space="preserve"> and fingolimod 0.5 mg </w:t>
      </w:r>
      <w:r w:rsidR="00802754" w:rsidRPr="00656E2A">
        <w:t>once daily</w:t>
      </w:r>
      <w:r w:rsidRPr="00656E2A">
        <w:t xml:space="preserve">. </w:t>
      </w:r>
    </w:p>
    <w:p w:rsidR="006559BD" w:rsidRPr="00656E2A" w:rsidRDefault="006559BD" w:rsidP="000A5230">
      <w:pPr>
        <w:pStyle w:val="3-BodyText"/>
      </w:pPr>
      <w:r w:rsidRPr="00551C76">
        <w:t>Based on the cost-minimisation analysis</w:t>
      </w:r>
      <w:r>
        <w:t xml:space="preserve"> presented in the submission (using the </w:t>
      </w:r>
      <w:r w:rsidR="00DE1636">
        <w:t xml:space="preserve">published </w:t>
      </w:r>
      <w:r>
        <w:t>fingolimod DPMQ)</w:t>
      </w:r>
      <w:r w:rsidRPr="00551C76">
        <w:t xml:space="preserve">, the DPMQ for ozanimod was calculated to be $2,210.41 </w:t>
      </w:r>
      <w:r w:rsidRPr="00551C76">
        <w:lastRenderedPageBreak/>
        <w:t>for the 28</w:t>
      </w:r>
      <w:r>
        <w:t>-day</w:t>
      </w:r>
      <w:r w:rsidRPr="00551C76">
        <w:t xml:space="preserve"> pack.</w:t>
      </w:r>
      <w:r>
        <w:rPr>
          <w:i/>
        </w:rPr>
        <w:t xml:space="preserve"> </w:t>
      </w:r>
      <w:r w:rsidRPr="00656E2A">
        <w:t xml:space="preserve">Cost-minimisation analyses should be conducted using the ex-manufacturer price (AEMP). However, given both standard pack sizes for ozanimod and fingolimod provide 28-days’ therapy and no other costs were included, the cost minimisation using the </w:t>
      </w:r>
      <w:r w:rsidR="008818E2" w:rsidRPr="00656E2A">
        <w:t>AEMP would</w:t>
      </w:r>
      <w:r w:rsidRPr="00656E2A">
        <w:t xml:space="preserve"> not change the cost-minimised price of ozanimod. The DPMQ for the titration pack of ozanimod is $577.81 based on the </w:t>
      </w:r>
      <w:r w:rsidR="00DE1636">
        <w:t xml:space="preserve">AEMP </w:t>
      </w:r>
      <w:r w:rsidRPr="00656E2A">
        <w:t>of seven days of ozanimod treatment</w:t>
      </w:r>
      <w:r w:rsidR="00DE1636">
        <w:t>.</w:t>
      </w:r>
      <w:r w:rsidRPr="00656E2A">
        <w:t xml:space="preserve"> </w:t>
      </w:r>
    </w:p>
    <w:p w:rsidR="006559BD" w:rsidRPr="00551C76" w:rsidRDefault="006559BD" w:rsidP="00F3186D">
      <w:pPr>
        <w:pStyle w:val="TableFigureHeading"/>
        <w:keepLines/>
        <w:widowControl w:val="0"/>
        <w:rPr>
          <w:rStyle w:val="CommentReference"/>
          <w:rFonts w:asciiTheme="minorHAnsi" w:hAnsiTheme="minorHAnsi" w:cs="Arial"/>
          <w:b w:val="0"/>
          <w:bCs w:val="0"/>
          <w:snapToGrid w:val="0"/>
          <w:sz w:val="24"/>
        </w:rPr>
      </w:pPr>
      <w:r w:rsidRPr="00551C76">
        <w:rPr>
          <w:rStyle w:val="CommentReference"/>
        </w:rPr>
        <w:t xml:space="preserve">Table </w:t>
      </w:r>
      <w:r w:rsidR="001B1745">
        <w:rPr>
          <w:rStyle w:val="CommentReference"/>
        </w:rPr>
        <w:t>8</w:t>
      </w:r>
      <w:r w:rsidRPr="00551C76">
        <w:rPr>
          <w:rStyle w:val="CommentReference"/>
        </w:rPr>
        <w:t>: Cost minimisation analysis</w:t>
      </w:r>
    </w:p>
    <w:tbl>
      <w:tblPr>
        <w:tblStyle w:val="TableGrid"/>
        <w:tblW w:w="5000" w:type="pct"/>
        <w:tblLook w:val="04A0" w:firstRow="1" w:lastRow="0" w:firstColumn="1" w:lastColumn="0" w:noHBand="0" w:noVBand="1"/>
        <w:tblCaption w:val="Table 8: Cost minimisation analysis"/>
      </w:tblPr>
      <w:tblGrid>
        <w:gridCol w:w="712"/>
        <w:gridCol w:w="4236"/>
        <w:gridCol w:w="1432"/>
        <w:gridCol w:w="2637"/>
      </w:tblGrid>
      <w:tr w:rsidR="006559BD" w:rsidRPr="00551C76" w:rsidTr="00F76705">
        <w:trPr>
          <w:tblHeader/>
        </w:trPr>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b/>
                <w:bCs w:val="0"/>
                <w:lang w:eastAsia="en-US"/>
              </w:rPr>
            </w:pPr>
            <w:r w:rsidRPr="00551C76">
              <w:rPr>
                <w:b/>
                <w:lang w:eastAsia="en-US"/>
              </w:rPr>
              <w:t>Row</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jc w:val="center"/>
              <w:rPr>
                <w:b/>
                <w:bCs w:val="0"/>
                <w:lang w:eastAsia="en-US"/>
              </w:rPr>
            </w:pPr>
            <w:r w:rsidRPr="00551C76">
              <w:rPr>
                <w:b/>
                <w:lang w:eastAsia="en-US"/>
              </w:rPr>
              <w:t>Parameter</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b/>
                <w:bCs w:val="0"/>
                <w:lang w:eastAsia="en-US"/>
              </w:rPr>
            </w:pPr>
            <w:r w:rsidRPr="00551C76">
              <w:rPr>
                <w:b/>
                <w:lang w:eastAsia="en-US"/>
              </w:rPr>
              <w:t>Value</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jc w:val="center"/>
              <w:rPr>
                <w:b/>
                <w:bCs w:val="0"/>
                <w:lang w:eastAsia="en-US"/>
              </w:rPr>
            </w:pPr>
            <w:r w:rsidRPr="00551C76">
              <w:rPr>
                <w:b/>
                <w:lang w:eastAsia="en-US"/>
              </w:rPr>
              <w:t>Source / Reference</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A</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FING maximum quantity</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28</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PBS item 5262Y</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B</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FING PBS price (published DPMQ)</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$2,210.41</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PBS item 5262Y</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C</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 xml:space="preserve">FING total cost per day </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$78.94</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tabs>
                <w:tab w:val="left" w:pos="1515"/>
              </w:tabs>
              <w:rPr>
                <w:lang w:eastAsia="en-US"/>
              </w:rPr>
            </w:pPr>
            <w:r>
              <w:rPr>
                <w:lang w:eastAsia="en-US"/>
              </w:rPr>
              <w:t>= </w:t>
            </w:r>
            <w:r w:rsidRPr="00551C76">
              <w:rPr>
                <w:lang w:eastAsia="en-US"/>
              </w:rPr>
              <w:t xml:space="preserve">B / A </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D</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OZA maximum quantity</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28</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Proposed item</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E</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OZA price per day</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$78.94</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Pr>
                <w:lang w:eastAsia="en-US"/>
              </w:rPr>
              <w:t>= </w:t>
            </w:r>
            <w:r w:rsidRPr="00551C76">
              <w:rPr>
                <w:lang w:eastAsia="en-US"/>
              </w:rPr>
              <w:t>C</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F</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OZA</w:t>
            </w:r>
            <w:r>
              <w:rPr>
                <w:lang w:eastAsia="en-US"/>
              </w:rPr>
              <w:t xml:space="preserve"> 28-tablet pack</w:t>
            </w:r>
            <w:r w:rsidRPr="00551C76">
              <w:rPr>
                <w:lang w:eastAsia="en-US"/>
              </w:rPr>
              <w:t xml:space="preserve"> price (published DPMQ)</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$2,210.41</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D x E</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G</w:t>
            </w:r>
          </w:p>
        </w:tc>
        <w:tc>
          <w:tcPr>
            <w:tcW w:w="2349"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 xml:space="preserve">OZA </w:t>
            </w:r>
            <w:r>
              <w:rPr>
                <w:lang w:eastAsia="en-US"/>
              </w:rPr>
              <w:t xml:space="preserve">28-tablet pack </w:t>
            </w:r>
            <w:r w:rsidRPr="00551C76">
              <w:rPr>
                <w:lang w:eastAsia="en-US"/>
              </w:rPr>
              <w:t>price (ex-manufacturer)</w:t>
            </w:r>
          </w:p>
        </w:tc>
        <w:tc>
          <w:tcPr>
            <w:tcW w:w="794" w:type="pct"/>
            <w:tcBorders>
              <w:top w:val="single" w:sz="4" w:space="0" w:color="auto"/>
              <w:left w:val="single" w:sz="4" w:space="0" w:color="auto"/>
              <w:bottom w:val="single" w:sz="4" w:space="0" w:color="auto"/>
              <w:right w:val="single" w:sz="4" w:space="0" w:color="auto"/>
            </w:tcBorders>
            <w:vAlign w:val="center"/>
            <w:hideMark/>
          </w:tcPr>
          <w:p w:rsidR="006559BD" w:rsidRPr="00551C76" w:rsidRDefault="006559BD" w:rsidP="00F3186D">
            <w:pPr>
              <w:pStyle w:val="TableText0"/>
              <w:keepLines/>
              <w:widowControl w:val="0"/>
              <w:jc w:val="center"/>
              <w:rPr>
                <w:lang w:eastAsia="en-US"/>
              </w:rPr>
            </w:pPr>
            <w:r w:rsidRPr="00551C76">
              <w:rPr>
                <w:lang w:eastAsia="en-US"/>
              </w:rPr>
              <w:t>$2,058.29</w:t>
            </w:r>
          </w:p>
        </w:tc>
        <w:tc>
          <w:tcPr>
            <w:tcW w:w="1462" w:type="pct"/>
            <w:tcBorders>
              <w:top w:val="single" w:sz="4" w:space="0" w:color="auto"/>
              <w:left w:val="single" w:sz="4" w:space="0" w:color="auto"/>
              <w:bottom w:val="single" w:sz="4" w:space="0" w:color="auto"/>
              <w:right w:val="single" w:sz="4" w:space="0" w:color="auto"/>
            </w:tcBorders>
            <w:hideMark/>
          </w:tcPr>
          <w:p w:rsidR="006559BD" w:rsidRPr="00551C76" w:rsidRDefault="006559BD" w:rsidP="00F3186D">
            <w:pPr>
              <w:pStyle w:val="TableText0"/>
              <w:keepLines/>
              <w:widowControl w:val="0"/>
              <w:rPr>
                <w:lang w:eastAsia="en-US"/>
              </w:rPr>
            </w:pPr>
            <w:r w:rsidRPr="00551C76">
              <w:rPr>
                <w:lang w:eastAsia="en-US"/>
              </w:rPr>
              <w:t>Calculated from F</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Pr>
                <w:lang w:eastAsia="en-US"/>
              </w:rPr>
              <w:t>H</w:t>
            </w:r>
          </w:p>
        </w:tc>
        <w:tc>
          <w:tcPr>
            <w:tcW w:w="2349"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Pr>
                <w:lang w:eastAsia="en-US"/>
              </w:rPr>
              <w:t>Ozanimod titration pack price (ex-manufacturer)</w:t>
            </w:r>
          </w:p>
        </w:tc>
        <w:tc>
          <w:tcPr>
            <w:tcW w:w="794" w:type="pct"/>
            <w:tcBorders>
              <w:top w:val="single" w:sz="4" w:space="0" w:color="auto"/>
              <w:left w:val="single" w:sz="4" w:space="0" w:color="auto"/>
              <w:bottom w:val="single" w:sz="4" w:space="0" w:color="auto"/>
              <w:right w:val="single" w:sz="4" w:space="0" w:color="auto"/>
            </w:tcBorders>
            <w:vAlign w:val="center"/>
          </w:tcPr>
          <w:p w:rsidR="006559BD" w:rsidRPr="00656E2A" w:rsidRDefault="006559BD" w:rsidP="00F3186D">
            <w:pPr>
              <w:pStyle w:val="TableText0"/>
              <w:keepLines/>
              <w:widowControl w:val="0"/>
              <w:jc w:val="center"/>
              <w:rPr>
                <w:vertAlign w:val="superscript"/>
                <w:lang w:eastAsia="en-US"/>
              </w:rPr>
            </w:pPr>
            <w:r w:rsidRPr="00656E2A">
              <w:rPr>
                <w:lang w:eastAsia="en-US"/>
              </w:rPr>
              <w:t xml:space="preserve">$514.57 </w:t>
            </w:r>
            <w:r w:rsidRPr="00656E2A">
              <w:rPr>
                <w:vertAlign w:val="superscript"/>
                <w:lang w:eastAsia="en-US"/>
              </w:rPr>
              <w:t>a</w:t>
            </w:r>
          </w:p>
        </w:tc>
        <w:tc>
          <w:tcPr>
            <w:tcW w:w="1462"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Pr>
                <w:lang w:eastAsia="en-US"/>
              </w:rPr>
              <w:t>G / 28 ×  7</w:t>
            </w:r>
          </w:p>
        </w:tc>
      </w:tr>
      <w:tr w:rsidR="006559BD" w:rsidRPr="00551C76" w:rsidTr="000A5230">
        <w:tc>
          <w:tcPr>
            <w:tcW w:w="395"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Pr>
                <w:lang w:eastAsia="en-US"/>
              </w:rPr>
              <w:t>I</w:t>
            </w:r>
          </w:p>
        </w:tc>
        <w:tc>
          <w:tcPr>
            <w:tcW w:w="2349" w:type="pct"/>
            <w:tcBorders>
              <w:top w:val="single" w:sz="4" w:space="0" w:color="auto"/>
              <w:left w:val="single" w:sz="4" w:space="0" w:color="auto"/>
              <w:bottom w:val="single" w:sz="4" w:space="0" w:color="auto"/>
              <w:right w:val="single" w:sz="4" w:space="0" w:color="auto"/>
            </w:tcBorders>
          </w:tcPr>
          <w:p w:rsidR="006559BD" w:rsidRPr="00551C76" w:rsidRDefault="006559BD" w:rsidP="00F3186D">
            <w:pPr>
              <w:pStyle w:val="TableText0"/>
              <w:keepLines/>
              <w:widowControl w:val="0"/>
              <w:rPr>
                <w:lang w:eastAsia="en-US"/>
              </w:rPr>
            </w:pPr>
            <w:r w:rsidRPr="00E33CB6">
              <w:rPr>
                <w:lang w:eastAsia="en-US"/>
              </w:rPr>
              <w:t>Ozanimod titration pack price (</w:t>
            </w:r>
            <w:r>
              <w:rPr>
                <w:lang w:eastAsia="en-US"/>
              </w:rPr>
              <w:t>published DPMQ</w:t>
            </w:r>
            <w:r w:rsidRPr="00E33CB6">
              <w:rPr>
                <w:lang w:eastAsia="en-US"/>
              </w:rPr>
              <w:t>)</w:t>
            </w:r>
          </w:p>
        </w:tc>
        <w:tc>
          <w:tcPr>
            <w:tcW w:w="794" w:type="pct"/>
            <w:tcBorders>
              <w:top w:val="single" w:sz="4" w:space="0" w:color="auto"/>
              <w:left w:val="single" w:sz="4" w:space="0" w:color="auto"/>
              <w:bottom w:val="single" w:sz="4" w:space="0" w:color="auto"/>
              <w:right w:val="single" w:sz="4" w:space="0" w:color="auto"/>
            </w:tcBorders>
            <w:vAlign w:val="center"/>
          </w:tcPr>
          <w:p w:rsidR="006559BD" w:rsidRPr="00656E2A" w:rsidRDefault="006559BD" w:rsidP="00F3186D">
            <w:pPr>
              <w:pStyle w:val="TableText0"/>
              <w:keepLines/>
              <w:widowControl w:val="0"/>
              <w:jc w:val="center"/>
              <w:rPr>
                <w:vertAlign w:val="superscript"/>
                <w:lang w:eastAsia="en-US"/>
              </w:rPr>
            </w:pPr>
            <w:r w:rsidRPr="00656E2A">
              <w:rPr>
                <w:lang w:eastAsia="en-US"/>
              </w:rPr>
              <w:t xml:space="preserve">$577.81 </w:t>
            </w:r>
            <w:r w:rsidRPr="00656E2A">
              <w:rPr>
                <w:vertAlign w:val="superscript"/>
                <w:lang w:eastAsia="en-US"/>
              </w:rPr>
              <w:t>a</w:t>
            </w:r>
          </w:p>
        </w:tc>
        <w:tc>
          <w:tcPr>
            <w:tcW w:w="1462" w:type="pct"/>
            <w:tcBorders>
              <w:top w:val="single" w:sz="4" w:space="0" w:color="auto"/>
              <w:left w:val="single" w:sz="4" w:space="0" w:color="auto"/>
              <w:bottom w:val="single" w:sz="4" w:space="0" w:color="auto"/>
              <w:right w:val="single" w:sz="4" w:space="0" w:color="auto"/>
            </w:tcBorders>
          </w:tcPr>
          <w:p w:rsidR="006559BD" w:rsidRPr="00AE2F8B" w:rsidRDefault="006559BD" w:rsidP="00F3186D">
            <w:pPr>
              <w:pStyle w:val="TableText0"/>
              <w:keepLines/>
              <w:widowControl w:val="0"/>
              <w:rPr>
                <w:lang w:eastAsia="en-US"/>
              </w:rPr>
            </w:pPr>
            <w:r w:rsidRPr="00AE2F8B">
              <w:rPr>
                <w:lang w:eastAsia="en-US"/>
              </w:rPr>
              <w:t>Calculated from H</w:t>
            </w:r>
          </w:p>
        </w:tc>
      </w:tr>
    </w:tbl>
    <w:p w:rsidR="006559BD" w:rsidRPr="00551C76" w:rsidRDefault="006559BD" w:rsidP="00F3186D">
      <w:pPr>
        <w:pStyle w:val="TableFigureFooter"/>
        <w:keepNext/>
        <w:widowControl w:val="0"/>
      </w:pPr>
      <w:r w:rsidRPr="00551C76">
        <w:t xml:space="preserve">Source: Table 87, </w:t>
      </w:r>
      <w:r>
        <w:t>p</w:t>
      </w:r>
      <w:r w:rsidRPr="00551C76">
        <w:t>152 of the submission</w:t>
      </w:r>
      <w:r>
        <w:t>.</w:t>
      </w:r>
    </w:p>
    <w:p w:rsidR="006559BD" w:rsidRPr="00551C76" w:rsidRDefault="006559BD" w:rsidP="00F3186D">
      <w:pPr>
        <w:pStyle w:val="TableFigureFooter"/>
        <w:keepNext/>
        <w:widowControl w:val="0"/>
      </w:pPr>
      <w:r w:rsidRPr="00551C76">
        <w:t xml:space="preserve">DPMQ </w:t>
      </w:r>
      <w:r>
        <w:t>= d</w:t>
      </w:r>
      <w:r w:rsidRPr="00551C76">
        <w:t xml:space="preserve">ispensed price maximum quantity; FING </w:t>
      </w:r>
      <w:r>
        <w:t>= fingolimod;</w:t>
      </w:r>
      <w:r w:rsidRPr="00551C76">
        <w:t xml:space="preserve"> OZA </w:t>
      </w:r>
      <w:r>
        <w:t>= ozanimod;</w:t>
      </w:r>
      <w:r w:rsidRPr="00551C76">
        <w:t xml:space="preserve"> PBS </w:t>
      </w:r>
      <w:r>
        <w:t>= </w:t>
      </w:r>
      <w:r w:rsidRPr="00551C76">
        <w:t>Pharmaceutical Benefits Scheme</w:t>
      </w:r>
    </w:p>
    <w:p w:rsidR="006559BD" w:rsidRDefault="006559BD" w:rsidP="00F3186D">
      <w:pPr>
        <w:pStyle w:val="TableFigureFooter"/>
        <w:keepNext/>
        <w:widowControl w:val="0"/>
      </w:pPr>
      <w:r w:rsidRPr="00551C76">
        <w:t>Note: The published price for fingolimod is used as a proxy for ozanimod published price in the submission. The final published and net list price will be determined during the listing process.</w:t>
      </w:r>
    </w:p>
    <w:p w:rsidR="006559BD" w:rsidRPr="00656E2A" w:rsidRDefault="006559BD" w:rsidP="00F3186D">
      <w:pPr>
        <w:pStyle w:val="TableFigureFooter"/>
        <w:keepNext/>
        <w:widowControl w:val="0"/>
      </w:pPr>
      <w:r w:rsidRPr="00656E2A">
        <w:rPr>
          <w:vertAlign w:val="superscript"/>
        </w:rPr>
        <w:t xml:space="preserve">a </w:t>
      </w:r>
      <w:r w:rsidRPr="00656E2A">
        <w:t xml:space="preserve">Recalculated during the evaluation based on 7 days cost of ozanimod at ex-manufacturer price. Calculated at DPMQ price in submission. </w:t>
      </w:r>
    </w:p>
    <w:p w:rsidR="006559BD" w:rsidRPr="00AE2F8B" w:rsidRDefault="009D06F5" w:rsidP="000A5230">
      <w:pPr>
        <w:pStyle w:val="3-BodyText"/>
        <w:rPr>
          <w:rFonts w:eastAsia="Calibri"/>
        </w:rPr>
      </w:pPr>
      <w:r w:rsidRPr="00AE2F8B">
        <w:t>The ESC considered the base case cost minimisation approach (when applied to effective prices of fingolimod) was reasonable and potentially conservative, given the base case approach did not include a cost-offset for first-dose cardiac monitoring required for fingolimod</w:t>
      </w:r>
      <w:r w:rsidR="005820D3" w:rsidRPr="00AE2F8B">
        <w:t>.</w:t>
      </w:r>
      <w:r w:rsidRPr="00AE2F8B">
        <w:t xml:space="preserve"> </w:t>
      </w:r>
    </w:p>
    <w:p w:rsidR="006559BD" w:rsidRPr="00551C76" w:rsidRDefault="006559BD" w:rsidP="00033A7F">
      <w:pPr>
        <w:pStyle w:val="4-SubsectionHeading"/>
        <w:keepNext w:val="0"/>
        <w:keepLines w:val="0"/>
      </w:pPr>
      <w:bookmarkStart w:id="33" w:name="_Toc22897646"/>
      <w:bookmarkStart w:id="34" w:name="_Toc30410052"/>
      <w:r w:rsidRPr="00551C76">
        <w:t>Drug cost/patient/year</w:t>
      </w:r>
      <w:bookmarkEnd w:id="33"/>
      <w:bookmarkEnd w:id="34"/>
      <w:r w:rsidR="00FC01E1">
        <w:t>: $28,814.27</w:t>
      </w:r>
    </w:p>
    <w:p w:rsidR="006559BD" w:rsidRPr="00656E2A" w:rsidRDefault="006559BD" w:rsidP="00033A7F">
      <w:pPr>
        <w:pStyle w:val="3-BodyText"/>
      </w:pPr>
      <w:r w:rsidRPr="00551C76">
        <w:t>Ozanimod would cost $28,814.27 per year for each patient based on a 0.92 mg daily dose</w:t>
      </w:r>
      <w:r>
        <w:t xml:space="preserve"> and costs derived from the published price of fingolimod</w:t>
      </w:r>
      <w:r w:rsidRPr="00551C76">
        <w:t>.</w:t>
      </w:r>
      <w:r w:rsidRPr="00551C76">
        <w:rPr>
          <w:i/>
        </w:rPr>
        <w:t xml:space="preserve"> </w:t>
      </w:r>
      <w:r w:rsidRPr="00656E2A">
        <w:t xml:space="preserve">The mean dose for ozanimod considered in the cost-minimisation and financial estimates was appropriate and consistent with the SUNBEAM trial, given the compliance rate for ozanimod 0.92 mg was 99.9% during SUNBEAM. </w:t>
      </w:r>
    </w:p>
    <w:p w:rsidR="006559BD" w:rsidRPr="00551C76" w:rsidRDefault="006559BD" w:rsidP="00F3186D">
      <w:pPr>
        <w:pStyle w:val="TableFigureHeading"/>
        <w:keepLines/>
        <w:widowControl w:val="0"/>
        <w:rPr>
          <w:rStyle w:val="CommentReference"/>
          <w:rFonts w:asciiTheme="minorHAnsi" w:hAnsiTheme="minorHAnsi" w:cs="Arial"/>
          <w:b w:val="0"/>
          <w:bCs w:val="0"/>
          <w:snapToGrid w:val="0"/>
          <w:sz w:val="24"/>
        </w:rPr>
      </w:pPr>
      <w:r w:rsidRPr="00551C76">
        <w:rPr>
          <w:rStyle w:val="CommentReference"/>
        </w:rPr>
        <w:lastRenderedPageBreak/>
        <w:t xml:space="preserve">Table </w:t>
      </w:r>
      <w:r w:rsidR="009530EF">
        <w:rPr>
          <w:rStyle w:val="CommentReference"/>
        </w:rPr>
        <w:t>9</w:t>
      </w:r>
      <w:r w:rsidRPr="00551C76">
        <w:rPr>
          <w:rStyle w:val="CommentReference"/>
        </w:rPr>
        <w:t>: Drug cost per patient for ozanimod and fingolimod drug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1134"/>
        <w:gridCol w:w="1151"/>
        <w:gridCol w:w="1259"/>
        <w:gridCol w:w="1255"/>
        <w:gridCol w:w="1261"/>
        <w:gridCol w:w="1261"/>
      </w:tblGrid>
      <w:tr w:rsidR="006559BD" w:rsidRPr="00551C76" w:rsidTr="000A5230">
        <w:trPr>
          <w:cantSplit/>
          <w:tblHeader/>
          <w:jc w:val="center"/>
        </w:trPr>
        <w:tc>
          <w:tcPr>
            <w:tcW w:w="940" w:type="pct"/>
            <w:shd w:val="clear" w:color="auto" w:fill="auto"/>
            <w:vAlign w:val="center"/>
          </w:tcPr>
          <w:p w:rsidR="006559BD" w:rsidRPr="00551C76" w:rsidRDefault="006559BD" w:rsidP="00F3186D">
            <w:pPr>
              <w:pStyle w:val="Tabletext"/>
              <w:keepNext/>
              <w:widowControl w:val="0"/>
              <w:rPr>
                <w:b/>
              </w:rPr>
            </w:pPr>
          </w:p>
        </w:tc>
        <w:tc>
          <w:tcPr>
            <w:tcW w:w="629" w:type="pct"/>
            <w:shd w:val="clear" w:color="auto" w:fill="auto"/>
            <w:vAlign w:val="center"/>
          </w:tcPr>
          <w:p w:rsidR="006559BD" w:rsidRPr="00551C76" w:rsidRDefault="006559BD" w:rsidP="00F3186D">
            <w:pPr>
              <w:pStyle w:val="Tabletext"/>
              <w:keepNext/>
              <w:widowControl w:val="0"/>
              <w:jc w:val="center"/>
              <w:rPr>
                <w:b/>
              </w:rPr>
            </w:pPr>
            <w:r w:rsidRPr="00551C76">
              <w:rPr>
                <w:b/>
              </w:rPr>
              <w:t>Ozanimod</w:t>
            </w:r>
          </w:p>
          <w:p w:rsidR="006559BD" w:rsidRPr="00551C76" w:rsidRDefault="006559BD" w:rsidP="00F3186D">
            <w:pPr>
              <w:pStyle w:val="Tabletext"/>
              <w:keepNext/>
              <w:widowControl w:val="0"/>
              <w:jc w:val="center"/>
              <w:rPr>
                <w:b/>
              </w:rPr>
            </w:pPr>
            <w:r w:rsidRPr="00551C76">
              <w:rPr>
                <w:b/>
              </w:rPr>
              <w:t>trial dose and duration</w:t>
            </w:r>
          </w:p>
        </w:tc>
        <w:tc>
          <w:tcPr>
            <w:tcW w:w="638" w:type="pct"/>
            <w:shd w:val="clear" w:color="auto" w:fill="auto"/>
            <w:vAlign w:val="center"/>
          </w:tcPr>
          <w:p w:rsidR="006559BD" w:rsidRPr="00551C76" w:rsidRDefault="006559BD" w:rsidP="00F3186D">
            <w:pPr>
              <w:pStyle w:val="Tabletext"/>
              <w:keepNext/>
              <w:widowControl w:val="0"/>
              <w:jc w:val="center"/>
              <w:rPr>
                <w:b/>
              </w:rPr>
            </w:pPr>
            <w:r w:rsidRPr="00551C76">
              <w:rPr>
                <w:b/>
              </w:rPr>
              <w:t>Ozanimod economic evaluation</w:t>
            </w:r>
          </w:p>
        </w:tc>
        <w:tc>
          <w:tcPr>
            <w:tcW w:w="698" w:type="pct"/>
            <w:shd w:val="clear" w:color="auto" w:fill="auto"/>
            <w:vAlign w:val="center"/>
          </w:tcPr>
          <w:p w:rsidR="006559BD" w:rsidRPr="00551C76" w:rsidRDefault="006559BD" w:rsidP="00F3186D">
            <w:pPr>
              <w:pStyle w:val="Tabletext"/>
              <w:keepNext/>
              <w:widowControl w:val="0"/>
              <w:jc w:val="center"/>
              <w:rPr>
                <w:b/>
              </w:rPr>
            </w:pPr>
            <w:r w:rsidRPr="00551C76">
              <w:rPr>
                <w:b/>
              </w:rPr>
              <w:t>Proposed drug</w:t>
            </w:r>
          </w:p>
          <w:p w:rsidR="006559BD" w:rsidRPr="00551C76" w:rsidRDefault="006559BD" w:rsidP="00F3186D">
            <w:pPr>
              <w:pStyle w:val="Tabletext"/>
              <w:keepNext/>
              <w:widowControl w:val="0"/>
              <w:jc w:val="center"/>
              <w:rPr>
                <w:b/>
              </w:rPr>
            </w:pPr>
            <w:r w:rsidRPr="00551C76">
              <w:rPr>
                <w:b/>
              </w:rPr>
              <w:t>financial estimates</w:t>
            </w:r>
          </w:p>
        </w:tc>
        <w:tc>
          <w:tcPr>
            <w:tcW w:w="696" w:type="pct"/>
            <w:shd w:val="clear" w:color="auto" w:fill="auto"/>
            <w:vAlign w:val="center"/>
          </w:tcPr>
          <w:p w:rsidR="006559BD" w:rsidRPr="00551C76" w:rsidRDefault="006559BD" w:rsidP="00F3186D">
            <w:pPr>
              <w:pStyle w:val="Tabletext"/>
              <w:keepNext/>
              <w:widowControl w:val="0"/>
              <w:jc w:val="center"/>
              <w:rPr>
                <w:b/>
              </w:rPr>
            </w:pPr>
            <w:r w:rsidRPr="00551C76">
              <w:rPr>
                <w:b/>
              </w:rPr>
              <w:t>Fingolimod</w:t>
            </w:r>
          </w:p>
          <w:p w:rsidR="006559BD" w:rsidRPr="00551C76" w:rsidRDefault="006559BD" w:rsidP="00F3186D">
            <w:pPr>
              <w:pStyle w:val="Tabletext"/>
              <w:keepNext/>
              <w:widowControl w:val="0"/>
              <w:jc w:val="center"/>
              <w:rPr>
                <w:b/>
              </w:rPr>
            </w:pPr>
            <w:r w:rsidRPr="00551C76">
              <w:rPr>
                <w:b/>
              </w:rPr>
              <w:t>trial dose and duration</w:t>
            </w:r>
          </w:p>
        </w:tc>
        <w:tc>
          <w:tcPr>
            <w:tcW w:w="699" w:type="pct"/>
            <w:shd w:val="clear" w:color="auto" w:fill="auto"/>
            <w:vAlign w:val="center"/>
          </w:tcPr>
          <w:p w:rsidR="006559BD" w:rsidRPr="00551C76" w:rsidRDefault="006559BD" w:rsidP="00F3186D">
            <w:pPr>
              <w:pStyle w:val="Tabletext"/>
              <w:keepNext/>
              <w:widowControl w:val="0"/>
              <w:jc w:val="center"/>
              <w:rPr>
                <w:b/>
              </w:rPr>
            </w:pPr>
            <w:r w:rsidRPr="00551C76">
              <w:rPr>
                <w:b/>
              </w:rPr>
              <w:t>Fingolimod economic evaluation</w:t>
            </w:r>
          </w:p>
        </w:tc>
        <w:tc>
          <w:tcPr>
            <w:tcW w:w="699" w:type="pct"/>
            <w:vAlign w:val="center"/>
          </w:tcPr>
          <w:p w:rsidR="006559BD" w:rsidRPr="00551C76" w:rsidRDefault="006559BD" w:rsidP="00F3186D">
            <w:pPr>
              <w:pStyle w:val="Tabletext"/>
              <w:keepNext/>
              <w:widowControl w:val="0"/>
              <w:jc w:val="center"/>
              <w:rPr>
                <w:b/>
              </w:rPr>
            </w:pPr>
            <w:r w:rsidRPr="00551C76">
              <w:rPr>
                <w:b/>
              </w:rPr>
              <w:t>Fingolimod</w:t>
            </w:r>
          </w:p>
          <w:p w:rsidR="006559BD" w:rsidRPr="00551C76" w:rsidRDefault="006559BD" w:rsidP="00F3186D">
            <w:pPr>
              <w:pStyle w:val="Tabletext"/>
              <w:keepNext/>
              <w:widowControl w:val="0"/>
              <w:jc w:val="center"/>
              <w:rPr>
                <w:b/>
              </w:rPr>
            </w:pPr>
            <w:r w:rsidRPr="00551C76">
              <w:rPr>
                <w:b/>
              </w:rPr>
              <w:t>financial estimates</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Mean dose</w:t>
            </w:r>
          </w:p>
        </w:tc>
        <w:tc>
          <w:tcPr>
            <w:tcW w:w="1965" w:type="pct"/>
            <w:gridSpan w:val="3"/>
            <w:shd w:val="clear" w:color="auto" w:fill="auto"/>
            <w:vAlign w:val="center"/>
          </w:tcPr>
          <w:p w:rsidR="006559BD" w:rsidRPr="00551C76" w:rsidRDefault="006559BD" w:rsidP="00F3186D">
            <w:pPr>
              <w:pStyle w:val="Tabletext"/>
              <w:keepNext/>
              <w:widowControl w:val="0"/>
              <w:jc w:val="center"/>
            </w:pPr>
            <w:r w:rsidRPr="00551C76">
              <w:t>0.92 mg/day</w:t>
            </w:r>
          </w:p>
        </w:tc>
        <w:tc>
          <w:tcPr>
            <w:tcW w:w="2094" w:type="pct"/>
            <w:gridSpan w:val="3"/>
            <w:shd w:val="clear" w:color="auto" w:fill="auto"/>
            <w:vAlign w:val="center"/>
          </w:tcPr>
          <w:p w:rsidR="006559BD" w:rsidRPr="00551C76" w:rsidRDefault="006559BD" w:rsidP="00F3186D">
            <w:pPr>
              <w:pStyle w:val="Tabletext"/>
              <w:keepNext/>
              <w:widowControl w:val="0"/>
              <w:jc w:val="center"/>
            </w:pPr>
            <w:r w:rsidRPr="00551C76">
              <w:t>0.5 mg/day</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Mean duration</w:t>
            </w:r>
          </w:p>
        </w:tc>
        <w:tc>
          <w:tcPr>
            <w:tcW w:w="629" w:type="pct"/>
            <w:shd w:val="clear" w:color="auto" w:fill="auto"/>
            <w:vAlign w:val="center"/>
          </w:tcPr>
          <w:p w:rsidR="006559BD" w:rsidRPr="00551C76" w:rsidRDefault="006559BD" w:rsidP="00F3186D">
            <w:pPr>
              <w:pStyle w:val="Tabletext"/>
              <w:keepNext/>
              <w:widowControl w:val="0"/>
              <w:jc w:val="center"/>
            </w:pPr>
            <w:r w:rsidRPr="00551C76">
              <w:t>412.4 days</w:t>
            </w:r>
          </w:p>
        </w:tc>
        <w:tc>
          <w:tcPr>
            <w:tcW w:w="638" w:type="pct"/>
            <w:shd w:val="clear" w:color="auto" w:fill="auto"/>
            <w:vAlign w:val="center"/>
          </w:tcPr>
          <w:p w:rsidR="006559BD" w:rsidRPr="00551C76" w:rsidRDefault="006559BD" w:rsidP="00F3186D">
            <w:pPr>
              <w:pStyle w:val="Tabletext"/>
              <w:keepNext/>
              <w:widowControl w:val="0"/>
              <w:jc w:val="center"/>
            </w:pPr>
            <w:r w:rsidRPr="00551C76">
              <w:t>-</w:t>
            </w:r>
          </w:p>
        </w:tc>
        <w:tc>
          <w:tcPr>
            <w:tcW w:w="698" w:type="pct"/>
            <w:shd w:val="clear" w:color="auto" w:fill="auto"/>
            <w:vAlign w:val="center"/>
          </w:tcPr>
          <w:p w:rsidR="006559BD" w:rsidRPr="00551C76" w:rsidRDefault="006559BD" w:rsidP="00F3186D">
            <w:pPr>
              <w:pStyle w:val="Tabletext"/>
              <w:keepNext/>
              <w:widowControl w:val="0"/>
              <w:jc w:val="center"/>
            </w:pPr>
            <w:r w:rsidRPr="00551C76">
              <w:t>-</w:t>
            </w:r>
          </w:p>
        </w:tc>
        <w:tc>
          <w:tcPr>
            <w:tcW w:w="696" w:type="pct"/>
            <w:shd w:val="clear" w:color="auto" w:fill="auto"/>
            <w:vAlign w:val="center"/>
          </w:tcPr>
          <w:p w:rsidR="006559BD" w:rsidRPr="00551C76" w:rsidRDefault="006559BD" w:rsidP="00F3186D">
            <w:pPr>
              <w:pStyle w:val="Tabletext"/>
              <w:keepNext/>
              <w:widowControl w:val="0"/>
              <w:jc w:val="center"/>
            </w:pPr>
            <w:r w:rsidRPr="00551C76">
              <w:t>NR</w:t>
            </w:r>
          </w:p>
        </w:tc>
        <w:tc>
          <w:tcPr>
            <w:tcW w:w="699" w:type="pct"/>
            <w:shd w:val="clear" w:color="auto" w:fill="auto"/>
            <w:vAlign w:val="center"/>
          </w:tcPr>
          <w:p w:rsidR="006559BD" w:rsidRPr="00551C76" w:rsidRDefault="006559BD" w:rsidP="00F3186D">
            <w:pPr>
              <w:pStyle w:val="Tabletext"/>
              <w:keepNext/>
              <w:widowControl w:val="0"/>
              <w:jc w:val="center"/>
            </w:pPr>
            <w:r w:rsidRPr="00551C76">
              <w:t>-</w:t>
            </w:r>
          </w:p>
        </w:tc>
        <w:tc>
          <w:tcPr>
            <w:tcW w:w="699" w:type="pct"/>
            <w:vAlign w:val="center"/>
          </w:tcPr>
          <w:p w:rsidR="006559BD" w:rsidRPr="00551C76" w:rsidRDefault="006559BD" w:rsidP="00F3186D">
            <w:pPr>
              <w:pStyle w:val="Tabletext"/>
              <w:keepNext/>
              <w:widowControl w:val="0"/>
              <w:jc w:val="center"/>
            </w:pPr>
            <w:r w:rsidRPr="00551C76">
              <w:t>-</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Cost/patient/ 28 days</w:t>
            </w:r>
          </w:p>
        </w:tc>
        <w:tc>
          <w:tcPr>
            <w:tcW w:w="1965" w:type="pct"/>
            <w:gridSpan w:val="3"/>
            <w:shd w:val="clear" w:color="auto" w:fill="auto"/>
            <w:vAlign w:val="center"/>
          </w:tcPr>
          <w:p w:rsidR="006559BD" w:rsidRPr="00551C76" w:rsidRDefault="006559BD" w:rsidP="00F3186D">
            <w:pPr>
              <w:pStyle w:val="Tabletext"/>
              <w:keepNext/>
              <w:widowControl w:val="0"/>
              <w:jc w:val="center"/>
            </w:pPr>
            <w:r w:rsidRPr="00551C76">
              <w:rPr>
                <w:lang w:eastAsia="en-US"/>
              </w:rPr>
              <w:t>$2,210.41</w:t>
            </w:r>
          </w:p>
        </w:tc>
        <w:tc>
          <w:tcPr>
            <w:tcW w:w="2094" w:type="pct"/>
            <w:gridSpan w:val="3"/>
            <w:shd w:val="clear" w:color="auto" w:fill="auto"/>
            <w:vAlign w:val="center"/>
          </w:tcPr>
          <w:p w:rsidR="006559BD" w:rsidRPr="00551C76" w:rsidRDefault="006559BD" w:rsidP="00F3186D">
            <w:pPr>
              <w:pStyle w:val="Tabletext"/>
              <w:keepNext/>
              <w:widowControl w:val="0"/>
              <w:jc w:val="center"/>
            </w:pPr>
            <w:r w:rsidRPr="00551C76">
              <w:rPr>
                <w:lang w:eastAsia="en-US"/>
              </w:rPr>
              <w:t>$2,210.41</w:t>
            </w:r>
          </w:p>
        </w:tc>
      </w:tr>
      <w:tr w:rsidR="006559BD" w:rsidRPr="00551C76" w:rsidTr="000A5230">
        <w:trPr>
          <w:cantSplit/>
          <w:jc w:val="center"/>
        </w:trPr>
        <w:tc>
          <w:tcPr>
            <w:tcW w:w="940" w:type="pct"/>
            <w:shd w:val="clear" w:color="auto" w:fill="auto"/>
            <w:vAlign w:val="center"/>
          </w:tcPr>
          <w:p w:rsidR="006559BD" w:rsidRPr="00551C76" w:rsidRDefault="006559BD" w:rsidP="00F3186D">
            <w:pPr>
              <w:pStyle w:val="Tabletext"/>
              <w:keepNext/>
              <w:widowControl w:val="0"/>
            </w:pPr>
            <w:r w:rsidRPr="00551C76">
              <w:t>Cost/patient/ year</w:t>
            </w:r>
          </w:p>
        </w:tc>
        <w:tc>
          <w:tcPr>
            <w:tcW w:w="1965" w:type="pct"/>
            <w:gridSpan w:val="3"/>
            <w:shd w:val="clear" w:color="auto" w:fill="auto"/>
            <w:vAlign w:val="center"/>
          </w:tcPr>
          <w:p w:rsidR="006559BD" w:rsidRPr="00551C76" w:rsidRDefault="006559BD" w:rsidP="00F3186D">
            <w:pPr>
              <w:pStyle w:val="Tabletext"/>
              <w:keepNext/>
              <w:widowControl w:val="0"/>
              <w:jc w:val="center"/>
              <w:rPr>
                <w:lang w:eastAsia="en-US"/>
              </w:rPr>
            </w:pPr>
            <w:r w:rsidRPr="00551C76">
              <w:rPr>
                <w:lang w:eastAsia="en-US"/>
              </w:rPr>
              <w:t>$28,814.27</w:t>
            </w:r>
          </w:p>
        </w:tc>
        <w:tc>
          <w:tcPr>
            <w:tcW w:w="2094" w:type="pct"/>
            <w:gridSpan w:val="3"/>
            <w:shd w:val="clear" w:color="auto" w:fill="auto"/>
            <w:vAlign w:val="center"/>
          </w:tcPr>
          <w:p w:rsidR="006559BD" w:rsidRPr="00551C76" w:rsidRDefault="006559BD" w:rsidP="00F3186D">
            <w:pPr>
              <w:pStyle w:val="Tabletext"/>
              <w:keepNext/>
              <w:widowControl w:val="0"/>
              <w:jc w:val="center"/>
              <w:rPr>
                <w:lang w:eastAsia="en-US"/>
              </w:rPr>
            </w:pPr>
            <w:r w:rsidRPr="00551C76">
              <w:rPr>
                <w:lang w:eastAsia="en-US"/>
              </w:rPr>
              <w:t>$28,814.27</w:t>
            </w:r>
          </w:p>
        </w:tc>
      </w:tr>
    </w:tbl>
    <w:p w:rsidR="006559BD" w:rsidRPr="00551C76" w:rsidRDefault="006559BD" w:rsidP="00F3186D">
      <w:pPr>
        <w:pStyle w:val="TableFigureFooter"/>
        <w:keepNext/>
        <w:widowControl w:val="0"/>
      </w:pPr>
      <w:r w:rsidRPr="00551C76">
        <w:t xml:space="preserve">Source: Table 31, </w:t>
      </w:r>
      <w:r>
        <w:t>p</w:t>
      </w:r>
      <w:r w:rsidRPr="00551C76">
        <w:t xml:space="preserve">49-50 of the </w:t>
      </w:r>
      <w:r>
        <w:t>submission.</w:t>
      </w:r>
    </w:p>
    <w:p w:rsidR="006559BD" w:rsidRPr="00551C76" w:rsidRDefault="006559BD" w:rsidP="00F3186D">
      <w:pPr>
        <w:pStyle w:val="TableFigureFooter"/>
        <w:keepNext/>
        <w:widowControl w:val="0"/>
      </w:pPr>
      <w:r w:rsidRPr="00551C76">
        <w:t xml:space="preserve">CSR </w:t>
      </w:r>
      <w:r>
        <w:t>= clinical study report</w:t>
      </w:r>
    </w:p>
    <w:p w:rsidR="006559BD" w:rsidRPr="00551C76" w:rsidRDefault="006559BD" w:rsidP="00F3186D">
      <w:pPr>
        <w:pStyle w:val="TableFigureFooter"/>
        <w:keepNext/>
        <w:widowControl w:val="0"/>
      </w:pPr>
      <w:r w:rsidRPr="00551C76">
        <w:t>Note: The trial dose and duration data were based on the SUNBEAM and TRANSFORMS trials for ozanimod and fingolimod, respectively. The cost/patient/28 days for ozanimod based on the RADIANCE B trial was also $2,210.41</w:t>
      </w:r>
      <w:r>
        <w:t>.</w:t>
      </w:r>
    </w:p>
    <w:p w:rsidR="006559BD" w:rsidRPr="00551C76" w:rsidRDefault="006559BD" w:rsidP="00F3186D">
      <w:pPr>
        <w:pStyle w:val="TableFigureFooter"/>
        <w:keepNext/>
        <w:widowControl w:val="0"/>
      </w:pPr>
      <w:r w:rsidRPr="00551C76">
        <w:t xml:space="preserve">Note: The mean dose for ozanimod is based on the maintenance dose only. The cost/patient/28 days would remain the same if also considering the </w:t>
      </w:r>
      <w:r>
        <w:t>titration</w:t>
      </w:r>
      <w:r w:rsidRPr="00551C76">
        <w:t xml:space="preserve"> pack as the cost per tablet for the </w:t>
      </w:r>
      <w:r>
        <w:t xml:space="preserve">titration </w:t>
      </w:r>
      <w:r w:rsidRPr="00551C76">
        <w:t xml:space="preserve">and </w:t>
      </w:r>
      <w:r>
        <w:t xml:space="preserve">28-day </w:t>
      </w:r>
      <w:r w:rsidRPr="00551C76">
        <w:t>packs were the same</w:t>
      </w:r>
      <w:r>
        <w:t>.</w:t>
      </w:r>
    </w:p>
    <w:p w:rsidR="006559BD" w:rsidRPr="00551C76" w:rsidRDefault="006559BD" w:rsidP="00F3186D">
      <w:pPr>
        <w:pStyle w:val="TableFigureFooter"/>
        <w:keepNext/>
        <w:widowControl w:val="0"/>
        <w:spacing w:after="0"/>
      </w:pPr>
      <w:r w:rsidRPr="00551C76">
        <w:t>Note: Compliance data for TRANSFORMS was not available, hence the cost/patient/28 days and cost/patient/year for fingolimod was based on an assumed 100% compliance.</w:t>
      </w:r>
    </w:p>
    <w:p w:rsidR="006559BD" w:rsidRPr="00551C76" w:rsidRDefault="006559BD" w:rsidP="000A5230">
      <w:pPr>
        <w:pStyle w:val="4-SubsectionHeading"/>
      </w:pPr>
      <w:bookmarkStart w:id="35" w:name="_Toc27061690"/>
      <w:bookmarkStart w:id="36" w:name="_Toc30410053"/>
      <w:bookmarkStart w:id="37" w:name="_Toc22897647"/>
      <w:r w:rsidRPr="00551C76">
        <w:t>Estimated PBS usage &amp; financial implications</w:t>
      </w:r>
      <w:bookmarkEnd w:id="35"/>
      <w:bookmarkEnd w:id="36"/>
    </w:p>
    <w:p w:rsidR="00033A7F" w:rsidRPr="00033A7F" w:rsidRDefault="00656E2A" w:rsidP="000A5230">
      <w:pPr>
        <w:pStyle w:val="3-BodyText"/>
        <w:rPr>
          <w:color w:val="0066FF"/>
        </w:rPr>
      </w:pPr>
      <w:r>
        <w:t xml:space="preserve">This submission was not </w:t>
      </w:r>
      <w:r w:rsidR="006559BD" w:rsidRPr="00551C76">
        <w:t xml:space="preserve">considered by DUSC. </w:t>
      </w:r>
    </w:p>
    <w:p w:rsidR="006559BD" w:rsidRPr="00551C76" w:rsidRDefault="006559BD" w:rsidP="000A5230">
      <w:pPr>
        <w:pStyle w:val="3-BodyText"/>
        <w:rPr>
          <w:color w:val="0066FF"/>
        </w:rPr>
      </w:pPr>
      <w:r w:rsidRPr="00551C76">
        <w:t xml:space="preserve">The estimated market size was based on PBS data for fingolimod. The proportion of patients requiring </w:t>
      </w:r>
      <w:r>
        <w:t>titration</w:t>
      </w:r>
      <w:r w:rsidRPr="00551C76">
        <w:t xml:space="preserve"> packs was determined based on </w:t>
      </w:r>
      <w:r w:rsidRPr="00551C76">
        <w:rPr>
          <w:rFonts w:eastAsia="SimSun"/>
          <w:szCs w:val="20"/>
          <w:lang w:eastAsia="zh-CN"/>
        </w:rPr>
        <w:t>10% sample PBS data for fingolimod.</w:t>
      </w:r>
      <w:r w:rsidRPr="00551C76">
        <w:rPr>
          <w:rFonts w:eastAsia="SimSun"/>
          <w:i/>
          <w:szCs w:val="20"/>
          <w:lang w:eastAsia="zh-CN"/>
        </w:rPr>
        <w:t xml:space="preserve"> </w:t>
      </w:r>
      <w:r w:rsidRPr="00307767">
        <w:rPr>
          <w:rFonts w:eastAsia="SimSun"/>
          <w:szCs w:val="20"/>
          <w:lang w:eastAsia="zh-CN"/>
        </w:rPr>
        <w:t xml:space="preserve">The key inputs for the financial impact analysis are presented in Table </w:t>
      </w:r>
      <w:r w:rsidR="009530EF">
        <w:rPr>
          <w:rFonts w:eastAsia="SimSun"/>
          <w:szCs w:val="20"/>
          <w:lang w:eastAsia="zh-CN"/>
        </w:rPr>
        <w:t>10</w:t>
      </w:r>
      <w:r w:rsidRPr="00307767">
        <w:rPr>
          <w:rFonts w:eastAsia="SimSun"/>
          <w:szCs w:val="20"/>
          <w:lang w:eastAsia="zh-CN"/>
        </w:rPr>
        <w:t>.</w:t>
      </w:r>
    </w:p>
    <w:p w:rsidR="006559BD" w:rsidRPr="00656E2A" w:rsidRDefault="006559BD" w:rsidP="000A5230">
      <w:pPr>
        <w:pStyle w:val="3-BodyText"/>
        <w:rPr>
          <w:color w:val="0066FF"/>
        </w:rPr>
      </w:pPr>
      <w:r w:rsidRPr="00551C76">
        <w:rPr>
          <w:rFonts w:eastAsia="SimSun"/>
          <w:szCs w:val="20"/>
          <w:lang w:eastAsia="zh-CN"/>
        </w:rPr>
        <w:t xml:space="preserve">The submission calculated financial estimates based on the fingolimod market only. </w:t>
      </w:r>
      <w:r w:rsidRPr="00656E2A">
        <w:rPr>
          <w:rFonts w:eastAsia="SimSun"/>
          <w:szCs w:val="20"/>
          <w:lang w:eastAsia="zh-CN"/>
        </w:rPr>
        <w:t>The submission considered that since ozanimod is a pharmacological analogue of fingolimod, it will not affect treatment strategies used by clinicians to treat RRMS.</w:t>
      </w:r>
      <w:r w:rsidR="00DA4CDB">
        <w:rPr>
          <w:rFonts w:eastAsia="SimSun"/>
          <w:szCs w:val="20"/>
          <w:lang w:eastAsia="zh-CN"/>
        </w:rPr>
        <w:t xml:space="preserve"> </w:t>
      </w:r>
    </w:p>
    <w:p w:rsidR="006559BD" w:rsidRPr="000B0EC0" w:rsidRDefault="006559BD" w:rsidP="000A5230">
      <w:pPr>
        <w:pStyle w:val="3-BodyText"/>
        <w:rPr>
          <w:color w:val="0066FF"/>
        </w:rPr>
      </w:pPr>
      <w:r w:rsidRPr="00551C76">
        <w:rPr>
          <w:rFonts w:eastAsia="SimSun"/>
          <w:szCs w:val="20"/>
          <w:lang w:eastAsia="zh-CN"/>
        </w:rPr>
        <w:t>The financial impact analysis assumed there would be no growth in the total RRMS market as a result of listing ozanimod.</w:t>
      </w:r>
      <w:r w:rsidR="00DA4CDB">
        <w:rPr>
          <w:rFonts w:eastAsia="SimSun"/>
          <w:szCs w:val="20"/>
          <w:lang w:eastAsia="zh-CN"/>
        </w:rPr>
        <w:t xml:space="preserve"> </w:t>
      </w:r>
      <w:r w:rsidR="00DA4CDB" w:rsidRPr="00AE2F8B">
        <w:rPr>
          <w:rFonts w:eastAsia="SimSun"/>
          <w:szCs w:val="20"/>
          <w:lang w:eastAsia="zh-CN"/>
        </w:rPr>
        <w:t>The ESC considered that there may be patients who were ineligible for fingolimod due to cardiac issues who would be eligible for ozanimod.</w:t>
      </w:r>
    </w:p>
    <w:p w:rsidR="006559BD" w:rsidRPr="00551C76" w:rsidRDefault="006559BD" w:rsidP="000A5230">
      <w:pPr>
        <w:pStyle w:val="TableFigureHeading"/>
        <w:rPr>
          <w:rStyle w:val="CommentReference"/>
        </w:rPr>
      </w:pPr>
      <w:r w:rsidRPr="00551C76">
        <w:rPr>
          <w:rStyle w:val="CommentReference"/>
        </w:rPr>
        <w:t xml:space="preserve">Table </w:t>
      </w:r>
      <w:r w:rsidR="009530EF">
        <w:rPr>
          <w:rStyle w:val="CommentReference"/>
        </w:rPr>
        <w:t>10</w:t>
      </w:r>
      <w:r w:rsidRPr="00551C76">
        <w:rPr>
          <w:rStyle w:val="CommentReference"/>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3811"/>
        <w:gridCol w:w="3493"/>
      </w:tblGrid>
      <w:tr w:rsidR="006559BD" w:rsidRPr="00551C76" w:rsidTr="000A5230">
        <w:trPr>
          <w:tblHeader/>
        </w:trPr>
        <w:tc>
          <w:tcPr>
            <w:tcW w:w="950" w:type="pct"/>
            <w:shd w:val="clear" w:color="auto" w:fill="auto"/>
            <w:vAlign w:val="center"/>
          </w:tcPr>
          <w:p w:rsidR="006559BD" w:rsidRPr="00551C76" w:rsidRDefault="006559BD" w:rsidP="000A5230">
            <w:pPr>
              <w:pStyle w:val="In-tableHeading"/>
              <w:rPr>
                <w:lang w:val="en-AU"/>
              </w:rPr>
            </w:pPr>
            <w:r w:rsidRPr="00551C76">
              <w:rPr>
                <w:lang w:val="en-AU"/>
              </w:rPr>
              <w:t>Parameter</w:t>
            </w:r>
          </w:p>
        </w:tc>
        <w:tc>
          <w:tcPr>
            <w:tcW w:w="2113" w:type="pct"/>
            <w:shd w:val="clear" w:color="auto" w:fill="auto"/>
            <w:vAlign w:val="center"/>
          </w:tcPr>
          <w:p w:rsidR="006559BD" w:rsidRPr="00551C76" w:rsidRDefault="006559BD" w:rsidP="000A5230">
            <w:pPr>
              <w:pStyle w:val="In-tableHeading"/>
              <w:jc w:val="center"/>
              <w:rPr>
                <w:lang w:val="en-AU"/>
              </w:rPr>
            </w:pPr>
            <w:r w:rsidRPr="00551C76">
              <w:rPr>
                <w:lang w:val="en-AU"/>
              </w:rPr>
              <w:t>Value applied and source</w:t>
            </w:r>
          </w:p>
        </w:tc>
        <w:tc>
          <w:tcPr>
            <w:tcW w:w="1937" w:type="pct"/>
            <w:shd w:val="clear" w:color="auto" w:fill="auto"/>
            <w:vAlign w:val="center"/>
          </w:tcPr>
          <w:p w:rsidR="006559BD" w:rsidRPr="00551C76" w:rsidRDefault="006559BD" w:rsidP="000A5230">
            <w:pPr>
              <w:pStyle w:val="In-tableHeading"/>
              <w:jc w:val="center"/>
              <w:rPr>
                <w:lang w:val="en-AU"/>
              </w:rPr>
            </w:pPr>
            <w:r w:rsidRPr="00551C76">
              <w:rPr>
                <w:lang w:val="en-AU"/>
              </w:rPr>
              <w:t>Comment</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Market size</w:t>
            </w:r>
          </w:p>
        </w:tc>
        <w:tc>
          <w:tcPr>
            <w:tcW w:w="2113" w:type="pct"/>
            <w:shd w:val="clear" w:color="auto" w:fill="auto"/>
            <w:vAlign w:val="center"/>
          </w:tcPr>
          <w:p w:rsidR="006559BD" w:rsidRPr="00551C76" w:rsidRDefault="006559BD" w:rsidP="000A5230">
            <w:pPr>
              <w:pStyle w:val="TableText0"/>
            </w:pPr>
            <w:r w:rsidRPr="00551C76">
              <w:t>Market size of fingolimod. Projected based on historical PBS data for fingolimod</w:t>
            </w:r>
          </w:p>
        </w:tc>
        <w:tc>
          <w:tcPr>
            <w:tcW w:w="1937" w:type="pct"/>
            <w:shd w:val="clear" w:color="auto" w:fill="auto"/>
            <w:vAlign w:val="center"/>
          </w:tcPr>
          <w:p w:rsidR="006559BD" w:rsidRPr="00656E2A" w:rsidRDefault="006559BD" w:rsidP="000A5230">
            <w:pPr>
              <w:pStyle w:val="TableText0"/>
            </w:pPr>
            <w:r w:rsidRPr="00656E2A">
              <w:t>Appropriate. The submission could have also considered substitution for other RRMS DMTs</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Uptake rate of ozanimod</w:t>
            </w:r>
          </w:p>
        </w:tc>
        <w:tc>
          <w:tcPr>
            <w:tcW w:w="2113" w:type="pct"/>
            <w:shd w:val="clear" w:color="auto" w:fill="auto"/>
            <w:vAlign w:val="center"/>
          </w:tcPr>
          <w:p w:rsidR="006559BD" w:rsidRPr="00551C76" w:rsidRDefault="006559BD" w:rsidP="000A5230">
            <w:pPr>
              <w:pStyle w:val="TableText0"/>
            </w:pPr>
            <w:r w:rsidRPr="00551C76">
              <w:t>The submission assumed a fingolimod to ozanimod substitution rate of 10%, 20%, 30%, 40%, 50%, and 50%, respectively each year.</w:t>
            </w:r>
          </w:p>
        </w:tc>
        <w:tc>
          <w:tcPr>
            <w:tcW w:w="1937" w:type="pct"/>
            <w:shd w:val="clear" w:color="auto" w:fill="auto"/>
            <w:vAlign w:val="center"/>
          </w:tcPr>
          <w:p w:rsidR="006559BD" w:rsidRPr="00656E2A" w:rsidRDefault="006559BD" w:rsidP="000A5230">
            <w:pPr>
              <w:pStyle w:val="TableText0"/>
            </w:pPr>
            <w:r w:rsidRPr="00656E2A">
              <w:t>Uncertain given the uptake rate was speculative. However, given the cost-minimisation approach, this is not likely to affect the predicted cost-neutrality.</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 xml:space="preserve">Proportion of patients requiring </w:t>
            </w:r>
            <w:r>
              <w:t>titration</w:t>
            </w:r>
            <w:r w:rsidRPr="00551C76">
              <w:t xml:space="preserve"> packs</w:t>
            </w:r>
          </w:p>
        </w:tc>
        <w:tc>
          <w:tcPr>
            <w:tcW w:w="2113" w:type="pct"/>
            <w:shd w:val="clear" w:color="auto" w:fill="auto"/>
            <w:vAlign w:val="center"/>
          </w:tcPr>
          <w:p w:rsidR="006559BD" w:rsidRPr="00551C76" w:rsidRDefault="006559BD" w:rsidP="000A5230">
            <w:pPr>
              <w:pStyle w:val="TableText0"/>
            </w:pPr>
            <w:r w:rsidRPr="00551C76">
              <w:t>Based on 10% sampled PBS data for fingolimod in equivalent year of listing. Commissioned by Prospection Pty Ltd.</w:t>
            </w:r>
          </w:p>
        </w:tc>
        <w:tc>
          <w:tcPr>
            <w:tcW w:w="1937" w:type="pct"/>
            <w:shd w:val="clear" w:color="auto" w:fill="auto"/>
            <w:vAlign w:val="center"/>
          </w:tcPr>
          <w:p w:rsidR="006559BD" w:rsidRPr="00656E2A" w:rsidRDefault="006559BD" w:rsidP="000A5230">
            <w:pPr>
              <w:pStyle w:val="TableText0"/>
            </w:pPr>
            <w:r w:rsidRPr="00656E2A">
              <w:t>Appropriate</w:t>
            </w:r>
          </w:p>
        </w:tc>
      </w:tr>
      <w:tr w:rsidR="006559BD" w:rsidRPr="00551C76" w:rsidTr="000A5230">
        <w:tc>
          <w:tcPr>
            <w:tcW w:w="950" w:type="pct"/>
            <w:shd w:val="clear" w:color="auto" w:fill="auto"/>
            <w:vAlign w:val="center"/>
          </w:tcPr>
          <w:p w:rsidR="006559BD" w:rsidRPr="00551C76" w:rsidRDefault="006559BD" w:rsidP="000A5230">
            <w:pPr>
              <w:pStyle w:val="TableText0"/>
            </w:pPr>
            <w:r w:rsidRPr="00551C76">
              <w:t>Dose</w:t>
            </w:r>
          </w:p>
        </w:tc>
        <w:tc>
          <w:tcPr>
            <w:tcW w:w="2113" w:type="pct"/>
            <w:shd w:val="clear" w:color="auto" w:fill="auto"/>
            <w:vAlign w:val="center"/>
          </w:tcPr>
          <w:p w:rsidR="006559BD" w:rsidRPr="00551C76" w:rsidRDefault="006559BD" w:rsidP="000A5230">
            <w:pPr>
              <w:pStyle w:val="TableText0"/>
            </w:pPr>
            <w:r w:rsidRPr="00551C76">
              <w:t>Based on the trial data and the Product Information</w:t>
            </w:r>
          </w:p>
        </w:tc>
        <w:tc>
          <w:tcPr>
            <w:tcW w:w="1937" w:type="pct"/>
            <w:shd w:val="clear" w:color="auto" w:fill="auto"/>
            <w:vAlign w:val="center"/>
          </w:tcPr>
          <w:p w:rsidR="006559BD" w:rsidRPr="00656E2A" w:rsidRDefault="006559BD" w:rsidP="000A5230">
            <w:pPr>
              <w:pStyle w:val="TableText0"/>
            </w:pPr>
            <w:r w:rsidRPr="00656E2A">
              <w:t>Appropriate</w:t>
            </w:r>
          </w:p>
        </w:tc>
      </w:tr>
    </w:tbl>
    <w:p w:rsidR="006559BD" w:rsidRPr="00551C76" w:rsidRDefault="006559BD" w:rsidP="000A5230">
      <w:pPr>
        <w:pStyle w:val="TableFigureFooter"/>
      </w:pPr>
      <w:r w:rsidRPr="00551C76">
        <w:t>Source: Section 4.1, p</w:t>
      </w:r>
      <w:r>
        <w:t>p</w:t>
      </w:r>
      <w:r w:rsidRPr="00551C76">
        <w:t xml:space="preserve">153-161 of the </w:t>
      </w:r>
      <w:r>
        <w:t>submission.</w:t>
      </w:r>
    </w:p>
    <w:p w:rsidR="006559BD" w:rsidRPr="00551C76" w:rsidRDefault="006559BD" w:rsidP="000A5230">
      <w:pPr>
        <w:pStyle w:val="TableFigureFooter"/>
      </w:pPr>
      <w:r w:rsidRPr="00551C76">
        <w:t xml:space="preserve">DMT </w:t>
      </w:r>
      <w:r>
        <w:t>= d</w:t>
      </w:r>
      <w:r w:rsidRPr="00551C76">
        <w:t xml:space="preserve">isease modifying treatment; PBS </w:t>
      </w:r>
      <w:r>
        <w:t>= </w:t>
      </w:r>
      <w:r w:rsidRPr="00551C76">
        <w:t xml:space="preserve">Pharmaceutical Benefits Scheme; RRMS </w:t>
      </w:r>
      <w:r>
        <w:t>= relapsing-remitting multiple sclerosis</w:t>
      </w:r>
    </w:p>
    <w:p w:rsidR="004A0B9C" w:rsidRPr="004A0B9C" w:rsidRDefault="006559BD" w:rsidP="004A0B9C">
      <w:pPr>
        <w:pStyle w:val="3-BodyText"/>
        <w:rPr>
          <w:rFonts w:ascii="Calibri" w:hAnsi="Calibri"/>
          <w:b/>
          <w:bCs/>
        </w:rPr>
      </w:pPr>
      <w:r w:rsidRPr="00551C76">
        <w:t xml:space="preserve">The financial impact analysis, based on the published price of fingolimod, is presented in Table </w:t>
      </w:r>
      <w:r>
        <w:t>1</w:t>
      </w:r>
      <w:r w:rsidR="009530EF">
        <w:t>1</w:t>
      </w:r>
      <w:r w:rsidRPr="00551C76">
        <w:t xml:space="preserve">. The PBS/RPBS financial implications less co-payments resulted in a marginal </w:t>
      </w:r>
      <w:r w:rsidR="00802754" w:rsidRPr="00551C76">
        <w:t>cost saving</w:t>
      </w:r>
      <w:r w:rsidRPr="00551C76">
        <w:t xml:space="preserve">. </w:t>
      </w:r>
      <w:r w:rsidRPr="00656E2A">
        <w:t>This was due to the additional patient co</w:t>
      </w:r>
      <w:r w:rsidRPr="00656E2A">
        <w:noBreakHyphen/>
        <w:t xml:space="preserve">payments associated with the 7-day titration pack script for ozanimod. </w:t>
      </w:r>
      <w:bookmarkStart w:id="38" w:name="_Hlk29384765"/>
    </w:p>
    <w:p w:rsidR="006559BD" w:rsidRPr="004A0B9C" w:rsidRDefault="006559BD" w:rsidP="004A0B9C">
      <w:pPr>
        <w:pStyle w:val="TableHeading0"/>
        <w:rPr>
          <w:rStyle w:val="CommentReference"/>
          <w:rFonts w:ascii="Calibri" w:hAnsi="Calibri"/>
          <w:bCs/>
        </w:rPr>
      </w:pPr>
      <w:r w:rsidRPr="00551C76">
        <w:rPr>
          <w:rStyle w:val="CommentReference"/>
        </w:rPr>
        <w:lastRenderedPageBreak/>
        <w:t xml:space="preserve">Table </w:t>
      </w:r>
      <w:r>
        <w:rPr>
          <w:rStyle w:val="CommentReference"/>
        </w:rPr>
        <w:t>1</w:t>
      </w:r>
      <w:r w:rsidR="009530EF">
        <w:rPr>
          <w:rStyle w:val="CommentReference"/>
        </w:rPr>
        <w:t>1</w:t>
      </w:r>
      <w:r>
        <w:rPr>
          <w:rStyle w:val="CommentReference"/>
        </w:rPr>
        <w:t xml:space="preserve">: </w:t>
      </w:r>
      <w:r w:rsidRPr="00551C76">
        <w:rPr>
          <w:rStyle w:val="CommentReference"/>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6559BD" w:rsidRPr="00551C76" w:rsidTr="000A5230">
        <w:trPr>
          <w:tblHeader/>
        </w:trPr>
        <w:tc>
          <w:tcPr>
            <w:tcW w:w="1116" w:type="pct"/>
            <w:shd w:val="clear" w:color="auto" w:fill="auto"/>
            <w:vAlign w:val="center"/>
          </w:tcPr>
          <w:p w:rsidR="006559BD" w:rsidRPr="00551C76" w:rsidRDefault="006559BD" w:rsidP="000A5230">
            <w:pPr>
              <w:pStyle w:val="In-tableHeading"/>
              <w:jc w:val="center"/>
              <w:rPr>
                <w:lang w:val="en-AU"/>
              </w:rPr>
            </w:pP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1</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2</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3</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4</w:t>
            </w:r>
          </w:p>
        </w:tc>
        <w:tc>
          <w:tcPr>
            <w:tcW w:w="647" w:type="pct"/>
            <w:shd w:val="clear" w:color="auto" w:fill="auto"/>
            <w:vAlign w:val="center"/>
          </w:tcPr>
          <w:p w:rsidR="006559BD" w:rsidRPr="00551C76" w:rsidRDefault="006559BD" w:rsidP="000A5230">
            <w:pPr>
              <w:pStyle w:val="In-tableHeading"/>
              <w:jc w:val="center"/>
              <w:rPr>
                <w:lang w:val="en-AU"/>
              </w:rPr>
            </w:pPr>
            <w:r w:rsidRPr="00551C76">
              <w:rPr>
                <w:lang w:val="en-AU"/>
              </w:rPr>
              <w:t>Year 5</w:t>
            </w:r>
          </w:p>
        </w:tc>
        <w:tc>
          <w:tcPr>
            <w:tcW w:w="649" w:type="pct"/>
          </w:tcPr>
          <w:p w:rsidR="006559BD" w:rsidRPr="00551C76" w:rsidRDefault="006559BD" w:rsidP="000A5230">
            <w:pPr>
              <w:pStyle w:val="In-tableHeading"/>
              <w:jc w:val="center"/>
              <w:rPr>
                <w:lang w:val="en-AU"/>
              </w:rPr>
            </w:pPr>
            <w:r w:rsidRPr="00551C76">
              <w:rPr>
                <w:lang w:val="en-AU"/>
              </w:rPr>
              <w:t>Year 6</w:t>
            </w:r>
          </w:p>
        </w:tc>
      </w:tr>
      <w:tr w:rsidR="006559BD" w:rsidRPr="00551C76" w:rsidTr="000A5230">
        <w:tc>
          <w:tcPr>
            <w:tcW w:w="5000" w:type="pct"/>
            <w:gridSpan w:val="7"/>
            <w:shd w:val="clear" w:color="auto" w:fill="auto"/>
            <w:vAlign w:val="center"/>
          </w:tcPr>
          <w:p w:rsidR="006559BD" w:rsidRPr="00551C76" w:rsidRDefault="006559BD" w:rsidP="000A5230">
            <w:pPr>
              <w:pStyle w:val="In-tableHeading"/>
              <w:rPr>
                <w:bCs/>
                <w:color w:val="000000"/>
                <w:lang w:val="en-AU"/>
              </w:rPr>
            </w:pPr>
            <w:r w:rsidRPr="00551C76">
              <w:rPr>
                <w:bCs/>
                <w:color w:val="000000"/>
                <w:lang w:val="en-AU"/>
              </w:rPr>
              <w:t>Estimated extent of use for ozanimod</w:t>
            </w:r>
          </w:p>
        </w:tc>
      </w:tr>
      <w:tr w:rsidR="006559BD" w:rsidRPr="00551C76" w:rsidTr="000A5230">
        <w:tc>
          <w:tcPr>
            <w:tcW w:w="1116" w:type="pct"/>
            <w:shd w:val="clear" w:color="auto" w:fill="auto"/>
            <w:vAlign w:val="center"/>
          </w:tcPr>
          <w:p w:rsidR="006559BD" w:rsidRPr="00551C76" w:rsidRDefault="006559BD" w:rsidP="000A5230">
            <w:pPr>
              <w:pStyle w:val="TableText0"/>
              <w:rPr>
                <w:rFonts w:ascii="Times" w:hAnsi="Times"/>
              </w:rPr>
            </w:pPr>
            <w:r w:rsidRPr="00551C76">
              <w:t>Number</w:t>
            </w:r>
            <w:r w:rsidR="00033A7F">
              <w:t xml:space="preserve"> of</w:t>
            </w:r>
            <w:r w:rsidRPr="00551C76">
              <w:t xml:space="preserve"> </w:t>
            </w:r>
            <w:r>
              <w:t>titration</w:t>
            </w:r>
            <w:r w:rsidRPr="00551C76">
              <w:t xml:space="preserve"> </w:t>
            </w:r>
            <w:r>
              <w:t xml:space="preserve">pack </w:t>
            </w:r>
            <w:r w:rsidRPr="00551C76">
              <w:t>scripts</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9" w:type="pct"/>
            <w:vAlign w:val="center"/>
          </w:tcPr>
          <w:p w:rsidR="006559BD" w:rsidRPr="001741FB" w:rsidRDefault="001741FB" w:rsidP="000A5230">
            <w:pPr>
              <w:pStyle w:val="TableText0"/>
              <w:jc w:val="center"/>
              <w:rPr>
                <w:color w:val="000000"/>
                <w:highlight w:val="black"/>
              </w:rPr>
            </w:pPr>
            <w:r>
              <w:rPr>
                <w:noProof/>
                <w:color w:val="000000"/>
                <w:highlight w:val="black"/>
              </w:rPr>
              <w:t>''''''''''</w:t>
            </w:r>
          </w:p>
        </w:tc>
      </w:tr>
      <w:tr w:rsidR="006559BD" w:rsidRPr="00551C76" w:rsidTr="000A5230">
        <w:tc>
          <w:tcPr>
            <w:tcW w:w="1116" w:type="pct"/>
            <w:shd w:val="clear" w:color="auto" w:fill="auto"/>
            <w:vAlign w:val="center"/>
          </w:tcPr>
          <w:p w:rsidR="006559BD" w:rsidRPr="00551C76" w:rsidRDefault="006559BD" w:rsidP="000A5230">
            <w:pPr>
              <w:pStyle w:val="TableText0"/>
              <w:rPr>
                <w:rFonts w:ascii="Times" w:hAnsi="Times"/>
              </w:rPr>
            </w:pPr>
            <w:r w:rsidRPr="00551C76">
              <w:t xml:space="preserve">Number of </w:t>
            </w:r>
            <w:r>
              <w:t>28-day</w:t>
            </w:r>
            <w:r w:rsidRPr="00551C76">
              <w:t xml:space="preserve"> </w:t>
            </w:r>
            <w:r>
              <w:t xml:space="preserve">pack </w:t>
            </w:r>
            <w:r w:rsidRPr="00551C76">
              <w:t>scripts</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7" w:type="pct"/>
            <w:shd w:val="clear" w:color="auto" w:fill="auto"/>
            <w:vAlign w:val="center"/>
          </w:tcPr>
          <w:p w:rsidR="006559BD" w:rsidRPr="001741FB" w:rsidRDefault="001741FB" w:rsidP="000A5230">
            <w:pPr>
              <w:pStyle w:val="TableText0"/>
              <w:jc w:val="center"/>
              <w:rPr>
                <w:color w:val="000000"/>
                <w:highlight w:val="black"/>
              </w:rPr>
            </w:pPr>
            <w:r>
              <w:rPr>
                <w:noProof/>
                <w:color w:val="000000"/>
                <w:highlight w:val="black"/>
              </w:rPr>
              <w:t>''''''''''''''''</w:t>
            </w:r>
          </w:p>
        </w:tc>
        <w:tc>
          <w:tcPr>
            <w:tcW w:w="649" w:type="pct"/>
            <w:vAlign w:val="center"/>
          </w:tcPr>
          <w:p w:rsidR="006559BD" w:rsidRPr="001741FB" w:rsidRDefault="001741FB" w:rsidP="000A5230">
            <w:pPr>
              <w:pStyle w:val="TableText0"/>
              <w:jc w:val="center"/>
              <w:rPr>
                <w:color w:val="000000"/>
                <w:highlight w:val="black"/>
              </w:rPr>
            </w:pPr>
            <w:r>
              <w:rPr>
                <w:noProof/>
                <w:color w:val="000000"/>
                <w:highlight w:val="black"/>
              </w:rPr>
              <w:t>''''''''''''''''</w:t>
            </w:r>
          </w:p>
        </w:tc>
      </w:tr>
      <w:tr w:rsidR="006559BD" w:rsidRPr="00551C76" w:rsidTr="000A5230">
        <w:tc>
          <w:tcPr>
            <w:tcW w:w="5000" w:type="pct"/>
            <w:gridSpan w:val="7"/>
            <w:shd w:val="clear" w:color="auto" w:fill="auto"/>
            <w:vAlign w:val="center"/>
          </w:tcPr>
          <w:p w:rsidR="006559BD" w:rsidRPr="00551C76" w:rsidRDefault="006559BD" w:rsidP="000A5230">
            <w:pPr>
              <w:pStyle w:val="In-tableHeading"/>
              <w:rPr>
                <w:lang w:val="en-AU"/>
              </w:rPr>
            </w:pPr>
            <w:r w:rsidRPr="00551C76">
              <w:rPr>
                <w:lang w:val="en-AU"/>
              </w:rPr>
              <w:t>Estimated costs and offsets associated with ozanimod</w:t>
            </w:r>
          </w:p>
        </w:tc>
      </w:tr>
      <w:tr w:rsidR="006559BD" w:rsidRPr="00551C76" w:rsidTr="000A5230">
        <w:tc>
          <w:tcPr>
            <w:tcW w:w="5000" w:type="pct"/>
            <w:gridSpan w:val="7"/>
            <w:shd w:val="clear" w:color="auto" w:fill="auto"/>
            <w:vAlign w:val="center"/>
          </w:tcPr>
          <w:p w:rsidR="006559BD" w:rsidRPr="00551C76" w:rsidRDefault="006559BD" w:rsidP="000A5230">
            <w:pPr>
              <w:pStyle w:val="TableText0"/>
            </w:pPr>
            <w:r w:rsidRPr="00551C76">
              <w:t>Estimated net cost of ozanimod to the PBS/RPBS less co</w:t>
            </w:r>
            <w:r w:rsidRPr="00551C76">
              <w:noBreakHyphen/>
              <w:t>payments</w:t>
            </w:r>
          </w:p>
        </w:tc>
      </w:tr>
      <w:tr w:rsidR="006559BD" w:rsidRPr="00551C76" w:rsidTr="000A5230">
        <w:tc>
          <w:tcPr>
            <w:tcW w:w="1116" w:type="pct"/>
            <w:shd w:val="clear" w:color="auto" w:fill="auto"/>
            <w:vAlign w:val="center"/>
          </w:tcPr>
          <w:p w:rsidR="006559BD" w:rsidRPr="00551C76" w:rsidRDefault="006559BD" w:rsidP="000A5230">
            <w:pPr>
              <w:pStyle w:val="TableText0"/>
              <w:rPr>
                <w:sz w:val="19"/>
                <w:szCs w:val="19"/>
              </w:rPr>
            </w:pPr>
            <w:r w:rsidRPr="00551C76">
              <w:rPr>
                <w:sz w:val="19"/>
                <w:szCs w:val="19"/>
              </w:rPr>
              <w:t>Cost to PBS/RPBS less co</w:t>
            </w:r>
            <w:r w:rsidRPr="00551C76">
              <w:rPr>
                <w:sz w:val="19"/>
                <w:szCs w:val="19"/>
              </w:rPr>
              <w:noBreakHyphen/>
              <w:t>payments</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9" w:type="pct"/>
            <w:vAlign w:val="center"/>
          </w:tcPr>
          <w:p w:rsidR="006559BD" w:rsidRPr="00551C76" w:rsidRDefault="006559BD" w:rsidP="000A5230">
            <w:pPr>
              <w:pStyle w:val="TableText0"/>
              <w:jc w:val="center"/>
            </w:pPr>
            <w:r w:rsidRPr="00551C76">
              <w:t>$</w:t>
            </w:r>
            <w:r w:rsidR="001741FB">
              <w:rPr>
                <w:noProof/>
                <w:color w:val="000000"/>
                <w:highlight w:val="black"/>
              </w:rPr>
              <w:t>''''''''''''''''''''''''''</w:t>
            </w:r>
          </w:p>
        </w:tc>
      </w:tr>
      <w:tr w:rsidR="006559BD" w:rsidRPr="00551C76" w:rsidTr="000A5230">
        <w:tc>
          <w:tcPr>
            <w:tcW w:w="5000" w:type="pct"/>
            <w:gridSpan w:val="7"/>
            <w:shd w:val="clear" w:color="auto" w:fill="auto"/>
            <w:vAlign w:val="center"/>
          </w:tcPr>
          <w:p w:rsidR="006559BD" w:rsidRPr="00551C76" w:rsidRDefault="006559BD" w:rsidP="000A5230">
            <w:pPr>
              <w:pStyle w:val="TableText0"/>
            </w:pPr>
            <w:r w:rsidRPr="00551C76">
              <w:t>Estimated net offsets for ozanimod (due to fingolimod substitution) to the PBS/RPBS less co</w:t>
            </w:r>
            <w:r w:rsidRPr="00551C76">
              <w:noBreakHyphen/>
              <w:t xml:space="preserve">payments </w:t>
            </w:r>
          </w:p>
        </w:tc>
      </w:tr>
      <w:tr w:rsidR="006559BD" w:rsidRPr="00551C76" w:rsidTr="000A5230">
        <w:tc>
          <w:tcPr>
            <w:tcW w:w="1116" w:type="pct"/>
            <w:shd w:val="clear" w:color="auto" w:fill="auto"/>
            <w:vAlign w:val="center"/>
          </w:tcPr>
          <w:p w:rsidR="006559BD" w:rsidRPr="00551C76" w:rsidRDefault="006559BD" w:rsidP="000A5230">
            <w:pPr>
              <w:pStyle w:val="TableText0"/>
              <w:rPr>
                <w:sz w:val="19"/>
                <w:szCs w:val="19"/>
              </w:rPr>
            </w:pPr>
            <w:r w:rsidRPr="00551C76">
              <w:rPr>
                <w:sz w:val="19"/>
                <w:szCs w:val="19"/>
              </w:rPr>
              <w:t>Cost to PBS/RPBS less co</w:t>
            </w:r>
            <w:r w:rsidRPr="00551C76">
              <w:rPr>
                <w:sz w:val="19"/>
                <w:szCs w:val="19"/>
              </w:rPr>
              <w:noBreakHyphen/>
              <w:t>payments</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9" w:type="pct"/>
            <w:vAlign w:val="center"/>
          </w:tcPr>
          <w:p w:rsidR="006559BD" w:rsidRPr="00551C76" w:rsidRDefault="006559BD" w:rsidP="000A5230">
            <w:pPr>
              <w:pStyle w:val="TableText0"/>
              <w:jc w:val="center"/>
            </w:pPr>
            <w:r w:rsidRPr="00551C76">
              <w:t>-$</w:t>
            </w:r>
            <w:r w:rsidR="001741FB">
              <w:rPr>
                <w:noProof/>
                <w:color w:val="000000"/>
                <w:highlight w:val="black"/>
              </w:rPr>
              <w:t>'''''''''''''''''''''''''''''</w:t>
            </w:r>
          </w:p>
        </w:tc>
      </w:tr>
      <w:tr w:rsidR="006559BD" w:rsidRPr="00551C76" w:rsidTr="000A5230">
        <w:tc>
          <w:tcPr>
            <w:tcW w:w="5000" w:type="pct"/>
            <w:gridSpan w:val="7"/>
            <w:shd w:val="clear" w:color="auto" w:fill="auto"/>
            <w:vAlign w:val="center"/>
          </w:tcPr>
          <w:p w:rsidR="006559BD" w:rsidRPr="00551C76" w:rsidRDefault="006559BD" w:rsidP="000A5230">
            <w:pPr>
              <w:pStyle w:val="In-tableHeading"/>
              <w:rPr>
                <w:lang w:val="en-AU"/>
              </w:rPr>
            </w:pPr>
            <w:r w:rsidRPr="00551C76">
              <w:rPr>
                <w:lang w:val="en-AU"/>
              </w:rPr>
              <w:t>Net financial implications of listing ozanimod</w:t>
            </w:r>
            <w:r w:rsidRPr="00551C76">
              <w:rPr>
                <w:color w:val="5B9BD5" w:themeColor="accent5"/>
                <w:lang w:val="en-AU"/>
              </w:rPr>
              <w:t xml:space="preserve"> </w:t>
            </w:r>
          </w:p>
        </w:tc>
      </w:tr>
      <w:tr w:rsidR="006559BD" w:rsidRPr="00551C76" w:rsidTr="000A5230">
        <w:tc>
          <w:tcPr>
            <w:tcW w:w="1116" w:type="pct"/>
            <w:shd w:val="clear" w:color="auto" w:fill="auto"/>
            <w:vAlign w:val="center"/>
          </w:tcPr>
          <w:p w:rsidR="006559BD" w:rsidRPr="00551C76" w:rsidRDefault="006559BD" w:rsidP="000A5230">
            <w:pPr>
              <w:pStyle w:val="TableText0"/>
              <w:rPr>
                <w:sz w:val="19"/>
                <w:szCs w:val="19"/>
              </w:rPr>
            </w:pPr>
            <w:r w:rsidRPr="00551C76">
              <w:rPr>
                <w:sz w:val="19"/>
                <w:szCs w:val="19"/>
              </w:rPr>
              <w:t>PBS/RPBS total, less co</w:t>
            </w:r>
            <w:r w:rsidRPr="00551C76">
              <w:rPr>
                <w:sz w:val="19"/>
                <w:szCs w:val="19"/>
              </w:rPr>
              <w:noBreakHyphen/>
              <w:t>payments</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7" w:type="pct"/>
            <w:shd w:val="clear" w:color="auto" w:fill="auto"/>
            <w:vAlign w:val="center"/>
          </w:tcPr>
          <w:p w:rsidR="006559BD" w:rsidRPr="00551C76" w:rsidRDefault="006559BD" w:rsidP="000A5230">
            <w:pPr>
              <w:pStyle w:val="TableText0"/>
              <w:jc w:val="center"/>
            </w:pPr>
            <w:r w:rsidRPr="00551C76">
              <w:t>-$</w:t>
            </w:r>
            <w:r w:rsidR="001741FB">
              <w:rPr>
                <w:noProof/>
                <w:color w:val="000000"/>
                <w:highlight w:val="black"/>
              </w:rPr>
              <w:t>''''''''''''</w:t>
            </w:r>
          </w:p>
        </w:tc>
        <w:tc>
          <w:tcPr>
            <w:tcW w:w="649" w:type="pct"/>
            <w:vAlign w:val="center"/>
          </w:tcPr>
          <w:p w:rsidR="006559BD" w:rsidRPr="00551C76" w:rsidRDefault="006559BD" w:rsidP="000A5230">
            <w:pPr>
              <w:pStyle w:val="TableText0"/>
              <w:jc w:val="center"/>
            </w:pPr>
            <w:r w:rsidRPr="00551C76">
              <w:t>-$</w:t>
            </w:r>
            <w:r w:rsidR="001741FB">
              <w:rPr>
                <w:noProof/>
                <w:color w:val="000000"/>
                <w:highlight w:val="black"/>
              </w:rPr>
              <w:t>'''''''''''''</w:t>
            </w:r>
          </w:p>
        </w:tc>
      </w:tr>
    </w:tbl>
    <w:p w:rsidR="006559BD" w:rsidRPr="00551C76" w:rsidRDefault="006559BD" w:rsidP="000A5230">
      <w:pPr>
        <w:pStyle w:val="TableFigureFooter"/>
      </w:pPr>
      <w:r w:rsidRPr="00551C76">
        <w:t>Source: Table 95 and 96, p</w:t>
      </w:r>
      <w:r>
        <w:t>p</w:t>
      </w:r>
      <w:r w:rsidRPr="00551C76">
        <w:t xml:space="preserve">160-161; Table 97, </w:t>
      </w:r>
      <w:r>
        <w:t>p</w:t>
      </w:r>
      <w:r w:rsidRPr="00551C76">
        <w:t xml:space="preserve">162; and Table 98, </w:t>
      </w:r>
      <w:r>
        <w:t>p</w:t>
      </w:r>
      <w:r w:rsidRPr="00551C76">
        <w:t xml:space="preserve">163 of the </w:t>
      </w:r>
      <w:r>
        <w:t>submission.</w:t>
      </w:r>
    </w:p>
    <w:p w:rsidR="006559BD" w:rsidRPr="00551C76" w:rsidRDefault="006559BD" w:rsidP="000A5230">
      <w:pPr>
        <w:pStyle w:val="TableFigureFooter"/>
      </w:pPr>
      <w:r w:rsidRPr="00551C76">
        <w:t xml:space="preserve">PBS </w:t>
      </w:r>
      <w:r>
        <w:t>= </w:t>
      </w:r>
      <w:r w:rsidRPr="00551C76">
        <w:t xml:space="preserve">Pharmaceutical Benefits Scheme; RPBS </w:t>
      </w:r>
      <w:r>
        <w:t>= </w:t>
      </w:r>
      <w:r w:rsidRPr="00551C76">
        <w:t>Repatriation Pharmaceutical Benefits Scheme</w:t>
      </w:r>
    </w:p>
    <w:p w:rsidR="006559BD" w:rsidRPr="00551C76" w:rsidRDefault="006559BD" w:rsidP="000A5230">
      <w:pPr>
        <w:pStyle w:val="TableFigureFooter"/>
      </w:pPr>
      <w:r w:rsidRPr="00551C76">
        <w:t>Note: Values used in the financial impact calculations were not rounded.</w:t>
      </w:r>
    </w:p>
    <w:p w:rsidR="006559BD" w:rsidRPr="00551C76" w:rsidRDefault="006559BD" w:rsidP="000A5230">
      <w:pPr>
        <w:pStyle w:val="TableFigureFooter"/>
      </w:pPr>
      <w:r w:rsidRPr="00551C76">
        <w:t>Note: The published price for fingolimod is used as a proxy for ozanimod published price in this submission. The final published and net list price will be determined during the listing process.</w:t>
      </w:r>
    </w:p>
    <w:bookmarkEnd w:id="38"/>
    <w:p w:rsidR="002A5B09" w:rsidRPr="00313967" w:rsidRDefault="00033A7F" w:rsidP="00313967">
      <w:pPr>
        <w:pStyle w:val="3-BodyText"/>
        <w:rPr>
          <w:color w:val="0066FF"/>
        </w:rPr>
      </w:pPr>
      <w:r>
        <w:t>While the submission assumed that ozanimod would only substitute for fingolimod, i</w:t>
      </w:r>
      <w:r w:rsidR="006559BD" w:rsidRPr="00656E2A">
        <w:t xml:space="preserve">n practice, ozanimod could take market share from several other RRMS treatments, some of which may be cheaper than fingolimod. </w:t>
      </w:r>
    </w:p>
    <w:p w:rsidR="006559BD" w:rsidRPr="001602FF" w:rsidRDefault="006559BD" w:rsidP="000A5230">
      <w:pPr>
        <w:pStyle w:val="3-BodyText"/>
      </w:pPr>
      <w:r w:rsidRPr="00551C76">
        <w:t>The submission noted that further cost-savings may be possible for ozanimod due to improved tolerability profile and reduced need for first</w:t>
      </w:r>
      <w:r>
        <w:t>-</w:t>
      </w:r>
      <w:r w:rsidRPr="00551C76">
        <w:t xml:space="preserve">dose </w:t>
      </w:r>
      <w:r>
        <w:t xml:space="preserve">cardiac </w:t>
      </w:r>
      <w:r w:rsidRPr="00551C76">
        <w:t>monitoring</w:t>
      </w:r>
      <w:r>
        <w:t xml:space="preserve">, fewer </w:t>
      </w:r>
      <w:r w:rsidRPr="00656E2A">
        <w:t>cardiac AEs, fewer infections due to higher</w:t>
      </w:r>
      <w:r w:rsidRPr="00A52148">
        <w:t xml:space="preserve"> ALCs, and fewer hepatic abnormalities </w:t>
      </w:r>
      <w:r w:rsidRPr="00551C76">
        <w:t xml:space="preserve">compared with fingolimod. </w:t>
      </w:r>
      <w:r w:rsidRPr="00656E2A">
        <w:t>The submissions claim for fewer cardiac AEs and hepatic abnormalities was uncertain as ozanimod and fingolimod appeared to have similar safety profiles.</w:t>
      </w:r>
      <w:r>
        <w:rPr>
          <w:i/>
        </w:rPr>
        <w:t xml:space="preserve"> </w:t>
      </w:r>
    </w:p>
    <w:p w:rsidR="00FC01E1" w:rsidRPr="001602FF" w:rsidRDefault="00FC01E1" w:rsidP="00B01915">
      <w:pPr>
        <w:pStyle w:val="3-BodyText"/>
      </w:pPr>
      <w:r w:rsidRPr="001602FF">
        <w:t>At year 6, the estimated number of patients was</w:t>
      </w:r>
      <w:r w:rsidR="00407BF2">
        <w:t xml:space="preserve"> </w:t>
      </w:r>
      <w:r w:rsidR="00407BF2" w:rsidRPr="00407BF2">
        <w:rPr>
          <w:bCs/>
          <w:szCs w:val="22"/>
        </w:rPr>
        <w:t>500 to &lt;</w:t>
      </w:r>
      <w:r w:rsidR="00511283">
        <w:rPr>
          <w:bCs/>
          <w:szCs w:val="22"/>
        </w:rPr>
        <w:t> </w:t>
      </w:r>
      <w:r w:rsidR="00407BF2" w:rsidRPr="00407BF2">
        <w:rPr>
          <w:bCs/>
          <w:szCs w:val="22"/>
        </w:rPr>
        <w:t>5,000</w:t>
      </w:r>
      <w:r w:rsidR="00AE515D">
        <w:rPr>
          <w:bCs/>
          <w:szCs w:val="22"/>
        </w:rPr>
        <w:t xml:space="preserve"> </w:t>
      </w:r>
      <w:r w:rsidR="00B01915">
        <w:t xml:space="preserve">and estimated number of scripts was </w:t>
      </w:r>
      <w:r w:rsidR="00B01915" w:rsidRPr="00B01915">
        <w:t>20,000 to &lt; 30,000</w:t>
      </w:r>
      <w:r w:rsidR="00B01915">
        <w:t xml:space="preserve">; </w:t>
      </w:r>
      <w:r w:rsidRPr="001602FF">
        <w:t xml:space="preserve">and </w:t>
      </w:r>
      <w:r w:rsidR="00FD353C">
        <w:t>was</w:t>
      </w:r>
      <w:r w:rsidRPr="001602FF">
        <w:t xml:space="preserve"> net </w:t>
      </w:r>
      <w:r w:rsidR="0090399A">
        <w:t>cost saving</w:t>
      </w:r>
      <w:r w:rsidRPr="001602FF">
        <w:t xml:space="preserve"> to the PBS</w:t>
      </w:r>
      <w:r w:rsidR="0090399A">
        <w:t>.</w:t>
      </w:r>
      <w:r w:rsidRPr="001602FF">
        <w:rPr>
          <w:rFonts w:ascii="Arial" w:hAnsi="Arial"/>
          <w:sz w:val="22"/>
        </w:rPr>
        <w:t xml:space="preserve"> </w:t>
      </w:r>
      <w:r w:rsidRPr="001602FF">
        <w:rPr>
          <w:rFonts w:cstheme="minorHAnsi"/>
        </w:rPr>
        <w:t xml:space="preserve">The PBAC noted these costs were based on the published price of the comparator. </w:t>
      </w:r>
    </w:p>
    <w:p w:rsidR="006559BD" w:rsidRPr="00551C76" w:rsidRDefault="006559BD" w:rsidP="000A5230">
      <w:pPr>
        <w:pStyle w:val="4-SubsectionHeading"/>
      </w:pPr>
      <w:bookmarkStart w:id="39" w:name="_Toc27061692"/>
      <w:bookmarkStart w:id="40" w:name="_Toc30410055"/>
      <w:bookmarkStart w:id="41" w:name="_Toc22897649"/>
      <w:bookmarkEnd w:id="37"/>
      <w:r w:rsidRPr="00551C76">
        <w:t>Financial Management – Risk Sharing Arrangements</w:t>
      </w:r>
      <w:bookmarkEnd w:id="39"/>
      <w:bookmarkEnd w:id="40"/>
    </w:p>
    <w:p w:rsidR="009517DF" w:rsidRDefault="006559BD" w:rsidP="000B29C0">
      <w:pPr>
        <w:pStyle w:val="3-BodyText"/>
      </w:pPr>
      <w:r>
        <w:t xml:space="preserve">The submission did not propose a risk-sharing </w:t>
      </w:r>
      <w:r w:rsidRPr="00656E2A">
        <w:t xml:space="preserve">arrangement (RSA). An RSA with shared subsidisation caps is currently in place for fingolimod and cladribine. </w:t>
      </w:r>
      <w:r w:rsidR="007F6A2A">
        <w:t>In its Pre-PBAC Response, the Sponsor indicated a willingness to join the existing RSA for fingolimod.</w:t>
      </w:r>
      <w:r w:rsidR="001670C0">
        <w:t xml:space="preserve"> The PBAC noted that this was appropriate.</w:t>
      </w:r>
    </w:p>
    <w:p w:rsidR="009E031A" w:rsidRPr="00033A7F" w:rsidRDefault="00033A7F" w:rsidP="00600EFC">
      <w:pPr>
        <w:ind w:firstLine="720"/>
        <w:rPr>
          <w:i/>
        </w:rPr>
      </w:pPr>
      <w:r w:rsidRPr="00033A7F">
        <w:rPr>
          <w:i/>
        </w:rPr>
        <w:t>For more detail on PBAC’s view, see section 7 PBAC outcome.</w:t>
      </w:r>
    </w:p>
    <w:p w:rsidR="009E031A" w:rsidRPr="00D52702" w:rsidRDefault="009E031A" w:rsidP="009E031A">
      <w:pPr>
        <w:keepNext/>
        <w:keepLines w:val="0"/>
        <w:widowControl w:val="0"/>
        <w:numPr>
          <w:ilvl w:val="0"/>
          <w:numId w:val="1"/>
        </w:numPr>
        <w:spacing w:after="120"/>
        <w:outlineLvl w:val="0"/>
        <w:rPr>
          <w:rFonts w:asciiTheme="minorHAnsi" w:hAnsiTheme="minorHAnsi"/>
          <w:b/>
          <w:bCs/>
          <w:snapToGrid w:val="0"/>
          <w:sz w:val="32"/>
        </w:rPr>
      </w:pPr>
      <w:r w:rsidRPr="00D52702">
        <w:rPr>
          <w:rFonts w:asciiTheme="minorHAnsi" w:hAnsiTheme="minorHAnsi"/>
          <w:b/>
          <w:bCs/>
          <w:snapToGrid w:val="0"/>
          <w:sz w:val="32"/>
        </w:rPr>
        <w:t>PBAC Outcome</w:t>
      </w:r>
    </w:p>
    <w:p w:rsidR="00A7498E" w:rsidRPr="00A7498E" w:rsidRDefault="00A7498E" w:rsidP="00876C34">
      <w:pPr>
        <w:pStyle w:val="3-BodyText"/>
        <w:rPr>
          <w:lang w:val="en-GB"/>
        </w:rPr>
      </w:pPr>
      <w:r w:rsidRPr="007624F4">
        <w:rPr>
          <w:bCs/>
          <w:lang w:val="en-GB"/>
        </w:rPr>
        <w:t xml:space="preserve">The PBAC deferred making a recommendation for the listing of ozanimod on the PBS as the TGA Delegate’s </w:t>
      </w:r>
      <w:r w:rsidR="003517EC">
        <w:rPr>
          <w:bCs/>
          <w:lang w:val="en-GB"/>
        </w:rPr>
        <w:t>Overview</w:t>
      </w:r>
      <w:r w:rsidRPr="007624F4">
        <w:rPr>
          <w:bCs/>
          <w:lang w:val="en-GB"/>
        </w:rPr>
        <w:t xml:space="preserve"> was not available at </w:t>
      </w:r>
      <w:r>
        <w:rPr>
          <w:bCs/>
          <w:lang w:val="en-GB"/>
        </w:rPr>
        <w:t xml:space="preserve">the </w:t>
      </w:r>
      <w:r w:rsidRPr="007624F4">
        <w:rPr>
          <w:bCs/>
          <w:lang w:val="en-GB"/>
        </w:rPr>
        <w:t xml:space="preserve">time of consideration. </w:t>
      </w:r>
      <w:r w:rsidRPr="007624F4">
        <w:rPr>
          <w:bCs/>
          <w:lang w:val="en-GB"/>
        </w:rPr>
        <w:lastRenderedPageBreak/>
        <w:t>However, the PBAC was of a mind to recommend the Authority Required (STREAMLINED) listing of ozanimod for the treatment of relapsing remitting multiple sclerosis (RRMS) on a cost minimisation basis with fingolimod</w:t>
      </w:r>
    </w:p>
    <w:p w:rsidR="00876C34" w:rsidRPr="00677232" w:rsidRDefault="00A5330D" w:rsidP="00A5330D">
      <w:pPr>
        <w:keepLines w:val="0"/>
        <w:widowControl w:val="0"/>
        <w:numPr>
          <w:ilvl w:val="1"/>
          <w:numId w:val="1"/>
        </w:numPr>
        <w:spacing w:before="0" w:after="120"/>
        <w:rPr>
          <w:rFonts w:asciiTheme="minorHAnsi" w:hAnsiTheme="minorHAnsi"/>
          <w:bCs/>
          <w:snapToGrid w:val="0"/>
          <w:lang w:val="en-GB"/>
        </w:rPr>
      </w:pPr>
      <w:r w:rsidRPr="007624F4">
        <w:rPr>
          <w:rFonts w:asciiTheme="minorHAnsi" w:hAnsiTheme="minorHAnsi"/>
          <w:bCs/>
          <w:snapToGrid w:val="0"/>
          <w:lang w:val="en-GB"/>
        </w:rPr>
        <w:t>The PBAC considered the nominated comparator of fingolimod</w:t>
      </w:r>
      <w:r>
        <w:rPr>
          <w:rFonts w:asciiTheme="minorHAnsi" w:hAnsiTheme="minorHAnsi"/>
          <w:bCs/>
          <w:snapToGrid w:val="0"/>
          <w:lang w:val="en-GB"/>
        </w:rPr>
        <w:t xml:space="preserve"> </w:t>
      </w:r>
      <w:r w:rsidRPr="007624F4">
        <w:rPr>
          <w:rFonts w:asciiTheme="minorHAnsi" w:hAnsiTheme="minorHAnsi"/>
          <w:bCs/>
          <w:snapToGrid w:val="0"/>
          <w:lang w:val="en-GB"/>
        </w:rPr>
        <w:t>was reasonable</w:t>
      </w:r>
      <w:r w:rsidR="00614411">
        <w:rPr>
          <w:rFonts w:asciiTheme="minorHAnsi" w:hAnsiTheme="minorHAnsi"/>
          <w:bCs/>
          <w:snapToGrid w:val="0"/>
          <w:lang w:val="en-GB"/>
        </w:rPr>
        <w:t>,</w:t>
      </w:r>
      <w:r w:rsidRPr="007624F4">
        <w:rPr>
          <w:rFonts w:asciiTheme="minorHAnsi" w:hAnsiTheme="minorHAnsi"/>
          <w:bCs/>
          <w:snapToGrid w:val="0"/>
          <w:lang w:val="en-GB"/>
        </w:rPr>
        <w:t xml:space="preserve"> however also considered</w:t>
      </w:r>
      <w:r w:rsidR="00C62AF5">
        <w:rPr>
          <w:rFonts w:asciiTheme="minorHAnsi" w:hAnsiTheme="minorHAnsi"/>
          <w:bCs/>
          <w:snapToGrid w:val="0"/>
          <w:lang w:val="en-GB"/>
        </w:rPr>
        <w:t xml:space="preserve"> ozanimod </w:t>
      </w:r>
      <w:r w:rsidR="00D3489F">
        <w:rPr>
          <w:rFonts w:asciiTheme="minorHAnsi" w:hAnsiTheme="minorHAnsi"/>
          <w:bCs/>
          <w:snapToGrid w:val="0"/>
          <w:lang w:val="en-GB"/>
        </w:rPr>
        <w:t xml:space="preserve">may </w:t>
      </w:r>
      <w:r w:rsidR="00C62AF5">
        <w:rPr>
          <w:rFonts w:asciiTheme="minorHAnsi" w:hAnsiTheme="minorHAnsi"/>
          <w:bCs/>
          <w:snapToGrid w:val="0"/>
          <w:lang w:val="en-GB"/>
        </w:rPr>
        <w:t>substitute for</w:t>
      </w:r>
      <w:r w:rsidRPr="007624F4">
        <w:rPr>
          <w:rFonts w:asciiTheme="minorHAnsi" w:hAnsiTheme="minorHAnsi"/>
          <w:bCs/>
          <w:snapToGrid w:val="0"/>
          <w:lang w:val="en-GB"/>
        </w:rPr>
        <w:t xml:space="preserve"> </w:t>
      </w:r>
      <w:r w:rsidR="00D3489F">
        <w:rPr>
          <w:rFonts w:asciiTheme="minorHAnsi" w:hAnsiTheme="minorHAnsi"/>
          <w:bCs/>
          <w:snapToGrid w:val="0"/>
          <w:lang w:val="en-GB"/>
        </w:rPr>
        <w:t xml:space="preserve">a number of other </w:t>
      </w:r>
      <w:r w:rsidRPr="007624F4">
        <w:rPr>
          <w:rFonts w:asciiTheme="minorHAnsi" w:hAnsiTheme="minorHAnsi"/>
          <w:bCs/>
          <w:snapToGrid w:val="0"/>
          <w:lang w:val="en-GB"/>
        </w:rPr>
        <w:t>RRMS therapies currently listed on</w:t>
      </w:r>
      <w:r w:rsidR="00C62AF5">
        <w:rPr>
          <w:rFonts w:asciiTheme="minorHAnsi" w:hAnsiTheme="minorHAnsi"/>
          <w:bCs/>
          <w:snapToGrid w:val="0"/>
          <w:lang w:val="en-GB"/>
        </w:rPr>
        <w:t xml:space="preserve"> the PBS</w:t>
      </w:r>
      <w:r w:rsidRPr="007624F4">
        <w:rPr>
          <w:rFonts w:asciiTheme="minorHAnsi" w:hAnsiTheme="minorHAnsi"/>
          <w:bCs/>
          <w:snapToGrid w:val="0"/>
          <w:lang w:val="en-GB"/>
        </w:rPr>
        <w:t>.</w:t>
      </w:r>
      <w:r>
        <w:rPr>
          <w:rFonts w:asciiTheme="minorHAnsi" w:hAnsiTheme="minorHAnsi"/>
          <w:bCs/>
          <w:snapToGrid w:val="0"/>
          <w:lang w:val="en-GB"/>
        </w:rPr>
        <w:t xml:space="preserve"> </w:t>
      </w:r>
    </w:p>
    <w:p w:rsidR="00677232" w:rsidRPr="00677D49" w:rsidRDefault="00A62F0A" w:rsidP="0034045A">
      <w:pPr>
        <w:pStyle w:val="3-BodyText"/>
        <w:rPr>
          <w:lang w:val="en-GB"/>
        </w:rPr>
      </w:pPr>
      <w:r>
        <w:rPr>
          <w:lang w:val="en-GB"/>
        </w:rPr>
        <w:t xml:space="preserve">Based on the results of </w:t>
      </w:r>
      <w:r w:rsidR="00E66389">
        <w:rPr>
          <w:lang w:val="en-GB"/>
        </w:rPr>
        <w:t>two direct, randomised head-to-</w:t>
      </w:r>
      <w:r>
        <w:rPr>
          <w:lang w:val="en-GB"/>
        </w:rPr>
        <w:t>head trials (</w:t>
      </w:r>
      <w:r w:rsidR="00E66389">
        <w:rPr>
          <w:lang w:val="en-GB"/>
        </w:rPr>
        <w:t>SUNBEAM, RADIANCE-B) of ozanimod and interferon-</w:t>
      </w:r>
      <w:r w:rsidR="00E66389">
        <w:rPr>
          <w:rFonts w:cstheme="minorHAnsi"/>
          <w:lang w:val="en-GB"/>
        </w:rPr>
        <w:t>β</w:t>
      </w:r>
      <w:r w:rsidR="00E66389">
        <w:rPr>
          <w:lang w:val="en-GB"/>
        </w:rPr>
        <w:t>1a (IFN-</w:t>
      </w:r>
      <w:r w:rsidR="00E66389" w:rsidRPr="00CB28B2">
        <w:t>β1a</w:t>
      </w:r>
      <w:r w:rsidR="00E66389">
        <w:t>)</w:t>
      </w:r>
      <w:r w:rsidR="00E66389">
        <w:rPr>
          <w:lang w:val="en-GB"/>
        </w:rPr>
        <w:t>, t</w:t>
      </w:r>
      <w:r w:rsidR="00677232">
        <w:rPr>
          <w:lang w:val="en-GB"/>
        </w:rPr>
        <w:t xml:space="preserve">he </w:t>
      </w:r>
      <w:r w:rsidR="00D3489F">
        <w:rPr>
          <w:lang w:val="en-GB"/>
        </w:rPr>
        <w:t xml:space="preserve">PBAC </w:t>
      </w:r>
      <w:r w:rsidR="00677232">
        <w:rPr>
          <w:lang w:val="en-GB"/>
        </w:rPr>
        <w:t>was satisfied</w:t>
      </w:r>
      <w:r w:rsidR="00677232" w:rsidRPr="007624F4">
        <w:rPr>
          <w:lang w:val="en-GB"/>
        </w:rPr>
        <w:t xml:space="preserve"> that ozanimod provides</w:t>
      </w:r>
      <w:r w:rsidR="00677232">
        <w:rPr>
          <w:lang w:val="en-GB"/>
        </w:rPr>
        <w:t>, for some patients,</w:t>
      </w:r>
      <w:r w:rsidR="00677232" w:rsidRPr="007624F4">
        <w:rPr>
          <w:lang w:val="en-GB"/>
        </w:rPr>
        <w:t xml:space="preserve"> a significant improvement in effectiveness </w:t>
      </w:r>
      <w:r w:rsidR="00897FE0">
        <w:rPr>
          <w:lang w:val="en-GB"/>
        </w:rPr>
        <w:t xml:space="preserve">and safety over </w:t>
      </w:r>
      <w:r w:rsidR="00677232" w:rsidRPr="00CB28B2">
        <w:t>IFN-β1a</w:t>
      </w:r>
      <w:r w:rsidR="00E66389">
        <w:t xml:space="preserve"> for the purposes of Section 101 (3B) of the </w:t>
      </w:r>
      <w:r w:rsidR="00E66389" w:rsidRPr="003557ED">
        <w:rPr>
          <w:i/>
        </w:rPr>
        <w:t>National Health Act 1953</w:t>
      </w:r>
      <w:r w:rsidR="00E66389">
        <w:t xml:space="preserve">. </w:t>
      </w:r>
    </w:p>
    <w:p w:rsidR="00A7498E" w:rsidRDefault="00A7498E" w:rsidP="00A7498E">
      <w:pPr>
        <w:pStyle w:val="3-BodyText"/>
        <w:rPr>
          <w:bCs/>
          <w:lang w:val="en-GB"/>
        </w:rPr>
      </w:pPr>
      <w:r w:rsidRPr="00A7498E">
        <w:rPr>
          <w:bCs/>
          <w:lang w:val="en-GB"/>
        </w:rPr>
        <w:t>The PBAC considered that while the clinical need for an additional treatment</w:t>
      </w:r>
      <w:r w:rsidRPr="00A7498E">
        <w:t xml:space="preserve"> </w:t>
      </w:r>
      <w:r>
        <w:t xml:space="preserve">with </w:t>
      </w:r>
      <w:r w:rsidRPr="00A7498E">
        <w:rPr>
          <w:bCs/>
          <w:lang w:val="en-GB"/>
        </w:rPr>
        <w:t xml:space="preserve">the same mechanism of action as other PBS listed treatment options was low, </w:t>
      </w:r>
      <w:r w:rsidR="00A5330D">
        <w:rPr>
          <w:bCs/>
          <w:lang w:val="en-GB"/>
        </w:rPr>
        <w:t xml:space="preserve">the addition of another option </w:t>
      </w:r>
      <w:r w:rsidRPr="00A7498E">
        <w:rPr>
          <w:bCs/>
          <w:lang w:val="en-GB"/>
        </w:rPr>
        <w:t>may be useful for some patients</w:t>
      </w:r>
      <w:r>
        <w:rPr>
          <w:bCs/>
          <w:lang w:val="en-GB"/>
        </w:rPr>
        <w:t xml:space="preserve">. </w:t>
      </w:r>
    </w:p>
    <w:p w:rsidR="0035638D" w:rsidRPr="0035638D" w:rsidRDefault="00A5330D" w:rsidP="0035638D">
      <w:pPr>
        <w:pStyle w:val="3-BodyText"/>
        <w:rPr>
          <w:bCs/>
          <w:lang w:val="en-GB"/>
        </w:rPr>
      </w:pPr>
      <w:r w:rsidRPr="00F96D75">
        <w:rPr>
          <w:bCs/>
          <w:lang w:val="en-GB"/>
        </w:rPr>
        <w:t>The PBAC no</w:t>
      </w:r>
      <w:r w:rsidR="00A62F0A">
        <w:rPr>
          <w:bCs/>
          <w:lang w:val="en-GB"/>
        </w:rPr>
        <w:t xml:space="preserve">ted </w:t>
      </w:r>
      <w:r w:rsidR="00137BA4">
        <w:rPr>
          <w:bCs/>
          <w:lang w:val="en-GB"/>
        </w:rPr>
        <w:t xml:space="preserve">alemtuzumab, cladribine and ocrelizumab </w:t>
      </w:r>
      <w:r w:rsidR="00A62F0A">
        <w:rPr>
          <w:bCs/>
          <w:lang w:val="en-GB"/>
        </w:rPr>
        <w:t>were recommended for listing on a cost minimisation basis compared to fingolimod and could be considered alternative therapies</w:t>
      </w:r>
      <w:r w:rsidR="00E66389">
        <w:rPr>
          <w:bCs/>
          <w:lang w:val="en-GB"/>
        </w:rPr>
        <w:t xml:space="preserve"> to ozanimod</w:t>
      </w:r>
      <w:r w:rsidR="00A62F0A">
        <w:rPr>
          <w:bCs/>
          <w:lang w:val="en-GB"/>
        </w:rPr>
        <w:t xml:space="preserve">. The PBAC </w:t>
      </w:r>
      <w:r w:rsidRPr="00F96D75">
        <w:rPr>
          <w:bCs/>
          <w:lang w:val="en-GB"/>
        </w:rPr>
        <w:t xml:space="preserve">considered that, as no evidence was provided to demonstrate ozanimod </w:t>
      </w:r>
      <w:r w:rsidRPr="00F96D75">
        <w:t xml:space="preserve">provided a significant improvement in efficacy and/or reduction of toxicity over these alternative therapies, it </w:t>
      </w:r>
      <w:r w:rsidR="00897FE0">
        <w:rPr>
          <w:bCs/>
          <w:lang w:val="en-GB"/>
        </w:rPr>
        <w:t>s</w:t>
      </w:r>
      <w:r w:rsidRPr="00F96D75">
        <w:rPr>
          <w:bCs/>
          <w:lang w:val="en-GB"/>
        </w:rPr>
        <w:t xml:space="preserve">hould not be more costly. </w:t>
      </w:r>
    </w:p>
    <w:p w:rsidR="009E031A" w:rsidRPr="007624F4" w:rsidRDefault="004B7532" w:rsidP="00876C34">
      <w:pPr>
        <w:pStyle w:val="3-BodyText"/>
        <w:rPr>
          <w:lang w:val="en-GB"/>
        </w:rPr>
      </w:pPr>
      <w:bookmarkStart w:id="42" w:name="_Ref36029099"/>
      <w:r>
        <w:rPr>
          <w:lang w:val="en-GB"/>
        </w:rPr>
        <w:t>Based on the results of the i</w:t>
      </w:r>
      <w:r w:rsidR="001670C0">
        <w:rPr>
          <w:lang w:val="en-GB"/>
        </w:rPr>
        <w:t>ndirect comparison presented, t</w:t>
      </w:r>
      <w:r w:rsidR="0028605D" w:rsidRPr="007624F4">
        <w:rPr>
          <w:lang w:val="en-GB"/>
        </w:rPr>
        <w:t xml:space="preserve">he PBAC </w:t>
      </w:r>
      <w:r>
        <w:rPr>
          <w:lang w:val="en-GB"/>
        </w:rPr>
        <w:t xml:space="preserve">considered the claim that ozanimod was of non-inferior effectiveness compared to fingolimod was uncertain given the transitivity issues identified (paragraph 6.8) and further noted </w:t>
      </w:r>
      <w:r w:rsidR="0028605D" w:rsidRPr="008377E9">
        <w:rPr>
          <w:lang w:val="en-GB"/>
        </w:rPr>
        <w:t xml:space="preserve"> the upper bound of the 95% confidence interval was greater than </w:t>
      </w:r>
      <w:r w:rsidR="00622C2A">
        <w:rPr>
          <w:lang w:val="en-GB"/>
        </w:rPr>
        <w:t>MCID values presented in previous submissions for RRMS</w:t>
      </w:r>
      <w:r>
        <w:rPr>
          <w:lang w:val="en-GB"/>
        </w:rPr>
        <w:t xml:space="preserve"> (paragraph 6.13)</w:t>
      </w:r>
      <w:r w:rsidR="00622C2A">
        <w:rPr>
          <w:lang w:val="en-GB"/>
        </w:rPr>
        <w:t xml:space="preserve">. </w:t>
      </w:r>
      <w:r>
        <w:rPr>
          <w:lang w:val="en-GB"/>
        </w:rPr>
        <w:t>However, o</w:t>
      </w:r>
      <w:r w:rsidR="0028605D" w:rsidRPr="007624F4">
        <w:rPr>
          <w:lang w:val="en-GB"/>
        </w:rPr>
        <w:t>n balance, the PBAC conside</w:t>
      </w:r>
      <w:r w:rsidR="00677D49">
        <w:rPr>
          <w:lang w:val="en-GB"/>
        </w:rPr>
        <w:t xml:space="preserve">red the </w:t>
      </w:r>
      <w:r>
        <w:rPr>
          <w:lang w:val="en-GB"/>
        </w:rPr>
        <w:t xml:space="preserve">claim of non-inferior comparative effectiveness was reasonable. </w:t>
      </w:r>
      <w:bookmarkEnd w:id="42"/>
    </w:p>
    <w:p w:rsidR="00DA1CA6" w:rsidRPr="007624F4" w:rsidRDefault="00A37D95" w:rsidP="00876C34">
      <w:pPr>
        <w:pStyle w:val="3-BodyText"/>
        <w:rPr>
          <w:lang w:val="en-GB"/>
        </w:rPr>
      </w:pPr>
      <w:r w:rsidRPr="007624F4">
        <w:rPr>
          <w:lang w:val="en-GB"/>
        </w:rPr>
        <w:t>Based on the</w:t>
      </w:r>
      <w:r w:rsidR="00BA2F97" w:rsidRPr="007624F4">
        <w:rPr>
          <w:lang w:val="en-GB"/>
        </w:rPr>
        <w:t xml:space="preserve"> presented</w:t>
      </w:r>
      <w:r w:rsidRPr="007624F4">
        <w:rPr>
          <w:lang w:val="en-GB"/>
        </w:rPr>
        <w:t xml:space="preserve"> evidence, the PBAC </w:t>
      </w:r>
      <w:r w:rsidR="00BA2F97" w:rsidRPr="007624F4">
        <w:rPr>
          <w:lang w:val="en-GB"/>
        </w:rPr>
        <w:t>considered that ozanimod was likely to be of non-inferio</w:t>
      </w:r>
      <w:r w:rsidR="00677D49">
        <w:rPr>
          <w:lang w:val="en-GB"/>
        </w:rPr>
        <w:t>r safety to fingolimod</w:t>
      </w:r>
      <w:r w:rsidR="002274BA">
        <w:rPr>
          <w:lang w:val="en-GB"/>
        </w:rPr>
        <w:t>.</w:t>
      </w:r>
      <w:r w:rsidR="003517EC">
        <w:rPr>
          <w:lang w:val="en-GB"/>
        </w:rPr>
        <w:t xml:space="preserve"> The PBAC noted the TGA CER supported the claim</w:t>
      </w:r>
      <w:r w:rsidR="00C13063">
        <w:rPr>
          <w:lang w:val="en-GB"/>
        </w:rPr>
        <w:t xml:space="preserve"> that ozanimod may have an additional safety benefit</w:t>
      </w:r>
      <w:r w:rsidR="003517EC">
        <w:rPr>
          <w:lang w:val="en-GB"/>
        </w:rPr>
        <w:t xml:space="preserve"> of reduced cardiac toxicity </w:t>
      </w:r>
      <w:r w:rsidR="00C13063">
        <w:rPr>
          <w:lang w:val="en-GB"/>
        </w:rPr>
        <w:t>meaning</w:t>
      </w:r>
      <w:r w:rsidR="003517EC">
        <w:rPr>
          <w:lang w:val="en-GB"/>
        </w:rPr>
        <w:t xml:space="preserve"> that first-dose cardiac monitoring is not required for ozanimod, in comparison to fingolimod. </w:t>
      </w:r>
    </w:p>
    <w:p w:rsidR="00E634DB" w:rsidRDefault="00677D49" w:rsidP="00E634DB">
      <w:pPr>
        <w:pStyle w:val="3-BodyText"/>
        <w:rPr>
          <w:lang w:val="en-GB"/>
        </w:rPr>
      </w:pPr>
      <w:r>
        <w:rPr>
          <w:lang w:val="en-GB"/>
        </w:rPr>
        <w:t>When it is in a position to recommend ozanimod, t</w:t>
      </w:r>
      <w:r w:rsidR="00876C34" w:rsidRPr="00677D49">
        <w:rPr>
          <w:lang w:val="en-GB"/>
        </w:rPr>
        <w:t>he PBAC considered it would be appropriate to list under the same circumstances for which fingolimod is currently listed</w:t>
      </w:r>
      <w:r w:rsidR="00E634DB">
        <w:rPr>
          <w:lang w:val="en-GB"/>
        </w:rPr>
        <w:t xml:space="preserve"> </w:t>
      </w:r>
      <w:r w:rsidR="00876C34" w:rsidRPr="00677D49">
        <w:rPr>
          <w:lang w:val="en-GB"/>
        </w:rPr>
        <w:t xml:space="preserve">as </w:t>
      </w:r>
      <w:r w:rsidR="00F96D75">
        <w:rPr>
          <w:lang w:val="en-GB"/>
        </w:rPr>
        <w:t>an</w:t>
      </w:r>
      <w:r w:rsidR="00876C34" w:rsidRPr="00677D49">
        <w:rPr>
          <w:lang w:val="en-GB"/>
        </w:rPr>
        <w:t xml:space="preserve"> Authority Re</w:t>
      </w:r>
      <w:r w:rsidR="00E634DB">
        <w:rPr>
          <w:lang w:val="en-GB"/>
        </w:rPr>
        <w:t>quired (STREAMLINED) listing</w:t>
      </w:r>
      <w:r w:rsidR="00876C34" w:rsidRPr="00677D49">
        <w:rPr>
          <w:lang w:val="en-GB"/>
        </w:rPr>
        <w:t xml:space="preserve">. </w:t>
      </w:r>
      <w:r w:rsidR="00173B2C" w:rsidRPr="00677D49">
        <w:rPr>
          <w:lang w:val="en-GB"/>
        </w:rPr>
        <w:t>The PBAC did not recommend amending the wording of, ‘</w:t>
      </w:r>
      <w:r w:rsidR="00173B2C" w:rsidRPr="00677D49">
        <w:rPr>
          <w:bCs/>
          <w:lang w:val="en-GB"/>
        </w:rPr>
        <w:t>Patient must not show continuing progression of disability while on treatment with this drug,’ as there was no reason to conclude there was misunderstanding or misinterpretation of the current criterion among prescribers.</w:t>
      </w:r>
      <w:r w:rsidR="00E634DB">
        <w:rPr>
          <w:lang w:val="en-GB"/>
        </w:rPr>
        <w:t xml:space="preserve"> </w:t>
      </w:r>
    </w:p>
    <w:p w:rsidR="00173B2C" w:rsidRPr="00E634DB" w:rsidRDefault="00677D49" w:rsidP="00E634DB">
      <w:pPr>
        <w:pStyle w:val="3-BodyText"/>
        <w:rPr>
          <w:lang w:val="en-GB"/>
        </w:rPr>
      </w:pPr>
      <w:r w:rsidRPr="00E634DB">
        <w:rPr>
          <w:bCs/>
          <w:lang w:val="en-GB"/>
        </w:rPr>
        <w:t>T</w:t>
      </w:r>
      <w:r w:rsidR="009B39BA" w:rsidRPr="00E634DB">
        <w:rPr>
          <w:bCs/>
          <w:lang w:val="en-GB"/>
        </w:rPr>
        <w:t xml:space="preserve">he PBAC </w:t>
      </w:r>
      <w:r w:rsidR="00781038">
        <w:rPr>
          <w:bCs/>
          <w:lang w:val="en-GB"/>
        </w:rPr>
        <w:t>considered</w:t>
      </w:r>
      <w:r w:rsidR="00173B2C" w:rsidRPr="00E634DB">
        <w:rPr>
          <w:bCs/>
          <w:lang w:val="en-GB"/>
        </w:rPr>
        <w:t xml:space="preserve"> </w:t>
      </w:r>
      <w:r w:rsidR="00537CD7" w:rsidRPr="00E634DB">
        <w:rPr>
          <w:bCs/>
          <w:lang w:val="en-GB"/>
        </w:rPr>
        <w:t xml:space="preserve">it </w:t>
      </w:r>
      <w:r w:rsidR="004C23FA" w:rsidRPr="00E634DB">
        <w:rPr>
          <w:bCs/>
          <w:lang w:val="en-GB"/>
        </w:rPr>
        <w:t xml:space="preserve">would be </w:t>
      </w:r>
      <w:r w:rsidR="00537CD7" w:rsidRPr="00E634DB">
        <w:rPr>
          <w:bCs/>
          <w:lang w:val="en-GB"/>
        </w:rPr>
        <w:t xml:space="preserve">appropriate to list the 7-day titration pack as both initial and continuing therapy, with </w:t>
      </w:r>
      <w:r w:rsidR="004C23FA" w:rsidRPr="00E634DB">
        <w:rPr>
          <w:bCs/>
          <w:lang w:val="en-GB"/>
        </w:rPr>
        <w:t xml:space="preserve">a maximum quantity of one pack and no repeats, to allow first use and re-titration for patients who have a treatment break of more </w:t>
      </w:r>
      <w:r w:rsidR="004C23FA" w:rsidRPr="00E634DB">
        <w:rPr>
          <w:bCs/>
          <w:lang w:val="en-GB"/>
        </w:rPr>
        <w:lastRenderedPageBreak/>
        <w:t>than 14 days not associated with disease progression. The PBAC also considered it would be appropriate to list the standard pack as initial and continuing therapy with a maximum quantity of one pack with 5 repeats. The PBAC noted that it would be possible for both packs to be prescribed at the same time.</w:t>
      </w:r>
    </w:p>
    <w:p w:rsidR="009E031A" w:rsidRPr="00525B39" w:rsidRDefault="00DD258D" w:rsidP="009E031A">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 xml:space="preserve">The </w:t>
      </w:r>
      <w:r w:rsidR="009B39BA">
        <w:rPr>
          <w:rFonts w:asciiTheme="minorHAnsi" w:hAnsiTheme="minorHAnsi"/>
          <w:bCs/>
          <w:snapToGrid w:val="0"/>
          <w:lang w:val="en-GB"/>
        </w:rPr>
        <w:t xml:space="preserve">PBAC considered that based on the available information, it would be reasonable </w:t>
      </w:r>
      <w:r>
        <w:rPr>
          <w:rFonts w:asciiTheme="minorHAnsi" w:hAnsiTheme="minorHAnsi"/>
          <w:bCs/>
          <w:snapToGrid w:val="0"/>
          <w:lang w:val="en-GB"/>
        </w:rPr>
        <w:t>to list</w:t>
      </w:r>
      <w:r w:rsidR="009B39BA">
        <w:rPr>
          <w:rFonts w:asciiTheme="minorHAnsi" w:hAnsiTheme="minorHAnsi"/>
          <w:bCs/>
          <w:snapToGrid w:val="0"/>
          <w:lang w:val="en-GB"/>
        </w:rPr>
        <w:t xml:space="preserve"> ozanimod</w:t>
      </w:r>
      <w:r>
        <w:rPr>
          <w:rFonts w:asciiTheme="minorHAnsi" w:hAnsiTheme="minorHAnsi"/>
          <w:bCs/>
          <w:snapToGrid w:val="0"/>
          <w:lang w:val="en-GB"/>
        </w:rPr>
        <w:t xml:space="preserve"> on a cost minimisation basis with the effective price of f</w:t>
      </w:r>
      <w:r w:rsidR="009B39BA">
        <w:rPr>
          <w:rFonts w:asciiTheme="minorHAnsi" w:hAnsiTheme="minorHAnsi"/>
          <w:bCs/>
          <w:snapToGrid w:val="0"/>
          <w:lang w:val="en-GB"/>
        </w:rPr>
        <w:t>ingolimod and</w:t>
      </w:r>
      <w:r>
        <w:rPr>
          <w:rFonts w:asciiTheme="minorHAnsi" w:hAnsiTheme="minorHAnsi"/>
          <w:bCs/>
          <w:snapToGrid w:val="0"/>
          <w:lang w:val="en-GB"/>
        </w:rPr>
        <w:t xml:space="preserve"> it would also be appropriate </w:t>
      </w:r>
      <w:r w:rsidR="00736C07">
        <w:rPr>
          <w:rFonts w:asciiTheme="minorHAnsi" w:hAnsiTheme="minorHAnsi"/>
          <w:bCs/>
          <w:snapToGrid w:val="0"/>
          <w:lang w:val="en-GB"/>
        </w:rPr>
        <w:t xml:space="preserve">that ozanimod </w:t>
      </w:r>
      <w:r>
        <w:rPr>
          <w:rFonts w:asciiTheme="minorHAnsi" w:hAnsiTheme="minorHAnsi"/>
          <w:bCs/>
          <w:snapToGrid w:val="0"/>
          <w:lang w:val="en-GB"/>
        </w:rPr>
        <w:t>join the existing risk sharing arrangement for fingolimod and cladribine.</w:t>
      </w:r>
      <w:r w:rsidR="003517EC">
        <w:rPr>
          <w:rFonts w:asciiTheme="minorHAnsi" w:hAnsiTheme="minorHAnsi"/>
          <w:bCs/>
          <w:snapToGrid w:val="0"/>
          <w:lang w:val="en-GB"/>
        </w:rPr>
        <w:t xml:space="preserve"> T</w:t>
      </w:r>
      <w:r w:rsidR="003517EC" w:rsidRPr="00A5330D">
        <w:rPr>
          <w:bCs/>
          <w:lang w:val="en-GB"/>
        </w:rPr>
        <w:t xml:space="preserve">he PBAC </w:t>
      </w:r>
      <w:r w:rsidR="003517EC">
        <w:rPr>
          <w:bCs/>
          <w:lang w:val="en-GB"/>
        </w:rPr>
        <w:t xml:space="preserve">advised </w:t>
      </w:r>
      <w:r w:rsidR="003517EC" w:rsidRPr="00A5330D">
        <w:rPr>
          <w:bCs/>
          <w:lang w:val="en-GB"/>
        </w:rPr>
        <w:t xml:space="preserve">the equi-effective doses are ozanimod 0.92 mg once daily and fingolimod 0.5 mg once daily. </w:t>
      </w:r>
    </w:p>
    <w:p w:rsidR="009E031A" w:rsidRPr="00620921" w:rsidRDefault="009B39BA" w:rsidP="009E031A">
      <w:pPr>
        <w:keepLines w:val="0"/>
        <w:widowControl w:val="0"/>
        <w:numPr>
          <w:ilvl w:val="1"/>
          <w:numId w:val="1"/>
        </w:numPr>
        <w:spacing w:before="0" w:after="120"/>
      </w:pPr>
      <w:r>
        <w:rPr>
          <w:rFonts w:asciiTheme="minorHAnsi" w:hAnsiTheme="minorHAnsi"/>
          <w:bCs/>
          <w:snapToGrid w:val="0"/>
          <w:lang w:val="en-GB"/>
        </w:rPr>
        <w:t xml:space="preserve">The PBAC </w:t>
      </w:r>
      <w:r w:rsidR="00781038">
        <w:rPr>
          <w:rFonts w:asciiTheme="minorHAnsi" w:hAnsiTheme="minorHAnsi"/>
          <w:bCs/>
          <w:snapToGrid w:val="0"/>
          <w:lang w:val="en-GB"/>
        </w:rPr>
        <w:t>considered</w:t>
      </w:r>
      <w:r>
        <w:rPr>
          <w:rFonts w:asciiTheme="minorHAnsi" w:hAnsiTheme="minorHAnsi"/>
          <w:bCs/>
          <w:snapToGrid w:val="0"/>
          <w:lang w:val="en-GB"/>
        </w:rPr>
        <w:t xml:space="preserve"> the assumptions in the utilis</w:t>
      </w:r>
      <w:r w:rsidR="00FF52E3">
        <w:rPr>
          <w:rFonts w:asciiTheme="minorHAnsi" w:hAnsiTheme="minorHAnsi"/>
          <w:bCs/>
          <w:snapToGrid w:val="0"/>
          <w:lang w:val="en-GB"/>
        </w:rPr>
        <w:t>ation estimates were reasonable.</w:t>
      </w:r>
    </w:p>
    <w:p w:rsidR="009E031A" w:rsidRPr="00525B39" w:rsidRDefault="009B39BA" w:rsidP="009E031A">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 xml:space="preserve">The PBAC advised in principle that ozanimod is not suitable </w:t>
      </w:r>
      <w:r w:rsidR="009E031A" w:rsidRPr="00525B39">
        <w:rPr>
          <w:rFonts w:asciiTheme="minorHAnsi" w:hAnsiTheme="minorHAnsi"/>
          <w:bCs/>
          <w:snapToGrid w:val="0"/>
          <w:lang w:val="en-GB"/>
        </w:rPr>
        <w:t>for prescribing by nurse practitioners</w:t>
      </w:r>
      <w:r>
        <w:rPr>
          <w:rFonts w:asciiTheme="minorHAnsi" w:hAnsiTheme="minorHAnsi"/>
          <w:bCs/>
          <w:snapToGrid w:val="0"/>
          <w:lang w:val="en-GB"/>
        </w:rPr>
        <w:t xml:space="preserve"> as other RRMS DMTs are restricted to prescribing by medical practitioners only</w:t>
      </w:r>
      <w:r w:rsidR="009E031A" w:rsidRPr="00525B39">
        <w:rPr>
          <w:rFonts w:asciiTheme="minorHAnsi" w:hAnsiTheme="minorHAnsi"/>
          <w:bCs/>
          <w:snapToGrid w:val="0"/>
          <w:lang w:val="en-GB"/>
        </w:rPr>
        <w:t xml:space="preserve">.  </w:t>
      </w:r>
    </w:p>
    <w:p w:rsidR="007D3540" w:rsidRPr="00736C07" w:rsidRDefault="009E031A" w:rsidP="00736C07">
      <w:pPr>
        <w:keepLines w:val="0"/>
        <w:widowControl w:val="0"/>
        <w:numPr>
          <w:ilvl w:val="1"/>
          <w:numId w:val="1"/>
        </w:numPr>
        <w:spacing w:before="0" w:after="120"/>
        <w:rPr>
          <w:rFonts w:asciiTheme="minorHAnsi" w:hAnsiTheme="minorHAnsi"/>
          <w:bCs/>
          <w:snapToGrid w:val="0"/>
          <w:lang w:val="en-GB"/>
        </w:rPr>
      </w:pPr>
      <w:r w:rsidRPr="00525B39">
        <w:rPr>
          <w:rFonts w:asciiTheme="minorHAnsi" w:hAnsiTheme="minorHAnsi"/>
          <w:bCs/>
          <w:snapToGrid w:val="0"/>
          <w:lang w:val="en-GB"/>
        </w:rPr>
        <w:t>The PBAC</w:t>
      </w:r>
      <w:r w:rsidR="009B39BA">
        <w:rPr>
          <w:rFonts w:asciiTheme="minorHAnsi" w:hAnsiTheme="minorHAnsi"/>
          <w:bCs/>
          <w:snapToGrid w:val="0"/>
          <w:lang w:val="en-GB"/>
        </w:rPr>
        <w:t xml:space="preserve"> advised in principle </w:t>
      </w:r>
      <w:r w:rsidRPr="00525B39">
        <w:rPr>
          <w:rFonts w:asciiTheme="minorHAnsi" w:hAnsiTheme="minorHAnsi"/>
          <w:bCs/>
          <w:snapToGrid w:val="0"/>
          <w:lang w:val="en-GB"/>
        </w:rPr>
        <w:t>th</w:t>
      </w:r>
      <w:r w:rsidR="009B39BA">
        <w:rPr>
          <w:rFonts w:asciiTheme="minorHAnsi" w:hAnsiTheme="minorHAnsi"/>
          <w:bCs/>
          <w:snapToGrid w:val="0"/>
          <w:lang w:val="en-GB"/>
        </w:rPr>
        <w:t>at the Early Supply Rule should</w:t>
      </w:r>
      <w:r w:rsidRPr="00525B39">
        <w:rPr>
          <w:rFonts w:asciiTheme="minorHAnsi" w:hAnsiTheme="minorHAnsi"/>
          <w:bCs/>
          <w:snapToGrid w:val="0"/>
          <w:lang w:val="en-GB"/>
        </w:rPr>
        <w:t xml:space="preserve"> apply. </w:t>
      </w:r>
    </w:p>
    <w:p w:rsidR="009E031A" w:rsidRPr="00736C07" w:rsidRDefault="007D3540" w:rsidP="00736C07">
      <w:pPr>
        <w:keepLines w:val="0"/>
        <w:widowControl w:val="0"/>
        <w:numPr>
          <w:ilvl w:val="1"/>
          <w:numId w:val="1"/>
        </w:numPr>
        <w:spacing w:before="0" w:after="120"/>
        <w:rPr>
          <w:rFonts w:asciiTheme="minorHAnsi" w:hAnsiTheme="minorHAnsi"/>
          <w:bCs/>
          <w:snapToGrid w:val="0"/>
          <w:lang w:val="en-GB"/>
        </w:rPr>
      </w:pPr>
      <w:r>
        <w:rPr>
          <w:rFonts w:asciiTheme="minorHAnsi" w:hAnsiTheme="minorHAnsi"/>
          <w:bCs/>
          <w:snapToGrid w:val="0"/>
          <w:lang w:val="en-GB"/>
        </w:rPr>
        <w:t xml:space="preserve">The PBAC advised it was appropriate to consider ozanimod at </w:t>
      </w:r>
      <w:r w:rsidR="00736C07">
        <w:rPr>
          <w:rFonts w:asciiTheme="minorHAnsi" w:hAnsiTheme="minorHAnsi"/>
          <w:bCs/>
          <w:snapToGrid w:val="0"/>
          <w:lang w:val="en-GB"/>
        </w:rPr>
        <w:t xml:space="preserve">a </w:t>
      </w:r>
      <w:r>
        <w:rPr>
          <w:rFonts w:asciiTheme="minorHAnsi" w:hAnsiTheme="minorHAnsi"/>
          <w:bCs/>
          <w:snapToGrid w:val="0"/>
          <w:lang w:val="en-GB"/>
        </w:rPr>
        <w:t>future opportunity following receipt of the TGA Delegate’s Request for ACM Advice.</w:t>
      </w:r>
    </w:p>
    <w:p w:rsidR="009E031A" w:rsidRPr="00525B39" w:rsidRDefault="009E031A" w:rsidP="00736C07">
      <w:pPr>
        <w:spacing w:before="0" w:after="120"/>
        <w:rPr>
          <w:rFonts w:asciiTheme="minorHAnsi" w:hAnsiTheme="minorHAnsi"/>
          <w:b/>
          <w:bCs/>
          <w:snapToGrid w:val="0"/>
          <w:lang w:val="en-GB"/>
        </w:rPr>
      </w:pPr>
      <w:r w:rsidRPr="00525B39">
        <w:rPr>
          <w:rFonts w:asciiTheme="minorHAnsi" w:hAnsiTheme="minorHAnsi"/>
          <w:b/>
          <w:bCs/>
          <w:snapToGrid w:val="0"/>
          <w:lang w:val="en-GB"/>
        </w:rPr>
        <w:t>Outcome:</w:t>
      </w:r>
    </w:p>
    <w:p w:rsidR="009E031A" w:rsidRPr="00736C07" w:rsidRDefault="009B39BA" w:rsidP="00736C07">
      <w:pPr>
        <w:spacing w:before="0" w:after="120"/>
        <w:rPr>
          <w:rFonts w:asciiTheme="minorHAnsi" w:hAnsiTheme="minorHAnsi"/>
          <w:bCs/>
          <w:snapToGrid w:val="0"/>
          <w:lang w:val="en-GB"/>
        </w:rPr>
      </w:pPr>
      <w:r>
        <w:rPr>
          <w:rFonts w:asciiTheme="minorHAnsi" w:hAnsiTheme="minorHAnsi"/>
          <w:bCs/>
          <w:snapToGrid w:val="0"/>
          <w:lang w:val="en-GB"/>
        </w:rPr>
        <w:t>Deferred</w:t>
      </w:r>
    </w:p>
    <w:p w:rsidR="007817E7" w:rsidRPr="003B7841" w:rsidRDefault="007817E7" w:rsidP="007817E7">
      <w:pPr>
        <w:keepNext/>
        <w:keepLines w:val="0"/>
        <w:numPr>
          <w:ilvl w:val="0"/>
          <w:numId w:val="1"/>
        </w:numPr>
        <w:spacing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Context for Decision</w:t>
      </w:r>
    </w:p>
    <w:p w:rsidR="007817E7" w:rsidRPr="003B7841" w:rsidRDefault="007817E7" w:rsidP="00F30607">
      <w:pPr>
        <w:spacing w:line="276" w:lineRule="auto"/>
        <w:ind w:left="709"/>
        <w:rPr>
          <w:rFonts w:asciiTheme="minorHAnsi" w:eastAsiaTheme="minorHAnsi" w:hAnsiTheme="minorHAnsi" w:cs="Times New Roman"/>
          <w:szCs w:val="22"/>
          <w:lang w:eastAsia="en-US"/>
        </w:rPr>
      </w:pPr>
      <w:r w:rsidRPr="003B7841">
        <w:rPr>
          <w:rFonts w:asciiTheme="minorHAnsi" w:eastAsiaTheme="minorHAnsi" w:hAnsiTheme="minorHAnsi" w:cs="Times New Roman"/>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817E7" w:rsidRPr="003B7841" w:rsidRDefault="007817E7" w:rsidP="007817E7">
      <w:pPr>
        <w:keepNext/>
        <w:keepLines w:val="0"/>
        <w:numPr>
          <w:ilvl w:val="0"/>
          <w:numId w:val="1"/>
        </w:numPr>
        <w:spacing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rsidR="00505E6A" w:rsidRPr="00404E5A" w:rsidRDefault="0032783A" w:rsidP="00F30607">
      <w:pPr>
        <w:spacing w:line="276" w:lineRule="auto"/>
        <w:ind w:left="709"/>
        <w:jc w:val="left"/>
        <w:rPr>
          <w:rFonts w:asciiTheme="minorHAnsi" w:eastAsiaTheme="minorHAnsi" w:hAnsiTheme="minorHAnsi" w:cs="Times New Roman"/>
          <w:szCs w:val="22"/>
          <w:lang w:eastAsia="en-US"/>
        </w:rPr>
      </w:pPr>
      <w:r>
        <w:rPr>
          <w:rFonts w:asciiTheme="minorHAnsi" w:eastAsiaTheme="minorHAnsi" w:hAnsiTheme="minorHAnsi" w:cs="Times New Roman"/>
          <w:szCs w:val="22"/>
          <w:lang w:eastAsia="en-US"/>
        </w:rPr>
        <w:t>The sponsor had no comment.</w:t>
      </w:r>
      <w:bookmarkEnd w:id="41"/>
    </w:p>
    <w:sectPr w:rsidR="00505E6A" w:rsidRPr="00404E5A" w:rsidSect="000A5230">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01D26F" w16cid:durableId="21F97219"/>
  <w16cid:commentId w16cid:paraId="716AF65B" w16cid:durableId="21F9735B"/>
  <w16cid:commentId w16cid:paraId="6B4E90D9" w16cid:durableId="21F97208"/>
  <w16cid:commentId w16cid:paraId="4E319904" w16cid:durableId="21F97522"/>
  <w16cid:commentId w16cid:paraId="38622DBB" w16cid:durableId="21F975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1FB" w:rsidRDefault="001741FB" w:rsidP="006559BD">
      <w:pPr>
        <w:spacing w:before="0"/>
      </w:pPr>
      <w:r>
        <w:separator/>
      </w:r>
    </w:p>
  </w:endnote>
  <w:endnote w:type="continuationSeparator" w:id="0">
    <w:p w:rsidR="001741FB" w:rsidRDefault="001741FB" w:rsidP="006559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FB" w:rsidRDefault="00174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42" w:rsidRPr="00D13A3E" w:rsidRDefault="00176342" w:rsidP="00145FEA">
    <w:pPr>
      <w:pStyle w:val="PageFooter"/>
    </w:pPr>
  </w:p>
  <w:p w:rsidR="00176342" w:rsidRPr="00145FEA" w:rsidRDefault="00176342" w:rsidP="00B5225A">
    <w:pPr>
      <w:pStyle w:val="PageFooter"/>
    </w:pPr>
    <w:r>
      <w:rPr>
        <w:b/>
      </w:rPr>
      <w:t xml:space="preserve"> </w:t>
    </w:r>
    <w:r w:rsidRPr="00836F75">
      <w:rPr>
        <w:b/>
      </w:rPr>
      <w:fldChar w:fldCharType="begin"/>
    </w:r>
    <w:r w:rsidRPr="00836F75">
      <w:rPr>
        <w:b/>
      </w:rPr>
      <w:instrText xml:space="preserve"> PAGE   \* MERGEFORMAT </w:instrText>
    </w:r>
    <w:r w:rsidRPr="00836F75">
      <w:rPr>
        <w:b/>
      </w:rPr>
      <w:fldChar w:fldCharType="separate"/>
    </w:r>
    <w:r w:rsidR="00F76705">
      <w:rPr>
        <w:b/>
        <w:noProof/>
      </w:rPr>
      <w:t>3</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FB" w:rsidRDefault="00174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1FB" w:rsidRDefault="001741FB" w:rsidP="006559BD">
      <w:pPr>
        <w:spacing w:before="0"/>
      </w:pPr>
      <w:r>
        <w:separator/>
      </w:r>
    </w:p>
  </w:footnote>
  <w:footnote w:type="continuationSeparator" w:id="0">
    <w:p w:rsidR="001741FB" w:rsidRDefault="001741FB" w:rsidP="006559BD">
      <w:pPr>
        <w:spacing w:before="0"/>
      </w:pPr>
      <w:r>
        <w:continuationSeparator/>
      </w:r>
    </w:p>
  </w:footnote>
  <w:footnote w:id="1">
    <w:p w:rsidR="00176342" w:rsidRDefault="00176342" w:rsidP="00DD335D">
      <w:pPr>
        <w:pStyle w:val="FootnoteText"/>
        <w:jc w:val="left"/>
      </w:pPr>
      <w:r>
        <w:rPr>
          <w:rStyle w:val="FootnoteReference"/>
          <w:rFonts w:eastAsiaTheme="majorEastAsia"/>
        </w:rPr>
        <w:footnoteRef/>
      </w:r>
      <w:r>
        <w:t xml:space="preserve"> </w:t>
      </w:r>
      <w:hyperlink r:id="rId1" w:history="1">
        <w:r>
          <w:rPr>
            <w:rStyle w:val="Hyperlink"/>
          </w:rPr>
          <w:t>http://www.pbs.gov.au/industry/listing/elements/pbac-meetings/pbac-outcomes/2019-11/positive-recommendations-11-2019.docx.pdf</w:t>
        </w:r>
      </w:hyperlink>
    </w:p>
  </w:footnote>
  <w:footnote w:id="2">
    <w:p w:rsidR="00176342" w:rsidRPr="001F118F" w:rsidRDefault="00176342" w:rsidP="00DB12D2">
      <w:pPr>
        <w:pStyle w:val="FootnoteText"/>
        <w:rPr>
          <w:rFonts w:asciiTheme="minorHAnsi" w:hAnsiTheme="minorHAnsi" w:cstheme="minorHAnsi"/>
        </w:rPr>
      </w:pPr>
      <w:r>
        <w:rPr>
          <w:rStyle w:val="FootnoteReference"/>
        </w:rPr>
        <w:footnoteRef/>
      </w:r>
      <w:r>
        <w:t xml:space="preserve"> </w:t>
      </w:r>
      <w:r w:rsidRPr="001F118F">
        <w:rPr>
          <w:rFonts w:asciiTheme="minorHAnsi" w:hAnsiTheme="minorHAnsi" w:cstheme="minorHAnsi"/>
          <w:color w:val="000000"/>
          <w:shd w:val="clear" w:color="auto" w:fill="FFFFFF"/>
        </w:rPr>
        <w:t>Polman CH, Reingold SC, Banwell B, et al. Diagnostic criteria for multiple sclerosis: 2010 revisions to the McDonald criteria. </w:t>
      </w:r>
      <w:r w:rsidRPr="001F118F">
        <w:rPr>
          <w:rFonts w:asciiTheme="minorHAnsi" w:hAnsiTheme="minorHAnsi" w:cstheme="minorHAnsi"/>
          <w:i/>
          <w:iCs/>
          <w:color w:val="000000"/>
          <w:shd w:val="clear" w:color="auto" w:fill="FFFFFF"/>
        </w:rPr>
        <w:t>Ann Neurol</w:t>
      </w:r>
      <w:r w:rsidRPr="001F118F">
        <w:rPr>
          <w:rFonts w:asciiTheme="minorHAnsi" w:hAnsiTheme="minorHAnsi" w:cstheme="minorHAnsi"/>
          <w:color w:val="000000"/>
          <w:shd w:val="clear" w:color="auto" w:fill="FFFFFF"/>
        </w:rPr>
        <w:t>. 2011;69(2):292–302. doi:10.1002/ana.22366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FB" w:rsidRDefault="00174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342" w:rsidRDefault="00176342" w:rsidP="007817E7">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2020</w:t>
    </w:r>
    <w:r w:rsidRPr="00056684">
      <w:rPr>
        <w:rFonts w:asciiTheme="minorHAnsi" w:hAnsiTheme="minorHAnsi"/>
        <w:i/>
        <w:color w:val="808080"/>
      </w:rPr>
      <w:t xml:space="preserve"> PBAC Meeting</w:t>
    </w:r>
  </w:p>
  <w:p w:rsidR="00176342" w:rsidRPr="007817E7" w:rsidRDefault="00176342" w:rsidP="007817E7">
    <w:pPr>
      <w:pStyle w:val="Header"/>
      <w:keepNext/>
      <w:ind w:left="360"/>
      <w:jc w:val="cent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FB" w:rsidRDefault="0017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58E3A8"/>
    <w:lvl w:ilvl="0">
      <w:numFmt w:val="bullet"/>
      <w:lvlText w:val="-"/>
      <w:lvlJc w:val="left"/>
      <w:pPr>
        <w:ind w:left="360" w:hanging="360"/>
      </w:pPr>
      <w:rPr>
        <w:rFonts w:ascii="Calibri" w:eastAsia="Times New Roman" w:hAnsi="Calibri" w:cs="Calibri"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CD6644D4"/>
    <w:lvl w:ilvl="0" w:tplc="0C7681CA">
      <w:start w:val="1"/>
      <w:numFmt w:val="decimal"/>
      <w:lvlText w:val="%1."/>
      <w:lvlJc w:val="left"/>
      <w:pPr>
        <w:ind w:left="2204" w:hanging="360"/>
      </w:pPr>
      <w:rPr>
        <w:rFonts w:hint="default"/>
        <w:b w:val="0"/>
        <w:strike w:val="0"/>
        <w:color w:val="auto"/>
      </w:rPr>
    </w:lvl>
    <w:lvl w:ilvl="1" w:tplc="0C090019">
      <w:start w:val="1"/>
      <w:numFmt w:val="lowerLetter"/>
      <w:lvlText w:val="%2."/>
      <w:lvlJc w:val="left"/>
      <w:pPr>
        <w:ind w:left="-2050" w:hanging="360"/>
      </w:pPr>
    </w:lvl>
    <w:lvl w:ilvl="2" w:tplc="0C09001B" w:tentative="1">
      <w:start w:val="1"/>
      <w:numFmt w:val="lowerRoman"/>
      <w:lvlText w:val="%3."/>
      <w:lvlJc w:val="right"/>
      <w:pPr>
        <w:ind w:left="-1330" w:hanging="180"/>
      </w:pPr>
    </w:lvl>
    <w:lvl w:ilvl="3" w:tplc="0C09000F" w:tentative="1">
      <w:start w:val="1"/>
      <w:numFmt w:val="decimal"/>
      <w:lvlText w:val="%4."/>
      <w:lvlJc w:val="left"/>
      <w:pPr>
        <w:ind w:left="-610" w:hanging="360"/>
      </w:pPr>
    </w:lvl>
    <w:lvl w:ilvl="4" w:tplc="0C090019" w:tentative="1">
      <w:start w:val="1"/>
      <w:numFmt w:val="lowerLetter"/>
      <w:lvlText w:val="%5."/>
      <w:lvlJc w:val="left"/>
      <w:pPr>
        <w:ind w:left="110" w:hanging="360"/>
      </w:pPr>
    </w:lvl>
    <w:lvl w:ilvl="5" w:tplc="0C09001B" w:tentative="1">
      <w:start w:val="1"/>
      <w:numFmt w:val="lowerRoman"/>
      <w:lvlText w:val="%6."/>
      <w:lvlJc w:val="right"/>
      <w:pPr>
        <w:ind w:left="830" w:hanging="180"/>
      </w:pPr>
    </w:lvl>
    <w:lvl w:ilvl="6" w:tplc="0C09000F" w:tentative="1">
      <w:start w:val="1"/>
      <w:numFmt w:val="decimal"/>
      <w:lvlText w:val="%7."/>
      <w:lvlJc w:val="left"/>
      <w:pPr>
        <w:ind w:left="1550" w:hanging="360"/>
      </w:pPr>
    </w:lvl>
    <w:lvl w:ilvl="7" w:tplc="0C090019" w:tentative="1">
      <w:start w:val="1"/>
      <w:numFmt w:val="lowerLetter"/>
      <w:lvlText w:val="%8."/>
      <w:lvlJc w:val="left"/>
      <w:pPr>
        <w:ind w:left="2270" w:hanging="360"/>
      </w:pPr>
    </w:lvl>
    <w:lvl w:ilvl="8" w:tplc="0C09001B" w:tentative="1">
      <w:start w:val="1"/>
      <w:numFmt w:val="lowerRoman"/>
      <w:lvlText w:val="%9."/>
      <w:lvlJc w:val="right"/>
      <w:pPr>
        <w:ind w:left="299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A29847B4"/>
    <w:lvl w:ilvl="0" w:tplc="42FE7CEC">
      <w:start w:val="1"/>
      <w:numFmt w:val="bullet"/>
      <w:pStyle w:val="ListParagraph"/>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2625C"/>
    <w:multiLevelType w:val="hybridMultilevel"/>
    <w:tmpl w:val="23F02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6F5046"/>
    <w:multiLevelType w:val="hybridMultilevel"/>
    <w:tmpl w:val="942254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84D033C"/>
    <w:multiLevelType w:val="multilevel"/>
    <w:tmpl w:val="5038F1C2"/>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9"/>
  </w:num>
  <w:num w:numId="4">
    <w:abstractNumId w:val="0"/>
  </w:num>
  <w:num w:numId="5">
    <w:abstractNumId w:val="10"/>
  </w:num>
  <w:num w:numId="6">
    <w:abstractNumId w:val="3"/>
  </w:num>
  <w:num w:numId="7">
    <w:abstractNumId w:val="5"/>
  </w:num>
  <w:num w:numId="8">
    <w:abstractNumId w:val="11"/>
  </w:num>
  <w:num w:numId="9">
    <w:abstractNumId w:val="12"/>
  </w:num>
  <w:num w:numId="10">
    <w:abstractNumId w:val="2"/>
  </w:num>
  <w:num w:numId="11">
    <w:abstractNumId w:val="1"/>
  </w:num>
  <w:num w:numId="12">
    <w:abstractNumId w:val="6"/>
  </w:num>
  <w:num w:numId="13">
    <w:abstractNumId w:val="7"/>
  </w:num>
  <w:num w:numId="14">
    <w:abstractNumId w:val="4"/>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559BD"/>
    <w:rsid w:val="00033A7F"/>
    <w:rsid w:val="00037246"/>
    <w:rsid w:val="0005672C"/>
    <w:rsid w:val="00057B2C"/>
    <w:rsid w:val="00071D62"/>
    <w:rsid w:val="000740F6"/>
    <w:rsid w:val="00074A3C"/>
    <w:rsid w:val="000813C2"/>
    <w:rsid w:val="000814CA"/>
    <w:rsid w:val="00090D36"/>
    <w:rsid w:val="000955BF"/>
    <w:rsid w:val="000A10EB"/>
    <w:rsid w:val="000A5230"/>
    <w:rsid w:val="000A634A"/>
    <w:rsid w:val="000B29C0"/>
    <w:rsid w:val="000B6D51"/>
    <w:rsid w:val="000C6071"/>
    <w:rsid w:val="000D50A1"/>
    <w:rsid w:val="000E7015"/>
    <w:rsid w:val="000F423B"/>
    <w:rsid w:val="00101998"/>
    <w:rsid w:val="0011074D"/>
    <w:rsid w:val="00122A22"/>
    <w:rsid w:val="001301D6"/>
    <w:rsid w:val="00134645"/>
    <w:rsid w:val="00137BA4"/>
    <w:rsid w:val="00145FEA"/>
    <w:rsid w:val="001602FF"/>
    <w:rsid w:val="001670C0"/>
    <w:rsid w:val="001725E0"/>
    <w:rsid w:val="00173B2C"/>
    <w:rsid w:val="001741FB"/>
    <w:rsid w:val="00176342"/>
    <w:rsid w:val="001A03D5"/>
    <w:rsid w:val="001A1DD7"/>
    <w:rsid w:val="001A3612"/>
    <w:rsid w:val="001B0B7E"/>
    <w:rsid w:val="001B1745"/>
    <w:rsid w:val="001C0962"/>
    <w:rsid w:val="001C729B"/>
    <w:rsid w:val="001C7898"/>
    <w:rsid w:val="001D0AFC"/>
    <w:rsid w:val="001D2AC5"/>
    <w:rsid w:val="001D2D4E"/>
    <w:rsid w:val="001F118F"/>
    <w:rsid w:val="00201A79"/>
    <w:rsid w:val="002046A2"/>
    <w:rsid w:val="00214EB9"/>
    <w:rsid w:val="002274BA"/>
    <w:rsid w:val="00231D27"/>
    <w:rsid w:val="002359C9"/>
    <w:rsid w:val="00242295"/>
    <w:rsid w:val="002452FF"/>
    <w:rsid w:val="002459BB"/>
    <w:rsid w:val="00250DA8"/>
    <w:rsid w:val="00256EF5"/>
    <w:rsid w:val="00270AE3"/>
    <w:rsid w:val="00275A40"/>
    <w:rsid w:val="0028605D"/>
    <w:rsid w:val="002920DF"/>
    <w:rsid w:val="00296CAC"/>
    <w:rsid w:val="002A24EE"/>
    <w:rsid w:val="002A3D71"/>
    <w:rsid w:val="002A5B09"/>
    <w:rsid w:val="002B630A"/>
    <w:rsid w:val="002C653C"/>
    <w:rsid w:val="002D2D4D"/>
    <w:rsid w:val="00301B9A"/>
    <w:rsid w:val="00303200"/>
    <w:rsid w:val="0030777D"/>
    <w:rsid w:val="0031350D"/>
    <w:rsid w:val="00313967"/>
    <w:rsid w:val="003203F8"/>
    <w:rsid w:val="0032783A"/>
    <w:rsid w:val="0034045A"/>
    <w:rsid w:val="003517EC"/>
    <w:rsid w:val="003557ED"/>
    <w:rsid w:val="0035638D"/>
    <w:rsid w:val="003626EC"/>
    <w:rsid w:val="003631AD"/>
    <w:rsid w:val="003632B3"/>
    <w:rsid w:val="00377619"/>
    <w:rsid w:val="003B6287"/>
    <w:rsid w:val="003B6A95"/>
    <w:rsid w:val="003C28C2"/>
    <w:rsid w:val="003C5608"/>
    <w:rsid w:val="003C6B10"/>
    <w:rsid w:val="003F5105"/>
    <w:rsid w:val="003F646A"/>
    <w:rsid w:val="0040355C"/>
    <w:rsid w:val="00404E5A"/>
    <w:rsid w:val="00407BF2"/>
    <w:rsid w:val="004312D0"/>
    <w:rsid w:val="00433173"/>
    <w:rsid w:val="00435C1E"/>
    <w:rsid w:val="00435CF9"/>
    <w:rsid w:val="004536A9"/>
    <w:rsid w:val="00453822"/>
    <w:rsid w:val="00474377"/>
    <w:rsid w:val="004A0B9C"/>
    <w:rsid w:val="004A17DD"/>
    <w:rsid w:val="004B5641"/>
    <w:rsid w:val="004B7532"/>
    <w:rsid w:val="004C23FA"/>
    <w:rsid w:val="004C5A4C"/>
    <w:rsid w:val="004D2D9F"/>
    <w:rsid w:val="004D4CF9"/>
    <w:rsid w:val="004E2AC3"/>
    <w:rsid w:val="004F4470"/>
    <w:rsid w:val="004F4FB5"/>
    <w:rsid w:val="004F7693"/>
    <w:rsid w:val="00505E6A"/>
    <w:rsid w:val="00511283"/>
    <w:rsid w:val="00516622"/>
    <w:rsid w:val="005200E8"/>
    <w:rsid w:val="00532D4E"/>
    <w:rsid w:val="00535935"/>
    <w:rsid w:val="00537CD7"/>
    <w:rsid w:val="00564E6A"/>
    <w:rsid w:val="00580ECF"/>
    <w:rsid w:val="005820D3"/>
    <w:rsid w:val="005A03D9"/>
    <w:rsid w:val="005A688D"/>
    <w:rsid w:val="005B4468"/>
    <w:rsid w:val="005C197A"/>
    <w:rsid w:val="005C7FD7"/>
    <w:rsid w:val="005D46FE"/>
    <w:rsid w:val="005F7DBA"/>
    <w:rsid w:val="00600EFC"/>
    <w:rsid w:val="00614411"/>
    <w:rsid w:val="00617DB1"/>
    <w:rsid w:val="00622C2A"/>
    <w:rsid w:val="00634E68"/>
    <w:rsid w:val="006456E9"/>
    <w:rsid w:val="006559BD"/>
    <w:rsid w:val="00656E2A"/>
    <w:rsid w:val="00661184"/>
    <w:rsid w:val="00676210"/>
    <w:rsid w:val="00677232"/>
    <w:rsid w:val="00677D49"/>
    <w:rsid w:val="00682361"/>
    <w:rsid w:val="006B120F"/>
    <w:rsid w:val="006B7398"/>
    <w:rsid w:val="006C462A"/>
    <w:rsid w:val="006E5330"/>
    <w:rsid w:val="006F6737"/>
    <w:rsid w:val="007026A3"/>
    <w:rsid w:val="00703B58"/>
    <w:rsid w:val="00712F1C"/>
    <w:rsid w:val="00716BE4"/>
    <w:rsid w:val="00736C07"/>
    <w:rsid w:val="00746050"/>
    <w:rsid w:val="007514D7"/>
    <w:rsid w:val="00756CC8"/>
    <w:rsid w:val="007624F4"/>
    <w:rsid w:val="007662FC"/>
    <w:rsid w:val="007723B6"/>
    <w:rsid w:val="00773857"/>
    <w:rsid w:val="00781038"/>
    <w:rsid w:val="007817E7"/>
    <w:rsid w:val="0078182B"/>
    <w:rsid w:val="00782320"/>
    <w:rsid w:val="00786D71"/>
    <w:rsid w:val="007B67F3"/>
    <w:rsid w:val="007C3318"/>
    <w:rsid w:val="007C762F"/>
    <w:rsid w:val="007D1AF7"/>
    <w:rsid w:val="007D3540"/>
    <w:rsid w:val="007E06D4"/>
    <w:rsid w:val="007E0DCA"/>
    <w:rsid w:val="007E18CF"/>
    <w:rsid w:val="007E2A67"/>
    <w:rsid w:val="007F28BA"/>
    <w:rsid w:val="007F6A2A"/>
    <w:rsid w:val="007F71B7"/>
    <w:rsid w:val="00800D46"/>
    <w:rsid w:val="00802754"/>
    <w:rsid w:val="00803204"/>
    <w:rsid w:val="00816210"/>
    <w:rsid w:val="0082320E"/>
    <w:rsid w:val="008314D8"/>
    <w:rsid w:val="00836795"/>
    <w:rsid w:val="008377E9"/>
    <w:rsid w:val="008401BF"/>
    <w:rsid w:val="008408A7"/>
    <w:rsid w:val="00840F59"/>
    <w:rsid w:val="00852FDF"/>
    <w:rsid w:val="00863763"/>
    <w:rsid w:val="00876C34"/>
    <w:rsid w:val="00877EA4"/>
    <w:rsid w:val="008818E2"/>
    <w:rsid w:val="00887CF8"/>
    <w:rsid w:val="00891B36"/>
    <w:rsid w:val="00894E18"/>
    <w:rsid w:val="00897FE0"/>
    <w:rsid w:val="008B0B8D"/>
    <w:rsid w:val="008B6A69"/>
    <w:rsid w:val="008B77AB"/>
    <w:rsid w:val="008F42CE"/>
    <w:rsid w:val="0090399A"/>
    <w:rsid w:val="0090475B"/>
    <w:rsid w:val="00913704"/>
    <w:rsid w:val="0092114E"/>
    <w:rsid w:val="00924670"/>
    <w:rsid w:val="0094442E"/>
    <w:rsid w:val="009517DF"/>
    <w:rsid w:val="009527DA"/>
    <w:rsid w:val="009530EF"/>
    <w:rsid w:val="009721B6"/>
    <w:rsid w:val="009A7708"/>
    <w:rsid w:val="009B135F"/>
    <w:rsid w:val="009B39BA"/>
    <w:rsid w:val="009B39CE"/>
    <w:rsid w:val="009B41DD"/>
    <w:rsid w:val="009D06F5"/>
    <w:rsid w:val="009D5CF5"/>
    <w:rsid w:val="009D750C"/>
    <w:rsid w:val="009E031A"/>
    <w:rsid w:val="009E1439"/>
    <w:rsid w:val="009F0372"/>
    <w:rsid w:val="00A00D4C"/>
    <w:rsid w:val="00A22327"/>
    <w:rsid w:val="00A24495"/>
    <w:rsid w:val="00A260E1"/>
    <w:rsid w:val="00A32574"/>
    <w:rsid w:val="00A37D95"/>
    <w:rsid w:val="00A4348B"/>
    <w:rsid w:val="00A5330D"/>
    <w:rsid w:val="00A62F0A"/>
    <w:rsid w:val="00A7498E"/>
    <w:rsid w:val="00A74C41"/>
    <w:rsid w:val="00AA08FD"/>
    <w:rsid w:val="00AA5E12"/>
    <w:rsid w:val="00AA6AC8"/>
    <w:rsid w:val="00AB2859"/>
    <w:rsid w:val="00AC1C43"/>
    <w:rsid w:val="00AC2D7F"/>
    <w:rsid w:val="00AC7253"/>
    <w:rsid w:val="00AD5772"/>
    <w:rsid w:val="00AD632C"/>
    <w:rsid w:val="00AE2F8B"/>
    <w:rsid w:val="00AE4528"/>
    <w:rsid w:val="00AE515D"/>
    <w:rsid w:val="00AF22B8"/>
    <w:rsid w:val="00B01915"/>
    <w:rsid w:val="00B05420"/>
    <w:rsid w:val="00B129D5"/>
    <w:rsid w:val="00B226E2"/>
    <w:rsid w:val="00B263F7"/>
    <w:rsid w:val="00B37CFD"/>
    <w:rsid w:val="00B4112D"/>
    <w:rsid w:val="00B5225A"/>
    <w:rsid w:val="00B62DC4"/>
    <w:rsid w:val="00B64997"/>
    <w:rsid w:val="00B8251B"/>
    <w:rsid w:val="00BA2F97"/>
    <w:rsid w:val="00BE4B24"/>
    <w:rsid w:val="00BF7F22"/>
    <w:rsid w:val="00C06F85"/>
    <w:rsid w:val="00C13063"/>
    <w:rsid w:val="00C51737"/>
    <w:rsid w:val="00C61E87"/>
    <w:rsid w:val="00C62AF5"/>
    <w:rsid w:val="00C70EC9"/>
    <w:rsid w:val="00C86335"/>
    <w:rsid w:val="00CA0ED0"/>
    <w:rsid w:val="00CA6278"/>
    <w:rsid w:val="00CB28B2"/>
    <w:rsid w:val="00CB444B"/>
    <w:rsid w:val="00CD2010"/>
    <w:rsid w:val="00CD688C"/>
    <w:rsid w:val="00CF0EAC"/>
    <w:rsid w:val="00CF11D6"/>
    <w:rsid w:val="00D074BE"/>
    <w:rsid w:val="00D2365F"/>
    <w:rsid w:val="00D3489F"/>
    <w:rsid w:val="00D550D5"/>
    <w:rsid w:val="00D61848"/>
    <w:rsid w:val="00D72054"/>
    <w:rsid w:val="00D746E0"/>
    <w:rsid w:val="00DA1CA6"/>
    <w:rsid w:val="00DA4CDB"/>
    <w:rsid w:val="00DA566A"/>
    <w:rsid w:val="00DA6568"/>
    <w:rsid w:val="00DB12D2"/>
    <w:rsid w:val="00DC3D7C"/>
    <w:rsid w:val="00DC6727"/>
    <w:rsid w:val="00DD258D"/>
    <w:rsid w:val="00DD335D"/>
    <w:rsid w:val="00DE1636"/>
    <w:rsid w:val="00DE20DB"/>
    <w:rsid w:val="00E30940"/>
    <w:rsid w:val="00E30F4E"/>
    <w:rsid w:val="00E32E8A"/>
    <w:rsid w:val="00E411A4"/>
    <w:rsid w:val="00E4179C"/>
    <w:rsid w:val="00E44FB4"/>
    <w:rsid w:val="00E53271"/>
    <w:rsid w:val="00E634DB"/>
    <w:rsid w:val="00E66389"/>
    <w:rsid w:val="00E7504D"/>
    <w:rsid w:val="00E8667C"/>
    <w:rsid w:val="00EB726B"/>
    <w:rsid w:val="00ED1D82"/>
    <w:rsid w:val="00EE04AB"/>
    <w:rsid w:val="00EF5FE1"/>
    <w:rsid w:val="00F069A3"/>
    <w:rsid w:val="00F30607"/>
    <w:rsid w:val="00F3186D"/>
    <w:rsid w:val="00F502B8"/>
    <w:rsid w:val="00F52386"/>
    <w:rsid w:val="00F54061"/>
    <w:rsid w:val="00F603A9"/>
    <w:rsid w:val="00F65718"/>
    <w:rsid w:val="00F71EB9"/>
    <w:rsid w:val="00F72908"/>
    <w:rsid w:val="00F755C4"/>
    <w:rsid w:val="00F76705"/>
    <w:rsid w:val="00F96D75"/>
    <w:rsid w:val="00FA50EB"/>
    <w:rsid w:val="00FA6C8B"/>
    <w:rsid w:val="00FB21F0"/>
    <w:rsid w:val="00FB7523"/>
    <w:rsid w:val="00FC01E1"/>
    <w:rsid w:val="00FD353C"/>
    <w:rsid w:val="00FF5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8CB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9BD"/>
    <w:pPr>
      <w:keepLines/>
      <w:spacing w:before="240" w:after="0" w:line="240" w:lineRule="auto"/>
      <w:jc w:val="both"/>
    </w:pPr>
    <w:rPr>
      <w:rFonts w:ascii="Calibri" w:eastAsia="Times New Roman" w:hAnsi="Calibri" w:cs="Arial"/>
      <w:sz w:val="24"/>
      <w:szCs w:val="24"/>
      <w:lang w:eastAsia="en-AU"/>
    </w:rPr>
  </w:style>
  <w:style w:type="paragraph" w:styleId="Heading1">
    <w:name w:val="heading 1"/>
    <w:basedOn w:val="Normal"/>
    <w:next w:val="Normal"/>
    <w:link w:val="Heading1Char"/>
    <w:uiPriority w:val="1"/>
    <w:rsid w:val="006559BD"/>
    <w:pPr>
      <w:ind w:left="720" w:hanging="720"/>
      <w:outlineLvl w:val="0"/>
    </w:pPr>
    <w:rPr>
      <w:b/>
      <w:caps/>
      <w:sz w:val="32"/>
    </w:rPr>
  </w:style>
  <w:style w:type="paragraph" w:styleId="Heading2">
    <w:name w:val="heading 2"/>
    <w:basedOn w:val="Normal"/>
    <w:next w:val="Normal"/>
    <w:link w:val="Heading2Char"/>
    <w:rsid w:val="006559BD"/>
    <w:pPr>
      <w:outlineLvl w:val="1"/>
    </w:pPr>
    <w:rPr>
      <w:b/>
      <w:i/>
      <w:sz w:val="28"/>
    </w:rPr>
  </w:style>
  <w:style w:type="paragraph" w:styleId="Heading3">
    <w:name w:val="heading 3"/>
    <w:basedOn w:val="Normal"/>
    <w:next w:val="Normal"/>
    <w:link w:val="Heading3Char"/>
    <w:rsid w:val="006559BD"/>
    <w:pPr>
      <w:outlineLvl w:val="2"/>
    </w:pPr>
    <w:rPr>
      <w:u w:val="single"/>
    </w:rPr>
  </w:style>
  <w:style w:type="paragraph" w:styleId="Heading4">
    <w:name w:val="heading 4"/>
    <w:basedOn w:val="Normal"/>
    <w:next w:val="Normal"/>
    <w:link w:val="Heading4Char"/>
    <w:rsid w:val="006559BD"/>
    <w:pPr>
      <w:keepNext/>
      <w:spacing w:after="60"/>
      <w:outlineLvl w:val="3"/>
    </w:pPr>
    <w:rPr>
      <w:b/>
      <w:bCs/>
      <w:i/>
      <w:sz w:val="26"/>
      <w:szCs w:val="28"/>
    </w:rPr>
  </w:style>
  <w:style w:type="paragraph" w:styleId="Heading5">
    <w:name w:val="heading 5"/>
    <w:basedOn w:val="Normal"/>
    <w:next w:val="Normal"/>
    <w:link w:val="Heading5Char"/>
    <w:rsid w:val="006559BD"/>
    <w:pPr>
      <w:spacing w:after="60"/>
      <w:outlineLvl w:val="4"/>
    </w:pPr>
    <w:rPr>
      <w:b/>
      <w:bCs/>
      <w:iCs/>
      <w:sz w:val="26"/>
      <w:szCs w:val="26"/>
    </w:rPr>
  </w:style>
  <w:style w:type="paragraph" w:styleId="Heading6">
    <w:name w:val="heading 6"/>
    <w:basedOn w:val="Normal"/>
    <w:next w:val="Normal"/>
    <w:link w:val="Heading6Char"/>
    <w:rsid w:val="006559BD"/>
    <w:pPr>
      <w:spacing w:after="60"/>
      <w:outlineLvl w:val="5"/>
    </w:pPr>
    <w:rPr>
      <w:b/>
      <w:bCs/>
      <w:i/>
    </w:rPr>
  </w:style>
  <w:style w:type="paragraph" w:styleId="Heading7">
    <w:name w:val="heading 7"/>
    <w:basedOn w:val="Normal"/>
    <w:next w:val="Normal"/>
    <w:link w:val="Heading7Char"/>
    <w:rsid w:val="006559BD"/>
    <w:pPr>
      <w:keepNext/>
      <w:jc w:val="center"/>
      <w:outlineLvl w:val="6"/>
    </w:pPr>
    <w:rPr>
      <w:b/>
      <w:sz w:val="20"/>
    </w:rPr>
  </w:style>
  <w:style w:type="paragraph" w:styleId="Heading8">
    <w:name w:val="heading 8"/>
    <w:basedOn w:val="Normal"/>
    <w:next w:val="Normal"/>
    <w:link w:val="Heading8Char"/>
    <w:uiPriority w:val="7"/>
    <w:rsid w:val="006559BD"/>
    <w:pPr>
      <w:keepNext/>
      <w:jc w:val="right"/>
      <w:outlineLvl w:val="7"/>
    </w:pPr>
    <w:rPr>
      <w:b/>
    </w:rPr>
  </w:style>
  <w:style w:type="paragraph" w:styleId="Heading9">
    <w:name w:val="heading 9"/>
    <w:basedOn w:val="Normal"/>
    <w:next w:val="Normal"/>
    <w:link w:val="Heading9Char"/>
    <w:rsid w:val="006559BD"/>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59BD"/>
    <w:rPr>
      <w:rFonts w:ascii="Calibri" w:eastAsia="Times New Roman" w:hAnsi="Calibri" w:cs="Arial"/>
      <w:b/>
      <w:caps/>
      <w:sz w:val="32"/>
      <w:szCs w:val="24"/>
      <w:lang w:eastAsia="en-AU"/>
    </w:rPr>
  </w:style>
  <w:style w:type="character" w:customStyle="1" w:styleId="Heading2Char">
    <w:name w:val="Heading 2 Char"/>
    <w:link w:val="Heading2"/>
    <w:rsid w:val="006559BD"/>
    <w:rPr>
      <w:rFonts w:ascii="Calibri" w:eastAsia="Times New Roman" w:hAnsi="Calibri" w:cs="Arial"/>
      <w:b/>
      <w:i/>
      <w:sz w:val="28"/>
      <w:szCs w:val="24"/>
      <w:lang w:eastAsia="en-AU"/>
    </w:rPr>
  </w:style>
  <w:style w:type="character" w:customStyle="1" w:styleId="Heading3Char">
    <w:name w:val="Heading 3 Char"/>
    <w:basedOn w:val="DefaultParagraphFont"/>
    <w:link w:val="Heading3"/>
    <w:rsid w:val="006559BD"/>
    <w:rPr>
      <w:rFonts w:ascii="Calibri" w:eastAsia="Times New Roman" w:hAnsi="Calibri" w:cs="Arial"/>
      <w:sz w:val="24"/>
      <w:szCs w:val="24"/>
      <w:u w:val="single"/>
      <w:lang w:eastAsia="en-AU"/>
    </w:rPr>
  </w:style>
  <w:style w:type="character" w:customStyle="1" w:styleId="Heading4Char">
    <w:name w:val="Heading 4 Char"/>
    <w:basedOn w:val="DefaultParagraphFont"/>
    <w:link w:val="Heading4"/>
    <w:rsid w:val="006559BD"/>
    <w:rPr>
      <w:rFonts w:ascii="Calibri" w:eastAsia="Times New Roman" w:hAnsi="Calibri" w:cs="Arial"/>
      <w:b/>
      <w:bCs/>
      <w:i/>
      <w:sz w:val="26"/>
      <w:szCs w:val="28"/>
      <w:lang w:eastAsia="en-AU"/>
    </w:rPr>
  </w:style>
  <w:style w:type="character" w:customStyle="1" w:styleId="Heading5Char">
    <w:name w:val="Heading 5 Char"/>
    <w:basedOn w:val="DefaultParagraphFont"/>
    <w:link w:val="Heading5"/>
    <w:rsid w:val="006559BD"/>
    <w:rPr>
      <w:rFonts w:ascii="Calibri" w:eastAsia="Times New Roman" w:hAnsi="Calibri" w:cs="Arial"/>
      <w:b/>
      <w:bCs/>
      <w:iCs/>
      <w:sz w:val="26"/>
      <w:szCs w:val="26"/>
      <w:lang w:eastAsia="en-AU"/>
    </w:rPr>
  </w:style>
  <w:style w:type="character" w:customStyle="1" w:styleId="Heading6Char">
    <w:name w:val="Heading 6 Char"/>
    <w:basedOn w:val="DefaultParagraphFont"/>
    <w:link w:val="Heading6"/>
    <w:rsid w:val="006559BD"/>
    <w:rPr>
      <w:rFonts w:ascii="Calibri" w:eastAsia="Times New Roman" w:hAnsi="Calibri" w:cs="Arial"/>
      <w:b/>
      <w:bCs/>
      <w:i/>
      <w:sz w:val="24"/>
      <w:szCs w:val="24"/>
      <w:lang w:eastAsia="en-AU"/>
    </w:rPr>
  </w:style>
  <w:style w:type="character" w:customStyle="1" w:styleId="Heading7Char">
    <w:name w:val="Heading 7 Char"/>
    <w:basedOn w:val="DefaultParagraphFont"/>
    <w:link w:val="Heading7"/>
    <w:rsid w:val="006559BD"/>
    <w:rPr>
      <w:rFonts w:ascii="Calibri" w:eastAsia="Times New Roman" w:hAnsi="Calibri" w:cs="Arial"/>
      <w:b/>
      <w:sz w:val="20"/>
      <w:szCs w:val="24"/>
      <w:lang w:eastAsia="en-AU"/>
    </w:rPr>
  </w:style>
  <w:style w:type="character" w:customStyle="1" w:styleId="Heading8Char">
    <w:name w:val="Heading 8 Char"/>
    <w:basedOn w:val="DefaultParagraphFont"/>
    <w:link w:val="Heading8"/>
    <w:rsid w:val="006559BD"/>
    <w:rPr>
      <w:rFonts w:ascii="Calibri" w:eastAsia="Times New Roman" w:hAnsi="Calibri" w:cs="Arial"/>
      <w:b/>
      <w:sz w:val="24"/>
      <w:szCs w:val="24"/>
      <w:lang w:eastAsia="en-AU"/>
    </w:rPr>
  </w:style>
  <w:style w:type="character" w:customStyle="1" w:styleId="Heading9Char">
    <w:name w:val="Heading 9 Char"/>
    <w:basedOn w:val="DefaultParagraphFont"/>
    <w:link w:val="Heading9"/>
    <w:rsid w:val="006559BD"/>
    <w:rPr>
      <w:rFonts w:ascii="Calibri" w:eastAsia="Times New Roman" w:hAnsi="Calibri" w:cs="Arial"/>
      <w:b/>
      <w:color w:val="000000"/>
      <w:sz w:val="20"/>
      <w:szCs w:val="24"/>
      <w:lang w:eastAsia="en-AU"/>
    </w:rPr>
  </w:style>
  <w:style w:type="paragraph" w:customStyle="1" w:styleId="TableFooter">
    <w:name w:val="Table Footer"/>
    <w:basedOn w:val="Normal"/>
    <w:link w:val="TableFooterChar"/>
    <w:qFormat/>
    <w:rsid w:val="006559BD"/>
    <w:pPr>
      <w:spacing w:after="120"/>
      <w:contextualSpacing/>
    </w:pPr>
    <w:rPr>
      <w:rFonts w:ascii="Arial Narrow" w:hAnsi="Arial Narrow"/>
      <w:sz w:val="18"/>
    </w:rPr>
  </w:style>
  <w:style w:type="character" w:customStyle="1" w:styleId="TableFooterChar">
    <w:name w:val="Table Footer Char"/>
    <w:link w:val="TableFooter"/>
    <w:rsid w:val="006559BD"/>
    <w:rPr>
      <w:rFonts w:ascii="Arial Narrow" w:eastAsia="Times New Roman" w:hAnsi="Arial Narrow" w:cs="Arial"/>
      <w:sz w:val="18"/>
      <w:szCs w:val="24"/>
      <w:lang w:eastAsia="en-AU"/>
    </w:rPr>
  </w:style>
  <w:style w:type="paragraph" w:customStyle="1" w:styleId="TableHeader">
    <w:name w:val="Table Header"/>
    <w:basedOn w:val="Normal"/>
    <w:uiPriority w:val="3"/>
    <w:rsid w:val="006559BD"/>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6559BD"/>
    <w:pPr>
      <w:spacing w:after="200"/>
    </w:pPr>
    <w:rPr>
      <w:b/>
      <w:bCs/>
      <w:color w:val="4472C4"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6559BD"/>
    <w:rPr>
      <w:rFonts w:ascii="Calibri" w:eastAsia="Times New Roman" w:hAnsi="Calibri" w:cs="Arial"/>
      <w:b/>
      <w:bCs/>
      <w:color w:val="4472C4" w:themeColor="accent1"/>
      <w:sz w:val="18"/>
      <w:szCs w:val="18"/>
      <w:lang w:eastAsia="en-AU"/>
    </w:rPr>
  </w:style>
  <w:style w:type="paragraph" w:styleId="Title">
    <w:name w:val="Title"/>
    <w:basedOn w:val="Normal"/>
    <w:next w:val="Normal"/>
    <w:link w:val="TitleChar"/>
    <w:rsid w:val="006559BD"/>
    <w:pPr>
      <w:spacing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6559BD"/>
    <w:rPr>
      <w:rFonts w:ascii="Cambria" w:eastAsia="Times New Roman" w:hAnsi="Cambria" w:cs="Arial"/>
      <w:b/>
      <w:bCs/>
      <w:kern w:val="28"/>
      <w:sz w:val="32"/>
      <w:szCs w:val="32"/>
      <w:lang w:eastAsia="en-AU"/>
    </w:rPr>
  </w:style>
  <w:style w:type="paragraph" w:styleId="BodyText">
    <w:name w:val="Body Text"/>
    <w:basedOn w:val="Normal"/>
    <w:link w:val="BodyTextChar"/>
    <w:rsid w:val="006559BD"/>
    <w:pPr>
      <w:jc w:val="left"/>
    </w:pPr>
  </w:style>
  <w:style w:type="character" w:customStyle="1" w:styleId="BodyTextChar">
    <w:name w:val="Body Text Char"/>
    <w:basedOn w:val="DefaultParagraphFont"/>
    <w:link w:val="BodyText"/>
    <w:rsid w:val="006559BD"/>
    <w:rPr>
      <w:rFonts w:ascii="Calibri" w:eastAsia="Times New Roman" w:hAnsi="Calibri" w:cs="Arial"/>
      <w:sz w:val="24"/>
      <w:szCs w:val="24"/>
      <w:lang w:eastAsia="en-AU"/>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6559BD"/>
    <w:pPr>
      <w:numPr>
        <w:numId w:val="3"/>
      </w:numPr>
      <w:spacing w:after="120" w:line="240" w:lineRule="auto"/>
      <w:jc w:val="both"/>
    </w:pPr>
    <w:rPr>
      <w:rFonts w:eastAsia="Times New Roman" w:cs="Arial"/>
      <w:snapToGrid w:val="0"/>
      <w:sz w:val="24"/>
      <w:szCs w:val="24"/>
      <w:lang w:eastAsia="en-AU"/>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6559BD"/>
    <w:rPr>
      <w:rFonts w:eastAsia="Times New Roman" w:cs="Arial"/>
      <w:snapToGrid w:val="0"/>
      <w:sz w:val="24"/>
      <w:szCs w:val="24"/>
      <w:lang w:eastAsia="en-AU"/>
    </w:rPr>
  </w:style>
  <w:style w:type="paragraph" w:customStyle="1" w:styleId="RegularText">
    <w:name w:val="Regular Text"/>
    <w:basedOn w:val="BodyText"/>
    <w:link w:val="RegularTextChar"/>
    <w:rsid w:val="006559BD"/>
    <w:rPr>
      <w:b/>
    </w:rPr>
  </w:style>
  <w:style w:type="character" w:customStyle="1" w:styleId="RegularTextChar">
    <w:name w:val="Regular Text Char"/>
    <w:basedOn w:val="BodyTextChar"/>
    <w:link w:val="RegularText"/>
    <w:rsid w:val="006559BD"/>
    <w:rPr>
      <w:rFonts w:ascii="Calibri" w:eastAsia="Times New Roman" w:hAnsi="Calibri" w:cs="Arial"/>
      <w:b/>
      <w:sz w:val="24"/>
      <w:szCs w:val="24"/>
      <w:lang w:eastAsia="en-AU"/>
    </w:rPr>
  </w:style>
  <w:style w:type="paragraph" w:styleId="NoSpacing">
    <w:name w:val="No Spacing"/>
    <w:uiPriority w:val="1"/>
    <w:qFormat/>
    <w:rsid w:val="006559BD"/>
    <w:pPr>
      <w:widowControl w:val="0"/>
      <w:spacing w:after="0" w:line="240" w:lineRule="auto"/>
      <w:jc w:val="both"/>
    </w:pPr>
    <w:rPr>
      <w:rFonts w:ascii="Arial" w:eastAsia="Times New Roman" w:hAnsi="Arial" w:cs="Arial"/>
      <w:snapToGrid w:val="0"/>
      <w:szCs w:val="20"/>
    </w:rPr>
  </w:style>
  <w:style w:type="paragraph" w:styleId="Header">
    <w:name w:val="header"/>
    <w:aliases w:val="Page Header,Header title,he=header,cntr/bld"/>
    <w:basedOn w:val="Normal"/>
    <w:link w:val="HeaderChar"/>
    <w:uiPriority w:val="99"/>
    <w:qFormat/>
    <w:rsid w:val="00145FEA"/>
    <w:pPr>
      <w:tabs>
        <w:tab w:val="left" w:pos="142"/>
        <w:tab w:val="right" w:pos="9026"/>
      </w:tabs>
      <w:spacing w:before="0"/>
      <w:jc w:val="left"/>
    </w:pPr>
  </w:style>
  <w:style w:type="character" w:customStyle="1" w:styleId="HeaderChar">
    <w:name w:val="Header Char"/>
    <w:aliases w:val="Page Header Char,Header title Char,he=header Char,cntr/bld Char"/>
    <w:basedOn w:val="DefaultParagraphFont"/>
    <w:link w:val="Header"/>
    <w:uiPriority w:val="99"/>
    <w:rsid w:val="00145FEA"/>
    <w:rPr>
      <w:rFonts w:ascii="Calibri" w:eastAsia="Times New Roman" w:hAnsi="Calibri" w:cs="Arial"/>
      <w:sz w:val="24"/>
      <w:szCs w:val="24"/>
      <w:lang w:eastAsia="en-AU"/>
    </w:rPr>
  </w:style>
  <w:style w:type="paragraph" w:styleId="Footer">
    <w:name w:val="footer"/>
    <w:basedOn w:val="Normal"/>
    <w:link w:val="FooterChar"/>
    <w:uiPriority w:val="99"/>
    <w:rsid w:val="006559BD"/>
    <w:pPr>
      <w:tabs>
        <w:tab w:val="center" w:pos="4513"/>
        <w:tab w:val="right" w:pos="9026"/>
      </w:tabs>
    </w:pPr>
  </w:style>
  <w:style w:type="character" w:customStyle="1" w:styleId="FooterChar">
    <w:name w:val="Footer Char"/>
    <w:basedOn w:val="DefaultParagraphFont"/>
    <w:link w:val="Footer"/>
    <w:uiPriority w:val="99"/>
    <w:rsid w:val="006559BD"/>
    <w:rPr>
      <w:rFonts w:ascii="Calibri" w:eastAsia="Times New Roman" w:hAnsi="Calibri" w:cs="Arial"/>
      <w:sz w:val="24"/>
      <w:szCs w:val="24"/>
      <w:lang w:eastAsia="en-AU"/>
    </w:rPr>
  </w:style>
  <w:style w:type="table" w:styleId="TableGrid">
    <w:name w:val="Table Grid"/>
    <w:aliases w:val="Summary box,Table Gridbeth,CMA Table Template,ASD Table"/>
    <w:basedOn w:val="TableNormal"/>
    <w:uiPriority w:val="39"/>
    <w:rsid w:val="006559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6559BD"/>
  </w:style>
  <w:style w:type="paragraph" w:customStyle="1" w:styleId="Tabletext">
    <w:name w:val="Table text"/>
    <w:basedOn w:val="Normal"/>
    <w:link w:val="TabletextChar"/>
    <w:uiPriority w:val="2"/>
    <w:qFormat/>
    <w:rsid w:val="006559BD"/>
    <w:pPr>
      <w:spacing w:before="0"/>
      <w:contextualSpacing/>
      <w:jc w:val="left"/>
    </w:pPr>
    <w:rPr>
      <w:rFonts w:ascii="Arial Narrow" w:hAnsi="Arial Narrow" w:cs="Times New Roman"/>
      <w:snapToGrid w:val="0"/>
      <w:sz w:val="20"/>
    </w:rPr>
  </w:style>
  <w:style w:type="character" w:customStyle="1" w:styleId="TabletextChar">
    <w:name w:val="Table text Char"/>
    <w:link w:val="Tabletext"/>
    <w:uiPriority w:val="2"/>
    <w:rsid w:val="006559BD"/>
    <w:rPr>
      <w:rFonts w:ascii="Arial Narrow" w:eastAsia="Times New Roman" w:hAnsi="Arial Narrow" w:cs="Times New Roman"/>
      <w:snapToGrid w:val="0"/>
      <w:sz w:val="20"/>
      <w:szCs w:val="24"/>
      <w:lang w:eastAsia="en-AU"/>
    </w:rPr>
  </w:style>
  <w:style w:type="paragraph" w:customStyle="1" w:styleId="TableHeading">
    <w:name w:val="TableHeading"/>
    <w:basedOn w:val="Normal"/>
    <w:link w:val="TableHeadingChar"/>
    <w:rsid w:val="006559BD"/>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6559BD"/>
    <w:pPr>
      <w:jc w:val="both"/>
    </w:pPr>
    <w:rPr>
      <w:rFonts w:ascii="Times" w:hAnsi="Times" w:cs="Times New Roman"/>
      <w:snapToGrid w:val="0"/>
      <w:lang w:val="en-US"/>
    </w:rPr>
  </w:style>
  <w:style w:type="paragraph" w:styleId="NormalWeb">
    <w:name w:val="Normal (Web)"/>
    <w:basedOn w:val="Normal"/>
    <w:uiPriority w:val="99"/>
    <w:rsid w:val="006559BD"/>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559BD"/>
    <w:pPr>
      <w:tabs>
        <w:tab w:val="left" w:pos="713"/>
        <w:tab w:val="left" w:pos="880"/>
        <w:tab w:val="right" w:leader="dot" w:pos="9016"/>
      </w:tabs>
      <w:spacing w:before="40"/>
      <w:ind w:left="284"/>
      <w:jc w:val="left"/>
    </w:pPr>
    <w:rPr>
      <w:iCs/>
      <w:sz w:val="20"/>
    </w:rPr>
  </w:style>
  <w:style w:type="paragraph" w:styleId="TOC1">
    <w:name w:val="toc 1"/>
    <w:basedOn w:val="Normal"/>
    <w:next w:val="Normal"/>
    <w:autoRedefine/>
    <w:uiPriority w:val="39"/>
    <w:rsid w:val="006559BD"/>
    <w:pPr>
      <w:tabs>
        <w:tab w:val="left" w:pos="440"/>
        <w:tab w:val="right" w:leader="dot" w:pos="9016"/>
      </w:tabs>
      <w:spacing w:after="120"/>
      <w:ind w:left="284" w:hanging="284"/>
      <w:jc w:val="left"/>
    </w:pPr>
    <w:rPr>
      <w:bCs/>
      <w:sz w:val="20"/>
    </w:rPr>
  </w:style>
  <w:style w:type="character" w:styleId="Hyperlink">
    <w:name w:val="Hyperlink"/>
    <w:basedOn w:val="DefaultParagraphFont"/>
    <w:uiPriority w:val="99"/>
    <w:unhideWhenUsed/>
    <w:rsid w:val="006559BD"/>
    <w:rPr>
      <w:color w:val="0563C1" w:themeColor="hyperlink"/>
      <w:u w:val="single"/>
    </w:rPr>
  </w:style>
  <w:style w:type="paragraph" w:styleId="TOCHeading">
    <w:name w:val="TOC Heading"/>
    <w:basedOn w:val="Heading1"/>
    <w:next w:val="Normal"/>
    <w:uiPriority w:val="39"/>
    <w:unhideWhenUsed/>
    <w:rsid w:val="006559BD"/>
    <w:pPr>
      <w:keepNext/>
      <w:spacing w:before="480" w:line="276" w:lineRule="auto"/>
      <w:ind w:left="0" w:firstLine="0"/>
      <w:jc w:val="left"/>
      <w:outlineLvl w:val="9"/>
    </w:pPr>
    <w:rPr>
      <w:rFonts w:asciiTheme="majorHAnsi" w:eastAsiaTheme="majorEastAsia" w:hAnsiTheme="majorHAnsi" w:cstheme="majorBidi"/>
      <w:bCs/>
      <w:snapToGrid w:val="0"/>
      <w:color w:val="2F5496" w:themeColor="accent1" w:themeShade="BF"/>
      <w:sz w:val="28"/>
      <w:szCs w:val="28"/>
      <w:lang w:val="en-US" w:eastAsia="ja-JP"/>
    </w:rPr>
  </w:style>
  <w:style w:type="paragraph" w:styleId="TOC3">
    <w:name w:val="toc 3"/>
    <w:basedOn w:val="Normal"/>
    <w:next w:val="Normal"/>
    <w:autoRedefine/>
    <w:uiPriority w:val="39"/>
    <w:unhideWhenUsed/>
    <w:rsid w:val="006559BD"/>
    <w:pPr>
      <w:tabs>
        <w:tab w:val="right" w:leader="dot" w:pos="9016"/>
      </w:tabs>
      <w:ind w:left="284"/>
      <w:jc w:val="left"/>
    </w:pPr>
    <w:rPr>
      <w:rFonts w:asciiTheme="minorHAnsi" w:hAnsiTheme="minorHAnsi"/>
      <w:sz w:val="20"/>
    </w:rPr>
  </w:style>
  <w:style w:type="paragraph" w:styleId="TOC4">
    <w:name w:val="toc 4"/>
    <w:basedOn w:val="Normal"/>
    <w:next w:val="Normal"/>
    <w:autoRedefine/>
    <w:rsid w:val="006559BD"/>
    <w:pPr>
      <w:ind w:left="660"/>
      <w:jc w:val="left"/>
    </w:pPr>
    <w:rPr>
      <w:rFonts w:asciiTheme="minorHAnsi" w:hAnsiTheme="minorHAnsi"/>
      <w:sz w:val="20"/>
    </w:rPr>
  </w:style>
  <w:style w:type="paragraph" w:styleId="TOC5">
    <w:name w:val="toc 5"/>
    <w:basedOn w:val="Normal"/>
    <w:next w:val="Normal"/>
    <w:autoRedefine/>
    <w:rsid w:val="006559BD"/>
    <w:pPr>
      <w:ind w:left="880"/>
      <w:jc w:val="left"/>
    </w:pPr>
    <w:rPr>
      <w:rFonts w:asciiTheme="minorHAnsi" w:hAnsiTheme="minorHAnsi"/>
      <w:sz w:val="20"/>
    </w:rPr>
  </w:style>
  <w:style w:type="paragraph" w:styleId="TOC6">
    <w:name w:val="toc 6"/>
    <w:basedOn w:val="Normal"/>
    <w:next w:val="Normal"/>
    <w:autoRedefine/>
    <w:uiPriority w:val="39"/>
    <w:rsid w:val="006559BD"/>
    <w:pPr>
      <w:ind w:left="1100"/>
      <w:jc w:val="left"/>
    </w:pPr>
    <w:rPr>
      <w:rFonts w:asciiTheme="minorHAnsi" w:hAnsiTheme="minorHAnsi"/>
      <w:sz w:val="20"/>
    </w:rPr>
  </w:style>
  <w:style w:type="paragraph" w:styleId="TOC7">
    <w:name w:val="toc 7"/>
    <w:basedOn w:val="Normal"/>
    <w:next w:val="Normal"/>
    <w:autoRedefine/>
    <w:rsid w:val="006559BD"/>
    <w:pPr>
      <w:ind w:left="1320"/>
      <w:jc w:val="left"/>
    </w:pPr>
    <w:rPr>
      <w:rFonts w:asciiTheme="minorHAnsi" w:hAnsiTheme="minorHAnsi"/>
      <w:sz w:val="20"/>
    </w:rPr>
  </w:style>
  <w:style w:type="paragraph" w:styleId="TOC8">
    <w:name w:val="toc 8"/>
    <w:basedOn w:val="Normal"/>
    <w:next w:val="Normal"/>
    <w:autoRedefine/>
    <w:rsid w:val="006559BD"/>
    <w:pPr>
      <w:ind w:left="1540"/>
      <w:jc w:val="left"/>
    </w:pPr>
    <w:rPr>
      <w:rFonts w:asciiTheme="minorHAnsi" w:hAnsiTheme="minorHAnsi"/>
      <w:sz w:val="20"/>
    </w:rPr>
  </w:style>
  <w:style w:type="paragraph" w:styleId="TOC9">
    <w:name w:val="toc 9"/>
    <w:basedOn w:val="Normal"/>
    <w:next w:val="Normal"/>
    <w:autoRedefine/>
    <w:rsid w:val="006559BD"/>
    <w:pPr>
      <w:ind w:left="1760"/>
      <w:jc w:val="left"/>
    </w:pPr>
    <w:rPr>
      <w:rFonts w:asciiTheme="minorHAnsi" w:hAnsiTheme="minorHAnsi"/>
      <w:sz w:val="20"/>
    </w:rPr>
  </w:style>
  <w:style w:type="paragraph" w:styleId="CommentText">
    <w:name w:val="annotation text"/>
    <w:basedOn w:val="Normal"/>
    <w:link w:val="CommentTextChar"/>
    <w:uiPriority w:val="99"/>
    <w:rsid w:val="006559BD"/>
    <w:rPr>
      <w:rFonts w:ascii="Times New Roman" w:hAnsi="Times New Roman" w:cs="Times New Roman"/>
      <w:sz w:val="20"/>
    </w:rPr>
  </w:style>
  <w:style w:type="character" w:customStyle="1" w:styleId="CommentTextChar">
    <w:name w:val="Comment Text Char"/>
    <w:basedOn w:val="DefaultParagraphFont"/>
    <w:link w:val="CommentText"/>
    <w:uiPriority w:val="99"/>
    <w:rsid w:val="006559BD"/>
    <w:rPr>
      <w:rFonts w:ascii="Times New Roman" w:eastAsia="Times New Roman" w:hAnsi="Times New Roman" w:cs="Times New Roman"/>
      <w:sz w:val="20"/>
      <w:szCs w:val="24"/>
      <w:lang w:eastAsia="en-AU"/>
    </w:rPr>
  </w:style>
  <w:style w:type="paragraph" w:customStyle="1" w:styleId="Bulletpoints">
    <w:name w:val="Bullet points"/>
    <w:basedOn w:val="ListParagraph"/>
    <w:rsid w:val="006559BD"/>
    <w:pPr>
      <w:numPr>
        <w:numId w:val="2"/>
      </w:numPr>
      <w:contextualSpacing/>
    </w:pPr>
  </w:style>
  <w:style w:type="paragraph" w:customStyle="1" w:styleId="TableName">
    <w:name w:val="TableName"/>
    <w:basedOn w:val="Normal"/>
    <w:rsid w:val="006559BD"/>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6559BD"/>
    <w:pPr>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6559BD"/>
    <w:pPr>
      <w:keepNext/>
      <w:spacing w:after="0"/>
    </w:pPr>
  </w:style>
  <w:style w:type="paragraph" w:styleId="CommentSubject">
    <w:name w:val="annotation subject"/>
    <w:basedOn w:val="CommentText"/>
    <w:next w:val="CommentText"/>
    <w:link w:val="CommentSubjectChar"/>
    <w:rsid w:val="006559BD"/>
    <w:rPr>
      <w:rFonts w:ascii="Arial" w:hAnsi="Arial" w:cs="Arial"/>
      <w:b/>
      <w:bCs/>
    </w:rPr>
  </w:style>
  <w:style w:type="character" w:customStyle="1" w:styleId="CommentSubjectChar">
    <w:name w:val="Comment Subject Char"/>
    <w:basedOn w:val="CommentTextChar"/>
    <w:link w:val="CommentSubject"/>
    <w:rsid w:val="006559BD"/>
    <w:rPr>
      <w:rFonts w:ascii="Arial" w:eastAsia="Times New Roman" w:hAnsi="Arial" w:cs="Arial"/>
      <w:b/>
      <w:bCs/>
      <w:sz w:val="20"/>
      <w:szCs w:val="24"/>
      <w:lang w:eastAsia="en-AU"/>
    </w:rPr>
  </w:style>
  <w:style w:type="paragraph" w:styleId="Revision">
    <w:name w:val="Revision"/>
    <w:hidden/>
    <w:uiPriority w:val="99"/>
    <w:semiHidden/>
    <w:rsid w:val="006559BD"/>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rsid w:val="006559BD"/>
    <w:pPr>
      <w:spacing w:after="120"/>
      <w:ind w:left="283"/>
    </w:pPr>
  </w:style>
  <w:style w:type="character" w:customStyle="1" w:styleId="BodyTextIndentChar">
    <w:name w:val="Body Text Indent Char"/>
    <w:basedOn w:val="DefaultParagraphFont"/>
    <w:link w:val="BodyTextIndent"/>
    <w:rsid w:val="006559BD"/>
    <w:rPr>
      <w:rFonts w:ascii="Calibri" w:eastAsia="Times New Roman" w:hAnsi="Calibri" w:cs="Arial"/>
      <w:sz w:val="24"/>
      <w:szCs w:val="24"/>
      <w:lang w:eastAsia="en-AU"/>
    </w:rPr>
  </w:style>
  <w:style w:type="paragraph" w:customStyle="1" w:styleId="Char1CharCharChar">
    <w:name w:val="Char1 Char Char Char"/>
    <w:basedOn w:val="Normal"/>
    <w:rsid w:val="006559BD"/>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6559BD"/>
  </w:style>
  <w:style w:type="paragraph" w:styleId="Subtitle">
    <w:name w:val="Subtitle"/>
    <w:basedOn w:val="Normal"/>
    <w:link w:val="SubtitleChar"/>
    <w:rsid w:val="006559BD"/>
    <w:rPr>
      <w:rFonts w:asciiTheme="minorHAnsi" w:eastAsiaTheme="minorHAnsi" w:hAnsiTheme="minorHAnsi" w:cstheme="minorBidi"/>
      <w:sz w:val="22"/>
      <w:szCs w:val="22"/>
      <w:lang w:eastAsia="en-US"/>
    </w:rPr>
  </w:style>
  <w:style w:type="character" w:customStyle="1" w:styleId="SubtitleChar1">
    <w:name w:val="Subtitle Char1"/>
    <w:basedOn w:val="DefaultParagraphFont"/>
    <w:rsid w:val="006559BD"/>
    <w:rPr>
      <w:rFonts w:asciiTheme="majorHAnsi" w:eastAsiaTheme="majorEastAsia" w:hAnsiTheme="majorHAnsi" w:cstheme="majorBidi"/>
      <w:i/>
      <w:iCs/>
      <w:snapToGrid w:val="0"/>
      <w:color w:val="4472C4" w:themeColor="accent1"/>
      <w:spacing w:val="15"/>
      <w:sz w:val="24"/>
      <w:szCs w:val="24"/>
      <w:lang w:eastAsia="en-US"/>
    </w:rPr>
  </w:style>
  <w:style w:type="paragraph" w:customStyle="1" w:styleId="PBACHeading1">
    <w:name w:val="PBAC Heading 1"/>
    <w:qFormat/>
    <w:rsid w:val="006559BD"/>
    <w:pPr>
      <w:spacing w:after="0" w:line="240" w:lineRule="auto"/>
      <w:outlineLvl w:val="0"/>
    </w:pPr>
    <w:rPr>
      <w:rFonts w:ascii="Calibri" w:eastAsia="Times New Roman" w:hAnsi="Calibri" w:cs="Arial"/>
      <w:b/>
      <w:snapToGrid w:val="0"/>
      <w:sz w:val="32"/>
    </w:rPr>
  </w:style>
  <w:style w:type="table" w:customStyle="1" w:styleId="PlainTable21">
    <w:name w:val="Plain Table 21"/>
    <w:basedOn w:val="TableNormal"/>
    <w:uiPriority w:val="42"/>
    <w:rsid w:val="006559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6559BD"/>
    <w:rPr>
      <w:color w:val="954F72" w:themeColor="followedHyperlink"/>
      <w:u w:val="single"/>
    </w:rPr>
  </w:style>
  <w:style w:type="character" w:styleId="PageNumber">
    <w:name w:val="page number"/>
    <w:basedOn w:val="DefaultParagraphFont"/>
    <w:semiHidden/>
    <w:unhideWhenUsed/>
    <w:rsid w:val="006559BD"/>
  </w:style>
  <w:style w:type="paragraph" w:customStyle="1" w:styleId="Commentitalics">
    <w:name w:val="Comment (italics)"/>
    <w:basedOn w:val="Normal"/>
    <w:next w:val="Normal"/>
    <w:rsid w:val="006559BD"/>
    <w:rPr>
      <w:i/>
    </w:rPr>
  </w:style>
  <w:style w:type="paragraph" w:styleId="BalloonText">
    <w:name w:val="Balloon Text"/>
    <w:basedOn w:val="Normal"/>
    <w:link w:val="BalloonTextChar"/>
    <w:semiHidden/>
    <w:unhideWhenUsed/>
    <w:rsid w:val="006559BD"/>
    <w:rPr>
      <w:rFonts w:ascii="Tahoma" w:hAnsi="Tahoma" w:cs="Tahoma"/>
      <w:sz w:val="16"/>
      <w:szCs w:val="16"/>
    </w:rPr>
  </w:style>
  <w:style w:type="character" w:customStyle="1" w:styleId="BalloonTextChar">
    <w:name w:val="Balloon Text Char"/>
    <w:basedOn w:val="DefaultParagraphFont"/>
    <w:link w:val="BalloonText"/>
    <w:semiHidden/>
    <w:rsid w:val="006559BD"/>
    <w:rPr>
      <w:rFonts w:ascii="Tahoma" w:eastAsia="Times New Roman" w:hAnsi="Tahoma" w:cs="Tahoma"/>
      <w:sz w:val="16"/>
      <w:szCs w:val="16"/>
      <w:lang w:eastAsia="en-AU"/>
    </w:rPr>
  </w:style>
  <w:style w:type="paragraph" w:customStyle="1" w:styleId="TableText0">
    <w:name w:val="Table Text"/>
    <w:link w:val="TableTextChar0"/>
    <w:qFormat/>
    <w:rsid w:val="006559BD"/>
    <w:pPr>
      <w:keepNext/>
      <w:spacing w:after="0" w:line="240" w:lineRule="auto"/>
    </w:pPr>
    <w:rPr>
      <w:rFonts w:ascii="Arial Narrow" w:eastAsiaTheme="majorEastAsia" w:hAnsi="Arial Narrow" w:cstheme="majorBidi"/>
      <w:bCs/>
      <w:sz w:val="20"/>
      <w:szCs w:val="24"/>
      <w:lang w:eastAsia="en-AU"/>
    </w:rPr>
  </w:style>
  <w:style w:type="paragraph" w:customStyle="1" w:styleId="V50Tablename">
    <w:name w:val="V5.0 Table name"/>
    <w:basedOn w:val="Normal"/>
    <w:link w:val="V50TablenameChar"/>
    <w:rsid w:val="006559BD"/>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6559BD"/>
    <w:rPr>
      <w:b/>
      <w:snapToGrid w:val="0"/>
      <w:sz w:val="20"/>
      <w:szCs w:val="24"/>
      <w:lang w:val="en-US" w:eastAsia="en-AU"/>
    </w:rPr>
  </w:style>
  <w:style w:type="paragraph" w:customStyle="1" w:styleId="GeneralHeading">
    <w:name w:val="General Heading"/>
    <w:qFormat/>
    <w:rsid w:val="006559BD"/>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In-tableHeading">
    <w:name w:val="In-table Heading"/>
    <w:qFormat/>
    <w:rsid w:val="006559BD"/>
    <w:pPr>
      <w:keepNext/>
      <w:spacing w:after="0" w:line="240" w:lineRule="auto"/>
    </w:pPr>
    <w:rPr>
      <w:rFonts w:ascii="Arial Narrow" w:eastAsiaTheme="majorEastAsia" w:hAnsi="Arial Narrow" w:cs="Times New Roman"/>
      <w:b/>
      <w:sz w:val="20"/>
      <w:szCs w:val="24"/>
      <w:lang w:val="en-US" w:eastAsia="en-AU"/>
    </w:rPr>
  </w:style>
  <w:style w:type="paragraph" w:customStyle="1" w:styleId="2-SectionHeading">
    <w:name w:val="2-Section Heading"/>
    <w:qFormat/>
    <w:rsid w:val="006559BD"/>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1-MainHeading">
    <w:name w:val="1-Main Heading"/>
    <w:link w:val="1-MainHeadingChar"/>
    <w:qFormat/>
    <w:rsid w:val="006559BD"/>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6559BD"/>
    <w:rPr>
      <w:rFonts w:eastAsiaTheme="majorEastAsia" w:cstheme="majorBidi"/>
      <w:b/>
      <w:spacing w:val="5"/>
      <w:kern w:val="28"/>
      <w:sz w:val="36"/>
      <w:szCs w:val="36"/>
      <w:lang w:eastAsia="en-AU"/>
    </w:rPr>
  </w:style>
  <w:style w:type="paragraph" w:customStyle="1" w:styleId="TableFigureHeading">
    <w:name w:val="Table/Figure Heading"/>
    <w:next w:val="In-tableHeading"/>
    <w:link w:val="TableFigureHeadingChar"/>
    <w:qFormat/>
    <w:rsid w:val="006559BD"/>
    <w:pPr>
      <w:keepNext/>
      <w:spacing w:before="240"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6559BD"/>
    <w:rPr>
      <w:rFonts w:ascii="Arial Narrow" w:eastAsiaTheme="majorEastAsia" w:hAnsi="Arial Narrow" w:cstheme="majorBidi"/>
      <w:b/>
      <w:bCs/>
      <w:sz w:val="20"/>
      <w:szCs w:val="24"/>
      <w:lang w:eastAsia="en-AU"/>
    </w:rPr>
  </w:style>
  <w:style w:type="paragraph" w:customStyle="1" w:styleId="3-BodyText">
    <w:name w:val="3-Body Text"/>
    <w:basedOn w:val="ListParagraph"/>
    <w:link w:val="3-BodyTextChar"/>
    <w:qFormat/>
    <w:rsid w:val="00E30940"/>
    <w:pPr>
      <w:numPr>
        <w:ilvl w:val="1"/>
        <w:numId w:val="1"/>
      </w:numPr>
    </w:pPr>
  </w:style>
  <w:style w:type="character" w:customStyle="1" w:styleId="3-BodyTextChar">
    <w:name w:val="3-Body Text Char"/>
    <w:basedOn w:val="ListParagraphChar"/>
    <w:link w:val="3-BodyText"/>
    <w:rsid w:val="00E30940"/>
    <w:rPr>
      <w:rFonts w:eastAsia="Times New Roman" w:cs="Arial"/>
      <w:snapToGrid w:val="0"/>
      <w:sz w:val="24"/>
      <w:szCs w:val="24"/>
      <w:lang w:eastAsia="en-AU"/>
    </w:rPr>
  </w:style>
  <w:style w:type="paragraph" w:customStyle="1" w:styleId="PageFooter">
    <w:name w:val="Page Footer"/>
    <w:basedOn w:val="Normal"/>
    <w:link w:val="PageFooterChar"/>
    <w:qFormat/>
    <w:rsid w:val="00145FEA"/>
    <w:pPr>
      <w:keepNext/>
      <w:tabs>
        <w:tab w:val="center" w:pos="4153"/>
        <w:tab w:val="center" w:pos="4513"/>
        <w:tab w:val="right" w:pos="8306"/>
        <w:tab w:val="right" w:pos="9026"/>
      </w:tabs>
      <w:spacing w:before="0"/>
      <w:jc w:val="center"/>
    </w:pPr>
  </w:style>
  <w:style w:type="character" w:customStyle="1" w:styleId="PageFooterChar">
    <w:name w:val="Page Footer Char"/>
    <w:basedOn w:val="DefaultParagraphFont"/>
    <w:link w:val="PageFooter"/>
    <w:rsid w:val="00145FEA"/>
    <w:rPr>
      <w:rFonts w:ascii="Calibri" w:eastAsia="Times New Roman" w:hAnsi="Calibri" w:cs="Arial"/>
      <w:sz w:val="24"/>
      <w:szCs w:val="24"/>
      <w:lang w:eastAsia="en-AU"/>
    </w:rPr>
  </w:style>
  <w:style w:type="paragraph" w:customStyle="1" w:styleId="TableFigureFooter">
    <w:name w:val="Table/Figure Footer"/>
    <w:basedOn w:val="Normal"/>
    <w:link w:val="TableFigureFooterChar"/>
    <w:qFormat/>
    <w:rsid w:val="006559BD"/>
    <w:pPr>
      <w:spacing w:before="0" w:after="24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6559BD"/>
    <w:rPr>
      <w:rFonts w:ascii="Arial Narrow" w:eastAsia="Times New Roman" w:hAnsi="Arial Narrow" w:cs="Arial"/>
      <w:snapToGrid w:val="0"/>
      <w:sz w:val="18"/>
      <w:lang w:eastAsia="en-AU"/>
    </w:rPr>
  </w:style>
  <w:style w:type="paragraph" w:customStyle="1" w:styleId="4-SubsectionHeading">
    <w:name w:val="4-Subsection Heading"/>
    <w:basedOn w:val="Heading2"/>
    <w:next w:val="3-BodyText"/>
    <w:link w:val="4-SubsectionHeadingChar"/>
    <w:qFormat/>
    <w:rsid w:val="006559BD"/>
    <w:pPr>
      <w:keepNext/>
      <w:spacing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6559BD"/>
    <w:rPr>
      <w:rFonts w:ascii="Calibri" w:eastAsiaTheme="majorEastAsia" w:hAnsi="Calibr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6559BD"/>
    <w:pPr>
      <w:keepNext/>
      <w:spacing w:after="120"/>
    </w:pPr>
    <w:rPr>
      <w:rFonts w:asciiTheme="minorHAnsi" w:eastAsiaTheme="majorEastAsia" w:hAnsiTheme="minorHAnsi" w:cstheme="majorBidi"/>
      <w:b/>
      <w:color w:val="000000" w:themeColor="text1"/>
      <w:sz w:val="28"/>
      <w:u w:val="none"/>
    </w:rPr>
  </w:style>
  <w:style w:type="character" w:customStyle="1" w:styleId="5-SubsectionSubheadingChar">
    <w:name w:val="5-Subsection Subheading Char"/>
    <w:basedOn w:val="DefaultParagraphFont"/>
    <w:link w:val="5-SubsectionSubheading"/>
    <w:rsid w:val="006559BD"/>
    <w:rPr>
      <w:rFonts w:eastAsiaTheme="majorEastAsia" w:cstheme="majorBidi"/>
      <w:b/>
      <w:color w:val="000000" w:themeColor="text1"/>
      <w:sz w:val="28"/>
      <w:szCs w:val="24"/>
      <w:lang w:eastAsia="en-AU"/>
    </w:rPr>
  </w:style>
  <w:style w:type="paragraph" w:styleId="ListBullet">
    <w:name w:val="List Bullet"/>
    <w:basedOn w:val="Normal"/>
    <w:unhideWhenUsed/>
    <w:rsid w:val="006559BD"/>
    <w:pPr>
      <w:contextualSpacing/>
    </w:pPr>
  </w:style>
  <w:style w:type="character" w:customStyle="1" w:styleId="TableTextChar0">
    <w:name w:val="Table Text Char"/>
    <w:basedOn w:val="DefaultParagraphFont"/>
    <w:link w:val="TableText0"/>
    <w:rsid w:val="006559BD"/>
    <w:rPr>
      <w:rFonts w:ascii="Arial Narrow" w:eastAsiaTheme="majorEastAsia" w:hAnsi="Arial Narrow" w:cstheme="majorBidi"/>
      <w:bCs/>
      <w:sz w:val="20"/>
      <w:szCs w:val="24"/>
      <w:lang w:eastAsia="en-AU"/>
    </w:rPr>
  </w:style>
  <w:style w:type="character" w:customStyle="1" w:styleId="mi">
    <w:name w:val="mi"/>
    <w:basedOn w:val="DefaultParagraphFont"/>
    <w:rsid w:val="006559BD"/>
  </w:style>
  <w:style w:type="character" w:customStyle="1" w:styleId="mn">
    <w:name w:val="mn"/>
    <w:basedOn w:val="DefaultParagraphFont"/>
    <w:rsid w:val="006559BD"/>
  </w:style>
  <w:style w:type="character" w:customStyle="1" w:styleId="mo">
    <w:name w:val="mo"/>
    <w:basedOn w:val="DefaultParagraphFont"/>
    <w:rsid w:val="006559BD"/>
  </w:style>
  <w:style w:type="paragraph" w:customStyle="1" w:styleId="Default">
    <w:name w:val="Default"/>
    <w:rsid w:val="006559B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EndNoteBibliographyTitle">
    <w:name w:val="EndNote Bibliography Title"/>
    <w:basedOn w:val="Normal"/>
    <w:link w:val="EndNoteBibliographyTitleChar"/>
    <w:rsid w:val="006559BD"/>
    <w:pPr>
      <w:jc w:val="center"/>
    </w:pPr>
    <w:rPr>
      <w:rFonts w:cs="Calibri"/>
      <w:noProof/>
    </w:rPr>
  </w:style>
  <w:style w:type="character" w:customStyle="1" w:styleId="EndNoteBibliographyTitleChar">
    <w:name w:val="EndNote Bibliography Title Char"/>
    <w:basedOn w:val="ListParagraphChar"/>
    <w:link w:val="EndNoteBibliographyTitle"/>
    <w:rsid w:val="006559BD"/>
    <w:rPr>
      <w:rFonts w:ascii="Calibri" w:eastAsia="Times New Roman" w:hAnsi="Calibri" w:cs="Calibri"/>
      <w:noProof/>
      <w:snapToGrid/>
      <w:sz w:val="24"/>
      <w:szCs w:val="24"/>
      <w:lang w:eastAsia="en-AU"/>
    </w:rPr>
  </w:style>
  <w:style w:type="paragraph" w:customStyle="1" w:styleId="EndNoteBibliography">
    <w:name w:val="EndNote Bibliography"/>
    <w:basedOn w:val="Normal"/>
    <w:link w:val="EndNoteBibliographyChar"/>
    <w:rsid w:val="006559BD"/>
    <w:rPr>
      <w:rFonts w:cs="Calibri"/>
      <w:noProof/>
    </w:rPr>
  </w:style>
  <w:style w:type="character" w:customStyle="1" w:styleId="EndNoteBibliographyChar">
    <w:name w:val="EndNote Bibliography Char"/>
    <w:basedOn w:val="ListParagraphChar"/>
    <w:link w:val="EndNoteBibliography"/>
    <w:rsid w:val="006559BD"/>
    <w:rPr>
      <w:rFonts w:ascii="Calibri" w:eastAsia="Times New Roman" w:hAnsi="Calibri" w:cs="Calibri"/>
      <w:noProof/>
      <w:snapToGrid/>
      <w:sz w:val="24"/>
      <w:szCs w:val="24"/>
      <w:lang w:eastAsia="en-AU"/>
    </w:rPr>
  </w:style>
  <w:style w:type="paragraph" w:customStyle="1" w:styleId="Tablenotes">
    <w:name w:val="Table notes"/>
    <w:basedOn w:val="Normal"/>
    <w:link w:val="TablenotesCharChar"/>
    <w:uiPriority w:val="99"/>
    <w:qFormat/>
    <w:rsid w:val="006559BD"/>
    <w:pPr>
      <w:keepNext/>
      <w:spacing w:before="120" w:after="360"/>
      <w:contextualSpacing/>
      <w:jc w:val="left"/>
    </w:pPr>
    <w:rPr>
      <w:rFonts w:ascii="Arial Narrow" w:hAnsi="Arial Narrow" w:cs="Times New Roman"/>
      <w:sz w:val="18"/>
      <w:szCs w:val="22"/>
      <w:lang w:eastAsia="en-US"/>
    </w:rPr>
  </w:style>
  <w:style w:type="character" w:customStyle="1" w:styleId="TablenotesCharChar">
    <w:name w:val="Table notes Char Char"/>
    <w:link w:val="Tablenotes"/>
    <w:uiPriority w:val="99"/>
    <w:locked/>
    <w:rsid w:val="006559BD"/>
    <w:rPr>
      <w:rFonts w:ascii="Arial Narrow" w:eastAsia="Times New Roman" w:hAnsi="Arial Narrow" w:cs="Times New Roman"/>
      <w:sz w:val="18"/>
    </w:rPr>
  </w:style>
  <w:style w:type="paragraph" w:customStyle="1" w:styleId="TableText1">
    <w:name w:val="TableText"/>
    <w:basedOn w:val="Normal"/>
    <w:link w:val="TableTextChar1"/>
    <w:rsid w:val="006559BD"/>
    <w:pPr>
      <w:keepNext/>
      <w:spacing w:before="40" w:after="40"/>
      <w:jc w:val="left"/>
    </w:pPr>
    <w:rPr>
      <w:rFonts w:ascii="Arial Narrow" w:hAnsi="Arial Narrow" w:cs="Arial Narrow"/>
      <w:sz w:val="20"/>
      <w:szCs w:val="20"/>
      <w:lang w:eastAsia="en-US"/>
    </w:rPr>
  </w:style>
  <w:style w:type="character" w:customStyle="1" w:styleId="TableHeadingChar">
    <w:name w:val="TableHeading Char"/>
    <w:link w:val="TableHeading"/>
    <w:rsid w:val="006559BD"/>
    <w:rPr>
      <w:rFonts w:ascii="Arial Narrow" w:eastAsia="Times New Roman" w:hAnsi="Arial Narrow" w:cs="Arial Narrow"/>
      <w:b/>
      <w:bCs/>
      <w:snapToGrid w:val="0"/>
      <w:sz w:val="20"/>
      <w:szCs w:val="24"/>
      <w:lang w:eastAsia="en-AU"/>
    </w:rPr>
  </w:style>
  <w:style w:type="character" w:customStyle="1" w:styleId="TableTextChar1">
    <w:name w:val="TableText Char"/>
    <w:link w:val="TableText1"/>
    <w:rsid w:val="006559BD"/>
    <w:rPr>
      <w:rFonts w:ascii="Arial Narrow" w:eastAsia="Times New Roman" w:hAnsi="Arial Narrow" w:cs="Arial Narrow"/>
      <w:sz w:val="20"/>
      <w:szCs w:val="20"/>
    </w:rPr>
  </w:style>
  <w:style w:type="paragraph" w:customStyle="1" w:styleId="TableHeading0">
    <w:name w:val="Table Heading"/>
    <w:basedOn w:val="Normal"/>
    <w:qFormat/>
    <w:rsid w:val="006559BD"/>
    <w:pPr>
      <w:keepNext/>
      <w:spacing w:after="60"/>
      <w:jc w:val="left"/>
    </w:pPr>
    <w:rPr>
      <w:rFonts w:ascii="Arial Narrow" w:eastAsiaTheme="minorHAnsi" w:hAnsi="Arial Narrow" w:cstheme="minorBidi"/>
      <w:b/>
      <w:sz w:val="20"/>
      <w:szCs w:val="22"/>
      <w:lang w:eastAsia="en-US"/>
    </w:rPr>
  </w:style>
  <w:style w:type="table" w:customStyle="1" w:styleId="ASDTable18">
    <w:name w:val="ASD Table18"/>
    <w:basedOn w:val="TableNormal"/>
    <w:next w:val="TableGrid"/>
    <w:uiPriority w:val="39"/>
    <w:rsid w:val="0065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heading">
    <w:name w:val="L4 heading"/>
    <w:basedOn w:val="Normal"/>
    <w:link w:val="L4headingChar"/>
    <w:qFormat/>
    <w:rsid w:val="006559BD"/>
    <w:pPr>
      <w:keepNext/>
      <w:spacing w:after="120"/>
    </w:pPr>
    <w:rPr>
      <w:b/>
      <w:i/>
    </w:rPr>
  </w:style>
  <w:style w:type="character" w:customStyle="1" w:styleId="L4headingChar">
    <w:name w:val="L4 heading Char"/>
    <w:basedOn w:val="DefaultParagraphFont"/>
    <w:link w:val="L4heading"/>
    <w:rsid w:val="006559BD"/>
    <w:rPr>
      <w:rFonts w:ascii="Calibri" w:eastAsia="Times New Roman" w:hAnsi="Calibri" w:cs="Arial"/>
      <w:b/>
      <w:i/>
      <w:sz w:val="24"/>
      <w:szCs w:val="24"/>
      <w:lang w:eastAsia="en-AU"/>
    </w:rPr>
  </w:style>
  <w:style w:type="paragraph" w:customStyle="1" w:styleId="TableBullets">
    <w:name w:val="Table Bullets"/>
    <w:basedOn w:val="Normal"/>
    <w:uiPriority w:val="5"/>
    <w:qFormat/>
    <w:rsid w:val="006559BD"/>
    <w:pPr>
      <w:numPr>
        <w:numId w:val="6"/>
      </w:numPr>
      <w:spacing w:before="120" w:after="120"/>
      <w:jc w:val="left"/>
    </w:pPr>
    <w:rPr>
      <w:rFonts w:eastAsiaTheme="majorEastAsia" w:cstheme="majorBidi"/>
      <w:sz w:val="18"/>
      <w:szCs w:val="22"/>
      <w:lang w:eastAsia="en-US" w:bidi="en-US"/>
    </w:rPr>
  </w:style>
  <w:style w:type="paragraph" w:customStyle="1" w:styleId="L3heading">
    <w:name w:val="L3 heading"/>
    <w:basedOn w:val="4-SubsectionHeading"/>
    <w:next w:val="Normal"/>
    <w:link w:val="L3headingChar"/>
    <w:qFormat/>
    <w:rsid w:val="006559BD"/>
    <w:pPr>
      <w:outlineLvl w:val="2"/>
    </w:pPr>
  </w:style>
  <w:style w:type="character" w:customStyle="1" w:styleId="L3headingChar">
    <w:name w:val="L3 heading Char"/>
    <w:basedOn w:val="4-SubsectionHeadingChar"/>
    <w:link w:val="L3heading"/>
    <w:rsid w:val="006559BD"/>
    <w:rPr>
      <w:rFonts w:ascii="Calibri" w:eastAsiaTheme="majorEastAsia" w:hAnsi="Calibri" w:cstheme="majorBidi"/>
      <w:b/>
      <w:i/>
      <w:spacing w:val="5"/>
      <w:kern w:val="28"/>
      <w:sz w:val="28"/>
      <w:szCs w:val="36"/>
      <w:lang w:eastAsia="en-AU"/>
    </w:rPr>
  </w:style>
  <w:style w:type="character" w:customStyle="1" w:styleId="UnresolvedMention1">
    <w:name w:val="Unresolved Mention1"/>
    <w:basedOn w:val="DefaultParagraphFont"/>
    <w:uiPriority w:val="99"/>
    <w:unhideWhenUsed/>
    <w:rsid w:val="006559BD"/>
    <w:rPr>
      <w:color w:val="605E5C"/>
      <w:shd w:val="clear" w:color="auto" w:fill="E1DFDD"/>
    </w:rPr>
  </w:style>
  <w:style w:type="paragraph" w:styleId="FootnoteText">
    <w:name w:val="footnote text"/>
    <w:basedOn w:val="Normal"/>
    <w:link w:val="FootnoteTextChar"/>
    <w:semiHidden/>
    <w:unhideWhenUsed/>
    <w:rsid w:val="006559BD"/>
    <w:pPr>
      <w:spacing w:before="120" w:after="120"/>
    </w:pPr>
    <w:rPr>
      <w:sz w:val="20"/>
      <w:szCs w:val="20"/>
    </w:rPr>
  </w:style>
  <w:style w:type="character" w:customStyle="1" w:styleId="FootnoteTextChar">
    <w:name w:val="Footnote Text Char"/>
    <w:basedOn w:val="DefaultParagraphFont"/>
    <w:link w:val="FootnoteText"/>
    <w:semiHidden/>
    <w:rsid w:val="006559BD"/>
    <w:rPr>
      <w:rFonts w:ascii="Calibri" w:eastAsia="Times New Roman" w:hAnsi="Calibri" w:cs="Arial"/>
      <w:sz w:val="20"/>
      <w:szCs w:val="20"/>
      <w:lang w:eastAsia="en-AU"/>
    </w:rPr>
  </w:style>
  <w:style w:type="character" w:styleId="FootnoteReference">
    <w:name w:val="footnote reference"/>
    <w:basedOn w:val="DefaultParagraphFont"/>
    <w:semiHidden/>
    <w:unhideWhenUsed/>
    <w:rsid w:val="006559BD"/>
    <w:rPr>
      <w:vertAlign w:val="superscript"/>
    </w:rPr>
  </w:style>
  <w:style w:type="character" w:customStyle="1" w:styleId="UnresolvedMention2">
    <w:name w:val="Unresolved Mention2"/>
    <w:basedOn w:val="DefaultParagraphFont"/>
    <w:uiPriority w:val="99"/>
    <w:semiHidden/>
    <w:unhideWhenUsed/>
    <w:rsid w:val="006559BD"/>
    <w:rPr>
      <w:color w:val="605E5C"/>
      <w:shd w:val="clear" w:color="auto" w:fill="E1DFDD"/>
    </w:rPr>
  </w:style>
  <w:style w:type="paragraph" w:customStyle="1" w:styleId="ExecSumBodyText">
    <w:name w:val="Exec Sum Body Text"/>
    <w:basedOn w:val="Normal"/>
    <w:qFormat/>
    <w:rsid w:val="007817E7"/>
    <w:pPr>
      <w:keepLines w:val="0"/>
      <w:spacing w:before="0" w:after="120"/>
      <w:ind w:left="720" w:hanging="720"/>
    </w:pPr>
    <w:rPr>
      <w:rFonts w:asciiTheme="minorHAnsi" w:hAnsi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95348">
      <w:bodyDiv w:val="1"/>
      <w:marLeft w:val="0"/>
      <w:marRight w:val="0"/>
      <w:marTop w:val="0"/>
      <w:marBottom w:val="0"/>
      <w:divBdr>
        <w:top w:val="none" w:sz="0" w:space="0" w:color="auto"/>
        <w:left w:val="none" w:sz="0" w:space="0" w:color="auto"/>
        <w:bottom w:val="none" w:sz="0" w:space="0" w:color="auto"/>
        <w:right w:val="none" w:sz="0" w:space="0" w:color="auto"/>
      </w:divBdr>
    </w:div>
    <w:div w:id="1631394222">
      <w:bodyDiv w:val="1"/>
      <w:marLeft w:val="0"/>
      <w:marRight w:val="0"/>
      <w:marTop w:val="0"/>
      <w:marBottom w:val="0"/>
      <w:divBdr>
        <w:top w:val="none" w:sz="0" w:space="0" w:color="auto"/>
        <w:left w:val="none" w:sz="0" w:space="0" w:color="auto"/>
        <w:bottom w:val="none" w:sz="0" w:space="0" w:color="auto"/>
        <w:right w:val="none" w:sz="0" w:space="0" w:color="auto"/>
      </w:divBdr>
    </w:div>
    <w:div w:id="1843273444">
      <w:bodyDiv w:val="1"/>
      <w:marLeft w:val="0"/>
      <w:marRight w:val="0"/>
      <w:marTop w:val="0"/>
      <w:marBottom w:val="0"/>
      <w:divBdr>
        <w:top w:val="none" w:sz="0" w:space="0" w:color="auto"/>
        <w:left w:val="none" w:sz="0" w:space="0" w:color="auto"/>
        <w:bottom w:val="none" w:sz="0" w:space="0" w:color="auto"/>
        <w:right w:val="none" w:sz="0" w:space="0" w:color="auto"/>
      </w:divBdr>
    </w:div>
    <w:div w:id="18451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dustry/listing/elements/pbac-meetings/pbac-outcomes/2019-11/positive-recommendations-11-2019.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C015-E388-4F06-A188-B1EB0A1E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6957</Words>
  <Characters>39661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2020-06-15T08:38:00Z</dcterms:created>
  <dcterms:modified xsi:type="dcterms:W3CDTF">2020-06-15T08:48:00Z</dcterms:modified>
</cp:coreProperties>
</file>