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2E6" w:rsidRDefault="00C45751" w:rsidP="009F3B84">
      <w:pPr>
        <w:pStyle w:val="1MainTitle"/>
        <w:rPr>
          <w:rFonts w:ascii="Calibri" w:eastAsia="Calibri" w:hAnsi="Calibri"/>
          <w:lang w:eastAsia="en-US"/>
        </w:rPr>
      </w:pPr>
      <w:r w:rsidRPr="000F4035">
        <w:t>7.12</w:t>
      </w:r>
      <w:r w:rsidR="00BF27A0" w:rsidRPr="000F4035">
        <w:rPr>
          <w:rFonts w:eastAsia="Calibri"/>
          <w:lang w:eastAsia="en-US"/>
        </w:rPr>
        <w:tab/>
      </w:r>
      <w:r w:rsidRPr="000F4035">
        <w:rPr>
          <w:rFonts w:eastAsia="Calibri"/>
          <w:lang w:eastAsia="en-US"/>
        </w:rPr>
        <w:t>OLAPARIB</w:t>
      </w:r>
      <w:r w:rsidR="00BF27A0" w:rsidRPr="000F4035">
        <w:rPr>
          <w:rFonts w:eastAsia="Calibri"/>
          <w:lang w:eastAsia="en-US"/>
        </w:rPr>
        <w:t>,</w:t>
      </w:r>
      <w:r w:rsidR="009F3B84">
        <w:rPr>
          <w:rFonts w:eastAsia="Calibri"/>
          <w:lang w:eastAsia="en-US"/>
        </w:rPr>
        <w:br/>
      </w:r>
      <w:r w:rsidR="000F4035">
        <w:rPr>
          <w:rFonts w:ascii="Calibri" w:eastAsia="Calibri" w:hAnsi="Calibri"/>
          <w:lang w:eastAsia="en-US"/>
        </w:rPr>
        <w:t>Capsule 50 mg, Tablet 100 mg, Tablet 150 mg</w:t>
      </w:r>
      <w:r w:rsidR="00BF27A0" w:rsidRPr="00BF27A0">
        <w:rPr>
          <w:rFonts w:ascii="Calibri" w:eastAsia="Calibri" w:hAnsi="Calibri"/>
          <w:lang w:eastAsia="en-US"/>
        </w:rPr>
        <w:t>,</w:t>
      </w:r>
      <w:r w:rsidR="009F3B84">
        <w:rPr>
          <w:rFonts w:ascii="Calibri" w:eastAsia="Calibri" w:hAnsi="Calibri"/>
          <w:lang w:eastAsia="en-US"/>
        </w:rPr>
        <w:br/>
      </w:r>
      <w:r w:rsidR="000F4035">
        <w:rPr>
          <w:rFonts w:ascii="Calibri" w:eastAsia="Calibri" w:hAnsi="Calibri"/>
          <w:lang w:eastAsia="en-US"/>
        </w:rPr>
        <w:t>Lynparza</w:t>
      </w:r>
      <w:r w:rsidR="00A221DF" w:rsidRPr="00A221DF">
        <w:rPr>
          <w:rFonts w:ascii="Calibri" w:eastAsia="Calibri" w:hAnsi="Calibri"/>
          <w:lang w:eastAsia="en-US"/>
        </w:rPr>
        <w:t>®</w:t>
      </w:r>
      <w:r w:rsidR="00BF27A0" w:rsidRPr="00BF27A0">
        <w:rPr>
          <w:rFonts w:ascii="Calibri" w:eastAsia="Calibri" w:hAnsi="Calibri"/>
          <w:lang w:eastAsia="en-US"/>
        </w:rPr>
        <w:t>,</w:t>
      </w:r>
      <w:r w:rsidR="009F3B84">
        <w:rPr>
          <w:rFonts w:ascii="Calibri" w:eastAsia="Calibri" w:hAnsi="Calibri"/>
          <w:lang w:eastAsia="en-US"/>
        </w:rPr>
        <w:br/>
      </w:r>
      <w:r w:rsidR="000F4035">
        <w:rPr>
          <w:rFonts w:ascii="Calibri" w:eastAsia="Calibri" w:hAnsi="Calibri"/>
          <w:lang w:eastAsia="en-US"/>
        </w:rPr>
        <w:t>AstraZeneca Pty Ltd</w:t>
      </w:r>
    </w:p>
    <w:p w:rsidR="008A50F1" w:rsidRPr="00D4572C" w:rsidRDefault="00CE10C4" w:rsidP="00D2781E">
      <w:pPr>
        <w:pStyle w:val="2Sections"/>
        <w:numPr>
          <w:ilvl w:val="0"/>
          <w:numId w:val="20"/>
        </w:numPr>
        <w:jc w:val="both"/>
      </w:pPr>
      <w:r w:rsidRPr="0033263D">
        <w:t xml:space="preserve">Purpose of </w:t>
      </w:r>
      <w:r w:rsidR="0004240E" w:rsidRPr="0033263D">
        <w:t>Application</w:t>
      </w:r>
      <w:r w:rsidR="00034905">
        <w:t xml:space="preserve"> </w:t>
      </w:r>
    </w:p>
    <w:p w:rsidR="00EF44A0" w:rsidRPr="000F4035" w:rsidRDefault="00EF44A0" w:rsidP="00D2781E">
      <w:pPr>
        <w:pStyle w:val="ListParagraph"/>
        <w:widowControl/>
        <w:numPr>
          <w:ilvl w:val="1"/>
          <w:numId w:val="1"/>
        </w:numPr>
        <w:spacing w:after="120"/>
        <w:contextualSpacing w:val="0"/>
        <w:rPr>
          <w:rFonts w:asciiTheme="minorHAnsi" w:hAnsiTheme="minorHAnsi"/>
          <w:sz w:val="24"/>
          <w:szCs w:val="24"/>
        </w:rPr>
      </w:pPr>
      <w:r w:rsidRPr="000F4035">
        <w:rPr>
          <w:rFonts w:asciiTheme="minorHAnsi" w:eastAsiaTheme="minorHAnsi" w:hAnsiTheme="minorHAnsi" w:cstheme="minorBidi"/>
          <w:snapToGrid/>
          <w:sz w:val="24"/>
          <w:szCs w:val="22"/>
        </w:rPr>
        <w:t>The mi</w:t>
      </w:r>
      <w:r w:rsidR="00FF2801" w:rsidRPr="000F4035">
        <w:rPr>
          <w:rFonts w:asciiTheme="minorHAnsi" w:eastAsiaTheme="minorHAnsi" w:hAnsiTheme="minorHAnsi" w:cstheme="minorBidi"/>
          <w:snapToGrid/>
          <w:sz w:val="24"/>
          <w:szCs w:val="22"/>
        </w:rPr>
        <w:t xml:space="preserve">nor submission </w:t>
      </w:r>
      <w:r w:rsidR="000F4035" w:rsidRPr="000F4035">
        <w:rPr>
          <w:rFonts w:asciiTheme="minorHAnsi" w:eastAsiaTheme="minorHAnsi" w:hAnsiTheme="minorHAnsi" w:cstheme="minorBidi"/>
          <w:snapToGrid/>
          <w:sz w:val="24"/>
          <w:szCs w:val="22"/>
        </w:rPr>
        <w:t>requested a</w:t>
      </w:r>
      <w:r w:rsidR="005B7082">
        <w:rPr>
          <w:rFonts w:asciiTheme="minorHAnsi" w:eastAsiaTheme="minorHAnsi" w:hAnsiTheme="minorHAnsi" w:cstheme="minorBidi"/>
          <w:snapToGrid/>
          <w:sz w:val="24"/>
          <w:szCs w:val="22"/>
        </w:rPr>
        <w:t xml:space="preserve"> change to the current</w:t>
      </w:r>
      <w:r w:rsidR="000F4035" w:rsidRPr="000F4035">
        <w:rPr>
          <w:rFonts w:asciiTheme="minorHAnsi" w:eastAsiaTheme="minorHAnsi" w:hAnsiTheme="minorHAnsi" w:cstheme="minorBidi"/>
          <w:snapToGrid/>
          <w:sz w:val="24"/>
          <w:szCs w:val="22"/>
        </w:rPr>
        <w:t xml:space="preserve"> </w:t>
      </w:r>
      <w:r w:rsidR="00384212">
        <w:rPr>
          <w:rFonts w:asciiTheme="minorHAnsi" w:eastAsiaTheme="minorHAnsi" w:hAnsiTheme="minorHAnsi" w:cstheme="minorBidi"/>
          <w:snapToGrid/>
          <w:sz w:val="24"/>
          <w:szCs w:val="22"/>
        </w:rPr>
        <w:t>General Schedule,</w:t>
      </w:r>
      <w:r w:rsidR="000F4035" w:rsidRPr="000F4035">
        <w:rPr>
          <w:rFonts w:asciiTheme="minorHAnsi" w:eastAsiaTheme="minorHAnsi" w:hAnsiTheme="minorHAnsi" w:cstheme="minorBidi"/>
          <w:snapToGrid/>
          <w:sz w:val="24"/>
          <w:szCs w:val="22"/>
        </w:rPr>
        <w:t xml:space="preserve"> Authority Required</w:t>
      </w:r>
      <w:r w:rsidR="00384212">
        <w:rPr>
          <w:rFonts w:asciiTheme="minorHAnsi" w:eastAsiaTheme="minorHAnsi" w:hAnsiTheme="minorHAnsi" w:cstheme="minorBidi"/>
          <w:snapToGrid/>
          <w:sz w:val="24"/>
          <w:szCs w:val="22"/>
        </w:rPr>
        <w:t xml:space="preserve">, </w:t>
      </w:r>
      <w:r w:rsidR="000F4035" w:rsidRPr="000F4035">
        <w:rPr>
          <w:rFonts w:asciiTheme="minorHAnsi" w:eastAsiaTheme="minorHAnsi" w:hAnsiTheme="minorHAnsi" w:cstheme="minorBidi"/>
          <w:snapToGrid/>
          <w:sz w:val="24"/>
          <w:szCs w:val="22"/>
        </w:rPr>
        <w:t>listing for the treatment of platinum-sensitive relapsed ovarian</w:t>
      </w:r>
      <w:r w:rsidR="00F64E95">
        <w:rPr>
          <w:rFonts w:asciiTheme="minorHAnsi" w:eastAsiaTheme="minorHAnsi" w:hAnsiTheme="minorHAnsi" w:cstheme="minorBidi"/>
          <w:snapToGrid/>
          <w:sz w:val="24"/>
          <w:szCs w:val="22"/>
        </w:rPr>
        <w:t>, fallopian tube and primary peritoneal</w:t>
      </w:r>
      <w:r w:rsidR="000F4035" w:rsidRPr="000F4035">
        <w:rPr>
          <w:rFonts w:asciiTheme="minorHAnsi" w:eastAsiaTheme="minorHAnsi" w:hAnsiTheme="minorHAnsi" w:cstheme="minorBidi"/>
          <w:snapToGrid/>
          <w:sz w:val="24"/>
          <w:szCs w:val="22"/>
        </w:rPr>
        <w:t xml:space="preserve"> cancer in patients with </w:t>
      </w:r>
      <w:r w:rsidR="005B7082">
        <w:rPr>
          <w:rFonts w:asciiTheme="minorHAnsi" w:eastAsiaTheme="minorHAnsi" w:hAnsiTheme="minorHAnsi" w:cstheme="minorBidi"/>
          <w:snapToGrid/>
          <w:sz w:val="24"/>
          <w:szCs w:val="22"/>
        </w:rPr>
        <w:t xml:space="preserve">germline </w:t>
      </w:r>
      <w:r w:rsidR="00384212" w:rsidRPr="00A02603">
        <w:rPr>
          <w:rStyle w:val="3BodytextChar"/>
        </w:rPr>
        <w:t xml:space="preserve">BRCA1/2 </w:t>
      </w:r>
      <w:r w:rsidR="00486788" w:rsidRPr="00A02603">
        <w:rPr>
          <w:rStyle w:val="3BodytextChar"/>
        </w:rPr>
        <w:t xml:space="preserve">(BReast CAncer gene) </w:t>
      </w:r>
      <w:r w:rsidR="005B7082" w:rsidRPr="00A02603">
        <w:rPr>
          <w:rStyle w:val="3BodytextChar"/>
        </w:rPr>
        <w:t xml:space="preserve">mutations to also include patients with </w:t>
      </w:r>
      <w:r w:rsidR="000F4035" w:rsidRPr="00A02603">
        <w:rPr>
          <w:rStyle w:val="3BodytextChar"/>
        </w:rPr>
        <w:t>somatic BRCA1/2</w:t>
      </w:r>
      <w:r w:rsidR="000F4035" w:rsidRPr="000F4035">
        <w:rPr>
          <w:rFonts w:asciiTheme="minorHAnsi" w:eastAsiaTheme="minorHAnsi" w:hAnsiTheme="minorHAnsi" w:cstheme="minorBidi"/>
          <w:snapToGrid/>
          <w:sz w:val="24"/>
          <w:szCs w:val="22"/>
        </w:rPr>
        <w:t xml:space="preserve"> mutations. </w:t>
      </w:r>
    </w:p>
    <w:p w:rsidR="006A12A5" w:rsidRPr="00577C4D" w:rsidRDefault="006A12A5" w:rsidP="00D2781E">
      <w:pPr>
        <w:pStyle w:val="2Sections"/>
        <w:jc w:val="both"/>
      </w:pPr>
      <w:r w:rsidRPr="002B5596">
        <w:t>Requested listing</w:t>
      </w:r>
    </w:p>
    <w:p w:rsidR="005B7082" w:rsidRDefault="00EF44A0" w:rsidP="00D2781E">
      <w:pPr>
        <w:pStyle w:val="3Bodytext"/>
        <w:jc w:val="both"/>
      </w:pPr>
      <w:r w:rsidRPr="00E0207E">
        <w:t xml:space="preserve">The submission </w:t>
      </w:r>
      <w:r w:rsidR="00FF2801" w:rsidRPr="00E0207E">
        <w:t>requested</w:t>
      </w:r>
      <w:r w:rsidRPr="00E0207E">
        <w:t xml:space="preserve"> the </w:t>
      </w:r>
      <w:r w:rsidR="005B7082">
        <w:t>current</w:t>
      </w:r>
      <w:r w:rsidR="00E41A96">
        <w:t xml:space="preserve"> initial treatment</w:t>
      </w:r>
      <w:r w:rsidR="005B7082">
        <w:t xml:space="preserve"> restriction </w:t>
      </w:r>
      <w:r w:rsidR="00E41A96">
        <w:t xml:space="preserve">prescribing instructions </w:t>
      </w:r>
      <w:r w:rsidR="005B7082">
        <w:t xml:space="preserve">for olaparib tablet formulations (items 11522K and 11528R) be amended </w:t>
      </w:r>
      <w:r w:rsidR="000F1E78">
        <w:t>as follows</w:t>
      </w:r>
      <w:r w:rsidR="005B7082">
        <w:t>:</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7"/>
        <w:gridCol w:w="7036"/>
      </w:tblGrid>
      <w:tr w:rsidR="000F1E78" w:rsidRPr="00014B2D" w:rsidTr="00992C92">
        <w:tc>
          <w:tcPr>
            <w:tcW w:w="768" w:type="pct"/>
            <w:vAlign w:val="center"/>
            <w:hideMark/>
          </w:tcPr>
          <w:p w:rsidR="000F1E78" w:rsidRPr="00014B2D" w:rsidRDefault="000F1E78" w:rsidP="000F1E78">
            <w:pPr>
              <w:pStyle w:val="NormalWeb"/>
              <w:spacing w:before="0" w:beforeAutospacing="0" w:after="0" w:afterAutospacing="0"/>
              <w:jc w:val="center"/>
              <w:rPr>
                <w:rFonts w:ascii="Arial Narrow" w:hAnsi="Arial Narrow" w:cstheme="minorHAnsi"/>
                <w:b/>
                <w:color w:val="333333"/>
                <w:sz w:val="18"/>
                <w:szCs w:val="18"/>
              </w:rPr>
            </w:pPr>
            <w:r w:rsidRPr="00014B2D">
              <w:rPr>
                <w:rFonts w:ascii="Arial Narrow" w:hAnsi="Arial Narrow" w:cstheme="minorHAnsi"/>
                <w:b/>
                <w:color w:val="333333"/>
                <w:sz w:val="18"/>
                <w:szCs w:val="18"/>
              </w:rPr>
              <w:t>Concept ID:</w:t>
            </w:r>
          </w:p>
          <w:p w:rsidR="000F1E78" w:rsidRDefault="000F1E78" w:rsidP="000F1E78">
            <w:pPr>
              <w:pStyle w:val="NormalWeb"/>
              <w:spacing w:before="0" w:beforeAutospacing="0" w:after="0" w:afterAutospacing="0"/>
              <w:jc w:val="center"/>
              <w:rPr>
                <w:rFonts w:ascii="Arial Narrow" w:hAnsi="Arial Narrow" w:cstheme="minorHAnsi"/>
                <w:color w:val="333333"/>
                <w:sz w:val="18"/>
                <w:szCs w:val="18"/>
              </w:rPr>
            </w:pPr>
            <w:r>
              <w:rPr>
                <w:rFonts w:ascii="Arial Narrow" w:hAnsi="Arial Narrow" w:cstheme="minorHAnsi"/>
                <w:color w:val="333333"/>
                <w:sz w:val="18"/>
                <w:szCs w:val="18"/>
              </w:rPr>
              <w:t>Edit</w:t>
            </w:r>
          </w:p>
          <w:p w:rsidR="000F1E78" w:rsidRPr="00014B2D" w:rsidRDefault="000F1E78" w:rsidP="000F1E78">
            <w:pPr>
              <w:pStyle w:val="NormalWeb"/>
              <w:spacing w:before="0" w:beforeAutospacing="0" w:after="0" w:afterAutospacing="0"/>
              <w:jc w:val="center"/>
              <w:rPr>
                <w:rFonts w:ascii="Arial Narrow" w:hAnsi="Arial Narrow" w:cstheme="minorHAnsi"/>
                <w:color w:val="333333"/>
                <w:sz w:val="18"/>
                <w:szCs w:val="18"/>
              </w:rPr>
            </w:pPr>
            <w:r w:rsidRPr="00014B2D">
              <w:rPr>
                <w:rFonts w:ascii="Arial Narrow" w:hAnsi="Arial Narrow" w:cstheme="minorHAnsi"/>
                <w:color w:val="333333"/>
                <w:sz w:val="18"/>
                <w:szCs w:val="18"/>
              </w:rPr>
              <w:t>20143</w:t>
            </w:r>
          </w:p>
        </w:tc>
        <w:tc>
          <w:tcPr>
            <w:tcW w:w="4232" w:type="pct"/>
            <w:vAlign w:val="center"/>
            <w:hideMark/>
          </w:tcPr>
          <w:p w:rsidR="000F1E78" w:rsidRPr="00014B2D" w:rsidRDefault="000F1E78" w:rsidP="000F1E78">
            <w:pPr>
              <w:pStyle w:val="NormalWeb"/>
              <w:spacing w:before="0" w:beforeAutospacing="0" w:after="0" w:afterAutospacing="0"/>
              <w:rPr>
                <w:rFonts w:ascii="Arial Narrow" w:hAnsi="Arial Narrow" w:cstheme="minorHAnsi"/>
                <w:color w:val="333333"/>
                <w:sz w:val="18"/>
                <w:szCs w:val="18"/>
              </w:rPr>
            </w:pPr>
            <w:r w:rsidRPr="00014B2D">
              <w:rPr>
                <w:rStyle w:val="Strong"/>
                <w:rFonts w:ascii="Arial Narrow" w:hAnsi="Arial Narrow" w:cstheme="minorHAnsi"/>
                <w:color w:val="333333"/>
                <w:sz w:val="18"/>
                <w:szCs w:val="18"/>
              </w:rPr>
              <w:t>Prescribing Instructions:</w:t>
            </w:r>
          </w:p>
          <w:p w:rsidR="000F1E78" w:rsidRPr="00014B2D" w:rsidRDefault="000F1E78" w:rsidP="000F1E78">
            <w:pPr>
              <w:pStyle w:val="NormalWeb"/>
              <w:spacing w:before="0" w:beforeAutospacing="0" w:after="0" w:afterAutospacing="0"/>
              <w:rPr>
                <w:rFonts w:ascii="Arial Narrow" w:hAnsi="Arial Narrow" w:cstheme="minorHAnsi"/>
                <w:color w:val="333333"/>
                <w:sz w:val="18"/>
                <w:szCs w:val="18"/>
              </w:rPr>
            </w:pPr>
            <w:r w:rsidRPr="00014B2D">
              <w:rPr>
                <w:rFonts w:ascii="Arial Narrow" w:hAnsi="Arial Narrow" w:cstheme="minorHAnsi"/>
                <w:color w:val="333333"/>
                <w:sz w:val="18"/>
                <w:szCs w:val="18"/>
              </w:rPr>
              <w:t xml:space="preserve">Evidence of a BRCA1 or BRCA2 gene mutation must be derived through </w:t>
            </w:r>
            <w:r w:rsidRPr="00014B2D">
              <w:rPr>
                <w:rFonts w:ascii="Arial Narrow" w:hAnsi="Arial Narrow" w:cstheme="minorHAnsi"/>
                <w:strike/>
                <w:color w:val="333333"/>
                <w:sz w:val="18"/>
                <w:szCs w:val="18"/>
              </w:rPr>
              <w:t>germline testing</w:t>
            </w:r>
            <w:r>
              <w:rPr>
                <w:rFonts w:ascii="Arial Narrow" w:hAnsi="Arial Narrow" w:cstheme="minorHAnsi"/>
                <w:color w:val="333333"/>
                <w:sz w:val="18"/>
                <w:szCs w:val="18"/>
              </w:rPr>
              <w:t xml:space="preserve"> </w:t>
            </w:r>
            <w:r>
              <w:rPr>
                <w:rFonts w:ascii="Arial Narrow" w:hAnsi="Arial Narrow" w:cstheme="minorHAnsi"/>
                <w:i/>
                <w:color w:val="333333"/>
                <w:sz w:val="18"/>
                <w:szCs w:val="18"/>
              </w:rPr>
              <w:t>a test of blood or tumour tissue</w:t>
            </w:r>
            <w:r w:rsidRPr="00014B2D">
              <w:rPr>
                <w:rFonts w:ascii="Arial Narrow" w:hAnsi="Arial Narrow" w:cstheme="minorHAnsi"/>
                <w:color w:val="333333"/>
                <w:sz w:val="18"/>
                <w:szCs w:val="18"/>
              </w:rPr>
              <w:t>.</w:t>
            </w:r>
          </w:p>
        </w:tc>
      </w:tr>
    </w:tbl>
    <w:p w:rsidR="00EE5960" w:rsidRDefault="00EE5960" w:rsidP="00AA6261">
      <w:pPr>
        <w:pStyle w:val="Bodytextitalics"/>
        <w:numPr>
          <w:ilvl w:val="0"/>
          <w:numId w:val="0"/>
        </w:numPr>
        <w:ind w:left="720"/>
      </w:pPr>
    </w:p>
    <w:p w:rsidR="0039397E" w:rsidRDefault="0039397E" w:rsidP="00AA6261">
      <w:pPr>
        <w:pStyle w:val="Bodytextitalics"/>
        <w:numPr>
          <w:ilvl w:val="0"/>
          <w:numId w:val="0"/>
        </w:numPr>
        <w:ind w:left="720"/>
      </w:pPr>
      <w:r w:rsidRPr="0039397E">
        <w:t>For more detail on PBAC’s view, see section 7 PBAC outcome.</w:t>
      </w:r>
    </w:p>
    <w:p w:rsidR="00EE5960" w:rsidRDefault="00EE5960">
      <w:pPr>
        <w:rPr>
          <w:rFonts w:asciiTheme="minorHAnsi" w:eastAsiaTheme="minorHAnsi" w:hAnsiTheme="minorHAnsi" w:cstheme="minorBidi"/>
          <w:szCs w:val="22"/>
        </w:rPr>
      </w:pPr>
      <w:r>
        <w:rPr>
          <w:i/>
        </w:rPr>
        <w:br w:type="page"/>
      </w:r>
    </w:p>
    <w:p w:rsidR="000030AF" w:rsidRPr="00FD6D8E" w:rsidRDefault="00CE10C4" w:rsidP="00D2781E">
      <w:pPr>
        <w:pStyle w:val="2Sections"/>
        <w:jc w:val="both"/>
      </w:pPr>
      <w:r w:rsidRPr="002B5596">
        <w:lastRenderedPageBreak/>
        <w:t>Background</w:t>
      </w:r>
    </w:p>
    <w:p w:rsidR="009855A8" w:rsidRPr="003870C8" w:rsidRDefault="009855A8" w:rsidP="00D2781E">
      <w:pPr>
        <w:pStyle w:val="Heading2"/>
        <w:keepLines/>
        <w:spacing w:before="240" w:after="120"/>
        <w:jc w:val="both"/>
        <w:rPr>
          <w:rFonts w:asciiTheme="minorHAnsi" w:eastAsiaTheme="majorEastAsia" w:hAnsiTheme="minorHAnsi" w:cstheme="majorBidi"/>
          <w:i w:val="0"/>
          <w:sz w:val="28"/>
          <w:szCs w:val="28"/>
          <w:lang w:eastAsia="en-US"/>
        </w:rPr>
      </w:pPr>
      <w:r w:rsidRPr="003870C8">
        <w:rPr>
          <w:rFonts w:asciiTheme="minorHAnsi" w:eastAsiaTheme="majorEastAsia" w:hAnsiTheme="minorHAnsi" w:cstheme="majorBidi"/>
          <w:i w:val="0"/>
          <w:sz w:val="28"/>
          <w:szCs w:val="28"/>
          <w:lang w:eastAsia="en-US"/>
        </w:rPr>
        <w:t>Registration status</w:t>
      </w:r>
    </w:p>
    <w:p w:rsidR="00D21FFF" w:rsidRPr="003870C8" w:rsidRDefault="00F24C9C" w:rsidP="00D2781E">
      <w:pPr>
        <w:pStyle w:val="Bodytextitalics"/>
        <w:jc w:val="both"/>
        <w:rPr>
          <w:i w:val="0"/>
        </w:rPr>
      </w:pPr>
      <w:r w:rsidRPr="003870C8">
        <w:rPr>
          <w:i w:val="0"/>
        </w:rPr>
        <w:t xml:space="preserve">Olaparib </w:t>
      </w:r>
      <w:r w:rsidR="00D21FFF" w:rsidRPr="003870C8">
        <w:rPr>
          <w:i w:val="0"/>
        </w:rPr>
        <w:t>was approved by the TGA on 23 December 2015 with</w:t>
      </w:r>
      <w:r w:rsidRPr="003870C8">
        <w:rPr>
          <w:i w:val="0"/>
        </w:rPr>
        <w:t xml:space="preserve"> the following indication:</w:t>
      </w:r>
    </w:p>
    <w:p w:rsidR="00623A41" w:rsidRPr="003870C8" w:rsidRDefault="005A7C8F" w:rsidP="00D2781E">
      <w:pPr>
        <w:pStyle w:val="Bodytextitalics"/>
        <w:numPr>
          <w:ilvl w:val="0"/>
          <w:numId w:val="0"/>
        </w:numPr>
        <w:ind w:left="720"/>
        <w:jc w:val="both"/>
        <w:rPr>
          <w:i w:val="0"/>
        </w:rPr>
      </w:pPr>
      <w:r w:rsidRPr="003870C8">
        <w:rPr>
          <w:i w:val="0"/>
        </w:rPr>
        <w:t>“</w:t>
      </w:r>
      <w:r w:rsidR="00623A41" w:rsidRPr="003870C8">
        <w:rPr>
          <w:i w:val="0"/>
        </w:rPr>
        <w:t xml:space="preserve">maintenance treatment of women with BRCAm </w:t>
      </w:r>
      <w:r w:rsidR="00F71C88" w:rsidRPr="003870C8">
        <w:rPr>
          <w:i w:val="0"/>
        </w:rPr>
        <w:t xml:space="preserve">(BRCA mutation) </w:t>
      </w:r>
      <w:r w:rsidR="00623A41" w:rsidRPr="003870C8">
        <w:rPr>
          <w:i w:val="0"/>
        </w:rPr>
        <w:t>platinum-sensitive relapsed ovarian cancer who are in response (complete or partial) after platinum</w:t>
      </w:r>
      <w:r w:rsidR="00285ECF">
        <w:rPr>
          <w:i w:val="0"/>
        </w:rPr>
        <w:noBreakHyphen/>
      </w:r>
      <w:r w:rsidR="00623A41" w:rsidRPr="003870C8">
        <w:rPr>
          <w:i w:val="0"/>
        </w:rPr>
        <w:t>based chemotherapy. Prior treatments must have included at least two courses of platinum-based regimens.</w:t>
      </w:r>
      <w:r w:rsidRPr="003870C8">
        <w:rPr>
          <w:i w:val="0"/>
        </w:rPr>
        <w:t>”</w:t>
      </w:r>
      <w:r w:rsidR="00623A41" w:rsidRPr="003870C8">
        <w:rPr>
          <w:i w:val="0"/>
        </w:rPr>
        <w:t xml:space="preserve"> </w:t>
      </w:r>
    </w:p>
    <w:p w:rsidR="00ED31F9" w:rsidRPr="003870C8" w:rsidRDefault="00ED31F9" w:rsidP="00D2781E">
      <w:pPr>
        <w:pStyle w:val="Bodytextitalics"/>
        <w:jc w:val="both"/>
        <w:rPr>
          <w:i w:val="0"/>
        </w:rPr>
      </w:pPr>
      <w:r w:rsidRPr="003870C8">
        <w:rPr>
          <w:i w:val="0"/>
        </w:rPr>
        <w:t>The TGA subsequently removed the requirement for BRCAm testing in second-line maintenance therapy and the current second-line maintenance indication is:</w:t>
      </w:r>
    </w:p>
    <w:p w:rsidR="00D21FFF" w:rsidRPr="003870C8" w:rsidRDefault="005A7C8F" w:rsidP="00D2781E">
      <w:pPr>
        <w:pStyle w:val="Bodytextitalics"/>
        <w:numPr>
          <w:ilvl w:val="0"/>
          <w:numId w:val="0"/>
        </w:numPr>
        <w:ind w:left="720"/>
        <w:jc w:val="both"/>
        <w:rPr>
          <w:i w:val="0"/>
        </w:rPr>
      </w:pPr>
      <w:r w:rsidRPr="003870C8">
        <w:rPr>
          <w:i w:val="0"/>
        </w:rPr>
        <w:t>“</w:t>
      </w:r>
      <w:r w:rsidR="00D21FFF" w:rsidRPr="003870C8">
        <w:rPr>
          <w:i w:val="0"/>
        </w:rPr>
        <w:t>maintenance treatment of adult patients with platinum-sensitive relapsed high grade epithelial ovarian, fallopian tube or primary peritoneal cancer who are in response (complete response or partial response) after platinum-based chemotherapy. Prior treatment must have included at least 2 courses of platinum-based regimens.</w:t>
      </w:r>
      <w:r w:rsidRPr="003870C8">
        <w:rPr>
          <w:i w:val="0"/>
        </w:rPr>
        <w:t>”</w:t>
      </w:r>
      <w:r w:rsidR="00D21FFF" w:rsidRPr="003870C8">
        <w:rPr>
          <w:i w:val="0"/>
        </w:rPr>
        <w:t xml:space="preserve"> </w:t>
      </w:r>
    </w:p>
    <w:p w:rsidR="00D21FFF" w:rsidRPr="003870C8" w:rsidRDefault="00D21FFF" w:rsidP="00D2781E">
      <w:pPr>
        <w:pStyle w:val="Bodytextitalics"/>
        <w:jc w:val="both"/>
        <w:rPr>
          <w:i w:val="0"/>
        </w:rPr>
      </w:pPr>
      <w:r w:rsidRPr="003870C8">
        <w:rPr>
          <w:i w:val="0"/>
        </w:rPr>
        <w:t xml:space="preserve">Olaparib </w:t>
      </w:r>
      <w:r w:rsidR="001C71C5" w:rsidRPr="003870C8">
        <w:rPr>
          <w:i w:val="0"/>
        </w:rPr>
        <w:t>was approved by the TGA</w:t>
      </w:r>
      <w:r w:rsidRPr="003870C8">
        <w:rPr>
          <w:i w:val="0"/>
        </w:rPr>
        <w:t xml:space="preserve"> effective 21 June 2019 for the following additional indication:</w:t>
      </w:r>
    </w:p>
    <w:p w:rsidR="00F24C9C" w:rsidRPr="003870C8" w:rsidRDefault="005A7C8F" w:rsidP="00D2781E">
      <w:pPr>
        <w:pStyle w:val="Bodytextitalics"/>
        <w:numPr>
          <w:ilvl w:val="0"/>
          <w:numId w:val="0"/>
        </w:numPr>
        <w:ind w:left="720"/>
        <w:jc w:val="both"/>
        <w:rPr>
          <w:i w:val="0"/>
        </w:rPr>
      </w:pPr>
      <w:r w:rsidRPr="003870C8">
        <w:rPr>
          <w:i w:val="0"/>
        </w:rPr>
        <w:t>“</w:t>
      </w:r>
      <w:r w:rsidR="00F24C9C" w:rsidRPr="003870C8">
        <w:rPr>
          <w:i w:val="0"/>
        </w:rPr>
        <w:t>Maintenance treatment of adult patients with advanced BRCAm (germline or somatic) high-grade epithelial ovarian, fallopian tube or primary peritoneal cancer who are in response (complete response or partial response) to first-line platinum</w:t>
      </w:r>
      <w:r w:rsidR="00285ECF">
        <w:rPr>
          <w:i w:val="0"/>
        </w:rPr>
        <w:noBreakHyphen/>
      </w:r>
      <w:r w:rsidR="00F24C9C" w:rsidRPr="003870C8">
        <w:rPr>
          <w:i w:val="0"/>
        </w:rPr>
        <w:t>based chemotherapy. BRCAm status should be determined by an experienced laboratory using a validated test method.</w:t>
      </w:r>
      <w:r w:rsidRPr="003870C8">
        <w:rPr>
          <w:i w:val="0"/>
        </w:rPr>
        <w:t>”</w:t>
      </w:r>
    </w:p>
    <w:p w:rsidR="00724362" w:rsidRPr="003870C8" w:rsidRDefault="00724362" w:rsidP="00D2781E">
      <w:pPr>
        <w:pStyle w:val="Bodytextitalics"/>
        <w:jc w:val="both"/>
        <w:rPr>
          <w:i w:val="0"/>
        </w:rPr>
      </w:pPr>
      <w:r w:rsidRPr="003870C8">
        <w:rPr>
          <w:i w:val="0"/>
        </w:rPr>
        <w:t>Despite the key trial in the first-line maintenance setting (SOLO1) including only 2 patients with sBRCAm</w:t>
      </w:r>
      <w:r w:rsidR="00486788" w:rsidRPr="003870C8">
        <w:rPr>
          <w:i w:val="0"/>
        </w:rPr>
        <w:t xml:space="preserve"> (somatic BRCA mutation)</w:t>
      </w:r>
      <w:r w:rsidRPr="003870C8">
        <w:rPr>
          <w:i w:val="0"/>
        </w:rPr>
        <w:t>, the TGA,</w:t>
      </w:r>
      <w:r w:rsidR="00486788" w:rsidRPr="003870C8">
        <w:rPr>
          <w:i w:val="0"/>
        </w:rPr>
        <w:t xml:space="preserve"> US Food and Drug Administration (</w:t>
      </w:r>
      <w:r w:rsidRPr="003870C8">
        <w:rPr>
          <w:i w:val="0"/>
        </w:rPr>
        <w:t>FDA</w:t>
      </w:r>
      <w:r w:rsidR="00486788" w:rsidRPr="003870C8">
        <w:rPr>
          <w:i w:val="0"/>
        </w:rPr>
        <w:t>)</w:t>
      </w:r>
      <w:r w:rsidRPr="003870C8">
        <w:rPr>
          <w:i w:val="0"/>
        </w:rPr>
        <w:t xml:space="preserve"> and </w:t>
      </w:r>
      <w:r w:rsidR="00486788" w:rsidRPr="003870C8">
        <w:rPr>
          <w:i w:val="0"/>
        </w:rPr>
        <w:t>European Medicines Agency (</w:t>
      </w:r>
      <w:r w:rsidRPr="003870C8">
        <w:rPr>
          <w:i w:val="0"/>
        </w:rPr>
        <w:t>EMA</w:t>
      </w:r>
      <w:r w:rsidR="00486788" w:rsidRPr="003870C8">
        <w:rPr>
          <w:i w:val="0"/>
        </w:rPr>
        <w:t>)</w:t>
      </w:r>
      <w:r w:rsidRPr="003870C8">
        <w:rPr>
          <w:i w:val="0"/>
        </w:rPr>
        <w:t xml:space="preserve"> approved registration of olaparib for the proposed indication for both germline and somatic BRCAm. The TGA delegate’s summary noted the deficiency of patients with somatic mutations in SOLO1 and reasoned that:</w:t>
      </w:r>
    </w:p>
    <w:p w:rsidR="00724362" w:rsidRPr="003870C8" w:rsidRDefault="00724362" w:rsidP="00D2781E">
      <w:pPr>
        <w:pStyle w:val="Bodytextitalics"/>
        <w:numPr>
          <w:ilvl w:val="0"/>
          <w:numId w:val="0"/>
        </w:numPr>
        <w:ind w:left="720"/>
        <w:jc w:val="both"/>
        <w:rPr>
          <w:i w:val="0"/>
        </w:rPr>
      </w:pPr>
      <w:r w:rsidRPr="003870C8">
        <w:rPr>
          <w:i w:val="0"/>
        </w:rPr>
        <w:t>“…based on the similar disease process in germline and somatic BRCA-mutated ovarian cancer, the scientific rationale for similar responsiveness to PARPi and evidence from clinical studies[…] showing similar responsiveness to PARPi in patients with germline and somatic mutations in other lines of therapy, it is considered acceptable for the indication to include patients with germline or somatic BRCA mutations.”</w:t>
      </w:r>
    </w:p>
    <w:p w:rsidR="0012749D" w:rsidRPr="003870C8" w:rsidRDefault="0012749D" w:rsidP="00D2781E">
      <w:pPr>
        <w:pStyle w:val="Heading2"/>
        <w:keepLines/>
        <w:spacing w:before="240" w:after="120"/>
        <w:jc w:val="both"/>
        <w:rPr>
          <w:rFonts w:asciiTheme="minorHAnsi" w:eastAsiaTheme="majorEastAsia" w:hAnsiTheme="minorHAnsi" w:cstheme="majorBidi"/>
          <w:i w:val="0"/>
          <w:sz w:val="28"/>
          <w:szCs w:val="28"/>
          <w:lang w:eastAsia="en-US"/>
        </w:rPr>
      </w:pPr>
      <w:r w:rsidRPr="003870C8">
        <w:rPr>
          <w:rFonts w:asciiTheme="minorHAnsi" w:eastAsiaTheme="majorEastAsia" w:hAnsiTheme="minorHAnsi" w:cstheme="majorBidi"/>
          <w:i w:val="0"/>
          <w:sz w:val="28"/>
          <w:szCs w:val="28"/>
          <w:lang w:eastAsia="en-US"/>
        </w:rPr>
        <w:t xml:space="preserve">Previous PBAC </w:t>
      </w:r>
      <w:r w:rsidR="00AA6261">
        <w:rPr>
          <w:rFonts w:asciiTheme="minorHAnsi" w:eastAsiaTheme="majorEastAsia" w:hAnsiTheme="minorHAnsi" w:cstheme="majorBidi"/>
          <w:i w:val="0"/>
          <w:sz w:val="28"/>
          <w:szCs w:val="28"/>
          <w:lang w:eastAsia="en-US"/>
        </w:rPr>
        <w:t xml:space="preserve">and MSAC </w:t>
      </w:r>
      <w:r w:rsidR="00AB050B">
        <w:rPr>
          <w:rFonts w:asciiTheme="minorHAnsi" w:eastAsiaTheme="majorEastAsia" w:hAnsiTheme="minorHAnsi" w:cstheme="majorBidi"/>
          <w:i w:val="0"/>
          <w:sz w:val="28"/>
          <w:szCs w:val="28"/>
          <w:lang w:eastAsia="en-US"/>
        </w:rPr>
        <w:t>considerations</w:t>
      </w:r>
    </w:p>
    <w:p w:rsidR="002B0942" w:rsidRPr="003870C8" w:rsidRDefault="002B0942" w:rsidP="00D2781E">
      <w:pPr>
        <w:pStyle w:val="Bodytextitalics"/>
        <w:jc w:val="both"/>
        <w:rPr>
          <w:i w:val="0"/>
        </w:rPr>
      </w:pPr>
      <w:r w:rsidRPr="003870C8">
        <w:rPr>
          <w:i w:val="0"/>
        </w:rPr>
        <w:t>In March 2016</w:t>
      </w:r>
      <w:r w:rsidR="00AB050B">
        <w:rPr>
          <w:i w:val="0"/>
        </w:rPr>
        <w:t>,</w:t>
      </w:r>
      <w:r w:rsidRPr="003870C8">
        <w:rPr>
          <w:i w:val="0"/>
        </w:rPr>
        <w:t xml:space="preserve"> the </w:t>
      </w:r>
      <w:r w:rsidR="00D23155" w:rsidRPr="003870C8">
        <w:rPr>
          <w:i w:val="0"/>
        </w:rPr>
        <w:t xml:space="preserve">PBAC and </w:t>
      </w:r>
      <w:r w:rsidR="00F71C88" w:rsidRPr="003870C8">
        <w:rPr>
          <w:i w:val="0"/>
        </w:rPr>
        <w:t>Medical Services Advisory Committee (</w:t>
      </w:r>
      <w:r w:rsidR="00D23155" w:rsidRPr="003870C8">
        <w:rPr>
          <w:i w:val="0"/>
        </w:rPr>
        <w:t>MSAC</w:t>
      </w:r>
      <w:r w:rsidR="00F71C88" w:rsidRPr="003870C8">
        <w:rPr>
          <w:i w:val="0"/>
        </w:rPr>
        <w:t>)</w:t>
      </w:r>
      <w:r w:rsidR="00D23155" w:rsidRPr="003870C8">
        <w:rPr>
          <w:i w:val="0"/>
        </w:rPr>
        <w:t xml:space="preserve"> considered</w:t>
      </w:r>
      <w:r w:rsidRPr="003870C8">
        <w:rPr>
          <w:i w:val="0"/>
        </w:rPr>
        <w:t xml:space="preserve"> an integrated co-dependent application requesting:</w:t>
      </w:r>
    </w:p>
    <w:p w:rsidR="002B0942" w:rsidRPr="003870C8" w:rsidRDefault="002B0942" w:rsidP="00D2781E">
      <w:pPr>
        <w:pStyle w:val="Bulletpoints"/>
        <w:spacing w:after="120"/>
        <w:ind w:left="1105"/>
      </w:pPr>
      <w:r w:rsidRPr="003870C8">
        <w:t xml:space="preserve">Medicare Benefits Schedule (MBS) listing for BRCA mutation testing to </w:t>
      </w:r>
      <w:r w:rsidR="009105B1" w:rsidRPr="003870C8">
        <w:t xml:space="preserve">determine </w:t>
      </w:r>
      <w:r w:rsidR="009105B1" w:rsidRPr="003870C8">
        <w:lastRenderedPageBreak/>
        <w:t>eligibility for maintenance therapy with olaparib after response to second line platinum-based chemotherapy</w:t>
      </w:r>
      <w:r w:rsidRPr="003870C8">
        <w:t>; and</w:t>
      </w:r>
    </w:p>
    <w:p w:rsidR="002B0942" w:rsidRPr="003870C8" w:rsidRDefault="002B0942" w:rsidP="00D2781E">
      <w:pPr>
        <w:pStyle w:val="Bulletpoints"/>
        <w:spacing w:after="120"/>
        <w:ind w:left="1105"/>
        <w:rPr>
          <w:szCs w:val="22"/>
        </w:rPr>
      </w:pPr>
      <w:r w:rsidRPr="003870C8">
        <w:rPr>
          <w:szCs w:val="22"/>
        </w:rPr>
        <w:t xml:space="preserve">PBS listing of olaparib </w:t>
      </w:r>
      <w:r w:rsidR="009105B1" w:rsidRPr="003870C8">
        <w:t>after response to second line platinum-based chemotherapy in patients with high-grade epithelial ovarian cancer with a somatic or germline BRCA mutation.</w:t>
      </w:r>
    </w:p>
    <w:p w:rsidR="002B0942" w:rsidRPr="003870C8" w:rsidRDefault="002B0942" w:rsidP="00D2781E">
      <w:pPr>
        <w:pStyle w:val="3Bodytext"/>
        <w:jc w:val="both"/>
      </w:pPr>
      <w:r w:rsidRPr="003870C8">
        <w:t>At its March 201</w:t>
      </w:r>
      <w:r w:rsidR="009105B1" w:rsidRPr="003870C8">
        <w:t xml:space="preserve">6 meeting, MSAC noted that the </w:t>
      </w:r>
      <w:r w:rsidRPr="003870C8">
        <w:t>PBAC had deferred its decision on whether olaparib would be listed in the PBS. However, MSAC foreshadowed that, if the PBAC subsequently recommended olaparib for listing in the PBS, it would support the MBS funding of germline BRCA mutation testing to determine eligibility for olaparib</w:t>
      </w:r>
      <w:r w:rsidR="005A7C8F" w:rsidRPr="003870C8">
        <w:t xml:space="preserve"> second-</w:t>
      </w:r>
      <w:r w:rsidRPr="003870C8">
        <w:t>line maintenance treatment for women with platinum-se</w:t>
      </w:r>
      <w:r w:rsidR="005A7C8F" w:rsidRPr="003870C8">
        <w:t xml:space="preserve">nsitive relapsed ovarian cancer. </w:t>
      </w:r>
      <w:r w:rsidR="00D23155" w:rsidRPr="003870C8">
        <w:t>In November 2016, f</w:t>
      </w:r>
      <w:r w:rsidRPr="003870C8">
        <w:t xml:space="preserve">ollowing advice from the PBAC that it had recommended to the Minister that olaparib be listed </w:t>
      </w:r>
      <w:r w:rsidR="00AD7485" w:rsidRPr="003870C8">
        <w:t>o</w:t>
      </w:r>
      <w:r w:rsidRPr="003870C8">
        <w:t>n the PBS, MSAC supported the MBS funding of germline BRCA mutation testing.</w:t>
      </w:r>
    </w:p>
    <w:p w:rsidR="00D23155" w:rsidRPr="003870C8" w:rsidRDefault="00D23155" w:rsidP="00D2781E">
      <w:pPr>
        <w:pStyle w:val="Bodytextitalics"/>
        <w:jc w:val="both"/>
        <w:rPr>
          <w:i w:val="0"/>
        </w:rPr>
      </w:pPr>
      <w:r w:rsidRPr="003870C8">
        <w:rPr>
          <w:i w:val="0"/>
        </w:rPr>
        <w:t>In November 2019</w:t>
      </w:r>
      <w:r w:rsidR="00AB050B">
        <w:rPr>
          <w:i w:val="0"/>
        </w:rPr>
        <w:t>,</w:t>
      </w:r>
      <w:r w:rsidRPr="003870C8">
        <w:rPr>
          <w:i w:val="0"/>
        </w:rPr>
        <w:t xml:space="preserve"> the PBAC and MSAC considered an integrated co-de</w:t>
      </w:r>
      <w:r w:rsidR="00AB050B">
        <w:rPr>
          <w:i w:val="0"/>
        </w:rPr>
        <w:t>pendent application requesting:</w:t>
      </w:r>
    </w:p>
    <w:p w:rsidR="00AA44D7" w:rsidRPr="003870C8" w:rsidRDefault="00D23155" w:rsidP="00D2781E">
      <w:pPr>
        <w:pStyle w:val="Bulletpoints"/>
        <w:spacing w:after="120"/>
        <w:ind w:left="1105" w:hanging="425"/>
      </w:pPr>
      <w:r w:rsidRPr="003870C8">
        <w:t xml:space="preserve">MBS listing of germline BRCAm testing (Scenario 1) or tumour BRCAm testing (Scenario 2) for the evaluation of BRCA pathological or likely pathological variants </w:t>
      </w:r>
      <w:r w:rsidR="009105B1" w:rsidRPr="003870C8">
        <w:t>to determine eligibility for maintenance therapy with olaparib</w:t>
      </w:r>
      <w:r w:rsidR="00AA44D7" w:rsidRPr="003870C8">
        <w:t>;</w:t>
      </w:r>
      <w:r w:rsidRPr="003870C8">
        <w:t xml:space="preserve"> and </w:t>
      </w:r>
    </w:p>
    <w:p w:rsidR="00D23155" w:rsidRPr="003870C8" w:rsidRDefault="00D23155" w:rsidP="00D2781E">
      <w:pPr>
        <w:pStyle w:val="Bulletpoints"/>
        <w:spacing w:after="120"/>
        <w:ind w:left="1105" w:hanging="425"/>
      </w:pPr>
      <w:r w:rsidRPr="003870C8">
        <w:t>PBS listing of olaparib following response to first-line platinum-based chemotherapy for the treatment of advanced, high-grade epithelial ovarian cancer with a somatic or germline BRCAm.</w:t>
      </w:r>
    </w:p>
    <w:p w:rsidR="00D23155" w:rsidRPr="003870C8" w:rsidRDefault="005F7574" w:rsidP="00D2781E">
      <w:pPr>
        <w:pStyle w:val="Bodytextitalics"/>
        <w:jc w:val="both"/>
        <w:rPr>
          <w:i w:val="0"/>
        </w:rPr>
      </w:pPr>
      <w:r w:rsidRPr="003870C8">
        <w:rPr>
          <w:i w:val="0"/>
        </w:rPr>
        <w:t>In November 2019</w:t>
      </w:r>
      <w:r w:rsidR="00AB050B">
        <w:rPr>
          <w:i w:val="0"/>
        </w:rPr>
        <w:t>,</w:t>
      </w:r>
      <w:r w:rsidRPr="003870C8">
        <w:rPr>
          <w:i w:val="0"/>
        </w:rPr>
        <w:t xml:space="preserve"> the PBAC</w:t>
      </w:r>
      <w:r w:rsidR="00D23155" w:rsidRPr="003870C8">
        <w:rPr>
          <w:i w:val="0"/>
        </w:rPr>
        <w:t xml:space="preserve"> did not recommend olaparib for first-line maintenance treatment of ovarian, fallopian tube or primary peritoneal cancer. </w:t>
      </w:r>
      <w:r w:rsidR="002C01BC" w:rsidRPr="003870C8">
        <w:rPr>
          <w:i w:val="0"/>
        </w:rPr>
        <w:t>At it</w:t>
      </w:r>
      <w:r w:rsidR="00254083" w:rsidRPr="003870C8">
        <w:rPr>
          <w:i w:val="0"/>
        </w:rPr>
        <w:t>s December 2019 meeting, t</w:t>
      </w:r>
      <w:r w:rsidR="00D23155" w:rsidRPr="003870C8">
        <w:rPr>
          <w:i w:val="0"/>
        </w:rPr>
        <w:t xml:space="preserve">he PBAC noted that in November 2019, MSAC did not provide advice regarding a first-line listing given that </w:t>
      </w:r>
      <w:r w:rsidR="00AA6261">
        <w:rPr>
          <w:i w:val="0"/>
        </w:rPr>
        <w:t xml:space="preserve">the </w:t>
      </w:r>
      <w:r w:rsidR="00D23155" w:rsidRPr="003870C8">
        <w:rPr>
          <w:i w:val="0"/>
        </w:rPr>
        <w:t>PBAC rejected the submission</w:t>
      </w:r>
      <w:r w:rsidR="00AB050B">
        <w:rPr>
          <w:i w:val="0"/>
        </w:rPr>
        <w:t>, however</w:t>
      </w:r>
      <w:r w:rsidR="00D23155" w:rsidRPr="003870C8">
        <w:rPr>
          <w:i w:val="0"/>
        </w:rPr>
        <w:t xml:space="preserve"> MSAC did support changes to the related MBS items by adding somatic BRCA mutation testing to determine eligibility for the existing second-line PBS listing.</w:t>
      </w:r>
    </w:p>
    <w:p w:rsidR="00137464" w:rsidRDefault="00A62691" w:rsidP="00D2781E">
      <w:pPr>
        <w:pStyle w:val="Bodytextitalics"/>
        <w:jc w:val="both"/>
        <w:rPr>
          <w:i w:val="0"/>
          <w:lang w:eastAsia="en-US"/>
        </w:rPr>
      </w:pPr>
      <w:r w:rsidRPr="003870C8">
        <w:rPr>
          <w:i w:val="0"/>
          <w:lang w:eastAsia="en-US"/>
        </w:rPr>
        <w:t xml:space="preserve">In its consideration of the </w:t>
      </w:r>
      <w:r w:rsidR="008B6C12" w:rsidRPr="003870C8">
        <w:rPr>
          <w:i w:val="0"/>
          <w:lang w:eastAsia="en-US"/>
        </w:rPr>
        <w:t>March</w:t>
      </w:r>
      <w:r w:rsidRPr="003870C8">
        <w:rPr>
          <w:i w:val="0"/>
          <w:lang w:eastAsia="en-US"/>
        </w:rPr>
        <w:t xml:space="preserve"> 2016 submission for</w:t>
      </w:r>
      <w:r w:rsidR="00623A41" w:rsidRPr="003870C8">
        <w:rPr>
          <w:i w:val="0"/>
          <w:lang w:eastAsia="en-US"/>
        </w:rPr>
        <w:t xml:space="preserve"> olaparib following response to </w:t>
      </w:r>
      <w:r w:rsidR="008B6C12" w:rsidRPr="003870C8">
        <w:rPr>
          <w:i w:val="0"/>
          <w:lang w:eastAsia="en-US"/>
        </w:rPr>
        <w:t>second</w:t>
      </w:r>
      <w:r w:rsidR="00623A41" w:rsidRPr="003870C8">
        <w:rPr>
          <w:i w:val="0"/>
          <w:lang w:eastAsia="en-US"/>
        </w:rPr>
        <w:t xml:space="preserve">-line platinum-based chemotherapy, the PBAC </w:t>
      </w:r>
      <w:r w:rsidR="008B6C12" w:rsidRPr="003870C8">
        <w:rPr>
          <w:i w:val="0"/>
          <w:lang w:eastAsia="en-US"/>
        </w:rPr>
        <w:t>noted that</w:t>
      </w:r>
      <w:r w:rsidR="00337B69" w:rsidRPr="003870C8">
        <w:rPr>
          <w:i w:val="0"/>
          <w:lang w:eastAsia="en-US"/>
        </w:rPr>
        <w:t>, compared with germline BRCA testing,</w:t>
      </w:r>
      <w:r w:rsidR="008B6C12" w:rsidRPr="003870C8">
        <w:rPr>
          <w:i w:val="0"/>
          <w:lang w:eastAsia="en-US"/>
        </w:rPr>
        <w:t xml:space="preserve"> BRCA testing of tumour tissue is not standardised in current practice (paragraph 7.6, olaparib </w:t>
      </w:r>
      <w:r w:rsidR="008770CA">
        <w:rPr>
          <w:i w:val="0"/>
          <w:lang w:eastAsia="en-US"/>
        </w:rPr>
        <w:t>Public Summary Document (</w:t>
      </w:r>
      <w:r w:rsidR="008B6C12" w:rsidRPr="003870C8">
        <w:rPr>
          <w:i w:val="0"/>
          <w:lang w:eastAsia="en-US"/>
        </w:rPr>
        <w:t>PSD</w:t>
      </w:r>
      <w:r w:rsidR="008770CA">
        <w:rPr>
          <w:i w:val="0"/>
          <w:lang w:eastAsia="en-US"/>
        </w:rPr>
        <w:t>)</w:t>
      </w:r>
      <w:r w:rsidR="008B6C12" w:rsidRPr="003870C8">
        <w:rPr>
          <w:i w:val="0"/>
          <w:lang w:eastAsia="en-US"/>
        </w:rPr>
        <w:t>, March 2016)</w:t>
      </w:r>
      <w:r w:rsidR="00337B69" w:rsidRPr="003870C8">
        <w:rPr>
          <w:i w:val="0"/>
          <w:lang w:eastAsia="en-US"/>
        </w:rPr>
        <w:t xml:space="preserve">. </w:t>
      </w:r>
      <w:r w:rsidR="00137464" w:rsidRPr="003870C8">
        <w:rPr>
          <w:i w:val="0"/>
          <w:lang w:eastAsia="en-US"/>
        </w:rPr>
        <w:t xml:space="preserve">In its consideration of the November 2019 submission MSAC considered that its previous concerns about somatic BRCA testing compared to germline BRCA testing were adequately addressed and </w:t>
      </w:r>
      <w:bookmarkStart w:id="0" w:name="Editing"/>
      <w:bookmarkEnd w:id="0"/>
      <w:r w:rsidR="00137464" w:rsidRPr="003870C8">
        <w:rPr>
          <w:i w:val="0"/>
          <w:lang w:eastAsia="en-US"/>
        </w:rPr>
        <w:t xml:space="preserve">supported funding of somatic BRCA testing to help identify additional patients </w:t>
      </w:r>
      <w:r w:rsidR="00080C4D" w:rsidRPr="003870C8">
        <w:rPr>
          <w:i w:val="0"/>
          <w:lang w:eastAsia="en-US"/>
        </w:rPr>
        <w:t>who may be suitable for treatment with</w:t>
      </w:r>
      <w:r w:rsidR="00137464" w:rsidRPr="003870C8">
        <w:rPr>
          <w:i w:val="0"/>
          <w:lang w:eastAsia="en-US"/>
        </w:rPr>
        <w:t xml:space="preserve"> olaparib.</w:t>
      </w:r>
      <w:r w:rsidR="004C2294" w:rsidRPr="003870C8">
        <w:rPr>
          <w:i w:val="0"/>
          <w:lang w:eastAsia="en-US"/>
        </w:rPr>
        <w:t xml:space="preserve"> </w:t>
      </w:r>
      <w:r w:rsidR="00AA6261">
        <w:rPr>
          <w:i w:val="0"/>
          <w:lang w:eastAsia="en-US"/>
        </w:rPr>
        <w:t>The pre-PBAC response noted that the recommended modification</w:t>
      </w:r>
      <w:r w:rsidR="00AA6261" w:rsidRPr="00AA6261">
        <w:rPr>
          <w:i w:val="0"/>
          <w:lang w:eastAsia="en-US"/>
        </w:rPr>
        <w:t xml:space="preserve"> to the MBS item descriptors is agnostic to line of therapy and thus enables somatic BRCA testing to occu</w:t>
      </w:r>
      <w:r w:rsidR="00285ECF">
        <w:rPr>
          <w:i w:val="0"/>
          <w:lang w:eastAsia="en-US"/>
        </w:rPr>
        <w:t>r at diagnosis or in the second</w:t>
      </w:r>
      <w:r w:rsidR="00285ECF">
        <w:rPr>
          <w:i w:val="0"/>
          <w:lang w:eastAsia="en-US"/>
        </w:rPr>
        <w:noBreakHyphen/>
      </w:r>
      <w:r w:rsidR="00AA6261" w:rsidRPr="00AA6261">
        <w:rPr>
          <w:i w:val="0"/>
          <w:lang w:eastAsia="en-US"/>
        </w:rPr>
        <w:t>line setting.</w:t>
      </w:r>
    </w:p>
    <w:p w:rsidR="0039397E" w:rsidRPr="0039397E" w:rsidRDefault="0039397E" w:rsidP="0039397E">
      <w:pPr>
        <w:pStyle w:val="Bodytextitalics"/>
        <w:numPr>
          <w:ilvl w:val="0"/>
          <w:numId w:val="0"/>
        </w:numPr>
        <w:ind w:left="720"/>
      </w:pPr>
      <w:r w:rsidRPr="0039397E">
        <w:t>For more detail on PBAC’s view, see section 7 PBAC outcome.</w:t>
      </w:r>
    </w:p>
    <w:p w:rsidR="009909BB" w:rsidRDefault="009909BB" w:rsidP="00D2781E">
      <w:pPr>
        <w:pStyle w:val="2Sections"/>
        <w:jc w:val="both"/>
      </w:pPr>
      <w:r>
        <w:lastRenderedPageBreak/>
        <w:t>Population and disease</w:t>
      </w:r>
    </w:p>
    <w:p w:rsidR="00DF2D82" w:rsidRPr="003870C8" w:rsidRDefault="00E918FA" w:rsidP="00D2781E">
      <w:pPr>
        <w:pStyle w:val="Bodytextitalics"/>
        <w:jc w:val="both"/>
        <w:rPr>
          <w:i w:val="0"/>
        </w:rPr>
      </w:pPr>
      <w:r w:rsidRPr="003870C8">
        <w:rPr>
          <w:i w:val="0"/>
        </w:rPr>
        <w:t xml:space="preserve">The </w:t>
      </w:r>
      <w:r w:rsidRPr="003870C8">
        <w:rPr>
          <w:i w:val="0"/>
          <w:lang w:eastAsia="en-US"/>
        </w:rPr>
        <w:t>pivotal</w:t>
      </w:r>
      <w:r w:rsidRPr="003870C8">
        <w:rPr>
          <w:i w:val="0"/>
        </w:rPr>
        <w:t xml:space="preserve"> evidence leading to PBS reimbursem</w:t>
      </w:r>
      <w:r w:rsidR="00080C4D" w:rsidRPr="003870C8">
        <w:rPr>
          <w:i w:val="0"/>
        </w:rPr>
        <w:t>ent of olaparib in the platinum</w:t>
      </w:r>
      <w:r w:rsidR="00285ECF">
        <w:rPr>
          <w:i w:val="0"/>
        </w:rPr>
        <w:noBreakHyphen/>
      </w:r>
      <w:r w:rsidRPr="003870C8">
        <w:rPr>
          <w:i w:val="0"/>
        </w:rPr>
        <w:t xml:space="preserve">sensitive relapsed ovarian cancer setting </w:t>
      </w:r>
      <w:r w:rsidR="00DF2D82" w:rsidRPr="003870C8">
        <w:rPr>
          <w:i w:val="0"/>
        </w:rPr>
        <w:t xml:space="preserve">(second-line maintenance) </w:t>
      </w:r>
      <w:r w:rsidRPr="003870C8">
        <w:rPr>
          <w:i w:val="0"/>
        </w:rPr>
        <w:t xml:space="preserve">was from Study 19 (Ledermann 2012, 2014, 2016, Dougherty 2017). </w:t>
      </w:r>
      <w:r w:rsidR="004C2294" w:rsidRPr="003870C8">
        <w:rPr>
          <w:i w:val="0"/>
        </w:rPr>
        <w:t>The minor submission stated that i</w:t>
      </w:r>
      <w:r w:rsidRPr="003870C8">
        <w:rPr>
          <w:i w:val="0"/>
        </w:rPr>
        <w:t>n the most recent molecular analysis from Study 19, 114/209 (55%) platinum-sensitive relapsed (PSR) ovarian cancer patients carried a tumour BRCA mutation, 20 (9.6%) of which were somatic BRCA only (Dougherty et al. 2017). No mutations identified by blood-based germline testing in this study were identifie</w:t>
      </w:r>
      <w:r w:rsidR="00AB050B">
        <w:rPr>
          <w:i w:val="0"/>
        </w:rPr>
        <w:t>d by tumour testing as somatic.</w:t>
      </w:r>
    </w:p>
    <w:p w:rsidR="001B35E4" w:rsidRDefault="004C2294" w:rsidP="00D2781E">
      <w:pPr>
        <w:pStyle w:val="Bodytextitalics"/>
        <w:jc w:val="both"/>
        <w:rPr>
          <w:i w:val="0"/>
        </w:rPr>
      </w:pPr>
      <w:r>
        <w:rPr>
          <w:i w:val="0"/>
        </w:rPr>
        <w:t>The minor submission concluded that</w:t>
      </w:r>
      <w:r w:rsidR="00E918FA" w:rsidRPr="00E918FA">
        <w:rPr>
          <w:i w:val="0"/>
        </w:rPr>
        <w:t xml:space="preserve"> it is reasonable to estimate an additional 10% of patients could become eligible for olaparib treatment if this was extended to include patients with somatic BRCA1/2 mutations identifie</w:t>
      </w:r>
      <w:r w:rsidR="00AB050B">
        <w:rPr>
          <w:i w:val="0"/>
        </w:rPr>
        <w:t>d from a test of tumour tissue.</w:t>
      </w:r>
    </w:p>
    <w:p w:rsidR="00E7640D" w:rsidRPr="003870C8" w:rsidRDefault="008853A4" w:rsidP="00D2781E">
      <w:pPr>
        <w:pStyle w:val="Bodytextitalics"/>
        <w:jc w:val="both"/>
        <w:rPr>
          <w:i w:val="0"/>
          <w:szCs w:val="24"/>
        </w:rPr>
      </w:pPr>
      <w:bookmarkStart w:id="1" w:name="_Ref31979279"/>
      <w:r w:rsidRPr="003870C8">
        <w:rPr>
          <w:i w:val="0"/>
          <w:szCs w:val="24"/>
        </w:rPr>
        <w:t>The increase in patients identified by somatic BRCAm testing and eligible for olaparib treatment in the minor submission was based on the prevalence of somatic BRCAm from Study 19, in which 20/114 (17.5%) of BRCAm were somatic. A number of other sources for this estimate were identified in the evaluation of the November 2019 olaparib submission. Eight of the diagnostic accuracy studies included in the November 2019 submission reported data that enabled the proportion of germline and somatic BRCAm to be determined</w:t>
      </w:r>
      <w:r w:rsidRPr="00E94720">
        <w:rPr>
          <w:i w:val="0"/>
          <w:szCs w:val="24"/>
        </w:rPr>
        <w:t>. A</w:t>
      </w:r>
      <w:r w:rsidR="00E94720" w:rsidRPr="00E94720">
        <w:rPr>
          <w:i w:val="0"/>
          <w:szCs w:val="24"/>
        </w:rPr>
        <w:t>cross these studies, a</w:t>
      </w:r>
      <w:r w:rsidRPr="00E94720">
        <w:rPr>
          <w:i w:val="0"/>
          <w:szCs w:val="24"/>
        </w:rPr>
        <w:t xml:space="preserve"> median of 24.6% (range 14.3</w:t>
      </w:r>
      <w:r w:rsidR="00E94720" w:rsidRPr="00E94720">
        <w:rPr>
          <w:i w:val="0"/>
          <w:szCs w:val="24"/>
        </w:rPr>
        <w:t>%</w:t>
      </w:r>
      <w:r w:rsidRPr="00E94720">
        <w:rPr>
          <w:i w:val="0"/>
          <w:szCs w:val="24"/>
        </w:rPr>
        <w:t>−45.5</w:t>
      </w:r>
      <w:r w:rsidR="00E94720" w:rsidRPr="00E94720">
        <w:rPr>
          <w:i w:val="0"/>
          <w:szCs w:val="24"/>
        </w:rPr>
        <w:t>%</w:t>
      </w:r>
      <w:r w:rsidRPr="00E94720">
        <w:rPr>
          <w:i w:val="0"/>
          <w:szCs w:val="24"/>
        </w:rPr>
        <w:t xml:space="preserve">) of all BRCAm </w:t>
      </w:r>
      <w:r w:rsidR="00E94720" w:rsidRPr="00E94720">
        <w:rPr>
          <w:i w:val="0"/>
          <w:szCs w:val="24"/>
        </w:rPr>
        <w:t xml:space="preserve">identified </w:t>
      </w:r>
      <w:r w:rsidRPr="00E94720">
        <w:rPr>
          <w:i w:val="0"/>
          <w:szCs w:val="24"/>
        </w:rPr>
        <w:t xml:space="preserve">were somatic. </w:t>
      </w:r>
      <w:r w:rsidRPr="003870C8">
        <w:rPr>
          <w:i w:val="0"/>
          <w:szCs w:val="24"/>
        </w:rPr>
        <w:t>In six studies, s</w:t>
      </w:r>
      <w:r w:rsidR="00BD485C" w:rsidRPr="003870C8">
        <w:rPr>
          <w:i w:val="0"/>
          <w:szCs w:val="24"/>
        </w:rPr>
        <w:t xml:space="preserve">omatic </w:t>
      </w:r>
      <w:r w:rsidRPr="003870C8">
        <w:rPr>
          <w:i w:val="0"/>
          <w:szCs w:val="24"/>
        </w:rPr>
        <w:t xml:space="preserve">BRCAm were identified in a median of 7.9% (range 4.0−10.9) of women diagnosed with </w:t>
      </w:r>
      <w:r w:rsidR="00F71C88" w:rsidRPr="003870C8">
        <w:rPr>
          <w:i w:val="0"/>
          <w:szCs w:val="24"/>
        </w:rPr>
        <w:t>epithelial ovarian cancer (</w:t>
      </w:r>
      <w:r w:rsidRPr="003870C8">
        <w:rPr>
          <w:i w:val="0"/>
          <w:szCs w:val="24"/>
        </w:rPr>
        <w:t>EOC</w:t>
      </w:r>
      <w:r w:rsidR="00F71C88" w:rsidRPr="003870C8">
        <w:rPr>
          <w:i w:val="0"/>
          <w:szCs w:val="24"/>
        </w:rPr>
        <w:t>)</w:t>
      </w:r>
      <w:r w:rsidRPr="003870C8">
        <w:rPr>
          <w:i w:val="0"/>
          <w:szCs w:val="24"/>
        </w:rPr>
        <w:t xml:space="preserve">, </w:t>
      </w:r>
      <w:r w:rsidR="001A402D" w:rsidRPr="003870C8">
        <w:rPr>
          <w:i w:val="0"/>
          <w:szCs w:val="24"/>
        </w:rPr>
        <w:t>serous ovarian cancer (</w:t>
      </w:r>
      <w:r w:rsidRPr="003870C8">
        <w:rPr>
          <w:i w:val="0"/>
          <w:szCs w:val="24"/>
        </w:rPr>
        <w:t>SOC</w:t>
      </w:r>
      <w:r w:rsidR="001A402D" w:rsidRPr="003870C8">
        <w:rPr>
          <w:i w:val="0"/>
          <w:szCs w:val="24"/>
        </w:rPr>
        <w:t>)</w:t>
      </w:r>
      <w:r w:rsidRPr="003870C8">
        <w:rPr>
          <w:i w:val="0"/>
          <w:szCs w:val="24"/>
        </w:rPr>
        <w:t xml:space="preserve"> or </w:t>
      </w:r>
      <w:r w:rsidR="001A402D" w:rsidRPr="003870C8">
        <w:rPr>
          <w:i w:val="0"/>
          <w:szCs w:val="24"/>
        </w:rPr>
        <w:t>high grade serous ovarian cancer (</w:t>
      </w:r>
      <w:r w:rsidRPr="003870C8">
        <w:rPr>
          <w:i w:val="0"/>
          <w:szCs w:val="24"/>
        </w:rPr>
        <w:t>HGSOC</w:t>
      </w:r>
      <w:r w:rsidR="001A402D" w:rsidRPr="003870C8">
        <w:rPr>
          <w:i w:val="0"/>
          <w:szCs w:val="24"/>
        </w:rPr>
        <w:t>)</w:t>
      </w:r>
      <w:r w:rsidRPr="003870C8">
        <w:rPr>
          <w:i w:val="0"/>
          <w:szCs w:val="24"/>
        </w:rPr>
        <w:t>. For the two studies reporting on women with HGSOC, the median prevalence of somatic pathogenic variant</w:t>
      </w:r>
      <w:r w:rsidR="00DF2D82" w:rsidRPr="003870C8">
        <w:rPr>
          <w:i w:val="0"/>
          <w:szCs w:val="24"/>
        </w:rPr>
        <w:t>s was also 7.9% (range 6.4−9.3)</w:t>
      </w:r>
      <w:r w:rsidRPr="003870C8">
        <w:rPr>
          <w:i w:val="0"/>
          <w:szCs w:val="24"/>
        </w:rPr>
        <w:t xml:space="preserve"> (Olaparib November 2019 Commentary). This compares with 20/209 (9.6%) </w:t>
      </w:r>
      <w:r w:rsidR="00BD485C" w:rsidRPr="003870C8">
        <w:rPr>
          <w:i w:val="0"/>
          <w:szCs w:val="24"/>
        </w:rPr>
        <w:t xml:space="preserve">platinum-sensitive HGSOC </w:t>
      </w:r>
      <w:r w:rsidRPr="003870C8">
        <w:rPr>
          <w:i w:val="0"/>
          <w:szCs w:val="24"/>
        </w:rPr>
        <w:t>patients in Study 19.</w:t>
      </w:r>
      <w:bookmarkEnd w:id="1"/>
    </w:p>
    <w:p w:rsidR="008853A4" w:rsidRDefault="00E7640D" w:rsidP="00D2781E">
      <w:pPr>
        <w:pStyle w:val="Bodytextitalics"/>
        <w:jc w:val="both"/>
        <w:rPr>
          <w:i w:val="0"/>
          <w:szCs w:val="24"/>
        </w:rPr>
      </w:pPr>
      <w:r w:rsidRPr="003870C8">
        <w:rPr>
          <w:i w:val="0"/>
        </w:rPr>
        <w:t xml:space="preserve">MSAC considered that the number of extra women eligible for testing by including somatic </w:t>
      </w:r>
      <w:r w:rsidRPr="003870C8">
        <w:rPr>
          <w:i w:val="0"/>
          <w:iCs/>
        </w:rPr>
        <w:t>BRCA</w:t>
      </w:r>
      <w:r w:rsidRPr="003870C8">
        <w:rPr>
          <w:i w:val="0"/>
        </w:rPr>
        <w:t xml:space="preserve"> testing would be small and noted that somatic </w:t>
      </w:r>
      <w:r w:rsidRPr="003870C8">
        <w:rPr>
          <w:i w:val="0"/>
          <w:iCs/>
        </w:rPr>
        <w:t>BRCA</w:t>
      </w:r>
      <w:r w:rsidRPr="003870C8">
        <w:rPr>
          <w:i w:val="0"/>
        </w:rPr>
        <w:t xml:space="preserve"> testing is likely to detect about 5% more women with </w:t>
      </w:r>
      <w:r w:rsidRPr="003870C8">
        <w:rPr>
          <w:i w:val="0"/>
          <w:iCs/>
        </w:rPr>
        <w:t>BRCA</w:t>
      </w:r>
      <w:r w:rsidRPr="003870C8">
        <w:rPr>
          <w:i w:val="0"/>
        </w:rPr>
        <w:t xml:space="preserve"> pathogenic variants than detected by germline </w:t>
      </w:r>
      <w:r w:rsidRPr="003870C8">
        <w:rPr>
          <w:i w:val="0"/>
          <w:iCs/>
        </w:rPr>
        <w:t>BRCA</w:t>
      </w:r>
      <w:r w:rsidRPr="003870C8">
        <w:rPr>
          <w:i w:val="0"/>
        </w:rPr>
        <w:t xml:space="preserve"> testing alone </w:t>
      </w:r>
      <w:r w:rsidR="00F0788B" w:rsidRPr="003870C8">
        <w:rPr>
          <w:i w:val="0"/>
          <w:szCs w:val="24"/>
        </w:rPr>
        <w:t>(page 3, 1554</w:t>
      </w:r>
      <w:r w:rsidRPr="003870C8">
        <w:rPr>
          <w:i w:val="0"/>
          <w:szCs w:val="24"/>
        </w:rPr>
        <w:t xml:space="preserve"> – BRCA1/2</w:t>
      </w:r>
      <w:r w:rsidR="00F0788B" w:rsidRPr="003870C8">
        <w:rPr>
          <w:i w:val="0"/>
          <w:szCs w:val="24"/>
        </w:rPr>
        <w:t xml:space="preserve"> PSD, November 2019 MSAC meeting).</w:t>
      </w:r>
    </w:p>
    <w:p w:rsidR="00C37438" w:rsidRDefault="008770CA" w:rsidP="00D2781E">
      <w:pPr>
        <w:pStyle w:val="Bodytextitalics"/>
        <w:jc w:val="both"/>
        <w:rPr>
          <w:i w:val="0"/>
        </w:rPr>
      </w:pPr>
      <w:r>
        <w:rPr>
          <w:i w:val="0"/>
        </w:rPr>
        <w:t>The p</w:t>
      </w:r>
      <w:r w:rsidR="00C37438" w:rsidRPr="00C37438">
        <w:rPr>
          <w:i w:val="0"/>
        </w:rPr>
        <w:t xml:space="preserve">re-PBAC </w:t>
      </w:r>
      <w:r w:rsidR="00C37438">
        <w:rPr>
          <w:i w:val="0"/>
        </w:rPr>
        <w:t>response argued that Study 19 provides</w:t>
      </w:r>
      <w:r w:rsidR="00C37438" w:rsidRPr="00C37438">
        <w:rPr>
          <w:i w:val="0"/>
        </w:rPr>
        <w:t xml:space="preserve"> the most relevant data for the patient group who would access somatic BRCA testing in the second-line setting</w:t>
      </w:r>
      <w:r w:rsidR="00C37438">
        <w:rPr>
          <w:i w:val="0"/>
        </w:rPr>
        <w:t>.</w:t>
      </w:r>
    </w:p>
    <w:p w:rsidR="006A2C3B" w:rsidRDefault="006A2C3B" w:rsidP="00D2781E">
      <w:pPr>
        <w:pStyle w:val="Bodytextitalics"/>
        <w:jc w:val="both"/>
        <w:rPr>
          <w:i w:val="0"/>
        </w:rPr>
      </w:pPr>
      <w:r>
        <w:rPr>
          <w:i w:val="0"/>
        </w:rPr>
        <w:t xml:space="preserve">The PBAC </w:t>
      </w:r>
      <w:r w:rsidR="009518CD">
        <w:rPr>
          <w:i w:val="0"/>
        </w:rPr>
        <w:t>noted that the prevalence of s</w:t>
      </w:r>
      <w:r w:rsidR="00EA490B">
        <w:rPr>
          <w:i w:val="0"/>
        </w:rPr>
        <w:t xml:space="preserve">BRCAm varies in the literature. The PBAC identified four large studies, in which the prevalence of sBRCA ranged from 3% to </w:t>
      </w:r>
      <w:r w:rsidR="00EA490B">
        <w:rPr>
          <w:i w:val="0"/>
        </w:rPr>
        <w:lastRenderedPageBreak/>
        <w:t>7%</w:t>
      </w:r>
      <w:r w:rsidR="00EA490B" w:rsidRPr="00FD7830">
        <w:rPr>
          <w:rStyle w:val="FootnoteReference"/>
          <w:i w:val="0"/>
        </w:rPr>
        <w:footnoteReference w:id="1"/>
      </w:r>
      <w:r w:rsidR="00EA490B" w:rsidRPr="0034567F">
        <w:rPr>
          <w:i w:val="0"/>
          <w:vertAlign w:val="superscript"/>
        </w:rPr>
        <w:t>,</w:t>
      </w:r>
      <w:r w:rsidR="00EA490B" w:rsidRPr="00FD7830">
        <w:rPr>
          <w:rStyle w:val="FootnoteReference"/>
          <w:i w:val="0"/>
        </w:rPr>
        <w:footnoteReference w:id="2"/>
      </w:r>
      <w:r w:rsidR="00EA490B" w:rsidRPr="0034567F">
        <w:rPr>
          <w:i w:val="0"/>
          <w:vertAlign w:val="superscript"/>
        </w:rPr>
        <w:t>,</w:t>
      </w:r>
      <w:r w:rsidR="00EA490B" w:rsidRPr="00FD7830">
        <w:rPr>
          <w:rStyle w:val="FootnoteReference"/>
          <w:i w:val="0"/>
        </w:rPr>
        <w:footnoteReference w:id="3"/>
      </w:r>
      <w:r w:rsidR="008E20FA" w:rsidRPr="0034567F">
        <w:rPr>
          <w:i w:val="0"/>
          <w:vertAlign w:val="superscript"/>
        </w:rPr>
        <w:t>,</w:t>
      </w:r>
      <w:r w:rsidR="008E20FA">
        <w:rPr>
          <w:rStyle w:val="FootnoteReference"/>
          <w:i w:val="0"/>
        </w:rPr>
        <w:footnoteReference w:id="4"/>
      </w:r>
      <w:r w:rsidR="00EA490B">
        <w:rPr>
          <w:i w:val="0"/>
        </w:rPr>
        <w:t xml:space="preserve">. </w:t>
      </w:r>
      <w:r w:rsidR="009518CD">
        <w:rPr>
          <w:i w:val="0"/>
        </w:rPr>
        <w:t xml:space="preserve">The PBAC </w:t>
      </w:r>
      <w:r w:rsidR="00FD7830">
        <w:rPr>
          <w:i w:val="0"/>
        </w:rPr>
        <w:t xml:space="preserve">considered </w:t>
      </w:r>
      <w:r w:rsidR="00A921BC">
        <w:rPr>
          <w:i w:val="0"/>
        </w:rPr>
        <w:t xml:space="preserve">that 5% was </w:t>
      </w:r>
      <w:r w:rsidR="00587390">
        <w:rPr>
          <w:i w:val="0"/>
        </w:rPr>
        <w:t>the</w:t>
      </w:r>
      <w:r w:rsidR="00A921BC">
        <w:rPr>
          <w:i w:val="0"/>
        </w:rPr>
        <w:t xml:space="preserve"> reasonable estimate</w:t>
      </w:r>
      <w:r w:rsidR="007E17E2">
        <w:rPr>
          <w:i w:val="0"/>
        </w:rPr>
        <w:t xml:space="preserve"> of additional patients who would be identified through somatic BRCAm testing</w:t>
      </w:r>
      <w:r w:rsidR="00A921BC">
        <w:rPr>
          <w:i w:val="0"/>
        </w:rPr>
        <w:t xml:space="preserve"> based on the </w:t>
      </w:r>
      <w:r w:rsidR="007E17E2">
        <w:rPr>
          <w:i w:val="0"/>
        </w:rPr>
        <w:t xml:space="preserve">available </w:t>
      </w:r>
      <w:r w:rsidR="00A921BC">
        <w:rPr>
          <w:i w:val="0"/>
        </w:rPr>
        <w:t xml:space="preserve">literature and </w:t>
      </w:r>
      <w:r w:rsidR="00AB050B">
        <w:rPr>
          <w:i w:val="0"/>
        </w:rPr>
        <w:t>consistent with MSAC’s advice.</w:t>
      </w:r>
    </w:p>
    <w:p w:rsidR="0039397E" w:rsidRPr="0039397E" w:rsidRDefault="0039397E" w:rsidP="0039397E">
      <w:pPr>
        <w:pStyle w:val="Bodytextitalics"/>
        <w:numPr>
          <w:ilvl w:val="0"/>
          <w:numId w:val="0"/>
        </w:numPr>
        <w:ind w:left="720"/>
      </w:pPr>
      <w:r w:rsidRPr="0039397E">
        <w:t>For more detail on PBAC’s view, see section 7 PBAC outcome.</w:t>
      </w:r>
    </w:p>
    <w:p w:rsidR="005A3173" w:rsidRPr="00E060DC" w:rsidRDefault="005A3173" w:rsidP="00E060DC">
      <w:pPr>
        <w:pStyle w:val="2Sections"/>
      </w:pPr>
      <w:r w:rsidRPr="00E060DC">
        <w:t>Comparator</w:t>
      </w:r>
    </w:p>
    <w:p w:rsidR="0039397E" w:rsidRDefault="00180713" w:rsidP="0039397E">
      <w:pPr>
        <w:pStyle w:val="Bodytextitalics"/>
        <w:jc w:val="both"/>
        <w:rPr>
          <w:i w:val="0"/>
        </w:rPr>
      </w:pPr>
      <w:r w:rsidRPr="003870C8">
        <w:rPr>
          <w:i w:val="0"/>
        </w:rPr>
        <w:t xml:space="preserve">The previous major submission </w:t>
      </w:r>
      <w:r w:rsidR="009B1E5F" w:rsidRPr="003870C8">
        <w:rPr>
          <w:i w:val="0"/>
        </w:rPr>
        <w:t xml:space="preserve">for olaparib in second-line maintenance, </w:t>
      </w:r>
      <w:r w:rsidRPr="003870C8">
        <w:rPr>
          <w:i w:val="0"/>
        </w:rPr>
        <w:t xml:space="preserve">considered by the PBAC in </w:t>
      </w:r>
      <w:r w:rsidR="00BD485C" w:rsidRPr="003870C8">
        <w:rPr>
          <w:i w:val="0"/>
        </w:rPr>
        <w:t>November 2016</w:t>
      </w:r>
      <w:r w:rsidR="009B1E5F" w:rsidRPr="003870C8">
        <w:rPr>
          <w:i w:val="0"/>
        </w:rPr>
        <w:t>,</w:t>
      </w:r>
      <w:r w:rsidR="00095ADA" w:rsidRPr="003870C8">
        <w:rPr>
          <w:i w:val="0"/>
        </w:rPr>
        <w:t xml:space="preserve"> </w:t>
      </w:r>
      <w:r w:rsidRPr="003870C8">
        <w:rPr>
          <w:i w:val="0"/>
        </w:rPr>
        <w:t xml:space="preserve">nominated </w:t>
      </w:r>
      <w:r w:rsidR="00BD485C" w:rsidRPr="003870C8">
        <w:rPr>
          <w:i w:val="0"/>
        </w:rPr>
        <w:t>standard follow-up care as the comparator</w:t>
      </w:r>
      <w:r w:rsidR="00AB050B">
        <w:rPr>
          <w:i w:val="0"/>
        </w:rPr>
        <w:t>.</w:t>
      </w:r>
    </w:p>
    <w:p w:rsidR="0039397E" w:rsidRPr="0039397E" w:rsidRDefault="0039397E" w:rsidP="0039397E">
      <w:pPr>
        <w:pStyle w:val="Bodytextitalics"/>
        <w:numPr>
          <w:ilvl w:val="0"/>
          <w:numId w:val="0"/>
        </w:numPr>
        <w:ind w:left="720"/>
      </w:pPr>
      <w:r w:rsidRPr="0039397E">
        <w:t>For more detail on PBAC’s view, see section 7 PBAC outcome.</w:t>
      </w:r>
    </w:p>
    <w:p w:rsidR="000B558D" w:rsidRDefault="008D7A41" w:rsidP="00E060DC">
      <w:pPr>
        <w:pStyle w:val="2Sections"/>
      </w:pPr>
      <w:r w:rsidRPr="003C2FB5">
        <w:t>C</w:t>
      </w:r>
      <w:r w:rsidR="00D84934" w:rsidRPr="003C2FB5">
        <w:t>onsideration of the evidence</w:t>
      </w:r>
    </w:p>
    <w:p w:rsidR="0039397E" w:rsidRPr="00B706B8" w:rsidRDefault="0039397E" w:rsidP="00B706B8">
      <w:pPr>
        <w:pStyle w:val="Heading2"/>
        <w:keepLines/>
        <w:spacing w:before="240" w:after="120"/>
        <w:jc w:val="both"/>
        <w:rPr>
          <w:rFonts w:asciiTheme="minorHAnsi" w:eastAsiaTheme="majorEastAsia" w:hAnsiTheme="minorHAnsi" w:cstheme="majorBidi"/>
          <w:sz w:val="28"/>
          <w:szCs w:val="28"/>
          <w:lang w:eastAsia="en-US"/>
        </w:rPr>
      </w:pPr>
      <w:r w:rsidRPr="00B706B8">
        <w:rPr>
          <w:rFonts w:asciiTheme="minorHAnsi" w:eastAsiaTheme="majorEastAsia" w:hAnsiTheme="minorHAnsi" w:cstheme="majorBidi"/>
          <w:sz w:val="28"/>
          <w:szCs w:val="28"/>
          <w:lang w:eastAsia="en-US"/>
        </w:rPr>
        <w:t>Sponsor hearing</w:t>
      </w:r>
    </w:p>
    <w:p w:rsidR="0039397E" w:rsidRPr="00836F75" w:rsidRDefault="0039397E" w:rsidP="0039397E">
      <w:pPr>
        <w:widowControl w:val="0"/>
        <w:numPr>
          <w:ilvl w:val="1"/>
          <w:numId w:val="1"/>
        </w:numPr>
        <w:spacing w:after="120"/>
        <w:jc w:val="both"/>
        <w:rPr>
          <w:rFonts w:asciiTheme="minorHAnsi" w:hAnsiTheme="minorHAnsi" w:cs="Arial"/>
          <w:bCs/>
          <w:snapToGrid w:val="0"/>
        </w:rPr>
      </w:pPr>
      <w:r w:rsidRPr="00836F75">
        <w:rPr>
          <w:rFonts w:asciiTheme="minorHAnsi" w:hAnsiTheme="minorHAnsi" w:cs="Arial"/>
          <w:bCs/>
          <w:snapToGrid w:val="0"/>
        </w:rPr>
        <w:t>There was no hearing for this item as it was a minor submission.</w:t>
      </w:r>
    </w:p>
    <w:p w:rsidR="0039397E" w:rsidRPr="00B706B8" w:rsidRDefault="0039397E" w:rsidP="00B706B8">
      <w:pPr>
        <w:pStyle w:val="Heading2"/>
        <w:keepLines/>
        <w:spacing w:before="240" w:after="120"/>
        <w:jc w:val="both"/>
        <w:rPr>
          <w:rFonts w:asciiTheme="minorHAnsi" w:eastAsiaTheme="majorEastAsia" w:hAnsiTheme="minorHAnsi" w:cstheme="majorBidi"/>
          <w:sz w:val="28"/>
          <w:szCs w:val="28"/>
          <w:lang w:eastAsia="en-US"/>
        </w:rPr>
      </w:pPr>
      <w:r w:rsidRPr="00B706B8">
        <w:rPr>
          <w:rFonts w:asciiTheme="minorHAnsi" w:eastAsiaTheme="majorEastAsia" w:hAnsiTheme="minorHAnsi" w:cstheme="majorBidi"/>
          <w:sz w:val="28"/>
          <w:szCs w:val="28"/>
          <w:lang w:eastAsia="en-US"/>
        </w:rPr>
        <w:t>Consumer comments</w:t>
      </w:r>
    </w:p>
    <w:p w:rsidR="0039397E" w:rsidRPr="00836F75" w:rsidRDefault="0039397E" w:rsidP="0039397E">
      <w:pPr>
        <w:widowControl w:val="0"/>
        <w:numPr>
          <w:ilvl w:val="1"/>
          <w:numId w:val="1"/>
        </w:numPr>
        <w:spacing w:after="120"/>
        <w:jc w:val="both"/>
        <w:rPr>
          <w:rFonts w:asciiTheme="minorHAnsi" w:hAnsiTheme="minorHAnsi" w:cs="Arial"/>
          <w:bCs/>
          <w:snapToGrid w:val="0"/>
        </w:rPr>
      </w:pPr>
      <w:r w:rsidRPr="00836F75">
        <w:rPr>
          <w:rFonts w:asciiTheme="minorHAnsi" w:hAnsiTheme="minorHAnsi" w:cs="Arial"/>
          <w:bCs/>
          <w:snapToGrid w:val="0"/>
        </w:rPr>
        <w:t>The PBAC noted and welcomed the input from individuals (</w:t>
      </w:r>
      <w:r w:rsidR="008C5FF8">
        <w:rPr>
          <w:rFonts w:asciiTheme="minorHAnsi" w:hAnsiTheme="minorHAnsi" w:cs="Arial"/>
          <w:bCs/>
          <w:snapToGrid w:val="0"/>
        </w:rPr>
        <w:t xml:space="preserve">1) and </w:t>
      </w:r>
      <w:r w:rsidRPr="00836F75">
        <w:rPr>
          <w:rFonts w:asciiTheme="minorHAnsi" w:hAnsiTheme="minorHAnsi" w:cs="Arial"/>
          <w:bCs/>
          <w:snapToGrid w:val="0"/>
        </w:rPr>
        <w:t>organisations (1) via the Consumer Commen</w:t>
      </w:r>
      <w:r w:rsidR="00AB050B">
        <w:rPr>
          <w:rFonts w:asciiTheme="minorHAnsi" w:hAnsiTheme="minorHAnsi" w:cs="Arial"/>
          <w:bCs/>
          <w:snapToGrid w:val="0"/>
        </w:rPr>
        <w:t>ts facility on the PBS website.</w:t>
      </w:r>
    </w:p>
    <w:p w:rsidR="00250978" w:rsidRPr="00AB050B" w:rsidRDefault="008C5FF8" w:rsidP="00AA6261">
      <w:pPr>
        <w:widowControl w:val="0"/>
        <w:numPr>
          <w:ilvl w:val="1"/>
          <w:numId w:val="1"/>
        </w:numPr>
        <w:spacing w:after="120"/>
        <w:jc w:val="both"/>
        <w:rPr>
          <w:rFonts w:asciiTheme="minorHAnsi" w:hAnsiTheme="minorHAnsi" w:cstheme="minorHAnsi"/>
          <w:snapToGrid w:val="0"/>
        </w:rPr>
      </w:pPr>
      <w:r w:rsidRPr="00250978">
        <w:rPr>
          <w:rFonts w:asciiTheme="minorHAnsi" w:hAnsiTheme="minorHAnsi" w:cs="Arial"/>
          <w:bCs/>
          <w:snapToGrid w:val="0"/>
        </w:rPr>
        <w:t>The consumer comments noted that somatic testing is offered to women diagnosed w</w:t>
      </w:r>
      <w:r w:rsidR="00250978">
        <w:rPr>
          <w:rFonts w:asciiTheme="minorHAnsi" w:hAnsiTheme="minorHAnsi" w:cs="Arial"/>
          <w:bCs/>
          <w:snapToGrid w:val="0"/>
        </w:rPr>
        <w:t>ith ovarian cancer in the UK and</w:t>
      </w:r>
      <w:r w:rsidRPr="00250978">
        <w:rPr>
          <w:rFonts w:asciiTheme="minorHAnsi" w:hAnsiTheme="minorHAnsi" w:cs="Arial"/>
          <w:bCs/>
          <w:snapToGrid w:val="0"/>
        </w:rPr>
        <w:t xml:space="preserve"> urged that somatic testing of BRCA1/2 be made available for Austr</w:t>
      </w:r>
      <w:r w:rsidR="00250978" w:rsidRPr="00250978">
        <w:rPr>
          <w:rFonts w:asciiTheme="minorHAnsi" w:hAnsiTheme="minorHAnsi" w:cs="Arial"/>
          <w:bCs/>
          <w:snapToGrid w:val="0"/>
        </w:rPr>
        <w:t>alian women to identify patients who may benefit from certain treatme</w:t>
      </w:r>
      <w:r w:rsidR="00250978" w:rsidRPr="00AB050B">
        <w:rPr>
          <w:rFonts w:asciiTheme="minorHAnsi" w:hAnsiTheme="minorHAnsi" w:cstheme="minorHAnsi"/>
          <w:bCs/>
          <w:snapToGrid w:val="0"/>
        </w:rPr>
        <w:t>nts or clinical trials.</w:t>
      </w:r>
    </w:p>
    <w:p w:rsidR="0039397E" w:rsidRPr="00AB050B" w:rsidRDefault="0039397E" w:rsidP="00AA6261">
      <w:pPr>
        <w:widowControl w:val="0"/>
        <w:numPr>
          <w:ilvl w:val="1"/>
          <w:numId w:val="1"/>
        </w:numPr>
        <w:spacing w:after="120"/>
        <w:jc w:val="both"/>
        <w:rPr>
          <w:rFonts w:asciiTheme="minorHAnsi" w:hAnsiTheme="minorHAnsi" w:cstheme="minorHAnsi"/>
          <w:snapToGrid w:val="0"/>
        </w:rPr>
      </w:pPr>
      <w:r w:rsidRPr="00AB050B">
        <w:rPr>
          <w:rFonts w:asciiTheme="minorHAnsi" w:hAnsiTheme="minorHAnsi" w:cstheme="minorHAnsi"/>
          <w:snapToGrid w:val="0"/>
        </w:rPr>
        <w:t xml:space="preserve">The Medical Oncology Group of Australia (MOGA) also expressed its strong support for the </w:t>
      </w:r>
      <w:r w:rsidR="00B706B8" w:rsidRPr="00AB050B">
        <w:rPr>
          <w:rFonts w:asciiTheme="minorHAnsi" w:hAnsiTheme="minorHAnsi" w:cstheme="minorHAnsi"/>
          <w:snapToGrid w:val="0"/>
        </w:rPr>
        <w:t>olaparib</w:t>
      </w:r>
      <w:r w:rsidRPr="00AB050B">
        <w:rPr>
          <w:rFonts w:asciiTheme="minorHAnsi" w:hAnsiTheme="minorHAnsi" w:cstheme="minorHAnsi"/>
          <w:snapToGrid w:val="0"/>
        </w:rPr>
        <w:t xml:space="preserve"> submission, categorising it as one of the therapies of “high priority for PBS listing” on the basis of the </w:t>
      </w:r>
      <w:r w:rsidR="00B706B8" w:rsidRPr="00AB050B">
        <w:rPr>
          <w:rFonts w:asciiTheme="minorHAnsi" w:hAnsiTheme="minorHAnsi" w:cstheme="minorHAnsi"/>
          <w:snapToGrid w:val="0"/>
        </w:rPr>
        <w:t>SOLO1</w:t>
      </w:r>
      <w:r w:rsidRPr="00AB050B">
        <w:rPr>
          <w:rFonts w:asciiTheme="minorHAnsi" w:hAnsiTheme="minorHAnsi" w:cstheme="minorHAnsi"/>
          <w:snapToGrid w:val="0"/>
        </w:rPr>
        <w:t xml:space="preserve"> trial</w:t>
      </w:r>
      <w:r w:rsidR="00B706B8" w:rsidRPr="00AB050B">
        <w:rPr>
          <w:rFonts w:asciiTheme="minorHAnsi" w:hAnsiTheme="minorHAnsi" w:cstheme="minorHAnsi"/>
          <w:snapToGrid w:val="0"/>
        </w:rPr>
        <w:t>. It was not clear from MOGA’s advice whether support was for the proposed listing in second line treatment of patients with sBRCAm ovarian cancer as the SOLO1 trial was</w:t>
      </w:r>
      <w:r w:rsidR="00655D99" w:rsidRPr="00AB050B">
        <w:rPr>
          <w:rFonts w:asciiTheme="minorHAnsi" w:hAnsiTheme="minorHAnsi" w:cstheme="minorHAnsi"/>
          <w:snapToGrid w:val="0"/>
        </w:rPr>
        <w:t xml:space="preserve"> as first line treatment.</w:t>
      </w:r>
    </w:p>
    <w:p w:rsidR="00D84934" w:rsidRPr="00937958" w:rsidRDefault="00D84934" w:rsidP="00D2781E">
      <w:pPr>
        <w:pStyle w:val="Heading2"/>
        <w:keepLines/>
        <w:spacing w:before="240" w:after="120"/>
        <w:jc w:val="both"/>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lastRenderedPageBreak/>
        <w:t>Clinical trials</w:t>
      </w:r>
    </w:p>
    <w:p w:rsidR="000F6F8F" w:rsidRPr="00AC4136" w:rsidDel="00EE250B" w:rsidRDefault="000F6F8F" w:rsidP="000F6F8F">
      <w:pPr>
        <w:pStyle w:val="Bodytextitalics"/>
        <w:jc w:val="both"/>
        <w:rPr>
          <w:i w:val="0"/>
        </w:rPr>
      </w:pPr>
      <w:r w:rsidRPr="00AC4136" w:rsidDel="00EE250B">
        <w:rPr>
          <w:rFonts w:eastAsia="Calibri" w:cs="Times New Roman"/>
          <w:i w:val="0"/>
        </w:rPr>
        <w:t>The minor submission stated that the available evidence presented in the olaparib SOLO1 co-dependent submission indicates that patients with s</w:t>
      </w:r>
      <w:r w:rsidDel="00EE250B">
        <w:rPr>
          <w:rFonts w:eastAsia="Calibri" w:cs="Times New Roman"/>
          <w:i w:val="0"/>
        </w:rPr>
        <w:t xml:space="preserve">omatic </w:t>
      </w:r>
      <w:r w:rsidRPr="00AC4136" w:rsidDel="00EE250B">
        <w:rPr>
          <w:rFonts w:eastAsia="Calibri" w:cs="Times New Roman"/>
          <w:i w:val="0"/>
        </w:rPr>
        <w:t>BRCA and g</w:t>
      </w:r>
      <w:r w:rsidDel="00EE250B">
        <w:rPr>
          <w:rFonts w:eastAsia="Calibri" w:cs="Times New Roman"/>
          <w:i w:val="0"/>
        </w:rPr>
        <w:t xml:space="preserve">ermline </w:t>
      </w:r>
      <w:r w:rsidRPr="00AC4136" w:rsidDel="00EE250B">
        <w:rPr>
          <w:rFonts w:eastAsia="Calibri" w:cs="Times New Roman"/>
          <w:i w:val="0"/>
        </w:rPr>
        <w:t>BRCA mutations respond similarly to PARP inhibitor treatment.</w:t>
      </w:r>
    </w:p>
    <w:p w:rsidR="000F6F8F" w:rsidRPr="003870C8" w:rsidRDefault="000F6F8F" w:rsidP="000F6F8F">
      <w:pPr>
        <w:pStyle w:val="Bodytextitalics"/>
        <w:jc w:val="both"/>
        <w:rPr>
          <w:i w:val="0"/>
        </w:rPr>
      </w:pPr>
      <w:r w:rsidRPr="003870C8">
        <w:rPr>
          <w:i w:val="0"/>
        </w:rPr>
        <w:t>The minor submission did not re-present the clinical evidence supporting this claim. Details of the trials presented in the November 2019 submission to support this claim are provided in the table below.</w:t>
      </w:r>
    </w:p>
    <w:p w:rsidR="00E918FA" w:rsidRPr="003870C8" w:rsidRDefault="00724362" w:rsidP="00D2781E">
      <w:pPr>
        <w:pStyle w:val="Bodytextitalics"/>
        <w:jc w:val="both"/>
        <w:rPr>
          <w:i w:val="0"/>
        </w:rPr>
      </w:pPr>
      <w:r w:rsidRPr="003870C8">
        <w:rPr>
          <w:i w:val="0"/>
        </w:rPr>
        <w:t xml:space="preserve">The pivotal evidence presented in the </w:t>
      </w:r>
      <w:r w:rsidR="009909BB" w:rsidRPr="003870C8">
        <w:rPr>
          <w:i w:val="0"/>
        </w:rPr>
        <w:t xml:space="preserve">November </w:t>
      </w:r>
      <w:r w:rsidRPr="003870C8">
        <w:rPr>
          <w:i w:val="0"/>
        </w:rPr>
        <w:t xml:space="preserve">2019 submission for first-line maintenance olaparib was from SOLO1 (Moore et al 2018). This study included </w:t>
      </w:r>
      <w:r w:rsidR="00DF2D82" w:rsidRPr="003870C8">
        <w:rPr>
          <w:i w:val="0"/>
        </w:rPr>
        <w:t xml:space="preserve">only </w:t>
      </w:r>
      <w:r w:rsidRPr="003870C8">
        <w:rPr>
          <w:i w:val="0"/>
        </w:rPr>
        <w:t xml:space="preserve">two patients (2/391) with somatic </w:t>
      </w:r>
      <w:r w:rsidR="00DF2D82" w:rsidRPr="003870C8">
        <w:rPr>
          <w:i w:val="0"/>
        </w:rPr>
        <w:t>BRCAm</w:t>
      </w:r>
      <w:r w:rsidRPr="003870C8">
        <w:rPr>
          <w:i w:val="0"/>
        </w:rPr>
        <w:t>.</w:t>
      </w:r>
      <w:r w:rsidR="009909BB" w:rsidRPr="003870C8">
        <w:rPr>
          <w:i w:val="0"/>
        </w:rPr>
        <w:t xml:space="preserve"> Therefore, in order to demonstrate that patients with somatic BRCAm and germline BRCAm respond similarly to PARP inhibitors, the </w:t>
      </w:r>
      <w:r w:rsidR="004C2294" w:rsidRPr="003870C8">
        <w:rPr>
          <w:i w:val="0"/>
        </w:rPr>
        <w:t xml:space="preserve">submission </w:t>
      </w:r>
      <w:r w:rsidR="006842E9" w:rsidRPr="003870C8">
        <w:rPr>
          <w:i w:val="0"/>
        </w:rPr>
        <w:t xml:space="preserve">presented an indirect comparison of the treatment effect for </w:t>
      </w:r>
      <w:r w:rsidR="00CC72EA" w:rsidRPr="003870C8">
        <w:rPr>
          <w:i w:val="0"/>
        </w:rPr>
        <w:t xml:space="preserve">PARP inhibitors in patients with </w:t>
      </w:r>
      <w:r w:rsidR="006842E9" w:rsidRPr="003870C8">
        <w:rPr>
          <w:i w:val="0"/>
        </w:rPr>
        <w:t xml:space="preserve">germline vs somatic BRCAm, with placebo as a common reference arm. </w:t>
      </w:r>
      <w:r w:rsidR="004C2294" w:rsidRPr="003870C8">
        <w:rPr>
          <w:i w:val="0"/>
        </w:rPr>
        <w:t xml:space="preserve">This </w:t>
      </w:r>
      <w:r w:rsidR="00C6002D" w:rsidRPr="003870C8">
        <w:rPr>
          <w:rFonts w:ascii="Calibri" w:eastAsia="Calibri" w:hAnsi="Calibri" w:cs="Times New Roman"/>
          <w:i w:val="0"/>
        </w:rPr>
        <w:t>analysis included four RCTs comparing PARP inhibitor maintenance therapy with placebo: Study 19 and SOLO2 (olaparib), NOVA (niraparib), and ARIEL3 (rucaparib).</w:t>
      </w:r>
      <w:r w:rsidR="00CC72EA" w:rsidRPr="003870C8">
        <w:rPr>
          <w:rFonts w:ascii="Calibri" w:eastAsia="Calibri" w:hAnsi="Calibri" w:cs="Times New Roman"/>
          <w:i w:val="0"/>
        </w:rPr>
        <w:t xml:space="preserve"> </w:t>
      </w:r>
      <w:r w:rsidR="004E31FD" w:rsidRPr="003870C8">
        <w:rPr>
          <w:rFonts w:ascii="Calibri" w:eastAsia="Calibri" w:hAnsi="Calibri" w:cs="Times New Roman"/>
          <w:i w:val="0"/>
        </w:rPr>
        <w:t xml:space="preserve">All studies in this analysis were </w:t>
      </w:r>
      <w:r w:rsidR="00CC72EA" w:rsidRPr="003870C8">
        <w:rPr>
          <w:rFonts w:ascii="Calibri" w:eastAsia="Calibri" w:hAnsi="Calibri" w:cs="Times New Roman"/>
          <w:i w:val="0"/>
        </w:rPr>
        <w:t>in the second-line maintenance setting</w:t>
      </w:r>
      <w:r w:rsidR="004E31FD" w:rsidRPr="003870C8">
        <w:rPr>
          <w:rFonts w:ascii="Calibri" w:eastAsia="Calibri" w:hAnsi="Calibri" w:cs="Times New Roman"/>
          <w:i w:val="0"/>
        </w:rPr>
        <w:t xml:space="preserve">. For SOLO2 </w:t>
      </w:r>
      <w:r w:rsidR="00D424F6" w:rsidRPr="003870C8">
        <w:rPr>
          <w:rFonts w:ascii="Calibri" w:eastAsia="Calibri" w:hAnsi="Calibri" w:cs="Times New Roman"/>
          <w:i w:val="0"/>
        </w:rPr>
        <w:t>only the germline BRCAm subgroup was included in the meta-analy</w:t>
      </w:r>
      <w:r w:rsidR="004E31FD" w:rsidRPr="003870C8">
        <w:rPr>
          <w:rFonts w:ascii="Calibri" w:eastAsia="Calibri" w:hAnsi="Calibri" w:cs="Times New Roman"/>
          <w:i w:val="0"/>
        </w:rPr>
        <w:t>s</w:t>
      </w:r>
      <w:r w:rsidR="00D424F6" w:rsidRPr="003870C8">
        <w:rPr>
          <w:rFonts w:ascii="Calibri" w:eastAsia="Calibri" w:hAnsi="Calibri" w:cs="Times New Roman"/>
          <w:i w:val="0"/>
        </w:rPr>
        <w:t>is</w:t>
      </w:r>
      <w:r w:rsidR="006D5700" w:rsidRPr="003870C8">
        <w:rPr>
          <w:rFonts w:ascii="Calibri" w:eastAsia="Calibri" w:hAnsi="Calibri" w:cs="Times New Roman"/>
          <w:i w:val="0"/>
        </w:rPr>
        <w:t xml:space="preserve"> as no</w:t>
      </w:r>
      <w:r w:rsidR="004E31FD" w:rsidRPr="003870C8">
        <w:rPr>
          <w:rFonts w:ascii="Calibri" w:eastAsia="Calibri" w:hAnsi="Calibri" w:cs="Times New Roman"/>
          <w:i w:val="0"/>
        </w:rPr>
        <w:t xml:space="preserve"> patients with somatic BRCAm were included in the study</w:t>
      </w:r>
      <w:r w:rsidR="00CC72EA" w:rsidRPr="003870C8">
        <w:rPr>
          <w:rFonts w:ascii="Calibri" w:eastAsia="Calibri" w:hAnsi="Calibri" w:cs="Times New Roman"/>
          <w:i w:val="0"/>
        </w:rPr>
        <w:t>.</w:t>
      </w:r>
    </w:p>
    <w:p w:rsidR="00BF092C" w:rsidRDefault="00BF092C" w:rsidP="00992C92">
      <w:pPr>
        <w:pStyle w:val="TableHeading0"/>
        <w:widowControl w:val="0"/>
        <w:jc w:val="both"/>
      </w:pPr>
      <w:r>
        <w:lastRenderedPageBreak/>
        <w:t xml:space="preserve">Table </w:t>
      </w:r>
      <w:r w:rsidR="004D45C4">
        <w:rPr>
          <w:noProof/>
        </w:rPr>
        <w:t>1</w:t>
      </w:r>
      <w:r w:rsidR="009B6A1E">
        <w:t>:</w:t>
      </w:r>
      <w:r>
        <w:t xml:space="preserve"> </w:t>
      </w:r>
      <w:r w:rsidRPr="00100D45">
        <w:t>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rials and associated reports presented in the submission"/>
        <w:tblDescription w:val="List of trials and publications used in the submission"/>
      </w:tblPr>
      <w:tblGrid>
        <w:gridCol w:w="1430"/>
        <w:gridCol w:w="5370"/>
        <w:gridCol w:w="2216"/>
      </w:tblGrid>
      <w:tr w:rsidR="0076420C" w:rsidRPr="00F36CCB" w:rsidTr="00992C92">
        <w:trPr>
          <w:trHeight w:val="539"/>
          <w:tblHeader/>
        </w:trPr>
        <w:tc>
          <w:tcPr>
            <w:tcW w:w="793" w:type="pct"/>
          </w:tcPr>
          <w:p w:rsidR="0076420C" w:rsidRPr="00F36CCB" w:rsidRDefault="0076420C" w:rsidP="00992C92">
            <w:pPr>
              <w:pStyle w:val="NoSpacing"/>
              <w:keepNext/>
              <w:keepLines/>
              <w:widowControl w:val="0"/>
              <w:spacing w:before="40" w:after="40"/>
              <w:rPr>
                <w:rFonts w:ascii="Arial Narrow" w:hAnsi="Arial Narrow"/>
                <w:b/>
                <w:sz w:val="20"/>
              </w:rPr>
            </w:pPr>
            <w:r w:rsidRPr="00F36CCB">
              <w:rPr>
                <w:rFonts w:ascii="Arial Narrow" w:hAnsi="Arial Narrow"/>
                <w:b/>
                <w:sz w:val="20"/>
              </w:rPr>
              <w:t>Trial ID</w:t>
            </w:r>
            <w:r w:rsidR="006670BE">
              <w:rPr>
                <w:rFonts w:ascii="Arial Narrow" w:hAnsi="Arial Narrow"/>
                <w:b/>
                <w:sz w:val="20"/>
              </w:rPr>
              <w:t>/First Author</w:t>
            </w:r>
          </w:p>
        </w:tc>
        <w:tc>
          <w:tcPr>
            <w:tcW w:w="2978" w:type="pct"/>
          </w:tcPr>
          <w:p w:rsidR="0076420C" w:rsidRPr="00F36CCB" w:rsidRDefault="0076420C" w:rsidP="00992C92">
            <w:pPr>
              <w:keepNext/>
              <w:keepLines/>
              <w:widowControl w:val="0"/>
              <w:spacing w:before="40" w:after="40"/>
              <w:jc w:val="both"/>
              <w:rPr>
                <w:rFonts w:ascii="Arial Narrow" w:hAnsi="Arial Narrow"/>
                <w:b/>
                <w:sz w:val="20"/>
              </w:rPr>
            </w:pPr>
            <w:r w:rsidRPr="00F36CCB">
              <w:rPr>
                <w:rFonts w:ascii="Arial Narrow" w:hAnsi="Arial Narrow"/>
                <w:b/>
                <w:sz w:val="20"/>
              </w:rPr>
              <w:t>Protocol title/ Publication title</w:t>
            </w:r>
          </w:p>
        </w:tc>
        <w:tc>
          <w:tcPr>
            <w:tcW w:w="1229" w:type="pct"/>
          </w:tcPr>
          <w:p w:rsidR="0076420C" w:rsidRPr="00F36CCB" w:rsidRDefault="0076420C" w:rsidP="00992C92">
            <w:pPr>
              <w:keepNext/>
              <w:keepLines/>
              <w:widowControl w:val="0"/>
              <w:spacing w:before="40" w:after="40"/>
              <w:jc w:val="both"/>
              <w:rPr>
                <w:rFonts w:ascii="Arial Narrow" w:hAnsi="Arial Narrow"/>
                <w:b/>
                <w:sz w:val="20"/>
              </w:rPr>
            </w:pPr>
            <w:r w:rsidRPr="00F36CCB">
              <w:rPr>
                <w:rFonts w:ascii="Arial Narrow" w:hAnsi="Arial Narrow"/>
                <w:b/>
                <w:sz w:val="20"/>
              </w:rPr>
              <w:t>Publication citation</w:t>
            </w:r>
          </w:p>
        </w:tc>
      </w:tr>
      <w:tr w:rsidR="0076420C" w:rsidRPr="00F36CCB" w:rsidTr="00992C92">
        <w:trPr>
          <w:trHeight w:val="317"/>
        </w:trPr>
        <w:tc>
          <w:tcPr>
            <w:tcW w:w="5000" w:type="pct"/>
            <w:gridSpan w:val="3"/>
          </w:tcPr>
          <w:p w:rsidR="0076420C" w:rsidRPr="00F36CCB" w:rsidRDefault="0076420C" w:rsidP="00992C92">
            <w:pPr>
              <w:pStyle w:val="NoSpacing"/>
              <w:keepNext/>
              <w:keepLines/>
              <w:widowControl w:val="0"/>
              <w:spacing w:before="40" w:after="40"/>
              <w:rPr>
                <w:rFonts w:ascii="Arial Narrow" w:hAnsi="Arial Narrow"/>
                <w:b/>
                <w:sz w:val="20"/>
              </w:rPr>
            </w:pPr>
            <w:r w:rsidRPr="00F36CCB">
              <w:rPr>
                <w:rFonts w:ascii="Arial Narrow" w:hAnsi="Arial Narrow"/>
                <w:b/>
                <w:sz w:val="20"/>
              </w:rPr>
              <w:t>Direct randomised trial</w:t>
            </w:r>
            <w:r w:rsidR="00B176C8">
              <w:rPr>
                <w:rFonts w:ascii="Arial Narrow" w:hAnsi="Arial Narrow"/>
                <w:b/>
                <w:sz w:val="20"/>
              </w:rPr>
              <w:t>(</w:t>
            </w:r>
            <w:r w:rsidRPr="00F36CCB">
              <w:rPr>
                <w:rFonts w:ascii="Arial Narrow" w:hAnsi="Arial Narrow"/>
                <w:b/>
                <w:sz w:val="20"/>
              </w:rPr>
              <w:t>s</w:t>
            </w:r>
            <w:r w:rsidR="00B176C8">
              <w:rPr>
                <w:rFonts w:ascii="Arial Narrow" w:hAnsi="Arial Narrow"/>
                <w:b/>
                <w:sz w:val="20"/>
              </w:rPr>
              <w:t>)</w:t>
            </w:r>
          </w:p>
        </w:tc>
      </w:tr>
      <w:tr w:rsidR="00072F20" w:rsidRPr="00054269" w:rsidTr="00992C92">
        <w:tblPrEx>
          <w:tblCellMar>
            <w:left w:w="28" w:type="dxa"/>
            <w:right w:w="28" w:type="dxa"/>
          </w:tblCellMar>
        </w:tblPrEx>
        <w:trPr>
          <w:trHeight w:val="1021"/>
        </w:trPr>
        <w:tc>
          <w:tcPr>
            <w:tcW w:w="793" w:type="pct"/>
            <w:tcBorders>
              <w:top w:val="single" w:sz="4" w:space="0" w:color="auto"/>
              <w:left w:val="single" w:sz="4" w:space="0" w:color="auto"/>
              <w:bottom w:val="nil"/>
              <w:right w:val="single" w:sz="4" w:space="0" w:color="auto"/>
            </w:tcBorders>
          </w:tcPr>
          <w:p w:rsidR="00072F20" w:rsidRPr="00054269" w:rsidRDefault="00072F20" w:rsidP="00992C92">
            <w:pPr>
              <w:pStyle w:val="TableText0"/>
              <w:keepNext/>
              <w:keepLines/>
              <w:widowControl w:val="0"/>
              <w:ind w:left="113" w:right="113"/>
              <w:jc w:val="both"/>
            </w:pPr>
            <w:r w:rsidRPr="00054269">
              <w:t>Study 19</w:t>
            </w:r>
          </w:p>
        </w:tc>
        <w:tc>
          <w:tcPr>
            <w:tcW w:w="2978" w:type="pct"/>
            <w:tcBorders>
              <w:top w:val="single" w:sz="4" w:space="0" w:color="auto"/>
              <w:left w:val="single" w:sz="4" w:space="0" w:color="auto"/>
              <w:bottom w:val="nil"/>
              <w:right w:val="single" w:sz="4" w:space="0" w:color="auto"/>
            </w:tcBorders>
          </w:tcPr>
          <w:p w:rsidR="00072F20" w:rsidRPr="00054269" w:rsidRDefault="00072F20" w:rsidP="00992C92">
            <w:pPr>
              <w:pStyle w:val="TableText0"/>
              <w:keepNext/>
              <w:keepLines/>
              <w:widowControl w:val="0"/>
              <w:ind w:left="113" w:right="113"/>
              <w:jc w:val="both"/>
            </w:pPr>
            <w:r w:rsidRPr="00054269">
              <w:t>Phase II randomised, double blind, multicentre study to assess the efficacy of AZD2281 in the treatment of patients with platinum sensitive serous ovarian cancer following treatment with two or more platinum containing regimens.</w:t>
            </w:r>
          </w:p>
        </w:tc>
        <w:tc>
          <w:tcPr>
            <w:tcW w:w="1229" w:type="pct"/>
            <w:tcBorders>
              <w:top w:val="single" w:sz="4" w:space="0" w:color="auto"/>
              <w:left w:val="single" w:sz="4" w:space="0" w:color="auto"/>
              <w:bottom w:val="nil"/>
              <w:right w:val="single" w:sz="4" w:space="0" w:color="auto"/>
            </w:tcBorders>
          </w:tcPr>
          <w:p w:rsidR="00072F20" w:rsidRPr="00054269" w:rsidRDefault="00072F20" w:rsidP="00992C92">
            <w:pPr>
              <w:pStyle w:val="TableText0"/>
              <w:keepNext/>
              <w:keepLines/>
              <w:widowControl w:val="0"/>
              <w:ind w:left="113" w:right="113"/>
            </w:pPr>
            <w:r w:rsidRPr="00054269">
              <w:t>Clinical study report (CSR). 31 July 2013</w:t>
            </w:r>
          </w:p>
        </w:tc>
      </w:tr>
      <w:tr w:rsidR="00072F20" w:rsidRPr="00054269" w:rsidTr="00992C92">
        <w:tblPrEx>
          <w:tblCellMar>
            <w:left w:w="28" w:type="dxa"/>
            <w:right w:w="28" w:type="dxa"/>
          </w:tblCellMar>
        </w:tblPrEx>
        <w:trPr>
          <w:trHeight w:val="660"/>
        </w:trPr>
        <w:tc>
          <w:tcPr>
            <w:tcW w:w="793" w:type="pct"/>
            <w:tcBorders>
              <w:top w:val="nil"/>
              <w:left w:val="single" w:sz="4" w:space="0" w:color="auto"/>
              <w:bottom w:val="nil"/>
              <w:right w:val="single" w:sz="4" w:space="0" w:color="auto"/>
            </w:tcBorders>
          </w:tcPr>
          <w:p w:rsidR="00072F20" w:rsidRPr="00054269" w:rsidRDefault="00072F20" w:rsidP="00992C92">
            <w:pPr>
              <w:pStyle w:val="TableText0"/>
              <w:keepNext/>
              <w:keepLines/>
              <w:widowControl w:val="0"/>
              <w:jc w:val="both"/>
              <w:rPr>
                <w:color w:val="FFFFFF" w:themeColor="background1"/>
              </w:rPr>
            </w:pPr>
            <w:r w:rsidRPr="00054269">
              <w:rPr>
                <w:color w:val="FFFFFF" w:themeColor="background1"/>
              </w:rPr>
              <w:t>─</w:t>
            </w:r>
          </w:p>
        </w:tc>
        <w:tc>
          <w:tcPr>
            <w:tcW w:w="2978" w:type="pct"/>
            <w:tcBorders>
              <w:top w:val="nil"/>
              <w:left w:val="single" w:sz="4" w:space="0" w:color="auto"/>
              <w:bottom w:val="nil"/>
              <w:right w:val="single" w:sz="4" w:space="0" w:color="auto"/>
            </w:tcBorders>
          </w:tcPr>
          <w:p w:rsidR="00072F20" w:rsidRPr="00054269" w:rsidRDefault="00072F20" w:rsidP="00992C92">
            <w:pPr>
              <w:pStyle w:val="TableText0"/>
              <w:keepNext/>
              <w:keepLines/>
              <w:widowControl w:val="0"/>
              <w:ind w:left="113" w:right="113"/>
              <w:jc w:val="both"/>
            </w:pPr>
            <w:r w:rsidRPr="00054269">
              <w:t xml:space="preserve">Ledermann J, Harter P, Gourley C, </w:t>
            </w:r>
            <w:r w:rsidRPr="00054269">
              <w:rPr>
                <w:i/>
              </w:rPr>
              <w:t>et al</w:t>
            </w:r>
            <w:r w:rsidRPr="00054269">
              <w:t>. Olaparib maintenance therapy in platinum-sensitive relapsed ovarian cancer.</w:t>
            </w:r>
          </w:p>
        </w:tc>
        <w:tc>
          <w:tcPr>
            <w:tcW w:w="1229" w:type="pct"/>
            <w:tcBorders>
              <w:top w:val="nil"/>
              <w:left w:val="single" w:sz="4" w:space="0" w:color="auto"/>
              <w:bottom w:val="nil"/>
              <w:right w:val="single" w:sz="4" w:space="0" w:color="auto"/>
            </w:tcBorders>
          </w:tcPr>
          <w:p w:rsidR="00072F20" w:rsidRPr="00054269" w:rsidRDefault="00072F20" w:rsidP="00992C92">
            <w:pPr>
              <w:pStyle w:val="TableText0"/>
              <w:keepNext/>
              <w:keepLines/>
              <w:widowControl w:val="0"/>
              <w:ind w:left="113" w:right="113"/>
            </w:pPr>
            <w:r w:rsidRPr="00054269">
              <w:t>NEJM. 2012; 366(15):1382-1392.</w:t>
            </w:r>
          </w:p>
        </w:tc>
      </w:tr>
      <w:tr w:rsidR="00072F20" w:rsidRPr="00054269" w:rsidTr="00992C92">
        <w:tblPrEx>
          <w:tblCellMar>
            <w:left w:w="28" w:type="dxa"/>
            <w:right w:w="28" w:type="dxa"/>
          </w:tblCellMar>
        </w:tblPrEx>
        <w:trPr>
          <w:trHeight w:val="1020"/>
        </w:trPr>
        <w:tc>
          <w:tcPr>
            <w:tcW w:w="793" w:type="pct"/>
            <w:tcBorders>
              <w:top w:val="nil"/>
              <w:left w:val="single" w:sz="4" w:space="0" w:color="auto"/>
              <w:bottom w:val="nil"/>
              <w:right w:val="single" w:sz="4" w:space="0" w:color="auto"/>
            </w:tcBorders>
          </w:tcPr>
          <w:p w:rsidR="00072F20" w:rsidRPr="00054269" w:rsidRDefault="00072F20" w:rsidP="00992C92">
            <w:pPr>
              <w:pStyle w:val="TableText0"/>
              <w:keepNext/>
              <w:keepLines/>
              <w:widowControl w:val="0"/>
              <w:jc w:val="both"/>
              <w:rPr>
                <w:color w:val="FFFFFF" w:themeColor="background1"/>
              </w:rPr>
            </w:pPr>
            <w:r w:rsidRPr="00054269">
              <w:rPr>
                <w:color w:val="FFFFFF" w:themeColor="background1"/>
              </w:rPr>
              <w:t>─</w:t>
            </w:r>
          </w:p>
        </w:tc>
        <w:tc>
          <w:tcPr>
            <w:tcW w:w="2978" w:type="pct"/>
            <w:tcBorders>
              <w:top w:val="nil"/>
              <w:left w:val="single" w:sz="4" w:space="0" w:color="auto"/>
              <w:bottom w:val="nil"/>
              <w:right w:val="single" w:sz="4" w:space="0" w:color="auto"/>
            </w:tcBorders>
          </w:tcPr>
          <w:p w:rsidR="00072F20" w:rsidRPr="00054269" w:rsidRDefault="00072F20" w:rsidP="00992C92">
            <w:pPr>
              <w:pStyle w:val="TableText0"/>
              <w:keepNext/>
              <w:keepLines/>
              <w:widowControl w:val="0"/>
              <w:ind w:left="113" w:right="113"/>
              <w:jc w:val="both"/>
            </w:pPr>
            <w:r w:rsidRPr="00054269">
              <w:t xml:space="preserve">Ledermann J, Harter P, Gourley C, </w:t>
            </w:r>
            <w:r w:rsidRPr="00054269">
              <w:rPr>
                <w:i/>
              </w:rPr>
              <w:t>et al</w:t>
            </w:r>
            <w:r w:rsidRPr="00054269">
              <w:t xml:space="preserve">. Olaparib maintenance therapy in patients with platinum-sensitive relapsed serous ovarian cancer: A preplanned retrospective analysis of outcomes by </w:t>
            </w:r>
            <w:r w:rsidRPr="00DD446C">
              <w:t>BRCA</w:t>
            </w:r>
            <w:r w:rsidRPr="00054269">
              <w:t>m status in a randomised phase 2 trial.</w:t>
            </w:r>
          </w:p>
        </w:tc>
        <w:tc>
          <w:tcPr>
            <w:tcW w:w="1229" w:type="pct"/>
            <w:tcBorders>
              <w:top w:val="nil"/>
              <w:left w:val="single" w:sz="4" w:space="0" w:color="auto"/>
              <w:bottom w:val="nil"/>
              <w:right w:val="single" w:sz="4" w:space="0" w:color="auto"/>
            </w:tcBorders>
          </w:tcPr>
          <w:p w:rsidR="00072F20" w:rsidRPr="00054269" w:rsidRDefault="00072F20" w:rsidP="00992C92">
            <w:pPr>
              <w:pStyle w:val="TableText0"/>
              <w:keepNext/>
              <w:keepLines/>
              <w:widowControl w:val="0"/>
              <w:ind w:left="113" w:right="113"/>
            </w:pPr>
            <w:r w:rsidRPr="00054269">
              <w:t>The Lancet Oncol. 2014; 15(8):852-861.</w:t>
            </w:r>
          </w:p>
        </w:tc>
      </w:tr>
      <w:tr w:rsidR="00D424F6" w:rsidRPr="00054269" w:rsidTr="00992C92">
        <w:tblPrEx>
          <w:tblCellMar>
            <w:left w:w="28" w:type="dxa"/>
            <w:right w:w="28" w:type="dxa"/>
          </w:tblCellMar>
        </w:tblPrEx>
        <w:trPr>
          <w:trHeight w:val="888"/>
        </w:trPr>
        <w:tc>
          <w:tcPr>
            <w:tcW w:w="793" w:type="pct"/>
            <w:tcBorders>
              <w:top w:val="nil"/>
              <w:left w:val="single" w:sz="4" w:space="0" w:color="auto"/>
              <w:bottom w:val="single" w:sz="4" w:space="0" w:color="auto"/>
              <w:right w:val="single" w:sz="4" w:space="0" w:color="auto"/>
            </w:tcBorders>
          </w:tcPr>
          <w:p w:rsidR="00D424F6" w:rsidRPr="00054269" w:rsidRDefault="00D424F6" w:rsidP="00992C92">
            <w:pPr>
              <w:pStyle w:val="TableText0"/>
              <w:keepNext/>
              <w:keepLines/>
              <w:widowControl w:val="0"/>
              <w:jc w:val="both"/>
              <w:rPr>
                <w:color w:val="FFFFFF" w:themeColor="background1"/>
              </w:rPr>
            </w:pPr>
          </w:p>
        </w:tc>
        <w:tc>
          <w:tcPr>
            <w:tcW w:w="2978" w:type="pct"/>
            <w:tcBorders>
              <w:top w:val="nil"/>
              <w:left w:val="single" w:sz="4" w:space="0" w:color="auto"/>
              <w:bottom w:val="single" w:sz="4" w:space="0" w:color="auto"/>
              <w:right w:val="single" w:sz="4" w:space="0" w:color="auto"/>
            </w:tcBorders>
          </w:tcPr>
          <w:p w:rsidR="00D424F6" w:rsidRPr="004E31FD" w:rsidRDefault="00D424F6" w:rsidP="00992C92">
            <w:pPr>
              <w:pStyle w:val="TableText0"/>
              <w:keepNext/>
              <w:keepLines/>
              <w:widowControl w:val="0"/>
              <w:ind w:left="113" w:right="113"/>
              <w:jc w:val="both"/>
              <w:rPr>
                <w:i/>
              </w:rPr>
            </w:pPr>
            <w:r w:rsidRPr="004E31FD">
              <w:rPr>
                <w:i/>
              </w:rPr>
              <w:t>Dougherty, B. A., et al. (2017). "Biological and clinical evidence for somatic mutations in BRCA1 and BRCA2 as predictive markers for olaparib response in high-grade serous ovarian cancers in the maintenance setting."</w:t>
            </w:r>
          </w:p>
        </w:tc>
        <w:tc>
          <w:tcPr>
            <w:tcW w:w="1229" w:type="pct"/>
            <w:tcBorders>
              <w:top w:val="nil"/>
              <w:left w:val="single" w:sz="4" w:space="0" w:color="auto"/>
              <w:bottom w:val="single" w:sz="4" w:space="0" w:color="auto"/>
              <w:right w:val="single" w:sz="4" w:space="0" w:color="auto"/>
            </w:tcBorders>
          </w:tcPr>
          <w:p w:rsidR="00D424F6" w:rsidRPr="004E31FD" w:rsidRDefault="00D424F6" w:rsidP="00992C92">
            <w:pPr>
              <w:pStyle w:val="TableText0"/>
              <w:keepNext/>
              <w:keepLines/>
              <w:widowControl w:val="0"/>
              <w:ind w:left="113" w:right="113"/>
              <w:rPr>
                <w:i/>
              </w:rPr>
            </w:pPr>
            <w:r w:rsidRPr="004E31FD">
              <w:rPr>
                <w:i/>
              </w:rPr>
              <w:t>Oncotarget 8(27): 43653-43661</w:t>
            </w:r>
          </w:p>
        </w:tc>
      </w:tr>
      <w:tr w:rsidR="004E31FD" w:rsidRPr="00F36CCB" w:rsidTr="00992C92">
        <w:trPr>
          <w:trHeight w:val="317"/>
        </w:trPr>
        <w:tc>
          <w:tcPr>
            <w:tcW w:w="793" w:type="pct"/>
          </w:tcPr>
          <w:p w:rsidR="004E31FD" w:rsidRPr="000A44B2" w:rsidRDefault="004E31FD" w:rsidP="00AB050B">
            <w:pPr>
              <w:pStyle w:val="TableText0"/>
              <w:keepNext/>
              <w:keepLines/>
              <w:widowControl w:val="0"/>
              <w:jc w:val="both"/>
            </w:pPr>
            <w:r>
              <w:t>SOLO2</w:t>
            </w:r>
          </w:p>
        </w:tc>
        <w:tc>
          <w:tcPr>
            <w:tcW w:w="2978" w:type="pct"/>
          </w:tcPr>
          <w:p w:rsidR="004E31FD" w:rsidRPr="004E31FD" w:rsidRDefault="001C78A6" w:rsidP="00992C92">
            <w:pPr>
              <w:pStyle w:val="TableText0"/>
              <w:keepNext/>
              <w:keepLines/>
              <w:widowControl w:val="0"/>
              <w:jc w:val="both"/>
            </w:pPr>
            <w:r w:rsidRPr="00DC08B0">
              <w:t xml:space="preserve">Pujade-Lauraine, E., </w:t>
            </w:r>
            <w:r w:rsidRPr="001C78A6">
              <w:rPr>
                <w:i/>
              </w:rPr>
              <w:t>et al.</w:t>
            </w:r>
            <w:r w:rsidRPr="00DC08B0">
              <w:t xml:space="preserve"> (2017). "Olaparib tablets as maintenance therapy in patients with platinum-sensitive, relapsed ovarian cancer and a </w:t>
            </w:r>
            <w:r w:rsidRPr="00DE3011">
              <w:rPr>
                <w:i/>
              </w:rPr>
              <w:t>BRCA1/2</w:t>
            </w:r>
            <w:r w:rsidRPr="00DC08B0">
              <w:t xml:space="preserve"> mutation (SOLO2/ENGOT-Ov21): a double-blind, randomised, placebo-controlled, phase 3 trial." </w:t>
            </w:r>
          </w:p>
        </w:tc>
        <w:tc>
          <w:tcPr>
            <w:tcW w:w="1229" w:type="pct"/>
          </w:tcPr>
          <w:p w:rsidR="004E31FD" w:rsidRPr="004E31FD" w:rsidRDefault="001C78A6" w:rsidP="00992C92">
            <w:pPr>
              <w:pStyle w:val="TableText0"/>
              <w:keepNext/>
              <w:keepLines/>
              <w:widowControl w:val="0"/>
            </w:pPr>
            <w:r w:rsidRPr="00DC08B0">
              <w:t>Lancet Oncol 18(9): 1274-1284.</w:t>
            </w:r>
          </w:p>
        </w:tc>
      </w:tr>
      <w:tr w:rsidR="004E31FD" w:rsidRPr="00F36CCB" w:rsidTr="00992C92">
        <w:trPr>
          <w:trHeight w:val="317"/>
        </w:trPr>
        <w:tc>
          <w:tcPr>
            <w:tcW w:w="793" w:type="pct"/>
          </w:tcPr>
          <w:p w:rsidR="004E31FD" w:rsidRDefault="004E31FD" w:rsidP="00992C92">
            <w:pPr>
              <w:pStyle w:val="TableText0"/>
              <w:keepNext/>
              <w:keepLines/>
              <w:widowControl w:val="0"/>
              <w:jc w:val="both"/>
            </w:pPr>
            <w:r>
              <w:t>NOVA</w:t>
            </w:r>
          </w:p>
        </w:tc>
        <w:tc>
          <w:tcPr>
            <w:tcW w:w="2978" w:type="pct"/>
          </w:tcPr>
          <w:p w:rsidR="004E31FD" w:rsidRPr="004E31FD" w:rsidRDefault="001C78A6" w:rsidP="00992C92">
            <w:pPr>
              <w:pStyle w:val="TableText0"/>
              <w:keepNext/>
              <w:keepLines/>
              <w:widowControl w:val="0"/>
              <w:jc w:val="both"/>
            </w:pPr>
            <w:r w:rsidRPr="00A75368">
              <w:t>Mirza MR, Monk BJ, Herrstedt J, Oza AM, Mahner S, Redondo A, et al. Niraparib Maintenance Therapy in Platinum-Sensitive, Recurrent Ovarian Cancer..</w:t>
            </w:r>
          </w:p>
        </w:tc>
        <w:tc>
          <w:tcPr>
            <w:tcW w:w="1229" w:type="pct"/>
          </w:tcPr>
          <w:p w:rsidR="004E31FD" w:rsidRPr="004E31FD" w:rsidRDefault="001C78A6" w:rsidP="00992C92">
            <w:pPr>
              <w:pStyle w:val="TableText0"/>
              <w:keepNext/>
              <w:keepLines/>
              <w:widowControl w:val="0"/>
            </w:pPr>
            <w:r w:rsidRPr="00A75368">
              <w:t>N Engl J Med. 2016;375(22):2154-64</w:t>
            </w:r>
          </w:p>
        </w:tc>
      </w:tr>
      <w:tr w:rsidR="00072F20" w:rsidRPr="00F36CCB" w:rsidTr="00992C92">
        <w:trPr>
          <w:trHeight w:val="317"/>
        </w:trPr>
        <w:tc>
          <w:tcPr>
            <w:tcW w:w="793" w:type="pct"/>
          </w:tcPr>
          <w:p w:rsidR="00072F20" w:rsidRDefault="004E31FD" w:rsidP="00992C92">
            <w:pPr>
              <w:pStyle w:val="TableText0"/>
              <w:keepNext/>
              <w:keepLines/>
              <w:widowControl w:val="0"/>
              <w:jc w:val="both"/>
            </w:pPr>
            <w:r>
              <w:t>ARIEL3</w:t>
            </w:r>
          </w:p>
        </w:tc>
        <w:tc>
          <w:tcPr>
            <w:tcW w:w="2978" w:type="pct"/>
          </w:tcPr>
          <w:p w:rsidR="00072F20" w:rsidRPr="00F36CCB" w:rsidRDefault="001C78A6" w:rsidP="00992C92">
            <w:pPr>
              <w:pStyle w:val="TableText0"/>
              <w:keepNext/>
              <w:keepLines/>
              <w:widowControl w:val="0"/>
              <w:jc w:val="both"/>
              <w:rPr>
                <w:b/>
              </w:rPr>
            </w:pPr>
            <w:r w:rsidRPr="001C78A6">
              <w:t xml:space="preserve">Coleman RL, Oza AM, Lorusso D, Aghajanian C, Oaknin A, Dean A, et al. Rucaparib maintenance treatment for recurrent ovarian carcinoma after response to platinum therapy (ARIEL3): a randomised, double-blind, placebo-controlled, phase 3 trial. </w:t>
            </w:r>
          </w:p>
        </w:tc>
        <w:tc>
          <w:tcPr>
            <w:tcW w:w="1229" w:type="pct"/>
          </w:tcPr>
          <w:p w:rsidR="00072F20" w:rsidRPr="00F36CCB" w:rsidRDefault="001C78A6" w:rsidP="00992C92">
            <w:pPr>
              <w:pStyle w:val="TableText0"/>
              <w:keepNext/>
              <w:keepLines/>
              <w:widowControl w:val="0"/>
              <w:rPr>
                <w:b/>
              </w:rPr>
            </w:pPr>
            <w:r w:rsidRPr="001C78A6">
              <w:t>Lancet. 2017;390(10106):1949-61.</w:t>
            </w:r>
          </w:p>
        </w:tc>
      </w:tr>
    </w:tbl>
    <w:p w:rsidR="004D56E6" w:rsidRDefault="004D56E6" w:rsidP="00D2781E">
      <w:pPr>
        <w:pStyle w:val="Heading2"/>
        <w:keepLines/>
        <w:spacing w:before="240" w:after="120"/>
        <w:jc w:val="both"/>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 xml:space="preserve">Comparative </w:t>
      </w:r>
      <w:r w:rsidRPr="000214D1">
        <w:rPr>
          <w:rFonts w:asciiTheme="minorHAnsi" w:eastAsiaTheme="majorEastAsia" w:hAnsiTheme="minorHAnsi" w:cstheme="majorBidi"/>
          <w:sz w:val="28"/>
          <w:szCs w:val="28"/>
          <w:lang w:eastAsia="en-US"/>
        </w:rPr>
        <w:t>effectiveness</w:t>
      </w:r>
    </w:p>
    <w:p w:rsidR="00C6002D" w:rsidRPr="003870C8" w:rsidRDefault="00C6002D" w:rsidP="00992C92">
      <w:pPr>
        <w:pStyle w:val="3Bodytext"/>
        <w:jc w:val="both"/>
      </w:pPr>
      <w:r w:rsidRPr="003870C8">
        <w:t xml:space="preserve">The outcomes from the four studies that reported on the PFS (and OS in one study) for patients receiving olaparib maintenance therapy compared to placebo in HGSOC patents with either a germline or a somatic BRCAm are summarised in </w:t>
      </w:r>
      <w:r w:rsidR="009B6A1E" w:rsidRPr="003870C8">
        <w:t>Table 2</w:t>
      </w:r>
      <w:r w:rsidR="00AB050B">
        <w:t>.</w:t>
      </w:r>
    </w:p>
    <w:p w:rsidR="00C6002D" w:rsidRPr="00667287" w:rsidRDefault="00C6002D" w:rsidP="00D2781E">
      <w:pPr>
        <w:pStyle w:val="TableHeading0"/>
        <w:jc w:val="both"/>
      </w:pPr>
      <w:bookmarkStart w:id="2" w:name="_Ref15916746"/>
      <w:r w:rsidRPr="00667287">
        <w:lastRenderedPageBreak/>
        <w:t xml:space="preserve">Table </w:t>
      </w:r>
      <w:bookmarkEnd w:id="2"/>
      <w:r w:rsidR="004D45C4">
        <w:rPr>
          <w:noProof/>
        </w:rPr>
        <w:t>2</w:t>
      </w:r>
      <w:r w:rsidR="00462DB3">
        <w:rPr>
          <w:noProof/>
        </w:rPr>
        <w:t xml:space="preserve">: </w:t>
      </w:r>
      <w:r w:rsidRPr="00667287">
        <w:rPr>
          <w:noProof/>
        </w:rPr>
        <w:t xml:space="preserve">The clinical utility of the NGS </w:t>
      </w:r>
      <w:r w:rsidRPr="00AC547B">
        <w:rPr>
          <w:i/>
          <w:noProof/>
        </w:rPr>
        <w:t>BRCA</w:t>
      </w:r>
      <w:r w:rsidRPr="00667287">
        <w:rPr>
          <w:noProof/>
        </w:rPr>
        <w:t xml:space="preserve">m test to triage patients with somatic vs germline </w:t>
      </w:r>
      <w:r w:rsidRPr="00AC547B">
        <w:rPr>
          <w:i/>
          <w:noProof/>
        </w:rPr>
        <w:t>BRCA</w:t>
      </w:r>
      <w:r w:rsidRPr="00667287">
        <w:rPr>
          <w:noProof/>
        </w:rPr>
        <w:t xml:space="preserve">m </w:t>
      </w:r>
      <w:r>
        <w:rPr>
          <w:noProof/>
        </w:rPr>
        <w:t>for olaparib</w:t>
      </w:r>
    </w:p>
    <w:tbl>
      <w:tblPr>
        <w:tblStyle w:val="TableGrid"/>
        <w:tblW w:w="5000" w:type="pct"/>
        <w:tblLook w:val="04A0" w:firstRow="1" w:lastRow="0" w:firstColumn="1" w:lastColumn="0" w:noHBand="0" w:noVBand="1"/>
        <w:tblCaption w:val="Table 2: The clinical utility of the NGS BRCAm test to triage patients with somatic vs germline BRCAm for olaparib"/>
      </w:tblPr>
      <w:tblGrid>
        <w:gridCol w:w="1686"/>
        <w:gridCol w:w="2256"/>
        <w:gridCol w:w="5074"/>
      </w:tblGrid>
      <w:tr w:rsidR="00C6002D" w:rsidRPr="00462DB3" w:rsidTr="00E12A6F">
        <w:trPr>
          <w:tblHeader/>
        </w:trPr>
        <w:tc>
          <w:tcPr>
            <w:tcW w:w="935" w:type="pct"/>
            <w:tcBorders>
              <w:bottom w:val="single" w:sz="4" w:space="0" w:color="auto"/>
            </w:tcBorders>
            <w:shd w:val="clear" w:color="auto" w:fill="auto"/>
          </w:tcPr>
          <w:p w:rsidR="00C6002D" w:rsidRPr="00EA0A28" w:rsidRDefault="00C6002D" w:rsidP="00D2781E">
            <w:pPr>
              <w:pStyle w:val="TableText0"/>
              <w:keepNext/>
              <w:keepLines/>
              <w:jc w:val="both"/>
              <w:rPr>
                <w:b/>
              </w:rPr>
            </w:pPr>
            <w:r w:rsidRPr="00EA0A28">
              <w:rPr>
                <w:b/>
              </w:rPr>
              <w:t>Study</w:t>
            </w:r>
          </w:p>
        </w:tc>
        <w:tc>
          <w:tcPr>
            <w:tcW w:w="1251" w:type="pct"/>
            <w:tcBorders>
              <w:bottom w:val="single" w:sz="4" w:space="0" w:color="auto"/>
            </w:tcBorders>
            <w:shd w:val="clear" w:color="auto" w:fill="auto"/>
          </w:tcPr>
          <w:p w:rsidR="00C6002D" w:rsidRPr="00EA0A28" w:rsidRDefault="00C6002D" w:rsidP="00D2781E">
            <w:pPr>
              <w:pStyle w:val="TableText0"/>
              <w:keepNext/>
              <w:keepLines/>
              <w:jc w:val="both"/>
              <w:rPr>
                <w:b/>
              </w:rPr>
            </w:pPr>
            <w:r w:rsidRPr="00EA0A28">
              <w:rPr>
                <w:b/>
              </w:rPr>
              <w:t>Population</w:t>
            </w:r>
          </w:p>
        </w:tc>
        <w:tc>
          <w:tcPr>
            <w:tcW w:w="2814" w:type="pct"/>
            <w:tcBorders>
              <w:bottom w:val="single" w:sz="4" w:space="0" w:color="auto"/>
            </w:tcBorders>
            <w:shd w:val="clear" w:color="auto" w:fill="auto"/>
          </w:tcPr>
          <w:p w:rsidR="00C6002D" w:rsidRPr="00EA0A28" w:rsidRDefault="00C6002D" w:rsidP="00D2781E">
            <w:pPr>
              <w:pStyle w:val="TableText0"/>
              <w:keepNext/>
              <w:keepLines/>
              <w:jc w:val="both"/>
              <w:rPr>
                <w:b/>
              </w:rPr>
            </w:pPr>
            <w:r w:rsidRPr="00EA0A28">
              <w:rPr>
                <w:b/>
              </w:rPr>
              <w:t>Outcome</w:t>
            </w:r>
          </w:p>
        </w:tc>
      </w:tr>
      <w:tr w:rsidR="00C6002D" w:rsidRPr="00DC08B0" w:rsidTr="00E12A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935"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jc w:val="both"/>
            </w:pPr>
            <w:r w:rsidRPr="00DC08B0">
              <w:t>Dougherty et al 2017</w:t>
            </w:r>
          </w:p>
          <w:p w:rsidR="00C6002D" w:rsidRPr="00DC08B0" w:rsidRDefault="00C6002D" w:rsidP="00D2781E">
            <w:pPr>
              <w:pStyle w:val="TableText0"/>
              <w:keepNext/>
              <w:keepLines/>
              <w:jc w:val="both"/>
            </w:pPr>
            <w:r w:rsidRPr="00DC08B0">
              <w:t>Study 19</w:t>
            </w:r>
          </w:p>
        </w:tc>
        <w:tc>
          <w:tcPr>
            <w:tcW w:w="1251"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jc w:val="both"/>
            </w:pPr>
            <w:r w:rsidRPr="00DC08B0">
              <w:t>N=113 patients with platinum-sensitive HGSOC</w:t>
            </w:r>
          </w:p>
          <w:p w:rsidR="00C6002D" w:rsidRPr="00DC08B0" w:rsidRDefault="00C6002D" w:rsidP="00D2781E">
            <w:pPr>
              <w:pStyle w:val="TableText0"/>
              <w:keepNext/>
              <w:keepLines/>
              <w:jc w:val="both"/>
            </w:pPr>
            <w:r w:rsidRPr="00DC08B0">
              <w:t>(</w:t>
            </w:r>
            <w:r>
              <w:t>second</w:t>
            </w:r>
            <w:r w:rsidRPr="00DC08B0">
              <w:t>-line maintenance)</w:t>
            </w:r>
          </w:p>
        </w:tc>
        <w:tc>
          <w:tcPr>
            <w:tcW w:w="2814"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tabs>
                <w:tab w:val="left" w:pos="1310"/>
                <w:tab w:val="left" w:pos="2444"/>
                <w:tab w:val="left" w:pos="3578"/>
              </w:tabs>
              <w:jc w:val="both"/>
              <w:rPr>
                <w:b/>
              </w:rPr>
            </w:pPr>
            <w:r w:rsidRPr="00DC08B0">
              <w:rPr>
                <w:b/>
              </w:rPr>
              <w:t>PFS</w:t>
            </w:r>
            <w:r w:rsidRPr="00DC08B0">
              <w:rPr>
                <w:b/>
              </w:rPr>
              <w:tab/>
              <w:t>olaparib</w:t>
            </w:r>
            <w:r w:rsidRPr="00DC08B0">
              <w:rPr>
                <w:b/>
              </w:rPr>
              <w:tab/>
              <w:t>placebo</w:t>
            </w:r>
            <w:r w:rsidRPr="00DC08B0">
              <w:rPr>
                <w:b/>
              </w:rPr>
              <w:tab/>
              <w:t>HR (95%CI)</w:t>
            </w:r>
          </w:p>
          <w:p w:rsidR="00C6002D" w:rsidRPr="00DC08B0" w:rsidRDefault="00C6002D" w:rsidP="00D2781E">
            <w:pPr>
              <w:pStyle w:val="TableText0"/>
              <w:keepNext/>
              <w:keepLines/>
              <w:tabs>
                <w:tab w:val="left" w:pos="1310"/>
                <w:tab w:val="left" w:pos="2444"/>
                <w:tab w:val="left" w:pos="3578"/>
              </w:tabs>
              <w:jc w:val="both"/>
            </w:pPr>
            <w:r w:rsidRPr="00DC08B0">
              <w:t>s</w:t>
            </w:r>
            <w:r w:rsidRPr="00F172AA">
              <w:rPr>
                <w:i/>
              </w:rPr>
              <w:t>BRCA</w:t>
            </w:r>
            <w:r w:rsidRPr="00DC08B0">
              <w:t>m</w:t>
            </w:r>
            <w:r w:rsidRPr="00DC08B0">
              <w:tab/>
              <w:t>3/10 (30%)</w:t>
            </w:r>
            <w:r w:rsidRPr="00DC08B0">
              <w:tab/>
              <w:t>8/10 (80%)</w:t>
            </w:r>
            <w:r w:rsidRPr="00DC08B0">
              <w:tab/>
              <w:t>0.23 (0.04, 1.12)</w:t>
            </w:r>
          </w:p>
          <w:p w:rsidR="00C6002D" w:rsidRPr="00DC08B0" w:rsidRDefault="00C6002D" w:rsidP="00D2781E">
            <w:pPr>
              <w:pStyle w:val="TableText0"/>
              <w:keepNext/>
              <w:keepLines/>
              <w:tabs>
                <w:tab w:val="left" w:pos="1310"/>
                <w:tab w:val="left" w:pos="2444"/>
                <w:tab w:val="left" w:pos="3578"/>
              </w:tabs>
              <w:jc w:val="both"/>
            </w:pPr>
            <w:r w:rsidRPr="00DC08B0">
              <w:t>g</w:t>
            </w:r>
            <w:r w:rsidRPr="00F172AA">
              <w:rPr>
                <w:i/>
              </w:rPr>
              <w:t>BRCA</w:t>
            </w:r>
            <w:r w:rsidRPr="00DC08B0">
              <w:t>m</w:t>
            </w:r>
            <w:r w:rsidRPr="00DC08B0">
              <w:tab/>
              <w:t>16/49 (33%)</w:t>
            </w:r>
            <w:r w:rsidRPr="00DC08B0">
              <w:tab/>
              <w:t>30/44 (68%)</w:t>
            </w:r>
            <w:r w:rsidRPr="00DC08B0">
              <w:tab/>
              <w:t>0.17 (0.09, 0.34)</w:t>
            </w:r>
          </w:p>
          <w:p w:rsidR="00C6002D" w:rsidRPr="00DC08B0" w:rsidRDefault="00C6002D" w:rsidP="00D2781E">
            <w:pPr>
              <w:pStyle w:val="TableText0"/>
              <w:keepNext/>
              <w:keepLines/>
              <w:tabs>
                <w:tab w:val="left" w:pos="1310"/>
                <w:tab w:val="left" w:pos="2444"/>
                <w:tab w:val="left" w:pos="3578"/>
              </w:tabs>
              <w:jc w:val="both"/>
              <w:rPr>
                <w:b/>
              </w:rPr>
            </w:pPr>
            <w:r w:rsidRPr="00DC08B0">
              <w:rPr>
                <w:b/>
              </w:rPr>
              <w:t>OS</w:t>
            </w:r>
            <w:r w:rsidRPr="00DC08B0">
              <w:rPr>
                <w:b/>
              </w:rPr>
              <w:tab/>
              <w:t>olaparib</w:t>
            </w:r>
            <w:r w:rsidRPr="00DC08B0">
              <w:rPr>
                <w:b/>
              </w:rPr>
              <w:tab/>
              <w:t>placebo</w:t>
            </w:r>
            <w:r w:rsidRPr="00DC08B0">
              <w:rPr>
                <w:b/>
              </w:rPr>
              <w:tab/>
              <w:t>HR (95%CI)</w:t>
            </w:r>
          </w:p>
          <w:p w:rsidR="00C6002D" w:rsidRPr="00DC08B0" w:rsidRDefault="00C6002D" w:rsidP="00D2781E">
            <w:pPr>
              <w:pStyle w:val="TableText0"/>
              <w:keepNext/>
              <w:keepLines/>
              <w:tabs>
                <w:tab w:val="left" w:pos="1310"/>
                <w:tab w:val="left" w:pos="2444"/>
                <w:tab w:val="left" w:pos="3578"/>
              </w:tabs>
              <w:jc w:val="both"/>
            </w:pPr>
            <w:r w:rsidRPr="00DC08B0">
              <w:t>s</w:t>
            </w:r>
            <w:r w:rsidRPr="00F172AA">
              <w:rPr>
                <w:i/>
              </w:rPr>
              <w:t>BRCA</w:t>
            </w:r>
            <w:r w:rsidRPr="00DC08B0">
              <w:t>m</w:t>
            </w:r>
            <w:r w:rsidRPr="00DC08B0">
              <w:tab/>
              <w:t>3/10 (30%)</w:t>
            </w:r>
            <w:r w:rsidRPr="00DC08B0">
              <w:tab/>
              <w:t>7/10 (70%)</w:t>
            </w:r>
            <w:r w:rsidRPr="00DC08B0">
              <w:tab/>
              <w:t>0.15 (0.02, 0.88)</w:t>
            </w:r>
          </w:p>
          <w:p w:rsidR="00C6002D" w:rsidRPr="00DC08B0" w:rsidRDefault="00C6002D" w:rsidP="00D2781E">
            <w:pPr>
              <w:pStyle w:val="TableText0"/>
              <w:keepNext/>
              <w:keepLines/>
              <w:tabs>
                <w:tab w:val="left" w:pos="1310"/>
                <w:tab w:val="left" w:pos="2444"/>
                <w:tab w:val="left" w:pos="3578"/>
              </w:tabs>
              <w:jc w:val="both"/>
            </w:pPr>
            <w:r w:rsidRPr="00DC08B0">
              <w:t>g</w:t>
            </w:r>
            <w:r w:rsidRPr="00F172AA">
              <w:rPr>
                <w:i/>
              </w:rPr>
              <w:t>BRCA</w:t>
            </w:r>
            <w:r w:rsidRPr="00DC08B0">
              <w:t>m</w:t>
            </w:r>
            <w:r w:rsidRPr="00DC08B0">
              <w:tab/>
              <w:t>24/49 (49%)</w:t>
            </w:r>
            <w:r w:rsidRPr="00DC08B0">
              <w:tab/>
              <w:t>22/44 (50%)</w:t>
            </w:r>
            <w:r w:rsidRPr="00DC08B0">
              <w:tab/>
              <w:t>0.62 (0.34, 1.12)</w:t>
            </w:r>
          </w:p>
        </w:tc>
      </w:tr>
      <w:tr w:rsidR="00C6002D" w:rsidRPr="00DC08B0" w:rsidTr="00E12A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935"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jc w:val="both"/>
            </w:pPr>
            <w:r w:rsidRPr="00DC08B0">
              <w:t>Pujade-Lauraine et al 2017</w:t>
            </w:r>
          </w:p>
          <w:p w:rsidR="00C6002D" w:rsidRPr="00DC08B0" w:rsidRDefault="00C6002D" w:rsidP="00D2781E">
            <w:pPr>
              <w:pStyle w:val="TableText0"/>
              <w:keepNext/>
              <w:keepLines/>
              <w:jc w:val="both"/>
            </w:pPr>
            <w:r w:rsidRPr="00DC08B0">
              <w:t>SOLO2</w:t>
            </w:r>
          </w:p>
        </w:tc>
        <w:tc>
          <w:tcPr>
            <w:tcW w:w="1251"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jc w:val="both"/>
            </w:pPr>
            <w:r w:rsidRPr="00DC08B0">
              <w:t>N=286 patients with platinum-sensitive HGEOC</w:t>
            </w:r>
          </w:p>
          <w:p w:rsidR="00C6002D" w:rsidRPr="00DC08B0" w:rsidRDefault="00C6002D" w:rsidP="00D2781E">
            <w:pPr>
              <w:pStyle w:val="TableText0"/>
              <w:keepNext/>
              <w:keepLines/>
              <w:jc w:val="both"/>
            </w:pPr>
            <w:r w:rsidRPr="00DC08B0">
              <w:t>(</w:t>
            </w:r>
            <w:r>
              <w:t>second</w:t>
            </w:r>
            <w:r w:rsidRPr="00DC08B0">
              <w:t>-line maintenance)</w:t>
            </w:r>
          </w:p>
        </w:tc>
        <w:tc>
          <w:tcPr>
            <w:tcW w:w="2814"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tabs>
                <w:tab w:val="left" w:pos="1310"/>
                <w:tab w:val="left" w:pos="2444"/>
                <w:tab w:val="left" w:pos="3578"/>
              </w:tabs>
              <w:jc w:val="both"/>
              <w:rPr>
                <w:b/>
              </w:rPr>
            </w:pPr>
            <w:r w:rsidRPr="00DC08B0">
              <w:rPr>
                <w:b/>
              </w:rPr>
              <w:t>PFS</w:t>
            </w:r>
            <w:r w:rsidRPr="00DC08B0">
              <w:rPr>
                <w:b/>
              </w:rPr>
              <w:tab/>
              <w:t>olaparib</w:t>
            </w:r>
            <w:r w:rsidRPr="00DC08B0">
              <w:rPr>
                <w:b/>
              </w:rPr>
              <w:tab/>
              <w:t>placebo</w:t>
            </w:r>
            <w:r w:rsidRPr="00DC08B0">
              <w:rPr>
                <w:b/>
              </w:rPr>
              <w:tab/>
              <w:t>HR (95%CI)</w:t>
            </w:r>
          </w:p>
          <w:p w:rsidR="00C6002D" w:rsidRPr="00DC08B0" w:rsidRDefault="00C6002D" w:rsidP="00D2781E">
            <w:pPr>
              <w:pStyle w:val="TableText0"/>
              <w:keepNext/>
              <w:keepLines/>
              <w:tabs>
                <w:tab w:val="left" w:pos="1310"/>
                <w:tab w:val="left" w:pos="2444"/>
                <w:tab w:val="left" w:pos="3578"/>
              </w:tabs>
              <w:jc w:val="both"/>
              <w:rPr>
                <w:b/>
              </w:rPr>
            </w:pPr>
            <w:r w:rsidRPr="00DC08B0">
              <w:t>g</w:t>
            </w:r>
            <w:r w:rsidRPr="00F172AA">
              <w:rPr>
                <w:i/>
              </w:rPr>
              <w:t>BRCA</w:t>
            </w:r>
            <w:r w:rsidRPr="00DC08B0">
              <w:t>m</w:t>
            </w:r>
            <w:r w:rsidRPr="00DC08B0">
              <w:tab/>
              <w:t>n=190</w:t>
            </w:r>
            <w:r w:rsidRPr="00DC08B0">
              <w:tab/>
              <w:t>n=96</w:t>
            </w:r>
            <w:r w:rsidRPr="00DC08B0">
              <w:tab/>
              <w:t>0.33 (0.24, 0.44)</w:t>
            </w:r>
          </w:p>
        </w:tc>
      </w:tr>
      <w:tr w:rsidR="00C6002D" w:rsidRPr="00DC08B0" w:rsidTr="00E12A6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935"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jc w:val="both"/>
            </w:pPr>
            <w:r w:rsidRPr="00DC08B0">
              <w:t>Mirza et al 2016</w:t>
            </w:r>
          </w:p>
          <w:p w:rsidR="00C6002D" w:rsidRPr="00DC08B0" w:rsidRDefault="00C6002D" w:rsidP="00D2781E">
            <w:pPr>
              <w:pStyle w:val="TableText0"/>
              <w:keepNext/>
              <w:keepLines/>
              <w:jc w:val="both"/>
            </w:pPr>
            <w:r w:rsidRPr="00DC08B0">
              <w:t>NOVA</w:t>
            </w:r>
          </w:p>
        </w:tc>
        <w:tc>
          <w:tcPr>
            <w:tcW w:w="1251"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jc w:val="both"/>
            </w:pPr>
            <w:r w:rsidRPr="00DC08B0">
              <w:t>N=553 patients with platinum-sensitive HGEOC</w:t>
            </w:r>
          </w:p>
          <w:p w:rsidR="00C6002D" w:rsidRPr="00DC08B0" w:rsidRDefault="00C6002D" w:rsidP="00D2781E">
            <w:pPr>
              <w:pStyle w:val="TableText0"/>
              <w:keepNext/>
              <w:keepLines/>
              <w:jc w:val="both"/>
              <w:rPr>
                <w:highlight w:val="yellow"/>
              </w:rPr>
            </w:pPr>
            <w:r w:rsidRPr="00DC08B0">
              <w:t>(</w:t>
            </w:r>
            <w:r>
              <w:t>second</w:t>
            </w:r>
            <w:r w:rsidRPr="00DC08B0">
              <w:t>-line maintenance)</w:t>
            </w:r>
          </w:p>
        </w:tc>
        <w:tc>
          <w:tcPr>
            <w:tcW w:w="2814"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tabs>
                <w:tab w:val="left" w:pos="1310"/>
                <w:tab w:val="left" w:pos="2444"/>
                <w:tab w:val="left" w:pos="3578"/>
              </w:tabs>
              <w:jc w:val="both"/>
              <w:rPr>
                <w:b/>
              </w:rPr>
            </w:pPr>
            <w:r w:rsidRPr="00DC08B0">
              <w:rPr>
                <w:b/>
              </w:rPr>
              <w:t>PFS</w:t>
            </w:r>
            <w:r w:rsidRPr="00DC08B0">
              <w:rPr>
                <w:b/>
              </w:rPr>
              <w:tab/>
              <w:t>niraparib</w:t>
            </w:r>
            <w:r w:rsidRPr="00DC08B0">
              <w:rPr>
                <w:b/>
              </w:rPr>
              <w:tab/>
              <w:t>placebo</w:t>
            </w:r>
            <w:r w:rsidRPr="00DC08B0">
              <w:rPr>
                <w:b/>
              </w:rPr>
              <w:tab/>
              <w:t>HR (95%CI)</w:t>
            </w:r>
          </w:p>
          <w:p w:rsidR="00C6002D" w:rsidRPr="00DC08B0" w:rsidRDefault="00C6002D" w:rsidP="00D2781E">
            <w:pPr>
              <w:pStyle w:val="TableText0"/>
              <w:keepNext/>
              <w:keepLines/>
              <w:tabs>
                <w:tab w:val="left" w:pos="1310"/>
                <w:tab w:val="left" w:pos="2444"/>
                <w:tab w:val="left" w:pos="3578"/>
              </w:tabs>
              <w:jc w:val="both"/>
            </w:pPr>
            <w:r w:rsidRPr="00DC08B0">
              <w:t>s</w:t>
            </w:r>
            <w:r w:rsidRPr="00F172AA">
              <w:rPr>
                <w:i/>
              </w:rPr>
              <w:t>BRCA</w:t>
            </w:r>
            <w:r w:rsidRPr="00DC08B0">
              <w:t>m</w:t>
            </w:r>
            <w:r w:rsidRPr="00DC08B0">
              <w:tab/>
              <w:t>n=35</w:t>
            </w:r>
            <w:r w:rsidRPr="00DC08B0">
              <w:tab/>
              <w:t>n=12</w:t>
            </w:r>
            <w:r w:rsidRPr="00DC08B0">
              <w:tab/>
              <w:t>0.27 (0.08, 0.90)</w:t>
            </w:r>
          </w:p>
          <w:p w:rsidR="00C6002D" w:rsidRPr="00DC08B0" w:rsidRDefault="00C6002D" w:rsidP="00D2781E">
            <w:pPr>
              <w:pStyle w:val="TableText0"/>
              <w:keepNext/>
              <w:keepLines/>
              <w:tabs>
                <w:tab w:val="left" w:pos="1310"/>
                <w:tab w:val="left" w:pos="2444"/>
                <w:tab w:val="left" w:pos="3578"/>
              </w:tabs>
              <w:jc w:val="both"/>
            </w:pPr>
            <w:r w:rsidRPr="00DC08B0">
              <w:t>g</w:t>
            </w:r>
            <w:r w:rsidRPr="00DC08B0">
              <w:rPr>
                <w:i/>
              </w:rPr>
              <w:t>BRCA</w:t>
            </w:r>
            <w:r w:rsidRPr="00DC08B0">
              <w:t>m</w:t>
            </w:r>
            <w:r w:rsidRPr="00DC08B0">
              <w:tab/>
              <w:t>n=138</w:t>
            </w:r>
            <w:r w:rsidRPr="00DC08B0">
              <w:tab/>
              <w:t>n=65</w:t>
            </w:r>
            <w:r w:rsidRPr="00DC08B0">
              <w:tab/>
              <w:t>0.27 (0.17, 0.41)</w:t>
            </w:r>
          </w:p>
        </w:tc>
      </w:tr>
      <w:tr w:rsidR="00C6002D" w:rsidRPr="00DC08B0" w:rsidTr="00E12A6F">
        <w:tc>
          <w:tcPr>
            <w:tcW w:w="935" w:type="pct"/>
          </w:tcPr>
          <w:p w:rsidR="00C6002D" w:rsidRPr="00DC08B0" w:rsidRDefault="00C6002D" w:rsidP="00D2781E">
            <w:pPr>
              <w:pStyle w:val="TableText0"/>
              <w:keepNext/>
              <w:keepLines/>
              <w:jc w:val="both"/>
            </w:pPr>
            <w:r w:rsidRPr="00DC08B0">
              <w:t>Coleman et al 2017</w:t>
            </w:r>
          </w:p>
          <w:p w:rsidR="00C6002D" w:rsidRPr="00DC08B0" w:rsidRDefault="00C6002D" w:rsidP="00D2781E">
            <w:pPr>
              <w:pStyle w:val="TableText0"/>
              <w:keepNext/>
              <w:keepLines/>
              <w:jc w:val="both"/>
            </w:pPr>
            <w:r w:rsidRPr="00DC08B0">
              <w:t>ARIEL3</w:t>
            </w:r>
          </w:p>
        </w:tc>
        <w:tc>
          <w:tcPr>
            <w:tcW w:w="1251" w:type="pct"/>
          </w:tcPr>
          <w:p w:rsidR="00C6002D" w:rsidRPr="00DC08B0" w:rsidRDefault="00C6002D" w:rsidP="00D2781E">
            <w:pPr>
              <w:pStyle w:val="TableText0"/>
              <w:keepNext/>
              <w:keepLines/>
              <w:jc w:val="both"/>
            </w:pPr>
            <w:r w:rsidRPr="00DC08B0">
              <w:t>N=186 patients with platinum-sensitive HGEOC</w:t>
            </w:r>
          </w:p>
          <w:p w:rsidR="00C6002D" w:rsidRPr="00DC08B0" w:rsidRDefault="00C6002D" w:rsidP="00D2781E">
            <w:pPr>
              <w:pStyle w:val="TableText0"/>
              <w:keepNext/>
              <w:keepLines/>
              <w:jc w:val="both"/>
            </w:pPr>
            <w:r w:rsidRPr="00DC08B0">
              <w:t>(</w:t>
            </w:r>
            <w:r>
              <w:t>second</w:t>
            </w:r>
            <w:r w:rsidRPr="00DC08B0">
              <w:t>-line maintenance)</w:t>
            </w:r>
          </w:p>
        </w:tc>
        <w:tc>
          <w:tcPr>
            <w:tcW w:w="2814"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tabs>
                <w:tab w:val="left" w:pos="1310"/>
                <w:tab w:val="left" w:pos="2444"/>
                <w:tab w:val="left" w:pos="3578"/>
              </w:tabs>
              <w:jc w:val="both"/>
              <w:rPr>
                <w:b/>
              </w:rPr>
            </w:pPr>
            <w:r w:rsidRPr="00DC08B0">
              <w:rPr>
                <w:b/>
              </w:rPr>
              <w:t>PFS</w:t>
            </w:r>
            <w:r w:rsidRPr="00DC08B0">
              <w:rPr>
                <w:b/>
              </w:rPr>
              <w:tab/>
              <w:t>rucaparib</w:t>
            </w:r>
            <w:r w:rsidRPr="00DC08B0">
              <w:rPr>
                <w:b/>
              </w:rPr>
              <w:tab/>
              <w:t>placebo</w:t>
            </w:r>
            <w:r w:rsidRPr="00DC08B0">
              <w:rPr>
                <w:b/>
              </w:rPr>
              <w:tab/>
              <w:t>HR (95%CI)</w:t>
            </w:r>
          </w:p>
          <w:p w:rsidR="00C6002D" w:rsidRPr="00DC08B0" w:rsidRDefault="00C6002D" w:rsidP="00D2781E">
            <w:pPr>
              <w:pStyle w:val="TableText0"/>
              <w:keepNext/>
              <w:keepLines/>
              <w:tabs>
                <w:tab w:val="left" w:pos="1310"/>
                <w:tab w:val="left" w:pos="2444"/>
                <w:tab w:val="left" w:pos="3578"/>
              </w:tabs>
              <w:jc w:val="both"/>
            </w:pPr>
            <w:r w:rsidRPr="00DC08B0">
              <w:t>s</w:t>
            </w:r>
            <w:r w:rsidRPr="00DC08B0">
              <w:rPr>
                <w:i/>
              </w:rPr>
              <w:t>BRCA</w:t>
            </w:r>
            <w:r w:rsidRPr="00DC08B0">
              <w:t>m</w:t>
            </w:r>
            <w:r w:rsidRPr="00DC08B0">
              <w:tab/>
              <w:t>18/40 (45%)</w:t>
            </w:r>
            <w:r w:rsidRPr="00DC08B0">
              <w:tab/>
              <w:t>12/16 (75%)</w:t>
            </w:r>
            <w:r w:rsidRPr="00DC08B0">
              <w:tab/>
              <w:t>0.23 (0.10, 0.54)</w:t>
            </w:r>
          </w:p>
          <w:p w:rsidR="00C6002D" w:rsidRPr="00DC08B0" w:rsidRDefault="00C6002D" w:rsidP="00D2781E">
            <w:pPr>
              <w:pStyle w:val="TableText0"/>
              <w:keepNext/>
              <w:keepLines/>
              <w:tabs>
                <w:tab w:val="left" w:pos="1310"/>
                <w:tab w:val="left" w:pos="2444"/>
                <w:tab w:val="left" w:pos="3578"/>
              </w:tabs>
              <w:jc w:val="both"/>
            </w:pPr>
            <w:r w:rsidRPr="00DC08B0">
              <w:t>g</w:t>
            </w:r>
            <w:r w:rsidRPr="00DC08B0">
              <w:rPr>
                <w:i/>
              </w:rPr>
              <w:t>BRCA</w:t>
            </w:r>
            <w:r w:rsidRPr="00DC08B0">
              <w:t>m</w:t>
            </w:r>
            <w:r w:rsidRPr="00DC08B0">
              <w:tab/>
              <w:t>47/82 (57%)</w:t>
            </w:r>
            <w:r w:rsidRPr="00DC08B0">
              <w:tab/>
              <w:t>42/48 (88%)</w:t>
            </w:r>
            <w:r w:rsidRPr="00DC08B0">
              <w:tab/>
              <w:t>0.25 (0.16, 0.39)</w:t>
            </w:r>
          </w:p>
        </w:tc>
      </w:tr>
      <w:tr w:rsidR="00C6002D" w:rsidRPr="00DC08B0" w:rsidTr="00E12A6F">
        <w:tc>
          <w:tcPr>
            <w:tcW w:w="935" w:type="pct"/>
          </w:tcPr>
          <w:p w:rsidR="00C6002D" w:rsidRPr="00DC08B0" w:rsidRDefault="00C6002D" w:rsidP="00D2781E">
            <w:pPr>
              <w:pStyle w:val="TableText0"/>
              <w:keepNext/>
              <w:keepLines/>
              <w:jc w:val="both"/>
            </w:pPr>
            <w:r w:rsidRPr="00DC08B0">
              <w:t>Study 19, NOVA, ARIEL3, SOLO2</w:t>
            </w:r>
          </w:p>
        </w:tc>
        <w:tc>
          <w:tcPr>
            <w:tcW w:w="1251" w:type="pct"/>
          </w:tcPr>
          <w:p w:rsidR="00C6002D" w:rsidRPr="00DC08B0" w:rsidRDefault="00C6002D" w:rsidP="00D2781E">
            <w:pPr>
              <w:pStyle w:val="TableText0"/>
              <w:keepNext/>
              <w:keepLines/>
              <w:jc w:val="both"/>
            </w:pPr>
            <w:r w:rsidRPr="00DC08B0">
              <w:t>Meta-analysis</w:t>
            </w:r>
          </w:p>
          <w:p w:rsidR="00C6002D" w:rsidRPr="00DC08B0" w:rsidRDefault="00C6002D" w:rsidP="00D2781E">
            <w:pPr>
              <w:pStyle w:val="TableText0"/>
              <w:keepNext/>
              <w:keepLines/>
              <w:jc w:val="both"/>
            </w:pPr>
            <w:r w:rsidRPr="00DC08B0">
              <w:t>(no heterogeneity between studies)</w:t>
            </w:r>
          </w:p>
        </w:tc>
        <w:tc>
          <w:tcPr>
            <w:tcW w:w="2814" w:type="pct"/>
            <w:tcBorders>
              <w:top w:val="single" w:sz="4" w:space="0" w:color="auto"/>
              <w:left w:val="single" w:sz="4" w:space="0" w:color="auto"/>
              <w:bottom w:val="single" w:sz="4" w:space="0" w:color="auto"/>
              <w:right w:val="single" w:sz="4" w:space="0" w:color="auto"/>
            </w:tcBorders>
          </w:tcPr>
          <w:p w:rsidR="00C6002D" w:rsidRPr="00DC08B0" w:rsidRDefault="00C6002D" w:rsidP="00D2781E">
            <w:pPr>
              <w:pStyle w:val="TableText0"/>
              <w:keepNext/>
              <w:keepLines/>
              <w:tabs>
                <w:tab w:val="left" w:pos="1310"/>
                <w:tab w:val="left" w:pos="2444"/>
                <w:tab w:val="left" w:pos="3578"/>
              </w:tabs>
              <w:jc w:val="both"/>
              <w:rPr>
                <w:b/>
              </w:rPr>
            </w:pPr>
            <w:r w:rsidRPr="00DC08B0">
              <w:rPr>
                <w:b/>
              </w:rPr>
              <w:t>PFS</w:t>
            </w:r>
            <w:r w:rsidRPr="00DC08B0">
              <w:rPr>
                <w:b/>
              </w:rPr>
              <w:tab/>
              <w:t>PARPi</w:t>
            </w:r>
            <w:r w:rsidRPr="00DC08B0">
              <w:rPr>
                <w:b/>
              </w:rPr>
              <w:tab/>
              <w:t>placebo</w:t>
            </w:r>
            <w:r w:rsidRPr="00DC08B0">
              <w:rPr>
                <w:b/>
              </w:rPr>
              <w:tab/>
              <w:t>HR (95%CI)</w:t>
            </w:r>
          </w:p>
          <w:p w:rsidR="00C6002D" w:rsidRPr="00DC08B0" w:rsidRDefault="00C6002D" w:rsidP="00D2781E">
            <w:pPr>
              <w:pStyle w:val="TableText0"/>
              <w:keepNext/>
              <w:keepLines/>
              <w:tabs>
                <w:tab w:val="left" w:pos="1310"/>
                <w:tab w:val="left" w:pos="2444"/>
                <w:tab w:val="left" w:pos="3578"/>
              </w:tabs>
              <w:jc w:val="both"/>
            </w:pPr>
            <w:r w:rsidRPr="00DC08B0">
              <w:t>s</w:t>
            </w:r>
            <w:r w:rsidRPr="00DC08B0">
              <w:rPr>
                <w:i/>
              </w:rPr>
              <w:t>BRCA</w:t>
            </w:r>
            <w:r w:rsidRPr="00DC08B0">
              <w:t>m</w:t>
            </w:r>
            <w:r w:rsidRPr="00DC08B0">
              <w:tab/>
              <w:t>n=85</w:t>
            </w:r>
            <w:r w:rsidRPr="00DC08B0">
              <w:tab/>
              <w:t>n=38</w:t>
            </w:r>
            <w:r w:rsidRPr="00DC08B0">
              <w:tab/>
              <w:t>0.24 (0.13, 0.46)</w:t>
            </w:r>
          </w:p>
          <w:p w:rsidR="00C6002D" w:rsidRPr="00DC08B0" w:rsidRDefault="00C6002D" w:rsidP="00D2781E">
            <w:pPr>
              <w:pStyle w:val="TableText0"/>
              <w:keepNext/>
              <w:keepLines/>
              <w:tabs>
                <w:tab w:val="left" w:pos="1310"/>
                <w:tab w:val="left" w:pos="2444"/>
                <w:tab w:val="left" w:pos="3578"/>
              </w:tabs>
              <w:jc w:val="both"/>
              <w:rPr>
                <w:b/>
              </w:rPr>
            </w:pPr>
            <w:r w:rsidRPr="00DC08B0">
              <w:t>g</w:t>
            </w:r>
            <w:r w:rsidRPr="00DC08B0">
              <w:rPr>
                <w:i/>
              </w:rPr>
              <w:t>BRCA</w:t>
            </w:r>
            <w:r w:rsidRPr="00DC08B0">
              <w:t>m</w:t>
            </w:r>
            <w:r w:rsidRPr="00DC08B0">
              <w:tab/>
              <w:t>n=459</w:t>
            </w:r>
            <w:r w:rsidRPr="00DC08B0">
              <w:tab/>
              <w:t>n=253</w:t>
            </w:r>
            <w:r w:rsidRPr="00DC08B0">
              <w:tab/>
              <w:t>0.27 (0.09, 0.33)</w:t>
            </w:r>
          </w:p>
        </w:tc>
      </w:tr>
    </w:tbl>
    <w:p w:rsidR="00C6002D" w:rsidRPr="00FE4E73" w:rsidRDefault="00C6002D" w:rsidP="00D2781E">
      <w:pPr>
        <w:pStyle w:val="Caption"/>
        <w:keepNext/>
        <w:keepLines/>
        <w:spacing w:after="0"/>
        <w:jc w:val="both"/>
      </w:pPr>
      <w:r w:rsidRPr="00FE4E73">
        <w:rPr>
          <w:i/>
        </w:rPr>
        <w:t>BRCA</w:t>
      </w:r>
      <w:r w:rsidRPr="00FE4E73">
        <w:t xml:space="preserve"> = breast cancer gene 1 and 2; g</w:t>
      </w:r>
      <w:r w:rsidRPr="00FE4E73">
        <w:rPr>
          <w:i/>
        </w:rPr>
        <w:t>BRCA</w:t>
      </w:r>
      <w:r w:rsidRPr="00FE4E73">
        <w:t xml:space="preserve">m = germline </w:t>
      </w:r>
      <w:r w:rsidRPr="00FE4E73">
        <w:rPr>
          <w:i/>
        </w:rPr>
        <w:t>BRCA</w:t>
      </w:r>
      <w:r w:rsidRPr="00FE4E73">
        <w:t xml:space="preserve"> pathological or likely pathological variant; HGSOC = high-grade serous ovarian, fallopian tube or primary peritoneal cancer; HR = hazard ratio; OS = overall survival; PFS = progression-free survival; RR = relative risk; s</w:t>
      </w:r>
      <w:r w:rsidRPr="00FE4E73">
        <w:rPr>
          <w:i/>
        </w:rPr>
        <w:t>BRCA</w:t>
      </w:r>
      <w:r w:rsidRPr="00FE4E73">
        <w:t xml:space="preserve">m = somatic </w:t>
      </w:r>
      <w:r w:rsidRPr="00FE4E73">
        <w:rPr>
          <w:i/>
        </w:rPr>
        <w:t>BRCA</w:t>
      </w:r>
      <w:r w:rsidRPr="00FE4E73">
        <w:t xml:space="preserve"> pathological or likely pathological variant</w:t>
      </w:r>
    </w:p>
    <w:p w:rsidR="00FE4E73" w:rsidRPr="00FE4E73" w:rsidRDefault="00C6002D" w:rsidP="00992C92">
      <w:pPr>
        <w:pStyle w:val="Caption"/>
        <w:keepNext/>
        <w:keepLines/>
        <w:spacing w:after="120"/>
        <w:jc w:val="both"/>
      </w:pPr>
      <w:r w:rsidRPr="00FE4E73">
        <w:t xml:space="preserve">Source: Section 2.2.D.11.4 of the </w:t>
      </w:r>
      <w:r w:rsidR="00FE4E73">
        <w:t xml:space="preserve">November 2019 </w:t>
      </w:r>
      <w:r w:rsidRPr="00FE4E73">
        <w:t>submission</w:t>
      </w:r>
    </w:p>
    <w:p w:rsidR="00AC4136" w:rsidRDefault="00C6002D" w:rsidP="00D2781E">
      <w:pPr>
        <w:pStyle w:val="3Bodytext"/>
        <w:jc w:val="both"/>
      </w:pPr>
      <w:r w:rsidRPr="003870C8">
        <w:t xml:space="preserve">Study 19 found that although both the germline and somatic </w:t>
      </w:r>
      <w:r w:rsidRPr="003870C8">
        <w:rPr>
          <w:iCs/>
        </w:rPr>
        <w:t>BRCA</w:t>
      </w:r>
      <w:r w:rsidRPr="003870C8">
        <w:t xml:space="preserve">m groups had improved PFS, the difference between olaparib and placebo in the somatic mutation group did not reach statistical significance. Kaplan–Meier curves for PFS </w:t>
      </w:r>
      <w:r w:rsidR="00AC4136" w:rsidRPr="003870C8">
        <w:t xml:space="preserve">by somatic or germline BRCAm are shown in </w:t>
      </w:r>
      <w:r w:rsidR="009B6A1E" w:rsidRPr="003870C8">
        <w:t xml:space="preserve">Figure </w:t>
      </w:r>
      <w:r w:rsidR="009B6A1E" w:rsidRPr="003870C8">
        <w:rPr>
          <w:noProof/>
        </w:rPr>
        <w:t>1</w:t>
      </w:r>
      <w:r w:rsidR="00AB050B">
        <w:t>.</w:t>
      </w:r>
    </w:p>
    <w:p w:rsidR="002A531F" w:rsidRPr="00667287" w:rsidRDefault="002A531F" w:rsidP="002A531F">
      <w:pPr>
        <w:pStyle w:val="Tabletitles"/>
      </w:pPr>
      <w:bookmarkStart w:id="3" w:name="_Ref14697771"/>
      <w:r w:rsidRPr="00667287">
        <w:t xml:space="preserve">Figure </w:t>
      </w:r>
      <w:bookmarkEnd w:id="3"/>
      <w:r>
        <w:rPr>
          <w:noProof/>
        </w:rPr>
        <w:t>1:</w:t>
      </w:r>
      <w:r w:rsidRPr="00667287">
        <w:tab/>
        <w:t>Kaplan-Meier curves for PFS of s</w:t>
      </w:r>
      <w:r w:rsidRPr="00667287">
        <w:rPr>
          <w:i/>
        </w:rPr>
        <w:t>BRCA</w:t>
      </w:r>
      <w:r w:rsidRPr="00667287">
        <w:t>m versus g</w:t>
      </w:r>
      <w:r w:rsidRPr="00667287">
        <w:rPr>
          <w:i/>
        </w:rPr>
        <w:t>BRCA</w:t>
      </w:r>
      <w:r w:rsidRPr="00667287">
        <w:t>m patients</w:t>
      </w:r>
    </w:p>
    <w:p w:rsidR="00C6002D" w:rsidRPr="00DC08B0" w:rsidRDefault="00C6002D" w:rsidP="00D2781E">
      <w:pPr>
        <w:pStyle w:val="Bodytextitalics"/>
        <w:numPr>
          <w:ilvl w:val="0"/>
          <w:numId w:val="0"/>
        </w:numPr>
        <w:jc w:val="both"/>
      </w:pPr>
      <w:r w:rsidRPr="00DC08B0">
        <w:rPr>
          <w:noProof/>
        </w:rPr>
        <w:drawing>
          <wp:inline distT="0" distB="0" distL="0" distR="0" wp14:anchorId="39105BD9" wp14:editId="026FA151">
            <wp:extent cx="3883093" cy="2187244"/>
            <wp:effectExtent l="0" t="0" r="3175" b="3810"/>
            <wp:docPr id="11" name="Picture 11" title="Figure 1: Kaplan-Meier curves for PFS of sBRCAm versus gBRCAm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16" t="1396" r="4740"/>
                    <a:stretch/>
                  </pic:blipFill>
                  <pic:spPr bwMode="auto">
                    <a:xfrm>
                      <a:off x="0" y="0"/>
                      <a:ext cx="4036510" cy="2273660"/>
                    </a:xfrm>
                    <a:prstGeom prst="rect">
                      <a:avLst/>
                    </a:prstGeom>
                    <a:noFill/>
                    <a:ln>
                      <a:noFill/>
                    </a:ln>
                    <a:extLst>
                      <a:ext uri="{53640926-AAD7-44D8-BBD7-CCE9431645EC}">
                        <a14:shadowObscured xmlns:a14="http://schemas.microsoft.com/office/drawing/2010/main"/>
                      </a:ext>
                    </a:extLst>
                  </pic:spPr>
                </pic:pic>
              </a:graphicData>
            </a:graphic>
          </wp:inline>
        </w:drawing>
      </w:r>
    </w:p>
    <w:p w:rsidR="00C6002D" w:rsidRPr="004D56E6" w:rsidRDefault="00C6002D" w:rsidP="00D2781E">
      <w:pPr>
        <w:pStyle w:val="Caption"/>
        <w:jc w:val="both"/>
        <w:rPr>
          <w:rFonts w:eastAsia="Calibri"/>
        </w:rPr>
      </w:pPr>
      <w:r w:rsidRPr="004D56E6">
        <w:rPr>
          <w:rFonts w:eastAsia="Calibri"/>
        </w:rPr>
        <w:t>Source: Dougherty et al (2017)</w:t>
      </w:r>
    </w:p>
    <w:p w:rsidR="00C6002D" w:rsidRPr="003870C8" w:rsidRDefault="00C6002D" w:rsidP="00D2781E">
      <w:pPr>
        <w:pStyle w:val="3Bodytext"/>
        <w:jc w:val="both"/>
      </w:pPr>
      <w:r w:rsidRPr="003870C8">
        <w:t>The NOVA and ARIEL3 studies, which used different PARP inhibitors, ha</w:t>
      </w:r>
      <w:r w:rsidR="00AB050B">
        <w:t>d similar findings to Study 19.</w:t>
      </w:r>
    </w:p>
    <w:p w:rsidR="00C6002D" w:rsidRDefault="00FE4E73" w:rsidP="00D2781E">
      <w:pPr>
        <w:pStyle w:val="3Bodytext"/>
        <w:jc w:val="both"/>
      </w:pPr>
      <w:r w:rsidRPr="003870C8">
        <w:t xml:space="preserve">Meta-analyses of PFS in germline and somatic BRCAm </w:t>
      </w:r>
      <w:r w:rsidR="000F5EC4" w:rsidRPr="003870C8">
        <w:t xml:space="preserve">are shown in </w:t>
      </w:r>
      <w:r w:rsidR="009B6A1E" w:rsidRPr="003870C8">
        <w:t xml:space="preserve">Figure </w:t>
      </w:r>
      <w:r w:rsidR="009B6A1E" w:rsidRPr="003870C8">
        <w:rPr>
          <w:noProof/>
        </w:rPr>
        <w:t>2</w:t>
      </w:r>
      <w:r w:rsidR="00CA4CB6" w:rsidRPr="003870C8">
        <w:t xml:space="preserve"> and </w:t>
      </w:r>
      <w:r w:rsidR="009B6A1E" w:rsidRPr="003870C8">
        <w:t xml:space="preserve">Figure </w:t>
      </w:r>
      <w:r w:rsidR="009B6A1E" w:rsidRPr="003870C8">
        <w:rPr>
          <w:noProof/>
        </w:rPr>
        <w:t>3</w:t>
      </w:r>
      <w:r w:rsidR="000F5EC4" w:rsidRPr="003870C8">
        <w:t>, respectively.</w:t>
      </w:r>
      <w:r w:rsidR="004D56E6" w:rsidRPr="003870C8">
        <w:t xml:space="preserve"> </w:t>
      </w:r>
    </w:p>
    <w:p w:rsidR="002278E6" w:rsidRPr="002278E6" w:rsidRDefault="002278E6" w:rsidP="002278E6">
      <w:pPr>
        <w:pStyle w:val="3Bodytext"/>
        <w:numPr>
          <w:ilvl w:val="0"/>
          <w:numId w:val="0"/>
        </w:numPr>
        <w:jc w:val="both"/>
        <w:rPr>
          <w:rFonts w:ascii="Arial Narrow" w:eastAsiaTheme="majorEastAsia" w:hAnsi="Arial Narrow" w:cs="Arial"/>
          <w:b/>
          <w:sz w:val="20"/>
          <w:szCs w:val="20"/>
          <w:lang w:bidi="en-US"/>
        </w:rPr>
      </w:pPr>
      <w:bookmarkStart w:id="4" w:name="_Ref31803556"/>
      <w:r w:rsidRPr="002278E6">
        <w:rPr>
          <w:rFonts w:ascii="Arial Narrow" w:eastAsiaTheme="majorEastAsia" w:hAnsi="Arial Narrow" w:cs="Arial"/>
          <w:b/>
          <w:sz w:val="20"/>
          <w:szCs w:val="20"/>
          <w:lang w:bidi="en-US"/>
        </w:rPr>
        <w:lastRenderedPageBreak/>
        <w:t xml:space="preserve">Figure </w:t>
      </w:r>
      <w:bookmarkEnd w:id="4"/>
      <w:r w:rsidRPr="002278E6">
        <w:rPr>
          <w:rFonts w:ascii="Arial Narrow" w:eastAsiaTheme="majorEastAsia" w:hAnsi="Arial Narrow" w:cs="Arial"/>
          <w:b/>
          <w:sz w:val="20"/>
          <w:szCs w:val="20"/>
          <w:lang w:bidi="en-US"/>
        </w:rPr>
        <w:t>2: Meta-analysis of PARP inhibitors vs placebo for PFS in g</w:t>
      </w:r>
      <w:r w:rsidRPr="002278E6">
        <w:rPr>
          <w:rFonts w:ascii="Arial Narrow" w:eastAsiaTheme="majorEastAsia" w:hAnsi="Arial Narrow" w:cs="Arial"/>
          <w:b/>
          <w:i/>
          <w:sz w:val="20"/>
          <w:szCs w:val="20"/>
          <w:lang w:bidi="en-US"/>
        </w:rPr>
        <w:t>BRCA</w:t>
      </w:r>
      <w:r w:rsidRPr="00643FD4">
        <w:rPr>
          <w:rFonts w:ascii="Arial Narrow" w:eastAsiaTheme="majorEastAsia" w:hAnsi="Arial Narrow" w:cs="Arial"/>
          <w:b/>
          <w:sz w:val="20"/>
          <w:szCs w:val="20"/>
          <w:lang w:bidi="en-US"/>
        </w:rPr>
        <w:t>m</w:t>
      </w:r>
      <w:r w:rsidRPr="002278E6">
        <w:rPr>
          <w:rFonts w:ascii="Arial Narrow" w:eastAsiaTheme="majorEastAsia" w:hAnsi="Arial Narrow" w:cs="Arial"/>
          <w:b/>
          <w:sz w:val="20"/>
          <w:szCs w:val="20"/>
          <w:lang w:bidi="en-US"/>
        </w:rPr>
        <w:t>-positive patients</w:t>
      </w:r>
    </w:p>
    <w:p w:rsidR="000F5EC4" w:rsidRPr="00DC08B0" w:rsidRDefault="000F5EC4" w:rsidP="00D2781E">
      <w:pPr>
        <w:jc w:val="both"/>
      </w:pPr>
      <w:r w:rsidRPr="00DC08B0">
        <w:rPr>
          <w:noProof/>
        </w:rPr>
        <w:drawing>
          <wp:inline distT="0" distB="0" distL="0" distR="0" wp14:anchorId="2B7D55CB" wp14:editId="02510CD0">
            <wp:extent cx="5731510" cy="1496060"/>
            <wp:effectExtent l="0" t="0" r="2540" b="8890"/>
            <wp:docPr id="31" name="Picture 31" title="Figure 2: Meta-analysis of PARP inhibitors vs placebo for PFS in gBRCAm-positive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496060"/>
                    </a:xfrm>
                    <a:prstGeom prst="rect">
                      <a:avLst/>
                    </a:prstGeom>
                  </pic:spPr>
                </pic:pic>
              </a:graphicData>
            </a:graphic>
          </wp:inline>
        </w:drawing>
      </w:r>
    </w:p>
    <w:p w:rsidR="000F5EC4" w:rsidRPr="00DC08B0" w:rsidRDefault="000F5EC4" w:rsidP="00D2781E">
      <w:pPr>
        <w:pStyle w:val="TableHeading0"/>
        <w:jc w:val="both"/>
      </w:pPr>
    </w:p>
    <w:p w:rsidR="002278E6" w:rsidRDefault="000F5EC4" w:rsidP="002278E6">
      <w:pPr>
        <w:pStyle w:val="TableHeading0"/>
        <w:jc w:val="both"/>
      </w:pPr>
      <w:r w:rsidRPr="002A531F">
        <w:rPr>
          <w:b w:val="0"/>
          <w:sz w:val="18"/>
        </w:rPr>
        <w:t>Source: Figure 1, p13, Attachment 4.5 to the November 2019 submission</w:t>
      </w:r>
      <w:r w:rsidRPr="002A531F">
        <w:rPr>
          <w:sz w:val="18"/>
        </w:rPr>
        <w:t>.</w:t>
      </w:r>
      <w:bookmarkStart w:id="5" w:name="_Ref31803567"/>
      <w:r w:rsidR="002278E6" w:rsidRPr="002A531F">
        <w:rPr>
          <w:sz w:val="18"/>
        </w:rPr>
        <w:t xml:space="preserve"> </w:t>
      </w:r>
    </w:p>
    <w:p w:rsidR="002278E6" w:rsidRDefault="002278E6" w:rsidP="002278E6">
      <w:pPr>
        <w:pStyle w:val="TableHeading0"/>
        <w:jc w:val="both"/>
      </w:pPr>
    </w:p>
    <w:p w:rsidR="002278E6" w:rsidRPr="00DC08B0" w:rsidRDefault="002278E6" w:rsidP="002278E6">
      <w:pPr>
        <w:pStyle w:val="TableHeading0"/>
        <w:jc w:val="both"/>
      </w:pPr>
      <w:r w:rsidRPr="00DC08B0">
        <w:t xml:space="preserve">Figure </w:t>
      </w:r>
      <w:bookmarkEnd w:id="5"/>
      <w:r>
        <w:rPr>
          <w:noProof/>
        </w:rPr>
        <w:t>3</w:t>
      </w:r>
      <w:r w:rsidRPr="00DC08B0">
        <w:t>: Meta-analysis of PARP inhibitors vs placebo for PFS in s</w:t>
      </w:r>
      <w:r w:rsidRPr="004C2BA3">
        <w:rPr>
          <w:i/>
        </w:rPr>
        <w:t>BRCA</w:t>
      </w:r>
      <w:r w:rsidRPr="00DC08B0">
        <w:t>m</w:t>
      </w:r>
      <w:r>
        <w:t>-</w:t>
      </w:r>
      <w:r w:rsidRPr="00DC08B0">
        <w:t>positive patients</w:t>
      </w:r>
    </w:p>
    <w:p w:rsidR="000F5EC4" w:rsidRPr="00DC08B0" w:rsidRDefault="000F5EC4" w:rsidP="00D2781E">
      <w:pPr>
        <w:jc w:val="both"/>
      </w:pPr>
      <w:r w:rsidRPr="00DC08B0">
        <w:rPr>
          <w:noProof/>
        </w:rPr>
        <w:drawing>
          <wp:inline distT="0" distB="0" distL="0" distR="0" wp14:anchorId="7A6546A6" wp14:editId="1A544C44">
            <wp:extent cx="5731510" cy="1450340"/>
            <wp:effectExtent l="0" t="0" r="2540" b="0"/>
            <wp:docPr id="32" name="Picture 32" title="Figure 3: Meta-analysis of PARP inhibitors vs placebo for PFS in sBRCAm-positive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1450340"/>
                    </a:xfrm>
                    <a:prstGeom prst="rect">
                      <a:avLst/>
                    </a:prstGeom>
                  </pic:spPr>
                </pic:pic>
              </a:graphicData>
            </a:graphic>
          </wp:inline>
        </w:drawing>
      </w:r>
    </w:p>
    <w:p w:rsidR="000F5EC4" w:rsidRPr="000F5EC4" w:rsidRDefault="000F5EC4" w:rsidP="00D2781E">
      <w:pPr>
        <w:pStyle w:val="Caption"/>
        <w:jc w:val="both"/>
      </w:pPr>
      <w:r w:rsidRPr="000F5EC4">
        <w:t>Source: Figure 2, p14, Attachment 4.5 to the submission.</w:t>
      </w:r>
    </w:p>
    <w:p w:rsidR="00F06DCF" w:rsidRPr="003870C8" w:rsidRDefault="00F06DCF" w:rsidP="00D2781E">
      <w:pPr>
        <w:pStyle w:val="3Bodytext"/>
        <w:jc w:val="both"/>
        <w:rPr>
          <w:lang w:eastAsia="en-US"/>
        </w:rPr>
      </w:pPr>
      <w:r w:rsidRPr="003870C8">
        <w:t>The pooled analysis of four studies (ARIEL3, NOVA, SOLO2 and Study 19) for PFS resulted in a hazard ratio of 0.27 (95% CI 0.22, 0.33) for PARP inhibitors versus placebo in patients with gBRCAm. In a second pooled analysis including 3 of the same studies (ARIEL3, NOVA and Study 19), the hazard ratio was 0.24 (95% CI 0.13, 0.46) for PARP inhibitors versus placebo in patients with sBRCAm. The indirect treatment comparison for gBRCAm vs sBRCAm (for PFS) gives a hazard ratio of 1.125 (95% CI 0.579, 2.184). While the central estimate slightly favours sBRCAm, there is no statistical</w:t>
      </w:r>
      <w:r w:rsidR="00D63FCE" w:rsidRPr="003870C8">
        <w:t>ly significant</w:t>
      </w:r>
      <w:r w:rsidRPr="003870C8">
        <w:t xml:space="preserve"> difference between the </w:t>
      </w:r>
      <w:r w:rsidR="00A36BEE" w:rsidRPr="003870C8">
        <w:t xml:space="preserve">gBRCAm </w:t>
      </w:r>
      <w:r w:rsidR="00A36BEE">
        <w:t>and</w:t>
      </w:r>
      <w:r w:rsidR="00A36BEE" w:rsidRPr="003870C8">
        <w:t xml:space="preserve"> sBRCAm </w:t>
      </w:r>
      <w:r w:rsidRPr="003870C8">
        <w:t>groups.</w:t>
      </w:r>
    </w:p>
    <w:p w:rsidR="009B1E5F" w:rsidRPr="003870C8" w:rsidRDefault="00F06DCF" w:rsidP="00D2781E">
      <w:pPr>
        <w:pStyle w:val="3Bodytext"/>
        <w:jc w:val="both"/>
        <w:rPr>
          <w:lang w:eastAsia="en-US"/>
        </w:rPr>
      </w:pPr>
      <w:r w:rsidRPr="003870C8">
        <w:rPr>
          <w:lang w:eastAsia="en-US"/>
        </w:rPr>
        <w:t>In consideration of the evidence presented in the November 2019 submission the PBAC “noted that the pooled analysis of studies in the second-line setting found similar hazard ratios for PARP inhibitors versus placebo in patients with gBRCAm and sBRCAm, which supported the efficacy of olaparib in the second-line setting for patients with sBRCAm in the absence of gBRCAm” (paragraph 7.9</w:t>
      </w:r>
      <w:r w:rsidR="008770CA">
        <w:rPr>
          <w:lang w:eastAsia="en-US"/>
        </w:rPr>
        <w:t>,</w:t>
      </w:r>
      <w:r w:rsidRPr="003870C8">
        <w:rPr>
          <w:lang w:eastAsia="en-US"/>
        </w:rPr>
        <w:t xml:space="preserve"> olaparib</w:t>
      </w:r>
      <w:r w:rsidR="008770CA">
        <w:rPr>
          <w:lang w:eastAsia="en-US"/>
        </w:rPr>
        <w:t xml:space="preserve"> PSD,</w:t>
      </w:r>
      <w:r w:rsidRPr="003870C8">
        <w:rPr>
          <w:lang w:eastAsia="en-US"/>
        </w:rPr>
        <w:t xml:space="preserve"> November 2019).</w:t>
      </w:r>
    </w:p>
    <w:p w:rsidR="003C2FB5" w:rsidRPr="00354E06" w:rsidRDefault="005A3173" w:rsidP="00D2781E">
      <w:pPr>
        <w:pStyle w:val="Heading2"/>
        <w:keepLines/>
        <w:spacing w:before="240" w:after="120"/>
        <w:jc w:val="both"/>
        <w:rPr>
          <w:rFonts w:asciiTheme="minorHAnsi" w:eastAsiaTheme="majorEastAsia" w:hAnsiTheme="minorHAnsi" w:cstheme="majorBidi"/>
          <w:sz w:val="28"/>
          <w:szCs w:val="28"/>
          <w:lang w:eastAsia="en-US"/>
        </w:rPr>
      </w:pPr>
      <w:r w:rsidRPr="00354E06">
        <w:rPr>
          <w:rFonts w:asciiTheme="minorHAnsi" w:eastAsiaTheme="majorEastAsia" w:hAnsiTheme="minorHAnsi" w:cstheme="majorBidi"/>
          <w:sz w:val="28"/>
          <w:szCs w:val="28"/>
          <w:lang w:eastAsia="en-US"/>
        </w:rPr>
        <w:t>Clinical claim</w:t>
      </w:r>
    </w:p>
    <w:p w:rsidR="00F57A6D" w:rsidRPr="0013529F" w:rsidRDefault="00FF2801" w:rsidP="00D2781E">
      <w:pPr>
        <w:pStyle w:val="3Bodytext"/>
        <w:jc w:val="both"/>
      </w:pPr>
      <w:r w:rsidRPr="003870C8">
        <w:t xml:space="preserve">The </w:t>
      </w:r>
      <w:r w:rsidR="00D63FCE" w:rsidRPr="003870C8">
        <w:t xml:space="preserve">minor </w:t>
      </w:r>
      <w:r w:rsidRPr="003870C8">
        <w:t xml:space="preserve">submission </w:t>
      </w:r>
      <w:r w:rsidR="00D63FCE" w:rsidRPr="003870C8">
        <w:t>did not make a clinical claim, however the requested change to the listing relies on the clinical claim of</w:t>
      </w:r>
      <w:r w:rsidR="00BB7EC3" w:rsidRPr="003870C8">
        <w:t xml:space="preserve"> non-inferior comparative effectiveness </w:t>
      </w:r>
      <w:r w:rsidR="00D63FCE" w:rsidRPr="003870C8">
        <w:t xml:space="preserve">and safety of second-line olaparib maintenance in patients with germline BRCAm </w:t>
      </w:r>
      <w:r w:rsidR="00D63FCE" w:rsidRPr="0013529F">
        <w:t>compared with patients with somatic BRCAm.</w:t>
      </w:r>
    </w:p>
    <w:p w:rsidR="005611F7" w:rsidRPr="009B71B3" w:rsidRDefault="005611F7" w:rsidP="005611F7">
      <w:pPr>
        <w:pStyle w:val="3Bodytext"/>
        <w:rPr>
          <w:snapToGrid w:val="0"/>
        </w:rPr>
      </w:pPr>
      <w:r w:rsidRPr="0034567F">
        <w:rPr>
          <w:snapToGrid w:val="0"/>
        </w:rPr>
        <w:lastRenderedPageBreak/>
        <w:t xml:space="preserve">The PBAC </w:t>
      </w:r>
      <w:r w:rsidRPr="009B71B3">
        <w:rPr>
          <w:snapToGrid w:val="0"/>
        </w:rPr>
        <w:t xml:space="preserve">considered that </w:t>
      </w:r>
      <w:r w:rsidR="00187575" w:rsidRPr="009B71B3">
        <w:rPr>
          <w:snapToGrid w:val="0"/>
        </w:rPr>
        <w:t xml:space="preserve">it is reasonable to conclude sBRCA patients will derive similar benefit from olaparib as gBRCA patients, based on </w:t>
      </w:r>
      <w:r w:rsidR="009B71B3">
        <w:rPr>
          <w:snapToGrid w:val="0"/>
        </w:rPr>
        <w:t xml:space="preserve">the pooled </w:t>
      </w:r>
      <w:r w:rsidR="00187575" w:rsidRPr="009B71B3">
        <w:rPr>
          <w:snapToGrid w:val="0"/>
        </w:rPr>
        <w:t xml:space="preserve">analysis of the trial data </w:t>
      </w:r>
      <w:r w:rsidR="009B71B3">
        <w:rPr>
          <w:snapToGrid w:val="0"/>
        </w:rPr>
        <w:t xml:space="preserve">for PARP inhibitors </w:t>
      </w:r>
      <w:r w:rsidR="00187575" w:rsidRPr="009B71B3">
        <w:rPr>
          <w:snapToGrid w:val="0"/>
        </w:rPr>
        <w:t xml:space="preserve">in the second line setting. </w:t>
      </w:r>
    </w:p>
    <w:p w:rsidR="005611F7" w:rsidRPr="009B71B3" w:rsidRDefault="005611F7" w:rsidP="005611F7">
      <w:pPr>
        <w:pStyle w:val="3Bodytext"/>
        <w:rPr>
          <w:snapToGrid w:val="0"/>
        </w:rPr>
      </w:pPr>
      <w:r w:rsidRPr="009B71B3">
        <w:rPr>
          <w:snapToGrid w:val="0"/>
        </w:rPr>
        <w:t xml:space="preserve">The PBAC considered that </w:t>
      </w:r>
      <w:r w:rsidR="00187575" w:rsidRPr="009B71B3">
        <w:rPr>
          <w:snapToGrid w:val="0"/>
        </w:rPr>
        <w:t xml:space="preserve">it is reasonable to conclude that the safety </w:t>
      </w:r>
      <w:r w:rsidR="0013529F" w:rsidRPr="009B71B3">
        <w:rPr>
          <w:snapToGrid w:val="0"/>
        </w:rPr>
        <w:t>profile of olaparib in patients with sBRCAm patients would be not be different from the safety profile in patients with gBRCAm</w:t>
      </w:r>
      <w:r w:rsidRPr="009B71B3">
        <w:rPr>
          <w:snapToGrid w:val="0"/>
        </w:rPr>
        <w:t>.</w:t>
      </w:r>
    </w:p>
    <w:p w:rsidR="005A3173" w:rsidRPr="00354E06" w:rsidRDefault="005A3173" w:rsidP="00D2781E">
      <w:pPr>
        <w:pStyle w:val="Heading2"/>
        <w:keepLines/>
        <w:spacing w:before="240" w:after="120"/>
        <w:jc w:val="both"/>
        <w:rPr>
          <w:rFonts w:asciiTheme="minorHAnsi" w:eastAsiaTheme="majorEastAsia" w:hAnsiTheme="minorHAnsi" w:cstheme="majorBidi"/>
          <w:sz w:val="28"/>
          <w:szCs w:val="28"/>
          <w:lang w:eastAsia="en-US"/>
        </w:rPr>
      </w:pPr>
      <w:r w:rsidRPr="00354E06">
        <w:rPr>
          <w:rFonts w:asciiTheme="minorHAnsi" w:eastAsiaTheme="majorEastAsia" w:hAnsiTheme="minorHAnsi" w:cstheme="majorBidi"/>
          <w:sz w:val="28"/>
          <w:szCs w:val="28"/>
          <w:lang w:eastAsia="en-US"/>
        </w:rPr>
        <w:t>Economic analysis</w:t>
      </w:r>
    </w:p>
    <w:p w:rsidR="00977BF3" w:rsidRPr="003870C8" w:rsidRDefault="009803E4" w:rsidP="00D2781E">
      <w:pPr>
        <w:pStyle w:val="Bodytextitalics"/>
        <w:jc w:val="both"/>
        <w:rPr>
          <w:rFonts w:cstheme="minorHAnsi"/>
          <w:i w:val="0"/>
          <w:szCs w:val="24"/>
        </w:rPr>
      </w:pPr>
      <w:r w:rsidRPr="003870C8">
        <w:rPr>
          <w:rFonts w:eastAsia="Times New Roman" w:cstheme="minorHAnsi"/>
          <w:i w:val="0"/>
          <w:snapToGrid w:val="0"/>
          <w:szCs w:val="24"/>
          <w:lang w:eastAsia="en-US"/>
        </w:rPr>
        <w:t xml:space="preserve">The minor submission </w:t>
      </w:r>
      <w:r w:rsidR="00D63FCE" w:rsidRPr="003870C8">
        <w:rPr>
          <w:rFonts w:eastAsia="Times New Roman" w:cstheme="minorHAnsi"/>
          <w:i w:val="0"/>
          <w:snapToGrid w:val="0"/>
          <w:szCs w:val="24"/>
          <w:lang w:eastAsia="en-US"/>
        </w:rPr>
        <w:t xml:space="preserve">did not present an economic analysis. </w:t>
      </w:r>
      <w:r w:rsidR="00EA0A28" w:rsidRPr="003870C8">
        <w:rPr>
          <w:rFonts w:eastAsia="Times New Roman" w:cstheme="minorHAnsi"/>
          <w:i w:val="0"/>
          <w:snapToGrid w:val="0"/>
          <w:szCs w:val="24"/>
          <w:lang w:eastAsia="en-US"/>
        </w:rPr>
        <w:t>The requested change assumes that the cost-effectiveness of treating patients with sBRCAm is similar to patients with gBRCAm.</w:t>
      </w:r>
    </w:p>
    <w:p w:rsidR="005A3173" w:rsidRPr="00354E06" w:rsidRDefault="005A3173" w:rsidP="00D2781E">
      <w:pPr>
        <w:pStyle w:val="Heading2"/>
        <w:keepLines/>
        <w:spacing w:before="240" w:after="120"/>
        <w:jc w:val="both"/>
        <w:rPr>
          <w:rFonts w:asciiTheme="minorHAnsi" w:eastAsiaTheme="majorEastAsia" w:hAnsiTheme="minorHAnsi" w:cstheme="majorBidi"/>
          <w:sz w:val="28"/>
          <w:szCs w:val="28"/>
          <w:lang w:eastAsia="en-US"/>
        </w:rPr>
      </w:pPr>
      <w:r w:rsidRPr="00354E06">
        <w:rPr>
          <w:rFonts w:asciiTheme="minorHAnsi" w:eastAsiaTheme="majorEastAsia" w:hAnsiTheme="minorHAnsi" w:cstheme="majorBidi"/>
          <w:sz w:val="28"/>
          <w:szCs w:val="28"/>
          <w:lang w:eastAsia="en-US"/>
        </w:rPr>
        <w:t>Estimated PBS usage &amp; financial implications</w:t>
      </w:r>
    </w:p>
    <w:p w:rsidR="00C00DA7" w:rsidRDefault="00FF2801" w:rsidP="00D2781E">
      <w:pPr>
        <w:pStyle w:val="3Bodytext"/>
        <w:jc w:val="both"/>
        <w:rPr>
          <w:szCs w:val="24"/>
        </w:rPr>
      </w:pPr>
      <w:r w:rsidRPr="003C2FB5">
        <w:rPr>
          <w:szCs w:val="24"/>
        </w:rPr>
        <w:t>The minor submission estimated</w:t>
      </w:r>
      <w:r w:rsidR="00C00DA7" w:rsidRPr="003C2FB5">
        <w:rPr>
          <w:szCs w:val="24"/>
        </w:rPr>
        <w:t xml:space="preserve"> a </w:t>
      </w:r>
      <w:r w:rsidR="00C00DA7" w:rsidRPr="00B70EA2">
        <w:rPr>
          <w:szCs w:val="24"/>
        </w:rPr>
        <w:t>net cost</w:t>
      </w:r>
      <w:r w:rsidR="007A37F6" w:rsidRPr="00B70EA2">
        <w:rPr>
          <w:szCs w:val="24"/>
        </w:rPr>
        <w:t xml:space="preserve"> </w:t>
      </w:r>
      <w:r w:rsidR="00C00DA7" w:rsidRPr="00B70EA2">
        <w:rPr>
          <w:szCs w:val="24"/>
        </w:rPr>
        <w:t>to the PBS of</w:t>
      </w:r>
      <w:r w:rsidR="00AA3E08" w:rsidRPr="00B70EA2">
        <w:rPr>
          <w:szCs w:val="24"/>
        </w:rPr>
        <w:t xml:space="preserve"> </w:t>
      </w:r>
      <w:r w:rsidR="001D37E0">
        <w:rPr>
          <w:szCs w:val="24"/>
        </w:rPr>
        <w:t>less than $10</w:t>
      </w:r>
      <w:r w:rsidR="00AA3E08" w:rsidRPr="00B70EA2">
        <w:rPr>
          <w:szCs w:val="24"/>
        </w:rPr>
        <w:t xml:space="preserve"> million </w:t>
      </w:r>
      <w:r w:rsidR="00C00DA7" w:rsidRPr="00B70EA2">
        <w:rPr>
          <w:szCs w:val="24"/>
        </w:rPr>
        <w:t xml:space="preserve">in Year </w:t>
      </w:r>
      <w:r w:rsidR="00977BF3" w:rsidRPr="00B70EA2">
        <w:rPr>
          <w:szCs w:val="24"/>
        </w:rPr>
        <w:t>6</w:t>
      </w:r>
      <w:r w:rsidR="00C00DA7" w:rsidRPr="00B70EA2">
        <w:rPr>
          <w:szCs w:val="24"/>
        </w:rPr>
        <w:t xml:space="preserve"> of listing</w:t>
      </w:r>
      <w:r w:rsidR="00AA3E08" w:rsidRPr="00B70EA2">
        <w:rPr>
          <w:szCs w:val="24"/>
        </w:rPr>
        <w:t xml:space="preserve"> (2023, the final year included in the current Deed for olaparib)</w:t>
      </w:r>
      <w:r w:rsidR="00C00DA7" w:rsidRPr="00B70EA2">
        <w:rPr>
          <w:szCs w:val="24"/>
        </w:rPr>
        <w:t xml:space="preserve">, with a total net cost to the PBS of </w:t>
      </w:r>
      <w:r w:rsidR="001D37E0">
        <w:rPr>
          <w:szCs w:val="24"/>
        </w:rPr>
        <w:t>less than $10</w:t>
      </w:r>
      <w:r w:rsidR="00AA3E08" w:rsidRPr="00B70EA2">
        <w:rPr>
          <w:szCs w:val="24"/>
        </w:rPr>
        <w:t xml:space="preserve"> million</w:t>
      </w:r>
      <w:r w:rsidR="00C7409E" w:rsidRPr="00B70EA2">
        <w:rPr>
          <w:szCs w:val="24"/>
        </w:rPr>
        <w:t xml:space="preserve"> </w:t>
      </w:r>
      <w:r w:rsidR="00C00DA7" w:rsidRPr="00B70EA2">
        <w:rPr>
          <w:szCs w:val="24"/>
        </w:rPr>
        <w:t>ove</w:t>
      </w:r>
      <w:r w:rsidR="00AA3E08" w:rsidRPr="00B70EA2">
        <w:rPr>
          <w:szCs w:val="24"/>
        </w:rPr>
        <w:t xml:space="preserve">r </w:t>
      </w:r>
      <w:r w:rsidR="00AA3E08">
        <w:rPr>
          <w:szCs w:val="24"/>
        </w:rPr>
        <w:t>the remaining four years</w:t>
      </w:r>
      <w:r w:rsidR="00C7409E">
        <w:rPr>
          <w:szCs w:val="24"/>
        </w:rPr>
        <w:t xml:space="preserve"> of </w:t>
      </w:r>
      <w:r w:rsidR="00AA3E08">
        <w:rPr>
          <w:szCs w:val="24"/>
        </w:rPr>
        <w:t>the deed</w:t>
      </w:r>
      <w:r w:rsidR="00C7409E">
        <w:rPr>
          <w:szCs w:val="24"/>
        </w:rPr>
        <w:t xml:space="preserve">. </w:t>
      </w:r>
      <w:r w:rsidR="00C00DA7" w:rsidRPr="003C2FB5">
        <w:rPr>
          <w:szCs w:val="24"/>
        </w:rPr>
        <w:t xml:space="preserve">This is summarised in </w:t>
      </w:r>
      <w:r w:rsidR="009B6A1E" w:rsidRPr="009B6A1E">
        <w:t>Table 4</w:t>
      </w:r>
      <w:r w:rsidR="002141D6" w:rsidRPr="002141D6">
        <w:t>.</w:t>
      </w:r>
    </w:p>
    <w:p w:rsidR="00152B12" w:rsidRDefault="00B70EA2" w:rsidP="00D2781E">
      <w:pPr>
        <w:pStyle w:val="3Bodytext"/>
        <w:jc w:val="both"/>
        <w:rPr>
          <w:szCs w:val="24"/>
        </w:rPr>
      </w:pPr>
      <w:r>
        <w:rPr>
          <w:szCs w:val="24"/>
        </w:rPr>
        <w:t>The f</w:t>
      </w:r>
      <w:r w:rsidR="00152B12">
        <w:rPr>
          <w:szCs w:val="24"/>
        </w:rPr>
        <w:t>inancial estimates assumed 100</w:t>
      </w:r>
      <w:r>
        <w:rPr>
          <w:szCs w:val="24"/>
        </w:rPr>
        <w:t>%</w:t>
      </w:r>
      <w:r w:rsidR="00152B12">
        <w:rPr>
          <w:szCs w:val="24"/>
        </w:rPr>
        <w:t xml:space="preserve"> use of tablet formation rather than capsule use</w:t>
      </w:r>
      <w:r w:rsidR="00152B12" w:rsidRPr="003870C8">
        <w:rPr>
          <w:szCs w:val="24"/>
        </w:rPr>
        <w:t>. This is consistent with the initial use item for the capsule formulation having been discontinued as of July 2019.</w:t>
      </w:r>
    </w:p>
    <w:p w:rsidR="004F092C" w:rsidRDefault="00FC7129" w:rsidP="00D2781E">
      <w:pPr>
        <w:pStyle w:val="3Bodytext"/>
        <w:jc w:val="both"/>
        <w:rPr>
          <w:szCs w:val="24"/>
        </w:rPr>
      </w:pPr>
      <w:r>
        <w:rPr>
          <w:szCs w:val="24"/>
        </w:rPr>
        <w:t xml:space="preserve">The estimated number of eligible, treated patients for 2020 to 2023 (years 3 to 6 of the financial estimates presented in </w:t>
      </w:r>
      <w:r w:rsidR="00D8758E">
        <w:rPr>
          <w:szCs w:val="24"/>
        </w:rPr>
        <w:t>the previous minor submission), a</w:t>
      </w:r>
      <w:r>
        <w:rPr>
          <w:szCs w:val="24"/>
        </w:rPr>
        <w:t>s presented in the mi</w:t>
      </w:r>
      <w:r w:rsidR="00B70EA2">
        <w:rPr>
          <w:szCs w:val="24"/>
        </w:rPr>
        <w:t>nor submission</w:t>
      </w:r>
      <w:r w:rsidR="00D8758E">
        <w:rPr>
          <w:szCs w:val="24"/>
        </w:rPr>
        <w:t>,</w:t>
      </w:r>
      <w:r w:rsidR="00B70EA2">
        <w:rPr>
          <w:szCs w:val="24"/>
        </w:rPr>
        <w:t xml:space="preserve"> are shown in </w:t>
      </w:r>
      <w:r w:rsidR="009B6A1E" w:rsidRPr="009B6A1E">
        <w:rPr>
          <w:rStyle w:val="CommentReference"/>
          <w:sz w:val="24"/>
          <w:szCs w:val="22"/>
        </w:rPr>
        <w:t>Table 3</w:t>
      </w:r>
      <w:r>
        <w:rPr>
          <w:szCs w:val="24"/>
        </w:rPr>
        <w:t>.</w:t>
      </w:r>
      <w:r w:rsidR="00A30357">
        <w:rPr>
          <w:szCs w:val="24"/>
        </w:rPr>
        <w:t xml:space="preserve"> </w:t>
      </w:r>
      <w:r w:rsidR="00111D86">
        <w:rPr>
          <w:szCs w:val="24"/>
        </w:rPr>
        <w:t>The financial estimate c</w:t>
      </w:r>
      <w:r w:rsidR="00A30357">
        <w:rPr>
          <w:szCs w:val="24"/>
        </w:rPr>
        <w:t xml:space="preserve">alculations are based on estimates from the </w:t>
      </w:r>
      <w:r w:rsidR="00111D86">
        <w:rPr>
          <w:szCs w:val="24"/>
        </w:rPr>
        <w:t xml:space="preserve">March 2018 submission for listing of the olaparib tablet formation, with </w:t>
      </w:r>
      <w:r w:rsidR="00D8758E">
        <w:rPr>
          <w:szCs w:val="24"/>
        </w:rPr>
        <w:t xml:space="preserve">the </w:t>
      </w:r>
      <w:r w:rsidR="00111D86">
        <w:rPr>
          <w:szCs w:val="24"/>
        </w:rPr>
        <w:t>updated DPMQ ($</w:t>
      </w:r>
      <w:r w:rsidR="00C873EA">
        <w:rPr>
          <w:noProof/>
          <w:color w:val="000000"/>
          <w:szCs w:val="24"/>
          <w:highlight w:val="black"/>
        </w:rPr>
        <w:t>''''''''''''''''</w:t>
      </w:r>
      <w:r w:rsidR="00111D86">
        <w:rPr>
          <w:szCs w:val="24"/>
        </w:rPr>
        <w:t xml:space="preserve"> effective price) and </w:t>
      </w:r>
      <w:r w:rsidR="006561E6">
        <w:rPr>
          <w:szCs w:val="24"/>
        </w:rPr>
        <w:t>u</w:t>
      </w:r>
      <w:r w:rsidR="00D732A6">
        <w:rPr>
          <w:szCs w:val="24"/>
        </w:rPr>
        <w:t>p</w:t>
      </w:r>
      <w:r w:rsidR="006561E6">
        <w:rPr>
          <w:szCs w:val="24"/>
        </w:rPr>
        <w:t xml:space="preserve">dated </w:t>
      </w:r>
      <w:r w:rsidR="00111D86">
        <w:rPr>
          <w:szCs w:val="24"/>
        </w:rPr>
        <w:t>patient co-payment amounts</w:t>
      </w:r>
      <w:r w:rsidR="006561E6">
        <w:rPr>
          <w:szCs w:val="24"/>
        </w:rPr>
        <w:t xml:space="preserve"> ($40.30 General, $6.50 Concessional, current as at December 2019)</w:t>
      </w:r>
      <w:r w:rsidR="00111D86">
        <w:rPr>
          <w:szCs w:val="24"/>
        </w:rPr>
        <w:t>.</w:t>
      </w:r>
    </w:p>
    <w:p w:rsidR="00FC7129" w:rsidRPr="003870C8" w:rsidRDefault="004F092C" w:rsidP="00D2781E">
      <w:pPr>
        <w:pStyle w:val="Bodytextitalics"/>
        <w:jc w:val="both"/>
        <w:rPr>
          <w:i w:val="0"/>
          <w:szCs w:val="24"/>
        </w:rPr>
      </w:pPr>
      <w:r w:rsidRPr="003870C8">
        <w:rPr>
          <w:i w:val="0"/>
        </w:rPr>
        <w:t xml:space="preserve">The minor submission estimated the financial impact of </w:t>
      </w:r>
      <w:r w:rsidR="002141D6" w:rsidRPr="003870C8">
        <w:rPr>
          <w:i w:val="0"/>
        </w:rPr>
        <w:t xml:space="preserve">the requested extension of the listing by </w:t>
      </w:r>
      <w:r w:rsidRPr="003870C8">
        <w:rPr>
          <w:i w:val="0"/>
        </w:rPr>
        <w:t xml:space="preserve">increasing the </w:t>
      </w:r>
      <w:r w:rsidR="002141D6" w:rsidRPr="003870C8">
        <w:rPr>
          <w:i w:val="0"/>
        </w:rPr>
        <w:t xml:space="preserve">current </w:t>
      </w:r>
      <w:r w:rsidRPr="003870C8">
        <w:rPr>
          <w:i w:val="0"/>
        </w:rPr>
        <w:t>olaparib eligible population by 10%</w:t>
      </w:r>
      <w:r w:rsidR="00960746" w:rsidRPr="003870C8">
        <w:rPr>
          <w:i w:val="0"/>
        </w:rPr>
        <w:t xml:space="preserve">. Referring to worksheet ‘2a. Patients – epi’ in the Section 4 estimates model, this was </w:t>
      </w:r>
      <w:r w:rsidR="00946A4B" w:rsidRPr="003870C8">
        <w:rPr>
          <w:i w:val="0"/>
        </w:rPr>
        <w:t>based on the proportions derived by</w:t>
      </w:r>
      <w:r w:rsidR="00960746" w:rsidRPr="003870C8">
        <w:rPr>
          <w:i w:val="0"/>
        </w:rPr>
        <w:t xml:space="preserve"> dividing the number of germline BRCA patients sensitive to platinum (row 74) by the total number of incident patients with either ovarian, primary peritoneal and fallopian tube cancer (row 61). This approach</w:t>
      </w:r>
      <w:r w:rsidR="002141D6" w:rsidRPr="003870C8">
        <w:rPr>
          <w:i w:val="0"/>
        </w:rPr>
        <w:t xml:space="preserve"> underestimates the number of additional patients who would be identified</w:t>
      </w:r>
      <w:r w:rsidR="00960746" w:rsidRPr="003870C8">
        <w:rPr>
          <w:i w:val="0"/>
        </w:rPr>
        <w:t xml:space="preserve"> as it does not include somatic patients</w:t>
      </w:r>
      <w:r w:rsidR="002141D6" w:rsidRPr="003870C8">
        <w:rPr>
          <w:i w:val="0"/>
        </w:rPr>
        <w:t xml:space="preserve">. </w:t>
      </w:r>
      <w:r w:rsidRPr="003870C8">
        <w:rPr>
          <w:i w:val="0"/>
        </w:rPr>
        <w:t xml:space="preserve">Including patients with </w:t>
      </w:r>
      <w:r w:rsidR="00960746" w:rsidRPr="003870C8">
        <w:rPr>
          <w:i w:val="0"/>
        </w:rPr>
        <w:t xml:space="preserve">both germline and </w:t>
      </w:r>
      <w:r w:rsidRPr="003870C8">
        <w:rPr>
          <w:i w:val="0"/>
        </w:rPr>
        <w:t>somatic tumours</w:t>
      </w:r>
      <w:r w:rsidR="00960746" w:rsidRPr="003870C8">
        <w:rPr>
          <w:i w:val="0"/>
        </w:rPr>
        <w:t xml:space="preserve"> (i.e. row 73, the total number of patients tested for BRCA)</w:t>
      </w:r>
      <w:r w:rsidRPr="003870C8">
        <w:rPr>
          <w:i w:val="0"/>
        </w:rPr>
        <w:t xml:space="preserve"> would identify an additional 10% of the </w:t>
      </w:r>
      <w:r w:rsidRPr="003870C8">
        <w:rPr>
          <w:i w:val="0"/>
          <w:u w:val="single"/>
        </w:rPr>
        <w:t>total</w:t>
      </w:r>
      <w:r w:rsidRPr="003870C8">
        <w:rPr>
          <w:i w:val="0"/>
        </w:rPr>
        <w:t xml:space="preserve"> platinum-sensitive relapsed ovarian cancer patient population as having BRCA mutations. As such, it would increase the current eligible population (gBRCAm) by 21.3% (i.e. from</w:t>
      </w:r>
      <w:r w:rsidR="00715D5D">
        <w:rPr>
          <w:i w:val="0"/>
        </w:rPr>
        <w:t>less than 10,000</w:t>
      </w:r>
      <w:r w:rsidRPr="003870C8">
        <w:rPr>
          <w:i w:val="0"/>
        </w:rPr>
        <w:t xml:space="preserve"> to </w:t>
      </w:r>
      <w:r w:rsidR="00715D5D">
        <w:rPr>
          <w:i w:val="0"/>
        </w:rPr>
        <w:t>less than 10,000</w:t>
      </w:r>
      <w:r w:rsidRPr="003870C8">
        <w:rPr>
          <w:i w:val="0"/>
        </w:rPr>
        <w:t xml:space="preserve"> patients), rather than 10%. </w:t>
      </w:r>
      <w:r w:rsidR="00FC7129" w:rsidRPr="003870C8">
        <w:rPr>
          <w:i w:val="0"/>
          <w:szCs w:val="24"/>
        </w:rPr>
        <w:t xml:space="preserve">Corrected estimates, assuming </w:t>
      </w:r>
      <w:r w:rsidR="0031084D">
        <w:rPr>
          <w:i w:val="0"/>
        </w:rPr>
        <w:t>less than 10,000</w:t>
      </w:r>
      <w:r w:rsidR="005C4664">
        <w:rPr>
          <w:i w:val="0"/>
        </w:rPr>
        <w:t xml:space="preserve"> out of </w:t>
      </w:r>
      <w:r w:rsidR="00715D5D">
        <w:rPr>
          <w:i w:val="0"/>
        </w:rPr>
        <w:t>less than 10,000</w:t>
      </w:r>
      <w:r w:rsidR="00FC7129" w:rsidRPr="003870C8">
        <w:rPr>
          <w:i w:val="0"/>
        </w:rPr>
        <w:t xml:space="preserve"> (5</w:t>
      </w:r>
      <w:r w:rsidR="00A30357" w:rsidRPr="003870C8">
        <w:rPr>
          <w:i w:val="0"/>
        </w:rPr>
        <w:t>4.</w:t>
      </w:r>
      <w:r w:rsidR="00FC7129" w:rsidRPr="003870C8">
        <w:rPr>
          <w:i w:val="0"/>
        </w:rPr>
        <w:t xml:space="preserve">5%) </w:t>
      </w:r>
      <w:r w:rsidR="00D8758E" w:rsidRPr="003870C8">
        <w:rPr>
          <w:i w:val="0"/>
        </w:rPr>
        <w:t xml:space="preserve">platinum-sensitive relapsed </w:t>
      </w:r>
      <w:r w:rsidR="00FC7129" w:rsidRPr="003870C8">
        <w:rPr>
          <w:i w:val="0"/>
        </w:rPr>
        <w:t xml:space="preserve">ovarian cancer patients carried a somatic or germline </w:t>
      </w:r>
      <w:r w:rsidR="00FC7129" w:rsidRPr="003870C8">
        <w:rPr>
          <w:i w:val="0"/>
        </w:rPr>
        <w:lastRenderedPageBreak/>
        <w:t>BRCA mutation, consisten</w:t>
      </w:r>
      <w:r w:rsidR="00D8758E" w:rsidRPr="003870C8">
        <w:rPr>
          <w:i w:val="0"/>
        </w:rPr>
        <w:t>t with the evidence from S</w:t>
      </w:r>
      <w:r w:rsidR="00FC7129" w:rsidRPr="003870C8">
        <w:rPr>
          <w:i w:val="0"/>
        </w:rPr>
        <w:t>tudy 19 are shown in italics</w:t>
      </w:r>
      <w:r w:rsidR="002141D6" w:rsidRPr="003870C8">
        <w:rPr>
          <w:i w:val="0"/>
        </w:rPr>
        <w:t xml:space="preserve"> in </w:t>
      </w:r>
      <w:r w:rsidR="009B6A1E" w:rsidRPr="003870C8">
        <w:rPr>
          <w:i w:val="0"/>
        </w:rPr>
        <w:t>Table 3</w:t>
      </w:r>
      <w:r w:rsidR="002141D6" w:rsidRPr="003870C8">
        <w:rPr>
          <w:i w:val="0"/>
        </w:rPr>
        <w:t xml:space="preserve"> and </w:t>
      </w:r>
      <w:r w:rsidR="009B6A1E" w:rsidRPr="003870C8">
        <w:rPr>
          <w:i w:val="0"/>
        </w:rPr>
        <w:t>Table 4</w:t>
      </w:r>
      <w:r w:rsidR="00FC7129" w:rsidRPr="003870C8">
        <w:rPr>
          <w:i w:val="0"/>
        </w:rPr>
        <w:t>.</w:t>
      </w:r>
      <w:r w:rsidR="00C37438">
        <w:rPr>
          <w:i w:val="0"/>
        </w:rPr>
        <w:t xml:space="preserve"> In the pre-PBAC response the sponsor agreed with this correction to calculation</w:t>
      </w:r>
      <w:r w:rsidR="00AB050B">
        <w:rPr>
          <w:i w:val="0"/>
        </w:rPr>
        <w:t xml:space="preserve"> of additional patient numbers.</w:t>
      </w:r>
    </w:p>
    <w:p w:rsidR="00B70EA2" w:rsidRPr="003870C8" w:rsidRDefault="00B70EA2" w:rsidP="00D2781E">
      <w:pPr>
        <w:pStyle w:val="3Bodytext"/>
        <w:jc w:val="both"/>
        <w:rPr>
          <w:szCs w:val="24"/>
        </w:rPr>
      </w:pPr>
      <w:r w:rsidRPr="003870C8">
        <w:rPr>
          <w:szCs w:val="24"/>
        </w:rPr>
        <w:t xml:space="preserve">Revised estimates shown in </w:t>
      </w:r>
      <w:r w:rsidR="004D45C4" w:rsidRPr="003870C8">
        <w:rPr>
          <w:szCs w:val="24"/>
        </w:rPr>
        <w:t>Table 4</w:t>
      </w:r>
      <w:r w:rsidRPr="003870C8">
        <w:rPr>
          <w:szCs w:val="24"/>
        </w:rPr>
        <w:t xml:space="preserve"> below </w:t>
      </w:r>
      <w:r w:rsidR="002141D6" w:rsidRPr="003870C8">
        <w:rPr>
          <w:szCs w:val="24"/>
        </w:rPr>
        <w:t>indicate</w:t>
      </w:r>
      <w:r w:rsidRPr="003870C8">
        <w:rPr>
          <w:szCs w:val="24"/>
        </w:rPr>
        <w:t xml:space="preserve"> the net cost to the PBS in year 6 (2023) is </w:t>
      </w:r>
      <w:r w:rsidR="001D37E0">
        <w:rPr>
          <w:szCs w:val="24"/>
        </w:rPr>
        <w:t>less than $10</w:t>
      </w:r>
      <w:r w:rsidRPr="003870C8">
        <w:rPr>
          <w:szCs w:val="24"/>
        </w:rPr>
        <w:t xml:space="preserve"> million, with a total net cost to the PBS of </w:t>
      </w:r>
      <w:r w:rsidR="001D37E0">
        <w:rPr>
          <w:szCs w:val="24"/>
        </w:rPr>
        <w:t>less than $10</w:t>
      </w:r>
      <w:r w:rsidRPr="003870C8">
        <w:rPr>
          <w:szCs w:val="24"/>
        </w:rPr>
        <w:t xml:space="preserve"> million over the remaining four years of the deed.</w:t>
      </w:r>
    </w:p>
    <w:p w:rsidR="00C7409E" w:rsidRPr="00992C92" w:rsidRDefault="00C7409E" w:rsidP="00992C92">
      <w:pPr>
        <w:pStyle w:val="TableHeading0"/>
        <w:widowControl w:val="0"/>
        <w:rPr>
          <w:rStyle w:val="CommentReference"/>
          <w:sz w:val="20"/>
          <w:szCs w:val="20"/>
        </w:rPr>
      </w:pPr>
      <w:bookmarkStart w:id="6" w:name="_Ref31975089"/>
      <w:r w:rsidRPr="00992C92">
        <w:rPr>
          <w:rStyle w:val="CommentReference"/>
          <w:sz w:val="20"/>
          <w:szCs w:val="20"/>
        </w:rPr>
        <w:t xml:space="preserve">Table </w:t>
      </w:r>
      <w:bookmarkEnd w:id="6"/>
      <w:r w:rsidR="004D45C4" w:rsidRPr="00992C92">
        <w:rPr>
          <w:rStyle w:val="CommentReference"/>
          <w:sz w:val="20"/>
          <w:szCs w:val="20"/>
        </w:rPr>
        <w:t>3</w:t>
      </w:r>
      <w:r w:rsidRPr="00992C92">
        <w:rPr>
          <w:rStyle w:val="CommentReference"/>
          <w:sz w:val="20"/>
          <w:szCs w:val="20"/>
        </w:rPr>
        <w:t xml:space="preserve">: Estimated </w:t>
      </w:r>
      <w:r w:rsidR="00111D86" w:rsidRPr="00992C92">
        <w:rPr>
          <w:rStyle w:val="CommentReference"/>
          <w:sz w:val="20"/>
          <w:szCs w:val="20"/>
        </w:rPr>
        <w:t>number of eligible, treated patients</w:t>
      </w:r>
    </w:p>
    <w:tbl>
      <w:tblPr>
        <w:tblStyle w:val="AZTable2"/>
        <w:tblW w:w="4871" w:type="pct"/>
        <w:tblLook w:val="04A0" w:firstRow="1" w:lastRow="0" w:firstColumn="1" w:lastColumn="0" w:noHBand="0" w:noVBand="1"/>
        <w:tblCaption w:val="Table 3: Estimated number of eligible, treated patients"/>
      </w:tblPr>
      <w:tblGrid>
        <w:gridCol w:w="3397"/>
        <w:gridCol w:w="1419"/>
        <w:gridCol w:w="1275"/>
        <w:gridCol w:w="1274"/>
        <w:gridCol w:w="1418"/>
      </w:tblGrid>
      <w:tr w:rsidR="00FC7129" w:rsidRPr="00FC7129" w:rsidTr="00E12A6F">
        <w:trPr>
          <w:cnfStyle w:val="100000000000" w:firstRow="1" w:lastRow="0" w:firstColumn="0" w:lastColumn="0" w:oddVBand="0" w:evenVBand="0" w:oddHBand="0" w:evenHBand="0" w:firstRowFirstColumn="0" w:firstRowLastColumn="0" w:lastRowFirstColumn="0" w:lastRowLastColumn="0"/>
          <w:trHeight w:val="252"/>
          <w:tblHeader/>
        </w:trPr>
        <w:tc>
          <w:tcPr>
            <w:tcW w:w="1934" w:type="pct"/>
            <w:shd w:val="clear" w:color="auto" w:fill="auto"/>
          </w:tcPr>
          <w:p w:rsidR="00FC7129" w:rsidRPr="00FC7129" w:rsidRDefault="00FC7129" w:rsidP="00992C92">
            <w:pPr>
              <w:pStyle w:val="TableText0"/>
              <w:keepNext/>
              <w:keepLines/>
              <w:widowControl w:val="0"/>
              <w:jc w:val="both"/>
              <w:rPr>
                <w:b/>
                <w:lang w:eastAsia="en-AU" w:bidi="en-US"/>
              </w:rPr>
            </w:pPr>
          </w:p>
        </w:tc>
        <w:tc>
          <w:tcPr>
            <w:tcW w:w="808" w:type="pct"/>
            <w:shd w:val="clear" w:color="auto" w:fill="auto"/>
          </w:tcPr>
          <w:p w:rsidR="00FC7129" w:rsidRPr="00FC7129" w:rsidRDefault="00FC7129" w:rsidP="00AB050B">
            <w:pPr>
              <w:pStyle w:val="TableText0"/>
              <w:keepNext/>
              <w:keepLines/>
              <w:widowControl w:val="0"/>
              <w:jc w:val="center"/>
              <w:rPr>
                <w:b/>
              </w:rPr>
            </w:pPr>
            <w:r w:rsidRPr="00FC7129">
              <w:rPr>
                <w:b/>
              </w:rPr>
              <w:t>Year 3</w:t>
            </w:r>
          </w:p>
          <w:p w:rsidR="00FC7129" w:rsidRPr="00FC7129" w:rsidRDefault="00FC7129" w:rsidP="00AB050B">
            <w:pPr>
              <w:pStyle w:val="TableText0"/>
              <w:keepNext/>
              <w:keepLines/>
              <w:widowControl w:val="0"/>
              <w:jc w:val="center"/>
              <w:rPr>
                <w:b/>
              </w:rPr>
            </w:pPr>
            <w:r w:rsidRPr="00FC7129">
              <w:rPr>
                <w:b/>
              </w:rPr>
              <w:t>2020</w:t>
            </w:r>
          </w:p>
        </w:tc>
        <w:tc>
          <w:tcPr>
            <w:tcW w:w="726" w:type="pct"/>
            <w:shd w:val="clear" w:color="auto" w:fill="auto"/>
          </w:tcPr>
          <w:p w:rsidR="00FC7129" w:rsidRPr="00FC7129" w:rsidRDefault="00FC7129" w:rsidP="00AB050B">
            <w:pPr>
              <w:pStyle w:val="TableText0"/>
              <w:keepNext/>
              <w:keepLines/>
              <w:widowControl w:val="0"/>
              <w:jc w:val="center"/>
              <w:rPr>
                <w:b/>
              </w:rPr>
            </w:pPr>
            <w:r w:rsidRPr="00FC7129">
              <w:rPr>
                <w:b/>
              </w:rPr>
              <w:t>Year 4</w:t>
            </w:r>
          </w:p>
          <w:p w:rsidR="00FC7129" w:rsidRPr="00FC7129" w:rsidRDefault="00FC7129" w:rsidP="00AB050B">
            <w:pPr>
              <w:pStyle w:val="TableText0"/>
              <w:keepNext/>
              <w:keepLines/>
              <w:widowControl w:val="0"/>
              <w:jc w:val="center"/>
              <w:rPr>
                <w:b/>
              </w:rPr>
            </w:pPr>
            <w:r w:rsidRPr="00FC7129">
              <w:rPr>
                <w:b/>
              </w:rPr>
              <w:t>2021</w:t>
            </w:r>
          </w:p>
        </w:tc>
        <w:tc>
          <w:tcPr>
            <w:tcW w:w="725" w:type="pct"/>
            <w:shd w:val="clear" w:color="auto" w:fill="auto"/>
          </w:tcPr>
          <w:p w:rsidR="00FC7129" w:rsidRPr="00FC7129" w:rsidRDefault="00FC7129" w:rsidP="00AB050B">
            <w:pPr>
              <w:pStyle w:val="TableText0"/>
              <w:keepNext/>
              <w:keepLines/>
              <w:widowControl w:val="0"/>
              <w:jc w:val="center"/>
              <w:rPr>
                <w:b/>
              </w:rPr>
            </w:pPr>
            <w:r w:rsidRPr="00FC7129">
              <w:rPr>
                <w:b/>
              </w:rPr>
              <w:t>Year 5</w:t>
            </w:r>
          </w:p>
          <w:p w:rsidR="00FC7129" w:rsidRPr="00FC7129" w:rsidRDefault="00FC7129" w:rsidP="00AB050B">
            <w:pPr>
              <w:pStyle w:val="TableText0"/>
              <w:keepNext/>
              <w:keepLines/>
              <w:widowControl w:val="0"/>
              <w:jc w:val="center"/>
              <w:rPr>
                <w:b/>
              </w:rPr>
            </w:pPr>
            <w:r w:rsidRPr="00FC7129">
              <w:rPr>
                <w:b/>
              </w:rPr>
              <w:t>2022</w:t>
            </w:r>
          </w:p>
        </w:tc>
        <w:tc>
          <w:tcPr>
            <w:tcW w:w="807" w:type="pct"/>
            <w:shd w:val="clear" w:color="auto" w:fill="auto"/>
          </w:tcPr>
          <w:p w:rsidR="00FC7129" w:rsidRPr="00FC7129" w:rsidRDefault="00FC7129" w:rsidP="00AB050B">
            <w:pPr>
              <w:pStyle w:val="TableText0"/>
              <w:keepNext/>
              <w:keepLines/>
              <w:widowControl w:val="0"/>
              <w:jc w:val="center"/>
              <w:rPr>
                <w:b/>
              </w:rPr>
            </w:pPr>
            <w:r w:rsidRPr="00FC7129">
              <w:rPr>
                <w:b/>
              </w:rPr>
              <w:t>Year 6</w:t>
            </w:r>
          </w:p>
          <w:p w:rsidR="00FC7129" w:rsidRPr="00FC7129" w:rsidRDefault="00FC7129" w:rsidP="00AB050B">
            <w:pPr>
              <w:pStyle w:val="TableText0"/>
              <w:keepNext/>
              <w:keepLines/>
              <w:widowControl w:val="0"/>
              <w:jc w:val="center"/>
              <w:rPr>
                <w:b/>
              </w:rPr>
            </w:pPr>
            <w:r w:rsidRPr="00FC7129">
              <w:rPr>
                <w:b/>
              </w:rPr>
              <w:t>2023</w:t>
            </w:r>
          </w:p>
        </w:tc>
      </w:tr>
      <w:tr w:rsidR="00FC7129" w:rsidRPr="00DA6B37" w:rsidTr="0034567F">
        <w:trPr>
          <w:trHeight w:val="252"/>
        </w:trPr>
        <w:tc>
          <w:tcPr>
            <w:tcW w:w="1934" w:type="pct"/>
            <w:shd w:val="clear" w:color="auto" w:fill="auto"/>
          </w:tcPr>
          <w:p w:rsidR="00FC7129" w:rsidRPr="00DA6B37" w:rsidRDefault="00FC7129" w:rsidP="00992C92">
            <w:pPr>
              <w:pStyle w:val="TableText0"/>
              <w:keepNext/>
              <w:keepLines/>
              <w:widowControl w:val="0"/>
              <w:jc w:val="both"/>
              <w:rPr>
                <w:lang w:eastAsia="en-AU" w:bidi="en-US"/>
              </w:rPr>
            </w:pPr>
            <w:r>
              <w:rPr>
                <w:lang w:eastAsia="en-AU" w:bidi="en-US"/>
              </w:rPr>
              <w:t>PSR HGS ovarian cancer patients (germline BRCA1/2) eligible, treated</w:t>
            </w:r>
          </w:p>
        </w:tc>
        <w:tc>
          <w:tcPr>
            <w:tcW w:w="808" w:type="pct"/>
            <w:vAlign w:val="center"/>
          </w:tcPr>
          <w:p w:rsidR="00FC7129" w:rsidRPr="00C873EA" w:rsidRDefault="00C873EA" w:rsidP="00AB050B">
            <w:pPr>
              <w:pStyle w:val="TableText0"/>
              <w:keepNext/>
              <w:keepLines/>
              <w:widowControl w:val="0"/>
              <w:jc w:val="center"/>
              <w:rPr>
                <w:highlight w:val="black"/>
                <w:lang w:eastAsia="en-AU" w:bidi="en-US"/>
              </w:rPr>
            </w:pPr>
            <w:r>
              <w:rPr>
                <w:noProof/>
                <w:color w:val="000000"/>
                <w:highlight w:val="black"/>
                <w:lang w:bidi="en-US"/>
              </w:rPr>
              <w:t>'''''''''</w:t>
            </w:r>
          </w:p>
        </w:tc>
        <w:tc>
          <w:tcPr>
            <w:tcW w:w="726" w:type="pct"/>
            <w:vAlign w:val="center"/>
          </w:tcPr>
          <w:p w:rsidR="00FC7129" w:rsidRPr="00C873EA" w:rsidRDefault="00C873EA" w:rsidP="00AB050B">
            <w:pPr>
              <w:pStyle w:val="TableText0"/>
              <w:keepNext/>
              <w:keepLines/>
              <w:widowControl w:val="0"/>
              <w:jc w:val="center"/>
              <w:rPr>
                <w:highlight w:val="black"/>
                <w:lang w:eastAsia="en-AU" w:bidi="en-US"/>
              </w:rPr>
            </w:pPr>
            <w:r>
              <w:rPr>
                <w:noProof/>
                <w:color w:val="000000"/>
                <w:highlight w:val="black"/>
                <w:lang w:bidi="en-US"/>
              </w:rPr>
              <w:t>''''''''''</w:t>
            </w:r>
          </w:p>
        </w:tc>
        <w:tc>
          <w:tcPr>
            <w:tcW w:w="725" w:type="pct"/>
            <w:vAlign w:val="center"/>
          </w:tcPr>
          <w:p w:rsidR="00FC7129" w:rsidRPr="00C873EA" w:rsidRDefault="00C873EA" w:rsidP="00AB050B">
            <w:pPr>
              <w:pStyle w:val="TableText0"/>
              <w:keepNext/>
              <w:keepLines/>
              <w:widowControl w:val="0"/>
              <w:jc w:val="center"/>
              <w:rPr>
                <w:highlight w:val="black"/>
                <w:lang w:eastAsia="en-AU" w:bidi="en-US"/>
              </w:rPr>
            </w:pPr>
            <w:r>
              <w:rPr>
                <w:noProof/>
                <w:color w:val="000000"/>
                <w:highlight w:val="black"/>
                <w:lang w:bidi="en-US"/>
              </w:rPr>
              <w:t>''''''''</w:t>
            </w:r>
          </w:p>
        </w:tc>
        <w:tc>
          <w:tcPr>
            <w:tcW w:w="807" w:type="pct"/>
            <w:vAlign w:val="center"/>
          </w:tcPr>
          <w:p w:rsidR="00FC7129" w:rsidRPr="00C873EA" w:rsidRDefault="00C873EA" w:rsidP="00AB050B">
            <w:pPr>
              <w:pStyle w:val="TableText0"/>
              <w:keepNext/>
              <w:keepLines/>
              <w:widowControl w:val="0"/>
              <w:jc w:val="center"/>
              <w:rPr>
                <w:highlight w:val="black"/>
                <w:lang w:eastAsia="en-AU" w:bidi="en-US"/>
              </w:rPr>
            </w:pPr>
            <w:r>
              <w:rPr>
                <w:noProof/>
                <w:color w:val="000000"/>
                <w:highlight w:val="black"/>
                <w:lang w:bidi="en-US"/>
              </w:rPr>
              <w:t>''''''''''</w:t>
            </w:r>
          </w:p>
        </w:tc>
      </w:tr>
      <w:tr w:rsidR="00FC7129" w:rsidRPr="00DA6B37" w:rsidTr="0034567F">
        <w:tc>
          <w:tcPr>
            <w:tcW w:w="1934" w:type="pct"/>
            <w:vAlign w:val="center"/>
          </w:tcPr>
          <w:p w:rsidR="00FC7129" w:rsidRPr="00DA6B37" w:rsidRDefault="00FC7129" w:rsidP="00992C92">
            <w:pPr>
              <w:pStyle w:val="TableText0"/>
              <w:keepNext/>
              <w:keepLines/>
              <w:widowControl w:val="0"/>
              <w:jc w:val="both"/>
              <w:rPr>
                <w:lang w:bidi="en-US"/>
              </w:rPr>
            </w:pPr>
            <w:r>
              <w:rPr>
                <w:lang w:bidi="en-US"/>
              </w:rPr>
              <w:t>Additional PSR HGS ovarian cancer (somatic BRCA1/2) eligible, treated</w:t>
            </w:r>
          </w:p>
        </w:tc>
        <w:tc>
          <w:tcPr>
            <w:tcW w:w="808" w:type="pct"/>
            <w:vAlign w:val="center"/>
          </w:tcPr>
          <w:p w:rsidR="00033CD1"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c>
          <w:tcPr>
            <w:tcW w:w="726" w:type="pct"/>
            <w:vAlign w:val="center"/>
          </w:tcPr>
          <w:p w:rsidR="00A30357"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c>
          <w:tcPr>
            <w:tcW w:w="725" w:type="pct"/>
            <w:vAlign w:val="center"/>
          </w:tcPr>
          <w:p w:rsidR="00A30357"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c>
          <w:tcPr>
            <w:tcW w:w="807" w:type="pct"/>
            <w:vAlign w:val="center"/>
          </w:tcPr>
          <w:p w:rsidR="00A30357"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r>
      <w:tr w:rsidR="00FC7129" w:rsidRPr="00DA6B37" w:rsidTr="0034567F">
        <w:tc>
          <w:tcPr>
            <w:tcW w:w="1934" w:type="pct"/>
            <w:vAlign w:val="center"/>
          </w:tcPr>
          <w:p w:rsidR="00FC7129" w:rsidRPr="00DA6B37" w:rsidRDefault="00FC7129" w:rsidP="00992C92">
            <w:pPr>
              <w:pStyle w:val="TableText0"/>
              <w:keepNext/>
              <w:keepLines/>
              <w:widowControl w:val="0"/>
              <w:jc w:val="both"/>
              <w:rPr>
                <w:lang w:bidi="en-US"/>
              </w:rPr>
            </w:pPr>
            <w:r>
              <w:rPr>
                <w:lang w:bidi="en-US"/>
              </w:rPr>
              <w:t>Revised t</w:t>
            </w:r>
            <w:r w:rsidRPr="00DA6B37">
              <w:rPr>
                <w:lang w:bidi="en-US"/>
              </w:rPr>
              <w:t xml:space="preserve">otal </w:t>
            </w:r>
            <w:r>
              <w:rPr>
                <w:lang w:bidi="en-US"/>
              </w:rPr>
              <w:t xml:space="preserve">eligible, treated </w:t>
            </w:r>
            <w:r w:rsidRPr="00DA6B37">
              <w:rPr>
                <w:lang w:bidi="en-US"/>
              </w:rPr>
              <w:t>patients</w:t>
            </w:r>
          </w:p>
        </w:tc>
        <w:tc>
          <w:tcPr>
            <w:tcW w:w="808" w:type="pct"/>
            <w:vAlign w:val="center"/>
          </w:tcPr>
          <w:p w:rsidR="00033CD1"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c>
          <w:tcPr>
            <w:tcW w:w="726" w:type="pct"/>
            <w:vAlign w:val="center"/>
          </w:tcPr>
          <w:p w:rsidR="00033CD1"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c>
          <w:tcPr>
            <w:tcW w:w="725" w:type="pct"/>
            <w:vAlign w:val="center"/>
          </w:tcPr>
          <w:p w:rsidR="00033CD1"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c>
          <w:tcPr>
            <w:tcW w:w="807" w:type="pct"/>
            <w:vAlign w:val="center"/>
          </w:tcPr>
          <w:p w:rsidR="00FC7129" w:rsidRPr="00C873EA" w:rsidRDefault="00C873EA" w:rsidP="00AB050B">
            <w:pPr>
              <w:pStyle w:val="TableText0"/>
              <w:keepNext/>
              <w:keepLines/>
              <w:widowControl w:val="0"/>
              <w:jc w:val="center"/>
              <w:rPr>
                <w:highlight w:val="black"/>
                <w:lang w:bidi="en-US"/>
              </w:rPr>
            </w:pPr>
            <w:r>
              <w:rPr>
                <w:noProof/>
                <w:color w:val="000000"/>
                <w:highlight w:val="black"/>
                <w:lang w:bidi="en-US"/>
              </w:rPr>
              <w:t>''''''''''</w:t>
            </w:r>
          </w:p>
        </w:tc>
      </w:tr>
    </w:tbl>
    <w:p w:rsidR="00FC7129" w:rsidRDefault="00FC7129" w:rsidP="00992C92">
      <w:pPr>
        <w:pStyle w:val="TableFooter"/>
        <w:keepNext/>
        <w:keepLines/>
      </w:pPr>
      <w:r w:rsidRPr="00DA6B37">
        <w:t xml:space="preserve">Source: </w:t>
      </w:r>
      <w:r>
        <w:t>Lynparza Section 4 estimates revised, worksheet ‘2a Patients epi’ row 15 and worksheet “Annual pack utilisation” row B5-B8</w:t>
      </w:r>
    </w:p>
    <w:p w:rsidR="0096797C" w:rsidRPr="00942359" w:rsidRDefault="001D37E0" w:rsidP="001D37E0">
      <w:pPr>
        <w:pStyle w:val="3Bodytext"/>
        <w:numPr>
          <w:ilvl w:val="0"/>
          <w:numId w:val="0"/>
        </w:numPr>
        <w:rPr>
          <w:i/>
        </w:rPr>
      </w:pPr>
      <w:r>
        <w:br/>
      </w:r>
      <w:r w:rsidRPr="00942359">
        <w:rPr>
          <w:i/>
        </w:rPr>
        <w:t xml:space="preserve">The redacted table shows that at Year 6, the estimated number of eligible patients was less than 10,000. </w:t>
      </w:r>
    </w:p>
    <w:p w:rsidR="001D37E0" w:rsidRPr="00AB050B" w:rsidRDefault="001D37E0" w:rsidP="00AB050B">
      <w:pPr>
        <w:pStyle w:val="TableHeading0"/>
        <w:keepNext w:val="0"/>
        <w:keepLines w:val="0"/>
        <w:rPr>
          <w:rFonts w:asciiTheme="minorHAnsi" w:hAnsiTheme="minorHAnsi" w:cstheme="minorHAnsi"/>
          <w:b w:val="0"/>
          <w:sz w:val="24"/>
          <w:szCs w:val="24"/>
        </w:rPr>
      </w:pPr>
    </w:p>
    <w:p w:rsidR="000407E7" w:rsidRPr="00992C92" w:rsidRDefault="000407E7" w:rsidP="00992C92">
      <w:pPr>
        <w:pStyle w:val="TableHeading0"/>
        <w:rPr>
          <w:rStyle w:val="CommentReference"/>
          <w:sz w:val="20"/>
          <w:szCs w:val="20"/>
        </w:rPr>
      </w:pPr>
      <w:bookmarkStart w:id="7" w:name="_Ref31975170"/>
      <w:bookmarkStart w:id="8" w:name="_Ref33442181"/>
      <w:r w:rsidRPr="00992C92">
        <w:rPr>
          <w:rStyle w:val="CommentReference"/>
          <w:sz w:val="20"/>
          <w:szCs w:val="20"/>
        </w:rPr>
        <w:t xml:space="preserve">Table </w:t>
      </w:r>
      <w:bookmarkEnd w:id="7"/>
      <w:r w:rsidR="004D45C4" w:rsidRPr="00992C92">
        <w:rPr>
          <w:rStyle w:val="CommentReference"/>
          <w:sz w:val="20"/>
          <w:szCs w:val="20"/>
        </w:rPr>
        <w:t>4</w:t>
      </w:r>
      <w:bookmarkEnd w:id="8"/>
      <w:r w:rsidRPr="00992C92">
        <w:rPr>
          <w:rStyle w:val="CommentReference"/>
          <w:sz w:val="20"/>
          <w:szCs w:val="20"/>
        </w:rPr>
        <w:t>: Estimated financial impact of change to listing to include somatic BRCAm patients</w:t>
      </w:r>
    </w:p>
    <w:tbl>
      <w:tblPr>
        <w:tblStyle w:val="AZTable2"/>
        <w:tblW w:w="4950" w:type="pct"/>
        <w:tblLook w:val="04A0" w:firstRow="1" w:lastRow="0" w:firstColumn="1" w:lastColumn="0" w:noHBand="0" w:noVBand="1"/>
        <w:tblCaption w:val="Table 4: Estimated financial impact of change to listing to include somatic BRCAm patients"/>
      </w:tblPr>
      <w:tblGrid>
        <w:gridCol w:w="2683"/>
        <w:gridCol w:w="1696"/>
        <w:gridCol w:w="1553"/>
        <w:gridCol w:w="1553"/>
        <w:gridCol w:w="1441"/>
      </w:tblGrid>
      <w:tr w:rsidR="006561E6" w:rsidRPr="00992C92" w:rsidTr="00E12A6F">
        <w:trPr>
          <w:cnfStyle w:val="100000000000" w:firstRow="1" w:lastRow="0" w:firstColumn="0" w:lastColumn="0" w:oddVBand="0" w:evenVBand="0" w:oddHBand="0" w:evenHBand="0" w:firstRowFirstColumn="0" w:firstRowLastColumn="0" w:lastRowFirstColumn="0" w:lastRowLastColumn="0"/>
          <w:trHeight w:val="252"/>
          <w:tblHeader/>
        </w:trPr>
        <w:tc>
          <w:tcPr>
            <w:tcW w:w="1503" w:type="pct"/>
            <w:shd w:val="clear" w:color="auto" w:fill="auto"/>
          </w:tcPr>
          <w:p w:rsidR="006561E6" w:rsidRPr="00992C92" w:rsidRDefault="006561E6" w:rsidP="00D2781E">
            <w:pPr>
              <w:pStyle w:val="TableText0"/>
              <w:keepNext/>
              <w:keepLines/>
              <w:jc w:val="both"/>
              <w:rPr>
                <w:b/>
                <w:lang w:eastAsia="en-AU" w:bidi="en-US"/>
              </w:rPr>
            </w:pPr>
            <w:bookmarkStart w:id="9" w:name="_Hlk27573623"/>
            <w:bookmarkStart w:id="10" w:name="_GoBack"/>
            <w:bookmarkEnd w:id="10"/>
          </w:p>
        </w:tc>
        <w:tc>
          <w:tcPr>
            <w:tcW w:w="950" w:type="pct"/>
            <w:shd w:val="clear" w:color="auto" w:fill="auto"/>
          </w:tcPr>
          <w:p w:rsidR="006561E6" w:rsidRPr="00992C92" w:rsidRDefault="006561E6" w:rsidP="00AB050B">
            <w:pPr>
              <w:pStyle w:val="TableText0"/>
              <w:keepNext/>
              <w:keepLines/>
              <w:jc w:val="center"/>
              <w:rPr>
                <w:b/>
                <w:lang w:eastAsia="en-AU" w:bidi="en-US"/>
              </w:rPr>
            </w:pPr>
            <w:r w:rsidRPr="00992C92">
              <w:rPr>
                <w:b/>
                <w:lang w:eastAsia="en-AU" w:bidi="en-US"/>
              </w:rPr>
              <w:t>Year 3</w:t>
            </w:r>
          </w:p>
          <w:p w:rsidR="006561E6" w:rsidRPr="00992C92" w:rsidRDefault="006561E6" w:rsidP="00AB050B">
            <w:pPr>
              <w:pStyle w:val="TableText0"/>
              <w:keepNext/>
              <w:keepLines/>
              <w:jc w:val="center"/>
              <w:rPr>
                <w:b/>
                <w:lang w:eastAsia="en-AU" w:bidi="en-US"/>
              </w:rPr>
            </w:pPr>
            <w:r w:rsidRPr="00992C92">
              <w:rPr>
                <w:b/>
                <w:lang w:eastAsia="en-AU" w:bidi="en-US"/>
              </w:rPr>
              <w:t>2020</w:t>
            </w:r>
          </w:p>
        </w:tc>
        <w:tc>
          <w:tcPr>
            <w:tcW w:w="870" w:type="pct"/>
            <w:shd w:val="clear" w:color="auto" w:fill="auto"/>
          </w:tcPr>
          <w:p w:rsidR="006561E6" w:rsidRPr="00992C92" w:rsidRDefault="006561E6" w:rsidP="00AB050B">
            <w:pPr>
              <w:pStyle w:val="TableText0"/>
              <w:keepNext/>
              <w:keepLines/>
              <w:jc w:val="center"/>
              <w:rPr>
                <w:b/>
                <w:lang w:eastAsia="en-AU" w:bidi="en-US"/>
              </w:rPr>
            </w:pPr>
            <w:r w:rsidRPr="00992C92">
              <w:rPr>
                <w:b/>
                <w:lang w:eastAsia="en-AU" w:bidi="en-US"/>
              </w:rPr>
              <w:t>Year 4</w:t>
            </w:r>
          </w:p>
          <w:p w:rsidR="006561E6" w:rsidRPr="00992C92" w:rsidRDefault="006561E6" w:rsidP="00AB050B">
            <w:pPr>
              <w:pStyle w:val="TableText0"/>
              <w:keepNext/>
              <w:keepLines/>
              <w:jc w:val="center"/>
              <w:rPr>
                <w:b/>
                <w:lang w:eastAsia="en-AU" w:bidi="en-US"/>
              </w:rPr>
            </w:pPr>
            <w:r w:rsidRPr="00992C92">
              <w:rPr>
                <w:b/>
                <w:lang w:eastAsia="en-AU" w:bidi="en-US"/>
              </w:rPr>
              <w:t>2021</w:t>
            </w:r>
          </w:p>
        </w:tc>
        <w:tc>
          <w:tcPr>
            <w:tcW w:w="870" w:type="pct"/>
            <w:shd w:val="clear" w:color="auto" w:fill="auto"/>
          </w:tcPr>
          <w:p w:rsidR="006561E6" w:rsidRPr="00992C92" w:rsidRDefault="006561E6" w:rsidP="00AB050B">
            <w:pPr>
              <w:pStyle w:val="TableText0"/>
              <w:keepNext/>
              <w:keepLines/>
              <w:jc w:val="center"/>
              <w:rPr>
                <w:b/>
                <w:lang w:eastAsia="en-AU" w:bidi="en-US"/>
              </w:rPr>
            </w:pPr>
            <w:r w:rsidRPr="00992C92">
              <w:rPr>
                <w:b/>
                <w:lang w:eastAsia="en-AU" w:bidi="en-US"/>
              </w:rPr>
              <w:t>Year 5</w:t>
            </w:r>
          </w:p>
          <w:p w:rsidR="006561E6" w:rsidRPr="00992C92" w:rsidRDefault="006561E6" w:rsidP="00AB050B">
            <w:pPr>
              <w:pStyle w:val="TableText0"/>
              <w:keepNext/>
              <w:keepLines/>
              <w:jc w:val="center"/>
              <w:rPr>
                <w:b/>
                <w:lang w:eastAsia="en-AU" w:bidi="en-US"/>
              </w:rPr>
            </w:pPr>
            <w:r w:rsidRPr="00992C92">
              <w:rPr>
                <w:b/>
                <w:lang w:eastAsia="en-AU" w:bidi="en-US"/>
              </w:rPr>
              <w:t>2022</w:t>
            </w:r>
          </w:p>
        </w:tc>
        <w:tc>
          <w:tcPr>
            <w:tcW w:w="807" w:type="pct"/>
            <w:shd w:val="clear" w:color="auto" w:fill="auto"/>
          </w:tcPr>
          <w:p w:rsidR="006561E6" w:rsidRPr="00992C92" w:rsidRDefault="006561E6" w:rsidP="00AB050B">
            <w:pPr>
              <w:pStyle w:val="TableText0"/>
              <w:keepNext/>
              <w:keepLines/>
              <w:jc w:val="center"/>
              <w:rPr>
                <w:b/>
                <w:lang w:eastAsia="en-AU" w:bidi="en-US"/>
              </w:rPr>
            </w:pPr>
            <w:r w:rsidRPr="00992C92">
              <w:rPr>
                <w:b/>
                <w:lang w:eastAsia="en-AU" w:bidi="en-US"/>
              </w:rPr>
              <w:t>Year 6</w:t>
            </w:r>
            <w:r w:rsidR="00BE40C2" w:rsidRPr="00992C92">
              <w:rPr>
                <w:b/>
                <w:vertAlign w:val="superscript"/>
                <w:lang w:eastAsia="en-AU" w:bidi="en-US"/>
              </w:rPr>
              <w:t>#</w:t>
            </w:r>
          </w:p>
          <w:p w:rsidR="006561E6" w:rsidRPr="00992C92" w:rsidRDefault="006561E6" w:rsidP="00AB050B">
            <w:pPr>
              <w:pStyle w:val="TableText0"/>
              <w:keepNext/>
              <w:keepLines/>
              <w:jc w:val="center"/>
              <w:rPr>
                <w:b/>
                <w:lang w:eastAsia="en-AU" w:bidi="en-US"/>
              </w:rPr>
            </w:pPr>
            <w:r w:rsidRPr="00992C92">
              <w:rPr>
                <w:b/>
                <w:lang w:eastAsia="en-AU" w:bidi="en-US"/>
              </w:rPr>
              <w:t>2023</w:t>
            </w:r>
          </w:p>
        </w:tc>
      </w:tr>
      <w:tr w:rsidR="007B4C5B" w:rsidRPr="00992C92" w:rsidTr="00F232C8">
        <w:trPr>
          <w:trHeight w:val="252"/>
        </w:trPr>
        <w:tc>
          <w:tcPr>
            <w:tcW w:w="5000" w:type="pct"/>
            <w:gridSpan w:val="5"/>
            <w:shd w:val="clear" w:color="auto" w:fill="auto"/>
            <w:vAlign w:val="center"/>
          </w:tcPr>
          <w:p w:rsidR="007B4C5B" w:rsidRPr="0034567F" w:rsidRDefault="007B4C5B" w:rsidP="00AB050B">
            <w:pPr>
              <w:pStyle w:val="TableText0"/>
              <w:keepNext/>
              <w:keepLines/>
              <w:jc w:val="both"/>
              <w:rPr>
                <w:b/>
                <w:lang w:eastAsia="en-AU" w:bidi="en-US"/>
              </w:rPr>
            </w:pPr>
            <w:bookmarkStart w:id="11" w:name="_Hlk21005364"/>
            <w:r w:rsidRPr="0034567F">
              <w:rPr>
                <w:b/>
                <w:lang w:bidi="en-US"/>
              </w:rPr>
              <w:t>Cost to the R/PBS at the effective price (corrected)</w:t>
            </w:r>
          </w:p>
        </w:tc>
      </w:tr>
      <w:tr w:rsidR="00B262DA" w:rsidRPr="00992C92" w:rsidTr="007B4C5B">
        <w:tc>
          <w:tcPr>
            <w:tcW w:w="1503" w:type="pct"/>
            <w:vAlign w:val="center"/>
          </w:tcPr>
          <w:p w:rsidR="00B262DA" w:rsidRPr="0034567F" w:rsidRDefault="00B262DA" w:rsidP="00D2781E">
            <w:pPr>
              <w:pStyle w:val="TableText0"/>
              <w:keepNext/>
              <w:keepLines/>
              <w:jc w:val="both"/>
              <w:rPr>
                <w:lang w:bidi="en-US"/>
              </w:rPr>
            </w:pPr>
            <w:r w:rsidRPr="0034567F">
              <w:rPr>
                <w:lang w:bidi="en-US"/>
              </w:rPr>
              <w:t>Total</w:t>
            </w:r>
          </w:p>
        </w:tc>
        <w:tc>
          <w:tcPr>
            <w:tcW w:w="95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7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7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07" w:type="pct"/>
            <w:vAlign w:val="bottom"/>
          </w:tcPr>
          <w:p w:rsidR="00B262DA" w:rsidRPr="00C873EA" w:rsidRDefault="00B262DA" w:rsidP="00AB050B">
            <w:pPr>
              <w:pStyle w:val="TableText0"/>
              <w:jc w:val="center"/>
            </w:pPr>
            <w:r w:rsidRPr="00723322">
              <w:t>$</w:t>
            </w:r>
            <w:r w:rsidR="00C873EA">
              <w:rPr>
                <w:noProof/>
                <w:color w:val="000000"/>
                <w:highlight w:val="black"/>
              </w:rPr>
              <w:t>''''''''''''''''''''''''''''</w:t>
            </w:r>
          </w:p>
        </w:tc>
      </w:tr>
      <w:tr w:rsidR="00B262DA" w:rsidRPr="00992C92" w:rsidTr="007B4C5B">
        <w:tc>
          <w:tcPr>
            <w:tcW w:w="1503" w:type="pct"/>
            <w:vAlign w:val="center"/>
          </w:tcPr>
          <w:p w:rsidR="00B262DA" w:rsidRPr="0034567F" w:rsidRDefault="00B262DA" w:rsidP="00D2781E">
            <w:pPr>
              <w:pStyle w:val="TableText0"/>
              <w:keepNext/>
              <w:keepLines/>
              <w:jc w:val="both"/>
              <w:rPr>
                <w:rFonts w:eastAsiaTheme="majorEastAsia"/>
                <w:lang w:bidi="en-US"/>
              </w:rPr>
            </w:pPr>
            <w:r w:rsidRPr="0034567F">
              <w:rPr>
                <w:lang w:bidi="en-US"/>
              </w:rPr>
              <w:t>Overall cost to the R/PBS at the effective price less co-payments</w:t>
            </w:r>
            <w:r w:rsidRPr="0034567F">
              <w:rPr>
                <w:rFonts w:eastAsiaTheme="majorEastAsia"/>
                <w:lang w:bidi="en-US"/>
              </w:rPr>
              <w:t xml:space="preserve"> </w:t>
            </w:r>
          </w:p>
        </w:tc>
        <w:tc>
          <w:tcPr>
            <w:tcW w:w="95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7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7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07" w:type="pct"/>
            <w:vAlign w:val="bottom"/>
          </w:tcPr>
          <w:p w:rsidR="00B262DA" w:rsidRPr="00C873EA" w:rsidRDefault="00B262DA" w:rsidP="00AB050B">
            <w:pPr>
              <w:pStyle w:val="TableText0"/>
              <w:jc w:val="center"/>
            </w:pPr>
            <w:r w:rsidRPr="00723322">
              <w:t>$</w:t>
            </w:r>
            <w:r w:rsidR="00C873EA">
              <w:rPr>
                <w:noProof/>
                <w:color w:val="000000"/>
                <w:highlight w:val="black"/>
              </w:rPr>
              <w:t>'''''''''''''''''''''''</w:t>
            </w:r>
          </w:p>
        </w:tc>
      </w:tr>
      <w:tr w:rsidR="001E529A" w:rsidRPr="00992C92" w:rsidTr="00EF6468">
        <w:tc>
          <w:tcPr>
            <w:tcW w:w="5000" w:type="pct"/>
            <w:gridSpan w:val="5"/>
            <w:vAlign w:val="center"/>
          </w:tcPr>
          <w:p w:rsidR="001E529A" w:rsidRPr="0034567F" w:rsidRDefault="001E529A" w:rsidP="00AB050B">
            <w:pPr>
              <w:pStyle w:val="TableText0"/>
              <w:keepNext/>
              <w:keepLines/>
              <w:jc w:val="both"/>
            </w:pPr>
            <w:r w:rsidRPr="0034567F">
              <w:rPr>
                <w:b/>
                <w:lang w:bidi="en-US"/>
              </w:rPr>
              <w:t>Net additional cost to the R/PBS for including patients with somatic BRCAm (corrected)</w:t>
            </w:r>
          </w:p>
        </w:tc>
      </w:tr>
      <w:tr w:rsidR="00B262DA" w:rsidRPr="00992C92" w:rsidTr="00BD485C">
        <w:tc>
          <w:tcPr>
            <w:tcW w:w="1503" w:type="pct"/>
            <w:vAlign w:val="center"/>
          </w:tcPr>
          <w:p w:rsidR="00B262DA" w:rsidRPr="0034567F" w:rsidRDefault="00B262DA" w:rsidP="00D2781E">
            <w:pPr>
              <w:pStyle w:val="TableText0"/>
              <w:keepNext/>
              <w:keepLines/>
              <w:jc w:val="both"/>
              <w:rPr>
                <w:lang w:bidi="en-US"/>
              </w:rPr>
            </w:pPr>
            <w:r w:rsidRPr="0034567F">
              <w:rPr>
                <w:lang w:bidi="en-US"/>
              </w:rPr>
              <w:t>Total net cost prior to change*</w:t>
            </w:r>
          </w:p>
        </w:tc>
        <w:tc>
          <w:tcPr>
            <w:tcW w:w="95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7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70" w:type="pct"/>
            <w:vAlign w:val="bottom"/>
          </w:tcPr>
          <w:p w:rsidR="00B262DA" w:rsidRPr="00C873EA" w:rsidRDefault="00B262DA" w:rsidP="00AB050B">
            <w:pPr>
              <w:pStyle w:val="TableText0"/>
              <w:jc w:val="center"/>
            </w:pPr>
            <w:r w:rsidRPr="00723322">
              <w:t>$</w:t>
            </w:r>
            <w:r w:rsidR="00C873EA">
              <w:rPr>
                <w:noProof/>
                <w:color w:val="000000"/>
                <w:highlight w:val="black"/>
              </w:rPr>
              <w:t>'''''''''''''''''''''''''''''</w:t>
            </w:r>
          </w:p>
        </w:tc>
        <w:tc>
          <w:tcPr>
            <w:tcW w:w="807" w:type="pct"/>
            <w:vAlign w:val="bottom"/>
          </w:tcPr>
          <w:p w:rsidR="00B262DA" w:rsidRPr="00C873EA" w:rsidRDefault="00B262DA" w:rsidP="00AB050B">
            <w:pPr>
              <w:pStyle w:val="TableText0"/>
              <w:jc w:val="center"/>
            </w:pPr>
            <w:r w:rsidRPr="00723322">
              <w:t>$</w:t>
            </w:r>
            <w:r w:rsidR="00C873EA">
              <w:rPr>
                <w:noProof/>
                <w:color w:val="000000"/>
                <w:highlight w:val="black"/>
              </w:rPr>
              <w:t>''''''''''''''''''''''''''</w:t>
            </w:r>
          </w:p>
        </w:tc>
      </w:tr>
      <w:tr w:rsidR="001E529A" w:rsidRPr="00992C92" w:rsidTr="007B4C5B">
        <w:tc>
          <w:tcPr>
            <w:tcW w:w="1503" w:type="pct"/>
            <w:vAlign w:val="center"/>
          </w:tcPr>
          <w:p w:rsidR="001E529A" w:rsidRPr="0034567F" w:rsidRDefault="001E529A" w:rsidP="00AB050B">
            <w:pPr>
              <w:pStyle w:val="TableText0"/>
              <w:keepNext/>
              <w:keepLines/>
              <w:jc w:val="both"/>
              <w:rPr>
                <w:rFonts w:eastAsiaTheme="majorEastAsia"/>
                <w:lang w:bidi="en-US"/>
              </w:rPr>
            </w:pPr>
            <w:r w:rsidRPr="0034567F">
              <w:rPr>
                <w:rFonts w:eastAsiaTheme="majorEastAsia"/>
                <w:lang w:bidi="en-US"/>
              </w:rPr>
              <w:t xml:space="preserve">RSA </w:t>
            </w:r>
            <w:r w:rsidR="00AB050B">
              <w:rPr>
                <w:rFonts w:eastAsiaTheme="majorEastAsia"/>
                <w:lang w:bidi="en-US"/>
              </w:rPr>
              <w:t>c</w:t>
            </w:r>
            <w:r w:rsidRPr="0034567F">
              <w:rPr>
                <w:rFonts w:eastAsiaTheme="majorEastAsia"/>
                <w:lang w:bidi="en-US"/>
              </w:rPr>
              <w:t>aps</w:t>
            </w:r>
          </w:p>
        </w:tc>
        <w:tc>
          <w:tcPr>
            <w:tcW w:w="950" w:type="pct"/>
          </w:tcPr>
          <w:p w:rsidR="001E529A" w:rsidRPr="00C873EA" w:rsidRDefault="001E529A" w:rsidP="00AB050B">
            <w:pPr>
              <w:pStyle w:val="TableText0"/>
              <w:jc w:val="center"/>
              <w:rPr>
                <w:rFonts w:eastAsiaTheme="majorEastAsia"/>
                <w:lang w:bidi="en-US"/>
              </w:rPr>
            </w:pPr>
            <w:r w:rsidRPr="00723322">
              <w:rPr>
                <w:rFonts w:eastAsiaTheme="majorEastAsia"/>
                <w:lang w:bidi="en-US"/>
              </w:rPr>
              <w:t>$</w:t>
            </w:r>
            <w:r w:rsidR="00C873EA">
              <w:rPr>
                <w:rFonts w:eastAsiaTheme="majorEastAsia"/>
                <w:noProof/>
                <w:color w:val="000000"/>
                <w:highlight w:val="black"/>
                <w:lang w:bidi="en-US"/>
              </w:rPr>
              <w:t>''''''''''''''''''''''''''''</w:t>
            </w:r>
          </w:p>
        </w:tc>
        <w:tc>
          <w:tcPr>
            <w:tcW w:w="870" w:type="pct"/>
          </w:tcPr>
          <w:p w:rsidR="001E529A" w:rsidRPr="00C873EA" w:rsidRDefault="001E529A" w:rsidP="00AB050B">
            <w:pPr>
              <w:pStyle w:val="TableText0"/>
              <w:jc w:val="center"/>
              <w:rPr>
                <w:rFonts w:eastAsiaTheme="majorEastAsia"/>
                <w:lang w:bidi="en-US"/>
              </w:rPr>
            </w:pPr>
            <w:r w:rsidRPr="00723322">
              <w:rPr>
                <w:rFonts w:eastAsiaTheme="majorEastAsia"/>
                <w:lang w:bidi="en-US"/>
              </w:rPr>
              <w:t>$</w:t>
            </w:r>
            <w:r w:rsidR="00C873EA">
              <w:rPr>
                <w:rFonts w:eastAsiaTheme="majorEastAsia"/>
                <w:noProof/>
                <w:color w:val="000000"/>
                <w:highlight w:val="black"/>
                <w:lang w:bidi="en-US"/>
              </w:rPr>
              <w:t>'''''''''''''''''''''''''''</w:t>
            </w:r>
          </w:p>
        </w:tc>
        <w:tc>
          <w:tcPr>
            <w:tcW w:w="870" w:type="pct"/>
          </w:tcPr>
          <w:p w:rsidR="001E529A" w:rsidRPr="00C873EA" w:rsidRDefault="001E529A" w:rsidP="00AB050B">
            <w:pPr>
              <w:pStyle w:val="TableText0"/>
              <w:jc w:val="center"/>
              <w:rPr>
                <w:rFonts w:eastAsiaTheme="majorEastAsia"/>
                <w:lang w:bidi="en-US"/>
              </w:rPr>
            </w:pPr>
            <w:r w:rsidRPr="00723322">
              <w:rPr>
                <w:rFonts w:eastAsiaTheme="majorEastAsia"/>
                <w:lang w:bidi="en-US"/>
              </w:rPr>
              <w:t>$</w:t>
            </w:r>
            <w:r w:rsidR="00C873EA">
              <w:rPr>
                <w:rFonts w:eastAsiaTheme="majorEastAsia"/>
                <w:noProof/>
                <w:color w:val="000000"/>
                <w:highlight w:val="black"/>
                <w:lang w:bidi="en-US"/>
              </w:rPr>
              <w:t>''''''''''''''''''''''''</w:t>
            </w:r>
          </w:p>
        </w:tc>
        <w:tc>
          <w:tcPr>
            <w:tcW w:w="807" w:type="pct"/>
          </w:tcPr>
          <w:p w:rsidR="001E529A" w:rsidRPr="00C873EA" w:rsidRDefault="001E529A" w:rsidP="00AB050B">
            <w:pPr>
              <w:pStyle w:val="TableText0"/>
              <w:jc w:val="center"/>
              <w:rPr>
                <w:rFonts w:eastAsiaTheme="majorEastAsia"/>
                <w:lang w:bidi="en-US"/>
              </w:rPr>
            </w:pPr>
            <w:r w:rsidRPr="00723322">
              <w:rPr>
                <w:rFonts w:eastAsiaTheme="majorEastAsia"/>
                <w:lang w:bidi="en-US"/>
              </w:rPr>
              <w:t>$</w:t>
            </w:r>
            <w:r w:rsidR="00C873EA">
              <w:rPr>
                <w:rFonts w:eastAsiaTheme="majorEastAsia"/>
                <w:noProof/>
                <w:color w:val="000000"/>
                <w:highlight w:val="black"/>
                <w:lang w:bidi="en-US"/>
              </w:rPr>
              <w:t>'''''''''''''''''''''''</w:t>
            </w:r>
          </w:p>
        </w:tc>
      </w:tr>
      <w:tr w:rsidR="00B262DA" w:rsidRPr="00992C92" w:rsidTr="00BD485C">
        <w:tc>
          <w:tcPr>
            <w:tcW w:w="1503" w:type="pct"/>
            <w:vAlign w:val="center"/>
          </w:tcPr>
          <w:p w:rsidR="00B262DA" w:rsidRPr="0034567F" w:rsidRDefault="00B262DA" w:rsidP="00D2781E">
            <w:pPr>
              <w:pStyle w:val="TableText0"/>
              <w:keepNext/>
              <w:keepLines/>
              <w:jc w:val="both"/>
              <w:rPr>
                <w:lang w:bidi="en-US"/>
              </w:rPr>
            </w:pPr>
            <w:r w:rsidRPr="0034567F">
              <w:rPr>
                <w:lang w:bidi="en-US"/>
              </w:rPr>
              <w:t>Overall cost to the R/PBS at the effective price less co-payments</w:t>
            </w:r>
          </w:p>
        </w:tc>
        <w:tc>
          <w:tcPr>
            <w:tcW w:w="950" w:type="pct"/>
            <w:vAlign w:val="bottom"/>
          </w:tcPr>
          <w:p w:rsidR="00B262DA" w:rsidRPr="00C873EA" w:rsidRDefault="00B262DA" w:rsidP="00AB050B">
            <w:pPr>
              <w:pStyle w:val="TableText0"/>
              <w:jc w:val="center"/>
              <w:rPr>
                <w:b/>
              </w:rPr>
            </w:pPr>
            <w:r w:rsidRPr="00723322">
              <w:rPr>
                <w:b/>
              </w:rPr>
              <w:t>$</w:t>
            </w:r>
            <w:r w:rsidR="00C873EA">
              <w:rPr>
                <w:b/>
                <w:noProof/>
                <w:color w:val="000000"/>
                <w:highlight w:val="black"/>
              </w:rPr>
              <w:t>'''''''''''''''''''''</w:t>
            </w:r>
          </w:p>
        </w:tc>
        <w:tc>
          <w:tcPr>
            <w:tcW w:w="870" w:type="pct"/>
            <w:vAlign w:val="bottom"/>
          </w:tcPr>
          <w:p w:rsidR="00B262DA" w:rsidRPr="00C873EA" w:rsidRDefault="00B262DA" w:rsidP="00AB050B">
            <w:pPr>
              <w:pStyle w:val="TableText0"/>
              <w:jc w:val="center"/>
              <w:rPr>
                <w:b/>
              </w:rPr>
            </w:pPr>
            <w:r w:rsidRPr="00723322">
              <w:rPr>
                <w:b/>
              </w:rPr>
              <w:t>$</w:t>
            </w:r>
            <w:r w:rsidR="00C873EA">
              <w:rPr>
                <w:b/>
                <w:noProof/>
                <w:color w:val="000000"/>
                <w:highlight w:val="black"/>
              </w:rPr>
              <w:t>''''''''''''''''''</w:t>
            </w:r>
          </w:p>
        </w:tc>
        <w:tc>
          <w:tcPr>
            <w:tcW w:w="870" w:type="pct"/>
            <w:vAlign w:val="bottom"/>
          </w:tcPr>
          <w:p w:rsidR="00B262DA" w:rsidRPr="00C873EA" w:rsidRDefault="00B262DA" w:rsidP="00AB050B">
            <w:pPr>
              <w:pStyle w:val="TableText0"/>
              <w:jc w:val="center"/>
              <w:rPr>
                <w:b/>
              </w:rPr>
            </w:pPr>
            <w:r w:rsidRPr="00723322">
              <w:rPr>
                <w:b/>
              </w:rPr>
              <w:t>$</w:t>
            </w:r>
            <w:r w:rsidR="00C873EA">
              <w:rPr>
                <w:b/>
                <w:noProof/>
                <w:color w:val="000000"/>
                <w:highlight w:val="black"/>
              </w:rPr>
              <w:t>''''''''''''''''''</w:t>
            </w:r>
          </w:p>
        </w:tc>
        <w:tc>
          <w:tcPr>
            <w:tcW w:w="807" w:type="pct"/>
            <w:vAlign w:val="bottom"/>
          </w:tcPr>
          <w:p w:rsidR="00B262DA" w:rsidRPr="00C873EA" w:rsidRDefault="00B262DA" w:rsidP="00AB050B">
            <w:pPr>
              <w:pStyle w:val="TableText0"/>
              <w:jc w:val="center"/>
              <w:rPr>
                <w:b/>
              </w:rPr>
            </w:pPr>
            <w:r w:rsidRPr="00723322">
              <w:rPr>
                <w:b/>
              </w:rPr>
              <w:t>$</w:t>
            </w:r>
            <w:r w:rsidR="00C873EA">
              <w:rPr>
                <w:b/>
                <w:noProof/>
                <w:color w:val="000000"/>
                <w:highlight w:val="black"/>
              </w:rPr>
              <w:t>'''''''''''''''''''</w:t>
            </w:r>
          </w:p>
        </w:tc>
      </w:tr>
    </w:tbl>
    <w:bookmarkEnd w:id="9"/>
    <w:bookmarkEnd w:id="11"/>
    <w:p w:rsidR="001E529A" w:rsidRPr="001E529A" w:rsidRDefault="001E529A" w:rsidP="00D2781E">
      <w:pPr>
        <w:pStyle w:val="TableFooter"/>
        <w:keepNext/>
        <w:keepLines/>
        <w:rPr>
          <w:rStyle w:val="CommentReference"/>
          <w:sz w:val="18"/>
          <w:szCs w:val="22"/>
        </w:rPr>
      </w:pPr>
      <w:r w:rsidRPr="001E529A">
        <w:rPr>
          <w:rStyle w:val="CommentReference"/>
          <w:sz w:val="18"/>
          <w:szCs w:val="22"/>
        </w:rPr>
        <w:t>Source: Table 2.2.3 Olaparib minor submission</w:t>
      </w:r>
      <w:r w:rsidR="00B262DA">
        <w:rPr>
          <w:rStyle w:val="CommentReference"/>
          <w:sz w:val="18"/>
          <w:szCs w:val="22"/>
        </w:rPr>
        <w:t>, ‘Lynparza Section 4 estimates revised’ excel workbook</w:t>
      </w:r>
    </w:p>
    <w:p w:rsidR="006561E6" w:rsidRPr="0034567F" w:rsidRDefault="00F232C8" w:rsidP="00D2781E">
      <w:pPr>
        <w:pStyle w:val="TableFooter"/>
        <w:keepNext/>
        <w:keepLines/>
        <w:rPr>
          <w:rStyle w:val="CommentReference"/>
          <w:sz w:val="18"/>
          <w:szCs w:val="22"/>
        </w:rPr>
      </w:pPr>
      <w:r w:rsidRPr="0034567F">
        <w:rPr>
          <w:rStyle w:val="CommentReference"/>
          <w:sz w:val="18"/>
          <w:szCs w:val="22"/>
        </w:rPr>
        <w:t>* Values in the submission could not be verified</w:t>
      </w:r>
      <w:r w:rsidR="00D852F8" w:rsidRPr="0034567F">
        <w:rPr>
          <w:rStyle w:val="CommentReference"/>
          <w:sz w:val="18"/>
          <w:szCs w:val="22"/>
        </w:rPr>
        <w:t xml:space="preserve"> against values in the Section 4 estimates worksheet</w:t>
      </w:r>
      <w:r w:rsidRPr="0034567F">
        <w:rPr>
          <w:rStyle w:val="CommentReference"/>
          <w:sz w:val="18"/>
          <w:szCs w:val="22"/>
        </w:rPr>
        <w:t>. Net cost prior to change was calculated by changing worksheet ‘2a. Patients – epi’ cells E14 to J14 AND worksheet ‘Annual pack utilisation’ by removing the additional 10% and rounding patient numbers to whole numbers and adding PBS and RPBS costs on worksheet ‘3c. Impact –EFF’</w:t>
      </w:r>
      <w:r w:rsidR="00EA0A28" w:rsidRPr="0034567F">
        <w:rPr>
          <w:rStyle w:val="CommentReference"/>
          <w:sz w:val="18"/>
          <w:szCs w:val="22"/>
        </w:rPr>
        <w:t xml:space="preserve"> and using the corrected patient numbers shown in Table 4.</w:t>
      </w:r>
    </w:p>
    <w:p w:rsidR="00BE40C2" w:rsidRPr="0034567F" w:rsidRDefault="00BE40C2" w:rsidP="00D2781E">
      <w:pPr>
        <w:pStyle w:val="TableFooter"/>
        <w:keepNext/>
        <w:keepLines/>
        <w:rPr>
          <w:rStyle w:val="CommentReference"/>
          <w:sz w:val="18"/>
          <w:szCs w:val="22"/>
        </w:rPr>
      </w:pPr>
      <w:r w:rsidRPr="0034567F">
        <w:rPr>
          <w:rStyle w:val="CommentReference"/>
          <w:sz w:val="18"/>
          <w:szCs w:val="22"/>
          <w:vertAlign w:val="superscript"/>
        </w:rPr>
        <w:t>#</w:t>
      </w:r>
      <w:r w:rsidRPr="0034567F">
        <w:rPr>
          <w:rStyle w:val="CommentReference"/>
          <w:sz w:val="18"/>
          <w:szCs w:val="22"/>
        </w:rPr>
        <w:t xml:space="preserve"> Rounding the number of new patients per month in cells C2 to C9 </w:t>
      </w:r>
      <w:r w:rsidR="00B262DA" w:rsidRPr="0034567F">
        <w:rPr>
          <w:rStyle w:val="CommentReference"/>
          <w:sz w:val="18"/>
          <w:szCs w:val="22"/>
        </w:rPr>
        <w:t xml:space="preserve">worksheet ‘Annual pack utilisation’ </w:t>
      </w:r>
      <w:r w:rsidRPr="0034567F">
        <w:rPr>
          <w:rStyle w:val="CommentReference"/>
          <w:sz w:val="18"/>
          <w:szCs w:val="22"/>
        </w:rPr>
        <w:t xml:space="preserve">resulted in the same cost for years 5 and 6 despite different </w:t>
      </w:r>
      <w:r w:rsidR="00B262DA" w:rsidRPr="0034567F">
        <w:rPr>
          <w:rStyle w:val="CommentReference"/>
          <w:sz w:val="18"/>
          <w:szCs w:val="22"/>
        </w:rPr>
        <w:t xml:space="preserve">total </w:t>
      </w:r>
      <w:r w:rsidRPr="0034567F">
        <w:rPr>
          <w:rStyle w:val="CommentReference"/>
          <w:sz w:val="18"/>
          <w:szCs w:val="22"/>
        </w:rPr>
        <w:t>patient numbers. In the revised estimates the number of new patients per month has not been rounded.</w:t>
      </w:r>
    </w:p>
    <w:p w:rsidR="00111D86" w:rsidRDefault="00111D86" w:rsidP="00D2781E">
      <w:pPr>
        <w:jc w:val="both"/>
        <w:rPr>
          <w:rStyle w:val="CommentReference"/>
          <w:rFonts w:ascii="Arial Narrow" w:hAnsi="Arial Narrow"/>
          <w:b/>
          <w:sz w:val="20"/>
          <w:szCs w:val="20"/>
        </w:rPr>
      </w:pPr>
    </w:p>
    <w:p w:rsidR="00BA347C" w:rsidRPr="003870C8" w:rsidRDefault="00BA347C" w:rsidP="00D2781E">
      <w:pPr>
        <w:pStyle w:val="Bodytextitalics"/>
        <w:jc w:val="both"/>
        <w:rPr>
          <w:i w:val="0"/>
          <w:szCs w:val="24"/>
        </w:rPr>
      </w:pPr>
      <w:r w:rsidRPr="003870C8">
        <w:rPr>
          <w:i w:val="0"/>
          <w:szCs w:val="24"/>
        </w:rPr>
        <w:t>As a minor submission, the financial estimates have not been independently evaluated.</w:t>
      </w:r>
    </w:p>
    <w:p w:rsidR="00B262DA" w:rsidRPr="003870C8" w:rsidRDefault="004F092C" w:rsidP="00D2781E">
      <w:pPr>
        <w:pStyle w:val="Bodytextitalics"/>
        <w:jc w:val="both"/>
        <w:rPr>
          <w:i w:val="0"/>
          <w:szCs w:val="24"/>
        </w:rPr>
      </w:pPr>
      <w:r w:rsidRPr="003870C8">
        <w:rPr>
          <w:i w:val="0"/>
          <w:szCs w:val="24"/>
        </w:rPr>
        <w:t xml:space="preserve">As noted </w:t>
      </w:r>
      <w:r w:rsidRPr="00EE5960">
        <w:rPr>
          <w:i w:val="0"/>
          <w:szCs w:val="24"/>
        </w:rPr>
        <w:t>above</w:t>
      </w:r>
      <w:r w:rsidR="000C2C16" w:rsidRPr="00EE5960">
        <w:rPr>
          <w:i w:val="0"/>
          <w:szCs w:val="24"/>
        </w:rPr>
        <w:t xml:space="preserve"> (paragraph </w:t>
      </w:r>
      <w:r w:rsidR="009B6A1E" w:rsidRPr="00EE5960">
        <w:rPr>
          <w:i w:val="0"/>
          <w:szCs w:val="24"/>
        </w:rPr>
        <w:t>4.3</w:t>
      </w:r>
      <w:r w:rsidR="00285ECF" w:rsidRPr="00EE5960">
        <w:rPr>
          <w:i w:val="0"/>
          <w:szCs w:val="24"/>
        </w:rPr>
        <w:t xml:space="preserve"> and 4.6</w:t>
      </w:r>
      <w:r w:rsidR="000C2C16" w:rsidRPr="00EE5960">
        <w:rPr>
          <w:i w:val="0"/>
          <w:szCs w:val="24"/>
        </w:rPr>
        <w:t>)</w:t>
      </w:r>
      <w:r w:rsidRPr="00EE5960">
        <w:rPr>
          <w:i w:val="0"/>
          <w:szCs w:val="24"/>
        </w:rPr>
        <w:t>, other</w:t>
      </w:r>
      <w:r w:rsidRPr="003870C8">
        <w:rPr>
          <w:i w:val="0"/>
          <w:szCs w:val="24"/>
        </w:rPr>
        <w:t xml:space="preserve"> sources for the prevalence of somatic BRCA mutations are available in the literature. If fewer somatic BRCAm are identified in practice than in Study 19, the f</w:t>
      </w:r>
      <w:r w:rsidR="002141D6" w:rsidRPr="003870C8">
        <w:rPr>
          <w:i w:val="0"/>
          <w:szCs w:val="24"/>
        </w:rPr>
        <w:t xml:space="preserve">inancial impact shown in </w:t>
      </w:r>
      <w:r w:rsidR="009B6A1E" w:rsidRPr="003870C8">
        <w:rPr>
          <w:rStyle w:val="CommentReference"/>
          <w:i w:val="0"/>
          <w:sz w:val="24"/>
          <w:szCs w:val="22"/>
        </w:rPr>
        <w:t>Table</w:t>
      </w:r>
      <w:r w:rsidR="009B6A1E" w:rsidRPr="003870C8">
        <w:rPr>
          <w:i w:val="0"/>
        </w:rPr>
        <w:t xml:space="preserve"> 4</w:t>
      </w:r>
      <w:r w:rsidR="00AB050B">
        <w:rPr>
          <w:i w:val="0"/>
          <w:szCs w:val="24"/>
        </w:rPr>
        <w:t xml:space="preserve"> will be overestimated.</w:t>
      </w:r>
    </w:p>
    <w:p w:rsidR="004F092C" w:rsidRPr="002141D6" w:rsidRDefault="002141D6" w:rsidP="00D2781E">
      <w:pPr>
        <w:pStyle w:val="Bodytextitalics"/>
        <w:jc w:val="both"/>
        <w:rPr>
          <w:i w:val="0"/>
          <w:szCs w:val="24"/>
        </w:rPr>
      </w:pPr>
      <w:r w:rsidRPr="000C2C16">
        <w:rPr>
          <w:i w:val="0"/>
          <w:szCs w:val="24"/>
        </w:rPr>
        <w:t xml:space="preserve">As shown in </w:t>
      </w:r>
      <w:r w:rsidR="009B6A1E" w:rsidRPr="009B6A1E">
        <w:rPr>
          <w:rStyle w:val="CommentReference"/>
          <w:i w:val="0"/>
          <w:sz w:val="24"/>
          <w:szCs w:val="22"/>
        </w:rPr>
        <w:t>Table</w:t>
      </w:r>
      <w:r w:rsidR="009B6A1E" w:rsidRPr="009B6A1E">
        <w:rPr>
          <w:i w:val="0"/>
        </w:rPr>
        <w:t xml:space="preserve"> 4</w:t>
      </w:r>
      <w:r w:rsidR="00C062FB" w:rsidRPr="000C2C16">
        <w:rPr>
          <w:i w:val="0"/>
          <w:szCs w:val="24"/>
        </w:rPr>
        <w:t xml:space="preserve"> (above) there are caps in place for </w:t>
      </w:r>
      <w:r w:rsidRPr="000C2C16">
        <w:rPr>
          <w:i w:val="0"/>
          <w:szCs w:val="24"/>
        </w:rPr>
        <w:t xml:space="preserve">the current </w:t>
      </w:r>
      <w:r w:rsidR="00C062FB" w:rsidRPr="000C2C16">
        <w:rPr>
          <w:i w:val="0"/>
          <w:szCs w:val="24"/>
        </w:rPr>
        <w:t>olaparib</w:t>
      </w:r>
      <w:r w:rsidRPr="000C2C16">
        <w:rPr>
          <w:i w:val="0"/>
          <w:szCs w:val="24"/>
        </w:rPr>
        <w:t xml:space="preserve"> listings</w:t>
      </w:r>
      <w:r w:rsidR="00C062FB" w:rsidRPr="000C2C16">
        <w:rPr>
          <w:i w:val="0"/>
          <w:szCs w:val="24"/>
        </w:rPr>
        <w:t xml:space="preserve">. </w:t>
      </w:r>
      <w:r w:rsidR="004F092C" w:rsidRPr="000C2C16">
        <w:rPr>
          <w:i w:val="0"/>
          <w:szCs w:val="24"/>
        </w:rPr>
        <w:t>The</w:t>
      </w:r>
      <w:r w:rsidR="004F092C" w:rsidRPr="002141D6">
        <w:rPr>
          <w:i w:val="0"/>
          <w:szCs w:val="24"/>
        </w:rPr>
        <w:t xml:space="preserve"> </w:t>
      </w:r>
      <w:r w:rsidR="00C062FB" w:rsidRPr="002141D6">
        <w:rPr>
          <w:i w:val="0"/>
          <w:szCs w:val="24"/>
        </w:rPr>
        <w:t xml:space="preserve">minor </w:t>
      </w:r>
      <w:r w:rsidR="004F092C" w:rsidRPr="002141D6">
        <w:rPr>
          <w:i w:val="0"/>
          <w:szCs w:val="24"/>
        </w:rPr>
        <w:t>submission requested that</w:t>
      </w:r>
      <w:r w:rsidR="00C062FB" w:rsidRPr="002141D6">
        <w:rPr>
          <w:i w:val="0"/>
          <w:szCs w:val="24"/>
        </w:rPr>
        <w:t>,</w:t>
      </w:r>
      <w:r w:rsidR="004F092C" w:rsidRPr="002141D6">
        <w:rPr>
          <w:i w:val="0"/>
          <w:szCs w:val="24"/>
        </w:rPr>
        <w:t xml:space="preserve"> </w:t>
      </w:r>
      <w:r w:rsidR="004F092C" w:rsidRPr="002141D6">
        <w:rPr>
          <w:i w:val="0"/>
        </w:rPr>
        <w:t xml:space="preserve">if PBAC recommend the revision to the </w:t>
      </w:r>
      <w:r w:rsidR="004F092C" w:rsidRPr="002141D6">
        <w:rPr>
          <w:i w:val="0"/>
        </w:rPr>
        <w:lastRenderedPageBreak/>
        <w:t xml:space="preserve">restriction to include access </w:t>
      </w:r>
      <w:r w:rsidR="00B36D22">
        <w:rPr>
          <w:i w:val="0"/>
        </w:rPr>
        <w:t xml:space="preserve">for </w:t>
      </w:r>
      <w:r w:rsidR="004F092C" w:rsidRPr="002141D6">
        <w:rPr>
          <w:i w:val="0"/>
        </w:rPr>
        <w:t>patients with a somatic BRCA mutation, the caps in the current Deed of Agreement be increased</w:t>
      </w:r>
      <w:r w:rsidR="00C062FB" w:rsidRPr="002141D6">
        <w:rPr>
          <w:i w:val="0"/>
        </w:rPr>
        <w:t xml:space="preserve"> in the outer years of the deed, to reflect the additional p</w:t>
      </w:r>
      <w:r w:rsidR="00AB050B">
        <w:rPr>
          <w:i w:val="0"/>
        </w:rPr>
        <w:t>atients eligible for treatment.</w:t>
      </w:r>
    </w:p>
    <w:p w:rsidR="0000100C" w:rsidRPr="0039397E" w:rsidRDefault="00C062FB" w:rsidP="00627415">
      <w:pPr>
        <w:pStyle w:val="Bodytextitalics"/>
        <w:jc w:val="both"/>
        <w:rPr>
          <w:i w:val="0"/>
          <w:szCs w:val="24"/>
        </w:rPr>
      </w:pPr>
      <w:r w:rsidRPr="003870C8">
        <w:rPr>
          <w:i w:val="0"/>
        </w:rPr>
        <w:t xml:space="preserve">For the full </w:t>
      </w:r>
      <w:r w:rsidR="008B7D64" w:rsidRPr="003870C8">
        <w:rPr>
          <w:i w:val="0"/>
        </w:rPr>
        <w:t xml:space="preserve">first year of the </w:t>
      </w:r>
      <w:r w:rsidRPr="003870C8">
        <w:rPr>
          <w:i w:val="0"/>
        </w:rPr>
        <w:t xml:space="preserve">Deed (1 Dec 2018 – 31 Nov 2019) </w:t>
      </w:r>
      <w:r w:rsidR="008B7D64" w:rsidRPr="003870C8">
        <w:rPr>
          <w:i w:val="0"/>
        </w:rPr>
        <w:t>Commonwealth payment on olaparib ($</w:t>
      </w:r>
      <w:r w:rsidR="00C873EA">
        <w:rPr>
          <w:i w:val="0"/>
          <w:noProof/>
          <w:color w:val="000000"/>
          <w:highlight w:val="black"/>
        </w:rPr>
        <w:t>''''''''''''''''''''</w:t>
      </w:r>
      <w:r w:rsidR="008B7D64" w:rsidRPr="003870C8">
        <w:rPr>
          <w:i w:val="0"/>
        </w:rPr>
        <w:t xml:space="preserve">) was </w:t>
      </w:r>
      <w:r w:rsidR="00C873EA">
        <w:rPr>
          <w:i w:val="0"/>
          <w:noProof/>
          <w:color w:val="000000"/>
          <w:highlight w:val="black"/>
        </w:rPr>
        <w:t>'''''''''''''''</w:t>
      </w:r>
      <w:r w:rsidR="008B7D64" w:rsidRPr="003870C8">
        <w:rPr>
          <w:i w:val="0"/>
        </w:rPr>
        <w:t xml:space="preserve"> of its </w:t>
      </w:r>
      <w:r w:rsidRPr="003870C8">
        <w:rPr>
          <w:i w:val="0"/>
        </w:rPr>
        <w:t xml:space="preserve">cap </w:t>
      </w:r>
      <w:r w:rsidR="008B7D64" w:rsidRPr="003870C8">
        <w:rPr>
          <w:i w:val="0"/>
        </w:rPr>
        <w:t>(</w:t>
      </w:r>
      <w:r w:rsidRPr="003870C8">
        <w:rPr>
          <w:i w:val="0"/>
        </w:rPr>
        <w:t>$</w:t>
      </w:r>
      <w:r w:rsidR="00C873EA">
        <w:rPr>
          <w:i w:val="0"/>
          <w:noProof/>
          <w:color w:val="000000"/>
          <w:highlight w:val="black"/>
        </w:rPr>
        <w:t>''''''''''''''''''</w:t>
      </w:r>
      <w:r w:rsidR="008B7D64" w:rsidRPr="003870C8">
        <w:rPr>
          <w:i w:val="0"/>
        </w:rPr>
        <w:t>)</w:t>
      </w:r>
      <w:r w:rsidRPr="003870C8">
        <w:rPr>
          <w:i w:val="0"/>
        </w:rPr>
        <w:t>.</w:t>
      </w:r>
    </w:p>
    <w:p w:rsidR="0039397E" w:rsidRDefault="0039397E" w:rsidP="0039397E">
      <w:pPr>
        <w:pStyle w:val="Bodytextitalics"/>
        <w:numPr>
          <w:ilvl w:val="0"/>
          <w:numId w:val="0"/>
        </w:numPr>
        <w:ind w:left="720"/>
      </w:pPr>
      <w:r w:rsidRPr="0039397E">
        <w:t>For more detail on PBAC’s view, see section 7 PBAC outcome.</w:t>
      </w:r>
    </w:p>
    <w:p w:rsidR="005611F7" w:rsidRPr="00C46BBA" w:rsidRDefault="005611F7" w:rsidP="00805A72">
      <w:pPr>
        <w:pStyle w:val="2Sections"/>
      </w:pPr>
      <w:r w:rsidRPr="00C46BBA">
        <w:t>PBAC Outcome</w:t>
      </w:r>
    </w:p>
    <w:p w:rsidR="009D1479" w:rsidRPr="00AB050B" w:rsidRDefault="00EE5CE2" w:rsidP="009D1479">
      <w:pPr>
        <w:pStyle w:val="3Bodytext"/>
        <w:jc w:val="both"/>
        <w:rPr>
          <w:sz w:val="22"/>
        </w:rPr>
      </w:pPr>
      <w:r>
        <w:t>T</w:t>
      </w:r>
      <w:r w:rsidR="009D1479">
        <w:t xml:space="preserve">he PBAC recommended that the existing </w:t>
      </w:r>
      <w:r w:rsidR="00E94720">
        <w:t xml:space="preserve">olaparib </w:t>
      </w:r>
      <w:r w:rsidR="009D1479">
        <w:t>PBS listing for the treatment of platinum</w:t>
      </w:r>
      <w:r w:rsidR="007C37F4">
        <w:t>-s</w:t>
      </w:r>
      <w:r w:rsidR="009D1479">
        <w:t>ensitive relapsed ovarian, fallopian tube and primary peritoneal cancer in patients with germline BRCA1/2 (BReast CAncer gene)</w:t>
      </w:r>
      <w:r w:rsidR="009D1479">
        <w:rPr>
          <w:i/>
          <w:iCs/>
        </w:rPr>
        <w:t xml:space="preserve"> </w:t>
      </w:r>
      <w:r w:rsidR="009D1479">
        <w:t xml:space="preserve">mutations be amended to also include patients with somatic BRCA1/2 mutations. </w:t>
      </w:r>
      <w:r w:rsidR="00E55170">
        <w:rPr>
          <w:rFonts w:cs="Arial"/>
          <w:bCs/>
          <w:snapToGrid w:val="0"/>
          <w:lang w:val="en-GB"/>
        </w:rPr>
        <w:t>The PBAC considered that it was reasonable to assume the cost-effectiveness</w:t>
      </w:r>
      <w:r w:rsidR="00E94720">
        <w:rPr>
          <w:rFonts w:cs="Arial"/>
          <w:bCs/>
          <w:snapToGrid w:val="0"/>
          <w:lang w:val="en-GB"/>
        </w:rPr>
        <w:t xml:space="preserve"> of olaparib</w:t>
      </w:r>
      <w:r w:rsidR="00E55170">
        <w:rPr>
          <w:rFonts w:cs="Arial"/>
          <w:bCs/>
          <w:snapToGrid w:val="0"/>
          <w:lang w:val="en-GB"/>
        </w:rPr>
        <w:t xml:space="preserve"> in patients with sBRCAm would be similar to that in patients with gBRCAm, as previously accepted by the PBAC. </w:t>
      </w:r>
      <w:r w:rsidR="009D1479">
        <w:t>This followed MSAC’s support for MBS listing of somatic BRCA testing to help identify additional patients who may be suitable for treatment with olaparib at its November 2019 meeting.</w:t>
      </w:r>
    </w:p>
    <w:p w:rsidR="00727E27" w:rsidRPr="00727E27" w:rsidRDefault="00727E27" w:rsidP="00285ECF">
      <w:pPr>
        <w:pStyle w:val="3Bodytext"/>
        <w:jc w:val="both"/>
        <w:rPr>
          <w:rFonts w:cs="Arial"/>
          <w:bCs/>
          <w:snapToGrid w:val="0"/>
          <w:lang w:val="en-GB"/>
        </w:rPr>
      </w:pPr>
      <w:r w:rsidRPr="00727E27">
        <w:t>The PBAC considered that the prescribing instructions should be amended to “Evidence of a BRCA1 or BRCA2 gene mutation must be derived through germline or somatic mutation testing</w:t>
      </w:r>
      <w:r>
        <w:t xml:space="preserve">” and </w:t>
      </w:r>
      <w:r w:rsidRPr="00727E27">
        <w:t>the clinical criteria should be amended to “The condition must be a class 4 or 5 BRCA1 or BRCA2 gene mutation”.</w:t>
      </w:r>
    </w:p>
    <w:p w:rsidR="009B71B3" w:rsidRPr="009B71B3" w:rsidRDefault="00727E27" w:rsidP="00285ECF">
      <w:pPr>
        <w:pStyle w:val="3Bodytext"/>
        <w:jc w:val="both"/>
      </w:pPr>
      <w:r w:rsidRPr="009B71B3">
        <w:t>The PBAC noted that the comparator (standard follow-up care) was as nominated for the previous major submission for olaparib in second-line maintenance, considere</w:t>
      </w:r>
      <w:r w:rsidR="00AB050B">
        <w:t>d by the PBAC in November 2016.</w:t>
      </w:r>
    </w:p>
    <w:p w:rsidR="009B71B3" w:rsidRPr="00D9704A" w:rsidRDefault="009B71B3" w:rsidP="009B71B3">
      <w:pPr>
        <w:widowControl w:val="0"/>
        <w:numPr>
          <w:ilvl w:val="1"/>
          <w:numId w:val="1"/>
        </w:numPr>
        <w:spacing w:after="120"/>
        <w:jc w:val="both"/>
        <w:rPr>
          <w:rStyle w:val="3BodytextChar"/>
          <w:rFonts w:eastAsia="Times New Roman" w:cs="Arial"/>
          <w:bCs/>
          <w:snapToGrid w:val="0"/>
          <w:szCs w:val="24"/>
          <w:lang w:val="en-GB" w:eastAsia="en-AU"/>
        </w:rPr>
      </w:pPr>
      <w:r>
        <w:rPr>
          <w:rFonts w:asciiTheme="minorHAnsi" w:hAnsiTheme="minorHAnsi" w:cs="Arial"/>
          <w:bCs/>
          <w:snapToGrid w:val="0"/>
          <w:lang w:val="en-GB"/>
        </w:rPr>
        <w:t xml:space="preserve">The PBAC noted that clinical evidence for patients with sBRCAm </w:t>
      </w:r>
      <w:r w:rsidRPr="00EE5CE2">
        <w:rPr>
          <w:rStyle w:val="3BodytextChar"/>
        </w:rPr>
        <w:t xml:space="preserve">was based on an indirect comparison of the treatment effect for PARP inhibitors in </w:t>
      </w:r>
      <w:r w:rsidR="00A36BEE">
        <w:rPr>
          <w:rStyle w:val="3BodytextChar"/>
        </w:rPr>
        <w:t xml:space="preserve">second-line </w:t>
      </w:r>
      <w:r w:rsidRPr="00EE5CE2">
        <w:rPr>
          <w:rStyle w:val="3BodytextChar"/>
        </w:rPr>
        <w:t>patients with germline vs somatic BRCAm, with placebo as a common reference arm</w:t>
      </w:r>
      <w:r>
        <w:rPr>
          <w:rStyle w:val="3BodytextChar"/>
        </w:rPr>
        <w:t>, as presented in the November 2019 submission</w:t>
      </w:r>
      <w:r w:rsidRPr="00EE5CE2">
        <w:rPr>
          <w:rStyle w:val="3BodytextChar"/>
        </w:rPr>
        <w:t>. This analysis included four RCTs comparing PARP inhibitor maintenance therapy with placebo: Study 19 and SOLO2 (olaparib), NOVA (nira</w:t>
      </w:r>
      <w:r w:rsidR="00AB050B">
        <w:rPr>
          <w:rStyle w:val="3BodytextChar"/>
        </w:rPr>
        <w:t>parib), and ARIEL3 (rucaparib).</w:t>
      </w:r>
    </w:p>
    <w:p w:rsidR="00727E27" w:rsidRPr="009B71B3" w:rsidRDefault="009B71B3" w:rsidP="009B71B3">
      <w:pPr>
        <w:pStyle w:val="3Bodytext"/>
        <w:numPr>
          <w:ilvl w:val="1"/>
          <w:numId w:val="20"/>
        </w:numPr>
        <w:jc w:val="both"/>
        <w:rPr>
          <w:lang w:eastAsia="en-US"/>
        </w:rPr>
      </w:pPr>
      <w:r>
        <w:t>The PBAC noted that</w:t>
      </w:r>
      <w:r w:rsidR="00A36BEE">
        <w:t>,</w:t>
      </w:r>
      <w:r>
        <w:t xml:space="preserve"> for PFS</w:t>
      </w:r>
      <w:r w:rsidR="00A36BEE">
        <w:t>,</w:t>
      </w:r>
      <w:r>
        <w:t xml:space="preserve"> the pooled analysis of these studies resulted in a hazard ratio of 0.27 (95% CI 0.22, 0.33) for PARP inhibitors versus placebo in patients with gBRCAm. In a second pooled analysis including 3 of the same studies (ARIEL3, NOVA and Study 19), the hazard ratio was 0.24 (95% CI 0.13, 0.46) for PARP inhibitors versus placebo in patients with sBRCAm. The indirect treatment comparison for gBRCAm vs sBRCAm for PFS gave a hazard ratio of 1.125 (95% CI 0.579, 2.184). </w:t>
      </w:r>
      <w:r>
        <w:rPr>
          <w:lang w:eastAsia="en-US"/>
        </w:rPr>
        <w:t>As was noted in consideration of the evidence presented in the November 2019 submission the PBAC maintained that this “supported the efficacy of olaparib in the second-line setting for patients with sBRCAm in the absence of gBRCAm” (paragraph 7.9</w:t>
      </w:r>
      <w:r w:rsidR="008770CA">
        <w:rPr>
          <w:lang w:eastAsia="en-US"/>
        </w:rPr>
        <w:t>,</w:t>
      </w:r>
      <w:r>
        <w:rPr>
          <w:lang w:eastAsia="en-US"/>
        </w:rPr>
        <w:t xml:space="preserve"> olaparib</w:t>
      </w:r>
      <w:r w:rsidR="008770CA">
        <w:rPr>
          <w:lang w:eastAsia="en-US"/>
        </w:rPr>
        <w:t xml:space="preserve"> PSD,</w:t>
      </w:r>
      <w:r>
        <w:rPr>
          <w:lang w:eastAsia="en-US"/>
        </w:rPr>
        <w:t xml:space="preserve"> November </w:t>
      </w:r>
      <w:r w:rsidR="007C37F4">
        <w:rPr>
          <w:lang w:eastAsia="en-US"/>
        </w:rPr>
        <w:t>2019).</w:t>
      </w:r>
    </w:p>
    <w:p w:rsidR="0013529F" w:rsidRPr="00BA69A9" w:rsidRDefault="0013529F" w:rsidP="00285ECF">
      <w:pPr>
        <w:pStyle w:val="3Bodytext"/>
        <w:jc w:val="both"/>
        <w:rPr>
          <w:snapToGrid w:val="0"/>
        </w:rPr>
      </w:pPr>
      <w:r w:rsidRPr="00BA69A9">
        <w:rPr>
          <w:snapToGrid w:val="0"/>
        </w:rPr>
        <w:lastRenderedPageBreak/>
        <w:t xml:space="preserve">The PBAC considered that it is reasonable to conclude sBRCA patients will derive similar benefit from olaparib as gBRCA patients, based on </w:t>
      </w:r>
      <w:r w:rsidR="009B71B3">
        <w:rPr>
          <w:snapToGrid w:val="0"/>
        </w:rPr>
        <w:t xml:space="preserve">the pooled </w:t>
      </w:r>
      <w:r w:rsidRPr="00BA69A9">
        <w:rPr>
          <w:snapToGrid w:val="0"/>
        </w:rPr>
        <w:t xml:space="preserve">analysis of trial data </w:t>
      </w:r>
      <w:r w:rsidR="009B71B3">
        <w:rPr>
          <w:snapToGrid w:val="0"/>
        </w:rPr>
        <w:t xml:space="preserve">for PARP inhibitors </w:t>
      </w:r>
      <w:r w:rsidR="007C37F4">
        <w:rPr>
          <w:snapToGrid w:val="0"/>
        </w:rPr>
        <w:t>in the second line setting.</w:t>
      </w:r>
    </w:p>
    <w:p w:rsidR="0013529F" w:rsidRPr="00BA69A9" w:rsidRDefault="0013529F" w:rsidP="00285ECF">
      <w:pPr>
        <w:pStyle w:val="3Bodytext"/>
        <w:jc w:val="both"/>
        <w:rPr>
          <w:snapToGrid w:val="0"/>
        </w:rPr>
      </w:pPr>
      <w:r w:rsidRPr="00BA69A9">
        <w:rPr>
          <w:snapToGrid w:val="0"/>
        </w:rPr>
        <w:t>The PBAC considered that it is reasonable to conclude that the safety profile of olaparib in patients with sBRCAm patients would be not be different from the safety profile in patients with gBRCAm.</w:t>
      </w:r>
    </w:p>
    <w:p w:rsidR="0013529F" w:rsidRDefault="0013529F">
      <w:pPr>
        <w:widowControl w:val="0"/>
        <w:numPr>
          <w:ilvl w:val="1"/>
          <w:numId w:val="1"/>
        </w:numPr>
        <w:spacing w:after="120"/>
        <w:jc w:val="both"/>
        <w:rPr>
          <w:rFonts w:asciiTheme="minorHAnsi" w:hAnsiTheme="minorHAnsi" w:cs="Arial"/>
          <w:bCs/>
          <w:snapToGrid w:val="0"/>
          <w:lang w:val="en-GB"/>
        </w:rPr>
      </w:pPr>
      <w:r>
        <w:rPr>
          <w:rFonts w:asciiTheme="minorHAnsi" w:hAnsiTheme="minorHAnsi" w:cs="Arial"/>
          <w:bCs/>
          <w:snapToGrid w:val="0"/>
          <w:lang w:val="en-GB"/>
        </w:rPr>
        <w:t>Given the conclusion of similar effectiveness and safety in the sBCRAm population as the gBRCAm populat</w:t>
      </w:r>
      <w:r w:rsidR="009B71B3">
        <w:rPr>
          <w:rFonts w:asciiTheme="minorHAnsi" w:hAnsiTheme="minorHAnsi" w:cs="Arial"/>
          <w:bCs/>
          <w:snapToGrid w:val="0"/>
          <w:lang w:val="en-GB"/>
        </w:rPr>
        <w:t>ion, the PBAC considered that</w:t>
      </w:r>
      <w:r>
        <w:rPr>
          <w:rFonts w:asciiTheme="minorHAnsi" w:hAnsiTheme="minorHAnsi" w:cs="Arial"/>
          <w:bCs/>
          <w:snapToGrid w:val="0"/>
          <w:lang w:val="en-GB"/>
        </w:rPr>
        <w:t xml:space="preserve"> it was reasonable to assume the cost-effectiveness in patients with sBRCAm would be similar to that in patients with gBRCAm, as p</w:t>
      </w:r>
      <w:r w:rsidR="007C37F4">
        <w:rPr>
          <w:rFonts w:asciiTheme="minorHAnsi" w:hAnsiTheme="minorHAnsi" w:cs="Arial"/>
          <w:bCs/>
          <w:snapToGrid w:val="0"/>
          <w:lang w:val="en-GB"/>
        </w:rPr>
        <w:t>reviously accepted by the PBAC.</w:t>
      </w:r>
    </w:p>
    <w:p w:rsidR="006915C7" w:rsidRPr="006915C7" w:rsidRDefault="006915C7" w:rsidP="00285ECF">
      <w:pPr>
        <w:pStyle w:val="3Bodytext"/>
        <w:jc w:val="both"/>
      </w:pPr>
      <w:r w:rsidRPr="006915C7">
        <w:t xml:space="preserve">The PBAC noted that utilisation estimates provided in the minor submission were based on an additional 10% of patients identified through somatic testing, based on 20/209 (9.6%) platinum-sensitive HGSOC patients in Study 19 identified as having sBRCAm. The PBAC noted that the prevalence of sBRCAm varies in the literature. The PBAC identified four large studies, in which the prevalence of sBRCA ranged from 3% to 7%. The PBAC considered that 5% was </w:t>
      </w:r>
      <w:r>
        <w:t>the most</w:t>
      </w:r>
      <w:r w:rsidRPr="006915C7">
        <w:t xml:space="preserve"> reasonable estimate of additional patients who would be identified through somatic BRCAm testing based on the available literature and consistent with MSAC’s advice.</w:t>
      </w:r>
      <w:r w:rsidR="00805A72">
        <w:t xml:space="preserve"> The PBAC considered the financial estimates, for calculation of risk sharing agreement caps, should be adjusted to account for an additional 5% of patients identifi</w:t>
      </w:r>
      <w:r w:rsidR="007C37F4">
        <w:t>ed through testing for sBRCAm.</w:t>
      </w:r>
    </w:p>
    <w:p w:rsidR="00663F0C" w:rsidRPr="003870C8" w:rsidRDefault="00663F0C" w:rsidP="00285ECF">
      <w:pPr>
        <w:pStyle w:val="Bodytextitalics"/>
        <w:jc w:val="both"/>
        <w:rPr>
          <w:i w:val="0"/>
        </w:rPr>
      </w:pPr>
      <w:r w:rsidRPr="003870C8">
        <w:rPr>
          <w:i w:val="0"/>
        </w:rPr>
        <w:t>Olaparib is not currently included in the PBS medicines for prescribing by nurse practitioners within collaborative arrangements as continuing therapy o</w:t>
      </w:r>
      <w:r w:rsidR="007C37F4">
        <w:rPr>
          <w:i w:val="0"/>
        </w:rPr>
        <w:t>nly/within a shared care model.</w:t>
      </w:r>
    </w:p>
    <w:p w:rsidR="00663F0C" w:rsidRPr="003870C8" w:rsidRDefault="00663F0C" w:rsidP="00285ECF">
      <w:pPr>
        <w:pStyle w:val="Bodytextitalics"/>
        <w:jc w:val="both"/>
        <w:rPr>
          <w:i w:val="0"/>
        </w:rPr>
      </w:pPr>
      <w:r w:rsidRPr="003870C8">
        <w:rPr>
          <w:i w:val="0"/>
        </w:rPr>
        <w:t>Olaparib should not be exempt from the Early Supply Rule as it currently applies to the existing listings for olaparib.</w:t>
      </w:r>
    </w:p>
    <w:p w:rsidR="00663F0C" w:rsidRPr="007C37F4" w:rsidRDefault="00663F0C">
      <w:pPr>
        <w:pStyle w:val="Bodytextitalics"/>
        <w:jc w:val="both"/>
        <w:rPr>
          <w:i w:val="0"/>
          <w:snapToGrid w:val="0"/>
          <w:lang w:eastAsia="en-US"/>
        </w:rPr>
      </w:pPr>
      <w:r w:rsidRPr="003870C8">
        <w:rPr>
          <w:i w:val="0"/>
        </w:rPr>
        <w:t>Olaparib is not currently considered as interchangeable with any other drugs on an individual patient basis.</w:t>
      </w:r>
    </w:p>
    <w:p w:rsidR="005611F7" w:rsidRPr="00525B39" w:rsidRDefault="005611F7">
      <w:pPr>
        <w:widowControl w:val="0"/>
        <w:numPr>
          <w:ilvl w:val="1"/>
          <w:numId w:val="1"/>
        </w:numPr>
        <w:spacing w:after="120"/>
        <w:jc w:val="both"/>
        <w:rPr>
          <w:rFonts w:asciiTheme="minorHAnsi" w:hAnsiTheme="minorHAnsi" w:cs="Arial"/>
          <w:bCs/>
          <w:snapToGrid w:val="0"/>
          <w:lang w:val="en-GB"/>
        </w:rPr>
      </w:pPr>
      <w:r w:rsidRPr="00525B39">
        <w:rPr>
          <w:rFonts w:asciiTheme="minorHAnsi" w:hAnsiTheme="minorHAnsi" w:cs="Arial"/>
          <w:bCs/>
          <w:snapToGrid w:val="0"/>
          <w:lang w:val="en-GB"/>
        </w:rPr>
        <w:t xml:space="preserve">The PBAC noted that this submission </w:t>
      </w:r>
      <w:r w:rsidR="00805A72">
        <w:rPr>
          <w:rFonts w:asciiTheme="minorHAnsi" w:hAnsiTheme="minorHAnsi" w:cs="Arial"/>
          <w:bCs/>
          <w:snapToGrid w:val="0"/>
          <w:lang w:val="en-GB"/>
        </w:rPr>
        <w:t>is</w:t>
      </w:r>
      <w:r w:rsidRPr="00525B39">
        <w:rPr>
          <w:rFonts w:asciiTheme="minorHAnsi" w:hAnsiTheme="minorHAnsi" w:cs="Arial"/>
          <w:bCs/>
          <w:snapToGrid w:val="0"/>
          <w:lang w:val="en-GB"/>
        </w:rPr>
        <w:t xml:space="preserve"> not eligible for an Independent Review</w:t>
      </w:r>
      <w:r w:rsidR="00805A72">
        <w:rPr>
          <w:rFonts w:asciiTheme="minorHAnsi" w:hAnsiTheme="minorHAnsi" w:cs="Arial"/>
          <w:bCs/>
          <w:snapToGrid w:val="0"/>
          <w:lang w:val="en-GB"/>
        </w:rPr>
        <w:t xml:space="preserve"> as</w:t>
      </w:r>
      <w:r w:rsidR="00E55170">
        <w:rPr>
          <w:rFonts w:asciiTheme="minorHAnsi" w:hAnsiTheme="minorHAnsi" w:cs="Arial"/>
          <w:bCs/>
          <w:snapToGrid w:val="0"/>
          <w:lang w:val="en-GB"/>
        </w:rPr>
        <w:t xml:space="preserve"> </w:t>
      </w:r>
      <w:r w:rsidR="007C37F4">
        <w:rPr>
          <w:rFonts w:asciiTheme="minorHAnsi" w:hAnsiTheme="minorHAnsi" w:cs="Arial"/>
          <w:bCs/>
          <w:snapToGrid w:val="0"/>
          <w:lang w:val="en-GB"/>
        </w:rPr>
        <w:t xml:space="preserve">this </w:t>
      </w:r>
      <w:r w:rsidR="00E55170">
        <w:rPr>
          <w:rFonts w:asciiTheme="minorHAnsi" w:hAnsiTheme="minorHAnsi" w:cs="Arial"/>
          <w:bCs/>
          <w:snapToGrid w:val="0"/>
          <w:lang w:val="en-GB"/>
        </w:rPr>
        <w:t>is a positive recommendation</w:t>
      </w:r>
      <w:r w:rsidR="007C37F4">
        <w:rPr>
          <w:rFonts w:asciiTheme="minorHAnsi" w:hAnsiTheme="minorHAnsi" w:cs="Arial"/>
          <w:bCs/>
          <w:snapToGrid w:val="0"/>
          <w:lang w:val="en-GB"/>
        </w:rPr>
        <w:t>.</w:t>
      </w:r>
    </w:p>
    <w:p w:rsidR="005611F7" w:rsidRPr="00525B39" w:rsidRDefault="005611F7" w:rsidP="005611F7">
      <w:pPr>
        <w:spacing w:before="24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0C1436" w:rsidRDefault="00E55170" w:rsidP="005611F7">
      <w:pPr>
        <w:jc w:val="both"/>
        <w:rPr>
          <w:rFonts w:asciiTheme="minorHAnsi" w:hAnsiTheme="minorHAnsi" w:cs="Arial"/>
          <w:bCs/>
          <w:snapToGrid w:val="0"/>
          <w:lang w:val="en-GB"/>
        </w:rPr>
      </w:pPr>
      <w:r>
        <w:rPr>
          <w:rFonts w:asciiTheme="minorHAnsi" w:hAnsiTheme="minorHAnsi" w:cs="Arial"/>
          <w:bCs/>
          <w:snapToGrid w:val="0"/>
          <w:lang w:val="en-GB"/>
        </w:rPr>
        <w:t>Recommended</w:t>
      </w:r>
    </w:p>
    <w:p w:rsidR="000C1436" w:rsidRDefault="000C1436">
      <w:pPr>
        <w:rPr>
          <w:rFonts w:asciiTheme="minorHAnsi" w:hAnsiTheme="minorHAnsi" w:cs="Arial"/>
          <w:bCs/>
          <w:snapToGrid w:val="0"/>
          <w:lang w:val="en-GB"/>
        </w:rPr>
      </w:pPr>
      <w:r>
        <w:rPr>
          <w:rFonts w:asciiTheme="minorHAnsi" w:hAnsiTheme="minorHAnsi" w:cs="Arial"/>
          <w:bCs/>
          <w:snapToGrid w:val="0"/>
          <w:lang w:val="en-GB"/>
        </w:rPr>
        <w:br w:type="page"/>
      </w:r>
    </w:p>
    <w:p w:rsidR="005611F7" w:rsidRPr="00E55170" w:rsidRDefault="005611F7" w:rsidP="00E55170">
      <w:pPr>
        <w:pStyle w:val="2Sections"/>
        <w:rPr>
          <w:b w:val="0"/>
        </w:rPr>
      </w:pPr>
      <w:r w:rsidRPr="00E55170">
        <w:lastRenderedPageBreak/>
        <w:t>Recommended listing</w:t>
      </w:r>
    </w:p>
    <w:p w:rsidR="005611F7" w:rsidRDefault="005611F7" w:rsidP="0034567F">
      <w:pPr>
        <w:widowControl w:val="0"/>
        <w:numPr>
          <w:ilvl w:val="1"/>
          <w:numId w:val="1"/>
        </w:numPr>
        <w:spacing w:after="120"/>
        <w:jc w:val="both"/>
        <w:rPr>
          <w:rFonts w:asciiTheme="minorHAnsi" w:hAnsiTheme="minorHAnsi" w:cs="Arial"/>
          <w:bCs/>
          <w:snapToGrid w:val="0"/>
        </w:rPr>
      </w:pPr>
      <w:r w:rsidRPr="00780083">
        <w:rPr>
          <w:rFonts w:asciiTheme="minorHAnsi" w:hAnsiTheme="minorHAnsi" w:cs="Arial"/>
          <w:bCs/>
          <w:snapToGrid w:val="0"/>
        </w:rPr>
        <w:t xml:space="preserve">Amend </w:t>
      </w:r>
      <w:r w:rsidR="00513E16">
        <w:rPr>
          <w:rFonts w:asciiTheme="minorHAnsi" w:hAnsiTheme="minorHAnsi" w:cs="Arial"/>
          <w:bCs/>
          <w:snapToGrid w:val="0"/>
        </w:rPr>
        <w:t xml:space="preserve">the relevant prescriber instruction and clinical criterion in the </w:t>
      </w:r>
      <w:r w:rsidRPr="00780083">
        <w:rPr>
          <w:rFonts w:asciiTheme="minorHAnsi" w:hAnsiTheme="minorHAnsi" w:cs="Arial"/>
          <w:bCs/>
          <w:snapToGrid w:val="0"/>
        </w:rPr>
        <w:t xml:space="preserve">existing listing </w:t>
      </w:r>
      <w:r w:rsidR="00513E16">
        <w:rPr>
          <w:rFonts w:asciiTheme="minorHAnsi" w:hAnsiTheme="minorHAnsi" w:cs="Arial"/>
          <w:bCs/>
          <w:snapToGrid w:val="0"/>
        </w:rPr>
        <w:t xml:space="preserve">to read </w:t>
      </w:r>
      <w:r w:rsidRPr="00780083">
        <w:rPr>
          <w:rFonts w:asciiTheme="minorHAnsi" w:hAnsiTheme="minorHAnsi" w:cs="Arial"/>
          <w:bCs/>
          <w:snapToGrid w:val="0"/>
        </w:rPr>
        <w:t>as follows:</w:t>
      </w:r>
    </w:p>
    <w:tbl>
      <w:tblPr>
        <w:tblW w:w="456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3"/>
      </w:tblGrid>
      <w:tr w:rsidR="00513E16" w:rsidTr="00513E16">
        <w:tc>
          <w:tcPr>
            <w:tcW w:w="5000"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13E16" w:rsidRPr="00780083" w:rsidRDefault="00513E16" w:rsidP="0034567F">
            <w:pPr>
              <w:pStyle w:val="NormalWeb"/>
              <w:spacing w:before="0" w:beforeAutospacing="0" w:after="0" w:afterAutospacing="0"/>
              <w:rPr>
                <w:rFonts w:ascii="Arial Narrow" w:hAnsi="Arial Narrow" w:cstheme="minorHAnsi"/>
                <w:b/>
                <w:bCs/>
                <w:color w:val="333333"/>
                <w:sz w:val="18"/>
                <w:szCs w:val="18"/>
              </w:rPr>
            </w:pPr>
            <w:r>
              <w:rPr>
                <w:rStyle w:val="Strong"/>
                <w:rFonts w:ascii="Arial Narrow" w:hAnsi="Arial Narrow" w:cstheme="minorHAnsi"/>
                <w:color w:val="333333"/>
                <w:sz w:val="18"/>
                <w:szCs w:val="18"/>
              </w:rPr>
              <w:t>Prescribing Instruction</w:t>
            </w:r>
            <w:r w:rsidRPr="00780083">
              <w:rPr>
                <w:rStyle w:val="Strong"/>
                <w:rFonts w:ascii="Arial Narrow" w:hAnsi="Arial Narrow" w:cstheme="minorHAnsi"/>
                <w:color w:val="333333"/>
                <w:sz w:val="18"/>
                <w:szCs w:val="18"/>
              </w:rPr>
              <w:t>:</w:t>
            </w:r>
          </w:p>
          <w:p w:rsidR="00513E16" w:rsidRPr="0034567F" w:rsidRDefault="00513E16" w:rsidP="0034567F">
            <w:pPr>
              <w:pStyle w:val="NormalWeb"/>
              <w:spacing w:before="0" w:beforeAutospacing="0"/>
              <w:rPr>
                <w:rFonts w:ascii="Arial Narrow" w:hAnsi="Arial Narrow" w:cstheme="minorHAnsi"/>
                <w:bCs/>
                <w:color w:val="333333"/>
                <w:sz w:val="18"/>
                <w:szCs w:val="18"/>
              </w:rPr>
            </w:pPr>
            <w:r w:rsidRPr="0034567F">
              <w:rPr>
                <w:rFonts w:ascii="Arial Narrow" w:hAnsi="Arial Narrow" w:cstheme="minorHAnsi"/>
                <w:bCs/>
                <w:color w:val="333333"/>
                <w:sz w:val="18"/>
                <w:szCs w:val="18"/>
              </w:rPr>
              <w:t xml:space="preserve">Evidence of a BRCA1 or BRCA2 gene mutation must be derived through germline </w:t>
            </w:r>
            <w:r w:rsidRPr="00513E16">
              <w:rPr>
                <w:rFonts w:ascii="Arial Narrow" w:hAnsi="Arial Narrow" w:cstheme="minorHAnsi"/>
                <w:bCs/>
                <w:color w:val="333333"/>
                <w:sz w:val="18"/>
                <w:szCs w:val="18"/>
              </w:rPr>
              <w:t>or somatic mutation</w:t>
            </w:r>
            <w:r w:rsidRPr="0034567F">
              <w:rPr>
                <w:rFonts w:ascii="Arial Narrow" w:hAnsi="Arial Narrow" w:cstheme="minorHAnsi"/>
                <w:bCs/>
                <w:color w:val="333333"/>
                <w:sz w:val="18"/>
                <w:szCs w:val="18"/>
              </w:rPr>
              <w:t xml:space="preserve"> testing </w:t>
            </w:r>
          </w:p>
        </w:tc>
      </w:tr>
      <w:tr w:rsidR="00513E16" w:rsidRPr="00014B2D" w:rsidTr="00513E16">
        <w:tblPrEx>
          <w:tblCellMar>
            <w:top w:w="15" w:type="dxa"/>
            <w:left w:w="15" w:type="dxa"/>
            <w:bottom w:w="15" w:type="dxa"/>
            <w:right w:w="15" w:type="dxa"/>
          </w:tblCellMar>
        </w:tblPrEx>
        <w:tc>
          <w:tcPr>
            <w:tcW w:w="5000" w:type="pct"/>
            <w:vAlign w:val="center"/>
            <w:hideMark/>
          </w:tcPr>
          <w:p w:rsidR="00513E16" w:rsidRDefault="00513E16" w:rsidP="00780083">
            <w:pPr>
              <w:rPr>
                <w:rStyle w:val="Strong"/>
                <w:rFonts w:ascii="Arial Narrow" w:hAnsi="Arial Narrow"/>
                <w:color w:val="333333"/>
                <w:sz w:val="18"/>
                <w:szCs w:val="18"/>
              </w:rPr>
            </w:pPr>
            <w:r>
              <w:rPr>
                <w:rStyle w:val="Strong"/>
                <w:rFonts w:ascii="Arial Narrow" w:hAnsi="Arial Narrow"/>
                <w:color w:val="333333"/>
                <w:sz w:val="18"/>
                <w:szCs w:val="18"/>
              </w:rPr>
              <w:t>Clinical criterion</w:t>
            </w:r>
            <w:r w:rsidRPr="00D46B4A">
              <w:rPr>
                <w:rStyle w:val="Strong"/>
                <w:rFonts w:ascii="Arial Narrow" w:hAnsi="Arial Narrow"/>
                <w:color w:val="333333"/>
                <w:sz w:val="18"/>
                <w:szCs w:val="18"/>
              </w:rPr>
              <w:t>:</w:t>
            </w:r>
          </w:p>
          <w:p w:rsidR="00513E16" w:rsidRPr="00780083" w:rsidRDefault="00513E16" w:rsidP="00513E16">
            <w:pPr>
              <w:rPr>
                <w:rFonts w:ascii="Arial Narrow" w:hAnsi="Arial Narrow"/>
                <w:color w:val="333333"/>
                <w:sz w:val="18"/>
                <w:szCs w:val="18"/>
              </w:rPr>
            </w:pPr>
            <w:r w:rsidRPr="00780083">
              <w:rPr>
                <w:rFonts w:ascii="Arial Narrow" w:hAnsi="Arial Narrow"/>
                <w:color w:val="333333"/>
                <w:sz w:val="18"/>
                <w:szCs w:val="18"/>
              </w:rPr>
              <w:t>The condition must be a class 4 or 5 BRCA1 or BRCA2 gene mutation</w:t>
            </w:r>
          </w:p>
        </w:tc>
      </w:tr>
    </w:tbl>
    <w:p w:rsidR="005611F7" w:rsidRPr="00793B1B" w:rsidRDefault="005611F7" w:rsidP="005611F7">
      <w:pPr>
        <w:jc w:val="both"/>
        <w:rPr>
          <w:rFonts w:asciiTheme="minorHAnsi" w:hAnsiTheme="minorHAnsi" w:cs="Arial"/>
          <w:bCs/>
          <w:i/>
          <w:snapToGrid w:val="0"/>
        </w:rPr>
      </w:pPr>
    </w:p>
    <w:p w:rsidR="005611F7" w:rsidRDefault="006F08F7" w:rsidP="005611F7">
      <w:pPr>
        <w:jc w:val="both"/>
        <w:rPr>
          <w:rFonts w:asciiTheme="minorHAnsi" w:hAnsiTheme="minorHAnsi" w:cs="Arial"/>
          <w:b/>
          <w:bCs/>
          <w:i/>
          <w:snapToGrid w:val="0"/>
        </w:rPr>
      </w:pPr>
      <w:r w:rsidRPr="005475FD">
        <w:rPr>
          <w:rFonts w:asciiTheme="minorHAnsi" w:hAnsiTheme="minorHAnsi" w:cs="Arial"/>
          <w:b/>
          <w:bCs/>
          <w:i/>
          <w:snapToGrid w:val="0"/>
        </w:rPr>
        <w:t>This restriction may be subject to further review. Should there be any changes made to the restriction the Sponsor will be informed.</w:t>
      </w:r>
    </w:p>
    <w:p w:rsidR="00C21F72" w:rsidRDefault="00C21F72" w:rsidP="005611F7">
      <w:pPr>
        <w:jc w:val="both"/>
        <w:rPr>
          <w:rFonts w:asciiTheme="minorHAnsi" w:hAnsiTheme="minorHAnsi" w:cs="Arial"/>
          <w:b/>
          <w:bCs/>
          <w:i/>
          <w:snapToGrid w:val="0"/>
        </w:rPr>
      </w:pPr>
    </w:p>
    <w:p w:rsidR="00C21F72" w:rsidRPr="00920A65" w:rsidRDefault="00C21F72" w:rsidP="00C21F72">
      <w:pPr>
        <w:pStyle w:val="PBACHeading1"/>
        <w:numPr>
          <w:ilvl w:val="0"/>
          <w:numId w:val="1"/>
        </w:numPr>
        <w:spacing w:before="240" w:after="120"/>
        <w:ind w:left="709" w:hanging="709"/>
        <w:jc w:val="both"/>
        <w:rPr>
          <w:rFonts w:asciiTheme="minorHAnsi" w:hAnsiTheme="minorHAnsi"/>
          <w:sz w:val="32"/>
          <w:szCs w:val="32"/>
        </w:rPr>
      </w:pPr>
      <w:r w:rsidRPr="00920A65">
        <w:rPr>
          <w:rFonts w:asciiTheme="minorHAnsi" w:hAnsiTheme="minorHAnsi"/>
          <w:sz w:val="32"/>
          <w:szCs w:val="32"/>
        </w:rPr>
        <w:t>Context for Decision</w:t>
      </w:r>
    </w:p>
    <w:p w:rsidR="00C21F72" w:rsidRPr="007129F2" w:rsidRDefault="00C21F72" w:rsidP="00C21F72">
      <w:pPr>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C21F72" w:rsidRDefault="00C21F72" w:rsidP="00C21F72">
      <w:pPr>
        <w:jc w:val="both"/>
        <w:rPr>
          <w:rFonts w:ascii="Calibri" w:hAnsi="Calibri" w:cs="Calibri"/>
        </w:rPr>
      </w:pPr>
    </w:p>
    <w:p w:rsidR="00C21F72" w:rsidRPr="00920A65" w:rsidRDefault="00C21F72" w:rsidP="00C21F72">
      <w:pPr>
        <w:pStyle w:val="PBACHeading1"/>
        <w:numPr>
          <w:ilvl w:val="0"/>
          <w:numId w:val="1"/>
        </w:numPr>
        <w:spacing w:before="240" w:after="120"/>
        <w:ind w:left="709" w:hanging="709"/>
        <w:jc w:val="both"/>
        <w:rPr>
          <w:rFonts w:asciiTheme="minorHAnsi" w:hAnsiTheme="minorHAnsi"/>
          <w:sz w:val="32"/>
          <w:szCs w:val="32"/>
        </w:rPr>
      </w:pPr>
      <w:r w:rsidRPr="00920A65">
        <w:rPr>
          <w:rFonts w:asciiTheme="minorHAnsi" w:hAnsiTheme="minorHAnsi"/>
          <w:sz w:val="32"/>
          <w:szCs w:val="32"/>
        </w:rPr>
        <w:t>Sponsor’s Comment</w:t>
      </w:r>
    </w:p>
    <w:p w:rsidR="00C21F72" w:rsidRPr="001179AC" w:rsidRDefault="00C21F72" w:rsidP="00C21F72">
      <w:pPr>
        <w:spacing w:after="120"/>
        <w:jc w:val="both"/>
        <w:rPr>
          <w:rFonts w:asciiTheme="minorHAnsi" w:hAnsiTheme="minorHAnsi" w:cs="Arial"/>
          <w:bCs/>
        </w:rPr>
      </w:pPr>
      <w:r w:rsidRPr="00C07617">
        <w:rPr>
          <w:rFonts w:asciiTheme="minorHAnsi" w:hAnsiTheme="minorHAnsi" w:cs="Arial"/>
          <w:bCs/>
        </w:rPr>
        <w:t>The sponsor had no comment.</w:t>
      </w:r>
    </w:p>
    <w:p w:rsidR="00C21F72" w:rsidRPr="005475FD" w:rsidRDefault="00C21F72" w:rsidP="005611F7">
      <w:pPr>
        <w:jc w:val="both"/>
        <w:rPr>
          <w:rFonts w:asciiTheme="minorHAnsi" w:hAnsiTheme="minorHAnsi" w:cs="Arial"/>
          <w:b/>
          <w:bCs/>
          <w:i/>
          <w:snapToGrid w:val="0"/>
        </w:rPr>
      </w:pPr>
    </w:p>
    <w:sectPr w:rsidR="00C21F72" w:rsidRPr="005475FD"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A26D" w16cid:durableId="222B50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3EA" w:rsidRDefault="00C873EA">
      <w:r>
        <w:separator/>
      </w:r>
    </w:p>
    <w:p w:rsidR="00C873EA" w:rsidRDefault="00C873EA"/>
  </w:endnote>
  <w:endnote w:type="continuationSeparator" w:id="0">
    <w:p w:rsidR="00C873EA" w:rsidRDefault="00C873EA">
      <w:r>
        <w:continuationSeparator/>
      </w:r>
    </w:p>
    <w:p w:rsidR="00C873EA" w:rsidRDefault="00C87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7195" w:rsidTr="005A3173">
      <w:trPr>
        <w:trHeight w:val="151"/>
      </w:trPr>
      <w:tc>
        <w:tcPr>
          <w:tcW w:w="2250" w:type="pct"/>
          <w:tcBorders>
            <w:top w:val="nil"/>
            <w:left w:val="nil"/>
            <w:bottom w:val="single" w:sz="4" w:space="0" w:color="4F81BD"/>
            <w:right w:val="nil"/>
          </w:tcBorders>
        </w:tcPr>
        <w:p w:rsidR="00F47195" w:rsidRPr="005A3173" w:rsidRDefault="00F471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7195" w:rsidRPr="005A3173" w:rsidRDefault="00F471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7195" w:rsidRPr="005A3173" w:rsidRDefault="00F47195" w:rsidP="005A3173">
          <w:pPr>
            <w:pStyle w:val="Header"/>
            <w:spacing w:line="276" w:lineRule="auto"/>
            <w:rPr>
              <w:rFonts w:ascii="Calibri" w:eastAsia="MS Gothic" w:hAnsi="Calibri"/>
              <w:b/>
              <w:bCs/>
              <w:color w:val="4F81BD"/>
            </w:rPr>
          </w:pPr>
        </w:p>
      </w:tc>
    </w:tr>
    <w:tr w:rsidR="00F47195" w:rsidTr="005A3173">
      <w:trPr>
        <w:trHeight w:val="150"/>
      </w:trPr>
      <w:tc>
        <w:tcPr>
          <w:tcW w:w="2250" w:type="pct"/>
          <w:tcBorders>
            <w:top w:val="single" w:sz="4" w:space="0" w:color="4F81BD"/>
            <w:left w:val="nil"/>
            <w:bottom w:val="nil"/>
            <w:right w:val="nil"/>
          </w:tcBorders>
        </w:tcPr>
        <w:p w:rsidR="00F47195" w:rsidRPr="005A3173" w:rsidRDefault="00F47195" w:rsidP="005A3173">
          <w:pPr>
            <w:pStyle w:val="Header"/>
            <w:spacing w:line="276" w:lineRule="auto"/>
            <w:rPr>
              <w:rFonts w:ascii="Calibri" w:eastAsia="MS Gothic" w:hAnsi="Calibri"/>
              <w:b/>
              <w:bCs/>
              <w:color w:val="4F81BD"/>
            </w:rPr>
          </w:pPr>
        </w:p>
      </w:tc>
      <w:tc>
        <w:tcPr>
          <w:tcW w:w="0" w:type="auto"/>
          <w:vMerge/>
          <w:vAlign w:val="center"/>
          <w:hideMark/>
        </w:tcPr>
        <w:p w:rsidR="00F47195" w:rsidRPr="005A3173" w:rsidRDefault="00F471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7195" w:rsidRPr="005A3173" w:rsidRDefault="00F47195" w:rsidP="005A3173">
          <w:pPr>
            <w:pStyle w:val="Header"/>
            <w:spacing w:line="276" w:lineRule="auto"/>
            <w:rPr>
              <w:rFonts w:ascii="Calibri" w:eastAsia="MS Gothic" w:hAnsi="Calibri"/>
              <w:b/>
              <w:bCs/>
              <w:color w:val="4F81BD"/>
            </w:rPr>
          </w:pPr>
        </w:p>
      </w:tc>
    </w:tr>
  </w:tbl>
  <w:p w:rsidR="00F47195" w:rsidRDefault="00F4719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7195" w:rsidRDefault="00F47195">
    <w:pPr>
      <w:pStyle w:val="Footer"/>
    </w:pPr>
  </w:p>
  <w:p w:rsidR="00F47195" w:rsidRDefault="00F4719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195" w:rsidRDefault="00F47195" w:rsidP="00E27234">
    <w:pPr>
      <w:pStyle w:val="PBACFooter"/>
      <w:rPr>
        <w:rFonts w:asciiTheme="minorHAnsi" w:hAnsiTheme="minorHAnsi" w:cstheme="minorHAnsi"/>
        <w:sz w:val="24"/>
      </w:rPr>
    </w:pPr>
  </w:p>
  <w:p w:rsidR="00F47195" w:rsidRPr="000F3384" w:rsidRDefault="00F47195" w:rsidP="00E27234">
    <w:pPr>
      <w:pStyle w:val="PBACFooter"/>
      <w:rPr>
        <w:rFonts w:asciiTheme="minorHAnsi" w:hAnsiTheme="minorHAnsi" w:cstheme="minorHAnsi"/>
        <w:sz w:val="24"/>
      </w:rPr>
    </w:pPr>
    <w:r w:rsidRPr="003870C8">
      <w:rPr>
        <w:rFonts w:asciiTheme="minorHAnsi" w:hAnsiTheme="minorHAnsi" w:cstheme="minorHAnsi"/>
        <w:sz w:val="24"/>
      </w:rPr>
      <w:fldChar w:fldCharType="begin"/>
    </w:r>
    <w:r w:rsidRPr="003870C8">
      <w:rPr>
        <w:rFonts w:asciiTheme="minorHAnsi" w:hAnsiTheme="minorHAnsi" w:cstheme="minorHAnsi"/>
        <w:sz w:val="24"/>
      </w:rPr>
      <w:instrText xml:space="preserve"> PAGE   \* MERGEFORMAT </w:instrText>
    </w:r>
    <w:r w:rsidRPr="003870C8">
      <w:rPr>
        <w:rFonts w:asciiTheme="minorHAnsi" w:hAnsiTheme="minorHAnsi" w:cstheme="minorHAnsi"/>
        <w:sz w:val="24"/>
      </w:rPr>
      <w:fldChar w:fldCharType="separate"/>
    </w:r>
    <w:r w:rsidR="000723BA">
      <w:rPr>
        <w:rFonts w:asciiTheme="minorHAnsi" w:hAnsiTheme="minorHAnsi" w:cstheme="minorHAnsi"/>
        <w:noProof/>
        <w:sz w:val="24"/>
      </w:rPr>
      <w:t>14</w:t>
    </w:r>
    <w:r w:rsidRPr="003870C8">
      <w:rPr>
        <w:rFonts w:asciiTheme="minorHAnsi" w:hAnsiTheme="minorHAnsi" w:cstheme="minorHAnsi"/>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47195" w:rsidTr="005A3173">
      <w:trPr>
        <w:trHeight w:val="151"/>
      </w:trPr>
      <w:tc>
        <w:tcPr>
          <w:tcW w:w="2250" w:type="pct"/>
          <w:tcBorders>
            <w:top w:val="nil"/>
            <w:left w:val="nil"/>
            <w:bottom w:val="single" w:sz="4" w:space="0" w:color="4F81BD"/>
            <w:right w:val="nil"/>
          </w:tcBorders>
        </w:tcPr>
        <w:p w:rsidR="00F47195" w:rsidRPr="005A3173" w:rsidRDefault="00F471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7195" w:rsidRPr="005A3173" w:rsidRDefault="00F471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7195" w:rsidRPr="005A3173" w:rsidRDefault="00F47195" w:rsidP="005A3173">
          <w:pPr>
            <w:pStyle w:val="Header"/>
            <w:spacing w:line="276" w:lineRule="auto"/>
            <w:rPr>
              <w:rFonts w:ascii="Calibri" w:eastAsia="MS Gothic" w:hAnsi="Calibri"/>
              <w:b/>
              <w:bCs/>
              <w:color w:val="4F81BD"/>
            </w:rPr>
          </w:pPr>
        </w:p>
      </w:tc>
    </w:tr>
    <w:tr w:rsidR="00F47195" w:rsidTr="005A3173">
      <w:trPr>
        <w:trHeight w:val="150"/>
      </w:trPr>
      <w:tc>
        <w:tcPr>
          <w:tcW w:w="2250" w:type="pct"/>
          <w:tcBorders>
            <w:top w:val="single" w:sz="4" w:space="0" w:color="4F81BD"/>
            <w:left w:val="nil"/>
            <w:bottom w:val="nil"/>
            <w:right w:val="nil"/>
          </w:tcBorders>
        </w:tcPr>
        <w:p w:rsidR="00F47195" w:rsidRPr="005A3173" w:rsidRDefault="00F47195" w:rsidP="005A3173">
          <w:pPr>
            <w:pStyle w:val="Header"/>
            <w:spacing w:line="276" w:lineRule="auto"/>
            <w:rPr>
              <w:rFonts w:ascii="Calibri" w:eastAsia="MS Gothic" w:hAnsi="Calibri"/>
              <w:b/>
              <w:bCs/>
              <w:color w:val="4F81BD"/>
            </w:rPr>
          </w:pPr>
        </w:p>
      </w:tc>
      <w:tc>
        <w:tcPr>
          <w:tcW w:w="0" w:type="auto"/>
          <w:vMerge/>
          <w:vAlign w:val="center"/>
          <w:hideMark/>
        </w:tcPr>
        <w:p w:rsidR="00F47195" w:rsidRPr="005A3173" w:rsidRDefault="00F471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7195" w:rsidRPr="005A3173" w:rsidRDefault="00F4719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7195" w:rsidTr="005A3173">
      <w:trPr>
        <w:trHeight w:val="151"/>
      </w:trPr>
      <w:tc>
        <w:tcPr>
          <w:tcW w:w="2250" w:type="pct"/>
          <w:tcBorders>
            <w:top w:val="nil"/>
            <w:left w:val="nil"/>
            <w:bottom w:val="single" w:sz="4" w:space="0" w:color="4F81BD"/>
            <w:right w:val="nil"/>
          </w:tcBorders>
        </w:tcPr>
        <w:p w:rsidR="00F47195" w:rsidRPr="005A3173" w:rsidRDefault="00F4719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7195" w:rsidRPr="005A3173" w:rsidRDefault="00F4719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7195" w:rsidRPr="005A3173" w:rsidRDefault="00F47195" w:rsidP="005A3173">
          <w:pPr>
            <w:pStyle w:val="Header"/>
            <w:spacing w:line="276" w:lineRule="auto"/>
            <w:rPr>
              <w:rFonts w:ascii="Calibri" w:eastAsia="MS Gothic" w:hAnsi="Calibri"/>
              <w:b/>
              <w:bCs/>
              <w:color w:val="4F81BD"/>
            </w:rPr>
          </w:pPr>
        </w:p>
      </w:tc>
    </w:tr>
    <w:tr w:rsidR="00F47195" w:rsidTr="005A3173">
      <w:trPr>
        <w:trHeight w:val="150"/>
      </w:trPr>
      <w:tc>
        <w:tcPr>
          <w:tcW w:w="2250" w:type="pct"/>
          <w:tcBorders>
            <w:top w:val="single" w:sz="4" w:space="0" w:color="4F81BD"/>
            <w:left w:val="nil"/>
            <w:bottom w:val="nil"/>
            <w:right w:val="nil"/>
          </w:tcBorders>
        </w:tcPr>
        <w:p w:rsidR="00F47195" w:rsidRPr="005A3173" w:rsidRDefault="00F47195" w:rsidP="005A3173">
          <w:pPr>
            <w:pStyle w:val="Header"/>
            <w:spacing w:line="276" w:lineRule="auto"/>
            <w:rPr>
              <w:rFonts w:ascii="Calibri" w:eastAsia="MS Gothic" w:hAnsi="Calibri"/>
              <w:b/>
              <w:bCs/>
              <w:color w:val="4F81BD"/>
            </w:rPr>
          </w:pPr>
        </w:p>
      </w:tc>
      <w:tc>
        <w:tcPr>
          <w:tcW w:w="0" w:type="auto"/>
          <w:vMerge/>
          <w:vAlign w:val="center"/>
          <w:hideMark/>
        </w:tcPr>
        <w:p w:rsidR="00F47195" w:rsidRPr="005A3173" w:rsidRDefault="00F4719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7195" w:rsidRPr="005A3173" w:rsidRDefault="00F47195" w:rsidP="005A3173">
          <w:pPr>
            <w:pStyle w:val="Header"/>
            <w:spacing w:line="276" w:lineRule="auto"/>
            <w:rPr>
              <w:rFonts w:ascii="Calibri" w:eastAsia="MS Gothic" w:hAnsi="Calibri"/>
              <w:b/>
              <w:bCs/>
              <w:color w:val="4F81BD"/>
            </w:rPr>
          </w:pPr>
        </w:p>
      </w:tc>
    </w:tr>
  </w:tbl>
  <w:p w:rsidR="00F47195" w:rsidRPr="007C0F57" w:rsidRDefault="00F4719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47195" w:rsidRPr="007C0F57" w:rsidRDefault="00F47195" w:rsidP="007C0F57">
    <w:pPr>
      <w:pStyle w:val="Footer"/>
      <w:jc w:val="center"/>
      <w:rPr>
        <w:b/>
        <w:i/>
        <w:sz w:val="20"/>
        <w:szCs w:val="20"/>
      </w:rPr>
    </w:pPr>
    <w:r w:rsidRPr="007C0F57">
      <w:rPr>
        <w:b/>
        <w:i/>
        <w:sz w:val="20"/>
        <w:szCs w:val="20"/>
      </w:rPr>
      <w:t>Commercial-in-Confidence</w:t>
    </w:r>
  </w:p>
  <w:p w:rsidR="00F47195" w:rsidRDefault="00F4719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3EA" w:rsidRDefault="00C873EA">
      <w:r>
        <w:separator/>
      </w:r>
    </w:p>
    <w:p w:rsidR="00C873EA" w:rsidRDefault="00C873EA"/>
  </w:footnote>
  <w:footnote w:type="continuationSeparator" w:id="0">
    <w:p w:rsidR="00C873EA" w:rsidRDefault="00C873EA">
      <w:r>
        <w:continuationSeparator/>
      </w:r>
    </w:p>
    <w:p w:rsidR="00C873EA" w:rsidRDefault="00C873EA"/>
  </w:footnote>
  <w:footnote w:id="1">
    <w:p w:rsidR="00F47195" w:rsidRPr="00A02603" w:rsidRDefault="00F47195">
      <w:pPr>
        <w:pStyle w:val="FootnoteText"/>
        <w:rPr>
          <w:szCs w:val="18"/>
        </w:rPr>
      </w:pPr>
      <w:r w:rsidRPr="00FD7830">
        <w:rPr>
          <w:rStyle w:val="FootnoteReference"/>
          <w:szCs w:val="18"/>
        </w:rPr>
        <w:footnoteRef/>
      </w:r>
      <w:r w:rsidRPr="00A02603">
        <w:rPr>
          <w:szCs w:val="18"/>
        </w:rPr>
        <w:t xml:space="preserve"> </w:t>
      </w:r>
      <w:r w:rsidRPr="0034567F">
        <w:rPr>
          <w:szCs w:val="18"/>
        </w:rPr>
        <w:t>The Cancer Genome Atlas Research Network. Integrated genomic analyses of ovarian carcinoma. Nature. 2011;474(7353):609-15. Epub 2011/07/02.</w:t>
      </w:r>
    </w:p>
  </w:footnote>
  <w:footnote w:id="2">
    <w:p w:rsidR="00F47195" w:rsidRPr="00587390" w:rsidRDefault="00F47195">
      <w:pPr>
        <w:pStyle w:val="FootnoteText"/>
        <w:rPr>
          <w:szCs w:val="18"/>
        </w:rPr>
      </w:pPr>
      <w:r w:rsidRPr="00A02603">
        <w:rPr>
          <w:rStyle w:val="FootnoteReference"/>
          <w:szCs w:val="18"/>
        </w:rPr>
        <w:footnoteRef/>
      </w:r>
      <w:r w:rsidRPr="00A02603">
        <w:rPr>
          <w:szCs w:val="18"/>
        </w:rPr>
        <w:t xml:space="preserve"> Hahnen et al. Prevalence of somatic mutations in risk geners including BRCA1/</w:t>
      </w:r>
      <w:r w:rsidRPr="00587390">
        <w:rPr>
          <w:szCs w:val="18"/>
        </w:rPr>
        <w:t>2 in consecutive ovarian cancer patients (AGO-TR-1 study). Journal of Clinical Oncology 34, no 15_suppl (May 20, 2016) 5544-5544.</w:t>
      </w:r>
    </w:p>
  </w:footnote>
  <w:footnote w:id="3">
    <w:p w:rsidR="00F47195" w:rsidRPr="00A02603" w:rsidRDefault="00F47195">
      <w:pPr>
        <w:pStyle w:val="FootnoteText"/>
        <w:rPr>
          <w:szCs w:val="18"/>
        </w:rPr>
      </w:pPr>
      <w:r w:rsidRPr="00A02603">
        <w:rPr>
          <w:rStyle w:val="FootnoteReference"/>
          <w:szCs w:val="18"/>
        </w:rPr>
        <w:footnoteRef/>
      </w:r>
      <w:r w:rsidRPr="00A02603">
        <w:rPr>
          <w:szCs w:val="18"/>
        </w:rPr>
        <w:t xml:space="preserve"> </w:t>
      </w:r>
      <w:r w:rsidRPr="0034567F">
        <w:rPr>
          <w:szCs w:val="18"/>
        </w:rPr>
        <w:t>Pennington KP, Walsh T, Harrell MI, Lee MK, Pennil CC, Rendi MH, et al. Germline and somatic mutations in homologous recombination genes predict platinum response and survival in ovarian, fallopian tube, and peritoneal carcinomas. Clin Cancer Res. 2014;20(3):764-75.</w:t>
      </w:r>
    </w:p>
  </w:footnote>
  <w:footnote w:id="4">
    <w:p w:rsidR="00F47195" w:rsidRDefault="00F47195">
      <w:pPr>
        <w:pStyle w:val="FootnoteText"/>
      </w:pPr>
      <w:r w:rsidRPr="00A02603">
        <w:rPr>
          <w:rStyle w:val="FootnoteReference"/>
          <w:szCs w:val="18"/>
        </w:rPr>
        <w:footnoteRef/>
      </w:r>
      <w:r w:rsidRPr="00A02603">
        <w:rPr>
          <w:szCs w:val="18"/>
        </w:rPr>
        <w:t xml:space="preserve"> Coleman et al. Veliparib with first-line chemotherapy and as maintenance therapy</w:t>
      </w:r>
      <w:r w:rsidRPr="00587390">
        <w:rPr>
          <w:szCs w:val="18"/>
        </w:rPr>
        <w:t xml:space="preserve"> in ovarian cancer. N Engl J Med 2019 Dec 19;381(25):2403-2415. Epub 2019 Sep 28.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47195" w:rsidRPr="008E0D90" w:rsidTr="00A06225">
      <w:trPr>
        <w:trHeight w:val="151"/>
      </w:trPr>
      <w:tc>
        <w:tcPr>
          <w:tcW w:w="2389" w:type="pct"/>
          <w:tcBorders>
            <w:top w:val="nil"/>
            <w:left w:val="nil"/>
            <w:bottom w:val="single" w:sz="4" w:space="0" w:color="4F81BD"/>
            <w:right w:val="nil"/>
          </w:tcBorders>
        </w:tcPr>
        <w:p w:rsidR="00F47195" w:rsidRPr="00A06225" w:rsidRDefault="00F47195">
          <w:pPr>
            <w:pStyle w:val="Header"/>
            <w:spacing w:line="276" w:lineRule="auto"/>
            <w:rPr>
              <w:rFonts w:ascii="Cambria" w:eastAsia="MS Gothic" w:hAnsi="Cambria"/>
              <w:b/>
              <w:bCs/>
              <w:color w:val="4F81BD"/>
            </w:rPr>
          </w:pPr>
        </w:p>
      </w:tc>
      <w:tc>
        <w:tcPr>
          <w:tcW w:w="333" w:type="pct"/>
          <w:vMerge w:val="restart"/>
          <w:noWrap/>
          <w:vAlign w:val="center"/>
          <w:hideMark/>
        </w:tcPr>
        <w:p w:rsidR="00F47195" w:rsidRPr="00A06225" w:rsidRDefault="00F4719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47195" w:rsidRPr="00A06225" w:rsidRDefault="00F47195">
          <w:pPr>
            <w:pStyle w:val="Header"/>
            <w:spacing w:line="276" w:lineRule="auto"/>
            <w:rPr>
              <w:rFonts w:ascii="Cambria" w:eastAsia="MS Gothic" w:hAnsi="Cambria"/>
              <w:b/>
              <w:bCs/>
              <w:color w:val="4F81BD"/>
            </w:rPr>
          </w:pPr>
        </w:p>
      </w:tc>
    </w:tr>
    <w:tr w:rsidR="00F47195" w:rsidRPr="008E0D90" w:rsidTr="00A06225">
      <w:trPr>
        <w:trHeight w:val="150"/>
      </w:trPr>
      <w:tc>
        <w:tcPr>
          <w:tcW w:w="2389" w:type="pct"/>
          <w:tcBorders>
            <w:top w:val="single" w:sz="4" w:space="0" w:color="4F81BD"/>
            <w:left w:val="nil"/>
            <w:bottom w:val="nil"/>
            <w:right w:val="nil"/>
          </w:tcBorders>
        </w:tcPr>
        <w:p w:rsidR="00F47195" w:rsidRPr="00A06225" w:rsidRDefault="00F47195">
          <w:pPr>
            <w:pStyle w:val="Header"/>
            <w:spacing w:line="276" w:lineRule="auto"/>
            <w:rPr>
              <w:rFonts w:ascii="Cambria" w:eastAsia="MS Gothic" w:hAnsi="Cambria"/>
              <w:b/>
              <w:bCs/>
              <w:color w:val="4F81BD"/>
            </w:rPr>
          </w:pPr>
        </w:p>
      </w:tc>
      <w:tc>
        <w:tcPr>
          <w:tcW w:w="0" w:type="auto"/>
          <w:vMerge/>
          <w:vAlign w:val="center"/>
          <w:hideMark/>
        </w:tcPr>
        <w:p w:rsidR="00F47195" w:rsidRPr="00A06225" w:rsidRDefault="00F47195">
          <w:pPr>
            <w:rPr>
              <w:rFonts w:ascii="Cambria" w:hAnsi="Cambria"/>
              <w:color w:val="4F81BD"/>
              <w:sz w:val="22"/>
              <w:szCs w:val="22"/>
            </w:rPr>
          </w:pPr>
        </w:p>
      </w:tc>
      <w:tc>
        <w:tcPr>
          <w:tcW w:w="2278" w:type="pct"/>
          <w:tcBorders>
            <w:top w:val="single" w:sz="4" w:space="0" w:color="4F81BD"/>
            <w:left w:val="nil"/>
            <w:bottom w:val="nil"/>
            <w:right w:val="nil"/>
          </w:tcBorders>
        </w:tcPr>
        <w:p w:rsidR="00F47195" w:rsidRPr="00A06225" w:rsidRDefault="00F47195">
          <w:pPr>
            <w:pStyle w:val="Header"/>
            <w:spacing w:line="276" w:lineRule="auto"/>
            <w:rPr>
              <w:rFonts w:ascii="Cambria" w:eastAsia="MS Gothic" w:hAnsi="Cambria"/>
              <w:b/>
              <w:bCs/>
              <w:color w:val="4F81BD"/>
            </w:rPr>
          </w:pPr>
        </w:p>
      </w:tc>
    </w:tr>
  </w:tbl>
  <w:p w:rsidR="00F47195" w:rsidRDefault="00F47195">
    <w:pPr>
      <w:pStyle w:val="Header"/>
    </w:pPr>
  </w:p>
  <w:p w:rsidR="00F47195" w:rsidRDefault="00F4719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195" w:rsidRDefault="00C21F72" w:rsidP="00C21F72">
    <w:pPr>
      <w:pStyle w:val="NoSpacing"/>
      <w:jc w:val="center"/>
      <w:rPr>
        <w:rFonts w:asciiTheme="minorHAnsi" w:hAnsiTheme="minorHAnsi" w:cstheme="minorHAnsi"/>
        <w:i/>
        <w:sz w:val="24"/>
        <w:szCs w:val="24"/>
      </w:rPr>
    </w:pPr>
    <w:r>
      <w:rPr>
        <w:rFonts w:asciiTheme="minorHAnsi" w:hAnsiTheme="minorHAnsi" w:cstheme="minorHAnsi"/>
        <w:i/>
        <w:sz w:val="24"/>
        <w:szCs w:val="24"/>
      </w:rPr>
      <w:t>Public Summary Document</w:t>
    </w:r>
    <w:r w:rsidR="00F47195">
      <w:rPr>
        <w:rFonts w:asciiTheme="minorHAnsi" w:hAnsiTheme="minorHAnsi" w:cstheme="minorHAnsi"/>
        <w:i/>
        <w:sz w:val="24"/>
        <w:szCs w:val="24"/>
      </w:rPr>
      <w:t xml:space="preserve"> </w:t>
    </w:r>
    <w:r w:rsidR="00F47195" w:rsidRPr="003870C8">
      <w:rPr>
        <w:rFonts w:asciiTheme="minorHAnsi" w:hAnsiTheme="minorHAnsi" w:cstheme="minorHAnsi"/>
        <w:i/>
        <w:sz w:val="24"/>
        <w:szCs w:val="24"/>
      </w:rPr>
      <w:t>– March 2020 PBAC Meeting</w:t>
    </w:r>
  </w:p>
  <w:p w:rsidR="00F47195" w:rsidRPr="003870C8" w:rsidRDefault="00F47195" w:rsidP="003870C8">
    <w:pPr>
      <w:pStyle w:val="NoSpacing"/>
      <w:jc w:val="center"/>
      <w:rPr>
        <w:rFonts w:asciiTheme="minorHAnsi" w:hAnsiTheme="minorHAnsi" w:cstheme="minorHAnsi"/>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3EA" w:rsidRDefault="00C8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490F8C"/>
    <w:multiLevelType w:val="multilevel"/>
    <w:tmpl w:val="F370BBDC"/>
    <w:lvl w:ilvl="0">
      <w:start w:val="1"/>
      <w:numFmt w:val="decimal"/>
      <w:lvlText w:val="%1"/>
      <w:lvlJc w:val="left"/>
      <w:pPr>
        <w:ind w:left="432" w:hanging="432"/>
      </w:pPr>
      <w:rPr>
        <w:rFonts w:hint="default"/>
        <w:b/>
      </w:rPr>
    </w:lvl>
    <w:lvl w:ilvl="1">
      <w:start w:val="1"/>
      <w:numFmt w:val="upperLetter"/>
      <w:lvlText w:val="%1%2"/>
      <w:lvlJc w:val="left"/>
      <w:pPr>
        <w:ind w:left="576" w:hanging="576"/>
      </w:pPr>
      <w:rPr>
        <w:rFonts w:hint="default"/>
      </w:rPr>
    </w:lvl>
    <w:lvl w:ilvl="2">
      <w:start w:val="1"/>
      <w:numFmt w:val="decimal"/>
      <w:lvlText w:val="%1%2.%3"/>
      <w:lvlJc w:val="left"/>
      <w:pPr>
        <w:ind w:left="0" w:firstLine="0"/>
      </w:pPr>
      <w:rPr>
        <w:rFonts w:hint="default"/>
      </w:rPr>
    </w:lvl>
    <w:lvl w:ilvl="3">
      <w:start w:val="1"/>
      <w:numFmt w:val="decimal"/>
      <w:lvlRestart w:val="1"/>
      <w:lvlText w:val="%1.%4"/>
      <w:lvlJc w:val="left"/>
      <w:pPr>
        <w:ind w:left="864" w:hanging="864"/>
      </w:pPr>
      <w:rPr>
        <w:rFonts w:hint="default"/>
      </w:rPr>
    </w:lvl>
    <w:lvl w:ilvl="4">
      <w:start w:val="1"/>
      <w:numFmt w:val="decimal"/>
      <w:lvlRestart w:val="3"/>
      <w:lvlText w:val="%1%2.%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EC4707D"/>
    <w:multiLevelType w:val="hybridMultilevel"/>
    <w:tmpl w:val="8E7C9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575C58"/>
    <w:multiLevelType w:val="multilevel"/>
    <w:tmpl w:val="BE44A646"/>
    <w:lvl w:ilvl="0">
      <w:start w:val="1"/>
      <w:numFmt w:val="bullet"/>
      <w:pStyle w:val="Instruction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15"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DAC1142"/>
    <w:multiLevelType w:val="multilevel"/>
    <w:tmpl w:val="6EFE96F0"/>
    <w:lvl w:ilvl="0">
      <w:start w:val="3"/>
      <w:numFmt w:val="decimal"/>
      <w:lvlText w:val="%1"/>
      <w:lvlJc w:val="left"/>
      <w:pPr>
        <w:ind w:left="432" w:hanging="432"/>
      </w:pPr>
      <w:rPr>
        <w:rFonts w:hint="default"/>
        <w:b/>
      </w:rPr>
    </w:lvl>
    <w:lvl w:ilvl="1">
      <w:start w:val="1"/>
      <w:numFmt w:val="decimal"/>
      <w:lvlText w:val="%1.%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4D033C"/>
    <w:multiLevelType w:val="multilevel"/>
    <w:tmpl w:val="3F7032C2"/>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4"/>
  </w:num>
  <w:num w:numId="2">
    <w:abstractNumId w:val="0"/>
  </w:num>
  <w:num w:numId="3">
    <w:abstractNumId w:val="24"/>
  </w:num>
  <w:num w:numId="4">
    <w:abstractNumId w:val="19"/>
  </w:num>
  <w:num w:numId="5">
    <w:abstractNumId w:val="13"/>
  </w:num>
  <w:num w:numId="6">
    <w:abstractNumId w:val="17"/>
  </w:num>
  <w:num w:numId="7">
    <w:abstractNumId w:val="25"/>
  </w:num>
  <w:num w:numId="8">
    <w:abstractNumId w:val="21"/>
  </w:num>
  <w:num w:numId="9">
    <w:abstractNumId w:val="23"/>
  </w:num>
  <w:num w:numId="10">
    <w:abstractNumId w:val="15"/>
  </w:num>
  <w:num w:numId="11">
    <w:abstractNumId w:val="4"/>
  </w:num>
  <w:num w:numId="12">
    <w:abstractNumId w:val="20"/>
  </w:num>
  <w:num w:numId="13">
    <w:abstractNumId w:val="22"/>
  </w:num>
  <w:num w:numId="14">
    <w:abstractNumId w:val="12"/>
    <w:lvlOverride w:ilvl="0">
      <w:startOverride w:val="1"/>
    </w:lvlOverride>
  </w:num>
  <w:num w:numId="15">
    <w:abstractNumId w:val="12"/>
  </w:num>
  <w:num w:numId="16">
    <w:abstractNumId w:val="12"/>
    <w:lvlOverride w:ilvl="0">
      <w:startOverride w:val="1"/>
    </w:lvlOverride>
  </w:num>
  <w:num w:numId="17">
    <w:abstractNumId w:val="14"/>
  </w:num>
  <w:num w:numId="18">
    <w:abstractNumId w:val="12"/>
    <w:lvlOverride w:ilvl="0">
      <w:startOverride w:val="4"/>
    </w:lvlOverride>
  </w:num>
  <w:num w:numId="19">
    <w:abstractNumId w:val="2"/>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6"/>
  </w:num>
  <w:num w:numId="23">
    <w:abstractNumId w:val="24"/>
  </w:num>
  <w:num w:numId="24">
    <w:abstractNumId w:val="24"/>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16"/>
  </w:num>
  <w:num w:numId="32">
    <w:abstractNumId w:val="9"/>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num>
  <w:num w:numId="41">
    <w:abstractNumId w:val="5"/>
  </w:num>
  <w:num w:numId="42">
    <w:abstractNumId w:val="24"/>
  </w:num>
  <w:num w:numId="43">
    <w:abstractNumId w:val="24"/>
  </w:num>
  <w:num w:numId="44">
    <w:abstractNumId w:val="18"/>
  </w:num>
  <w:num w:numId="45">
    <w:abstractNumId w:val="3"/>
  </w:num>
  <w:num w:numId="46">
    <w:abstractNumId w:val="1"/>
  </w:num>
  <w:num w:numId="47">
    <w:abstractNumId w:val="8"/>
  </w:num>
  <w:num w:numId="48">
    <w:abstractNumId w:val="10"/>
  </w:num>
  <w:num w:numId="49">
    <w:abstractNumId w:val="7"/>
  </w:num>
  <w:num w:numId="50">
    <w:abstractNumId w:val="24"/>
  </w:num>
  <w:num w:numId="51">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00C"/>
    <w:rsid w:val="00001663"/>
    <w:rsid w:val="000025AD"/>
    <w:rsid w:val="000030AF"/>
    <w:rsid w:val="0000335D"/>
    <w:rsid w:val="00011A59"/>
    <w:rsid w:val="00011B58"/>
    <w:rsid w:val="00016A41"/>
    <w:rsid w:val="000214D1"/>
    <w:rsid w:val="0002464A"/>
    <w:rsid w:val="0003106B"/>
    <w:rsid w:val="00033CD1"/>
    <w:rsid w:val="00034905"/>
    <w:rsid w:val="000407E7"/>
    <w:rsid w:val="000421A1"/>
    <w:rsid w:val="0004240E"/>
    <w:rsid w:val="00045E26"/>
    <w:rsid w:val="000514B5"/>
    <w:rsid w:val="00060E64"/>
    <w:rsid w:val="00066755"/>
    <w:rsid w:val="000723BA"/>
    <w:rsid w:val="00072F20"/>
    <w:rsid w:val="000763D5"/>
    <w:rsid w:val="00077143"/>
    <w:rsid w:val="00080C4D"/>
    <w:rsid w:val="00082169"/>
    <w:rsid w:val="000918CB"/>
    <w:rsid w:val="00091B06"/>
    <w:rsid w:val="000951C4"/>
    <w:rsid w:val="00095ADA"/>
    <w:rsid w:val="000969AD"/>
    <w:rsid w:val="000A3AA2"/>
    <w:rsid w:val="000A44B2"/>
    <w:rsid w:val="000B44C3"/>
    <w:rsid w:val="000B558D"/>
    <w:rsid w:val="000C1436"/>
    <w:rsid w:val="000C2C16"/>
    <w:rsid w:val="000C5F95"/>
    <w:rsid w:val="000C6996"/>
    <w:rsid w:val="000D09E9"/>
    <w:rsid w:val="000D23BA"/>
    <w:rsid w:val="000E1CE8"/>
    <w:rsid w:val="000E681E"/>
    <w:rsid w:val="000E7101"/>
    <w:rsid w:val="000F0003"/>
    <w:rsid w:val="000F1E78"/>
    <w:rsid w:val="000F3384"/>
    <w:rsid w:val="000F4035"/>
    <w:rsid w:val="000F4E6A"/>
    <w:rsid w:val="000F5EC4"/>
    <w:rsid w:val="000F6F8F"/>
    <w:rsid w:val="000F7354"/>
    <w:rsid w:val="00102202"/>
    <w:rsid w:val="00104227"/>
    <w:rsid w:val="001107BF"/>
    <w:rsid w:val="00111D86"/>
    <w:rsid w:val="00113649"/>
    <w:rsid w:val="0012417C"/>
    <w:rsid w:val="0012749D"/>
    <w:rsid w:val="001350BF"/>
    <w:rsid w:val="0013529F"/>
    <w:rsid w:val="00137464"/>
    <w:rsid w:val="00142395"/>
    <w:rsid w:val="00142714"/>
    <w:rsid w:val="00144F62"/>
    <w:rsid w:val="001452ED"/>
    <w:rsid w:val="00147D84"/>
    <w:rsid w:val="00152B12"/>
    <w:rsid w:val="001549C1"/>
    <w:rsid w:val="001564BF"/>
    <w:rsid w:val="00162D4E"/>
    <w:rsid w:val="00163329"/>
    <w:rsid w:val="00164623"/>
    <w:rsid w:val="001652DE"/>
    <w:rsid w:val="00165B64"/>
    <w:rsid w:val="00175E6A"/>
    <w:rsid w:val="00180713"/>
    <w:rsid w:val="0018194F"/>
    <w:rsid w:val="001830CE"/>
    <w:rsid w:val="0018643B"/>
    <w:rsid w:val="00187575"/>
    <w:rsid w:val="00194DA5"/>
    <w:rsid w:val="00196307"/>
    <w:rsid w:val="001A2F8D"/>
    <w:rsid w:val="001A33EA"/>
    <w:rsid w:val="001A402D"/>
    <w:rsid w:val="001A4C4F"/>
    <w:rsid w:val="001A5A11"/>
    <w:rsid w:val="001A76FB"/>
    <w:rsid w:val="001B017F"/>
    <w:rsid w:val="001B2BBC"/>
    <w:rsid w:val="001B35E4"/>
    <w:rsid w:val="001B3FFE"/>
    <w:rsid w:val="001B5129"/>
    <w:rsid w:val="001C0B4C"/>
    <w:rsid w:val="001C1195"/>
    <w:rsid w:val="001C71C5"/>
    <w:rsid w:val="001C78A6"/>
    <w:rsid w:val="001D1F5F"/>
    <w:rsid w:val="001D37E0"/>
    <w:rsid w:val="001D483F"/>
    <w:rsid w:val="001E06D2"/>
    <w:rsid w:val="001E529A"/>
    <w:rsid w:val="001F1850"/>
    <w:rsid w:val="001F3189"/>
    <w:rsid w:val="00203FAC"/>
    <w:rsid w:val="00213CFB"/>
    <w:rsid w:val="002141D6"/>
    <w:rsid w:val="002154BC"/>
    <w:rsid w:val="0021553C"/>
    <w:rsid w:val="0021557B"/>
    <w:rsid w:val="0021583F"/>
    <w:rsid w:val="002174FD"/>
    <w:rsid w:val="00217BE1"/>
    <w:rsid w:val="00222CF4"/>
    <w:rsid w:val="002278E6"/>
    <w:rsid w:val="00234252"/>
    <w:rsid w:val="00237AC6"/>
    <w:rsid w:val="00244490"/>
    <w:rsid w:val="00250978"/>
    <w:rsid w:val="00253499"/>
    <w:rsid w:val="00254083"/>
    <w:rsid w:val="00254EF5"/>
    <w:rsid w:val="002551A4"/>
    <w:rsid w:val="00257664"/>
    <w:rsid w:val="0026235C"/>
    <w:rsid w:val="00265151"/>
    <w:rsid w:val="00266509"/>
    <w:rsid w:val="00271BA1"/>
    <w:rsid w:val="002762FA"/>
    <w:rsid w:val="00277505"/>
    <w:rsid w:val="002823B6"/>
    <w:rsid w:val="00282DFA"/>
    <w:rsid w:val="00285ECF"/>
    <w:rsid w:val="00291EF0"/>
    <w:rsid w:val="00294274"/>
    <w:rsid w:val="0029458F"/>
    <w:rsid w:val="002A0E04"/>
    <w:rsid w:val="002A104C"/>
    <w:rsid w:val="002A494D"/>
    <w:rsid w:val="002A4960"/>
    <w:rsid w:val="002A531F"/>
    <w:rsid w:val="002A6C86"/>
    <w:rsid w:val="002B0942"/>
    <w:rsid w:val="002B0AE0"/>
    <w:rsid w:val="002B1AE6"/>
    <w:rsid w:val="002B1D51"/>
    <w:rsid w:val="002B21F2"/>
    <w:rsid w:val="002B2DE8"/>
    <w:rsid w:val="002B30F8"/>
    <w:rsid w:val="002B388A"/>
    <w:rsid w:val="002B5596"/>
    <w:rsid w:val="002C01BC"/>
    <w:rsid w:val="002C212F"/>
    <w:rsid w:val="002C3CFD"/>
    <w:rsid w:val="002C45FC"/>
    <w:rsid w:val="002C7485"/>
    <w:rsid w:val="002D0DE8"/>
    <w:rsid w:val="002D283A"/>
    <w:rsid w:val="002D30C6"/>
    <w:rsid w:val="002D4543"/>
    <w:rsid w:val="002E3153"/>
    <w:rsid w:val="002E5292"/>
    <w:rsid w:val="002E72CA"/>
    <w:rsid w:val="002F600D"/>
    <w:rsid w:val="00300AD6"/>
    <w:rsid w:val="00300B1B"/>
    <w:rsid w:val="003019D0"/>
    <w:rsid w:val="00303593"/>
    <w:rsid w:val="00303D14"/>
    <w:rsid w:val="003064AF"/>
    <w:rsid w:val="0031084D"/>
    <w:rsid w:val="00317C6C"/>
    <w:rsid w:val="00320CD3"/>
    <w:rsid w:val="00326E79"/>
    <w:rsid w:val="003301B1"/>
    <w:rsid w:val="00331189"/>
    <w:rsid w:val="0033263D"/>
    <w:rsid w:val="0033518A"/>
    <w:rsid w:val="003367EF"/>
    <w:rsid w:val="00337633"/>
    <w:rsid w:val="00337B69"/>
    <w:rsid w:val="00341AE4"/>
    <w:rsid w:val="0034567F"/>
    <w:rsid w:val="003476EE"/>
    <w:rsid w:val="00354E06"/>
    <w:rsid w:val="0036391D"/>
    <w:rsid w:val="003736C9"/>
    <w:rsid w:val="00376016"/>
    <w:rsid w:val="00384212"/>
    <w:rsid w:val="00384988"/>
    <w:rsid w:val="00385354"/>
    <w:rsid w:val="003870C8"/>
    <w:rsid w:val="003872CF"/>
    <w:rsid w:val="0039397E"/>
    <w:rsid w:val="0039782C"/>
    <w:rsid w:val="003A5B4A"/>
    <w:rsid w:val="003B23C5"/>
    <w:rsid w:val="003B2458"/>
    <w:rsid w:val="003B2A75"/>
    <w:rsid w:val="003B6124"/>
    <w:rsid w:val="003C093A"/>
    <w:rsid w:val="003C1ECF"/>
    <w:rsid w:val="003C2FB5"/>
    <w:rsid w:val="003C7A81"/>
    <w:rsid w:val="003D0D9D"/>
    <w:rsid w:val="003D24C5"/>
    <w:rsid w:val="003D4AC4"/>
    <w:rsid w:val="003D63B7"/>
    <w:rsid w:val="003E468B"/>
    <w:rsid w:val="003E62BD"/>
    <w:rsid w:val="003F0C3A"/>
    <w:rsid w:val="003F3228"/>
    <w:rsid w:val="003F5C8C"/>
    <w:rsid w:val="003F775A"/>
    <w:rsid w:val="0040094D"/>
    <w:rsid w:val="00400E55"/>
    <w:rsid w:val="0040128E"/>
    <w:rsid w:val="0040216B"/>
    <w:rsid w:val="004072C5"/>
    <w:rsid w:val="004252EC"/>
    <w:rsid w:val="00430D39"/>
    <w:rsid w:val="004406C0"/>
    <w:rsid w:val="004465BD"/>
    <w:rsid w:val="00461A44"/>
    <w:rsid w:val="00462DB3"/>
    <w:rsid w:val="0046354F"/>
    <w:rsid w:val="00466ADA"/>
    <w:rsid w:val="004702BB"/>
    <w:rsid w:val="0047494B"/>
    <w:rsid w:val="00476245"/>
    <w:rsid w:val="00477A9B"/>
    <w:rsid w:val="00481DBC"/>
    <w:rsid w:val="00483035"/>
    <w:rsid w:val="00485940"/>
    <w:rsid w:val="00486788"/>
    <w:rsid w:val="00487002"/>
    <w:rsid w:val="004904B9"/>
    <w:rsid w:val="004A227B"/>
    <w:rsid w:val="004A2484"/>
    <w:rsid w:val="004A5A85"/>
    <w:rsid w:val="004A71D1"/>
    <w:rsid w:val="004A7C5B"/>
    <w:rsid w:val="004B2E98"/>
    <w:rsid w:val="004B5640"/>
    <w:rsid w:val="004C1BD7"/>
    <w:rsid w:val="004C2294"/>
    <w:rsid w:val="004C31FE"/>
    <w:rsid w:val="004C524C"/>
    <w:rsid w:val="004C5FC5"/>
    <w:rsid w:val="004C6446"/>
    <w:rsid w:val="004C691D"/>
    <w:rsid w:val="004C6C07"/>
    <w:rsid w:val="004D45C4"/>
    <w:rsid w:val="004D4FF6"/>
    <w:rsid w:val="004D56E6"/>
    <w:rsid w:val="004E31FD"/>
    <w:rsid w:val="004E692D"/>
    <w:rsid w:val="004E7D87"/>
    <w:rsid w:val="004F092C"/>
    <w:rsid w:val="004F2553"/>
    <w:rsid w:val="00501554"/>
    <w:rsid w:val="00502AFE"/>
    <w:rsid w:val="00503AD7"/>
    <w:rsid w:val="00504E0C"/>
    <w:rsid w:val="005109D4"/>
    <w:rsid w:val="00513E16"/>
    <w:rsid w:val="00514CD7"/>
    <w:rsid w:val="00520D6A"/>
    <w:rsid w:val="00522DB6"/>
    <w:rsid w:val="0052792D"/>
    <w:rsid w:val="005319B2"/>
    <w:rsid w:val="00532402"/>
    <w:rsid w:val="00532C74"/>
    <w:rsid w:val="00534E2E"/>
    <w:rsid w:val="00544552"/>
    <w:rsid w:val="005475FD"/>
    <w:rsid w:val="0055286A"/>
    <w:rsid w:val="00555745"/>
    <w:rsid w:val="00556D98"/>
    <w:rsid w:val="00557D4F"/>
    <w:rsid w:val="005611F7"/>
    <w:rsid w:val="0056484E"/>
    <w:rsid w:val="00564EB2"/>
    <w:rsid w:val="005764CD"/>
    <w:rsid w:val="00577591"/>
    <w:rsid w:val="00577C4D"/>
    <w:rsid w:val="00580532"/>
    <w:rsid w:val="00581932"/>
    <w:rsid w:val="00587289"/>
    <w:rsid w:val="00587390"/>
    <w:rsid w:val="005963BB"/>
    <w:rsid w:val="005A3173"/>
    <w:rsid w:val="005A3223"/>
    <w:rsid w:val="005A3DA3"/>
    <w:rsid w:val="005A52C4"/>
    <w:rsid w:val="005A7C8F"/>
    <w:rsid w:val="005B7082"/>
    <w:rsid w:val="005C4664"/>
    <w:rsid w:val="005C51AD"/>
    <w:rsid w:val="005D03AB"/>
    <w:rsid w:val="005D5017"/>
    <w:rsid w:val="005D63FA"/>
    <w:rsid w:val="005E1333"/>
    <w:rsid w:val="005E3136"/>
    <w:rsid w:val="005E507D"/>
    <w:rsid w:val="005F7574"/>
    <w:rsid w:val="00601A91"/>
    <w:rsid w:val="00602BA3"/>
    <w:rsid w:val="00605B63"/>
    <w:rsid w:val="00606EED"/>
    <w:rsid w:val="00612E34"/>
    <w:rsid w:val="00614159"/>
    <w:rsid w:val="00616C5F"/>
    <w:rsid w:val="00616DAC"/>
    <w:rsid w:val="00617C00"/>
    <w:rsid w:val="00623A41"/>
    <w:rsid w:val="006263BF"/>
    <w:rsid w:val="00627415"/>
    <w:rsid w:val="0062748A"/>
    <w:rsid w:val="00630A2C"/>
    <w:rsid w:val="0063682E"/>
    <w:rsid w:val="00642DA8"/>
    <w:rsid w:val="006436CD"/>
    <w:rsid w:val="00643FD4"/>
    <w:rsid w:val="00651169"/>
    <w:rsid w:val="00653D69"/>
    <w:rsid w:val="006552E6"/>
    <w:rsid w:val="00655D99"/>
    <w:rsid w:val="006561E6"/>
    <w:rsid w:val="00657C63"/>
    <w:rsid w:val="006628D4"/>
    <w:rsid w:val="00663F0C"/>
    <w:rsid w:val="006670BE"/>
    <w:rsid w:val="00670A76"/>
    <w:rsid w:val="006711AA"/>
    <w:rsid w:val="00672B57"/>
    <w:rsid w:val="00675622"/>
    <w:rsid w:val="0067747D"/>
    <w:rsid w:val="00680026"/>
    <w:rsid w:val="00681CA4"/>
    <w:rsid w:val="006842E9"/>
    <w:rsid w:val="0069039D"/>
    <w:rsid w:val="006906DB"/>
    <w:rsid w:val="006915C7"/>
    <w:rsid w:val="00691E6C"/>
    <w:rsid w:val="00693DFB"/>
    <w:rsid w:val="0069501D"/>
    <w:rsid w:val="00696129"/>
    <w:rsid w:val="00696E2E"/>
    <w:rsid w:val="00697CF2"/>
    <w:rsid w:val="006A12A5"/>
    <w:rsid w:val="006A2C3B"/>
    <w:rsid w:val="006A5A9F"/>
    <w:rsid w:val="006A5E20"/>
    <w:rsid w:val="006B0D94"/>
    <w:rsid w:val="006B485D"/>
    <w:rsid w:val="006C334C"/>
    <w:rsid w:val="006C6720"/>
    <w:rsid w:val="006C708E"/>
    <w:rsid w:val="006D14E7"/>
    <w:rsid w:val="006D4444"/>
    <w:rsid w:val="006D5700"/>
    <w:rsid w:val="006D6493"/>
    <w:rsid w:val="006D6EC7"/>
    <w:rsid w:val="006E1BCD"/>
    <w:rsid w:val="006F08F7"/>
    <w:rsid w:val="006F5125"/>
    <w:rsid w:val="006F733D"/>
    <w:rsid w:val="00702B6F"/>
    <w:rsid w:val="00704B25"/>
    <w:rsid w:val="00706A2F"/>
    <w:rsid w:val="0070718E"/>
    <w:rsid w:val="007118F3"/>
    <w:rsid w:val="0071340B"/>
    <w:rsid w:val="00715D5D"/>
    <w:rsid w:val="007174BB"/>
    <w:rsid w:val="0072025D"/>
    <w:rsid w:val="00723322"/>
    <w:rsid w:val="00724362"/>
    <w:rsid w:val="00727E27"/>
    <w:rsid w:val="0073137C"/>
    <w:rsid w:val="007353D3"/>
    <w:rsid w:val="0074156B"/>
    <w:rsid w:val="007475C4"/>
    <w:rsid w:val="007555E8"/>
    <w:rsid w:val="0076420C"/>
    <w:rsid w:val="00771D07"/>
    <w:rsid w:val="00774E2C"/>
    <w:rsid w:val="007753C2"/>
    <w:rsid w:val="00780083"/>
    <w:rsid w:val="007820F5"/>
    <w:rsid w:val="007838B8"/>
    <w:rsid w:val="007915BA"/>
    <w:rsid w:val="00793B1B"/>
    <w:rsid w:val="007A37F6"/>
    <w:rsid w:val="007B3DDC"/>
    <w:rsid w:val="007B4C5B"/>
    <w:rsid w:val="007B72A6"/>
    <w:rsid w:val="007C0F57"/>
    <w:rsid w:val="007C37F4"/>
    <w:rsid w:val="007C40B6"/>
    <w:rsid w:val="007C729F"/>
    <w:rsid w:val="007E17E2"/>
    <w:rsid w:val="007E1D28"/>
    <w:rsid w:val="007E2846"/>
    <w:rsid w:val="007F0021"/>
    <w:rsid w:val="007F0EAC"/>
    <w:rsid w:val="007F2641"/>
    <w:rsid w:val="007F7C36"/>
    <w:rsid w:val="00800574"/>
    <w:rsid w:val="00805A72"/>
    <w:rsid w:val="00806796"/>
    <w:rsid w:val="00811CC0"/>
    <w:rsid w:val="008151D6"/>
    <w:rsid w:val="00821527"/>
    <w:rsid w:val="008268BB"/>
    <w:rsid w:val="00826F6D"/>
    <w:rsid w:val="008306F3"/>
    <w:rsid w:val="00830E40"/>
    <w:rsid w:val="008377B5"/>
    <w:rsid w:val="008502C6"/>
    <w:rsid w:val="008526A2"/>
    <w:rsid w:val="00855FD6"/>
    <w:rsid w:val="00856DDD"/>
    <w:rsid w:val="00863E68"/>
    <w:rsid w:val="008647B5"/>
    <w:rsid w:val="00865D18"/>
    <w:rsid w:val="00875DCB"/>
    <w:rsid w:val="008770CA"/>
    <w:rsid w:val="00880F18"/>
    <w:rsid w:val="00882085"/>
    <w:rsid w:val="00883188"/>
    <w:rsid w:val="008853A4"/>
    <w:rsid w:val="00897D58"/>
    <w:rsid w:val="00897F22"/>
    <w:rsid w:val="008A0B39"/>
    <w:rsid w:val="008A1956"/>
    <w:rsid w:val="008A4937"/>
    <w:rsid w:val="008A50F1"/>
    <w:rsid w:val="008A59D9"/>
    <w:rsid w:val="008A6819"/>
    <w:rsid w:val="008B2EC0"/>
    <w:rsid w:val="008B6C12"/>
    <w:rsid w:val="008B7D64"/>
    <w:rsid w:val="008C374A"/>
    <w:rsid w:val="008C5FF8"/>
    <w:rsid w:val="008C60FB"/>
    <w:rsid w:val="008D1B5C"/>
    <w:rsid w:val="008D3C82"/>
    <w:rsid w:val="008D447E"/>
    <w:rsid w:val="008D7A41"/>
    <w:rsid w:val="008E20FA"/>
    <w:rsid w:val="008E2C72"/>
    <w:rsid w:val="008E3680"/>
    <w:rsid w:val="008E5870"/>
    <w:rsid w:val="008E590F"/>
    <w:rsid w:val="008F1434"/>
    <w:rsid w:val="008F266A"/>
    <w:rsid w:val="008F54C3"/>
    <w:rsid w:val="008F7355"/>
    <w:rsid w:val="009023DC"/>
    <w:rsid w:val="009067B7"/>
    <w:rsid w:val="009105B1"/>
    <w:rsid w:val="00925B48"/>
    <w:rsid w:val="00926560"/>
    <w:rsid w:val="00930937"/>
    <w:rsid w:val="009324A6"/>
    <w:rsid w:val="00932F8C"/>
    <w:rsid w:val="00933E6C"/>
    <w:rsid w:val="00937958"/>
    <w:rsid w:val="00941602"/>
    <w:rsid w:val="00942160"/>
    <w:rsid w:val="00942359"/>
    <w:rsid w:val="00946A4B"/>
    <w:rsid w:val="0095146F"/>
    <w:rsid w:val="009518CD"/>
    <w:rsid w:val="00957944"/>
    <w:rsid w:val="009602C5"/>
    <w:rsid w:val="00960746"/>
    <w:rsid w:val="00962223"/>
    <w:rsid w:val="00966D0D"/>
    <w:rsid w:val="0096783C"/>
    <w:rsid w:val="0096797C"/>
    <w:rsid w:val="009722B3"/>
    <w:rsid w:val="00973261"/>
    <w:rsid w:val="00974C21"/>
    <w:rsid w:val="00976CBC"/>
    <w:rsid w:val="00977BF3"/>
    <w:rsid w:val="009803E4"/>
    <w:rsid w:val="00980B0E"/>
    <w:rsid w:val="009836A3"/>
    <w:rsid w:val="009855A8"/>
    <w:rsid w:val="009909BB"/>
    <w:rsid w:val="009913F4"/>
    <w:rsid w:val="00992C92"/>
    <w:rsid w:val="0099465B"/>
    <w:rsid w:val="009A0CDD"/>
    <w:rsid w:val="009A3168"/>
    <w:rsid w:val="009A61CA"/>
    <w:rsid w:val="009A7F94"/>
    <w:rsid w:val="009B0C64"/>
    <w:rsid w:val="009B0F67"/>
    <w:rsid w:val="009B1E5F"/>
    <w:rsid w:val="009B6A1E"/>
    <w:rsid w:val="009B71B3"/>
    <w:rsid w:val="009C703C"/>
    <w:rsid w:val="009D1479"/>
    <w:rsid w:val="009D206E"/>
    <w:rsid w:val="009D3CAA"/>
    <w:rsid w:val="009D55D7"/>
    <w:rsid w:val="009D6532"/>
    <w:rsid w:val="009E40E1"/>
    <w:rsid w:val="009E4A65"/>
    <w:rsid w:val="009F0EFA"/>
    <w:rsid w:val="009F3B84"/>
    <w:rsid w:val="009F4E46"/>
    <w:rsid w:val="009F5B65"/>
    <w:rsid w:val="009F5F2E"/>
    <w:rsid w:val="00A02603"/>
    <w:rsid w:val="00A06225"/>
    <w:rsid w:val="00A128E6"/>
    <w:rsid w:val="00A144D3"/>
    <w:rsid w:val="00A16D00"/>
    <w:rsid w:val="00A221DF"/>
    <w:rsid w:val="00A22AC3"/>
    <w:rsid w:val="00A2744D"/>
    <w:rsid w:val="00A30357"/>
    <w:rsid w:val="00A34E6C"/>
    <w:rsid w:val="00A36398"/>
    <w:rsid w:val="00A36BEE"/>
    <w:rsid w:val="00A37C8D"/>
    <w:rsid w:val="00A4020E"/>
    <w:rsid w:val="00A40FB5"/>
    <w:rsid w:val="00A42826"/>
    <w:rsid w:val="00A42BC2"/>
    <w:rsid w:val="00A467C4"/>
    <w:rsid w:val="00A5273B"/>
    <w:rsid w:val="00A53A9D"/>
    <w:rsid w:val="00A55FEE"/>
    <w:rsid w:val="00A62691"/>
    <w:rsid w:val="00A62C1A"/>
    <w:rsid w:val="00A6426D"/>
    <w:rsid w:val="00A6515A"/>
    <w:rsid w:val="00A665C1"/>
    <w:rsid w:val="00A70622"/>
    <w:rsid w:val="00A70977"/>
    <w:rsid w:val="00A70D58"/>
    <w:rsid w:val="00A70F6A"/>
    <w:rsid w:val="00A744F9"/>
    <w:rsid w:val="00A77613"/>
    <w:rsid w:val="00A8390C"/>
    <w:rsid w:val="00A86AE0"/>
    <w:rsid w:val="00A90645"/>
    <w:rsid w:val="00A921BC"/>
    <w:rsid w:val="00A9265D"/>
    <w:rsid w:val="00A928BD"/>
    <w:rsid w:val="00A97DE9"/>
    <w:rsid w:val="00AA12CD"/>
    <w:rsid w:val="00AA3E08"/>
    <w:rsid w:val="00AA44D7"/>
    <w:rsid w:val="00AA45FE"/>
    <w:rsid w:val="00AA4D1C"/>
    <w:rsid w:val="00AA6261"/>
    <w:rsid w:val="00AB050B"/>
    <w:rsid w:val="00AB5856"/>
    <w:rsid w:val="00AC193C"/>
    <w:rsid w:val="00AC4136"/>
    <w:rsid w:val="00AC4DE5"/>
    <w:rsid w:val="00AC5206"/>
    <w:rsid w:val="00AD4322"/>
    <w:rsid w:val="00AD4512"/>
    <w:rsid w:val="00AD7485"/>
    <w:rsid w:val="00AE11A5"/>
    <w:rsid w:val="00AE13E2"/>
    <w:rsid w:val="00AE22D3"/>
    <w:rsid w:val="00AE5A49"/>
    <w:rsid w:val="00AF62DF"/>
    <w:rsid w:val="00AF68CC"/>
    <w:rsid w:val="00AF70D7"/>
    <w:rsid w:val="00B07CFB"/>
    <w:rsid w:val="00B1059E"/>
    <w:rsid w:val="00B12EF5"/>
    <w:rsid w:val="00B170A5"/>
    <w:rsid w:val="00B176C8"/>
    <w:rsid w:val="00B205AA"/>
    <w:rsid w:val="00B22E84"/>
    <w:rsid w:val="00B233AD"/>
    <w:rsid w:val="00B23E25"/>
    <w:rsid w:val="00B25F75"/>
    <w:rsid w:val="00B262DA"/>
    <w:rsid w:val="00B26B3F"/>
    <w:rsid w:val="00B2778F"/>
    <w:rsid w:val="00B33635"/>
    <w:rsid w:val="00B36D22"/>
    <w:rsid w:val="00B43E90"/>
    <w:rsid w:val="00B467DC"/>
    <w:rsid w:val="00B56118"/>
    <w:rsid w:val="00B6773F"/>
    <w:rsid w:val="00B706B8"/>
    <w:rsid w:val="00B70EA2"/>
    <w:rsid w:val="00B75236"/>
    <w:rsid w:val="00B760FB"/>
    <w:rsid w:val="00B76159"/>
    <w:rsid w:val="00B767AB"/>
    <w:rsid w:val="00B801BA"/>
    <w:rsid w:val="00B84D5C"/>
    <w:rsid w:val="00BA2DA8"/>
    <w:rsid w:val="00BA347C"/>
    <w:rsid w:val="00BB69F5"/>
    <w:rsid w:val="00BB7EC3"/>
    <w:rsid w:val="00BC4B9A"/>
    <w:rsid w:val="00BD0051"/>
    <w:rsid w:val="00BD02C3"/>
    <w:rsid w:val="00BD1C7B"/>
    <w:rsid w:val="00BD485C"/>
    <w:rsid w:val="00BD784C"/>
    <w:rsid w:val="00BE020A"/>
    <w:rsid w:val="00BE40C2"/>
    <w:rsid w:val="00BF092C"/>
    <w:rsid w:val="00BF27A0"/>
    <w:rsid w:val="00BF4CB6"/>
    <w:rsid w:val="00C00DA7"/>
    <w:rsid w:val="00C062FB"/>
    <w:rsid w:val="00C12768"/>
    <w:rsid w:val="00C12D70"/>
    <w:rsid w:val="00C21B09"/>
    <w:rsid w:val="00C21F72"/>
    <w:rsid w:val="00C2673A"/>
    <w:rsid w:val="00C27B58"/>
    <w:rsid w:val="00C30461"/>
    <w:rsid w:val="00C35996"/>
    <w:rsid w:val="00C37438"/>
    <w:rsid w:val="00C45751"/>
    <w:rsid w:val="00C46BBA"/>
    <w:rsid w:val="00C4747E"/>
    <w:rsid w:val="00C5342C"/>
    <w:rsid w:val="00C53B2B"/>
    <w:rsid w:val="00C6002D"/>
    <w:rsid w:val="00C60272"/>
    <w:rsid w:val="00C603D4"/>
    <w:rsid w:val="00C6256A"/>
    <w:rsid w:val="00C710E2"/>
    <w:rsid w:val="00C71C3F"/>
    <w:rsid w:val="00C7409E"/>
    <w:rsid w:val="00C76E76"/>
    <w:rsid w:val="00C77891"/>
    <w:rsid w:val="00C873EA"/>
    <w:rsid w:val="00C91449"/>
    <w:rsid w:val="00C92D10"/>
    <w:rsid w:val="00CA1549"/>
    <w:rsid w:val="00CA1608"/>
    <w:rsid w:val="00CA48D9"/>
    <w:rsid w:val="00CA4CB6"/>
    <w:rsid w:val="00CB1193"/>
    <w:rsid w:val="00CB4767"/>
    <w:rsid w:val="00CB493D"/>
    <w:rsid w:val="00CB54CF"/>
    <w:rsid w:val="00CC3B97"/>
    <w:rsid w:val="00CC72EA"/>
    <w:rsid w:val="00CD390C"/>
    <w:rsid w:val="00CE10C4"/>
    <w:rsid w:val="00CE27B5"/>
    <w:rsid w:val="00CE6DAF"/>
    <w:rsid w:val="00CF410A"/>
    <w:rsid w:val="00D0321E"/>
    <w:rsid w:val="00D07A8A"/>
    <w:rsid w:val="00D1455A"/>
    <w:rsid w:val="00D175DC"/>
    <w:rsid w:val="00D21FFF"/>
    <w:rsid w:val="00D22093"/>
    <w:rsid w:val="00D23155"/>
    <w:rsid w:val="00D2781E"/>
    <w:rsid w:val="00D31150"/>
    <w:rsid w:val="00D3138B"/>
    <w:rsid w:val="00D3280C"/>
    <w:rsid w:val="00D3406A"/>
    <w:rsid w:val="00D424F6"/>
    <w:rsid w:val="00D441F1"/>
    <w:rsid w:val="00D4572C"/>
    <w:rsid w:val="00D469B2"/>
    <w:rsid w:val="00D508D6"/>
    <w:rsid w:val="00D526E8"/>
    <w:rsid w:val="00D56BB9"/>
    <w:rsid w:val="00D575F3"/>
    <w:rsid w:val="00D63FCE"/>
    <w:rsid w:val="00D65658"/>
    <w:rsid w:val="00D72B6F"/>
    <w:rsid w:val="00D732A6"/>
    <w:rsid w:val="00D741EB"/>
    <w:rsid w:val="00D7679C"/>
    <w:rsid w:val="00D820F3"/>
    <w:rsid w:val="00D83605"/>
    <w:rsid w:val="00D84934"/>
    <w:rsid w:val="00D852F8"/>
    <w:rsid w:val="00D8758E"/>
    <w:rsid w:val="00D91271"/>
    <w:rsid w:val="00D919F5"/>
    <w:rsid w:val="00D92863"/>
    <w:rsid w:val="00D94F03"/>
    <w:rsid w:val="00D967C2"/>
    <w:rsid w:val="00D96821"/>
    <w:rsid w:val="00D9704A"/>
    <w:rsid w:val="00DA0D14"/>
    <w:rsid w:val="00DA1FC9"/>
    <w:rsid w:val="00DA2CB5"/>
    <w:rsid w:val="00DA4A2F"/>
    <w:rsid w:val="00DA4BAC"/>
    <w:rsid w:val="00DB0151"/>
    <w:rsid w:val="00DC2C3E"/>
    <w:rsid w:val="00DC4880"/>
    <w:rsid w:val="00DE6D27"/>
    <w:rsid w:val="00DF217D"/>
    <w:rsid w:val="00DF26A7"/>
    <w:rsid w:val="00DF2D82"/>
    <w:rsid w:val="00DF3277"/>
    <w:rsid w:val="00DF7919"/>
    <w:rsid w:val="00E0207E"/>
    <w:rsid w:val="00E03912"/>
    <w:rsid w:val="00E060DC"/>
    <w:rsid w:val="00E12A6F"/>
    <w:rsid w:val="00E14CD9"/>
    <w:rsid w:val="00E15627"/>
    <w:rsid w:val="00E164B3"/>
    <w:rsid w:val="00E16910"/>
    <w:rsid w:val="00E23CDD"/>
    <w:rsid w:val="00E24E09"/>
    <w:rsid w:val="00E27234"/>
    <w:rsid w:val="00E27647"/>
    <w:rsid w:val="00E33562"/>
    <w:rsid w:val="00E41A96"/>
    <w:rsid w:val="00E42BDB"/>
    <w:rsid w:val="00E55170"/>
    <w:rsid w:val="00E57EEB"/>
    <w:rsid w:val="00E62D94"/>
    <w:rsid w:val="00E64F37"/>
    <w:rsid w:val="00E65E54"/>
    <w:rsid w:val="00E661C7"/>
    <w:rsid w:val="00E73488"/>
    <w:rsid w:val="00E74A32"/>
    <w:rsid w:val="00E7640D"/>
    <w:rsid w:val="00E80155"/>
    <w:rsid w:val="00E81E0D"/>
    <w:rsid w:val="00E81F28"/>
    <w:rsid w:val="00E848C0"/>
    <w:rsid w:val="00E918FA"/>
    <w:rsid w:val="00E91B96"/>
    <w:rsid w:val="00E93D1E"/>
    <w:rsid w:val="00E941A1"/>
    <w:rsid w:val="00E94720"/>
    <w:rsid w:val="00E95CE3"/>
    <w:rsid w:val="00EA0A28"/>
    <w:rsid w:val="00EA252F"/>
    <w:rsid w:val="00EA2825"/>
    <w:rsid w:val="00EA490B"/>
    <w:rsid w:val="00EA7EDE"/>
    <w:rsid w:val="00EB0B63"/>
    <w:rsid w:val="00EB1936"/>
    <w:rsid w:val="00EB37BE"/>
    <w:rsid w:val="00EB5088"/>
    <w:rsid w:val="00EC4BF6"/>
    <w:rsid w:val="00ED1644"/>
    <w:rsid w:val="00ED2593"/>
    <w:rsid w:val="00ED31F9"/>
    <w:rsid w:val="00ED7D9C"/>
    <w:rsid w:val="00EE250B"/>
    <w:rsid w:val="00EE5960"/>
    <w:rsid w:val="00EE59B0"/>
    <w:rsid w:val="00EE5CE2"/>
    <w:rsid w:val="00EE73D7"/>
    <w:rsid w:val="00EF0069"/>
    <w:rsid w:val="00EF44A0"/>
    <w:rsid w:val="00EF4FED"/>
    <w:rsid w:val="00EF6468"/>
    <w:rsid w:val="00F007C6"/>
    <w:rsid w:val="00F0172E"/>
    <w:rsid w:val="00F050BD"/>
    <w:rsid w:val="00F05657"/>
    <w:rsid w:val="00F06DCF"/>
    <w:rsid w:val="00F0788B"/>
    <w:rsid w:val="00F209E2"/>
    <w:rsid w:val="00F232C8"/>
    <w:rsid w:val="00F234C3"/>
    <w:rsid w:val="00F24C9C"/>
    <w:rsid w:val="00F25578"/>
    <w:rsid w:val="00F258E5"/>
    <w:rsid w:val="00F25B9C"/>
    <w:rsid w:val="00F26CC6"/>
    <w:rsid w:val="00F300BC"/>
    <w:rsid w:val="00F31830"/>
    <w:rsid w:val="00F3263C"/>
    <w:rsid w:val="00F3334E"/>
    <w:rsid w:val="00F36CCB"/>
    <w:rsid w:val="00F374E5"/>
    <w:rsid w:val="00F37B93"/>
    <w:rsid w:val="00F43AF2"/>
    <w:rsid w:val="00F47195"/>
    <w:rsid w:val="00F5007E"/>
    <w:rsid w:val="00F50EC4"/>
    <w:rsid w:val="00F52232"/>
    <w:rsid w:val="00F52818"/>
    <w:rsid w:val="00F550CF"/>
    <w:rsid w:val="00F57A6D"/>
    <w:rsid w:val="00F638CC"/>
    <w:rsid w:val="00F64C9E"/>
    <w:rsid w:val="00F64CC1"/>
    <w:rsid w:val="00F64E95"/>
    <w:rsid w:val="00F666B8"/>
    <w:rsid w:val="00F71C88"/>
    <w:rsid w:val="00F72317"/>
    <w:rsid w:val="00F762C1"/>
    <w:rsid w:val="00F80475"/>
    <w:rsid w:val="00F8247A"/>
    <w:rsid w:val="00F9629A"/>
    <w:rsid w:val="00F97EFC"/>
    <w:rsid w:val="00FA1BDD"/>
    <w:rsid w:val="00FA4DD5"/>
    <w:rsid w:val="00FA5883"/>
    <w:rsid w:val="00FA6055"/>
    <w:rsid w:val="00FB322F"/>
    <w:rsid w:val="00FB442F"/>
    <w:rsid w:val="00FC1929"/>
    <w:rsid w:val="00FC5B46"/>
    <w:rsid w:val="00FC7129"/>
    <w:rsid w:val="00FD6D8E"/>
    <w:rsid w:val="00FD7830"/>
    <w:rsid w:val="00FE0E94"/>
    <w:rsid w:val="00FE3CD9"/>
    <w:rsid w:val="00FE4E73"/>
    <w:rsid w:val="00FF00BD"/>
    <w:rsid w:val="00FF1ED4"/>
    <w:rsid w:val="00FF2801"/>
    <w:rsid w:val="00FF29BD"/>
    <w:rsid w:val="00FF5E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3" w:qFormat="1"/>
    <w:lsdException w:name="heading 3" w:semiHidden="1" w:uiPriority="3" w:unhideWhenUsed="1" w:qFormat="1"/>
    <w:lsdException w:name="heading 4" w:semiHidden="1" w:uiPriority="3" w:unhideWhenUsed="1" w:qFormat="1"/>
    <w:lsdException w:name="heading 7" w:semiHidden="1" w:unhideWhenUsed="1" w:qFormat="1"/>
    <w:lsdException w:name="heading 8" w:semiHidden="1" w:uiPriority="7" w:unhideWhenUsed="1" w:qFormat="1"/>
    <w:lsdException w:name="heading 9" w:semiHidden="1" w:uiPriority="1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083"/>
    <w:rPr>
      <w:sz w:val="24"/>
      <w:szCs w:val="24"/>
    </w:rPr>
  </w:style>
  <w:style w:type="paragraph" w:styleId="Heading1">
    <w:name w:val="heading 1"/>
    <w:basedOn w:val="ListParagraph"/>
    <w:next w:val="Normal"/>
    <w:link w:val="Heading1Char"/>
    <w:uiPriority w:val="2"/>
    <w:qFormat/>
    <w:rsid w:val="00C603D4"/>
    <w:pPr>
      <w:ind w:left="0"/>
      <w:outlineLvl w:val="0"/>
    </w:pPr>
    <w:rPr>
      <w:b/>
      <w:szCs w:val="22"/>
    </w:rPr>
  </w:style>
  <w:style w:type="paragraph" w:styleId="Heading2">
    <w:name w:val="heading 2"/>
    <w:aliases w:val="Subsection Headings"/>
    <w:basedOn w:val="Normal"/>
    <w:next w:val="Normal"/>
    <w:link w:val="Heading2Char"/>
    <w:uiPriority w:val="3"/>
    <w:qFormat/>
    <w:rsid w:val="00B1059E"/>
    <w:pPr>
      <w:keepNext/>
      <w:outlineLvl w:val="1"/>
    </w:pPr>
    <w:rPr>
      <w:rFonts w:ascii="Arial" w:hAnsi="Arial"/>
      <w:b/>
      <w:i/>
      <w:sz w:val="22"/>
    </w:rPr>
  </w:style>
  <w:style w:type="paragraph" w:styleId="Heading3">
    <w:name w:val="heading 3"/>
    <w:basedOn w:val="Normal"/>
    <w:next w:val="Normal"/>
    <w:link w:val="Heading3Char"/>
    <w:uiPriority w:val="3"/>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1"/>
    <w:next w:val="Normal"/>
    <w:link w:val="Heading4Char"/>
    <w:uiPriority w:val="3"/>
    <w:qFormat/>
    <w:rsid w:val="00D967C2"/>
    <w:pPr>
      <w:keepNext/>
      <w:keepLines/>
      <w:widowControl/>
      <w:spacing w:before="240" w:line="259" w:lineRule="auto"/>
      <w:ind w:left="1296" w:hanging="1296"/>
      <w:contextualSpacing w:val="0"/>
      <w:jc w:val="left"/>
      <w:outlineLvl w:val="3"/>
    </w:pPr>
    <w:rPr>
      <w:rFonts w:asciiTheme="minorHAnsi" w:eastAsiaTheme="majorEastAsia" w:hAnsiTheme="minorHAnsi" w:cstheme="majorBidi"/>
      <w:snapToGrid/>
      <w:color w:val="000000" w:themeColor="text1"/>
      <w:sz w:val="24"/>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8">
    <w:name w:val="heading 8"/>
    <w:basedOn w:val="Normal"/>
    <w:next w:val="Normal"/>
    <w:link w:val="Heading8Char"/>
    <w:uiPriority w:val="7"/>
    <w:semiHidden/>
    <w:qFormat/>
    <w:rsid w:val="00D967C2"/>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aliases w:val="Section heading - Body"/>
    <w:basedOn w:val="Heading1"/>
    <w:next w:val="Normal"/>
    <w:link w:val="Heading9Char"/>
    <w:uiPriority w:val="12"/>
    <w:semiHidden/>
    <w:rsid w:val="00D967C2"/>
    <w:pPr>
      <w:keepNext/>
      <w:keepLines/>
      <w:widowControl/>
      <w:spacing w:before="400" w:after="120" w:line="259" w:lineRule="auto"/>
      <w:ind w:left="1584" w:hanging="1584"/>
      <w:contextualSpacing w:val="0"/>
      <w:jc w:val="left"/>
      <w:outlineLvl w:val="8"/>
    </w:pPr>
    <w:rPr>
      <w:rFonts w:asciiTheme="minorHAnsi" w:eastAsiaTheme="majorEastAsia" w:hAnsiTheme="minorHAnsi" w:cstheme="majorBidi"/>
      <w:snapToGrid/>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ASD Tabl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PBAC ES Paragraph,Footnote,Bullet point,List Paragraph1,List Paragraph11,Recommendation,ES Paragraph,PBAC normal points,Bullet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PBAC ES Paragraph Char,Footnote Char,Bullet point Char,List Paragraph1 Char,List Paragraph11 Char,Recommendation Char,ES Paragraph Char,PBAC normal points Char,Bullet List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contextualSpacing w:val="0"/>
    </w:pPr>
    <w:rPr>
      <w:rFonts w:ascii="Calibri" w:hAnsi="Calibri"/>
      <w:sz w:val="24"/>
      <w:szCs w:val="24"/>
    </w:rPr>
  </w:style>
  <w:style w:type="paragraph" w:customStyle="1" w:styleId="TableFooter">
    <w:name w:val="Table Footer"/>
    <w:basedOn w:val="Normal"/>
    <w:link w:val="TableFooterChar"/>
    <w:uiPriority w:val="1"/>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uiPriority w:val="1"/>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pPr>
      <w:numPr>
        <w:ilvl w:val="1"/>
        <w:numId w:val="1"/>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har,c"/>
    <w:basedOn w:val="Normal"/>
    <w:next w:val="Normal"/>
    <w:link w:val="CaptionChar"/>
    <w:unhideWhenUsed/>
    <w:qFormat/>
    <w:rsid w:val="000F5EC4"/>
    <w:pPr>
      <w:spacing w:after="200"/>
    </w:pPr>
    <w:rPr>
      <w:rFonts w:ascii="Arial Narrow" w:hAnsi="Arial Narrow"/>
      <w:iCs/>
      <w:color w:val="000000" w:themeColor="text1"/>
      <w:sz w:val="18"/>
      <w:szCs w:val="18"/>
    </w:rPr>
  </w:style>
  <w:style w:type="paragraph" w:customStyle="1" w:styleId="ProcedureStep">
    <w:name w:val="ProcedureStep"/>
    <w:basedOn w:val="Normal"/>
    <w:rsid w:val="00BF27A0"/>
    <w:pPr>
      <w:numPr>
        <w:numId w:val="14"/>
      </w:numPr>
      <w:spacing w:before="60" w:after="60" w:line="300" w:lineRule="atLeast"/>
      <w:ind w:right="567"/>
    </w:pPr>
    <w:rPr>
      <w:rFonts w:ascii="Tahoma" w:hAnsi="Tahoma"/>
      <w:sz w:val="22"/>
      <w:szCs w:val="20"/>
    </w:rPr>
  </w:style>
  <w:style w:type="character" w:customStyle="1" w:styleId="Heading4Char">
    <w:name w:val="Heading 4 Char"/>
    <w:basedOn w:val="DefaultParagraphFont"/>
    <w:link w:val="Heading4"/>
    <w:uiPriority w:val="3"/>
    <w:rsid w:val="00D967C2"/>
    <w:rPr>
      <w:rFonts w:asciiTheme="minorHAnsi" w:eastAsiaTheme="majorEastAsia" w:hAnsiTheme="minorHAnsi" w:cstheme="majorBidi"/>
      <w:b/>
      <w:color w:val="000000" w:themeColor="text1"/>
      <w:sz w:val="24"/>
      <w:szCs w:val="28"/>
      <w:lang w:eastAsia="en-US"/>
    </w:rPr>
  </w:style>
  <w:style w:type="character" w:customStyle="1" w:styleId="Heading8Char">
    <w:name w:val="Heading 8 Char"/>
    <w:basedOn w:val="DefaultParagraphFont"/>
    <w:link w:val="Heading8"/>
    <w:uiPriority w:val="7"/>
    <w:semiHidden/>
    <w:rsid w:val="00D967C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aliases w:val="Section heading - Body Char"/>
    <w:basedOn w:val="DefaultParagraphFont"/>
    <w:link w:val="Heading9"/>
    <w:uiPriority w:val="12"/>
    <w:semiHidden/>
    <w:rsid w:val="00D967C2"/>
    <w:rPr>
      <w:rFonts w:asciiTheme="minorHAnsi" w:eastAsiaTheme="majorEastAsia" w:hAnsiTheme="minorHAnsi" w:cstheme="majorBidi"/>
      <w:b/>
      <w:sz w:val="36"/>
      <w:szCs w:val="28"/>
      <w:lang w:eastAsia="en-US"/>
    </w:rPr>
  </w:style>
  <w:style w:type="paragraph" w:customStyle="1" w:styleId="PBACESHeading1">
    <w:name w:val="PBAC ES Heading 1"/>
    <w:basedOn w:val="Heading1"/>
    <w:next w:val="ListParagraph"/>
    <w:uiPriority w:val="1"/>
    <w:qFormat/>
    <w:rsid w:val="00D967C2"/>
    <w:pPr>
      <w:keepNext/>
      <w:keepLines/>
      <w:widowControl/>
      <w:tabs>
        <w:tab w:val="left" w:pos="1077"/>
      </w:tabs>
      <w:spacing w:before="240" w:after="120"/>
      <w:ind w:left="720" w:hanging="720"/>
      <w:contextualSpacing w:val="0"/>
      <w:jc w:val="left"/>
    </w:pPr>
    <w:rPr>
      <w:rFonts w:asciiTheme="minorHAnsi" w:hAnsiTheme="minorHAnsi"/>
      <w:sz w:val="32"/>
      <w:szCs w:val="32"/>
    </w:rPr>
  </w:style>
  <w:style w:type="paragraph" w:customStyle="1" w:styleId="Heading1subheading">
    <w:name w:val="Heading 1 subheading"/>
    <w:basedOn w:val="Heading1"/>
    <w:next w:val="Normal"/>
    <w:link w:val="Heading1subheadingChar"/>
    <w:uiPriority w:val="3"/>
    <w:qFormat/>
    <w:rsid w:val="00D967C2"/>
    <w:pPr>
      <w:keepNext/>
      <w:keepLines/>
      <w:widowControl/>
      <w:spacing w:before="400" w:after="120" w:line="259" w:lineRule="auto"/>
      <w:ind w:left="576" w:hanging="576"/>
      <w:contextualSpacing w:val="0"/>
      <w:jc w:val="left"/>
    </w:pPr>
    <w:rPr>
      <w:rFonts w:asciiTheme="minorHAnsi" w:eastAsiaTheme="majorEastAsia" w:hAnsiTheme="minorHAnsi" w:cstheme="majorBidi"/>
      <w:caps/>
      <w:snapToGrid/>
      <w:sz w:val="32"/>
      <w:szCs w:val="28"/>
    </w:rPr>
  </w:style>
  <w:style w:type="paragraph" w:customStyle="1" w:styleId="Heading2SECTION2">
    <w:name w:val="Heading 2 SECTION 2"/>
    <w:basedOn w:val="Heading2"/>
    <w:next w:val="Normal"/>
    <w:uiPriority w:val="3"/>
    <w:qFormat/>
    <w:rsid w:val="00D967C2"/>
    <w:pPr>
      <w:keepLines/>
      <w:tabs>
        <w:tab w:val="left" w:pos="1134"/>
      </w:tabs>
      <w:spacing w:before="360" w:after="120"/>
    </w:pPr>
    <w:rPr>
      <w:rFonts w:eastAsiaTheme="majorEastAsia" w:cstheme="majorBidi"/>
      <w:snapToGrid w:val="0"/>
      <w:sz w:val="28"/>
      <w:szCs w:val="28"/>
      <w:lang w:eastAsia="en-US"/>
    </w:rPr>
  </w:style>
  <w:style w:type="paragraph" w:customStyle="1" w:styleId="PBACESHeading2">
    <w:name w:val="PBAC ES Heading 2"/>
    <w:basedOn w:val="Heading2"/>
    <w:uiPriority w:val="1"/>
    <w:qFormat/>
    <w:rsid w:val="00D967C2"/>
    <w:pPr>
      <w:keepLines/>
      <w:spacing w:before="360" w:after="120"/>
      <w:ind w:left="720" w:hanging="720"/>
    </w:pPr>
    <w:rPr>
      <w:rFonts w:asciiTheme="majorHAnsi" w:eastAsiaTheme="majorEastAsia" w:hAnsiTheme="majorHAnsi" w:cstheme="majorBidi"/>
      <w:snapToGrid w:val="0"/>
      <w:sz w:val="28"/>
      <w:szCs w:val="28"/>
      <w:lang w:eastAsia="en-US"/>
    </w:rPr>
  </w:style>
  <w:style w:type="paragraph" w:customStyle="1" w:styleId="PBACESHeadingCAPS">
    <w:name w:val="PBAC ES Heading CAPS"/>
    <w:basedOn w:val="PBACESHeading2"/>
    <w:uiPriority w:val="1"/>
    <w:qFormat/>
    <w:rsid w:val="00D967C2"/>
    <w:rPr>
      <w:i w:val="0"/>
      <w:smallCaps/>
      <w:sz w:val="32"/>
    </w:rPr>
  </w:style>
  <w:style w:type="paragraph" w:customStyle="1" w:styleId="PBACESHeading3">
    <w:name w:val="PBAC ES Heading 3"/>
    <w:basedOn w:val="PBACESHeading2"/>
    <w:uiPriority w:val="1"/>
    <w:qFormat/>
    <w:rsid w:val="00D967C2"/>
    <w:pPr>
      <w:ind w:left="1080" w:hanging="1080"/>
    </w:pPr>
    <w:rPr>
      <w:i w:val="0"/>
      <w:sz w:val="24"/>
    </w:rPr>
  </w:style>
  <w:style w:type="paragraph" w:customStyle="1" w:styleId="Heading2Clinical">
    <w:name w:val="Heading 2 Clinical"/>
    <w:basedOn w:val="Heading3"/>
    <w:next w:val="Normal"/>
    <w:uiPriority w:val="1"/>
    <w:semiHidden/>
    <w:rsid w:val="00D967C2"/>
    <w:pPr>
      <w:tabs>
        <w:tab w:val="left" w:pos="851"/>
        <w:tab w:val="left" w:pos="1418"/>
      </w:tabs>
      <w:spacing w:before="120" w:after="120"/>
      <w:jc w:val="both"/>
    </w:pPr>
    <w:rPr>
      <w:rFonts w:asciiTheme="minorHAnsi" w:hAnsiTheme="minorHAnsi"/>
      <w:bCs w:val="0"/>
      <w:i/>
      <w:color w:val="auto"/>
      <w:sz w:val="28"/>
      <w:szCs w:val="28"/>
      <w:lang w:eastAsia="en-US"/>
    </w:rPr>
  </w:style>
  <w:style w:type="paragraph" w:customStyle="1" w:styleId="MSACHeading1">
    <w:name w:val="MSAC Heading 1"/>
    <w:basedOn w:val="Heading1"/>
    <w:next w:val="Normal"/>
    <w:uiPriority w:val="1"/>
    <w:qFormat/>
    <w:rsid w:val="00D967C2"/>
    <w:pPr>
      <w:keepNext/>
      <w:keepLines/>
      <w:widowControl/>
      <w:spacing w:before="160" w:after="240" w:line="259" w:lineRule="auto"/>
      <w:ind w:left="720" w:hanging="720"/>
      <w:contextualSpacing w:val="0"/>
      <w:jc w:val="left"/>
    </w:pPr>
    <w:rPr>
      <w:rFonts w:eastAsiaTheme="majorEastAsia" w:cstheme="majorBidi"/>
      <w:snapToGrid/>
      <w:sz w:val="24"/>
      <w:szCs w:val="28"/>
    </w:rPr>
  </w:style>
  <w:style w:type="paragraph" w:customStyle="1" w:styleId="MSACESHeading2">
    <w:name w:val="MSAC ES Heading 2"/>
    <w:basedOn w:val="Heading2"/>
    <w:next w:val="Normal"/>
    <w:uiPriority w:val="1"/>
    <w:qFormat/>
    <w:rsid w:val="00D967C2"/>
    <w:pPr>
      <w:keepLines/>
      <w:spacing w:before="360" w:after="120"/>
      <w:ind w:left="720" w:hanging="720"/>
    </w:pPr>
    <w:rPr>
      <w:rFonts w:ascii="Cambria" w:eastAsiaTheme="majorEastAsia" w:hAnsi="Cambria" w:cstheme="majorBidi"/>
      <w:i w:val="0"/>
      <w:snapToGrid w:val="0"/>
      <w:sz w:val="24"/>
      <w:szCs w:val="28"/>
      <w:lang w:eastAsia="en-US"/>
    </w:rPr>
  </w:style>
  <w:style w:type="paragraph" w:customStyle="1" w:styleId="InstructionalText">
    <w:name w:val="Instructional Text"/>
    <w:basedOn w:val="Normal"/>
    <w:link w:val="InstructionalTextChar"/>
    <w:uiPriority w:val="3"/>
    <w:qFormat/>
    <w:rsid w:val="00F24C9C"/>
    <w:pPr>
      <w:spacing w:before="120" w:after="160"/>
      <w:jc w:val="both"/>
    </w:pPr>
    <w:rPr>
      <w:rFonts w:asciiTheme="minorHAnsi" w:eastAsiaTheme="minorHAnsi" w:hAnsiTheme="minorHAnsi" w:cstheme="minorBidi"/>
      <w:color w:val="0070C0"/>
      <w:szCs w:val="22"/>
      <w:lang w:eastAsia="en-US"/>
    </w:rPr>
  </w:style>
  <w:style w:type="character" w:customStyle="1" w:styleId="InstructionalTextChar">
    <w:name w:val="Instructional Text Char"/>
    <w:basedOn w:val="DefaultParagraphFont"/>
    <w:link w:val="InstructionalText"/>
    <w:uiPriority w:val="3"/>
    <w:rsid w:val="00F24C9C"/>
    <w:rPr>
      <w:rFonts w:asciiTheme="minorHAnsi" w:eastAsiaTheme="minorHAnsi" w:hAnsiTheme="minorHAnsi" w:cstheme="minorBidi"/>
      <w:color w:val="0070C0"/>
      <w:sz w:val="24"/>
      <w:szCs w:val="22"/>
      <w:lang w:eastAsia="en-US"/>
    </w:rPr>
  </w:style>
  <w:style w:type="paragraph" w:customStyle="1" w:styleId="Default">
    <w:name w:val="Default"/>
    <w:rsid w:val="00D21FFF"/>
    <w:pPr>
      <w:autoSpaceDE w:val="0"/>
      <w:autoSpaceDN w:val="0"/>
      <w:adjustRightInd w:val="0"/>
    </w:pPr>
    <w:rPr>
      <w:color w:val="000000"/>
      <w:sz w:val="24"/>
      <w:szCs w:val="24"/>
    </w:rPr>
  </w:style>
  <w:style w:type="paragraph" w:customStyle="1" w:styleId="InstructionBulletpoint">
    <w:name w:val="Instruction Bullet point"/>
    <w:basedOn w:val="InstructionalText"/>
    <w:link w:val="InstructionBulletpointChar"/>
    <w:uiPriority w:val="3"/>
    <w:qFormat/>
    <w:rsid w:val="002B21F2"/>
    <w:pPr>
      <w:numPr>
        <w:numId w:val="32"/>
      </w:numPr>
      <w:spacing w:after="120"/>
      <w:jc w:val="left"/>
    </w:pPr>
    <w:rPr>
      <w:rFonts w:ascii="Calibri" w:hAnsi="Calibri"/>
    </w:rPr>
  </w:style>
  <w:style w:type="character" w:customStyle="1" w:styleId="InstructionBulletpointChar">
    <w:name w:val="Instruction Bullet point Char"/>
    <w:basedOn w:val="InstructionalTextChar"/>
    <w:link w:val="InstructionBulletpoint"/>
    <w:uiPriority w:val="3"/>
    <w:rsid w:val="002B21F2"/>
    <w:rPr>
      <w:rFonts w:ascii="Calibri" w:eastAsiaTheme="minorHAnsi" w:hAnsi="Calibri" w:cstheme="minorBidi"/>
      <w:color w:val="0070C0"/>
      <w:sz w:val="24"/>
      <w:szCs w:val="22"/>
      <w:lang w:eastAsia="en-US"/>
    </w:rPr>
  </w:style>
  <w:style w:type="paragraph" w:customStyle="1" w:styleId="TableHeading0">
    <w:name w:val="Table Heading"/>
    <w:basedOn w:val="TableText0"/>
    <w:link w:val="TableHeadingChar"/>
    <w:qFormat/>
    <w:rsid w:val="00FC7129"/>
    <w:pPr>
      <w:keepNext/>
      <w:keepLines/>
      <w:spacing w:before="20" w:after="20" w:line="276" w:lineRule="auto"/>
    </w:pPr>
    <w:rPr>
      <w:rFonts w:eastAsiaTheme="majorEastAsia"/>
      <w:b/>
      <w:lang w:bidi="en-US"/>
    </w:rPr>
  </w:style>
  <w:style w:type="character" w:customStyle="1" w:styleId="TableHeadingChar">
    <w:name w:val="Table Heading Char"/>
    <w:basedOn w:val="DefaultParagraphFont"/>
    <w:link w:val="TableHeading0"/>
    <w:locked/>
    <w:rsid w:val="00FC7129"/>
    <w:rPr>
      <w:rFonts w:ascii="Arial Narrow" w:eastAsiaTheme="majorEastAsia" w:hAnsi="Arial Narrow" w:cs="Arial"/>
      <w:b/>
      <w:lang w:bidi="en-US"/>
    </w:rPr>
  </w:style>
  <w:style w:type="table" w:customStyle="1" w:styleId="AZTable2">
    <w:name w:val="AZ Table2"/>
    <w:basedOn w:val="TableNormal"/>
    <w:uiPriority w:val="99"/>
    <w:rsid w:val="00FC71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styleId="FootnoteText">
    <w:name w:val="footnote text"/>
    <w:basedOn w:val="Normal"/>
    <w:link w:val="FootnoteTextChar"/>
    <w:uiPriority w:val="99"/>
    <w:semiHidden/>
    <w:rsid w:val="00A42BC2"/>
    <w:pPr>
      <w:jc w:val="both"/>
    </w:pPr>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semiHidden/>
    <w:rsid w:val="00A42BC2"/>
    <w:rPr>
      <w:rFonts w:asciiTheme="minorHAnsi" w:eastAsiaTheme="minorHAnsi" w:hAnsiTheme="minorHAnsi" w:cstheme="minorBidi"/>
      <w:sz w:val="18"/>
      <w:lang w:eastAsia="en-US"/>
    </w:rPr>
  </w:style>
  <w:style w:type="character" w:styleId="FootnoteReference">
    <w:name w:val="footnote reference"/>
    <w:basedOn w:val="DefaultParagraphFont"/>
    <w:uiPriority w:val="99"/>
    <w:semiHidden/>
    <w:rsid w:val="00A42BC2"/>
    <w:rPr>
      <w:vertAlign w:val="superscript"/>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Char Char"/>
    <w:link w:val="Caption"/>
    <w:rsid w:val="000F5EC4"/>
    <w:rPr>
      <w:rFonts w:ascii="Arial Narrow" w:hAnsi="Arial Narrow"/>
      <w:iCs/>
      <w:color w:val="000000" w:themeColor="text1"/>
      <w:sz w:val="18"/>
      <w:szCs w:val="18"/>
    </w:rPr>
  </w:style>
  <w:style w:type="character" w:customStyle="1" w:styleId="Heading1subheadingChar">
    <w:name w:val="Heading 1 subheading Char"/>
    <w:basedOn w:val="Heading1Char"/>
    <w:link w:val="Heading1subheading"/>
    <w:uiPriority w:val="3"/>
    <w:rsid w:val="00D424F6"/>
    <w:rPr>
      <w:rFonts w:asciiTheme="minorHAnsi" w:eastAsiaTheme="majorEastAsia" w:hAnsiTheme="minorHAnsi" w:cstheme="majorBidi"/>
      <w:b/>
      <w:caps/>
      <w:snapToGrid/>
      <w:sz w:val="32"/>
      <w:szCs w:val="28"/>
      <w:lang w:eastAsia="en-US"/>
    </w:rPr>
  </w:style>
  <w:style w:type="paragraph" w:styleId="NormalWeb">
    <w:name w:val="Normal (Web)"/>
    <w:basedOn w:val="Normal"/>
    <w:uiPriority w:val="99"/>
    <w:unhideWhenUsed/>
    <w:rsid w:val="000F1E78"/>
    <w:pPr>
      <w:spacing w:before="100" w:beforeAutospacing="1" w:after="100" w:afterAutospacing="1"/>
    </w:pPr>
  </w:style>
  <w:style w:type="character" w:styleId="Strong">
    <w:name w:val="Strong"/>
    <w:basedOn w:val="DefaultParagraphFont"/>
    <w:uiPriority w:val="22"/>
    <w:qFormat/>
    <w:rsid w:val="000F1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9043">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7612270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75192776">
      <w:bodyDiv w:val="1"/>
      <w:marLeft w:val="0"/>
      <w:marRight w:val="0"/>
      <w:marTop w:val="0"/>
      <w:marBottom w:val="0"/>
      <w:divBdr>
        <w:top w:val="none" w:sz="0" w:space="0" w:color="auto"/>
        <w:left w:val="none" w:sz="0" w:space="0" w:color="auto"/>
        <w:bottom w:val="none" w:sz="0" w:space="0" w:color="auto"/>
        <w:right w:val="none" w:sz="0" w:space="0" w:color="auto"/>
      </w:divBdr>
    </w:div>
    <w:div w:id="1142039037">
      <w:bodyDiv w:val="1"/>
      <w:marLeft w:val="0"/>
      <w:marRight w:val="0"/>
      <w:marTop w:val="0"/>
      <w:marBottom w:val="0"/>
      <w:divBdr>
        <w:top w:val="none" w:sz="0" w:space="0" w:color="auto"/>
        <w:left w:val="none" w:sz="0" w:space="0" w:color="auto"/>
        <w:bottom w:val="none" w:sz="0" w:space="0" w:color="auto"/>
        <w:right w:val="none" w:sz="0" w:space="0" w:color="auto"/>
      </w:divBdr>
    </w:div>
    <w:div w:id="1169832227">
      <w:bodyDiv w:val="1"/>
      <w:marLeft w:val="0"/>
      <w:marRight w:val="0"/>
      <w:marTop w:val="0"/>
      <w:marBottom w:val="0"/>
      <w:divBdr>
        <w:top w:val="none" w:sz="0" w:space="0" w:color="auto"/>
        <w:left w:val="none" w:sz="0" w:space="0" w:color="auto"/>
        <w:bottom w:val="none" w:sz="0" w:space="0" w:color="auto"/>
        <w:right w:val="none" w:sz="0" w:space="0" w:color="auto"/>
      </w:divBdr>
    </w:div>
    <w:div w:id="1576552821">
      <w:bodyDiv w:val="1"/>
      <w:marLeft w:val="0"/>
      <w:marRight w:val="0"/>
      <w:marTop w:val="0"/>
      <w:marBottom w:val="0"/>
      <w:divBdr>
        <w:top w:val="none" w:sz="0" w:space="0" w:color="auto"/>
        <w:left w:val="none" w:sz="0" w:space="0" w:color="auto"/>
        <w:bottom w:val="none" w:sz="0" w:space="0" w:color="auto"/>
        <w:right w:val="none" w:sz="0" w:space="0" w:color="auto"/>
      </w:divBdr>
    </w:div>
    <w:div w:id="167210330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8067204">
      <w:bodyDiv w:val="1"/>
      <w:marLeft w:val="0"/>
      <w:marRight w:val="0"/>
      <w:marTop w:val="0"/>
      <w:marBottom w:val="0"/>
      <w:divBdr>
        <w:top w:val="none" w:sz="0" w:space="0" w:color="auto"/>
        <w:left w:val="none" w:sz="0" w:space="0" w:color="auto"/>
        <w:bottom w:val="none" w:sz="0" w:space="0" w:color="auto"/>
        <w:right w:val="none" w:sz="0" w:space="0" w:color="auto"/>
      </w:divBdr>
    </w:div>
    <w:div w:id="177236197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1F23C-6ABC-4C9A-96DD-3A03CB60B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4562</Words>
  <Characters>25333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2020-06-19T05:06:00Z</dcterms:created>
  <dcterms:modified xsi:type="dcterms:W3CDTF">2020-06-19T05:10:00Z</dcterms:modified>
</cp:coreProperties>
</file>