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CD" w:rsidRPr="00A67611" w:rsidRDefault="00231585" w:rsidP="00FA30CD">
      <w:pPr>
        <w:pStyle w:val="1-MainHeading"/>
      </w:pPr>
      <w:bookmarkStart w:id="0" w:name="_Toc30583479"/>
      <w:r w:rsidRPr="00A67611">
        <w:t>7</w:t>
      </w:r>
      <w:r w:rsidR="00FA30CD" w:rsidRPr="00A67611">
        <w:t>.</w:t>
      </w:r>
      <w:r w:rsidRPr="00A67611">
        <w:t>04</w:t>
      </w:r>
      <w:r w:rsidR="00FA30CD" w:rsidRPr="00A67611">
        <w:tab/>
        <w:t>NABIXIMOLS,</w:t>
      </w:r>
      <w:r w:rsidR="00417091" w:rsidRPr="00A67611">
        <w:t xml:space="preserve"> </w:t>
      </w:r>
      <w:r w:rsidR="008144CD" w:rsidRPr="00A67611">
        <w:br/>
      </w:r>
      <w:r w:rsidR="00417091" w:rsidRPr="00A67611">
        <w:t>Oromucosal spray, 8 mg per dose, 90 doses</w:t>
      </w:r>
      <w:r w:rsidR="00FA30CD" w:rsidRPr="00A67611">
        <w:t>,</w:t>
      </w:r>
      <w:r w:rsidR="00417091" w:rsidRPr="00A67611">
        <w:t xml:space="preserve"> </w:t>
      </w:r>
      <w:r w:rsidR="008144CD" w:rsidRPr="00A67611">
        <w:br/>
      </w:r>
      <w:r w:rsidR="00FA30CD" w:rsidRPr="00A67611">
        <w:t>Sativex</w:t>
      </w:r>
      <w:r w:rsidR="00FA30CD" w:rsidRPr="00B27129">
        <w:t>®</w:t>
      </w:r>
      <w:r w:rsidR="00FA30CD" w:rsidRPr="00A67611">
        <w:t>,</w:t>
      </w:r>
      <w:r w:rsidR="00417091" w:rsidRPr="00A67611">
        <w:t xml:space="preserve"> </w:t>
      </w:r>
      <w:r w:rsidR="008144CD" w:rsidRPr="00A67611">
        <w:br/>
      </w:r>
      <w:r w:rsidR="00FA30CD" w:rsidRPr="00A67611">
        <w:t>Emerge Health</w:t>
      </w:r>
      <w:r w:rsidR="008144CD" w:rsidRPr="00A67611">
        <w:t xml:space="preserve"> Pty Ltd</w:t>
      </w:r>
      <w:bookmarkEnd w:id="0"/>
    </w:p>
    <w:p w:rsidR="00FA30CD" w:rsidRPr="00A67611" w:rsidRDefault="00FA30CD" w:rsidP="00FA30CD">
      <w:pPr>
        <w:pStyle w:val="2-SectionHeading"/>
      </w:pPr>
      <w:bookmarkStart w:id="1" w:name="_Toc27326477"/>
      <w:bookmarkStart w:id="2" w:name="_Toc30583481"/>
      <w:r w:rsidRPr="00A67611">
        <w:t>Purpose of submission</w:t>
      </w:r>
      <w:bookmarkEnd w:id="1"/>
      <w:bookmarkEnd w:id="2"/>
    </w:p>
    <w:p w:rsidR="00FA30CD" w:rsidRPr="00A67611" w:rsidRDefault="00FA30CD" w:rsidP="00741B1E">
      <w:pPr>
        <w:pStyle w:val="3-BodyText"/>
      </w:pPr>
      <w:r w:rsidRPr="00A67611">
        <w:t xml:space="preserve">The </w:t>
      </w:r>
      <w:r w:rsidR="00A7733D" w:rsidRPr="00A67611">
        <w:t>re</w:t>
      </w:r>
      <w:r w:rsidRPr="00A67611">
        <w:t>submission requested a Section 100 Highly Specialised Drugs Program (Community Access),</w:t>
      </w:r>
      <w:r w:rsidR="00DA6B18" w:rsidRPr="00A67611">
        <w:t xml:space="preserve"> Authority Required</w:t>
      </w:r>
      <w:r w:rsidRPr="00A67611">
        <w:t xml:space="preserve"> </w:t>
      </w:r>
      <w:r w:rsidR="00DA6B18" w:rsidRPr="00A67611">
        <w:t>(STREAMLINED)</w:t>
      </w:r>
      <w:r w:rsidR="00FD2E4D" w:rsidRPr="00A67611">
        <w:t xml:space="preserve"> listing of</w:t>
      </w:r>
      <w:r w:rsidRPr="00A67611">
        <w:t xml:space="preserve"> nabiximols for the adjunctive treatment of moderate to severe spasticity in patients with multiple sclerosis (MS) who have</w:t>
      </w:r>
      <w:r w:rsidR="00D2119E" w:rsidRPr="00A67611">
        <w:t xml:space="preserve"> </w:t>
      </w:r>
      <w:r w:rsidRPr="00A67611">
        <w:t>n</w:t>
      </w:r>
      <w:r w:rsidR="00D2119E" w:rsidRPr="00A67611">
        <w:t>o</w:t>
      </w:r>
      <w:r w:rsidRPr="00A67611">
        <w:t xml:space="preserve">t adequately responded to oral anti-spasticity agents.  </w:t>
      </w:r>
    </w:p>
    <w:p w:rsidR="00FA30CD" w:rsidRPr="00A67611" w:rsidRDefault="00FA30CD" w:rsidP="000F706A">
      <w:pPr>
        <w:pStyle w:val="3-BodyText"/>
      </w:pPr>
      <w:r w:rsidRPr="00A67611">
        <w:t>Listing was requested on the basis of a cost-effectiveness and cost-utility analysis versus standard care (</w:t>
      </w:r>
      <w:r w:rsidR="00576028" w:rsidRPr="00A67611">
        <w:t>SC</w:t>
      </w:r>
      <w:r w:rsidRPr="00A67611">
        <w:t>)</w:t>
      </w:r>
      <w:r w:rsidR="00FD2E4D" w:rsidRPr="00A67611">
        <w:t xml:space="preserve"> (i.e. oral anti-spasticity treatment)</w:t>
      </w:r>
      <w:r w:rsidRPr="00A67611">
        <w:t xml:space="preserve"> alone. </w:t>
      </w:r>
    </w:p>
    <w:p w:rsidR="00D162D1" w:rsidRPr="00A67611" w:rsidRDefault="00D162D1" w:rsidP="000F706A">
      <w:pPr>
        <w:pStyle w:val="3-BodyText"/>
      </w:pPr>
      <w:r w:rsidRPr="00A67611">
        <w:t>Nabiximols is a spray containing a combination of 27mg delta-9-tetrahydrocannabinol (THC) and 25mg cannabidiol (CBD) and lesser amounts of other cannabinoids (56mg total cannabinoids). Together these cannabinoids exert different effects on many systems including the GABAergic, glutaminergic, dopaminergic, cholinergic, serotonergic and opioid systems.</w:t>
      </w:r>
      <w:r w:rsidR="00C9067A">
        <w:t xml:space="preserve"> Key components of the clinical issue addressed by the resubmission are shown in Table 1.</w:t>
      </w:r>
    </w:p>
    <w:p w:rsidR="00FA30CD" w:rsidRPr="00A67611" w:rsidRDefault="00D2119E" w:rsidP="00AD4A62">
      <w:pPr>
        <w:pStyle w:val="TableFigureHeading"/>
        <w:keepLines/>
        <w:widowControl w:val="0"/>
        <w:rPr>
          <w:rStyle w:val="CommentReference"/>
          <w:b/>
          <w:szCs w:val="24"/>
        </w:rPr>
      </w:pPr>
      <w:r w:rsidRPr="00A67611">
        <w:rPr>
          <w:rStyle w:val="CommentReference"/>
          <w:b/>
          <w:szCs w:val="24"/>
        </w:rPr>
        <w:lastRenderedPageBreak/>
        <w:t xml:space="preserve">Table </w:t>
      </w:r>
      <w:r w:rsidR="00D420F9">
        <w:rPr>
          <w:rStyle w:val="CommentReference"/>
          <w:b/>
          <w:noProof/>
          <w:szCs w:val="24"/>
        </w:rPr>
        <w:t>1</w:t>
      </w:r>
      <w:r w:rsidR="00FA30CD" w:rsidRPr="00A67611">
        <w:rPr>
          <w:rStyle w:val="CommentReference"/>
          <w:b/>
          <w:szCs w:val="24"/>
        </w:rPr>
        <w:t>: Key components of the clinical issue addressed by the resubmission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890"/>
      </w:tblGrid>
      <w:tr w:rsidR="00FA30CD" w:rsidRPr="00A67611" w:rsidTr="00207CC9">
        <w:tc>
          <w:tcPr>
            <w:tcW w:w="625" w:type="pct"/>
            <w:vAlign w:val="center"/>
          </w:tcPr>
          <w:p w:rsidR="00FA30CD" w:rsidRPr="00A67611" w:rsidRDefault="00FA30CD" w:rsidP="00AD4A62">
            <w:pPr>
              <w:pStyle w:val="In-tableHeading"/>
              <w:keepLines/>
              <w:widowControl w:val="0"/>
              <w:rPr>
                <w:lang w:val="en-AU"/>
              </w:rPr>
            </w:pPr>
            <w:r w:rsidRPr="00A67611">
              <w:rPr>
                <w:lang w:val="en-AU"/>
              </w:rPr>
              <w:t>Component</w:t>
            </w:r>
          </w:p>
        </w:tc>
        <w:tc>
          <w:tcPr>
            <w:tcW w:w="4375" w:type="pct"/>
            <w:vAlign w:val="center"/>
          </w:tcPr>
          <w:p w:rsidR="00FA30CD" w:rsidRPr="00A67611" w:rsidRDefault="00FA30CD" w:rsidP="00AD4A62">
            <w:pPr>
              <w:pStyle w:val="In-tableHeading"/>
              <w:keepLines/>
              <w:widowControl w:val="0"/>
              <w:rPr>
                <w:lang w:val="en-AU"/>
              </w:rPr>
            </w:pPr>
            <w:r w:rsidRPr="00A67611">
              <w:rPr>
                <w:lang w:val="en-AU"/>
              </w:rPr>
              <w:t>Description</w:t>
            </w:r>
          </w:p>
        </w:tc>
      </w:tr>
      <w:tr w:rsidR="00FA30CD" w:rsidRPr="00A67611" w:rsidTr="00207CC9">
        <w:tc>
          <w:tcPr>
            <w:tcW w:w="625" w:type="pct"/>
            <w:vAlign w:val="center"/>
          </w:tcPr>
          <w:p w:rsidR="00FA30CD" w:rsidRPr="00A67611" w:rsidRDefault="00FA30CD" w:rsidP="00AD4A62">
            <w:pPr>
              <w:pStyle w:val="TableText0"/>
              <w:keepLines/>
              <w:widowControl w:val="0"/>
            </w:pPr>
            <w:r w:rsidRPr="00A67611">
              <w:t>Population</w:t>
            </w:r>
          </w:p>
        </w:tc>
        <w:tc>
          <w:tcPr>
            <w:tcW w:w="4375" w:type="pct"/>
            <w:vAlign w:val="center"/>
          </w:tcPr>
          <w:p w:rsidR="00FA30CD" w:rsidRPr="00A67611" w:rsidRDefault="00FA30CD" w:rsidP="00AD4A62">
            <w:pPr>
              <w:pStyle w:val="TableText0"/>
              <w:keepLines/>
              <w:widowControl w:val="0"/>
              <w:rPr>
                <w:rFonts w:cs="Arial"/>
                <w:szCs w:val="20"/>
              </w:rPr>
            </w:pPr>
            <w:r w:rsidRPr="00A67611">
              <w:rPr>
                <w:rFonts w:cs="Arial"/>
                <w:szCs w:val="20"/>
              </w:rPr>
              <w:t>Patients with moderate to severe spasticity</w:t>
            </w:r>
            <w:r w:rsidRPr="00A67611">
              <w:rPr>
                <w:rFonts w:cs="Arial"/>
                <w:szCs w:val="20"/>
                <w:vertAlign w:val="superscript"/>
              </w:rPr>
              <w:t>1</w:t>
            </w:r>
            <w:r w:rsidRPr="00A67611">
              <w:rPr>
                <w:rFonts w:cs="Arial"/>
                <w:szCs w:val="20"/>
              </w:rPr>
              <w:t xml:space="preserve"> due to multiple sclerosis (MS) who have not responded adequately to other anti-spasticity medication and who demonstrate clinically significant improvement in spasticity related symptoms during an initial trial of therapy</w:t>
            </w:r>
            <w:r w:rsidRPr="00A67611">
              <w:rPr>
                <w:rFonts w:cs="Arial"/>
                <w:szCs w:val="20"/>
                <w:vertAlign w:val="superscript"/>
              </w:rPr>
              <w:t>2</w:t>
            </w:r>
            <w:r w:rsidRPr="00A67611">
              <w:rPr>
                <w:rFonts w:cs="Arial"/>
                <w:szCs w:val="20"/>
              </w:rPr>
              <w:t xml:space="preserve"> </w:t>
            </w:r>
          </w:p>
        </w:tc>
      </w:tr>
      <w:tr w:rsidR="00FA30CD" w:rsidRPr="00A67611" w:rsidTr="00207CC9">
        <w:tc>
          <w:tcPr>
            <w:tcW w:w="625" w:type="pct"/>
            <w:vAlign w:val="center"/>
          </w:tcPr>
          <w:p w:rsidR="00FA30CD" w:rsidRPr="00A67611" w:rsidRDefault="00FA30CD" w:rsidP="00AD4A62">
            <w:pPr>
              <w:pStyle w:val="TableText0"/>
              <w:keepLines/>
              <w:widowControl w:val="0"/>
            </w:pPr>
            <w:r w:rsidRPr="00A67611">
              <w:t>Intervention</w:t>
            </w:r>
          </w:p>
        </w:tc>
        <w:tc>
          <w:tcPr>
            <w:tcW w:w="4375" w:type="pct"/>
            <w:vAlign w:val="center"/>
          </w:tcPr>
          <w:p w:rsidR="00FA30CD" w:rsidRPr="00A67611" w:rsidRDefault="00FA30CD" w:rsidP="00AD4A62">
            <w:pPr>
              <w:pStyle w:val="TableText0"/>
              <w:keepLines/>
              <w:widowControl w:val="0"/>
            </w:pPr>
            <w:r w:rsidRPr="00A67611">
              <w:t xml:space="preserve">Nabiximols 80mg/mL oral spray </w:t>
            </w:r>
            <w:r w:rsidRPr="00A67611">
              <w:rPr>
                <w:u w:val="single"/>
              </w:rPr>
              <w:t>as adjunctive therapy to standard care, which includes oral anti-spasticity medication</w:t>
            </w:r>
            <w:r w:rsidRPr="00A67611">
              <w:t>, titrated up to a maximum of 12 sprays per day until optimum symptom relief is achieved</w:t>
            </w:r>
          </w:p>
        </w:tc>
      </w:tr>
      <w:tr w:rsidR="00FA30CD" w:rsidRPr="00A67611" w:rsidTr="00207CC9">
        <w:tc>
          <w:tcPr>
            <w:tcW w:w="625" w:type="pct"/>
            <w:vAlign w:val="center"/>
          </w:tcPr>
          <w:p w:rsidR="00FA30CD" w:rsidRPr="00A67611" w:rsidRDefault="00FA30CD" w:rsidP="00AD4A62">
            <w:pPr>
              <w:pStyle w:val="TableText0"/>
              <w:keepLines/>
              <w:widowControl w:val="0"/>
            </w:pPr>
            <w:r w:rsidRPr="00A67611">
              <w:t>Comparator</w:t>
            </w:r>
          </w:p>
        </w:tc>
        <w:tc>
          <w:tcPr>
            <w:tcW w:w="4375" w:type="pct"/>
            <w:vAlign w:val="center"/>
          </w:tcPr>
          <w:p w:rsidR="00FA30CD" w:rsidRPr="00A67611" w:rsidRDefault="00FA30CD" w:rsidP="00AD4A62">
            <w:pPr>
              <w:pStyle w:val="TableText0"/>
              <w:keepLines/>
              <w:widowControl w:val="0"/>
            </w:pPr>
            <w:r w:rsidRPr="00A67611">
              <w:t>Stand</w:t>
            </w:r>
            <w:r w:rsidR="00065870" w:rsidRPr="00A67611">
              <w:t xml:space="preserve">ard </w:t>
            </w:r>
            <w:r w:rsidRPr="00A67611">
              <w:t xml:space="preserve">care; that being oral anti-spasticity medication </w:t>
            </w:r>
          </w:p>
        </w:tc>
      </w:tr>
      <w:tr w:rsidR="00FA30CD" w:rsidRPr="00A67611" w:rsidTr="00207CC9">
        <w:tc>
          <w:tcPr>
            <w:tcW w:w="625" w:type="pct"/>
            <w:vAlign w:val="center"/>
          </w:tcPr>
          <w:p w:rsidR="00FA30CD" w:rsidRPr="00A67611" w:rsidRDefault="00FA30CD" w:rsidP="00AD4A62">
            <w:pPr>
              <w:pStyle w:val="TableText0"/>
              <w:keepLines/>
              <w:widowControl w:val="0"/>
            </w:pPr>
            <w:r w:rsidRPr="00A67611">
              <w:t>Outcomes</w:t>
            </w:r>
          </w:p>
        </w:tc>
        <w:tc>
          <w:tcPr>
            <w:tcW w:w="4375" w:type="pct"/>
            <w:vAlign w:val="center"/>
          </w:tcPr>
          <w:p w:rsidR="00FA30CD" w:rsidRPr="00A67611" w:rsidRDefault="00FA30CD" w:rsidP="00AD4A62">
            <w:pPr>
              <w:pStyle w:val="TableText0"/>
              <w:keepLines/>
              <w:widowControl w:val="0"/>
            </w:pPr>
            <w:r w:rsidRPr="00A67611">
              <w:t>Primary: Percentage of patients who responded after 12 weeks of randomised treatment (a Numerical Rating Scale (NRS) score of 30% or more). (Patients who entered the randomised treatment period of the trial were required to have displayed an improvement in the NRS score of 20% or more in the preliminary 4-week treatment phase)</w:t>
            </w:r>
          </w:p>
          <w:p w:rsidR="00FA30CD" w:rsidRPr="00A67611" w:rsidRDefault="00FA30CD" w:rsidP="00AD4A62">
            <w:pPr>
              <w:pStyle w:val="TableText0"/>
              <w:keepLines/>
              <w:widowControl w:val="0"/>
            </w:pPr>
            <w:r w:rsidRPr="00A67611">
              <w:t>Secondary: Percentage of patients who achieved improvement of 20% on the NRS spasticity scale; and percentage of patients who responded after 4 and 8 weeks of randomised treatment, change from baseline in spasticity NRS scores after 4 and 8 weeks of randomised treatment. Change from baseline in various parameters including spasm, sleep disruption, pain, SF-36 and EQ-5D scores</w:t>
            </w:r>
          </w:p>
        </w:tc>
      </w:tr>
      <w:tr w:rsidR="00FA30CD" w:rsidRPr="00A67611" w:rsidTr="00207CC9">
        <w:tc>
          <w:tcPr>
            <w:tcW w:w="625" w:type="pct"/>
            <w:vAlign w:val="center"/>
          </w:tcPr>
          <w:p w:rsidR="00FA30CD" w:rsidRPr="00A67611" w:rsidRDefault="00FA30CD" w:rsidP="00AD4A62">
            <w:pPr>
              <w:pStyle w:val="TableText0"/>
              <w:keepLines/>
              <w:widowControl w:val="0"/>
            </w:pPr>
            <w:r w:rsidRPr="00A67611">
              <w:t>Clinical claim</w:t>
            </w:r>
          </w:p>
        </w:tc>
        <w:tc>
          <w:tcPr>
            <w:tcW w:w="4375" w:type="pct"/>
            <w:vAlign w:val="center"/>
          </w:tcPr>
          <w:p w:rsidR="00FA30CD" w:rsidRPr="00A67611" w:rsidRDefault="00FA30CD" w:rsidP="00AD4A62">
            <w:pPr>
              <w:pStyle w:val="TableText0"/>
              <w:keepLines/>
              <w:widowControl w:val="0"/>
            </w:pPr>
            <w:r w:rsidRPr="00A67611">
              <w:rPr>
                <w:rFonts w:cs="Arial"/>
                <w:szCs w:val="20"/>
              </w:rPr>
              <w:t>Nabiximols</w:t>
            </w:r>
            <w:r w:rsidR="00273388" w:rsidRPr="00A67611">
              <w:rPr>
                <w:rFonts w:cs="Arial"/>
                <w:szCs w:val="20"/>
              </w:rPr>
              <w:t xml:space="preserve">, </w:t>
            </w:r>
            <w:r w:rsidRPr="00A67611">
              <w:rPr>
                <w:rFonts w:cs="Arial"/>
                <w:szCs w:val="20"/>
              </w:rPr>
              <w:t>as adjunctive therapy</w:t>
            </w:r>
            <w:r w:rsidR="00273388" w:rsidRPr="00A67611">
              <w:rPr>
                <w:rFonts w:cs="Arial"/>
                <w:szCs w:val="20"/>
              </w:rPr>
              <w:t>,</w:t>
            </w:r>
            <w:r w:rsidRPr="00A67611">
              <w:rPr>
                <w:rFonts w:cs="Arial"/>
                <w:szCs w:val="20"/>
              </w:rPr>
              <w:t xml:space="preserve"> is superior in terms of efficacy and </w:t>
            </w:r>
            <w:r w:rsidRPr="00A67611">
              <w:rPr>
                <w:rFonts w:cs="Arial"/>
                <w:szCs w:val="20"/>
                <w:u w:val="single"/>
              </w:rPr>
              <w:t>inferior in terms of safety</w:t>
            </w:r>
            <w:r w:rsidRPr="00A67611">
              <w:rPr>
                <w:rFonts w:cs="Arial"/>
                <w:szCs w:val="20"/>
              </w:rPr>
              <w:t xml:space="preserve"> compared to standard care (anti-spasticity medication alone) in patients with moderate to severe spasticity due to MS who have not responded adequately to other anti-spasticity medication and who demonstrate clinically significant improvement in spasticity related symptoms during an initial trial of therapy</w:t>
            </w:r>
          </w:p>
        </w:tc>
      </w:tr>
    </w:tbl>
    <w:p w:rsidR="00FA30CD" w:rsidRPr="00A67611" w:rsidRDefault="00FA30CD" w:rsidP="00AD4A62">
      <w:pPr>
        <w:pStyle w:val="TableFigureFooter"/>
        <w:keepNext/>
        <w:keepLines/>
        <w:widowControl w:val="0"/>
        <w:rPr>
          <w:bCs/>
        </w:rPr>
      </w:pPr>
      <w:r w:rsidRPr="00A67611">
        <w:rPr>
          <w:bCs/>
          <w:vertAlign w:val="superscript"/>
        </w:rPr>
        <w:t xml:space="preserve">1 </w:t>
      </w:r>
      <w:r w:rsidRPr="00A67611">
        <w:rPr>
          <w:bCs/>
        </w:rPr>
        <w:t>Moderate to severe spasticity is defined by Numeric Rating Scale</w:t>
      </w:r>
      <w:r w:rsidR="00FD2E4D" w:rsidRPr="00A67611">
        <w:rPr>
          <w:bCs/>
        </w:rPr>
        <w:t xml:space="preserve"> (NRS)</w:t>
      </w:r>
      <w:r w:rsidRPr="00A67611">
        <w:rPr>
          <w:bCs/>
        </w:rPr>
        <w:t xml:space="preserve"> Score ≥ 4. </w:t>
      </w:r>
    </w:p>
    <w:p w:rsidR="004B1444" w:rsidRPr="00A67611" w:rsidRDefault="00FA30CD" w:rsidP="00AD4A62">
      <w:pPr>
        <w:pStyle w:val="TableFigureFooter"/>
        <w:keepNext/>
        <w:keepLines/>
        <w:widowControl w:val="0"/>
      </w:pPr>
      <w:r w:rsidRPr="00A67611">
        <w:rPr>
          <w:vertAlign w:val="superscript"/>
        </w:rPr>
        <w:t xml:space="preserve">2 </w:t>
      </w:r>
      <w:r w:rsidRPr="00A67611">
        <w:t>Clinically significant improvement in spasticity related symptoms is defined as a ≥</w:t>
      </w:r>
      <w:r w:rsidR="00613366">
        <w:t xml:space="preserve"> </w:t>
      </w:r>
      <w:r w:rsidRPr="00A67611">
        <w:t xml:space="preserve">20% improvement in spasticity severity over the initial treatment of 4 weeks using the Numerical Rating Scale (NRS). </w:t>
      </w:r>
    </w:p>
    <w:p w:rsidR="00FA30CD" w:rsidRPr="00A67611" w:rsidRDefault="00FA30CD" w:rsidP="00AD4A62">
      <w:pPr>
        <w:pStyle w:val="TableFigureFooter"/>
        <w:keepNext/>
        <w:keepLines/>
        <w:widowControl w:val="0"/>
      </w:pPr>
      <w:r w:rsidRPr="00A67611">
        <w:t>Underlining refers to differences from previous submission</w:t>
      </w:r>
    </w:p>
    <w:p w:rsidR="00FA30CD" w:rsidRPr="00A67611" w:rsidRDefault="00FA30CD" w:rsidP="00AD4A62">
      <w:pPr>
        <w:pStyle w:val="TableFigureFooter"/>
        <w:keepNext/>
        <w:keepLines/>
        <w:widowControl w:val="0"/>
      </w:pPr>
      <w:r w:rsidRPr="00A67611">
        <w:t>Source: Table 9, p3 of the resubmission.</w:t>
      </w:r>
    </w:p>
    <w:p w:rsidR="00FA30CD" w:rsidRPr="00A67611" w:rsidRDefault="00FA30CD" w:rsidP="00FA30CD">
      <w:pPr>
        <w:pStyle w:val="2-SectionHeading"/>
      </w:pPr>
      <w:bookmarkStart w:id="3" w:name="_Toc27326478"/>
      <w:bookmarkStart w:id="4" w:name="_Toc30583482"/>
      <w:r w:rsidRPr="00A67611">
        <w:t>Background</w:t>
      </w:r>
      <w:bookmarkEnd w:id="3"/>
      <w:bookmarkEnd w:id="4"/>
    </w:p>
    <w:p w:rsidR="00FA30CD" w:rsidRPr="00A67611" w:rsidRDefault="00FA30CD" w:rsidP="00FA30CD">
      <w:pPr>
        <w:pStyle w:val="4-SubsectionHeading"/>
      </w:pPr>
      <w:bookmarkStart w:id="5" w:name="_Toc22897638"/>
      <w:bookmarkStart w:id="6" w:name="_Toc27326479"/>
      <w:bookmarkStart w:id="7" w:name="_Toc30583483"/>
      <w:r w:rsidRPr="00A67611">
        <w:t>Registration status</w:t>
      </w:r>
      <w:bookmarkEnd w:id="5"/>
      <w:bookmarkEnd w:id="6"/>
      <w:bookmarkEnd w:id="7"/>
    </w:p>
    <w:p w:rsidR="00FA30CD" w:rsidRPr="00A67611" w:rsidRDefault="00FA30CD" w:rsidP="000F706A">
      <w:pPr>
        <w:pStyle w:val="3-BodyText"/>
      </w:pPr>
      <w:r w:rsidRPr="00A67611">
        <w:t>Nabiximols was approved for registration by the TGA in November 2012 for symptom</w:t>
      </w:r>
      <w:r w:rsidR="001A210B" w:rsidRPr="00A67611">
        <w:t>atic treatment</w:t>
      </w:r>
      <w:r w:rsidR="00845B08" w:rsidRPr="00A67611">
        <w:t xml:space="preserve"> of spasticity</w:t>
      </w:r>
      <w:r w:rsidRPr="00A67611">
        <w:t xml:space="preserve"> in patients with moderate to severe spasticity due to MS who have not adequately responded to other anti-spasticity medication and who demonstrate clinically signif</w:t>
      </w:r>
      <w:r w:rsidR="00D2119E" w:rsidRPr="00A67611">
        <w:t>icant improvement in spasticity-</w:t>
      </w:r>
      <w:r w:rsidRPr="00A67611">
        <w:t xml:space="preserve">related symptoms during an initial trial of therapy. </w:t>
      </w:r>
    </w:p>
    <w:p w:rsidR="00FA30CD" w:rsidRPr="00A67611" w:rsidRDefault="00FA30CD" w:rsidP="00FA30CD">
      <w:pPr>
        <w:pStyle w:val="4-SubsectionHeading"/>
      </w:pPr>
      <w:bookmarkStart w:id="8" w:name="_Toc22897639"/>
      <w:bookmarkStart w:id="9" w:name="_Toc27326480"/>
      <w:bookmarkStart w:id="10" w:name="_Toc30583484"/>
      <w:r w:rsidRPr="00A67611">
        <w:t>Previous PBAC consideration</w:t>
      </w:r>
      <w:bookmarkEnd w:id="8"/>
      <w:bookmarkEnd w:id="9"/>
      <w:bookmarkEnd w:id="10"/>
    </w:p>
    <w:p w:rsidR="00E8003A" w:rsidRPr="00A67611" w:rsidRDefault="00E8003A" w:rsidP="000F706A">
      <w:pPr>
        <w:pStyle w:val="3-BodyText"/>
      </w:pPr>
      <w:r w:rsidRPr="00A67611">
        <w:t>Nabiximols was previously considered for this indication by the PBAC at its July 2013 meeting.</w:t>
      </w:r>
    </w:p>
    <w:p w:rsidR="00FA30CD" w:rsidRPr="00A67611" w:rsidRDefault="00FA30CD" w:rsidP="000F706A">
      <w:pPr>
        <w:pStyle w:val="3-BodyText"/>
      </w:pPr>
      <w:r w:rsidRPr="00A67611">
        <w:rPr>
          <w:snapToGrid/>
        </w:rPr>
        <w:t>Key issues of outstanding concern and how the resubmission addresse</w:t>
      </w:r>
      <w:r w:rsidR="00C1556F" w:rsidRPr="00A67611">
        <w:rPr>
          <w:snapToGrid/>
        </w:rPr>
        <w:t>d</w:t>
      </w:r>
      <w:r w:rsidRPr="00A67611">
        <w:rPr>
          <w:snapToGrid/>
        </w:rPr>
        <w:t xml:space="preserve"> these are detailed in </w:t>
      </w:r>
      <w:r w:rsidR="00D420F9" w:rsidRPr="00D420F9">
        <w:rPr>
          <w:snapToGrid/>
        </w:rPr>
        <w:t>Table 2</w:t>
      </w:r>
      <w:r w:rsidRPr="00A67611">
        <w:rPr>
          <w:snapToGrid/>
        </w:rPr>
        <w:t xml:space="preserve">. </w:t>
      </w:r>
    </w:p>
    <w:p w:rsidR="00FA30CD" w:rsidRPr="00A67611" w:rsidRDefault="00D2119E" w:rsidP="00FA30CD">
      <w:pPr>
        <w:pStyle w:val="TableFigureHeading"/>
        <w:rPr>
          <w:rStyle w:val="CommentReference"/>
          <w:b/>
          <w:szCs w:val="24"/>
        </w:rPr>
      </w:pPr>
      <w:bookmarkStart w:id="11" w:name="_Ref27561805"/>
      <w:r w:rsidRPr="00A67611">
        <w:rPr>
          <w:rStyle w:val="CommentReference"/>
          <w:b/>
          <w:szCs w:val="24"/>
        </w:rPr>
        <w:lastRenderedPageBreak/>
        <w:t xml:space="preserve">Table </w:t>
      </w:r>
      <w:r w:rsidR="00D420F9">
        <w:rPr>
          <w:rStyle w:val="CommentReference"/>
          <w:b/>
          <w:noProof/>
          <w:szCs w:val="24"/>
        </w:rPr>
        <w:t>2</w:t>
      </w:r>
      <w:bookmarkEnd w:id="11"/>
      <w:r w:rsidR="00FA30CD" w:rsidRPr="00A67611">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4"/>
        <w:gridCol w:w="3924"/>
        <w:gridCol w:w="3919"/>
      </w:tblGrid>
      <w:tr w:rsidR="00FA30CD" w:rsidRPr="00A67611" w:rsidTr="00407CE1">
        <w:trPr>
          <w:cantSplit/>
          <w:tblHeader/>
        </w:trPr>
        <w:tc>
          <w:tcPr>
            <w:tcW w:w="651" w:type="pct"/>
            <w:vAlign w:val="center"/>
          </w:tcPr>
          <w:p w:rsidR="00FA30CD" w:rsidRPr="00A67611" w:rsidRDefault="00FA30CD" w:rsidP="00806AE4">
            <w:pPr>
              <w:pStyle w:val="In-tableHeading"/>
              <w:rPr>
                <w:lang w:val="en-AU"/>
              </w:rPr>
            </w:pPr>
            <w:r w:rsidRPr="00A67611">
              <w:rPr>
                <w:lang w:val="en-AU"/>
              </w:rPr>
              <w:t>Component</w:t>
            </w:r>
          </w:p>
        </w:tc>
        <w:tc>
          <w:tcPr>
            <w:tcW w:w="2176" w:type="pct"/>
            <w:vAlign w:val="center"/>
          </w:tcPr>
          <w:p w:rsidR="00FA30CD" w:rsidRPr="00A67611" w:rsidRDefault="00FA30CD" w:rsidP="00806AE4">
            <w:pPr>
              <w:pStyle w:val="In-tableHeading"/>
              <w:rPr>
                <w:lang w:val="en-AU"/>
              </w:rPr>
            </w:pPr>
            <w:r w:rsidRPr="00A67611">
              <w:rPr>
                <w:lang w:val="en-AU"/>
              </w:rPr>
              <w:t>Matter of concern</w:t>
            </w:r>
          </w:p>
        </w:tc>
        <w:tc>
          <w:tcPr>
            <w:tcW w:w="2173" w:type="pct"/>
            <w:vAlign w:val="center"/>
          </w:tcPr>
          <w:p w:rsidR="00FA30CD" w:rsidRPr="00A67611" w:rsidRDefault="00FA30CD" w:rsidP="00806AE4">
            <w:pPr>
              <w:pStyle w:val="In-tableHeading"/>
              <w:rPr>
                <w:lang w:val="en-AU"/>
              </w:rPr>
            </w:pPr>
            <w:r w:rsidRPr="00A67611">
              <w:rPr>
                <w:lang w:val="en-AU"/>
              </w:rPr>
              <w:t>How the resubmission addresses it</w:t>
            </w:r>
          </w:p>
        </w:tc>
      </w:tr>
      <w:tr w:rsidR="00FA30CD" w:rsidRPr="00A67611" w:rsidTr="00407CE1">
        <w:trPr>
          <w:cantSplit/>
        </w:trPr>
        <w:tc>
          <w:tcPr>
            <w:tcW w:w="651" w:type="pct"/>
            <w:vMerge w:val="restart"/>
            <w:vAlign w:val="center"/>
          </w:tcPr>
          <w:p w:rsidR="00FA30CD" w:rsidRPr="00A67611" w:rsidRDefault="00FA30CD" w:rsidP="00806AE4">
            <w:pPr>
              <w:pStyle w:val="TableText0"/>
            </w:pPr>
            <w:r w:rsidRPr="00A67611">
              <w:t>Clinical effectiveness</w:t>
            </w:r>
          </w:p>
        </w:tc>
        <w:tc>
          <w:tcPr>
            <w:tcW w:w="2176" w:type="pct"/>
            <w:vAlign w:val="center"/>
          </w:tcPr>
          <w:p w:rsidR="00FA30CD" w:rsidRPr="00A67611" w:rsidRDefault="00FA30CD" w:rsidP="003F4FF2">
            <w:pPr>
              <w:pStyle w:val="TableText0"/>
              <w:rPr>
                <w:rFonts w:eastAsia="Times New Roman" w:cs="Arial"/>
                <w:bCs w:val="0"/>
                <w:snapToGrid w:val="0"/>
                <w:szCs w:val="20"/>
              </w:rPr>
            </w:pPr>
            <w:r w:rsidRPr="00A67611">
              <w:rPr>
                <w:rFonts w:eastAsia="Times New Roman" w:cs="Arial"/>
                <w:bCs w:val="0"/>
                <w:snapToGrid w:val="0"/>
                <w:szCs w:val="20"/>
              </w:rPr>
              <w:t>The clinical data did not support a claim of superior effectiveness (</w:t>
            </w:r>
            <w:r w:rsidR="003F4FF2">
              <w:rPr>
                <w:rFonts w:eastAsia="Times New Roman" w:cs="Arial"/>
                <w:bCs w:val="0"/>
                <w:snapToGrid w:val="0"/>
                <w:szCs w:val="20"/>
              </w:rPr>
              <w:t>Section 9</w:t>
            </w:r>
            <w:r w:rsidRPr="00A67611">
              <w:rPr>
                <w:rFonts w:eastAsia="Times New Roman" w:cs="Arial"/>
                <w:bCs w:val="0"/>
                <w:snapToGrid w:val="0"/>
                <w:szCs w:val="20"/>
              </w:rPr>
              <w:t>).</w:t>
            </w:r>
            <w:r w:rsidR="004A3738" w:rsidRPr="00A67611">
              <w:rPr>
                <w:rFonts w:eastAsia="Times New Roman" w:cs="Arial"/>
                <w:bCs w:val="0"/>
                <w:snapToGrid w:val="0"/>
                <w:szCs w:val="20"/>
              </w:rPr>
              <w:t xml:space="preserve"> The submission relied on clinical data from Novotna 2011 with supportive data from </w:t>
            </w:r>
            <w:r w:rsidR="00C64351" w:rsidRPr="00A67611">
              <w:rPr>
                <w:rFonts w:eastAsia="Times New Roman" w:cs="Arial"/>
                <w:bCs w:val="0"/>
                <w:snapToGrid w:val="0"/>
                <w:szCs w:val="20"/>
              </w:rPr>
              <w:t>Collin 2007, Collin 2010</w:t>
            </w:r>
            <w:r w:rsidR="001F749B" w:rsidRPr="00A67611">
              <w:rPr>
                <w:rFonts w:eastAsia="Times New Roman" w:cs="Arial"/>
                <w:bCs w:val="0"/>
                <w:snapToGrid w:val="0"/>
                <w:szCs w:val="20"/>
              </w:rPr>
              <w:t xml:space="preserve"> and</w:t>
            </w:r>
            <w:r w:rsidR="00C64351" w:rsidRPr="00A67611">
              <w:rPr>
                <w:rFonts w:eastAsia="Times New Roman" w:cs="Arial"/>
                <w:bCs w:val="0"/>
                <w:snapToGrid w:val="0"/>
                <w:szCs w:val="20"/>
              </w:rPr>
              <w:t xml:space="preserve"> Wade 2004</w:t>
            </w:r>
            <w:r w:rsidR="004A3738" w:rsidRPr="00A67611">
              <w:rPr>
                <w:rFonts w:eastAsia="Times New Roman" w:cs="Arial"/>
                <w:bCs w:val="0"/>
                <w:snapToGrid w:val="0"/>
                <w:szCs w:val="20"/>
              </w:rPr>
              <w:t xml:space="preserve">. </w:t>
            </w:r>
          </w:p>
        </w:tc>
        <w:tc>
          <w:tcPr>
            <w:tcW w:w="2173" w:type="pct"/>
            <w:vAlign w:val="center"/>
          </w:tcPr>
          <w:p w:rsidR="00FA30CD" w:rsidRPr="00A67611" w:rsidRDefault="004A3738" w:rsidP="00A7733D">
            <w:pPr>
              <w:pStyle w:val="TableText0"/>
              <w:rPr>
                <w:rFonts w:eastAsia="Times New Roman" w:cs="Arial"/>
                <w:bCs w:val="0"/>
                <w:snapToGrid w:val="0"/>
                <w:szCs w:val="20"/>
              </w:rPr>
            </w:pPr>
            <w:r w:rsidRPr="00A67611">
              <w:rPr>
                <w:rFonts w:eastAsia="Times New Roman" w:cs="Arial"/>
                <w:bCs w:val="0"/>
                <w:snapToGrid w:val="0"/>
                <w:szCs w:val="20"/>
              </w:rPr>
              <w:t xml:space="preserve">In addition to Novotna 2011, </w:t>
            </w:r>
            <w:r w:rsidR="00C64351" w:rsidRPr="00A67611">
              <w:rPr>
                <w:rFonts w:eastAsia="Times New Roman" w:cs="Arial"/>
                <w:bCs w:val="0"/>
                <w:snapToGrid w:val="0"/>
                <w:szCs w:val="20"/>
              </w:rPr>
              <w:t>Collin 2007 and Collin 2010</w:t>
            </w:r>
            <w:r w:rsidRPr="00A67611">
              <w:rPr>
                <w:rFonts w:eastAsia="Times New Roman" w:cs="Arial"/>
                <w:bCs w:val="0"/>
                <w:snapToGrid w:val="0"/>
                <w:szCs w:val="20"/>
              </w:rPr>
              <w:t>, t</w:t>
            </w:r>
            <w:r w:rsidR="00FA30CD" w:rsidRPr="00A67611">
              <w:rPr>
                <w:rFonts w:eastAsia="Times New Roman" w:cs="Arial"/>
                <w:bCs w:val="0"/>
                <w:snapToGrid w:val="0"/>
                <w:szCs w:val="20"/>
              </w:rPr>
              <w:t>wo new relevant trials (Markovà 2019 and Vachovà 2014)</w:t>
            </w:r>
            <w:r w:rsidR="00792305" w:rsidRPr="00A67611">
              <w:rPr>
                <w:rFonts w:eastAsia="Times New Roman" w:cs="Arial"/>
                <w:bCs w:val="0"/>
                <w:snapToGrid w:val="0"/>
                <w:szCs w:val="20"/>
              </w:rPr>
              <w:t xml:space="preserve"> were</w:t>
            </w:r>
            <w:r w:rsidR="00FA30CD" w:rsidRPr="00A67611">
              <w:rPr>
                <w:rFonts w:eastAsia="Times New Roman" w:cs="Arial"/>
                <w:bCs w:val="0"/>
                <w:snapToGrid w:val="0"/>
                <w:szCs w:val="20"/>
              </w:rPr>
              <w:t xml:space="preserve"> identified.</w:t>
            </w:r>
            <w:r w:rsidR="00C64351" w:rsidRPr="00A67611">
              <w:rPr>
                <w:rFonts w:eastAsia="Times New Roman" w:cs="Arial"/>
                <w:bCs w:val="0"/>
                <w:snapToGrid w:val="0"/>
                <w:szCs w:val="20"/>
              </w:rPr>
              <w:t xml:space="preserve"> </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The enrichment design of the key Novotna 2</w:t>
            </w:r>
            <w:r w:rsidR="00DA6B18" w:rsidRPr="00A67611">
              <w:rPr>
                <w:rFonts w:eastAsia="Times New Roman" w:cs="Arial"/>
                <w:bCs w:val="0"/>
                <w:snapToGrid w:val="0"/>
                <w:szCs w:val="20"/>
              </w:rPr>
              <w:t>0</w:t>
            </w:r>
            <w:r w:rsidRPr="00A67611">
              <w:rPr>
                <w:rFonts w:eastAsia="Times New Roman" w:cs="Arial"/>
                <w:bCs w:val="0"/>
                <w:snapToGrid w:val="0"/>
                <w:szCs w:val="20"/>
              </w:rPr>
              <w:t>11 trial made it difficul</w:t>
            </w:r>
            <w:r w:rsidR="00E475A8" w:rsidRPr="00A67611">
              <w:rPr>
                <w:rFonts w:eastAsia="Times New Roman" w:cs="Arial"/>
                <w:bCs w:val="0"/>
                <w:snapToGrid w:val="0"/>
                <w:szCs w:val="20"/>
              </w:rPr>
              <w:t>t to generalise results (</w:t>
            </w:r>
            <w:r w:rsidR="003F4FF2">
              <w:rPr>
                <w:rFonts w:eastAsia="Times New Roman" w:cs="Arial"/>
                <w:bCs w:val="0"/>
                <w:snapToGrid w:val="0"/>
                <w:szCs w:val="20"/>
              </w:rPr>
              <w:t>Section</w:t>
            </w:r>
            <w:r w:rsidR="00130104">
              <w:rPr>
                <w:rFonts w:eastAsia="Times New Roman" w:cs="Arial"/>
                <w:bCs w:val="0"/>
                <w:snapToGrid w:val="0"/>
                <w:szCs w:val="20"/>
              </w:rPr>
              <w:t xml:space="preserve"> </w:t>
            </w:r>
            <w:r w:rsidR="00E475A8" w:rsidRPr="00A67611">
              <w:rPr>
                <w:rFonts w:eastAsia="Times New Roman" w:cs="Arial"/>
                <w:bCs w:val="0"/>
                <w:snapToGrid w:val="0"/>
                <w:szCs w:val="20"/>
              </w:rPr>
              <w:t>9</w:t>
            </w:r>
            <w:r w:rsidRPr="00A67611">
              <w:rPr>
                <w:rFonts w:eastAsia="Times New Roman" w:cs="Arial"/>
                <w:bCs w:val="0"/>
                <w:snapToGrid w:val="0"/>
                <w:szCs w:val="20"/>
              </w:rPr>
              <w:t>).</w:t>
            </w:r>
          </w:p>
        </w:tc>
        <w:tc>
          <w:tcPr>
            <w:tcW w:w="2173" w:type="pct"/>
            <w:vAlign w:val="center"/>
          </w:tcPr>
          <w:p w:rsidR="00FA30CD" w:rsidRPr="00A67611" w:rsidRDefault="00FA30CD" w:rsidP="00130104">
            <w:pPr>
              <w:pStyle w:val="TableText0"/>
              <w:rPr>
                <w:rFonts w:eastAsia="Times New Roman" w:cs="Arial"/>
                <w:bCs w:val="0"/>
                <w:snapToGrid w:val="0"/>
                <w:szCs w:val="20"/>
              </w:rPr>
            </w:pPr>
            <w:r w:rsidRPr="00A67611">
              <w:rPr>
                <w:rFonts w:eastAsia="Times New Roman" w:cs="Arial"/>
                <w:bCs w:val="0"/>
                <w:snapToGrid w:val="0"/>
                <w:szCs w:val="20"/>
              </w:rPr>
              <w:t xml:space="preserve">Partially addressed. Markovà 2019 also had an enrichment design, however Vachovà 2014 supported the claim of superior effectiveness, and it did not have an enrichment design. </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3F4FF2">
            <w:pPr>
              <w:pStyle w:val="TableText0"/>
              <w:rPr>
                <w:rFonts w:eastAsia="Times New Roman" w:cs="Arial"/>
                <w:bCs w:val="0"/>
                <w:snapToGrid w:val="0"/>
                <w:szCs w:val="20"/>
              </w:rPr>
            </w:pPr>
            <w:r w:rsidRPr="00A67611">
              <w:rPr>
                <w:rFonts w:eastAsia="Times New Roman" w:cs="Arial"/>
                <w:bCs w:val="0"/>
                <w:snapToGrid w:val="0"/>
                <w:szCs w:val="20"/>
              </w:rPr>
              <w:t>There was a high risk of bias in the trials suggesting that the effect size was lik</w:t>
            </w:r>
            <w:r w:rsidR="00E475A8" w:rsidRPr="00A67611">
              <w:rPr>
                <w:rFonts w:eastAsia="Times New Roman" w:cs="Arial"/>
                <w:bCs w:val="0"/>
                <w:snapToGrid w:val="0"/>
                <w:szCs w:val="20"/>
              </w:rPr>
              <w:t>ely to be overestimated (</w:t>
            </w:r>
            <w:r w:rsidR="003F4FF2">
              <w:rPr>
                <w:rFonts w:eastAsia="Times New Roman" w:cs="Arial"/>
                <w:bCs w:val="0"/>
                <w:snapToGrid w:val="0"/>
                <w:szCs w:val="20"/>
              </w:rPr>
              <w:t xml:space="preserve">Section </w:t>
            </w:r>
            <w:r w:rsidR="00E475A8" w:rsidRPr="00A67611">
              <w:rPr>
                <w:rFonts w:eastAsia="Times New Roman" w:cs="Arial"/>
                <w:bCs w:val="0"/>
                <w:snapToGrid w:val="0"/>
                <w:szCs w:val="20"/>
              </w:rPr>
              <w:t>9</w:t>
            </w:r>
            <w:r w:rsidRPr="00A67611">
              <w:rPr>
                <w:rFonts w:eastAsia="Times New Roman" w:cs="Arial"/>
                <w:bCs w:val="0"/>
                <w:snapToGrid w:val="0"/>
                <w:szCs w:val="20"/>
              </w:rPr>
              <w:t>).</w:t>
            </w:r>
          </w:p>
        </w:tc>
        <w:tc>
          <w:tcPr>
            <w:tcW w:w="2173" w:type="pct"/>
            <w:vAlign w:val="center"/>
          </w:tcPr>
          <w:p w:rsidR="00FA30CD" w:rsidRPr="00A67611" w:rsidRDefault="00DA6B18" w:rsidP="00DA6B18">
            <w:pPr>
              <w:pStyle w:val="TableText0"/>
              <w:rPr>
                <w:rFonts w:eastAsia="Times New Roman" w:cs="Arial"/>
                <w:bCs w:val="0"/>
                <w:snapToGrid w:val="0"/>
                <w:szCs w:val="20"/>
              </w:rPr>
            </w:pPr>
            <w:r w:rsidRPr="00A67611">
              <w:rPr>
                <w:rFonts w:eastAsia="Times New Roman" w:cs="Arial"/>
                <w:bCs w:val="0"/>
                <w:snapToGrid w:val="0"/>
                <w:szCs w:val="20"/>
              </w:rPr>
              <w:t>Additional t</w:t>
            </w:r>
            <w:r w:rsidR="00FA30CD" w:rsidRPr="00A67611">
              <w:rPr>
                <w:rFonts w:eastAsia="Times New Roman" w:cs="Arial"/>
                <w:bCs w:val="0"/>
                <w:snapToGrid w:val="0"/>
                <w:szCs w:val="20"/>
              </w:rPr>
              <w:t>rials still considered to have a high risk of bias, particularly Markovà 2019</w:t>
            </w:r>
            <w:r w:rsidRPr="00A67611">
              <w:rPr>
                <w:rFonts w:eastAsia="Times New Roman" w:cs="Arial"/>
                <w:bCs w:val="0"/>
                <w:snapToGrid w:val="0"/>
                <w:szCs w:val="20"/>
              </w:rPr>
              <w:t>.</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3F4FF2">
            <w:pPr>
              <w:pStyle w:val="TableText0"/>
              <w:rPr>
                <w:rFonts w:eastAsia="Times New Roman" w:cs="Arial"/>
                <w:bCs w:val="0"/>
                <w:snapToGrid w:val="0"/>
                <w:szCs w:val="20"/>
              </w:rPr>
            </w:pPr>
            <w:r w:rsidRPr="00A67611">
              <w:rPr>
                <w:rFonts w:eastAsia="Times New Roman" w:cs="Arial"/>
                <w:bCs w:val="0"/>
                <w:snapToGrid w:val="0"/>
                <w:szCs w:val="20"/>
              </w:rPr>
              <w:t>Small differences in outcomes were demonstrated that were of questionab</w:t>
            </w:r>
            <w:r w:rsidR="00651DF8" w:rsidRPr="00A67611">
              <w:rPr>
                <w:rFonts w:eastAsia="Times New Roman" w:cs="Arial"/>
                <w:bCs w:val="0"/>
                <w:snapToGrid w:val="0"/>
                <w:szCs w:val="20"/>
              </w:rPr>
              <w:t>le clinical significance</w:t>
            </w:r>
            <w:r w:rsidR="00E475A8" w:rsidRPr="00A67611">
              <w:rPr>
                <w:rFonts w:eastAsia="Times New Roman" w:cs="Arial"/>
                <w:bCs w:val="0"/>
                <w:snapToGrid w:val="0"/>
                <w:szCs w:val="20"/>
              </w:rPr>
              <w:t xml:space="preserve"> (</w:t>
            </w:r>
            <w:r w:rsidR="003F4FF2">
              <w:rPr>
                <w:rFonts w:eastAsia="Times New Roman" w:cs="Arial"/>
                <w:bCs w:val="0"/>
                <w:snapToGrid w:val="0"/>
                <w:szCs w:val="20"/>
              </w:rPr>
              <w:t>Section</w:t>
            </w:r>
            <w:r w:rsidR="003F4FF2" w:rsidRPr="00A67611">
              <w:rPr>
                <w:rFonts w:eastAsia="Times New Roman" w:cs="Arial"/>
                <w:bCs w:val="0"/>
                <w:snapToGrid w:val="0"/>
                <w:szCs w:val="20"/>
              </w:rPr>
              <w:t xml:space="preserve"> </w:t>
            </w:r>
            <w:r w:rsidR="00E475A8" w:rsidRPr="00A67611">
              <w:rPr>
                <w:rFonts w:eastAsia="Times New Roman" w:cs="Arial"/>
                <w:bCs w:val="0"/>
                <w:snapToGrid w:val="0"/>
                <w:szCs w:val="20"/>
              </w:rPr>
              <w:t>9</w:t>
            </w:r>
            <w:r w:rsidRPr="00A67611">
              <w:rPr>
                <w:rFonts w:eastAsia="Times New Roman" w:cs="Arial"/>
                <w:bCs w:val="0"/>
                <w:snapToGrid w:val="0"/>
                <w:szCs w:val="20"/>
              </w:rPr>
              <w:t>).</w:t>
            </w:r>
          </w:p>
        </w:tc>
        <w:tc>
          <w:tcPr>
            <w:tcW w:w="2173" w:type="pct"/>
            <w:vAlign w:val="center"/>
          </w:tcPr>
          <w:p w:rsidR="00FA30CD" w:rsidRPr="00A67611" w:rsidRDefault="00FA30CD" w:rsidP="00835CE9">
            <w:pPr>
              <w:pStyle w:val="TableText0"/>
              <w:rPr>
                <w:rFonts w:eastAsia="Times New Roman" w:cs="Arial"/>
                <w:bCs w:val="0"/>
                <w:snapToGrid w:val="0"/>
                <w:szCs w:val="20"/>
              </w:rPr>
            </w:pPr>
            <w:r w:rsidRPr="00A67611">
              <w:rPr>
                <w:rFonts w:eastAsia="Times New Roman" w:cs="Arial"/>
                <w:bCs w:val="0"/>
                <w:snapToGrid w:val="0"/>
                <w:szCs w:val="20"/>
              </w:rPr>
              <w:t xml:space="preserve">Markovà 2019 demonstrated a higher magnitude of benefit compared to Novotna 2011. </w:t>
            </w:r>
            <w:r w:rsidRPr="00835CE9">
              <w:rPr>
                <w:rFonts w:eastAsia="Times New Roman" w:cs="Arial"/>
                <w:bCs w:val="0"/>
                <w:snapToGrid w:val="0"/>
                <w:szCs w:val="20"/>
              </w:rPr>
              <w:t>Markovà 2019 enrolled fewer patients (</w:t>
            </w:r>
            <w:r w:rsidR="00C64351" w:rsidRPr="00835CE9">
              <w:rPr>
                <w:rFonts w:eastAsia="Times New Roman" w:cs="Arial"/>
                <w:bCs w:val="0"/>
                <w:snapToGrid w:val="0"/>
                <w:szCs w:val="20"/>
              </w:rPr>
              <w:t>106 in Phase B versus 241 in Novotna Phase B</w:t>
            </w:r>
            <w:r w:rsidRPr="00835CE9">
              <w:rPr>
                <w:rFonts w:eastAsia="Times New Roman" w:cs="Arial"/>
                <w:bCs w:val="0"/>
                <w:snapToGrid w:val="0"/>
                <w:szCs w:val="20"/>
              </w:rPr>
              <w:t xml:space="preserve">) and had a different trial </w:t>
            </w:r>
            <w:r w:rsidR="00934024" w:rsidRPr="00835CE9">
              <w:rPr>
                <w:rFonts w:eastAsia="Times New Roman" w:cs="Arial"/>
                <w:bCs w:val="0"/>
                <w:snapToGrid w:val="0"/>
                <w:szCs w:val="20"/>
              </w:rPr>
              <w:t>design that</w:t>
            </w:r>
            <w:r w:rsidRPr="00835CE9">
              <w:rPr>
                <w:rFonts w:eastAsia="Times New Roman" w:cs="Arial"/>
                <w:bCs w:val="0"/>
                <w:snapToGrid w:val="0"/>
                <w:szCs w:val="20"/>
              </w:rPr>
              <w:t xml:space="preserve"> may</w:t>
            </w:r>
            <w:r w:rsidR="00835CE9" w:rsidRPr="00835CE9">
              <w:rPr>
                <w:rFonts w:eastAsia="Times New Roman" w:cs="Arial"/>
                <w:bCs w:val="0"/>
                <w:snapToGrid w:val="0"/>
                <w:szCs w:val="20"/>
              </w:rPr>
              <w:t xml:space="preserve"> contribute to the difference in benefit observed. </w:t>
            </w:r>
          </w:p>
        </w:tc>
      </w:tr>
      <w:tr w:rsidR="00FA30CD" w:rsidRPr="00A67611" w:rsidTr="00407CE1">
        <w:trPr>
          <w:cantSplit/>
        </w:trPr>
        <w:tc>
          <w:tcPr>
            <w:tcW w:w="651" w:type="pct"/>
            <w:vMerge w:val="restart"/>
            <w:vAlign w:val="center"/>
          </w:tcPr>
          <w:p w:rsidR="00FA30CD" w:rsidRPr="00A67611" w:rsidRDefault="00FA30CD" w:rsidP="00806AE4">
            <w:pPr>
              <w:pStyle w:val="TableText0"/>
            </w:pPr>
            <w:r w:rsidRPr="00A67611">
              <w:t>Economic analysis</w:t>
            </w: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Was biased in favo</w:t>
            </w:r>
            <w:r w:rsidR="00130104">
              <w:rPr>
                <w:rFonts w:eastAsia="Times New Roman" w:cs="Arial"/>
                <w:bCs w:val="0"/>
                <w:snapToGrid w:val="0"/>
                <w:szCs w:val="20"/>
              </w:rPr>
              <w:t>ur of nabiximols since it was not</w:t>
            </w:r>
            <w:r w:rsidRPr="00A67611">
              <w:rPr>
                <w:rFonts w:eastAsia="Times New Roman" w:cs="Arial"/>
                <w:bCs w:val="0"/>
                <w:snapToGrid w:val="0"/>
                <w:szCs w:val="20"/>
              </w:rPr>
              <w:t xml:space="preserve"> clear if the effect size from Novotna 2011 was representative of the likely effect in the proposed population </w:t>
            </w:r>
            <w:r w:rsidR="003F4FF2">
              <w:rPr>
                <w:rFonts w:eastAsia="Times New Roman" w:cs="Arial"/>
                <w:bCs w:val="0"/>
                <w:snapToGrid w:val="0"/>
                <w:szCs w:val="20"/>
              </w:rPr>
              <w:t>(Section</w:t>
            </w:r>
            <w:r w:rsidRPr="00A67611">
              <w:rPr>
                <w:rFonts w:eastAsia="Times New Roman" w:cs="Arial"/>
                <w:bCs w:val="0"/>
                <w:snapToGrid w:val="0"/>
                <w:szCs w:val="20"/>
              </w:rPr>
              <w:t xml:space="preserve"> 10).</w:t>
            </w:r>
          </w:p>
        </w:tc>
        <w:tc>
          <w:tcPr>
            <w:tcW w:w="2173" w:type="pct"/>
            <w:vAlign w:val="center"/>
          </w:tcPr>
          <w:p w:rsidR="00FA30CD" w:rsidRPr="00A67611" w:rsidRDefault="00432D7C" w:rsidP="007053F4">
            <w:pPr>
              <w:pStyle w:val="TableText0"/>
              <w:rPr>
                <w:rFonts w:eastAsia="Times New Roman" w:cs="Arial"/>
                <w:bCs w:val="0"/>
                <w:snapToGrid w:val="0"/>
                <w:szCs w:val="20"/>
              </w:rPr>
            </w:pPr>
            <w:r w:rsidRPr="00A67611">
              <w:rPr>
                <w:rFonts w:eastAsia="Times New Roman"/>
                <w:snapToGrid w:val="0"/>
                <w:szCs w:val="20"/>
              </w:rPr>
              <w:t>Markovà 2019 still had an enrichment design and further bias was evident based on the requirement</w:t>
            </w:r>
            <w:r w:rsidR="00ED19A2" w:rsidRPr="00A67611">
              <w:rPr>
                <w:rFonts w:eastAsia="Times New Roman"/>
                <w:snapToGrid w:val="0"/>
                <w:szCs w:val="20"/>
              </w:rPr>
              <w:t xml:space="preserve"> for</w:t>
            </w:r>
            <w:r w:rsidRPr="00A67611">
              <w:rPr>
                <w:rFonts w:eastAsia="Times New Roman"/>
                <w:snapToGrid w:val="0"/>
                <w:szCs w:val="20"/>
              </w:rPr>
              <w:t xml:space="preserve"> Phase A patients to have demonstrated a 20% improvement, and then enter a washout phase of up to 4 weeks</w:t>
            </w:r>
            <w:r w:rsidR="007053F4" w:rsidRPr="00A67611">
              <w:rPr>
                <w:rFonts w:eastAsia="Times New Roman"/>
                <w:snapToGrid w:val="0"/>
                <w:szCs w:val="20"/>
              </w:rPr>
              <w:t>. Only those patients whose</w:t>
            </w:r>
            <w:r w:rsidRPr="00A67611">
              <w:rPr>
                <w:rFonts w:eastAsia="Times New Roman"/>
                <w:snapToGrid w:val="0"/>
                <w:szCs w:val="20"/>
              </w:rPr>
              <w:t xml:space="preserve"> improvement in NRS score had reduced by </w:t>
            </w:r>
            <w:r w:rsidR="00ED19A2" w:rsidRPr="00A67611">
              <w:rPr>
                <w:rFonts w:eastAsia="Times New Roman"/>
                <w:snapToGrid w:val="0"/>
                <w:szCs w:val="20"/>
              </w:rPr>
              <w:t>≥</w:t>
            </w:r>
            <w:r w:rsidRPr="00A67611">
              <w:rPr>
                <w:rFonts w:eastAsia="Times New Roman"/>
                <w:snapToGrid w:val="0"/>
                <w:szCs w:val="20"/>
              </w:rPr>
              <w:t xml:space="preserve"> 80%</w:t>
            </w:r>
            <w:r w:rsidR="007053F4" w:rsidRPr="00A67611">
              <w:rPr>
                <w:rFonts w:eastAsia="Times New Roman"/>
                <w:snapToGrid w:val="0"/>
                <w:szCs w:val="20"/>
              </w:rPr>
              <w:t xml:space="preserve"> </w:t>
            </w:r>
            <w:r w:rsidR="00845B08" w:rsidRPr="00A67611">
              <w:rPr>
                <w:rFonts w:eastAsia="Times New Roman"/>
                <w:snapToGrid w:val="0"/>
                <w:szCs w:val="20"/>
              </w:rPr>
              <w:t xml:space="preserve">during the washout phase </w:t>
            </w:r>
            <w:r w:rsidRPr="00A67611">
              <w:rPr>
                <w:rFonts w:eastAsia="Times New Roman"/>
                <w:snapToGrid w:val="0"/>
                <w:szCs w:val="20"/>
              </w:rPr>
              <w:t>were then</w:t>
            </w:r>
            <w:r w:rsidR="00A7733D" w:rsidRPr="00A67611">
              <w:rPr>
                <w:rFonts w:eastAsia="Times New Roman"/>
                <w:snapToGrid w:val="0"/>
                <w:szCs w:val="20"/>
              </w:rPr>
              <w:t xml:space="preserve"> </w:t>
            </w:r>
            <w:r w:rsidRPr="00A67611">
              <w:rPr>
                <w:rFonts w:eastAsia="Times New Roman"/>
                <w:snapToGrid w:val="0"/>
                <w:szCs w:val="20"/>
              </w:rPr>
              <w:t>randomised in</w:t>
            </w:r>
            <w:r w:rsidR="007053F4" w:rsidRPr="00A67611">
              <w:rPr>
                <w:rFonts w:eastAsia="Times New Roman"/>
                <w:snapToGrid w:val="0"/>
                <w:szCs w:val="20"/>
              </w:rPr>
              <w:t>to</w:t>
            </w:r>
            <w:r w:rsidRPr="00A67611">
              <w:rPr>
                <w:rFonts w:eastAsia="Times New Roman"/>
                <w:snapToGrid w:val="0"/>
                <w:szCs w:val="20"/>
              </w:rPr>
              <w:t xml:space="preserve"> Phase B.</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 xml:space="preserve">Extrapolation of effect was biased in favour of nabiximols by </w:t>
            </w:r>
            <w:r w:rsidR="00065870" w:rsidRPr="00A67611">
              <w:rPr>
                <w:rFonts w:eastAsia="Times New Roman" w:cs="Arial"/>
                <w:bCs w:val="0"/>
                <w:snapToGrid w:val="0"/>
                <w:szCs w:val="20"/>
              </w:rPr>
              <w:t xml:space="preserve">the assumption that standard </w:t>
            </w:r>
            <w:r w:rsidRPr="00A67611">
              <w:rPr>
                <w:rFonts w:eastAsia="Times New Roman" w:cs="Arial"/>
                <w:bCs w:val="0"/>
                <w:snapToGrid w:val="0"/>
                <w:szCs w:val="20"/>
              </w:rPr>
              <w:t>care patient’s spasticity worsens and stabilises for nabiximols treated patients (</w:t>
            </w:r>
            <w:r w:rsidR="003F4FF2">
              <w:rPr>
                <w:rFonts w:eastAsia="Times New Roman" w:cs="Arial"/>
                <w:bCs w:val="0"/>
                <w:snapToGrid w:val="0"/>
                <w:szCs w:val="20"/>
              </w:rPr>
              <w:t>Section</w:t>
            </w:r>
            <w:r w:rsidRPr="00A67611">
              <w:rPr>
                <w:rFonts w:eastAsia="Times New Roman" w:cs="Arial"/>
                <w:bCs w:val="0"/>
                <w:snapToGrid w:val="0"/>
                <w:szCs w:val="20"/>
              </w:rPr>
              <w:t>10).</w:t>
            </w:r>
          </w:p>
        </w:tc>
        <w:tc>
          <w:tcPr>
            <w:tcW w:w="2173" w:type="pct"/>
            <w:vAlign w:val="center"/>
          </w:tcPr>
          <w:p w:rsidR="00FA30CD" w:rsidRPr="00A67611" w:rsidRDefault="00FA30CD" w:rsidP="00D2119E">
            <w:pPr>
              <w:pStyle w:val="TableText0"/>
              <w:rPr>
                <w:rFonts w:eastAsia="Times New Roman" w:cs="Arial"/>
                <w:bCs w:val="0"/>
                <w:snapToGrid w:val="0"/>
                <w:szCs w:val="20"/>
              </w:rPr>
            </w:pPr>
            <w:r w:rsidRPr="00A67611">
              <w:rPr>
                <w:rFonts w:eastAsia="Times New Roman" w:cs="Arial"/>
                <w:bCs w:val="0"/>
                <w:snapToGrid w:val="0"/>
                <w:szCs w:val="20"/>
              </w:rPr>
              <w:t xml:space="preserve">No change in spasticity </w:t>
            </w:r>
            <w:r w:rsidR="00C64351" w:rsidRPr="00A67611">
              <w:rPr>
                <w:rFonts w:eastAsia="Times New Roman" w:cs="Arial"/>
                <w:bCs w:val="0"/>
                <w:snapToGrid w:val="0"/>
                <w:szCs w:val="20"/>
              </w:rPr>
              <w:t xml:space="preserve">over time was </w:t>
            </w:r>
            <w:r w:rsidRPr="00A67611">
              <w:rPr>
                <w:rFonts w:eastAsia="Times New Roman" w:cs="Arial"/>
                <w:bCs w:val="0"/>
                <w:snapToGrid w:val="0"/>
                <w:szCs w:val="20"/>
              </w:rPr>
              <w:t>assumed in resubmission</w:t>
            </w:r>
            <w:r w:rsidR="00C64351" w:rsidRPr="00A67611">
              <w:rPr>
                <w:rFonts w:eastAsia="Times New Roman" w:cs="Arial"/>
                <w:bCs w:val="0"/>
                <w:snapToGrid w:val="0"/>
                <w:szCs w:val="20"/>
              </w:rPr>
              <w:t xml:space="preserve"> for both treatment arms</w:t>
            </w:r>
            <w:r w:rsidR="002A766E" w:rsidRPr="00A67611">
              <w:rPr>
                <w:rFonts w:eastAsia="Times New Roman" w:cs="Arial"/>
                <w:bCs w:val="0"/>
                <w:snapToGrid w:val="0"/>
                <w:szCs w:val="20"/>
              </w:rPr>
              <w:t>.</w:t>
            </w:r>
            <w:r w:rsidRPr="00A67611">
              <w:rPr>
                <w:rFonts w:eastAsia="Times New Roman" w:cs="Arial"/>
                <w:bCs w:val="0"/>
                <w:snapToGrid w:val="0"/>
                <w:szCs w:val="20"/>
              </w:rPr>
              <w:t xml:space="preserve"> </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Efficacy in the supportive trials was not acco</w:t>
            </w:r>
            <w:r w:rsidR="00E475A8" w:rsidRPr="00A67611">
              <w:rPr>
                <w:rFonts w:eastAsia="Times New Roman" w:cs="Arial"/>
                <w:bCs w:val="0"/>
                <w:snapToGrid w:val="0"/>
                <w:szCs w:val="20"/>
              </w:rPr>
              <w:t>unted for in the model (</w:t>
            </w:r>
            <w:r w:rsidR="003F4FF2">
              <w:rPr>
                <w:rFonts w:eastAsia="Times New Roman" w:cs="Arial"/>
                <w:bCs w:val="0"/>
                <w:snapToGrid w:val="0"/>
                <w:szCs w:val="20"/>
              </w:rPr>
              <w:t xml:space="preserve">Section </w:t>
            </w:r>
            <w:r w:rsidR="00E475A8" w:rsidRPr="00A67611">
              <w:rPr>
                <w:rFonts w:eastAsia="Times New Roman" w:cs="Arial"/>
                <w:bCs w:val="0"/>
                <w:snapToGrid w:val="0"/>
                <w:szCs w:val="20"/>
              </w:rPr>
              <w:t>10</w:t>
            </w:r>
            <w:r w:rsidRPr="00A67611">
              <w:rPr>
                <w:rFonts w:eastAsia="Times New Roman" w:cs="Arial"/>
                <w:bCs w:val="0"/>
                <w:snapToGrid w:val="0"/>
                <w:szCs w:val="20"/>
              </w:rPr>
              <w:t>).</w:t>
            </w:r>
          </w:p>
        </w:tc>
        <w:tc>
          <w:tcPr>
            <w:tcW w:w="2173" w:type="pct"/>
            <w:vAlign w:val="center"/>
          </w:tcPr>
          <w:p w:rsidR="00FA30CD" w:rsidRPr="00A67611" w:rsidRDefault="00FA30CD" w:rsidP="00D2119E">
            <w:pPr>
              <w:pStyle w:val="TableText0"/>
              <w:rPr>
                <w:rFonts w:eastAsia="Times New Roman" w:cs="Arial"/>
                <w:bCs w:val="0"/>
                <w:snapToGrid w:val="0"/>
                <w:szCs w:val="20"/>
              </w:rPr>
            </w:pPr>
            <w:r w:rsidRPr="00A67611">
              <w:rPr>
                <w:rFonts w:eastAsia="Times New Roman" w:cs="Arial"/>
                <w:bCs w:val="0"/>
                <w:snapToGrid w:val="0"/>
                <w:szCs w:val="20"/>
              </w:rPr>
              <w:t>Not addressed.</w:t>
            </w:r>
          </w:p>
        </w:tc>
      </w:tr>
      <w:tr w:rsidR="00FA30CD" w:rsidRPr="00A67611" w:rsidTr="00407CE1">
        <w:trPr>
          <w:cantSplit/>
        </w:trPr>
        <w:tc>
          <w:tcPr>
            <w:tcW w:w="651" w:type="pct"/>
            <w:vMerge/>
            <w:vAlign w:val="center"/>
          </w:tcPr>
          <w:p w:rsidR="00FA30CD" w:rsidRPr="00A67611" w:rsidRDefault="00FA30CD" w:rsidP="00806AE4">
            <w:pPr>
              <w:pStyle w:val="TableText0"/>
            </w:pP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Adverse events were not included and disutilities from adverse ev</w:t>
            </w:r>
            <w:r w:rsidR="00E475A8" w:rsidRPr="00A67611">
              <w:rPr>
                <w:rFonts w:eastAsia="Times New Roman" w:cs="Arial"/>
                <w:bCs w:val="0"/>
                <w:snapToGrid w:val="0"/>
                <w:szCs w:val="20"/>
              </w:rPr>
              <w:t>ents were not included (</w:t>
            </w:r>
            <w:r w:rsidR="003F4FF2">
              <w:rPr>
                <w:rFonts w:eastAsia="Times New Roman" w:cs="Arial"/>
                <w:bCs w:val="0"/>
                <w:snapToGrid w:val="0"/>
                <w:szCs w:val="20"/>
              </w:rPr>
              <w:t>Section</w:t>
            </w:r>
            <w:r w:rsidR="00E475A8" w:rsidRPr="00A67611">
              <w:rPr>
                <w:rFonts w:eastAsia="Times New Roman" w:cs="Arial"/>
                <w:bCs w:val="0"/>
                <w:snapToGrid w:val="0"/>
                <w:szCs w:val="20"/>
              </w:rPr>
              <w:t xml:space="preserve"> 10</w:t>
            </w:r>
            <w:r w:rsidRPr="00A67611">
              <w:rPr>
                <w:rFonts w:eastAsia="Times New Roman" w:cs="Arial"/>
                <w:bCs w:val="0"/>
                <w:snapToGrid w:val="0"/>
                <w:szCs w:val="20"/>
              </w:rPr>
              <w:t>).</w:t>
            </w:r>
          </w:p>
        </w:tc>
        <w:tc>
          <w:tcPr>
            <w:tcW w:w="2173" w:type="pct"/>
            <w:vAlign w:val="center"/>
          </w:tcPr>
          <w:p w:rsidR="00FA30CD" w:rsidRPr="00A67611" w:rsidRDefault="000C73C6" w:rsidP="000C73C6">
            <w:pPr>
              <w:pStyle w:val="TableText0"/>
              <w:rPr>
                <w:rFonts w:eastAsia="Times New Roman" w:cs="Arial"/>
                <w:bCs w:val="0"/>
                <w:snapToGrid w:val="0"/>
                <w:szCs w:val="20"/>
              </w:rPr>
            </w:pPr>
            <w:r w:rsidRPr="00A67611">
              <w:rPr>
                <w:rFonts w:eastAsia="Times New Roman" w:cs="Arial"/>
                <w:bCs w:val="0"/>
                <w:snapToGrid w:val="0"/>
                <w:szCs w:val="20"/>
              </w:rPr>
              <w:t>A</w:t>
            </w:r>
            <w:r w:rsidR="00FA30CD" w:rsidRPr="00A67611">
              <w:rPr>
                <w:rFonts w:eastAsia="Times New Roman" w:cs="Arial"/>
                <w:bCs w:val="0"/>
                <w:snapToGrid w:val="0"/>
                <w:szCs w:val="20"/>
              </w:rPr>
              <w:t>dverse events and disutilities were costed and included, albeit from a separate meta-analysis by Wang 2008.</w:t>
            </w:r>
          </w:p>
        </w:tc>
      </w:tr>
      <w:tr w:rsidR="00FA30CD" w:rsidRPr="00A67611" w:rsidTr="00407CE1">
        <w:trPr>
          <w:cantSplit/>
        </w:trPr>
        <w:tc>
          <w:tcPr>
            <w:tcW w:w="651" w:type="pct"/>
            <w:vAlign w:val="center"/>
          </w:tcPr>
          <w:p w:rsidR="00FA30CD" w:rsidRPr="00A67611" w:rsidRDefault="00FA30CD" w:rsidP="00806AE4">
            <w:pPr>
              <w:pStyle w:val="TableText0"/>
            </w:pPr>
            <w:r w:rsidRPr="00A67611">
              <w:t>Financial analysis</w:t>
            </w:r>
          </w:p>
        </w:tc>
        <w:tc>
          <w:tcPr>
            <w:tcW w:w="2176" w:type="pct"/>
            <w:vAlign w:val="center"/>
          </w:tcPr>
          <w:p w:rsidR="00FA30CD" w:rsidRPr="00A67611" w:rsidRDefault="00FA30CD" w:rsidP="00E475A8">
            <w:pPr>
              <w:pStyle w:val="TableText0"/>
              <w:rPr>
                <w:rFonts w:eastAsia="Times New Roman" w:cs="Arial"/>
                <w:bCs w:val="0"/>
                <w:snapToGrid w:val="0"/>
                <w:szCs w:val="20"/>
              </w:rPr>
            </w:pPr>
            <w:r w:rsidRPr="00A67611">
              <w:rPr>
                <w:rFonts w:eastAsia="Times New Roman" w:cs="Arial"/>
                <w:bCs w:val="0"/>
                <w:snapToGrid w:val="0"/>
                <w:szCs w:val="20"/>
              </w:rPr>
              <w:t>Potential for wastage</w:t>
            </w:r>
            <w:r w:rsidR="00E475A8" w:rsidRPr="00A67611">
              <w:rPr>
                <w:rFonts w:eastAsia="Times New Roman" w:cs="Arial"/>
                <w:bCs w:val="0"/>
                <w:snapToGrid w:val="0"/>
                <w:szCs w:val="20"/>
              </w:rPr>
              <w:t xml:space="preserve"> was not accounted for (</w:t>
            </w:r>
            <w:r w:rsidR="00684892">
              <w:rPr>
                <w:rFonts w:eastAsia="Times New Roman" w:cs="Arial"/>
                <w:bCs w:val="0"/>
                <w:snapToGrid w:val="0"/>
                <w:szCs w:val="20"/>
              </w:rPr>
              <w:t>Section</w:t>
            </w:r>
            <w:r w:rsidR="00E475A8" w:rsidRPr="00A67611">
              <w:rPr>
                <w:rFonts w:eastAsia="Times New Roman" w:cs="Arial"/>
                <w:bCs w:val="0"/>
                <w:snapToGrid w:val="0"/>
                <w:szCs w:val="20"/>
              </w:rPr>
              <w:t xml:space="preserve"> 12</w:t>
            </w:r>
            <w:r w:rsidRPr="00A67611">
              <w:rPr>
                <w:rFonts w:eastAsia="Times New Roman" w:cs="Arial"/>
                <w:bCs w:val="0"/>
                <w:snapToGrid w:val="0"/>
                <w:szCs w:val="20"/>
              </w:rPr>
              <w:t>).</w:t>
            </w:r>
          </w:p>
        </w:tc>
        <w:tc>
          <w:tcPr>
            <w:tcW w:w="2173" w:type="pct"/>
            <w:vAlign w:val="center"/>
          </w:tcPr>
          <w:p w:rsidR="00FA30CD" w:rsidRPr="00A67611" w:rsidRDefault="00FA30CD" w:rsidP="00D2119E">
            <w:pPr>
              <w:pStyle w:val="TableText0"/>
              <w:rPr>
                <w:rFonts w:eastAsia="Times New Roman" w:cs="Arial"/>
                <w:bCs w:val="0"/>
                <w:snapToGrid w:val="0"/>
                <w:szCs w:val="20"/>
              </w:rPr>
            </w:pPr>
            <w:r w:rsidRPr="00A67611">
              <w:rPr>
                <w:rFonts w:eastAsia="Times New Roman" w:cs="Arial"/>
                <w:bCs w:val="0"/>
                <w:snapToGrid w:val="0"/>
                <w:szCs w:val="20"/>
              </w:rPr>
              <w:t>Not addressed.</w:t>
            </w:r>
          </w:p>
        </w:tc>
      </w:tr>
    </w:tbl>
    <w:p w:rsidR="00FA30CD" w:rsidRPr="00A67611" w:rsidRDefault="00A53FBF" w:rsidP="00FA30CD">
      <w:pPr>
        <w:pStyle w:val="TableFigureFooter"/>
      </w:pPr>
      <w:r>
        <w:t>Section</w:t>
      </w:r>
      <w:r w:rsidRPr="00A67611">
        <w:t xml:space="preserve"> </w:t>
      </w:r>
      <w:r w:rsidR="00FA30CD" w:rsidRPr="00A67611">
        <w:t>references refer to the 5-15 Nabiximols Public Summary Document (PSD) at the July 2013 PBAC Meeting</w:t>
      </w:r>
    </w:p>
    <w:p w:rsidR="00FA30CD" w:rsidRPr="00A67611" w:rsidRDefault="00FA30CD" w:rsidP="00FA30CD">
      <w:pPr>
        <w:pStyle w:val="TableFigureFooter"/>
      </w:pPr>
      <w:r w:rsidRPr="00A67611">
        <w:t>Source:</w:t>
      </w:r>
      <w:r w:rsidR="00B3028E">
        <w:t xml:space="preserve"> N</w:t>
      </w:r>
      <w:r w:rsidRPr="00A67611">
        <w:t>abiximols PSD, July 2013, PBAC Meeting and sections 1-4 of the resubmission.</w:t>
      </w:r>
    </w:p>
    <w:p w:rsidR="00FA30CD" w:rsidRPr="00A67611" w:rsidRDefault="00FA30CD" w:rsidP="00222A5E">
      <w:pPr>
        <w:pStyle w:val="2-SectionHeading"/>
        <w:keepLines/>
        <w:widowControl w:val="0"/>
      </w:pPr>
      <w:bookmarkStart w:id="12" w:name="_Toc27326481"/>
      <w:bookmarkStart w:id="13" w:name="_Toc30583485"/>
      <w:r w:rsidRPr="00A67611">
        <w:t>Requested listing</w:t>
      </w:r>
      <w:bookmarkEnd w:id="12"/>
      <w:bookmarkEnd w:id="13"/>
    </w:p>
    <w:p w:rsidR="00FA30CD" w:rsidRPr="00A67611" w:rsidRDefault="00C04285" w:rsidP="000F706A">
      <w:pPr>
        <w:pStyle w:val="3-BodyText"/>
      </w:pPr>
      <w:r w:rsidRPr="00A67611">
        <w:t xml:space="preserve">The proposed listing with Secretariat additions in italics and deletions in strikethrough is presented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1145"/>
        <w:gridCol w:w="1432"/>
      </w:tblGrid>
      <w:tr w:rsidR="00C04285" w:rsidRPr="00207CC9" w:rsidTr="00207CC9">
        <w:trPr>
          <w:cantSplit/>
          <w:trHeight w:val="471"/>
        </w:trPr>
        <w:tc>
          <w:tcPr>
            <w:tcW w:w="1506" w:type="pct"/>
          </w:tcPr>
          <w:p w:rsidR="00C04285" w:rsidRPr="00207CC9" w:rsidRDefault="00C04285" w:rsidP="00611ABF">
            <w:pPr>
              <w:keepNext/>
              <w:ind w:left="-108"/>
              <w:rPr>
                <w:rFonts w:ascii="Arial Narrow" w:hAnsi="Arial Narrow"/>
                <w:b/>
                <w:sz w:val="20"/>
                <w:szCs w:val="20"/>
              </w:rPr>
            </w:pPr>
            <w:r w:rsidRPr="00207CC9">
              <w:rPr>
                <w:rFonts w:ascii="Arial Narrow" w:hAnsi="Arial Narrow"/>
                <w:b/>
                <w:sz w:val="20"/>
                <w:szCs w:val="20"/>
              </w:rPr>
              <w:t>Name, Restriction,</w:t>
            </w:r>
          </w:p>
          <w:p w:rsidR="00C04285" w:rsidRPr="00207CC9" w:rsidRDefault="00C04285" w:rsidP="00611ABF">
            <w:pPr>
              <w:keepNext/>
              <w:ind w:left="-108"/>
              <w:rPr>
                <w:rFonts w:ascii="Arial Narrow" w:hAnsi="Arial Narrow"/>
                <w:b/>
                <w:sz w:val="20"/>
                <w:szCs w:val="20"/>
              </w:rPr>
            </w:pPr>
            <w:r w:rsidRPr="00207CC9">
              <w:rPr>
                <w:rFonts w:ascii="Arial Narrow" w:hAnsi="Arial Narrow"/>
                <w:b/>
                <w:sz w:val="20"/>
                <w:szCs w:val="20"/>
              </w:rPr>
              <w:t>Manner of administration and form</w:t>
            </w:r>
          </w:p>
        </w:tc>
        <w:tc>
          <w:tcPr>
            <w:tcW w:w="714"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PBS item code</w:t>
            </w:r>
          </w:p>
        </w:tc>
        <w:tc>
          <w:tcPr>
            <w:tcW w:w="477"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Max. qty packs</w:t>
            </w:r>
          </w:p>
        </w:tc>
        <w:tc>
          <w:tcPr>
            <w:tcW w:w="476"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Max. qty units</w:t>
            </w:r>
          </w:p>
        </w:tc>
        <w:tc>
          <w:tcPr>
            <w:tcW w:w="397"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№.of</w:t>
            </w:r>
          </w:p>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Rpts</w:t>
            </w:r>
          </w:p>
        </w:tc>
        <w:tc>
          <w:tcPr>
            <w:tcW w:w="1429" w:type="pct"/>
            <w:gridSpan w:val="2"/>
          </w:tcPr>
          <w:p w:rsidR="00C04285" w:rsidRPr="00207CC9" w:rsidRDefault="00C04285" w:rsidP="00611ABF">
            <w:pPr>
              <w:keepNext/>
              <w:rPr>
                <w:rFonts w:ascii="Arial Narrow" w:hAnsi="Arial Narrow"/>
                <w:b/>
                <w:sz w:val="20"/>
                <w:szCs w:val="20"/>
              </w:rPr>
            </w:pPr>
            <w:r w:rsidRPr="00207CC9">
              <w:rPr>
                <w:rFonts w:ascii="Arial Narrow" w:hAnsi="Arial Narrow"/>
                <w:b/>
                <w:sz w:val="20"/>
                <w:szCs w:val="20"/>
              </w:rPr>
              <w:t>Proprietary Name and Manufacturer</w:t>
            </w:r>
          </w:p>
        </w:tc>
      </w:tr>
      <w:tr w:rsidR="00C04285" w:rsidRPr="00207CC9" w:rsidTr="00207CC9">
        <w:trPr>
          <w:cantSplit/>
          <w:trHeight w:val="297"/>
        </w:trPr>
        <w:tc>
          <w:tcPr>
            <w:tcW w:w="1506" w:type="pct"/>
          </w:tcPr>
          <w:p w:rsidR="00C04285" w:rsidRPr="00207CC9" w:rsidRDefault="00C04285" w:rsidP="00611ABF">
            <w:pPr>
              <w:keepNext/>
              <w:ind w:left="-108"/>
              <w:rPr>
                <w:rFonts w:ascii="Arial Narrow" w:hAnsi="Arial Narrow"/>
                <w:sz w:val="20"/>
                <w:szCs w:val="20"/>
              </w:rPr>
            </w:pPr>
            <w:r w:rsidRPr="00207CC9">
              <w:rPr>
                <w:rFonts w:ascii="Arial Narrow" w:hAnsi="Arial Narrow"/>
                <w:sz w:val="20"/>
                <w:szCs w:val="20"/>
              </w:rPr>
              <w:t>NABIXIMOLS</w:t>
            </w:r>
          </w:p>
          <w:p w:rsidR="00C04285" w:rsidRPr="00207CC9" w:rsidRDefault="00C04285" w:rsidP="00611ABF">
            <w:pPr>
              <w:keepNext/>
              <w:ind w:left="-108"/>
              <w:rPr>
                <w:rFonts w:ascii="Arial Narrow" w:hAnsi="Arial Narrow"/>
                <w:sz w:val="20"/>
                <w:szCs w:val="20"/>
              </w:rPr>
            </w:pPr>
            <w:r w:rsidRPr="00207CC9">
              <w:rPr>
                <w:rFonts w:ascii="Arial Narrow" w:hAnsi="Arial Narrow"/>
                <w:sz w:val="20"/>
                <w:szCs w:val="20"/>
              </w:rPr>
              <w:t>80 mg/mL spray, 3 x 10 mL</w:t>
            </w:r>
          </w:p>
        </w:tc>
        <w:tc>
          <w:tcPr>
            <w:tcW w:w="714" w:type="pct"/>
          </w:tcPr>
          <w:p w:rsidR="00C04285" w:rsidRPr="00207CC9" w:rsidRDefault="00C04285" w:rsidP="00611ABF">
            <w:pPr>
              <w:keepNext/>
              <w:ind w:left="-108"/>
              <w:jc w:val="center"/>
              <w:rPr>
                <w:rFonts w:ascii="Arial Narrow" w:hAnsi="Arial Narrow"/>
                <w:sz w:val="20"/>
                <w:szCs w:val="20"/>
              </w:rPr>
            </w:pPr>
          </w:p>
          <w:p w:rsidR="00C04285" w:rsidRPr="00207CC9" w:rsidRDefault="00C04285" w:rsidP="00611ABF">
            <w:pPr>
              <w:keepNext/>
              <w:ind w:left="-108"/>
              <w:jc w:val="center"/>
              <w:rPr>
                <w:rFonts w:ascii="Arial Narrow" w:hAnsi="Arial Narrow"/>
                <w:sz w:val="20"/>
                <w:szCs w:val="20"/>
              </w:rPr>
            </w:pPr>
            <w:r w:rsidRPr="00207CC9">
              <w:rPr>
                <w:rFonts w:ascii="Arial Narrow" w:hAnsi="Arial Narrow"/>
                <w:sz w:val="20"/>
                <w:szCs w:val="20"/>
              </w:rPr>
              <w:t>NEW</w:t>
            </w:r>
          </w:p>
        </w:tc>
        <w:tc>
          <w:tcPr>
            <w:tcW w:w="477" w:type="pct"/>
          </w:tcPr>
          <w:p w:rsidR="00C04285" w:rsidRPr="00207CC9" w:rsidRDefault="00C04285" w:rsidP="00611ABF">
            <w:pPr>
              <w:keepNext/>
              <w:jc w:val="center"/>
              <w:rPr>
                <w:rFonts w:ascii="Arial Narrow" w:hAnsi="Arial Narrow"/>
                <w:sz w:val="20"/>
                <w:szCs w:val="20"/>
              </w:rPr>
            </w:pPr>
          </w:p>
          <w:p w:rsidR="00C04285" w:rsidRPr="00207CC9" w:rsidRDefault="00C04285" w:rsidP="00611ABF">
            <w:pPr>
              <w:keepNext/>
              <w:jc w:val="center"/>
              <w:rPr>
                <w:rFonts w:ascii="Arial Narrow" w:hAnsi="Arial Narrow"/>
                <w:sz w:val="20"/>
                <w:szCs w:val="20"/>
              </w:rPr>
            </w:pPr>
            <w:r w:rsidRPr="00207CC9">
              <w:rPr>
                <w:rFonts w:ascii="Arial Narrow" w:hAnsi="Arial Narrow"/>
                <w:sz w:val="20"/>
                <w:szCs w:val="20"/>
              </w:rPr>
              <w:t>1</w:t>
            </w:r>
          </w:p>
        </w:tc>
        <w:tc>
          <w:tcPr>
            <w:tcW w:w="476" w:type="pct"/>
          </w:tcPr>
          <w:p w:rsidR="00C04285" w:rsidRPr="00207CC9" w:rsidRDefault="00C04285" w:rsidP="00611ABF">
            <w:pPr>
              <w:keepNext/>
              <w:ind w:left="-108"/>
              <w:jc w:val="center"/>
              <w:rPr>
                <w:rFonts w:ascii="Arial Narrow" w:hAnsi="Arial Narrow"/>
                <w:sz w:val="20"/>
                <w:szCs w:val="20"/>
              </w:rPr>
            </w:pPr>
          </w:p>
          <w:p w:rsidR="00C04285" w:rsidRPr="00207CC9" w:rsidRDefault="00651DF8" w:rsidP="00611ABF">
            <w:pPr>
              <w:keepNext/>
              <w:ind w:left="-108"/>
              <w:jc w:val="center"/>
              <w:rPr>
                <w:rFonts w:ascii="Arial Narrow" w:hAnsi="Arial Narrow"/>
                <w:i/>
                <w:sz w:val="20"/>
                <w:szCs w:val="20"/>
              </w:rPr>
            </w:pPr>
            <w:r w:rsidRPr="00207CC9">
              <w:rPr>
                <w:rFonts w:ascii="Arial Narrow" w:hAnsi="Arial Narrow"/>
                <w:sz w:val="20"/>
                <w:szCs w:val="20"/>
              </w:rPr>
              <w:t>3</w:t>
            </w:r>
          </w:p>
        </w:tc>
        <w:tc>
          <w:tcPr>
            <w:tcW w:w="397" w:type="pct"/>
          </w:tcPr>
          <w:p w:rsidR="00C04285" w:rsidRPr="00207CC9" w:rsidRDefault="00C04285" w:rsidP="00611ABF">
            <w:pPr>
              <w:keepNext/>
              <w:ind w:left="-108"/>
              <w:jc w:val="center"/>
              <w:rPr>
                <w:rFonts w:ascii="Arial Narrow" w:hAnsi="Arial Narrow"/>
                <w:sz w:val="20"/>
                <w:szCs w:val="20"/>
              </w:rPr>
            </w:pPr>
          </w:p>
          <w:p w:rsidR="00C04285" w:rsidRPr="00207CC9" w:rsidRDefault="00C04285" w:rsidP="00611ABF">
            <w:pPr>
              <w:keepNext/>
              <w:ind w:left="-108"/>
              <w:jc w:val="center"/>
              <w:rPr>
                <w:rFonts w:ascii="Arial Narrow" w:hAnsi="Arial Narrow"/>
                <w:sz w:val="20"/>
                <w:szCs w:val="20"/>
              </w:rPr>
            </w:pPr>
            <w:r w:rsidRPr="00207CC9">
              <w:rPr>
                <w:rFonts w:ascii="Arial Narrow" w:hAnsi="Arial Narrow"/>
                <w:sz w:val="20"/>
                <w:szCs w:val="20"/>
              </w:rPr>
              <w:t>0</w:t>
            </w:r>
          </w:p>
          <w:p w:rsidR="00C04285" w:rsidRPr="00207CC9" w:rsidRDefault="00C04285" w:rsidP="00611ABF">
            <w:pPr>
              <w:keepNext/>
              <w:rPr>
                <w:rFonts w:ascii="Arial Narrow" w:hAnsi="Arial Narrow"/>
                <w:sz w:val="20"/>
                <w:szCs w:val="20"/>
              </w:rPr>
            </w:pPr>
          </w:p>
        </w:tc>
        <w:tc>
          <w:tcPr>
            <w:tcW w:w="635" w:type="pct"/>
          </w:tcPr>
          <w:p w:rsidR="00C04285" w:rsidRPr="00207CC9" w:rsidRDefault="00C04285" w:rsidP="00611ABF">
            <w:pPr>
              <w:keepNext/>
              <w:rPr>
                <w:rFonts w:ascii="Arial Narrow" w:hAnsi="Arial Narrow"/>
                <w:sz w:val="20"/>
                <w:szCs w:val="20"/>
              </w:rPr>
            </w:pPr>
          </w:p>
          <w:p w:rsidR="00C04285" w:rsidRPr="00207CC9" w:rsidRDefault="00C04285" w:rsidP="00611ABF">
            <w:pPr>
              <w:keepNext/>
              <w:rPr>
                <w:rFonts w:ascii="Arial Narrow" w:hAnsi="Arial Narrow"/>
                <w:sz w:val="20"/>
                <w:szCs w:val="20"/>
              </w:rPr>
            </w:pPr>
            <w:r w:rsidRPr="00207CC9">
              <w:rPr>
                <w:rFonts w:ascii="Arial Narrow" w:hAnsi="Arial Narrow"/>
                <w:sz w:val="20"/>
                <w:szCs w:val="20"/>
              </w:rPr>
              <w:t>Sativex</w:t>
            </w:r>
            <w:r w:rsidRPr="00207CC9">
              <w:rPr>
                <w:rFonts w:ascii="Arial Narrow" w:hAnsi="Arial Narrow"/>
                <w:sz w:val="20"/>
                <w:szCs w:val="20"/>
                <w:vertAlign w:val="superscript"/>
              </w:rPr>
              <w:t>®</w:t>
            </w:r>
          </w:p>
        </w:tc>
        <w:tc>
          <w:tcPr>
            <w:tcW w:w="794" w:type="pct"/>
          </w:tcPr>
          <w:p w:rsidR="00C04285" w:rsidRPr="00207CC9" w:rsidRDefault="00C04285" w:rsidP="00611ABF">
            <w:pPr>
              <w:keepNext/>
              <w:rPr>
                <w:rFonts w:ascii="Arial Narrow" w:hAnsi="Arial Narrow"/>
                <w:sz w:val="20"/>
                <w:szCs w:val="20"/>
              </w:rPr>
            </w:pPr>
            <w:r w:rsidRPr="00207CC9">
              <w:rPr>
                <w:rFonts w:ascii="Arial Narrow" w:hAnsi="Arial Narrow"/>
                <w:sz w:val="20"/>
                <w:szCs w:val="20"/>
              </w:rPr>
              <w:t>Emerge Health Pty Ltd</w:t>
            </w:r>
          </w:p>
        </w:tc>
      </w:tr>
    </w:tbl>
    <w:p w:rsidR="00C04285" w:rsidRPr="00A67611" w:rsidRDefault="00C04285" w:rsidP="00C04285">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8A70E3" w:rsidRPr="00207CC9" w:rsidTr="00207CC9">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770851">
            <w:pPr>
              <w:keepNext/>
              <w:keepLines/>
              <w:rPr>
                <w:rFonts w:ascii="Arial Narrow" w:hAnsi="Arial Narrow"/>
                <w:sz w:val="20"/>
                <w:szCs w:val="20"/>
              </w:rPr>
            </w:pPr>
            <w:r w:rsidRPr="00207CC9">
              <w:rPr>
                <w:rFonts w:ascii="Arial Narrow" w:hAnsi="Arial Narrow"/>
                <w:b/>
                <w:sz w:val="20"/>
                <w:szCs w:val="20"/>
              </w:rPr>
              <w:lastRenderedPageBreak/>
              <w:t>Category / Program:</w:t>
            </w:r>
          </w:p>
          <w:p w:rsidR="008A70E3" w:rsidRPr="00207CC9" w:rsidRDefault="008A70E3" w:rsidP="00770851">
            <w:pPr>
              <w:keepNext/>
              <w:keepLines/>
              <w:rPr>
                <w:rFonts w:ascii="Arial Narrow" w:hAnsi="Arial Narrow"/>
                <w:i/>
                <w:sz w:val="20"/>
                <w:szCs w:val="20"/>
              </w:rPr>
            </w:pPr>
            <w:r w:rsidRPr="00207CC9">
              <w:rPr>
                <w:rFonts w:ascii="Arial Narrow" w:hAnsi="Arial Narrow"/>
                <w:i/>
                <w:sz w:val="20"/>
                <w:szCs w:val="20"/>
              </w:rPr>
              <w:t>General Schedule</w:t>
            </w:r>
          </w:p>
          <w:p w:rsidR="008A70E3" w:rsidRPr="00207CC9" w:rsidRDefault="008A70E3" w:rsidP="00770851">
            <w:pPr>
              <w:keepNext/>
              <w:keepLines/>
              <w:rPr>
                <w:rFonts w:ascii="Arial Narrow" w:hAnsi="Arial Narrow"/>
                <w:sz w:val="20"/>
                <w:szCs w:val="20"/>
              </w:rPr>
            </w:pPr>
            <w:r w:rsidRPr="00207CC9">
              <w:rPr>
                <w:rFonts w:ascii="Arial Narrow" w:hAnsi="Arial Narrow"/>
                <w:strike/>
                <w:sz w:val="20"/>
                <w:szCs w:val="20"/>
              </w:rPr>
              <w:t>Section 100 – Highly Specialised Drugs Program (Community Access)</w:t>
            </w:r>
          </w:p>
        </w:tc>
      </w:tr>
      <w:tr w:rsidR="008A70E3" w:rsidRPr="00207CC9" w:rsidTr="00207CC9">
        <w:trPr>
          <w:trHeight w:val="240"/>
        </w:trPr>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611ABF">
            <w:pPr>
              <w:rPr>
                <w:rFonts w:ascii="Arial Narrow" w:hAnsi="Arial Narrow"/>
                <w:b/>
                <w:sz w:val="20"/>
                <w:szCs w:val="20"/>
              </w:rPr>
            </w:pPr>
            <w:r w:rsidRPr="00207CC9">
              <w:rPr>
                <w:rFonts w:ascii="Arial Narrow" w:hAnsi="Arial Narrow"/>
                <w:b/>
                <w:sz w:val="20"/>
                <w:szCs w:val="20"/>
              </w:rPr>
              <w:t xml:space="preserve">Prescriber type:   </w:t>
            </w: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 xml:space="preserve">Dental   </w:t>
            </w:r>
            <w:r w:rsidRPr="00207CC9">
              <w:rPr>
                <w:rFonts w:ascii="Arial Narrow" w:hAnsi="Arial Narrow"/>
                <w:sz w:val="20"/>
                <w:szCs w:val="20"/>
              </w:rPr>
              <w:fldChar w:fldCharType="begin">
                <w:ffData>
                  <w:name w:val=""/>
                  <w:enabled/>
                  <w:calcOnExit w:val="0"/>
                  <w:checkBox>
                    <w:sizeAuto/>
                    <w:default w:val="1"/>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 xml:space="preserve">Medical Practitioners   </w:t>
            </w:r>
            <w:r w:rsidRPr="00207CC9">
              <w:rPr>
                <w:rFonts w:ascii="Arial Narrow" w:hAnsi="Arial Narrow"/>
                <w:sz w:val="20"/>
                <w:szCs w:val="20"/>
              </w:rPr>
              <w:fldChar w:fldCharType="begin">
                <w:ffData>
                  <w:name w:val="Check3"/>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Nurse practitioners</w:t>
            </w:r>
            <w:r w:rsidR="004A22B4">
              <w:rPr>
                <w:rFonts w:ascii="Arial Narrow" w:hAnsi="Arial Narrow"/>
                <w:sz w:val="20"/>
                <w:szCs w:val="20"/>
              </w:rPr>
              <w:t xml:space="preserve">   </w:t>
            </w:r>
            <w:r w:rsidRPr="00207CC9">
              <w:rPr>
                <w:rFonts w:ascii="Arial Narrow" w:hAnsi="Arial Narrow"/>
                <w:sz w:val="20"/>
                <w:szCs w:val="20"/>
              </w:rPr>
              <w:fldChar w:fldCharType="begin">
                <w:ffData>
                  <w:name w:val=""/>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Optometrists</w:t>
            </w:r>
            <w:r w:rsidR="004A22B4">
              <w:rPr>
                <w:rFonts w:ascii="Arial Narrow" w:hAnsi="Arial Narrow"/>
                <w:sz w:val="20"/>
                <w:szCs w:val="20"/>
              </w:rPr>
              <w:t xml:space="preserve">  </w:t>
            </w:r>
            <w:r w:rsidRPr="00207CC9">
              <w:rPr>
                <w:rFonts w:ascii="Arial Narrow" w:hAnsi="Arial Narrow"/>
                <w:sz w:val="20"/>
                <w:szCs w:val="20"/>
              </w:rPr>
              <w:t xml:space="preserve"> </w:t>
            </w:r>
            <w:r w:rsidRPr="00207CC9">
              <w:rPr>
                <w:rFonts w:ascii="Arial Narrow" w:hAnsi="Arial Narrow"/>
                <w:sz w:val="20"/>
                <w:szCs w:val="20"/>
              </w:rPr>
              <w:fldChar w:fldCharType="begin">
                <w:ffData>
                  <w:name w:val="Check5"/>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Midwives</w:t>
            </w:r>
          </w:p>
        </w:tc>
      </w:tr>
      <w:tr w:rsidR="008A70E3" w:rsidRPr="00207CC9" w:rsidTr="00207CC9">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611ABF">
            <w:pPr>
              <w:rPr>
                <w:rFonts w:ascii="Arial Narrow" w:hAnsi="Arial Narrow"/>
                <w:b/>
                <w:sz w:val="20"/>
                <w:szCs w:val="20"/>
              </w:rPr>
            </w:pPr>
            <w:r w:rsidRPr="00207CC9">
              <w:rPr>
                <w:rFonts w:ascii="Arial Narrow" w:hAnsi="Arial Narrow"/>
                <w:b/>
                <w:sz w:val="20"/>
                <w:szCs w:val="20"/>
              </w:rPr>
              <w:t>Restriction Level / Method:</w:t>
            </w:r>
          </w:p>
          <w:p w:rsidR="008A70E3" w:rsidRPr="00207CC9" w:rsidRDefault="008A70E3" w:rsidP="00611ABF">
            <w:pPr>
              <w:rPr>
                <w:rFonts w:ascii="Arial Narrow" w:hAnsi="Arial Narrow"/>
                <w:sz w:val="20"/>
                <w:szCs w:val="20"/>
              </w:rPr>
            </w:pP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Unrestricted benefit</w:t>
            </w:r>
          </w:p>
          <w:p w:rsidR="008A70E3" w:rsidRPr="00207CC9" w:rsidRDefault="008A70E3" w:rsidP="00611ABF">
            <w:pPr>
              <w:rPr>
                <w:rFonts w:ascii="Arial Narrow" w:hAnsi="Arial Narrow"/>
                <w:sz w:val="20"/>
                <w:szCs w:val="20"/>
              </w:rPr>
            </w:pP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Restricted benefit</w:t>
            </w:r>
          </w:p>
          <w:p w:rsidR="008A70E3" w:rsidRPr="00207CC9" w:rsidRDefault="008A70E3" w:rsidP="00611ABF">
            <w:pPr>
              <w:rPr>
                <w:rFonts w:ascii="Arial Narrow" w:hAnsi="Arial Narrow"/>
                <w:sz w:val="20"/>
                <w:szCs w:val="20"/>
              </w:rPr>
            </w:pPr>
            <w:r w:rsidRPr="00207CC9">
              <w:rPr>
                <w:rFonts w:ascii="Arial Narrow" w:hAnsi="Arial Narrow"/>
                <w:sz w:val="20"/>
                <w:szCs w:val="20"/>
              </w:rPr>
              <w:fldChar w:fldCharType="begin">
                <w:ffData>
                  <w:name w:val=""/>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Authority Required – In Writing</w:t>
            </w:r>
          </w:p>
          <w:p w:rsidR="008A70E3" w:rsidRPr="00207CC9" w:rsidRDefault="008A70E3" w:rsidP="00611ABF">
            <w:pPr>
              <w:rPr>
                <w:rFonts w:ascii="Arial Narrow" w:hAnsi="Arial Narrow"/>
                <w:i/>
                <w:sz w:val="20"/>
                <w:szCs w:val="20"/>
              </w:rPr>
            </w:pPr>
            <w:r w:rsidRPr="00207CC9">
              <w:rPr>
                <w:rFonts w:ascii="Arial Narrow" w:hAnsi="Arial Narrow"/>
                <w:sz w:val="20"/>
                <w:szCs w:val="20"/>
              </w:rPr>
              <w:fldChar w:fldCharType="begin">
                <w:ffData>
                  <w:name w:val=""/>
                  <w:enabled/>
                  <w:calcOnExit w:val="0"/>
                  <w:checkBox>
                    <w:sizeAuto/>
                    <w:default w:val="1"/>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i/>
                <w:sz w:val="20"/>
                <w:szCs w:val="20"/>
              </w:rPr>
              <w:t>Authority Required – Telephone/Electronic/Emergency</w:t>
            </w:r>
          </w:p>
          <w:p w:rsidR="008A70E3" w:rsidRPr="00207CC9" w:rsidRDefault="008A70E3" w:rsidP="00611ABF">
            <w:pPr>
              <w:rPr>
                <w:rFonts w:ascii="Arial Narrow" w:hAnsi="Arial Narrow"/>
                <w:sz w:val="20"/>
                <w:szCs w:val="20"/>
              </w:rPr>
            </w:pPr>
            <w:r w:rsidRPr="00207CC9">
              <w:rPr>
                <w:rFonts w:ascii="Arial Narrow" w:hAnsi="Arial Narrow"/>
                <w:sz w:val="20"/>
                <w:szCs w:val="20"/>
              </w:rPr>
              <w:fldChar w:fldCharType="begin">
                <w:ffData>
                  <w:name w:val=""/>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trike/>
                <w:sz w:val="20"/>
                <w:szCs w:val="20"/>
              </w:rPr>
              <w:t>Authority Required - Streamlined</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 xml:space="preserve">Severity: </w:t>
            </w:r>
            <w:r w:rsidRPr="00207CC9">
              <w:rPr>
                <w:rFonts w:ascii="Arial Narrow" w:hAnsi="Arial Narrow"/>
                <w:i/>
                <w:sz w:val="20"/>
                <w:szCs w:val="20"/>
              </w:rPr>
              <w:t>Moderate to severe</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 xml:space="preserve">Condition: </w:t>
            </w:r>
            <w:r w:rsidRPr="00207CC9">
              <w:rPr>
                <w:rFonts w:ascii="Arial Narrow" w:hAnsi="Arial Narrow"/>
                <w:strike/>
                <w:sz w:val="20"/>
                <w:szCs w:val="20"/>
              </w:rPr>
              <w:t>Multiple sclerosis related spasticity</w:t>
            </w:r>
            <w:r w:rsidRPr="00207CC9">
              <w:rPr>
                <w:rFonts w:ascii="Arial Narrow" w:hAnsi="Arial Narrow"/>
                <w:sz w:val="20"/>
                <w:szCs w:val="20"/>
              </w:rPr>
              <w:t xml:space="preserve"> spasticity</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Indication:</w:t>
            </w:r>
            <w:r w:rsidRPr="00207CC9">
              <w:rPr>
                <w:rFonts w:ascii="Arial Narrow" w:hAnsi="Arial Narrow"/>
                <w:color w:val="333333"/>
                <w:sz w:val="20"/>
                <w:szCs w:val="20"/>
              </w:rPr>
              <w:t xml:space="preserve"> </w:t>
            </w:r>
            <w:r w:rsidRPr="00207CC9">
              <w:rPr>
                <w:rFonts w:ascii="Arial Narrow" w:hAnsi="Arial Narrow"/>
                <w:strike/>
                <w:sz w:val="20"/>
                <w:szCs w:val="20"/>
              </w:rPr>
              <w:t xml:space="preserve">Multiple sclerosis related spasticity </w:t>
            </w:r>
            <w:r w:rsidRPr="00207CC9">
              <w:rPr>
                <w:rFonts w:ascii="Arial Narrow" w:hAnsi="Arial Narrow"/>
                <w:i/>
                <w:sz w:val="20"/>
                <w:szCs w:val="20"/>
              </w:rPr>
              <w:t>Moderate to severe spasticity</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Treatment Phase:</w:t>
            </w:r>
            <w:r w:rsidRPr="00207CC9">
              <w:rPr>
                <w:rFonts w:ascii="Arial Narrow" w:hAnsi="Arial Narrow"/>
                <w:color w:val="333333"/>
                <w:sz w:val="20"/>
                <w:szCs w:val="20"/>
              </w:rPr>
              <w:t xml:space="preserve"> </w:t>
            </w:r>
            <w:r w:rsidRPr="00207CC9">
              <w:rPr>
                <w:rFonts w:ascii="Arial Narrow" w:hAnsi="Arial Narrow"/>
                <w:sz w:val="20"/>
                <w:szCs w:val="20"/>
              </w:rPr>
              <w:t>Initial treatment</w:t>
            </w:r>
          </w:p>
        </w:tc>
      </w:tr>
      <w:tr w:rsidR="008A70E3" w:rsidRPr="00207CC9" w:rsidTr="00207CC9">
        <w:tc>
          <w:tcPr>
            <w:tcW w:w="5000" w:type="pct"/>
            <w:vAlign w:val="center"/>
            <w:hideMark/>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Clinical criteria:</w:t>
            </w:r>
          </w:p>
          <w:p w:rsidR="008A70E3" w:rsidRPr="00207CC9" w:rsidRDefault="008A70E3" w:rsidP="00611ABF">
            <w:pPr>
              <w:rPr>
                <w:rFonts w:ascii="Arial Narrow" w:hAnsi="Arial Narrow"/>
                <w:strike/>
                <w:sz w:val="20"/>
                <w:szCs w:val="20"/>
              </w:rPr>
            </w:pPr>
            <w:r w:rsidRPr="00207CC9">
              <w:rPr>
                <w:rFonts w:ascii="Arial Narrow" w:hAnsi="Arial Narrow"/>
                <w:strike/>
                <w:sz w:val="20"/>
                <w:szCs w:val="20"/>
              </w:rPr>
              <w:t>Patient must not have adequately responded to oral anti-spasticity agents</w:t>
            </w:r>
          </w:p>
          <w:p w:rsidR="008A70E3" w:rsidRPr="00207CC9" w:rsidRDefault="008A70E3" w:rsidP="00611ABF">
            <w:pPr>
              <w:rPr>
                <w:rFonts w:ascii="Arial Narrow" w:hAnsi="Arial Narrow"/>
                <w:strike/>
                <w:sz w:val="20"/>
                <w:szCs w:val="20"/>
              </w:rPr>
            </w:pPr>
            <w:r w:rsidRPr="00207CC9">
              <w:rPr>
                <w:rFonts w:ascii="Arial Narrow" w:hAnsi="Arial Narrow"/>
                <w:strike/>
                <w:sz w:val="20"/>
                <w:szCs w:val="20"/>
              </w:rPr>
              <w:t>AND</w:t>
            </w:r>
          </w:p>
          <w:p w:rsidR="008A70E3" w:rsidRPr="00207CC9" w:rsidRDefault="008A70E3" w:rsidP="00611ABF">
            <w:pPr>
              <w:rPr>
                <w:rFonts w:ascii="Arial Narrow" w:hAnsi="Arial Narrow"/>
                <w:i/>
                <w:strike/>
                <w:sz w:val="20"/>
                <w:szCs w:val="20"/>
              </w:rPr>
            </w:pPr>
            <w:r w:rsidRPr="00207CC9">
              <w:rPr>
                <w:rFonts w:ascii="Arial Narrow" w:hAnsi="Arial Narrow"/>
                <w:strike/>
                <w:sz w:val="20"/>
                <w:szCs w:val="20"/>
              </w:rPr>
              <w:t>The treatment must be adjunctive treatment</w:t>
            </w:r>
          </w:p>
        </w:tc>
      </w:tr>
      <w:tr w:rsidR="008A70E3" w:rsidRPr="00207CC9" w:rsidTr="00207CC9">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Patient must have spasticity due to multiple sclerosis</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Patient must have moderate to severe spasticity, as defined by a numeric rating scale score of 4 or greater</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The treatment must be as adjunctive therapy following an inadequate response to prior anti-spasticity treatment</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Treatment criteria:</w:t>
            </w:r>
          </w:p>
        </w:tc>
      </w:tr>
      <w:tr w:rsidR="008A70E3" w:rsidRPr="00207CC9" w:rsidTr="00207CC9">
        <w:tc>
          <w:tcPr>
            <w:tcW w:w="5000" w:type="pct"/>
            <w:vAlign w:val="center"/>
            <w:hideMark/>
          </w:tcPr>
          <w:p w:rsidR="008A70E3" w:rsidRPr="00207CC9" w:rsidRDefault="008A70E3" w:rsidP="00611ABF">
            <w:pPr>
              <w:autoSpaceDE w:val="0"/>
              <w:autoSpaceDN w:val="0"/>
              <w:adjustRightInd w:val="0"/>
              <w:rPr>
                <w:rFonts w:ascii="Arial Narrow" w:hAnsi="Arial Narrow" w:cs="Arial Narrow"/>
                <w:i/>
                <w:iCs/>
                <w:sz w:val="20"/>
                <w:szCs w:val="20"/>
              </w:rPr>
            </w:pPr>
            <w:r w:rsidRPr="00207CC9">
              <w:rPr>
                <w:rFonts w:ascii="Arial Narrow" w:hAnsi="Arial Narrow"/>
                <w:sz w:val="20"/>
                <w:szCs w:val="20"/>
              </w:rPr>
              <w:t>Must be treated by a neurologist or rehabilitation physician.</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Population criteria:</w:t>
            </w:r>
          </w:p>
          <w:p w:rsidR="008A70E3" w:rsidRPr="00207CC9" w:rsidRDefault="008A70E3" w:rsidP="00611ABF">
            <w:pPr>
              <w:rPr>
                <w:rFonts w:ascii="Arial Narrow" w:hAnsi="Arial Narrow"/>
                <w:color w:val="333333"/>
                <w:sz w:val="20"/>
                <w:szCs w:val="20"/>
              </w:rPr>
            </w:pPr>
            <w:r w:rsidRPr="00207CC9">
              <w:rPr>
                <w:rFonts w:ascii="Arial Narrow" w:hAnsi="Arial Narrow"/>
                <w:strike/>
                <w:sz w:val="20"/>
                <w:szCs w:val="20"/>
              </w:rPr>
              <w:t>Patient must be experiencing moderate to severe spasticity</w:t>
            </w:r>
          </w:p>
        </w:tc>
      </w:tr>
      <w:tr w:rsidR="008A70E3" w:rsidRPr="00207CC9" w:rsidTr="00207CC9">
        <w:tc>
          <w:tcPr>
            <w:tcW w:w="5000" w:type="pct"/>
            <w:vAlign w:val="center"/>
            <w:hideMark/>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Administrative Advice:</w:t>
            </w:r>
          </w:p>
          <w:p w:rsidR="008A70E3" w:rsidRPr="00207CC9" w:rsidRDefault="008A70E3" w:rsidP="00611ABF">
            <w:pPr>
              <w:rPr>
                <w:rFonts w:ascii="Arial Narrow" w:hAnsi="Arial Narrow"/>
                <w:i/>
                <w:sz w:val="20"/>
                <w:szCs w:val="20"/>
              </w:rPr>
            </w:pPr>
            <w:r w:rsidRPr="00207CC9">
              <w:rPr>
                <w:rFonts w:ascii="Arial Narrow" w:hAnsi="Arial Narrow"/>
                <w:i/>
                <w:sz w:val="20"/>
                <w:szCs w:val="20"/>
              </w:rPr>
              <w:t>No increase in the maximum quantity or number of units may be authorised.</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i/>
                <w:sz w:val="20"/>
                <w:szCs w:val="20"/>
              </w:rPr>
              <w:t>No increase in the maximum number of repeats may be authorised.</w:t>
            </w:r>
          </w:p>
        </w:tc>
      </w:tr>
      <w:tr w:rsidR="008A70E3" w:rsidRPr="00207CC9" w:rsidTr="00207CC9">
        <w:trPr>
          <w:trHeight w:val="248"/>
        </w:trPr>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 xml:space="preserve">Caution: </w:t>
            </w:r>
            <w:r w:rsidRPr="00207CC9">
              <w:rPr>
                <w:rFonts w:ascii="Arial Narrow" w:hAnsi="Arial Narrow"/>
                <w:strike/>
                <w:sz w:val="20"/>
                <w:szCs w:val="20"/>
              </w:rPr>
              <w:t>Maximum recommended dose of nabiximols should not be exceeded.</w:t>
            </w:r>
          </w:p>
        </w:tc>
      </w:tr>
      <w:tr w:rsidR="008A70E3" w:rsidRPr="00207CC9" w:rsidTr="00207CC9">
        <w:trPr>
          <w:trHeight w:val="259"/>
        </w:trPr>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sz w:val="20"/>
                <w:szCs w:val="20"/>
              </w:rPr>
              <w:t>The risk of drug dependency is high.</w:t>
            </w:r>
          </w:p>
        </w:tc>
      </w:tr>
      <w:tr w:rsidR="008A70E3" w:rsidRPr="00207CC9" w:rsidTr="00207CC9">
        <w:tc>
          <w:tcPr>
            <w:tcW w:w="5000" w:type="pct"/>
            <w:vAlign w:val="center"/>
          </w:tcPr>
          <w:p w:rsidR="008A70E3" w:rsidRPr="00207CC9" w:rsidRDefault="008A70E3" w:rsidP="00611ABF">
            <w:pPr>
              <w:rPr>
                <w:rFonts w:ascii="Arial Narrow" w:hAnsi="Arial Narrow"/>
                <w:sz w:val="20"/>
                <w:szCs w:val="20"/>
              </w:rPr>
            </w:pPr>
            <w:r w:rsidRPr="00207CC9">
              <w:rPr>
                <w:rFonts w:ascii="Arial Narrow" w:hAnsi="Arial Narrow"/>
                <w:sz w:val="20"/>
                <w:szCs w:val="20"/>
              </w:rPr>
              <w:t xml:space="preserve">Care must be taken to comply with the provisions of </w:t>
            </w:r>
            <w:r w:rsidRPr="00207CC9">
              <w:rPr>
                <w:rFonts w:ascii="Arial Narrow" w:hAnsi="Arial Narrow"/>
                <w:i/>
                <w:sz w:val="20"/>
                <w:szCs w:val="20"/>
              </w:rPr>
              <w:t xml:space="preserve">State/ </w:t>
            </w:r>
            <w:r w:rsidRPr="00207CC9">
              <w:rPr>
                <w:rFonts w:ascii="Arial Narrow" w:hAnsi="Arial Narrow"/>
                <w:i/>
                <w:strike/>
                <w:sz w:val="20"/>
                <w:szCs w:val="20"/>
              </w:rPr>
              <w:t>and</w:t>
            </w:r>
            <w:r w:rsidRPr="00207CC9">
              <w:rPr>
                <w:rFonts w:ascii="Arial Narrow" w:hAnsi="Arial Narrow"/>
                <w:i/>
                <w:sz w:val="20"/>
                <w:szCs w:val="20"/>
              </w:rPr>
              <w:t xml:space="preserve"> Territory</w:t>
            </w:r>
            <w:r w:rsidRPr="00207CC9">
              <w:rPr>
                <w:rFonts w:ascii="Arial Narrow" w:hAnsi="Arial Narrow"/>
                <w:sz w:val="20"/>
                <w:szCs w:val="20"/>
              </w:rPr>
              <w:t xml:space="preserve"> law when prescribing </w:t>
            </w:r>
            <w:r w:rsidRPr="00207CC9">
              <w:rPr>
                <w:rFonts w:ascii="Arial Narrow" w:hAnsi="Arial Narrow"/>
                <w:strike/>
                <w:sz w:val="20"/>
                <w:szCs w:val="20"/>
              </w:rPr>
              <w:t>and</w:t>
            </w:r>
            <w:r w:rsidRPr="00207CC9">
              <w:rPr>
                <w:rFonts w:ascii="Arial Narrow" w:hAnsi="Arial Narrow"/>
                <w:sz w:val="20"/>
                <w:szCs w:val="20"/>
              </w:rPr>
              <w:t xml:space="preserve"> </w:t>
            </w:r>
            <w:r w:rsidRPr="00207CC9">
              <w:rPr>
                <w:rFonts w:ascii="Arial Narrow" w:hAnsi="Arial Narrow"/>
                <w:strike/>
                <w:sz w:val="20"/>
                <w:szCs w:val="20"/>
              </w:rPr>
              <w:t>administering</w:t>
            </w:r>
            <w:r w:rsidRPr="00207CC9">
              <w:rPr>
                <w:rFonts w:ascii="Arial Narrow" w:hAnsi="Arial Narrow"/>
                <w:sz w:val="20"/>
                <w:szCs w:val="20"/>
              </w:rPr>
              <w:t xml:space="preserve"> this drug.</w:t>
            </w:r>
          </w:p>
        </w:tc>
      </w:tr>
    </w:tbl>
    <w:p w:rsidR="00C04285" w:rsidRPr="00A67611" w:rsidRDefault="00C04285" w:rsidP="00C04285">
      <w:pPr>
        <w:spacing w:after="12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1145"/>
        <w:gridCol w:w="1432"/>
      </w:tblGrid>
      <w:tr w:rsidR="00C04285" w:rsidRPr="00207CC9" w:rsidTr="00207CC9">
        <w:trPr>
          <w:cantSplit/>
          <w:trHeight w:val="471"/>
        </w:trPr>
        <w:tc>
          <w:tcPr>
            <w:tcW w:w="1506" w:type="pct"/>
          </w:tcPr>
          <w:p w:rsidR="00C04285" w:rsidRPr="00207CC9" w:rsidRDefault="00C04285" w:rsidP="00611ABF">
            <w:pPr>
              <w:keepNext/>
              <w:ind w:left="-108"/>
              <w:rPr>
                <w:rFonts w:ascii="Arial Narrow" w:hAnsi="Arial Narrow"/>
                <w:b/>
                <w:sz w:val="20"/>
                <w:szCs w:val="20"/>
              </w:rPr>
            </w:pPr>
            <w:r w:rsidRPr="00207CC9">
              <w:rPr>
                <w:rFonts w:ascii="Arial Narrow" w:hAnsi="Arial Narrow"/>
                <w:b/>
                <w:sz w:val="20"/>
                <w:szCs w:val="20"/>
              </w:rPr>
              <w:t>Name, Restriction,</w:t>
            </w:r>
          </w:p>
          <w:p w:rsidR="00C04285" w:rsidRPr="00207CC9" w:rsidRDefault="00C04285" w:rsidP="00611ABF">
            <w:pPr>
              <w:keepNext/>
              <w:ind w:left="-108"/>
              <w:rPr>
                <w:rFonts w:ascii="Arial Narrow" w:hAnsi="Arial Narrow"/>
                <w:b/>
                <w:sz w:val="20"/>
                <w:szCs w:val="20"/>
              </w:rPr>
            </w:pPr>
            <w:r w:rsidRPr="00207CC9">
              <w:rPr>
                <w:rFonts w:ascii="Arial Narrow" w:hAnsi="Arial Narrow"/>
                <w:b/>
                <w:sz w:val="20"/>
                <w:szCs w:val="20"/>
              </w:rPr>
              <w:t>Manner of administration and form</w:t>
            </w:r>
          </w:p>
        </w:tc>
        <w:tc>
          <w:tcPr>
            <w:tcW w:w="714"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PBS item code</w:t>
            </w:r>
          </w:p>
        </w:tc>
        <w:tc>
          <w:tcPr>
            <w:tcW w:w="477"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Max. qty packs</w:t>
            </w:r>
          </w:p>
        </w:tc>
        <w:tc>
          <w:tcPr>
            <w:tcW w:w="476"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Max. qty units</w:t>
            </w:r>
          </w:p>
        </w:tc>
        <w:tc>
          <w:tcPr>
            <w:tcW w:w="397" w:type="pct"/>
          </w:tcPr>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№.of</w:t>
            </w:r>
          </w:p>
          <w:p w:rsidR="00C04285" w:rsidRPr="00207CC9" w:rsidRDefault="00C04285" w:rsidP="00611ABF">
            <w:pPr>
              <w:keepNext/>
              <w:ind w:left="-108"/>
              <w:jc w:val="center"/>
              <w:rPr>
                <w:rFonts w:ascii="Arial Narrow" w:hAnsi="Arial Narrow"/>
                <w:b/>
                <w:sz w:val="20"/>
                <w:szCs w:val="20"/>
              </w:rPr>
            </w:pPr>
            <w:r w:rsidRPr="00207CC9">
              <w:rPr>
                <w:rFonts w:ascii="Arial Narrow" w:hAnsi="Arial Narrow"/>
                <w:b/>
                <w:sz w:val="20"/>
                <w:szCs w:val="20"/>
              </w:rPr>
              <w:t>Rpts</w:t>
            </w:r>
          </w:p>
        </w:tc>
        <w:tc>
          <w:tcPr>
            <w:tcW w:w="1429" w:type="pct"/>
            <w:gridSpan w:val="2"/>
          </w:tcPr>
          <w:p w:rsidR="00C04285" w:rsidRPr="00207CC9" w:rsidRDefault="00C04285" w:rsidP="00611ABF">
            <w:pPr>
              <w:keepNext/>
              <w:rPr>
                <w:rFonts w:ascii="Arial Narrow" w:hAnsi="Arial Narrow"/>
                <w:b/>
                <w:sz w:val="20"/>
                <w:szCs w:val="20"/>
              </w:rPr>
            </w:pPr>
            <w:r w:rsidRPr="00207CC9">
              <w:rPr>
                <w:rFonts w:ascii="Arial Narrow" w:hAnsi="Arial Narrow"/>
                <w:b/>
                <w:sz w:val="20"/>
                <w:szCs w:val="20"/>
              </w:rPr>
              <w:t>Proprietary Name and Manufacturer</w:t>
            </w:r>
          </w:p>
        </w:tc>
      </w:tr>
      <w:tr w:rsidR="00C04285" w:rsidRPr="00207CC9" w:rsidTr="00207CC9">
        <w:trPr>
          <w:cantSplit/>
          <w:trHeight w:val="82"/>
        </w:trPr>
        <w:tc>
          <w:tcPr>
            <w:tcW w:w="1506" w:type="pct"/>
          </w:tcPr>
          <w:p w:rsidR="00C04285" w:rsidRPr="00207CC9" w:rsidRDefault="00C04285" w:rsidP="00611ABF">
            <w:pPr>
              <w:keepNext/>
              <w:ind w:left="-108"/>
              <w:rPr>
                <w:rFonts w:ascii="Arial Narrow" w:hAnsi="Arial Narrow"/>
                <w:sz w:val="20"/>
                <w:szCs w:val="20"/>
              </w:rPr>
            </w:pPr>
            <w:r w:rsidRPr="00207CC9">
              <w:rPr>
                <w:rFonts w:ascii="Arial Narrow" w:hAnsi="Arial Narrow"/>
                <w:sz w:val="20"/>
                <w:szCs w:val="20"/>
              </w:rPr>
              <w:t>NABIXIMOLS</w:t>
            </w:r>
          </w:p>
          <w:p w:rsidR="00C04285" w:rsidRPr="00207CC9" w:rsidRDefault="00C04285" w:rsidP="00611ABF">
            <w:pPr>
              <w:keepNext/>
              <w:ind w:left="-108"/>
              <w:rPr>
                <w:rFonts w:ascii="Arial Narrow" w:hAnsi="Arial Narrow"/>
                <w:sz w:val="20"/>
                <w:szCs w:val="20"/>
              </w:rPr>
            </w:pPr>
            <w:r w:rsidRPr="00207CC9">
              <w:rPr>
                <w:rFonts w:ascii="Arial Narrow" w:hAnsi="Arial Narrow"/>
                <w:sz w:val="20"/>
                <w:szCs w:val="20"/>
              </w:rPr>
              <w:t>80 mg/mL spray, 3 x 10 mL</w:t>
            </w:r>
          </w:p>
        </w:tc>
        <w:tc>
          <w:tcPr>
            <w:tcW w:w="714" w:type="pct"/>
          </w:tcPr>
          <w:p w:rsidR="00C04285" w:rsidRPr="00207CC9" w:rsidRDefault="00C04285" w:rsidP="00611ABF">
            <w:pPr>
              <w:keepNext/>
              <w:ind w:left="-108"/>
              <w:jc w:val="center"/>
              <w:rPr>
                <w:rFonts w:ascii="Arial Narrow" w:hAnsi="Arial Narrow"/>
                <w:sz w:val="20"/>
                <w:szCs w:val="20"/>
              </w:rPr>
            </w:pPr>
          </w:p>
          <w:p w:rsidR="00C04285" w:rsidRPr="00207CC9" w:rsidRDefault="00C04285" w:rsidP="00611ABF">
            <w:pPr>
              <w:keepNext/>
              <w:ind w:left="-108"/>
              <w:jc w:val="center"/>
              <w:rPr>
                <w:rFonts w:ascii="Arial Narrow" w:hAnsi="Arial Narrow"/>
                <w:sz w:val="20"/>
                <w:szCs w:val="20"/>
              </w:rPr>
            </w:pPr>
            <w:r w:rsidRPr="00207CC9">
              <w:rPr>
                <w:rFonts w:ascii="Arial Narrow" w:hAnsi="Arial Narrow"/>
                <w:sz w:val="20"/>
                <w:szCs w:val="20"/>
              </w:rPr>
              <w:t>NEW</w:t>
            </w:r>
          </w:p>
        </w:tc>
        <w:tc>
          <w:tcPr>
            <w:tcW w:w="477" w:type="pct"/>
          </w:tcPr>
          <w:p w:rsidR="00C04285" w:rsidRPr="00207CC9" w:rsidRDefault="00C04285" w:rsidP="00611ABF">
            <w:pPr>
              <w:keepNext/>
              <w:jc w:val="center"/>
              <w:rPr>
                <w:rFonts w:ascii="Arial Narrow" w:hAnsi="Arial Narrow"/>
                <w:sz w:val="20"/>
                <w:szCs w:val="20"/>
              </w:rPr>
            </w:pPr>
          </w:p>
          <w:p w:rsidR="00C04285" w:rsidRPr="00207CC9" w:rsidRDefault="00C04285" w:rsidP="00611ABF">
            <w:pPr>
              <w:keepNext/>
              <w:jc w:val="center"/>
              <w:rPr>
                <w:rFonts w:ascii="Arial Narrow" w:hAnsi="Arial Narrow"/>
                <w:strike/>
                <w:sz w:val="20"/>
                <w:szCs w:val="20"/>
              </w:rPr>
            </w:pPr>
            <w:r w:rsidRPr="00207CC9">
              <w:rPr>
                <w:rFonts w:ascii="Arial Narrow" w:hAnsi="Arial Narrow"/>
                <w:i/>
                <w:sz w:val="20"/>
                <w:szCs w:val="20"/>
              </w:rPr>
              <w:t xml:space="preserve">1 </w:t>
            </w:r>
            <w:r w:rsidRPr="00207CC9">
              <w:rPr>
                <w:rFonts w:ascii="Arial Narrow" w:hAnsi="Arial Narrow"/>
                <w:strike/>
                <w:sz w:val="20"/>
                <w:szCs w:val="20"/>
              </w:rPr>
              <w:t>2</w:t>
            </w:r>
          </w:p>
        </w:tc>
        <w:tc>
          <w:tcPr>
            <w:tcW w:w="476" w:type="pct"/>
          </w:tcPr>
          <w:p w:rsidR="00C04285" w:rsidRPr="00207CC9" w:rsidRDefault="00C04285" w:rsidP="00611ABF">
            <w:pPr>
              <w:keepNext/>
              <w:ind w:left="-108"/>
              <w:jc w:val="center"/>
              <w:rPr>
                <w:rFonts w:ascii="Arial Narrow" w:hAnsi="Arial Narrow"/>
                <w:sz w:val="20"/>
                <w:szCs w:val="20"/>
              </w:rPr>
            </w:pPr>
          </w:p>
          <w:p w:rsidR="00C04285" w:rsidRPr="00207CC9" w:rsidRDefault="00C04285" w:rsidP="00611ABF">
            <w:pPr>
              <w:keepNext/>
              <w:ind w:left="-108"/>
              <w:jc w:val="center"/>
              <w:rPr>
                <w:rFonts w:ascii="Arial Narrow" w:hAnsi="Arial Narrow"/>
                <w:sz w:val="20"/>
                <w:szCs w:val="20"/>
              </w:rPr>
            </w:pPr>
            <w:r w:rsidRPr="00207CC9">
              <w:rPr>
                <w:rFonts w:ascii="Arial Narrow" w:hAnsi="Arial Narrow"/>
                <w:sz w:val="20"/>
                <w:szCs w:val="20"/>
              </w:rPr>
              <w:t>3</w:t>
            </w:r>
          </w:p>
        </w:tc>
        <w:tc>
          <w:tcPr>
            <w:tcW w:w="397" w:type="pct"/>
          </w:tcPr>
          <w:p w:rsidR="00C04285" w:rsidRPr="00207CC9" w:rsidRDefault="00C04285" w:rsidP="00611ABF">
            <w:pPr>
              <w:keepNext/>
              <w:ind w:left="-108"/>
              <w:jc w:val="center"/>
              <w:rPr>
                <w:rFonts w:ascii="Arial Narrow" w:hAnsi="Arial Narrow"/>
                <w:sz w:val="20"/>
                <w:szCs w:val="20"/>
              </w:rPr>
            </w:pPr>
          </w:p>
          <w:p w:rsidR="00C04285" w:rsidRPr="00207CC9" w:rsidRDefault="00C04285" w:rsidP="00611ABF">
            <w:pPr>
              <w:keepNext/>
              <w:ind w:left="-108"/>
              <w:jc w:val="center"/>
              <w:rPr>
                <w:rFonts w:ascii="Arial Narrow" w:hAnsi="Arial Narrow"/>
                <w:sz w:val="20"/>
                <w:szCs w:val="20"/>
              </w:rPr>
            </w:pPr>
            <w:r w:rsidRPr="00207CC9">
              <w:rPr>
                <w:rFonts w:ascii="Arial Narrow" w:hAnsi="Arial Narrow"/>
                <w:i/>
                <w:sz w:val="20"/>
                <w:szCs w:val="20"/>
              </w:rPr>
              <w:t xml:space="preserve">5 </w:t>
            </w:r>
            <w:r w:rsidRPr="00207CC9">
              <w:rPr>
                <w:rFonts w:ascii="Arial Narrow" w:hAnsi="Arial Narrow"/>
                <w:strike/>
                <w:sz w:val="20"/>
                <w:szCs w:val="20"/>
              </w:rPr>
              <w:t>3</w:t>
            </w:r>
          </w:p>
          <w:p w:rsidR="00C04285" w:rsidRPr="00207CC9" w:rsidRDefault="00C04285" w:rsidP="00611ABF">
            <w:pPr>
              <w:keepNext/>
              <w:rPr>
                <w:rFonts w:ascii="Arial Narrow" w:hAnsi="Arial Narrow"/>
                <w:sz w:val="20"/>
                <w:szCs w:val="20"/>
              </w:rPr>
            </w:pPr>
          </w:p>
        </w:tc>
        <w:tc>
          <w:tcPr>
            <w:tcW w:w="635" w:type="pct"/>
          </w:tcPr>
          <w:p w:rsidR="00C04285" w:rsidRPr="00207CC9" w:rsidRDefault="00C04285" w:rsidP="00611ABF">
            <w:pPr>
              <w:keepNext/>
              <w:rPr>
                <w:rFonts w:ascii="Arial Narrow" w:hAnsi="Arial Narrow"/>
                <w:sz w:val="20"/>
                <w:szCs w:val="20"/>
              </w:rPr>
            </w:pPr>
          </w:p>
          <w:p w:rsidR="00C04285" w:rsidRPr="00207CC9" w:rsidRDefault="00C04285" w:rsidP="00611ABF">
            <w:pPr>
              <w:keepNext/>
              <w:rPr>
                <w:rFonts w:ascii="Arial Narrow" w:hAnsi="Arial Narrow"/>
                <w:sz w:val="20"/>
                <w:szCs w:val="20"/>
              </w:rPr>
            </w:pPr>
            <w:r w:rsidRPr="00207CC9">
              <w:rPr>
                <w:rFonts w:ascii="Arial Narrow" w:hAnsi="Arial Narrow"/>
                <w:sz w:val="20"/>
                <w:szCs w:val="20"/>
              </w:rPr>
              <w:t>Sativex</w:t>
            </w:r>
            <w:r w:rsidRPr="00207CC9">
              <w:rPr>
                <w:rFonts w:ascii="Arial Narrow" w:hAnsi="Arial Narrow"/>
                <w:sz w:val="20"/>
                <w:szCs w:val="20"/>
                <w:vertAlign w:val="superscript"/>
              </w:rPr>
              <w:t>®</w:t>
            </w:r>
          </w:p>
        </w:tc>
        <w:tc>
          <w:tcPr>
            <w:tcW w:w="794" w:type="pct"/>
          </w:tcPr>
          <w:p w:rsidR="00C04285" w:rsidRPr="00207CC9" w:rsidRDefault="00C04285" w:rsidP="00611ABF">
            <w:pPr>
              <w:keepNext/>
              <w:rPr>
                <w:rFonts w:ascii="Arial Narrow" w:hAnsi="Arial Narrow"/>
                <w:sz w:val="20"/>
                <w:szCs w:val="20"/>
              </w:rPr>
            </w:pPr>
            <w:r w:rsidRPr="00207CC9">
              <w:rPr>
                <w:rFonts w:ascii="Arial Narrow" w:hAnsi="Arial Narrow"/>
                <w:sz w:val="20"/>
                <w:szCs w:val="20"/>
              </w:rPr>
              <w:t>Emerge Health Pty Ltd</w:t>
            </w:r>
          </w:p>
        </w:tc>
      </w:tr>
    </w:tbl>
    <w:p w:rsidR="00C04285" w:rsidRPr="00A67611" w:rsidRDefault="00C04285" w:rsidP="00C04285">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8A70E3" w:rsidRPr="00207CC9" w:rsidTr="00207CC9">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611ABF">
            <w:pPr>
              <w:rPr>
                <w:rFonts w:ascii="Arial Narrow" w:hAnsi="Arial Narrow"/>
                <w:sz w:val="20"/>
                <w:szCs w:val="20"/>
              </w:rPr>
            </w:pPr>
            <w:r w:rsidRPr="00207CC9">
              <w:rPr>
                <w:rFonts w:ascii="Arial Narrow" w:hAnsi="Arial Narrow"/>
                <w:b/>
                <w:sz w:val="20"/>
                <w:szCs w:val="20"/>
              </w:rPr>
              <w:t xml:space="preserve">Category / Program: </w:t>
            </w:r>
          </w:p>
          <w:p w:rsidR="008A70E3" w:rsidRPr="00207CC9" w:rsidRDefault="008A70E3" w:rsidP="00611ABF">
            <w:pPr>
              <w:rPr>
                <w:rFonts w:ascii="Arial Narrow" w:hAnsi="Arial Narrow"/>
                <w:i/>
                <w:sz w:val="20"/>
                <w:szCs w:val="20"/>
              </w:rPr>
            </w:pPr>
            <w:r w:rsidRPr="00207CC9">
              <w:rPr>
                <w:rFonts w:ascii="Arial Narrow" w:hAnsi="Arial Narrow"/>
                <w:i/>
                <w:sz w:val="20"/>
                <w:szCs w:val="20"/>
              </w:rPr>
              <w:t>General Schedule</w:t>
            </w:r>
          </w:p>
          <w:p w:rsidR="008A70E3" w:rsidRPr="00207CC9" w:rsidRDefault="008A70E3" w:rsidP="00611ABF">
            <w:pPr>
              <w:rPr>
                <w:rFonts w:ascii="Arial Narrow" w:hAnsi="Arial Narrow"/>
                <w:sz w:val="20"/>
                <w:szCs w:val="20"/>
              </w:rPr>
            </w:pPr>
            <w:r w:rsidRPr="00207CC9">
              <w:rPr>
                <w:rFonts w:ascii="Arial Narrow" w:hAnsi="Arial Narrow"/>
                <w:strike/>
                <w:sz w:val="20"/>
                <w:szCs w:val="20"/>
              </w:rPr>
              <w:t>Section 100 – Highly Specialised Drugs Program (Community Access)</w:t>
            </w:r>
          </w:p>
        </w:tc>
      </w:tr>
      <w:tr w:rsidR="008A70E3" w:rsidRPr="00207CC9" w:rsidTr="00207CC9">
        <w:trPr>
          <w:trHeight w:val="240"/>
        </w:trPr>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611ABF">
            <w:pPr>
              <w:rPr>
                <w:rFonts w:ascii="Arial Narrow" w:hAnsi="Arial Narrow"/>
                <w:b/>
                <w:sz w:val="20"/>
                <w:szCs w:val="20"/>
              </w:rPr>
            </w:pPr>
            <w:r w:rsidRPr="00207CC9">
              <w:rPr>
                <w:rFonts w:ascii="Arial Narrow" w:hAnsi="Arial Narrow"/>
                <w:b/>
                <w:sz w:val="20"/>
                <w:szCs w:val="20"/>
              </w:rPr>
              <w:t xml:space="preserve">Prescriber type:   </w:t>
            </w: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 xml:space="preserve">Dental   </w:t>
            </w:r>
            <w:r w:rsidRPr="00207CC9">
              <w:rPr>
                <w:rFonts w:ascii="Arial Narrow" w:hAnsi="Arial Narrow"/>
                <w:sz w:val="20"/>
                <w:szCs w:val="20"/>
              </w:rPr>
              <w:fldChar w:fldCharType="begin">
                <w:ffData>
                  <w:name w:val=""/>
                  <w:enabled/>
                  <w:calcOnExit w:val="0"/>
                  <w:checkBox>
                    <w:sizeAuto/>
                    <w:default w:val="1"/>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 xml:space="preserve">Medical Practitioners   </w:t>
            </w:r>
            <w:r w:rsidRPr="00207CC9">
              <w:rPr>
                <w:rFonts w:ascii="Arial Narrow" w:hAnsi="Arial Narrow"/>
                <w:sz w:val="20"/>
                <w:szCs w:val="20"/>
              </w:rPr>
              <w:fldChar w:fldCharType="begin">
                <w:ffData>
                  <w:name w:val="Check3"/>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Nurse practitioners</w:t>
            </w:r>
            <w:r w:rsidR="004A22B4">
              <w:rPr>
                <w:rFonts w:ascii="Arial Narrow" w:hAnsi="Arial Narrow"/>
                <w:sz w:val="20"/>
                <w:szCs w:val="20"/>
              </w:rPr>
              <w:t xml:space="preserve"> </w:t>
            </w:r>
            <w:r w:rsidRPr="00207CC9">
              <w:rPr>
                <w:rFonts w:ascii="Arial Narrow" w:hAnsi="Arial Narrow"/>
                <w:sz w:val="20"/>
                <w:szCs w:val="20"/>
              </w:rPr>
              <w:t xml:space="preserve">  </w:t>
            </w:r>
            <w:r w:rsidRPr="00207CC9">
              <w:rPr>
                <w:rFonts w:ascii="Arial Narrow" w:hAnsi="Arial Narrow"/>
                <w:sz w:val="20"/>
                <w:szCs w:val="20"/>
              </w:rPr>
              <w:fldChar w:fldCharType="begin">
                <w:ffData>
                  <w:name w:val=""/>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Optometrists</w:t>
            </w:r>
            <w:r w:rsidR="004A22B4">
              <w:rPr>
                <w:rFonts w:ascii="Arial Narrow" w:hAnsi="Arial Narrow"/>
                <w:sz w:val="20"/>
                <w:szCs w:val="20"/>
              </w:rPr>
              <w:t xml:space="preserve">  </w:t>
            </w:r>
            <w:bookmarkStart w:id="14" w:name="_GoBack"/>
            <w:bookmarkEnd w:id="14"/>
            <w:r w:rsidRPr="00207CC9">
              <w:rPr>
                <w:rFonts w:ascii="Arial Narrow" w:hAnsi="Arial Narrow"/>
                <w:sz w:val="20"/>
                <w:szCs w:val="20"/>
              </w:rPr>
              <w:t xml:space="preserve"> </w:t>
            </w:r>
            <w:r w:rsidRPr="00207CC9">
              <w:rPr>
                <w:rFonts w:ascii="Arial Narrow" w:hAnsi="Arial Narrow"/>
                <w:sz w:val="20"/>
                <w:szCs w:val="20"/>
              </w:rPr>
              <w:fldChar w:fldCharType="begin">
                <w:ffData>
                  <w:name w:val="Check5"/>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Midwives</w:t>
            </w:r>
          </w:p>
        </w:tc>
      </w:tr>
      <w:tr w:rsidR="008A70E3" w:rsidRPr="00207CC9" w:rsidTr="00207CC9">
        <w:tc>
          <w:tcPr>
            <w:tcW w:w="5000" w:type="pct"/>
            <w:tcBorders>
              <w:top w:val="single" w:sz="4" w:space="0" w:color="auto"/>
              <w:left w:val="single" w:sz="4" w:space="0" w:color="auto"/>
              <w:bottom w:val="single" w:sz="4" w:space="0" w:color="auto"/>
              <w:right w:val="single" w:sz="4" w:space="0" w:color="auto"/>
            </w:tcBorders>
          </w:tcPr>
          <w:p w:rsidR="008A70E3" w:rsidRPr="00207CC9" w:rsidRDefault="008A70E3" w:rsidP="00770851">
            <w:pPr>
              <w:keepNext/>
              <w:keepLines/>
              <w:rPr>
                <w:rFonts w:ascii="Arial Narrow" w:hAnsi="Arial Narrow"/>
                <w:b/>
                <w:sz w:val="20"/>
                <w:szCs w:val="20"/>
              </w:rPr>
            </w:pPr>
            <w:r w:rsidRPr="00207CC9">
              <w:rPr>
                <w:rFonts w:ascii="Arial Narrow" w:hAnsi="Arial Narrow"/>
                <w:b/>
                <w:sz w:val="20"/>
                <w:szCs w:val="20"/>
              </w:rPr>
              <w:lastRenderedPageBreak/>
              <w:t>Restriction Level / Method:</w:t>
            </w:r>
          </w:p>
          <w:p w:rsidR="008A70E3" w:rsidRPr="00207CC9" w:rsidRDefault="008A70E3" w:rsidP="00770851">
            <w:pPr>
              <w:keepNext/>
              <w:keepLines/>
              <w:rPr>
                <w:rFonts w:ascii="Arial Narrow" w:hAnsi="Arial Narrow"/>
                <w:sz w:val="20"/>
                <w:szCs w:val="20"/>
              </w:rPr>
            </w:pP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Unrestricted benefit</w:t>
            </w:r>
          </w:p>
          <w:p w:rsidR="008A70E3" w:rsidRPr="00207CC9" w:rsidRDefault="008A70E3" w:rsidP="00770851">
            <w:pPr>
              <w:keepNext/>
              <w:keepLines/>
              <w:rPr>
                <w:rFonts w:ascii="Arial Narrow" w:hAnsi="Arial Narrow"/>
                <w:sz w:val="20"/>
                <w:szCs w:val="20"/>
              </w:rPr>
            </w:pPr>
            <w:r w:rsidRPr="00207CC9">
              <w:rPr>
                <w:rFonts w:ascii="Arial Narrow" w:hAnsi="Arial Narrow"/>
                <w:sz w:val="20"/>
                <w:szCs w:val="20"/>
              </w:rPr>
              <w:fldChar w:fldCharType="begin">
                <w:ffData>
                  <w:name w:val="Check1"/>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Restricted benefit</w:t>
            </w:r>
          </w:p>
          <w:p w:rsidR="008A70E3" w:rsidRPr="00207CC9" w:rsidRDefault="008A70E3" w:rsidP="00770851">
            <w:pPr>
              <w:keepNext/>
              <w:keepLines/>
              <w:rPr>
                <w:rFonts w:ascii="Arial Narrow" w:hAnsi="Arial Narrow"/>
                <w:sz w:val="20"/>
                <w:szCs w:val="20"/>
              </w:rPr>
            </w:pPr>
            <w:r w:rsidRPr="00207CC9">
              <w:rPr>
                <w:rFonts w:ascii="Arial Narrow" w:hAnsi="Arial Narrow"/>
                <w:sz w:val="20"/>
                <w:szCs w:val="20"/>
              </w:rPr>
              <w:fldChar w:fldCharType="begin">
                <w:ffData>
                  <w:name w:val=""/>
                  <w:enabled/>
                  <w:calcOnExit w:val="0"/>
                  <w:checkBox>
                    <w:sizeAuto/>
                    <w:default w:val="0"/>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sz w:val="20"/>
                <w:szCs w:val="20"/>
              </w:rPr>
              <w:t>Authority Required – In Writing</w:t>
            </w:r>
          </w:p>
          <w:p w:rsidR="008A70E3" w:rsidRPr="00207CC9" w:rsidRDefault="008A70E3" w:rsidP="00770851">
            <w:pPr>
              <w:keepNext/>
              <w:keepLines/>
              <w:rPr>
                <w:rFonts w:ascii="Arial Narrow" w:hAnsi="Arial Narrow"/>
                <w:i/>
                <w:sz w:val="20"/>
                <w:szCs w:val="20"/>
              </w:rPr>
            </w:pPr>
            <w:r w:rsidRPr="00207CC9">
              <w:rPr>
                <w:rFonts w:ascii="Arial Narrow" w:hAnsi="Arial Narrow"/>
                <w:sz w:val="20"/>
                <w:szCs w:val="20"/>
              </w:rPr>
              <w:fldChar w:fldCharType="begin">
                <w:ffData>
                  <w:name w:val=""/>
                  <w:enabled/>
                  <w:calcOnExit w:val="0"/>
                  <w:checkBox>
                    <w:sizeAuto/>
                    <w:default w:val="1"/>
                  </w:checkBox>
                </w:ffData>
              </w:fldChar>
            </w:r>
            <w:r w:rsidRPr="00207CC9">
              <w:rPr>
                <w:rFonts w:ascii="Arial Narrow" w:hAnsi="Arial Narrow"/>
                <w:sz w:val="20"/>
                <w:szCs w:val="20"/>
              </w:rPr>
              <w:instrText xml:space="preserve"> FORMCHECKBOX </w:instrText>
            </w:r>
            <w:r w:rsidR="00EC5AAD">
              <w:rPr>
                <w:rFonts w:ascii="Arial Narrow" w:hAnsi="Arial Narrow"/>
                <w:sz w:val="20"/>
                <w:szCs w:val="20"/>
              </w:rPr>
            </w:r>
            <w:r w:rsidR="00EC5AAD">
              <w:rPr>
                <w:rFonts w:ascii="Arial Narrow" w:hAnsi="Arial Narrow"/>
                <w:sz w:val="20"/>
                <w:szCs w:val="20"/>
              </w:rPr>
              <w:fldChar w:fldCharType="separate"/>
            </w:r>
            <w:r w:rsidRPr="00207CC9">
              <w:rPr>
                <w:rFonts w:ascii="Arial Narrow" w:hAnsi="Arial Narrow"/>
                <w:sz w:val="20"/>
                <w:szCs w:val="20"/>
              </w:rPr>
              <w:fldChar w:fldCharType="end"/>
            </w:r>
            <w:r w:rsidRPr="00207CC9">
              <w:rPr>
                <w:rFonts w:ascii="Arial Narrow" w:hAnsi="Arial Narrow"/>
                <w:i/>
                <w:sz w:val="20"/>
                <w:szCs w:val="20"/>
              </w:rPr>
              <w:t>Authority Required – Telephone/Electronic/Emergency</w:t>
            </w:r>
          </w:p>
          <w:p w:rsidR="008A70E3" w:rsidRPr="00207CC9" w:rsidRDefault="008A70E3" w:rsidP="00770851">
            <w:pPr>
              <w:keepNext/>
              <w:keepLines/>
              <w:rPr>
                <w:rFonts w:ascii="Arial Narrow" w:hAnsi="Arial Narrow"/>
                <w:sz w:val="20"/>
                <w:szCs w:val="20"/>
              </w:rPr>
            </w:pPr>
            <w:r w:rsidRPr="00207CC9">
              <w:rPr>
                <w:rFonts w:ascii="Arial Narrow" w:hAnsi="Arial Narrow"/>
                <w:strike/>
                <w:sz w:val="20"/>
                <w:szCs w:val="20"/>
              </w:rPr>
              <w:fldChar w:fldCharType="begin">
                <w:ffData>
                  <w:name w:val=""/>
                  <w:enabled/>
                  <w:calcOnExit w:val="0"/>
                  <w:checkBox>
                    <w:sizeAuto/>
                    <w:default w:val="1"/>
                  </w:checkBox>
                </w:ffData>
              </w:fldChar>
            </w:r>
            <w:r w:rsidRPr="00207CC9">
              <w:rPr>
                <w:rFonts w:ascii="Arial Narrow" w:hAnsi="Arial Narrow"/>
                <w:strike/>
                <w:sz w:val="20"/>
                <w:szCs w:val="20"/>
              </w:rPr>
              <w:instrText xml:space="preserve"> FORMCHECKBOX </w:instrText>
            </w:r>
            <w:r w:rsidR="00EC5AAD">
              <w:rPr>
                <w:rFonts w:ascii="Arial Narrow" w:hAnsi="Arial Narrow"/>
                <w:strike/>
                <w:sz w:val="20"/>
                <w:szCs w:val="20"/>
              </w:rPr>
            </w:r>
            <w:r w:rsidR="00EC5AAD">
              <w:rPr>
                <w:rFonts w:ascii="Arial Narrow" w:hAnsi="Arial Narrow"/>
                <w:strike/>
                <w:sz w:val="20"/>
                <w:szCs w:val="20"/>
              </w:rPr>
              <w:fldChar w:fldCharType="separate"/>
            </w:r>
            <w:r w:rsidRPr="00207CC9">
              <w:rPr>
                <w:rFonts w:ascii="Arial Narrow" w:hAnsi="Arial Narrow"/>
                <w:strike/>
                <w:sz w:val="20"/>
                <w:szCs w:val="20"/>
              </w:rPr>
              <w:fldChar w:fldCharType="end"/>
            </w:r>
            <w:r w:rsidRPr="00207CC9">
              <w:rPr>
                <w:rFonts w:ascii="Arial Narrow" w:hAnsi="Arial Narrow"/>
                <w:strike/>
                <w:sz w:val="20"/>
                <w:szCs w:val="20"/>
              </w:rPr>
              <w:t>Authority Required - Streamlined</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 xml:space="preserve">Severity: </w:t>
            </w:r>
            <w:r w:rsidRPr="00207CC9">
              <w:rPr>
                <w:rFonts w:ascii="Arial Narrow" w:hAnsi="Arial Narrow"/>
                <w:i/>
                <w:sz w:val="20"/>
                <w:szCs w:val="20"/>
              </w:rPr>
              <w:t>Moderate to severe</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 xml:space="preserve">Condition: </w:t>
            </w:r>
            <w:r w:rsidRPr="00207CC9">
              <w:rPr>
                <w:rFonts w:ascii="Arial Narrow" w:hAnsi="Arial Narrow"/>
                <w:strike/>
                <w:sz w:val="20"/>
                <w:szCs w:val="20"/>
              </w:rPr>
              <w:t>Multiple sclerosis related spasticity</w:t>
            </w:r>
            <w:r w:rsidRPr="00207CC9">
              <w:rPr>
                <w:rFonts w:ascii="Arial Narrow" w:hAnsi="Arial Narrow"/>
                <w:sz w:val="20"/>
                <w:szCs w:val="20"/>
              </w:rPr>
              <w:t xml:space="preserve"> spasticity</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Indication:</w:t>
            </w:r>
            <w:r w:rsidRPr="00207CC9">
              <w:rPr>
                <w:rFonts w:ascii="Arial Narrow" w:hAnsi="Arial Narrow"/>
                <w:color w:val="333333"/>
                <w:sz w:val="20"/>
                <w:szCs w:val="20"/>
              </w:rPr>
              <w:t xml:space="preserve"> </w:t>
            </w:r>
            <w:r w:rsidRPr="00207CC9">
              <w:rPr>
                <w:rFonts w:ascii="Arial Narrow" w:hAnsi="Arial Narrow"/>
                <w:strike/>
                <w:sz w:val="20"/>
                <w:szCs w:val="20"/>
              </w:rPr>
              <w:t xml:space="preserve">Multiple sclerosis related spasticity </w:t>
            </w:r>
            <w:r w:rsidRPr="00207CC9">
              <w:rPr>
                <w:rFonts w:ascii="Arial Narrow" w:hAnsi="Arial Narrow"/>
                <w:i/>
                <w:sz w:val="20"/>
                <w:szCs w:val="20"/>
              </w:rPr>
              <w:t>Moderate to severe spasticity</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Treatment Phase:</w:t>
            </w:r>
            <w:r w:rsidRPr="00207CC9">
              <w:rPr>
                <w:rFonts w:ascii="Arial Narrow" w:hAnsi="Arial Narrow"/>
                <w:color w:val="333333"/>
                <w:sz w:val="20"/>
                <w:szCs w:val="20"/>
              </w:rPr>
              <w:t xml:space="preserve"> </w:t>
            </w:r>
            <w:r w:rsidRPr="00207CC9">
              <w:rPr>
                <w:rFonts w:ascii="Arial Narrow" w:hAnsi="Arial Narrow"/>
                <w:sz w:val="20"/>
                <w:szCs w:val="20"/>
              </w:rPr>
              <w:t>Continuing treatment</w:t>
            </w:r>
          </w:p>
        </w:tc>
      </w:tr>
      <w:tr w:rsidR="008A70E3" w:rsidRPr="00207CC9" w:rsidTr="00207CC9">
        <w:tc>
          <w:tcPr>
            <w:tcW w:w="5000" w:type="pct"/>
            <w:vAlign w:val="center"/>
            <w:hideMark/>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Clinical criteria:</w:t>
            </w:r>
          </w:p>
          <w:p w:rsidR="008A70E3" w:rsidRPr="00207CC9" w:rsidRDefault="008A70E3" w:rsidP="00611ABF">
            <w:pPr>
              <w:rPr>
                <w:rFonts w:ascii="Arial Narrow" w:hAnsi="Arial Narrow"/>
                <w:strike/>
                <w:sz w:val="20"/>
                <w:szCs w:val="20"/>
              </w:rPr>
            </w:pPr>
            <w:r w:rsidRPr="00207CC9">
              <w:rPr>
                <w:rFonts w:ascii="Arial Narrow" w:hAnsi="Arial Narrow"/>
                <w:strike/>
                <w:sz w:val="20"/>
                <w:szCs w:val="20"/>
              </w:rPr>
              <w:t>Patient must not have adequately responded to oral anti-spasticity agents</w:t>
            </w:r>
          </w:p>
          <w:p w:rsidR="008A70E3" w:rsidRPr="00207CC9" w:rsidRDefault="008A70E3" w:rsidP="00611ABF">
            <w:pPr>
              <w:rPr>
                <w:rFonts w:ascii="Arial Narrow" w:hAnsi="Arial Narrow"/>
                <w:strike/>
                <w:sz w:val="20"/>
                <w:szCs w:val="20"/>
              </w:rPr>
            </w:pPr>
            <w:r w:rsidRPr="00207CC9">
              <w:rPr>
                <w:rFonts w:ascii="Arial Narrow" w:hAnsi="Arial Narrow"/>
                <w:strike/>
                <w:sz w:val="20"/>
                <w:szCs w:val="20"/>
              </w:rPr>
              <w:t>AND</w:t>
            </w:r>
          </w:p>
          <w:p w:rsidR="008A70E3" w:rsidRPr="00207CC9" w:rsidRDefault="008A70E3" w:rsidP="00611ABF">
            <w:pPr>
              <w:rPr>
                <w:rFonts w:ascii="Arial Narrow" w:hAnsi="Arial Narrow"/>
                <w:i/>
                <w:sz w:val="20"/>
                <w:szCs w:val="20"/>
              </w:rPr>
            </w:pPr>
            <w:r w:rsidRPr="00207CC9">
              <w:rPr>
                <w:rFonts w:ascii="Arial Narrow" w:hAnsi="Arial Narrow"/>
                <w:sz w:val="20"/>
                <w:szCs w:val="20"/>
              </w:rPr>
              <w:t>The treatment must be adjunctive treatment</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Patient must have spasticity due to multiple sclerosis</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Patient must have previously received PBS-subsidised treatment with this drug for this condition</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rPr>
          <w:trHeight w:val="485"/>
        </w:trPr>
        <w:tc>
          <w:tcPr>
            <w:tcW w:w="5000" w:type="pct"/>
            <w:vAlign w:val="center"/>
            <w:hideMark/>
          </w:tcPr>
          <w:p w:rsidR="008A70E3" w:rsidRPr="00207CC9" w:rsidRDefault="008A70E3" w:rsidP="00611ABF">
            <w:pPr>
              <w:rPr>
                <w:rFonts w:ascii="Arial Narrow" w:hAnsi="Arial Narrow"/>
                <w:i/>
                <w:sz w:val="20"/>
                <w:szCs w:val="20"/>
              </w:rPr>
            </w:pPr>
            <w:r w:rsidRPr="00207CC9">
              <w:rPr>
                <w:rFonts w:ascii="Arial Narrow" w:hAnsi="Arial Narrow"/>
                <w:i/>
                <w:sz w:val="20"/>
                <w:szCs w:val="20"/>
              </w:rPr>
              <w:t>Patient must have demonstrated or maintained an adequate response to PBS subsidised therapy as defined by a 20% or greater improvement in Numeric Rating Scale score from baseline</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tcPr>
          <w:p w:rsidR="008A70E3" w:rsidRPr="00207CC9" w:rsidRDefault="008A70E3" w:rsidP="00611ABF">
            <w:pPr>
              <w:rPr>
                <w:rFonts w:ascii="Arial Narrow" w:hAnsi="Arial Narrow"/>
                <w:i/>
                <w:strike/>
                <w:sz w:val="20"/>
                <w:szCs w:val="20"/>
              </w:rPr>
            </w:pPr>
            <w:r w:rsidRPr="00207CC9">
              <w:rPr>
                <w:rFonts w:ascii="Arial Narrow" w:hAnsi="Arial Narrow"/>
                <w:i/>
                <w:strike/>
                <w:sz w:val="20"/>
                <w:szCs w:val="20"/>
              </w:rPr>
              <w:t>The treatment must be as adjunctive therapy following an inadequate response to prior anti-spasticity treatment</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Treatment criteria:</w:t>
            </w:r>
          </w:p>
        </w:tc>
      </w:tr>
      <w:tr w:rsidR="008A70E3" w:rsidRPr="00207CC9" w:rsidTr="00207CC9">
        <w:tc>
          <w:tcPr>
            <w:tcW w:w="5000" w:type="pct"/>
            <w:vAlign w:val="center"/>
            <w:hideMark/>
          </w:tcPr>
          <w:p w:rsidR="008A70E3" w:rsidRPr="00207CC9" w:rsidRDefault="008A70E3" w:rsidP="00611ABF">
            <w:pPr>
              <w:autoSpaceDE w:val="0"/>
              <w:autoSpaceDN w:val="0"/>
              <w:adjustRightInd w:val="0"/>
              <w:rPr>
                <w:rFonts w:ascii="Arial Narrow" w:hAnsi="Arial Narrow" w:cs="Arial Narrow"/>
                <w:i/>
                <w:iCs/>
                <w:sz w:val="20"/>
                <w:szCs w:val="20"/>
              </w:rPr>
            </w:pPr>
            <w:r w:rsidRPr="00207CC9">
              <w:rPr>
                <w:rFonts w:ascii="Arial Narrow" w:hAnsi="Arial Narrow"/>
                <w:sz w:val="20"/>
                <w:szCs w:val="20"/>
              </w:rPr>
              <w:t>Must be treated by a neurologist or rehabilitation physician.</w:t>
            </w:r>
          </w:p>
        </w:tc>
      </w:tr>
      <w:tr w:rsidR="008A70E3" w:rsidRPr="00207CC9" w:rsidTr="00207CC9">
        <w:tc>
          <w:tcPr>
            <w:tcW w:w="5000" w:type="pct"/>
            <w:vAlign w:val="center"/>
            <w:hideMark/>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AND</w:t>
            </w:r>
          </w:p>
        </w:tc>
      </w:tr>
      <w:tr w:rsidR="008A70E3" w:rsidRPr="00207CC9" w:rsidTr="00207CC9">
        <w:tc>
          <w:tcPr>
            <w:tcW w:w="5000" w:type="pct"/>
            <w:vAlign w:val="center"/>
            <w:hideMark/>
          </w:tcPr>
          <w:p w:rsidR="008A70E3" w:rsidRPr="00207CC9" w:rsidRDefault="008A70E3" w:rsidP="00611ABF">
            <w:pPr>
              <w:rPr>
                <w:rFonts w:ascii="Arial Narrow" w:hAnsi="Arial Narrow"/>
                <w:b/>
                <w:bCs/>
                <w:color w:val="333333"/>
                <w:sz w:val="20"/>
                <w:szCs w:val="20"/>
              </w:rPr>
            </w:pPr>
            <w:r w:rsidRPr="00207CC9">
              <w:rPr>
                <w:rFonts w:ascii="Arial Narrow" w:hAnsi="Arial Narrow"/>
                <w:b/>
                <w:bCs/>
                <w:color w:val="333333"/>
                <w:sz w:val="20"/>
                <w:szCs w:val="20"/>
              </w:rPr>
              <w:t>Population criteria:</w:t>
            </w:r>
          </w:p>
          <w:p w:rsidR="008A70E3" w:rsidRPr="00207CC9" w:rsidRDefault="008A70E3" w:rsidP="00611ABF">
            <w:pPr>
              <w:rPr>
                <w:rFonts w:ascii="Arial Narrow" w:hAnsi="Arial Narrow"/>
                <w:color w:val="333333"/>
                <w:sz w:val="20"/>
                <w:szCs w:val="20"/>
              </w:rPr>
            </w:pPr>
            <w:r w:rsidRPr="00207CC9">
              <w:rPr>
                <w:rFonts w:ascii="Arial Narrow" w:hAnsi="Arial Narrow"/>
                <w:strike/>
                <w:sz w:val="20"/>
                <w:szCs w:val="20"/>
              </w:rPr>
              <w:t>Patient must be experiencing moderate to severe spasticity</w:t>
            </w:r>
          </w:p>
        </w:tc>
      </w:tr>
      <w:tr w:rsidR="008A70E3" w:rsidRPr="00207CC9" w:rsidTr="00207CC9">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i/>
                <w:sz w:val="20"/>
                <w:szCs w:val="20"/>
              </w:rPr>
              <w:t>No increase in the maximum number of repeats may be authorised.</w:t>
            </w:r>
          </w:p>
        </w:tc>
      </w:tr>
      <w:tr w:rsidR="008A70E3" w:rsidRPr="00207CC9" w:rsidTr="00207CC9">
        <w:trPr>
          <w:trHeight w:val="259"/>
        </w:trPr>
        <w:tc>
          <w:tcPr>
            <w:tcW w:w="5000" w:type="pct"/>
            <w:vAlign w:val="center"/>
          </w:tcPr>
          <w:p w:rsidR="008A70E3" w:rsidRPr="00207CC9" w:rsidRDefault="008A70E3" w:rsidP="00611ABF">
            <w:pPr>
              <w:rPr>
                <w:rFonts w:ascii="Arial Narrow" w:hAnsi="Arial Narrow"/>
                <w:color w:val="333333"/>
                <w:sz w:val="20"/>
                <w:szCs w:val="20"/>
              </w:rPr>
            </w:pPr>
            <w:r w:rsidRPr="00207CC9">
              <w:rPr>
                <w:rFonts w:ascii="Arial Narrow" w:hAnsi="Arial Narrow"/>
                <w:b/>
                <w:bCs/>
                <w:color w:val="333333"/>
                <w:sz w:val="20"/>
                <w:szCs w:val="20"/>
              </w:rPr>
              <w:t xml:space="preserve">Caution: </w:t>
            </w:r>
            <w:r w:rsidRPr="00207CC9">
              <w:rPr>
                <w:rFonts w:ascii="Arial Narrow" w:hAnsi="Arial Narrow"/>
                <w:strike/>
                <w:sz w:val="20"/>
                <w:szCs w:val="20"/>
              </w:rPr>
              <w:t>Maximum recommended dose of nabiximols should not be exceeded.</w:t>
            </w:r>
          </w:p>
          <w:p w:rsidR="008A70E3" w:rsidRPr="00207CC9" w:rsidRDefault="008A70E3" w:rsidP="00611ABF">
            <w:pPr>
              <w:rPr>
                <w:rFonts w:ascii="Arial Narrow" w:hAnsi="Arial Narrow"/>
                <w:b/>
                <w:bCs/>
                <w:color w:val="333333"/>
                <w:sz w:val="20"/>
                <w:szCs w:val="20"/>
              </w:rPr>
            </w:pPr>
          </w:p>
        </w:tc>
      </w:tr>
      <w:tr w:rsidR="008A70E3" w:rsidRPr="00207CC9" w:rsidTr="00207CC9">
        <w:trPr>
          <w:trHeight w:val="259"/>
        </w:trPr>
        <w:tc>
          <w:tcPr>
            <w:tcW w:w="5000" w:type="pct"/>
            <w:vAlign w:val="center"/>
          </w:tcPr>
          <w:p w:rsidR="008A70E3" w:rsidRPr="00207CC9" w:rsidRDefault="008A70E3" w:rsidP="00611ABF">
            <w:pPr>
              <w:rPr>
                <w:rFonts w:ascii="Arial Narrow" w:hAnsi="Arial Narrow"/>
                <w:b/>
                <w:bCs/>
                <w:color w:val="333333"/>
                <w:sz w:val="20"/>
                <w:szCs w:val="20"/>
              </w:rPr>
            </w:pPr>
            <w:r w:rsidRPr="00207CC9">
              <w:rPr>
                <w:rFonts w:ascii="Arial Narrow" w:hAnsi="Arial Narrow"/>
                <w:sz w:val="20"/>
                <w:szCs w:val="20"/>
              </w:rPr>
              <w:t>The risk of drug dependency is high.</w:t>
            </w:r>
          </w:p>
        </w:tc>
      </w:tr>
      <w:tr w:rsidR="008A70E3" w:rsidRPr="00207CC9" w:rsidTr="00207CC9">
        <w:tc>
          <w:tcPr>
            <w:tcW w:w="5000" w:type="pct"/>
            <w:vAlign w:val="center"/>
          </w:tcPr>
          <w:p w:rsidR="008A70E3" w:rsidRPr="00207CC9" w:rsidRDefault="008A70E3" w:rsidP="00611ABF">
            <w:pPr>
              <w:rPr>
                <w:rFonts w:ascii="Arial Narrow" w:hAnsi="Arial Narrow"/>
                <w:sz w:val="20"/>
                <w:szCs w:val="20"/>
              </w:rPr>
            </w:pPr>
            <w:r w:rsidRPr="00207CC9">
              <w:rPr>
                <w:rFonts w:ascii="Arial Narrow" w:hAnsi="Arial Narrow"/>
                <w:sz w:val="20"/>
                <w:szCs w:val="20"/>
              </w:rPr>
              <w:t xml:space="preserve">Care must be taken to comply with the provisions of </w:t>
            </w:r>
            <w:r w:rsidRPr="00207CC9">
              <w:rPr>
                <w:rFonts w:ascii="Arial Narrow" w:hAnsi="Arial Narrow"/>
                <w:i/>
                <w:sz w:val="20"/>
                <w:szCs w:val="20"/>
              </w:rPr>
              <w:t xml:space="preserve">State </w:t>
            </w:r>
            <w:r w:rsidRPr="00207CC9">
              <w:rPr>
                <w:rFonts w:ascii="Arial Narrow" w:hAnsi="Arial Narrow"/>
                <w:i/>
                <w:strike/>
                <w:sz w:val="20"/>
                <w:szCs w:val="20"/>
              </w:rPr>
              <w:t>and</w:t>
            </w:r>
            <w:r w:rsidRPr="00207CC9">
              <w:rPr>
                <w:rFonts w:ascii="Arial Narrow" w:hAnsi="Arial Narrow"/>
                <w:i/>
                <w:sz w:val="20"/>
                <w:szCs w:val="20"/>
              </w:rPr>
              <w:t xml:space="preserve"> Territory</w:t>
            </w:r>
            <w:r w:rsidRPr="00207CC9">
              <w:rPr>
                <w:rFonts w:ascii="Arial Narrow" w:hAnsi="Arial Narrow"/>
                <w:sz w:val="20"/>
                <w:szCs w:val="20"/>
              </w:rPr>
              <w:t xml:space="preserve"> law when prescribing </w:t>
            </w:r>
            <w:r w:rsidRPr="00207CC9">
              <w:rPr>
                <w:rFonts w:ascii="Arial Narrow" w:hAnsi="Arial Narrow"/>
                <w:strike/>
                <w:sz w:val="20"/>
                <w:szCs w:val="20"/>
              </w:rPr>
              <w:t>and</w:t>
            </w:r>
            <w:r w:rsidRPr="00207CC9">
              <w:rPr>
                <w:rFonts w:ascii="Arial Narrow" w:hAnsi="Arial Narrow"/>
                <w:sz w:val="20"/>
                <w:szCs w:val="20"/>
              </w:rPr>
              <w:t xml:space="preserve"> </w:t>
            </w:r>
            <w:r w:rsidRPr="00207CC9">
              <w:rPr>
                <w:rFonts w:ascii="Arial Narrow" w:hAnsi="Arial Narrow"/>
                <w:strike/>
                <w:sz w:val="20"/>
                <w:szCs w:val="20"/>
              </w:rPr>
              <w:t>administering</w:t>
            </w:r>
            <w:r w:rsidRPr="00207CC9">
              <w:rPr>
                <w:rFonts w:ascii="Arial Narrow" w:hAnsi="Arial Narrow"/>
                <w:sz w:val="20"/>
                <w:szCs w:val="20"/>
              </w:rPr>
              <w:t xml:space="preserve"> this drug.</w:t>
            </w:r>
          </w:p>
        </w:tc>
      </w:tr>
      <w:tr w:rsidR="008A70E3" w:rsidRPr="00207CC9" w:rsidTr="00207CC9">
        <w:tc>
          <w:tcPr>
            <w:tcW w:w="5000" w:type="pct"/>
            <w:vAlign w:val="center"/>
          </w:tcPr>
          <w:p w:rsidR="008A70E3" w:rsidRPr="00207CC9" w:rsidRDefault="008A70E3" w:rsidP="00611ABF">
            <w:pPr>
              <w:rPr>
                <w:rFonts w:ascii="Arial Narrow" w:hAnsi="Arial Narrow"/>
                <w:b/>
                <w:sz w:val="20"/>
                <w:szCs w:val="20"/>
              </w:rPr>
            </w:pPr>
            <w:r w:rsidRPr="00207CC9">
              <w:rPr>
                <w:rFonts w:ascii="Arial Narrow" w:hAnsi="Arial Narrow"/>
                <w:b/>
                <w:sz w:val="20"/>
                <w:szCs w:val="20"/>
              </w:rPr>
              <w:t xml:space="preserve">Definitions: </w:t>
            </w:r>
            <w:r w:rsidRPr="00207CC9">
              <w:rPr>
                <w:rFonts w:ascii="Arial Narrow" w:hAnsi="Arial Narrow"/>
                <w:strike/>
                <w:sz w:val="20"/>
                <w:szCs w:val="20"/>
              </w:rPr>
              <w:t>Moderate to severe spasticity is defined by Numeric Rating Scale Score ≥ 4</w:t>
            </w:r>
          </w:p>
        </w:tc>
      </w:tr>
    </w:tbl>
    <w:p w:rsidR="00C04285" w:rsidRPr="00A67611" w:rsidRDefault="00C04285" w:rsidP="00FA30CD"/>
    <w:p w:rsidR="00B47D64" w:rsidRPr="00A67611" w:rsidRDefault="00B47D64" w:rsidP="000F706A">
      <w:pPr>
        <w:pStyle w:val="3-BodyText"/>
      </w:pPr>
      <w:r w:rsidRPr="00A67611">
        <w:t>The submission requested a</w:t>
      </w:r>
      <w:r w:rsidR="00083DF3" w:rsidRPr="00A67611">
        <w:t xml:space="preserve"> </w:t>
      </w:r>
      <w:r w:rsidRPr="00A67611">
        <w:t xml:space="preserve">Section 100 Highly Specialised Drugs Program </w:t>
      </w:r>
      <w:r w:rsidR="00CF4B21" w:rsidRPr="00A67611">
        <w:t>(</w:t>
      </w:r>
      <w:r w:rsidRPr="00A67611">
        <w:t>Community Access)</w:t>
      </w:r>
      <w:r w:rsidR="00083DF3" w:rsidRPr="00A67611">
        <w:t>, A</w:t>
      </w:r>
      <w:r w:rsidR="00AE62C4" w:rsidRPr="00A67611">
        <w:t>uthority Required (STREAMLINED)</w:t>
      </w:r>
      <w:r w:rsidRPr="00A67611">
        <w:t xml:space="preserve"> listing. A General Schedule</w:t>
      </w:r>
      <w:r w:rsidR="00CF4B21" w:rsidRPr="00A67611">
        <w:t xml:space="preserve"> listing may be more appropriate for nabiximols, given its administration does not require an institutional setting. Further, an </w:t>
      </w:r>
      <w:r w:rsidRPr="00A67611">
        <w:t>Authority Required (telephone/electronic) listing may be more appropriate for nabiximols</w:t>
      </w:r>
      <w:r w:rsidR="00CF4B21" w:rsidRPr="00A67611">
        <w:t xml:space="preserve"> </w:t>
      </w:r>
      <w:r w:rsidR="00083DF3" w:rsidRPr="00A67611">
        <w:t>due to</w:t>
      </w:r>
      <w:r w:rsidRPr="00A67611">
        <w:t xml:space="preserve"> the risk of </w:t>
      </w:r>
      <w:r w:rsidR="002414E0" w:rsidRPr="00A67611">
        <w:t xml:space="preserve">use in </w:t>
      </w:r>
      <w:r w:rsidRPr="00A67611">
        <w:t xml:space="preserve">other indications. </w:t>
      </w:r>
      <w:r w:rsidR="00516825" w:rsidRPr="00A67611">
        <w:t>The Pre-PBAC Response  indicated the Sponsor was amenable to a General Schedule, Authority Required (telephone/electronic) listing.</w:t>
      </w:r>
    </w:p>
    <w:p w:rsidR="00FA30CD" w:rsidRPr="00A67611" w:rsidRDefault="00FA30CD" w:rsidP="000F706A">
      <w:pPr>
        <w:pStyle w:val="3-BodyText"/>
      </w:pPr>
      <w:r w:rsidRPr="00A67611">
        <w:t>Based on the mean trial doses used in Markovà 2019</w:t>
      </w:r>
      <w:r w:rsidR="00D2119E" w:rsidRPr="00A67611">
        <w:t xml:space="preserve"> at W</w:t>
      </w:r>
      <w:r w:rsidRPr="00A67611">
        <w:t>eek 12 (7.3 doses</w:t>
      </w:r>
      <w:r w:rsidR="00987F08" w:rsidRPr="00A67611">
        <w:t>/day</w:t>
      </w:r>
      <w:r w:rsidRPr="00A67611">
        <w:t xml:space="preserve">) and the doses reported in observational studies, the requested number of units of two packs of three </w:t>
      </w:r>
      <w:r w:rsidR="00651DF8" w:rsidRPr="00A67611">
        <w:t xml:space="preserve">would </w:t>
      </w:r>
      <w:r w:rsidRPr="00A67611">
        <w:t>provide more than the quantity required for 2 months of tre</w:t>
      </w:r>
      <w:r w:rsidR="00D2119E" w:rsidRPr="00A67611">
        <w:t>atment for continuing treatment</w:t>
      </w:r>
      <w:r w:rsidRPr="00A67611">
        <w:t xml:space="preserve">. </w:t>
      </w:r>
      <w:r w:rsidR="002A766E" w:rsidRPr="00A67611">
        <w:t xml:space="preserve">The ESC considered the </w:t>
      </w:r>
      <w:r w:rsidR="00651DF8" w:rsidRPr="00A67611">
        <w:t xml:space="preserve">requested </w:t>
      </w:r>
      <w:r w:rsidR="002A766E" w:rsidRPr="00A67611">
        <w:t>m</w:t>
      </w:r>
      <w:r w:rsidR="00D2119E" w:rsidRPr="00A67611">
        <w:t xml:space="preserve">aximum </w:t>
      </w:r>
      <w:r w:rsidR="00D2119E" w:rsidRPr="00A67611">
        <w:lastRenderedPageBreak/>
        <w:t xml:space="preserve">quantities may </w:t>
      </w:r>
      <w:r w:rsidR="00965B6C" w:rsidRPr="00A67611">
        <w:t xml:space="preserve">be too high and </w:t>
      </w:r>
      <w:r w:rsidR="00D2119E" w:rsidRPr="00A67611">
        <w:t xml:space="preserve">require consideration </w:t>
      </w:r>
      <w:r w:rsidRPr="00A67611">
        <w:t xml:space="preserve">given the requested streamlined authority listing and the potential for diversion. </w:t>
      </w:r>
    </w:p>
    <w:p w:rsidR="00A307CC" w:rsidRPr="00A67611" w:rsidRDefault="00A307CC" w:rsidP="000F706A">
      <w:pPr>
        <w:pStyle w:val="3-BodyText"/>
      </w:pPr>
      <w:r w:rsidRPr="00A67611">
        <w:t>The requested listing did not include criteria for re-trialling nabiximols after a treatment failure. The ESC considered that it would be appropriate to allow patients to re</w:t>
      </w:r>
      <w:r w:rsidR="00C11C6B" w:rsidRPr="00A67611">
        <w:t>-</w:t>
      </w:r>
      <w:r w:rsidRPr="00A67611">
        <w:t>trial therapy</w:t>
      </w:r>
      <w:r w:rsidR="00C11C6B" w:rsidRPr="00A67611">
        <w:t xml:space="preserve"> at a later time</w:t>
      </w:r>
      <w:r w:rsidRPr="00A67611">
        <w:t xml:space="preserve"> as </w:t>
      </w:r>
      <w:r w:rsidR="00651DF8" w:rsidRPr="00A67611">
        <w:t xml:space="preserve">patients </w:t>
      </w:r>
      <w:r w:rsidRPr="00A67611">
        <w:t xml:space="preserve">may become responders </w:t>
      </w:r>
      <w:r w:rsidR="00C11C6B" w:rsidRPr="00A67611">
        <w:t xml:space="preserve">to nabiximols </w:t>
      </w:r>
      <w:r w:rsidRPr="00A67611">
        <w:t xml:space="preserve">as their condition progresses. </w:t>
      </w:r>
      <w:r w:rsidR="00516825" w:rsidRPr="00A67611">
        <w:t xml:space="preserve">The Pre-PBAC Response  stated there was no clinical trial evidence to support the re-trial of patients following a treatment failure and that </w:t>
      </w:r>
      <w:r w:rsidR="00651DF8" w:rsidRPr="00A67611">
        <w:t>the Sponsor would</w:t>
      </w:r>
      <w:r w:rsidR="00516825" w:rsidRPr="00A67611">
        <w:t xml:space="preserve"> accept the </w:t>
      </w:r>
      <w:r w:rsidR="00265AD6" w:rsidRPr="00A67611">
        <w:t>decision</w:t>
      </w:r>
      <w:r w:rsidR="00516825" w:rsidRPr="00A67611">
        <w:t xml:space="preserve"> of the PBAC as to whether patients should be allowed to re-trial nabiximols.</w:t>
      </w:r>
    </w:p>
    <w:p w:rsidR="00BC06EF" w:rsidRDefault="00540887" w:rsidP="000F706A">
      <w:pPr>
        <w:pStyle w:val="3-BodyText"/>
      </w:pPr>
      <w:r w:rsidRPr="00A67611">
        <w:t>T</w:t>
      </w:r>
      <w:r w:rsidR="00A038A2" w:rsidRPr="00A67611">
        <w:t>he requested restriction differed</w:t>
      </w:r>
      <w:r w:rsidRPr="00A67611">
        <w:t xml:space="preserve"> from the previou</w:t>
      </w:r>
      <w:r w:rsidR="00A038A2" w:rsidRPr="00A67611">
        <w:t>s submission in that it required</w:t>
      </w:r>
      <w:r w:rsidRPr="00A67611">
        <w:t xml:space="preserve"> patients to use nabiximols as adjunctive therapy, the option for patients to be intolerant to oral anti-spasticity medication has been removed</w:t>
      </w:r>
      <w:r w:rsidR="00E5336F" w:rsidRPr="00A67611">
        <w:t xml:space="preserve">, and the patient population has been broadened from </w:t>
      </w:r>
      <w:r w:rsidR="000D1D4F" w:rsidRPr="00A67611">
        <w:t>‘</w:t>
      </w:r>
      <w:r w:rsidR="00E5336F" w:rsidRPr="00A67611">
        <w:t>severe</w:t>
      </w:r>
      <w:r w:rsidR="000D1D4F" w:rsidRPr="00A67611">
        <w:t>’,</w:t>
      </w:r>
      <w:r w:rsidR="00E5336F" w:rsidRPr="00A67611">
        <w:t xml:space="preserve"> to </w:t>
      </w:r>
      <w:r w:rsidR="000D1D4F" w:rsidRPr="00A67611">
        <w:t xml:space="preserve">‘moderate to severe’ </w:t>
      </w:r>
      <w:r w:rsidR="00E5336F" w:rsidRPr="00A67611">
        <w:t>spasticity</w:t>
      </w:r>
      <w:r w:rsidR="00AE62C4" w:rsidRPr="00A67611">
        <w:t>.</w:t>
      </w:r>
    </w:p>
    <w:p w:rsidR="00BC06EF" w:rsidRPr="00A67611" w:rsidRDefault="00BC06EF" w:rsidP="004D7009">
      <w:pPr>
        <w:ind w:firstLine="720"/>
        <w:rPr>
          <w:i/>
        </w:rPr>
      </w:pPr>
      <w:r w:rsidRPr="00A67611">
        <w:rPr>
          <w:i/>
        </w:rPr>
        <w:t>For more detail on PBAC’s view, see section 7 PBAC outcome.</w:t>
      </w:r>
    </w:p>
    <w:p w:rsidR="00FA30CD" w:rsidRPr="00A67611" w:rsidRDefault="00FA30CD" w:rsidP="00FA30CD">
      <w:pPr>
        <w:pStyle w:val="2-SectionHeading"/>
      </w:pPr>
      <w:bookmarkStart w:id="15" w:name="_Toc27326482"/>
      <w:bookmarkStart w:id="16" w:name="_Toc30583486"/>
      <w:r w:rsidRPr="00A67611">
        <w:t>Population and disease</w:t>
      </w:r>
      <w:bookmarkEnd w:id="15"/>
      <w:bookmarkEnd w:id="16"/>
    </w:p>
    <w:p w:rsidR="00FA30CD" w:rsidRPr="00A67611" w:rsidRDefault="00FA30CD" w:rsidP="000F706A">
      <w:pPr>
        <w:pStyle w:val="3-BodyText"/>
      </w:pPr>
      <w:r w:rsidRPr="00A67611">
        <w:rPr>
          <w:rFonts w:cstheme="minorHAnsi"/>
          <w:szCs w:val="20"/>
          <w:lang w:eastAsia="en-US"/>
        </w:rPr>
        <w:t xml:space="preserve">Multiple sclerosis </w:t>
      </w:r>
      <w:r w:rsidRPr="00A67611">
        <w:t>is an inflammatory, neurodegenerative autoimmune disease of the central nervous system (CNS) where the patient’s own immune system attacks the nerve</w:t>
      </w:r>
      <w:r w:rsidR="00D2119E" w:rsidRPr="00A67611">
        <w:t>’</w:t>
      </w:r>
      <w:r w:rsidRPr="00A67611">
        <w:t>s protective sheath formed by myelin, resulting in the demyelisation and then transection of neurons’ axons in the brain, spinal cord, and optic nerves, delaying or blocking the propagation of electrical potentials through the neuronal pathways. Spasticity has been reported by more than 80% of patients with MS. It reduces mobility and is associated with continuous muscle rigidity and often painful muscular spasms and weakness. In older patients and as MS progresses, the severity of spasticity tends to increase.</w:t>
      </w:r>
    </w:p>
    <w:p w:rsidR="00FA30CD" w:rsidRPr="00A67611" w:rsidRDefault="00FA30CD" w:rsidP="000F706A">
      <w:pPr>
        <w:pStyle w:val="3-BodyText"/>
      </w:pPr>
      <w:r w:rsidRPr="00A67611">
        <w:t>The resubmission sou</w:t>
      </w:r>
      <w:r w:rsidR="00D2119E" w:rsidRPr="00A67611">
        <w:t>ght listing in patients with MS-</w:t>
      </w:r>
      <w:r w:rsidRPr="00A67611">
        <w:t xml:space="preserve">related moderate to severe spasticity (defined as a baseline Numerical Rating Scale for spasticity (NRS) </w:t>
      </w:r>
      <w:r w:rsidRPr="00A67611">
        <w:rPr>
          <w:rFonts w:cs="Calibri"/>
        </w:rPr>
        <w:t>≥</w:t>
      </w:r>
      <w:r w:rsidRPr="00A67611">
        <w:t>4) that ha</w:t>
      </w:r>
      <w:r w:rsidR="00D40C0F" w:rsidRPr="00A67611">
        <w:t>ve</w:t>
      </w:r>
      <w:r w:rsidRPr="00A67611">
        <w:t xml:space="preserve"> not responded adequately to oral anti-spasticity agents. </w:t>
      </w:r>
    </w:p>
    <w:p w:rsidR="008D1984" w:rsidRPr="00A67611" w:rsidRDefault="004A1BE7" w:rsidP="000F706A">
      <w:pPr>
        <w:pStyle w:val="3-BodyText"/>
      </w:pPr>
      <w:r w:rsidRPr="00A67611">
        <w:t xml:space="preserve">The ESC noted local and international guidelines and position statements </w:t>
      </w:r>
      <w:r w:rsidR="00184541" w:rsidRPr="00A67611">
        <w:t xml:space="preserve">suggest </w:t>
      </w:r>
      <w:r w:rsidRPr="00A67611">
        <w:t>the use of cannabinoids in refractory spasticity</w:t>
      </w:r>
      <w:r w:rsidR="00184541" w:rsidRPr="00A67611">
        <w:t xml:space="preserve"> may be useful in some patients</w:t>
      </w:r>
      <w:r w:rsidRPr="00A67611">
        <w:t>.</w:t>
      </w:r>
      <w:r w:rsidR="00B21251" w:rsidRPr="00A67611">
        <w:rPr>
          <w:rStyle w:val="FootnoteReference"/>
        </w:rPr>
        <w:footnoteReference w:id="1"/>
      </w:r>
      <w:r w:rsidR="00B21251" w:rsidRPr="00A67611">
        <w:rPr>
          <w:vertAlign w:val="superscript"/>
        </w:rPr>
        <w:t>,</w:t>
      </w:r>
      <w:r w:rsidR="004F7E47" w:rsidRPr="00A67611">
        <w:rPr>
          <w:vertAlign w:val="superscript"/>
        </w:rPr>
        <w:t xml:space="preserve"> </w:t>
      </w:r>
      <w:r w:rsidR="00B21251" w:rsidRPr="00A67611">
        <w:rPr>
          <w:rStyle w:val="FootnoteReference"/>
        </w:rPr>
        <w:footnoteReference w:id="2"/>
      </w:r>
    </w:p>
    <w:p w:rsidR="008D1984" w:rsidRPr="00A67611" w:rsidRDefault="008D1984" w:rsidP="004D7009">
      <w:pPr>
        <w:ind w:firstLine="720"/>
        <w:rPr>
          <w:i/>
        </w:rPr>
      </w:pPr>
      <w:r w:rsidRPr="00A67611">
        <w:rPr>
          <w:i/>
        </w:rPr>
        <w:t>For more detail on PBAC’s view, see section 7 PBAC outcome.</w:t>
      </w:r>
    </w:p>
    <w:p w:rsidR="00FA30CD" w:rsidRPr="00A67611" w:rsidRDefault="00FA30CD" w:rsidP="00FA30CD">
      <w:pPr>
        <w:pStyle w:val="2-SectionHeading"/>
      </w:pPr>
      <w:bookmarkStart w:id="17" w:name="_Toc27326483"/>
      <w:bookmarkStart w:id="18" w:name="_Toc30583487"/>
      <w:r w:rsidRPr="00A67611">
        <w:t>Comparator</w:t>
      </w:r>
      <w:bookmarkEnd w:id="17"/>
      <w:bookmarkEnd w:id="18"/>
    </w:p>
    <w:p w:rsidR="00FA30CD" w:rsidRPr="00A67611" w:rsidRDefault="00FA30CD" w:rsidP="000F706A">
      <w:pPr>
        <w:pStyle w:val="3-BodyText"/>
        <w:rPr>
          <w:snapToGrid/>
        </w:rPr>
      </w:pPr>
      <w:r w:rsidRPr="00A67611">
        <w:t>The nominated compa</w:t>
      </w:r>
      <w:r w:rsidR="00E37526" w:rsidRPr="00A67611">
        <w:t>ra</w:t>
      </w:r>
      <w:r w:rsidRPr="00A67611">
        <w:t>tor of standard care (</w:t>
      </w:r>
      <w:r w:rsidR="00576028" w:rsidRPr="00A67611">
        <w:t>SC</w:t>
      </w:r>
      <w:r w:rsidRPr="00A67611">
        <w:t xml:space="preserve">) alone is the same as for the previous submission. Standard care was defined as oral anti-spasticity medication, which </w:t>
      </w:r>
      <w:r w:rsidRPr="00A67611">
        <w:lastRenderedPageBreak/>
        <w:t xml:space="preserve">includes baclofen, tizanidine </w:t>
      </w:r>
      <w:r w:rsidR="00CD0F27" w:rsidRPr="00A67611">
        <w:t xml:space="preserve">(not registered in Australia), diazepam, clonazepam, gabapentin </w:t>
      </w:r>
      <w:r w:rsidRPr="00A67611">
        <w:t xml:space="preserve">and dantrolene. The </w:t>
      </w:r>
      <w:r w:rsidR="00D11308" w:rsidRPr="00A67611">
        <w:t xml:space="preserve">July 2013 </w:t>
      </w:r>
      <w:r w:rsidRPr="00A67611">
        <w:t>submission defined standard care as multi-disciplinary involving physiotherapy and pharmacotherapy (including oral anti-spasticity agents, botulinum toxin and intrathecal baclofen).</w:t>
      </w:r>
      <w:r w:rsidR="00FD60BF" w:rsidRPr="00A67611">
        <w:t xml:space="preserve"> The PBAC </w:t>
      </w:r>
      <w:r w:rsidR="00AE62C4" w:rsidRPr="00A67611">
        <w:t xml:space="preserve"> previously </w:t>
      </w:r>
      <w:r w:rsidR="00FD60BF" w:rsidRPr="00A67611">
        <w:t>considered that “the nominated comparator was not appropriate for all the patient groups represented in the PBS restriction [(i) anti-spasticity agents have failed to produce adequate relief (partial responders), (ii) intolerant to anti-spasticity agents and (iii) tried and failed anti-spasticity agents (non-responders)</w:t>
      </w:r>
      <w:r w:rsidR="00C22B7F" w:rsidRPr="00A67611">
        <w:t>]</w:t>
      </w:r>
      <w:r w:rsidR="00D11308" w:rsidRPr="00A67611">
        <w:t>…</w:t>
      </w:r>
      <w:r w:rsidR="00FD60BF" w:rsidRPr="00A67611">
        <w:t>and that a comparison with the second-line therapy of oral baclofen dose escalation alone or in combination with dantrolene or diazepam…, should have been included” (</w:t>
      </w:r>
      <w:r w:rsidR="00DE058B">
        <w:t>section</w:t>
      </w:r>
      <w:r w:rsidR="00DE058B" w:rsidRPr="00A67611">
        <w:t xml:space="preserve"> </w:t>
      </w:r>
      <w:r w:rsidR="00FD60BF" w:rsidRPr="00A67611">
        <w:t>6</w:t>
      </w:r>
      <w:r w:rsidR="00DB21D6">
        <w:t xml:space="preserve">, </w:t>
      </w:r>
      <w:r w:rsidR="004D7009">
        <w:t>n</w:t>
      </w:r>
      <w:r w:rsidR="00FD60BF" w:rsidRPr="00A67611">
        <w:t xml:space="preserve">abiximols PSD, July 2013). </w:t>
      </w:r>
      <w:r w:rsidR="003B6FC0" w:rsidRPr="00A67611">
        <w:t xml:space="preserve">The </w:t>
      </w:r>
      <w:r w:rsidR="00C32917" w:rsidRPr="00A67611">
        <w:t xml:space="preserve">ESC considered the nominated </w:t>
      </w:r>
      <w:r w:rsidR="003B6FC0" w:rsidRPr="00A67611">
        <w:t xml:space="preserve">comparator </w:t>
      </w:r>
      <w:r w:rsidR="00DB21D6">
        <w:t xml:space="preserve">in the resubmission </w:t>
      </w:r>
      <w:r w:rsidR="003B6FC0" w:rsidRPr="00A67611">
        <w:t xml:space="preserve">was appropriate, given that the requested restriction </w:t>
      </w:r>
      <w:r w:rsidR="00560328" w:rsidRPr="00A67611">
        <w:t xml:space="preserve">for </w:t>
      </w:r>
      <w:r w:rsidR="00350012" w:rsidRPr="00A67611">
        <w:t>nabiximols was</w:t>
      </w:r>
      <w:r w:rsidR="00C11C6B" w:rsidRPr="00A67611">
        <w:t xml:space="preserve"> adjunctive to anti-spasticity medications</w:t>
      </w:r>
      <w:r w:rsidR="00560328" w:rsidRPr="00A67611">
        <w:t xml:space="preserve"> (rather than replacing anti-spasticity medications</w:t>
      </w:r>
      <w:r w:rsidR="003761B9">
        <w:t xml:space="preserve"> as proposed in the previous submission</w:t>
      </w:r>
      <w:r w:rsidR="00560328" w:rsidRPr="00A67611">
        <w:t>)</w:t>
      </w:r>
      <w:r w:rsidR="00C11C6B" w:rsidRPr="00A67611">
        <w:t xml:space="preserve">. </w:t>
      </w:r>
    </w:p>
    <w:p w:rsidR="008D1984" w:rsidRPr="00A67611" w:rsidRDefault="009F72A8" w:rsidP="000F706A">
      <w:pPr>
        <w:pStyle w:val="3-BodyText"/>
        <w:rPr>
          <w:snapToGrid/>
        </w:rPr>
      </w:pPr>
      <w:r w:rsidRPr="00A67611">
        <w:t>The ESC noted other medicinal cannabis products</w:t>
      </w:r>
      <w:r w:rsidR="00C32917" w:rsidRPr="00A67611">
        <w:t>,</w:t>
      </w:r>
      <w:r w:rsidRPr="00A67611">
        <w:t xml:space="preserve"> </w:t>
      </w:r>
      <w:r w:rsidR="00C32917" w:rsidRPr="00A67611">
        <w:t xml:space="preserve">available via the TGA Special Access Scheme (Category B) or Authorised Prescriber programs, </w:t>
      </w:r>
      <w:r w:rsidRPr="00A67611">
        <w:t>may substitute for nabiximols in practice</w:t>
      </w:r>
      <w:r w:rsidR="00560328" w:rsidRPr="00A67611">
        <w:t>. The ESC noted there is a wide variation in cost amongst the medic</w:t>
      </w:r>
      <w:r w:rsidR="00E8003A" w:rsidRPr="00A67611">
        <w:t>in</w:t>
      </w:r>
      <w:r w:rsidR="00560328" w:rsidRPr="00A67611">
        <w:t xml:space="preserve">al cannabis products (which also varies depending on the condition treated), and some treatments may </w:t>
      </w:r>
      <w:r w:rsidR="00350012" w:rsidRPr="00A67611">
        <w:t>be less costly than nabiximols.</w:t>
      </w:r>
    </w:p>
    <w:p w:rsidR="008D1984" w:rsidRPr="00A67611" w:rsidRDefault="008D1984" w:rsidP="003761B9">
      <w:pPr>
        <w:ind w:firstLine="720"/>
        <w:rPr>
          <w:i/>
        </w:rPr>
      </w:pPr>
      <w:r w:rsidRPr="00A67611">
        <w:rPr>
          <w:i/>
        </w:rPr>
        <w:t>For more detail on PBAC’s view, see section 7 PBAC outcome.</w:t>
      </w:r>
    </w:p>
    <w:p w:rsidR="00FE1719" w:rsidRPr="00A67611" w:rsidRDefault="00FA30CD" w:rsidP="00FE1719">
      <w:pPr>
        <w:pStyle w:val="2-SectionHeading"/>
      </w:pPr>
      <w:bookmarkStart w:id="19" w:name="_Toc27326484"/>
      <w:bookmarkStart w:id="20" w:name="_Toc30583488"/>
      <w:bookmarkStart w:id="21" w:name="_Toc22897640"/>
      <w:r w:rsidRPr="00A67611">
        <w:t>Consideration of the evidence</w:t>
      </w:r>
      <w:bookmarkStart w:id="22" w:name="_Toc27326485"/>
      <w:bookmarkStart w:id="23" w:name="_Toc30583489"/>
      <w:bookmarkEnd w:id="19"/>
      <w:bookmarkEnd w:id="20"/>
    </w:p>
    <w:p w:rsidR="00FE1719" w:rsidRPr="00A67611" w:rsidRDefault="00FE1719" w:rsidP="006F32E0">
      <w:pPr>
        <w:pStyle w:val="4-SubsectionHeading"/>
        <w:rPr>
          <w:snapToGrid w:val="0"/>
        </w:rPr>
      </w:pPr>
      <w:r w:rsidRPr="00A67611">
        <w:rPr>
          <w:snapToGrid w:val="0"/>
        </w:rPr>
        <w:t>Sponsor hearing</w:t>
      </w:r>
    </w:p>
    <w:p w:rsidR="00FE1719" w:rsidRPr="00A67611" w:rsidRDefault="00FE1719" w:rsidP="000F706A">
      <w:pPr>
        <w:pStyle w:val="3-BodyText"/>
      </w:pPr>
      <w:r w:rsidRPr="00A67611">
        <w:t>There was no hearing for this item.</w:t>
      </w:r>
    </w:p>
    <w:p w:rsidR="00BB4A16" w:rsidRPr="00A67611" w:rsidRDefault="00BB4A16" w:rsidP="006F32E0">
      <w:pPr>
        <w:pStyle w:val="4-SubsectionHeading"/>
        <w:rPr>
          <w:snapToGrid w:val="0"/>
        </w:rPr>
      </w:pPr>
      <w:r w:rsidRPr="00A67611">
        <w:rPr>
          <w:snapToGrid w:val="0"/>
        </w:rPr>
        <w:t>Consumer comments</w:t>
      </w:r>
    </w:p>
    <w:p w:rsidR="00FE1719" w:rsidRPr="00A67611" w:rsidRDefault="00BB4A16" w:rsidP="000F706A">
      <w:pPr>
        <w:pStyle w:val="3-BodyText"/>
      </w:pPr>
      <w:r w:rsidRPr="00A67611">
        <w:t>The PBAC noted and welcomed the input from individuals (4), health care professionals (HCP) (1) and organisations (3) via the Consumer Comments facility on the PBS website. The PBAC noted comments from individuals</w:t>
      </w:r>
      <w:r w:rsidR="00FE1719" w:rsidRPr="00A67611">
        <w:t xml:space="preserve"> and organisations</w:t>
      </w:r>
      <w:r w:rsidRPr="00A67611">
        <w:t xml:space="preserve"> discussed</w:t>
      </w:r>
      <w:r w:rsidR="00FE1719" w:rsidRPr="00A67611">
        <w:t xml:space="preserve"> the debilitating effects of muscle spasticity in MS and</w:t>
      </w:r>
      <w:r w:rsidRPr="00A67611">
        <w:t xml:space="preserve"> the potential benefits of symptomatic improvement</w:t>
      </w:r>
      <w:r w:rsidR="006F32E0" w:rsidRPr="00A67611">
        <w:t xml:space="preserve"> and</w:t>
      </w:r>
      <w:r w:rsidR="004F7E47" w:rsidRPr="00A67611">
        <w:t xml:space="preserve"> </w:t>
      </w:r>
      <w:r w:rsidR="00FE1719" w:rsidRPr="00A67611">
        <w:t>improvements in quality of life. The consumer input also</w:t>
      </w:r>
      <w:r w:rsidRPr="00A67611">
        <w:t xml:space="preserve"> highlighted cost </w:t>
      </w:r>
      <w:r w:rsidR="006F32E0" w:rsidRPr="00A67611">
        <w:t>as a barrier</w:t>
      </w:r>
      <w:r w:rsidR="00FE1719" w:rsidRPr="00A67611">
        <w:t xml:space="preserve"> preventing patients from accessing treatment</w:t>
      </w:r>
      <w:r w:rsidRPr="00A67611">
        <w:t xml:space="preserve">. The PBAC noted the HCP </w:t>
      </w:r>
      <w:r w:rsidR="00FE1719" w:rsidRPr="00A67611">
        <w:t>input supported the listing of nabiximols for patients who fail to adequately respond to first line agents.</w:t>
      </w:r>
    </w:p>
    <w:p w:rsidR="00FA30CD" w:rsidRPr="00A67611" w:rsidRDefault="00FA30CD" w:rsidP="00FA30CD">
      <w:pPr>
        <w:pStyle w:val="4-SubsectionHeading"/>
      </w:pPr>
      <w:r w:rsidRPr="00A67611">
        <w:t>Clinical trials</w:t>
      </w:r>
      <w:bookmarkEnd w:id="21"/>
      <w:bookmarkEnd w:id="22"/>
      <w:bookmarkEnd w:id="23"/>
    </w:p>
    <w:p w:rsidR="00154D99" w:rsidRPr="00A67611" w:rsidRDefault="00FA30CD" w:rsidP="000F706A">
      <w:pPr>
        <w:pStyle w:val="3-BodyText"/>
        <w:rPr>
          <w:i/>
        </w:rPr>
      </w:pPr>
      <w:r w:rsidRPr="00A67611">
        <w:t>The resubmission was based on two head-to-head randomised trials comparing nabiximols to placebo (Markovà 2019, n=197 enrolled (Phase A) and n=106 randomised (Phase B)</w:t>
      </w:r>
      <w:r w:rsidR="00154D99" w:rsidRPr="00A67611">
        <w:t xml:space="preserve"> </w:t>
      </w:r>
      <w:r w:rsidRPr="00A67611">
        <w:t>and Novotna 2011, n=572 (Phase A) and n=241</w:t>
      </w:r>
      <w:r w:rsidR="00154D99" w:rsidRPr="00A67611">
        <w:t xml:space="preserve"> </w:t>
      </w:r>
      <w:r w:rsidRPr="00A67611">
        <w:t>(Phase B)) and four supplementary randomised trials comparing nabiximols to placebo</w:t>
      </w:r>
      <w:r w:rsidRPr="00A67611">
        <w:rPr>
          <w:snapToGrid/>
        </w:rPr>
        <w:t xml:space="preserve"> (Collin 2010, </w:t>
      </w:r>
      <w:r w:rsidRPr="00A67611">
        <w:rPr>
          <w:snapToGrid/>
        </w:rPr>
        <w:lastRenderedPageBreak/>
        <w:t>n=337, Collin 2007, n=189, Vachovà 2014</w:t>
      </w:r>
      <w:r w:rsidR="00C2742D">
        <w:rPr>
          <w:snapToGrid/>
        </w:rPr>
        <w:t>,</w:t>
      </w:r>
      <w:r w:rsidRPr="00A67611">
        <w:rPr>
          <w:snapToGrid/>
        </w:rPr>
        <w:t xml:space="preserve"> n=121, Leocani 2015</w:t>
      </w:r>
      <w:r w:rsidR="00C2742D">
        <w:rPr>
          <w:snapToGrid/>
        </w:rPr>
        <w:t>, n</w:t>
      </w:r>
      <w:r w:rsidRPr="00A67611">
        <w:rPr>
          <w:snapToGrid/>
        </w:rPr>
        <w:t xml:space="preserve">=44). The Markovà 2019, Vachovà 2014 and Leocani 2015 trials were new to this resubmission.  </w:t>
      </w:r>
    </w:p>
    <w:p w:rsidR="007E145C" w:rsidRPr="00A67611" w:rsidRDefault="007E145C" w:rsidP="000F706A">
      <w:pPr>
        <w:pStyle w:val="3-BodyText"/>
      </w:pPr>
      <w:r w:rsidRPr="00A67611">
        <w:rPr>
          <w:snapToGrid/>
        </w:rPr>
        <w:t xml:space="preserve">All trials allowed patients to receive </w:t>
      </w:r>
      <w:r w:rsidR="00916674" w:rsidRPr="00A67611">
        <w:rPr>
          <w:snapToGrid/>
        </w:rPr>
        <w:t xml:space="preserve">anti-spasticity medication, </w:t>
      </w:r>
      <w:r w:rsidR="006E04A8" w:rsidRPr="00A67611">
        <w:rPr>
          <w:snapToGrid/>
        </w:rPr>
        <w:t xml:space="preserve">and all trials apart from Collin 2007 </w:t>
      </w:r>
      <w:r w:rsidR="00916674" w:rsidRPr="00A67611">
        <w:rPr>
          <w:snapToGrid/>
        </w:rPr>
        <w:t>e</w:t>
      </w:r>
      <w:r w:rsidR="006E04A8" w:rsidRPr="00A67611">
        <w:rPr>
          <w:snapToGrid/>
        </w:rPr>
        <w:t xml:space="preserve">xcluded use of </w:t>
      </w:r>
      <w:r w:rsidR="00916674" w:rsidRPr="00A67611">
        <w:rPr>
          <w:snapToGrid/>
        </w:rPr>
        <w:t>cannabis based medications</w:t>
      </w:r>
      <w:r w:rsidR="006E04A8" w:rsidRPr="00A67611">
        <w:rPr>
          <w:snapToGrid/>
        </w:rPr>
        <w:t xml:space="preserve">. These medicines (defined as </w:t>
      </w:r>
      <w:r w:rsidR="00576028" w:rsidRPr="00A67611">
        <w:rPr>
          <w:snapToGrid/>
        </w:rPr>
        <w:t>SC</w:t>
      </w:r>
      <w:r w:rsidR="008A3130" w:rsidRPr="00A67611">
        <w:rPr>
          <w:snapToGrid/>
        </w:rPr>
        <w:t>)</w:t>
      </w:r>
      <w:r w:rsidR="006E04A8" w:rsidRPr="00A67611">
        <w:rPr>
          <w:snapToGrid/>
        </w:rPr>
        <w:t xml:space="preserve"> could be used in the trials in addition to treatment with nabiximols or placebo.</w:t>
      </w:r>
      <w:r w:rsidR="00097DB8" w:rsidRPr="00A67611">
        <w:rPr>
          <w:snapToGrid/>
        </w:rPr>
        <w:t xml:space="preserve"> All references to placebo </w:t>
      </w:r>
      <w:r w:rsidR="00110D89">
        <w:rPr>
          <w:snapToGrid/>
        </w:rPr>
        <w:t>herein</w:t>
      </w:r>
      <w:r w:rsidR="00097DB8" w:rsidRPr="00A67611">
        <w:rPr>
          <w:snapToGrid/>
        </w:rPr>
        <w:t xml:space="preserve"> assume that placebo was given in addition to the patient</w:t>
      </w:r>
      <w:r w:rsidR="00916674" w:rsidRPr="00A67611">
        <w:rPr>
          <w:snapToGrid/>
        </w:rPr>
        <w:t>’</w:t>
      </w:r>
      <w:r w:rsidR="00097DB8" w:rsidRPr="00A67611">
        <w:rPr>
          <w:snapToGrid/>
        </w:rPr>
        <w:t xml:space="preserve">s usual </w:t>
      </w:r>
      <w:r w:rsidR="00916674" w:rsidRPr="00A67611">
        <w:rPr>
          <w:snapToGrid/>
        </w:rPr>
        <w:t>anti-spasticity medication</w:t>
      </w:r>
      <w:r w:rsidR="006E04A8" w:rsidRPr="00A67611">
        <w:rPr>
          <w:snapToGrid/>
        </w:rPr>
        <w:t>s</w:t>
      </w:r>
      <w:r w:rsidR="00097DB8" w:rsidRPr="00A67611">
        <w:rPr>
          <w:snapToGrid/>
        </w:rPr>
        <w:t xml:space="preserve"> and therefore the term </w:t>
      </w:r>
      <w:r w:rsidR="006E04A8" w:rsidRPr="00A67611">
        <w:rPr>
          <w:snapToGrid/>
        </w:rPr>
        <w:t>‘</w:t>
      </w:r>
      <w:r w:rsidR="00097DB8" w:rsidRPr="00A67611">
        <w:rPr>
          <w:snapToGrid/>
        </w:rPr>
        <w:t>placebo</w:t>
      </w:r>
      <w:r w:rsidR="006E04A8" w:rsidRPr="00A67611">
        <w:rPr>
          <w:snapToGrid/>
        </w:rPr>
        <w:t>’</w:t>
      </w:r>
      <w:r w:rsidR="00097DB8" w:rsidRPr="00A67611">
        <w:rPr>
          <w:snapToGrid/>
        </w:rPr>
        <w:t xml:space="preserve"> is interchangeable with the term </w:t>
      </w:r>
      <w:r w:rsidR="006E04A8" w:rsidRPr="00A67611">
        <w:rPr>
          <w:snapToGrid/>
        </w:rPr>
        <w:t>‘</w:t>
      </w:r>
      <w:r w:rsidR="00097DB8" w:rsidRPr="00A67611">
        <w:rPr>
          <w:snapToGrid/>
        </w:rPr>
        <w:t xml:space="preserve">placebo and </w:t>
      </w:r>
      <w:r w:rsidR="00576028" w:rsidRPr="00A67611">
        <w:rPr>
          <w:snapToGrid/>
        </w:rPr>
        <w:t>SC</w:t>
      </w:r>
      <w:r w:rsidR="006E04A8" w:rsidRPr="00A67611">
        <w:rPr>
          <w:snapToGrid/>
        </w:rPr>
        <w:t>’</w:t>
      </w:r>
      <w:r w:rsidR="00097DB8" w:rsidRPr="00A67611">
        <w:rPr>
          <w:snapToGrid/>
        </w:rPr>
        <w:t>.</w:t>
      </w:r>
    </w:p>
    <w:p w:rsidR="00F05869" w:rsidRPr="00A67611" w:rsidRDefault="00792305" w:rsidP="000F706A">
      <w:pPr>
        <w:pStyle w:val="3-BodyText"/>
      </w:pPr>
      <w:r w:rsidRPr="00A67611">
        <w:t xml:space="preserve">While the resubmission categorised trials as ‘primary’ and ‘supplementary’, </w:t>
      </w:r>
      <w:r w:rsidR="00110D89">
        <w:t>the evaluation</w:t>
      </w:r>
      <w:r w:rsidR="00C1245A" w:rsidRPr="00A67611">
        <w:t xml:space="preserve"> </w:t>
      </w:r>
      <w:r w:rsidRPr="00A67611">
        <w:t>consider</w:t>
      </w:r>
      <w:r w:rsidR="009C7D8C" w:rsidRPr="00A67611">
        <w:t>ed</w:t>
      </w:r>
      <w:r w:rsidRPr="00A67611">
        <w:t xml:space="preserve"> that the Markovà 2019, Novotna 2011, Vachovà 2014, Collin 2007 and Collin 2010 trials each provide</w:t>
      </w:r>
      <w:r w:rsidR="009C7D8C" w:rsidRPr="00A67611">
        <w:t>d</w:t>
      </w:r>
      <w:r w:rsidRPr="00A67611">
        <w:t xml:space="preserve"> relevant information for the requested listing</w:t>
      </w:r>
      <w:r w:rsidR="00C1245A" w:rsidRPr="00A67611">
        <w:t>.</w:t>
      </w:r>
      <w:r w:rsidRPr="00A67611">
        <w:t xml:space="preserve"> Each of these trials ha</w:t>
      </w:r>
      <w:r w:rsidR="00C26B8A" w:rsidRPr="00A67611">
        <w:t>d</w:t>
      </w:r>
      <w:r w:rsidRPr="00A67611">
        <w:t xml:space="preserve"> limitations including an enrichment trial design (Markovà 2019, Novotna 2011), use of non-TGA-approved dosing schedules (Collin 2007, Collin 2010, however mean </w:t>
      </w:r>
      <w:r w:rsidR="00110D89">
        <w:t>doses were</w:t>
      </w:r>
      <w:r w:rsidRPr="00A67611">
        <w:t xml:space="preserve"> within </w:t>
      </w:r>
      <w:r w:rsidR="00110D89">
        <w:t xml:space="preserve">those recommended in </w:t>
      </w:r>
      <w:r w:rsidR="00AE62C4" w:rsidRPr="00A67611">
        <w:t>the approved TGA Product Information</w:t>
      </w:r>
      <w:r w:rsidRPr="00A67611">
        <w:t>) or d</w:t>
      </w:r>
      <w:r w:rsidR="006E5237" w:rsidRPr="00A67611">
        <w:t>id</w:t>
      </w:r>
      <w:r w:rsidRPr="00A67611">
        <w:t xml:space="preserve"> not report outcomes that are relevant to the continuation criteria (</w:t>
      </w:r>
      <w:r w:rsidR="005F2BF8" w:rsidRPr="00A67611">
        <w:t>i.e.</w:t>
      </w:r>
      <w:r w:rsidRPr="00A67611">
        <w:t xml:space="preserve"> NRS) specified by the resubmission (Vachovà 2014). Leocani 2015 was excluded given its cross-over design, small sample size (n=34 analysed), 20/44 enrolled patients were not taking concomitant anti-spasticity medications, and its short duration of 4 weeks.</w:t>
      </w:r>
    </w:p>
    <w:p w:rsidR="00AE62C4" w:rsidRPr="00A67611" w:rsidRDefault="00AE62C4" w:rsidP="000F706A">
      <w:pPr>
        <w:pStyle w:val="3-BodyText"/>
      </w:pPr>
      <w:r w:rsidRPr="00A67611">
        <w:rPr>
          <w:snapToGrid/>
        </w:rPr>
        <w:t xml:space="preserve">Details of the trials presented in the </w:t>
      </w:r>
      <w:r w:rsidR="00110D89" w:rsidRPr="00A67611">
        <w:rPr>
          <w:snapToGrid/>
        </w:rPr>
        <w:t>resubmission</w:t>
      </w:r>
      <w:r w:rsidRPr="00A67611">
        <w:rPr>
          <w:snapToGrid/>
        </w:rPr>
        <w:t xml:space="preserve"> are provided in </w:t>
      </w:r>
      <w:r w:rsidR="00D420F9" w:rsidRPr="00D420F9">
        <w:rPr>
          <w:snapToGrid/>
        </w:rPr>
        <w:t>Table 3</w:t>
      </w:r>
      <w:r w:rsidRPr="00A67611">
        <w:rPr>
          <w:snapToGrid/>
        </w:rPr>
        <w:t xml:space="preserve">. </w:t>
      </w:r>
    </w:p>
    <w:p w:rsidR="00FA30CD" w:rsidRPr="00A67611" w:rsidRDefault="00154D99" w:rsidP="00FA30CD">
      <w:pPr>
        <w:pStyle w:val="TableFigureHeading"/>
        <w:rPr>
          <w:rStyle w:val="CommentReference"/>
          <w:b/>
          <w:szCs w:val="24"/>
        </w:rPr>
      </w:pPr>
      <w:bookmarkStart w:id="24" w:name="_Ref27563061"/>
      <w:r w:rsidRPr="00A67611">
        <w:rPr>
          <w:rStyle w:val="CommentReference"/>
          <w:b/>
          <w:szCs w:val="24"/>
        </w:rPr>
        <w:lastRenderedPageBreak/>
        <w:t xml:space="preserve">Table </w:t>
      </w:r>
      <w:r w:rsidR="00D420F9">
        <w:rPr>
          <w:rStyle w:val="CommentReference"/>
          <w:b/>
          <w:noProof/>
          <w:szCs w:val="24"/>
        </w:rPr>
        <w:t>3</w:t>
      </w:r>
      <w:bookmarkEnd w:id="24"/>
      <w:r w:rsidR="00FA30CD" w:rsidRPr="00A67611">
        <w:rPr>
          <w:rStyle w:val="CommentReference"/>
          <w:b/>
          <w:szCs w:val="24"/>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FA30CD" w:rsidRPr="00A67611" w:rsidTr="00222A5E">
        <w:trPr>
          <w:tblHeader/>
        </w:trPr>
        <w:tc>
          <w:tcPr>
            <w:tcW w:w="796" w:type="pct"/>
            <w:vAlign w:val="center"/>
          </w:tcPr>
          <w:p w:rsidR="00FA30CD" w:rsidRPr="00A67611" w:rsidRDefault="00FA30CD" w:rsidP="00806AE4">
            <w:pPr>
              <w:pStyle w:val="In-tableHeading"/>
              <w:rPr>
                <w:lang w:val="en-AU"/>
              </w:rPr>
            </w:pPr>
            <w:r w:rsidRPr="00A67611">
              <w:rPr>
                <w:lang w:val="en-AU"/>
              </w:rPr>
              <w:t>Trial ID</w:t>
            </w:r>
          </w:p>
        </w:tc>
        <w:tc>
          <w:tcPr>
            <w:tcW w:w="3027" w:type="pct"/>
            <w:vAlign w:val="center"/>
          </w:tcPr>
          <w:p w:rsidR="00FA30CD" w:rsidRPr="00A67611" w:rsidRDefault="00FA30CD" w:rsidP="00806AE4">
            <w:pPr>
              <w:pStyle w:val="In-tableHeading"/>
              <w:rPr>
                <w:lang w:val="en-AU"/>
              </w:rPr>
            </w:pPr>
            <w:r w:rsidRPr="00A67611">
              <w:rPr>
                <w:lang w:val="en-AU"/>
              </w:rPr>
              <w:t>Protocol title/ Publication title</w:t>
            </w:r>
          </w:p>
        </w:tc>
        <w:tc>
          <w:tcPr>
            <w:tcW w:w="1177" w:type="pct"/>
            <w:vAlign w:val="center"/>
          </w:tcPr>
          <w:p w:rsidR="00FA30CD" w:rsidRPr="00A67611" w:rsidRDefault="00FA30CD" w:rsidP="00806AE4">
            <w:pPr>
              <w:pStyle w:val="In-tableHeading"/>
              <w:rPr>
                <w:lang w:val="en-AU"/>
              </w:rPr>
            </w:pPr>
            <w:r w:rsidRPr="00A67611">
              <w:rPr>
                <w:lang w:val="en-AU"/>
              </w:rPr>
              <w:t>Publication citation</w:t>
            </w:r>
          </w:p>
        </w:tc>
      </w:tr>
      <w:tr w:rsidR="00FA30CD" w:rsidRPr="00A67611" w:rsidTr="00222A5E">
        <w:trPr>
          <w:tblHeader/>
        </w:trPr>
        <w:tc>
          <w:tcPr>
            <w:tcW w:w="796" w:type="pct"/>
            <w:vMerge w:val="restart"/>
            <w:vAlign w:val="center"/>
          </w:tcPr>
          <w:p w:rsidR="00FA30CD" w:rsidRPr="00A67611" w:rsidRDefault="00FA30CD" w:rsidP="00806AE4">
            <w:pPr>
              <w:pStyle w:val="TableText0"/>
            </w:pPr>
            <w:r w:rsidRPr="00A67611">
              <w:rPr>
                <w:szCs w:val="20"/>
              </w:rPr>
              <w:t>Markov</w:t>
            </w:r>
            <w:r w:rsidRPr="00A67611">
              <w:rPr>
                <w:rFonts w:cs="Arial"/>
                <w:bCs w:val="0"/>
                <w:szCs w:val="20"/>
              </w:rPr>
              <w:t>à</w:t>
            </w:r>
            <w:r w:rsidRPr="00A67611">
              <w:rPr>
                <w:szCs w:val="20"/>
              </w:rPr>
              <w:t xml:space="preserve"> 2019</w:t>
            </w:r>
          </w:p>
        </w:tc>
        <w:tc>
          <w:tcPr>
            <w:tcW w:w="3027" w:type="pct"/>
            <w:tcBorders>
              <w:bottom w:val="nil"/>
            </w:tcBorders>
            <w:vAlign w:val="center"/>
          </w:tcPr>
          <w:p w:rsidR="00FA30CD" w:rsidRPr="00A67611" w:rsidRDefault="00FA30CD" w:rsidP="00806AE4">
            <w:pPr>
              <w:pStyle w:val="In-tableHeading"/>
              <w:rPr>
                <w:b w:val="0"/>
                <w:bCs/>
                <w:lang w:val="en-AU"/>
              </w:rPr>
            </w:pPr>
            <w:r w:rsidRPr="00A67611">
              <w:rPr>
                <w:b w:val="0"/>
                <w:bCs/>
                <w:lang w:val="en-AU"/>
              </w:rPr>
              <w:t>Sativex® as Add-on therapy Vs. further optimized first-line ANTispastic: the SAVANT trial</w:t>
            </w:r>
          </w:p>
          <w:p w:rsidR="00FA30CD" w:rsidRPr="00A67611" w:rsidRDefault="00FA30CD" w:rsidP="00806AE4">
            <w:pPr>
              <w:pStyle w:val="In-tableHeading"/>
              <w:rPr>
                <w:b w:val="0"/>
                <w:lang w:val="en-AU"/>
              </w:rPr>
            </w:pPr>
          </w:p>
        </w:tc>
        <w:tc>
          <w:tcPr>
            <w:tcW w:w="1177" w:type="pct"/>
            <w:tcBorders>
              <w:bottom w:val="nil"/>
            </w:tcBorders>
            <w:vAlign w:val="center"/>
          </w:tcPr>
          <w:p w:rsidR="00FA30CD" w:rsidRPr="00A67611" w:rsidRDefault="00FA30CD" w:rsidP="00806AE4">
            <w:pPr>
              <w:pStyle w:val="In-tableHeading"/>
              <w:rPr>
                <w:b w:val="0"/>
                <w:lang w:val="en-AU"/>
              </w:rPr>
            </w:pPr>
            <w:r w:rsidRPr="00A67611">
              <w:rPr>
                <w:b w:val="0"/>
                <w:lang w:val="en-AU"/>
              </w:rPr>
              <w:t>January 20018</w:t>
            </w:r>
          </w:p>
          <w:p w:rsidR="00FA30CD" w:rsidRPr="00A67611" w:rsidRDefault="00FA30CD" w:rsidP="00806AE4">
            <w:pPr>
              <w:pStyle w:val="In-tableHeading"/>
              <w:rPr>
                <w:b w:val="0"/>
                <w:lang w:val="en-AU"/>
              </w:rPr>
            </w:pPr>
          </w:p>
        </w:tc>
      </w:tr>
      <w:tr w:rsidR="00FA30CD" w:rsidRPr="00A67611" w:rsidTr="00222A5E">
        <w:tc>
          <w:tcPr>
            <w:tcW w:w="796" w:type="pct"/>
            <w:vMerge/>
            <w:tcBorders>
              <w:bottom w:val="nil"/>
            </w:tcBorders>
            <w:vAlign w:val="center"/>
          </w:tcPr>
          <w:p w:rsidR="00FA30CD" w:rsidRPr="00A67611" w:rsidRDefault="00FA30CD" w:rsidP="00806AE4">
            <w:pPr>
              <w:pStyle w:val="TableText0"/>
              <w:rPr>
                <w:szCs w:val="20"/>
              </w:rPr>
            </w:pPr>
          </w:p>
        </w:tc>
        <w:tc>
          <w:tcPr>
            <w:tcW w:w="3027" w:type="pct"/>
            <w:tcBorders>
              <w:top w:val="nil"/>
              <w:bottom w:val="single" w:sz="4" w:space="0" w:color="auto"/>
            </w:tcBorders>
            <w:vAlign w:val="center"/>
          </w:tcPr>
          <w:p w:rsidR="00FA30CD" w:rsidRPr="00A67611" w:rsidRDefault="00FA30CD" w:rsidP="00806AE4">
            <w:pPr>
              <w:pStyle w:val="TableText0"/>
            </w:pPr>
            <w:r w:rsidRPr="00A67611">
              <w:rPr>
                <w:rFonts w:cs="Arial"/>
                <w:bCs w:val="0"/>
              </w:rPr>
              <w:t>Markovà J, Essner U, Akmaz B, et al. Sativex® as Add-on therapy Vs. further optimized first-line ANTispastics (SAVANT) in resistant multiple sclerosis spasticity: a double-blind, placebo-controlled randomised clinical trial</w:t>
            </w:r>
          </w:p>
        </w:tc>
        <w:tc>
          <w:tcPr>
            <w:tcW w:w="1177" w:type="pct"/>
            <w:tcBorders>
              <w:top w:val="nil"/>
              <w:bottom w:val="single" w:sz="4" w:space="0" w:color="auto"/>
            </w:tcBorders>
            <w:vAlign w:val="center"/>
          </w:tcPr>
          <w:p w:rsidR="00FA30CD" w:rsidRPr="00A67611" w:rsidRDefault="00FA30CD" w:rsidP="00806AE4">
            <w:pPr>
              <w:pStyle w:val="TableText0"/>
            </w:pPr>
            <w:r w:rsidRPr="00A67611">
              <w:rPr>
                <w:rFonts w:cs="Arial"/>
                <w:bCs w:val="0"/>
                <w:i/>
              </w:rPr>
              <w:t>International Journal of Neuroscience</w:t>
            </w:r>
            <w:r w:rsidRPr="00A67611">
              <w:rPr>
                <w:rFonts w:cs="Arial"/>
                <w:bCs w:val="0"/>
              </w:rPr>
              <w:t xml:space="preserve"> </w:t>
            </w:r>
            <w:r w:rsidRPr="00A67611">
              <w:rPr>
                <w:rFonts w:cs="Arial"/>
              </w:rPr>
              <w:t>2019;129</w:t>
            </w:r>
            <w:r w:rsidRPr="00A67611">
              <w:rPr>
                <w:rFonts w:cs="Arial"/>
                <w:bCs w:val="0"/>
              </w:rPr>
              <w:t>(2): 119-128</w:t>
            </w:r>
          </w:p>
        </w:tc>
      </w:tr>
      <w:tr w:rsidR="00FA30CD" w:rsidRPr="00A67611" w:rsidTr="00222A5E">
        <w:tc>
          <w:tcPr>
            <w:tcW w:w="796" w:type="pct"/>
            <w:vMerge w:val="restart"/>
            <w:shd w:val="clear" w:color="auto" w:fill="B8CCE4" w:themeFill="accent1" w:themeFillTint="66"/>
            <w:vAlign w:val="center"/>
          </w:tcPr>
          <w:p w:rsidR="00FA30CD" w:rsidRPr="00A67611" w:rsidRDefault="00FA30CD" w:rsidP="00806AE4">
            <w:pPr>
              <w:pStyle w:val="TableText0"/>
              <w:rPr>
                <w:szCs w:val="20"/>
              </w:rPr>
            </w:pPr>
            <w:r w:rsidRPr="00A67611">
              <w:rPr>
                <w:szCs w:val="20"/>
              </w:rPr>
              <w:t>Novotna 2011 (GWSP0604)</w:t>
            </w:r>
          </w:p>
        </w:tc>
        <w:tc>
          <w:tcPr>
            <w:tcW w:w="3027" w:type="pct"/>
            <w:tcBorders>
              <w:top w:val="single" w:sz="4" w:space="0" w:color="auto"/>
              <w:bottom w:val="nil"/>
            </w:tcBorders>
            <w:shd w:val="clear" w:color="auto" w:fill="B8CCE4" w:themeFill="accent1" w:themeFillTint="66"/>
            <w:vAlign w:val="center"/>
          </w:tcPr>
          <w:p w:rsidR="00FA30CD" w:rsidRPr="00A67611" w:rsidRDefault="00FA30CD" w:rsidP="00806AE4">
            <w:pPr>
              <w:pStyle w:val="TableText0"/>
            </w:pPr>
            <w:r w:rsidRPr="00A67611">
              <w:t>A two-phase, phase 3 study of the safety and efficacy of Sativex, in the symptomatic relief of spasticity in subjects with spasticity due to multiple sclerosis: Phase A – Single-blind response assessment; Phase B – Double-blind randomised, placebo controlled, parallel group study.</w:t>
            </w:r>
          </w:p>
          <w:p w:rsidR="00FA30CD" w:rsidRPr="00A67611" w:rsidRDefault="00FA30CD" w:rsidP="00806AE4">
            <w:pPr>
              <w:pStyle w:val="TableText0"/>
              <w:rPr>
                <w:rFonts w:cs="Arial"/>
                <w:bCs w:val="0"/>
              </w:rPr>
            </w:pPr>
          </w:p>
        </w:tc>
        <w:tc>
          <w:tcPr>
            <w:tcW w:w="1177" w:type="pct"/>
            <w:tcBorders>
              <w:top w:val="single" w:sz="4" w:space="0" w:color="auto"/>
              <w:bottom w:val="nil"/>
            </w:tcBorders>
            <w:shd w:val="clear" w:color="auto" w:fill="B8CCE4" w:themeFill="accent1" w:themeFillTint="66"/>
            <w:vAlign w:val="center"/>
          </w:tcPr>
          <w:p w:rsidR="00FA30CD" w:rsidRPr="00A67611" w:rsidRDefault="00FA30CD" w:rsidP="00806AE4">
            <w:pPr>
              <w:pStyle w:val="TableText0"/>
              <w:rPr>
                <w:rFonts w:cs="Arial"/>
                <w:bCs w:val="0"/>
              </w:rPr>
            </w:pPr>
            <w:r w:rsidRPr="00A67611">
              <w:rPr>
                <w:rFonts w:cs="Arial"/>
                <w:bCs w:val="0"/>
              </w:rPr>
              <w:t>January 2008</w:t>
            </w:r>
          </w:p>
          <w:p w:rsidR="00FA30CD" w:rsidRPr="00A67611" w:rsidRDefault="00FA30CD" w:rsidP="00806AE4">
            <w:pPr>
              <w:pStyle w:val="TableText0"/>
              <w:rPr>
                <w:rFonts w:cs="Arial"/>
                <w:bCs w:val="0"/>
              </w:rPr>
            </w:pPr>
          </w:p>
        </w:tc>
      </w:tr>
      <w:tr w:rsidR="00FA30CD" w:rsidRPr="00A67611" w:rsidTr="00222A5E">
        <w:tc>
          <w:tcPr>
            <w:tcW w:w="796" w:type="pct"/>
            <w:vMerge/>
            <w:tcBorders>
              <w:bottom w:val="single" w:sz="4" w:space="0" w:color="auto"/>
            </w:tcBorders>
            <w:shd w:val="clear" w:color="auto" w:fill="B8CCE4" w:themeFill="accent1" w:themeFillTint="66"/>
            <w:vAlign w:val="center"/>
          </w:tcPr>
          <w:p w:rsidR="00FA30CD" w:rsidRPr="00A67611" w:rsidRDefault="00FA30CD" w:rsidP="00806AE4">
            <w:pPr>
              <w:pStyle w:val="TableText0"/>
              <w:rPr>
                <w:szCs w:val="20"/>
              </w:rPr>
            </w:pPr>
          </w:p>
        </w:tc>
        <w:tc>
          <w:tcPr>
            <w:tcW w:w="3027" w:type="pct"/>
            <w:tcBorders>
              <w:top w:val="nil"/>
              <w:bottom w:val="single" w:sz="4" w:space="0" w:color="auto"/>
            </w:tcBorders>
            <w:shd w:val="clear" w:color="auto" w:fill="B8CCE4" w:themeFill="accent1" w:themeFillTint="66"/>
            <w:vAlign w:val="center"/>
          </w:tcPr>
          <w:p w:rsidR="00FA30CD" w:rsidRPr="00A67611" w:rsidRDefault="00FA30CD" w:rsidP="00806AE4">
            <w:pPr>
              <w:pStyle w:val="TableText0"/>
            </w:pPr>
            <w:r w:rsidRPr="00A67611">
              <w:t>Novotna A, Mares J, Ratcliffe S, Novakova I et al. A randomized, double-blind, placebo-controlled, parallel-group, enriched-design study of nabiximols (Sativex), as add-on therapy, in subjects with refractory spasticity caused by multiple sclerosis</w:t>
            </w:r>
          </w:p>
        </w:tc>
        <w:tc>
          <w:tcPr>
            <w:tcW w:w="1177" w:type="pct"/>
            <w:tcBorders>
              <w:top w:val="nil"/>
              <w:bottom w:val="single" w:sz="4" w:space="0" w:color="auto"/>
            </w:tcBorders>
            <w:shd w:val="clear" w:color="auto" w:fill="B8CCE4" w:themeFill="accent1" w:themeFillTint="66"/>
            <w:vAlign w:val="center"/>
          </w:tcPr>
          <w:p w:rsidR="00FA30CD" w:rsidRPr="00A67611" w:rsidRDefault="00FA30CD" w:rsidP="00806AE4">
            <w:pPr>
              <w:pStyle w:val="TableText0"/>
            </w:pPr>
            <w:r w:rsidRPr="00A67611">
              <w:rPr>
                <w:i/>
              </w:rPr>
              <w:t>European Journal of Neurology</w:t>
            </w:r>
            <w:r w:rsidRPr="00A67611">
              <w:t xml:space="preserve"> 2011; 18(9): 1122-31</w:t>
            </w:r>
          </w:p>
        </w:tc>
      </w:tr>
      <w:tr w:rsidR="00FA30CD" w:rsidRPr="00A67611" w:rsidTr="00222A5E">
        <w:tc>
          <w:tcPr>
            <w:tcW w:w="796" w:type="pct"/>
            <w:vMerge w:val="restart"/>
            <w:shd w:val="clear" w:color="auto" w:fill="FFFFFF" w:themeFill="background1"/>
            <w:vAlign w:val="center"/>
          </w:tcPr>
          <w:p w:rsidR="00FA30CD" w:rsidRPr="00A67611" w:rsidRDefault="00FA30CD" w:rsidP="00806AE4">
            <w:pPr>
              <w:pStyle w:val="TableText0"/>
              <w:rPr>
                <w:rFonts w:cs="Segoe UI"/>
                <w:szCs w:val="20"/>
              </w:rPr>
            </w:pPr>
            <w:r w:rsidRPr="00A67611">
              <w:rPr>
                <w:rFonts w:cs="Segoe UI"/>
                <w:szCs w:val="20"/>
              </w:rPr>
              <w:t>Vachová 2014 (GWMS1137)</w:t>
            </w:r>
          </w:p>
        </w:tc>
        <w:tc>
          <w:tcPr>
            <w:tcW w:w="3027" w:type="pct"/>
            <w:tcBorders>
              <w:bottom w:val="nil"/>
            </w:tcBorders>
            <w:shd w:val="clear" w:color="auto" w:fill="FFFFFF" w:themeFill="background1"/>
            <w:vAlign w:val="center"/>
          </w:tcPr>
          <w:p w:rsidR="00FA30CD" w:rsidRPr="00A67611" w:rsidRDefault="00FA30CD" w:rsidP="00806AE4">
            <w:pPr>
              <w:pStyle w:val="TableText0"/>
              <w:rPr>
                <w:rFonts w:cs="Segoe UI"/>
                <w:szCs w:val="20"/>
              </w:rPr>
            </w:pPr>
            <w:r w:rsidRPr="00A67611">
              <w:rPr>
                <w:rFonts w:cs="Segoe UI"/>
                <w:szCs w:val="20"/>
              </w:rPr>
              <w:t>A multicentre, double-blind, randomised, parallel group, placebo-controlled study of the effect of long-term treatment with Sativex on cognitive function and mood of patients with spasticity due to multiple sclerosis.</w:t>
            </w:r>
          </w:p>
          <w:p w:rsidR="00FA30CD" w:rsidRPr="00A67611" w:rsidRDefault="00FA30CD" w:rsidP="00806AE4">
            <w:pPr>
              <w:pStyle w:val="TableText0"/>
              <w:rPr>
                <w:rFonts w:cs="Segoe UI"/>
                <w:szCs w:val="20"/>
              </w:rPr>
            </w:pPr>
          </w:p>
        </w:tc>
        <w:tc>
          <w:tcPr>
            <w:tcW w:w="1177" w:type="pct"/>
            <w:tcBorders>
              <w:bottom w:val="nil"/>
            </w:tcBorders>
            <w:shd w:val="clear" w:color="auto" w:fill="FFFFFF" w:themeFill="background1"/>
            <w:vAlign w:val="center"/>
          </w:tcPr>
          <w:p w:rsidR="00FA30CD" w:rsidRPr="00A67611" w:rsidRDefault="00FA30CD" w:rsidP="00806AE4">
            <w:pPr>
              <w:pStyle w:val="TableText0"/>
            </w:pPr>
            <w:r w:rsidRPr="00A67611">
              <w:t>October 2013</w:t>
            </w:r>
          </w:p>
          <w:p w:rsidR="00FA30CD" w:rsidRPr="00A67611" w:rsidRDefault="00FA30CD" w:rsidP="00806AE4">
            <w:pPr>
              <w:pStyle w:val="TableText0"/>
            </w:pPr>
          </w:p>
        </w:tc>
      </w:tr>
      <w:tr w:rsidR="00FA30CD" w:rsidRPr="00A67611" w:rsidTr="00222A5E">
        <w:tc>
          <w:tcPr>
            <w:tcW w:w="796" w:type="pct"/>
            <w:vMerge/>
            <w:tcBorders>
              <w:bottom w:val="single" w:sz="4" w:space="0" w:color="auto"/>
            </w:tcBorders>
            <w:shd w:val="clear" w:color="auto" w:fill="FFFFFF" w:themeFill="background1"/>
            <w:vAlign w:val="center"/>
          </w:tcPr>
          <w:p w:rsidR="00FA30CD" w:rsidRPr="00A67611" w:rsidRDefault="00FA30CD" w:rsidP="00806AE4">
            <w:pPr>
              <w:pStyle w:val="TableText0"/>
              <w:rPr>
                <w:szCs w:val="20"/>
              </w:rPr>
            </w:pPr>
          </w:p>
        </w:tc>
        <w:tc>
          <w:tcPr>
            <w:tcW w:w="3027" w:type="pct"/>
            <w:tcBorders>
              <w:top w:val="nil"/>
              <w:bottom w:val="single" w:sz="4" w:space="0" w:color="auto"/>
            </w:tcBorders>
            <w:shd w:val="clear" w:color="auto" w:fill="FFFFFF" w:themeFill="background1"/>
            <w:vAlign w:val="center"/>
          </w:tcPr>
          <w:p w:rsidR="00FA30CD" w:rsidRPr="00A67611" w:rsidRDefault="00FA30CD" w:rsidP="00806AE4">
            <w:pPr>
              <w:pStyle w:val="TableText0"/>
              <w:rPr>
                <w:szCs w:val="20"/>
              </w:rPr>
            </w:pPr>
            <w:r w:rsidRPr="00A67611">
              <w:rPr>
                <w:rFonts w:cs="Segoe UI"/>
                <w:szCs w:val="20"/>
              </w:rPr>
              <w:t>Vachová M, Novotna A, Mares J et al. A multicentre, double-blind, randomised, parallel-group, placebo-controlled study of effect of long-term Sativex® treatment on cognition and mood of patients with spasticity due to multiple sclerosis</w:t>
            </w:r>
          </w:p>
        </w:tc>
        <w:tc>
          <w:tcPr>
            <w:tcW w:w="1177" w:type="pct"/>
            <w:tcBorders>
              <w:top w:val="nil"/>
              <w:bottom w:val="single" w:sz="4" w:space="0" w:color="auto"/>
            </w:tcBorders>
            <w:shd w:val="clear" w:color="auto" w:fill="FFFFFF" w:themeFill="background1"/>
            <w:vAlign w:val="center"/>
          </w:tcPr>
          <w:p w:rsidR="00FA30CD" w:rsidRPr="00A67611" w:rsidRDefault="00FA30CD" w:rsidP="00806AE4">
            <w:pPr>
              <w:pStyle w:val="TableText0"/>
            </w:pPr>
            <w:r w:rsidRPr="00A67611">
              <w:rPr>
                <w:i/>
              </w:rPr>
              <w:t>J Mult Scler</w:t>
            </w:r>
            <w:r w:rsidRPr="00A67611">
              <w:t xml:space="preserve"> 2014; 1(2); 10000122</w:t>
            </w:r>
          </w:p>
        </w:tc>
      </w:tr>
      <w:tr w:rsidR="00FA30CD" w:rsidRPr="00A67611" w:rsidTr="00222A5E">
        <w:tc>
          <w:tcPr>
            <w:tcW w:w="796" w:type="pct"/>
            <w:vMerge w:val="restart"/>
            <w:shd w:val="clear" w:color="auto" w:fill="B8CCE4" w:themeFill="accent1" w:themeFillTint="66"/>
            <w:vAlign w:val="center"/>
          </w:tcPr>
          <w:p w:rsidR="00FA30CD" w:rsidRPr="00A67611" w:rsidRDefault="00FA30CD" w:rsidP="00806AE4">
            <w:pPr>
              <w:pStyle w:val="TableText0"/>
              <w:rPr>
                <w:rFonts w:cs="Segoe UI"/>
                <w:szCs w:val="20"/>
              </w:rPr>
            </w:pPr>
            <w:r w:rsidRPr="00A67611">
              <w:rPr>
                <w:szCs w:val="20"/>
              </w:rPr>
              <w:t>Collin 2010 (GWCL0403)</w:t>
            </w:r>
          </w:p>
        </w:tc>
        <w:tc>
          <w:tcPr>
            <w:tcW w:w="3027" w:type="pct"/>
            <w:tcBorders>
              <w:bottom w:val="nil"/>
            </w:tcBorders>
            <w:shd w:val="clear" w:color="auto" w:fill="B8CCE4" w:themeFill="accent1" w:themeFillTint="66"/>
            <w:vAlign w:val="center"/>
          </w:tcPr>
          <w:p w:rsidR="00FA30CD" w:rsidRPr="00A67611" w:rsidRDefault="00FA30CD" w:rsidP="00806AE4">
            <w:pPr>
              <w:pStyle w:val="TableText0"/>
              <w:rPr>
                <w:rFonts w:cs="Segoe UI"/>
                <w:szCs w:val="20"/>
              </w:rPr>
            </w:pPr>
            <w:r w:rsidRPr="00A67611">
              <w:rPr>
                <w:rFonts w:cs="Segoe UI"/>
                <w:szCs w:val="20"/>
              </w:rPr>
              <w:t>A double blind, randomised, placebo controlled, parallel group study of Sativex, in subjects with symptoms of spasticity due to multiple sclerosis.</w:t>
            </w:r>
          </w:p>
          <w:p w:rsidR="00FA30CD" w:rsidRPr="00A67611" w:rsidRDefault="00FA30CD" w:rsidP="00806AE4">
            <w:pPr>
              <w:pStyle w:val="TableText0"/>
              <w:rPr>
                <w:rFonts w:cs="Segoe UI"/>
                <w:szCs w:val="20"/>
              </w:rPr>
            </w:pPr>
          </w:p>
        </w:tc>
        <w:tc>
          <w:tcPr>
            <w:tcW w:w="1177" w:type="pct"/>
            <w:tcBorders>
              <w:bottom w:val="nil"/>
            </w:tcBorders>
            <w:shd w:val="clear" w:color="auto" w:fill="B8CCE4" w:themeFill="accent1" w:themeFillTint="66"/>
            <w:vAlign w:val="center"/>
          </w:tcPr>
          <w:p w:rsidR="00FA30CD" w:rsidRPr="00A67611" w:rsidRDefault="00FA30CD" w:rsidP="00806AE4">
            <w:pPr>
              <w:pStyle w:val="TableText0"/>
            </w:pPr>
            <w:r w:rsidRPr="00A67611">
              <w:t>July 2006</w:t>
            </w:r>
          </w:p>
          <w:p w:rsidR="00FA30CD" w:rsidRPr="00A67611" w:rsidRDefault="00FA30CD" w:rsidP="00806AE4">
            <w:pPr>
              <w:pStyle w:val="TableText0"/>
            </w:pPr>
          </w:p>
        </w:tc>
      </w:tr>
      <w:tr w:rsidR="00FA30CD" w:rsidRPr="00A67611" w:rsidTr="00222A5E">
        <w:tc>
          <w:tcPr>
            <w:tcW w:w="796" w:type="pct"/>
            <w:vMerge/>
            <w:tcBorders>
              <w:bottom w:val="single" w:sz="4" w:space="0" w:color="auto"/>
            </w:tcBorders>
            <w:shd w:val="clear" w:color="auto" w:fill="B8CCE4" w:themeFill="accent1" w:themeFillTint="66"/>
            <w:vAlign w:val="center"/>
          </w:tcPr>
          <w:p w:rsidR="00FA30CD" w:rsidRPr="00A67611" w:rsidRDefault="00FA30CD" w:rsidP="00806AE4">
            <w:pPr>
              <w:pStyle w:val="TableText0"/>
              <w:rPr>
                <w:szCs w:val="20"/>
              </w:rPr>
            </w:pPr>
          </w:p>
        </w:tc>
        <w:tc>
          <w:tcPr>
            <w:tcW w:w="3027" w:type="pct"/>
            <w:tcBorders>
              <w:top w:val="nil"/>
              <w:bottom w:val="single" w:sz="4" w:space="0" w:color="auto"/>
            </w:tcBorders>
            <w:shd w:val="clear" w:color="auto" w:fill="B8CCE4" w:themeFill="accent1" w:themeFillTint="66"/>
            <w:vAlign w:val="center"/>
          </w:tcPr>
          <w:p w:rsidR="00FA30CD" w:rsidRPr="00A67611" w:rsidRDefault="00FA30CD" w:rsidP="00806AE4">
            <w:pPr>
              <w:pStyle w:val="TableText0"/>
              <w:rPr>
                <w:szCs w:val="18"/>
              </w:rPr>
            </w:pPr>
            <w:r w:rsidRPr="00A67611">
              <w:t>Collin C, Ehler G, Waberzinek Z, Alsindi P et al. A double-blind, randomized, placebo-controlled, parallel-group study of Sativex, in subjects with symptoms of spasticity due to multiple sclerosis</w:t>
            </w:r>
          </w:p>
        </w:tc>
        <w:tc>
          <w:tcPr>
            <w:tcW w:w="1177" w:type="pct"/>
            <w:tcBorders>
              <w:top w:val="nil"/>
              <w:bottom w:val="single" w:sz="4" w:space="0" w:color="auto"/>
            </w:tcBorders>
            <w:shd w:val="clear" w:color="auto" w:fill="B8CCE4" w:themeFill="accent1" w:themeFillTint="66"/>
            <w:vAlign w:val="center"/>
          </w:tcPr>
          <w:p w:rsidR="00FA30CD" w:rsidRPr="00A67611" w:rsidRDefault="00FA30CD" w:rsidP="00806AE4">
            <w:pPr>
              <w:pStyle w:val="TableText0"/>
              <w:rPr>
                <w:szCs w:val="18"/>
              </w:rPr>
            </w:pPr>
            <w:r w:rsidRPr="00A67611">
              <w:rPr>
                <w:i/>
              </w:rPr>
              <w:t>Neurological Research</w:t>
            </w:r>
            <w:r w:rsidRPr="00A67611">
              <w:t xml:space="preserve"> 2010; 32 (5); 451-59</w:t>
            </w:r>
          </w:p>
        </w:tc>
      </w:tr>
      <w:tr w:rsidR="00FA30CD" w:rsidRPr="00A67611" w:rsidTr="00222A5E">
        <w:tc>
          <w:tcPr>
            <w:tcW w:w="796" w:type="pct"/>
            <w:vMerge w:val="restart"/>
            <w:tcBorders>
              <w:top w:val="single" w:sz="4" w:space="0" w:color="auto"/>
            </w:tcBorders>
            <w:shd w:val="clear" w:color="auto" w:fill="B8CCE4" w:themeFill="accent1" w:themeFillTint="66"/>
            <w:vAlign w:val="center"/>
          </w:tcPr>
          <w:p w:rsidR="00FA30CD" w:rsidRPr="00A67611" w:rsidRDefault="00FA30CD" w:rsidP="00806AE4">
            <w:pPr>
              <w:pStyle w:val="TableText0"/>
              <w:rPr>
                <w:szCs w:val="20"/>
              </w:rPr>
            </w:pPr>
            <w:r w:rsidRPr="00A67611">
              <w:rPr>
                <w:szCs w:val="20"/>
              </w:rPr>
              <w:t>Collin 2007 (GSMS0106)</w:t>
            </w:r>
          </w:p>
        </w:tc>
        <w:tc>
          <w:tcPr>
            <w:tcW w:w="3027" w:type="pct"/>
            <w:tcBorders>
              <w:top w:val="single" w:sz="4" w:space="0" w:color="auto"/>
              <w:bottom w:val="nil"/>
            </w:tcBorders>
            <w:shd w:val="clear" w:color="auto" w:fill="B8CCE4" w:themeFill="accent1" w:themeFillTint="66"/>
            <w:vAlign w:val="center"/>
          </w:tcPr>
          <w:p w:rsidR="00FA30CD" w:rsidRPr="00A67611" w:rsidRDefault="00FA30CD" w:rsidP="00806AE4">
            <w:pPr>
              <w:pStyle w:val="TableText0"/>
            </w:pPr>
            <w:r w:rsidRPr="00A67611">
              <w:t>A double blind, randomised, parallel group study to assess the efficacy, safety and tolerability of Cannabis Based Medicine 1:1 THC:CBD compared with placebo for the treatment of spasticity in subjects with multiple sclerosis.</w:t>
            </w:r>
          </w:p>
          <w:p w:rsidR="00FA30CD" w:rsidRPr="00A67611" w:rsidRDefault="00FA30CD" w:rsidP="00806AE4">
            <w:pPr>
              <w:pStyle w:val="TableText0"/>
            </w:pPr>
          </w:p>
        </w:tc>
        <w:tc>
          <w:tcPr>
            <w:tcW w:w="1177" w:type="pct"/>
            <w:tcBorders>
              <w:top w:val="single" w:sz="4" w:space="0" w:color="auto"/>
              <w:bottom w:val="nil"/>
            </w:tcBorders>
            <w:shd w:val="clear" w:color="auto" w:fill="B8CCE4" w:themeFill="accent1" w:themeFillTint="66"/>
            <w:vAlign w:val="center"/>
          </w:tcPr>
          <w:p w:rsidR="00FA30CD" w:rsidRPr="00A67611" w:rsidRDefault="00FA30CD" w:rsidP="00806AE4">
            <w:pPr>
              <w:pStyle w:val="TableText0"/>
            </w:pPr>
            <w:r w:rsidRPr="00A67611">
              <w:t>July 2006</w:t>
            </w:r>
          </w:p>
          <w:p w:rsidR="00FA30CD" w:rsidRPr="00A67611" w:rsidRDefault="00FA30CD" w:rsidP="00806AE4">
            <w:pPr>
              <w:pStyle w:val="TableText0"/>
              <w:rPr>
                <w:highlight w:val="darkRed"/>
              </w:rPr>
            </w:pPr>
          </w:p>
        </w:tc>
      </w:tr>
      <w:tr w:rsidR="00FA30CD" w:rsidRPr="00A67611" w:rsidTr="00222A5E">
        <w:tc>
          <w:tcPr>
            <w:tcW w:w="796" w:type="pct"/>
            <w:vMerge/>
            <w:vAlign w:val="center"/>
          </w:tcPr>
          <w:p w:rsidR="00FA30CD" w:rsidRPr="00A67611" w:rsidRDefault="00FA30CD" w:rsidP="00806AE4">
            <w:pPr>
              <w:pStyle w:val="TableText0"/>
              <w:rPr>
                <w:szCs w:val="20"/>
                <w:highlight w:val="green"/>
              </w:rPr>
            </w:pPr>
          </w:p>
        </w:tc>
        <w:tc>
          <w:tcPr>
            <w:tcW w:w="3027" w:type="pct"/>
            <w:tcBorders>
              <w:top w:val="nil"/>
              <w:bottom w:val="nil"/>
            </w:tcBorders>
            <w:shd w:val="clear" w:color="auto" w:fill="B8CCE4" w:themeFill="accent1" w:themeFillTint="66"/>
            <w:vAlign w:val="center"/>
          </w:tcPr>
          <w:p w:rsidR="00FA30CD" w:rsidRPr="00A67611" w:rsidRDefault="00FA30CD" w:rsidP="00806AE4">
            <w:pPr>
              <w:pStyle w:val="TableText0"/>
              <w:rPr>
                <w:szCs w:val="18"/>
                <w:highlight w:val="green"/>
              </w:rPr>
            </w:pPr>
            <w:r w:rsidRPr="00A67611">
              <w:rPr>
                <w:szCs w:val="18"/>
              </w:rPr>
              <w:t>Collin C, Davies P, Mutiboko IK &amp; Ratcliffe S. Randomized controlled trial of cannabis-based medicine in spasticity cause by multiple sclerosis</w:t>
            </w:r>
          </w:p>
        </w:tc>
        <w:tc>
          <w:tcPr>
            <w:tcW w:w="1177" w:type="pct"/>
            <w:tcBorders>
              <w:top w:val="nil"/>
              <w:bottom w:val="nil"/>
            </w:tcBorders>
            <w:shd w:val="clear" w:color="auto" w:fill="B8CCE4" w:themeFill="accent1" w:themeFillTint="66"/>
            <w:vAlign w:val="center"/>
          </w:tcPr>
          <w:p w:rsidR="00FA30CD" w:rsidRPr="00A67611" w:rsidRDefault="00FA30CD" w:rsidP="00806AE4">
            <w:pPr>
              <w:pStyle w:val="TableText0"/>
              <w:rPr>
                <w:i/>
                <w:szCs w:val="18"/>
                <w:highlight w:val="green"/>
              </w:rPr>
            </w:pPr>
            <w:r w:rsidRPr="00A67611">
              <w:rPr>
                <w:i/>
                <w:szCs w:val="18"/>
              </w:rPr>
              <w:t xml:space="preserve">European Journal of Neurology </w:t>
            </w:r>
            <w:r w:rsidRPr="00A67611">
              <w:rPr>
                <w:szCs w:val="18"/>
              </w:rPr>
              <w:t>2007; 14: 290-96</w:t>
            </w:r>
          </w:p>
        </w:tc>
      </w:tr>
      <w:tr w:rsidR="00C32316" w:rsidRPr="00A67611" w:rsidTr="00D11308">
        <w:tc>
          <w:tcPr>
            <w:tcW w:w="796" w:type="pct"/>
            <w:tcBorders>
              <w:top w:val="single" w:sz="4" w:space="0" w:color="auto"/>
              <w:bottom w:val="single" w:sz="4" w:space="0" w:color="auto"/>
            </w:tcBorders>
            <w:vAlign w:val="center"/>
          </w:tcPr>
          <w:p w:rsidR="00C32316" w:rsidRPr="00A67611" w:rsidRDefault="00C32316" w:rsidP="00C32316">
            <w:pPr>
              <w:pStyle w:val="TableText0"/>
              <w:rPr>
                <w:szCs w:val="20"/>
                <w:highlight w:val="green"/>
              </w:rPr>
            </w:pPr>
            <w:r w:rsidRPr="00A67611">
              <w:rPr>
                <w:szCs w:val="20"/>
              </w:rPr>
              <w:t>Leocani 2015</w:t>
            </w:r>
          </w:p>
        </w:tc>
        <w:tc>
          <w:tcPr>
            <w:tcW w:w="3027" w:type="pct"/>
            <w:tcBorders>
              <w:top w:val="single" w:sz="4" w:space="0" w:color="auto"/>
              <w:bottom w:val="single" w:sz="4" w:space="0" w:color="auto"/>
            </w:tcBorders>
            <w:shd w:val="clear" w:color="auto" w:fill="auto"/>
            <w:vAlign w:val="center"/>
          </w:tcPr>
          <w:p w:rsidR="00C32316" w:rsidRPr="00A67611" w:rsidRDefault="00C32316" w:rsidP="006E5237">
            <w:pPr>
              <w:pStyle w:val="TableText0"/>
              <w:rPr>
                <w:i/>
                <w:szCs w:val="18"/>
              </w:rPr>
            </w:pPr>
            <w:r w:rsidRPr="00A67611">
              <w:rPr>
                <w:szCs w:val="18"/>
              </w:rPr>
              <w:t>Leocani L, Nuara A, Houdayer E et al. Sativex® and clinical neurophysiological measures of spasticity in progressive multiple sclerosis</w:t>
            </w:r>
          </w:p>
        </w:tc>
        <w:tc>
          <w:tcPr>
            <w:tcW w:w="1177" w:type="pct"/>
            <w:tcBorders>
              <w:top w:val="single" w:sz="4" w:space="0" w:color="auto"/>
              <w:bottom w:val="single" w:sz="4" w:space="0" w:color="auto"/>
            </w:tcBorders>
            <w:shd w:val="clear" w:color="auto" w:fill="auto"/>
          </w:tcPr>
          <w:p w:rsidR="00C32316" w:rsidRPr="00A67611" w:rsidRDefault="00C32316" w:rsidP="00C32316">
            <w:pPr>
              <w:pStyle w:val="TableText0"/>
              <w:rPr>
                <w:i/>
                <w:szCs w:val="18"/>
              </w:rPr>
            </w:pPr>
            <w:r w:rsidRPr="00A67611">
              <w:rPr>
                <w:i/>
              </w:rPr>
              <w:t>Journal of Neurology</w:t>
            </w:r>
            <w:r w:rsidRPr="00A67611">
              <w:t xml:space="preserve"> 2015; 262(11): 2520-27</w:t>
            </w:r>
          </w:p>
        </w:tc>
      </w:tr>
    </w:tbl>
    <w:p w:rsidR="00FA30CD" w:rsidRPr="00A67611" w:rsidRDefault="00FA30CD" w:rsidP="00FA30CD">
      <w:pPr>
        <w:pStyle w:val="TableFigureFooter"/>
      </w:pPr>
      <w:r w:rsidRPr="00A67611">
        <w:t xml:space="preserve">Blue shading indicates </w:t>
      </w:r>
      <w:r w:rsidR="006E5237" w:rsidRPr="00A67611">
        <w:t xml:space="preserve">trials </w:t>
      </w:r>
      <w:r w:rsidRPr="00A67611">
        <w:t>considered in</w:t>
      </w:r>
      <w:r w:rsidR="006E5237" w:rsidRPr="00A67611">
        <w:t xml:space="preserve"> the</w:t>
      </w:r>
      <w:r w:rsidRPr="00A67611">
        <w:t xml:space="preserve"> previous submission.</w:t>
      </w:r>
      <w:r w:rsidR="009C7D8C" w:rsidRPr="00A67611">
        <w:t xml:space="preserve"> </w:t>
      </w:r>
      <w:r w:rsidR="00C32316" w:rsidRPr="00A67611">
        <w:t>Collin 2007 and Collin 2010 were considered supportive trials in the previous submission.</w:t>
      </w:r>
    </w:p>
    <w:p w:rsidR="00C32316" w:rsidRPr="00A67611" w:rsidRDefault="00C32316" w:rsidP="00FA30CD">
      <w:pPr>
        <w:pStyle w:val="TableFigureFooter"/>
      </w:pPr>
      <w:r w:rsidRPr="00A67611">
        <w:t>The previous July 2013 submission also included Wade et al 2004</w:t>
      </w:r>
      <w:r w:rsidR="00E63A5D" w:rsidRPr="00A67611">
        <w:t xml:space="preserve"> as a supportive trial, with </w:t>
      </w:r>
      <w:r w:rsidRPr="00A67611">
        <w:t>Wade et al 2006 and the 2010 meta-analysis of these two trials</w:t>
      </w:r>
      <w:r w:rsidR="008572C9" w:rsidRPr="00A67611">
        <w:t>, as well as Notcutt et al, 2012</w:t>
      </w:r>
      <w:r w:rsidR="00E63A5D" w:rsidRPr="00A67611">
        <w:t xml:space="preserve"> being referred to in the previous submission but not used as supportive trials in relation to efficacy.</w:t>
      </w:r>
    </w:p>
    <w:p w:rsidR="00FA30CD" w:rsidRPr="00A67611" w:rsidRDefault="00FA30CD" w:rsidP="00FA30CD">
      <w:pPr>
        <w:pStyle w:val="TableFigureFooter"/>
        <w:rPr>
          <w:sz w:val="20"/>
        </w:rPr>
      </w:pPr>
      <w:r w:rsidRPr="00A67611">
        <w:t>Source: Table 25, pp48-49 of the resubmission and constructed during the evaluation.</w:t>
      </w:r>
    </w:p>
    <w:p w:rsidR="00FA30CD" w:rsidRPr="00A67611" w:rsidRDefault="00FA30CD" w:rsidP="000F706A">
      <w:pPr>
        <w:pStyle w:val="3-BodyText"/>
      </w:pPr>
      <w:r w:rsidRPr="00A67611">
        <w:t xml:space="preserve">The key features of the direct randomised trials are summarised in </w:t>
      </w:r>
      <w:r w:rsidR="00D420F9" w:rsidRPr="00D420F9">
        <w:t>Table 4</w:t>
      </w:r>
      <w:r w:rsidRPr="00A67611">
        <w:t xml:space="preserve">. </w:t>
      </w:r>
    </w:p>
    <w:p w:rsidR="00FA30CD" w:rsidRPr="00A67611" w:rsidRDefault="00154D99" w:rsidP="00FA30CD">
      <w:pPr>
        <w:pStyle w:val="TableFigureHeading"/>
        <w:rPr>
          <w:rStyle w:val="CommentReference"/>
          <w:b/>
          <w:szCs w:val="24"/>
        </w:rPr>
      </w:pPr>
      <w:bookmarkStart w:id="25" w:name="_Ref27563110"/>
      <w:r w:rsidRPr="00A67611">
        <w:rPr>
          <w:rStyle w:val="CommentReference"/>
          <w:b/>
          <w:szCs w:val="24"/>
        </w:rPr>
        <w:lastRenderedPageBreak/>
        <w:t xml:space="preserve">Table </w:t>
      </w:r>
      <w:r w:rsidR="00D420F9">
        <w:rPr>
          <w:rStyle w:val="CommentReference"/>
          <w:b/>
          <w:noProof/>
          <w:szCs w:val="24"/>
        </w:rPr>
        <w:t>4</w:t>
      </w:r>
      <w:bookmarkEnd w:id="25"/>
      <w:r w:rsidR="00FA30CD" w:rsidRPr="00A67611">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5"/>
        <w:gridCol w:w="833"/>
        <w:gridCol w:w="1646"/>
        <w:gridCol w:w="809"/>
        <w:gridCol w:w="2006"/>
        <w:gridCol w:w="2146"/>
        <w:gridCol w:w="882"/>
      </w:tblGrid>
      <w:tr w:rsidR="00FA30CD" w:rsidRPr="00A67611" w:rsidTr="00121B1A">
        <w:trPr>
          <w:cantSplit/>
          <w:tblHeader/>
        </w:trPr>
        <w:tc>
          <w:tcPr>
            <w:tcW w:w="385" w:type="pct"/>
            <w:shd w:val="clear" w:color="auto" w:fill="auto"/>
            <w:vAlign w:val="center"/>
          </w:tcPr>
          <w:p w:rsidR="00FA30CD" w:rsidRPr="00A67611" w:rsidRDefault="00FA30CD" w:rsidP="00806AE4">
            <w:pPr>
              <w:pStyle w:val="In-tableHeading"/>
              <w:rPr>
                <w:lang w:val="en-AU"/>
              </w:rPr>
            </w:pPr>
            <w:r w:rsidRPr="00A67611">
              <w:rPr>
                <w:lang w:val="en-AU"/>
              </w:rPr>
              <w:t>Trial</w:t>
            </w:r>
          </w:p>
        </w:tc>
        <w:tc>
          <w:tcPr>
            <w:tcW w:w="470" w:type="pct"/>
            <w:shd w:val="clear" w:color="auto" w:fill="auto"/>
            <w:vAlign w:val="center"/>
          </w:tcPr>
          <w:p w:rsidR="00FA30CD" w:rsidRPr="00A67611" w:rsidRDefault="00FA30CD" w:rsidP="00806AE4">
            <w:pPr>
              <w:pStyle w:val="In-tableHeading"/>
              <w:jc w:val="center"/>
              <w:rPr>
                <w:lang w:val="en-AU"/>
              </w:rPr>
            </w:pPr>
            <w:r w:rsidRPr="00A67611">
              <w:rPr>
                <w:lang w:val="en-AU"/>
              </w:rPr>
              <w:t>N</w:t>
            </w:r>
          </w:p>
        </w:tc>
        <w:tc>
          <w:tcPr>
            <w:tcW w:w="921" w:type="pct"/>
            <w:shd w:val="clear" w:color="auto" w:fill="auto"/>
            <w:vAlign w:val="center"/>
          </w:tcPr>
          <w:p w:rsidR="00FA30CD" w:rsidRPr="00A67611" w:rsidRDefault="00FA30CD" w:rsidP="00806AE4">
            <w:pPr>
              <w:pStyle w:val="In-tableHeading"/>
              <w:jc w:val="center"/>
              <w:rPr>
                <w:lang w:val="en-AU"/>
              </w:rPr>
            </w:pPr>
            <w:r w:rsidRPr="00A67611">
              <w:rPr>
                <w:lang w:val="en-AU"/>
              </w:rPr>
              <w:t>Design/ duration</w:t>
            </w:r>
          </w:p>
        </w:tc>
        <w:tc>
          <w:tcPr>
            <w:tcW w:w="409" w:type="pct"/>
            <w:shd w:val="clear" w:color="auto" w:fill="auto"/>
            <w:vAlign w:val="center"/>
          </w:tcPr>
          <w:p w:rsidR="00FA30CD" w:rsidRPr="00A67611" w:rsidRDefault="00FA30CD" w:rsidP="00806AE4">
            <w:pPr>
              <w:pStyle w:val="In-tableHeading"/>
              <w:jc w:val="center"/>
              <w:rPr>
                <w:lang w:val="en-AU"/>
              </w:rPr>
            </w:pPr>
            <w:r w:rsidRPr="00A67611">
              <w:rPr>
                <w:lang w:val="en-AU"/>
              </w:rPr>
              <w:t>Risk of bias</w:t>
            </w:r>
          </w:p>
        </w:tc>
        <w:tc>
          <w:tcPr>
            <w:tcW w:w="1120" w:type="pct"/>
            <w:shd w:val="clear" w:color="auto" w:fill="auto"/>
            <w:vAlign w:val="center"/>
          </w:tcPr>
          <w:p w:rsidR="00FA30CD" w:rsidRPr="00A67611" w:rsidRDefault="00FA30CD" w:rsidP="00806AE4">
            <w:pPr>
              <w:pStyle w:val="In-tableHeading"/>
              <w:jc w:val="center"/>
              <w:rPr>
                <w:lang w:val="en-AU"/>
              </w:rPr>
            </w:pPr>
            <w:r w:rsidRPr="00A67611">
              <w:rPr>
                <w:lang w:val="en-AU"/>
              </w:rPr>
              <w:t>Patient population</w:t>
            </w:r>
          </w:p>
        </w:tc>
        <w:tc>
          <w:tcPr>
            <w:tcW w:w="1198" w:type="pct"/>
            <w:shd w:val="clear" w:color="auto" w:fill="auto"/>
            <w:vAlign w:val="center"/>
          </w:tcPr>
          <w:p w:rsidR="00FA30CD" w:rsidRPr="00A67611" w:rsidRDefault="00FA30CD" w:rsidP="00806AE4">
            <w:pPr>
              <w:pStyle w:val="In-tableHeading"/>
              <w:jc w:val="center"/>
              <w:rPr>
                <w:lang w:val="en-AU"/>
              </w:rPr>
            </w:pPr>
            <w:r w:rsidRPr="00A67611">
              <w:rPr>
                <w:lang w:val="en-AU"/>
              </w:rPr>
              <w:t>Outcomes</w:t>
            </w:r>
          </w:p>
        </w:tc>
        <w:tc>
          <w:tcPr>
            <w:tcW w:w="496" w:type="pct"/>
            <w:shd w:val="clear" w:color="auto" w:fill="auto"/>
            <w:vAlign w:val="center"/>
          </w:tcPr>
          <w:p w:rsidR="00FA30CD" w:rsidRPr="00A67611" w:rsidRDefault="00FA30CD" w:rsidP="00806AE4">
            <w:pPr>
              <w:pStyle w:val="In-tableHeading"/>
              <w:jc w:val="center"/>
              <w:rPr>
                <w:lang w:val="en-AU"/>
              </w:rPr>
            </w:pPr>
            <w:r w:rsidRPr="00A67611">
              <w:rPr>
                <w:lang w:val="en-AU"/>
              </w:rPr>
              <w:t>Use in modelled evaluation</w:t>
            </w:r>
          </w:p>
        </w:tc>
      </w:tr>
      <w:tr w:rsidR="00FA30CD" w:rsidRPr="00A67611" w:rsidTr="00806AE4">
        <w:trPr>
          <w:cantSplit/>
        </w:trPr>
        <w:tc>
          <w:tcPr>
            <w:tcW w:w="5000" w:type="pct"/>
            <w:gridSpan w:val="7"/>
            <w:shd w:val="clear" w:color="auto" w:fill="auto"/>
            <w:vAlign w:val="center"/>
          </w:tcPr>
          <w:p w:rsidR="00FA30CD" w:rsidRPr="00A67611" w:rsidRDefault="00065870" w:rsidP="00065870">
            <w:pPr>
              <w:pStyle w:val="In-tableHeading"/>
              <w:rPr>
                <w:lang w:val="en-AU"/>
              </w:rPr>
            </w:pPr>
            <w:r w:rsidRPr="00A67611">
              <w:rPr>
                <w:lang w:val="en-AU"/>
              </w:rPr>
              <w:t xml:space="preserve">Nabiximols plus standard </w:t>
            </w:r>
            <w:r w:rsidR="00FA30CD" w:rsidRPr="00A67611">
              <w:rPr>
                <w:lang w:val="en-AU"/>
              </w:rPr>
              <w:t xml:space="preserve">care versus </w:t>
            </w:r>
            <w:r w:rsidR="00121B1A" w:rsidRPr="00A67611">
              <w:rPr>
                <w:lang w:val="en-AU"/>
              </w:rPr>
              <w:t xml:space="preserve">placebo and </w:t>
            </w:r>
            <w:r w:rsidRPr="00A67611">
              <w:rPr>
                <w:lang w:val="en-AU"/>
              </w:rPr>
              <w:t>standard</w:t>
            </w:r>
            <w:r w:rsidR="00FA30CD" w:rsidRPr="00A67611">
              <w:rPr>
                <w:lang w:val="en-AU"/>
              </w:rPr>
              <w:t xml:space="preserve"> care </w:t>
            </w:r>
          </w:p>
        </w:tc>
      </w:tr>
      <w:tr w:rsidR="00FA30CD" w:rsidRPr="00A67611" w:rsidTr="00121B1A">
        <w:trPr>
          <w:cantSplit/>
        </w:trPr>
        <w:tc>
          <w:tcPr>
            <w:tcW w:w="385" w:type="pct"/>
            <w:shd w:val="clear" w:color="auto" w:fill="auto"/>
            <w:vAlign w:val="center"/>
          </w:tcPr>
          <w:p w:rsidR="00FA30CD" w:rsidRPr="00A67611" w:rsidRDefault="00FA30CD" w:rsidP="00806AE4">
            <w:pPr>
              <w:pStyle w:val="TableText0"/>
            </w:pPr>
            <w:r w:rsidRPr="00A67611">
              <w:t>Markovà 2019</w:t>
            </w:r>
          </w:p>
        </w:tc>
        <w:tc>
          <w:tcPr>
            <w:tcW w:w="470" w:type="pct"/>
            <w:shd w:val="clear" w:color="auto" w:fill="auto"/>
            <w:vAlign w:val="center"/>
          </w:tcPr>
          <w:p w:rsidR="00FA30CD" w:rsidRPr="00A67611" w:rsidRDefault="00FA30CD" w:rsidP="00806AE4">
            <w:pPr>
              <w:pStyle w:val="TableText0"/>
              <w:jc w:val="center"/>
            </w:pPr>
            <w:r w:rsidRPr="00A67611">
              <w:t>191 Phase A</w:t>
            </w:r>
          </w:p>
          <w:p w:rsidR="00FA30CD" w:rsidRPr="00A67611" w:rsidRDefault="00FA30CD" w:rsidP="00806AE4">
            <w:pPr>
              <w:pStyle w:val="TableText0"/>
              <w:jc w:val="center"/>
            </w:pPr>
            <w:r w:rsidRPr="00A67611">
              <w:t>106 Phase B</w:t>
            </w:r>
          </w:p>
        </w:tc>
        <w:tc>
          <w:tcPr>
            <w:tcW w:w="921" w:type="pct"/>
            <w:shd w:val="clear" w:color="auto" w:fill="auto"/>
            <w:vAlign w:val="center"/>
          </w:tcPr>
          <w:p w:rsidR="00FA30CD" w:rsidRPr="00A67611" w:rsidRDefault="00FA30CD" w:rsidP="00806AE4">
            <w:pPr>
              <w:pStyle w:val="TableText0"/>
              <w:jc w:val="center"/>
            </w:pPr>
            <w:r w:rsidRPr="00A67611">
              <w:t>SB</w:t>
            </w:r>
            <w:r w:rsidR="00BE2B87">
              <w:t xml:space="preserve"> nabiximols</w:t>
            </w:r>
            <w:r w:rsidRPr="00A67611">
              <w:t xml:space="preserve"> in </w:t>
            </w:r>
            <w:r w:rsidR="009C7D8C" w:rsidRPr="00A67611">
              <w:t>P</w:t>
            </w:r>
            <w:r w:rsidRPr="00A67611">
              <w:t xml:space="preserve">hase A, </w:t>
            </w:r>
            <w:r w:rsidR="00885963" w:rsidRPr="00A67611">
              <w:t xml:space="preserve">R, </w:t>
            </w:r>
            <w:r w:rsidRPr="00A67611">
              <w:t xml:space="preserve">DB in </w:t>
            </w:r>
            <w:r w:rsidR="009C7D8C" w:rsidRPr="00A67611">
              <w:t>P</w:t>
            </w:r>
            <w:r w:rsidRPr="00A67611">
              <w:t xml:space="preserve">hase B versus </w:t>
            </w:r>
            <w:r w:rsidR="00885963" w:rsidRPr="00A67611">
              <w:t xml:space="preserve"> placebo</w:t>
            </w:r>
          </w:p>
          <w:p w:rsidR="00FA30CD" w:rsidRPr="00A67611" w:rsidRDefault="00FA30CD" w:rsidP="00806AE4">
            <w:pPr>
              <w:pStyle w:val="TableText0"/>
              <w:jc w:val="center"/>
            </w:pPr>
            <w:r w:rsidRPr="00A67611">
              <w:t xml:space="preserve">4 weeks </w:t>
            </w:r>
            <w:r w:rsidR="009C7D8C" w:rsidRPr="00A67611">
              <w:t>P</w:t>
            </w:r>
            <w:r w:rsidRPr="00A67611">
              <w:t xml:space="preserve">hase A, 4 weeks washout, 12 weeks </w:t>
            </w:r>
            <w:r w:rsidR="009C7D8C" w:rsidRPr="00A67611">
              <w:t>P</w:t>
            </w:r>
            <w:r w:rsidRPr="00A67611">
              <w:t>hase B</w:t>
            </w:r>
          </w:p>
        </w:tc>
        <w:tc>
          <w:tcPr>
            <w:tcW w:w="409" w:type="pct"/>
            <w:shd w:val="clear" w:color="auto" w:fill="auto"/>
            <w:vAlign w:val="center"/>
          </w:tcPr>
          <w:p w:rsidR="00FA30CD" w:rsidRPr="00A67611" w:rsidRDefault="00473138" w:rsidP="00806AE4">
            <w:pPr>
              <w:pStyle w:val="TableText0"/>
              <w:jc w:val="center"/>
            </w:pPr>
            <w:r w:rsidRPr="00A67611">
              <w:t xml:space="preserve">Phase A: </w:t>
            </w:r>
            <w:r w:rsidR="00FA30CD" w:rsidRPr="00A67611">
              <w:t>High</w:t>
            </w:r>
            <w:r w:rsidR="00FA30CD" w:rsidRPr="00A67611">
              <w:rPr>
                <w:vertAlign w:val="superscript"/>
              </w:rPr>
              <w:t>a</w:t>
            </w:r>
          </w:p>
          <w:p w:rsidR="00473138" w:rsidRPr="00A67611" w:rsidRDefault="00473138" w:rsidP="00806AE4">
            <w:pPr>
              <w:pStyle w:val="TableText0"/>
              <w:jc w:val="center"/>
            </w:pPr>
            <w:r w:rsidRPr="00A67611">
              <w:t>Phase B:</w:t>
            </w:r>
          </w:p>
          <w:p w:rsidR="00473138" w:rsidRPr="00A67611" w:rsidRDefault="00473138" w:rsidP="00806AE4">
            <w:pPr>
              <w:pStyle w:val="TableText0"/>
              <w:jc w:val="center"/>
              <w:rPr>
                <w:vertAlign w:val="superscript"/>
              </w:rPr>
            </w:pPr>
            <w:r w:rsidRPr="00A67611">
              <w:t>Moderate</w:t>
            </w:r>
            <w:r w:rsidRPr="00A67611">
              <w:rPr>
                <w:vertAlign w:val="superscript"/>
              </w:rPr>
              <w:t>a</w:t>
            </w:r>
          </w:p>
        </w:tc>
        <w:tc>
          <w:tcPr>
            <w:tcW w:w="1120" w:type="pct"/>
            <w:shd w:val="clear" w:color="auto" w:fill="auto"/>
            <w:vAlign w:val="center"/>
          </w:tcPr>
          <w:p w:rsidR="00FA30CD" w:rsidRPr="00A67611" w:rsidRDefault="00FA30CD" w:rsidP="00576028">
            <w:pPr>
              <w:pStyle w:val="TableText0"/>
              <w:jc w:val="center"/>
            </w:pPr>
            <w:r w:rsidRPr="00A67611">
              <w:t>Moderate to severe MS</w:t>
            </w:r>
            <w:r w:rsidR="003761B9">
              <w:t xml:space="preserve"> spasticity</w:t>
            </w:r>
            <w:r w:rsidRPr="00A67611">
              <w:t>, patients taking oral anti-spasticity medication, with spasticity not adequately relieved. Phase B required patients to have 20% or more response in phase A</w:t>
            </w:r>
            <w:r w:rsidR="0040065F" w:rsidRPr="00A67611">
              <w:t xml:space="preserve"> and </w:t>
            </w:r>
            <w:r w:rsidR="00576028" w:rsidRPr="00A67611">
              <w:t xml:space="preserve"> </w:t>
            </w:r>
            <w:r w:rsidR="00D0680F" w:rsidRPr="00A67611">
              <w:rPr>
                <w:rFonts w:eastAsia="Times New Roman"/>
                <w:snapToGrid w:val="0"/>
                <w:szCs w:val="20"/>
              </w:rPr>
              <w:t xml:space="preserve">to have had their improvement </w:t>
            </w:r>
            <w:r w:rsidR="00576028" w:rsidRPr="00A67611">
              <w:rPr>
                <w:rFonts w:eastAsia="Times New Roman"/>
                <w:snapToGrid w:val="0"/>
                <w:szCs w:val="20"/>
              </w:rPr>
              <w:t>reduced by</w:t>
            </w:r>
            <w:r w:rsidR="00576028" w:rsidRPr="00A67611">
              <w:rPr>
                <w:rFonts w:eastAsia="Times New Roman"/>
                <w:i/>
                <w:snapToGrid w:val="0"/>
                <w:szCs w:val="20"/>
              </w:rPr>
              <w:t xml:space="preserve"> </w:t>
            </w:r>
            <w:r w:rsidR="00576028" w:rsidRPr="00110D89">
              <w:rPr>
                <w:rFonts w:eastAsia="Times New Roman"/>
                <w:snapToGrid w:val="0"/>
                <w:szCs w:val="20"/>
              </w:rPr>
              <w:t>≥ 80%</w:t>
            </w:r>
            <w:r w:rsidR="0040065F" w:rsidRPr="00A67611">
              <w:t xml:space="preserve"> </w:t>
            </w:r>
            <w:r w:rsidR="00BC69C3" w:rsidRPr="00A67611">
              <w:t>during washout</w:t>
            </w:r>
            <w:r w:rsidRPr="00A67611">
              <w:t xml:space="preserve"> </w:t>
            </w:r>
          </w:p>
        </w:tc>
        <w:tc>
          <w:tcPr>
            <w:tcW w:w="1198" w:type="pct"/>
            <w:shd w:val="clear" w:color="auto" w:fill="auto"/>
            <w:vAlign w:val="center"/>
          </w:tcPr>
          <w:p w:rsidR="00FA30CD" w:rsidRPr="00A67611" w:rsidRDefault="00FA30CD" w:rsidP="00806AE4">
            <w:pPr>
              <w:pStyle w:val="TableText0"/>
              <w:jc w:val="center"/>
            </w:pPr>
            <w:r w:rsidRPr="00A67611">
              <w:t xml:space="preserve">Proportion of 30% or more responders in </w:t>
            </w:r>
            <w:r w:rsidR="009C7D8C" w:rsidRPr="00A67611">
              <w:t>P</w:t>
            </w:r>
            <w:r w:rsidRPr="00A67611">
              <w:t>hase B</w:t>
            </w:r>
          </w:p>
          <w:p w:rsidR="00FA30CD" w:rsidRPr="00A67611" w:rsidRDefault="00FA30CD" w:rsidP="00806AE4">
            <w:pPr>
              <w:pStyle w:val="TableText0"/>
              <w:jc w:val="center"/>
            </w:pPr>
          </w:p>
          <w:p w:rsidR="00FA30CD" w:rsidRPr="00A67611" w:rsidRDefault="00FA30CD" w:rsidP="00806AE4">
            <w:pPr>
              <w:pStyle w:val="TableText0"/>
              <w:jc w:val="center"/>
            </w:pPr>
            <w:r w:rsidRPr="00A67611">
              <w:t>Other outcomes of change in spasticity severity from baseline, PGIC and pharmacoeconomic outcomes, QOL</w:t>
            </w:r>
          </w:p>
        </w:tc>
        <w:tc>
          <w:tcPr>
            <w:tcW w:w="496" w:type="pct"/>
            <w:shd w:val="clear" w:color="auto" w:fill="auto"/>
            <w:vAlign w:val="center"/>
          </w:tcPr>
          <w:p w:rsidR="00FA30CD" w:rsidRPr="00A67611" w:rsidRDefault="00FA30CD" w:rsidP="00806AE4">
            <w:pPr>
              <w:pStyle w:val="TableText0"/>
              <w:jc w:val="center"/>
            </w:pPr>
            <w:r w:rsidRPr="00A67611">
              <w:t xml:space="preserve">Used to inform proportion of responders </w:t>
            </w:r>
          </w:p>
          <w:p w:rsidR="00FA30CD" w:rsidRPr="00A67611" w:rsidRDefault="00FA30CD" w:rsidP="00806AE4">
            <w:pPr>
              <w:pStyle w:val="TableText0"/>
              <w:jc w:val="center"/>
            </w:pPr>
          </w:p>
        </w:tc>
      </w:tr>
      <w:tr w:rsidR="00FA30CD" w:rsidRPr="00A67611" w:rsidTr="00121B1A">
        <w:trPr>
          <w:cantSplit/>
        </w:trPr>
        <w:tc>
          <w:tcPr>
            <w:tcW w:w="385" w:type="pct"/>
            <w:shd w:val="clear" w:color="auto" w:fill="B8CCE4" w:themeFill="accent1" w:themeFillTint="66"/>
            <w:vAlign w:val="center"/>
          </w:tcPr>
          <w:p w:rsidR="00FA30CD" w:rsidRPr="00A67611" w:rsidRDefault="00FA30CD" w:rsidP="00806AE4">
            <w:pPr>
              <w:pStyle w:val="TableText0"/>
            </w:pPr>
            <w:r w:rsidRPr="00A67611">
              <w:t>Novotna 2011</w:t>
            </w:r>
          </w:p>
        </w:tc>
        <w:tc>
          <w:tcPr>
            <w:tcW w:w="470" w:type="pct"/>
            <w:shd w:val="clear" w:color="auto" w:fill="B8CCE4" w:themeFill="accent1" w:themeFillTint="66"/>
            <w:vAlign w:val="center"/>
          </w:tcPr>
          <w:p w:rsidR="00FA30CD" w:rsidRPr="00A67611" w:rsidRDefault="00FA30CD" w:rsidP="00806AE4">
            <w:pPr>
              <w:pStyle w:val="TableText0"/>
              <w:jc w:val="center"/>
            </w:pPr>
            <w:r w:rsidRPr="00A67611">
              <w:t>571 in Phase A</w:t>
            </w:r>
          </w:p>
          <w:p w:rsidR="00FA30CD" w:rsidRPr="00A67611" w:rsidRDefault="00FA30CD" w:rsidP="00806AE4">
            <w:pPr>
              <w:pStyle w:val="TableText0"/>
              <w:jc w:val="center"/>
            </w:pPr>
            <w:r w:rsidRPr="00A67611">
              <w:t>241 in Phase B</w:t>
            </w:r>
          </w:p>
        </w:tc>
        <w:tc>
          <w:tcPr>
            <w:tcW w:w="921" w:type="pct"/>
            <w:shd w:val="clear" w:color="auto" w:fill="B8CCE4" w:themeFill="accent1" w:themeFillTint="66"/>
            <w:vAlign w:val="center"/>
          </w:tcPr>
          <w:p w:rsidR="00FA30CD" w:rsidRPr="00A67611" w:rsidRDefault="00FA30CD" w:rsidP="009C7D8C">
            <w:pPr>
              <w:pStyle w:val="TableText0"/>
              <w:jc w:val="center"/>
            </w:pPr>
            <w:r w:rsidRPr="00A67611">
              <w:t xml:space="preserve">SB nabiximols in </w:t>
            </w:r>
            <w:r w:rsidR="009C7D8C" w:rsidRPr="00A67611">
              <w:t>P</w:t>
            </w:r>
            <w:r w:rsidRPr="00A67611">
              <w:t xml:space="preserve">hase A – 4 weeks, and </w:t>
            </w:r>
            <w:r w:rsidR="00885963" w:rsidRPr="00A67611">
              <w:t xml:space="preserve">R, </w:t>
            </w:r>
            <w:r w:rsidRPr="00A67611">
              <w:t xml:space="preserve">DB in </w:t>
            </w:r>
            <w:r w:rsidR="009C7D8C" w:rsidRPr="00A67611">
              <w:t>P</w:t>
            </w:r>
            <w:r w:rsidRPr="00A67611">
              <w:t>hase B versus placebo – 12 weeks plus 2 weeks of follow-up</w:t>
            </w:r>
          </w:p>
        </w:tc>
        <w:tc>
          <w:tcPr>
            <w:tcW w:w="409" w:type="pct"/>
            <w:shd w:val="clear" w:color="auto" w:fill="B8CCE4" w:themeFill="accent1" w:themeFillTint="66"/>
            <w:vAlign w:val="center"/>
          </w:tcPr>
          <w:p w:rsidR="00F911E3" w:rsidRPr="00A67611" w:rsidRDefault="00473138" w:rsidP="00473138">
            <w:pPr>
              <w:pStyle w:val="TableText0"/>
              <w:jc w:val="center"/>
            </w:pPr>
            <w:r w:rsidRPr="00A67611">
              <w:t xml:space="preserve">Phase A: </w:t>
            </w:r>
          </w:p>
          <w:p w:rsidR="00F911E3" w:rsidRPr="00A67611" w:rsidRDefault="00FA30CD" w:rsidP="00473138">
            <w:pPr>
              <w:pStyle w:val="TableText0"/>
              <w:jc w:val="center"/>
              <w:rPr>
                <w:vertAlign w:val="superscript"/>
              </w:rPr>
            </w:pPr>
            <w:r w:rsidRPr="00A67611">
              <w:t>High</w:t>
            </w:r>
            <w:r w:rsidRPr="00A67611">
              <w:rPr>
                <w:vertAlign w:val="superscript"/>
              </w:rPr>
              <w:t>b</w:t>
            </w:r>
            <w:r w:rsidR="00473138" w:rsidRPr="00A67611">
              <w:rPr>
                <w:vertAlign w:val="superscript"/>
              </w:rPr>
              <w:t xml:space="preserve"> </w:t>
            </w:r>
          </w:p>
          <w:p w:rsidR="00473138" w:rsidRPr="00A67611" w:rsidRDefault="00473138" w:rsidP="00473138">
            <w:pPr>
              <w:pStyle w:val="TableText0"/>
              <w:jc w:val="center"/>
            </w:pPr>
            <w:r w:rsidRPr="00A67611">
              <w:t>Phase B:</w:t>
            </w:r>
          </w:p>
          <w:p w:rsidR="00FA30CD" w:rsidRPr="00A67611" w:rsidRDefault="00473138" w:rsidP="00473138">
            <w:pPr>
              <w:pStyle w:val="TableText0"/>
              <w:jc w:val="center"/>
            </w:pPr>
            <w:r w:rsidRPr="00A67611">
              <w:t>Moderate</w:t>
            </w:r>
            <w:r w:rsidRPr="00A67611">
              <w:rPr>
                <w:vertAlign w:val="superscript"/>
              </w:rPr>
              <w:t>b</w:t>
            </w:r>
          </w:p>
        </w:tc>
        <w:tc>
          <w:tcPr>
            <w:tcW w:w="1120" w:type="pct"/>
            <w:shd w:val="clear" w:color="auto" w:fill="B8CCE4" w:themeFill="accent1" w:themeFillTint="66"/>
            <w:vAlign w:val="center"/>
          </w:tcPr>
          <w:p w:rsidR="00FA30CD" w:rsidRPr="00A67611" w:rsidRDefault="00FA30CD" w:rsidP="00806AE4">
            <w:pPr>
              <w:pStyle w:val="TableText0"/>
              <w:jc w:val="center"/>
            </w:pPr>
            <w:r w:rsidRPr="00A67611">
              <w:t>At least moderate MS spasticity not wholly relived with current anti-spasticity medication: phase B patients had to have had at least a 20% improvement on the NRS</w:t>
            </w:r>
          </w:p>
        </w:tc>
        <w:tc>
          <w:tcPr>
            <w:tcW w:w="1198" w:type="pct"/>
            <w:shd w:val="clear" w:color="auto" w:fill="B8CCE4" w:themeFill="accent1" w:themeFillTint="66"/>
            <w:vAlign w:val="center"/>
          </w:tcPr>
          <w:p w:rsidR="00FA30CD" w:rsidRPr="00A67611" w:rsidRDefault="00FA30CD" w:rsidP="009C7D8C">
            <w:pPr>
              <w:pStyle w:val="TableText0"/>
              <w:jc w:val="center"/>
            </w:pPr>
            <w:r w:rsidRPr="00A67611">
              <w:t xml:space="preserve">Proportion of 30% or more responders in </w:t>
            </w:r>
            <w:r w:rsidR="009C7D8C" w:rsidRPr="00A67611">
              <w:t>P</w:t>
            </w:r>
            <w:r w:rsidRPr="00A67611">
              <w:t>hase B, change in spasticity severity from baseline, PGIC, QOL, other secondary outcomes</w:t>
            </w:r>
          </w:p>
        </w:tc>
        <w:tc>
          <w:tcPr>
            <w:tcW w:w="496" w:type="pct"/>
            <w:shd w:val="clear" w:color="auto" w:fill="B8CCE4" w:themeFill="accent1" w:themeFillTint="66"/>
            <w:vAlign w:val="center"/>
          </w:tcPr>
          <w:p w:rsidR="00FA30CD" w:rsidRPr="00A67611" w:rsidRDefault="00FA30CD" w:rsidP="00806AE4">
            <w:pPr>
              <w:pStyle w:val="TableText0"/>
              <w:jc w:val="center"/>
            </w:pPr>
            <w:r w:rsidRPr="00A67611">
              <w:t>Not used</w:t>
            </w:r>
          </w:p>
        </w:tc>
      </w:tr>
      <w:tr w:rsidR="00154D99" w:rsidRPr="00A67611" w:rsidTr="00121B1A">
        <w:trPr>
          <w:cantSplit/>
        </w:trPr>
        <w:tc>
          <w:tcPr>
            <w:tcW w:w="385" w:type="pct"/>
            <w:shd w:val="clear" w:color="auto" w:fill="auto"/>
            <w:vAlign w:val="center"/>
          </w:tcPr>
          <w:p w:rsidR="00154D99" w:rsidRPr="00A67611" w:rsidRDefault="00154D99" w:rsidP="00154D99">
            <w:pPr>
              <w:pStyle w:val="TableText0"/>
            </w:pPr>
            <w:r w:rsidRPr="00A67611">
              <w:t>Vachovà 2014</w:t>
            </w:r>
          </w:p>
        </w:tc>
        <w:tc>
          <w:tcPr>
            <w:tcW w:w="470" w:type="pct"/>
            <w:shd w:val="clear" w:color="auto" w:fill="auto"/>
            <w:vAlign w:val="center"/>
          </w:tcPr>
          <w:p w:rsidR="00154D99" w:rsidRPr="00A67611" w:rsidRDefault="00154D99" w:rsidP="00154D99">
            <w:pPr>
              <w:pStyle w:val="TableText0"/>
              <w:jc w:val="center"/>
            </w:pPr>
            <w:r w:rsidRPr="00A67611">
              <w:t>121</w:t>
            </w:r>
          </w:p>
        </w:tc>
        <w:tc>
          <w:tcPr>
            <w:tcW w:w="921" w:type="pct"/>
            <w:shd w:val="clear" w:color="auto" w:fill="auto"/>
            <w:vAlign w:val="center"/>
          </w:tcPr>
          <w:p w:rsidR="00154D99" w:rsidRPr="00A67611" w:rsidRDefault="00154D99" w:rsidP="00154D99">
            <w:pPr>
              <w:pStyle w:val="TableText0"/>
              <w:jc w:val="center"/>
            </w:pPr>
            <w:r w:rsidRPr="00A67611">
              <w:t>Versus placebo. R, DB,48 weeks of treatment and 2 weeks of follow-up</w:t>
            </w:r>
          </w:p>
        </w:tc>
        <w:tc>
          <w:tcPr>
            <w:tcW w:w="409" w:type="pct"/>
            <w:shd w:val="clear" w:color="auto" w:fill="auto"/>
            <w:vAlign w:val="center"/>
          </w:tcPr>
          <w:p w:rsidR="00154D99" w:rsidRPr="00A67611" w:rsidRDefault="00473138" w:rsidP="00154D99">
            <w:pPr>
              <w:pStyle w:val="TableText0"/>
              <w:jc w:val="center"/>
            </w:pPr>
            <w:r w:rsidRPr="00A67611">
              <w:t>Moderate</w:t>
            </w:r>
            <w:r w:rsidRPr="00A67611">
              <w:rPr>
                <w:vertAlign w:val="superscript"/>
              </w:rPr>
              <w:t>c</w:t>
            </w:r>
          </w:p>
        </w:tc>
        <w:tc>
          <w:tcPr>
            <w:tcW w:w="1120" w:type="pct"/>
            <w:shd w:val="clear" w:color="auto" w:fill="auto"/>
            <w:vAlign w:val="center"/>
          </w:tcPr>
          <w:p w:rsidR="00154D99" w:rsidRPr="00A67611" w:rsidRDefault="00154D99" w:rsidP="00154D99">
            <w:pPr>
              <w:pStyle w:val="TableText0"/>
              <w:jc w:val="center"/>
            </w:pPr>
            <w:r w:rsidRPr="00A67611">
              <w:t>MS with at least moderate spasticity, tried and failed anti-spasticity medication</w:t>
            </w:r>
          </w:p>
        </w:tc>
        <w:tc>
          <w:tcPr>
            <w:tcW w:w="1198" w:type="pct"/>
            <w:shd w:val="clear" w:color="auto" w:fill="auto"/>
            <w:vAlign w:val="center"/>
          </w:tcPr>
          <w:p w:rsidR="00154D99" w:rsidRPr="00A67611" w:rsidRDefault="00154D99" w:rsidP="00154D99">
            <w:pPr>
              <w:pStyle w:val="TableText0"/>
              <w:jc w:val="center"/>
            </w:pPr>
            <w:r w:rsidRPr="00A67611">
              <w:t>Subject’s (Patient’s), Carer’s and Physician’s  global impression of change as secondary outcome, visits to healthcare professionals, other secondary outcomes: Key outcome mood</w:t>
            </w:r>
          </w:p>
        </w:tc>
        <w:tc>
          <w:tcPr>
            <w:tcW w:w="496" w:type="pct"/>
            <w:shd w:val="clear" w:color="auto" w:fill="auto"/>
            <w:vAlign w:val="center"/>
          </w:tcPr>
          <w:p w:rsidR="00154D99" w:rsidRPr="00A67611" w:rsidRDefault="00154D99" w:rsidP="00154D99">
            <w:pPr>
              <w:pStyle w:val="TableText0"/>
              <w:jc w:val="center"/>
            </w:pPr>
            <w:r w:rsidRPr="00A67611">
              <w:t>Not used</w:t>
            </w:r>
          </w:p>
        </w:tc>
      </w:tr>
      <w:tr w:rsidR="00154D99" w:rsidRPr="00A67611" w:rsidTr="00121B1A">
        <w:trPr>
          <w:cantSplit/>
        </w:trPr>
        <w:tc>
          <w:tcPr>
            <w:tcW w:w="385" w:type="pct"/>
            <w:shd w:val="clear" w:color="auto" w:fill="B8CCE4" w:themeFill="accent1" w:themeFillTint="66"/>
            <w:vAlign w:val="center"/>
          </w:tcPr>
          <w:p w:rsidR="00154D99" w:rsidRPr="00A67611" w:rsidRDefault="00154D99" w:rsidP="00154D99">
            <w:pPr>
              <w:pStyle w:val="TableText0"/>
            </w:pPr>
            <w:r w:rsidRPr="00A67611">
              <w:t>Collin 2010</w:t>
            </w:r>
          </w:p>
        </w:tc>
        <w:tc>
          <w:tcPr>
            <w:tcW w:w="470" w:type="pct"/>
            <w:shd w:val="clear" w:color="auto" w:fill="B8CCE4" w:themeFill="accent1" w:themeFillTint="66"/>
            <w:vAlign w:val="center"/>
          </w:tcPr>
          <w:p w:rsidR="00154D99" w:rsidRPr="00A67611" w:rsidRDefault="00154D99" w:rsidP="00154D99">
            <w:pPr>
              <w:pStyle w:val="TableText0"/>
              <w:jc w:val="center"/>
            </w:pPr>
            <w:r w:rsidRPr="00A67611">
              <w:t>337</w:t>
            </w:r>
          </w:p>
        </w:tc>
        <w:tc>
          <w:tcPr>
            <w:tcW w:w="921" w:type="pct"/>
            <w:shd w:val="clear" w:color="auto" w:fill="B8CCE4" w:themeFill="accent1" w:themeFillTint="66"/>
            <w:vAlign w:val="center"/>
          </w:tcPr>
          <w:p w:rsidR="00154D99" w:rsidRPr="00A67611" w:rsidRDefault="00154D99" w:rsidP="00154D99">
            <w:pPr>
              <w:pStyle w:val="TableText0"/>
              <w:jc w:val="center"/>
            </w:pPr>
            <w:r w:rsidRPr="00A67611">
              <w:t>Versus placebo. R, DB, 1 week of baseline and 14 weeks treatment</w:t>
            </w:r>
          </w:p>
        </w:tc>
        <w:tc>
          <w:tcPr>
            <w:tcW w:w="409" w:type="pct"/>
            <w:shd w:val="clear" w:color="auto" w:fill="B8CCE4" w:themeFill="accent1" w:themeFillTint="66"/>
            <w:vAlign w:val="center"/>
          </w:tcPr>
          <w:p w:rsidR="00154D99" w:rsidRPr="00A67611" w:rsidRDefault="00805EB2" w:rsidP="00154D99">
            <w:pPr>
              <w:pStyle w:val="TableText0"/>
              <w:jc w:val="center"/>
            </w:pPr>
            <w:r>
              <w:t>Moderate</w:t>
            </w:r>
            <w:r w:rsidR="00500262" w:rsidRPr="00500262">
              <w:rPr>
                <w:vertAlign w:val="superscript"/>
              </w:rPr>
              <w:t>d</w:t>
            </w:r>
          </w:p>
        </w:tc>
        <w:tc>
          <w:tcPr>
            <w:tcW w:w="1120" w:type="pct"/>
            <w:shd w:val="clear" w:color="auto" w:fill="B8CCE4" w:themeFill="accent1" w:themeFillTint="66"/>
            <w:vAlign w:val="center"/>
          </w:tcPr>
          <w:p w:rsidR="00154D99" w:rsidRPr="00A67611" w:rsidRDefault="00154D99" w:rsidP="00154D99">
            <w:pPr>
              <w:pStyle w:val="TableText0"/>
              <w:jc w:val="center"/>
            </w:pPr>
            <w:r w:rsidRPr="00A67611">
              <w:t>MS spasticity not wholly relieved with current medication</w:t>
            </w:r>
          </w:p>
        </w:tc>
        <w:tc>
          <w:tcPr>
            <w:tcW w:w="1198" w:type="pct"/>
            <w:shd w:val="clear" w:color="auto" w:fill="B8CCE4" w:themeFill="accent1" w:themeFillTint="66"/>
            <w:vAlign w:val="center"/>
          </w:tcPr>
          <w:p w:rsidR="00154D99" w:rsidRPr="00A67611" w:rsidRDefault="00154D99" w:rsidP="00154D99">
            <w:pPr>
              <w:pStyle w:val="TableText0"/>
              <w:jc w:val="center"/>
            </w:pPr>
            <w:r w:rsidRPr="00A67611">
              <w:t>Change in spasticity severity on NRS from baseline</w:t>
            </w:r>
          </w:p>
        </w:tc>
        <w:tc>
          <w:tcPr>
            <w:tcW w:w="496" w:type="pct"/>
            <w:shd w:val="clear" w:color="auto" w:fill="B8CCE4" w:themeFill="accent1" w:themeFillTint="66"/>
            <w:vAlign w:val="center"/>
          </w:tcPr>
          <w:p w:rsidR="00154D99" w:rsidRPr="00A67611" w:rsidRDefault="00154D99" w:rsidP="00154D99">
            <w:pPr>
              <w:pStyle w:val="TableText0"/>
              <w:jc w:val="center"/>
            </w:pPr>
            <w:r w:rsidRPr="00A67611">
              <w:t>Not used</w:t>
            </w:r>
          </w:p>
        </w:tc>
      </w:tr>
      <w:tr w:rsidR="00154D99" w:rsidRPr="00A67611" w:rsidTr="00121B1A">
        <w:trPr>
          <w:cantSplit/>
        </w:trPr>
        <w:tc>
          <w:tcPr>
            <w:tcW w:w="385" w:type="pct"/>
            <w:shd w:val="clear" w:color="auto" w:fill="B8CCE4" w:themeFill="accent1" w:themeFillTint="66"/>
            <w:vAlign w:val="center"/>
          </w:tcPr>
          <w:p w:rsidR="00154D99" w:rsidRPr="00A67611" w:rsidRDefault="00154D99" w:rsidP="00154D99">
            <w:pPr>
              <w:pStyle w:val="TableText0"/>
            </w:pPr>
            <w:r w:rsidRPr="00A67611">
              <w:t>Collin 2007</w:t>
            </w:r>
          </w:p>
        </w:tc>
        <w:tc>
          <w:tcPr>
            <w:tcW w:w="470" w:type="pct"/>
            <w:shd w:val="clear" w:color="auto" w:fill="B8CCE4" w:themeFill="accent1" w:themeFillTint="66"/>
            <w:vAlign w:val="center"/>
          </w:tcPr>
          <w:p w:rsidR="00154D99" w:rsidRPr="00A67611" w:rsidRDefault="00154D99" w:rsidP="00154D99">
            <w:pPr>
              <w:pStyle w:val="TableText0"/>
              <w:jc w:val="center"/>
            </w:pPr>
            <w:r w:rsidRPr="00A67611">
              <w:t>189</w:t>
            </w:r>
          </w:p>
        </w:tc>
        <w:tc>
          <w:tcPr>
            <w:tcW w:w="921" w:type="pct"/>
            <w:shd w:val="clear" w:color="auto" w:fill="B8CCE4" w:themeFill="accent1" w:themeFillTint="66"/>
            <w:vAlign w:val="center"/>
          </w:tcPr>
          <w:p w:rsidR="00154D99" w:rsidRPr="00A67611" w:rsidRDefault="00154D99" w:rsidP="00154D99">
            <w:pPr>
              <w:pStyle w:val="TableText0"/>
              <w:jc w:val="center"/>
            </w:pPr>
            <w:r w:rsidRPr="00A67611">
              <w:t>Versus placebo. R, DB, 2 weeks of baseline and 14 weeks of treatment</w:t>
            </w:r>
          </w:p>
        </w:tc>
        <w:tc>
          <w:tcPr>
            <w:tcW w:w="409" w:type="pct"/>
            <w:shd w:val="clear" w:color="auto" w:fill="B8CCE4" w:themeFill="accent1" w:themeFillTint="66"/>
            <w:vAlign w:val="center"/>
          </w:tcPr>
          <w:p w:rsidR="00154D99" w:rsidRPr="00A67611" w:rsidRDefault="00805EB2" w:rsidP="00154D99">
            <w:pPr>
              <w:pStyle w:val="TableText0"/>
              <w:jc w:val="center"/>
            </w:pPr>
            <w:r>
              <w:t>Moderate</w:t>
            </w:r>
            <w:r w:rsidR="00500262" w:rsidRPr="00500262">
              <w:rPr>
                <w:vertAlign w:val="superscript"/>
              </w:rPr>
              <w:t>d</w:t>
            </w:r>
          </w:p>
        </w:tc>
        <w:tc>
          <w:tcPr>
            <w:tcW w:w="1120" w:type="pct"/>
            <w:shd w:val="clear" w:color="auto" w:fill="B8CCE4" w:themeFill="accent1" w:themeFillTint="66"/>
            <w:vAlign w:val="center"/>
          </w:tcPr>
          <w:p w:rsidR="00154D99" w:rsidRPr="00A67611" w:rsidRDefault="00154D99" w:rsidP="00154D99">
            <w:pPr>
              <w:pStyle w:val="TableText0"/>
              <w:jc w:val="center"/>
            </w:pPr>
            <w:r w:rsidRPr="00A67611">
              <w:t>MS spasticity not wholly relieved with current medication</w:t>
            </w:r>
          </w:p>
        </w:tc>
        <w:tc>
          <w:tcPr>
            <w:tcW w:w="1198" w:type="pct"/>
            <w:shd w:val="clear" w:color="auto" w:fill="B8CCE4" w:themeFill="accent1" w:themeFillTint="66"/>
            <w:vAlign w:val="center"/>
          </w:tcPr>
          <w:p w:rsidR="00154D99" w:rsidRPr="00A67611" w:rsidRDefault="00154D99" w:rsidP="00154D99">
            <w:pPr>
              <w:pStyle w:val="TableText0"/>
              <w:jc w:val="center"/>
            </w:pPr>
            <w:r w:rsidRPr="00A67611">
              <w:t>Change in spasticity severity on NRS from baseline, PGIC, other secondary outcomes</w:t>
            </w:r>
          </w:p>
        </w:tc>
        <w:tc>
          <w:tcPr>
            <w:tcW w:w="496" w:type="pct"/>
            <w:shd w:val="clear" w:color="auto" w:fill="B8CCE4" w:themeFill="accent1" w:themeFillTint="66"/>
            <w:vAlign w:val="center"/>
          </w:tcPr>
          <w:p w:rsidR="00154D99" w:rsidRPr="00A67611" w:rsidRDefault="00154D99" w:rsidP="00154D99">
            <w:pPr>
              <w:pStyle w:val="TableText0"/>
              <w:jc w:val="center"/>
            </w:pPr>
            <w:r w:rsidRPr="00A67611">
              <w:t>Not used</w:t>
            </w:r>
          </w:p>
        </w:tc>
      </w:tr>
    </w:tbl>
    <w:p w:rsidR="00FA30CD" w:rsidRPr="00A67611" w:rsidRDefault="00154D99" w:rsidP="00154D99">
      <w:pPr>
        <w:pStyle w:val="TableFigureFooter"/>
        <w:tabs>
          <w:tab w:val="left" w:pos="284"/>
        </w:tabs>
        <w:ind w:left="284" w:hanging="284"/>
        <w:rPr>
          <w:vertAlign w:val="superscript"/>
        </w:rPr>
      </w:pPr>
      <w:r w:rsidRPr="00A67611">
        <w:rPr>
          <w:vertAlign w:val="superscript"/>
        </w:rPr>
        <w:t>a</w:t>
      </w:r>
      <w:r w:rsidRPr="00A67611">
        <w:rPr>
          <w:vertAlign w:val="superscript"/>
        </w:rPr>
        <w:tab/>
      </w:r>
      <w:r w:rsidR="00FA30CD" w:rsidRPr="00A67611">
        <w:t>Subjective assessment on the Numerical Rating Scale</w:t>
      </w:r>
      <w:r w:rsidR="00473138" w:rsidRPr="00A67611">
        <w:t xml:space="preserve"> </w:t>
      </w:r>
      <w:r w:rsidR="00F911E3" w:rsidRPr="00A67611">
        <w:t>may bias outcomes. I</w:t>
      </w:r>
      <w:r w:rsidR="00473138" w:rsidRPr="00A67611">
        <w:t>n Phase A</w:t>
      </w:r>
      <w:r w:rsidR="00FA30CD" w:rsidRPr="00A67611">
        <w:t xml:space="preserve"> </w:t>
      </w:r>
      <w:r w:rsidR="005F2BF8" w:rsidRPr="00A67611">
        <w:t xml:space="preserve">there </w:t>
      </w:r>
      <w:r w:rsidR="00FA30CD" w:rsidRPr="00A67611">
        <w:t>may have been some unblinding due to effects</w:t>
      </w:r>
      <w:r w:rsidR="00D11308" w:rsidRPr="00A67611">
        <w:t xml:space="preserve"> of nabiximols on mood and pain</w:t>
      </w:r>
      <w:r w:rsidR="005F2BF8" w:rsidRPr="00A67611">
        <w:t xml:space="preserve">. </w:t>
      </w:r>
      <w:r w:rsidR="003810A0" w:rsidRPr="00A67611">
        <w:t>Phase B</w:t>
      </w:r>
      <w:r w:rsidR="00FA30CD" w:rsidRPr="00A67611">
        <w:t xml:space="preserve"> excluded patients who responded to initial therapy </w:t>
      </w:r>
      <w:r w:rsidR="005F2BF8" w:rsidRPr="00A67611">
        <w:t xml:space="preserve">but </w:t>
      </w:r>
      <w:r w:rsidR="00FA30CD" w:rsidRPr="00A67611">
        <w:t xml:space="preserve">whose spasticity NRS score had not </w:t>
      </w:r>
      <w:r w:rsidR="005F2BF8" w:rsidRPr="00A67611">
        <w:t>reduced by ≥80% i</w:t>
      </w:r>
      <w:r w:rsidR="00FA30CD" w:rsidRPr="00A67611">
        <w:t>n the 4-week washout phase</w:t>
      </w:r>
      <w:r w:rsidR="00473138" w:rsidRPr="00A67611">
        <w:t>.</w:t>
      </w:r>
    </w:p>
    <w:p w:rsidR="00FA30CD" w:rsidRPr="00A67611" w:rsidRDefault="00FA30CD" w:rsidP="00154D99">
      <w:pPr>
        <w:pStyle w:val="TableFigureFooter"/>
        <w:tabs>
          <w:tab w:val="left" w:pos="284"/>
        </w:tabs>
        <w:ind w:left="284" w:hanging="284"/>
      </w:pPr>
      <w:r w:rsidRPr="00A67611">
        <w:rPr>
          <w:vertAlign w:val="superscript"/>
        </w:rPr>
        <w:t>b</w:t>
      </w:r>
      <w:r w:rsidRPr="00A67611">
        <w:t xml:space="preserve"> </w:t>
      </w:r>
      <w:r w:rsidR="00154D99" w:rsidRPr="00A67611">
        <w:rPr>
          <w:vertAlign w:val="superscript"/>
        </w:rPr>
        <w:tab/>
      </w:r>
      <w:r w:rsidRPr="00A67611">
        <w:t>Subjective assessment on the Numerical Rating Scale</w:t>
      </w:r>
      <w:r w:rsidR="00473138" w:rsidRPr="00A67611">
        <w:t xml:space="preserve"> in both phases may impact validity of outcomes</w:t>
      </w:r>
      <w:r w:rsidR="00925C65" w:rsidRPr="00A67611">
        <w:t>. In Phase A there</w:t>
      </w:r>
      <w:r w:rsidRPr="00A67611">
        <w:t xml:space="preserve"> may have been some unblinding due to effects of nabiximols on mood and pain</w:t>
      </w:r>
      <w:r w:rsidR="003810A0" w:rsidRPr="00A67611">
        <w:t>.</w:t>
      </w:r>
      <w:r w:rsidRPr="00A67611">
        <w:t xml:space="preserve"> </w:t>
      </w:r>
      <w:r w:rsidR="00925C65" w:rsidRPr="00A67611">
        <w:t>P</w:t>
      </w:r>
      <w:r w:rsidRPr="00A67611">
        <w:t>atient</w:t>
      </w:r>
      <w:r w:rsidR="00925C65" w:rsidRPr="00A67611">
        <w:t>s</w:t>
      </w:r>
      <w:r w:rsidRPr="00A67611">
        <w:t xml:space="preserve"> who discontinued due to adverse events in phase A were not randomised to phase B</w:t>
      </w:r>
      <w:r w:rsidR="00925C65" w:rsidRPr="00A67611">
        <w:t>. T</w:t>
      </w:r>
      <w:r w:rsidRPr="00A67611">
        <w:t>he discontinuation rate in the treatment arm in phase B was higher than the control arm.</w:t>
      </w:r>
    </w:p>
    <w:p w:rsidR="00FA30CD" w:rsidRDefault="00FA30CD" w:rsidP="00D11308">
      <w:pPr>
        <w:pStyle w:val="TableFigureFooter"/>
        <w:tabs>
          <w:tab w:val="left" w:pos="284"/>
        </w:tabs>
        <w:ind w:left="284" w:hanging="284"/>
      </w:pPr>
      <w:r w:rsidRPr="00A67611">
        <w:rPr>
          <w:vertAlign w:val="superscript"/>
        </w:rPr>
        <w:t>c</w:t>
      </w:r>
      <w:r w:rsidRPr="00A67611">
        <w:t xml:space="preserve"> </w:t>
      </w:r>
      <w:r w:rsidR="00154D99" w:rsidRPr="00A67611">
        <w:tab/>
      </w:r>
      <w:r w:rsidRPr="00A67611">
        <w:t>Use of a per protocol analysis for efficacy, subjectivity of global impression of change outcomes.</w:t>
      </w:r>
    </w:p>
    <w:p w:rsidR="00500262" w:rsidRPr="00A67611" w:rsidRDefault="00500262" w:rsidP="00D11308">
      <w:pPr>
        <w:pStyle w:val="TableFigureFooter"/>
        <w:tabs>
          <w:tab w:val="left" w:pos="284"/>
        </w:tabs>
        <w:ind w:left="284" w:hanging="284"/>
      </w:pPr>
      <w:r w:rsidRPr="00500262">
        <w:rPr>
          <w:vertAlign w:val="superscript"/>
        </w:rPr>
        <w:t xml:space="preserve">d </w:t>
      </w:r>
      <w:r>
        <w:tab/>
      </w:r>
      <w:r w:rsidRPr="00A67611">
        <w:t xml:space="preserve">Subjective assessment on the Numerical Rating Scale </w:t>
      </w:r>
      <w:r>
        <w:t>may bias outcomes.</w:t>
      </w:r>
    </w:p>
    <w:p w:rsidR="00FA30CD" w:rsidRPr="00A67611" w:rsidRDefault="00FA30CD" w:rsidP="00154D99">
      <w:pPr>
        <w:pStyle w:val="TableFigureFooter"/>
        <w:tabs>
          <w:tab w:val="left" w:pos="284"/>
        </w:tabs>
        <w:ind w:left="284" w:hanging="284"/>
      </w:pPr>
      <w:r w:rsidRPr="00A67611">
        <w:t>Source: compiled from Section 2 of the resubmission.</w:t>
      </w:r>
    </w:p>
    <w:p w:rsidR="00FA30CD" w:rsidRPr="00A67611" w:rsidRDefault="00FA30CD" w:rsidP="00FA30CD">
      <w:pPr>
        <w:pStyle w:val="TableFigureFooter"/>
      </w:pPr>
      <w:r w:rsidRPr="00A67611">
        <w:t xml:space="preserve">SB = single blind; DB = double blind; MC = multi-centre; </w:t>
      </w:r>
      <w:r w:rsidR="00BC69C3" w:rsidRPr="00A67611">
        <w:t xml:space="preserve">MS = </w:t>
      </w:r>
      <w:r w:rsidR="006E5237" w:rsidRPr="00A67611">
        <w:t>multiple sclerosis</w:t>
      </w:r>
      <w:r w:rsidR="00BC69C3" w:rsidRPr="00A67611">
        <w:t xml:space="preserve">; NRS = numerical rating scale; PGIC = patient’s global impression of change; </w:t>
      </w:r>
      <w:r w:rsidR="006E5237" w:rsidRPr="00A67611">
        <w:t xml:space="preserve">QOL = quality of life; </w:t>
      </w:r>
      <w:r w:rsidRPr="00A67611">
        <w:t xml:space="preserve">R = randomised: </w:t>
      </w:r>
    </w:p>
    <w:p w:rsidR="00FA30CD" w:rsidRPr="00A67611" w:rsidRDefault="00FA30CD" w:rsidP="00FA30CD">
      <w:pPr>
        <w:pStyle w:val="TableFigureFooter"/>
        <w:rPr>
          <w:sz w:val="20"/>
        </w:rPr>
      </w:pPr>
      <w:r w:rsidRPr="00A67611">
        <w:t>Blue shading indicates information considered in previous submission.</w:t>
      </w:r>
    </w:p>
    <w:p w:rsidR="005F2B81" w:rsidRPr="00A67611" w:rsidRDefault="00303C2E" w:rsidP="000F706A">
      <w:pPr>
        <w:pStyle w:val="3-BodyText"/>
      </w:pPr>
      <w:bookmarkStart w:id="26" w:name="_Ref33190244"/>
      <w:r w:rsidRPr="00A67611">
        <w:t>Markovà</w:t>
      </w:r>
      <w:r w:rsidR="005F2B81" w:rsidRPr="00A67611">
        <w:t xml:space="preserve"> 2019 consisted of a single-blinded 4-week Phase A treatment period to determine those whose drug-resistant MS spasticity responded to nabiximols at the minimal threshold (defined as a ≥20% improvement in NRS score) followed by 12 weeks of double-blinded placebo-controlled Phase B where a higher clinically </w:t>
      </w:r>
      <w:r w:rsidR="005F2B81" w:rsidRPr="00A67611">
        <w:lastRenderedPageBreak/>
        <w:t xml:space="preserve">important response threshold was set (≥30% improvement from baseline NRS). Only patients whose improvement in NRS score had reduced by </w:t>
      </w:r>
      <w:r w:rsidR="005F2B81" w:rsidRPr="00A67611">
        <w:rPr>
          <w:rFonts w:cstheme="minorHAnsi"/>
        </w:rPr>
        <w:t>≥</w:t>
      </w:r>
      <w:r w:rsidR="005F2B81" w:rsidRPr="00A67611">
        <w:t>80% in the 4 week washout period were then randomised in Phase B.</w:t>
      </w:r>
      <w:bookmarkEnd w:id="26"/>
      <w:r w:rsidR="005F2B81" w:rsidRPr="00A67611">
        <w:t xml:space="preserve"> </w:t>
      </w:r>
    </w:p>
    <w:p w:rsidR="00CF0E9E" w:rsidRPr="00A67611" w:rsidRDefault="00FA30CD" w:rsidP="000F706A">
      <w:pPr>
        <w:pStyle w:val="3-BodyText"/>
        <w:rPr>
          <w:strike/>
        </w:rPr>
      </w:pPr>
      <w:r w:rsidRPr="00A67611">
        <w:t xml:space="preserve">Novotna 2011 </w:t>
      </w:r>
      <w:r w:rsidR="005F2B81" w:rsidRPr="00A67611">
        <w:t xml:space="preserve">consisted of </w:t>
      </w:r>
      <w:r w:rsidR="00101387" w:rsidRPr="00A67611">
        <w:t>a</w:t>
      </w:r>
      <w:r w:rsidR="005F2B81" w:rsidRPr="00A67611">
        <w:t xml:space="preserve"> </w:t>
      </w:r>
      <w:r w:rsidRPr="00A67611">
        <w:t>single-blinded 4-week Phase A treatment period followed by 12 weeks of double-blinded placebo-controlled Phase B</w:t>
      </w:r>
      <w:r w:rsidR="005F2B81" w:rsidRPr="00A67611">
        <w:t>. Novotna use</w:t>
      </w:r>
      <w:r w:rsidR="00101387" w:rsidRPr="00A67611">
        <w:t>d</w:t>
      </w:r>
      <w:r w:rsidR="005F2B81" w:rsidRPr="00A67611">
        <w:t xml:space="preserve"> the same response thresholds in Phase A and Phase B as those used in </w:t>
      </w:r>
      <w:r w:rsidR="00303C2E" w:rsidRPr="00A67611">
        <w:t>Markovà</w:t>
      </w:r>
      <w:r w:rsidR="005F2B81" w:rsidRPr="00A67611">
        <w:t xml:space="preserve"> (20% and 30% respectively).</w:t>
      </w:r>
      <w:r w:rsidRPr="00A67611">
        <w:t xml:space="preserve"> </w:t>
      </w:r>
      <w:r w:rsidR="005F2B81" w:rsidRPr="00A67611">
        <w:t xml:space="preserve">In contrast to the </w:t>
      </w:r>
      <w:r w:rsidR="00303C2E" w:rsidRPr="00A67611">
        <w:t>Markovà</w:t>
      </w:r>
      <w:r w:rsidR="005F2B81" w:rsidRPr="00A67611">
        <w:t xml:space="preserve"> study, n</w:t>
      </w:r>
      <w:r w:rsidR="00CB7E49" w:rsidRPr="00A67611">
        <w:t xml:space="preserve">on-responders </w:t>
      </w:r>
      <w:r w:rsidR="005F2B81" w:rsidRPr="00A67611">
        <w:t xml:space="preserve">in Phase A were </w:t>
      </w:r>
      <w:r w:rsidR="00CB7E49" w:rsidRPr="00A67611">
        <w:t>discontinued</w:t>
      </w:r>
      <w:r w:rsidR="005F2B81" w:rsidRPr="00A67611">
        <w:t xml:space="preserve"> from the trial</w:t>
      </w:r>
      <w:r w:rsidR="00CB7E49" w:rsidRPr="00A67611">
        <w:t xml:space="preserve"> and responders</w:t>
      </w:r>
      <w:r w:rsidR="005F2B81" w:rsidRPr="00A67611">
        <w:t xml:space="preserve"> were</w:t>
      </w:r>
      <w:r w:rsidR="00CB7E49" w:rsidRPr="00A67611">
        <w:t xml:space="preserve"> immediately randomised into Phase B </w:t>
      </w:r>
      <w:r w:rsidR="005F2B81" w:rsidRPr="00A67611">
        <w:t>of the study</w:t>
      </w:r>
      <w:r w:rsidR="00101387" w:rsidRPr="00A67611">
        <w:t xml:space="preserve"> without a washout period</w:t>
      </w:r>
      <w:r w:rsidR="00432D7C" w:rsidRPr="00A67611">
        <w:t>.</w:t>
      </w:r>
    </w:p>
    <w:p w:rsidR="00BE2388" w:rsidRPr="00A67611" w:rsidRDefault="00BE2388" w:rsidP="000F706A">
      <w:pPr>
        <w:pStyle w:val="3-BodyText"/>
        <w:rPr>
          <w:strike/>
        </w:rPr>
      </w:pPr>
      <w:r w:rsidRPr="00A67611">
        <w:t>Selection of patients for the randomised phase of the trials on the basis of response in a lead-in phase (i.e. an enriched population) add</w:t>
      </w:r>
      <w:r w:rsidR="009068CF" w:rsidRPr="00A67611">
        <w:t>ed</w:t>
      </w:r>
      <w:r w:rsidRPr="00A67611">
        <w:t xml:space="preserve"> complexity to the interpretation of the evidence.</w:t>
      </w:r>
    </w:p>
    <w:p w:rsidR="00FA30CD" w:rsidRPr="00A67611" w:rsidRDefault="001E254C" w:rsidP="000F706A">
      <w:pPr>
        <w:pStyle w:val="3-BodyText"/>
      </w:pPr>
      <w:r w:rsidRPr="00A67611">
        <w:t xml:space="preserve">Vachovà </w:t>
      </w:r>
      <w:r w:rsidR="00FA30CD" w:rsidRPr="00A67611">
        <w:t>2014, Collin 2007 and Collin 2010 were all ‘standard’ trials where patients were randomised at baseline to nabiximols or placebo.</w:t>
      </w:r>
      <w:r w:rsidR="00CC287F" w:rsidRPr="00A67611">
        <w:t xml:space="preserve"> However, Collin 2007 and Collin 2010 both allowed higher maximum doses (48 and 24 doses daily, respectively although mean doses were within maximum doses) than the approved product information (12 doses daily) and Vachová 2014 did not include any discontinuation based on clinical response</w:t>
      </w:r>
      <w:r w:rsidR="003F2DF0" w:rsidRPr="00A67611">
        <w:t xml:space="preserve"> (i.e. NRS not reported)</w:t>
      </w:r>
      <w:r w:rsidR="00CC287F" w:rsidRPr="00A67611">
        <w:t xml:space="preserve">.  </w:t>
      </w:r>
    </w:p>
    <w:p w:rsidR="000D52A8" w:rsidRPr="00A67611" w:rsidRDefault="000D52A8" w:rsidP="000F706A">
      <w:pPr>
        <w:pStyle w:val="3-BodyText"/>
      </w:pPr>
      <w:r w:rsidRPr="00A67611">
        <w:t>A proportion of patients in all five trials were not taking anti-spasticity medication, although the Collin 2007 trial had the highest proportion of patients not taking anti-spasticity medication during the trial</w:t>
      </w:r>
      <w:r w:rsidR="00121B1A" w:rsidRPr="00A67611">
        <w:t xml:space="preserve"> (25% and 35% of nabiximols treated and placebo treated patients respectively)</w:t>
      </w:r>
      <w:r w:rsidRPr="00A67611">
        <w:t>.</w:t>
      </w:r>
    </w:p>
    <w:p w:rsidR="00FA30CD" w:rsidRPr="00A67611" w:rsidRDefault="00FA30CD" w:rsidP="000F706A">
      <w:pPr>
        <w:pStyle w:val="3-BodyText"/>
      </w:pPr>
      <w:r w:rsidRPr="00A67611">
        <w:t xml:space="preserve">While a range of evidence was available and presented by the resubmission, only the results from Markovà 2019 were used in the economic evaluation. This may not have been reasonable as it was unclear why Markovà 2019 should be preferred over Novotna 2011 given they had similar trial designs and Novotna 2011 enrolled three times as many patients as Markovà 2019 at the beginning of the trial. </w:t>
      </w:r>
      <w:r w:rsidR="00CB7E49" w:rsidRPr="00A67611">
        <w:t xml:space="preserve">The ESC considered it was reasonable to </w:t>
      </w:r>
      <w:r w:rsidR="00E36990" w:rsidRPr="00A67611">
        <w:t xml:space="preserve">also </w:t>
      </w:r>
      <w:r w:rsidR="00CB7E49" w:rsidRPr="00A67611">
        <w:t xml:space="preserve">include the results of the Novotna 2011 trial in the economic </w:t>
      </w:r>
      <w:r w:rsidR="009068CF" w:rsidRPr="00A67611">
        <w:t>analysis,</w:t>
      </w:r>
      <w:r w:rsidR="00CB7E49" w:rsidRPr="00A67611">
        <w:t xml:space="preserve"> as its design </w:t>
      </w:r>
      <w:r w:rsidR="00FA6511" w:rsidRPr="00A67611">
        <w:t>(</w:t>
      </w:r>
      <w:r w:rsidR="00CB7E49" w:rsidRPr="00A67611">
        <w:t xml:space="preserve">which </w:t>
      </w:r>
      <w:r w:rsidR="006C437D" w:rsidRPr="00A67611">
        <w:t xml:space="preserve">enrolled an enriched population but did </w:t>
      </w:r>
      <w:r w:rsidR="00CB7E49" w:rsidRPr="00A67611">
        <w:t xml:space="preserve">not include a washout period) may be more reflective of clinical practice than the </w:t>
      </w:r>
      <w:r w:rsidR="009068CF" w:rsidRPr="00A67611">
        <w:t>Markovà 2019</w:t>
      </w:r>
      <w:r w:rsidR="00CB7E49" w:rsidRPr="00A67611">
        <w:t xml:space="preserve"> trial. </w:t>
      </w:r>
    </w:p>
    <w:p w:rsidR="00FA30CD" w:rsidRPr="00A67611" w:rsidRDefault="00FA30CD" w:rsidP="000F706A">
      <w:pPr>
        <w:pStyle w:val="3-BodyText"/>
      </w:pPr>
      <w:r w:rsidRPr="00A67611">
        <w:t>For all tr</w:t>
      </w:r>
      <w:r w:rsidR="00C2742D">
        <w:t>ials there was potential for un</w:t>
      </w:r>
      <w:r w:rsidRPr="00A67611">
        <w:t xml:space="preserve">blinding given that cannabinoids can have positive effects on mood and pain, and a well-recognised side effect profile. </w:t>
      </w:r>
      <w:r w:rsidR="00DD5754" w:rsidRPr="00A67611">
        <w:t>The</w:t>
      </w:r>
      <w:r w:rsidR="008F4723" w:rsidRPr="00A67611">
        <w:t xml:space="preserve"> ESC considered there was also often a placebo effect in trials for outcomes such as mood and pain</w:t>
      </w:r>
      <w:r w:rsidR="000516A5" w:rsidRPr="00A67611">
        <w:t xml:space="preserve"> which may reduce the</w:t>
      </w:r>
      <w:r w:rsidR="00851DED" w:rsidRPr="00A67611">
        <w:t xml:space="preserve"> likelihood</w:t>
      </w:r>
      <w:r w:rsidR="000516A5" w:rsidRPr="00A67611">
        <w:t xml:space="preserve"> of unblinding</w:t>
      </w:r>
      <w:r w:rsidR="008F4723" w:rsidRPr="00A67611">
        <w:t>.</w:t>
      </w:r>
      <w:r w:rsidR="006F2076" w:rsidRPr="00A67611">
        <w:t xml:space="preserve"> The Pre-PBAC Response (p2) argued the enriched study designs of </w:t>
      </w:r>
      <w:r w:rsidR="00883110" w:rsidRPr="00A67611">
        <w:t xml:space="preserve">Markovà </w:t>
      </w:r>
      <w:r w:rsidR="006F2076" w:rsidRPr="00A67611">
        <w:t xml:space="preserve">2019 and Novotna 2011 reflected the intended use of nabiximols in the target population, and that the use of subjective outcomes was unlikely to bias the results as the studies were blinded. Further discussion on the impact of the trial designs and risk of bias are discussed in paragraphs </w:t>
      </w:r>
      <w:r w:rsidR="00400985">
        <w:t>6.42</w:t>
      </w:r>
      <w:r w:rsidR="006F2076" w:rsidRPr="00A67611">
        <w:t>-</w:t>
      </w:r>
      <w:r w:rsidR="00400985">
        <w:t>6.43</w:t>
      </w:r>
      <w:r w:rsidR="006F2076" w:rsidRPr="00A67611">
        <w:t xml:space="preserve">. </w:t>
      </w:r>
    </w:p>
    <w:p w:rsidR="00FA30CD" w:rsidRPr="00A67611" w:rsidRDefault="00FA30CD" w:rsidP="00883110">
      <w:pPr>
        <w:pStyle w:val="4-SubsectionHeading"/>
        <w:widowControl w:val="0"/>
      </w:pPr>
      <w:bookmarkStart w:id="27" w:name="_Toc22897641"/>
      <w:bookmarkStart w:id="28" w:name="_Toc27326486"/>
      <w:bookmarkStart w:id="29" w:name="_Toc30583490"/>
      <w:r w:rsidRPr="00A67611">
        <w:lastRenderedPageBreak/>
        <w:t>Comparative effectiveness</w:t>
      </w:r>
      <w:bookmarkEnd w:id="27"/>
      <w:bookmarkEnd w:id="28"/>
      <w:bookmarkEnd w:id="29"/>
    </w:p>
    <w:p w:rsidR="00FA30CD" w:rsidRPr="00A67611" w:rsidRDefault="00FA30CD" w:rsidP="000F706A">
      <w:pPr>
        <w:pStyle w:val="3-BodyText"/>
      </w:pPr>
      <w:r w:rsidRPr="00A67611">
        <w:t xml:space="preserve">The key outcomes for the resubmission were: </w:t>
      </w:r>
    </w:p>
    <w:p w:rsidR="00FA30CD" w:rsidRPr="00C54C8B" w:rsidRDefault="00FA30CD" w:rsidP="00C44BCF">
      <w:pPr>
        <w:pStyle w:val="PBACbulletpoint"/>
      </w:pPr>
      <w:r w:rsidRPr="00C54C8B">
        <w:t>Proportion achieving at least a 30% reduction in spasticity on the NRS from baseline;</w:t>
      </w:r>
    </w:p>
    <w:p w:rsidR="00FA30CD" w:rsidRPr="00C54C8B" w:rsidRDefault="00FA30CD" w:rsidP="00C44BCF">
      <w:pPr>
        <w:pStyle w:val="PBACbulletpoint"/>
      </w:pPr>
      <w:r w:rsidRPr="00C54C8B">
        <w:t xml:space="preserve">Change in spasticity severity using NRS from baseline; </w:t>
      </w:r>
    </w:p>
    <w:p w:rsidR="00FA30CD" w:rsidRPr="00C54C8B" w:rsidRDefault="00FA30CD" w:rsidP="00C44BCF">
      <w:pPr>
        <w:pStyle w:val="PBACbulletpoint"/>
      </w:pPr>
      <w:r w:rsidRPr="00C54C8B">
        <w:t>Patient global impression of change (PGIC) relating to spasticity</w:t>
      </w:r>
      <w:r w:rsidR="00A11C95" w:rsidRPr="00C54C8B">
        <w:t xml:space="preserve"> (referred to as ‘Subject Global Impression of Change’ in </w:t>
      </w:r>
      <w:r w:rsidR="00883110" w:rsidRPr="00C54C8B">
        <w:t xml:space="preserve">Markovà </w:t>
      </w:r>
      <w:r w:rsidR="00A11C95" w:rsidRPr="00C54C8B">
        <w:t xml:space="preserve"> 2019</w:t>
      </w:r>
      <w:r w:rsidR="000D6192" w:rsidRPr="00C54C8B">
        <w:t>;</w:t>
      </w:r>
      <w:r w:rsidR="00A11C95" w:rsidRPr="00C54C8B">
        <w:t xml:space="preserve"> where ‘Physician Global Impression of Change’ is used </w:t>
      </w:r>
      <w:r w:rsidR="008513B1" w:rsidRPr="00C54C8B">
        <w:t>herein</w:t>
      </w:r>
      <w:r w:rsidR="00E36990" w:rsidRPr="00C54C8B">
        <w:t xml:space="preserve"> this is noted throughout</w:t>
      </w:r>
      <w:r w:rsidR="00A11C95" w:rsidRPr="00C54C8B">
        <w:t>)</w:t>
      </w:r>
      <w:r w:rsidRPr="00C54C8B">
        <w:t>; and</w:t>
      </w:r>
    </w:p>
    <w:p w:rsidR="00FA30CD" w:rsidRPr="00C54C8B" w:rsidRDefault="00FA30CD" w:rsidP="00C44BCF">
      <w:pPr>
        <w:pStyle w:val="PBACbulletpoint"/>
      </w:pPr>
      <w:r w:rsidRPr="00C54C8B">
        <w:t>Quality of life</w:t>
      </w:r>
      <w:r w:rsidR="00154D99" w:rsidRPr="00C54C8B">
        <w:t>.</w:t>
      </w:r>
      <w:r w:rsidRPr="00C54C8B">
        <w:t xml:space="preserve"> </w:t>
      </w:r>
    </w:p>
    <w:p w:rsidR="00A11C95" w:rsidRPr="00A67611" w:rsidRDefault="00FA30CD" w:rsidP="000F706A">
      <w:pPr>
        <w:pStyle w:val="3-BodyText"/>
      </w:pPr>
      <w:r w:rsidRPr="00A67611">
        <w:t>The NRS is a subjective measure with a scale, similar to a visual analogue scale, asking patients to rate their level of spasticity over the previous 24 hours from 0 to 10.  In PGIC, patients were asked a single question relating to improvement in their spasticity since the start of the study: 1 = very much improved; 2</w:t>
      </w:r>
      <w:r w:rsidR="00B3028E">
        <w:t xml:space="preserve"> </w:t>
      </w:r>
      <w:r w:rsidRPr="00A67611">
        <w:t xml:space="preserve">= much improved; 3 = minimally improved; 4 = no change; 5 = minimally worse; 6 = much worse; 7 = very much worse. </w:t>
      </w:r>
    </w:p>
    <w:p w:rsidR="00FA30CD" w:rsidRPr="00A67611" w:rsidRDefault="00A11C95" w:rsidP="000F706A">
      <w:pPr>
        <w:pStyle w:val="3-BodyText"/>
      </w:pPr>
      <w:r w:rsidRPr="00A67611">
        <w:t>The ESC considered NRS and PGIC to be reasonable measures of patient spasticity in MS, as a clinical judgment for continuing treatment will be made on the basis of any perceived improvement</w:t>
      </w:r>
      <w:r w:rsidR="00FA6511" w:rsidRPr="00A67611">
        <w:t xml:space="preserve"> in spasticity</w:t>
      </w:r>
      <w:r w:rsidRPr="00A67611">
        <w:t xml:space="preserve"> by patient and clinician.</w:t>
      </w:r>
    </w:p>
    <w:p w:rsidR="00FA30CD" w:rsidRPr="00A67611" w:rsidRDefault="00FA30CD" w:rsidP="000F706A">
      <w:pPr>
        <w:pStyle w:val="3-BodyText"/>
      </w:pPr>
      <w:r w:rsidRPr="00A67611">
        <w:t xml:space="preserve">The resubmission considered </w:t>
      </w:r>
      <w:r w:rsidR="008513B1" w:rsidRPr="00A67611">
        <w:t xml:space="preserve">a </w:t>
      </w:r>
      <w:r w:rsidR="008513B1" w:rsidRPr="00A67611">
        <w:rPr>
          <w:rFonts w:cstheme="minorHAnsi"/>
        </w:rPr>
        <w:t>≥</w:t>
      </w:r>
      <w:r w:rsidR="008513B1" w:rsidRPr="00A67611">
        <w:t>20% improvement from baseline NRS (e.g. response criteria at end of Phase A for Markovà 2019 and Novotna 2011) was considered to be a minimally clinically important difference (MCID)</w:t>
      </w:r>
      <w:r w:rsidR="008513B1">
        <w:t xml:space="preserve"> and </w:t>
      </w:r>
      <w:r w:rsidRPr="00A67611">
        <w:t xml:space="preserve">a </w:t>
      </w:r>
      <w:r w:rsidRPr="00A67611">
        <w:rPr>
          <w:rFonts w:cstheme="minorHAnsi"/>
        </w:rPr>
        <w:t>≥</w:t>
      </w:r>
      <w:r w:rsidRPr="00A67611">
        <w:t xml:space="preserve">30% improvement from baseline NRS (e.g. response criteria at end of Phase </w:t>
      </w:r>
      <w:r w:rsidR="00C65B6A" w:rsidRPr="00A67611">
        <w:t>B</w:t>
      </w:r>
      <w:r w:rsidRPr="00A67611">
        <w:t xml:space="preserve"> for Markovà 2019 and Novotna 2011) to be a clinically important difference (CID). </w:t>
      </w:r>
    </w:p>
    <w:p w:rsidR="00FA30CD" w:rsidRPr="00A67611" w:rsidRDefault="00FA30CD" w:rsidP="000F706A">
      <w:pPr>
        <w:pStyle w:val="3-BodyText"/>
      </w:pPr>
      <w:r w:rsidRPr="00A67611">
        <w:t xml:space="preserve">The margins of </w:t>
      </w:r>
      <w:r w:rsidRPr="00A67611">
        <w:rPr>
          <w:rFonts w:cs="Calibri"/>
        </w:rPr>
        <w:t>≥</w:t>
      </w:r>
      <w:r w:rsidRPr="00A67611">
        <w:t xml:space="preserve">20% and </w:t>
      </w:r>
      <w:r w:rsidRPr="00A67611">
        <w:rPr>
          <w:rFonts w:cs="Calibri"/>
        </w:rPr>
        <w:t>≥</w:t>
      </w:r>
      <w:r w:rsidRPr="00A67611">
        <w:t xml:space="preserve">30% change from baseline in NRS were based on </w:t>
      </w:r>
      <w:r w:rsidR="00D04723" w:rsidRPr="00A67611">
        <w:t xml:space="preserve">the association between PGIC and NRS as reported in </w:t>
      </w:r>
      <w:r w:rsidRPr="00A67611">
        <w:t>Farrar 2008, a post hoc analysis of the Collin 2007 trial (</w:t>
      </w:r>
      <w:r w:rsidR="00D420F9" w:rsidRPr="00A67611">
        <w:t xml:space="preserve">Figure </w:t>
      </w:r>
      <w:r w:rsidR="00D420F9">
        <w:t>1</w:t>
      </w:r>
      <w:r w:rsidRPr="00A67611">
        <w:t xml:space="preserve">).  The degree of correlation </w:t>
      </w:r>
      <w:r w:rsidR="00841EE1" w:rsidRPr="00A67611">
        <w:t xml:space="preserve">between the PGIC and the NRS scores </w:t>
      </w:r>
      <w:r w:rsidRPr="00A67611">
        <w:t xml:space="preserve">was only moderately strong (r = 0.51, p&lt;0.001). </w:t>
      </w:r>
      <w:r w:rsidR="00833ED7" w:rsidRPr="00A67611">
        <w:t xml:space="preserve"> Despite this, based on the results of this analysis, the use of NRS as an outcome measure has been adopted in preference to PGIC and it formed the primary outcome measure in the key Markov</w:t>
      </w:r>
      <w:r w:rsidR="00833ED7" w:rsidRPr="00A67611">
        <w:rPr>
          <w:snapToGrid/>
        </w:rPr>
        <w:t>à</w:t>
      </w:r>
      <w:r w:rsidR="00833ED7" w:rsidRPr="00A67611">
        <w:t xml:space="preserve"> 2019 trial used in the resubmission.</w:t>
      </w:r>
    </w:p>
    <w:p w:rsidR="00400985" w:rsidRDefault="0031604B" w:rsidP="000F706A">
      <w:pPr>
        <w:pStyle w:val="3-BodyText"/>
      </w:pPr>
      <w:r w:rsidRPr="00A67611">
        <w:t>The Pre-PBAC Response argued that as the Collin 2007 trial was supplementary, consideration of those trial results should not have a bearing</w:t>
      </w:r>
      <w:r w:rsidR="001E254C">
        <w:t xml:space="preserve"> on the pivotal trials (Markovà</w:t>
      </w:r>
      <w:r w:rsidRPr="00A67611">
        <w:t xml:space="preserve"> 2019 and Novotna 2011) in the </w:t>
      </w:r>
      <w:r w:rsidR="00AD506F">
        <w:t>re</w:t>
      </w:r>
      <w:r w:rsidRPr="00A67611">
        <w:t xml:space="preserve">submission. </w:t>
      </w:r>
      <w:bookmarkStart w:id="30" w:name="_Ref27563461"/>
    </w:p>
    <w:p w:rsidR="00FA30CD" w:rsidRPr="00C96F38" w:rsidRDefault="00154D99" w:rsidP="00C96F38">
      <w:pPr>
        <w:pStyle w:val="TableFigureHeading"/>
        <w:rPr>
          <w:rStyle w:val="CommentReference"/>
          <w:b/>
          <w:szCs w:val="24"/>
        </w:rPr>
      </w:pPr>
      <w:r w:rsidRPr="00C96F38">
        <w:rPr>
          <w:rStyle w:val="CommentReference"/>
          <w:b/>
          <w:szCs w:val="24"/>
        </w:rPr>
        <w:lastRenderedPageBreak/>
        <w:t xml:space="preserve">Figure </w:t>
      </w:r>
      <w:r w:rsidR="00D420F9" w:rsidRPr="00C96F38">
        <w:rPr>
          <w:rStyle w:val="CommentReference"/>
          <w:b/>
          <w:szCs w:val="24"/>
        </w:rPr>
        <w:t>1</w:t>
      </w:r>
      <w:bookmarkEnd w:id="30"/>
      <w:r w:rsidR="00FA30CD" w:rsidRPr="00C96F38">
        <w:rPr>
          <w:rStyle w:val="CommentReference"/>
          <w:b/>
          <w:szCs w:val="24"/>
        </w:rPr>
        <w:t>: Association between percent improvement in NRS spasticity score and PGIC</w:t>
      </w:r>
    </w:p>
    <w:p w:rsidR="00FA30CD" w:rsidRPr="00A67611" w:rsidRDefault="00FA30CD" w:rsidP="000F706A">
      <w:pPr>
        <w:pStyle w:val="3-BodyText"/>
        <w:numPr>
          <w:ilvl w:val="0"/>
          <w:numId w:val="0"/>
        </w:numPr>
        <w:rPr>
          <w:rStyle w:val="TableFigureFooterChar"/>
        </w:rPr>
      </w:pPr>
      <w:r w:rsidRPr="00A67611">
        <w:rPr>
          <w:noProof/>
        </w:rPr>
        <w:drawing>
          <wp:inline distT="0" distB="0" distL="0" distR="0" wp14:anchorId="3BD6AA02" wp14:editId="6EE8C366">
            <wp:extent cx="5721262" cy="2707005"/>
            <wp:effectExtent l="0" t="0" r="0" b="0"/>
            <wp:docPr id="12" name="Picture 12" descr="Association between percent improvement in NRS spasticity score and PGIC"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059" cy="2710694"/>
                    </a:xfrm>
                    <a:prstGeom prst="rect">
                      <a:avLst/>
                    </a:prstGeom>
                    <a:noFill/>
                    <a:ln>
                      <a:noFill/>
                    </a:ln>
                  </pic:spPr>
                </pic:pic>
              </a:graphicData>
            </a:graphic>
          </wp:inline>
        </w:drawing>
      </w:r>
      <w:r w:rsidRPr="00A67611">
        <w:rPr>
          <w:rStyle w:val="TableFigureFooterChar"/>
        </w:rPr>
        <w:t>Source: Figure 8, Collin 2007 CSR</w:t>
      </w:r>
    </w:p>
    <w:p w:rsidR="00FA30CD" w:rsidRPr="00A67611" w:rsidRDefault="00FA30CD" w:rsidP="000F706A">
      <w:pPr>
        <w:pStyle w:val="3-BodyText"/>
      </w:pPr>
      <w:r w:rsidRPr="00A67611">
        <w:t>The PBAC</w:t>
      </w:r>
      <w:r w:rsidR="00AE1F9E" w:rsidRPr="00A67611">
        <w:t xml:space="preserve"> previously</w:t>
      </w:r>
      <w:r w:rsidRPr="00A67611">
        <w:t xml:space="preserve"> noted that “(u)sing the definitions of ‘much improvement’ and ‘minimally improved’ from PGIC, the submission categorised that a change of -30% [on the NRS] was most predictive of a patient’s reporting ‘much improved’ [on the PGIC] while a change of -18% [on the NRS] was most predictive of a patient’s report ‘minimally improved’ [on the PGIC]. The submission then defined that a change of 30% on the NRS for spasticity was considered a clinically meaningful change.</w:t>
      </w:r>
      <w:r w:rsidR="00456461" w:rsidRPr="00A67611">
        <w:t>” (</w:t>
      </w:r>
      <w:r w:rsidR="009B7592">
        <w:t>S</w:t>
      </w:r>
      <w:r w:rsidR="00A53FBF">
        <w:t>ection 8</w:t>
      </w:r>
      <w:r w:rsidR="00456461" w:rsidRPr="00A67611">
        <w:t xml:space="preserve">, </w:t>
      </w:r>
      <w:r w:rsidR="00AD506F">
        <w:t>n</w:t>
      </w:r>
      <w:r w:rsidRPr="00A67611">
        <w:t>abiximols PSD, July 2013 PBAC Meeting)</w:t>
      </w:r>
      <w:r w:rsidR="00456461" w:rsidRPr="00A67611">
        <w:t>.</w:t>
      </w:r>
      <w:r w:rsidRPr="00A67611">
        <w:t xml:space="preserve"> </w:t>
      </w:r>
    </w:p>
    <w:p w:rsidR="00FA30CD" w:rsidRPr="00A67611" w:rsidRDefault="00FA30CD" w:rsidP="000F706A">
      <w:pPr>
        <w:pStyle w:val="3-BodyText"/>
      </w:pPr>
      <w:r w:rsidRPr="00A67611">
        <w:t xml:space="preserve">Therefore, even though the resubmission nominated the proportion of patients who achieve </w:t>
      </w:r>
      <w:r w:rsidRPr="00A67611">
        <w:rPr>
          <w:rFonts w:cstheme="minorHAnsi"/>
        </w:rPr>
        <w:t>≥</w:t>
      </w:r>
      <w:r w:rsidRPr="00A67611">
        <w:t>30% improvement in NRS as the primary outcome, this can be considered equivalent to the proportion of patients who report “much improved” or “very much improved” on the PGIC, and that PGIC is</w:t>
      </w:r>
      <w:r w:rsidR="00DE058B">
        <w:t xml:space="preserve"> also a valid efficacy outcome.</w:t>
      </w:r>
      <w:r w:rsidRPr="00A67611">
        <w:t xml:space="preserve"> </w:t>
      </w:r>
      <w:r w:rsidR="00EB42E9" w:rsidRPr="00A67611">
        <w:t>This is important as the results in relation to the outcomes of NRS and PGIC in Markov</w:t>
      </w:r>
      <w:r w:rsidR="000C24DE" w:rsidRPr="00A67611">
        <w:rPr>
          <w:color w:val="000000" w:themeColor="text1"/>
        </w:rPr>
        <w:t>à</w:t>
      </w:r>
      <w:r w:rsidR="00EB42E9" w:rsidRPr="00A67611">
        <w:t xml:space="preserve"> 2019 differ quite significantly, as shown in </w:t>
      </w:r>
      <w:r w:rsidR="00D420F9" w:rsidRPr="00D420F9">
        <w:t>Table 5</w:t>
      </w:r>
      <w:r w:rsidR="00C65B6A" w:rsidRPr="00A67611">
        <w:t xml:space="preserve"> and </w:t>
      </w:r>
      <w:r w:rsidR="00D420F9" w:rsidRPr="00D420F9">
        <w:t>Table 7</w:t>
      </w:r>
      <w:r w:rsidR="00EB42E9" w:rsidRPr="00A67611">
        <w:t xml:space="preserve">, with odds ratios of 7.24 versus 1.85 respectively. </w:t>
      </w:r>
      <w:r w:rsidR="003C13F1" w:rsidRPr="00A67611">
        <w:t>(Refer to paragraph</w:t>
      </w:r>
      <w:r w:rsidR="00F840B4" w:rsidRPr="00A67611">
        <w:t xml:space="preserve"> </w:t>
      </w:r>
      <w:r w:rsidR="00D420F9">
        <w:t>6.32</w:t>
      </w:r>
      <w:r w:rsidR="002B43D9" w:rsidRPr="00A67611">
        <w:t xml:space="preserve"> </w:t>
      </w:r>
      <w:r w:rsidR="003C13F1" w:rsidRPr="00A67611">
        <w:t>for further discussion of this issue.)</w:t>
      </w:r>
    </w:p>
    <w:p w:rsidR="00FA30CD" w:rsidRPr="00A67611" w:rsidRDefault="00FA30CD" w:rsidP="000F706A">
      <w:pPr>
        <w:pStyle w:val="3-BodyText"/>
      </w:pPr>
      <w:r w:rsidRPr="00A67611">
        <w:rPr>
          <w:snapToGrid/>
        </w:rPr>
        <w:t xml:space="preserve">Results for the proportion of patients achieving </w:t>
      </w:r>
      <w:r w:rsidRPr="00A67611">
        <w:rPr>
          <w:rFonts w:cstheme="minorHAnsi"/>
          <w:snapToGrid/>
        </w:rPr>
        <w:t>≥</w:t>
      </w:r>
      <w:r w:rsidRPr="00A67611">
        <w:rPr>
          <w:snapToGrid/>
        </w:rPr>
        <w:t xml:space="preserve">30% improvement from baseline NRS for spasticity are shown in </w:t>
      </w:r>
      <w:r w:rsidR="00D420F9" w:rsidRPr="00D420F9">
        <w:rPr>
          <w:snapToGrid/>
        </w:rPr>
        <w:t>Table 5</w:t>
      </w:r>
      <w:r w:rsidRPr="00A67611">
        <w:rPr>
          <w:snapToGrid/>
        </w:rPr>
        <w:t xml:space="preserve">. This outcome was not reported in Vachovà 2014. </w:t>
      </w:r>
    </w:p>
    <w:p w:rsidR="00FA30CD" w:rsidRPr="00A67611" w:rsidRDefault="00456461" w:rsidP="00101387">
      <w:pPr>
        <w:pStyle w:val="TableFigureHeading"/>
        <w:rPr>
          <w:rStyle w:val="CommentReference"/>
          <w:b/>
          <w:szCs w:val="24"/>
        </w:rPr>
      </w:pPr>
      <w:bookmarkStart w:id="31" w:name="_Ref27563595"/>
      <w:r w:rsidRPr="00A67611">
        <w:rPr>
          <w:rStyle w:val="CommentReference"/>
          <w:b/>
          <w:szCs w:val="24"/>
        </w:rPr>
        <w:lastRenderedPageBreak/>
        <w:t xml:space="preserve">Table </w:t>
      </w:r>
      <w:r w:rsidR="00D420F9">
        <w:rPr>
          <w:rStyle w:val="CommentReference"/>
          <w:b/>
          <w:noProof/>
          <w:szCs w:val="24"/>
        </w:rPr>
        <w:t>5</w:t>
      </w:r>
      <w:bookmarkEnd w:id="31"/>
      <w:r w:rsidR="00FA30CD" w:rsidRPr="00A67611">
        <w:rPr>
          <w:rStyle w:val="CommentReference"/>
          <w:b/>
          <w:szCs w:val="24"/>
        </w:rPr>
        <w:t>: Results of proportion of 30% or more responders on the NRS for spasticity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7"/>
        <w:gridCol w:w="1417"/>
        <w:gridCol w:w="1560"/>
        <w:gridCol w:w="1558"/>
        <w:gridCol w:w="1508"/>
      </w:tblGrid>
      <w:tr w:rsidR="00FA30CD" w:rsidRPr="00A67611" w:rsidTr="00222A5E">
        <w:trPr>
          <w:trHeight w:val="529"/>
          <w:tblHeader/>
        </w:trPr>
        <w:tc>
          <w:tcPr>
            <w:tcW w:w="863" w:type="pct"/>
            <w:vAlign w:val="center"/>
          </w:tcPr>
          <w:p w:rsidR="00FA30CD" w:rsidRPr="00A67611" w:rsidRDefault="00FA30CD" w:rsidP="00806AE4">
            <w:pPr>
              <w:pStyle w:val="In-tableHeading"/>
              <w:keepLines/>
              <w:rPr>
                <w:lang w:val="en-AU"/>
              </w:rPr>
            </w:pPr>
            <w:r w:rsidRPr="00A67611">
              <w:rPr>
                <w:lang w:val="en-AU"/>
              </w:rPr>
              <w:t>Trial ID</w:t>
            </w:r>
          </w:p>
        </w:tc>
        <w:tc>
          <w:tcPr>
            <w:tcW w:w="786" w:type="pct"/>
            <w:vAlign w:val="center"/>
          </w:tcPr>
          <w:p w:rsidR="00FA30CD" w:rsidRPr="00A67611" w:rsidRDefault="00FA30CD" w:rsidP="00806AE4">
            <w:pPr>
              <w:pStyle w:val="In-tableHeading"/>
              <w:keepLines/>
              <w:jc w:val="center"/>
              <w:rPr>
                <w:lang w:val="en-AU"/>
              </w:rPr>
            </w:pPr>
            <w:r w:rsidRPr="00A67611">
              <w:rPr>
                <w:lang w:val="en-AU"/>
              </w:rPr>
              <w:t>Nabiximols</w:t>
            </w:r>
          </w:p>
          <w:p w:rsidR="00FA30CD" w:rsidRPr="00A67611" w:rsidRDefault="00FA30CD" w:rsidP="00806AE4">
            <w:pPr>
              <w:pStyle w:val="In-tableHeading"/>
              <w:keepLines/>
              <w:jc w:val="center"/>
              <w:rPr>
                <w:b w:val="0"/>
                <w:lang w:val="en-AU"/>
              </w:rPr>
            </w:pPr>
            <w:r w:rsidRPr="00A67611">
              <w:rPr>
                <w:b w:val="0"/>
                <w:lang w:val="en-AU"/>
              </w:rPr>
              <w:t>n/N (%)</w:t>
            </w:r>
          </w:p>
        </w:tc>
        <w:tc>
          <w:tcPr>
            <w:tcW w:w="786" w:type="pct"/>
            <w:vAlign w:val="center"/>
          </w:tcPr>
          <w:p w:rsidR="00FA30CD" w:rsidRPr="00A67611" w:rsidRDefault="00FA30CD" w:rsidP="00806AE4">
            <w:pPr>
              <w:pStyle w:val="In-tableHeading"/>
              <w:keepLines/>
              <w:jc w:val="center"/>
              <w:rPr>
                <w:lang w:val="en-AU"/>
              </w:rPr>
            </w:pPr>
            <w:r w:rsidRPr="00A67611">
              <w:rPr>
                <w:lang w:val="en-AU"/>
              </w:rPr>
              <w:t>Placebo</w:t>
            </w:r>
          </w:p>
          <w:p w:rsidR="00FA30CD" w:rsidRPr="00A67611" w:rsidRDefault="00FA30CD" w:rsidP="00806AE4">
            <w:pPr>
              <w:pStyle w:val="In-tableHeading"/>
              <w:keepLines/>
              <w:jc w:val="center"/>
              <w:rPr>
                <w:b w:val="0"/>
                <w:lang w:val="en-AU"/>
              </w:rPr>
            </w:pPr>
            <w:r w:rsidRPr="00A67611">
              <w:rPr>
                <w:b w:val="0"/>
                <w:lang w:val="en-AU"/>
              </w:rPr>
              <w:t>n/N (%)</w:t>
            </w:r>
          </w:p>
        </w:tc>
        <w:tc>
          <w:tcPr>
            <w:tcW w:w="865" w:type="pct"/>
          </w:tcPr>
          <w:p w:rsidR="00FA30CD" w:rsidRPr="00A67611" w:rsidRDefault="00FA30CD" w:rsidP="00806AE4">
            <w:pPr>
              <w:pStyle w:val="In-tableHeading"/>
              <w:keepLines/>
              <w:jc w:val="center"/>
              <w:rPr>
                <w:lang w:val="en-AU"/>
              </w:rPr>
            </w:pPr>
            <w:r w:rsidRPr="00A67611">
              <w:rPr>
                <w:lang w:val="en-AU"/>
              </w:rPr>
              <w:t xml:space="preserve">Odds ratio </w:t>
            </w:r>
          </w:p>
          <w:p w:rsidR="00FA30CD" w:rsidRPr="00A67611" w:rsidRDefault="00FA30CD" w:rsidP="00806AE4">
            <w:pPr>
              <w:pStyle w:val="In-tableHeading"/>
              <w:keepLines/>
              <w:jc w:val="center"/>
              <w:rPr>
                <w:vertAlign w:val="superscript"/>
                <w:lang w:val="en-AU"/>
              </w:rPr>
            </w:pPr>
            <w:r w:rsidRPr="00A67611">
              <w:rPr>
                <w:lang w:val="en-AU"/>
              </w:rPr>
              <w:t xml:space="preserve">(95% CI) </w:t>
            </w:r>
            <w:r w:rsidRPr="00A67611">
              <w:rPr>
                <w:vertAlign w:val="superscript"/>
                <w:lang w:val="en-AU"/>
              </w:rPr>
              <w:t>^</w:t>
            </w:r>
          </w:p>
        </w:tc>
        <w:tc>
          <w:tcPr>
            <w:tcW w:w="864" w:type="pct"/>
            <w:vAlign w:val="center"/>
          </w:tcPr>
          <w:p w:rsidR="00FA30CD" w:rsidRPr="00A67611" w:rsidRDefault="00FA30CD" w:rsidP="00806AE4">
            <w:pPr>
              <w:pStyle w:val="In-tableHeading"/>
              <w:keepLines/>
              <w:jc w:val="center"/>
              <w:rPr>
                <w:lang w:val="en-AU"/>
              </w:rPr>
            </w:pPr>
            <w:r w:rsidRPr="00A67611">
              <w:rPr>
                <w:lang w:val="en-AU"/>
              </w:rPr>
              <w:t>Relative risk (95% CI)</w:t>
            </w:r>
          </w:p>
        </w:tc>
        <w:tc>
          <w:tcPr>
            <w:tcW w:w="836" w:type="pct"/>
            <w:vAlign w:val="center"/>
          </w:tcPr>
          <w:p w:rsidR="00FA30CD" w:rsidRPr="00A67611" w:rsidRDefault="00FA30CD" w:rsidP="00806AE4">
            <w:pPr>
              <w:pStyle w:val="In-tableHeading"/>
              <w:keepLines/>
              <w:jc w:val="center"/>
              <w:rPr>
                <w:lang w:val="en-AU"/>
              </w:rPr>
            </w:pPr>
            <w:r w:rsidRPr="00A67611">
              <w:rPr>
                <w:lang w:val="en-AU"/>
              </w:rPr>
              <w:t>Risk difference (95% CI)</w:t>
            </w:r>
          </w:p>
        </w:tc>
      </w:tr>
      <w:tr w:rsidR="00FA30CD" w:rsidRPr="00A67611" w:rsidTr="00222A5E">
        <w:tc>
          <w:tcPr>
            <w:tcW w:w="863" w:type="pct"/>
            <w:shd w:val="clear" w:color="auto" w:fill="A6A6A6" w:themeFill="background1" w:themeFillShade="A6"/>
            <w:vAlign w:val="center"/>
          </w:tcPr>
          <w:p w:rsidR="00FA30CD" w:rsidRPr="00A67611" w:rsidRDefault="00FA30CD" w:rsidP="00806AE4">
            <w:pPr>
              <w:pStyle w:val="TableText0"/>
              <w:keepLines/>
              <w:rPr>
                <w:vertAlign w:val="superscript"/>
              </w:rPr>
            </w:pPr>
            <w:r w:rsidRPr="00A67611">
              <w:t>Markovà 2019</w:t>
            </w:r>
            <w:r w:rsidRPr="00A67611">
              <w:rPr>
                <w:vertAlign w:val="superscript"/>
              </w:rPr>
              <w:t xml:space="preserve"> a</w:t>
            </w:r>
          </w:p>
        </w:tc>
        <w:tc>
          <w:tcPr>
            <w:tcW w:w="786" w:type="pct"/>
            <w:shd w:val="clear" w:color="auto" w:fill="A6A6A6" w:themeFill="background1" w:themeFillShade="A6"/>
            <w:vAlign w:val="center"/>
          </w:tcPr>
          <w:p w:rsidR="00FA30CD" w:rsidRPr="00A67611" w:rsidRDefault="00FA30CD" w:rsidP="00806AE4">
            <w:pPr>
              <w:pStyle w:val="TableText0"/>
              <w:keepLines/>
              <w:jc w:val="center"/>
            </w:pPr>
            <w:r w:rsidRPr="00A67611">
              <w:t>41/53 (77%)</w:t>
            </w:r>
          </w:p>
        </w:tc>
        <w:tc>
          <w:tcPr>
            <w:tcW w:w="786" w:type="pct"/>
            <w:shd w:val="clear" w:color="auto" w:fill="A6A6A6" w:themeFill="background1" w:themeFillShade="A6"/>
            <w:vAlign w:val="center"/>
          </w:tcPr>
          <w:p w:rsidR="00FA30CD" w:rsidRPr="00A67611" w:rsidRDefault="00FA30CD" w:rsidP="00806AE4">
            <w:pPr>
              <w:pStyle w:val="TableText0"/>
              <w:keepLines/>
              <w:jc w:val="center"/>
            </w:pPr>
            <w:r w:rsidRPr="00A67611">
              <w:t>17/53 (32%)</w:t>
            </w:r>
          </w:p>
        </w:tc>
        <w:tc>
          <w:tcPr>
            <w:tcW w:w="865" w:type="pct"/>
            <w:shd w:val="clear" w:color="auto" w:fill="A6A6A6" w:themeFill="background1" w:themeFillShade="A6"/>
            <w:vAlign w:val="center"/>
          </w:tcPr>
          <w:p w:rsidR="00FA30CD" w:rsidRPr="00A67611" w:rsidRDefault="00FA30CD" w:rsidP="00806AE4">
            <w:pPr>
              <w:pStyle w:val="TableText0"/>
              <w:keepLines/>
              <w:jc w:val="center"/>
              <w:rPr>
                <w:b/>
                <w:i/>
              </w:rPr>
            </w:pPr>
            <w:r w:rsidRPr="00A67611">
              <w:rPr>
                <w:b/>
                <w:i/>
              </w:rPr>
              <w:t>7.24 (2.82, 18.9)</w:t>
            </w:r>
          </w:p>
        </w:tc>
        <w:tc>
          <w:tcPr>
            <w:tcW w:w="864" w:type="pct"/>
            <w:shd w:val="clear" w:color="auto" w:fill="A6A6A6" w:themeFill="background1" w:themeFillShade="A6"/>
            <w:vAlign w:val="center"/>
          </w:tcPr>
          <w:p w:rsidR="00FA30CD" w:rsidRPr="00A67611" w:rsidRDefault="00FA30CD" w:rsidP="00806AE4">
            <w:pPr>
              <w:pStyle w:val="TableText0"/>
              <w:keepLines/>
              <w:jc w:val="center"/>
              <w:rPr>
                <w:b/>
              </w:rPr>
            </w:pPr>
            <w:r w:rsidRPr="00A67611">
              <w:rPr>
                <w:b/>
              </w:rPr>
              <w:t>2.4 (1.6, 3.6)</w:t>
            </w:r>
          </w:p>
        </w:tc>
        <w:tc>
          <w:tcPr>
            <w:tcW w:w="836" w:type="pct"/>
            <w:shd w:val="clear" w:color="auto" w:fill="A6A6A6" w:themeFill="background1" w:themeFillShade="A6"/>
            <w:vAlign w:val="center"/>
          </w:tcPr>
          <w:p w:rsidR="00FA30CD" w:rsidRPr="00A67611" w:rsidRDefault="00FA30CD" w:rsidP="00806AE4">
            <w:pPr>
              <w:pStyle w:val="TableText0"/>
              <w:keepLines/>
              <w:jc w:val="center"/>
              <w:rPr>
                <w:b/>
                <w:color w:val="A6A6A6" w:themeColor="background1" w:themeShade="A6"/>
              </w:rPr>
            </w:pPr>
            <w:r w:rsidRPr="00A67611">
              <w:rPr>
                <w:b/>
              </w:rPr>
              <w:t>45% (28, 62)</w:t>
            </w:r>
          </w:p>
        </w:tc>
      </w:tr>
      <w:tr w:rsidR="00FA30CD" w:rsidRPr="00A67611" w:rsidTr="00222A5E">
        <w:tc>
          <w:tcPr>
            <w:tcW w:w="863" w:type="pct"/>
            <w:shd w:val="clear" w:color="auto" w:fill="B8CCE4" w:themeFill="accent1" w:themeFillTint="66"/>
            <w:vAlign w:val="center"/>
          </w:tcPr>
          <w:p w:rsidR="00FA30CD" w:rsidRPr="00A67611" w:rsidRDefault="00FA30CD" w:rsidP="00806AE4">
            <w:pPr>
              <w:pStyle w:val="TableText0"/>
              <w:keepLines/>
              <w:rPr>
                <w:vertAlign w:val="superscript"/>
              </w:rPr>
            </w:pPr>
            <w:r w:rsidRPr="00A67611">
              <w:t xml:space="preserve">Novotna 2011 </w:t>
            </w:r>
            <w:r w:rsidRPr="00A67611">
              <w:rPr>
                <w:vertAlign w:val="superscript"/>
              </w:rPr>
              <w:t>a</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92/124 (74.2%)</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60/117 (51.2%)</w:t>
            </w:r>
          </w:p>
        </w:tc>
        <w:tc>
          <w:tcPr>
            <w:tcW w:w="865" w:type="pct"/>
            <w:shd w:val="clear" w:color="auto" w:fill="B8CCE4" w:themeFill="accent1" w:themeFillTint="66"/>
            <w:vAlign w:val="center"/>
          </w:tcPr>
          <w:p w:rsidR="00FA30CD" w:rsidRPr="00A67611" w:rsidRDefault="00FA30CD" w:rsidP="00806AE4">
            <w:pPr>
              <w:pStyle w:val="TableText0"/>
              <w:keepLines/>
              <w:jc w:val="center"/>
              <w:rPr>
                <w:b/>
                <w:i/>
              </w:rPr>
            </w:pPr>
            <w:r w:rsidRPr="00A67611">
              <w:rPr>
                <w:b/>
                <w:i/>
              </w:rPr>
              <w:t>2.73 (1.54, 4.88)</w:t>
            </w:r>
          </w:p>
        </w:tc>
        <w:tc>
          <w:tcPr>
            <w:tcW w:w="864" w:type="pct"/>
            <w:shd w:val="clear" w:color="auto" w:fill="B8CCE4" w:themeFill="accent1" w:themeFillTint="66"/>
            <w:vAlign w:val="center"/>
          </w:tcPr>
          <w:p w:rsidR="00FA30CD" w:rsidRPr="00A67611" w:rsidRDefault="00FA30CD" w:rsidP="00806AE4">
            <w:pPr>
              <w:pStyle w:val="TableText0"/>
              <w:keepLines/>
              <w:jc w:val="center"/>
              <w:rPr>
                <w:b/>
              </w:rPr>
            </w:pPr>
            <w:r w:rsidRPr="00A67611">
              <w:rPr>
                <w:b/>
              </w:rPr>
              <w:t>1.4 (1.2, 1.8)</w:t>
            </w:r>
          </w:p>
        </w:tc>
        <w:tc>
          <w:tcPr>
            <w:tcW w:w="836" w:type="pct"/>
            <w:shd w:val="clear" w:color="auto" w:fill="B8CCE4" w:themeFill="accent1" w:themeFillTint="66"/>
            <w:vAlign w:val="center"/>
          </w:tcPr>
          <w:p w:rsidR="00FA30CD" w:rsidRPr="00A67611" w:rsidRDefault="00FA30CD" w:rsidP="00806AE4">
            <w:pPr>
              <w:pStyle w:val="TableText0"/>
              <w:keepLines/>
              <w:jc w:val="center"/>
              <w:rPr>
                <w:b/>
              </w:rPr>
            </w:pPr>
            <w:r w:rsidRPr="00A67611">
              <w:rPr>
                <w:b/>
              </w:rPr>
              <w:t>23% (11, 35)</w:t>
            </w:r>
          </w:p>
        </w:tc>
      </w:tr>
      <w:tr w:rsidR="00FA30CD" w:rsidRPr="00A67611" w:rsidTr="00222A5E">
        <w:tc>
          <w:tcPr>
            <w:tcW w:w="863" w:type="pct"/>
            <w:shd w:val="clear" w:color="auto" w:fill="B8CCE4" w:themeFill="accent1" w:themeFillTint="66"/>
            <w:vAlign w:val="center"/>
          </w:tcPr>
          <w:p w:rsidR="00FA30CD" w:rsidRPr="00A67611" w:rsidRDefault="00FA30CD" w:rsidP="00806AE4">
            <w:pPr>
              <w:pStyle w:val="TableText0"/>
              <w:keepLines/>
              <w:rPr>
                <w:vertAlign w:val="superscript"/>
              </w:rPr>
            </w:pPr>
            <w:r w:rsidRPr="00A67611">
              <w:t xml:space="preserve">Collin 2007 </w:t>
            </w:r>
            <w:r w:rsidRPr="00A67611">
              <w:rPr>
                <w:vertAlign w:val="superscript"/>
              </w:rPr>
              <w:t>b</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48/120 (40.0%)</w:t>
            </w:r>
          </w:p>
        </w:tc>
        <w:tc>
          <w:tcPr>
            <w:tcW w:w="786" w:type="pct"/>
            <w:shd w:val="clear" w:color="auto" w:fill="B8CCE4" w:themeFill="accent1" w:themeFillTint="66"/>
            <w:vAlign w:val="center"/>
          </w:tcPr>
          <w:p w:rsidR="00FA30CD" w:rsidRPr="00A67611" w:rsidRDefault="002504E1" w:rsidP="00806AE4">
            <w:pPr>
              <w:pStyle w:val="TableText0"/>
              <w:keepLines/>
              <w:jc w:val="center"/>
            </w:pPr>
            <w:r w:rsidRPr="00A67611">
              <w:t>14</w:t>
            </w:r>
            <w:r w:rsidR="00FA30CD" w:rsidRPr="00A67611">
              <w:t>/64 (21.9%)</w:t>
            </w:r>
          </w:p>
        </w:tc>
        <w:tc>
          <w:tcPr>
            <w:tcW w:w="865" w:type="pct"/>
            <w:shd w:val="clear" w:color="auto" w:fill="B8CCE4" w:themeFill="accent1" w:themeFillTint="66"/>
            <w:vAlign w:val="center"/>
          </w:tcPr>
          <w:p w:rsidR="00FA30CD" w:rsidRPr="00A67611" w:rsidRDefault="00F640E9" w:rsidP="00806AE4">
            <w:pPr>
              <w:pStyle w:val="TableText0"/>
              <w:keepLines/>
              <w:jc w:val="center"/>
              <w:rPr>
                <w:b/>
                <w:i/>
              </w:rPr>
            </w:pPr>
            <w:r w:rsidRPr="00A67611">
              <w:rPr>
                <w:b/>
                <w:i/>
              </w:rPr>
              <w:t>2.38 (1.21, 4.91</w:t>
            </w:r>
            <w:r w:rsidR="002504E1" w:rsidRPr="00A67611">
              <w:rPr>
                <w:b/>
                <w:i/>
              </w:rPr>
              <w:t>)</w:t>
            </w:r>
          </w:p>
        </w:tc>
        <w:tc>
          <w:tcPr>
            <w:tcW w:w="864" w:type="pct"/>
            <w:shd w:val="clear" w:color="auto" w:fill="B8CCE4" w:themeFill="accent1" w:themeFillTint="66"/>
            <w:vAlign w:val="center"/>
          </w:tcPr>
          <w:p w:rsidR="00FA30CD" w:rsidRPr="00A67611" w:rsidRDefault="002504E1" w:rsidP="00806AE4">
            <w:pPr>
              <w:pStyle w:val="TableText0"/>
              <w:keepLines/>
              <w:jc w:val="center"/>
              <w:rPr>
                <w:b/>
              </w:rPr>
            </w:pPr>
            <w:r w:rsidRPr="00A67611">
              <w:rPr>
                <w:b/>
              </w:rPr>
              <w:t>1.83 (1.10, 3.05)</w:t>
            </w:r>
          </w:p>
        </w:tc>
        <w:tc>
          <w:tcPr>
            <w:tcW w:w="836" w:type="pct"/>
            <w:shd w:val="clear" w:color="auto" w:fill="B8CCE4" w:themeFill="accent1" w:themeFillTint="66"/>
            <w:vAlign w:val="center"/>
          </w:tcPr>
          <w:p w:rsidR="00FA30CD" w:rsidRPr="00A67611" w:rsidRDefault="002504E1" w:rsidP="00806AE4">
            <w:pPr>
              <w:pStyle w:val="TableText0"/>
              <w:keepLines/>
              <w:jc w:val="center"/>
              <w:rPr>
                <w:b/>
              </w:rPr>
            </w:pPr>
            <w:r w:rsidRPr="00A67611">
              <w:rPr>
                <w:b/>
              </w:rPr>
              <w:t>18</w:t>
            </w:r>
            <w:r w:rsidR="00356F6F" w:rsidRPr="00A67611">
              <w:rPr>
                <w:b/>
              </w:rPr>
              <w:t>% (5, 32</w:t>
            </w:r>
            <w:r w:rsidR="00FA30CD" w:rsidRPr="00A67611">
              <w:rPr>
                <w:b/>
              </w:rPr>
              <w:t>)</w:t>
            </w:r>
          </w:p>
        </w:tc>
      </w:tr>
      <w:tr w:rsidR="00FA30CD" w:rsidRPr="00A67611" w:rsidTr="00222A5E">
        <w:tc>
          <w:tcPr>
            <w:tcW w:w="863" w:type="pct"/>
            <w:shd w:val="clear" w:color="auto" w:fill="B8CCE4" w:themeFill="accent1" w:themeFillTint="66"/>
            <w:vAlign w:val="center"/>
          </w:tcPr>
          <w:p w:rsidR="00FA30CD" w:rsidRPr="00A67611" w:rsidRDefault="00FA30CD" w:rsidP="00806AE4">
            <w:pPr>
              <w:pStyle w:val="TableText0"/>
              <w:keepLines/>
              <w:rPr>
                <w:vertAlign w:val="superscript"/>
              </w:rPr>
            </w:pPr>
            <w:r w:rsidRPr="00A67611">
              <w:t xml:space="preserve">Collin 2010 (ITT) </w:t>
            </w:r>
            <w:r w:rsidRPr="00A67611">
              <w:rPr>
                <w:vertAlign w:val="superscript"/>
              </w:rPr>
              <w:t>c</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51/166 (30.7%)</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42/169 (24.9%)</w:t>
            </w:r>
          </w:p>
        </w:tc>
        <w:tc>
          <w:tcPr>
            <w:tcW w:w="865" w:type="pct"/>
            <w:shd w:val="clear" w:color="auto" w:fill="B8CCE4" w:themeFill="accent1" w:themeFillTint="66"/>
            <w:vAlign w:val="center"/>
          </w:tcPr>
          <w:p w:rsidR="00FA30CD" w:rsidRPr="00A67611" w:rsidRDefault="00FA30CD" w:rsidP="00806AE4">
            <w:pPr>
              <w:pStyle w:val="TableText0"/>
              <w:keepLines/>
              <w:jc w:val="center"/>
              <w:rPr>
                <w:i/>
              </w:rPr>
            </w:pPr>
            <w:r w:rsidRPr="00A67611">
              <w:rPr>
                <w:i/>
              </w:rPr>
              <w:t>1.34 (0.81, 2.23)</w:t>
            </w:r>
          </w:p>
        </w:tc>
        <w:tc>
          <w:tcPr>
            <w:tcW w:w="864" w:type="pct"/>
            <w:shd w:val="clear" w:color="auto" w:fill="B8CCE4" w:themeFill="accent1" w:themeFillTint="66"/>
            <w:vAlign w:val="center"/>
          </w:tcPr>
          <w:p w:rsidR="00FA30CD" w:rsidRPr="00A67611" w:rsidRDefault="00FA30CD" w:rsidP="00806AE4">
            <w:pPr>
              <w:pStyle w:val="TableText0"/>
              <w:keepLines/>
              <w:jc w:val="center"/>
            </w:pPr>
            <w:r w:rsidRPr="00A67611">
              <w:t>1.2 (0.9, 1.8)</w:t>
            </w:r>
          </w:p>
        </w:tc>
        <w:tc>
          <w:tcPr>
            <w:tcW w:w="836" w:type="pct"/>
            <w:shd w:val="clear" w:color="auto" w:fill="B8CCE4" w:themeFill="accent1" w:themeFillTint="66"/>
            <w:vAlign w:val="center"/>
          </w:tcPr>
          <w:p w:rsidR="00FA30CD" w:rsidRPr="00A67611" w:rsidRDefault="00FA30CD" w:rsidP="00806AE4">
            <w:pPr>
              <w:pStyle w:val="TableText0"/>
              <w:keepLines/>
              <w:jc w:val="center"/>
            </w:pPr>
            <w:r w:rsidRPr="00A67611">
              <w:t>6% (-4, 15)</w:t>
            </w:r>
          </w:p>
        </w:tc>
      </w:tr>
      <w:tr w:rsidR="00FA30CD" w:rsidRPr="00A67611" w:rsidTr="00222A5E">
        <w:tc>
          <w:tcPr>
            <w:tcW w:w="863" w:type="pct"/>
            <w:shd w:val="clear" w:color="auto" w:fill="B8CCE4" w:themeFill="accent1" w:themeFillTint="66"/>
            <w:vAlign w:val="center"/>
          </w:tcPr>
          <w:p w:rsidR="00FA30CD" w:rsidRPr="00A67611" w:rsidRDefault="00FA30CD" w:rsidP="00806AE4">
            <w:pPr>
              <w:pStyle w:val="TableText0"/>
              <w:keepLines/>
              <w:rPr>
                <w:vertAlign w:val="superscript"/>
              </w:rPr>
            </w:pPr>
            <w:r w:rsidRPr="00A67611">
              <w:t xml:space="preserve">Collin 2010 (PP) </w:t>
            </w:r>
            <w:r w:rsidRPr="00A67611">
              <w:rPr>
                <w:vertAlign w:val="superscript"/>
              </w:rPr>
              <w:t>c</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44/121 (36.4%)</w:t>
            </w:r>
          </w:p>
        </w:tc>
        <w:tc>
          <w:tcPr>
            <w:tcW w:w="786" w:type="pct"/>
            <w:shd w:val="clear" w:color="auto" w:fill="B8CCE4" w:themeFill="accent1" w:themeFillTint="66"/>
            <w:vAlign w:val="center"/>
          </w:tcPr>
          <w:p w:rsidR="00FA30CD" w:rsidRPr="00A67611" w:rsidRDefault="00FA30CD" w:rsidP="00806AE4">
            <w:pPr>
              <w:pStyle w:val="TableText0"/>
              <w:keepLines/>
              <w:jc w:val="center"/>
            </w:pPr>
            <w:r w:rsidRPr="00A67611">
              <w:t>35/144 (24.3%)</w:t>
            </w:r>
          </w:p>
        </w:tc>
        <w:tc>
          <w:tcPr>
            <w:tcW w:w="865" w:type="pct"/>
            <w:shd w:val="clear" w:color="auto" w:fill="B8CCE4" w:themeFill="accent1" w:themeFillTint="66"/>
            <w:vAlign w:val="center"/>
          </w:tcPr>
          <w:p w:rsidR="00FA30CD" w:rsidRPr="00A67611" w:rsidRDefault="00FA30CD" w:rsidP="00806AE4">
            <w:pPr>
              <w:pStyle w:val="TableText0"/>
              <w:keepLines/>
              <w:jc w:val="center"/>
              <w:rPr>
                <w:b/>
              </w:rPr>
            </w:pPr>
            <w:r w:rsidRPr="00A67611">
              <w:rPr>
                <w:b/>
              </w:rPr>
              <w:t>1.74 (1.02, 2.96)</w:t>
            </w:r>
          </w:p>
        </w:tc>
        <w:tc>
          <w:tcPr>
            <w:tcW w:w="864" w:type="pct"/>
            <w:shd w:val="clear" w:color="auto" w:fill="B8CCE4" w:themeFill="accent1" w:themeFillTint="66"/>
            <w:vAlign w:val="center"/>
          </w:tcPr>
          <w:p w:rsidR="00FA30CD" w:rsidRPr="00A67611" w:rsidRDefault="00FA30CD" w:rsidP="00806AE4">
            <w:pPr>
              <w:pStyle w:val="TableText0"/>
              <w:keepLines/>
              <w:jc w:val="center"/>
              <w:rPr>
                <w:b/>
                <w:i/>
              </w:rPr>
            </w:pPr>
            <w:r w:rsidRPr="00A67611">
              <w:rPr>
                <w:b/>
                <w:i/>
              </w:rPr>
              <w:t>1.50 (1.03, 2.17)</w:t>
            </w:r>
          </w:p>
        </w:tc>
        <w:tc>
          <w:tcPr>
            <w:tcW w:w="836" w:type="pct"/>
            <w:shd w:val="clear" w:color="auto" w:fill="B8CCE4" w:themeFill="accent1" w:themeFillTint="66"/>
            <w:vAlign w:val="center"/>
          </w:tcPr>
          <w:p w:rsidR="00FA30CD" w:rsidRPr="00A67611" w:rsidRDefault="00FA30CD" w:rsidP="00806AE4">
            <w:pPr>
              <w:pStyle w:val="TableText0"/>
              <w:keepLines/>
              <w:jc w:val="center"/>
              <w:rPr>
                <w:b/>
                <w:i/>
              </w:rPr>
            </w:pPr>
            <w:r w:rsidRPr="00A67611">
              <w:rPr>
                <w:b/>
                <w:i/>
              </w:rPr>
              <w:t>12% (1, 23)</w:t>
            </w:r>
          </w:p>
        </w:tc>
      </w:tr>
    </w:tbl>
    <w:p w:rsidR="00FA30CD" w:rsidRPr="00A67611" w:rsidRDefault="00FA30CD" w:rsidP="00456461">
      <w:pPr>
        <w:pStyle w:val="TableFigureFooter"/>
        <w:keepNext/>
        <w:keepLines/>
      </w:pPr>
      <w:r w:rsidRPr="00A67611">
        <w:t>Source: Table 52, p89 of the resubmission, previous commentary Table B.6.2, Markovà 2019 CSR, p103.</w:t>
      </w:r>
    </w:p>
    <w:p w:rsidR="00456461" w:rsidRPr="00A67611" w:rsidRDefault="00456461" w:rsidP="00456461">
      <w:pPr>
        <w:pStyle w:val="TableFigureFooter"/>
        <w:keepNext/>
        <w:tabs>
          <w:tab w:val="left" w:pos="284"/>
        </w:tabs>
      </w:pPr>
      <w:r w:rsidRPr="00A67611">
        <w:rPr>
          <w:vertAlign w:val="superscript"/>
        </w:rPr>
        <w:t>a</w:t>
      </w:r>
      <w:r w:rsidRPr="00A67611">
        <w:tab/>
        <w:t>results at end of Phase B (4+12 weeks)</w:t>
      </w:r>
    </w:p>
    <w:p w:rsidR="00456461" w:rsidRPr="00A67611" w:rsidRDefault="00456461" w:rsidP="00456461">
      <w:pPr>
        <w:pStyle w:val="TableFigureFooter"/>
        <w:keepNext/>
        <w:tabs>
          <w:tab w:val="left" w:pos="284"/>
        </w:tabs>
      </w:pPr>
      <w:r w:rsidRPr="00A67611">
        <w:rPr>
          <w:vertAlign w:val="superscript"/>
        </w:rPr>
        <w:t>b</w:t>
      </w:r>
      <w:r w:rsidRPr="00A67611">
        <w:tab/>
        <w:t>results reported at 6 weeks</w:t>
      </w:r>
    </w:p>
    <w:p w:rsidR="00456461" w:rsidRPr="00A67611" w:rsidRDefault="00456461" w:rsidP="00456461">
      <w:pPr>
        <w:pStyle w:val="TableFigureFooter"/>
        <w:keepNext/>
        <w:tabs>
          <w:tab w:val="left" w:pos="284"/>
        </w:tabs>
      </w:pPr>
      <w:r w:rsidRPr="00A67611">
        <w:rPr>
          <w:vertAlign w:val="superscript"/>
        </w:rPr>
        <w:t>c</w:t>
      </w:r>
      <w:r w:rsidRPr="00A67611">
        <w:rPr>
          <w:vertAlign w:val="superscript"/>
        </w:rPr>
        <w:tab/>
      </w:r>
      <w:r w:rsidRPr="00A67611">
        <w:t>results reported at 14 weeks</w:t>
      </w:r>
    </w:p>
    <w:p w:rsidR="00456461" w:rsidRPr="00A67611" w:rsidRDefault="00101387" w:rsidP="00456461">
      <w:pPr>
        <w:pStyle w:val="TableFigureFooter"/>
        <w:keepNext/>
        <w:tabs>
          <w:tab w:val="left" w:pos="284"/>
        </w:tabs>
        <w:rPr>
          <w:sz w:val="20"/>
        </w:rPr>
      </w:pPr>
      <w:r w:rsidRPr="00A67611">
        <w:rPr>
          <w:vertAlign w:val="superscript"/>
        </w:rPr>
        <w:t>^</w:t>
      </w:r>
      <w:r w:rsidR="00456461" w:rsidRPr="00A67611">
        <w:tab/>
        <w:t>For patients with spasticity as an impairment N=140</w:t>
      </w:r>
    </w:p>
    <w:p w:rsidR="00FA30CD" w:rsidRPr="00A67611" w:rsidRDefault="00FA30CD" w:rsidP="00456461">
      <w:pPr>
        <w:pStyle w:val="TableFigureFooter"/>
        <w:keepNext/>
        <w:keepLines/>
      </w:pPr>
      <w:r w:rsidRPr="00A67611">
        <w:t xml:space="preserve">CI = confidence interval; n = number of patients with event; N = total patients in group. ITT = intent to treat, PP = per protocol  </w:t>
      </w:r>
    </w:p>
    <w:p w:rsidR="00FA30CD" w:rsidRPr="00A67611" w:rsidRDefault="00FA30CD" w:rsidP="00456461">
      <w:pPr>
        <w:pStyle w:val="TableFigureFooter"/>
        <w:keepNext/>
        <w:keepLines/>
      </w:pPr>
      <w:r w:rsidRPr="00A67611">
        <w:t xml:space="preserve">Bold indicates statistically significant results. </w:t>
      </w:r>
    </w:p>
    <w:p w:rsidR="00FA30CD" w:rsidRPr="00A67611" w:rsidRDefault="00FA30CD" w:rsidP="00456461">
      <w:pPr>
        <w:pStyle w:val="TableFigureFooter"/>
        <w:keepNext/>
        <w:keepLines/>
      </w:pPr>
      <w:r w:rsidRPr="00A67611">
        <w:t xml:space="preserve">Text in italics indicate values added during evaluation calculated with StatsDirect. </w:t>
      </w:r>
    </w:p>
    <w:p w:rsidR="00FA30CD" w:rsidRPr="00A67611" w:rsidRDefault="00FA30CD" w:rsidP="00456461">
      <w:pPr>
        <w:pStyle w:val="TableFigureFooter"/>
        <w:keepNext/>
        <w:keepLines/>
      </w:pPr>
      <w:r w:rsidRPr="00A67611">
        <w:t>Grey shaded trial indicate values used in economic evaluation. Blue shading indicates results previously considered by the PBAC</w:t>
      </w:r>
    </w:p>
    <w:p w:rsidR="00FA30CD" w:rsidRPr="00A67611" w:rsidRDefault="00FA30CD" w:rsidP="000F706A">
      <w:pPr>
        <w:pStyle w:val="3-BodyText"/>
      </w:pPr>
      <w:r w:rsidRPr="00A67611">
        <w:t xml:space="preserve">Results of the mean change in spasticity 0-10 on the NRS from baseline to the end of treatment are shown in </w:t>
      </w:r>
      <w:r w:rsidR="00D420F9" w:rsidRPr="00A67611">
        <w:rPr>
          <w:bCs/>
          <w:iCs/>
          <w:szCs w:val="20"/>
        </w:rPr>
        <w:t xml:space="preserve">Table </w:t>
      </w:r>
      <w:r w:rsidR="00D420F9">
        <w:rPr>
          <w:bCs/>
          <w:iCs/>
          <w:noProof/>
          <w:szCs w:val="20"/>
        </w:rPr>
        <w:t>6</w:t>
      </w:r>
      <w:r w:rsidRPr="00A67611">
        <w:t>.</w:t>
      </w:r>
    </w:p>
    <w:p w:rsidR="00FA30CD" w:rsidRPr="00A67611" w:rsidRDefault="00456461" w:rsidP="00FA30CD">
      <w:pPr>
        <w:pStyle w:val="TableFigureHeading"/>
        <w:rPr>
          <w:rStyle w:val="CommentReference"/>
          <w:b/>
          <w:bCs w:val="0"/>
          <w:iCs/>
          <w:szCs w:val="20"/>
        </w:rPr>
      </w:pPr>
      <w:bookmarkStart w:id="32" w:name="_Ref27563714"/>
      <w:r w:rsidRPr="00A67611">
        <w:rPr>
          <w:bCs w:val="0"/>
          <w:iCs/>
          <w:szCs w:val="20"/>
        </w:rPr>
        <w:t xml:space="preserve">Table </w:t>
      </w:r>
      <w:r w:rsidR="00D420F9">
        <w:rPr>
          <w:bCs w:val="0"/>
          <w:iCs/>
          <w:noProof/>
          <w:szCs w:val="20"/>
        </w:rPr>
        <w:t>6</w:t>
      </w:r>
      <w:bookmarkEnd w:id="32"/>
      <w:r w:rsidR="00FA30CD" w:rsidRPr="00A67611">
        <w:rPr>
          <w:rStyle w:val="CommentReference"/>
          <w:b/>
          <w:szCs w:val="24"/>
        </w:rPr>
        <w:t xml:space="preserve">: Results of </w:t>
      </w:r>
      <w:r w:rsidR="00FA30CD" w:rsidRPr="00A67611">
        <w:rPr>
          <w:bCs w:val="0"/>
          <w:iCs/>
          <w:szCs w:val="20"/>
        </w:rPr>
        <w:t xml:space="preserve">mean change in spasticity 0-10 NRS from baseline to end of treatment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5"/>
        <w:gridCol w:w="1005"/>
        <w:gridCol w:w="993"/>
        <w:gridCol w:w="993"/>
        <w:gridCol w:w="992"/>
        <w:gridCol w:w="990"/>
        <w:gridCol w:w="993"/>
        <w:gridCol w:w="1134"/>
        <w:gridCol w:w="1096"/>
      </w:tblGrid>
      <w:tr w:rsidR="00456461" w:rsidRPr="00A67611" w:rsidTr="002E4814">
        <w:trPr>
          <w:tblHeader/>
        </w:trPr>
        <w:tc>
          <w:tcPr>
            <w:tcW w:w="462" w:type="pct"/>
            <w:vMerge w:val="restart"/>
            <w:vAlign w:val="center"/>
          </w:tcPr>
          <w:p w:rsidR="00456461" w:rsidRPr="00A67611" w:rsidRDefault="00456461" w:rsidP="002E4814">
            <w:pPr>
              <w:pStyle w:val="In-tableHeading"/>
              <w:rPr>
                <w:sz w:val="18"/>
                <w:szCs w:val="18"/>
                <w:lang w:val="en-AU"/>
              </w:rPr>
            </w:pPr>
          </w:p>
        </w:tc>
        <w:tc>
          <w:tcPr>
            <w:tcW w:w="1656" w:type="pct"/>
            <w:gridSpan w:val="3"/>
            <w:vAlign w:val="center"/>
          </w:tcPr>
          <w:p w:rsidR="00456461" w:rsidRPr="00A67611" w:rsidRDefault="00456461" w:rsidP="002E4814">
            <w:pPr>
              <w:pStyle w:val="In-tableHeading"/>
              <w:jc w:val="center"/>
              <w:rPr>
                <w:iCs/>
                <w:sz w:val="18"/>
                <w:szCs w:val="18"/>
                <w:lang w:val="en-AU"/>
              </w:rPr>
            </w:pPr>
            <w:r w:rsidRPr="00A67611">
              <w:rPr>
                <w:iCs/>
                <w:sz w:val="18"/>
                <w:szCs w:val="18"/>
                <w:lang w:val="en-AU"/>
              </w:rPr>
              <w:t>Nabiximols</w:t>
            </w:r>
          </w:p>
        </w:tc>
        <w:tc>
          <w:tcPr>
            <w:tcW w:w="1647" w:type="pct"/>
            <w:gridSpan w:val="3"/>
            <w:vAlign w:val="center"/>
          </w:tcPr>
          <w:p w:rsidR="00456461" w:rsidRPr="00A67611" w:rsidRDefault="00456461" w:rsidP="002E4814">
            <w:pPr>
              <w:pStyle w:val="In-tableHeading"/>
              <w:jc w:val="center"/>
              <w:rPr>
                <w:sz w:val="18"/>
                <w:szCs w:val="18"/>
                <w:lang w:val="en-AU"/>
              </w:rPr>
            </w:pPr>
            <w:r w:rsidRPr="00A67611">
              <w:rPr>
                <w:iCs/>
                <w:sz w:val="18"/>
                <w:szCs w:val="18"/>
                <w:lang w:val="en-AU"/>
              </w:rPr>
              <w:t>Placebo</w:t>
            </w:r>
          </w:p>
        </w:tc>
        <w:tc>
          <w:tcPr>
            <w:tcW w:w="628" w:type="pct"/>
            <w:vMerge w:val="restart"/>
            <w:vAlign w:val="center"/>
          </w:tcPr>
          <w:p w:rsidR="00456461" w:rsidRPr="00A67611" w:rsidRDefault="00456461" w:rsidP="002E4814">
            <w:pPr>
              <w:pStyle w:val="In-tableHeading"/>
              <w:jc w:val="center"/>
              <w:rPr>
                <w:sz w:val="18"/>
                <w:szCs w:val="18"/>
                <w:lang w:val="en-AU"/>
              </w:rPr>
            </w:pPr>
            <w:r w:rsidRPr="00A67611">
              <w:rPr>
                <w:iCs/>
                <w:sz w:val="18"/>
                <w:szCs w:val="18"/>
                <w:lang w:val="en-AU"/>
              </w:rPr>
              <w:t>Mean difference (95% CI)</w:t>
            </w:r>
          </w:p>
        </w:tc>
        <w:tc>
          <w:tcPr>
            <w:tcW w:w="607" w:type="pct"/>
            <w:vMerge w:val="restart"/>
            <w:vAlign w:val="center"/>
          </w:tcPr>
          <w:p w:rsidR="00456461" w:rsidRPr="00A67611" w:rsidRDefault="00456461" w:rsidP="002E4814">
            <w:pPr>
              <w:pStyle w:val="In-tableHeading"/>
              <w:jc w:val="center"/>
              <w:rPr>
                <w:sz w:val="18"/>
                <w:szCs w:val="18"/>
                <w:lang w:val="en-AU"/>
              </w:rPr>
            </w:pPr>
            <w:r w:rsidRPr="00A67611">
              <w:rPr>
                <w:iCs/>
                <w:sz w:val="18"/>
                <w:szCs w:val="18"/>
                <w:lang w:val="en-AU"/>
              </w:rPr>
              <w:t xml:space="preserve">P value </w:t>
            </w:r>
            <w:r w:rsidRPr="00A67611">
              <w:rPr>
                <w:iCs/>
                <w:sz w:val="18"/>
                <w:szCs w:val="18"/>
                <w:lang w:val="en-AU"/>
              </w:rPr>
              <w:br/>
              <w:t>(95% CI)</w:t>
            </w:r>
          </w:p>
        </w:tc>
      </w:tr>
      <w:tr w:rsidR="00456461" w:rsidRPr="00A67611" w:rsidTr="002E4814">
        <w:tc>
          <w:tcPr>
            <w:tcW w:w="462" w:type="pct"/>
            <w:vMerge/>
            <w:vAlign w:val="center"/>
          </w:tcPr>
          <w:p w:rsidR="00456461" w:rsidRPr="00A67611" w:rsidRDefault="00456461" w:rsidP="002E4814">
            <w:pPr>
              <w:pStyle w:val="TableText0"/>
              <w:rPr>
                <w:sz w:val="18"/>
                <w:szCs w:val="18"/>
              </w:rPr>
            </w:pPr>
          </w:p>
        </w:tc>
        <w:tc>
          <w:tcPr>
            <w:tcW w:w="556" w:type="pct"/>
            <w:vAlign w:val="center"/>
          </w:tcPr>
          <w:p w:rsidR="00456461" w:rsidRPr="00A67611" w:rsidRDefault="00456461" w:rsidP="002E4814">
            <w:pPr>
              <w:pStyle w:val="TableText0"/>
              <w:jc w:val="center"/>
              <w:rPr>
                <w:b/>
                <w:sz w:val="18"/>
                <w:szCs w:val="18"/>
              </w:rPr>
            </w:pPr>
            <w:r w:rsidRPr="00A67611">
              <w:rPr>
                <w:b/>
                <w:sz w:val="18"/>
                <w:szCs w:val="18"/>
              </w:rPr>
              <w:t>Mean baseline (SD)</w:t>
            </w:r>
          </w:p>
        </w:tc>
        <w:tc>
          <w:tcPr>
            <w:tcW w:w="550" w:type="pct"/>
            <w:vAlign w:val="center"/>
          </w:tcPr>
          <w:p w:rsidR="00456461" w:rsidRPr="00A67611" w:rsidRDefault="00456461" w:rsidP="002E4814">
            <w:pPr>
              <w:pStyle w:val="TableText0"/>
              <w:jc w:val="center"/>
              <w:rPr>
                <w:b/>
                <w:sz w:val="18"/>
                <w:szCs w:val="18"/>
              </w:rPr>
            </w:pPr>
            <w:r w:rsidRPr="00A67611">
              <w:rPr>
                <w:b/>
                <w:sz w:val="18"/>
                <w:szCs w:val="18"/>
              </w:rPr>
              <w:t>Mean end point (SD)</w:t>
            </w:r>
          </w:p>
        </w:tc>
        <w:tc>
          <w:tcPr>
            <w:tcW w:w="550" w:type="pct"/>
            <w:vAlign w:val="center"/>
          </w:tcPr>
          <w:p w:rsidR="00456461" w:rsidRPr="00A67611" w:rsidRDefault="00456461" w:rsidP="002E4814">
            <w:pPr>
              <w:pStyle w:val="TableText0"/>
              <w:jc w:val="center"/>
              <w:rPr>
                <w:b/>
                <w:sz w:val="18"/>
                <w:szCs w:val="18"/>
              </w:rPr>
            </w:pPr>
            <w:r w:rsidRPr="00A67611">
              <w:rPr>
                <w:b/>
                <w:sz w:val="18"/>
                <w:szCs w:val="18"/>
              </w:rPr>
              <w:t>Mean change (SD)</w:t>
            </w:r>
          </w:p>
        </w:tc>
        <w:tc>
          <w:tcPr>
            <w:tcW w:w="549" w:type="pct"/>
            <w:vAlign w:val="center"/>
          </w:tcPr>
          <w:p w:rsidR="00456461" w:rsidRPr="00A67611" w:rsidRDefault="00456461" w:rsidP="002E4814">
            <w:pPr>
              <w:pStyle w:val="TableText0"/>
              <w:jc w:val="center"/>
              <w:rPr>
                <w:b/>
                <w:sz w:val="18"/>
                <w:szCs w:val="18"/>
              </w:rPr>
            </w:pPr>
            <w:r w:rsidRPr="00A67611">
              <w:rPr>
                <w:b/>
                <w:sz w:val="18"/>
                <w:szCs w:val="18"/>
              </w:rPr>
              <w:t>Mean baseline (SD)</w:t>
            </w:r>
          </w:p>
        </w:tc>
        <w:tc>
          <w:tcPr>
            <w:tcW w:w="548" w:type="pct"/>
            <w:vAlign w:val="center"/>
          </w:tcPr>
          <w:p w:rsidR="00456461" w:rsidRPr="00A67611" w:rsidRDefault="00456461" w:rsidP="002E4814">
            <w:pPr>
              <w:pStyle w:val="TableText0"/>
              <w:jc w:val="center"/>
              <w:rPr>
                <w:b/>
                <w:sz w:val="18"/>
                <w:szCs w:val="18"/>
              </w:rPr>
            </w:pPr>
            <w:r w:rsidRPr="00A67611">
              <w:rPr>
                <w:b/>
                <w:sz w:val="18"/>
                <w:szCs w:val="18"/>
              </w:rPr>
              <w:t>Mean end point (SD)</w:t>
            </w:r>
          </w:p>
        </w:tc>
        <w:tc>
          <w:tcPr>
            <w:tcW w:w="550" w:type="pct"/>
            <w:vAlign w:val="center"/>
          </w:tcPr>
          <w:p w:rsidR="00456461" w:rsidRPr="00A67611" w:rsidRDefault="00456461" w:rsidP="002E4814">
            <w:pPr>
              <w:pStyle w:val="TableText0"/>
              <w:jc w:val="center"/>
              <w:rPr>
                <w:b/>
                <w:sz w:val="18"/>
                <w:szCs w:val="18"/>
              </w:rPr>
            </w:pPr>
            <w:r w:rsidRPr="00A67611">
              <w:rPr>
                <w:b/>
                <w:sz w:val="18"/>
                <w:szCs w:val="18"/>
              </w:rPr>
              <w:t>Mean change (SD)</w:t>
            </w:r>
          </w:p>
        </w:tc>
        <w:tc>
          <w:tcPr>
            <w:tcW w:w="628" w:type="pct"/>
            <w:vMerge/>
            <w:vAlign w:val="center"/>
          </w:tcPr>
          <w:p w:rsidR="00456461" w:rsidRPr="00A67611" w:rsidRDefault="00456461" w:rsidP="002E4814">
            <w:pPr>
              <w:pStyle w:val="TableText0"/>
              <w:jc w:val="center"/>
              <w:rPr>
                <w:sz w:val="18"/>
                <w:szCs w:val="18"/>
              </w:rPr>
            </w:pPr>
          </w:p>
        </w:tc>
        <w:tc>
          <w:tcPr>
            <w:tcW w:w="607" w:type="pct"/>
            <w:vMerge/>
            <w:vAlign w:val="center"/>
          </w:tcPr>
          <w:p w:rsidR="00456461" w:rsidRPr="00A67611" w:rsidRDefault="00456461" w:rsidP="002E4814">
            <w:pPr>
              <w:pStyle w:val="TableText0"/>
              <w:jc w:val="center"/>
              <w:rPr>
                <w:sz w:val="18"/>
                <w:szCs w:val="18"/>
              </w:rPr>
            </w:pPr>
          </w:p>
        </w:tc>
      </w:tr>
      <w:tr w:rsidR="00456461" w:rsidRPr="00A67611" w:rsidTr="002E4814">
        <w:tc>
          <w:tcPr>
            <w:tcW w:w="5000" w:type="pct"/>
            <w:gridSpan w:val="9"/>
            <w:vAlign w:val="center"/>
          </w:tcPr>
          <w:p w:rsidR="00456461" w:rsidRPr="00A67611" w:rsidRDefault="00456461" w:rsidP="00285905">
            <w:pPr>
              <w:pStyle w:val="TableText0"/>
              <w:rPr>
                <w:sz w:val="18"/>
                <w:szCs w:val="18"/>
              </w:rPr>
            </w:pPr>
            <w:r w:rsidRPr="00A67611">
              <w:rPr>
                <w:sz w:val="18"/>
                <w:szCs w:val="18"/>
              </w:rPr>
              <w:t>Markovà 2019: n=53 in each group – responders from Phase A whose NRS</w:t>
            </w:r>
            <w:r w:rsidR="00285905">
              <w:rPr>
                <w:sz w:val="18"/>
                <w:szCs w:val="18"/>
              </w:rPr>
              <w:t xml:space="preserve"> </w:t>
            </w:r>
            <w:r w:rsidRPr="00A67611">
              <w:rPr>
                <w:sz w:val="18"/>
                <w:szCs w:val="18"/>
              </w:rPr>
              <w:t xml:space="preserve"> </w:t>
            </w:r>
            <w:r w:rsidR="00285905">
              <w:rPr>
                <w:sz w:val="18"/>
                <w:szCs w:val="18"/>
              </w:rPr>
              <w:t xml:space="preserve">improvement reduced by </w:t>
            </w:r>
            <w:r w:rsidR="00C80415" w:rsidRPr="00A67611">
              <w:rPr>
                <w:sz w:val="18"/>
                <w:szCs w:val="18"/>
              </w:rPr>
              <w:t>least</w:t>
            </w:r>
            <w:r w:rsidRPr="00A67611">
              <w:rPr>
                <w:sz w:val="18"/>
                <w:szCs w:val="18"/>
              </w:rPr>
              <w:t xml:space="preserve"> 80% NRS: Endpoint 12 weeks in Phase B: ITT analysis</w:t>
            </w:r>
          </w:p>
        </w:tc>
      </w:tr>
      <w:tr w:rsidR="00456461" w:rsidRPr="00A67611" w:rsidTr="002E4814">
        <w:tc>
          <w:tcPr>
            <w:tcW w:w="462" w:type="pct"/>
            <w:vAlign w:val="center"/>
          </w:tcPr>
          <w:p w:rsidR="00456461" w:rsidRPr="00A67611" w:rsidRDefault="00456461" w:rsidP="002E4814">
            <w:pPr>
              <w:pStyle w:val="TableText0"/>
              <w:rPr>
                <w:sz w:val="18"/>
                <w:szCs w:val="18"/>
              </w:rPr>
            </w:pPr>
            <w:r w:rsidRPr="00A67611">
              <w:rPr>
                <w:sz w:val="18"/>
                <w:szCs w:val="18"/>
              </w:rPr>
              <w:t>Phase B</w:t>
            </w:r>
          </w:p>
        </w:tc>
        <w:tc>
          <w:tcPr>
            <w:tcW w:w="556" w:type="pct"/>
            <w:vAlign w:val="center"/>
          </w:tcPr>
          <w:p w:rsidR="00456461" w:rsidRPr="00A67611" w:rsidRDefault="00456461" w:rsidP="002E4814">
            <w:pPr>
              <w:pStyle w:val="TableText0"/>
              <w:jc w:val="center"/>
              <w:rPr>
                <w:sz w:val="18"/>
                <w:szCs w:val="18"/>
              </w:rPr>
            </w:pPr>
            <w:r w:rsidRPr="00A67611">
              <w:rPr>
                <w:sz w:val="18"/>
                <w:szCs w:val="18"/>
              </w:rPr>
              <w:t>6.89 (NR)</w:t>
            </w:r>
          </w:p>
        </w:tc>
        <w:tc>
          <w:tcPr>
            <w:tcW w:w="550" w:type="pct"/>
            <w:vAlign w:val="center"/>
          </w:tcPr>
          <w:p w:rsidR="00456461" w:rsidRPr="00A67611" w:rsidRDefault="00456461" w:rsidP="002E4814">
            <w:pPr>
              <w:pStyle w:val="TableText0"/>
              <w:jc w:val="center"/>
              <w:rPr>
                <w:sz w:val="18"/>
                <w:szCs w:val="18"/>
              </w:rPr>
            </w:pPr>
            <w:r w:rsidRPr="00A67611">
              <w:rPr>
                <w:sz w:val="18"/>
                <w:szCs w:val="18"/>
              </w:rPr>
              <w:t>3.40 (NR)</w:t>
            </w:r>
          </w:p>
        </w:tc>
        <w:tc>
          <w:tcPr>
            <w:tcW w:w="550" w:type="pct"/>
            <w:vAlign w:val="center"/>
          </w:tcPr>
          <w:p w:rsidR="00456461" w:rsidRPr="00A67611" w:rsidRDefault="00456461" w:rsidP="002E4814">
            <w:pPr>
              <w:pStyle w:val="TableText0"/>
              <w:jc w:val="center"/>
              <w:rPr>
                <w:sz w:val="18"/>
                <w:szCs w:val="18"/>
              </w:rPr>
            </w:pPr>
            <w:r w:rsidRPr="00A67611">
              <w:rPr>
                <w:sz w:val="18"/>
                <w:szCs w:val="18"/>
              </w:rPr>
              <w:t>-3.49 (NR)</w:t>
            </w:r>
          </w:p>
        </w:tc>
        <w:tc>
          <w:tcPr>
            <w:tcW w:w="549" w:type="pct"/>
            <w:vAlign w:val="center"/>
          </w:tcPr>
          <w:p w:rsidR="00456461" w:rsidRPr="00A67611" w:rsidRDefault="00456461" w:rsidP="002E4814">
            <w:pPr>
              <w:pStyle w:val="TableText0"/>
              <w:jc w:val="center"/>
              <w:rPr>
                <w:sz w:val="18"/>
                <w:szCs w:val="18"/>
              </w:rPr>
            </w:pPr>
            <w:r w:rsidRPr="00A67611">
              <w:rPr>
                <w:sz w:val="18"/>
                <w:szCs w:val="18"/>
              </w:rPr>
              <w:t>6.92 (NR)</w:t>
            </w:r>
          </w:p>
        </w:tc>
        <w:tc>
          <w:tcPr>
            <w:tcW w:w="548" w:type="pct"/>
            <w:vAlign w:val="center"/>
          </w:tcPr>
          <w:p w:rsidR="00456461" w:rsidRPr="00A67611" w:rsidRDefault="00456461" w:rsidP="002E4814">
            <w:pPr>
              <w:pStyle w:val="TableText0"/>
              <w:jc w:val="center"/>
              <w:rPr>
                <w:sz w:val="18"/>
                <w:szCs w:val="18"/>
              </w:rPr>
            </w:pPr>
            <w:r w:rsidRPr="00A67611">
              <w:rPr>
                <w:sz w:val="18"/>
                <w:szCs w:val="18"/>
              </w:rPr>
              <w:t>5.32 (NR)</w:t>
            </w:r>
          </w:p>
        </w:tc>
        <w:tc>
          <w:tcPr>
            <w:tcW w:w="550" w:type="pct"/>
            <w:vAlign w:val="center"/>
          </w:tcPr>
          <w:p w:rsidR="00456461" w:rsidRPr="00A67611" w:rsidRDefault="00456461" w:rsidP="002E4814">
            <w:pPr>
              <w:pStyle w:val="TableText0"/>
              <w:jc w:val="center"/>
              <w:rPr>
                <w:sz w:val="18"/>
                <w:szCs w:val="18"/>
              </w:rPr>
            </w:pPr>
            <w:r w:rsidRPr="00A67611">
              <w:rPr>
                <w:sz w:val="18"/>
                <w:szCs w:val="18"/>
              </w:rPr>
              <w:t>-1.60 (NR)</w:t>
            </w:r>
          </w:p>
        </w:tc>
        <w:tc>
          <w:tcPr>
            <w:tcW w:w="628" w:type="pct"/>
            <w:vAlign w:val="center"/>
          </w:tcPr>
          <w:p w:rsidR="00456461" w:rsidRPr="00A67611" w:rsidRDefault="00456461" w:rsidP="002E4814">
            <w:pPr>
              <w:pStyle w:val="TableText0"/>
              <w:jc w:val="center"/>
              <w:rPr>
                <w:sz w:val="18"/>
                <w:szCs w:val="18"/>
              </w:rPr>
            </w:pPr>
            <w:r w:rsidRPr="00A67611">
              <w:rPr>
                <w:sz w:val="18"/>
                <w:szCs w:val="18"/>
              </w:rPr>
              <w:t>-1.89 (NR)</w:t>
            </w:r>
          </w:p>
        </w:tc>
        <w:tc>
          <w:tcPr>
            <w:tcW w:w="607" w:type="pct"/>
            <w:vAlign w:val="center"/>
          </w:tcPr>
          <w:p w:rsidR="00456461" w:rsidRPr="00A67611" w:rsidRDefault="00456461" w:rsidP="002E4814">
            <w:pPr>
              <w:pStyle w:val="TableText0"/>
              <w:jc w:val="center"/>
              <w:rPr>
                <w:b/>
                <w:sz w:val="18"/>
                <w:szCs w:val="18"/>
              </w:rPr>
            </w:pPr>
            <w:r w:rsidRPr="00A67611">
              <w:rPr>
                <w:b/>
                <w:sz w:val="18"/>
                <w:szCs w:val="18"/>
              </w:rPr>
              <w:t>P&lt;0.0001</w:t>
            </w:r>
          </w:p>
          <w:p w:rsidR="00456461" w:rsidRPr="00A67611" w:rsidRDefault="00DE058B" w:rsidP="002E4814">
            <w:pPr>
              <w:pStyle w:val="TableText0"/>
              <w:jc w:val="center"/>
              <w:rPr>
                <w:sz w:val="18"/>
                <w:szCs w:val="18"/>
              </w:rPr>
            </w:pPr>
            <w:r>
              <w:rPr>
                <w:b/>
                <w:sz w:val="18"/>
                <w:szCs w:val="18"/>
              </w:rPr>
              <w:t>(</w:t>
            </w:r>
            <w:r w:rsidR="00456461" w:rsidRPr="00A67611">
              <w:rPr>
                <w:b/>
                <w:sz w:val="18"/>
                <w:szCs w:val="18"/>
              </w:rPr>
              <w:t>-2.73, -1.06</w:t>
            </w:r>
            <w:r>
              <w:rPr>
                <w:b/>
                <w:sz w:val="18"/>
                <w:szCs w:val="18"/>
              </w:rPr>
              <w:t>)</w:t>
            </w:r>
          </w:p>
        </w:tc>
      </w:tr>
      <w:tr w:rsidR="00456461" w:rsidRPr="00A67611" w:rsidTr="002E4814">
        <w:tc>
          <w:tcPr>
            <w:tcW w:w="5000" w:type="pct"/>
            <w:gridSpan w:val="9"/>
            <w:vAlign w:val="center"/>
          </w:tcPr>
          <w:p w:rsidR="00456461" w:rsidRPr="00A67611" w:rsidRDefault="00456461" w:rsidP="002E4814">
            <w:pPr>
              <w:pStyle w:val="TableText0"/>
              <w:rPr>
                <w:sz w:val="18"/>
                <w:szCs w:val="18"/>
              </w:rPr>
            </w:pPr>
            <w:r w:rsidRPr="00A67611">
              <w:rPr>
                <w:sz w:val="18"/>
                <w:szCs w:val="18"/>
              </w:rPr>
              <w:t>Novotna 2011: n=241 for patients enrolled at start of Phase A who responded and went into Phase B: n =124 nabiximols and n=117 placebo for start of Phase B: End point 4 weeks for Phase A and another 12 weeks in Phase B: ITT analysis</w:t>
            </w:r>
          </w:p>
        </w:tc>
      </w:tr>
      <w:tr w:rsidR="00456461" w:rsidRPr="00A67611" w:rsidTr="002E4814">
        <w:tc>
          <w:tcPr>
            <w:tcW w:w="462" w:type="pct"/>
            <w:shd w:val="clear" w:color="auto" w:fill="B8CCE4" w:themeFill="accent1" w:themeFillTint="66"/>
            <w:vAlign w:val="center"/>
          </w:tcPr>
          <w:p w:rsidR="00456461" w:rsidRPr="00A67611" w:rsidRDefault="00456461" w:rsidP="002E4814">
            <w:pPr>
              <w:pStyle w:val="TableText0"/>
              <w:rPr>
                <w:sz w:val="18"/>
                <w:szCs w:val="18"/>
              </w:rPr>
            </w:pPr>
            <w:r w:rsidRPr="00A67611">
              <w:rPr>
                <w:sz w:val="18"/>
                <w:szCs w:val="18"/>
              </w:rPr>
              <w:t>From start of Phase A*</w:t>
            </w:r>
          </w:p>
        </w:tc>
        <w:tc>
          <w:tcPr>
            <w:tcW w:w="556"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6.91 (1.25)</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3.90 (1.38)</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-3.01 (NR)</w:t>
            </w:r>
          </w:p>
        </w:tc>
        <w:tc>
          <w:tcPr>
            <w:tcW w:w="549"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(NR)</w:t>
            </w:r>
          </w:p>
        </w:tc>
        <w:tc>
          <w:tcPr>
            <w:tcW w:w="54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(NR)</w:t>
            </w:r>
          </w:p>
        </w:tc>
        <w:tc>
          <w:tcPr>
            <w:tcW w:w="62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(NR)</w:t>
            </w:r>
          </w:p>
        </w:tc>
        <w:tc>
          <w:tcPr>
            <w:tcW w:w="607"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(NR)</w:t>
            </w:r>
          </w:p>
        </w:tc>
      </w:tr>
      <w:tr w:rsidR="00456461" w:rsidRPr="00A67611" w:rsidTr="002E4814">
        <w:tc>
          <w:tcPr>
            <w:tcW w:w="462" w:type="pct"/>
            <w:shd w:val="clear" w:color="auto" w:fill="B8CCE4" w:themeFill="accent1" w:themeFillTint="66"/>
            <w:vAlign w:val="center"/>
          </w:tcPr>
          <w:p w:rsidR="00456461" w:rsidRPr="00A67611" w:rsidRDefault="00456461" w:rsidP="002E4814">
            <w:pPr>
              <w:pStyle w:val="TableText0"/>
              <w:rPr>
                <w:sz w:val="18"/>
                <w:szCs w:val="18"/>
              </w:rPr>
            </w:pPr>
            <w:r w:rsidRPr="00A67611">
              <w:rPr>
                <w:sz w:val="18"/>
                <w:szCs w:val="18"/>
              </w:rPr>
              <w:t>From start of Phase B</w:t>
            </w:r>
          </w:p>
        </w:tc>
        <w:tc>
          <w:tcPr>
            <w:tcW w:w="556"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3.87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3.83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-0.04 (NR)</w:t>
            </w:r>
          </w:p>
        </w:tc>
        <w:tc>
          <w:tcPr>
            <w:tcW w:w="549"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3.92 (NR)</w:t>
            </w:r>
          </w:p>
        </w:tc>
        <w:tc>
          <w:tcPr>
            <w:tcW w:w="54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4.73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0.81 (NR)</w:t>
            </w:r>
          </w:p>
        </w:tc>
        <w:tc>
          <w:tcPr>
            <w:tcW w:w="62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-0.84 (NR)</w:t>
            </w:r>
          </w:p>
        </w:tc>
        <w:tc>
          <w:tcPr>
            <w:tcW w:w="607" w:type="pct"/>
            <w:shd w:val="clear" w:color="auto" w:fill="B8CCE4" w:themeFill="accent1" w:themeFillTint="66"/>
            <w:vAlign w:val="center"/>
          </w:tcPr>
          <w:p w:rsidR="00456461" w:rsidRPr="00A67611" w:rsidRDefault="00456461" w:rsidP="002E4814">
            <w:pPr>
              <w:pStyle w:val="TableText0"/>
              <w:jc w:val="center"/>
              <w:rPr>
                <w:b/>
                <w:sz w:val="18"/>
                <w:szCs w:val="18"/>
              </w:rPr>
            </w:pPr>
            <w:r w:rsidRPr="00A67611">
              <w:rPr>
                <w:b/>
                <w:sz w:val="18"/>
                <w:szCs w:val="18"/>
              </w:rPr>
              <w:t>P=0.0002</w:t>
            </w:r>
          </w:p>
          <w:p w:rsidR="00456461" w:rsidRPr="00A67611" w:rsidRDefault="00DE058B" w:rsidP="002E4814">
            <w:pPr>
              <w:pStyle w:val="TableText0"/>
              <w:jc w:val="center"/>
              <w:rPr>
                <w:sz w:val="18"/>
                <w:szCs w:val="18"/>
              </w:rPr>
            </w:pPr>
            <w:r>
              <w:rPr>
                <w:b/>
                <w:sz w:val="18"/>
                <w:szCs w:val="18"/>
              </w:rPr>
              <w:t>(</w:t>
            </w:r>
            <w:r w:rsidR="00456461" w:rsidRPr="00A67611">
              <w:rPr>
                <w:b/>
                <w:sz w:val="18"/>
                <w:szCs w:val="18"/>
              </w:rPr>
              <w:t>-1.29, -0.40</w:t>
            </w:r>
            <w:r>
              <w:rPr>
                <w:b/>
                <w:sz w:val="18"/>
                <w:szCs w:val="18"/>
              </w:rPr>
              <w:t>)</w:t>
            </w:r>
          </w:p>
        </w:tc>
      </w:tr>
      <w:tr w:rsidR="00456461" w:rsidRPr="00A67611" w:rsidTr="002E4814">
        <w:tc>
          <w:tcPr>
            <w:tcW w:w="5000" w:type="pct"/>
            <w:gridSpan w:val="9"/>
            <w:vAlign w:val="center"/>
          </w:tcPr>
          <w:p w:rsidR="00456461" w:rsidRPr="00A67611" w:rsidRDefault="00456461" w:rsidP="002E4814">
            <w:pPr>
              <w:pStyle w:val="TableText0"/>
              <w:rPr>
                <w:sz w:val="18"/>
                <w:szCs w:val="18"/>
              </w:rPr>
            </w:pPr>
            <w:r w:rsidRPr="00A67611">
              <w:rPr>
                <w:sz w:val="18"/>
                <w:szCs w:val="18"/>
              </w:rPr>
              <w:t xml:space="preserve">Collin 2007: n=120 on nabiximols and 64 on placebo. </w:t>
            </w:r>
          </w:p>
        </w:tc>
      </w:tr>
      <w:tr w:rsidR="00456461" w:rsidRPr="00A67611" w:rsidTr="002E4814">
        <w:tc>
          <w:tcPr>
            <w:tcW w:w="462" w:type="pct"/>
            <w:shd w:val="clear" w:color="auto" w:fill="B8CCE4" w:themeFill="accent1" w:themeFillTint="66"/>
            <w:vAlign w:val="center"/>
          </w:tcPr>
          <w:p w:rsidR="00456461" w:rsidRPr="00A67611" w:rsidRDefault="00456461" w:rsidP="002E4814">
            <w:pPr>
              <w:pStyle w:val="TableText0"/>
              <w:rPr>
                <w:sz w:val="18"/>
                <w:szCs w:val="18"/>
              </w:rPr>
            </w:pPr>
            <w:r w:rsidRPr="00A67611">
              <w:rPr>
                <w:sz w:val="18"/>
                <w:szCs w:val="18"/>
              </w:rPr>
              <w:t>ITT</w:t>
            </w:r>
          </w:p>
        </w:tc>
        <w:tc>
          <w:tcPr>
            <w:tcW w:w="556"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5.49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4.31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-1.18 (NR)</w:t>
            </w:r>
          </w:p>
        </w:tc>
        <w:tc>
          <w:tcPr>
            <w:tcW w:w="549"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5.39 (NR)</w:t>
            </w:r>
          </w:p>
        </w:tc>
        <w:tc>
          <w:tcPr>
            <w:tcW w:w="54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4.76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-0.63 (NR)</w:t>
            </w:r>
          </w:p>
        </w:tc>
        <w:tc>
          <w:tcPr>
            <w:tcW w:w="62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-0.52 (NR)</w:t>
            </w:r>
          </w:p>
        </w:tc>
        <w:tc>
          <w:tcPr>
            <w:tcW w:w="607" w:type="pct"/>
            <w:shd w:val="clear" w:color="auto" w:fill="B8CCE4" w:themeFill="accent1" w:themeFillTint="66"/>
            <w:vAlign w:val="center"/>
          </w:tcPr>
          <w:p w:rsidR="00456461" w:rsidRPr="00A67611" w:rsidRDefault="00456461" w:rsidP="002E4814">
            <w:pPr>
              <w:pStyle w:val="TableText0"/>
              <w:jc w:val="center"/>
              <w:rPr>
                <w:b/>
                <w:sz w:val="18"/>
                <w:szCs w:val="18"/>
              </w:rPr>
            </w:pPr>
            <w:r w:rsidRPr="00A67611">
              <w:rPr>
                <w:b/>
                <w:sz w:val="18"/>
                <w:szCs w:val="18"/>
              </w:rPr>
              <w:t>P=0.048</w:t>
            </w:r>
          </w:p>
          <w:p w:rsidR="00456461" w:rsidRPr="00A67611" w:rsidRDefault="00DE058B" w:rsidP="002E4814">
            <w:pPr>
              <w:pStyle w:val="TableText0"/>
              <w:jc w:val="center"/>
              <w:rPr>
                <w:sz w:val="18"/>
                <w:szCs w:val="18"/>
              </w:rPr>
            </w:pPr>
            <w:r>
              <w:rPr>
                <w:b/>
                <w:sz w:val="18"/>
                <w:szCs w:val="18"/>
              </w:rPr>
              <w:t>(</w:t>
            </w:r>
            <w:r w:rsidR="00456461" w:rsidRPr="00A67611">
              <w:rPr>
                <w:b/>
                <w:sz w:val="18"/>
                <w:szCs w:val="18"/>
              </w:rPr>
              <w:t>-1.029, -0.004</w:t>
            </w:r>
            <w:r>
              <w:rPr>
                <w:b/>
                <w:sz w:val="18"/>
                <w:szCs w:val="18"/>
              </w:rPr>
              <w:t>)</w:t>
            </w:r>
          </w:p>
        </w:tc>
      </w:tr>
      <w:tr w:rsidR="00456461" w:rsidRPr="00A67611" w:rsidTr="002E4814">
        <w:tc>
          <w:tcPr>
            <w:tcW w:w="5000" w:type="pct"/>
            <w:gridSpan w:val="9"/>
            <w:vAlign w:val="center"/>
          </w:tcPr>
          <w:p w:rsidR="00456461" w:rsidRPr="00A67611" w:rsidRDefault="00456461" w:rsidP="002E4814">
            <w:pPr>
              <w:pStyle w:val="TableText0"/>
              <w:rPr>
                <w:sz w:val="18"/>
                <w:szCs w:val="18"/>
              </w:rPr>
            </w:pPr>
            <w:r w:rsidRPr="00A67611">
              <w:rPr>
                <w:sz w:val="18"/>
                <w:szCs w:val="18"/>
              </w:rPr>
              <w:t xml:space="preserve">Collin 2010: n=167 on nabiximols and 170 on placebo for ITT, n=121 on nabiximols and 144 on placebo for PP: </w:t>
            </w:r>
          </w:p>
        </w:tc>
      </w:tr>
      <w:tr w:rsidR="00456461" w:rsidRPr="00A67611" w:rsidTr="002E4814">
        <w:tc>
          <w:tcPr>
            <w:tcW w:w="462" w:type="pct"/>
            <w:shd w:val="clear" w:color="auto" w:fill="B8CCE4" w:themeFill="accent1" w:themeFillTint="66"/>
            <w:vAlign w:val="center"/>
          </w:tcPr>
          <w:p w:rsidR="00456461" w:rsidRPr="00A67611" w:rsidRDefault="00456461" w:rsidP="002E4814">
            <w:pPr>
              <w:pStyle w:val="TableText0"/>
              <w:rPr>
                <w:sz w:val="18"/>
                <w:szCs w:val="18"/>
              </w:rPr>
            </w:pPr>
            <w:r w:rsidRPr="00A67611">
              <w:rPr>
                <w:sz w:val="18"/>
                <w:szCs w:val="18"/>
              </w:rPr>
              <w:t>ITT</w:t>
            </w:r>
          </w:p>
        </w:tc>
        <w:tc>
          <w:tcPr>
            <w:tcW w:w="556"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6.77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5.72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-1.05 (NR)</w:t>
            </w:r>
          </w:p>
        </w:tc>
        <w:tc>
          <w:tcPr>
            <w:tcW w:w="549"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6.48 (NR)</w:t>
            </w:r>
          </w:p>
        </w:tc>
        <w:tc>
          <w:tcPr>
            <w:tcW w:w="54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5.26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-0.82 (NR)</w:t>
            </w:r>
          </w:p>
        </w:tc>
        <w:tc>
          <w:tcPr>
            <w:tcW w:w="62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-0.23 (NR)</w:t>
            </w:r>
          </w:p>
        </w:tc>
        <w:tc>
          <w:tcPr>
            <w:tcW w:w="607"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P=0.219</w:t>
            </w:r>
          </w:p>
          <w:p w:rsidR="00456461" w:rsidRPr="00A67611" w:rsidRDefault="00DE058B" w:rsidP="002E4814">
            <w:pPr>
              <w:pStyle w:val="TableText0"/>
              <w:jc w:val="center"/>
              <w:rPr>
                <w:sz w:val="18"/>
                <w:szCs w:val="18"/>
              </w:rPr>
            </w:pPr>
            <w:r>
              <w:rPr>
                <w:sz w:val="18"/>
                <w:szCs w:val="18"/>
              </w:rPr>
              <w:t>(</w:t>
            </w:r>
            <w:r w:rsidR="00456461" w:rsidRPr="00A67611">
              <w:rPr>
                <w:sz w:val="18"/>
                <w:szCs w:val="18"/>
              </w:rPr>
              <w:t>-0.59, 0.14</w:t>
            </w:r>
            <w:r>
              <w:rPr>
                <w:sz w:val="18"/>
                <w:szCs w:val="18"/>
              </w:rPr>
              <w:t>)</w:t>
            </w:r>
          </w:p>
        </w:tc>
      </w:tr>
      <w:tr w:rsidR="00456461" w:rsidRPr="00A67611" w:rsidTr="002E4814">
        <w:tc>
          <w:tcPr>
            <w:tcW w:w="462" w:type="pct"/>
            <w:shd w:val="clear" w:color="auto" w:fill="B8CCE4" w:themeFill="accent1" w:themeFillTint="66"/>
            <w:vAlign w:val="center"/>
          </w:tcPr>
          <w:p w:rsidR="00456461" w:rsidRPr="00A67611" w:rsidRDefault="00456461" w:rsidP="002E4814">
            <w:pPr>
              <w:pStyle w:val="TableText0"/>
              <w:rPr>
                <w:sz w:val="18"/>
                <w:szCs w:val="18"/>
              </w:rPr>
            </w:pPr>
            <w:r w:rsidRPr="00A67611">
              <w:rPr>
                <w:sz w:val="18"/>
                <w:szCs w:val="18"/>
              </w:rPr>
              <w:t>PP</w:t>
            </w:r>
          </w:p>
        </w:tc>
        <w:tc>
          <w:tcPr>
            <w:tcW w:w="556"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6.84 (NR)</w:t>
            </w:r>
          </w:p>
        </w:tc>
        <w:tc>
          <w:tcPr>
            <w:tcW w:w="550" w:type="pct"/>
            <w:shd w:val="clear" w:color="auto" w:fill="B8CCE4" w:themeFill="accent1" w:themeFillTint="66"/>
            <w:vAlign w:val="center"/>
          </w:tcPr>
          <w:p w:rsidR="00456461" w:rsidRPr="00A67611" w:rsidRDefault="00456461" w:rsidP="002E4814">
            <w:pPr>
              <w:pStyle w:val="TableText0"/>
              <w:jc w:val="center"/>
              <w:rPr>
                <w:i/>
                <w:sz w:val="18"/>
                <w:szCs w:val="18"/>
              </w:rPr>
            </w:pPr>
            <w:r w:rsidRPr="00A67611">
              <w:rPr>
                <w:i/>
                <w:sz w:val="18"/>
                <w:szCs w:val="18"/>
              </w:rPr>
              <w:t>5.54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-1.30 (NR)</w:t>
            </w:r>
          </w:p>
        </w:tc>
        <w:tc>
          <w:tcPr>
            <w:tcW w:w="549"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6.49 (NR)</w:t>
            </w:r>
          </w:p>
        </w:tc>
        <w:tc>
          <w:tcPr>
            <w:tcW w:w="548" w:type="pct"/>
            <w:shd w:val="clear" w:color="auto" w:fill="B8CCE4" w:themeFill="accent1" w:themeFillTint="66"/>
            <w:vAlign w:val="center"/>
          </w:tcPr>
          <w:p w:rsidR="00456461" w:rsidRPr="00A67611" w:rsidRDefault="00456461" w:rsidP="002E4814">
            <w:pPr>
              <w:pStyle w:val="TableText0"/>
              <w:jc w:val="center"/>
              <w:rPr>
                <w:i/>
                <w:sz w:val="18"/>
                <w:szCs w:val="18"/>
              </w:rPr>
            </w:pPr>
            <w:r w:rsidRPr="00A67611">
              <w:rPr>
                <w:i/>
                <w:sz w:val="18"/>
                <w:szCs w:val="18"/>
              </w:rPr>
              <w:t>5.65 (NR)</w:t>
            </w:r>
          </w:p>
        </w:tc>
        <w:tc>
          <w:tcPr>
            <w:tcW w:w="550"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-0.84 (NR)</w:t>
            </w:r>
          </w:p>
        </w:tc>
        <w:tc>
          <w:tcPr>
            <w:tcW w:w="628"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-0.46 (NR)</w:t>
            </w:r>
          </w:p>
        </w:tc>
        <w:tc>
          <w:tcPr>
            <w:tcW w:w="607" w:type="pct"/>
            <w:shd w:val="clear" w:color="auto" w:fill="B8CCE4" w:themeFill="accent1" w:themeFillTint="66"/>
            <w:vAlign w:val="center"/>
          </w:tcPr>
          <w:p w:rsidR="00456461" w:rsidRPr="00A67611" w:rsidRDefault="00456461" w:rsidP="002E4814">
            <w:pPr>
              <w:pStyle w:val="TableText0"/>
              <w:jc w:val="center"/>
              <w:rPr>
                <w:sz w:val="18"/>
                <w:szCs w:val="18"/>
              </w:rPr>
            </w:pPr>
            <w:r w:rsidRPr="00A67611">
              <w:rPr>
                <w:sz w:val="18"/>
                <w:szCs w:val="18"/>
              </w:rPr>
              <w:t>P=0.035 (NR)</w:t>
            </w:r>
          </w:p>
        </w:tc>
      </w:tr>
    </w:tbl>
    <w:p w:rsidR="00456461" w:rsidRPr="00A67611" w:rsidRDefault="00456461" w:rsidP="00456461">
      <w:pPr>
        <w:pStyle w:val="TableFigureFooter"/>
        <w:rPr>
          <w:sz w:val="20"/>
        </w:rPr>
      </w:pPr>
      <w:r w:rsidRPr="00A67611">
        <w:t>Source: Table 52, p89 of the resubmission, Novotna CSR p91.</w:t>
      </w:r>
    </w:p>
    <w:p w:rsidR="00456461" w:rsidRPr="00A67611" w:rsidRDefault="00934024" w:rsidP="00456461">
      <w:pPr>
        <w:pStyle w:val="TableFigureFooter"/>
        <w:rPr>
          <w:rFonts w:eastAsia="Calibri"/>
          <w:b/>
          <w:color w:val="000000" w:themeColor="text1"/>
        </w:rPr>
      </w:pPr>
      <w:r w:rsidRPr="00A67611">
        <w:t>NRS = Num</w:t>
      </w:r>
      <w:r w:rsidR="00456461" w:rsidRPr="00A67611">
        <w:t>erical Rating Scale; CI = confidence interval; SD = standard deviation. NR = not reported</w:t>
      </w:r>
    </w:p>
    <w:p w:rsidR="00456461" w:rsidRPr="00A67611" w:rsidRDefault="00456461" w:rsidP="00456461">
      <w:pPr>
        <w:pStyle w:val="TableFigureFooter"/>
      </w:pPr>
      <w:r w:rsidRPr="00A67611">
        <w:rPr>
          <w:rFonts w:eastAsia="Calibri"/>
          <w:color w:val="000000" w:themeColor="text1"/>
        </w:rPr>
        <w:t>Bold indicates statistically significant results. Italics indicate values calculated during evaluation</w:t>
      </w:r>
    </w:p>
    <w:p w:rsidR="00456461" w:rsidRPr="00A67611" w:rsidRDefault="00456461" w:rsidP="00456461">
      <w:pPr>
        <w:pStyle w:val="TableFigureFooter"/>
      </w:pPr>
      <w:r w:rsidRPr="00A67611">
        <w:t xml:space="preserve">Note: The previous commentary reported adjusted mean change in spasticity severity. These results were on a page of the CSRs that were not provided at the time of the evaluation and could not be verified. Therefore unadjusted results were provided </w:t>
      </w:r>
    </w:p>
    <w:p w:rsidR="00FA30CD" w:rsidRPr="00A67611" w:rsidRDefault="00456461" w:rsidP="00456461">
      <w:pPr>
        <w:pStyle w:val="TableFigureFooter"/>
        <w:tabs>
          <w:tab w:val="left" w:pos="284"/>
        </w:tabs>
        <w:ind w:left="284" w:hanging="284"/>
      </w:pPr>
      <w:r w:rsidRPr="00A67611">
        <w:t>*</w:t>
      </w:r>
      <w:r w:rsidRPr="00A67611">
        <w:rPr>
          <w:color w:val="000000" w:themeColor="text1"/>
        </w:rPr>
        <w:tab/>
      </w:r>
      <w:r w:rsidRPr="00A67611">
        <w:t>The CSR for Novotna 2011 noted that patients who received nabiximols for the full 16 weeks had a 48% improvement in their spasticity.</w:t>
      </w:r>
      <w:r w:rsidR="00FA30CD" w:rsidRPr="00A67611">
        <w:t xml:space="preserve"> </w:t>
      </w:r>
    </w:p>
    <w:p w:rsidR="00FA30CD" w:rsidRPr="00A67611" w:rsidRDefault="00FA30CD" w:rsidP="000F706A">
      <w:pPr>
        <w:pStyle w:val="3-BodyText"/>
      </w:pPr>
      <w:r w:rsidRPr="00A67611">
        <w:t xml:space="preserve">Markovà 2019, Novotna 2011, and Collin 2007 reported that more patients treated with nabiximols + </w:t>
      </w:r>
      <w:r w:rsidR="00576028" w:rsidRPr="00A67611">
        <w:t>SC</w:t>
      </w:r>
      <w:r w:rsidRPr="00A67611">
        <w:t xml:space="preserve"> compared to placebo + </w:t>
      </w:r>
      <w:r w:rsidR="00576028" w:rsidRPr="00A67611">
        <w:t>SC</w:t>
      </w:r>
      <w:r w:rsidRPr="00A67611">
        <w:t xml:space="preserve"> had a clinically significant change in spasticity (defined by the submission as at least a 30% change) on the NRS spasticity scale, while the Collin 2010 trial did not </w:t>
      </w:r>
      <w:r w:rsidR="00067FCF" w:rsidRPr="00A67611">
        <w:t xml:space="preserve">report </w:t>
      </w:r>
      <w:r w:rsidRPr="00A67611">
        <w:t>a statistically significant difference in the ITT population.</w:t>
      </w:r>
    </w:p>
    <w:p w:rsidR="00FA30CD" w:rsidRPr="00A67611" w:rsidRDefault="00FA30CD" w:rsidP="000F706A">
      <w:pPr>
        <w:pStyle w:val="3-BodyText"/>
      </w:pPr>
      <w:r w:rsidRPr="00A67611">
        <w:lastRenderedPageBreak/>
        <w:t>The PBAC previously considered the benefits observed from Novotna 2011 were small, likely to be overestimated (due to high risk of bias) and to have questionable clinical significance (</w:t>
      </w:r>
      <w:r w:rsidR="00DE058B">
        <w:t>s</w:t>
      </w:r>
      <w:r w:rsidR="002B5FE5">
        <w:t xml:space="preserve">ection </w:t>
      </w:r>
      <w:r w:rsidRPr="00A67611">
        <w:t xml:space="preserve">9, </w:t>
      </w:r>
      <w:r w:rsidR="00AD506F">
        <w:t>n</w:t>
      </w:r>
      <w:r w:rsidRPr="00A67611">
        <w:t>abiximols PSD, July 2013 PBAC Meeting).</w:t>
      </w:r>
    </w:p>
    <w:p w:rsidR="00A22F5E" w:rsidRPr="00A22F5E" w:rsidRDefault="00FA30CD" w:rsidP="000F706A">
      <w:pPr>
        <w:pStyle w:val="3-BodyText"/>
      </w:pPr>
      <w:r w:rsidRPr="00A67611">
        <w:t xml:space="preserve">Overall, there was evidence that a greater proportion of patients treated with nabiximols had a clinically significant improvement in spasticity as measured by proportion of patients achieving </w:t>
      </w:r>
      <w:r w:rsidRPr="00A67611">
        <w:rPr>
          <w:rFonts w:cstheme="minorHAnsi"/>
        </w:rPr>
        <w:t>≥</w:t>
      </w:r>
      <w:r w:rsidRPr="00A67611">
        <w:t>30% improvement in baseline NRS, though the magnitude is uncertain given that all trials had risk of bias and the large variation in both nabiximols and placebo response rates across trials.</w:t>
      </w:r>
      <w:r w:rsidR="00A22F5E">
        <w:t xml:space="preserve"> </w:t>
      </w:r>
      <w:r w:rsidR="00A22F5E" w:rsidRPr="00A22F5E">
        <w:t xml:space="preserve">The evaluation noted the magnitude of benefit was variable between trials, with varying rates for both nabiximols response (from 30.7% in Collin 2010 to 77% in Markovà 2019) and SC response (from 21.9% in Collin 2007 to 51.2% in Novotna 2011).  </w:t>
      </w:r>
    </w:p>
    <w:p w:rsidR="00FA30CD" w:rsidRPr="00A67611" w:rsidRDefault="00FA30CD" w:rsidP="000F706A">
      <w:pPr>
        <w:pStyle w:val="3-BodyText"/>
      </w:pPr>
      <w:r w:rsidRPr="00A67611">
        <w:t>Response to nabiximols appeared to decrease over time towards the end of the trials, and placebo response in some cases increased. In Markovà 2019, the proportion of patients treated with nabiximols who experienced improvement of ≥30% improvement from baseline NRS decreased from 71.7% at Week 8 to 67.9% at Week 12 in the General Linear Mixed Model sensitivity analysis, with the proportion of responders treated with placebo increasing from 28.3% to 30.2% for the same period.</w:t>
      </w:r>
    </w:p>
    <w:p w:rsidR="00FA30CD" w:rsidRPr="00A67611" w:rsidRDefault="00FA30CD" w:rsidP="000F706A">
      <w:pPr>
        <w:pStyle w:val="3-BodyText"/>
      </w:pPr>
      <w:r w:rsidRPr="00A67611">
        <w:t>Subject’s (Patient’s)</w:t>
      </w:r>
      <w:r w:rsidR="00E53381" w:rsidRPr="00A67611">
        <w:t xml:space="preserve">, </w:t>
      </w:r>
      <w:r w:rsidRPr="00A67611">
        <w:t xml:space="preserve">Carer’s and Physician’s Global Impression of Change across the trials (where measured) are presented in </w:t>
      </w:r>
      <w:r w:rsidR="00D420F9" w:rsidRPr="00D420F9">
        <w:t>Table 7</w:t>
      </w:r>
      <w:r w:rsidRPr="00A67611">
        <w:t xml:space="preserve">. </w:t>
      </w:r>
    </w:p>
    <w:p w:rsidR="00FA30CD" w:rsidRPr="00A67611" w:rsidRDefault="00456461" w:rsidP="00DD2407">
      <w:pPr>
        <w:pStyle w:val="TableFigureHeading"/>
        <w:rPr>
          <w:rStyle w:val="CommentReference"/>
          <w:b/>
          <w:szCs w:val="24"/>
        </w:rPr>
      </w:pPr>
      <w:bookmarkStart w:id="33" w:name="_Ref27564336"/>
      <w:r w:rsidRPr="00A67611">
        <w:rPr>
          <w:rStyle w:val="CommentReference"/>
          <w:b/>
          <w:szCs w:val="24"/>
        </w:rPr>
        <w:lastRenderedPageBreak/>
        <w:t xml:space="preserve">Table </w:t>
      </w:r>
      <w:r w:rsidR="00D420F9">
        <w:rPr>
          <w:rStyle w:val="CommentReference"/>
          <w:b/>
          <w:noProof/>
          <w:szCs w:val="24"/>
        </w:rPr>
        <w:t>7</w:t>
      </w:r>
      <w:bookmarkEnd w:id="33"/>
      <w:r w:rsidR="00FA30CD" w:rsidRPr="00A67611">
        <w:rPr>
          <w:rStyle w:val="CommentReference"/>
          <w:b/>
          <w:szCs w:val="24"/>
        </w:rPr>
        <w:t>: Results of changes in Subject’s (Patient’s), Carer’s and Physician’s global impression of change from baseline to end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71"/>
        <w:gridCol w:w="1610"/>
        <w:gridCol w:w="1416"/>
        <w:gridCol w:w="1307"/>
        <w:gridCol w:w="1307"/>
        <w:gridCol w:w="1306"/>
      </w:tblGrid>
      <w:tr w:rsidR="008078EB" w:rsidRPr="00A67611" w:rsidTr="008078EB">
        <w:trPr>
          <w:trHeight w:val="688"/>
          <w:tblHeader/>
        </w:trPr>
        <w:tc>
          <w:tcPr>
            <w:tcW w:w="1148" w:type="pct"/>
            <w:vAlign w:val="center"/>
          </w:tcPr>
          <w:p w:rsidR="008078EB" w:rsidRPr="00A67611" w:rsidRDefault="008078EB" w:rsidP="00222A5E">
            <w:pPr>
              <w:keepNext/>
              <w:keepLines/>
              <w:widowControl w:val="0"/>
              <w:jc w:val="left"/>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Trial</w:t>
            </w:r>
          </w:p>
        </w:tc>
        <w:tc>
          <w:tcPr>
            <w:tcW w:w="893" w:type="pct"/>
            <w:vAlign w:val="center"/>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 xml:space="preserve">Nabiximols + </w:t>
            </w:r>
            <w:r w:rsidR="00576028" w:rsidRPr="00A67611">
              <w:rPr>
                <w:rFonts w:ascii="Arial Narrow" w:hAnsi="Arial Narrow" w:cs="Times New Roman"/>
                <w:b/>
                <w:snapToGrid w:val="0"/>
                <w:sz w:val="20"/>
                <w:szCs w:val="20"/>
                <w:lang w:eastAsia="en-US"/>
              </w:rPr>
              <w:t>SC</w:t>
            </w:r>
          </w:p>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n/N (%)</w:t>
            </w:r>
          </w:p>
        </w:tc>
        <w:tc>
          <w:tcPr>
            <w:tcW w:w="785" w:type="pct"/>
            <w:vAlign w:val="center"/>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 xml:space="preserve">Placebo + </w:t>
            </w:r>
            <w:r w:rsidR="00576028" w:rsidRPr="00A67611">
              <w:rPr>
                <w:rFonts w:ascii="Arial Narrow" w:hAnsi="Arial Narrow" w:cs="Times New Roman"/>
                <w:b/>
                <w:snapToGrid w:val="0"/>
                <w:sz w:val="20"/>
                <w:szCs w:val="20"/>
                <w:lang w:eastAsia="en-US"/>
              </w:rPr>
              <w:t>SC</w:t>
            </w:r>
          </w:p>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n/N (%)</w:t>
            </w:r>
          </w:p>
        </w:tc>
        <w:tc>
          <w:tcPr>
            <w:tcW w:w="725" w:type="pct"/>
            <w:vAlign w:val="center"/>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Odds Ratio (95%CI)</w:t>
            </w:r>
          </w:p>
        </w:tc>
        <w:tc>
          <w:tcPr>
            <w:tcW w:w="725" w:type="pct"/>
            <w:vAlign w:val="center"/>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Relative risk</w:t>
            </w:r>
          </w:p>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(95% CI)</w:t>
            </w:r>
          </w:p>
        </w:tc>
        <w:tc>
          <w:tcPr>
            <w:tcW w:w="725" w:type="pct"/>
            <w:vAlign w:val="center"/>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Risk difference (95% CI)</w:t>
            </w:r>
          </w:p>
        </w:tc>
      </w:tr>
      <w:tr w:rsidR="008078EB" w:rsidRPr="00A67611" w:rsidTr="002E4814">
        <w:tc>
          <w:tcPr>
            <w:tcW w:w="5000" w:type="pct"/>
            <w:gridSpan w:val="6"/>
          </w:tcPr>
          <w:p w:rsidR="008078EB" w:rsidRPr="00A67611" w:rsidRDefault="008078EB" w:rsidP="00222A5E">
            <w:pPr>
              <w:keepNext/>
              <w:keepLines/>
              <w:widowControl w:val="0"/>
              <w:jc w:val="left"/>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Patient’s Global Impression of Change</w:t>
            </w:r>
          </w:p>
        </w:tc>
      </w:tr>
      <w:tr w:rsidR="008078EB" w:rsidRPr="00A67611" w:rsidTr="002E4814">
        <w:tc>
          <w:tcPr>
            <w:tcW w:w="1148" w:type="pct"/>
            <w:vAlign w:val="center"/>
          </w:tcPr>
          <w:p w:rsidR="008078EB" w:rsidRPr="00A67611" w:rsidRDefault="008078EB" w:rsidP="00222A5E">
            <w:pPr>
              <w:keepNext/>
              <w:keepLines/>
              <w:widowControl w:val="0"/>
              <w:jc w:val="left"/>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Markovà 2019 (Phase B)</w:t>
            </w:r>
          </w:p>
        </w:tc>
        <w:tc>
          <w:tcPr>
            <w:tcW w:w="893" w:type="pct"/>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23/51 (43%)</w:t>
            </w:r>
          </w:p>
        </w:tc>
        <w:tc>
          <w:tcPr>
            <w:tcW w:w="785" w:type="pct"/>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14/46 (26%)</w:t>
            </w:r>
          </w:p>
        </w:tc>
        <w:tc>
          <w:tcPr>
            <w:tcW w:w="72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 xml:space="preserve">1.85 </w:t>
            </w:r>
          </w:p>
          <w:p w:rsidR="008078EB" w:rsidRPr="00A67611" w:rsidRDefault="008078EB" w:rsidP="00222A5E">
            <w:pPr>
              <w:keepNext/>
              <w:keepLines/>
              <w:widowControl w:val="0"/>
              <w:jc w:val="center"/>
              <w:rPr>
                <w:rFonts w:ascii="Arial Narrow" w:hAnsi="Arial Narrow" w:cs="Times New Roman"/>
                <w:snapToGrid w:val="0"/>
                <w:sz w:val="20"/>
                <w:szCs w:val="20"/>
                <w:vertAlign w:val="superscript"/>
                <w:lang w:eastAsia="en-US"/>
              </w:rPr>
            </w:pPr>
            <w:r w:rsidRPr="00A67611">
              <w:rPr>
                <w:rFonts w:ascii="Arial Narrow" w:hAnsi="Arial Narrow" w:cs="Times New Roman"/>
                <w:snapToGrid w:val="0"/>
                <w:sz w:val="20"/>
                <w:szCs w:val="20"/>
                <w:lang w:eastAsia="en-US"/>
              </w:rPr>
              <w:t xml:space="preserve">(0.79, 4.35) </w:t>
            </w:r>
            <w:r w:rsidRPr="00A67611">
              <w:rPr>
                <w:rFonts w:ascii="Arial Narrow" w:hAnsi="Arial Narrow" w:cs="Times New Roman"/>
                <w:snapToGrid w:val="0"/>
                <w:sz w:val="20"/>
                <w:szCs w:val="20"/>
                <w:vertAlign w:val="superscript"/>
                <w:lang w:eastAsia="en-US"/>
              </w:rPr>
              <w:t>a</w:t>
            </w:r>
          </w:p>
        </w:tc>
        <w:tc>
          <w:tcPr>
            <w:tcW w:w="72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 xml:space="preserve">1.48 </w:t>
            </w:r>
          </w:p>
          <w:p w:rsidR="008078EB" w:rsidRPr="00A67611" w:rsidDel="008E08FF"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(0.87, 2.52)</w:t>
            </w:r>
          </w:p>
        </w:tc>
        <w:tc>
          <w:tcPr>
            <w:tcW w:w="72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 xml:space="preserve">15% </w:t>
            </w:r>
          </w:p>
          <w:p w:rsidR="008078EB" w:rsidRPr="00A67611" w:rsidDel="008E08FF"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(-4.4%, 34%)</w:t>
            </w:r>
          </w:p>
        </w:tc>
      </w:tr>
      <w:tr w:rsidR="008078EB" w:rsidRPr="00A67611" w:rsidTr="002E4814">
        <w:tc>
          <w:tcPr>
            <w:tcW w:w="1148" w:type="pct"/>
            <w:shd w:val="clear" w:color="auto" w:fill="B8CCE4" w:themeFill="accent1" w:themeFillTint="66"/>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Novotna 2011 (Phase B)</w:t>
            </w:r>
          </w:p>
        </w:tc>
        <w:tc>
          <w:tcPr>
            <w:tcW w:w="893"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(77%)</w:t>
            </w:r>
          </w:p>
        </w:tc>
        <w:tc>
          <w:tcPr>
            <w:tcW w:w="78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(61%)</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1.70 (1.08, 2.70)</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Vachovà 2014</w:t>
            </w:r>
          </w:p>
        </w:tc>
        <w:tc>
          <w:tcPr>
            <w:tcW w:w="893"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(72%)</w:t>
            </w:r>
          </w:p>
        </w:tc>
        <w:tc>
          <w:tcPr>
            <w:tcW w:w="78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(38%)</w:t>
            </w:r>
          </w:p>
        </w:tc>
        <w:tc>
          <w:tcPr>
            <w:tcW w:w="725" w:type="pct"/>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4.02 (1.96; 8.22)</w:t>
            </w:r>
          </w:p>
        </w:tc>
        <w:tc>
          <w:tcPr>
            <w:tcW w:w="72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shd w:val="clear" w:color="auto" w:fill="B8CCE4" w:themeFill="accent1" w:themeFillTint="66"/>
            <w:vAlign w:val="center"/>
          </w:tcPr>
          <w:p w:rsidR="008078EB" w:rsidRPr="00A67611" w:rsidRDefault="008078EB" w:rsidP="00222A5E">
            <w:pPr>
              <w:keepNext/>
              <w:keepLines/>
              <w:widowControl w:val="0"/>
              <w:jc w:val="left"/>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Collin 2007</w:t>
            </w:r>
          </w:p>
        </w:tc>
        <w:tc>
          <w:tcPr>
            <w:tcW w:w="893" w:type="pct"/>
            <w:shd w:val="clear" w:color="auto" w:fill="B8CCE4" w:themeFill="accent1" w:themeFillTint="66"/>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66/116 (57% )</w:t>
            </w:r>
          </w:p>
        </w:tc>
        <w:tc>
          <w:tcPr>
            <w:tcW w:w="785" w:type="pct"/>
            <w:shd w:val="clear" w:color="auto" w:fill="B8CCE4" w:themeFill="accent1" w:themeFillTint="66"/>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31/64 (48%)</w:t>
            </w:r>
          </w:p>
        </w:tc>
        <w:tc>
          <w:tcPr>
            <w:tcW w:w="725" w:type="pct"/>
            <w:shd w:val="clear" w:color="auto" w:fill="B8CCE4" w:themeFill="accent1" w:themeFillTint="66"/>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1.36 (0.78; 2.37)</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i/>
                <w:snapToGrid w:val="0"/>
                <w:sz w:val="20"/>
                <w:szCs w:val="20"/>
                <w:lang w:eastAsia="en-US"/>
              </w:rPr>
            </w:pPr>
            <w:r w:rsidRPr="00A67611">
              <w:rPr>
                <w:rFonts w:ascii="Arial Narrow" w:hAnsi="Arial Narrow" w:cs="Times New Roman"/>
                <w:i/>
                <w:snapToGrid w:val="0"/>
                <w:sz w:val="20"/>
                <w:szCs w:val="20"/>
                <w:lang w:eastAsia="en-US"/>
              </w:rPr>
              <w:t xml:space="preserve">1.17 </w:t>
            </w:r>
          </w:p>
          <w:p w:rsidR="008078EB" w:rsidRPr="00A67611" w:rsidRDefault="008078EB" w:rsidP="00222A5E">
            <w:pPr>
              <w:keepNext/>
              <w:keepLines/>
              <w:widowControl w:val="0"/>
              <w:jc w:val="center"/>
              <w:rPr>
                <w:rFonts w:ascii="Arial Narrow" w:hAnsi="Arial Narrow" w:cs="Times New Roman"/>
                <w:i/>
                <w:snapToGrid w:val="0"/>
                <w:sz w:val="20"/>
                <w:szCs w:val="20"/>
                <w:lang w:eastAsia="en-US"/>
              </w:rPr>
            </w:pPr>
            <w:r w:rsidRPr="00A67611">
              <w:rPr>
                <w:rFonts w:ascii="Arial Narrow" w:hAnsi="Arial Narrow" w:cs="Times New Roman"/>
                <w:i/>
                <w:snapToGrid w:val="0"/>
                <w:sz w:val="20"/>
                <w:szCs w:val="20"/>
                <w:lang w:eastAsia="en-US"/>
              </w:rPr>
              <w:t>(0.88, 1.61)</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i/>
                <w:snapToGrid w:val="0"/>
                <w:sz w:val="20"/>
                <w:szCs w:val="20"/>
                <w:lang w:eastAsia="en-US"/>
              </w:rPr>
            </w:pPr>
            <w:r w:rsidRPr="00A67611">
              <w:rPr>
                <w:rFonts w:ascii="Arial Narrow" w:hAnsi="Arial Narrow" w:cs="Times New Roman"/>
                <w:i/>
                <w:snapToGrid w:val="0"/>
                <w:sz w:val="20"/>
                <w:szCs w:val="20"/>
                <w:lang w:eastAsia="en-US"/>
              </w:rPr>
              <w:t xml:space="preserve">8% </w:t>
            </w:r>
          </w:p>
          <w:p w:rsidR="008078EB" w:rsidRPr="00A67611" w:rsidRDefault="008078EB" w:rsidP="00222A5E">
            <w:pPr>
              <w:keepNext/>
              <w:keepLines/>
              <w:widowControl w:val="0"/>
              <w:jc w:val="center"/>
              <w:rPr>
                <w:rFonts w:ascii="Arial Narrow" w:hAnsi="Arial Narrow" w:cs="Times New Roman"/>
                <w:i/>
                <w:snapToGrid w:val="0"/>
                <w:sz w:val="20"/>
                <w:szCs w:val="20"/>
                <w:lang w:eastAsia="en-US"/>
              </w:rPr>
            </w:pPr>
            <w:r w:rsidRPr="00A67611">
              <w:rPr>
                <w:rFonts w:ascii="Arial Narrow" w:hAnsi="Arial Narrow" w:cs="Times New Roman"/>
                <w:i/>
                <w:snapToGrid w:val="0"/>
                <w:sz w:val="20"/>
                <w:szCs w:val="20"/>
                <w:lang w:eastAsia="en-US"/>
              </w:rPr>
              <w:t>(-7%, 23%)</w:t>
            </w:r>
          </w:p>
        </w:tc>
      </w:tr>
      <w:tr w:rsidR="008078EB" w:rsidRPr="00A67611" w:rsidTr="002E4814">
        <w:tc>
          <w:tcPr>
            <w:tcW w:w="1148" w:type="pct"/>
            <w:shd w:val="clear" w:color="auto" w:fill="B8CCE4" w:themeFill="accent1" w:themeFillTint="66"/>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Collin 2010</w:t>
            </w:r>
          </w:p>
        </w:tc>
        <w:tc>
          <w:tcPr>
            <w:tcW w:w="893"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(51%)</w:t>
            </w:r>
          </w:p>
        </w:tc>
        <w:tc>
          <w:tcPr>
            <w:tcW w:w="78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(39%)</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5000" w:type="pct"/>
            <w:gridSpan w:val="6"/>
          </w:tcPr>
          <w:p w:rsidR="008078EB" w:rsidRPr="00A67611" w:rsidRDefault="008078EB" w:rsidP="00222A5E">
            <w:pPr>
              <w:keepNext/>
              <w:keepLines/>
              <w:widowControl w:val="0"/>
              <w:jc w:val="left"/>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Carer’s Global Impression of Change</w:t>
            </w:r>
          </w:p>
        </w:tc>
      </w:tr>
      <w:tr w:rsidR="008078EB" w:rsidRPr="00A67611" w:rsidTr="002E4814">
        <w:tc>
          <w:tcPr>
            <w:tcW w:w="1148" w:type="pct"/>
            <w:tcBorders>
              <w:bottom w:val="nil"/>
            </w:tcBorders>
            <w:shd w:val="clear" w:color="auto" w:fill="B8CCE4" w:themeFill="accent1" w:themeFillTint="66"/>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Novotna 2011 (Phase B)</w:t>
            </w:r>
          </w:p>
        </w:tc>
        <w:tc>
          <w:tcPr>
            <w:tcW w:w="893" w:type="pct"/>
            <w:tcBorders>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p>
        </w:tc>
        <w:tc>
          <w:tcPr>
            <w:tcW w:w="785" w:type="pct"/>
            <w:tcBorders>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p>
        </w:tc>
        <w:tc>
          <w:tcPr>
            <w:tcW w:w="725" w:type="pct"/>
            <w:tcBorders>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p>
        </w:tc>
        <w:tc>
          <w:tcPr>
            <w:tcW w:w="725" w:type="pct"/>
            <w:tcBorders>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p>
        </w:tc>
        <w:tc>
          <w:tcPr>
            <w:tcW w:w="725" w:type="pct"/>
            <w:tcBorders>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p>
        </w:tc>
      </w:tr>
      <w:tr w:rsidR="008078EB" w:rsidRPr="00A67611" w:rsidTr="002E4814">
        <w:tc>
          <w:tcPr>
            <w:tcW w:w="1148" w:type="pct"/>
            <w:tcBorders>
              <w:top w:val="nil"/>
              <w:bottom w:val="nil"/>
            </w:tcBorders>
            <w:shd w:val="clear" w:color="auto" w:fill="B8CCE4" w:themeFill="accent1" w:themeFillTint="66"/>
          </w:tcPr>
          <w:p w:rsidR="008078EB" w:rsidRPr="00A67611" w:rsidRDefault="008078EB" w:rsidP="00222A5E">
            <w:pPr>
              <w:keepNext/>
              <w:keepLines/>
              <w:widowControl w:val="0"/>
              <w:ind w:left="142"/>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On functional status</w:t>
            </w:r>
          </w:p>
        </w:tc>
        <w:tc>
          <w:tcPr>
            <w:tcW w:w="893" w:type="pct"/>
            <w:tcBorders>
              <w:top w:val="nil"/>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(68%)</w:t>
            </w:r>
          </w:p>
        </w:tc>
        <w:tc>
          <w:tcPr>
            <w:tcW w:w="785" w:type="pct"/>
            <w:tcBorders>
              <w:top w:val="nil"/>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(44%)</w:t>
            </w:r>
          </w:p>
        </w:tc>
        <w:tc>
          <w:tcPr>
            <w:tcW w:w="725" w:type="pct"/>
            <w:tcBorders>
              <w:top w:val="nil"/>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2.40 (1.30; 4.44)</w:t>
            </w:r>
          </w:p>
        </w:tc>
        <w:tc>
          <w:tcPr>
            <w:tcW w:w="725" w:type="pct"/>
            <w:tcBorders>
              <w:top w:val="nil"/>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top w:val="nil"/>
              <w:bottom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tcBorders>
              <w:top w:val="nil"/>
            </w:tcBorders>
            <w:shd w:val="clear" w:color="auto" w:fill="B8CCE4" w:themeFill="accent1" w:themeFillTint="66"/>
          </w:tcPr>
          <w:p w:rsidR="008078EB" w:rsidRPr="00A67611" w:rsidRDefault="008078EB" w:rsidP="00222A5E">
            <w:pPr>
              <w:keepNext/>
              <w:keepLines/>
              <w:widowControl w:val="0"/>
              <w:ind w:left="142"/>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Ease of transfer</w:t>
            </w:r>
          </w:p>
        </w:tc>
        <w:tc>
          <w:tcPr>
            <w:tcW w:w="893"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(52%)</w:t>
            </w:r>
          </w:p>
        </w:tc>
        <w:tc>
          <w:tcPr>
            <w:tcW w:w="78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(33%)</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1.97 (0.97; 3.30)</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tcBorders>
              <w:top w:val="nil"/>
            </w:tcBorders>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Vachovà 2014</w:t>
            </w:r>
          </w:p>
        </w:tc>
        <w:tc>
          <w:tcPr>
            <w:tcW w:w="893" w:type="pct"/>
            <w:tcBorders>
              <w:top w:val="nil"/>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(65%)</w:t>
            </w:r>
          </w:p>
        </w:tc>
        <w:tc>
          <w:tcPr>
            <w:tcW w:w="785" w:type="pct"/>
            <w:tcBorders>
              <w:top w:val="nil"/>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(40%)</w:t>
            </w:r>
          </w:p>
        </w:tc>
        <w:tc>
          <w:tcPr>
            <w:tcW w:w="725" w:type="pct"/>
            <w:tcBorders>
              <w:top w:val="nil"/>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b/>
                <w:snapToGrid w:val="0"/>
                <w:sz w:val="20"/>
                <w:szCs w:val="20"/>
                <w:lang w:eastAsia="en-US"/>
              </w:rPr>
              <w:t>2.79 (1.23; 6.31)</w:t>
            </w:r>
          </w:p>
        </w:tc>
        <w:tc>
          <w:tcPr>
            <w:tcW w:w="725" w:type="pct"/>
            <w:tcBorders>
              <w:top w:val="nil"/>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top w:val="nil"/>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tcBorders>
              <w:top w:val="nil"/>
            </w:tcBorders>
            <w:shd w:val="clear" w:color="auto" w:fill="B8CCE4" w:themeFill="accent1" w:themeFillTint="66"/>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Collin 2010</w:t>
            </w:r>
          </w:p>
        </w:tc>
        <w:tc>
          <w:tcPr>
            <w:tcW w:w="893"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(35%)</w:t>
            </w:r>
          </w:p>
        </w:tc>
        <w:tc>
          <w:tcPr>
            <w:tcW w:w="78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(24%)</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1.25 (0.84; 1.85)</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top w:val="nil"/>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5000" w:type="pct"/>
            <w:gridSpan w:val="6"/>
          </w:tcPr>
          <w:p w:rsidR="008078EB" w:rsidRPr="00A67611" w:rsidRDefault="008078EB" w:rsidP="00222A5E">
            <w:pPr>
              <w:keepNext/>
              <w:keepLines/>
              <w:widowControl w:val="0"/>
              <w:jc w:val="left"/>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Physician’s Global Impression of Change</w:t>
            </w:r>
          </w:p>
        </w:tc>
      </w:tr>
      <w:tr w:rsidR="008078EB" w:rsidRPr="00A67611" w:rsidTr="002E4814">
        <w:tc>
          <w:tcPr>
            <w:tcW w:w="1148" w:type="pct"/>
            <w:tcBorders>
              <w:bottom w:val="single" w:sz="4" w:space="0" w:color="auto"/>
            </w:tcBorders>
            <w:vAlign w:val="center"/>
          </w:tcPr>
          <w:p w:rsidR="008078EB" w:rsidRPr="00A67611" w:rsidRDefault="008078EB" w:rsidP="00222A5E">
            <w:pPr>
              <w:keepNext/>
              <w:keepLines/>
              <w:widowControl w:val="0"/>
              <w:jc w:val="left"/>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Markovà 2019 (Phase B)</w:t>
            </w:r>
          </w:p>
        </w:tc>
        <w:tc>
          <w:tcPr>
            <w:tcW w:w="893" w:type="pct"/>
            <w:tcBorders>
              <w:bottom w:val="single" w:sz="4" w:space="0" w:color="auto"/>
            </w:tcBorders>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25/51 (47%)</w:t>
            </w:r>
          </w:p>
        </w:tc>
        <w:tc>
          <w:tcPr>
            <w:tcW w:w="785" w:type="pct"/>
            <w:tcBorders>
              <w:bottom w:val="single" w:sz="4" w:space="0" w:color="auto"/>
            </w:tcBorders>
            <w:vAlign w:val="center"/>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14/46 (26%)</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2.18</w:t>
            </w:r>
          </w:p>
          <w:p w:rsidR="008078EB" w:rsidRPr="00A67611" w:rsidRDefault="008078EB" w:rsidP="00222A5E">
            <w:pPr>
              <w:keepNext/>
              <w:keepLines/>
              <w:widowControl w:val="0"/>
              <w:jc w:val="center"/>
              <w:rPr>
                <w:rFonts w:ascii="Arial Narrow" w:hAnsi="Arial Narrow" w:cs="Times New Roman"/>
                <w:snapToGrid w:val="0"/>
                <w:sz w:val="20"/>
                <w:szCs w:val="20"/>
                <w:vertAlign w:val="superscript"/>
                <w:lang w:eastAsia="en-US"/>
              </w:rPr>
            </w:pPr>
            <w:r w:rsidRPr="00A67611">
              <w:rPr>
                <w:rFonts w:ascii="Arial Narrow" w:hAnsi="Arial Narrow" w:cs="Times New Roman"/>
                <w:snapToGrid w:val="0"/>
                <w:sz w:val="20"/>
                <w:szCs w:val="20"/>
                <w:lang w:eastAsia="en-US"/>
              </w:rPr>
              <w:t xml:space="preserve"> (0.93, 5.12)</w:t>
            </w:r>
            <w:r w:rsidRPr="00A67611">
              <w:rPr>
                <w:rFonts w:ascii="Arial Narrow" w:hAnsi="Arial Narrow" w:cs="Times New Roman"/>
                <w:snapToGrid w:val="0"/>
                <w:sz w:val="20"/>
                <w:szCs w:val="20"/>
                <w:vertAlign w:val="superscript"/>
                <w:lang w:eastAsia="en-US"/>
              </w:rPr>
              <w:t>a</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 xml:space="preserve">1.61 </w:t>
            </w:r>
          </w:p>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(0.96, 2.7)</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 xml:space="preserve">19% </w:t>
            </w:r>
          </w:p>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(-0.5%, 38%)</w:t>
            </w:r>
          </w:p>
        </w:tc>
      </w:tr>
      <w:tr w:rsidR="008078EB" w:rsidRPr="00A67611" w:rsidTr="002E4814">
        <w:tc>
          <w:tcPr>
            <w:tcW w:w="1148" w:type="pct"/>
            <w:tcBorders>
              <w:bottom w:val="single" w:sz="4" w:space="0" w:color="auto"/>
            </w:tcBorders>
            <w:shd w:val="clear" w:color="auto" w:fill="B8CCE4" w:themeFill="accent1" w:themeFillTint="66"/>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Novotna 2011 (Phase B)</w:t>
            </w:r>
          </w:p>
        </w:tc>
        <w:tc>
          <w:tcPr>
            <w:tcW w:w="893" w:type="pct"/>
            <w:tcBorders>
              <w:bottom w:val="single" w:sz="4" w:space="0" w:color="auto"/>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(78%)</w:t>
            </w:r>
          </w:p>
        </w:tc>
        <w:tc>
          <w:tcPr>
            <w:tcW w:w="785" w:type="pct"/>
            <w:tcBorders>
              <w:bottom w:val="single" w:sz="4" w:space="0" w:color="auto"/>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(54%)</w:t>
            </w:r>
          </w:p>
        </w:tc>
        <w:tc>
          <w:tcPr>
            <w:tcW w:w="725" w:type="pct"/>
            <w:tcBorders>
              <w:bottom w:val="single" w:sz="4" w:space="0" w:color="auto"/>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1.96 (1.23; 3.11)</w:t>
            </w:r>
          </w:p>
        </w:tc>
        <w:tc>
          <w:tcPr>
            <w:tcW w:w="725" w:type="pct"/>
            <w:tcBorders>
              <w:bottom w:val="single" w:sz="4" w:space="0" w:color="auto"/>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bottom w:val="single" w:sz="4" w:space="0" w:color="auto"/>
            </w:tcBorders>
            <w:shd w:val="clear" w:color="auto" w:fill="B8CCE4" w:themeFill="accent1" w:themeFillTint="66"/>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w:t>
            </w:r>
          </w:p>
        </w:tc>
      </w:tr>
      <w:tr w:rsidR="008078EB" w:rsidRPr="00A67611" w:rsidTr="002E4814">
        <w:tc>
          <w:tcPr>
            <w:tcW w:w="1148" w:type="pct"/>
            <w:tcBorders>
              <w:bottom w:val="single" w:sz="4" w:space="0" w:color="auto"/>
            </w:tcBorders>
          </w:tcPr>
          <w:p w:rsidR="008078EB" w:rsidRPr="00A67611" w:rsidRDefault="008078EB" w:rsidP="00222A5E">
            <w:pPr>
              <w:keepNext/>
              <w:keepLines/>
              <w:widowControl w:val="0"/>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Vachovà 2014</w:t>
            </w:r>
          </w:p>
        </w:tc>
        <w:tc>
          <w:tcPr>
            <w:tcW w:w="893"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(71%)</w:t>
            </w:r>
          </w:p>
        </w:tc>
        <w:tc>
          <w:tcPr>
            <w:tcW w:w="78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snapToGrid w:val="0"/>
                <w:sz w:val="20"/>
                <w:szCs w:val="20"/>
                <w:lang w:eastAsia="en-US"/>
              </w:rPr>
            </w:pPr>
            <w:r w:rsidRPr="00A67611">
              <w:rPr>
                <w:rFonts w:ascii="Arial Narrow" w:hAnsi="Arial Narrow" w:cs="Times New Roman"/>
                <w:snapToGrid w:val="0"/>
                <w:sz w:val="20"/>
                <w:szCs w:val="20"/>
                <w:lang w:eastAsia="en-US"/>
              </w:rPr>
              <w:t>NR/NR (40%)</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b/>
                <w:snapToGrid w:val="0"/>
                <w:sz w:val="20"/>
                <w:szCs w:val="20"/>
                <w:lang w:eastAsia="en-US"/>
              </w:rPr>
              <w:t>3.07 (1.51; 6.21)</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c>
          <w:tcPr>
            <w:tcW w:w="725" w:type="pct"/>
            <w:tcBorders>
              <w:bottom w:val="single" w:sz="4" w:space="0" w:color="auto"/>
            </w:tcBorders>
          </w:tcPr>
          <w:p w:rsidR="008078EB" w:rsidRPr="00A67611" w:rsidRDefault="008078EB" w:rsidP="00222A5E">
            <w:pPr>
              <w:keepNext/>
              <w:keepLines/>
              <w:widowControl w:val="0"/>
              <w:jc w:val="center"/>
              <w:rPr>
                <w:rFonts w:ascii="Arial Narrow" w:hAnsi="Arial Narrow" w:cs="Times New Roman"/>
                <w:b/>
                <w:snapToGrid w:val="0"/>
                <w:sz w:val="20"/>
                <w:szCs w:val="20"/>
                <w:lang w:eastAsia="en-US"/>
              </w:rPr>
            </w:pPr>
            <w:r w:rsidRPr="00A67611">
              <w:rPr>
                <w:rFonts w:ascii="Arial Narrow" w:hAnsi="Arial Narrow" w:cs="Times New Roman"/>
                <w:snapToGrid w:val="0"/>
                <w:sz w:val="20"/>
                <w:szCs w:val="20"/>
                <w:lang w:eastAsia="en-US"/>
              </w:rPr>
              <w:t>NR</w:t>
            </w:r>
          </w:p>
        </w:tc>
      </w:tr>
    </w:tbl>
    <w:p w:rsidR="008078EB" w:rsidRPr="00A67611" w:rsidRDefault="008078EB" w:rsidP="00222A5E">
      <w:pPr>
        <w:keepNext/>
        <w:keepLines/>
        <w:rPr>
          <w:rFonts w:ascii="Arial Narrow" w:hAnsi="Arial Narrow"/>
          <w:color w:val="000000" w:themeColor="text1"/>
          <w:sz w:val="18"/>
          <w:szCs w:val="18"/>
        </w:rPr>
      </w:pPr>
      <w:r w:rsidRPr="00A67611">
        <w:rPr>
          <w:rFonts w:ascii="Arial Narrow" w:hAnsi="Arial Narrow"/>
          <w:color w:val="000000" w:themeColor="text1"/>
          <w:sz w:val="18"/>
          <w:szCs w:val="18"/>
        </w:rPr>
        <w:t>Source: Vachovà CSR, pp76-77, Markovà 2019 CSR Table 59 and 60, Previous commentary Table B.6.3</w:t>
      </w:r>
      <w:r w:rsidR="00EA6163" w:rsidRPr="00A67611">
        <w:rPr>
          <w:rFonts w:ascii="Arial Narrow" w:hAnsi="Arial Narrow"/>
          <w:color w:val="000000" w:themeColor="text1"/>
          <w:sz w:val="18"/>
          <w:szCs w:val="18"/>
        </w:rPr>
        <w:t xml:space="preserve"> (provided as an attachment to the submission)</w:t>
      </w:r>
    </w:p>
    <w:p w:rsidR="008078EB" w:rsidRPr="00A67611" w:rsidRDefault="008078EB" w:rsidP="00222A5E">
      <w:pPr>
        <w:keepNext/>
        <w:keepLines/>
        <w:tabs>
          <w:tab w:val="left" w:pos="284"/>
        </w:tabs>
        <w:rPr>
          <w:rFonts w:ascii="Arial Narrow" w:eastAsia="Calibri" w:hAnsi="Arial Narrow"/>
          <w:color w:val="000000" w:themeColor="text1"/>
          <w:sz w:val="18"/>
          <w:szCs w:val="18"/>
        </w:rPr>
      </w:pPr>
      <w:r w:rsidRPr="00A67611">
        <w:rPr>
          <w:rFonts w:ascii="Arial Narrow" w:eastAsia="Calibri" w:hAnsi="Arial Narrow"/>
          <w:color w:val="000000" w:themeColor="text1"/>
          <w:sz w:val="18"/>
          <w:szCs w:val="18"/>
          <w:vertAlign w:val="superscript"/>
        </w:rPr>
        <w:t>a</w:t>
      </w:r>
      <w:r w:rsidRPr="00A67611">
        <w:rPr>
          <w:rFonts w:ascii="Arial Narrow" w:eastAsia="Calibri" w:hAnsi="Arial Narrow"/>
          <w:color w:val="000000" w:themeColor="text1"/>
          <w:sz w:val="18"/>
          <w:szCs w:val="18"/>
        </w:rPr>
        <w:tab/>
        <w:t>adjusted odds ratio</w:t>
      </w:r>
    </w:p>
    <w:p w:rsidR="008078EB" w:rsidRPr="00A67611" w:rsidRDefault="008078EB" w:rsidP="00222A5E">
      <w:pPr>
        <w:keepNext/>
        <w:keepLines/>
        <w:tabs>
          <w:tab w:val="left" w:pos="284"/>
        </w:tabs>
        <w:rPr>
          <w:rFonts w:ascii="Arial Narrow" w:eastAsia="Calibri" w:hAnsi="Arial Narrow"/>
          <w:color w:val="000000" w:themeColor="text1"/>
          <w:sz w:val="18"/>
          <w:szCs w:val="18"/>
        </w:rPr>
      </w:pPr>
      <w:r w:rsidRPr="00A67611">
        <w:rPr>
          <w:rFonts w:ascii="Arial Narrow" w:eastAsia="Calibri" w:hAnsi="Arial Narrow"/>
          <w:color w:val="000000" w:themeColor="text1"/>
          <w:sz w:val="18"/>
          <w:szCs w:val="18"/>
          <w:vertAlign w:val="superscript"/>
        </w:rPr>
        <w:t>b</w:t>
      </w:r>
      <w:r w:rsidRPr="00A67611">
        <w:rPr>
          <w:rFonts w:ascii="Arial Narrow" w:eastAsia="Calibri" w:hAnsi="Arial Narrow"/>
          <w:color w:val="000000" w:themeColor="text1"/>
          <w:sz w:val="18"/>
          <w:szCs w:val="18"/>
        </w:rPr>
        <w:tab/>
        <w:t>calculated from logistic regression of data</w:t>
      </w:r>
    </w:p>
    <w:p w:rsidR="008078EB" w:rsidRPr="00A67611" w:rsidRDefault="008078EB" w:rsidP="00222A5E">
      <w:pPr>
        <w:keepNext/>
        <w:keepLines/>
        <w:rPr>
          <w:rFonts w:ascii="Arial Narrow" w:eastAsia="Calibri" w:hAnsi="Arial Narrow"/>
          <w:b/>
          <w:color w:val="000000" w:themeColor="text1"/>
          <w:sz w:val="18"/>
          <w:szCs w:val="18"/>
        </w:rPr>
      </w:pPr>
      <w:r w:rsidRPr="00A67611">
        <w:rPr>
          <w:rFonts w:ascii="Arial Narrow" w:eastAsia="Calibri" w:hAnsi="Arial Narrow"/>
          <w:color w:val="000000" w:themeColor="text1"/>
          <w:sz w:val="18"/>
          <w:szCs w:val="18"/>
        </w:rPr>
        <w:t>NR = not reported</w:t>
      </w:r>
      <w:r w:rsidRPr="00A67611">
        <w:rPr>
          <w:rFonts w:ascii="Arial Narrow" w:eastAsia="Calibri" w:hAnsi="Arial Narrow"/>
          <w:b/>
          <w:color w:val="000000" w:themeColor="text1"/>
          <w:sz w:val="18"/>
          <w:szCs w:val="18"/>
        </w:rPr>
        <w:t xml:space="preserve"> </w:t>
      </w:r>
    </w:p>
    <w:p w:rsidR="00974701" w:rsidRPr="00A67611" w:rsidRDefault="00974701" w:rsidP="00222A5E">
      <w:pPr>
        <w:keepNext/>
        <w:keepLines/>
        <w:rPr>
          <w:rFonts w:ascii="Arial Narrow" w:eastAsia="Calibri" w:hAnsi="Arial Narrow"/>
          <w:color w:val="000000" w:themeColor="text1"/>
          <w:sz w:val="18"/>
          <w:szCs w:val="18"/>
        </w:rPr>
      </w:pPr>
      <w:r w:rsidRPr="00A67611">
        <w:rPr>
          <w:rFonts w:ascii="Arial Narrow" w:eastAsia="Calibri" w:hAnsi="Arial Narrow"/>
          <w:color w:val="000000" w:themeColor="text1"/>
          <w:sz w:val="18"/>
          <w:szCs w:val="18"/>
        </w:rPr>
        <w:t xml:space="preserve">A patient was considered to have a positive change in </w:t>
      </w:r>
      <w:r w:rsidR="00261E4D" w:rsidRPr="00A67611">
        <w:rPr>
          <w:rFonts w:ascii="Arial Narrow" w:eastAsia="Calibri" w:hAnsi="Arial Narrow"/>
          <w:color w:val="000000" w:themeColor="text1"/>
          <w:sz w:val="18"/>
          <w:szCs w:val="18"/>
        </w:rPr>
        <w:t>global impression of change</w:t>
      </w:r>
      <w:r w:rsidRPr="00A67611">
        <w:rPr>
          <w:rFonts w:ascii="Arial Narrow" w:eastAsia="Calibri" w:hAnsi="Arial Narrow"/>
          <w:color w:val="000000" w:themeColor="text1"/>
          <w:sz w:val="18"/>
          <w:szCs w:val="18"/>
        </w:rPr>
        <w:t xml:space="preserve"> if the patient, carer or phy</w:t>
      </w:r>
      <w:r w:rsidR="001073E7" w:rsidRPr="00A67611">
        <w:rPr>
          <w:rFonts w:ascii="Arial Narrow" w:eastAsia="Calibri" w:hAnsi="Arial Narrow"/>
          <w:color w:val="000000" w:themeColor="text1"/>
          <w:sz w:val="18"/>
          <w:szCs w:val="18"/>
        </w:rPr>
        <w:t xml:space="preserve">sician assessed the change </w:t>
      </w:r>
      <w:r w:rsidRPr="00A67611">
        <w:rPr>
          <w:rFonts w:ascii="Arial Narrow" w:eastAsia="Calibri" w:hAnsi="Arial Narrow"/>
          <w:color w:val="000000" w:themeColor="text1"/>
          <w:sz w:val="18"/>
          <w:szCs w:val="18"/>
        </w:rPr>
        <w:t xml:space="preserve"> </w:t>
      </w:r>
      <w:r w:rsidRPr="00400985">
        <w:rPr>
          <w:rFonts w:ascii="Arial Narrow" w:eastAsia="Calibri" w:hAnsi="Arial Narrow"/>
          <w:color w:val="000000" w:themeColor="text1"/>
          <w:sz w:val="18"/>
          <w:szCs w:val="18"/>
        </w:rPr>
        <w:t>as “Minimally better”, “Much better” or “Very much better”</w:t>
      </w:r>
      <w:r w:rsidR="001073E7" w:rsidRPr="00A67611">
        <w:rPr>
          <w:rFonts w:ascii="Arial Narrow" w:eastAsia="Calibri" w:hAnsi="Arial Narrow"/>
          <w:color w:val="000000" w:themeColor="text1"/>
          <w:sz w:val="18"/>
          <w:szCs w:val="18"/>
        </w:rPr>
        <w:t xml:space="preserve"> (from visit 2 in </w:t>
      </w:r>
      <w:r w:rsidR="007753B8" w:rsidRPr="00A67611">
        <w:rPr>
          <w:rFonts w:ascii="Arial Narrow" w:eastAsia="Calibri" w:hAnsi="Arial Narrow"/>
          <w:color w:val="000000" w:themeColor="text1"/>
          <w:sz w:val="18"/>
          <w:szCs w:val="18"/>
        </w:rPr>
        <w:t xml:space="preserve">phase A of </w:t>
      </w:r>
      <w:r w:rsidR="001073E7" w:rsidRPr="00A67611">
        <w:rPr>
          <w:rFonts w:ascii="Arial Narrow" w:eastAsia="Calibri" w:hAnsi="Arial Narrow"/>
          <w:color w:val="000000" w:themeColor="text1"/>
          <w:sz w:val="18"/>
          <w:szCs w:val="18"/>
        </w:rPr>
        <w:t>Novotna</w:t>
      </w:r>
      <w:r w:rsidR="007753B8" w:rsidRPr="00A67611">
        <w:rPr>
          <w:rFonts w:ascii="Arial Narrow" w:eastAsia="Calibri" w:hAnsi="Arial Narrow"/>
          <w:color w:val="000000" w:themeColor="text1"/>
          <w:sz w:val="18"/>
          <w:szCs w:val="18"/>
        </w:rPr>
        <w:t>, visit 2 in Vachov</w:t>
      </w:r>
      <w:r w:rsidR="007753B8" w:rsidRPr="00A67611">
        <w:rPr>
          <w:rFonts w:ascii="Arial Narrow" w:hAnsi="Arial Narrow"/>
          <w:color w:val="000000" w:themeColor="text1"/>
          <w:sz w:val="18"/>
          <w:szCs w:val="18"/>
        </w:rPr>
        <w:t>à</w:t>
      </w:r>
      <w:r w:rsidR="00025664" w:rsidRPr="00A67611">
        <w:rPr>
          <w:rFonts w:ascii="Arial Narrow" w:hAnsi="Arial Narrow"/>
          <w:color w:val="000000" w:themeColor="text1"/>
          <w:sz w:val="18"/>
          <w:szCs w:val="18"/>
        </w:rPr>
        <w:t xml:space="preserve">, </w:t>
      </w:r>
      <w:r w:rsidR="001073E7" w:rsidRPr="00A67611">
        <w:rPr>
          <w:rFonts w:ascii="Arial Narrow" w:eastAsia="Calibri" w:hAnsi="Arial Narrow"/>
          <w:color w:val="000000" w:themeColor="text1"/>
          <w:sz w:val="18"/>
          <w:szCs w:val="18"/>
        </w:rPr>
        <w:t>from visit 4 in Markov</w:t>
      </w:r>
      <w:r w:rsidR="001073E7" w:rsidRPr="00A67611">
        <w:rPr>
          <w:rFonts w:ascii="Arial Narrow" w:hAnsi="Arial Narrow"/>
          <w:color w:val="000000" w:themeColor="text1"/>
          <w:sz w:val="18"/>
          <w:szCs w:val="18"/>
        </w:rPr>
        <w:t>à</w:t>
      </w:r>
      <w:r w:rsidR="00025664" w:rsidRPr="00A67611">
        <w:rPr>
          <w:rFonts w:ascii="Arial Narrow" w:hAnsi="Arial Narrow"/>
          <w:color w:val="000000" w:themeColor="text1"/>
          <w:sz w:val="18"/>
          <w:szCs w:val="18"/>
        </w:rPr>
        <w:t xml:space="preserve"> and from baseline in Collin 2007 and Collin 2010</w:t>
      </w:r>
      <w:r w:rsidR="001073E7" w:rsidRPr="00A67611">
        <w:rPr>
          <w:rFonts w:ascii="Arial Narrow" w:eastAsia="Calibri" w:hAnsi="Arial Narrow"/>
          <w:color w:val="000000" w:themeColor="text1"/>
          <w:sz w:val="18"/>
          <w:szCs w:val="18"/>
        </w:rPr>
        <w:t>)</w:t>
      </w:r>
    </w:p>
    <w:p w:rsidR="006549B7" w:rsidRDefault="008078EB" w:rsidP="00222A5E">
      <w:pPr>
        <w:keepNext/>
        <w:keepLines/>
        <w:rPr>
          <w:rFonts w:ascii="Arial Narrow" w:eastAsia="Calibri" w:hAnsi="Arial Narrow"/>
          <w:color w:val="000000" w:themeColor="text1"/>
          <w:sz w:val="18"/>
          <w:szCs w:val="18"/>
        </w:rPr>
      </w:pPr>
      <w:r w:rsidRPr="00A67611">
        <w:rPr>
          <w:rFonts w:ascii="Arial Narrow" w:eastAsia="Calibri" w:hAnsi="Arial Narrow"/>
          <w:color w:val="000000" w:themeColor="text1"/>
          <w:sz w:val="18"/>
          <w:szCs w:val="18"/>
        </w:rPr>
        <w:t xml:space="preserve">Bold indicates statistically significant results. </w:t>
      </w:r>
    </w:p>
    <w:p w:rsidR="00FA30CD" w:rsidRPr="00A67611" w:rsidRDefault="008078EB" w:rsidP="00222A5E">
      <w:pPr>
        <w:keepNext/>
        <w:keepLines/>
        <w:rPr>
          <w:rFonts w:ascii="Arial Narrow" w:eastAsia="Calibri" w:hAnsi="Arial Narrow"/>
          <w:color w:val="000000" w:themeColor="text1"/>
          <w:sz w:val="18"/>
          <w:szCs w:val="18"/>
        </w:rPr>
      </w:pPr>
      <w:r w:rsidRPr="00A67611">
        <w:rPr>
          <w:rFonts w:ascii="Arial Narrow" w:eastAsia="Calibri" w:hAnsi="Arial Narrow"/>
          <w:color w:val="000000" w:themeColor="text1"/>
          <w:sz w:val="18"/>
          <w:szCs w:val="18"/>
        </w:rPr>
        <w:t>Text in italics indicate values calculated during evaluation using StatsDirect</w:t>
      </w:r>
    </w:p>
    <w:p w:rsidR="00FA30CD" w:rsidRPr="00A67611" w:rsidRDefault="00FA30CD" w:rsidP="00222A5E">
      <w:pPr>
        <w:keepNext/>
        <w:keepLines/>
        <w:rPr>
          <w:rFonts w:ascii="Arial Narrow" w:hAnsi="Arial Narrow"/>
          <w:color w:val="000000" w:themeColor="text1"/>
          <w:sz w:val="18"/>
          <w:szCs w:val="18"/>
        </w:rPr>
      </w:pPr>
    </w:p>
    <w:p w:rsidR="00FA30CD" w:rsidRPr="00A67611" w:rsidRDefault="00FA30CD" w:rsidP="000F706A">
      <w:pPr>
        <w:pStyle w:val="3-BodyText"/>
      </w:pPr>
      <w:r w:rsidRPr="00A67611">
        <w:t>All trials reported an improvement in global impression of change in patients treated with nabiximols compared to patients treated with placebo though statistically significant differences were not reported in some of the trials.</w:t>
      </w:r>
      <w:r w:rsidRPr="00A67611">
        <w:rPr>
          <w:i/>
        </w:rPr>
        <w:t xml:space="preserve">  </w:t>
      </w:r>
    </w:p>
    <w:p w:rsidR="00DD5754" w:rsidRPr="00A67611" w:rsidRDefault="00FA30CD" w:rsidP="000F706A">
      <w:pPr>
        <w:pStyle w:val="3-BodyText"/>
      </w:pPr>
      <w:bookmarkStart w:id="34" w:name="_Ref30168801"/>
      <w:r w:rsidRPr="00A67611">
        <w:t xml:space="preserve">The correlation between improvement from baseline NRS and PGIC was not supported by the results of Markovà 2019. If the correlation between PGIC and NRS improvement from baseline was accurate, it would be reasonable to expect there </w:t>
      </w:r>
      <w:r w:rsidR="00DD2407" w:rsidRPr="00A67611">
        <w:t xml:space="preserve">would </w:t>
      </w:r>
      <w:r w:rsidRPr="00A67611">
        <w:t xml:space="preserve">be more patients reporting any improvement in PGIC (roughly equivalent to ≥18% improvement from baseline NRS) than patients reporting a ≥30% </w:t>
      </w:r>
      <w:r w:rsidR="004226E6">
        <w:t xml:space="preserve">improvement from baseline NRS. </w:t>
      </w:r>
      <w:r w:rsidRPr="00A67611">
        <w:t>However, there were almost twice as many patients treated with nabiximols who reported ≥30% improvement from baseline NRS (41/53, 77%) than those who reported any improvement in PGIC (23/51, 44%). At 12 weeks, there was no statistically significant difference between treatment groups in the proportion of patients who reported improvement in PGIC in Markovà 2019, but a statistically significantly greater proportion of patients treated with nabiximols reported a ≥30% improvement from baseline NRS.</w:t>
      </w:r>
      <w:bookmarkEnd w:id="34"/>
      <w:r w:rsidR="004226E6">
        <w:t xml:space="preserve"> </w:t>
      </w:r>
      <w:r w:rsidR="00851DED" w:rsidRPr="00A67611">
        <w:t>The ESC</w:t>
      </w:r>
      <w:r w:rsidR="00C243BA" w:rsidRPr="00A67611">
        <w:t xml:space="preserve"> noted</w:t>
      </w:r>
      <w:r w:rsidR="00851DED" w:rsidRPr="00A67611">
        <w:t xml:space="preserve"> the </w:t>
      </w:r>
      <w:r w:rsidR="00C243BA" w:rsidRPr="00A67611">
        <w:t xml:space="preserve">inconsistency </w:t>
      </w:r>
      <w:r w:rsidR="00851DED" w:rsidRPr="00A67611">
        <w:t xml:space="preserve">across the NRS and </w:t>
      </w:r>
      <w:r w:rsidR="00851DED" w:rsidRPr="00A67611">
        <w:lastRenderedPageBreak/>
        <w:t xml:space="preserve">PGIC </w:t>
      </w:r>
      <w:r w:rsidR="00C243BA" w:rsidRPr="00A67611">
        <w:t xml:space="preserve">outcomes and considered this increased the uncertainty regarding the </w:t>
      </w:r>
      <w:r w:rsidR="001A2E1F" w:rsidRPr="00A67611">
        <w:t xml:space="preserve">interpretation of </w:t>
      </w:r>
      <w:r w:rsidR="00C243BA" w:rsidRPr="00A67611">
        <w:t>incremental benefit of nabiximols.</w:t>
      </w:r>
      <w:r w:rsidR="00455CE2" w:rsidRPr="00A67611">
        <w:t xml:space="preserve"> </w:t>
      </w:r>
      <w:bookmarkStart w:id="35" w:name="_Ref33170022"/>
    </w:p>
    <w:p w:rsidR="00FA30CD" w:rsidRPr="00A67611" w:rsidRDefault="00FA30CD" w:rsidP="000F706A">
      <w:pPr>
        <w:pStyle w:val="3-BodyText"/>
      </w:pPr>
      <w:bookmarkStart w:id="36" w:name="_Ref33005445"/>
      <w:bookmarkEnd w:id="35"/>
      <w:r w:rsidRPr="00A67611">
        <w:t xml:space="preserve">The difference in the proportion of patients who reported </w:t>
      </w:r>
      <w:r w:rsidR="006F168F" w:rsidRPr="00A67611">
        <w:t>i</w:t>
      </w:r>
      <w:r w:rsidRPr="00A67611">
        <w:t>mprovement in PGIC between the two treatment arms in Markovà 2019 also declined over time. At Week 4, 55% of nabiximols treated patients and 17% of placebo treated patients reported improvements in PGIC, with a difference of 38% between the two treatment arms. By Week 8 the proportions were 49% and 23% for patients treated with nabiximols and placebo</w:t>
      </w:r>
      <w:r w:rsidR="008078EB" w:rsidRPr="00A67611">
        <w:t>, respectively;</w:t>
      </w:r>
      <w:r w:rsidRPr="00A67611">
        <w:t xml:space="preserve"> and at Week 12 the proportions were 43% and 26% for nabiximols and placebo treated patients</w:t>
      </w:r>
      <w:r w:rsidR="008078EB" w:rsidRPr="00A67611">
        <w:t>,</w:t>
      </w:r>
      <w:r w:rsidRPr="00A67611">
        <w:t xml:space="preserve"> respectively</w:t>
      </w:r>
      <w:r w:rsidR="008078EB" w:rsidRPr="00A67611">
        <w:t>.</w:t>
      </w:r>
      <w:bookmarkEnd w:id="36"/>
    </w:p>
    <w:p w:rsidR="00FA30CD" w:rsidRPr="00A67611" w:rsidRDefault="00FA30CD" w:rsidP="000F706A">
      <w:pPr>
        <w:pStyle w:val="3-BodyText"/>
      </w:pPr>
      <w:r w:rsidRPr="00A67611">
        <w:t>Data on quality of life was collected in Markovà 2019 and the results showed significant differences only for bodily pain at Weeks 4, 8 and 12. There was no statistically significant difference in overall health related quality of life as measured using the SF-36.</w:t>
      </w:r>
      <w:r w:rsidR="005B706C" w:rsidRPr="00A67611">
        <w:t xml:space="preserve"> The ESC considered it </w:t>
      </w:r>
      <w:r w:rsidR="000516A5" w:rsidRPr="00A67611">
        <w:t>may have been informative</w:t>
      </w:r>
      <w:r w:rsidR="005B706C" w:rsidRPr="00A67611">
        <w:t xml:space="preserve"> to convert the SF</w:t>
      </w:r>
      <w:r w:rsidR="005B706C" w:rsidRPr="00A67611">
        <w:noBreakHyphen/>
        <w:t xml:space="preserve">36 </w:t>
      </w:r>
      <w:r w:rsidR="001A2E1F" w:rsidRPr="00A67611">
        <w:t xml:space="preserve">data </w:t>
      </w:r>
      <w:r w:rsidR="005B706C" w:rsidRPr="00A67611">
        <w:t xml:space="preserve">collected in </w:t>
      </w:r>
      <w:r w:rsidR="0031604B" w:rsidRPr="00A67611">
        <w:t>Markovà 2019</w:t>
      </w:r>
      <w:r w:rsidR="005B706C" w:rsidRPr="00A67611">
        <w:t xml:space="preserve"> to SF6D values for use in the economic model.</w:t>
      </w:r>
    </w:p>
    <w:p w:rsidR="0031604B" w:rsidRPr="00A67611" w:rsidRDefault="00FA30CD" w:rsidP="000F706A">
      <w:pPr>
        <w:pStyle w:val="3-BodyText"/>
      </w:pPr>
      <w:r w:rsidRPr="00A67611">
        <w:t>Outcomes from the</w:t>
      </w:r>
      <w:r w:rsidRPr="00A67611">
        <w:rPr>
          <w:i/>
        </w:rPr>
        <w:t xml:space="preserve"> </w:t>
      </w:r>
      <w:r w:rsidRPr="00A67611">
        <w:t xml:space="preserve">EQ-5D and SF-36 were collected in the Novotna 2011 </w:t>
      </w:r>
      <w:r w:rsidR="008078EB" w:rsidRPr="00A67611">
        <w:t>and</w:t>
      </w:r>
      <w:r w:rsidRPr="00A67611">
        <w:t xml:space="preserve"> Collin 2010 trial</w:t>
      </w:r>
      <w:r w:rsidR="008078EB" w:rsidRPr="00A67611">
        <w:t>s</w:t>
      </w:r>
      <w:r w:rsidRPr="00A67611">
        <w:t>, with the PBAC previously noting that none of the differences in the change in health outcomes between treatment arms reached statistical significance (</w:t>
      </w:r>
      <w:r w:rsidR="004226E6">
        <w:t>section 8</w:t>
      </w:r>
      <w:r w:rsidRPr="00A67611">
        <w:t xml:space="preserve">, </w:t>
      </w:r>
      <w:r w:rsidR="004B39C7">
        <w:t>n</w:t>
      </w:r>
      <w:r w:rsidR="004B39C7" w:rsidRPr="00A67611">
        <w:t xml:space="preserve">abiximols </w:t>
      </w:r>
      <w:r w:rsidRPr="00A67611">
        <w:t xml:space="preserve">PSD, July 2013 PBAC Meeting). While the trials were not powered to show a statistically significant difference in relation to quality of life, the resubmission assumed that there was an incremental difference in quality of life depending on severity of disease as measured by NRS in the economic model. </w:t>
      </w:r>
    </w:p>
    <w:p w:rsidR="00FA30CD" w:rsidRPr="00A67611" w:rsidRDefault="004E7457" w:rsidP="000F706A">
      <w:pPr>
        <w:pStyle w:val="3-BodyText"/>
      </w:pPr>
      <w:r w:rsidRPr="00A67611">
        <w:t xml:space="preserve">The Pre-PBAC Response  </w:t>
      </w:r>
      <w:r w:rsidR="00271A71" w:rsidRPr="00A67611">
        <w:t xml:space="preserve">argued </w:t>
      </w:r>
      <w:r w:rsidRPr="00A67611">
        <w:t xml:space="preserve">that SF-36 scores for at least bodily pain and sleep disruption were improved in both the </w:t>
      </w:r>
      <w:r w:rsidR="001E254C" w:rsidRPr="00A67611">
        <w:t>Markovà 2019</w:t>
      </w:r>
      <w:r w:rsidRPr="00A67611">
        <w:t xml:space="preserve"> and Novotna 2011 trials, which supported a conclusion of improved quality of life from treatment with nabiximols.</w:t>
      </w:r>
    </w:p>
    <w:p w:rsidR="00FA30CD" w:rsidRPr="00A67611" w:rsidRDefault="00FA30CD" w:rsidP="000F706A">
      <w:pPr>
        <w:pStyle w:val="3-BodyText"/>
      </w:pPr>
      <w:r w:rsidRPr="00A67611">
        <w:t xml:space="preserve">In relation to </w:t>
      </w:r>
      <w:r w:rsidR="00F95B64" w:rsidRPr="00A67611">
        <w:t xml:space="preserve">healthcare resource use </w:t>
      </w:r>
      <w:r w:rsidRPr="00A67611">
        <w:t>data collected in Markovà 2019, there was no statistically significant difference in the hours per day of caregiver support required for nabiximols or placebo treated patients, with low numbers of hours per day required at the start and the end of treatment. Physiotherapy hours per week increased in the placebo group and decreased by 0.4 hours in the nabiximols group with a difference of 1.7 hours per week.</w:t>
      </w:r>
      <w:r w:rsidR="00F8520B">
        <w:t xml:space="preserve"> </w:t>
      </w:r>
      <w:r w:rsidR="00805EB2">
        <w:t>However</w:t>
      </w:r>
      <w:r w:rsidRPr="00A67611">
        <w:rPr>
          <w:i/>
        </w:rPr>
        <w:t xml:space="preserve"> </w:t>
      </w:r>
      <w:r w:rsidR="00805EB2">
        <w:t>a</w:t>
      </w:r>
      <w:r w:rsidRPr="00A67611">
        <w:t>dditional care is a key driver o</w:t>
      </w:r>
      <w:r w:rsidR="008078EB" w:rsidRPr="00A67611">
        <w:t xml:space="preserve">f the economic evaluation (see </w:t>
      </w:r>
      <w:r w:rsidR="00203D6A" w:rsidRPr="00A67611">
        <w:t>p</w:t>
      </w:r>
      <w:r w:rsidR="00965B6C" w:rsidRPr="00A67611">
        <w:t>aragraphs</w:t>
      </w:r>
      <w:r w:rsidR="00203D6A" w:rsidRPr="00A67611">
        <w:t xml:space="preserve"> </w:t>
      </w:r>
      <w:r w:rsidR="00D420F9">
        <w:t>6.69</w:t>
      </w:r>
      <w:r w:rsidR="002D6D13" w:rsidRPr="00A67611">
        <w:t xml:space="preserve"> - </w:t>
      </w:r>
      <w:r w:rsidR="00D420F9">
        <w:t>6.73</w:t>
      </w:r>
      <w:r w:rsidRPr="00A67611">
        <w:t xml:space="preserve">). There was insufficient data to </w:t>
      </w:r>
      <w:r w:rsidR="00805EB2">
        <w:t xml:space="preserve"> draw</w:t>
      </w:r>
      <w:r w:rsidR="00805EB2" w:rsidRPr="00A67611">
        <w:t xml:space="preserve"> </w:t>
      </w:r>
      <w:r w:rsidRPr="00A67611">
        <w:t>any conclusions regarding the change in number of medical consultations.</w:t>
      </w:r>
    </w:p>
    <w:p w:rsidR="00FA30CD" w:rsidRPr="00A67611" w:rsidRDefault="00FA30CD" w:rsidP="00FA30CD">
      <w:pPr>
        <w:pStyle w:val="4-SubsectionHeading"/>
      </w:pPr>
      <w:bookmarkStart w:id="37" w:name="_Toc22897642"/>
      <w:bookmarkStart w:id="38" w:name="_Toc27326487"/>
      <w:bookmarkStart w:id="39" w:name="_Toc30583491"/>
      <w:r w:rsidRPr="00A67611">
        <w:t>Comparative harms</w:t>
      </w:r>
      <w:bookmarkEnd w:id="37"/>
      <w:bookmarkEnd w:id="38"/>
      <w:bookmarkEnd w:id="39"/>
    </w:p>
    <w:p w:rsidR="00FA30CD" w:rsidRPr="00A67611" w:rsidRDefault="00FA30CD" w:rsidP="000F706A">
      <w:pPr>
        <w:pStyle w:val="3-BodyText"/>
      </w:pPr>
      <w:r w:rsidRPr="00A67611">
        <w:t xml:space="preserve">The most common treatment-related adverse events in Markovà 2019 and Vachovà 2014, were vertigo, fatigue and dizziness as summarised in </w:t>
      </w:r>
      <w:r w:rsidR="00D420F9" w:rsidRPr="00D420F9">
        <w:t>Table 8</w:t>
      </w:r>
      <w:r w:rsidR="0031604B" w:rsidRPr="00A67611">
        <w:t xml:space="preserve"> </w:t>
      </w:r>
      <w:r w:rsidRPr="00A67611">
        <w:t xml:space="preserve">below. </w:t>
      </w:r>
    </w:p>
    <w:p w:rsidR="00FA30CD" w:rsidRPr="00A67611" w:rsidRDefault="008078EB" w:rsidP="00DC3A64">
      <w:pPr>
        <w:keepNext/>
        <w:keepLines/>
        <w:rPr>
          <w:rFonts w:ascii="Arial Narrow" w:hAnsi="Arial Narrow"/>
          <w:b/>
          <w:sz w:val="20"/>
          <w:szCs w:val="20"/>
        </w:rPr>
      </w:pPr>
      <w:bookmarkStart w:id="40" w:name="_Ref35856390"/>
      <w:r w:rsidRPr="00A67611">
        <w:rPr>
          <w:rFonts w:ascii="Arial Narrow" w:hAnsi="Arial Narrow"/>
          <w:b/>
          <w:sz w:val="20"/>
          <w:szCs w:val="20"/>
        </w:rPr>
        <w:lastRenderedPageBreak/>
        <w:t xml:space="preserve">Table </w:t>
      </w:r>
      <w:r w:rsidR="00D420F9">
        <w:rPr>
          <w:rFonts w:ascii="Arial Narrow" w:hAnsi="Arial Narrow"/>
          <w:b/>
          <w:noProof/>
          <w:sz w:val="20"/>
          <w:szCs w:val="20"/>
        </w:rPr>
        <w:t>8</w:t>
      </w:r>
      <w:bookmarkEnd w:id="40"/>
      <w:r w:rsidR="00FA30CD" w:rsidRPr="00A67611">
        <w:rPr>
          <w:rFonts w:ascii="Arial Narrow" w:hAnsi="Arial Narrow"/>
          <w:b/>
          <w:sz w:val="20"/>
          <w:szCs w:val="20"/>
        </w:rPr>
        <w:t>: Most common treatment related adverse events in new trials for this resubmission</w:t>
      </w:r>
    </w:p>
    <w:tbl>
      <w:tblPr>
        <w:tblStyle w:val="TableGrid"/>
        <w:tblW w:w="9067" w:type="dxa"/>
        <w:tblCellMar>
          <w:left w:w="28" w:type="dxa"/>
          <w:right w:w="28" w:type="dxa"/>
        </w:tblCellMar>
        <w:tblLook w:val="04A0" w:firstRow="1" w:lastRow="0" w:firstColumn="1" w:lastColumn="0" w:noHBand="0" w:noVBand="1"/>
        <w:tblCaption w:val="Table 8"/>
        <w:tblDescription w:val="Most common treatment related adverse events in new trials for this resubmission"/>
      </w:tblPr>
      <w:tblGrid>
        <w:gridCol w:w="1129"/>
        <w:gridCol w:w="939"/>
        <w:gridCol w:w="1045"/>
        <w:gridCol w:w="954"/>
        <w:gridCol w:w="1031"/>
        <w:gridCol w:w="969"/>
        <w:gridCol w:w="1015"/>
        <w:gridCol w:w="985"/>
        <w:gridCol w:w="1000"/>
      </w:tblGrid>
      <w:tr w:rsidR="008078EB" w:rsidRPr="00A67611" w:rsidTr="000B2397">
        <w:trPr>
          <w:tblHeader/>
        </w:trPr>
        <w:tc>
          <w:tcPr>
            <w:tcW w:w="1129" w:type="dxa"/>
            <w:vMerge w:val="restart"/>
          </w:tcPr>
          <w:p w:rsidR="008078EB" w:rsidRPr="00A67611" w:rsidRDefault="008078EB" w:rsidP="00DC3A64">
            <w:pPr>
              <w:keepNext/>
              <w:keepLines/>
              <w:rPr>
                <w:rFonts w:ascii="Arial Narrow" w:hAnsi="Arial Narrow"/>
                <w:sz w:val="20"/>
                <w:szCs w:val="20"/>
              </w:rPr>
            </w:pPr>
          </w:p>
        </w:tc>
        <w:tc>
          <w:tcPr>
            <w:tcW w:w="1984" w:type="dxa"/>
            <w:gridSpan w:val="2"/>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Vertigo</w:t>
            </w:r>
          </w:p>
        </w:tc>
        <w:tc>
          <w:tcPr>
            <w:tcW w:w="1985" w:type="dxa"/>
            <w:gridSpan w:val="2"/>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Dizziness</w:t>
            </w:r>
          </w:p>
        </w:tc>
        <w:tc>
          <w:tcPr>
            <w:tcW w:w="1984" w:type="dxa"/>
            <w:gridSpan w:val="2"/>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Somnolence</w:t>
            </w:r>
          </w:p>
        </w:tc>
        <w:tc>
          <w:tcPr>
            <w:tcW w:w="1985" w:type="dxa"/>
            <w:gridSpan w:val="2"/>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Fatigue</w:t>
            </w:r>
          </w:p>
        </w:tc>
      </w:tr>
      <w:tr w:rsidR="008078EB" w:rsidRPr="00A67611" w:rsidTr="000B2397">
        <w:trPr>
          <w:tblHeader/>
        </w:trPr>
        <w:tc>
          <w:tcPr>
            <w:tcW w:w="1129" w:type="dxa"/>
            <w:vMerge/>
          </w:tcPr>
          <w:p w:rsidR="008078EB" w:rsidRPr="00A67611" w:rsidRDefault="008078EB" w:rsidP="00DC3A64">
            <w:pPr>
              <w:keepNext/>
              <w:keepLines/>
              <w:rPr>
                <w:rFonts w:ascii="Arial Narrow" w:hAnsi="Arial Narrow"/>
                <w:sz w:val="20"/>
                <w:szCs w:val="20"/>
              </w:rPr>
            </w:pPr>
          </w:p>
        </w:tc>
        <w:tc>
          <w:tcPr>
            <w:tcW w:w="939"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Nabiximols n/N (%)</w:t>
            </w:r>
          </w:p>
        </w:tc>
        <w:tc>
          <w:tcPr>
            <w:tcW w:w="1045"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Placebo</w:t>
            </w:r>
          </w:p>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n/N (%)</w:t>
            </w:r>
          </w:p>
        </w:tc>
        <w:tc>
          <w:tcPr>
            <w:tcW w:w="954"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Nabiximols n/N (%)</w:t>
            </w:r>
          </w:p>
        </w:tc>
        <w:tc>
          <w:tcPr>
            <w:tcW w:w="1031"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Placebo n/N (%)</w:t>
            </w:r>
          </w:p>
        </w:tc>
        <w:tc>
          <w:tcPr>
            <w:tcW w:w="969"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Nabiximols</w:t>
            </w:r>
          </w:p>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n/N (%)</w:t>
            </w:r>
          </w:p>
        </w:tc>
        <w:tc>
          <w:tcPr>
            <w:tcW w:w="1015"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Placebo</w:t>
            </w:r>
          </w:p>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n/N (%)</w:t>
            </w:r>
          </w:p>
        </w:tc>
        <w:tc>
          <w:tcPr>
            <w:tcW w:w="985"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Nabiximols n/N (%)</w:t>
            </w:r>
          </w:p>
        </w:tc>
        <w:tc>
          <w:tcPr>
            <w:tcW w:w="1000" w:type="dxa"/>
          </w:tcPr>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Placebo</w:t>
            </w:r>
          </w:p>
          <w:p w:rsidR="008078EB" w:rsidRPr="00A67611" w:rsidRDefault="008078EB" w:rsidP="00DC3A64">
            <w:pPr>
              <w:keepNext/>
              <w:keepLines/>
              <w:jc w:val="center"/>
              <w:rPr>
                <w:rFonts w:ascii="Arial Narrow" w:hAnsi="Arial Narrow"/>
                <w:b/>
                <w:sz w:val="20"/>
                <w:szCs w:val="20"/>
              </w:rPr>
            </w:pPr>
            <w:r w:rsidRPr="00A67611">
              <w:rPr>
                <w:rFonts w:ascii="Arial Narrow" w:hAnsi="Arial Narrow"/>
                <w:b/>
                <w:sz w:val="20"/>
                <w:szCs w:val="20"/>
              </w:rPr>
              <w:t>n/N (%)</w:t>
            </w:r>
          </w:p>
        </w:tc>
      </w:tr>
      <w:tr w:rsidR="008078EB" w:rsidRPr="00A67611" w:rsidTr="006F168F">
        <w:tc>
          <w:tcPr>
            <w:tcW w:w="1129" w:type="dxa"/>
          </w:tcPr>
          <w:p w:rsidR="008078EB" w:rsidRPr="00A67611" w:rsidRDefault="008078EB" w:rsidP="00DC3A64">
            <w:pPr>
              <w:keepNext/>
              <w:keepLines/>
              <w:rPr>
                <w:rFonts w:ascii="Arial Narrow" w:hAnsi="Arial Narrow"/>
                <w:sz w:val="20"/>
                <w:szCs w:val="20"/>
              </w:rPr>
            </w:pPr>
            <w:r w:rsidRPr="00A67611">
              <w:rPr>
                <w:rFonts w:ascii="Arial Narrow" w:hAnsi="Arial Narrow"/>
                <w:sz w:val="20"/>
                <w:szCs w:val="20"/>
              </w:rPr>
              <w:t>Vachovà 2014</w:t>
            </w:r>
          </w:p>
        </w:tc>
        <w:tc>
          <w:tcPr>
            <w:tcW w:w="93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6/62 (9.7%)</w:t>
            </w:r>
          </w:p>
        </w:tc>
        <w:tc>
          <w:tcPr>
            <w:tcW w:w="104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0/59 (0%)</w:t>
            </w:r>
          </w:p>
        </w:tc>
        <w:tc>
          <w:tcPr>
            <w:tcW w:w="954"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5/62 (8.1%)</w:t>
            </w:r>
          </w:p>
        </w:tc>
        <w:tc>
          <w:tcPr>
            <w:tcW w:w="1031"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2/59 (3.4%)</w:t>
            </w:r>
          </w:p>
        </w:tc>
        <w:tc>
          <w:tcPr>
            <w:tcW w:w="96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1/59 (1.7%)</w:t>
            </w:r>
          </w:p>
        </w:tc>
        <w:tc>
          <w:tcPr>
            <w:tcW w:w="101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0/59 (0%)</w:t>
            </w:r>
          </w:p>
        </w:tc>
        <w:tc>
          <w:tcPr>
            <w:tcW w:w="98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5/62 (8.1%)</w:t>
            </w:r>
          </w:p>
        </w:tc>
        <w:tc>
          <w:tcPr>
            <w:tcW w:w="1000"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1/59 (1.7%)</w:t>
            </w:r>
          </w:p>
        </w:tc>
      </w:tr>
      <w:tr w:rsidR="008078EB" w:rsidRPr="00A67611" w:rsidTr="006F168F">
        <w:tc>
          <w:tcPr>
            <w:tcW w:w="1129" w:type="dxa"/>
          </w:tcPr>
          <w:p w:rsidR="008078EB" w:rsidRPr="00A67611" w:rsidRDefault="008078EB" w:rsidP="00DC3A64">
            <w:pPr>
              <w:keepNext/>
              <w:keepLines/>
              <w:rPr>
                <w:rFonts w:ascii="Arial Narrow" w:hAnsi="Arial Narrow"/>
                <w:sz w:val="20"/>
                <w:szCs w:val="20"/>
              </w:rPr>
            </w:pPr>
            <w:r w:rsidRPr="00A67611">
              <w:rPr>
                <w:rFonts w:ascii="Arial Narrow" w:hAnsi="Arial Narrow"/>
                <w:sz w:val="20"/>
                <w:szCs w:val="20"/>
              </w:rPr>
              <w:t>Markovà 2019 Phase A</w:t>
            </w:r>
          </w:p>
        </w:tc>
        <w:tc>
          <w:tcPr>
            <w:tcW w:w="93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14/191 (7.3%)</w:t>
            </w:r>
          </w:p>
        </w:tc>
        <w:tc>
          <w:tcPr>
            <w:tcW w:w="104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w:t>
            </w:r>
          </w:p>
        </w:tc>
        <w:tc>
          <w:tcPr>
            <w:tcW w:w="954"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4/191 (2.1%)</w:t>
            </w:r>
          </w:p>
        </w:tc>
        <w:tc>
          <w:tcPr>
            <w:tcW w:w="1031"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w:t>
            </w:r>
          </w:p>
        </w:tc>
        <w:tc>
          <w:tcPr>
            <w:tcW w:w="96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3/191 (1.6%)</w:t>
            </w:r>
          </w:p>
        </w:tc>
        <w:tc>
          <w:tcPr>
            <w:tcW w:w="101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w:t>
            </w:r>
          </w:p>
        </w:tc>
        <w:tc>
          <w:tcPr>
            <w:tcW w:w="98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3/191 (1.6%)</w:t>
            </w:r>
          </w:p>
        </w:tc>
        <w:tc>
          <w:tcPr>
            <w:tcW w:w="1000"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w:t>
            </w:r>
          </w:p>
        </w:tc>
      </w:tr>
      <w:tr w:rsidR="008078EB" w:rsidRPr="00A67611" w:rsidTr="006F168F">
        <w:tc>
          <w:tcPr>
            <w:tcW w:w="1129" w:type="dxa"/>
          </w:tcPr>
          <w:p w:rsidR="008078EB" w:rsidRPr="00A67611" w:rsidRDefault="008078EB" w:rsidP="00DC3A64">
            <w:pPr>
              <w:keepNext/>
              <w:keepLines/>
              <w:rPr>
                <w:rFonts w:ascii="Arial Narrow" w:hAnsi="Arial Narrow"/>
                <w:sz w:val="20"/>
                <w:szCs w:val="20"/>
              </w:rPr>
            </w:pPr>
            <w:r w:rsidRPr="00A67611">
              <w:rPr>
                <w:rFonts w:ascii="Arial Narrow" w:hAnsi="Arial Narrow"/>
                <w:sz w:val="20"/>
                <w:szCs w:val="20"/>
              </w:rPr>
              <w:t>Markovà 2019 Phase B</w:t>
            </w:r>
          </w:p>
        </w:tc>
        <w:tc>
          <w:tcPr>
            <w:tcW w:w="93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1/53 (1.9%)</w:t>
            </w:r>
          </w:p>
        </w:tc>
        <w:tc>
          <w:tcPr>
            <w:tcW w:w="104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0/53 (0%)</w:t>
            </w:r>
          </w:p>
        </w:tc>
        <w:tc>
          <w:tcPr>
            <w:tcW w:w="954" w:type="dxa"/>
            <w:vAlign w:val="center"/>
          </w:tcPr>
          <w:p w:rsidR="008078EB" w:rsidRPr="00A67611" w:rsidRDefault="008078EB" w:rsidP="00DC3A64">
            <w:pPr>
              <w:keepNext/>
              <w:keepLines/>
              <w:jc w:val="center"/>
              <w:rPr>
                <w:rFonts w:ascii="Arial Narrow" w:hAnsi="Arial Narrow"/>
                <w:sz w:val="20"/>
                <w:szCs w:val="20"/>
              </w:rPr>
            </w:pPr>
          </w:p>
        </w:tc>
        <w:tc>
          <w:tcPr>
            <w:tcW w:w="1031" w:type="dxa"/>
            <w:vAlign w:val="center"/>
          </w:tcPr>
          <w:p w:rsidR="008078EB" w:rsidRPr="00A67611" w:rsidRDefault="008078EB" w:rsidP="00DC3A64">
            <w:pPr>
              <w:keepNext/>
              <w:keepLines/>
              <w:jc w:val="center"/>
              <w:rPr>
                <w:rFonts w:ascii="Arial Narrow" w:hAnsi="Arial Narrow"/>
                <w:sz w:val="20"/>
                <w:szCs w:val="20"/>
              </w:rPr>
            </w:pPr>
          </w:p>
        </w:tc>
        <w:tc>
          <w:tcPr>
            <w:tcW w:w="969"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2/53 (3.8%)</w:t>
            </w:r>
          </w:p>
        </w:tc>
        <w:tc>
          <w:tcPr>
            <w:tcW w:w="1015" w:type="dxa"/>
            <w:vAlign w:val="center"/>
          </w:tcPr>
          <w:p w:rsidR="008078EB" w:rsidRPr="00A67611" w:rsidRDefault="008078EB" w:rsidP="00DC3A64">
            <w:pPr>
              <w:keepNext/>
              <w:keepLines/>
              <w:jc w:val="center"/>
              <w:rPr>
                <w:rFonts w:ascii="Arial Narrow" w:hAnsi="Arial Narrow"/>
                <w:sz w:val="20"/>
                <w:szCs w:val="20"/>
              </w:rPr>
            </w:pPr>
            <w:r w:rsidRPr="00A67611">
              <w:rPr>
                <w:rFonts w:ascii="Arial Narrow" w:hAnsi="Arial Narrow"/>
                <w:sz w:val="20"/>
                <w:szCs w:val="20"/>
              </w:rPr>
              <w:t>0/53 (0%)</w:t>
            </w:r>
          </w:p>
        </w:tc>
        <w:tc>
          <w:tcPr>
            <w:tcW w:w="985" w:type="dxa"/>
            <w:vAlign w:val="center"/>
          </w:tcPr>
          <w:p w:rsidR="008078EB" w:rsidRPr="00A67611" w:rsidRDefault="008078EB" w:rsidP="00DC3A64">
            <w:pPr>
              <w:keepNext/>
              <w:keepLines/>
              <w:jc w:val="center"/>
              <w:rPr>
                <w:rFonts w:ascii="Arial Narrow" w:hAnsi="Arial Narrow"/>
                <w:sz w:val="20"/>
                <w:szCs w:val="20"/>
              </w:rPr>
            </w:pPr>
          </w:p>
        </w:tc>
        <w:tc>
          <w:tcPr>
            <w:tcW w:w="1000" w:type="dxa"/>
            <w:vAlign w:val="center"/>
          </w:tcPr>
          <w:p w:rsidR="008078EB" w:rsidRPr="00A67611" w:rsidRDefault="008078EB" w:rsidP="00DC3A64">
            <w:pPr>
              <w:keepNext/>
              <w:keepLines/>
              <w:jc w:val="center"/>
              <w:rPr>
                <w:rFonts w:ascii="Arial Narrow" w:hAnsi="Arial Narrow"/>
                <w:sz w:val="20"/>
                <w:szCs w:val="20"/>
              </w:rPr>
            </w:pPr>
          </w:p>
        </w:tc>
      </w:tr>
    </w:tbl>
    <w:p w:rsidR="008078EB" w:rsidRPr="00A67611" w:rsidRDefault="008078EB" w:rsidP="00DC3A64">
      <w:pPr>
        <w:keepNext/>
        <w:keepLines/>
        <w:spacing w:after="120"/>
        <w:rPr>
          <w:rFonts w:ascii="Arial Narrow" w:hAnsi="Arial Narrow"/>
          <w:sz w:val="18"/>
          <w:szCs w:val="18"/>
        </w:rPr>
      </w:pPr>
      <w:r w:rsidRPr="00A67611">
        <w:rPr>
          <w:rFonts w:ascii="Arial Narrow" w:hAnsi="Arial Narrow"/>
          <w:sz w:val="18"/>
          <w:szCs w:val="18"/>
        </w:rPr>
        <w:t>Source: Table 72-7, pp196-203 Markovà 2019 CSR, p114 Vachovà 2014 CSR</w:t>
      </w:r>
    </w:p>
    <w:p w:rsidR="00F84275" w:rsidRPr="00A67611" w:rsidRDefault="0031604B" w:rsidP="000F706A">
      <w:pPr>
        <w:pStyle w:val="3-BodyText"/>
      </w:pPr>
      <w:bookmarkStart w:id="41" w:name="_Toc22897643"/>
      <w:bookmarkStart w:id="42" w:name="_Toc27326488"/>
      <w:r w:rsidRPr="00A67611">
        <w:t xml:space="preserve">In Vachovà 2014, </w:t>
      </w:r>
      <w:r w:rsidR="00F84275" w:rsidRPr="00A67611">
        <w:t>40.3% of patients on nabiximols reported treatment emergent adverse events compared to 8.5% in the placebo group. This led to withdrawal in 9 patients (14.5%) on nabiximols and 2 patients (3.4%) on placebo.</w:t>
      </w:r>
    </w:p>
    <w:p w:rsidR="00F84275" w:rsidRPr="00A67611" w:rsidRDefault="00F84275" w:rsidP="000F706A">
      <w:pPr>
        <w:pStyle w:val="3-BodyText"/>
      </w:pPr>
      <w:r w:rsidRPr="00A67611">
        <w:t xml:space="preserve">In Markovà 2019, there were 4 patients who withdrew due to treatment emergent adverse events during Phase A and 1 </w:t>
      </w:r>
      <w:r w:rsidR="0031604B" w:rsidRPr="00A67611">
        <w:t xml:space="preserve">patient </w:t>
      </w:r>
      <w:r w:rsidRPr="00A67611">
        <w:t>withdrew during the washout phase (approximately 2.6%).</w:t>
      </w:r>
    </w:p>
    <w:p w:rsidR="006F2B26" w:rsidRPr="00A67611" w:rsidRDefault="00FA30CD" w:rsidP="000F706A">
      <w:pPr>
        <w:pStyle w:val="3-BodyText"/>
      </w:pPr>
      <w:r w:rsidRPr="00A67611">
        <w:t xml:space="preserve">No new adverse event signals were identified in the Markovà 2019 and Vachovà 2014 trials. </w:t>
      </w:r>
    </w:p>
    <w:p w:rsidR="00BD499D" w:rsidRPr="00A67611" w:rsidRDefault="006F2B26" w:rsidP="000F706A">
      <w:pPr>
        <w:pStyle w:val="3-BodyText"/>
      </w:pPr>
      <w:r w:rsidRPr="00A67611">
        <w:t>In the consideration of the July 2013</w:t>
      </w:r>
      <w:r w:rsidR="00AE674D" w:rsidRPr="00A67611">
        <w:t xml:space="preserve"> submission</w:t>
      </w:r>
      <w:r w:rsidRPr="00A67611">
        <w:t>, the PBAC considered that “[f]or all trials (Novotna 2011, Collin 2007 and Collin 2010), patients treated with nabiximols had more adverse events than placebo-treated subjects. The most common adverse events were gastrointestinal disorders (e.g. nausea or dry mouth), general disorders, nervous system disorders and psychiatric disorders. The submission stated that the majority of adverse events resolved within the trial period. The most common treatment-related adverse events in the supportive trials were nervous system disorders (48% to 69% of subjects treated with nabiximols vs. 26%-34% of placebo treatment subjects), followed by gastrointestinal disorders (32%-39% vs. 20%-29%), general disorders (27%-46% vs. 12%-28%) and psychiatric disorders (17%-23% vs. 4%-11%)” (</w:t>
      </w:r>
      <w:r w:rsidR="002B62A4">
        <w:t>S</w:t>
      </w:r>
      <w:r w:rsidR="00D26F84">
        <w:t>ection 8</w:t>
      </w:r>
      <w:r w:rsidRPr="00A67611">
        <w:t>,</w:t>
      </w:r>
      <w:r w:rsidR="00400985">
        <w:t xml:space="preserve"> </w:t>
      </w:r>
      <w:r w:rsidR="004B39C7">
        <w:t>n</w:t>
      </w:r>
      <w:r w:rsidRPr="00A67611">
        <w:t xml:space="preserve">abiximols PSD, July 2013 PBAC Meeting). </w:t>
      </w:r>
      <w:r w:rsidR="00BD499D" w:rsidRPr="00A67611">
        <w:t>It remains reasonable to conclude that patients treated with nabiximols are more likely to experience adverse events than patients treated with placebo based on the results from clinical trials.</w:t>
      </w:r>
      <w:r w:rsidR="004B39C7">
        <w:t xml:space="preserve"> </w:t>
      </w:r>
    </w:p>
    <w:p w:rsidR="00BB5E2B" w:rsidRPr="00A67611" w:rsidRDefault="00BB5E2B" w:rsidP="000F706A">
      <w:pPr>
        <w:pStyle w:val="3-BodyText"/>
      </w:pPr>
      <w:bookmarkStart w:id="43" w:name="_Ref35435079"/>
      <w:r w:rsidRPr="00A67611">
        <w:t xml:space="preserve">Differences in the reported rates </w:t>
      </w:r>
      <w:r w:rsidR="002B4C3A" w:rsidRPr="00A67611">
        <w:t xml:space="preserve">of the number of treatment-emergent adverse events (TEAEs) and </w:t>
      </w:r>
      <w:r w:rsidR="004B7070">
        <w:t>nervous system disorder</w:t>
      </w:r>
      <w:r w:rsidR="004B7070" w:rsidRPr="00A67611">
        <w:t xml:space="preserve"> </w:t>
      </w:r>
      <w:r w:rsidR="002B4C3A" w:rsidRPr="00A67611">
        <w:t xml:space="preserve">adverse events (NAEs) between Phase A and Phase B of the Markovà 2019 and Novotna 2011 trials </w:t>
      </w:r>
      <w:r w:rsidRPr="00A67611">
        <w:t xml:space="preserve">are presented in </w:t>
      </w:r>
      <w:r w:rsidR="00D420F9" w:rsidRPr="00D420F9">
        <w:t>Table 9</w:t>
      </w:r>
      <w:r w:rsidRPr="00A67611">
        <w:t>.</w:t>
      </w:r>
      <w:bookmarkEnd w:id="43"/>
    </w:p>
    <w:p w:rsidR="002D1D31" w:rsidRPr="00A67611" w:rsidRDefault="002D1D31" w:rsidP="00741B1E">
      <w:pPr>
        <w:pStyle w:val="Caption"/>
        <w:keepNext/>
        <w:keepLines/>
        <w:widowControl w:val="0"/>
        <w:spacing w:after="0"/>
        <w:rPr>
          <w:rFonts w:ascii="Arial Narrow" w:hAnsi="Arial Narrow"/>
          <w:color w:val="000000" w:themeColor="text1"/>
          <w:sz w:val="20"/>
          <w:szCs w:val="20"/>
        </w:rPr>
      </w:pPr>
      <w:bookmarkStart w:id="44" w:name="_Ref35856594"/>
      <w:r w:rsidRPr="00A67611">
        <w:rPr>
          <w:rFonts w:ascii="Arial Narrow" w:hAnsi="Arial Narrow"/>
          <w:color w:val="000000" w:themeColor="text1"/>
          <w:sz w:val="20"/>
          <w:szCs w:val="20"/>
        </w:rPr>
        <w:lastRenderedPageBreak/>
        <w:t xml:space="preserve">Table </w:t>
      </w:r>
      <w:r w:rsidR="00D420F9">
        <w:rPr>
          <w:rFonts w:ascii="Arial Narrow" w:hAnsi="Arial Narrow"/>
          <w:noProof/>
          <w:color w:val="000000" w:themeColor="text1"/>
          <w:sz w:val="20"/>
          <w:szCs w:val="20"/>
        </w:rPr>
        <w:t>9</w:t>
      </w:r>
      <w:bookmarkEnd w:id="44"/>
      <w:r w:rsidRPr="00A67611">
        <w:rPr>
          <w:rFonts w:ascii="Arial Narrow" w:hAnsi="Arial Narrow"/>
          <w:color w:val="000000" w:themeColor="text1"/>
          <w:sz w:val="20"/>
          <w:szCs w:val="20"/>
        </w:rPr>
        <w:t>: Treatment-emergent adverse events</w:t>
      </w:r>
      <w:r w:rsidR="001F01E4" w:rsidRPr="00A67611">
        <w:rPr>
          <w:rFonts w:ascii="Arial Narrow" w:hAnsi="Arial Narrow"/>
          <w:color w:val="000000" w:themeColor="text1"/>
          <w:sz w:val="20"/>
          <w:szCs w:val="20"/>
        </w:rPr>
        <w:t xml:space="preserve"> (number of patients)</w:t>
      </w:r>
      <w:r w:rsidRPr="00A67611">
        <w:rPr>
          <w:rFonts w:ascii="Arial Narrow" w:hAnsi="Arial Narrow"/>
          <w:color w:val="000000" w:themeColor="text1"/>
          <w:sz w:val="20"/>
          <w:szCs w:val="20"/>
        </w:rPr>
        <w:t xml:space="preserve"> and neurological</w:t>
      </w:r>
      <w:r w:rsidR="001F01E4" w:rsidRPr="00A67611">
        <w:rPr>
          <w:rFonts w:ascii="Arial Narrow" w:hAnsi="Arial Narrow"/>
          <w:color w:val="000000" w:themeColor="text1"/>
          <w:sz w:val="20"/>
          <w:szCs w:val="20"/>
        </w:rPr>
        <w:t xml:space="preserve"> adverse events in Phase A and </w:t>
      </w:r>
      <w:r w:rsidRPr="00A67611">
        <w:rPr>
          <w:rFonts w:ascii="Arial Narrow" w:hAnsi="Arial Narrow"/>
          <w:color w:val="000000" w:themeColor="text1"/>
          <w:sz w:val="20"/>
          <w:szCs w:val="20"/>
        </w:rPr>
        <w:t xml:space="preserve">B of </w:t>
      </w:r>
      <w:r w:rsidR="009904C2" w:rsidRPr="00A67611">
        <w:rPr>
          <w:rFonts w:ascii="Arial Narrow" w:hAnsi="Arial Narrow"/>
          <w:color w:val="000000" w:themeColor="text1"/>
          <w:sz w:val="20"/>
          <w:szCs w:val="20"/>
        </w:rPr>
        <w:t>Markovà 2019</w:t>
      </w:r>
      <w:r w:rsidRPr="00A67611">
        <w:rPr>
          <w:rFonts w:ascii="Arial Narrow" w:hAnsi="Arial Narrow"/>
          <w:color w:val="000000" w:themeColor="text1"/>
          <w:sz w:val="20"/>
          <w:szCs w:val="20"/>
        </w:rPr>
        <w:t xml:space="preserve"> and Novotna 2011</w:t>
      </w:r>
    </w:p>
    <w:tbl>
      <w:tblPr>
        <w:tblW w:w="5028" w:type="pct"/>
        <w:tblLayout w:type="fixed"/>
        <w:tblLook w:val="04A0" w:firstRow="1" w:lastRow="0" w:firstColumn="1" w:lastColumn="0" w:noHBand="0" w:noVBand="1"/>
      </w:tblPr>
      <w:tblGrid>
        <w:gridCol w:w="1270"/>
        <w:gridCol w:w="569"/>
        <w:gridCol w:w="1063"/>
        <w:gridCol w:w="1064"/>
        <w:gridCol w:w="1181"/>
        <w:gridCol w:w="979"/>
        <w:gridCol w:w="981"/>
        <w:gridCol w:w="981"/>
        <w:gridCol w:w="979"/>
      </w:tblGrid>
      <w:tr w:rsidR="00E43B6F" w:rsidRPr="00A67611" w:rsidTr="00E43B6F">
        <w:trPr>
          <w:trHeight w:val="300"/>
        </w:trPr>
        <w:tc>
          <w:tcPr>
            <w:tcW w:w="700" w:type="pct"/>
            <w:vMerge w:val="restart"/>
            <w:tcBorders>
              <w:top w:val="single" w:sz="4" w:space="0" w:color="auto"/>
              <w:left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b/>
                <w:color w:val="000000"/>
                <w:sz w:val="20"/>
                <w:szCs w:val="20"/>
              </w:rPr>
            </w:pPr>
            <w:r w:rsidRPr="00A67611">
              <w:rPr>
                <w:rFonts w:ascii="Arial Narrow" w:hAnsi="Arial Narrow" w:cs="Calibri"/>
                <w:b/>
                <w:color w:val="000000"/>
                <w:sz w:val="20"/>
                <w:szCs w:val="20"/>
              </w:rPr>
              <w:t>Trial</w:t>
            </w:r>
          </w:p>
        </w:tc>
        <w:tc>
          <w:tcPr>
            <w:tcW w:w="1487" w:type="pct"/>
            <w:gridSpan w:val="3"/>
            <w:tcBorders>
              <w:top w:val="single" w:sz="4" w:space="0" w:color="auto"/>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b/>
                <w:color w:val="000000"/>
                <w:sz w:val="20"/>
                <w:szCs w:val="20"/>
              </w:rPr>
            </w:pPr>
            <w:r w:rsidRPr="00A67611">
              <w:rPr>
                <w:rFonts w:ascii="Arial Narrow" w:hAnsi="Arial Narrow" w:cs="Calibri"/>
                <w:b/>
                <w:color w:val="000000"/>
                <w:sz w:val="20"/>
                <w:szCs w:val="20"/>
              </w:rPr>
              <w:t>Phase A*</w:t>
            </w:r>
          </w:p>
        </w:tc>
        <w:tc>
          <w:tcPr>
            <w:tcW w:w="651" w:type="pct"/>
            <w:vMerge w:val="restart"/>
            <w:tcBorders>
              <w:top w:val="single" w:sz="4" w:space="0" w:color="auto"/>
              <w:left w:val="nil"/>
              <w:right w:val="single" w:sz="4" w:space="0" w:color="auto"/>
            </w:tcBorders>
            <w:shd w:val="clear" w:color="auto" w:fill="auto"/>
            <w:vAlign w:val="center"/>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n/N continued to Phase B (%)</w:t>
            </w:r>
          </w:p>
        </w:tc>
        <w:tc>
          <w:tcPr>
            <w:tcW w:w="2162" w:type="pct"/>
            <w:gridSpan w:val="4"/>
            <w:tcBorders>
              <w:top w:val="single" w:sz="4" w:space="0" w:color="auto"/>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b/>
                <w:color w:val="000000"/>
                <w:sz w:val="20"/>
                <w:szCs w:val="20"/>
              </w:rPr>
            </w:pPr>
            <w:r w:rsidRPr="00A67611">
              <w:rPr>
                <w:rFonts w:ascii="Arial Narrow" w:hAnsi="Arial Narrow" w:cs="Calibri"/>
                <w:b/>
                <w:color w:val="000000"/>
                <w:sz w:val="20"/>
                <w:szCs w:val="20"/>
              </w:rPr>
              <w:t>Phase B</w:t>
            </w:r>
          </w:p>
        </w:tc>
      </w:tr>
      <w:tr w:rsidR="00E43B6F" w:rsidRPr="00A67611" w:rsidTr="00E43B6F">
        <w:trPr>
          <w:trHeight w:val="331"/>
        </w:trPr>
        <w:tc>
          <w:tcPr>
            <w:tcW w:w="700" w:type="pct"/>
            <w:vMerge/>
            <w:tcBorders>
              <w:left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314" w:type="pct"/>
            <w:vMerge w:val="restart"/>
            <w:tcBorders>
              <w:top w:val="nil"/>
              <w:left w:val="nil"/>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N</w:t>
            </w:r>
          </w:p>
        </w:tc>
        <w:tc>
          <w:tcPr>
            <w:tcW w:w="586" w:type="pct"/>
            <w:vMerge w:val="restart"/>
            <w:tcBorders>
              <w:top w:val="nil"/>
              <w:left w:val="nil"/>
              <w:right w:val="single" w:sz="4" w:space="0" w:color="auto"/>
            </w:tcBorders>
            <w:shd w:val="clear" w:color="auto" w:fill="auto"/>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N (%) exp.</w:t>
            </w:r>
            <w:r w:rsidRPr="00A67611">
              <w:rPr>
                <w:rFonts w:ascii="Arial Narrow" w:hAnsi="Arial Narrow" w:cs="Calibri"/>
                <w:color w:val="000000"/>
                <w:sz w:val="20"/>
                <w:szCs w:val="20"/>
              </w:rPr>
              <w:br/>
              <w:t>TEAEs</w:t>
            </w:r>
          </w:p>
        </w:tc>
        <w:tc>
          <w:tcPr>
            <w:tcW w:w="587" w:type="pct"/>
            <w:vMerge w:val="restart"/>
            <w:tcBorders>
              <w:top w:val="nil"/>
              <w:left w:val="nil"/>
              <w:right w:val="single" w:sz="4" w:space="0" w:color="auto"/>
            </w:tcBorders>
            <w:shd w:val="clear" w:color="auto" w:fill="auto"/>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 xml:space="preserve">N (%) exp. </w:t>
            </w:r>
            <w:r w:rsidRPr="00A67611">
              <w:rPr>
                <w:rFonts w:ascii="Arial Narrow" w:hAnsi="Arial Narrow" w:cs="Calibri"/>
                <w:color w:val="000000"/>
                <w:sz w:val="20"/>
                <w:szCs w:val="20"/>
              </w:rPr>
              <w:br/>
              <w:t>NAE</w:t>
            </w:r>
          </w:p>
        </w:tc>
        <w:tc>
          <w:tcPr>
            <w:tcW w:w="651" w:type="pct"/>
            <w:vMerge/>
            <w:tcBorders>
              <w:left w:val="nil"/>
              <w:right w:val="single" w:sz="4" w:space="0" w:color="auto"/>
            </w:tcBorders>
            <w:shd w:val="clear" w:color="auto" w:fill="auto"/>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1081" w:type="pct"/>
            <w:gridSpan w:val="2"/>
            <w:tcBorders>
              <w:top w:val="single" w:sz="4" w:space="0" w:color="auto"/>
              <w:left w:val="nil"/>
              <w:bottom w:val="single" w:sz="4" w:space="0" w:color="auto"/>
              <w:right w:val="single" w:sz="4" w:space="0" w:color="auto"/>
            </w:tcBorders>
            <w:shd w:val="clear" w:color="auto" w:fill="auto"/>
            <w:noWrap/>
            <w:vAlign w:val="center"/>
            <w:hideMark/>
          </w:tcPr>
          <w:p w:rsidR="00E43B6F" w:rsidRPr="00A67611" w:rsidRDefault="00390F81" w:rsidP="00741B1E">
            <w:pPr>
              <w:keepNext/>
              <w:keepLines/>
              <w:widowControl w:val="0"/>
              <w:jc w:val="center"/>
              <w:rPr>
                <w:rFonts w:ascii="Arial Narrow" w:hAnsi="Arial Narrow" w:cs="Calibri"/>
                <w:color w:val="000000"/>
                <w:sz w:val="20"/>
                <w:szCs w:val="20"/>
              </w:rPr>
            </w:pPr>
            <w:r>
              <w:rPr>
                <w:rFonts w:ascii="Arial Narrow" w:hAnsi="Arial Narrow" w:cs="Calibri"/>
                <w:color w:val="000000"/>
                <w:sz w:val="20"/>
                <w:szCs w:val="20"/>
              </w:rPr>
              <w:t>n/</w:t>
            </w:r>
            <w:r w:rsidR="00E43B6F" w:rsidRPr="00A67611">
              <w:rPr>
                <w:rFonts w:ascii="Arial Narrow" w:hAnsi="Arial Narrow" w:cs="Calibri"/>
                <w:color w:val="000000"/>
                <w:sz w:val="20"/>
                <w:szCs w:val="20"/>
              </w:rPr>
              <w:t>N (%) exp. TEAEs</w:t>
            </w:r>
          </w:p>
        </w:tc>
        <w:tc>
          <w:tcPr>
            <w:tcW w:w="1081" w:type="pct"/>
            <w:gridSpan w:val="2"/>
            <w:tcBorders>
              <w:top w:val="single" w:sz="4" w:space="0" w:color="auto"/>
              <w:left w:val="nil"/>
              <w:bottom w:val="single" w:sz="4" w:space="0" w:color="auto"/>
              <w:right w:val="single" w:sz="4" w:space="0" w:color="auto"/>
            </w:tcBorders>
            <w:shd w:val="clear" w:color="auto" w:fill="auto"/>
            <w:noWrap/>
            <w:vAlign w:val="center"/>
            <w:hideMark/>
          </w:tcPr>
          <w:p w:rsidR="00E43B6F" w:rsidRPr="00A67611" w:rsidRDefault="00390F81" w:rsidP="00741B1E">
            <w:pPr>
              <w:keepNext/>
              <w:keepLines/>
              <w:widowControl w:val="0"/>
              <w:jc w:val="center"/>
              <w:rPr>
                <w:rFonts w:ascii="Arial Narrow" w:hAnsi="Arial Narrow" w:cs="Calibri"/>
                <w:color w:val="000000"/>
                <w:sz w:val="20"/>
                <w:szCs w:val="20"/>
              </w:rPr>
            </w:pPr>
            <w:r>
              <w:rPr>
                <w:rFonts w:ascii="Arial Narrow" w:hAnsi="Arial Narrow" w:cs="Calibri"/>
                <w:color w:val="000000"/>
                <w:sz w:val="20"/>
                <w:szCs w:val="20"/>
              </w:rPr>
              <w:t>n/</w:t>
            </w:r>
            <w:r w:rsidR="00E43B6F" w:rsidRPr="00A67611">
              <w:rPr>
                <w:rFonts w:ascii="Arial Narrow" w:hAnsi="Arial Narrow" w:cs="Calibri"/>
                <w:color w:val="000000"/>
                <w:sz w:val="20"/>
                <w:szCs w:val="20"/>
              </w:rPr>
              <w:t>N (%)</w:t>
            </w:r>
            <w:r w:rsidR="00B36CC3" w:rsidRPr="00A67611">
              <w:rPr>
                <w:rFonts w:ascii="Arial Narrow" w:hAnsi="Arial Narrow" w:cs="Calibri"/>
                <w:color w:val="000000"/>
                <w:sz w:val="20"/>
                <w:szCs w:val="20"/>
              </w:rPr>
              <w:t xml:space="preserve"> exp. NAEs</w:t>
            </w:r>
          </w:p>
        </w:tc>
      </w:tr>
      <w:tr w:rsidR="00E43B6F" w:rsidRPr="00A67611" w:rsidTr="00E43B6F">
        <w:trPr>
          <w:trHeight w:val="300"/>
        </w:trPr>
        <w:tc>
          <w:tcPr>
            <w:tcW w:w="700" w:type="pct"/>
            <w:vMerge/>
            <w:tcBorders>
              <w:left w:val="single" w:sz="4" w:space="0" w:color="auto"/>
              <w:bottom w:val="single" w:sz="4" w:space="0" w:color="auto"/>
              <w:right w:val="single" w:sz="4" w:space="0" w:color="auto"/>
            </w:tcBorders>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314" w:type="pct"/>
            <w:vMerge/>
            <w:tcBorders>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586" w:type="pct"/>
            <w:vMerge/>
            <w:tcBorders>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587" w:type="pct"/>
            <w:vMerge/>
            <w:tcBorders>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651" w:type="pct"/>
            <w:vMerge/>
            <w:tcBorders>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18"/>
                <w:szCs w:val="18"/>
              </w:rPr>
            </w:pPr>
            <w:r w:rsidRPr="00A67611">
              <w:rPr>
                <w:rFonts w:ascii="Arial Narrow" w:hAnsi="Arial Narrow" w:cs="Calibri"/>
                <w:color w:val="000000"/>
                <w:sz w:val="18"/>
                <w:szCs w:val="18"/>
              </w:rPr>
              <w:t>Nabiximols</w:t>
            </w:r>
          </w:p>
        </w:tc>
        <w:tc>
          <w:tcPr>
            <w:tcW w:w="541" w:type="pct"/>
            <w:tcBorders>
              <w:top w:val="nil"/>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Placebo</w:t>
            </w:r>
          </w:p>
        </w:tc>
        <w:tc>
          <w:tcPr>
            <w:tcW w:w="541" w:type="pct"/>
            <w:tcBorders>
              <w:top w:val="nil"/>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18"/>
                <w:szCs w:val="18"/>
              </w:rPr>
            </w:pPr>
            <w:r w:rsidRPr="00A67611">
              <w:rPr>
                <w:rFonts w:ascii="Arial Narrow" w:hAnsi="Arial Narrow" w:cs="Calibri"/>
                <w:color w:val="000000"/>
                <w:sz w:val="18"/>
                <w:szCs w:val="18"/>
              </w:rPr>
              <w:t>Nabiximols</w:t>
            </w:r>
          </w:p>
        </w:tc>
        <w:tc>
          <w:tcPr>
            <w:tcW w:w="540" w:type="pct"/>
            <w:tcBorders>
              <w:top w:val="nil"/>
              <w:left w:val="nil"/>
              <w:bottom w:val="single" w:sz="4" w:space="0" w:color="auto"/>
              <w:right w:val="single" w:sz="4" w:space="0" w:color="auto"/>
            </w:tcBorders>
            <w:shd w:val="clear" w:color="auto" w:fill="auto"/>
            <w:noWrap/>
            <w:vAlign w:val="center"/>
            <w:hideMark/>
          </w:tcPr>
          <w:p w:rsidR="00E43B6F" w:rsidRPr="00A67611" w:rsidRDefault="00E43B6F"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Placebo</w:t>
            </w:r>
          </w:p>
        </w:tc>
      </w:tr>
      <w:tr w:rsidR="002D1D31" w:rsidRPr="00A67611" w:rsidTr="00E43B6F">
        <w:trPr>
          <w:trHeight w:val="300"/>
        </w:trPr>
        <w:tc>
          <w:tcPr>
            <w:tcW w:w="700" w:type="pct"/>
            <w:tcBorders>
              <w:top w:val="nil"/>
              <w:left w:val="single" w:sz="4" w:space="0" w:color="auto"/>
              <w:bottom w:val="single" w:sz="4" w:space="0" w:color="auto"/>
              <w:right w:val="single" w:sz="4" w:space="0" w:color="auto"/>
            </w:tcBorders>
            <w:shd w:val="clear" w:color="auto" w:fill="auto"/>
            <w:noWrap/>
            <w:vAlign w:val="center"/>
            <w:hideMark/>
          </w:tcPr>
          <w:p w:rsidR="00BB5E2B" w:rsidRPr="00A67611" w:rsidRDefault="00883110"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 xml:space="preserve">Markovà </w:t>
            </w:r>
            <w:r w:rsidR="00BB5E2B" w:rsidRPr="00A67611">
              <w:rPr>
                <w:rFonts w:ascii="Arial Narrow" w:hAnsi="Arial Narrow" w:cs="Calibri"/>
                <w:color w:val="000000"/>
                <w:sz w:val="20"/>
                <w:szCs w:val="20"/>
              </w:rPr>
              <w:t xml:space="preserve"> 2019</w:t>
            </w:r>
          </w:p>
        </w:tc>
        <w:tc>
          <w:tcPr>
            <w:tcW w:w="314" w:type="pct"/>
            <w:tcBorders>
              <w:top w:val="nil"/>
              <w:left w:val="nil"/>
              <w:bottom w:val="single" w:sz="4" w:space="0" w:color="auto"/>
              <w:right w:val="single" w:sz="4" w:space="0" w:color="auto"/>
            </w:tcBorders>
            <w:shd w:val="clear" w:color="auto" w:fill="auto"/>
            <w:noWrap/>
            <w:vAlign w:val="center"/>
            <w:hideMark/>
          </w:tcPr>
          <w:p w:rsidR="00BB5E2B" w:rsidRPr="00A67611" w:rsidRDefault="00BB5E2B"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191</w:t>
            </w:r>
          </w:p>
        </w:tc>
        <w:tc>
          <w:tcPr>
            <w:tcW w:w="586" w:type="pct"/>
            <w:tcBorders>
              <w:top w:val="nil"/>
              <w:left w:val="nil"/>
              <w:bottom w:val="single" w:sz="4" w:space="0" w:color="auto"/>
              <w:right w:val="single" w:sz="4" w:space="0" w:color="auto"/>
            </w:tcBorders>
            <w:shd w:val="clear" w:color="auto" w:fill="auto"/>
            <w:noWrap/>
            <w:vAlign w:val="center"/>
            <w:hideMark/>
          </w:tcPr>
          <w:p w:rsidR="002D1D31" w:rsidRPr="00686DEB" w:rsidRDefault="002D1D31" w:rsidP="00741B1E">
            <w:pPr>
              <w:keepNext/>
              <w:keepLines/>
              <w:widowControl w:val="0"/>
              <w:jc w:val="center"/>
              <w:rPr>
                <w:rFonts w:ascii="Arial Narrow" w:hAnsi="Arial Narrow" w:cs="Calibri"/>
                <w:color w:val="000000"/>
                <w:sz w:val="20"/>
                <w:szCs w:val="20"/>
              </w:rPr>
            </w:pPr>
            <w:r w:rsidRPr="00686DEB">
              <w:rPr>
                <w:rFonts w:ascii="Arial Narrow" w:hAnsi="Arial Narrow" w:cs="Calibri"/>
                <w:color w:val="000000"/>
                <w:sz w:val="20"/>
                <w:szCs w:val="20"/>
              </w:rPr>
              <w:t xml:space="preserve">46 </w:t>
            </w:r>
          </w:p>
          <w:p w:rsidR="00BB5E2B" w:rsidRPr="00A67611" w:rsidRDefault="002D1D31" w:rsidP="00741B1E">
            <w:pPr>
              <w:keepNext/>
              <w:keepLines/>
              <w:widowControl w:val="0"/>
              <w:jc w:val="center"/>
              <w:rPr>
                <w:rFonts w:ascii="Arial Narrow" w:hAnsi="Arial Narrow" w:cs="Calibri"/>
                <w:color w:val="000000"/>
                <w:sz w:val="20"/>
                <w:szCs w:val="20"/>
              </w:rPr>
            </w:pPr>
            <w:r w:rsidRPr="00686DEB">
              <w:rPr>
                <w:rFonts w:ascii="Arial Narrow" w:hAnsi="Arial Narrow" w:cs="Calibri"/>
                <w:color w:val="000000"/>
                <w:sz w:val="20"/>
                <w:szCs w:val="20"/>
              </w:rPr>
              <w:t>(24</w:t>
            </w:r>
            <w:r w:rsidR="001F01E4" w:rsidRPr="00686DEB">
              <w:rPr>
                <w:rFonts w:ascii="Arial Narrow" w:hAnsi="Arial Narrow" w:cs="Calibri"/>
                <w:color w:val="000000"/>
                <w:sz w:val="20"/>
                <w:szCs w:val="20"/>
              </w:rPr>
              <w:t>.1</w:t>
            </w:r>
            <w:r w:rsidR="00BB5E2B" w:rsidRPr="00686DEB">
              <w:rPr>
                <w:rFonts w:ascii="Arial Narrow" w:hAnsi="Arial Narrow" w:cs="Calibri"/>
                <w:color w:val="000000"/>
                <w:sz w:val="20"/>
                <w:szCs w:val="20"/>
              </w:rPr>
              <w:t>%</w:t>
            </w:r>
            <w:r w:rsidRPr="00686DEB">
              <w:rPr>
                <w:rFonts w:ascii="Arial Narrow" w:hAnsi="Arial Narrow" w:cs="Calibri"/>
                <w:color w:val="000000"/>
                <w:sz w:val="20"/>
                <w:szCs w:val="20"/>
              </w:rPr>
              <w:t>)</w:t>
            </w:r>
          </w:p>
        </w:tc>
        <w:tc>
          <w:tcPr>
            <w:tcW w:w="587" w:type="pct"/>
            <w:tcBorders>
              <w:top w:val="nil"/>
              <w:left w:val="nil"/>
              <w:bottom w:val="single" w:sz="4" w:space="0" w:color="auto"/>
              <w:right w:val="single" w:sz="4" w:space="0" w:color="auto"/>
            </w:tcBorders>
            <w:shd w:val="clear" w:color="auto" w:fill="auto"/>
            <w:noWrap/>
            <w:vAlign w:val="center"/>
            <w:hideMark/>
          </w:tcPr>
          <w:p w:rsidR="00BB5E2B" w:rsidRPr="00A67611" w:rsidRDefault="001F01E4"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16 (8.4</w:t>
            </w:r>
            <w:r w:rsidR="00BB5E2B" w:rsidRPr="00A67611">
              <w:rPr>
                <w:rFonts w:ascii="Arial Narrow" w:hAnsi="Arial Narrow" w:cs="Calibri"/>
                <w:color w:val="000000"/>
                <w:sz w:val="20"/>
                <w:szCs w:val="20"/>
              </w:rPr>
              <w:t>%</w:t>
            </w:r>
            <w:r w:rsidRPr="00A67611">
              <w:rPr>
                <w:rFonts w:ascii="Arial Narrow" w:hAnsi="Arial Narrow" w:cs="Calibri"/>
                <w:color w:val="000000"/>
                <w:sz w:val="20"/>
                <w:szCs w:val="20"/>
              </w:rPr>
              <w:t>)</w:t>
            </w:r>
          </w:p>
        </w:tc>
        <w:tc>
          <w:tcPr>
            <w:tcW w:w="651" w:type="pct"/>
            <w:tcBorders>
              <w:top w:val="nil"/>
              <w:left w:val="nil"/>
              <w:bottom w:val="single" w:sz="4" w:space="0" w:color="auto"/>
              <w:right w:val="single" w:sz="4" w:space="0" w:color="auto"/>
            </w:tcBorders>
            <w:shd w:val="clear" w:color="auto" w:fill="auto"/>
            <w:noWrap/>
            <w:vAlign w:val="center"/>
            <w:hideMark/>
          </w:tcPr>
          <w:p w:rsidR="00BB5E2B" w:rsidRPr="00A67611" w:rsidRDefault="00BB5E2B"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106</w:t>
            </w:r>
            <w:r w:rsidR="002D1D31" w:rsidRPr="00A67611">
              <w:rPr>
                <w:rFonts w:ascii="Arial Narrow" w:hAnsi="Arial Narrow" w:cs="Calibri"/>
                <w:color w:val="000000"/>
                <w:sz w:val="20"/>
                <w:szCs w:val="20"/>
              </w:rPr>
              <w:t>/191</w:t>
            </w:r>
            <w:r w:rsidRPr="00A67611">
              <w:rPr>
                <w:rFonts w:ascii="Arial Narrow" w:hAnsi="Arial Narrow" w:cs="Calibri"/>
                <w:color w:val="000000"/>
                <w:sz w:val="20"/>
                <w:szCs w:val="20"/>
              </w:rPr>
              <w:t xml:space="preserve"> (55%)</w:t>
            </w:r>
          </w:p>
        </w:tc>
        <w:tc>
          <w:tcPr>
            <w:tcW w:w="540" w:type="pct"/>
            <w:tcBorders>
              <w:top w:val="nil"/>
              <w:left w:val="nil"/>
              <w:bottom w:val="single" w:sz="4" w:space="0" w:color="auto"/>
              <w:right w:val="single" w:sz="4" w:space="0" w:color="auto"/>
            </w:tcBorders>
            <w:shd w:val="clear" w:color="auto" w:fill="auto"/>
            <w:noWrap/>
            <w:vAlign w:val="center"/>
            <w:hideMark/>
          </w:tcPr>
          <w:p w:rsidR="001F01E4"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12</w:t>
            </w:r>
            <w:r w:rsidR="00390F81" w:rsidRPr="00B7020A">
              <w:rPr>
                <w:rFonts w:ascii="Arial Narrow" w:hAnsi="Arial Narrow" w:cs="Calibri"/>
                <w:color w:val="000000"/>
                <w:sz w:val="20"/>
                <w:szCs w:val="20"/>
              </w:rPr>
              <w:t>/</w:t>
            </w:r>
            <w:r w:rsidR="00B7020A" w:rsidRPr="00B7020A">
              <w:rPr>
                <w:rFonts w:ascii="Arial Narrow" w:hAnsi="Arial Narrow" w:cs="Calibri"/>
                <w:color w:val="000000"/>
                <w:sz w:val="20"/>
                <w:szCs w:val="20"/>
              </w:rPr>
              <w:t>53</w:t>
            </w:r>
          </w:p>
          <w:p w:rsidR="00BB5E2B"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(22.6</w:t>
            </w:r>
            <w:r w:rsidR="00BB5E2B" w:rsidRPr="00B7020A">
              <w:rPr>
                <w:rFonts w:ascii="Arial Narrow" w:hAnsi="Arial Narrow" w:cs="Calibri"/>
                <w:color w:val="000000"/>
                <w:sz w:val="20"/>
                <w:szCs w:val="20"/>
              </w:rPr>
              <w:t>%</w:t>
            </w:r>
            <w:r w:rsidRPr="00B7020A">
              <w:rPr>
                <w:rFonts w:ascii="Arial Narrow" w:hAnsi="Arial Narrow" w:cs="Calibri"/>
                <w:color w:val="000000"/>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rsidR="00E43B6F"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7</w:t>
            </w:r>
            <w:r w:rsidR="00390F81" w:rsidRPr="00B7020A">
              <w:rPr>
                <w:rFonts w:ascii="Arial Narrow" w:hAnsi="Arial Narrow" w:cs="Calibri"/>
                <w:color w:val="000000"/>
                <w:sz w:val="20"/>
                <w:szCs w:val="20"/>
              </w:rPr>
              <w:t>/</w:t>
            </w:r>
            <w:r w:rsidR="00B7020A" w:rsidRPr="00B7020A">
              <w:rPr>
                <w:rFonts w:ascii="Arial Narrow" w:hAnsi="Arial Narrow" w:cs="Calibri"/>
                <w:color w:val="000000"/>
                <w:sz w:val="20"/>
                <w:szCs w:val="20"/>
              </w:rPr>
              <w:t>53</w:t>
            </w:r>
          </w:p>
          <w:p w:rsidR="00BB5E2B"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(13.2</w:t>
            </w:r>
            <w:r w:rsidR="00BB5E2B" w:rsidRPr="00B7020A">
              <w:rPr>
                <w:rFonts w:ascii="Arial Narrow" w:hAnsi="Arial Narrow" w:cs="Calibri"/>
                <w:color w:val="000000"/>
                <w:sz w:val="20"/>
                <w:szCs w:val="20"/>
              </w:rPr>
              <w:t>%</w:t>
            </w:r>
            <w:r w:rsidRPr="00B7020A">
              <w:rPr>
                <w:rFonts w:ascii="Arial Narrow" w:hAnsi="Arial Narrow" w:cs="Calibri"/>
                <w:color w:val="000000"/>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rsidR="001F01E4"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4</w:t>
            </w:r>
            <w:r w:rsidR="00390F81" w:rsidRPr="00B7020A">
              <w:rPr>
                <w:rFonts w:ascii="Arial Narrow" w:hAnsi="Arial Narrow" w:cs="Calibri"/>
                <w:color w:val="000000"/>
                <w:sz w:val="20"/>
                <w:szCs w:val="20"/>
              </w:rPr>
              <w:t>/</w:t>
            </w:r>
            <w:r w:rsidR="00B7020A" w:rsidRPr="00B7020A">
              <w:rPr>
                <w:rFonts w:ascii="Arial Narrow" w:hAnsi="Arial Narrow" w:cs="Calibri"/>
                <w:color w:val="000000"/>
                <w:sz w:val="20"/>
                <w:szCs w:val="20"/>
              </w:rPr>
              <w:t>53</w:t>
            </w:r>
          </w:p>
          <w:p w:rsidR="00BB5E2B"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(7.5</w:t>
            </w:r>
            <w:r w:rsidR="00BB5E2B" w:rsidRPr="00B7020A">
              <w:rPr>
                <w:rFonts w:ascii="Arial Narrow" w:hAnsi="Arial Narrow" w:cs="Calibri"/>
                <w:color w:val="000000"/>
                <w:sz w:val="20"/>
                <w:szCs w:val="20"/>
              </w:rPr>
              <w:t>%</w:t>
            </w:r>
            <w:r w:rsidRPr="00B7020A">
              <w:rPr>
                <w:rFonts w:ascii="Arial Narrow" w:hAnsi="Arial Narrow" w:cs="Calibri"/>
                <w:color w:val="000000"/>
                <w:sz w:val="20"/>
                <w:szCs w:val="20"/>
              </w:rPr>
              <w:t>)</w:t>
            </w:r>
          </w:p>
        </w:tc>
        <w:tc>
          <w:tcPr>
            <w:tcW w:w="540" w:type="pct"/>
            <w:tcBorders>
              <w:top w:val="nil"/>
              <w:left w:val="nil"/>
              <w:bottom w:val="single" w:sz="4" w:space="0" w:color="auto"/>
              <w:right w:val="single" w:sz="4" w:space="0" w:color="auto"/>
            </w:tcBorders>
            <w:shd w:val="clear" w:color="auto" w:fill="auto"/>
            <w:noWrap/>
            <w:vAlign w:val="center"/>
            <w:hideMark/>
          </w:tcPr>
          <w:p w:rsidR="001F01E4"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1</w:t>
            </w:r>
            <w:r w:rsidR="00390F81" w:rsidRPr="00B7020A">
              <w:rPr>
                <w:rFonts w:ascii="Arial Narrow" w:hAnsi="Arial Narrow" w:cs="Calibri"/>
                <w:color w:val="000000"/>
                <w:sz w:val="20"/>
                <w:szCs w:val="20"/>
              </w:rPr>
              <w:t>/</w:t>
            </w:r>
            <w:r w:rsidR="00B7020A" w:rsidRPr="00B7020A">
              <w:rPr>
                <w:rFonts w:ascii="Arial Narrow" w:hAnsi="Arial Narrow" w:cs="Calibri"/>
                <w:color w:val="000000"/>
                <w:sz w:val="20"/>
                <w:szCs w:val="20"/>
              </w:rPr>
              <w:t>53</w:t>
            </w:r>
          </w:p>
          <w:p w:rsidR="00BB5E2B" w:rsidRPr="00B7020A" w:rsidRDefault="001F01E4"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w:t>
            </w:r>
            <w:r w:rsidR="00BB5E2B" w:rsidRPr="00B7020A">
              <w:rPr>
                <w:rFonts w:ascii="Arial Narrow" w:hAnsi="Arial Narrow" w:cs="Calibri"/>
                <w:color w:val="000000"/>
                <w:sz w:val="20"/>
                <w:szCs w:val="20"/>
              </w:rPr>
              <w:t>1.9%</w:t>
            </w:r>
            <w:r w:rsidRPr="00B7020A">
              <w:rPr>
                <w:rFonts w:ascii="Arial Narrow" w:hAnsi="Arial Narrow" w:cs="Calibri"/>
                <w:color w:val="000000"/>
                <w:sz w:val="20"/>
                <w:szCs w:val="20"/>
              </w:rPr>
              <w:t>)</w:t>
            </w:r>
          </w:p>
        </w:tc>
      </w:tr>
      <w:tr w:rsidR="002D1D31" w:rsidRPr="00A67611" w:rsidTr="00E43B6F">
        <w:trPr>
          <w:trHeight w:val="300"/>
        </w:trPr>
        <w:tc>
          <w:tcPr>
            <w:tcW w:w="700" w:type="pct"/>
            <w:tcBorders>
              <w:top w:val="nil"/>
              <w:left w:val="single" w:sz="4" w:space="0" w:color="auto"/>
              <w:bottom w:val="single" w:sz="4" w:space="0" w:color="auto"/>
              <w:right w:val="single" w:sz="4" w:space="0" w:color="auto"/>
            </w:tcBorders>
            <w:shd w:val="clear" w:color="auto" w:fill="auto"/>
            <w:noWrap/>
            <w:vAlign w:val="center"/>
            <w:hideMark/>
          </w:tcPr>
          <w:p w:rsidR="00BB5E2B" w:rsidRPr="00A67611" w:rsidRDefault="00BB5E2B"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Novotna 2011</w:t>
            </w:r>
          </w:p>
        </w:tc>
        <w:tc>
          <w:tcPr>
            <w:tcW w:w="314" w:type="pct"/>
            <w:tcBorders>
              <w:top w:val="nil"/>
              <w:left w:val="nil"/>
              <w:bottom w:val="single" w:sz="4" w:space="0" w:color="auto"/>
              <w:right w:val="single" w:sz="4" w:space="0" w:color="auto"/>
            </w:tcBorders>
            <w:shd w:val="clear" w:color="auto" w:fill="auto"/>
            <w:noWrap/>
            <w:vAlign w:val="center"/>
            <w:hideMark/>
          </w:tcPr>
          <w:p w:rsidR="00BB5E2B" w:rsidRPr="00A67611" w:rsidRDefault="00BB5E2B"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571</w:t>
            </w:r>
          </w:p>
        </w:tc>
        <w:tc>
          <w:tcPr>
            <w:tcW w:w="586" w:type="pct"/>
            <w:tcBorders>
              <w:top w:val="nil"/>
              <w:left w:val="nil"/>
              <w:bottom w:val="single" w:sz="4" w:space="0" w:color="auto"/>
              <w:right w:val="single" w:sz="4" w:space="0" w:color="auto"/>
            </w:tcBorders>
            <w:shd w:val="clear" w:color="auto" w:fill="auto"/>
            <w:noWrap/>
            <w:vAlign w:val="center"/>
            <w:hideMark/>
          </w:tcPr>
          <w:p w:rsidR="002D1D31" w:rsidRPr="00A67611" w:rsidRDefault="002D1D31"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268</w:t>
            </w:r>
          </w:p>
          <w:p w:rsidR="00BB5E2B" w:rsidRPr="00A67611" w:rsidRDefault="002D1D31"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(46.9</w:t>
            </w:r>
            <w:r w:rsidR="00BB5E2B" w:rsidRPr="00A67611">
              <w:rPr>
                <w:rFonts w:ascii="Arial Narrow" w:hAnsi="Arial Narrow" w:cs="Calibri"/>
                <w:color w:val="000000"/>
                <w:sz w:val="20"/>
                <w:szCs w:val="20"/>
              </w:rPr>
              <w:t>%</w:t>
            </w:r>
            <w:r w:rsidRPr="00A67611">
              <w:rPr>
                <w:rFonts w:ascii="Arial Narrow" w:hAnsi="Arial Narrow" w:cs="Calibri"/>
                <w:color w:val="000000"/>
                <w:sz w:val="20"/>
                <w:szCs w:val="20"/>
              </w:rPr>
              <w:t>)</w:t>
            </w:r>
          </w:p>
        </w:tc>
        <w:tc>
          <w:tcPr>
            <w:tcW w:w="587" w:type="pct"/>
            <w:tcBorders>
              <w:top w:val="nil"/>
              <w:left w:val="nil"/>
              <w:bottom w:val="single" w:sz="4" w:space="0" w:color="auto"/>
              <w:right w:val="single" w:sz="4" w:space="0" w:color="auto"/>
            </w:tcBorders>
            <w:shd w:val="clear" w:color="auto" w:fill="auto"/>
            <w:noWrap/>
            <w:vAlign w:val="center"/>
            <w:hideMark/>
          </w:tcPr>
          <w:p w:rsidR="00BB5E2B" w:rsidRPr="00A67611" w:rsidRDefault="001F01E4"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148 (</w:t>
            </w:r>
            <w:r w:rsidR="002D1D31" w:rsidRPr="00A67611">
              <w:rPr>
                <w:rFonts w:ascii="Arial Narrow" w:hAnsi="Arial Narrow" w:cs="Calibri"/>
                <w:color w:val="000000"/>
                <w:sz w:val="20"/>
                <w:szCs w:val="20"/>
              </w:rPr>
              <w:t>25.9</w:t>
            </w:r>
            <w:r w:rsidR="00BB5E2B" w:rsidRPr="00A67611">
              <w:rPr>
                <w:rFonts w:ascii="Arial Narrow" w:hAnsi="Arial Narrow" w:cs="Calibri"/>
                <w:color w:val="000000"/>
                <w:sz w:val="20"/>
                <w:szCs w:val="20"/>
              </w:rPr>
              <w:t>%</w:t>
            </w:r>
            <w:r w:rsidRPr="00A67611">
              <w:rPr>
                <w:rFonts w:ascii="Arial Narrow" w:hAnsi="Arial Narrow" w:cs="Calibri"/>
                <w:color w:val="000000"/>
                <w:sz w:val="20"/>
                <w:szCs w:val="20"/>
              </w:rPr>
              <w:t>)</w:t>
            </w:r>
          </w:p>
        </w:tc>
        <w:tc>
          <w:tcPr>
            <w:tcW w:w="651" w:type="pct"/>
            <w:tcBorders>
              <w:top w:val="nil"/>
              <w:left w:val="nil"/>
              <w:bottom w:val="single" w:sz="4" w:space="0" w:color="auto"/>
              <w:right w:val="single" w:sz="4" w:space="0" w:color="auto"/>
            </w:tcBorders>
            <w:shd w:val="clear" w:color="auto" w:fill="auto"/>
            <w:noWrap/>
            <w:vAlign w:val="center"/>
            <w:hideMark/>
          </w:tcPr>
          <w:p w:rsidR="00BB5E2B" w:rsidRPr="00A67611" w:rsidRDefault="00BB5E2B" w:rsidP="00741B1E">
            <w:pPr>
              <w:keepNext/>
              <w:keepLines/>
              <w:widowControl w:val="0"/>
              <w:jc w:val="center"/>
              <w:rPr>
                <w:rFonts w:ascii="Arial Narrow" w:hAnsi="Arial Narrow" w:cs="Calibri"/>
                <w:color w:val="000000"/>
                <w:sz w:val="20"/>
                <w:szCs w:val="20"/>
              </w:rPr>
            </w:pPr>
            <w:r w:rsidRPr="00A67611">
              <w:rPr>
                <w:rFonts w:ascii="Arial Narrow" w:hAnsi="Arial Narrow" w:cs="Calibri"/>
                <w:color w:val="000000"/>
                <w:sz w:val="20"/>
                <w:szCs w:val="20"/>
              </w:rPr>
              <w:t>241</w:t>
            </w:r>
            <w:r w:rsidR="002D1D31" w:rsidRPr="00A67611">
              <w:rPr>
                <w:rFonts w:ascii="Arial Narrow" w:hAnsi="Arial Narrow" w:cs="Calibri"/>
                <w:color w:val="000000"/>
                <w:sz w:val="20"/>
                <w:szCs w:val="20"/>
              </w:rPr>
              <w:t>/571</w:t>
            </w:r>
            <w:r w:rsidRPr="00A67611">
              <w:rPr>
                <w:rFonts w:ascii="Arial Narrow" w:hAnsi="Arial Narrow" w:cs="Calibri"/>
                <w:color w:val="000000"/>
                <w:sz w:val="20"/>
                <w:szCs w:val="20"/>
              </w:rPr>
              <w:t xml:space="preserve"> (42%)</w:t>
            </w:r>
          </w:p>
        </w:tc>
        <w:tc>
          <w:tcPr>
            <w:tcW w:w="540" w:type="pct"/>
            <w:tcBorders>
              <w:top w:val="nil"/>
              <w:left w:val="nil"/>
              <w:bottom w:val="single" w:sz="4" w:space="0" w:color="auto"/>
              <w:right w:val="single" w:sz="4" w:space="0" w:color="auto"/>
            </w:tcBorders>
            <w:shd w:val="clear" w:color="auto" w:fill="auto"/>
            <w:noWrap/>
            <w:vAlign w:val="center"/>
            <w:hideMark/>
          </w:tcPr>
          <w:p w:rsidR="00E43B6F"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66</w:t>
            </w:r>
            <w:r w:rsidR="00390F81" w:rsidRPr="00B7020A">
              <w:rPr>
                <w:rFonts w:ascii="Arial Narrow" w:hAnsi="Arial Narrow" w:cs="Calibri"/>
                <w:color w:val="000000"/>
                <w:sz w:val="20"/>
                <w:szCs w:val="20"/>
              </w:rPr>
              <w:t>/</w:t>
            </w:r>
            <w:r w:rsidR="00026AE0" w:rsidRPr="00B7020A">
              <w:rPr>
                <w:rFonts w:ascii="Arial Narrow" w:hAnsi="Arial Narrow" w:cs="Calibri"/>
                <w:color w:val="000000"/>
                <w:sz w:val="20"/>
                <w:szCs w:val="20"/>
              </w:rPr>
              <w:t>124</w:t>
            </w:r>
          </w:p>
          <w:p w:rsidR="00BB5E2B"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w:t>
            </w:r>
            <w:r w:rsidR="002D1D31" w:rsidRPr="00B7020A">
              <w:rPr>
                <w:rFonts w:ascii="Arial Narrow" w:hAnsi="Arial Narrow" w:cs="Calibri"/>
                <w:color w:val="000000"/>
                <w:sz w:val="20"/>
                <w:szCs w:val="20"/>
              </w:rPr>
              <w:t>53</w:t>
            </w:r>
            <w:r w:rsidRPr="00B7020A">
              <w:rPr>
                <w:rFonts w:ascii="Arial Narrow" w:hAnsi="Arial Narrow" w:cs="Calibri"/>
                <w:color w:val="000000"/>
                <w:sz w:val="20"/>
                <w:szCs w:val="20"/>
              </w:rPr>
              <w:t>.2</w:t>
            </w:r>
            <w:r w:rsidR="00BB5E2B" w:rsidRPr="00B7020A">
              <w:rPr>
                <w:rFonts w:ascii="Arial Narrow" w:hAnsi="Arial Narrow" w:cs="Calibri"/>
                <w:color w:val="000000"/>
                <w:sz w:val="20"/>
                <w:szCs w:val="20"/>
              </w:rPr>
              <w:t>%</w:t>
            </w:r>
            <w:r w:rsidRPr="00B7020A">
              <w:rPr>
                <w:rFonts w:ascii="Arial Narrow" w:hAnsi="Arial Narrow" w:cs="Calibri"/>
                <w:color w:val="000000"/>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rsidR="00E43B6F"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57</w:t>
            </w:r>
            <w:r w:rsidR="00390F81" w:rsidRPr="00B7020A">
              <w:rPr>
                <w:rFonts w:ascii="Arial Narrow" w:hAnsi="Arial Narrow" w:cs="Calibri"/>
                <w:color w:val="000000"/>
                <w:sz w:val="20"/>
                <w:szCs w:val="20"/>
              </w:rPr>
              <w:t>/</w:t>
            </w:r>
            <w:r w:rsidR="00026AE0" w:rsidRPr="00B7020A">
              <w:rPr>
                <w:rFonts w:ascii="Arial Narrow" w:hAnsi="Arial Narrow" w:cs="Calibri"/>
                <w:color w:val="000000"/>
                <w:sz w:val="20"/>
                <w:szCs w:val="20"/>
              </w:rPr>
              <w:t>117</w:t>
            </w:r>
          </w:p>
          <w:p w:rsidR="00BB5E2B"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(48.7</w:t>
            </w:r>
            <w:r w:rsidR="00BB5E2B" w:rsidRPr="00B7020A">
              <w:rPr>
                <w:rFonts w:ascii="Arial Narrow" w:hAnsi="Arial Narrow" w:cs="Calibri"/>
                <w:color w:val="000000"/>
                <w:sz w:val="20"/>
                <w:szCs w:val="20"/>
              </w:rPr>
              <w:t>%</w:t>
            </w:r>
            <w:r w:rsidRPr="00B7020A">
              <w:rPr>
                <w:rFonts w:ascii="Arial Narrow" w:hAnsi="Arial Narrow" w:cs="Calibri"/>
                <w:color w:val="000000"/>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rsidR="00E43B6F"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19</w:t>
            </w:r>
            <w:r w:rsidR="00390F81" w:rsidRPr="00B7020A">
              <w:rPr>
                <w:rFonts w:ascii="Arial Narrow" w:hAnsi="Arial Narrow" w:cs="Calibri"/>
                <w:color w:val="000000"/>
                <w:sz w:val="20"/>
                <w:szCs w:val="20"/>
              </w:rPr>
              <w:t>/</w:t>
            </w:r>
            <w:r w:rsidR="00026AE0" w:rsidRPr="00B7020A">
              <w:rPr>
                <w:rFonts w:ascii="Arial Narrow" w:hAnsi="Arial Narrow" w:cs="Calibri"/>
                <w:color w:val="000000"/>
                <w:sz w:val="20"/>
                <w:szCs w:val="20"/>
              </w:rPr>
              <w:t>124</w:t>
            </w:r>
          </w:p>
          <w:p w:rsidR="00BB5E2B"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w:t>
            </w:r>
            <w:r w:rsidR="00BB5E2B" w:rsidRPr="00B7020A">
              <w:rPr>
                <w:rFonts w:ascii="Arial Narrow" w:hAnsi="Arial Narrow" w:cs="Calibri"/>
                <w:color w:val="000000"/>
                <w:sz w:val="20"/>
                <w:szCs w:val="20"/>
              </w:rPr>
              <w:t>15%</w:t>
            </w:r>
            <w:r w:rsidRPr="00B7020A">
              <w:rPr>
                <w:rFonts w:ascii="Arial Narrow" w:hAnsi="Arial Narrow" w:cs="Calibri"/>
                <w:color w:val="000000"/>
                <w:sz w:val="20"/>
                <w:szCs w:val="20"/>
              </w:rPr>
              <w:t>)</w:t>
            </w:r>
          </w:p>
        </w:tc>
        <w:tc>
          <w:tcPr>
            <w:tcW w:w="540" w:type="pct"/>
            <w:tcBorders>
              <w:top w:val="nil"/>
              <w:left w:val="nil"/>
              <w:bottom w:val="single" w:sz="4" w:space="0" w:color="auto"/>
              <w:right w:val="single" w:sz="4" w:space="0" w:color="auto"/>
            </w:tcBorders>
            <w:shd w:val="clear" w:color="auto" w:fill="auto"/>
            <w:noWrap/>
            <w:vAlign w:val="center"/>
            <w:hideMark/>
          </w:tcPr>
          <w:p w:rsidR="00E43B6F"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15</w:t>
            </w:r>
            <w:r w:rsidR="00390F81" w:rsidRPr="00B7020A">
              <w:rPr>
                <w:rFonts w:ascii="Arial Narrow" w:hAnsi="Arial Narrow" w:cs="Calibri"/>
                <w:color w:val="000000"/>
                <w:sz w:val="20"/>
                <w:szCs w:val="20"/>
              </w:rPr>
              <w:t>/</w:t>
            </w:r>
            <w:r w:rsidR="00026AE0" w:rsidRPr="00B7020A">
              <w:rPr>
                <w:rFonts w:ascii="Arial Narrow" w:hAnsi="Arial Narrow" w:cs="Calibri"/>
                <w:color w:val="000000"/>
                <w:sz w:val="20"/>
                <w:szCs w:val="20"/>
              </w:rPr>
              <w:t>117</w:t>
            </w:r>
          </w:p>
          <w:p w:rsidR="00BB5E2B" w:rsidRPr="00B7020A" w:rsidRDefault="00E43B6F" w:rsidP="00741B1E">
            <w:pPr>
              <w:keepNext/>
              <w:keepLines/>
              <w:widowControl w:val="0"/>
              <w:jc w:val="center"/>
              <w:rPr>
                <w:rFonts w:ascii="Arial Narrow" w:hAnsi="Arial Narrow" w:cs="Calibri"/>
                <w:color w:val="000000"/>
                <w:sz w:val="20"/>
                <w:szCs w:val="20"/>
              </w:rPr>
            </w:pPr>
            <w:r w:rsidRPr="00B7020A">
              <w:rPr>
                <w:rFonts w:ascii="Arial Narrow" w:hAnsi="Arial Narrow" w:cs="Calibri"/>
                <w:color w:val="000000"/>
                <w:sz w:val="20"/>
                <w:szCs w:val="20"/>
              </w:rPr>
              <w:t>(</w:t>
            </w:r>
            <w:r w:rsidR="00BB5E2B" w:rsidRPr="00B7020A">
              <w:rPr>
                <w:rFonts w:ascii="Arial Narrow" w:hAnsi="Arial Narrow" w:cs="Calibri"/>
                <w:color w:val="000000"/>
                <w:sz w:val="20"/>
                <w:szCs w:val="20"/>
              </w:rPr>
              <w:t>13%</w:t>
            </w:r>
            <w:r w:rsidRPr="00B7020A">
              <w:rPr>
                <w:rFonts w:ascii="Arial Narrow" w:hAnsi="Arial Narrow" w:cs="Calibri"/>
                <w:color w:val="000000"/>
                <w:sz w:val="20"/>
                <w:szCs w:val="20"/>
              </w:rPr>
              <w:t>)</w:t>
            </w:r>
          </w:p>
        </w:tc>
      </w:tr>
    </w:tbl>
    <w:p w:rsidR="0098078B" w:rsidRDefault="0098078B" w:rsidP="00741B1E">
      <w:pPr>
        <w:pStyle w:val="TableFigureFooter"/>
        <w:keepNext/>
        <w:keepLines/>
        <w:widowControl w:val="0"/>
      </w:pPr>
      <w:r w:rsidRPr="00A67611">
        <w:t>*Do</w:t>
      </w:r>
      <w:r w:rsidR="00E43B6F" w:rsidRPr="00A67611">
        <w:t>es not include adverse events</w:t>
      </w:r>
      <w:r w:rsidRPr="00A67611">
        <w:t xml:space="preserve"> observed during the washout phase. Section 2.5.2 of the submissi</w:t>
      </w:r>
      <w:r w:rsidR="00E43B6F" w:rsidRPr="00A67611">
        <w:t>on notes 12 patients</w:t>
      </w:r>
      <w:r w:rsidRPr="00A67611">
        <w:t xml:space="preserve"> </w:t>
      </w:r>
      <w:r w:rsidR="00E43B6F" w:rsidRPr="00A67611">
        <w:t xml:space="preserve">with </w:t>
      </w:r>
      <w:r w:rsidRPr="00A67611">
        <w:t>TEAEs</w:t>
      </w:r>
      <w:r w:rsidR="00E43B6F" w:rsidRPr="00A67611">
        <w:t xml:space="preserve"> and 4 patients with NAEs</w:t>
      </w:r>
      <w:r w:rsidRPr="00A67611">
        <w:t xml:space="preserve"> during the washout phase</w:t>
      </w:r>
      <w:r w:rsidR="00E00A31" w:rsidRPr="00A67611">
        <w:t xml:space="preserve"> of Markovà</w:t>
      </w:r>
      <w:r w:rsidR="00E00A31" w:rsidRPr="00A67611">
        <w:rPr>
          <w:i/>
        </w:rPr>
        <w:t xml:space="preserve"> </w:t>
      </w:r>
      <w:r w:rsidR="00E00A31" w:rsidRPr="00A67611">
        <w:t>2019</w:t>
      </w:r>
      <w:r w:rsidRPr="00A67611">
        <w:t>.</w:t>
      </w:r>
      <w:r w:rsidR="001F01E4" w:rsidRPr="00A67611">
        <w:t xml:space="preserve"> Novotna 2011 did not have a washout phase.</w:t>
      </w:r>
    </w:p>
    <w:p w:rsidR="009E6DC6" w:rsidRPr="00A67611" w:rsidRDefault="009E6DC6" w:rsidP="00741B1E">
      <w:pPr>
        <w:pStyle w:val="TableFigureFooter"/>
        <w:keepNext/>
        <w:keepLines/>
        <w:widowControl w:val="0"/>
      </w:pPr>
      <w:r>
        <w:t xml:space="preserve">NAEs included dizziness, somnolence, headache, muscle spasticity, disturbance in attention, </w:t>
      </w:r>
      <w:r w:rsidR="00125423">
        <w:t>paraesthesias and dysaesthesias</w:t>
      </w:r>
      <w:r>
        <w:t>, MS relapse</w:t>
      </w:r>
    </w:p>
    <w:p w:rsidR="00BB5E2B" w:rsidRPr="00A67611" w:rsidRDefault="000E0EFA" w:rsidP="00741B1E">
      <w:pPr>
        <w:pStyle w:val="TableFigureFooter"/>
        <w:keepNext/>
        <w:keepLines/>
        <w:widowControl w:val="0"/>
      </w:pPr>
      <w:r w:rsidRPr="00A67611">
        <w:t>Source:</w:t>
      </w:r>
      <w:r w:rsidR="0098078B" w:rsidRPr="00A67611">
        <w:t xml:space="preserve"> </w:t>
      </w:r>
      <w:r w:rsidR="00883110" w:rsidRPr="00A67611">
        <w:t xml:space="preserve">Markovà </w:t>
      </w:r>
      <w:r w:rsidR="0098078B" w:rsidRPr="00A67611">
        <w:t>2019:</w:t>
      </w:r>
      <w:r w:rsidRPr="00A67611">
        <w:t xml:space="preserve"> </w:t>
      </w:r>
      <w:r w:rsidR="0098078B" w:rsidRPr="00A67611">
        <w:t xml:space="preserve">Section 2.5.2.1 and Table 59 of the submission; Novotna 2011: </w:t>
      </w:r>
      <w:r w:rsidR="002D1D31" w:rsidRPr="00A67611">
        <w:t>Section 2.5.2.2 and Tables 60 and 61 of the submission.</w:t>
      </w:r>
    </w:p>
    <w:p w:rsidR="001F01E4" w:rsidRPr="00A67611" w:rsidRDefault="001F01E4" w:rsidP="00741B1E">
      <w:pPr>
        <w:pStyle w:val="TableFigureFooter"/>
        <w:keepNext/>
        <w:keepLines/>
        <w:widowControl w:val="0"/>
      </w:pPr>
      <w:r w:rsidRPr="00A67611">
        <w:t xml:space="preserve">Abbreviations: TEAE = treatment-emergent adverse event; NAE = </w:t>
      </w:r>
      <w:r w:rsidR="009E6DC6">
        <w:t>nervous system disorder</w:t>
      </w:r>
      <w:r w:rsidR="009E6DC6" w:rsidRPr="00A67611">
        <w:t xml:space="preserve"> </w:t>
      </w:r>
      <w:r w:rsidRPr="00A67611">
        <w:t>adverse event</w:t>
      </w:r>
    </w:p>
    <w:p w:rsidR="00686DEB" w:rsidRPr="00217193" w:rsidRDefault="00686DEB" w:rsidP="00153AA6">
      <w:pPr>
        <w:pStyle w:val="3-BodyText"/>
      </w:pPr>
      <w:r>
        <w:t xml:space="preserve">The PBAC noted the risk difference </w:t>
      </w:r>
      <w:r w:rsidR="000E3308">
        <w:t xml:space="preserve">(RD) </w:t>
      </w:r>
      <w:r>
        <w:t xml:space="preserve">between nabiximols and placebo </w:t>
      </w:r>
      <w:r w:rsidR="000E3308">
        <w:t xml:space="preserve">for TEAEs and NAEs </w:t>
      </w:r>
      <w:r w:rsidR="00153AA6">
        <w:t>in Phase</w:t>
      </w:r>
      <w:r w:rsidR="000E3308">
        <w:t xml:space="preserve"> B </w:t>
      </w:r>
      <w:r w:rsidR="00296FAB">
        <w:t xml:space="preserve">was higher in </w:t>
      </w:r>
      <w:r w:rsidR="00F8520B" w:rsidRPr="00A67611">
        <w:t xml:space="preserve">Markovà </w:t>
      </w:r>
      <w:r w:rsidR="000E3308">
        <w:t xml:space="preserve">2019 than </w:t>
      </w:r>
      <w:r w:rsidR="00296FAB">
        <w:t xml:space="preserve">in </w:t>
      </w:r>
      <w:r w:rsidR="000E3308">
        <w:t xml:space="preserve">Novotna 2011 (9.4% vs 4.5% for TEAEs and 5.6% vs 2% for NAEs). The PBAC considered the higher RD in </w:t>
      </w:r>
      <w:r w:rsidR="00F8520B" w:rsidRPr="00A67611">
        <w:t xml:space="preserve">Markovà </w:t>
      </w:r>
      <w:r w:rsidR="000E3308">
        <w:t xml:space="preserve">2019 may be </w:t>
      </w:r>
      <w:r w:rsidR="000E3308" w:rsidRPr="00217193">
        <w:t>partly due to the washout period after P</w:t>
      </w:r>
      <w:r w:rsidR="00153AA6">
        <w:t>hase</w:t>
      </w:r>
      <w:r w:rsidR="000E3308" w:rsidRPr="00217193">
        <w:t xml:space="preserve"> A </w:t>
      </w:r>
      <w:r w:rsidR="00755957">
        <w:t>resulting in</w:t>
      </w:r>
      <w:r w:rsidR="000E3308" w:rsidRPr="00217193">
        <w:t xml:space="preserve"> patients </w:t>
      </w:r>
      <w:r w:rsidR="00755957">
        <w:t>being</w:t>
      </w:r>
      <w:r w:rsidR="000E3308" w:rsidRPr="00217193">
        <w:t xml:space="preserve"> aware of their tre</w:t>
      </w:r>
      <w:r w:rsidR="00252695">
        <w:t>atment (i.e. unblinding</w:t>
      </w:r>
      <w:r w:rsidR="00153AA6">
        <w:t>) in Phase</w:t>
      </w:r>
      <w:r w:rsidR="000E3308" w:rsidRPr="00217193">
        <w:t xml:space="preserve"> B</w:t>
      </w:r>
      <w:r w:rsidR="0080530B">
        <w:t xml:space="preserve">. Novotna 2011 </w:t>
      </w:r>
      <w:r w:rsidR="00982BFA">
        <w:t xml:space="preserve">did not have a washout period and </w:t>
      </w:r>
      <w:r w:rsidR="00755957">
        <w:t xml:space="preserve">therefore patients </w:t>
      </w:r>
      <w:r w:rsidR="00982BFA">
        <w:t xml:space="preserve">were </w:t>
      </w:r>
      <w:r w:rsidR="00755957">
        <w:t>less likely to be</w:t>
      </w:r>
      <w:r w:rsidR="00982BFA">
        <w:t xml:space="preserve"> aware of their re-randomisation to nabiximols or placebo</w:t>
      </w:r>
      <w:r w:rsidR="00153AA6">
        <w:t xml:space="preserve"> in Phase</w:t>
      </w:r>
      <w:r w:rsidR="00982BFA">
        <w:t xml:space="preserve"> B. The PBAC considered the differences in trial design </w:t>
      </w:r>
      <w:r w:rsidR="0080530B">
        <w:t xml:space="preserve">may </w:t>
      </w:r>
      <w:r w:rsidR="00755957">
        <w:t xml:space="preserve">have </w:t>
      </w:r>
      <w:r w:rsidR="0080530B">
        <w:t>contribute</w:t>
      </w:r>
      <w:r w:rsidR="003B6AB2">
        <w:t>d</w:t>
      </w:r>
      <w:r w:rsidR="0080530B">
        <w:t xml:space="preserve"> to the observed difference in </w:t>
      </w:r>
      <w:r w:rsidR="003B6AB2">
        <w:t xml:space="preserve">the relative risk </w:t>
      </w:r>
      <w:r w:rsidR="00153AA6" w:rsidRPr="00153AA6">
        <w:t xml:space="preserve">of achieving a 30% or more reduction in NRS </w:t>
      </w:r>
      <w:r w:rsidR="0080530B">
        <w:t xml:space="preserve">between </w:t>
      </w:r>
      <w:r w:rsidR="00F8520B" w:rsidRPr="00A67611">
        <w:t xml:space="preserve">Markovà </w:t>
      </w:r>
      <w:r w:rsidR="0080530B">
        <w:t xml:space="preserve">2019 and Novotna 2011 (2.4 vs 1.4, respectively) (Table 5) as </w:t>
      </w:r>
      <w:r w:rsidR="00982BFA">
        <w:t xml:space="preserve">the higher risk of </w:t>
      </w:r>
      <w:r w:rsidR="0080530B">
        <w:t xml:space="preserve">unblinding </w:t>
      </w:r>
      <w:r w:rsidR="00982BFA">
        <w:t xml:space="preserve">in Markova 2019 </w:t>
      </w:r>
      <w:r w:rsidR="0080530B">
        <w:t>may</w:t>
      </w:r>
      <w:r w:rsidR="00982BFA">
        <w:t xml:space="preserve"> have resulted</w:t>
      </w:r>
      <w:r w:rsidR="0080530B">
        <w:t xml:space="preserve"> </w:t>
      </w:r>
      <w:r w:rsidR="00982BFA">
        <w:t xml:space="preserve">in </w:t>
      </w:r>
      <w:r w:rsidR="0080530B">
        <w:t xml:space="preserve">an overestimate of nabiximols benefit and underestimate of placebo benefit, given the subjective nature of the outcome. </w:t>
      </w:r>
    </w:p>
    <w:p w:rsidR="00FA30CD" w:rsidRPr="00A67611" w:rsidRDefault="00FA30CD" w:rsidP="00FA30CD">
      <w:pPr>
        <w:pStyle w:val="4-SubsectionHeading"/>
      </w:pPr>
      <w:bookmarkStart w:id="45" w:name="_Toc30583492"/>
      <w:r w:rsidRPr="00A67611">
        <w:t>Benefits/harms</w:t>
      </w:r>
      <w:bookmarkEnd w:id="41"/>
      <w:bookmarkEnd w:id="42"/>
      <w:bookmarkEnd w:id="45"/>
    </w:p>
    <w:p w:rsidR="00FA30CD" w:rsidRPr="00A67611" w:rsidRDefault="00FA30CD" w:rsidP="000F706A">
      <w:pPr>
        <w:pStyle w:val="3-BodyText"/>
      </w:pPr>
      <w:r w:rsidRPr="00A67611">
        <w:t>On the basis of direct evidence presented by the resubmission, for every 100 patients treated with nabiximols plus standard care in comparison with standard care alone:</w:t>
      </w:r>
    </w:p>
    <w:p w:rsidR="009E6D83" w:rsidRPr="00A67611" w:rsidRDefault="00FA30CD" w:rsidP="00C44BCF">
      <w:pPr>
        <w:pStyle w:val="PBACbulletpoint"/>
      </w:pPr>
      <w:r w:rsidRPr="00A67611">
        <w:t>Approximately 6 to 45 additional patients would achieve ≥30% improvement from baseline NRS at up to 16 weeks of treatment</w:t>
      </w:r>
      <w:r w:rsidR="00203D6A" w:rsidRPr="00A67611">
        <w:t xml:space="preserve"> for </w:t>
      </w:r>
      <w:r w:rsidR="0064042A" w:rsidRPr="00A67611">
        <w:t xml:space="preserve">treatment </w:t>
      </w:r>
      <w:r w:rsidR="00203D6A" w:rsidRPr="00A67611">
        <w:t xml:space="preserve">naïve </w:t>
      </w:r>
      <w:r w:rsidR="00A21704" w:rsidRPr="00A67611">
        <w:t xml:space="preserve">patients </w:t>
      </w:r>
      <w:r w:rsidR="00203D6A" w:rsidRPr="00A67611">
        <w:t xml:space="preserve">(Collin 2010) and Phase A responders (Markovà 2019, see paragraph </w:t>
      </w:r>
      <w:r w:rsidR="00D420F9">
        <w:t>6.8</w:t>
      </w:r>
      <w:r w:rsidR="00203D6A" w:rsidRPr="00A67611">
        <w:t>), respectively</w:t>
      </w:r>
      <w:r w:rsidRPr="00A67611">
        <w:t>.</w:t>
      </w:r>
    </w:p>
    <w:p w:rsidR="00260CDB" w:rsidRPr="00A67611" w:rsidRDefault="00260CDB" w:rsidP="000F706A">
      <w:pPr>
        <w:pStyle w:val="3-BodyText"/>
      </w:pPr>
      <w:r w:rsidRPr="00A67611">
        <w:t xml:space="preserve">Based on the results from </w:t>
      </w:r>
      <w:r w:rsidR="00064F1E" w:rsidRPr="00A67611">
        <w:t>Vachovà</w:t>
      </w:r>
      <w:r w:rsidRPr="00A67611">
        <w:t xml:space="preserve"> (2014), the trial with the longest duration:</w:t>
      </w:r>
    </w:p>
    <w:p w:rsidR="00FA30CD" w:rsidRPr="00A67611" w:rsidRDefault="00FA30CD" w:rsidP="00C44BCF">
      <w:pPr>
        <w:pStyle w:val="PBACbulletpoint"/>
      </w:pPr>
      <w:r w:rsidRPr="00A67611">
        <w:t xml:space="preserve">Approximately </w:t>
      </w:r>
      <w:r w:rsidR="0028237D" w:rsidRPr="00A67611">
        <w:t xml:space="preserve">10 </w:t>
      </w:r>
      <w:r w:rsidRPr="00A67611">
        <w:t>additional patients would experience vertigo at up to 48 weeks of treatment.</w:t>
      </w:r>
    </w:p>
    <w:p w:rsidR="00FA30CD" w:rsidRPr="00A67611" w:rsidRDefault="00FA30CD" w:rsidP="00C44BCF">
      <w:pPr>
        <w:pStyle w:val="PBACbulletpoint"/>
      </w:pPr>
      <w:r w:rsidRPr="00A67611">
        <w:t xml:space="preserve">Approximately </w:t>
      </w:r>
      <w:r w:rsidR="0028237D" w:rsidRPr="00A67611">
        <w:t xml:space="preserve">5 </w:t>
      </w:r>
      <w:r w:rsidRPr="00A67611">
        <w:t>additional patients would experience dizziness at up to 48 weeks of treatment.</w:t>
      </w:r>
    </w:p>
    <w:p w:rsidR="00FA30CD" w:rsidRPr="00A67611" w:rsidRDefault="00FA30CD" w:rsidP="00C44BCF">
      <w:pPr>
        <w:pStyle w:val="PBACbulletpoint"/>
      </w:pPr>
      <w:r w:rsidRPr="00A67611">
        <w:t>Approximately 6 additional patients would experience fatigue at up to 48 weeks of treatment.</w:t>
      </w:r>
    </w:p>
    <w:p w:rsidR="00862595" w:rsidRPr="00A67611" w:rsidRDefault="00862595" w:rsidP="000F706A">
      <w:pPr>
        <w:pStyle w:val="3-BodyText"/>
      </w:pPr>
      <w:r w:rsidRPr="00A67611">
        <w:t xml:space="preserve">Based on the evidence in the </w:t>
      </w:r>
      <w:r w:rsidR="00260CDB" w:rsidRPr="00A67611">
        <w:t xml:space="preserve">supportive trials presented in the </w:t>
      </w:r>
      <w:r w:rsidRPr="00A67611">
        <w:t>previous submission</w:t>
      </w:r>
      <w:r w:rsidR="00260CDB" w:rsidRPr="00A67611">
        <w:t xml:space="preserve"> (p</w:t>
      </w:r>
      <w:r w:rsidR="00357791">
        <w:t>aragraph 6.42)</w:t>
      </w:r>
      <w:r w:rsidR="00E92077">
        <w:t>:</w:t>
      </w:r>
    </w:p>
    <w:p w:rsidR="00862595" w:rsidRPr="00A67611" w:rsidRDefault="00862595" w:rsidP="00C44BCF">
      <w:pPr>
        <w:pStyle w:val="PBACbulletpoint"/>
      </w:pPr>
      <w:r w:rsidRPr="00A67611">
        <w:lastRenderedPageBreak/>
        <w:t>Approximately 14 to 43 additional patients would experience nervous system disorders at up to 16 weeks of treatment.</w:t>
      </w:r>
    </w:p>
    <w:p w:rsidR="00862595" w:rsidRPr="00A67611" w:rsidRDefault="00862595" w:rsidP="00C44BCF">
      <w:pPr>
        <w:pStyle w:val="PBACbulletpoint"/>
      </w:pPr>
      <w:r w:rsidRPr="00A67611">
        <w:t>Approximately 3 to 19 additional patients would experience gastrointestinal disorders at up to 16 weeks of treatment.</w:t>
      </w:r>
    </w:p>
    <w:p w:rsidR="00862595" w:rsidRPr="00A67611" w:rsidRDefault="00862595" w:rsidP="00C44BCF">
      <w:pPr>
        <w:pStyle w:val="PBACbulletpoint"/>
      </w:pPr>
      <w:r w:rsidRPr="00A67611">
        <w:t>Approximately 6 to 19 additional patients would experience psychiatric disorders at up to 16 weeks of treatment.</w:t>
      </w:r>
    </w:p>
    <w:p w:rsidR="00FA30CD" w:rsidRPr="00A67611" w:rsidRDefault="00FA30CD" w:rsidP="00FA30CD">
      <w:pPr>
        <w:pStyle w:val="4-SubsectionHeading"/>
      </w:pPr>
      <w:bookmarkStart w:id="46" w:name="_Toc22897644"/>
      <w:bookmarkStart w:id="47" w:name="_Toc27326489"/>
      <w:bookmarkStart w:id="48" w:name="_Toc30583493"/>
      <w:r w:rsidRPr="00A67611">
        <w:t>Clinical claim</w:t>
      </w:r>
      <w:bookmarkEnd w:id="46"/>
      <w:bookmarkEnd w:id="47"/>
      <w:bookmarkEnd w:id="48"/>
    </w:p>
    <w:p w:rsidR="00FA30CD" w:rsidRPr="00A67611" w:rsidRDefault="00FA30CD" w:rsidP="000F706A">
      <w:pPr>
        <w:pStyle w:val="3-BodyText"/>
        <w:rPr>
          <w:rFonts w:eastAsia="Calibri"/>
        </w:rPr>
      </w:pPr>
      <w:r w:rsidRPr="00A67611">
        <w:rPr>
          <w:rFonts w:eastAsia="Calibri"/>
        </w:rPr>
        <w:t xml:space="preserve">The resubmission described </w:t>
      </w:r>
      <w:r w:rsidRPr="00A67611">
        <w:t>nabiximols</w:t>
      </w:r>
      <w:r w:rsidR="005B2854" w:rsidRPr="00A67611">
        <w:t>,</w:t>
      </w:r>
      <w:r w:rsidRPr="00A67611">
        <w:t xml:space="preserve"> as adjunctive therapy</w:t>
      </w:r>
      <w:r w:rsidR="005B2854" w:rsidRPr="00A67611">
        <w:t>,</w:t>
      </w:r>
      <w:r w:rsidRPr="00A67611">
        <w:t xml:space="preserve"> as superior in terms of effectiveness compared with oral anti-spasticity medication alone and inferior in terms of safety in patients with moderate to severe spasticity due to MS who have not responded adequately to other anti-spasticity medication and who demonstrate clinically signif</w:t>
      </w:r>
      <w:r w:rsidR="008078EB" w:rsidRPr="00A67611">
        <w:t>icant improvement in spasticity-</w:t>
      </w:r>
      <w:r w:rsidRPr="00A67611">
        <w:t xml:space="preserve">related symptoms during an initial trial of therapy. </w:t>
      </w:r>
    </w:p>
    <w:p w:rsidR="00FA30CD" w:rsidRPr="00A67611" w:rsidRDefault="00FA30CD" w:rsidP="000F706A">
      <w:pPr>
        <w:pStyle w:val="3-BodyText"/>
        <w:rPr>
          <w:rFonts w:eastAsia="Calibri"/>
        </w:rPr>
      </w:pPr>
      <w:r w:rsidRPr="00A67611">
        <w:t>The PBAC had previously considered that a claim of superior efficacy over standard care was inadequately supported (</w:t>
      </w:r>
      <w:r w:rsidR="00831ECE">
        <w:t>section 12</w:t>
      </w:r>
      <w:r w:rsidRPr="00A67611">
        <w:t xml:space="preserve">, </w:t>
      </w:r>
      <w:r w:rsidR="000410BB">
        <w:t>n</w:t>
      </w:r>
      <w:r w:rsidRPr="00A67611">
        <w:t xml:space="preserve">abiximols PSD, July 2013 PBAC </w:t>
      </w:r>
      <w:r w:rsidR="000410BB">
        <w:t>m</w:t>
      </w:r>
      <w:r w:rsidRPr="00A67611">
        <w:t xml:space="preserve">eeting).  </w:t>
      </w:r>
    </w:p>
    <w:p w:rsidR="00FA30CD" w:rsidRPr="00A67611" w:rsidRDefault="00FA30CD" w:rsidP="000F706A">
      <w:pPr>
        <w:pStyle w:val="3-BodyText"/>
        <w:rPr>
          <w:rFonts w:eastAsia="Calibri"/>
        </w:rPr>
      </w:pPr>
      <w:bookmarkStart w:id="49" w:name="_Ref33190419"/>
      <w:r w:rsidRPr="00A67611">
        <w:rPr>
          <w:rFonts w:eastAsia="Calibri"/>
        </w:rPr>
        <w:t xml:space="preserve">When considering the entire body of evidence presented, while the evidence appeared to support the conclusion that nabiximols plus </w:t>
      </w:r>
      <w:r w:rsidR="00576028" w:rsidRPr="00A67611">
        <w:rPr>
          <w:rFonts w:eastAsia="Calibri"/>
        </w:rPr>
        <w:t>SC</w:t>
      </w:r>
      <w:r w:rsidRPr="00A67611">
        <w:rPr>
          <w:rFonts w:eastAsia="Calibri"/>
        </w:rPr>
        <w:t xml:space="preserve"> is superior in efficacy to </w:t>
      </w:r>
      <w:r w:rsidR="00576028" w:rsidRPr="00A67611">
        <w:rPr>
          <w:rFonts w:eastAsia="Calibri"/>
        </w:rPr>
        <w:t>SC</w:t>
      </w:r>
      <w:r w:rsidRPr="00A67611">
        <w:rPr>
          <w:rFonts w:eastAsia="Calibri"/>
        </w:rPr>
        <w:t xml:space="preserve"> alone, the magnitude and clinical significance of any difference was difficult to determine as:</w:t>
      </w:r>
      <w:bookmarkEnd w:id="49"/>
    </w:p>
    <w:p w:rsidR="00FA30CD" w:rsidRPr="007717A7" w:rsidRDefault="00FA30CD" w:rsidP="00C44BCF">
      <w:pPr>
        <w:pStyle w:val="PBACbulletpoint"/>
      </w:pPr>
      <w:r w:rsidRPr="007717A7">
        <w:t>The efficacy outcome measures (both ≥30% improvement from baseline NRS and PGIC) were subjective;</w:t>
      </w:r>
    </w:p>
    <w:p w:rsidR="00FA30CD" w:rsidRPr="00A67611" w:rsidRDefault="00FA30CD" w:rsidP="00C44BCF">
      <w:pPr>
        <w:pStyle w:val="PBACbulletpoint"/>
        <w:rPr>
          <w:rFonts w:eastAsia="Calibri"/>
        </w:rPr>
      </w:pPr>
      <w:r w:rsidRPr="00A67611">
        <w:rPr>
          <w:rFonts w:eastAsia="Calibri"/>
        </w:rPr>
        <w:t>The trial design in the primary trials (Markovà 2019 and Novotna 2011) had significant applicability issues as they used an enrichment trial design;</w:t>
      </w:r>
    </w:p>
    <w:p w:rsidR="00FA30CD" w:rsidRPr="00A67611" w:rsidRDefault="00FA30CD" w:rsidP="00C44BCF">
      <w:pPr>
        <w:pStyle w:val="PBACbulletpoint"/>
        <w:rPr>
          <w:rFonts w:eastAsia="Calibri"/>
        </w:rPr>
      </w:pPr>
      <w:r w:rsidRPr="00A67611">
        <w:rPr>
          <w:rFonts w:eastAsia="Calibri"/>
        </w:rPr>
        <w:t>At 12 weeks in Markovà 2019 (which was used to inform the economic model), there was no statistically significant difference between treatment groups in</w:t>
      </w:r>
      <w:r w:rsidR="00E42538" w:rsidRPr="00A67611">
        <w:rPr>
          <w:rFonts w:eastAsia="Calibri"/>
        </w:rPr>
        <w:t xml:space="preserve"> the</w:t>
      </w:r>
      <w:r w:rsidRPr="00A67611">
        <w:rPr>
          <w:rFonts w:eastAsia="Calibri"/>
        </w:rPr>
        <w:t xml:space="preserve"> proportion of patients who reported any improvement in PGIC, but a statistically significantly greater proportion of patients treated with nabiximols reported a ≥30% </w:t>
      </w:r>
      <w:r w:rsidR="007717A7">
        <w:rPr>
          <w:rFonts w:eastAsia="Calibri"/>
        </w:rPr>
        <w:t xml:space="preserve">improvement from baseline NRS. </w:t>
      </w:r>
      <w:r w:rsidRPr="00A67611">
        <w:rPr>
          <w:rFonts w:eastAsia="Calibri"/>
        </w:rPr>
        <w:t xml:space="preserve">Therefore it is possible to both conclude that nabiximols + </w:t>
      </w:r>
      <w:r w:rsidR="00576028" w:rsidRPr="00A67611">
        <w:rPr>
          <w:rFonts w:eastAsia="Calibri"/>
        </w:rPr>
        <w:t>SC</w:t>
      </w:r>
      <w:r w:rsidRPr="00A67611">
        <w:rPr>
          <w:rFonts w:eastAsia="Calibri"/>
        </w:rPr>
        <w:t xml:space="preserve"> is more effective than </w:t>
      </w:r>
      <w:r w:rsidR="00576028" w:rsidRPr="00A67611">
        <w:rPr>
          <w:rFonts w:eastAsia="Calibri"/>
        </w:rPr>
        <w:t>SC</w:t>
      </w:r>
      <w:r w:rsidRPr="00A67611">
        <w:rPr>
          <w:rFonts w:eastAsia="Calibri"/>
        </w:rPr>
        <w:t xml:space="preserve"> alone AND that it is no more effective than </w:t>
      </w:r>
      <w:r w:rsidR="00576028" w:rsidRPr="00A67611">
        <w:rPr>
          <w:rFonts w:eastAsia="Calibri"/>
        </w:rPr>
        <w:t>SC</w:t>
      </w:r>
      <w:r w:rsidRPr="00A67611">
        <w:rPr>
          <w:rFonts w:eastAsia="Calibri"/>
        </w:rPr>
        <w:t xml:space="preserve"> alone with results from the same trial, depending on which outcome is to be relied upon;  </w:t>
      </w:r>
    </w:p>
    <w:p w:rsidR="00FA30CD" w:rsidRPr="00A67611" w:rsidRDefault="00FA30CD" w:rsidP="00C44BCF">
      <w:pPr>
        <w:pStyle w:val="PBACbulletpoint"/>
        <w:rPr>
          <w:rFonts w:eastAsia="Calibri"/>
        </w:rPr>
      </w:pPr>
      <w:r w:rsidRPr="00A67611">
        <w:rPr>
          <w:rFonts w:eastAsia="Calibri"/>
        </w:rPr>
        <w:t>There was a large variation in results between trials, making the extent of any incremental benefit difficult to determine. The divergent trial designs and durations also preclude</w:t>
      </w:r>
      <w:r w:rsidR="008078EB" w:rsidRPr="00A67611">
        <w:rPr>
          <w:rFonts w:eastAsia="Calibri"/>
        </w:rPr>
        <w:t>d</w:t>
      </w:r>
      <w:r w:rsidRPr="00A67611">
        <w:rPr>
          <w:rFonts w:eastAsia="Calibri"/>
        </w:rPr>
        <w:t xml:space="preserve"> a meaningful meta-analysis; </w:t>
      </w:r>
    </w:p>
    <w:p w:rsidR="00FA30CD" w:rsidRPr="00A67611" w:rsidRDefault="00FA30CD" w:rsidP="00C44BCF">
      <w:pPr>
        <w:pStyle w:val="PBACbulletpoint"/>
        <w:rPr>
          <w:rFonts w:eastAsia="Calibri"/>
        </w:rPr>
      </w:pPr>
      <w:r w:rsidRPr="00A67611">
        <w:rPr>
          <w:rFonts w:eastAsia="Calibri"/>
        </w:rPr>
        <w:t>There is little information on the persistence of efficacy (as measured by ≥30</w:t>
      </w:r>
      <w:r w:rsidR="00F26912" w:rsidRPr="00A67611">
        <w:rPr>
          <w:rFonts w:eastAsia="Calibri"/>
        </w:rPr>
        <w:t>% improvement from baseline NRS</w:t>
      </w:r>
      <w:r w:rsidRPr="00A67611">
        <w:rPr>
          <w:rFonts w:eastAsia="Calibri"/>
        </w:rPr>
        <w:t>) beyond 16 weeks of total treatment, with some evidence that it might decline over time; and</w:t>
      </w:r>
    </w:p>
    <w:p w:rsidR="00FA30CD" w:rsidRPr="00A67611" w:rsidRDefault="00FA30CD" w:rsidP="00C44BCF">
      <w:pPr>
        <w:pStyle w:val="PBACbulletpoint"/>
        <w:rPr>
          <w:rFonts w:eastAsia="Calibri"/>
        </w:rPr>
      </w:pPr>
      <w:r w:rsidRPr="00A67611">
        <w:rPr>
          <w:rFonts w:eastAsia="Calibri"/>
        </w:rPr>
        <w:lastRenderedPageBreak/>
        <w:t xml:space="preserve">There </w:t>
      </w:r>
      <w:r w:rsidR="00F76FAE" w:rsidRPr="00A67611">
        <w:rPr>
          <w:rFonts w:eastAsia="Calibri"/>
        </w:rPr>
        <w:t>wa</w:t>
      </w:r>
      <w:r w:rsidRPr="00A67611">
        <w:rPr>
          <w:rFonts w:eastAsia="Calibri"/>
        </w:rPr>
        <w:t xml:space="preserve">s no evidence of any improvement in quality of life </w:t>
      </w:r>
      <w:r w:rsidR="00805EB2">
        <w:rPr>
          <w:rFonts w:eastAsia="Calibri"/>
        </w:rPr>
        <w:t xml:space="preserve"> and</w:t>
      </w:r>
      <w:r w:rsidR="00805EB2" w:rsidRPr="00A67611">
        <w:rPr>
          <w:rFonts w:eastAsia="Calibri"/>
        </w:rPr>
        <w:t xml:space="preserve"> </w:t>
      </w:r>
      <w:r w:rsidRPr="00A67611">
        <w:rPr>
          <w:rFonts w:eastAsia="Calibri"/>
        </w:rPr>
        <w:t xml:space="preserve">little evidence of </w:t>
      </w:r>
      <w:r w:rsidR="00805EB2">
        <w:rPr>
          <w:rFonts w:eastAsia="Calibri"/>
        </w:rPr>
        <w:t xml:space="preserve">clinically relevant </w:t>
      </w:r>
      <w:r w:rsidRPr="00A67611">
        <w:rPr>
          <w:rFonts w:eastAsia="Calibri"/>
        </w:rPr>
        <w:t xml:space="preserve">differences in resource utilisation associated with management </w:t>
      </w:r>
      <w:r w:rsidR="00D462CA" w:rsidRPr="00A67611">
        <w:rPr>
          <w:rFonts w:eastAsia="Calibri"/>
        </w:rPr>
        <w:t xml:space="preserve">of </w:t>
      </w:r>
      <w:r w:rsidRPr="00A67611">
        <w:rPr>
          <w:rFonts w:eastAsia="Calibri"/>
        </w:rPr>
        <w:t xml:space="preserve">spasticity when patients were treated with nabiximols + </w:t>
      </w:r>
      <w:r w:rsidR="00576028" w:rsidRPr="00A67611">
        <w:rPr>
          <w:rFonts w:eastAsia="Calibri"/>
        </w:rPr>
        <w:t>SC</w:t>
      </w:r>
      <w:r w:rsidRPr="00A67611">
        <w:rPr>
          <w:rFonts w:eastAsia="Calibri"/>
        </w:rPr>
        <w:t xml:space="preserve">.  </w:t>
      </w:r>
    </w:p>
    <w:p w:rsidR="00CA1F01" w:rsidRPr="00A67611" w:rsidRDefault="00CA1F01" w:rsidP="000F706A">
      <w:pPr>
        <w:pStyle w:val="3-BodyText"/>
        <w:rPr>
          <w:rFonts w:eastAsia="Calibri"/>
        </w:rPr>
      </w:pPr>
      <w:r w:rsidRPr="00A67611">
        <w:rPr>
          <w:rFonts w:eastAsia="Calibri"/>
        </w:rPr>
        <w:t xml:space="preserve">The PSCR argued </w:t>
      </w:r>
      <w:r w:rsidR="00F07C19" w:rsidRPr="00A67611">
        <w:rPr>
          <w:rFonts w:eastAsia="Calibri"/>
        </w:rPr>
        <w:t xml:space="preserve">the outcomes demonstrated to be improved in the key clinical evidence would lead to improvements in patient </w:t>
      </w:r>
      <w:r w:rsidR="009F068A" w:rsidRPr="00A67611">
        <w:rPr>
          <w:rFonts w:eastAsia="Calibri"/>
        </w:rPr>
        <w:t>quality of life (</w:t>
      </w:r>
      <w:r w:rsidR="00F07C19" w:rsidRPr="00A67611">
        <w:rPr>
          <w:rFonts w:eastAsia="Calibri"/>
        </w:rPr>
        <w:t>QoL</w:t>
      </w:r>
      <w:r w:rsidR="009F068A" w:rsidRPr="00A67611">
        <w:rPr>
          <w:rFonts w:eastAsia="Calibri"/>
        </w:rPr>
        <w:t>)</w:t>
      </w:r>
      <w:r w:rsidR="00F07C19" w:rsidRPr="00A67611">
        <w:rPr>
          <w:rFonts w:eastAsia="Calibri"/>
        </w:rPr>
        <w:t xml:space="preserve">, as demonstrated by the Svensson 2011 </w:t>
      </w:r>
      <w:r w:rsidR="00100B23" w:rsidRPr="00A67611">
        <w:rPr>
          <w:rFonts w:eastAsia="Calibri"/>
        </w:rPr>
        <w:t>study</w:t>
      </w:r>
      <w:r w:rsidR="00F07C19" w:rsidRPr="00A67611">
        <w:rPr>
          <w:rFonts w:eastAsia="Calibri"/>
        </w:rPr>
        <w:t xml:space="preserve"> which demonstrated improvements in NRS result</w:t>
      </w:r>
      <w:r w:rsidR="00E42538" w:rsidRPr="00A67611">
        <w:rPr>
          <w:rFonts w:eastAsia="Calibri"/>
        </w:rPr>
        <w:t>ed</w:t>
      </w:r>
      <w:r w:rsidR="00F07C19" w:rsidRPr="00A67611">
        <w:rPr>
          <w:rFonts w:eastAsia="Calibri"/>
        </w:rPr>
        <w:t xml:space="preserve"> in differences in QoL</w:t>
      </w:r>
      <w:r w:rsidR="00100B23" w:rsidRPr="00A67611">
        <w:rPr>
          <w:rFonts w:eastAsia="Calibri"/>
        </w:rPr>
        <w:t>/</w:t>
      </w:r>
      <w:r w:rsidR="00F07C19" w:rsidRPr="00A67611">
        <w:rPr>
          <w:rFonts w:eastAsia="Calibri"/>
        </w:rPr>
        <w:t>utilities.</w:t>
      </w:r>
    </w:p>
    <w:p w:rsidR="00F07C19" w:rsidRPr="00A67611" w:rsidRDefault="00F07C19" w:rsidP="000F706A">
      <w:pPr>
        <w:pStyle w:val="3-BodyText"/>
        <w:rPr>
          <w:rFonts w:eastAsia="Calibri"/>
        </w:rPr>
      </w:pPr>
      <w:bookmarkStart w:id="50" w:name="_Ref35609771"/>
      <w:r w:rsidRPr="00A67611">
        <w:rPr>
          <w:rFonts w:eastAsia="Calibri"/>
        </w:rPr>
        <w:t>The ESC considered that the use of subjective outcomes (NRS and PGIC) in the studies was reasonable</w:t>
      </w:r>
      <w:r w:rsidR="00E57E10" w:rsidRPr="00A67611">
        <w:rPr>
          <w:rFonts w:eastAsia="Calibri"/>
        </w:rPr>
        <w:t xml:space="preserve"> and considered</w:t>
      </w:r>
      <w:r w:rsidR="00141BD3" w:rsidRPr="00A67611">
        <w:rPr>
          <w:rFonts w:eastAsia="Calibri"/>
        </w:rPr>
        <w:t xml:space="preserve"> </w:t>
      </w:r>
      <w:r w:rsidR="00E57E10" w:rsidRPr="00A67611">
        <w:rPr>
          <w:rFonts w:eastAsia="Calibri"/>
        </w:rPr>
        <w:t>nabiximols was likely to have an effect for some patients</w:t>
      </w:r>
      <w:r w:rsidRPr="00A67611">
        <w:rPr>
          <w:rFonts w:eastAsia="Calibri"/>
        </w:rPr>
        <w:t xml:space="preserve">, </w:t>
      </w:r>
      <w:r w:rsidR="00A050E2" w:rsidRPr="00A67611">
        <w:rPr>
          <w:rFonts w:eastAsia="Calibri"/>
        </w:rPr>
        <w:t>however</w:t>
      </w:r>
      <w:r w:rsidR="00E42538" w:rsidRPr="00A67611">
        <w:rPr>
          <w:rFonts w:eastAsia="Calibri"/>
        </w:rPr>
        <w:t xml:space="preserve"> key</w:t>
      </w:r>
      <w:r w:rsidR="00A050E2" w:rsidRPr="00A67611">
        <w:rPr>
          <w:rFonts w:eastAsia="Calibri"/>
        </w:rPr>
        <w:t xml:space="preserve"> factors</w:t>
      </w:r>
      <w:r w:rsidR="00E42538" w:rsidRPr="00A67611">
        <w:rPr>
          <w:rFonts w:eastAsia="Calibri"/>
        </w:rPr>
        <w:t xml:space="preserve"> outlined above</w:t>
      </w:r>
      <w:r w:rsidR="00A050E2" w:rsidRPr="00A67611">
        <w:rPr>
          <w:rFonts w:eastAsia="Calibri"/>
        </w:rPr>
        <w:t xml:space="preserve"> </w:t>
      </w:r>
      <w:r w:rsidR="009F068A" w:rsidRPr="00A67611">
        <w:rPr>
          <w:rFonts w:eastAsia="Calibri"/>
        </w:rPr>
        <w:t>(</w:t>
      </w:r>
      <w:r w:rsidR="00E42538" w:rsidRPr="00A67611">
        <w:rPr>
          <w:rFonts w:eastAsia="Calibri"/>
        </w:rPr>
        <w:t>refer to</w:t>
      </w:r>
      <w:r w:rsidR="009F068A" w:rsidRPr="00A67611">
        <w:rPr>
          <w:rFonts w:eastAsia="Calibri"/>
        </w:rPr>
        <w:t xml:space="preserve"> para</w:t>
      </w:r>
      <w:r w:rsidR="00E42538" w:rsidRPr="00A67611">
        <w:rPr>
          <w:rFonts w:eastAsia="Calibri"/>
        </w:rPr>
        <w:t>graph</w:t>
      </w:r>
      <w:r w:rsidR="003A05C6" w:rsidRPr="00A67611">
        <w:rPr>
          <w:rFonts w:eastAsia="Calibri"/>
        </w:rPr>
        <w:t xml:space="preserve"> </w:t>
      </w:r>
      <w:r w:rsidR="00565901">
        <w:rPr>
          <w:rFonts w:eastAsia="Calibri"/>
        </w:rPr>
        <w:t>6.48</w:t>
      </w:r>
      <w:r w:rsidR="009F068A" w:rsidRPr="00A67611">
        <w:rPr>
          <w:rFonts w:eastAsia="Calibri"/>
        </w:rPr>
        <w:t>)</w:t>
      </w:r>
      <w:r w:rsidR="005B706C" w:rsidRPr="00A67611">
        <w:rPr>
          <w:rFonts w:eastAsia="Calibri"/>
        </w:rPr>
        <w:t xml:space="preserve"> </w:t>
      </w:r>
      <w:r w:rsidR="00EC1B8E" w:rsidRPr="00A67611">
        <w:rPr>
          <w:rFonts w:eastAsia="Calibri"/>
        </w:rPr>
        <w:t>resulted in</w:t>
      </w:r>
      <w:r w:rsidR="00E57E10" w:rsidRPr="00A67611">
        <w:rPr>
          <w:rFonts w:eastAsia="Calibri"/>
        </w:rPr>
        <w:t xml:space="preserve"> substantial uncertainties. As such, the ESC considered </w:t>
      </w:r>
      <w:r w:rsidR="00F67ADF" w:rsidRPr="00A67611">
        <w:rPr>
          <w:rFonts w:eastAsia="Calibri"/>
        </w:rPr>
        <w:t>there was insufficient evidence</w:t>
      </w:r>
      <w:r w:rsidR="00141BD3" w:rsidRPr="00A67611">
        <w:rPr>
          <w:rFonts w:eastAsia="Calibri"/>
        </w:rPr>
        <w:t xml:space="preserve"> </w:t>
      </w:r>
      <w:r w:rsidR="00F67ADF" w:rsidRPr="00A67611">
        <w:rPr>
          <w:rFonts w:eastAsia="Calibri"/>
        </w:rPr>
        <w:t xml:space="preserve">available </w:t>
      </w:r>
      <w:r w:rsidR="00E57E10" w:rsidRPr="00A67611">
        <w:rPr>
          <w:rFonts w:eastAsia="Calibri"/>
        </w:rPr>
        <w:t>to estimate the magnitude of any benefit,</w:t>
      </w:r>
      <w:r w:rsidR="00141BD3" w:rsidRPr="00A67611">
        <w:rPr>
          <w:rFonts w:eastAsia="Calibri"/>
        </w:rPr>
        <w:t xml:space="preserve"> and noted this had</w:t>
      </w:r>
      <w:r w:rsidR="00E57E10" w:rsidRPr="00A67611">
        <w:rPr>
          <w:rFonts w:eastAsia="Calibri"/>
        </w:rPr>
        <w:t xml:space="preserve"> </w:t>
      </w:r>
      <w:r w:rsidR="00F67ADF" w:rsidRPr="00A67611">
        <w:rPr>
          <w:rFonts w:eastAsia="Calibri"/>
        </w:rPr>
        <w:t xml:space="preserve">significant </w:t>
      </w:r>
      <w:r w:rsidR="00E57E10" w:rsidRPr="00A67611">
        <w:rPr>
          <w:rFonts w:eastAsia="Calibri"/>
        </w:rPr>
        <w:t>implications for the economic analysis.</w:t>
      </w:r>
      <w:bookmarkEnd w:id="50"/>
    </w:p>
    <w:p w:rsidR="008D1984" w:rsidRPr="00A67611" w:rsidRDefault="008D1984" w:rsidP="000F706A">
      <w:pPr>
        <w:pStyle w:val="3-BodyText"/>
        <w:rPr>
          <w:lang w:eastAsia="en-US"/>
        </w:rPr>
      </w:pPr>
      <w:r w:rsidRPr="00A67611">
        <w:rPr>
          <w:lang w:eastAsia="en-US"/>
        </w:rPr>
        <w:t>The PBAC considered that the claim of superior comparati</w:t>
      </w:r>
      <w:r w:rsidR="007E3202" w:rsidRPr="00A67611">
        <w:rPr>
          <w:lang w:eastAsia="en-US"/>
        </w:rPr>
        <w:t>ve effectiveness was reasonable, however the effect size was uncertain and likely to be modest.</w:t>
      </w:r>
    </w:p>
    <w:p w:rsidR="008D1984" w:rsidRPr="00A67611" w:rsidRDefault="008D1984" w:rsidP="000F706A">
      <w:pPr>
        <w:pStyle w:val="3-BodyText"/>
        <w:rPr>
          <w:lang w:eastAsia="en-US"/>
        </w:rPr>
      </w:pPr>
      <w:r w:rsidRPr="00A67611">
        <w:rPr>
          <w:lang w:eastAsia="en-US"/>
        </w:rPr>
        <w:t>The PBAC considered that the claim of in</w:t>
      </w:r>
      <w:r w:rsidR="007E3202" w:rsidRPr="00A67611">
        <w:rPr>
          <w:lang w:eastAsia="en-US"/>
        </w:rPr>
        <w:t>ferior</w:t>
      </w:r>
      <w:r w:rsidRPr="00A67611">
        <w:rPr>
          <w:lang w:eastAsia="en-US"/>
        </w:rPr>
        <w:t xml:space="preserve"> co</w:t>
      </w:r>
      <w:r w:rsidR="007E3202" w:rsidRPr="00A67611">
        <w:rPr>
          <w:lang w:eastAsia="en-US"/>
        </w:rPr>
        <w:t>mparative safety was reasonable.</w:t>
      </w:r>
    </w:p>
    <w:p w:rsidR="00FA30CD" w:rsidRPr="00A67611" w:rsidRDefault="00FA30CD" w:rsidP="00FA30CD">
      <w:pPr>
        <w:pStyle w:val="4-SubsectionHeading"/>
      </w:pPr>
      <w:bookmarkStart w:id="51" w:name="_Toc22897645"/>
      <w:bookmarkStart w:id="52" w:name="_Toc27326490"/>
      <w:bookmarkStart w:id="53" w:name="_Toc30583494"/>
      <w:r w:rsidRPr="00A67611">
        <w:t>Economic analysis</w:t>
      </w:r>
      <w:bookmarkEnd w:id="51"/>
      <w:bookmarkEnd w:id="52"/>
      <w:bookmarkEnd w:id="53"/>
      <w:r w:rsidRPr="00A67611">
        <w:t xml:space="preserve"> </w:t>
      </w:r>
    </w:p>
    <w:p w:rsidR="00FA30CD" w:rsidRPr="00A67611" w:rsidRDefault="00FA30CD" w:rsidP="000F706A">
      <w:pPr>
        <w:pStyle w:val="3-BodyText"/>
        <w:rPr>
          <w:b/>
          <w:bCs/>
        </w:rPr>
      </w:pPr>
      <w:r w:rsidRPr="00A67611">
        <w:t xml:space="preserve">The resubmission presented a stepped economic evaluation based on Markovà 2019 and implemented a modelled cost-effectiveness and a cost-utility analysis. </w:t>
      </w:r>
    </w:p>
    <w:p w:rsidR="00DC3A64" w:rsidRPr="00741B1E" w:rsidRDefault="005E25B6" w:rsidP="00741B1E">
      <w:pPr>
        <w:pStyle w:val="3-BodyText"/>
        <w:rPr>
          <w:b/>
          <w:bCs/>
        </w:rPr>
      </w:pPr>
      <w:r w:rsidRPr="00A67611">
        <w:t xml:space="preserve">The </w:t>
      </w:r>
      <w:r w:rsidR="0018468B" w:rsidRPr="00A67611">
        <w:t xml:space="preserve">ESC agreed with the evaluation that the </w:t>
      </w:r>
      <w:r w:rsidRPr="00A67611">
        <w:t>structure of the economic model</w:t>
      </w:r>
      <w:r w:rsidR="0018468B" w:rsidRPr="00A67611">
        <w:t xml:space="preserve"> did not </w:t>
      </w:r>
      <w:r w:rsidRPr="00A67611">
        <w:t xml:space="preserve">reflect the proposed treatment algorithm as it excluded modelling costs and outcomes for non-responders to initial therapy. </w:t>
      </w:r>
      <w:r w:rsidR="00D420F9" w:rsidRPr="00D420F9">
        <w:t>Figure 2</w:t>
      </w:r>
      <w:r w:rsidR="00792AF4" w:rsidRPr="00A67611">
        <w:t xml:space="preserve"> presents a diagram of what the model structure should have been (the model in its entirety) with the boxes representing what was modelled in the resubmission and suggested to represent the entire model</w:t>
      </w:r>
      <w:r w:rsidR="00FA30CD" w:rsidRPr="00A67611">
        <w:t xml:space="preserve">. </w:t>
      </w:r>
    </w:p>
    <w:p w:rsidR="00FA30CD" w:rsidRPr="00741B1E" w:rsidRDefault="00792AF4" w:rsidP="00741B1E">
      <w:pPr>
        <w:pStyle w:val="Caption"/>
        <w:keepNext/>
        <w:keepLines/>
        <w:widowControl w:val="0"/>
        <w:spacing w:after="0"/>
        <w:rPr>
          <w:rFonts w:ascii="Arial Narrow" w:hAnsi="Arial Narrow"/>
          <w:color w:val="000000" w:themeColor="text1"/>
          <w:sz w:val="20"/>
          <w:szCs w:val="20"/>
        </w:rPr>
      </w:pPr>
      <w:bookmarkStart w:id="54" w:name="_Ref27565148"/>
      <w:r w:rsidRPr="00741B1E">
        <w:rPr>
          <w:rFonts w:ascii="Arial Narrow" w:hAnsi="Arial Narrow"/>
          <w:color w:val="000000" w:themeColor="text1"/>
          <w:sz w:val="20"/>
          <w:szCs w:val="20"/>
        </w:rPr>
        <w:lastRenderedPageBreak/>
        <w:t xml:space="preserve">Figure </w:t>
      </w:r>
      <w:r w:rsidR="00D420F9" w:rsidRPr="00741B1E">
        <w:rPr>
          <w:rFonts w:ascii="Arial Narrow" w:hAnsi="Arial Narrow"/>
          <w:color w:val="000000" w:themeColor="text1"/>
          <w:sz w:val="20"/>
          <w:szCs w:val="20"/>
        </w:rPr>
        <w:t>2</w:t>
      </w:r>
      <w:bookmarkEnd w:id="54"/>
      <w:r w:rsidR="00FA30CD" w:rsidRPr="00741B1E">
        <w:rPr>
          <w:rFonts w:ascii="Arial Narrow" w:hAnsi="Arial Narrow"/>
          <w:color w:val="000000" w:themeColor="text1"/>
          <w:sz w:val="20"/>
          <w:szCs w:val="20"/>
        </w:rPr>
        <w:t>: Comparison of decision tree of requested PBS population and model presented by resubmission</w:t>
      </w:r>
    </w:p>
    <w:p w:rsidR="00FA30CD" w:rsidRPr="00A67611" w:rsidRDefault="00FA30CD" w:rsidP="00DC3A64">
      <w:pPr>
        <w:keepNext/>
        <w:keepLines/>
        <w:rPr>
          <w:rFonts w:ascii="Arial Narrow" w:hAnsi="Arial Narrow"/>
          <w:sz w:val="20"/>
          <w:szCs w:val="20"/>
        </w:rPr>
      </w:pPr>
      <w:r w:rsidRPr="00A67611">
        <w:rPr>
          <w:rFonts w:ascii="Arial Narrow" w:hAnsi="Arial Narrow"/>
          <w:noProof/>
          <w:sz w:val="20"/>
          <w:szCs w:val="20"/>
        </w:rPr>
        <w:drawing>
          <wp:inline distT="0" distB="0" distL="0" distR="0" wp14:anchorId="30E2859B" wp14:editId="240C3F7B">
            <wp:extent cx="5753100" cy="2670740"/>
            <wp:effectExtent l="0" t="0" r="0" b="0"/>
            <wp:docPr id="13" name="Picture 13" descr="Comparison of decision tree of requested PBS population and model presented by resubmission"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754" cy="2676150"/>
                    </a:xfrm>
                    <a:prstGeom prst="rect">
                      <a:avLst/>
                    </a:prstGeom>
                    <a:noFill/>
                    <a:ln>
                      <a:noFill/>
                    </a:ln>
                  </pic:spPr>
                </pic:pic>
              </a:graphicData>
            </a:graphic>
          </wp:inline>
        </w:drawing>
      </w:r>
    </w:p>
    <w:p w:rsidR="00FA30CD" w:rsidRPr="00A67611" w:rsidRDefault="00FA30CD" w:rsidP="00DC3A64">
      <w:pPr>
        <w:keepNext/>
        <w:keepLines/>
        <w:spacing w:after="120"/>
        <w:rPr>
          <w:rFonts w:ascii="Arial Narrow" w:hAnsi="Arial Narrow"/>
          <w:sz w:val="18"/>
          <w:szCs w:val="20"/>
        </w:rPr>
      </w:pPr>
      <w:r w:rsidRPr="00A67611">
        <w:rPr>
          <w:rFonts w:ascii="Arial Narrow" w:hAnsi="Arial Narrow"/>
          <w:sz w:val="18"/>
          <w:szCs w:val="20"/>
        </w:rPr>
        <w:t>Source: Constructed during the evaluation.</w:t>
      </w:r>
    </w:p>
    <w:p w:rsidR="00FA30CD" w:rsidRPr="001E254C" w:rsidRDefault="00FA30CD" w:rsidP="000F706A">
      <w:pPr>
        <w:pStyle w:val="3-BodyText"/>
      </w:pPr>
      <w:r w:rsidRPr="00A67611">
        <w:t xml:space="preserve">In the economic evaluation presented </w:t>
      </w:r>
      <w:r w:rsidR="005B2854" w:rsidRPr="00A67611">
        <w:t>in</w:t>
      </w:r>
      <w:r w:rsidRPr="00A67611">
        <w:t xml:space="preserve"> the resubmission, patients with moderate to severe</w:t>
      </w:r>
      <w:r w:rsidR="005B2854" w:rsidRPr="00A67611">
        <w:t xml:space="preserve"> MS-related</w:t>
      </w:r>
      <w:r w:rsidRPr="00A67611">
        <w:t xml:space="preserve"> spasticity were assumed to be treated with either nabiximols + </w:t>
      </w:r>
      <w:r w:rsidR="00576028" w:rsidRPr="00A67611">
        <w:t>SC</w:t>
      </w:r>
      <w:r w:rsidRPr="00A67611">
        <w:t xml:space="preserve"> or </w:t>
      </w:r>
      <w:r w:rsidR="00576028" w:rsidRPr="00A67611">
        <w:t>SC</w:t>
      </w:r>
      <w:r w:rsidRPr="00A67611">
        <w:t xml:space="preserve"> only. Patients treated with nabiximols + </w:t>
      </w:r>
      <w:r w:rsidR="00576028" w:rsidRPr="00A67611">
        <w:t>SC</w:t>
      </w:r>
      <w:r w:rsidRPr="00A67611">
        <w:t xml:space="preserve"> were assigned costs related to the supply of nabiximols and cost of adverse events, and patients treated with </w:t>
      </w:r>
      <w:r w:rsidR="00576028" w:rsidRPr="00A67611">
        <w:t>SC</w:t>
      </w:r>
      <w:r w:rsidRPr="00A67611">
        <w:t xml:space="preserve"> only were only assigned costs associated with adverse events. </w:t>
      </w:r>
      <w:r w:rsidRPr="001E254C">
        <w:t xml:space="preserve">The initiation costs for nabiximols were multiplied by 1.8 (191/106) to represent the number of patients who were treated in </w:t>
      </w:r>
      <w:r w:rsidR="00792AF4" w:rsidRPr="001E254C">
        <w:t>P</w:t>
      </w:r>
      <w:r w:rsidRPr="001E254C">
        <w:t xml:space="preserve">hase A but did not progress to </w:t>
      </w:r>
      <w:r w:rsidR="00792AF4" w:rsidRPr="001E254C">
        <w:t>P</w:t>
      </w:r>
      <w:r w:rsidRPr="001E254C">
        <w:t xml:space="preserve">hase B in </w:t>
      </w:r>
      <w:r w:rsidR="00303C2E" w:rsidRPr="001E254C">
        <w:t>Markovà</w:t>
      </w:r>
      <w:r w:rsidRPr="001E254C">
        <w:t xml:space="preserve"> 2019.  </w:t>
      </w:r>
    </w:p>
    <w:p w:rsidR="00FA30CD" w:rsidRPr="001E254C" w:rsidRDefault="00FA30CD" w:rsidP="000F706A">
      <w:pPr>
        <w:pStyle w:val="3-BodyText"/>
      </w:pPr>
      <w:r w:rsidRPr="001E254C">
        <w:t>A proportion of patients in both treatment groups were assumed to achieve a ≥30% improvement from baselin</w:t>
      </w:r>
      <w:r w:rsidR="00792AF4" w:rsidRPr="001E254C">
        <w:t>e NRS, based on the results of P</w:t>
      </w:r>
      <w:r w:rsidRPr="001E254C">
        <w:t xml:space="preserve">hase B at </w:t>
      </w:r>
      <w:r w:rsidR="00792AF4" w:rsidRPr="001E254C">
        <w:t>W</w:t>
      </w:r>
      <w:r w:rsidRPr="001E254C">
        <w:t xml:space="preserve">eek 12 of </w:t>
      </w:r>
      <w:r w:rsidR="00303C2E" w:rsidRPr="001E254C">
        <w:t>Markovà</w:t>
      </w:r>
      <w:r w:rsidRPr="001E254C">
        <w:t xml:space="preserve"> 2019, and the health state of responder or non-responder was assumed to persist for the entire duration of the model (12 month</w:t>
      </w:r>
      <w:r w:rsidR="007717A7">
        <w:t xml:space="preserve">s). </w:t>
      </w:r>
      <w:r w:rsidRPr="001E254C">
        <w:t>Responders were assumed to have lower costs of treating spasticity (beyond drug costs) and high</w:t>
      </w:r>
      <w:r w:rsidR="007717A7">
        <w:t>er utility than non-responders.</w:t>
      </w:r>
      <w:r w:rsidRPr="001E254C">
        <w:t xml:space="preserve"> Response was assumed to occur at the beginning of the model. </w:t>
      </w:r>
    </w:p>
    <w:p w:rsidR="00FA30CD" w:rsidRPr="001E254C" w:rsidRDefault="00FA30CD" w:rsidP="000F706A">
      <w:pPr>
        <w:pStyle w:val="3-BodyText"/>
      </w:pPr>
      <w:r w:rsidRPr="001E254C">
        <w:t>The</w:t>
      </w:r>
      <w:r w:rsidR="003055A1" w:rsidRPr="001E254C">
        <w:t xml:space="preserve"> evaluation considered the</w:t>
      </w:r>
      <w:r w:rsidRPr="001E254C">
        <w:t xml:space="preserve"> model structure used in the resubmission was</w:t>
      </w:r>
      <w:r w:rsidR="00D359A2" w:rsidRPr="001E254C">
        <w:t xml:space="preserve"> </w:t>
      </w:r>
      <w:r w:rsidRPr="001E254C">
        <w:t>overly simplistic and problematic as:</w:t>
      </w:r>
    </w:p>
    <w:p w:rsidR="00FA30CD" w:rsidRPr="007717A7" w:rsidRDefault="00FA30CD" w:rsidP="007717A7">
      <w:pPr>
        <w:pStyle w:val="3-BodyText"/>
        <w:numPr>
          <w:ilvl w:val="1"/>
          <w:numId w:val="9"/>
        </w:numPr>
        <w:ind w:left="1134" w:hanging="437"/>
        <w:rPr>
          <w:rFonts w:eastAsia="Calibri"/>
        </w:rPr>
      </w:pPr>
      <w:r w:rsidRPr="007717A7">
        <w:rPr>
          <w:rFonts w:eastAsia="Calibri"/>
        </w:rPr>
        <w:t>The model did not capture the ongoing costs and response rates for patients who were non-responders to nabiximols after the initiation period and who would go on</w:t>
      </w:r>
      <w:r w:rsidR="0041060C" w:rsidRPr="007717A7">
        <w:rPr>
          <w:rFonts w:eastAsia="Calibri"/>
        </w:rPr>
        <w:t xml:space="preserve"> </w:t>
      </w:r>
      <w:r w:rsidRPr="007717A7">
        <w:rPr>
          <w:rFonts w:eastAsia="Calibri"/>
        </w:rPr>
        <w:t xml:space="preserve">to receive </w:t>
      </w:r>
      <w:r w:rsidR="00576028" w:rsidRPr="007717A7">
        <w:rPr>
          <w:rFonts w:eastAsia="Calibri"/>
        </w:rPr>
        <w:t>SC</w:t>
      </w:r>
      <w:r w:rsidRPr="007717A7">
        <w:rPr>
          <w:rFonts w:eastAsia="Calibri"/>
        </w:rPr>
        <w:t xml:space="preserve"> alone. This is a significant proportion of the entire patient population, with 85/191 (44.5%) patients in </w:t>
      </w:r>
      <w:r w:rsidR="00303C2E" w:rsidRPr="007717A7">
        <w:rPr>
          <w:rFonts w:eastAsia="Calibri"/>
        </w:rPr>
        <w:t>Markovà</w:t>
      </w:r>
      <w:r w:rsidRPr="007717A7">
        <w:rPr>
          <w:rFonts w:eastAsia="Calibri"/>
        </w:rPr>
        <w:t xml:space="preserve"> 2019 not progressing to Phase B;  </w:t>
      </w:r>
    </w:p>
    <w:p w:rsidR="00FA30CD" w:rsidRPr="007717A7" w:rsidRDefault="00FA30CD" w:rsidP="007717A7">
      <w:pPr>
        <w:pStyle w:val="3-BodyText"/>
        <w:numPr>
          <w:ilvl w:val="1"/>
          <w:numId w:val="9"/>
        </w:numPr>
        <w:ind w:left="1134" w:hanging="437"/>
        <w:rPr>
          <w:rFonts w:eastAsia="Calibri"/>
        </w:rPr>
      </w:pPr>
      <w:r w:rsidRPr="007717A7">
        <w:rPr>
          <w:rFonts w:eastAsia="Calibri"/>
        </w:rPr>
        <w:t xml:space="preserve">It did not adequately capture transitions from response to the non-response state for patients treated with nabiximols or </w:t>
      </w:r>
      <w:r w:rsidR="00070626">
        <w:rPr>
          <w:rFonts w:eastAsia="Calibri"/>
        </w:rPr>
        <w:t>SC</w:t>
      </w:r>
      <w:r w:rsidRPr="007717A7">
        <w:rPr>
          <w:rFonts w:eastAsia="Calibri"/>
        </w:rPr>
        <w:t xml:space="preserve"> over time; </w:t>
      </w:r>
    </w:p>
    <w:p w:rsidR="00FA30CD" w:rsidRPr="007717A7" w:rsidRDefault="00FA30CD" w:rsidP="007717A7">
      <w:pPr>
        <w:pStyle w:val="3-BodyText"/>
        <w:numPr>
          <w:ilvl w:val="1"/>
          <w:numId w:val="9"/>
        </w:numPr>
        <w:ind w:left="1134" w:hanging="437"/>
        <w:rPr>
          <w:rFonts w:eastAsia="Calibri"/>
        </w:rPr>
      </w:pPr>
      <w:r w:rsidRPr="007717A7">
        <w:rPr>
          <w:rFonts w:eastAsia="Calibri"/>
        </w:rPr>
        <w:t>It did not allow for discontinuation of therapy or variations in dosage;</w:t>
      </w:r>
    </w:p>
    <w:p w:rsidR="00FA30CD" w:rsidRPr="007717A7" w:rsidRDefault="00FA30CD" w:rsidP="007717A7">
      <w:pPr>
        <w:pStyle w:val="3-BodyText"/>
        <w:numPr>
          <w:ilvl w:val="1"/>
          <w:numId w:val="9"/>
        </w:numPr>
        <w:ind w:left="1134" w:hanging="437"/>
        <w:rPr>
          <w:rFonts w:eastAsia="Calibri"/>
        </w:rPr>
      </w:pPr>
      <w:r w:rsidRPr="007717A7">
        <w:rPr>
          <w:rFonts w:eastAsia="Calibri"/>
        </w:rPr>
        <w:lastRenderedPageBreak/>
        <w:t xml:space="preserve">Responder utilities were inappropriately assumed to be applied immediately from the start of the model; </w:t>
      </w:r>
    </w:p>
    <w:p w:rsidR="00D359A2" w:rsidRPr="007717A7" w:rsidRDefault="00D359A2" w:rsidP="007717A7">
      <w:pPr>
        <w:pStyle w:val="3-BodyText"/>
        <w:numPr>
          <w:ilvl w:val="1"/>
          <w:numId w:val="9"/>
        </w:numPr>
        <w:ind w:left="1134" w:hanging="437"/>
        <w:rPr>
          <w:rFonts w:eastAsia="Calibri"/>
        </w:rPr>
      </w:pPr>
      <w:r w:rsidRPr="007717A7">
        <w:rPr>
          <w:rFonts w:eastAsia="Calibri"/>
        </w:rPr>
        <w:t xml:space="preserve">A 12 month time horizon was likely too short for a treatment which is likely </w:t>
      </w:r>
      <w:r w:rsidR="00B300E4" w:rsidRPr="007717A7">
        <w:rPr>
          <w:rFonts w:eastAsia="Calibri"/>
        </w:rPr>
        <w:t xml:space="preserve">to be </w:t>
      </w:r>
      <w:r w:rsidRPr="007717A7">
        <w:rPr>
          <w:rFonts w:eastAsia="Calibri"/>
        </w:rPr>
        <w:t>lifelong, and therefore the</w:t>
      </w:r>
      <w:r w:rsidR="00813A24">
        <w:rPr>
          <w:rFonts w:eastAsia="Calibri"/>
        </w:rPr>
        <w:t xml:space="preserve"> </w:t>
      </w:r>
      <w:r w:rsidR="00813A24" w:rsidRPr="00A67611">
        <w:t>incremental cost-effectiveness ratio</w:t>
      </w:r>
      <w:r w:rsidRPr="007717A7">
        <w:rPr>
          <w:rFonts w:eastAsia="Calibri"/>
        </w:rPr>
        <w:t xml:space="preserve"> </w:t>
      </w:r>
      <w:r w:rsidR="00813A24">
        <w:rPr>
          <w:rFonts w:eastAsia="Calibri"/>
        </w:rPr>
        <w:t>(</w:t>
      </w:r>
      <w:r w:rsidRPr="007717A7">
        <w:rPr>
          <w:rFonts w:eastAsia="Calibri"/>
        </w:rPr>
        <w:t>ICER</w:t>
      </w:r>
      <w:r w:rsidR="00813A24">
        <w:rPr>
          <w:rFonts w:eastAsia="Calibri"/>
        </w:rPr>
        <w:t>)</w:t>
      </w:r>
      <w:r w:rsidRPr="007717A7">
        <w:rPr>
          <w:rFonts w:eastAsia="Calibri"/>
        </w:rPr>
        <w:t xml:space="preserve"> for the presented 12 month model was unlikely to be representative of the ICER in subsequent years;</w:t>
      </w:r>
    </w:p>
    <w:p w:rsidR="00FA30CD" w:rsidRPr="007717A7" w:rsidRDefault="00FA30CD" w:rsidP="007717A7">
      <w:pPr>
        <w:pStyle w:val="3-BodyText"/>
        <w:numPr>
          <w:ilvl w:val="1"/>
          <w:numId w:val="9"/>
        </w:numPr>
        <w:ind w:left="1134" w:hanging="437"/>
        <w:rPr>
          <w:rFonts w:eastAsia="Calibri"/>
        </w:rPr>
      </w:pPr>
      <w:r w:rsidRPr="007717A7">
        <w:rPr>
          <w:rFonts w:eastAsia="Calibri"/>
        </w:rPr>
        <w:t>The structure did not include costs for consultation to assess treatment response and there was no consideration of patients discontinuing treatment due to adverse events or for lack of response after the first 4 weeks; and</w:t>
      </w:r>
    </w:p>
    <w:p w:rsidR="00FA30CD" w:rsidRPr="007717A7" w:rsidRDefault="00FA30CD" w:rsidP="007717A7">
      <w:pPr>
        <w:pStyle w:val="3-BodyText"/>
        <w:numPr>
          <w:ilvl w:val="1"/>
          <w:numId w:val="9"/>
        </w:numPr>
        <w:ind w:left="1134" w:hanging="437"/>
        <w:rPr>
          <w:rFonts w:eastAsia="Calibri"/>
        </w:rPr>
      </w:pPr>
      <w:r w:rsidRPr="007717A7">
        <w:rPr>
          <w:rFonts w:eastAsia="Calibri"/>
        </w:rPr>
        <w:t>Drug costs were not appropriately applied (30 days of initiation + 360 days of continuation applied to nabiximols responders</w:t>
      </w:r>
      <w:r w:rsidR="005E25B6" w:rsidRPr="007717A7">
        <w:rPr>
          <w:rFonts w:eastAsia="Calibri"/>
        </w:rPr>
        <w:t>, rather than 30 days of initiation + 335 days of continuation</w:t>
      </w:r>
      <w:r w:rsidRPr="007717A7">
        <w:rPr>
          <w:rFonts w:eastAsia="Calibri"/>
        </w:rPr>
        <w:t xml:space="preserve">). </w:t>
      </w:r>
    </w:p>
    <w:p w:rsidR="003A1404" w:rsidRPr="00A67611" w:rsidRDefault="003A1404" w:rsidP="000F706A">
      <w:pPr>
        <w:pStyle w:val="3-BodyText"/>
        <w:rPr>
          <w:b/>
          <w:bCs/>
        </w:rPr>
      </w:pPr>
      <w:r w:rsidRPr="00A67611">
        <w:t xml:space="preserve">There were substantial changes from the previous submission. Key changes included the model structure, inputs for comparative effectiveness from Markovà 2019 (instead </w:t>
      </w:r>
      <w:r w:rsidR="00303C2E" w:rsidRPr="00A67611">
        <w:t>of</w:t>
      </w:r>
      <w:r w:rsidRPr="00A67611">
        <w:t xml:space="preserve"> Novotna 2011), a reduced timeframe of 1 year compared to 5 years, incorporation of different utility values, and incorporation of cost off</w:t>
      </w:r>
      <w:r w:rsidR="00944551">
        <w:t xml:space="preserve">sets from treating spasticity. </w:t>
      </w:r>
      <w:r w:rsidRPr="00A67611">
        <w:t xml:space="preserve">Key differences between the model in the resubmission and the previous submission are presented in </w:t>
      </w:r>
      <w:r w:rsidR="00D420F9" w:rsidRPr="00D420F9">
        <w:t>Table 10</w:t>
      </w:r>
      <w:r w:rsidRPr="00A67611">
        <w:t xml:space="preserve">. </w:t>
      </w:r>
    </w:p>
    <w:p w:rsidR="00D45FC7" w:rsidRPr="00A67611" w:rsidRDefault="00D45FC7" w:rsidP="000F706A">
      <w:pPr>
        <w:pStyle w:val="3-BodyText"/>
        <w:rPr>
          <w:b/>
          <w:bCs/>
        </w:rPr>
      </w:pPr>
      <w:r w:rsidRPr="00A67611">
        <w:t xml:space="preserve">The PSCR presented a revised economic model </w:t>
      </w:r>
      <w:r w:rsidR="007B5083" w:rsidRPr="00A67611">
        <w:t xml:space="preserve">which </w:t>
      </w:r>
      <w:r w:rsidR="004D74AA" w:rsidRPr="00A67611">
        <w:t xml:space="preserve">extended </w:t>
      </w:r>
      <w:r w:rsidR="0018468B" w:rsidRPr="00A67611">
        <w:t xml:space="preserve">the time horizon </w:t>
      </w:r>
      <w:r w:rsidR="004D74AA" w:rsidRPr="00A67611">
        <w:t xml:space="preserve">to ten years and included </w:t>
      </w:r>
      <w:r w:rsidR="0018468B" w:rsidRPr="00A67611">
        <w:t>a</w:t>
      </w:r>
      <w:r w:rsidR="004D74AA" w:rsidRPr="00A67611">
        <w:t xml:space="preserve"> decline in response</w:t>
      </w:r>
      <w:r w:rsidR="00D42B16" w:rsidRPr="00A67611">
        <w:t xml:space="preserve"> of 1% per annum</w:t>
      </w:r>
      <w:r w:rsidR="004D74AA" w:rsidRPr="00A67611">
        <w:t xml:space="preserve"> in the absence of long-term data to model outcomes over a longer duration</w:t>
      </w:r>
      <w:r w:rsidR="00D42B16" w:rsidRPr="00A67611">
        <w:t>, as well as adding the cost of treatment for initial non-responders</w:t>
      </w:r>
      <w:r w:rsidR="004D74AA" w:rsidRPr="00A67611">
        <w:t xml:space="preserve">. </w:t>
      </w:r>
      <w:r w:rsidR="00D42B16" w:rsidRPr="00A67611">
        <w:t xml:space="preserve">The ESC considered the extended base case model was uninformative as there were other fundamental issues with the model that </w:t>
      </w:r>
      <w:r w:rsidR="00141BD3" w:rsidRPr="00A67611">
        <w:t>were not</w:t>
      </w:r>
      <w:r w:rsidR="00D42B16" w:rsidRPr="00A67611">
        <w:t xml:space="preserve"> resolved by merely extending the model duration</w:t>
      </w:r>
      <w:r w:rsidR="00141BD3" w:rsidRPr="00A67611">
        <w:t xml:space="preserve"> and adding an</w:t>
      </w:r>
      <w:r w:rsidR="0018468B" w:rsidRPr="00A67611">
        <w:t xml:space="preserve"> </w:t>
      </w:r>
      <w:r w:rsidR="00274F2A" w:rsidRPr="00A67611">
        <w:t>arbitrary</w:t>
      </w:r>
      <w:r w:rsidR="0018468B" w:rsidRPr="00A67611">
        <w:t xml:space="preserve"> </w:t>
      </w:r>
      <w:r w:rsidR="00141BD3" w:rsidRPr="00A67611">
        <w:t>decline in response</w:t>
      </w:r>
      <w:r w:rsidR="00781A8D" w:rsidRPr="00A67611">
        <w:t>.</w:t>
      </w:r>
    </w:p>
    <w:p w:rsidR="00FA30CD" w:rsidRPr="00A67611" w:rsidRDefault="00792AF4" w:rsidP="00FA30CD">
      <w:pPr>
        <w:pStyle w:val="TableFigureHeading"/>
        <w:rPr>
          <w:rStyle w:val="CommentReference"/>
          <w:b/>
          <w:szCs w:val="24"/>
        </w:rPr>
      </w:pPr>
      <w:bookmarkStart w:id="55" w:name="_Ref35609185"/>
      <w:bookmarkStart w:id="56" w:name="_Ref35609178"/>
      <w:r w:rsidRPr="00A67611">
        <w:rPr>
          <w:rStyle w:val="CommentReference"/>
          <w:b/>
          <w:szCs w:val="24"/>
        </w:rPr>
        <w:lastRenderedPageBreak/>
        <w:t xml:space="preserve">Table </w:t>
      </w:r>
      <w:r w:rsidR="00D420F9">
        <w:rPr>
          <w:rStyle w:val="CommentReference"/>
          <w:b/>
          <w:noProof/>
          <w:szCs w:val="24"/>
        </w:rPr>
        <w:t>10</w:t>
      </w:r>
      <w:bookmarkEnd w:id="55"/>
      <w:r w:rsidR="00FA30CD" w:rsidRPr="00A67611">
        <w:rPr>
          <w:rStyle w:val="CommentReference"/>
          <w:b/>
          <w:szCs w:val="24"/>
        </w:rPr>
        <w:t>: Summary of model structure, key inputs and rationale</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4"/>
        <w:gridCol w:w="4485"/>
        <w:gridCol w:w="3068"/>
      </w:tblGrid>
      <w:tr w:rsidR="00FA30CD" w:rsidRPr="00A67611" w:rsidTr="00806AE4">
        <w:trPr>
          <w:tblHeader/>
        </w:trPr>
        <w:tc>
          <w:tcPr>
            <w:tcW w:w="812" w:type="pct"/>
            <w:shd w:val="clear" w:color="auto" w:fill="auto"/>
            <w:vAlign w:val="center"/>
          </w:tcPr>
          <w:p w:rsidR="00FA30CD" w:rsidRPr="00A67611" w:rsidRDefault="00FA30CD" w:rsidP="00806AE4">
            <w:pPr>
              <w:pStyle w:val="In-tableHeading"/>
              <w:jc w:val="center"/>
              <w:rPr>
                <w:lang w:val="en-AU"/>
              </w:rPr>
            </w:pPr>
            <w:r w:rsidRPr="00A67611">
              <w:rPr>
                <w:lang w:val="en-AU"/>
              </w:rPr>
              <w:t>Component</w:t>
            </w:r>
          </w:p>
        </w:tc>
        <w:tc>
          <w:tcPr>
            <w:tcW w:w="2487" w:type="pct"/>
            <w:shd w:val="clear" w:color="auto" w:fill="auto"/>
            <w:vAlign w:val="center"/>
          </w:tcPr>
          <w:p w:rsidR="00FA30CD" w:rsidRPr="00A67611" w:rsidRDefault="00FA30CD" w:rsidP="00806AE4">
            <w:pPr>
              <w:pStyle w:val="In-tableHeading"/>
              <w:jc w:val="center"/>
              <w:rPr>
                <w:lang w:val="en-AU"/>
              </w:rPr>
            </w:pPr>
            <w:r w:rsidRPr="00A67611">
              <w:rPr>
                <w:lang w:val="en-AU"/>
              </w:rPr>
              <w:t>Summary of resubmission</w:t>
            </w:r>
          </w:p>
        </w:tc>
        <w:tc>
          <w:tcPr>
            <w:tcW w:w="1701" w:type="pct"/>
            <w:vAlign w:val="center"/>
          </w:tcPr>
          <w:p w:rsidR="00FA30CD" w:rsidRPr="00A67611" w:rsidRDefault="00FA30CD" w:rsidP="00806AE4">
            <w:pPr>
              <w:pStyle w:val="In-tableHeading"/>
              <w:jc w:val="center"/>
              <w:rPr>
                <w:lang w:val="en-AU"/>
              </w:rPr>
            </w:pPr>
            <w:r w:rsidRPr="00A67611">
              <w:rPr>
                <w:lang w:val="en-AU"/>
              </w:rPr>
              <w:t>Key changes from previous submission</w:t>
            </w:r>
          </w:p>
        </w:tc>
      </w:tr>
      <w:tr w:rsidR="00565901" w:rsidRPr="00A67611" w:rsidTr="00806AE4">
        <w:tc>
          <w:tcPr>
            <w:tcW w:w="812" w:type="pct"/>
            <w:shd w:val="clear" w:color="auto" w:fill="auto"/>
            <w:vAlign w:val="center"/>
          </w:tcPr>
          <w:p w:rsidR="00565901" w:rsidRPr="00A67611" w:rsidRDefault="00565901" w:rsidP="00565901">
            <w:pPr>
              <w:pStyle w:val="TableText0"/>
              <w:jc w:val="center"/>
            </w:pPr>
            <w:r w:rsidRPr="00A67611">
              <w:t>Treatments</w:t>
            </w:r>
          </w:p>
        </w:tc>
        <w:tc>
          <w:tcPr>
            <w:tcW w:w="2487" w:type="pct"/>
            <w:shd w:val="clear" w:color="auto" w:fill="auto"/>
            <w:vAlign w:val="center"/>
          </w:tcPr>
          <w:p w:rsidR="00565901" w:rsidRPr="00A67611" w:rsidRDefault="00565901" w:rsidP="00565901">
            <w:pPr>
              <w:pStyle w:val="TableText0"/>
              <w:jc w:val="center"/>
            </w:pPr>
            <w:r w:rsidRPr="00A67611">
              <w:t>Nabiximols + SC versus SC alone</w:t>
            </w:r>
          </w:p>
        </w:tc>
        <w:tc>
          <w:tcPr>
            <w:tcW w:w="1701" w:type="pct"/>
            <w:vAlign w:val="center"/>
          </w:tcPr>
          <w:p w:rsidR="00565901" w:rsidRPr="00A67611" w:rsidRDefault="00565901" w:rsidP="00565901">
            <w:pPr>
              <w:pStyle w:val="TableText0"/>
              <w:jc w:val="center"/>
            </w:pPr>
            <w:r>
              <w:t>Nabiximols (±</w:t>
            </w:r>
            <w:r w:rsidRPr="00A67611">
              <w:t>SC</w:t>
            </w:r>
            <w:r>
              <w:t>)</w:t>
            </w:r>
            <w:r w:rsidRPr="00A67611">
              <w:t xml:space="preserve"> versus SC alone</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Time horizon</w:t>
            </w:r>
          </w:p>
        </w:tc>
        <w:tc>
          <w:tcPr>
            <w:tcW w:w="2487" w:type="pct"/>
            <w:shd w:val="clear" w:color="auto" w:fill="auto"/>
            <w:vAlign w:val="center"/>
          </w:tcPr>
          <w:p w:rsidR="00565901" w:rsidRPr="00A67611" w:rsidRDefault="00565901" w:rsidP="00565901">
            <w:pPr>
              <w:pStyle w:val="TableText0"/>
              <w:jc w:val="center"/>
            </w:pPr>
            <w:r w:rsidRPr="00A67611">
              <w:t>1 year in the model base case versus 12 weeks in the Markovà trial (Phase B)</w:t>
            </w:r>
          </w:p>
        </w:tc>
        <w:tc>
          <w:tcPr>
            <w:tcW w:w="1701" w:type="pct"/>
            <w:shd w:val="clear" w:color="auto" w:fill="auto"/>
            <w:vAlign w:val="center"/>
          </w:tcPr>
          <w:p w:rsidR="00565901" w:rsidRPr="00A67611" w:rsidRDefault="00565901" w:rsidP="00565901">
            <w:pPr>
              <w:pStyle w:val="TableText0"/>
              <w:jc w:val="center"/>
            </w:pPr>
            <w:r w:rsidRPr="00A67611">
              <w:t>5 years in the model base case versus 16 weeks in Novotna 2011</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Outcomes</w:t>
            </w:r>
          </w:p>
        </w:tc>
        <w:tc>
          <w:tcPr>
            <w:tcW w:w="2487" w:type="pct"/>
            <w:shd w:val="clear" w:color="auto" w:fill="auto"/>
            <w:vAlign w:val="center"/>
          </w:tcPr>
          <w:p w:rsidR="00565901" w:rsidRPr="00A67611" w:rsidRDefault="00565901" w:rsidP="00565901">
            <w:pPr>
              <w:pStyle w:val="TableText0"/>
              <w:jc w:val="center"/>
            </w:pPr>
            <w:r w:rsidRPr="00A67611">
              <w:t>Quality-adjusted life years and responders on the spasticity NRS scale defined as a 30% or more improvement</w:t>
            </w:r>
          </w:p>
        </w:tc>
        <w:tc>
          <w:tcPr>
            <w:tcW w:w="1701" w:type="pct"/>
            <w:shd w:val="clear" w:color="auto" w:fill="auto"/>
            <w:vAlign w:val="center"/>
          </w:tcPr>
          <w:p w:rsidR="00565901" w:rsidRPr="00A67611" w:rsidRDefault="00565901" w:rsidP="00565901">
            <w:pPr>
              <w:pStyle w:val="TableText0"/>
              <w:jc w:val="center"/>
            </w:pPr>
            <w:r w:rsidRPr="00A67611">
              <w:t xml:space="preserve"> No change </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Methods used to generate results</w:t>
            </w:r>
          </w:p>
        </w:tc>
        <w:tc>
          <w:tcPr>
            <w:tcW w:w="2487" w:type="pct"/>
            <w:shd w:val="clear" w:color="auto" w:fill="auto"/>
            <w:vAlign w:val="center"/>
          </w:tcPr>
          <w:p w:rsidR="00565901" w:rsidRPr="00A67611" w:rsidRDefault="00565901" w:rsidP="00565901">
            <w:pPr>
              <w:pStyle w:val="TableText0"/>
              <w:jc w:val="center"/>
            </w:pPr>
            <w:r w:rsidRPr="00A67611">
              <w:t>Simple decision tree model based on initial and continuing response or non-response to nabiximols</w:t>
            </w:r>
          </w:p>
        </w:tc>
        <w:tc>
          <w:tcPr>
            <w:tcW w:w="1701" w:type="pct"/>
            <w:shd w:val="clear" w:color="auto" w:fill="auto"/>
            <w:vAlign w:val="center"/>
          </w:tcPr>
          <w:p w:rsidR="00565901" w:rsidRPr="00A67611" w:rsidRDefault="00565901" w:rsidP="00565901">
            <w:pPr>
              <w:pStyle w:val="TableText0"/>
              <w:jc w:val="center"/>
            </w:pPr>
            <w:r w:rsidRPr="00A67611">
              <w:t>A 10-state Markov model</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Cycle length</w:t>
            </w:r>
          </w:p>
        </w:tc>
        <w:tc>
          <w:tcPr>
            <w:tcW w:w="2487" w:type="pct"/>
            <w:shd w:val="clear" w:color="auto" w:fill="auto"/>
            <w:vAlign w:val="center"/>
          </w:tcPr>
          <w:p w:rsidR="00565901" w:rsidRPr="00A67611" w:rsidRDefault="00565901" w:rsidP="00565901">
            <w:pPr>
              <w:pStyle w:val="TableText0"/>
              <w:jc w:val="center"/>
            </w:pPr>
            <w:r w:rsidRPr="00A67611">
              <w:t>1 year</w:t>
            </w:r>
          </w:p>
        </w:tc>
        <w:tc>
          <w:tcPr>
            <w:tcW w:w="1701" w:type="pct"/>
            <w:shd w:val="clear" w:color="auto" w:fill="auto"/>
            <w:vAlign w:val="center"/>
          </w:tcPr>
          <w:p w:rsidR="00565901" w:rsidRPr="00A67611" w:rsidRDefault="00565901" w:rsidP="00565901">
            <w:pPr>
              <w:pStyle w:val="TableText0"/>
              <w:jc w:val="center"/>
            </w:pPr>
            <w:r w:rsidRPr="00A67611">
              <w:t>Unknown</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Transition probabilities</w:t>
            </w:r>
          </w:p>
          <w:p w:rsidR="00565901" w:rsidRPr="00A67611" w:rsidRDefault="00565901" w:rsidP="00565901">
            <w:pPr>
              <w:pStyle w:val="TableText0"/>
              <w:jc w:val="center"/>
            </w:pPr>
          </w:p>
        </w:tc>
        <w:tc>
          <w:tcPr>
            <w:tcW w:w="2487" w:type="pct"/>
            <w:shd w:val="clear" w:color="auto" w:fill="auto"/>
            <w:vAlign w:val="center"/>
          </w:tcPr>
          <w:p w:rsidR="00565901" w:rsidRPr="00A67611" w:rsidRDefault="00565901" w:rsidP="00565901">
            <w:pPr>
              <w:pStyle w:val="TableText0"/>
              <w:jc w:val="center"/>
            </w:pPr>
            <w:r w:rsidRPr="00A67611">
              <w:t>Entry into the initial and continuing response and non-response states were based on results from phase B of Markovà</w:t>
            </w:r>
            <w:r w:rsidRPr="00A67611" w:rsidDel="00C6404F">
              <w:t xml:space="preserve"> </w:t>
            </w:r>
            <w:r w:rsidRPr="00A67611">
              <w:t>2019 only</w:t>
            </w:r>
          </w:p>
        </w:tc>
        <w:tc>
          <w:tcPr>
            <w:tcW w:w="1701" w:type="pct"/>
            <w:shd w:val="clear" w:color="auto" w:fill="auto"/>
            <w:vAlign w:val="center"/>
          </w:tcPr>
          <w:p w:rsidR="00565901" w:rsidRPr="00A67611" w:rsidRDefault="00565901" w:rsidP="00565901">
            <w:pPr>
              <w:pStyle w:val="TableText0"/>
              <w:jc w:val="center"/>
            </w:pPr>
            <w:r w:rsidRPr="00A67611">
              <w:t>Based on phase B in Novotna 2011</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Extrapolation method</w:t>
            </w:r>
          </w:p>
        </w:tc>
        <w:tc>
          <w:tcPr>
            <w:tcW w:w="2487" w:type="pct"/>
            <w:shd w:val="clear" w:color="auto" w:fill="auto"/>
            <w:vAlign w:val="center"/>
          </w:tcPr>
          <w:p w:rsidR="00565901" w:rsidRPr="00A67611" w:rsidRDefault="00565901" w:rsidP="00565901">
            <w:pPr>
              <w:pStyle w:val="TableText0"/>
              <w:jc w:val="center"/>
            </w:pPr>
            <w:r w:rsidRPr="00A67611">
              <w:t>Response and non-response rates were assumed to remain the same as at 12 weeks in Markovà 2019.</w:t>
            </w:r>
          </w:p>
          <w:p w:rsidR="00565901" w:rsidRPr="00A67611" w:rsidRDefault="00565901" w:rsidP="00565901">
            <w:pPr>
              <w:pStyle w:val="TableText0"/>
              <w:jc w:val="center"/>
            </w:pPr>
          </w:p>
          <w:p w:rsidR="00565901" w:rsidRPr="00A67611" w:rsidRDefault="00565901" w:rsidP="00565901">
            <w:pPr>
              <w:pStyle w:val="TableText0"/>
              <w:jc w:val="center"/>
            </w:pPr>
            <w:r w:rsidRPr="00A67611">
              <w:t xml:space="preserve">Approximately </w:t>
            </w:r>
            <w:r w:rsidR="00184F66">
              <w:rPr>
                <w:noProof/>
                <w:color w:val="000000"/>
                <w:highlight w:val="black"/>
              </w:rPr>
              <w:t>'''''</w:t>
            </w:r>
            <w:r w:rsidRPr="00A67611">
              <w:t>% of QALYs and costs occur in the extrapolated period.</w:t>
            </w:r>
          </w:p>
        </w:tc>
        <w:tc>
          <w:tcPr>
            <w:tcW w:w="1701" w:type="pct"/>
            <w:shd w:val="clear" w:color="auto" w:fill="auto"/>
            <w:vAlign w:val="center"/>
          </w:tcPr>
          <w:p w:rsidR="00565901" w:rsidRPr="00A67611" w:rsidRDefault="00565901" w:rsidP="00565901">
            <w:pPr>
              <w:pStyle w:val="TableText0"/>
              <w:jc w:val="center"/>
            </w:pPr>
            <w:r w:rsidRPr="00A67611">
              <w:t>Probability of improvement in SC arm expected to worsen, based on Arroyo 2011</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Health related quality of life</w:t>
            </w:r>
          </w:p>
        </w:tc>
        <w:tc>
          <w:tcPr>
            <w:tcW w:w="2487" w:type="pct"/>
            <w:shd w:val="clear" w:color="auto" w:fill="auto"/>
            <w:vAlign w:val="center"/>
          </w:tcPr>
          <w:p w:rsidR="00565901" w:rsidRPr="00A67611" w:rsidRDefault="00565901" w:rsidP="00565901">
            <w:pPr>
              <w:pStyle w:val="TableText0"/>
              <w:jc w:val="center"/>
            </w:pPr>
            <w:r w:rsidRPr="00A67611">
              <w:t>Responders 0.679 and non-responders 0.574, based on mapping mean baseline NRS (6.91) and responder NRS (4.84) from Markovà 2019 to EQ-5D using algorithm by Svensson 2014</w:t>
            </w:r>
          </w:p>
          <w:p w:rsidR="00565901" w:rsidRPr="00A67611" w:rsidRDefault="00565901" w:rsidP="00565901">
            <w:pPr>
              <w:pStyle w:val="TableText0"/>
              <w:jc w:val="center"/>
            </w:pPr>
          </w:p>
          <w:p w:rsidR="00565901" w:rsidRPr="00A67611" w:rsidRDefault="00565901" w:rsidP="00565901">
            <w:pPr>
              <w:pStyle w:val="TableText0"/>
              <w:jc w:val="center"/>
              <w:rPr>
                <w:highlight w:val="green"/>
              </w:rPr>
            </w:pPr>
            <w:r w:rsidRPr="00A67611">
              <w:t>Disutilities were assigned to adverse events (AE) based on Wang 2008 with values of 0.02 for dizziness, dry mouth, fatigue and 0.04 for headache, 0.06 for nausea and 0.10 for serious AE</w:t>
            </w:r>
          </w:p>
        </w:tc>
        <w:tc>
          <w:tcPr>
            <w:tcW w:w="1701" w:type="pct"/>
            <w:shd w:val="clear" w:color="auto" w:fill="auto"/>
            <w:vAlign w:val="center"/>
          </w:tcPr>
          <w:p w:rsidR="00565901" w:rsidRPr="00A67611" w:rsidRDefault="00565901" w:rsidP="00565901">
            <w:pPr>
              <w:pStyle w:val="TableText0"/>
              <w:jc w:val="center"/>
            </w:pPr>
            <w:r w:rsidRPr="00A67611">
              <w:t>Based on Novotna 2011, 0.58 for moderate spasticity and 0.43 for severe as requested by ESC</w:t>
            </w:r>
          </w:p>
          <w:p w:rsidR="00565901" w:rsidRPr="00A67611" w:rsidRDefault="00565901" w:rsidP="00565901">
            <w:pPr>
              <w:pStyle w:val="TableText0"/>
              <w:jc w:val="center"/>
              <w:rPr>
                <w:highlight w:val="green"/>
              </w:rPr>
            </w:pPr>
            <w:r w:rsidRPr="00A67611">
              <w:t>No disutilities applied to AE</w:t>
            </w:r>
          </w:p>
        </w:tc>
      </w:tr>
      <w:tr w:rsidR="00565901" w:rsidRPr="00A67611" w:rsidTr="00A07EF7">
        <w:tc>
          <w:tcPr>
            <w:tcW w:w="812" w:type="pct"/>
            <w:shd w:val="clear" w:color="auto" w:fill="auto"/>
            <w:vAlign w:val="center"/>
          </w:tcPr>
          <w:p w:rsidR="00565901" w:rsidRPr="00A67611" w:rsidRDefault="00565901" w:rsidP="00565901">
            <w:pPr>
              <w:pStyle w:val="TableText0"/>
              <w:jc w:val="center"/>
            </w:pPr>
            <w:r w:rsidRPr="00A67611">
              <w:t>Costs of treating spasticity</w:t>
            </w:r>
          </w:p>
        </w:tc>
        <w:tc>
          <w:tcPr>
            <w:tcW w:w="2487" w:type="pct"/>
            <w:shd w:val="clear" w:color="auto" w:fill="auto"/>
            <w:vAlign w:val="center"/>
          </w:tcPr>
          <w:p w:rsidR="00565901" w:rsidRPr="00A67611" w:rsidRDefault="00565901" w:rsidP="00565901">
            <w:pPr>
              <w:pStyle w:val="TableText0"/>
              <w:jc w:val="center"/>
              <w:rPr>
                <w:highlight w:val="green"/>
              </w:rPr>
            </w:pPr>
            <w:r w:rsidRPr="00A67611">
              <w:t>Based on utilisation reported in Stevenson 2015 for patients with various NRS levels mapped to Australian unit costs, and fitted exponential curve to costs to read off overall costs for patients with NRS of 4.84 and 6.91 in the model</w:t>
            </w:r>
          </w:p>
        </w:tc>
        <w:tc>
          <w:tcPr>
            <w:tcW w:w="1701" w:type="pct"/>
            <w:shd w:val="clear" w:color="auto" w:fill="auto"/>
            <w:vAlign w:val="center"/>
          </w:tcPr>
          <w:p w:rsidR="00565901" w:rsidRPr="00A67611" w:rsidRDefault="00565901" w:rsidP="00565901">
            <w:pPr>
              <w:pStyle w:val="TableText0"/>
              <w:jc w:val="center"/>
              <w:rPr>
                <w:highlight w:val="green"/>
              </w:rPr>
            </w:pPr>
            <w:r w:rsidRPr="00A67611">
              <w:t>Unknown</w:t>
            </w:r>
          </w:p>
        </w:tc>
      </w:tr>
    </w:tbl>
    <w:p w:rsidR="00FA30CD" w:rsidRPr="00A67611" w:rsidRDefault="00576028" w:rsidP="00FA30CD">
      <w:pPr>
        <w:pStyle w:val="TableFigureFooter"/>
      </w:pPr>
      <w:r w:rsidRPr="00A67611">
        <w:t>SC</w:t>
      </w:r>
      <w:r w:rsidR="00FA30CD" w:rsidRPr="00A67611">
        <w:t xml:space="preserve"> = standard care</w:t>
      </w:r>
    </w:p>
    <w:p w:rsidR="00FA30CD" w:rsidRPr="00A67611" w:rsidRDefault="00FA30CD" w:rsidP="00FA30CD">
      <w:pPr>
        <w:pStyle w:val="TableFigureFooter"/>
      </w:pPr>
      <w:r w:rsidRPr="00A67611">
        <w:t>Source: Section 3 of the resubmission</w:t>
      </w:r>
      <w:r w:rsidR="006A6003" w:rsidRPr="00A67611">
        <w:t xml:space="preserve"> and previous PBAC minutes </w:t>
      </w:r>
      <w:r w:rsidR="006A6003" w:rsidRPr="00A67611">
        <w:rPr>
          <w:color w:val="000000" w:themeColor="text1"/>
          <w:szCs w:val="18"/>
        </w:rPr>
        <w:t>(provided as an attachment to the submission)</w:t>
      </w:r>
    </w:p>
    <w:p w:rsidR="00FA30CD" w:rsidRPr="00A67611" w:rsidRDefault="00DD2AB0" w:rsidP="000F706A">
      <w:pPr>
        <w:pStyle w:val="3-BodyText"/>
      </w:pPr>
      <w:r w:rsidRPr="00A67611">
        <w:t>The NRS at baseline in P</w:t>
      </w:r>
      <w:r w:rsidR="00FA30CD" w:rsidRPr="00A67611">
        <w:t>hase B of the Markovà 2019 trial was 6.91</w:t>
      </w:r>
      <w:r w:rsidR="00DB3070" w:rsidRPr="00A67611">
        <w:t>. T</w:t>
      </w:r>
      <w:r w:rsidR="00FA30CD" w:rsidRPr="00A67611">
        <w:t>herefore</w:t>
      </w:r>
      <w:r w:rsidR="00DB3070" w:rsidRPr="00A67611">
        <w:t>,</w:t>
      </w:r>
      <w:r w:rsidR="00FA30CD" w:rsidRPr="00A67611">
        <w:t xml:space="preserve"> the resubmission estimated that patients who had ≥30% improvement from baseline NRS would have had an NRS of 4.84 or lower</w:t>
      </w:r>
      <w:r w:rsidR="009F538B" w:rsidRPr="00A67611">
        <w:t xml:space="preserve"> at week 12</w:t>
      </w:r>
      <w:r w:rsidR="00FA30CD" w:rsidRPr="00A67611">
        <w:t xml:space="preserve">.  The resubmission also assumed that non-responders would have had no change to their baseline NRS, with this remaining at 6.91. The estimated NRS is important as it determines both the utility of the patient as well as the ‘cost of treating spasticity’ as assumed by the resubmission.  </w:t>
      </w:r>
    </w:p>
    <w:p w:rsidR="000D7D07" w:rsidRPr="00A67611" w:rsidRDefault="00FA30CD" w:rsidP="000F706A">
      <w:pPr>
        <w:pStyle w:val="3-BodyText"/>
      </w:pPr>
      <w:bookmarkStart w:id="57" w:name="_Ref33005768"/>
      <w:r w:rsidRPr="00A67611">
        <w:t xml:space="preserve">The utility values for each health state were mapped from the mean NRS reported in Markovà 2019 to EQ-5D using an algorithm developed by Svensson 2014. The resubmission estimated that responders </w:t>
      </w:r>
      <w:r w:rsidR="00CC4552" w:rsidRPr="00A67611">
        <w:t xml:space="preserve">with </w:t>
      </w:r>
      <w:r w:rsidRPr="00A67611">
        <w:t xml:space="preserve">an NRS of 4.84 will </w:t>
      </w:r>
      <w:r w:rsidR="00DD2AB0" w:rsidRPr="00A67611">
        <w:t>have a utility of 0.679 and non-</w:t>
      </w:r>
      <w:r w:rsidRPr="00A67611">
        <w:t>responders with an NRS of 6.91 will have a utility of 0.574. Other utility values have been used in published economic evaluations and health technology assessments</w:t>
      </w:r>
      <w:r w:rsidR="00274F2A" w:rsidRPr="00A67611">
        <w:t xml:space="preserve"> but were not explored in the resubmission</w:t>
      </w:r>
      <w:r w:rsidRPr="00A67611">
        <w:t xml:space="preserve">. </w:t>
      </w:r>
      <w:r w:rsidR="009F538B" w:rsidRPr="00A67611">
        <w:t>T</w:t>
      </w:r>
      <w:r w:rsidRPr="00A67611">
        <w:t xml:space="preserve">he utilities </w:t>
      </w:r>
      <w:r w:rsidR="009F538B" w:rsidRPr="00A67611">
        <w:t xml:space="preserve">in the previous submission </w:t>
      </w:r>
      <w:r w:rsidRPr="00A67611">
        <w:t xml:space="preserve">were </w:t>
      </w:r>
      <w:r w:rsidRPr="00A67611">
        <w:rPr>
          <w:bCs/>
        </w:rPr>
        <w:t xml:space="preserve">based on Novotna 2011, with 0.58 for moderate spasticity and 0.43 for severe (as requested by ESC).  </w:t>
      </w:r>
      <w:r w:rsidRPr="00A67611">
        <w:t xml:space="preserve">In the NICE evidence review for spasticity 2019 (for </w:t>
      </w:r>
      <w:r w:rsidR="00433AC7" w:rsidRPr="00A67611">
        <w:t>c</w:t>
      </w:r>
      <w:r w:rsidRPr="00A67611">
        <w:t xml:space="preserve">annabis-based medicinal products), adjusted values of 0.537 and 0.352 </w:t>
      </w:r>
      <w:r w:rsidR="0040413F" w:rsidRPr="00A67611">
        <w:t>for moderate and severe spasticity</w:t>
      </w:r>
      <w:r w:rsidR="006E5237" w:rsidRPr="00A67611">
        <w:t>,</w:t>
      </w:r>
      <w:r w:rsidR="0040413F" w:rsidRPr="00A67611">
        <w:t xml:space="preserve"> respectively</w:t>
      </w:r>
      <w:r w:rsidR="006E5237" w:rsidRPr="00A67611">
        <w:t>,</w:t>
      </w:r>
      <w:r w:rsidR="0040413F" w:rsidRPr="00A67611">
        <w:t xml:space="preserve"> </w:t>
      </w:r>
      <w:r w:rsidRPr="00A67611">
        <w:t>were used in their analysis.</w:t>
      </w:r>
      <w:bookmarkEnd w:id="57"/>
      <w:r w:rsidRPr="00A67611">
        <w:t xml:space="preserve"> </w:t>
      </w:r>
    </w:p>
    <w:p w:rsidR="000D7D07" w:rsidRPr="00A67611" w:rsidRDefault="000D7D07" w:rsidP="000F706A">
      <w:pPr>
        <w:pStyle w:val="3-BodyText"/>
      </w:pPr>
      <w:r w:rsidRPr="00A67611">
        <w:lastRenderedPageBreak/>
        <w:t xml:space="preserve">The ESC considered the approach used to model NRS </w:t>
      </w:r>
      <w:r w:rsidR="00C85D39" w:rsidRPr="00A67611">
        <w:t xml:space="preserve">responders and non-responders </w:t>
      </w:r>
      <w:r w:rsidRPr="00A67611">
        <w:t>to utilities was highly uncertain, as patient EDSS score was an important component of the linear regression model in Svensson 2014.</w:t>
      </w:r>
      <w:r w:rsidR="00C85D39" w:rsidRPr="00A67611">
        <w:t xml:space="preserve"> The ESC noted the regression was significant for EDSS states </w:t>
      </w:r>
      <w:r w:rsidR="00C85D39" w:rsidRPr="00A67611">
        <w:rPr>
          <w:rFonts w:cstheme="minorHAnsi"/>
        </w:rPr>
        <w:t>≥</w:t>
      </w:r>
      <w:r w:rsidR="00C85D39" w:rsidRPr="00A67611">
        <w:t xml:space="preserve"> 7.5 and considered the utilities for responders and non-responders calculated according to EDSS states </w:t>
      </w:r>
      <w:r w:rsidR="00C85D39" w:rsidRPr="00A67611">
        <w:rPr>
          <w:rFonts w:cstheme="minorHAnsi"/>
        </w:rPr>
        <w:t xml:space="preserve">may have been informative. </w:t>
      </w:r>
    </w:p>
    <w:p w:rsidR="00FA30CD" w:rsidRPr="00A67611" w:rsidRDefault="004659F3" w:rsidP="000F706A">
      <w:pPr>
        <w:pStyle w:val="3-BodyText"/>
      </w:pPr>
      <w:r w:rsidRPr="00A67611">
        <w:t xml:space="preserve">Furthermore, </w:t>
      </w:r>
      <w:r w:rsidR="00FA30CD" w:rsidRPr="00A67611">
        <w:t xml:space="preserve">the </w:t>
      </w:r>
      <w:r w:rsidR="00C85D39" w:rsidRPr="00A67611">
        <w:t xml:space="preserve">ESC noted the </w:t>
      </w:r>
      <w:r w:rsidR="00FA30CD" w:rsidRPr="00A67611">
        <w:t>clinical trials included in the resubmission reported no difference in health related quality of life</w:t>
      </w:r>
      <w:r w:rsidR="00BF7E39" w:rsidRPr="00A67611">
        <w:t xml:space="preserve"> (HRQoL)</w:t>
      </w:r>
      <w:r w:rsidR="00FA30CD" w:rsidRPr="00A67611">
        <w:t xml:space="preserve"> between patients treated with nabiximols + </w:t>
      </w:r>
      <w:r w:rsidR="00576028" w:rsidRPr="00A67611">
        <w:t>SC</w:t>
      </w:r>
      <w:r w:rsidR="00FA30CD" w:rsidRPr="00A67611">
        <w:t xml:space="preserve"> compared to </w:t>
      </w:r>
      <w:r w:rsidR="00576028" w:rsidRPr="00A67611">
        <w:t>SC</w:t>
      </w:r>
      <w:r w:rsidR="00FA30CD" w:rsidRPr="00A67611">
        <w:t xml:space="preserve"> alone. </w:t>
      </w:r>
      <w:r w:rsidR="00C85D39" w:rsidRPr="00A67611">
        <w:t xml:space="preserve"> </w:t>
      </w:r>
    </w:p>
    <w:p w:rsidR="007B5083" w:rsidRPr="00A67611" w:rsidRDefault="00FA30CD" w:rsidP="000F706A">
      <w:pPr>
        <w:pStyle w:val="3-BodyText"/>
        <w:rPr>
          <w:b/>
          <w:bCs/>
        </w:rPr>
      </w:pPr>
      <w:bookmarkStart w:id="58" w:name="_Ref27567262"/>
      <w:bookmarkStart w:id="59" w:name="_Ref33170712"/>
      <w:r w:rsidRPr="00A67611">
        <w:t xml:space="preserve">The resubmission estimated health care resource use based on data from a published UK study by Stevenson 2015 and applied Australian unit costs. Stevenson 2015 was a study based on a survey of health care professionals in the UK. It was unclear whether the resource use as depicted by Stevenson 2015 would be applicable to patients in Australia. The cost in Stevenson 2015 for a patient with an NRS score of 9-10 </w:t>
      </w:r>
      <w:r w:rsidR="00CC4552" w:rsidRPr="00A67611">
        <w:t xml:space="preserve">was a </w:t>
      </w:r>
      <w:r w:rsidRPr="00A67611">
        <w:t>total</w:t>
      </w:r>
      <w:r w:rsidR="00CC4552" w:rsidRPr="00A67611">
        <w:t xml:space="preserve"> of</w:t>
      </w:r>
      <w:r w:rsidRPr="00A67611">
        <w:t xml:space="preserve"> $70,330 </w:t>
      </w:r>
      <w:r w:rsidR="00A801F7" w:rsidRPr="00A67611">
        <w:t xml:space="preserve">(including outpatient treatment, A&amp;E attendance, hospital admissions, district nurses and home care) </w:t>
      </w:r>
      <w:r w:rsidRPr="00A67611">
        <w:t>when using Australia</w:t>
      </w:r>
      <w:r w:rsidR="00633828" w:rsidRPr="00A67611">
        <w:t>n</w:t>
      </w:r>
      <w:r w:rsidRPr="00A67611">
        <w:t xml:space="preserve"> unit costs.  This was significantly higher than the costs reported in Ahmad 2018</w:t>
      </w:r>
      <w:r w:rsidR="00866512" w:rsidRPr="00A67611">
        <w:rPr>
          <w:rStyle w:val="FootnoteReference"/>
        </w:rPr>
        <w:footnoteReference w:id="3"/>
      </w:r>
      <w:r w:rsidRPr="00A67611">
        <w:t xml:space="preserve"> where it was reported that the direct and indirect costs of management for a patient with MS with severe disability in Australia in 2017 was $14,000</w:t>
      </w:r>
      <w:r w:rsidR="00A801F7" w:rsidRPr="00A67611">
        <w:t xml:space="preserve"> (health professionals, nursing services, community and private services and hospital stay</w:t>
      </w:r>
      <w:r w:rsidR="006D0805" w:rsidRPr="00A67611">
        <w:rPr>
          <w:rStyle w:val="FootnoteReference"/>
        </w:rPr>
        <w:footnoteReference w:id="4"/>
      </w:r>
      <w:r w:rsidR="00A801F7" w:rsidRPr="00A67611">
        <w:t>)</w:t>
      </w:r>
      <w:r w:rsidRPr="00A67611">
        <w:t xml:space="preserve"> and $15,000</w:t>
      </w:r>
      <w:r w:rsidR="00A801F7" w:rsidRPr="00A67611">
        <w:t xml:space="preserve"> </w:t>
      </w:r>
      <w:r w:rsidR="00944551">
        <w:t>(informal care costs</w:t>
      </w:r>
      <w:r w:rsidR="006D0805" w:rsidRPr="00A67611">
        <w:rPr>
          <w:rStyle w:val="FootnoteReference"/>
        </w:rPr>
        <w:footnoteReference w:id="5"/>
      </w:r>
      <w:r w:rsidR="00A801F7" w:rsidRPr="00A67611">
        <w:t>)</w:t>
      </w:r>
      <w:r w:rsidRPr="00A67611">
        <w:t>, respectively.</w:t>
      </w:r>
      <w:bookmarkEnd w:id="58"/>
      <w:r w:rsidR="00A801F7" w:rsidRPr="00A67611">
        <w:t xml:space="preserve"> It is </w:t>
      </w:r>
      <w:r w:rsidR="00E61A46" w:rsidRPr="00A67611">
        <w:t>unlikely</w:t>
      </w:r>
      <w:r w:rsidR="00A801F7" w:rsidRPr="00A67611">
        <w:t xml:space="preserve"> informal care costs would be a cost attributable to the health budget.</w:t>
      </w:r>
      <w:bookmarkEnd w:id="59"/>
    </w:p>
    <w:p w:rsidR="00894C89" w:rsidRPr="00A67611" w:rsidRDefault="00FA30CD" w:rsidP="000F706A">
      <w:pPr>
        <w:pStyle w:val="3-BodyText"/>
        <w:rPr>
          <w:b/>
          <w:bCs/>
        </w:rPr>
      </w:pPr>
      <w:bookmarkStart w:id="60" w:name="_Ref35610580"/>
      <w:r w:rsidRPr="00A67611">
        <w:t>In its consideration of resource use associated with spasticity, the NICE evidence review for spasticity 2019 stated that advanced spasticity is highly associated with advanced MS more generally</w:t>
      </w:r>
      <w:r w:rsidR="00CC4552" w:rsidRPr="00A67611">
        <w:t>. A</w:t>
      </w:r>
      <w:r w:rsidRPr="00A67611">
        <w:t>s such, moving an average patient who is experiencing NRS spasticity of 10</w:t>
      </w:r>
      <w:r w:rsidR="00CC4552" w:rsidRPr="00A67611">
        <w:t>, for example,</w:t>
      </w:r>
      <w:r w:rsidRPr="00A67611">
        <w:t xml:space="preserve"> to NRS of 6-8 would be unlikely to reduce resource use by the total difference between the two categories, since some of the resource use </w:t>
      </w:r>
      <w:r w:rsidR="00805EB2">
        <w:t xml:space="preserve"> would likely </w:t>
      </w:r>
      <w:r w:rsidR="00DD2AB0" w:rsidRPr="00A67611">
        <w:t>not be spasticity-</w:t>
      </w:r>
      <w:r w:rsidRPr="00A67611">
        <w:t>specific. Accordingly, the NICE evidence review for spasticity 2019 considered that only a portion (25%) of the resource use and 49.65% of the home care visits could be attributable to changes in NRS spasticity alone. However</w:t>
      </w:r>
      <w:r w:rsidR="00DD2AB0" w:rsidRPr="00A67611">
        <w:t>,</w:t>
      </w:r>
      <w:r w:rsidRPr="00A67611">
        <w:t xml:space="preserve"> these proportions w</w:t>
      </w:r>
      <w:r w:rsidR="00840758" w:rsidRPr="00A67611">
        <w:t>ere</w:t>
      </w:r>
      <w:r w:rsidRPr="00A67611">
        <w:t xml:space="preserve"> also considered by NICE to be highly uncertain.</w:t>
      </w:r>
      <w:bookmarkEnd w:id="60"/>
      <w:r w:rsidRPr="00A67611">
        <w:t xml:space="preserve"> </w:t>
      </w:r>
      <w:bookmarkStart w:id="61" w:name="_Ref33001337"/>
    </w:p>
    <w:p w:rsidR="00306042" w:rsidRPr="00A67611" w:rsidRDefault="00306042" w:rsidP="000F706A">
      <w:pPr>
        <w:pStyle w:val="3-BodyText"/>
        <w:rPr>
          <w:b/>
          <w:bCs/>
        </w:rPr>
      </w:pPr>
      <w:bookmarkStart w:id="62" w:name="_Ref33004034"/>
      <w:r w:rsidRPr="00A67611">
        <w:t xml:space="preserve">The PSCR  argued the resource use </w:t>
      </w:r>
      <w:r w:rsidR="00E61A46" w:rsidRPr="00A67611">
        <w:t xml:space="preserve">and </w:t>
      </w:r>
      <w:r w:rsidRPr="00A67611">
        <w:t xml:space="preserve">costs used in the economic model were reasonable </w:t>
      </w:r>
      <w:r w:rsidR="00E61A46" w:rsidRPr="00A67611">
        <w:t xml:space="preserve">and relevant to Australia </w:t>
      </w:r>
      <w:r w:rsidRPr="00A67611">
        <w:t xml:space="preserve">and </w:t>
      </w:r>
      <w:r w:rsidR="00E61A46" w:rsidRPr="00A67611">
        <w:t xml:space="preserve">were </w:t>
      </w:r>
      <w:r w:rsidRPr="00A67611">
        <w:t>supported by the results of an evaluation of the economic impact of MS in Australia using the Australian MS Longitudinal Study (AMSLS) in 2017. The PSCR argued this approach of modelling Australian health system use</w:t>
      </w:r>
      <w:r w:rsidR="00DE7F95" w:rsidRPr="00A67611">
        <w:t>,</w:t>
      </w:r>
      <w:r w:rsidRPr="00A67611">
        <w:t xml:space="preserve"> based on adjusted UK values</w:t>
      </w:r>
      <w:r w:rsidR="00DE7F95" w:rsidRPr="00A67611">
        <w:t>,</w:t>
      </w:r>
      <w:r w:rsidRPr="00A67611">
        <w:t xml:space="preserve"> may be substantially underestimating costs in Australia. The PSCR further argued it was inappropriate and </w:t>
      </w:r>
      <w:r w:rsidRPr="00A67611">
        <w:lastRenderedPageBreak/>
        <w:t xml:space="preserve">arbitrary to </w:t>
      </w:r>
      <w:r w:rsidR="000D7D07" w:rsidRPr="00A67611">
        <w:t>propose that only 25% of the resource use costs were reasonable and attributable to MS-related spasticity.</w:t>
      </w:r>
      <w:bookmarkEnd w:id="61"/>
      <w:bookmarkEnd w:id="62"/>
    </w:p>
    <w:p w:rsidR="00D31D36" w:rsidRPr="00A67611" w:rsidRDefault="00607A9A" w:rsidP="000F706A">
      <w:pPr>
        <w:pStyle w:val="3-BodyText"/>
        <w:rPr>
          <w:b/>
        </w:rPr>
      </w:pPr>
      <w:bookmarkStart w:id="63" w:name="_Ref33005776"/>
      <w:bookmarkStart w:id="64" w:name="_Ref35610488"/>
      <w:r w:rsidRPr="00A67611">
        <w:t>The ESC considered the health care resource costs used in the economic model wer</w:t>
      </w:r>
      <w:r w:rsidR="006A57DC" w:rsidRPr="00A67611">
        <w:t>e</w:t>
      </w:r>
      <w:r w:rsidRPr="00A67611">
        <w:t xml:space="preserve"> high and not likely to be reflective of actual costs. The ESC noted the direct and indirect costs of management of MS for a patient w</w:t>
      </w:r>
      <w:r w:rsidR="00050C65" w:rsidRPr="00A67611">
        <w:t>ith</w:t>
      </w:r>
      <w:r w:rsidRPr="00A67611">
        <w:t xml:space="preserve"> severe disability published in Ahma</w:t>
      </w:r>
      <w:r w:rsidR="006A57DC" w:rsidRPr="00A67611">
        <w:t>d 2018 were substantially lower, and considered that</w:t>
      </w:r>
      <w:r w:rsidR="00874C90" w:rsidRPr="00A67611">
        <w:t xml:space="preserve"> it was likely that</w:t>
      </w:r>
      <w:r w:rsidR="006A57DC" w:rsidRPr="00A67611">
        <w:t xml:space="preserve"> only a portion of health system costs were attributable specifically to the management of spasticity in MS, and a substantial amount of care would still take place for the</w:t>
      </w:r>
      <w:r w:rsidR="007A68BC" w:rsidRPr="00A67611">
        <w:t xml:space="preserve"> overall</w:t>
      </w:r>
      <w:r w:rsidR="006A57DC" w:rsidRPr="00A67611">
        <w:t xml:space="preserve"> management of MS, particularly for patients with greater disability.</w:t>
      </w:r>
      <w:bookmarkEnd w:id="63"/>
      <w:r w:rsidR="00D31D36" w:rsidRPr="00A67611">
        <w:t xml:space="preserve"> The ESC noted that the proposed portion of the resource use costs attributable to MS-related spasticity </w:t>
      </w:r>
      <w:r w:rsidR="00A67611" w:rsidRPr="00A67611">
        <w:t xml:space="preserve">(25%) </w:t>
      </w:r>
      <w:r w:rsidR="00D31D36" w:rsidRPr="00A67611">
        <w:t>was generated from the NICE evidence review for spasticity 2019 and considered that this was</w:t>
      </w:r>
      <w:r w:rsidR="00B52B2B">
        <w:t xml:space="preserve"> </w:t>
      </w:r>
      <w:r w:rsidR="00C1334E">
        <w:t>reasonable</w:t>
      </w:r>
      <w:r w:rsidR="00D31D36" w:rsidRPr="00A67611">
        <w:t>.</w:t>
      </w:r>
      <w:bookmarkEnd w:id="64"/>
      <w:r w:rsidR="00D31D36" w:rsidRPr="00A67611">
        <w:t xml:space="preserve"> </w:t>
      </w:r>
    </w:p>
    <w:p w:rsidR="00FA30CD" w:rsidRPr="00A67611" w:rsidRDefault="00FA30CD" w:rsidP="000F706A">
      <w:pPr>
        <w:pStyle w:val="3-BodyText"/>
        <w:rPr>
          <w:b/>
          <w:bCs/>
        </w:rPr>
      </w:pPr>
      <w:bookmarkStart w:id="65" w:name="_Ref27567271"/>
      <w:r w:rsidRPr="00A67611">
        <w:t xml:space="preserve">The resubmission estimated the cost for managing spasticity in patients with NRS levels of 4.84 for responders to be $20,000 per annum and </w:t>
      </w:r>
      <w:r w:rsidR="00840758" w:rsidRPr="00A67611">
        <w:t xml:space="preserve">with an NRS level of </w:t>
      </w:r>
      <w:r w:rsidRPr="00A67611">
        <w:t>6.91 for non-responders to be $38,000 per annum.</w:t>
      </w:r>
      <w:r w:rsidRPr="00A67611">
        <w:rPr>
          <w:b/>
          <w:bCs/>
        </w:rPr>
        <w:t xml:space="preserve"> </w:t>
      </w:r>
      <w:r w:rsidR="00DE7F95" w:rsidRPr="00A67611">
        <w:t>The ESC considered</w:t>
      </w:r>
      <w:r w:rsidRPr="00A67611">
        <w:t xml:space="preserve"> the estimated costs for managing spasticity based on NRS in the resubmission’s economic model w</w:t>
      </w:r>
      <w:r w:rsidR="00840758" w:rsidRPr="00A67611">
        <w:t>ere</w:t>
      </w:r>
      <w:r w:rsidRPr="00A67611">
        <w:t xml:space="preserve"> overestimated.</w:t>
      </w:r>
      <w:bookmarkEnd w:id="65"/>
      <w:r w:rsidRPr="00A67611">
        <w:t xml:space="preserve">  </w:t>
      </w:r>
    </w:p>
    <w:p w:rsidR="00A801F7" w:rsidRPr="00A67611" w:rsidRDefault="00A801F7" w:rsidP="000F706A">
      <w:pPr>
        <w:pStyle w:val="3-BodyText"/>
      </w:pPr>
      <w:r w:rsidRPr="00A67611">
        <w:t xml:space="preserve">The key drivers of the model are summarised in </w:t>
      </w:r>
      <w:r w:rsidR="00D420F9" w:rsidRPr="00D420F9">
        <w:t>Table 11</w:t>
      </w:r>
      <w:r w:rsidRPr="00A67611">
        <w:t>.</w:t>
      </w:r>
    </w:p>
    <w:p w:rsidR="00A801F7" w:rsidRPr="00A67611" w:rsidRDefault="00A801F7" w:rsidP="00064F1E">
      <w:pPr>
        <w:pStyle w:val="TableFigHeading"/>
        <w:spacing w:after="0"/>
        <w:rPr>
          <w:rStyle w:val="CommentReference"/>
          <w:b/>
          <w:szCs w:val="24"/>
        </w:rPr>
      </w:pPr>
      <w:bookmarkStart w:id="66" w:name="_Ref33103695"/>
      <w:r w:rsidRPr="00A67611">
        <w:rPr>
          <w:rStyle w:val="CommentReference"/>
          <w:b/>
          <w:szCs w:val="24"/>
        </w:rPr>
        <w:t xml:space="preserve">Table </w:t>
      </w:r>
      <w:r w:rsidR="00D420F9">
        <w:rPr>
          <w:rStyle w:val="CommentReference"/>
          <w:b/>
          <w:noProof/>
          <w:szCs w:val="24"/>
        </w:rPr>
        <w:t>11</w:t>
      </w:r>
      <w:bookmarkEnd w:id="66"/>
      <w:r w:rsidRPr="00A67611">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120"/>
        <w:gridCol w:w="4768"/>
      </w:tblGrid>
      <w:tr w:rsidR="00A801F7" w:rsidRPr="00A67611" w:rsidTr="00851DED">
        <w:trPr>
          <w:tblHeader/>
        </w:trPr>
        <w:tc>
          <w:tcPr>
            <w:tcW w:w="626" w:type="pct"/>
            <w:shd w:val="clear" w:color="auto" w:fill="auto"/>
            <w:vAlign w:val="center"/>
          </w:tcPr>
          <w:p w:rsidR="00A801F7" w:rsidRPr="00A67611" w:rsidRDefault="00A801F7" w:rsidP="00851DED">
            <w:pPr>
              <w:pStyle w:val="In-tableHeading"/>
              <w:rPr>
                <w:lang w:val="en-AU"/>
              </w:rPr>
            </w:pPr>
            <w:r w:rsidRPr="00A67611">
              <w:rPr>
                <w:lang w:val="en-AU"/>
              </w:rPr>
              <w:t>Description</w:t>
            </w:r>
          </w:p>
        </w:tc>
        <w:tc>
          <w:tcPr>
            <w:tcW w:w="1730" w:type="pct"/>
            <w:shd w:val="clear" w:color="auto" w:fill="auto"/>
            <w:vAlign w:val="center"/>
          </w:tcPr>
          <w:p w:rsidR="00A801F7" w:rsidRPr="00A67611" w:rsidRDefault="00A801F7" w:rsidP="00851DED">
            <w:pPr>
              <w:pStyle w:val="In-tableHeading"/>
              <w:jc w:val="center"/>
              <w:rPr>
                <w:lang w:val="en-AU"/>
              </w:rPr>
            </w:pPr>
            <w:r w:rsidRPr="00A67611">
              <w:rPr>
                <w:lang w:val="en-AU"/>
              </w:rPr>
              <w:t>Method/Value</w:t>
            </w:r>
          </w:p>
        </w:tc>
        <w:tc>
          <w:tcPr>
            <w:tcW w:w="2644" w:type="pct"/>
            <w:shd w:val="clear" w:color="auto" w:fill="auto"/>
            <w:vAlign w:val="center"/>
          </w:tcPr>
          <w:p w:rsidR="00A801F7" w:rsidRPr="00A67611" w:rsidRDefault="00A801F7" w:rsidP="00851DED">
            <w:pPr>
              <w:pStyle w:val="In-tableHeading"/>
              <w:jc w:val="center"/>
              <w:rPr>
                <w:szCs w:val="20"/>
                <w:lang w:val="en-AU"/>
              </w:rPr>
            </w:pPr>
            <w:r w:rsidRPr="00A67611">
              <w:rPr>
                <w:lang w:val="en-AU"/>
              </w:rPr>
              <w:t>Impact</w:t>
            </w:r>
          </w:p>
          <w:p w:rsidR="00A801F7" w:rsidRPr="00A67611" w:rsidRDefault="00A801F7" w:rsidP="00851DED">
            <w:pPr>
              <w:pStyle w:val="In-tableHeading"/>
              <w:jc w:val="center"/>
              <w:rPr>
                <w:lang w:val="en-AU"/>
              </w:rPr>
            </w:pPr>
            <w:r w:rsidRPr="00A67611">
              <w:rPr>
                <w:lang w:val="en-AU"/>
              </w:rPr>
              <w:t>Adjusted base case:</w:t>
            </w:r>
          </w:p>
          <w:p w:rsidR="00A801F7" w:rsidRPr="00A67611" w:rsidRDefault="00F56D97" w:rsidP="00851DED">
            <w:pPr>
              <w:pStyle w:val="In-tableHeading"/>
              <w:jc w:val="center"/>
              <w:rPr>
                <w:lang w:val="en-AU"/>
              </w:rPr>
            </w:pPr>
            <w:r w:rsidRPr="00A67611">
              <w:rPr>
                <w:lang w:val="en-AU"/>
              </w:rPr>
              <w:t>Dominant</w:t>
            </w:r>
            <w:r w:rsidR="00A801F7" w:rsidRPr="00A67611">
              <w:rPr>
                <w:color w:val="3366FF"/>
                <w:lang w:val="en-AU"/>
              </w:rPr>
              <w:t>.</w:t>
            </w:r>
          </w:p>
        </w:tc>
      </w:tr>
      <w:tr w:rsidR="00A801F7" w:rsidRPr="00A67611" w:rsidTr="00851DED">
        <w:tc>
          <w:tcPr>
            <w:tcW w:w="626" w:type="pct"/>
            <w:shd w:val="clear" w:color="auto" w:fill="auto"/>
            <w:vAlign w:val="center"/>
          </w:tcPr>
          <w:p w:rsidR="00A801F7" w:rsidRPr="00A67611" w:rsidRDefault="00A801F7" w:rsidP="00851DED">
            <w:pPr>
              <w:pStyle w:val="TableText0"/>
            </w:pPr>
            <w:r w:rsidRPr="00A67611">
              <w:t>Cost offsets for treating spasticity</w:t>
            </w:r>
          </w:p>
        </w:tc>
        <w:tc>
          <w:tcPr>
            <w:tcW w:w="1730" w:type="pct"/>
            <w:shd w:val="clear" w:color="auto" w:fill="auto"/>
            <w:vAlign w:val="center"/>
          </w:tcPr>
          <w:p w:rsidR="00A801F7" w:rsidRPr="00A67611" w:rsidRDefault="00A801F7" w:rsidP="00851DED">
            <w:pPr>
              <w:pStyle w:val="TableText0"/>
            </w:pPr>
            <w:r w:rsidRPr="00A67611">
              <w:t xml:space="preserve">High cost offsets for treating spasticity taken from Stevenson 2015 </w:t>
            </w:r>
          </w:p>
        </w:tc>
        <w:tc>
          <w:tcPr>
            <w:tcW w:w="2644" w:type="pct"/>
            <w:shd w:val="clear" w:color="auto" w:fill="auto"/>
            <w:vAlign w:val="center"/>
          </w:tcPr>
          <w:p w:rsidR="00A801F7" w:rsidRPr="00A67611" w:rsidRDefault="00A801F7" w:rsidP="00851DED">
            <w:pPr>
              <w:pStyle w:val="TableText0"/>
            </w:pPr>
            <w:r w:rsidRPr="00A67611">
              <w:rPr>
                <w:iCs/>
              </w:rPr>
              <w:t xml:space="preserve">High, favours nabiximols. Use of 25% of Stevenson 2015 costs and also reducing home care visit costs to 49.65% increases the ICER to </w:t>
            </w:r>
            <w:r w:rsidR="001B5141">
              <w:rPr>
                <w:iCs/>
              </w:rPr>
              <w:t>$75,000 - $105,000</w:t>
            </w:r>
            <w:r w:rsidRPr="00A67611">
              <w:rPr>
                <w:iCs/>
              </w:rPr>
              <w:t>/QALY gained.</w:t>
            </w:r>
            <w:r w:rsidRPr="00A67611">
              <w:rPr>
                <w:color w:val="3366FF"/>
              </w:rPr>
              <w:t xml:space="preserve"> </w:t>
            </w:r>
          </w:p>
        </w:tc>
      </w:tr>
      <w:tr w:rsidR="00A801F7" w:rsidRPr="00A67611" w:rsidTr="00851DED">
        <w:tc>
          <w:tcPr>
            <w:tcW w:w="626" w:type="pct"/>
            <w:shd w:val="clear" w:color="auto" w:fill="auto"/>
            <w:vAlign w:val="center"/>
          </w:tcPr>
          <w:p w:rsidR="00A801F7" w:rsidRPr="00A67611" w:rsidRDefault="00A801F7" w:rsidP="00851DED">
            <w:pPr>
              <w:pStyle w:val="TableText0"/>
            </w:pPr>
            <w:r w:rsidRPr="00A67611">
              <w:t>Response rate for treating spasticity</w:t>
            </w:r>
          </w:p>
        </w:tc>
        <w:tc>
          <w:tcPr>
            <w:tcW w:w="1730" w:type="pct"/>
            <w:shd w:val="clear" w:color="auto" w:fill="auto"/>
            <w:vAlign w:val="center"/>
          </w:tcPr>
          <w:p w:rsidR="00A801F7" w:rsidRPr="00A67611" w:rsidRDefault="00A801F7" w:rsidP="00851DED">
            <w:pPr>
              <w:pStyle w:val="TableText0"/>
            </w:pPr>
            <w:r w:rsidRPr="00A67611">
              <w:t xml:space="preserve">Use of estimates for 30% or greater responders based on NRS from Phase B in </w:t>
            </w:r>
            <w:r w:rsidR="00883110" w:rsidRPr="00A67611">
              <w:t xml:space="preserve">Markovà </w:t>
            </w:r>
            <w:r w:rsidRPr="00A67611">
              <w:t xml:space="preserve"> 2019</w:t>
            </w:r>
          </w:p>
        </w:tc>
        <w:tc>
          <w:tcPr>
            <w:tcW w:w="2644" w:type="pct"/>
            <w:shd w:val="clear" w:color="auto" w:fill="auto"/>
            <w:vAlign w:val="center"/>
          </w:tcPr>
          <w:p w:rsidR="00A801F7" w:rsidRPr="00A67611" w:rsidRDefault="00A801F7" w:rsidP="00851DED">
            <w:pPr>
              <w:pStyle w:val="TableText0"/>
            </w:pPr>
            <w:r w:rsidRPr="00A67611">
              <w:rPr>
                <w:iCs/>
              </w:rPr>
              <w:t xml:space="preserve">High, favours nabiximols. Use of pooled estimate from NICE evidence review for spasticity 2019 increases ICER to </w:t>
            </w:r>
            <w:r w:rsidR="001B5141">
              <w:rPr>
                <w:iCs/>
              </w:rPr>
              <w:t>$105,000 - $200,000</w:t>
            </w:r>
            <w:r w:rsidRPr="00A67611">
              <w:rPr>
                <w:iCs/>
              </w:rPr>
              <w:t>/QALY gained.</w:t>
            </w:r>
          </w:p>
        </w:tc>
      </w:tr>
    </w:tbl>
    <w:p w:rsidR="00A801F7" w:rsidRPr="00A67611" w:rsidRDefault="00A801F7" w:rsidP="000F706A">
      <w:pPr>
        <w:pStyle w:val="3-BodyText"/>
        <w:numPr>
          <w:ilvl w:val="0"/>
          <w:numId w:val="0"/>
        </w:numPr>
      </w:pPr>
    </w:p>
    <w:p w:rsidR="00DD2AB0" w:rsidRPr="00A67611" w:rsidRDefault="0070424B" w:rsidP="000F706A">
      <w:pPr>
        <w:pStyle w:val="3-BodyText"/>
        <w:rPr>
          <w:b/>
          <w:bCs/>
        </w:rPr>
      </w:pPr>
      <w:bookmarkStart w:id="67" w:name="_Ref35436427"/>
      <w:r w:rsidRPr="00A67611">
        <w:t>T</w:t>
      </w:r>
      <w:r w:rsidR="00DD2AB0" w:rsidRPr="00A67611">
        <w:t xml:space="preserve">he results of the stepped economic evaluation are presented in </w:t>
      </w:r>
      <w:r w:rsidR="00D420F9" w:rsidRPr="00D420F9">
        <w:t>Table 12</w:t>
      </w:r>
      <w:r w:rsidR="00DD2AB0" w:rsidRPr="00A67611">
        <w:t xml:space="preserve">. Assuming a total treatment of 360 days (30 day initiation plus 11 </w:t>
      </w:r>
      <w:r w:rsidR="00DD2AB0" w:rsidRPr="00A67611">
        <w:rPr>
          <w:rFonts w:cs="Calibri"/>
        </w:rPr>
        <w:t>×</w:t>
      </w:r>
      <w:r w:rsidR="00DD2AB0" w:rsidRPr="00A67611">
        <w:t xml:space="preserve"> 30 days of continuing treatment) the cost per patient treated with nabiximols becomes $</w:t>
      </w:r>
      <w:r w:rsidR="00184F66">
        <w:rPr>
          <w:noProof/>
          <w:color w:val="000000"/>
          <w:highlight w:val="black"/>
        </w:rPr>
        <w:t>''''''''''''''''''</w:t>
      </w:r>
      <w:r w:rsidR="00DD2AB0" w:rsidRPr="00A67611">
        <w:t xml:space="preserve">. </w:t>
      </w:r>
      <w:bookmarkEnd w:id="67"/>
    </w:p>
    <w:p w:rsidR="00FA30CD" w:rsidRPr="00A67611" w:rsidRDefault="00DD2AB0" w:rsidP="00FA30CD">
      <w:pPr>
        <w:pStyle w:val="TableFigureHeading"/>
        <w:rPr>
          <w:rStyle w:val="CommentReference"/>
          <w:b/>
          <w:szCs w:val="24"/>
        </w:rPr>
      </w:pPr>
      <w:bookmarkStart w:id="68" w:name="_Ref27566542"/>
      <w:r w:rsidRPr="00A67611">
        <w:rPr>
          <w:rStyle w:val="CommentReference"/>
          <w:b/>
          <w:szCs w:val="24"/>
        </w:rPr>
        <w:lastRenderedPageBreak/>
        <w:t xml:space="preserve">Table </w:t>
      </w:r>
      <w:r w:rsidR="00D420F9">
        <w:rPr>
          <w:rStyle w:val="CommentReference"/>
          <w:b/>
          <w:noProof/>
          <w:szCs w:val="24"/>
        </w:rPr>
        <w:t>12</w:t>
      </w:r>
      <w:bookmarkEnd w:id="68"/>
      <w:r w:rsidR="00FA30CD" w:rsidRPr="00A67611">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FA30CD" w:rsidRPr="00A67611" w:rsidTr="00DC3A64">
        <w:trPr>
          <w:tblHeader/>
        </w:trPr>
        <w:tc>
          <w:tcPr>
            <w:tcW w:w="1529" w:type="pct"/>
            <w:vAlign w:val="center"/>
          </w:tcPr>
          <w:p w:rsidR="00FA30CD" w:rsidRPr="00A67611" w:rsidRDefault="00FA30CD" w:rsidP="00806AE4">
            <w:pPr>
              <w:pStyle w:val="In-tableHeading"/>
              <w:rPr>
                <w:lang w:val="en-AU"/>
              </w:rPr>
            </w:pPr>
            <w:r w:rsidRPr="00A67611">
              <w:rPr>
                <w:lang w:val="en-AU"/>
              </w:rPr>
              <w:t>Step and component</w:t>
            </w:r>
          </w:p>
        </w:tc>
        <w:tc>
          <w:tcPr>
            <w:tcW w:w="1359" w:type="pct"/>
            <w:vAlign w:val="center"/>
          </w:tcPr>
          <w:p w:rsidR="00FA30CD" w:rsidRPr="00A67611" w:rsidRDefault="00FA30CD" w:rsidP="00806AE4">
            <w:pPr>
              <w:pStyle w:val="In-tableHeading"/>
              <w:jc w:val="center"/>
              <w:rPr>
                <w:lang w:val="en-AU"/>
              </w:rPr>
            </w:pPr>
            <w:r w:rsidRPr="00A67611">
              <w:rPr>
                <w:lang w:val="en-AU"/>
              </w:rPr>
              <w:t>Nabiximols plus standard care</w:t>
            </w:r>
          </w:p>
        </w:tc>
        <w:tc>
          <w:tcPr>
            <w:tcW w:w="1274" w:type="pct"/>
            <w:vAlign w:val="center"/>
          </w:tcPr>
          <w:p w:rsidR="00FA30CD" w:rsidRPr="00A67611" w:rsidRDefault="00FA30CD" w:rsidP="00806AE4">
            <w:pPr>
              <w:pStyle w:val="In-tableHeading"/>
              <w:jc w:val="center"/>
              <w:rPr>
                <w:lang w:val="en-AU"/>
              </w:rPr>
            </w:pPr>
            <w:r w:rsidRPr="00A67611">
              <w:rPr>
                <w:lang w:val="en-AU"/>
              </w:rPr>
              <w:t>Standard care alone</w:t>
            </w:r>
          </w:p>
        </w:tc>
        <w:tc>
          <w:tcPr>
            <w:tcW w:w="838" w:type="pct"/>
            <w:vAlign w:val="center"/>
          </w:tcPr>
          <w:p w:rsidR="00FA30CD" w:rsidRPr="00A67611" w:rsidRDefault="00FA30CD" w:rsidP="00806AE4">
            <w:pPr>
              <w:pStyle w:val="In-tableHeading"/>
              <w:jc w:val="center"/>
              <w:rPr>
                <w:lang w:val="en-AU"/>
              </w:rPr>
            </w:pPr>
            <w:r w:rsidRPr="00A67611">
              <w:rPr>
                <w:lang w:val="en-AU"/>
              </w:rPr>
              <w:t>Increment</w:t>
            </w:r>
          </w:p>
        </w:tc>
      </w:tr>
      <w:tr w:rsidR="00FA30CD" w:rsidRPr="00A67611" w:rsidTr="00DC3A64">
        <w:tc>
          <w:tcPr>
            <w:tcW w:w="5000" w:type="pct"/>
            <w:gridSpan w:val="4"/>
            <w:vAlign w:val="center"/>
          </w:tcPr>
          <w:p w:rsidR="00FA30CD" w:rsidRPr="00A67611" w:rsidRDefault="00FA30CD" w:rsidP="00806AE4">
            <w:pPr>
              <w:pStyle w:val="TableText0"/>
              <w:rPr>
                <w:b/>
              </w:rPr>
            </w:pPr>
            <w:r w:rsidRPr="00A67611">
              <w:rPr>
                <w:b/>
              </w:rPr>
              <w:t>Step 1: Initiation of therapy 4-week trial of nabiximols: costs and outcomes for 4 months</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Costs</w:t>
            </w:r>
          </w:p>
        </w:tc>
        <w:tc>
          <w:tcPr>
            <w:tcW w:w="1359"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c>
          <w:tcPr>
            <w:tcW w:w="1274" w:type="pct"/>
            <w:vAlign w:val="center"/>
          </w:tcPr>
          <w:p w:rsidR="00FA30CD" w:rsidRPr="00A67611" w:rsidRDefault="00FA30CD" w:rsidP="00806AE4">
            <w:pPr>
              <w:pStyle w:val="TableText0"/>
              <w:jc w:val="center"/>
              <w:rPr>
                <w:rFonts w:ascii="Times" w:hAnsi="Times"/>
              </w:rPr>
            </w:pPr>
            <w:r w:rsidRPr="00A67611">
              <w:t>$0</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30% or more responders on NRS</w:t>
            </w:r>
          </w:p>
        </w:tc>
        <w:tc>
          <w:tcPr>
            <w:tcW w:w="1359" w:type="pct"/>
            <w:vAlign w:val="center"/>
          </w:tcPr>
          <w:p w:rsidR="00FA30CD" w:rsidRPr="00A67611" w:rsidRDefault="00FA30CD" w:rsidP="00806AE4">
            <w:pPr>
              <w:pStyle w:val="TableText0"/>
              <w:jc w:val="center"/>
              <w:rPr>
                <w:rFonts w:ascii="Times" w:hAnsi="Times"/>
              </w:rPr>
            </w:pPr>
            <w:r w:rsidRPr="00A67611">
              <w:t>0.77</w:t>
            </w:r>
          </w:p>
        </w:tc>
        <w:tc>
          <w:tcPr>
            <w:tcW w:w="1274" w:type="pct"/>
            <w:vAlign w:val="center"/>
          </w:tcPr>
          <w:p w:rsidR="00FA30CD" w:rsidRPr="00A67611" w:rsidRDefault="00FA30CD" w:rsidP="00806AE4">
            <w:pPr>
              <w:pStyle w:val="TableText0"/>
              <w:jc w:val="center"/>
              <w:rPr>
                <w:rFonts w:ascii="Times" w:hAnsi="Times"/>
              </w:rPr>
            </w:pPr>
            <w:r w:rsidRPr="00A67611">
              <w:t>0.32</w:t>
            </w:r>
          </w:p>
        </w:tc>
        <w:tc>
          <w:tcPr>
            <w:tcW w:w="838" w:type="pct"/>
            <w:vAlign w:val="center"/>
          </w:tcPr>
          <w:p w:rsidR="00FA30CD" w:rsidRPr="00A67611" w:rsidRDefault="00FA30CD" w:rsidP="00806AE4">
            <w:pPr>
              <w:pStyle w:val="TableText0"/>
              <w:jc w:val="center"/>
            </w:pPr>
            <w:r w:rsidRPr="00A67611">
              <w:t>0.45</w:t>
            </w:r>
          </w:p>
        </w:tc>
      </w:tr>
      <w:tr w:rsidR="00FA30CD" w:rsidRPr="00A67611" w:rsidTr="00DC3A64">
        <w:tc>
          <w:tcPr>
            <w:tcW w:w="4162" w:type="pct"/>
            <w:gridSpan w:val="3"/>
            <w:vAlign w:val="center"/>
          </w:tcPr>
          <w:p w:rsidR="00FA30CD" w:rsidRPr="00A67611" w:rsidRDefault="00FA30CD" w:rsidP="00806AE4">
            <w:pPr>
              <w:pStyle w:val="TableText0"/>
              <w:rPr>
                <w:rFonts w:ascii="Times" w:hAnsi="Times"/>
              </w:rPr>
            </w:pPr>
            <w:r w:rsidRPr="00A67611">
              <w:t>Incremental cost/extra 30% responder at 2 months</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5000" w:type="pct"/>
            <w:gridSpan w:val="4"/>
            <w:vAlign w:val="center"/>
          </w:tcPr>
          <w:p w:rsidR="00FA30CD" w:rsidRPr="00A67611" w:rsidRDefault="00FA30CD" w:rsidP="00806AE4">
            <w:pPr>
              <w:pStyle w:val="In-tableHeading"/>
              <w:rPr>
                <w:lang w:val="en-AU"/>
              </w:rPr>
            </w:pPr>
            <w:r w:rsidRPr="00A67611">
              <w:rPr>
                <w:lang w:val="en-AU"/>
              </w:rPr>
              <w:t>Step 2: cost per responder with time horizon extended to 1 year – drug costs only</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Costs</w:t>
            </w:r>
          </w:p>
        </w:tc>
        <w:tc>
          <w:tcPr>
            <w:tcW w:w="1359"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c>
          <w:tcPr>
            <w:tcW w:w="1274" w:type="pct"/>
            <w:vAlign w:val="center"/>
          </w:tcPr>
          <w:p w:rsidR="00FA30CD" w:rsidRPr="00A67611" w:rsidRDefault="00FA30CD" w:rsidP="00806AE4">
            <w:pPr>
              <w:pStyle w:val="TableText0"/>
              <w:jc w:val="center"/>
              <w:rPr>
                <w:rFonts w:ascii="Times" w:hAnsi="Times"/>
              </w:rPr>
            </w:pPr>
            <w:r w:rsidRPr="00A67611">
              <w:t>$0</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30% or more responder on NRS</w:t>
            </w:r>
          </w:p>
        </w:tc>
        <w:tc>
          <w:tcPr>
            <w:tcW w:w="1359" w:type="pct"/>
            <w:vAlign w:val="center"/>
          </w:tcPr>
          <w:p w:rsidR="00FA30CD" w:rsidRPr="00A67611" w:rsidRDefault="00FA30CD" w:rsidP="00806AE4">
            <w:pPr>
              <w:pStyle w:val="TableText0"/>
              <w:jc w:val="center"/>
              <w:rPr>
                <w:rFonts w:ascii="Times" w:hAnsi="Times"/>
              </w:rPr>
            </w:pPr>
            <w:r w:rsidRPr="00A67611">
              <w:t>0.77</w:t>
            </w:r>
          </w:p>
        </w:tc>
        <w:tc>
          <w:tcPr>
            <w:tcW w:w="1274" w:type="pct"/>
            <w:vAlign w:val="center"/>
          </w:tcPr>
          <w:p w:rsidR="00FA30CD" w:rsidRPr="00A67611" w:rsidRDefault="00FA30CD" w:rsidP="00806AE4">
            <w:pPr>
              <w:pStyle w:val="TableText0"/>
              <w:jc w:val="center"/>
              <w:rPr>
                <w:rFonts w:ascii="Times" w:hAnsi="Times"/>
              </w:rPr>
            </w:pPr>
            <w:r w:rsidRPr="00A67611">
              <w:t>0.32</w:t>
            </w:r>
          </w:p>
        </w:tc>
        <w:tc>
          <w:tcPr>
            <w:tcW w:w="838" w:type="pct"/>
            <w:vAlign w:val="center"/>
          </w:tcPr>
          <w:p w:rsidR="00FA30CD" w:rsidRPr="00A67611" w:rsidRDefault="00FA30CD" w:rsidP="00806AE4">
            <w:pPr>
              <w:pStyle w:val="TableText0"/>
              <w:jc w:val="center"/>
            </w:pPr>
            <w:r w:rsidRPr="00A67611">
              <w:t>0.45</w:t>
            </w:r>
          </w:p>
        </w:tc>
      </w:tr>
      <w:tr w:rsidR="00FA30CD" w:rsidRPr="00A67611" w:rsidTr="00DC3A64">
        <w:tc>
          <w:tcPr>
            <w:tcW w:w="4162" w:type="pct"/>
            <w:gridSpan w:val="3"/>
            <w:vAlign w:val="center"/>
          </w:tcPr>
          <w:p w:rsidR="00FA30CD" w:rsidRPr="00A67611" w:rsidRDefault="00FA30CD" w:rsidP="00806AE4">
            <w:pPr>
              <w:pStyle w:val="TableText0"/>
              <w:rPr>
                <w:rFonts w:ascii="Times" w:hAnsi="Times"/>
              </w:rPr>
            </w:pPr>
            <w:r w:rsidRPr="00A67611">
              <w:t>Incremental cost/extra 30% responder</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5000" w:type="pct"/>
            <w:gridSpan w:val="4"/>
            <w:vAlign w:val="center"/>
          </w:tcPr>
          <w:p w:rsidR="00FA30CD" w:rsidRPr="00A67611" w:rsidRDefault="00FA30CD" w:rsidP="00806AE4">
            <w:pPr>
              <w:pStyle w:val="In-tableHeading"/>
              <w:rPr>
                <w:lang w:val="en-AU"/>
              </w:rPr>
            </w:pPr>
            <w:r w:rsidRPr="00A67611">
              <w:rPr>
                <w:lang w:val="en-AU"/>
              </w:rPr>
              <w:t>Step 3: cost per responder with time horizon extended to 1 year – drug costs and incorporation of medical resource costs</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Costs</w:t>
            </w:r>
          </w:p>
        </w:tc>
        <w:tc>
          <w:tcPr>
            <w:tcW w:w="1359"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c>
          <w:tcPr>
            <w:tcW w:w="1274" w:type="pct"/>
            <w:vAlign w:val="center"/>
          </w:tcPr>
          <w:p w:rsidR="00FA30CD" w:rsidRPr="00A67611" w:rsidRDefault="00FA30CD" w:rsidP="00806AE4">
            <w:pPr>
              <w:pStyle w:val="TableText0"/>
              <w:jc w:val="center"/>
              <w:rPr>
                <w:rFonts w:ascii="Times" w:hAnsi="Times"/>
              </w:rPr>
            </w:pPr>
            <w:r w:rsidRPr="00A67611">
              <w:t>$</w:t>
            </w:r>
            <w:r w:rsidRPr="001A0138">
              <w:t>32,728</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30% or more responders on NRS</w:t>
            </w:r>
          </w:p>
        </w:tc>
        <w:tc>
          <w:tcPr>
            <w:tcW w:w="1359" w:type="pct"/>
            <w:vAlign w:val="center"/>
          </w:tcPr>
          <w:p w:rsidR="00FA30CD" w:rsidRPr="00A67611" w:rsidRDefault="00FA30CD" w:rsidP="00806AE4">
            <w:pPr>
              <w:pStyle w:val="TableText0"/>
              <w:jc w:val="center"/>
              <w:rPr>
                <w:rFonts w:ascii="Times" w:hAnsi="Times"/>
              </w:rPr>
            </w:pPr>
            <w:r w:rsidRPr="00A67611">
              <w:t>0.77</w:t>
            </w:r>
          </w:p>
        </w:tc>
        <w:tc>
          <w:tcPr>
            <w:tcW w:w="1274" w:type="pct"/>
            <w:vAlign w:val="center"/>
          </w:tcPr>
          <w:p w:rsidR="00FA30CD" w:rsidRPr="00A67611" w:rsidRDefault="00FA30CD" w:rsidP="00806AE4">
            <w:pPr>
              <w:pStyle w:val="TableText0"/>
              <w:jc w:val="center"/>
              <w:rPr>
                <w:rFonts w:ascii="Times" w:hAnsi="Times"/>
              </w:rPr>
            </w:pPr>
            <w:r w:rsidRPr="00A67611">
              <w:t>0.32</w:t>
            </w:r>
          </w:p>
        </w:tc>
        <w:tc>
          <w:tcPr>
            <w:tcW w:w="838" w:type="pct"/>
            <w:vAlign w:val="center"/>
          </w:tcPr>
          <w:p w:rsidR="00FA30CD" w:rsidRPr="00A67611" w:rsidRDefault="00FA30CD" w:rsidP="00806AE4">
            <w:pPr>
              <w:pStyle w:val="TableText0"/>
              <w:jc w:val="center"/>
            </w:pPr>
            <w:r w:rsidRPr="00A67611">
              <w:t>0.45</w:t>
            </w:r>
          </w:p>
        </w:tc>
      </w:tr>
      <w:tr w:rsidR="00FA30CD" w:rsidRPr="00A67611" w:rsidTr="00DC3A64">
        <w:tc>
          <w:tcPr>
            <w:tcW w:w="4162" w:type="pct"/>
            <w:gridSpan w:val="3"/>
            <w:vAlign w:val="center"/>
          </w:tcPr>
          <w:p w:rsidR="00FA30CD" w:rsidRPr="00A67611" w:rsidRDefault="00FA30CD" w:rsidP="00806AE4">
            <w:pPr>
              <w:pStyle w:val="TableText0"/>
              <w:rPr>
                <w:rFonts w:ascii="Times" w:hAnsi="Times"/>
              </w:rPr>
            </w:pPr>
            <w:r w:rsidRPr="00A67611">
              <w:t>Incremental cost/30% responder with all costs for 12 months</w:t>
            </w:r>
          </w:p>
        </w:tc>
        <w:tc>
          <w:tcPr>
            <w:tcW w:w="838" w:type="pct"/>
            <w:vAlign w:val="center"/>
          </w:tcPr>
          <w:p w:rsidR="00FA30CD" w:rsidRPr="00A67611" w:rsidRDefault="00FA30CD" w:rsidP="00806AE4">
            <w:pPr>
              <w:pStyle w:val="TableText0"/>
              <w:jc w:val="center"/>
            </w:pPr>
            <w:r w:rsidRPr="00A67611">
              <w:t>-$</w:t>
            </w:r>
            <w:r w:rsidR="00184F66">
              <w:rPr>
                <w:noProof/>
                <w:color w:val="000000"/>
                <w:highlight w:val="black"/>
              </w:rPr>
              <w:t>'''''''''''''</w:t>
            </w:r>
          </w:p>
        </w:tc>
      </w:tr>
      <w:tr w:rsidR="00FA30CD" w:rsidRPr="00A67611" w:rsidTr="00DC3A64">
        <w:tc>
          <w:tcPr>
            <w:tcW w:w="5000" w:type="pct"/>
            <w:gridSpan w:val="4"/>
            <w:vAlign w:val="center"/>
          </w:tcPr>
          <w:p w:rsidR="00FA30CD" w:rsidRPr="00A67611" w:rsidRDefault="00FA30CD" w:rsidP="00806AE4">
            <w:pPr>
              <w:pStyle w:val="In-tableHeading"/>
              <w:rPr>
                <w:lang w:val="en-AU"/>
              </w:rPr>
            </w:pPr>
            <w:r w:rsidRPr="00A67611">
              <w:rPr>
                <w:lang w:val="en-AU"/>
              </w:rPr>
              <w:t>Step 4: utility weights applied</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Costs</w:t>
            </w:r>
          </w:p>
        </w:tc>
        <w:tc>
          <w:tcPr>
            <w:tcW w:w="1359"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c>
          <w:tcPr>
            <w:tcW w:w="1274" w:type="pct"/>
            <w:vAlign w:val="center"/>
          </w:tcPr>
          <w:p w:rsidR="00FA30CD" w:rsidRPr="00A67611" w:rsidRDefault="00FA30CD" w:rsidP="00806AE4">
            <w:pPr>
              <w:pStyle w:val="TableText0"/>
              <w:jc w:val="center"/>
              <w:rPr>
                <w:rFonts w:ascii="Times" w:hAnsi="Times"/>
              </w:rPr>
            </w:pPr>
            <w:r w:rsidRPr="00A67611">
              <w:t>$32,728</w:t>
            </w:r>
          </w:p>
        </w:tc>
        <w:tc>
          <w:tcPr>
            <w:tcW w:w="838" w:type="pct"/>
            <w:vAlign w:val="center"/>
          </w:tcPr>
          <w:p w:rsidR="00FA30CD" w:rsidRPr="00A67611" w:rsidRDefault="00FA30CD" w:rsidP="00806AE4">
            <w:pPr>
              <w:pStyle w:val="TableText0"/>
              <w:jc w:val="center"/>
              <w:rPr>
                <w:rFonts w:ascii="Times" w:hAnsi="Times"/>
              </w:rPr>
            </w:pPr>
            <w:r w:rsidRPr="00A67611">
              <w:t>-$</w:t>
            </w:r>
            <w:r w:rsidR="00184F66">
              <w:rPr>
                <w:noProof/>
                <w:color w:val="000000"/>
                <w:highlight w:val="black"/>
              </w:rPr>
              <w:t>'''''''''''''</w:t>
            </w:r>
          </w:p>
        </w:tc>
      </w:tr>
      <w:tr w:rsidR="00FA30CD" w:rsidRPr="00A67611" w:rsidTr="00DC3A64">
        <w:tc>
          <w:tcPr>
            <w:tcW w:w="1529" w:type="pct"/>
            <w:vAlign w:val="center"/>
          </w:tcPr>
          <w:p w:rsidR="00FA30CD" w:rsidRPr="00A67611" w:rsidRDefault="00FA30CD" w:rsidP="00806AE4">
            <w:pPr>
              <w:pStyle w:val="TableText0"/>
              <w:rPr>
                <w:rFonts w:ascii="Times" w:hAnsi="Times"/>
              </w:rPr>
            </w:pPr>
            <w:r w:rsidRPr="00A67611">
              <w:t>QALYs</w:t>
            </w:r>
          </w:p>
        </w:tc>
        <w:tc>
          <w:tcPr>
            <w:tcW w:w="1359" w:type="pct"/>
            <w:vAlign w:val="center"/>
          </w:tcPr>
          <w:p w:rsidR="00FA30CD" w:rsidRPr="00A67611" w:rsidRDefault="00FA30CD" w:rsidP="00806AE4">
            <w:pPr>
              <w:pStyle w:val="TableText0"/>
              <w:jc w:val="center"/>
              <w:rPr>
                <w:rFonts w:ascii="Times" w:hAnsi="Times"/>
              </w:rPr>
            </w:pPr>
            <w:r w:rsidRPr="00A67611">
              <w:t>0.6519</w:t>
            </w:r>
          </w:p>
        </w:tc>
        <w:tc>
          <w:tcPr>
            <w:tcW w:w="1274" w:type="pct"/>
            <w:vAlign w:val="center"/>
          </w:tcPr>
          <w:p w:rsidR="00FA30CD" w:rsidRPr="00A67611" w:rsidRDefault="00FA30CD" w:rsidP="00806AE4">
            <w:pPr>
              <w:pStyle w:val="TableText0"/>
              <w:jc w:val="center"/>
              <w:rPr>
                <w:rFonts w:ascii="Times" w:hAnsi="Times"/>
              </w:rPr>
            </w:pPr>
            <w:r w:rsidRPr="00A67611">
              <w:t>0.6055</w:t>
            </w:r>
          </w:p>
        </w:tc>
        <w:tc>
          <w:tcPr>
            <w:tcW w:w="838" w:type="pct"/>
            <w:vAlign w:val="center"/>
          </w:tcPr>
          <w:p w:rsidR="00FA30CD" w:rsidRPr="00A67611" w:rsidRDefault="00FA30CD" w:rsidP="00806AE4">
            <w:pPr>
              <w:pStyle w:val="TableText0"/>
              <w:jc w:val="center"/>
            </w:pPr>
            <w:r w:rsidRPr="00A67611">
              <w:t>0.0464</w:t>
            </w:r>
          </w:p>
        </w:tc>
      </w:tr>
      <w:tr w:rsidR="00FA30CD" w:rsidRPr="00A67611" w:rsidTr="00DC3A64">
        <w:tc>
          <w:tcPr>
            <w:tcW w:w="4162" w:type="pct"/>
            <w:gridSpan w:val="3"/>
            <w:vAlign w:val="center"/>
          </w:tcPr>
          <w:p w:rsidR="00FA30CD" w:rsidRPr="00A67611" w:rsidRDefault="00FA30CD" w:rsidP="00806AE4">
            <w:pPr>
              <w:pStyle w:val="TableText0"/>
              <w:rPr>
                <w:rFonts w:ascii="Times" w:hAnsi="Times"/>
                <w:b/>
              </w:rPr>
            </w:pPr>
            <w:r w:rsidRPr="00A67611">
              <w:rPr>
                <w:b/>
              </w:rPr>
              <w:t>Incremental cost/extra QALY gained (base case)</w:t>
            </w:r>
          </w:p>
        </w:tc>
        <w:tc>
          <w:tcPr>
            <w:tcW w:w="838" w:type="pct"/>
            <w:vAlign w:val="center"/>
          </w:tcPr>
          <w:p w:rsidR="00FA30CD" w:rsidRPr="00A67611" w:rsidRDefault="00FA30CD" w:rsidP="00806AE4">
            <w:pPr>
              <w:pStyle w:val="TableText0"/>
              <w:jc w:val="center"/>
              <w:rPr>
                <w:rFonts w:ascii="Times" w:hAnsi="Times"/>
                <w:b/>
              </w:rPr>
            </w:pPr>
            <w:r w:rsidRPr="00A67611">
              <w:rPr>
                <w:b/>
              </w:rPr>
              <w:t>-$</w:t>
            </w:r>
            <w:r w:rsidR="00184F66">
              <w:rPr>
                <w:b/>
                <w:noProof/>
                <w:color w:val="000000"/>
                <w:highlight w:val="black"/>
              </w:rPr>
              <w:t>''''''''''''''</w:t>
            </w:r>
          </w:p>
        </w:tc>
      </w:tr>
    </w:tbl>
    <w:p w:rsidR="00FA30CD" w:rsidRPr="00A67611" w:rsidRDefault="00FA30CD" w:rsidP="00FA30CD">
      <w:pPr>
        <w:pStyle w:val="TableFigureFooter"/>
      </w:pPr>
      <w:r w:rsidRPr="00A67611">
        <w:t>NRS = Numeric Rating Scale</w:t>
      </w:r>
    </w:p>
    <w:p w:rsidR="00FA30CD" w:rsidRPr="00A67611" w:rsidRDefault="002C3CED" w:rsidP="00FA30CD">
      <w:pPr>
        <w:pStyle w:val="TableFigureFooter"/>
      </w:pPr>
      <w:r w:rsidRPr="00A67611">
        <w:t>Costs and ICERs in steps 2, 3 and 4</w:t>
      </w:r>
      <w:r w:rsidR="00FA30CD" w:rsidRPr="00A67611">
        <w:t xml:space="preserve"> indicate values corrected during evaluation to correct for 12 months treatment duration</w:t>
      </w:r>
    </w:p>
    <w:p w:rsidR="00FA30CD" w:rsidRPr="00A67611" w:rsidRDefault="00FA30CD" w:rsidP="00FA30CD">
      <w:pPr>
        <w:pStyle w:val="TableFigureFooter"/>
      </w:pPr>
      <w:r w:rsidRPr="00A67611">
        <w:t>Source: Table 87, pp137-138 of the resubmission.</w:t>
      </w:r>
    </w:p>
    <w:p w:rsidR="00FA30CD" w:rsidRPr="00A67611" w:rsidRDefault="00FA30CD" w:rsidP="000F706A">
      <w:pPr>
        <w:pStyle w:val="3-BodyText"/>
        <w:rPr>
          <w:rFonts w:cstheme="minorHAnsi"/>
        </w:rPr>
      </w:pPr>
      <w:bookmarkStart w:id="69" w:name="_Ref35610512"/>
      <w:r w:rsidRPr="00A67611">
        <w:t xml:space="preserve">The resubmission considered that over 12 months, treatment with nabiximols plus </w:t>
      </w:r>
      <w:r w:rsidR="00576028" w:rsidRPr="00A67611">
        <w:t>SC</w:t>
      </w:r>
      <w:r w:rsidRPr="00A67611">
        <w:t xml:space="preserve"> would be dominant compared to </w:t>
      </w:r>
      <w:r w:rsidR="00576028" w:rsidRPr="00A67611">
        <w:t>SC</w:t>
      </w:r>
      <w:r w:rsidRPr="00A67611">
        <w:t xml:space="preserve"> alone, with a lower cost (</w:t>
      </w:r>
      <w:r w:rsidR="00FD2D4F" w:rsidRPr="00A67611">
        <w:t>cost</w:t>
      </w:r>
      <w:r w:rsidRPr="00A67611">
        <w:t>-</w:t>
      </w:r>
      <w:r w:rsidR="00FD2D4F" w:rsidRPr="00A67611">
        <w:t xml:space="preserve">saving of </w:t>
      </w:r>
      <w:r w:rsidRPr="00A67611">
        <w:t>$</w:t>
      </w:r>
      <w:r w:rsidR="00184F66">
        <w:rPr>
          <w:noProof/>
          <w:color w:val="000000"/>
          <w:highlight w:val="black"/>
        </w:rPr>
        <w:t>''''''''''''</w:t>
      </w:r>
      <w:r w:rsidRPr="00A67611">
        <w:t xml:space="preserve"> per patient) and higher QALY (</w:t>
      </w:r>
      <w:r w:rsidR="00FD2D4F" w:rsidRPr="00A67611">
        <w:t xml:space="preserve">incremental gain of </w:t>
      </w:r>
      <w:r w:rsidRPr="00A67611">
        <w:t xml:space="preserve">0.0464).  </w:t>
      </w:r>
      <w:r w:rsidR="008844A6" w:rsidRPr="00A67611">
        <w:t xml:space="preserve">The </w:t>
      </w:r>
      <w:r w:rsidRPr="00A67611">
        <w:t xml:space="preserve">ICER in the previous submission </w:t>
      </w:r>
      <w:r w:rsidR="008844A6" w:rsidRPr="00A67611">
        <w:t xml:space="preserve">was </w:t>
      </w:r>
      <w:r w:rsidR="00B31344">
        <w:t>$15,000 - $45,000</w:t>
      </w:r>
      <w:r w:rsidRPr="00A67611">
        <w:t>.</w:t>
      </w:r>
      <w:bookmarkEnd w:id="69"/>
      <w:r w:rsidRPr="00A67611">
        <w:t xml:space="preserve"> </w:t>
      </w:r>
    </w:p>
    <w:p w:rsidR="00FA30CD" w:rsidRPr="00A67611" w:rsidRDefault="00FA30CD" w:rsidP="000F706A">
      <w:pPr>
        <w:pStyle w:val="3-BodyText"/>
      </w:pPr>
      <w:bookmarkStart w:id="70" w:name="_Ref35610032"/>
      <w:r w:rsidRPr="00A67611">
        <w:t xml:space="preserve">The </w:t>
      </w:r>
      <w:r w:rsidR="009A44CE" w:rsidRPr="00A67611">
        <w:t xml:space="preserve">ESC considered the </w:t>
      </w:r>
      <w:r w:rsidRPr="00A67611">
        <w:t xml:space="preserve">conclusion that nabiximols + </w:t>
      </w:r>
      <w:r w:rsidR="00576028" w:rsidRPr="00A67611">
        <w:t>SC</w:t>
      </w:r>
      <w:r w:rsidRPr="00A67611">
        <w:t xml:space="preserve"> is dominant compared to </w:t>
      </w:r>
      <w:r w:rsidR="00576028" w:rsidRPr="00A67611">
        <w:t>SC</w:t>
      </w:r>
      <w:r w:rsidRPr="00A67611">
        <w:t xml:space="preserve"> only was likely to be highly optimistic and unreliable as:</w:t>
      </w:r>
      <w:bookmarkEnd w:id="70"/>
    </w:p>
    <w:p w:rsidR="00FA30CD" w:rsidRPr="00A67611" w:rsidRDefault="00FA30CD" w:rsidP="00C44BCF">
      <w:pPr>
        <w:pStyle w:val="PBACbulletpoint"/>
      </w:pPr>
      <w:r w:rsidRPr="00A67611">
        <w:t>The model did not include the outcome of pat</w:t>
      </w:r>
      <w:r w:rsidR="00DD2AB0" w:rsidRPr="00A67611">
        <w:t>ients who fail nabiximols initi</w:t>
      </w:r>
      <w:r w:rsidRPr="00A67611">
        <w:t>a</w:t>
      </w:r>
      <w:r w:rsidR="00A67611" w:rsidRPr="00A67611">
        <w:t>tion, therefore wa</w:t>
      </w:r>
      <w:r w:rsidRPr="00A67611">
        <w:t>s not a complete representation of the proposed PBS population;</w:t>
      </w:r>
    </w:p>
    <w:p w:rsidR="002566FA" w:rsidRPr="00A67611" w:rsidRDefault="00FA30CD" w:rsidP="00C44BCF">
      <w:pPr>
        <w:pStyle w:val="PBACbulletpoint"/>
      </w:pPr>
      <w:r w:rsidRPr="00A67611">
        <w:t xml:space="preserve">The use of data from Markovà 2019 only may not be reasonable, as it has issues with high risk of bias, </w:t>
      </w:r>
      <w:r w:rsidR="00DD2AB0" w:rsidRPr="00A67611">
        <w:t xml:space="preserve">trial design </w:t>
      </w:r>
      <w:r w:rsidR="00FE6B8A" w:rsidRPr="00A67611">
        <w:t xml:space="preserve">not </w:t>
      </w:r>
      <w:r w:rsidR="00DD2AB0" w:rsidRPr="00A67611">
        <w:t>being generalis</w:t>
      </w:r>
      <w:r w:rsidRPr="00A67611">
        <w:t>able to the proposed PBS population</w:t>
      </w:r>
      <w:r w:rsidR="00871069" w:rsidRPr="00A67611">
        <w:t xml:space="preserve"> (an enrichment study design with a washout period)</w:t>
      </w:r>
      <w:r w:rsidRPr="00A67611">
        <w:t xml:space="preserve"> and provided the most optimistic estimate for efficacy of nabiximols + </w:t>
      </w:r>
      <w:r w:rsidR="00576028" w:rsidRPr="00A67611">
        <w:t>SC</w:t>
      </w:r>
      <w:r w:rsidRPr="00A67611">
        <w:t xml:space="preserve"> compared to </w:t>
      </w:r>
      <w:r w:rsidR="00576028" w:rsidRPr="00A67611">
        <w:t>SC</w:t>
      </w:r>
      <w:r w:rsidRPr="00A67611">
        <w:t xml:space="preserve"> alone relative to other, larger trials (e.g. Novotna 2011, which enrolled three times as many patients as Markovà 2019 at the beginning of </w:t>
      </w:r>
      <w:r w:rsidR="00DD2AB0" w:rsidRPr="00A67611">
        <w:t>P</w:t>
      </w:r>
      <w:r w:rsidRPr="00A67611">
        <w:t>hase A)</w:t>
      </w:r>
      <w:r w:rsidR="002566FA" w:rsidRPr="00A67611">
        <w:t xml:space="preserve">. The ESC </w:t>
      </w:r>
      <w:r w:rsidR="006A2770" w:rsidRPr="00A67611">
        <w:t xml:space="preserve">also noted the issues raised above </w:t>
      </w:r>
      <w:r w:rsidR="002566FA" w:rsidRPr="00A67611">
        <w:t xml:space="preserve">regarding the magnitude and clinical significance of the benefit (paragraphs </w:t>
      </w:r>
      <w:r w:rsidR="008D4D6C">
        <w:t>6.48</w:t>
      </w:r>
      <w:r w:rsidR="003E1D50" w:rsidRPr="00A67611">
        <w:t xml:space="preserve">, </w:t>
      </w:r>
      <w:r w:rsidR="008D4D6C">
        <w:t>6.50</w:t>
      </w:r>
      <w:r w:rsidR="002566FA" w:rsidRPr="00A67611">
        <w:t>);</w:t>
      </w:r>
    </w:p>
    <w:p w:rsidR="00FA30CD" w:rsidRPr="00A67611" w:rsidRDefault="00FA30CD" w:rsidP="00C44BCF">
      <w:pPr>
        <w:pStyle w:val="PBACbulletpoint"/>
      </w:pPr>
      <w:r w:rsidRPr="00A67611">
        <w:t xml:space="preserve">The calculation of costs for managing spasticity based on Stevenson 2015 was </w:t>
      </w:r>
      <w:r w:rsidR="00050C65" w:rsidRPr="00A67611">
        <w:t xml:space="preserve">likely to be </w:t>
      </w:r>
      <w:r w:rsidR="008D4D6C">
        <w:t xml:space="preserve">significantly </w:t>
      </w:r>
      <w:r w:rsidR="00050C65" w:rsidRPr="00A67611">
        <w:t>overestimated</w:t>
      </w:r>
      <w:r w:rsidR="009A44CE" w:rsidRPr="00A67611">
        <w:t xml:space="preserve">. The ESC considered the cost offsets for reduction of disease management </w:t>
      </w:r>
      <w:r w:rsidR="00871069" w:rsidRPr="00A67611">
        <w:t xml:space="preserve">were </w:t>
      </w:r>
      <w:r w:rsidR="009A44CE" w:rsidRPr="00A67611">
        <w:t>implausible, as the estimated cost of disease management is high and the proportion of these costs that can be attributed to spasticity in MS is only a portion of overall MS disease management costs</w:t>
      </w:r>
      <w:r w:rsidR="00050C65" w:rsidRPr="00A67611">
        <w:t>;</w:t>
      </w:r>
      <w:r w:rsidRPr="00A67611">
        <w:t xml:space="preserve">  </w:t>
      </w:r>
    </w:p>
    <w:p w:rsidR="00FA30CD" w:rsidRPr="00A67611" w:rsidRDefault="00FA30CD" w:rsidP="00C44BCF">
      <w:pPr>
        <w:pStyle w:val="PBACbulletpoint"/>
      </w:pPr>
      <w:r w:rsidRPr="00A67611">
        <w:t>The assumption t</w:t>
      </w:r>
      <w:r w:rsidR="00DD2AB0" w:rsidRPr="00A67611">
        <w:t>hat patients will respond from D</w:t>
      </w:r>
      <w:r w:rsidRPr="00A67611">
        <w:t xml:space="preserve">ay 1 and have an improved </w:t>
      </w:r>
      <w:r w:rsidRPr="00A67611">
        <w:lastRenderedPageBreak/>
        <w:t xml:space="preserve">quality of life from the very start of the model was unrealistic; </w:t>
      </w:r>
    </w:p>
    <w:p w:rsidR="00FA30CD" w:rsidRPr="00A67611" w:rsidRDefault="00FA30CD" w:rsidP="00C44BCF">
      <w:pPr>
        <w:pStyle w:val="PBACbulletpoint"/>
      </w:pPr>
      <w:r w:rsidRPr="00A67611">
        <w:t xml:space="preserve">The assumption that patients will maintain their response beyond 12 weeks was unsupported; </w:t>
      </w:r>
    </w:p>
    <w:p w:rsidR="00FA30CD" w:rsidRPr="00A67611" w:rsidRDefault="00FA30CD" w:rsidP="00C44BCF">
      <w:pPr>
        <w:pStyle w:val="PBACbulletpoint"/>
      </w:pPr>
      <w:r w:rsidRPr="00A67611">
        <w:t>The increme</w:t>
      </w:r>
      <w:r w:rsidR="00DD2AB0" w:rsidRPr="00A67611">
        <w:t>ntal QALY gain from achieving ≥</w:t>
      </w:r>
      <w:r w:rsidRPr="00A67611">
        <w:t xml:space="preserve">30% improvement from baseline NRS may be overestimated. </w:t>
      </w:r>
      <w:r w:rsidR="00FD179B" w:rsidRPr="00A67611">
        <w:t>The utility estimates derived using NRS responder and non-responder states may not be appropriate as EDSS states were not considered which was a key component of the Svensson regression model;</w:t>
      </w:r>
    </w:p>
    <w:p w:rsidR="009A44CE" w:rsidRPr="00A67611" w:rsidRDefault="009A44CE" w:rsidP="00C44BCF">
      <w:pPr>
        <w:pStyle w:val="PBACbulletpoint"/>
      </w:pPr>
      <w:r w:rsidRPr="00A67611">
        <w:t>There was no statistically significant difference in hours per day of caregiver support required for nabiximols or placebo treated patients, with low numbers required at the start and end of the trial, however differences in additional care costs are a key driver of the model</w:t>
      </w:r>
      <w:r w:rsidR="00FD179B" w:rsidRPr="00A67611">
        <w:t>;</w:t>
      </w:r>
    </w:p>
    <w:p w:rsidR="00FD179B" w:rsidRPr="002D62C7" w:rsidRDefault="00515B93" w:rsidP="002D62C7">
      <w:pPr>
        <w:pStyle w:val="PBACbulletpoint"/>
        <w:rPr>
          <w:b/>
        </w:rPr>
      </w:pPr>
      <w:r>
        <w:t>A</w:t>
      </w:r>
      <w:r w:rsidR="00FD179B" w:rsidRPr="00A67611">
        <w:t xml:space="preserve"> model duration of 1 year was too short for a treatment that is ongoing; however the ESC noted the lack of long-term data to inform a longer model and residual fundamental issues with the model that would not be resolved by </w:t>
      </w:r>
      <w:r w:rsidR="00871069" w:rsidRPr="00A67611">
        <w:t xml:space="preserve">simply </w:t>
      </w:r>
      <w:r w:rsidR="002D62C7">
        <w:t>extending its duration.</w:t>
      </w:r>
    </w:p>
    <w:p w:rsidR="00BF7E39" w:rsidRPr="00A67611" w:rsidRDefault="00FA30CD" w:rsidP="000F706A">
      <w:pPr>
        <w:pStyle w:val="3-BodyText"/>
      </w:pPr>
      <w:r w:rsidRPr="00A67611">
        <w:t>The</w:t>
      </w:r>
      <w:r w:rsidR="0064518D" w:rsidRPr="00A67611">
        <w:t xml:space="preserve"> </w:t>
      </w:r>
      <w:r w:rsidR="00050C65" w:rsidRPr="00A67611">
        <w:t>ESC agreed in principle with the argument in the</w:t>
      </w:r>
      <w:r w:rsidR="00BF7E39" w:rsidRPr="00A67611">
        <w:t xml:space="preserve"> PSCR </w:t>
      </w:r>
      <w:r w:rsidR="00781A8D" w:rsidRPr="00A67611">
        <w:t xml:space="preserve">that health economic literature advocates selecting the simplest model that addresses the objectives of the study and structure of the disease and treatment processes. </w:t>
      </w:r>
      <w:r w:rsidR="00303C2E" w:rsidRPr="00A67611">
        <w:t>However</w:t>
      </w:r>
      <w:r w:rsidR="002602DE" w:rsidRPr="00A67611">
        <w:t>,</w:t>
      </w:r>
      <w:r w:rsidR="00303C2E" w:rsidRPr="00A67611">
        <w:t xml:space="preserve"> in</w:t>
      </w:r>
      <w:r w:rsidR="00781A8D" w:rsidRPr="00A67611">
        <w:t xml:space="preserve"> this case </w:t>
      </w:r>
      <w:r w:rsidR="00050C65" w:rsidRPr="00A67611">
        <w:t xml:space="preserve">the ESC considered </w:t>
      </w:r>
      <w:r w:rsidR="00781A8D" w:rsidRPr="00A67611">
        <w:t>the model d</w:t>
      </w:r>
      <w:r w:rsidR="00050C65" w:rsidRPr="00A67611">
        <w:t>id</w:t>
      </w:r>
      <w:r w:rsidR="00781A8D" w:rsidRPr="00A67611">
        <w:t xml:space="preserve"> not </w:t>
      </w:r>
      <w:r w:rsidR="00805EB2">
        <w:t xml:space="preserve">adequately </w:t>
      </w:r>
      <w:r w:rsidR="00781A8D" w:rsidRPr="00A67611">
        <w:t>address the objectives of the study or structure of the disease and treatment process.</w:t>
      </w:r>
    </w:p>
    <w:p w:rsidR="00FA30CD" w:rsidRPr="00A67611" w:rsidRDefault="00BF7E39" w:rsidP="000F706A">
      <w:pPr>
        <w:pStyle w:val="3-BodyText"/>
      </w:pPr>
      <w:r w:rsidRPr="00A67611">
        <w:t>The</w:t>
      </w:r>
      <w:r w:rsidR="00FA30CD" w:rsidRPr="00A67611">
        <w:t xml:space="preserve"> results of key univariate and multivariate sensitivity analyses around the economic evaluation are summarised </w:t>
      </w:r>
      <w:r w:rsidR="00F82159">
        <w:t>in Table 13</w:t>
      </w:r>
      <w:r w:rsidR="00FA30CD" w:rsidRPr="00A67611">
        <w:t xml:space="preserve">. </w:t>
      </w:r>
    </w:p>
    <w:p w:rsidR="00FA30CD" w:rsidRPr="00A67611" w:rsidRDefault="00FA30CD" w:rsidP="00FA30CD">
      <w:pPr>
        <w:pStyle w:val="TableFigureHeading"/>
        <w:rPr>
          <w:rStyle w:val="CommentReference"/>
          <w:b/>
          <w:szCs w:val="24"/>
        </w:rPr>
      </w:pPr>
      <w:r w:rsidRPr="001A0138">
        <w:rPr>
          <w:rStyle w:val="CommentReference"/>
          <w:b/>
          <w:szCs w:val="24"/>
        </w:rPr>
        <w:t xml:space="preserve">Table </w:t>
      </w:r>
      <w:r w:rsidR="00D420F9" w:rsidRPr="001A0138">
        <w:rPr>
          <w:rStyle w:val="CommentReference"/>
          <w:b/>
          <w:noProof/>
          <w:szCs w:val="24"/>
        </w:rPr>
        <w:t>13</w:t>
      </w:r>
      <w:r w:rsidRPr="001A0138">
        <w:rPr>
          <w:rStyle w:val="CommentReference"/>
          <w:b/>
          <w:szCs w:val="24"/>
        </w:rPr>
        <w:t>: Key sensitivity analyses compared to the resubmission’s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4"/>
        <w:gridCol w:w="1275"/>
        <w:gridCol w:w="1277"/>
        <w:gridCol w:w="941"/>
      </w:tblGrid>
      <w:tr w:rsidR="00FA30CD" w:rsidRPr="00A67611" w:rsidTr="00DC3A64">
        <w:trPr>
          <w:cantSplit/>
          <w:tblHeader/>
        </w:trPr>
        <w:tc>
          <w:tcPr>
            <w:tcW w:w="3063" w:type="pct"/>
          </w:tcPr>
          <w:p w:rsidR="00FA30CD" w:rsidRPr="00A67611" w:rsidRDefault="00FA30CD" w:rsidP="00806AE4">
            <w:pPr>
              <w:pStyle w:val="In-tableHeading"/>
              <w:rPr>
                <w:lang w:val="en-AU"/>
              </w:rPr>
            </w:pPr>
            <w:r w:rsidRPr="00A67611">
              <w:rPr>
                <w:lang w:val="en-AU"/>
              </w:rPr>
              <w:t>Analyses</w:t>
            </w:r>
          </w:p>
        </w:tc>
        <w:tc>
          <w:tcPr>
            <w:tcW w:w="707" w:type="pct"/>
          </w:tcPr>
          <w:p w:rsidR="00FA30CD" w:rsidRPr="00A67611" w:rsidRDefault="00FA30CD" w:rsidP="00806AE4">
            <w:pPr>
              <w:pStyle w:val="In-tableHeading"/>
              <w:jc w:val="center"/>
              <w:rPr>
                <w:lang w:val="en-AU"/>
              </w:rPr>
            </w:pPr>
            <w:r w:rsidRPr="00A67611">
              <w:rPr>
                <w:lang w:val="en-AU"/>
              </w:rPr>
              <w:t>Incremental cost</w:t>
            </w:r>
          </w:p>
        </w:tc>
        <w:tc>
          <w:tcPr>
            <w:tcW w:w="708" w:type="pct"/>
          </w:tcPr>
          <w:p w:rsidR="00FA30CD" w:rsidRPr="00A67611" w:rsidRDefault="00FA30CD" w:rsidP="00806AE4">
            <w:pPr>
              <w:pStyle w:val="In-tableHeading"/>
              <w:jc w:val="center"/>
              <w:rPr>
                <w:lang w:val="en-AU"/>
              </w:rPr>
            </w:pPr>
            <w:r w:rsidRPr="00A67611">
              <w:rPr>
                <w:lang w:val="en-AU"/>
              </w:rPr>
              <w:t>Incremental QALY</w:t>
            </w:r>
          </w:p>
        </w:tc>
        <w:tc>
          <w:tcPr>
            <w:tcW w:w="522" w:type="pct"/>
          </w:tcPr>
          <w:p w:rsidR="00FA30CD" w:rsidRPr="00A67611" w:rsidRDefault="00FA30CD" w:rsidP="00806AE4">
            <w:pPr>
              <w:pStyle w:val="In-tableHeading"/>
              <w:jc w:val="center"/>
              <w:rPr>
                <w:lang w:val="en-AU"/>
              </w:rPr>
            </w:pPr>
            <w:r w:rsidRPr="00A67611">
              <w:rPr>
                <w:lang w:val="en-AU"/>
              </w:rPr>
              <w:t>ICER</w:t>
            </w:r>
          </w:p>
        </w:tc>
      </w:tr>
      <w:tr w:rsidR="00FA30CD" w:rsidRPr="00A67611" w:rsidTr="00DC3A64">
        <w:trPr>
          <w:cantSplit/>
        </w:trPr>
        <w:tc>
          <w:tcPr>
            <w:tcW w:w="3063" w:type="pct"/>
          </w:tcPr>
          <w:p w:rsidR="00FA30CD" w:rsidRPr="00A67611" w:rsidRDefault="00FA30CD" w:rsidP="00806AE4">
            <w:pPr>
              <w:pStyle w:val="TableText0"/>
            </w:pPr>
            <w:r w:rsidRPr="00A67611">
              <w:t xml:space="preserve">Base case (nabiximols cost corrected) </w:t>
            </w:r>
          </w:p>
        </w:tc>
        <w:tc>
          <w:tcPr>
            <w:tcW w:w="707" w:type="pct"/>
            <w:shd w:val="clear" w:color="auto" w:fill="FFFFFF" w:themeFill="background1"/>
          </w:tcPr>
          <w:p w:rsidR="00FA30CD" w:rsidRPr="00A67611" w:rsidRDefault="00FA30CD" w:rsidP="00806AE4">
            <w:pPr>
              <w:pStyle w:val="TableText0"/>
              <w:jc w:val="center"/>
              <w:rPr>
                <w:rFonts w:cs="Calibri"/>
                <w:color w:val="000000"/>
                <w:szCs w:val="20"/>
              </w:rPr>
            </w:pPr>
            <w:r w:rsidRPr="001A0138">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tcPr>
          <w:p w:rsidR="00FA30CD" w:rsidRPr="00A67611" w:rsidRDefault="00FA30CD" w:rsidP="00806AE4">
            <w:pPr>
              <w:pStyle w:val="TableText0"/>
              <w:jc w:val="center"/>
              <w:rPr>
                <w:rFonts w:cs="Calibri"/>
                <w:color w:val="000000"/>
                <w:szCs w:val="20"/>
              </w:rPr>
            </w:pPr>
            <w:r w:rsidRPr="00A67611">
              <w:rPr>
                <w:rFonts w:cs="Calibri"/>
                <w:i/>
                <w:color w:val="000000"/>
                <w:szCs w:val="20"/>
              </w:rPr>
              <w:t>0.0464</w:t>
            </w:r>
          </w:p>
        </w:tc>
        <w:tc>
          <w:tcPr>
            <w:tcW w:w="522" w:type="pct"/>
            <w:shd w:val="clear" w:color="auto" w:fill="FFFFFF" w:themeFill="background1"/>
          </w:tcPr>
          <w:p w:rsidR="00FA30CD" w:rsidRPr="00A67611" w:rsidRDefault="00FA30CD" w:rsidP="00806AE4">
            <w:pPr>
              <w:pStyle w:val="TableText0"/>
              <w:jc w:val="center"/>
              <w:rPr>
                <w:rFonts w:cs="Calibri"/>
                <w:color w:val="000000"/>
                <w:szCs w:val="20"/>
              </w:rPr>
            </w:pPr>
            <w:r w:rsidRPr="001A0138">
              <w:rPr>
                <w:rFonts w:cs="Calibri"/>
                <w:i/>
                <w:color w:val="000000"/>
                <w:szCs w:val="20"/>
              </w:rPr>
              <w:t>Dominant</w:t>
            </w:r>
            <w:r w:rsidRPr="00A67611">
              <w:rPr>
                <w:rFonts w:cs="Calibri"/>
                <w:i/>
                <w:color w:val="000000"/>
                <w:szCs w:val="20"/>
              </w:rPr>
              <w:t xml:space="preserve"> </w:t>
            </w:r>
          </w:p>
        </w:tc>
      </w:tr>
      <w:tr w:rsidR="00FA30CD" w:rsidRPr="00A67611" w:rsidTr="00DC3A64">
        <w:trPr>
          <w:cantSplit/>
        </w:trPr>
        <w:tc>
          <w:tcPr>
            <w:tcW w:w="5000" w:type="pct"/>
            <w:gridSpan w:val="4"/>
          </w:tcPr>
          <w:p w:rsidR="00FA30CD" w:rsidRPr="00A67611" w:rsidRDefault="00FA30CD" w:rsidP="00806AE4">
            <w:pPr>
              <w:pStyle w:val="TableText0"/>
              <w:rPr>
                <w:b/>
                <w:highlight w:val="green"/>
              </w:rPr>
            </w:pPr>
            <w:r w:rsidRPr="00A67611">
              <w:rPr>
                <w:b/>
              </w:rPr>
              <w:t>Univariate sensitivity analyses</w:t>
            </w:r>
          </w:p>
        </w:tc>
      </w:tr>
      <w:tr w:rsidR="00D30735" w:rsidRPr="00A67611" w:rsidTr="00DC3A64">
        <w:trPr>
          <w:cantSplit/>
        </w:trPr>
        <w:tc>
          <w:tcPr>
            <w:tcW w:w="3063" w:type="pct"/>
          </w:tcPr>
          <w:p w:rsidR="00D30735" w:rsidRPr="00A67611" w:rsidRDefault="00D30735" w:rsidP="00D30735">
            <w:pPr>
              <w:pStyle w:val="TableText0"/>
              <w:rPr>
                <w:rFonts w:cs="Calibri"/>
                <w:color w:val="000000"/>
                <w:szCs w:val="20"/>
              </w:rPr>
            </w:pPr>
            <w:r w:rsidRPr="00A67611">
              <w:rPr>
                <w:rFonts w:cs="Calibri"/>
                <w:color w:val="000000"/>
                <w:szCs w:val="20"/>
              </w:rPr>
              <w:t>Assume 50% of management of spasticity costs reported in Stevenson (2015) (base case 100%)</w:t>
            </w:r>
          </w:p>
        </w:tc>
        <w:tc>
          <w:tcPr>
            <w:tcW w:w="707" w:type="pct"/>
            <w:shd w:val="clear" w:color="auto" w:fill="FFFFFF" w:themeFill="background1"/>
            <w:vAlign w:val="center"/>
          </w:tcPr>
          <w:p w:rsidR="00D30735" w:rsidRPr="00A67611" w:rsidRDefault="00D30735" w:rsidP="00D30735">
            <w:pPr>
              <w:pStyle w:val="TableText0"/>
              <w:jc w:val="center"/>
              <w:rPr>
                <w:rFonts w:cs="Calibri"/>
                <w:color w:val="000000"/>
                <w:szCs w:val="20"/>
              </w:rPr>
            </w:pPr>
            <w:r w:rsidRPr="00A67611">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cs="Calibri"/>
                <w:color w:val="000000"/>
                <w:szCs w:val="20"/>
              </w:rPr>
            </w:pPr>
            <w:r w:rsidRPr="00A67611">
              <w:rPr>
                <w:rFonts w:cs="Calibri"/>
                <w:i/>
                <w:color w:val="000000"/>
                <w:szCs w:val="20"/>
              </w:rPr>
              <w:t>0.046</w:t>
            </w:r>
          </w:p>
        </w:tc>
        <w:tc>
          <w:tcPr>
            <w:tcW w:w="522" w:type="pct"/>
            <w:shd w:val="clear" w:color="auto" w:fill="FFFFFF" w:themeFill="background1"/>
            <w:vAlign w:val="center"/>
          </w:tcPr>
          <w:p w:rsidR="00D30735" w:rsidRPr="00A67611" w:rsidRDefault="00D30735" w:rsidP="00D30735">
            <w:pPr>
              <w:pStyle w:val="TableText0"/>
              <w:jc w:val="center"/>
              <w:rPr>
                <w:rFonts w:cs="Calibri"/>
                <w:color w:val="000000"/>
                <w:szCs w:val="20"/>
              </w:rPr>
            </w:pPr>
            <w:r w:rsidRPr="00A67611">
              <w:rPr>
                <w:rFonts w:cs="Calibri"/>
                <w:i/>
                <w:color w:val="000000"/>
                <w:szCs w:val="20"/>
              </w:rPr>
              <w:t>$</w:t>
            </w:r>
            <w:r w:rsidR="00184F66">
              <w:rPr>
                <w:rFonts w:cs="Calibri"/>
                <w:i/>
                <w:noProof/>
                <w:color w:val="000000"/>
                <w:szCs w:val="20"/>
                <w:highlight w:val="black"/>
              </w:rPr>
              <w:t>'''''''''''''''</w:t>
            </w:r>
          </w:p>
        </w:tc>
      </w:tr>
      <w:tr w:rsidR="00D30735" w:rsidRPr="00A67611" w:rsidTr="00DC3A64">
        <w:trPr>
          <w:cantSplit/>
        </w:trPr>
        <w:tc>
          <w:tcPr>
            <w:tcW w:w="3063" w:type="pct"/>
          </w:tcPr>
          <w:p w:rsidR="00D30735" w:rsidRPr="00A67611" w:rsidRDefault="00D30735" w:rsidP="00D30735">
            <w:pPr>
              <w:pStyle w:val="TableText0"/>
              <w:rPr>
                <w:rFonts w:cs="Calibri"/>
                <w:i/>
                <w:color w:val="000000"/>
                <w:szCs w:val="20"/>
                <w:highlight w:val="yellow"/>
              </w:rPr>
            </w:pPr>
            <w:r w:rsidRPr="00A67611">
              <w:rPr>
                <w:rFonts w:cs="Calibri"/>
                <w:i/>
                <w:color w:val="000000"/>
                <w:szCs w:val="20"/>
              </w:rPr>
              <w:t>Assume only 25% of costs reported in Stevenson (2015) and also reduced home care visits cost to 49.65% (Base case 100%)</w:t>
            </w:r>
            <w:r w:rsidR="0057331A" w:rsidRPr="00A67611">
              <w:rPr>
                <w:rFonts w:cs="Calibri"/>
                <w:i/>
                <w:color w:val="000000"/>
                <w:szCs w:val="20"/>
              </w:rPr>
              <w:t>**</w:t>
            </w:r>
          </w:p>
        </w:tc>
        <w:tc>
          <w:tcPr>
            <w:tcW w:w="707" w:type="pct"/>
            <w:shd w:val="clear" w:color="auto" w:fill="FFFFFF" w:themeFill="background1"/>
            <w:vAlign w:val="center"/>
          </w:tcPr>
          <w:p w:rsidR="00D30735" w:rsidRPr="00A67611" w:rsidRDefault="00D30735" w:rsidP="00D30735">
            <w:pPr>
              <w:pStyle w:val="TableText0"/>
              <w:jc w:val="center"/>
              <w:rPr>
                <w:rFonts w:cs="Times New Roman"/>
                <w:i/>
                <w:szCs w:val="20"/>
                <w:highlight w:val="yellow"/>
              </w:rPr>
            </w:pPr>
            <w:r w:rsidRPr="00A67611">
              <w:rPr>
                <w:rFonts w:cs="Times New Roman"/>
                <w:i/>
                <w:szCs w:val="20"/>
              </w:rPr>
              <w:t>$</w:t>
            </w:r>
            <w:r w:rsidR="00184F66">
              <w:rPr>
                <w:rFonts w:cs="Times New Roman"/>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cs="Times New Roman"/>
                <w:i/>
                <w:szCs w:val="20"/>
                <w:highlight w:val="yellow"/>
              </w:rPr>
            </w:pPr>
            <w:r w:rsidRPr="00A67611">
              <w:rPr>
                <w:rFonts w:cs="Times New Roman"/>
                <w:i/>
                <w:szCs w:val="20"/>
              </w:rPr>
              <w:t>0.046</w:t>
            </w:r>
          </w:p>
        </w:tc>
        <w:tc>
          <w:tcPr>
            <w:tcW w:w="522" w:type="pct"/>
            <w:shd w:val="clear" w:color="auto" w:fill="FFFFFF" w:themeFill="background1"/>
            <w:vAlign w:val="center"/>
          </w:tcPr>
          <w:p w:rsidR="00D30735" w:rsidRPr="00A67611" w:rsidRDefault="00D30735" w:rsidP="00D30735">
            <w:pPr>
              <w:pStyle w:val="TableText0"/>
              <w:jc w:val="center"/>
              <w:rPr>
                <w:rFonts w:cs="Times New Roman"/>
                <w:i/>
                <w:szCs w:val="20"/>
                <w:highlight w:val="yellow"/>
              </w:rPr>
            </w:pPr>
            <w:r w:rsidRPr="00A67611">
              <w:rPr>
                <w:rFonts w:cs="Times New Roman"/>
                <w:i/>
                <w:szCs w:val="20"/>
              </w:rPr>
              <w:t>$</w:t>
            </w:r>
            <w:r w:rsidR="00184F66">
              <w:rPr>
                <w:rFonts w:cs="Times New Roman"/>
                <w:i/>
                <w:noProof/>
                <w:color w:val="000000"/>
                <w:szCs w:val="20"/>
                <w:highlight w:val="black"/>
              </w:rPr>
              <w:t>'''''''''''''''''</w:t>
            </w:r>
          </w:p>
        </w:tc>
      </w:tr>
      <w:tr w:rsidR="00D30735" w:rsidRPr="00A67611" w:rsidTr="00DC3A64">
        <w:trPr>
          <w:cantSplit/>
        </w:trPr>
        <w:tc>
          <w:tcPr>
            <w:tcW w:w="3063" w:type="pct"/>
          </w:tcPr>
          <w:p w:rsidR="00D30735" w:rsidRPr="00A67611" w:rsidRDefault="00D30735" w:rsidP="00D30735">
            <w:pPr>
              <w:pStyle w:val="TableText0"/>
              <w:rPr>
                <w:highlight w:val="green"/>
              </w:rPr>
            </w:pPr>
            <w:r w:rsidRPr="00A67611">
              <w:rPr>
                <w:rFonts w:cs="Calibri"/>
                <w:i/>
                <w:color w:val="000000"/>
                <w:szCs w:val="20"/>
              </w:rPr>
              <w:t>Use of pooled estimate from NICE review (50% response for nabiximols and 32.9% for placebo</w:t>
            </w:r>
            <w:r w:rsidR="00B10903" w:rsidRPr="00A67611">
              <w:rPr>
                <w:rFonts w:cs="Calibri"/>
                <w:i/>
                <w:color w:val="000000"/>
                <w:szCs w:val="20"/>
              </w:rPr>
              <w:t>****</w:t>
            </w:r>
            <w:r w:rsidRPr="00A67611">
              <w:rPr>
                <w:rFonts w:cs="Calibri"/>
                <w:i/>
                <w:color w:val="000000"/>
                <w:szCs w:val="20"/>
              </w:rPr>
              <w:t>, base case 77.4% and 32.7% respectively)</w:t>
            </w:r>
            <w:r w:rsidR="0057331A" w:rsidRPr="00A67611">
              <w:rPr>
                <w:rFonts w:cs="Calibri"/>
                <w:i/>
                <w:color w:val="000000"/>
                <w:szCs w:val="20"/>
              </w:rPr>
              <w:t>*</w:t>
            </w:r>
          </w:p>
        </w:tc>
        <w:tc>
          <w:tcPr>
            <w:tcW w:w="707" w:type="pct"/>
            <w:shd w:val="clear" w:color="auto" w:fill="FFFFFF" w:themeFill="background1"/>
            <w:vAlign w:val="center"/>
          </w:tcPr>
          <w:p w:rsidR="00D30735" w:rsidRPr="00A67611" w:rsidRDefault="00D30735" w:rsidP="00D30735">
            <w:pPr>
              <w:pStyle w:val="TableText0"/>
              <w:jc w:val="center"/>
              <w:rPr>
                <w:highlight w:val="green"/>
              </w:rPr>
            </w:pPr>
            <w:r w:rsidRPr="00A67611">
              <w:rPr>
                <w:rFonts w:cs="Times New Roman"/>
                <w:i/>
                <w:szCs w:val="20"/>
              </w:rPr>
              <w:t>$</w:t>
            </w:r>
            <w:r w:rsidR="00184F66">
              <w:rPr>
                <w:rFonts w:cs="Times New Roman"/>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highlight w:val="green"/>
              </w:rPr>
            </w:pPr>
            <w:r w:rsidRPr="00A67611">
              <w:rPr>
                <w:rFonts w:cs="Times New Roman"/>
                <w:i/>
                <w:szCs w:val="20"/>
              </w:rPr>
              <w:t>0.017</w:t>
            </w:r>
          </w:p>
        </w:tc>
        <w:tc>
          <w:tcPr>
            <w:tcW w:w="522" w:type="pct"/>
            <w:shd w:val="clear" w:color="auto" w:fill="FFFFFF" w:themeFill="background1"/>
            <w:vAlign w:val="center"/>
          </w:tcPr>
          <w:p w:rsidR="00D30735" w:rsidRPr="00A67611" w:rsidRDefault="00D30735" w:rsidP="00D30735">
            <w:pPr>
              <w:pStyle w:val="TableText0"/>
              <w:jc w:val="center"/>
              <w:rPr>
                <w:highlight w:val="green"/>
              </w:rPr>
            </w:pPr>
            <w:r w:rsidRPr="00A67611">
              <w:rPr>
                <w:rFonts w:cs="Times New Roman"/>
                <w:i/>
                <w:szCs w:val="20"/>
              </w:rPr>
              <w:t>$</w:t>
            </w:r>
            <w:r w:rsidR="00184F66">
              <w:rPr>
                <w:rFonts w:cs="Times New Roman"/>
                <w:i/>
                <w:noProof/>
                <w:color w:val="000000"/>
                <w:szCs w:val="20"/>
                <w:highlight w:val="black"/>
              </w:rPr>
              <w:t>''''''''''''''''''</w:t>
            </w:r>
          </w:p>
        </w:tc>
      </w:tr>
      <w:tr w:rsidR="00D30735" w:rsidRPr="00A67611" w:rsidTr="00DC3A64">
        <w:trPr>
          <w:cantSplit/>
        </w:trPr>
        <w:tc>
          <w:tcPr>
            <w:tcW w:w="3063" w:type="pct"/>
          </w:tcPr>
          <w:p w:rsidR="00D30735" w:rsidRPr="00A67611" w:rsidRDefault="00D30735" w:rsidP="0071157F">
            <w:pPr>
              <w:pStyle w:val="TableText0"/>
              <w:rPr>
                <w:rFonts w:cs="Calibri"/>
                <w:i/>
                <w:color w:val="000000"/>
                <w:szCs w:val="20"/>
              </w:rPr>
            </w:pPr>
            <w:r w:rsidRPr="00A67611">
              <w:rPr>
                <w:rFonts w:cs="Calibri"/>
                <w:i/>
                <w:color w:val="000000"/>
                <w:szCs w:val="20"/>
              </w:rPr>
              <w:t>Assume 44.5% of patients fail to respond after 4 weeks of  nabiximols initiation as per</w:t>
            </w:r>
            <w:r w:rsidRPr="00A67611">
              <w:t xml:space="preserve"> </w:t>
            </w:r>
            <w:r w:rsidRPr="00A67611">
              <w:rPr>
                <w:rFonts w:cs="Calibri"/>
                <w:i/>
                <w:color w:val="000000"/>
                <w:szCs w:val="20"/>
              </w:rPr>
              <w:t>Markovà 2019 (</w:t>
            </w:r>
            <w:r w:rsidR="0071157F" w:rsidRPr="00A67611">
              <w:rPr>
                <w:rFonts w:cs="Calibri"/>
                <w:i/>
                <w:color w:val="000000"/>
                <w:szCs w:val="20"/>
              </w:rPr>
              <w:t>B</w:t>
            </w:r>
            <w:r w:rsidRPr="00A67611">
              <w:rPr>
                <w:rFonts w:cs="Calibri"/>
                <w:i/>
                <w:color w:val="000000"/>
                <w:szCs w:val="20"/>
              </w:rPr>
              <w:t xml:space="preserve">ase case: omitted)  </w:t>
            </w:r>
          </w:p>
        </w:tc>
        <w:tc>
          <w:tcPr>
            <w:tcW w:w="707" w:type="pct"/>
            <w:shd w:val="clear" w:color="auto" w:fill="FFFFFF" w:themeFill="background1"/>
            <w:vAlign w:val="center"/>
          </w:tcPr>
          <w:p w:rsidR="00D30735" w:rsidRPr="00A67611" w:rsidRDefault="00D30735" w:rsidP="00D30735">
            <w:pPr>
              <w:pStyle w:val="TableText0"/>
              <w:jc w:val="center"/>
              <w:rPr>
                <w:rFonts w:cs="Calibri"/>
                <w:i/>
                <w:color w:val="000000"/>
                <w:szCs w:val="20"/>
              </w:rPr>
            </w:pPr>
            <w:r w:rsidRPr="00A67611">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cs="Calibri"/>
                <w:i/>
                <w:color w:val="000000"/>
                <w:szCs w:val="20"/>
              </w:rPr>
            </w:pPr>
            <w:r w:rsidRPr="00A67611">
              <w:rPr>
                <w:rFonts w:cs="Calibri"/>
                <w:i/>
                <w:color w:val="000000"/>
                <w:szCs w:val="20"/>
              </w:rPr>
              <w:t>0.026</w:t>
            </w:r>
          </w:p>
        </w:tc>
        <w:tc>
          <w:tcPr>
            <w:tcW w:w="522" w:type="pct"/>
            <w:vAlign w:val="center"/>
          </w:tcPr>
          <w:p w:rsidR="00D30735" w:rsidRPr="00A67611" w:rsidRDefault="00D30735" w:rsidP="00D30735">
            <w:pPr>
              <w:pStyle w:val="TableText0"/>
              <w:jc w:val="center"/>
              <w:rPr>
                <w:rFonts w:eastAsia="Calibri"/>
                <w:szCs w:val="20"/>
              </w:rPr>
            </w:pPr>
            <w:r w:rsidRPr="001A0138">
              <w:rPr>
                <w:rFonts w:eastAsia="Calibri"/>
                <w:szCs w:val="20"/>
              </w:rPr>
              <w:t>Dominant</w:t>
            </w:r>
          </w:p>
        </w:tc>
      </w:tr>
      <w:tr w:rsidR="00D30735" w:rsidRPr="00A67611" w:rsidTr="00DC3A64">
        <w:trPr>
          <w:cantSplit/>
        </w:trPr>
        <w:tc>
          <w:tcPr>
            <w:tcW w:w="5000" w:type="pct"/>
            <w:gridSpan w:val="4"/>
          </w:tcPr>
          <w:p w:rsidR="00D30735" w:rsidRPr="00A67611" w:rsidRDefault="00D30735" w:rsidP="00D30735">
            <w:pPr>
              <w:pStyle w:val="TableText0"/>
              <w:rPr>
                <w:rFonts w:eastAsia="Calibri"/>
                <w:szCs w:val="20"/>
                <w:highlight w:val="green"/>
              </w:rPr>
            </w:pPr>
            <w:r w:rsidRPr="00A67611">
              <w:rPr>
                <w:b/>
              </w:rPr>
              <w:t>Multivariate analyses</w:t>
            </w:r>
          </w:p>
        </w:tc>
      </w:tr>
      <w:tr w:rsidR="00D30735" w:rsidRPr="00A67611" w:rsidTr="00DC3A64">
        <w:trPr>
          <w:cantSplit/>
        </w:trPr>
        <w:tc>
          <w:tcPr>
            <w:tcW w:w="3063" w:type="pct"/>
            <w:shd w:val="clear" w:color="auto" w:fill="FFFFFF" w:themeFill="background1"/>
          </w:tcPr>
          <w:p w:rsidR="00D30735" w:rsidRPr="00A67611" w:rsidRDefault="00D30735" w:rsidP="00D30735">
            <w:pPr>
              <w:pStyle w:val="TableText0"/>
              <w:rPr>
                <w:highlight w:val="green"/>
              </w:rPr>
            </w:pPr>
            <w:r w:rsidRPr="00A67611">
              <w:rPr>
                <w:rFonts w:cs="Calibri"/>
                <w:i/>
                <w:color w:val="000000"/>
                <w:szCs w:val="20"/>
              </w:rPr>
              <w:t>Use of NICE review values for proportion of 30% responders</w:t>
            </w:r>
            <w:r w:rsidR="0057331A" w:rsidRPr="00A67611">
              <w:rPr>
                <w:rFonts w:cs="Calibri"/>
                <w:i/>
                <w:color w:val="000000"/>
                <w:szCs w:val="20"/>
              </w:rPr>
              <w:t>*</w:t>
            </w:r>
            <w:r w:rsidRPr="00A67611">
              <w:rPr>
                <w:rFonts w:cs="Calibri"/>
                <w:i/>
                <w:color w:val="000000"/>
                <w:szCs w:val="20"/>
              </w:rPr>
              <w:t xml:space="preserve"> and utility values (0.537 and 0.352 for responder and </w:t>
            </w:r>
            <w:r w:rsidR="00303C2E" w:rsidRPr="00A67611">
              <w:rPr>
                <w:rFonts w:cs="Calibri"/>
                <w:i/>
                <w:color w:val="000000"/>
                <w:szCs w:val="20"/>
              </w:rPr>
              <w:t>non-responder</w:t>
            </w:r>
            <w:r w:rsidRPr="00A67611">
              <w:rPr>
                <w:rFonts w:cs="Calibri"/>
                <w:i/>
                <w:color w:val="000000"/>
                <w:szCs w:val="20"/>
              </w:rPr>
              <w:t>, respectively)</w:t>
            </w:r>
            <w:r w:rsidR="0057331A" w:rsidRPr="00A67611">
              <w:rPr>
                <w:rFonts w:cs="Calibri"/>
                <w:i/>
                <w:color w:val="000000"/>
                <w:szCs w:val="20"/>
              </w:rPr>
              <w:t>***</w:t>
            </w:r>
            <w:r w:rsidRPr="00A67611">
              <w:rPr>
                <w:rFonts w:cs="Calibri"/>
                <w:i/>
                <w:color w:val="000000"/>
                <w:szCs w:val="20"/>
              </w:rPr>
              <w:t xml:space="preserve"> </w:t>
            </w:r>
          </w:p>
        </w:tc>
        <w:tc>
          <w:tcPr>
            <w:tcW w:w="707"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0.031</w:t>
            </w:r>
          </w:p>
        </w:tc>
        <w:tc>
          <w:tcPr>
            <w:tcW w:w="522"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r>
      <w:tr w:rsidR="00D30735" w:rsidRPr="00A67611" w:rsidTr="00DC3A64">
        <w:trPr>
          <w:cantSplit/>
        </w:trPr>
        <w:tc>
          <w:tcPr>
            <w:tcW w:w="3063" w:type="pct"/>
            <w:shd w:val="clear" w:color="auto" w:fill="FFFFFF" w:themeFill="background1"/>
          </w:tcPr>
          <w:p w:rsidR="00D30735" w:rsidRPr="00A67611" w:rsidRDefault="00D30735" w:rsidP="00D30735">
            <w:pPr>
              <w:pStyle w:val="TableText0"/>
              <w:rPr>
                <w:highlight w:val="green"/>
              </w:rPr>
            </w:pPr>
            <w:r w:rsidRPr="00A67611">
              <w:rPr>
                <w:rFonts w:cs="Calibri"/>
                <w:i/>
                <w:color w:val="000000"/>
                <w:szCs w:val="20"/>
              </w:rPr>
              <w:t>Use of NICE review values for proportion of 30% responders</w:t>
            </w:r>
            <w:r w:rsidR="0057331A" w:rsidRPr="00A67611">
              <w:rPr>
                <w:rFonts w:cs="Calibri"/>
                <w:i/>
                <w:color w:val="000000"/>
                <w:szCs w:val="20"/>
              </w:rPr>
              <w:t>*</w:t>
            </w:r>
            <w:r w:rsidRPr="00A67611">
              <w:rPr>
                <w:rFonts w:cs="Calibri"/>
                <w:i/>
                <w:color w:val="000000"/>
                <w:szCs w:val="20"/>
              </w:rPr>
              <w:t>, assume only 25% of costs reported in Stevenson (2015) and also reduced home care visits cost to 49.65%</w:t>
            </w:r>
            <w:r w:rsidR="0057331A" w:rsidRPr="00A67611">
              <w:rPr>
                <w:rFonts w:cs="Calibri"/>
                <w:i/>
                <w:color w:val="000000"/>
                <w:szCs w:val="20"/>
              </w:rPr>
              <w:t>**</w:t>
            </w:r>
          </w:p>
        </w:tc>
        <w:tc>
          <w:tcPr>
            <w:tcW w:w="707"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0.017</w:t>
            </w:r>
          </w:p>
        </w:tc>
        <w:tc>
          <w:tcPr>
            <w:tcW w:w="522"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r>
      <w:tr w:rsidR="00D30735" w:rsidRPr="00A67611" w:rsidTr="00DC3A64">
        <w:trPr>
          <w:cantSplit/>
        </w:trPr>
        <w:tc>
          <w:tcPr>
            <w:tcW w:w="3063" w:type="pct"/>
            <w:shd w:val="clear" w:color="auto" w:fill="FFFFFF" w:themeFill="background1"/>
          </w:tcPr>
          <w:p w:rsidR="00D30735" w:rsidRPr="00A67611" w:rsidRDefault="00D30735" w:rsidP="0057331A">
            <w:pPr>
              <w:pStyle w:val="TableText0"/>
              <w:rPr>
                <w:highlight w:val="green"/>
              </w:rPr>
            </w:pPr>
            <w:r w:rsidRPr="00A67611">
              <w:rPr>
                <w:rFonts w:cs="Calibri"/>
                <w:i/>
                <w:color w:val="000000"/>
                <w:szCs w:val="20"/>
              </w:rPr>
              <w:t>Use of NICE review values for proportion of 30% responders, utility value</w:t>
            </w:r>
            <w:r w:rsidR="0057331A" w:rsidRPr="00A67611">
              <w:rPr>
                <w:rFonts w:cs="Calibri"/>
                <w:i/>
                <w:color w:val="000000"/>
                <w:szCs w:val="20"/>
              </w:rPr>
              <w:t>s***</w:t>
            </w:r>
            <w:r w:rsidRPr="00A67611">
              <w:rPr>
                <w:rFonts w:cs="Calibri"/>
                <w:i/>
                <w:color w:val="000000"/>
                <w:szCs w:val="20"/>
              </w:rPr>
              <w:t xml:space="preserve"> and reduction in Stevenson costs</w:t>
            </w:r>
          </w:p>
        </w:tc>
        <w:tc>
          <w:tcPr>
            <w:tcW w:w="707"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c>
          <w:tcPr>
            <w:tcW w:w="708"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0.031</w:t>
            </w:r>
          </w:p>
        </w:tc>
        <w:tc>
          <w:tcPr>
            <w:tcW w:w="522" w:type="pct"/>
            <w:shd w:val="clear" w:color="auto" w:fill="FFFFFF" w:themeFill="background1"/>
            <w:vAlign w:val="center"/>
          </w:tcPr>
          <w:p w:rsidR="00D30735" w:rsidRPr="00A67611" w:rsidRDefault="00D30735" w:rsidP="00D30735">
            <w:pPr>
              <w:pStyle w:val="TableText0"/>
              <w:jc w:val="center"/>
              <w:rPr>
                <w:rFonts w:eastAsia="Calibri"/>
                <w:szCs w:val="20"/>
                <w:highlight w:val="green"/>
              </w:rPr>
            </w:pPr>
            <w:r w:rsidRPr="00A67611">
              <w:rPr>
                <w:rFonts w:cs="Calibri"/>
                <w:i/>
                <w:color w:val="000000"/>
                <w:szCs w:val="20"/>
              </w:rPr>
              <w:t>$</w:t>
            </w:r>
            <w:r w:rsidR="00184F66">
              <w:rPr>
                <w:rFonts w:cs="Calibri"/>
                <w:i/>
                <w:noProof/>
                <w:color w:val="000000"/>
                <w:szCs w:val="20"/>
                <w:highlight w:val="black"/>
              </w:rPr>
              <w:t>''''''''''''''''''''</w:t>
            </w:r>
          </w:p>
        </w:tc>
      </w:tr>
    </w:tbl>
    <w:p w:rsidR="00FA30CD" w:rsidRPr="00A67611" w:rsidRDefault="00FA30CD" w:rsidP="00FA30CD">
      <w:pPr>
        <w:rPr>
          <w:rFonts w:ascii="Arial Narrow" w:hAnsi="Arial Narrow"/>
          <w:sz w:val="18"/>
          <w:szCs w:val="18"/>
        </w:rPr>
      </w:pPr>
      <w:bookmarkStart w:id="71" w:name="_Toc22897646"/>
      <w:r w:rsidRPr="00515B93">
        <w:rPr>
          <w:rFonts w:ascii="Arial Narrow" w:hAnsi="Arial Narrow"/>
          <w:sz w:val="18"/>
          <w:szCs w:val="18"/>
        </w:rPr>
        <w:t>Text in italics indicate</w:t>
      </w:r>
      <w:r w:rsidR="00AE7449" w:rsidRPr="00515B93">
        <w:rPr>
          <w:rFonts w:ascii="Arial Narrow" w:hAnsi="Arial Narrow"/>
          <w:sz w:val="18"/>
          <w:szCs w:val="18"/>
        </w:rPr>
        <w:t xml:space="preserve"> Sensitivity</w:t>
      </w:r>
      <w:r w:rsidRPr="00515B93">
        <w:rPr>
          <w:rFonts w:ascii="Arial Narrow" w:hAnsi="Arial Narrow"/>
          <w:sz w:val="18"/>
          <w:szCs w:val="18"/>
        </w:rPr>
        <w:t xml:space="preserve"> analyses conducted during evaluation</w:t>
      </w:r>
      <w:r w:rsidRPr="00A67611">
        <w:rPr>
          <w:rFonts w:ascii="Arial Narrow" w:hAnsi="Arial Narrow"/>
          <w:sz w:val="18"/>
          <w:szCs w:val="18"/>
        </w:rPr>
        <w:t xml:space="preserve"> </w:t>
      </w:r>
    </w:p>
    <w:p w:rsidR="0057331A" w:rsidRPr="00A67611" w:rsidRDefault="0057331A" w:rsidP="0057331A">
      <w:pPr>
        <w:rPr>
          <w:rFonts w:ascii="Arial Narrow" w:hAnsi="Arial Narrow"/>
          <w:sz w:val="18"/>
          <w:szCs w:val="18"/>
        </w:rPr>
      </w:pPr>
      <w:r w:rsidRPr="00A67611">
        <w:rPr>
          <w:rFonts w:ascii="Arial Narrow" w:hAnsi="Arial Narrow"/>
          <w:sz w:val="18"/>
          <w:szCs w:val="18"/>
        </w:rPr>
        <w:t>*Change values in response rate worksheet B15 and C15 to 50% and 32.9%and B16 and C16 to 50% and 67.1% respectively</w:t>
      </w:r>
    </w:p>
    <w:p w:rsidR="0057331A" w:rsidRPr="00A67611" w:rsidRDefault="0057331A" w:rsidP="0057331A">
      <w:pPr>
        <w:rPr>
          <w:rFonts w:ascii="Arial Narrow" w:hAnsi="Arial Narrow"/>
          <w:sz w:val="18"/>
          <w:szCs w:val="18"/>
        </w:rPr>
      </w:pPr>
      <w:r w:rsidRPr="00A67611">
        <w:rPr>
          <w:rFonts w:ascii="Arial Narrow" w:hAnsi="Arial Narrow"/>
          <w:sz w:val="18"/>
          <w:szCs w:val="18"/>
        </w:rPr>
        <w:lastRenderedPageBreak/>
        <w:t>**Multiply cells C64:F69 by 25 % in costs worksheet, and cells B69 to F68 by an additional 49.65%</w:t>
      </w:r>
    </w:p>
    <w:p w:rsidR="0057331A" w:rsidRPr="00A67611" w:rsidRDefault="0057331A" w:rsidP="0057331A">
      <w:pPr>
        <w:rPr>
          <w:rFonts w:ascii="Arial Narrow" w:hAnsi="Arial Narrow"/>
          <w:sz w:val="18"/>
          <w:szCs w:val="18"/>
        </w:rPr>
      </w:pPr>
      <w:r w:rsidRPr="00A67611">
        <w:rPr>
          <w:rFonts w:ascii="Arial Narrow" w:hAnsi="Arial Narrow"/>
          <w:sz w:val="18"/>
          <w:szCs w:val="18"/>
        </w:rPr>
        <w:t xml:space="preserve">***Change utilities worksheet Cells </w:t>
      </w:r>
      <w:r w:rsidRPr="00FA1835">
        <w:rPr>
          <w:rFonts w:ascii="Arial Narrow" w:hAnsi="Arial Narrow"/>
          <w:sz w:val="18"/>
          <w:szCs w:val="18"/>
        </w:rPr>
        <w:t>B37 and B38</w:t>
      </w:r>
      <w:r w:rsidR="00FA1835" w:rsidRPr="00FA1835">
        <w:rPr>
          <w:rFonts w:ascii="Arial Narrow" w:hAnsi="Arial Narrow"/>
          <w:sz w:val="18"/>
          <w:szCs w:val="18"/>
        </w:rPr>
        <w:t xml:space="preserve"> to 0.537 and 0.352, respectively. </w:t>
      </w:r>
      <w:r w:rsidRPr="00FA1835">
        <w:rPr>
          <w:rFonts w:ascii="Arial Narrow" w:hAnsi="Arial Narrow"/>
          <w:sz w:val="18"/>
          <w:szCs w:val="18"/>
        </w:rPr>
        <w:t>In relation to the NICE values, NICE also acknowledged that their approach may have overestimated the utility gain with nabiximols</w:t>
      </w:r>
      <w:r w:rsidRPr="00A67611">
        <w:rPr>
          <w:rFonts w:ascii="Arial Narrow" w:hAnsi="Arial Narrow"/>
          <w:sz w:val="18"/>
          <w:szCs w:val="18"/>
        </w:rPr>
        <w:t xml:space="preserve"> </w:t>
      </w:r>
    </w:p>
    <w:p w:rsidR="00B10903" w:rsidRPr="00A67611" w:rsidRDefault="00B10903" w:rsidP="0057331A">
      <w:pPr>
        <w:rPr>
          <w:rFonts w:ascii="Arial Narrow" w:hAnsi="Arial Narrow"/>
          <w:sz w:val="18"/>
          <w:szCs w:val="18"/>
        </w:rPr>
      </w:pPr>
      <w:r w:rsidRPr="00A67611">
        <w:rPr>
          <w:rFonts w:ascii="Arial Narrow" w:hAnsi="Arial Narrow"/>
          <w:sz w:val="18"/>
          <w:szCs w:val="18"/>
        </w:rPr>
        <w:t xml:space="preserve">**** In its evaluation of nabiximols, the NICE model in the NICE evidence review for spasticity 2019 pooled estimates on the proportion of patients with ≥30% improvement from baseline NRS from Collin 2007, Collin 2010, </w:t>
      </w:r>
      <w:r w:rsidR="00883110" w:rsidRPr="00A67611">
        <w:rPr>
          <w:rFonts w:ascii="Arial Narrow" w:hAnsi="Arial Narrow"/>
          <w:sz w:val="18"/>
          <w:szCs w:val="18"/>
        </w:rPr>
        <w:t xml:space="preserve">Markovà </w:t>
      </w:r>
      <w:r w:rsidRPr="00A67611">
        <w:rPr>
          <w:rFonts w:ascii="Arial Narrow" w:hAnsi="Arial Narrow"/>
          <w:sz w:val="18"/>
          <w:szCs w:val="18"/>
        </w:rPr>
        <w:t xml:space="preserve"> 2019 and Novotna 2011.</w:t>
      </w:r>
    </w:p>
    <w:p w:rsidR="00FA30CD" w:rsidRPr="00A67611" w:rsidRDefault="00FA30CD" w:rsidP="002602DE">
      <w:pPr>
        <w:spacing w:after="120"/>
        <w:rPr>
          <w:rFonts w:ascii="Arial Narrow" w:hAnsi="Arial Narrow"/>
          <w:sz w:val="18"/>
          <w:szCs w:val="18"/>
        </w:rPr>
      </w:pPr>
      <w:r w:rsidRPr="00A67611">
        <w:rPr>
          <w:rFonts w:ascii="Arial Narrow" w:hAnsi="Arial Narrow"/>
          <w:sz w:val="18"/>
          <w:szCs w:val="18"/>
        </w:rPr>
        <w:t>Source: Table 91, pp140-141 of the resubmission.</w:t>
      </w:r>
    </w:p>
    <w:p w:rsidR="00CE1E09" w:rsidRPr="00A67611" w:rsidRDefault="00FA30CD" w:rsidP="000F706A">
      <w:pPr>
        <w:pStyle w:val="3-BodyText"/>
      </w:pPr>
      <w:r w:rsidRPr="00A67611">
        <w:t>Based on the results of the sensitivity analyses, the key drivers of the model were the assumed proportion of responders in each treatment arm, the cost of managing spasticity for responders and non-responders and the assumed utility gain from a ≥30% improvement from baseline NRS.</w:t>
      </w:r>
      <w:r w:rsidR="006A2770" w:rsidRPr="00A67611">
        <w:t xml:space="preserve"> </w:t>
      </w:r>
    </w:p>
    <w:p w:rsidR="00607A9A" w:rsidRPr="00A67611" w:rsidRDefault="006A2770" w:rsidP="000F706A">
      <w:pPr>
        <w:pStyle w:val="3-BodyText"/>
      </w:pPr>
      <w:r w:rsidRPr="00A67611">
        <w:t>The ESC considered the multivariate analyses incorporating the NICE values for responders, reduced costs and different utility values provided more reasonable ICERs (</w:t>
      </w:r>
      <w:r w:rsidR="00717101">
        <w:t xml:space="preserve">$105,000 - $200,000 </w:t>
      </w:r>
      <w:r w:rsidRPr="00A67611">
        <w:t xml:space="preserve">and </w:t>
      </w:r>
      <w:r w:rsidR="00717101">
        <w:t xml:space="preserve"> more than $200,000</w:t>
      </w:r>
      <w:r w:rsidRPr="00A67611">
        <w:t xml:space="preserve">), notwithstanding the significant issues </w:t>
      </w:r>
      <w:r w:rsidR="00CE1E09" w:rsidRPr="00A67611">
        <w:t xml:space="preserve">identified with </w:t>
      </w:r>
      <w:r w:rsidR="00064F1E" w:rsidRPr="00A67611">
        <w:t xml:space="preserve">the </w:t>
      </w:r>
      <w:r w:rsidR="00064F1E" w:rsidRPr="00DB183E">
        <w:t xml:space="preserve">model (paragraph </w:t>
      </w:r>
      <w:r w:rsidR="008D4D6C">
        <w:t>6.72</w:t>
      </w:r>
      <w:r w:rsidRPr="00DB183E">
        <w:t>).</w:t>
      </w:r>
      <w:r w:rsidRPr="00A67611">
        <w:t xml:space="preserve"> </w:t>
      </w:r>
    </w:p>
    <w:p w:rsidR="00B31892" w:rsidRPr="0072121C" w:rsidRDefault="00FD179B" w:rsidP="0072121C">
      <w:pPr>
        <w:pStyle w:val="3-BodyText"/>
      </w:pPr>
      <w:r w:rsidRPr="00A67611">
        <w:t xml:space="preserve">The ESC considered the modelled analysis presented </w:t>
      </w:r>
      <w:r w:rsidR="00CE1E09" w:rsidRPr="00A67611">
        <w:t>in the resubmission was uninfor</w:t>
      </w:r>
      <w:r w:rsidRPr="00A67611">
        <w:t>mative for decision making.</w:t>
      </w:r>
      <w:r w:rsidR="00CE1E09" w:rsidRPr="00A67611">
        <w:t xml:space="preserve"> </w:t>
      </w:r>
    </w:p>
    <w:p w:rsidR="00FA30CD" w:rsidRDefault="00FA30CD" w:rsidP="00FA30CD">
      <w:pPr>
        <w:pStyle w:val="4-SubsectionHeading"/>
      </w:pPr>
      <w:bookmarkStart w:id="72" w:name="_Toc27326491"/>
      <w:bookmarkStart w:id="73" w:name="_Toc30583495"/>
      <w:r w:rsidRPr="00A67611">
        <w:t>Drug cost/patient/year</w:t>
      </w:r>
      <w:bookmarkEnd w:id="71"/>
      <w:r w:rsidRPr="00A67611">
        <w:t>: $</w:t>
      </w:r>
      <w:bookmarkEnd w:id="72"/>
      <w:bookmarkEnd w:id="73"/>
      <w:r w:rsidR="00184F66">
        <w:rPr>
          <w:noProof/>
          <w:color w:val="000000"/>
          <w:highlight w:val="black"/>
        </w:rPr>
        <w:t>''''''''''''''''</w:t>
      </w:r>
    </w:p>
    <w:p w:rsidR="0072121C" w:rsidRPr="0072121C" w:rsidRDefault="0072121C" w:rsidP="0072121C">
      <w:pPr>
        <w:pStyle w:val="3-BodyText"/>
      </w:pPr>
      <w:r w:rsidRPr="0072121C">
        <w:t>The drug cost per patient per year for nabiximols is shown in Table 14.</w:t>
      </w:r>
    </w:p>
    <w:p w:rsidR="00FA30CD" w:rsidRPr="00A67611" w:rsidRDefault="00FA30CD" w:rsidP="002602DE">
      <w:pPr>
        <w:pStyle w:val="TableFigureHeading"/>
        <w:keepLines/>
        <w:widowControl w:val="0"/>
        <w:rPr>
          <w:rStyle w:val="CommentReference"/>
          <w:b/>
          <w:szCs w:val="24"/>
        </w:rPr>
      </w:pPr>
      <w:r w:rsidRPr="00A67611">
        <w:rPr>
          <w:rStyle w:val="CommentReference"/>
          <w:b/>
          <w:szCs w:val="24"/>
        </w:rPr>
        <w:t xml:space="preserve">Table </w:t>
      </w:r>
      <w:r w:rsidR="00D420F9">
        <w:rPr>
          <w:rStyle w:val="CommentReference"/>
          <w:b/>
          <w:noProof/>
          <w:szCs w:val="24"/>
        </w:rPr>
        <w:t>14</w:t>
      </w:r>
      <w:r w:rsidRPr="00A67611">
        <w:rPr>
          <w:rStyle w:val="CommentReference"/>
          <w:b/>
          <w:szCs w:val="24"/>
        </w:rPr>
        <w:t>: Drug cost per patient for nabixim</w:t>
      </w:r>
      <w:r w:rsidR="00065870" w:rsidRPr="00A67611">
        <w:rPr>
          <w:rStyle w:val="CommentReference"/>
          <w:b/>
          <w:szCs w:val="24"/>
        </w:rPr>
        <w:t>ols as an adjunct to standard</w:t>
      </w:r>
      <w:r w:rsidRPr="00A67611">
        <w:rPr>
          <w:rStyle w:val="CommentReference"/>
          <w:b/>
          <w:szCs w:val="24"/>
        </w:rPr>
        <w:t xml:space="preserve"> care</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9"/>
        <w:gridCol w:w="1984"/>
        <w:gridCol w:w="1291"/>
        <w:gridCol w:w="2256"/>
      </w:tblGrid>
      <w:tr w:rsidR="00FA30CD" w:rsidRPr="00A67611" w:rsidTr="00806AE4">
        <w:trPr>
          <w:cantSplit/>
          <w:tblHeader/>
          <w:jc w:val="center"/>
        </w:trPr>
        <w:tc>
          <w:tcPr>
            <w:tcW w:w="1903" w:type="pct"/>
            <w:shd w:val="clear" w:color="auto" w:fill="auto"/>
            <w:vAlign w:val="center"/>
          </w:tcPr>
          <w:p w:rsidR="00FA30CD" w:rsidRPr="00A67611" w:rsidRDefault="00FA30CD" w:rsidP="002602DE">
            <w:pPr>
              <w:pStyle w:val="In-tableHeading"/>
              <w:keepLines/>
              <w:widowControl w:val="0"/>
              <w:jc w:val="center"/>
              <w:rPr>
                <w:lang w:val="en-AU"/>
              </w:rPr>
            </w:pPr>
          </w:p>
        </w:tc>
        <w:tc>
          <w:tcPr>
            <w:tcW w:w="1111" w:type="pct"/>
            <w:shd w:val="clear" w:color="auto" w:fill="auto"/>
            <w:vAlign w:val="center"/>
          </w:tcPr>
          <w:p w:rsidR="00FA30CD" w:rsidRPr="00A67611" w:rsidRDefault="00FA30CD" w:rsidP="002602DE">
            <w:pPr>
              <w:pStyle w:val="In-tableHeading"/>
              <w:keepLines/>
              <w:widowControl w:val="0"/>
              <w:jc w:val="center"/>
              <w:rPr>
                <w:lang w:val="en-AU"/>
              </w:rPr>
            </w:pPr>
            <w:r w:rsidRPr="00A67611">
              <w:rPr>
                <w:lang w:val="en-AU"/>
              </w:rPr>
              <w:t>Markovà 2019 dose and duration</w:t>
            </w:r>
          </w:p>
        </w:tc>
        <w:tc>
          <w:tcPr>
            <w:tcW w:w="723" w:type="pct"/>
            <w:shd w:val="clear" w:color="auto" w:fill="auto"/>
            <w:vAlign w:val="center"/>
          </w:tcPr>
          <w:p w:rsidR="00FA30CD" w:rsidRPr="00A67611" w:rsidRDefault="00FA30CD" w:rsidP="002602DE">
            <w:pPr>
              <w:pStyle w:val="In-tableHeading"/>
              <w:keepLines/>
              <w:widowControl w:val="0"/>
              <w:jc w:val="center"/>
              <w:rPr>
                <w:lang w:val="en-AU"/>
              </w:rPr>
            </w:pPr>
            <w:r w:rsidRPr="00A67611">
              <w:rPr>
                <w:lang w:val="en-AU"/>
              </w:rPr>
              <w:t>Model</w:t>
            </w:r>
          </w:p>
        </w:tc>
        <w:tc>
          <w:tcPr>
            <w:tcW w:w="1263" w:type="pct"/>
            <w:shd w:val="clear" w:color="auto" w:fill="auto"/>
            <w:vAlign w:val="center"/>
          </w:tcPr>
          <w:p w:rsidR="00FA30CD" w:rsidRPr="00A67611" w:rsidRDefault="00FA30CD" w:rsidP="002602DE">
            <w:pPr>
              <w:pStyle w:val="In-tableHeading"/>
              <w:keepLines/>
              <w:widowControl w:val="0"/>
              <w:jc w:val="center"/>
              <w:rPr>
                <w:lang w:val="en-AU"/>
              </w:rPr>
            </w:pPr>
            <w:r w:rsidRPr="00A67611">
              <w:rPr>
                <w:lang w:val="en-AU"/>
              </w:rPr>
              <w:t>Financial estimates</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Mean dose for initially treated patients</w:t>
            </w:r>
          </w:p>
        </w:tc>
        <w:tc>
          <w:tcPr>
            <w:tcW w:w="1111" w:type="pct"/>
            <w:shd w:val="clear" w:color="auto" w:fill="auto"/>
            <w:vAlign w:val="center"/>
          </w:tcPr>
          <w:p w:rsidR="00FA30CD" w:rsidRPr="008D4D6C" w:rsidRDefault="00FA30CD" w:rsidP="002602DE">
            <w:pPr>
              <w:pStyle w:val="TableText0"/>
              <w:keepLines/>
              <w:widowControl w:val="0"/>
              <w:jc w:val="center"/>
              <w:rPr>
                <w:i/>
              </w:rPr>
            </w:pPr>
            <w:r w:rsidRPr="008D4D6C">
              <w:rPr>
                <w:i/>
              </w:rPr>
              <w:t>6.18 (phase A) to 6.25 (phase B) sprays/day</w:t>
            </w:r>
            <w:r w:rsidRPr="008D4D6C">
              <w:rPr>
                <w:i/>
                <w:vertAlign w:val="superscript"/>
              </w:rPr>
              <w:t>a</w:t>
            </w:r>
          </w:p>
        </w:tc>
        <w:tc>
          <w:tcPr>
            <w:tcW w:w="723" w:type="pct"/>
            <w:shd w:val="clear" w:color="auto" w:fill="auto"/>
            <w:vAlign w:val="center"/>
          </w:tcPr>
          <w:p w:rsidR="00FA30CD" w:rsidRPr="00A67611" w:rsidRDefault="00FA30CD" w:rsidP="002602DE">
            <w:pPr>
              <w:pStyle w:val="TableText0"/>
              <w:keepLines/>
              <w:widowControl w:val="0"/>
              <w:jc w:val="center"/>
            </w:pPr>
            <w:r w:rsidRPr="00A67611">
              <w:t>6.5 sprays/day</w:t>
            </w:r>
          </w:p>
        </w:tc>
        <w:tc>
          <w:tcPr>
            <w:tcW w:w="1263" w:type="pct"/>
            <w:shd w:val="clear" w:color="auto" w:fill="auto"/>
            <w:vAlign w:val="center"/>
          </w:tcPr>
          <w:p w:rsidR="00FA30CD" w:rsidRPr="00A67611" w:rsidRDefault="00FA30CD" w:rsidP="002602DE">
            <w:pPr>
              <w:pStyle w:val="TableText0"/>
              <w:keepLines/>
              <w:widowControl w:val="0"/>
              <w:jc w:val="center"/>
            </w:pPr>
            <w:r w:rsidRPr="00A67611">
              <w:t>0.92 packs of three spray bottles  = 9.64 sprays/day*</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Mean dose for continuing patients</w:t>
            </w:r>
          </w:p>
        </w:tc>
        <w:tc>
          <w:tcPr>
            <w:tcW w:w="1111" w:type="pct"/>
            <w:shd w:val="clear" w:color="auto" w:fill="auto"/>
            <w:vAlign w:val="center"/>
          </w:tcPr>
          <w:p w:rsidR="00FA30CD" w:rsidRPr="008D4D6C" w:rsidRDefault="00FA30CD" w:rsidP="002602DE">
            <w:pPr>
              <w:pStyle w:val="TableText0"/>
              <w:keepLines/>
              <w:widowControl w:val="0"/>
              <w:jc w:val="center"/>
              <w:rPr>
                <w:i/>
              </w:rPr>
            </w:pPr>
            <w:r w:rsidRPr="008D4D6C">
              <w:rPr>
                <w:i/>
              </w:rPr>
              <w:t>7.33 sprays/day</w:t>
            </w:r>
            <w:r w:rsidRPr="008D4D6C">
              <w:rPr>
                <w:i/>
                <w:vertAlign w:val="superscript"/>
              </w:rPr>
              <w:t>c</w:t>
            </w:r>
          </w:p>
        </w:tc>
        <w:tc>
          <w:tcPr>
            <w:tcW w:w="723" w:type="pct"/>
            <w:shd w:val="clear" w:color="auto" w:fill="auto"/>
            <w:vAlign w:val="center"/>
          </w:tcPr>
          <w:p w:rsidR="00FA30CD" w:rsidRPr="00A67611" w:rsidRDefault="00FA30CD" w:rsidP="002602DE">
            <w:pPr>
              <w:pStyle w:val="TableText0"/>
              <w:keepLines/>
              <w:widowControl w:val="0"/>
              <w:jc w:val="center"/>
            </w:pPr>
            <w:r w:rsidRPr="00A67611">
              <w:t>7.3/day</w:t>
            </w:r>
            <w:r w:rsidRPr="00A67611">
              <w:rPr>
                <w:vertAlign w:val="superscript"/>
              </w:rPr>
              <w:t>b</w:t>
            </w:r>
          </w:p>
        </w:tc>
        <w:tc>
          <w:tcPr>
            <w:tcW w:w="1263" w:type="pct"/>
            <w:shd w:val="clear" w:color="auto" w:fill="auto"/>
            <w:vAlign w:val="center"/>
          </w:tcPr>
          <w:p w:rsidR="00FA30CD" w:rsidRPr="00A67611" w:rsidRDefault="00FA30CD" w:rsidP="002602DE">
            <w:pPr>
              <w:pStyle w:val="TableText0"/>
              <w:keepLines/>
              <w:widowControl w:val="0"/>
              <w:jc w:val="center"/>
            </w:pPr>
            <w:r w:rsidRPr="00A67611">
              <w:t>7.3 sprays/day</w:t>
            </w:r>
            <w:r w:rsidRPr="00A67611">
              <w:rPr>
                <w:vertAlign w:val="superscript"/>
              </w:rPr>
              <w:t>b</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Mean duration</w:t>
            </w:r>
          </w:p>
        </w:tc>
        <w:tc>
          <w:tcPr>
            <w:tcW w:w="1111" w:type="pct"/>
            <w:shd w:val="clear" w:color="auto" w:fill="auto"/>
            <w:vAlign w:val="center"/>
          </w:tcPr>
          <w:p w:rsidR="00FA30CD" w:rsidRPr="00A67611" w:rsidRDefault="00FA30CD" w:rsidP="002602DE">
            <w:pPr>
              <w:pStyle w:val="TableText0"/>
              <w:keepLines/>
              <w:widowControl w:val="0"/>
              <w:jc w:val="center"/>
            </w:pPr>
            <w:r w:rsidRPr="00A67611">
              <w:t>12 weeks</w:t>
            </w:r>
          </w:p>
        </w:tc>
        <w:tc>
          <w:tcPr>
            <w:tcW w:w="723" w:type="pct"/>
            <w:shd w:val="clear" w:color="auto" w:fill="auto"/>
            <w:vAlign w:val="center"/>
          </w:tcPr>
          <w:p w:rsidR="00FA30CD" w:rsidRPr="00A67611" w:rsidRDefault="00FA30CD" w:rsidP="002602DE">
            <w:pPr>
              <w:pStyle w:val="TableText0"/>
              <w:keepLines/>
              <w:widowControl w:val="0"/>
              <w:jc w:val="center"/>
            </w:pPr>
            <w:r w:rsidRPr="00A67611">
              <w:t>360 days</w:t>
            </w:r>
          </w:p>
        </w:tc>
        <w:tc>
          <w:tcPr>
            <w:tcW w:w="1263" w:type="pct"/>
            <w:shd w:val="clear" w:color="auto" w:fill="auto"/>
            <w:vAlign w:val="center"/>
          </w:tcPr>
          <w:p w:rsidR="00FA30CD" w:rsidRPr="00A67611" w:rsidRDefault="00FA30CD" w:rsidP="002602DE">
            <w:pPr>
              <w:pStyle w:val="TableText0"/>
              <w:keepLines/>
              <w:widowControl w:val="0"/>
              <w:jc w:val="center"/>
            </w:pPr>
            <w:r w:rsidRPr="00A67611">
              <w:t>365 days</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Cost/initially treated patient</w:t>
            </w:r>
          </w:p>
        </w:tc>
        <w:tc>
          <w:tcPr>
            <w:tcW w:w="1111" w:type="pct"/>
            <w:shd w:val="clear" w:color="auto" w:fill="auto"/>
            <w:vAlign w:val="center"/>
          </w:tcPr>
          <w:p w:rsidR="00FA30CD" w:rsidRPr="00A67611" w:rsidRDefault="00FA30CD" w:rsidP="002602DE">
            <w:pPr>
              <w:pStyle w:val="TableText0"/>
              <w:keepLines/>
              <w:widowControl w:val="0"/>
              <w:jc w:val="center"/>
            </w:pPr>
            <w:r w:rsidRPr="00A67611">
              <w:t>$</w:t>
            </w:r>
            <w:r w:rsidR="00184F66">
              <w:rPr>
                <w:noProof/>
                <w:color w:val="000000"/>
                <w:highlight w:val="black"/>
              </w:rPr>
              <w:t>''''''''''''''''</w:t>
            </w:r>
            <w:r w:rsidRPr="00A67611">
              <w:t xml:space="preserve"> for 4 weeks or $</w:t>
            </w:r>
            <w:r w:rsidR="00184F66">
              <w:rPr>
                <w:noProof/>
                <w:color w:val="000000"/>
                <w:highlight w:val="black"/>
              </w:rPr>
              <w:t>'''''''''''''''</w:t>
            </w:r>
            <w:r w:rsidRPr="00A67611">
              <w:t xml:space="preserve"> for 30 days</w:t>
            </w:r>
            <w:r w:rsidRPr="00A67611">
              <w:rPr>
                <w:vertAlign w:val="superscript"/>
              </w:rPr>
              <w:t>f</w:t>
            </w:r>
          </w:p>
        </w:tc>
        <w:tc>
          <w:tcPr>
            <w:tcW w:w="723" w:type="pct"/>
            <w:shd w:val="clear" w:color="auto" w:fill="auto"/>
            <w:vAlign w:val="center"/>
          </w:tcPr>
          <w:p w:rsidR="00FA30CD" w:rsidRPr="00A67611" w:rsidRDefault="00FA30CD" w:rsidP="002602DE">
            <w:pPr>
              <w:pStyle w:val="TableText0"/>
              <w:keepLines/>
              <w:widowControl w:val="0"/>
              <w:jc w:val="center"/>
            </w:pPr>
            <w:r w:rsidRPr="00A67611">
              <w:t>$</w:t>
            </w:r>
            <w:r w:rsidR="00184F66">
              <w:rPr>
                <w:noProof/>
                <w:color w:val="000000"/>
                <w:highlight w:val="black"/>
              </w:rPr>
              <w:t>'''''''''''''''''</w:t>
            </w:r>
            <w:r w:rsidRPr="00A67611">
              <w:t xml:space="preserve"> for 30 days</w:t>
            </w:r>
          </w:p>
        </w:tc>
        <w:tc>
          <w:tcPr>
            <w:tcW w:w="1263" w:type="pct"/>
            <w:shd w:val="clear" w:color="auto" w:fill="auto"/>
            <w:vAlign w:val="center"/>
          </w:tcPr>
          <w:p w:rsidR="00FA30CD" w:rsidRPr="00A67611" w:rsidRDefault="00FA30CD" w:rsidP="002602DE">
            <w:pPr>
              <w:pStyle w:val="TableText0"/>
              <w:keepLines/>
              <w:widowControl w:val="0"/>
              <w:jc w:val="center"/>
            </w:pPr>
            <w:r w:rsidRPr="00A67611">
              <w:t>$</w:t>
            </w:r>
            <w:r w:rsidR="00184F66">
              <w:rPr>
                <w:noProof/>
                <w:color w:val="000000"/>
                <w:highlight w:val="black"/>
              </w:rPr>
              <w:t>''''''''''</w:t>
            </w:r>
            <w:r w:rsidRPr="00A67611">
              <w:t xml:space="preserve"> for 30 days</w:t>
            </w:r>
            <w:r w:rsidRPr="00A67611">
              <w:rPr>
                <w:vertAlign w:val="superscript"/>
              </w:rPr>
              <w:t>d</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Cost/continuing patient/month</w:t>
            </w:r>
          </w:p>
        </w:tc>
        <w:tc>
          <w:tcPr>
            <w:tcW w:w="1111" w:type="pct"/>
            <w:shd w:val="clear" w:color="auto" w:fill="auto"/>
            <w:vAlign w:val="center"/>
          </w:tcPr>
          <w:p w:rsidR="00FA30CD" w:rsidRPr="00A67611" w:rsidRDefault="00FA30CD" w:rsidP="002602DE">
            <w:pPr>
              <w:pStyle w:val="TableText0"/>
              <w:keepLines/>
              <w:widowControl w:val="0"/>
              <w:jc w:val="center"/>
            </w:pPr>
          </w:p>
        </w:tc>
        <w:tc>
          <w:tcPr>
            <w:tcW w:w="723" w:type="pct"/>
            <w:shd w:val="clear" w:color="auto" w:fill="auto"/>
            <w:vAlign w:val="center"/>
          </w:tcPr>
          <w:p w:rsidR="00FA30CD" w:rsidRPr="00A67611" w:rsidRDefault="00FA30CD" w:rsidP="002602DE">
            <w:pPr>
              <w:pStyle w:val="TableText0"/>
              <w:keepLines/>
              <w:widowControl w:val="0"/>
              <w:jc w:val="center"/>
            </w:pPr>
            <w:r w:rsidRPr="00A67611">
              <w:t>$</w:t>
            </w:r>
            <w:r w:rsidR="00184F66">
              <w:rPr>
                <w:noProof/>
                <w:color w:val="000000"/>
                <w:highlight w:val="black"/>
              </w:rPr>
              <w:t>''''''''''''''''</w:t>
            </w:r>
          </w:p>
        </w:tc>
        <w:tc>
          <w:tcPr>
            <w:tcW w:w="1263" w:type="pct"/>
            <w:shd w:val="clear" w:color="auto" w:fill="auto"/>
            <w:vAlign w:val="center"/>
          </w:tcPr>
          <w:p w:rsidR="00FA30CD" w:rsidRPr="00A67611" w:rsidRDefault="00FA30CD" w:rsidP="002602DE">
            <w:pPr>
              <w:pStyle w:val="TableText0"/>
              <w:keepLines/>
              <w:widowControl w:val="0"/>
              <w:jc w:val="center"/>
            </w:pP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Cost/patient/year as presented in the resubmission</w:t>
            </w:r>
          </w:p>
        </w:tc>
        <w:tc>
          <w:tcPr>
            <w:tcW w:w="1111" w:type="pct"/>
            <w:shd w:val="clear" w:color="auto" w:fill="auto"/>
            <w:vAlign w:val="center"/>
          </w:tcPr>
          <w:p w:rsidR="00FA30CD" w:rsidRPr="00A67611" w:rsidRDefault="00FA30CD" w:rsidP="002602DE">
            <w:pPr>
              <w:pStyle w:val="TableText0"/>
              <w:keepLines/>
              <w:widowControl w:val="0"/>
              <w:jc w:val="center"/>
            </w:pPr>
          </w:p>
        </w:tc>
        <w:tc>
          <w:tcPr>
            <w:tcW w:w="723" w:type="pct"/>
            <w:shd w:val="clear" w:color="auto" w:fill="auto"/>
            <w:vAlign w:val="center"/>
          </w:tcPr>
          <w:p w:rsidR="00FA30CD" w:rsidRPr="00A67611" w:rsidRDefault="00FA30CD" w:rsidP="002602DE">
            <w:pPr>
              <w:pStyle w:val="TableText0"/>
              <w:keepLines/>
              <w:widowControl w:val="0"/>
              <w:jc w:val="center"/>
            </w:pPr>
            <w:r w:rsidRPr="00A67611">
              <w:t>$</w:t>
            </w:r>
            <w:r w:rsidR="00184F66">
              <w:rPr>
                <w:noProof/>
                <w:color w:val="000000"/>
                <w:highlight w:val="black"/>
              </w:rPr>
              <w:t>''''''''''''''''''''''</w:t>
            </w:r>
          </w:p>
        </w:tc>
        <w:tc>
          <w:tcPr>
            <w:tcW w:w="1263" w:type="pct"/>
            <w:shd w:val="clear" w:color="auto" w:fill="auto"/>
            <w:vAlign w:val="center"/>
          </w:tcPr>
          <w:p w:rsidR="00FA30CD" w:rsidRPr="008D4D6C" w:rsidRDefault="00FA30CD" w:rsidP="002602DE">
            <w:pPr>
              <w:pStyle w:val="TableText0"/>
              <w:keepLines/>
              <w:widowControl w:val="0"/>
              <w:jc w:val="center"/>
              <w:rPr>
                <w:i/>
              </w:rPr>
            </w:pPr>
            <w:r w:rsidRPr="008D4D6C">
              <w:rPr>
                <w:i/>
              </w:rPr>
              <w:t>$</w:t>
            </w:r>
            <w:r w:rsidR="00184F66">
              <w:rPr>
                <w:i/>
                <w:noProof/>
                <w:color w:val="000000"/>
                <w:highlight w:val="black"/>
              </w:rPr>
              <w:t>''''''''''''</w:t>
            </w:r>
          </w:p>
        </w:tc>
      </w:tr>
      <w:tr w:rsidR="00FA30CD" w:rsidRPr="00A67611" w:rsidTr="00806AE4">
        <w:trPr>
          <w:cantSplit/>
          <w:jc w:val="center"/>
        </w:trPr>
        <w:tc>
          <w:tcPr>
            <w:tcW w:w="1903" w:type="pct"/>
            <w:shd w:val="clear" w:color="auto" w:fill="auto"/>
            <w:vAlign w:val="center"/>
          </w:tcPr>
          <w:p w:rsidR="00FA30CD" w:rsidRPr="00A67611" w:rsidRDefault="00FA30CD" w:rsidP="002602DE">
            <w:pPr>
              <w:pStyle w:val="TableText0"/>
              <w:keepLines/>
              <w:widowControl w:val="0"/>
            </w:pPr>
            <w:r w:rsidRPr="00A67611">
              <w:t xml:space="preserve">Cost/ patient/year revised to 1 month initial therapy and 11 months continuing therapy </w:t>
            </w:r>
          </w:p>
        </w:tc>
        <w:tc>
          <w:tcPr>
            <w:tcW w:w="1111" w:type="pct"/>
            <w:shd w:val="clear" w:color="auto" w:fill="auto"/>
            <w:vAlign w:val="center"/>
          </w:tcPr>
          <w:p w:rsidR="00FA30CD" w:rsidRPr="00A67611" w:rsidRDefault="00FA30CD" w:rsidP="002602DE">
            <w:pPr>
              <w:pStyle w:val="TableText0"/>
              <w:keepLines/>
              <w:widowControl w:val="0"/>
              <w:jc w:val="center"/>
            </w:pPr>
            <w:r w:rsidRPr="00A67611">
              <w:t>*</w:t>
            </w:r>
          </w:p>
        </w:tc>
        <w:tc>
          <w:tcPr>
            <w:tcW w:w="723" w:type="pct"/>
            <w:shd w:val="clear" w:color="auto" w:fill="auto"/>
            <w:vAlign w:val="center"/>
          </w:tcPr>
          <w:p w:rsidR="00FA30CD" w:rsidRPr="008D4D6C" w:rsidRDefault="00FA30CD" w:rsidP="002602DE">
            <w:pPr>
              <w:pStyle w:val="TableText0"/>
              <w:keepLines/>
              <w:widowControl w:val="0"/>
              <w:jc w:val="center"/>
              <w:rPr>
                <w:i/>
              </w:rPr>
            </w:pPr>
            <w:r w:rsidRPr="008D4D6C">
              <w:rPr>
                <w:i/>
              </w:rPr>
              <w:t>$</w:t>
            </w:r>
            <w:r w:rsidR="00184F66">
              <w:rPr>
                <w:i/>
                <w:noProof/>
                <w:color w:val="000000"/>
                <w:highlight w:val="black"/>
              </w:rPr>
              <w:t>''''''''''''''''''''</w:t>
            </w:r>
            <w:r w:rsidRPr="008D4D6C">
              <w:rPr>
                <w:i/>
                <w:vertAlign w:val="superscript"/>
              </w:rPr>
              <w:t>e</w:t>
            </w:r>
          </w:p>
        </w:tc>
        <w:tc>
          <w:tcPr>
            <w:tcW w:w="1263" w:type="pct"/>
            <w:shd w:val="clear" w:color="auto" w:fill="auto"/>
            <w:vAlign w:val="center"/>
          </w:tcPr>
          <w:p w:rsidR="00FA30CD" w:rsidRPr="008D4D6C" w:rsidRDefault="00FA30CD" w:rsidP="002602DE">
            <w:pPr>
              <w:pStyle w:val="TableText0"/>
              <w:keepLines/>
              <w:widowControl w:val="0"/>
              <w:jc w:val="center"/>
              <w:rPr>
                <w:i/>
              </w:rPr>
            </w:pPr>
            <w:r w:rsidRPr="008D4D6C">
              <w:rPr>
                <w:i/>
              </w:rPr>
              <w:t>$</w:t>
            </w:r>
            <w:r w:rsidR="00184F66">
              <w:rPr>
                <w:i/>
                <w:noProof/>
                <w:color w:val="000000"/>
                <w:highlight w:val="black"/>
              </w:rPr>
              <w:t>'''''''''''''</w:t>
            </w:r>
          </w:p>
        </w:tc>
      </w:tr>
    </w:tbl>
    <w:p w:rsidR="00FA30CD" w:rsidRPr="00A67611" w:rsidRDefault="00FA30CD" w:rsidP="002602DE">
      <w:pPr>
        <w:pStyle w:val="TableFigureFooter"/>
        <w:keepNext/>
        <w:keepLines/>
        <w:widowControl w:val="0"/>
      </w:pPr>
      <w:r w:rsidRPr="00A67611">
        <w:t xml:space="preserve">Source: Table 86, p136 of the resubmission, Section 3 </w:t>
      </w:r>
      <w:r w:rsidRPr="00F82043">
        <w:t>workbook. Italicised values have been calculated.</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a</w:t>
      </w:r>
      <w:r w:rsidRPr="00A67611">
        <w:t xml:space="preserve"> </w:t>
      </w:r>
      <w:r w:rsidR="00DD2AB0" w:rsidRPr="00A67611">
        <w:tab/>
      </w:r>
      <w:r w:rsidRPr="00A67611">
        <w:t>Mean dose for the first 4 weeks in phase A</w:t>
      </w:r>
      <w:r w:rsidR="00515B93">
        <w:t xml:space="preserve"> was 6.18 sprays/day</w:t>
      </w:r>
      <w:r w:rsidRPr="00A67611">
        <w:t>, mean dose for fi</w:t>
      </w:r>
      <w:r w:rsidR="00515B93">
        <w:t>rst 4 weeks in phase B was 6.25 sprays/</w:t>
      </w:r>
      <w:r w:rsidRPr="00A67611">
        <w:t>day</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b</w:t>
      </w:r>
      <w:r w:rsidR="00DD2AB0" w:rsidRPr="00A67611">
        <w:rPr>
          <w:vertAlign w:val="superscript"/>
        </w:rPr>
        <w:tab/>
      </w:r>
      <w:r w:rsidRPr="00A67611">
        <w:t>Mean sprays per day in Markovà 2019 at Week 12 was 7.3, and this was used and assumed to be the ongoing dose with no reduction in dose for continuing patients</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 xml:space="preserve">c </w:t>
      </w:r>
      <w:r w:rsidR="00DD2AB0" w:rsidRPr="00A67611">
        <w:rPr>
          <w:vertAlign w:val="superscript"/>
        </w:rPr>
        <w:tab/>
      </w:r>
      <w:r w:rsidRPr="00A67611">
        <w:t>Based on average of doses from Weeks 5 to 12 in Markovà 2019. Dose patients were taking during Week 12 was 7.3 sprays per day</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d</w:t>
      </w:r>
      <w:r w:rsidRPr="00A67611">
        <w:t xml:space="preserve"> </w:t>
      </w:r>
      <w:r w:rsidR="00DD2AB0" w:rsidRPr="00A67611">
        <w:tab/>
      </w:r>
      <w:r w:rsidRPr="00A67611">
        <w:t>0.92 x $</w:t>
      </w:r>
      <w:r w:rsidR="00184F66">
        <w:rPr>
          <w:noProof/>
          <w:color w:val="000000"/>
          <w:highlight w:val="black"/>
        </w:rPr>
        <w:t>''''''''</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e</w:t>
      </w:r>
      <w:r w:rsidRPr="00A67611">
        <w:t xml:space="preserve"> </w:t>
      </w:r>
      <w:r w:rsidR="00DD2AB0" w:rsidRPr="00A67611">
        <w:tab/>
      </w:r>
      <w:r w:rsidR="008D4D6C">
        <w:t>A</w:t>
      </w:r>
      <w:r w:rsidRPr="00A67611">
        <w:t xml:space="preserve"> revised estimate was conducted during the evaluation to limit costs to one month of initial treatment and 11 months of continuing treatment</w:t>
      </w:r>
    </w:p>
    <w:p w:rsidR="00FA30CD" w:rsidRPr="00A67611" w:rsidRDefault="00FA30CD" w:rsidP="002602DE">
      <w:pPr>
        <w:pStyle w:val="TableFigureFooter"/>
        <w:keepNext/>
        <w:keepLines/>
        <w:widowControl w:val="0"/>
        <w:tabs>
          <w:tab w:val="left" w:pos="284"/>
        </w:tabs>
        <w:ind w:left="284" w:hanging="284"/>
      </w:pPr>
      <w:r w:rsidRPr="00A67611">
        <w:rPr>
          <w:vertAlign w:val="superscript"/>
        </w:rPr>
        <w:t xml:space="preserve">f </w:t>
      </w:r>
      <w:r w:rsidR="00DD2AB0" w:rsidRPr="00A67611">
        <w:rPr>
          <w:vertAlign w:val="superscript"/>
        </w:rPr>
        <w:tab/>
      </w:r>
      <w:r w:rsidRPr="00A67611">
        <w:t>Based on 6.18 sprays per day</w:t>
      </w:r>
      <w:r w:rsidR="005478AE" w:rsidRPr="00A67611">
        <w:t xml:space="preserve"> in </w:t>
      </w:r>
      <w:r w:rsidR="006E5237" w:rsidRPr="00A67611">
        <w:t>P</w:t>
      </w:r>
      <w:r w:rsidR="005478AE" w:rsidRPr="00A67611">
        <w:t>hase A of Markovà 2019</w:t>
      </w:r>
    </w:p>
    <w:p w:rsidR="00FA30CD" w:rsidRPr="00A67611" w:rsidRDefault="00FA30CD" w:rsidP="002602DE">
      <w:pPr>
        <w:pStyle w:val="TableFigureFooter"/>
        <w:keepNext/>
        <w:keepLines/>
        <w:widowControl w:val="0"/>
        <w:tabs>
          <w:tab w:val="left" w:pos="284"/>
        </w:tabs>
        <w:ind w:left="284" w:hanging="284"/>
      </w:pPr>
      <w:r w:rsidRPr="00A67611">
        <w:t>No discontinuations were assumed. Wastage was not accounted for patients not continuing from initial therapy</w:t>
      </w:r>
    </w:p>
    <w:p w:rsidR="00FA30CD" w:rsidRPr="00A67611" w:rsidRDefault="00FA30CD" w:rsidP="002602DE">
      <w:pPr>
        <w:pStyle w:val="TableFigureFooter"/>
        <w:keepNext/>
        <w:keepLines/>
        <w:widowControl w:val="0"/>
        <w:tabs>
          <w:tab w:val="left" w:pos="284"/>
        </w:tabs>
        <w:ind w:left="284" w:hanging="284"/>
      </w:pPr>
      <w:r w:rsidRPr="00A67611">
        <w:t>*</w:t>
      </w:r>
      <w:r w:rsidR="00DD2AB0" w:rsidRPr="00A67611">
        <w:tab/>
      </w:r>
      <w:r w:rsidRPr="00A67611">
        <w:t>The financial estimates equated that to 4.93 x two units of three spray bottles, su</w:t>
      </w:r>
      <w:r w:rsidR="00515B93">
        <w:t>fficient quantity for 12 months</w:t>
      </w:r>
      <w:r w:rsidRPr="00A67611">
        <w:t>, which was an overestimate given that patients would  have received initial treatment for 4 weeks – assuming that the 12 months represents the first 12 months of therapy with nabiximols and not therapy in subsequent years</w:t>
      </w:r>
    </w:p>
    <w:p w:rsidR="00FA30CD" w:rsidRPr="00A67611" w:rsidRDefault="00FA30CD" w:rsidP="000F706A">
      <w:pPr>
        <w:pStyle w:val="3-BodyText"/>
        <w:rPr>
          <w:snapToGrid/>
        </w:rPr>
      </w:pPr>
      <w:r w:rsidRPr="00A67611">
        <w:t xml:space="preserve">There were slight differences </w:t>
      </w:r>
      <w:r w:rsidR="008D4D6C">
        <w:t xml:space="preserve">in drug costs </w:t>
      </w:r>
      <w:r w:rsidRPr="00A67611">
        <w:t>between the estimate</w:t>
      </w:r>
      <w:r w:rsidR="008D4D6C">
        <w:t xml:space="preserve"> </w:t>
      </w:r>
      <w:r w:rsidRPr="00A67611">
        <w:t xml:space="preserve">in the economic and </w:t>
      </w:r>
      <w:r w:rsidR="00DD2AB0" w:rsidRPr="00A67611">
        <w:t xml:space="preserve">financial </w:t>
      </w:r>
      <w:r w:rsidRPr="00A67611">
        <w:t>model</w:t>
      </w:r>
      <w:r w:rsidR="00DD2AB0" w:rsidRPr="00A67611">
        <w:t>s</w:t>
      </w:r>
      <w:r w:rsidRPr="00A67611">
        <w:t>, predominantly relating to higher costs of initiating therapy assumed in the</w:t>
      </w:r>
      <w:r w:rsidR="00DD2AB0" w:rsidRPr="00A67611">
        <w:t xml:space="preserve"> financial estimates. The trial-</w:t>
      </w:r>
      <w:r w:rsidRPr="00A67611">
        <w:t xml:space="preserve">based costs were lower, since patients received a </w:t>
      </w:r>
      <w:r w:rsidRPr="00A67611">
        <w:lastRenderedPageBreak/>
        <w:t>lower overall mean dose in the first 4 weeks of the trial compared to that assumed in the model or t</w:t>
      </w:r>
      <w:r w:rsidR="00453A12" w:rsidRPr="00A67611">
        <w:t>he financial estimates</w:t>
      </w:r>
      <w:r w:rsidR="0064518D" w:rsidRPr="00A67611">
        <w:t>.</w:t>
      </w:r>
    </w:p>
    <w:p w:rsidR="00FA30CD" w:rsidRPr="00A67611" w:rsidRDefault="00FA30CD" w:rsidP="00FA30CD">
      <w:pPr>
        <w:pStyle w:val="4-SubsectionHeading"/>
      </w:pPr>
      <w:bookmarkStart w:id="74" w:name="_Toc22897647"/>
      <w:bookmarkStart w:id="75" w:name="_Toc27326492"/>
      <w:bookmarkStart w:id="76" w:name="_Toc30583496"/>
      <w:r w:rsidRPr="00A67611">
        <w:t>Estimated PBS usage &amp; financial implications</w:t>
      </w:r>
      <w:bookmarkEnd w:id="74"/>
      <w:bookmarkEnd w:id="75"/>
      <w:bookmarkEnd w:id="76"/>
    </w:p>
    <w:p w:rsidR="00FA30CD" w:rsidRPr="00A67611" w:rsidRDefault="00FA30CD" w:rsidP="000F706A">
      <w:pPr>
        <w:pStyle w:val="3-BodyText"/>
      </w:pPr>
      <w:r w:rsidRPr="00A67611">
        <w:t xml:space="preserve">This </w:t>
      </w:r>
      <w:r w:rsidR="00E060D6" w:rsidRPr="00A67611">
        <w:t xml:space="preserve">resubmission was not </w:t>
      </w:r>
      <w:r w:rsidRPr="00A67611">
        <w:t>considered by DUSC.</w:t>
      </w:r>
    </w:p>
    <w:p w:rsidR="00FA30CD" w:rsidRPr="00A67611" w:rsidRDefault="00FA30CD" w:rsidP="000F706A">
      <w:pPr>
        <w:pStyle w:val="3-BodyText"/>
      </w:pPr>
      <w:r w:rsidRPr="00A67611">
        <w:t xml:space="preserve">Key inputs for the financial estimates are presented in </w:t>
      </w:r>
      <w:r w:rsidR="00D420F9" w:rsidRPr="00D420F9">
        <w:t>Table 15</w:t>
      </w:r>
      <w:r w:rsidRPr="00A67611">
        <w:t xml:space="preserve">. </w:t>
      </w:r>
    </w:p>
    <w:p w:rsidR="00FA30CD" w:rsidRPr="00A67611" w:rsidRDefault="0070424B" w:rsidP="00E9534A">
      <w:pPr>
        <w:pStyle w:val="TableFigureHeading"/>
        <w:keepLines/>
        <w:widowControl w:val="0"/>
        <w:rPr>
          <w:rStyle w:val="CommentReference"/>
          <w:b/>
          <w:szCs w:val="24"/>
        </w:rPr>
      </w:pPr>
      <w:bookmarkStart w:id="77" w:name="_Ref27567107"/>
      <w:r w:rsidRPr="00A67611">
        <w:rPr>
          <w:rStyle w:val="CommentReference"/>
          <w:b/>
          <w:szCs w:val="24"/>
        </w:rPr>
        <w:lastRenderedPageBreak/>
        <w:t xml:space="preserve">Table </w:t>
      </w:r>
      <w:r w:rsidR="00D420F9">
        <w:rPr>
          <w:rStyle w:val="CommentReference"/>
          <w:b/>
          <w:noProof/>
          <w:szCs w:val="24"/>
        </w:rPr>
        <w:t>15</w:t>
      </w:r>
      <w:bookmarkEnd w:id="77"/>
      <w:r w:rsidR="00FA30CD" w:rsidRPr="00A67611">
        <w:rPr>
          <w:rStyle w:val="CommentReference"/>
          <w:b/>
          <w:szCs w:val="24"/>
        </w:rPr>
        <w:t>: Key inputs for financial estimates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842"/>
        <w:gridCol w:w="1984"/>
        <w:gridCol w:w="3685"/>
      </w:tblGrid>
      <w:tr w:rsidR="00FA30CD" w:rsidRPr="00A67611" w:rsidTr="001F3025">
        <w:trPr>
          <w:tblHeader/>
        </w:trPr>
        <w:tc>
          <w:tcPr>
            <w:tcW w:w="858" w:type="pct"/>
            <w:shd w:val="clear" w:color="auto" w:fill="auto"/>
            <w:vAlign w:val="center"/>
          </w:tcPr>
          <w:p w:rsidR="00FA30CD" w:rsidRPr="00A67611" w:rsidRDefault="00FA30CD" w:rsidP="00E9534A">
            <w:pPr>
              <w:pStyle w:val="In-tableHeading"/>
              <w:keepLines/>
              <w:widowControl w:val="0"/>
              <w:rPr>
                <w:lang w:val="en-AU"/>
              </w:rPr>
            </w:pPr>
            <w:r w:rsidRPr="00A67611">
              <w:rPr>
                <w:lang w:val="en-AU"/>
              </w:rPr>
              <w:t>Parameter</w:t>
            </w:r>
          </w:p>
        </w:tc>
        <w:tc>
          <w:tcPr>
            <w:tcW w:w="2110" w:type="pct"/>
            <w:gridSpan w:val="2"/>
            <w:shd w:val="clear" w:color="auto" w:fill="auto"/>
            <w:vAlign w:val="center"/>
          </w:tcPr>
          <w:p w:rsidR="00FA30CD" w:rsidRPr="00A67611" w:rsidRDefault="00FA30CD" w:rsidP="00E9534A">
            <w:pPr>
              <w:pStyle w:val="In-tableHeading"/>
              <w:keepLines/>
              <w:widowControl w:val="0"/>
              <w:rPr>
                <w:lang w:val="en-AU"/>
              </w:rPr>
            </w:pPr>
            <w:r w:rsidRPr="00A67611">
              <w:rPr>
                <w:lang w:val="en-AU"/>
              </w:rPr>
              <w:t>Value applied and source</w:t>
            </w:r>
          </w:p>
        </w:tc>
        <w:tc>
          <w:tcPr>
            <w:tcW w:w="2032" w:type="pct"/>
            <w:shd w:val="clear" w:color="auto" w:fill="auto"/>
            <w:vAlign w:val="center"/>
          </w:tcPr>
          <w:p w:rsidR="00FA30CD" w:rsidRPr="00A67611" w:rsidRDefault="00FA30CD" w:rsidP="00E9534A">
            <w:pPr>
              <w:pStyle w:val="In-tableHeading"/>
              <w:keepLines/>
              <w:widowControl w:val="0"/>
              <w:rPr>
                <w:lang w:val="en-AU"/>
              </w:rPr>
            </w:pPr>
            <w:r w:rsidRPr="00A67611">
              <w:rPr>
                <w:lang w:val="en-AU"/>
              </w:rPr>
              <w:t>Comment</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Prevalent population</w:t>
            </w:r>
          </w:p>
        </w:tc>
        <w:tc>
          <w:tcPr>
            <w:tcW w:w="2110" w:type="pct"/>
            <w:gridSpan w:val="2"/>
            <w:shd w:val="clear" w:color="auto" w:fill="auto"/>
            <w:vAlign w:val="center"/>
          </w:tcPr>
          <w:p w:rsidR="00FA30CD" w:rsidRPr="00A67611" w:rsidRDefault="00FA30CD" w:rsidP="00E9534A">
            <w:pPr>
              <w:pStyle w:val="TableText0"/>
              <w:keepLines/>
              <w:widowControl w:val="0"/>
            </w:pPr>
            <w:r w:rsidRPr="00A67611">
              <w:t>Prevalence of 103.7 per 100,000 with 1.23% growth rate based on Ahmad 2018.</w:t>
            </w:r>
          </w:p>
        </w:tc>
        <w:tc>
          <w:tcPr>
            <w:tcW w:w="2032" w:type="pct"/>
            <w:shd w:val="clear" w:color="auto" w:fill="auto"/>
            <w:vAlign w:val="center"/>
          </w:tcPr>
          <w:p w:rsidR="00FA30CD" w:rsidRPr="00A67611" w:rsidRDefault="00FA30CD" w:rsidP="00E9534A">
            <w:pPr>
              <w:pStyle w:val="TableText0"/>
              <w:keepLines/>
              <w:widowControl w:val="0"/>
            </w:pPr>
            <w:r w:rsidRPr="00A67611">
              <w:t>Considered uncertain</w:t>
            </w:r>
            <w:r w:rsidR="0070424B" w:rsidRPr="00A67611">
              <w:t xml:space="preserve"> and other methods of estimation were not explored</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 with moderate to severe spasticity</w:t>
            </w:r>
          </w:p>
        </w:tc>
        <w:tc>
          <w:tcPr>
            <w:tcW w:w="2110" w:type="pct"/>
            <w:gridSpan w:val="2"/>
            <w:shd w:val="clear" w:color="auto" w:fill="auto"/>
            <w:vAlign w:val="center"/>
          </w:tcPr>
          <w:p w:rsidR="00FA30CD" w:rsidRPr="00A67611" w:rsidRDefault="0070424B" w:rsidP="00E9534A">
            <w:pPr>
              <w:pStyle w:val="TableText0"/>
              <w:keepLines/>
              <w:widowControl w:val="0"/>
            </w:pPr>
            <w:r w:rsidRPr="00A67611">
              <w:t xml:space="preserve">34% based on Rizzo </w:t>
            </w:r>
            <w:r w:rsidR="00FA30CD" w:rsidRPr="00A67611">
              <w:t>2014.</w:t>
            </w:r>
          </w:p>
        </w:tc>
        <w:tc>
          <w:tcPr>
            <w:tcW w:w="2032" w:type="pct"/>
            <w:shd w:val="clear" w:color="auto" w:fill="auto"/>
            <w:vAlign w:val="center"/>
          </w:tcPr>
          <w:p w:rsidR="00FA30CD" w:rsidRPr="00A67611" w:rsidRDefault="00FA30CD" w:rsidP="00E9534A">
            <w:pPr>
              <w:pStyle w:val="TableText0"/>
              <w:keepLines/>
              <w:widowControl w:val="0"/>
            </w:pPr>
            <w:r w:rsidRPr="00A67611">
              <w:t xml:space="preserve">Rizzo </w:t>
            </w:r>
            <w:r w:rsidR="003039E4" w:rsidRPr="00A67611">
              <w:t xml:space="preserve">2014 did not use NRS to define severity of spasticity. Flachenecker 2013, which used NRS to define severity of MS associated spasticity, reported that 47.3% of all MS patients would have </w:t>
            </w:r>
            <w:r w:rsidR="00117A7E" w:rsidRPr="00A67611">
              <w:t xml:space="preserve">moderate to severe spasticity. </w:t>
            </w:r>
            <w:r w:rsidR="003039E4" w:rsidRPr="00A67611">
              <w:t xml:space="preserve"> </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 taking oral anti-spasticity medication</w:t>
            </w:r>
          </w:p>
        </w:tc>
        <w:tc>
          <w:tcPr>
            <w:tcW w:w="2110" w:type="pct"/>
            <w:gridSpan w:val="2"/>
            <w:shd w:val="clear" w:color="auto" w:fill="auto"/>
            <w:vAlign w:val="center"/>
          </w:tcPr>
          <w:p w:rsidR="00FA30CD" w:rsidRPr="00A67611" w:rsidRDefault="00FA30CD" w:rsidP="00E9534A">
            <w:pPr>
              <w:pStyle w:val="TableText0"/>
              <w:keepLines/>
              <w:widowControl w:val="0"/>
            </w:pPr>
            <w:r w:rsidRPr="003E531D">
              <w:t>80</w:t>
            </w:r>
            <w:r w:rsidRPr="00A67611">
              <w:t>% based on survey of two neurologists</w:t>
            </w:r>
          </w:p>
        </w:tc>
        <w:tc>
          <w:tcPr>
            <w:tcW w:w="2032" w:type="pct"/>
            <w:shd w:val="clear" w:color="auto" w:fill="auto"/>
            <w:vAlign w:val="center"/>
          </w:tcPr>
          <w:p w:rsidR="00FA30CD" w:rsidRPr="00A67611" w:rsidRDefault="00FA30CD" w:rsidP="00E9534A">
            <w:pPr>
              <w:pStyle w:val="TableText0"/>
              <w:keepLines/>
              <w:widowControl w:val="0"/>
            </w:pPr>
            <w:r w:rsidRPr="00A67611">
              <w:t>Uncertain based on method of estimation and low survey number</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Uptake rate</w:t>
            </w:r>
          </w:p>
        </w:tc>
        <w:tc>
          <w:tcPr>
            <w:tcW w:w="2110" w:type="pct"/>
            <w:gridSpan w:val="2"/>
            <w:shd w:val="clear" w:color="auto" w:fill="auto"/>
            <w:vAlign w:val="center"/>
          </w:tcPr>
          <w:p w:rsidR="00FA30CD" w:rsidRPr="00A67611" w:rsidRDefault="00FA30CD" w:rsidP="00E9534A">
            <w:pPr>
              <w:pStyle w:val="TableText0"/>
              <w:keepLines/>
              <w:widowControl w:val="0"/>
            </w:pPr>
            <w:r w:rsidRPr="003E531D">
              <w:t>15</w:t>
            </w:r>
            <w:r w:rsidRPr="00A67611">
              <w:t xml:space="preserve">% in Year 1 and 2, </w:t>
            </w:r>
            <w:r w:rsidRPr="003E531D">
              <w:t>5</w:t>
            </w:r>
            <w:r w:rsidRPr="00A67611">
              <w:t xml:space="preserve">% in Year 3 and </w:t>
            </w:r>
            <w:r w:rsidRPr="003E531D">
              <w:t>1</w:t>
            </w:r>
            <w:r w:rsidRPr="00A67611">
              <w:t xml:space="preserve">% thereafter based on predictions by Sponsor and historical uptake rates in the UK.  </w:t>
            </w:r>
          </w:p>
        </w:tc>
        <w:tc>
          <w:tcPr>
            <w:tcW w:w="2032" w:type="pct"/>
            <w:shd w:val="clear" w:color="auto" w:fill="auto"/>
            <w:vAlign w:val="center"/>
          </w:tcPr>
          <w:p w:rsidR="00FA30CD" w:rsidRPr="00A67611" w:rsidRDefault="00FA30CD" w:rsidP="00E9534A">
            <w:pPr>
              <w:pStyle w:val="TableText0"/>
              <w:keepLines/>
              <w:widowControl w:val="0"/>
            </w:pPr>
            <w:r w:rsidRPr="00A67611">
              <w:t>Likely underestimated because restriction does not preclude p</w:t>
            </w:r>
            <w:r w:rsidR="003039E4" w:rsidRPr="00A67611">
              <w:t>atients from re</w:t>
            </w:r>
            <w:r w:rsidR="0070424B" w:rsidRPr="00A67611">
              <w:t>-</w:t>
            </w:r>
            <w:r w:rsidR="000933EE" w:rsidRPr="00A67611">
              <w:t>trialling</w:t>
            </w:r>
            <w:r w:rsidR="003039E4" w:rsidRPr="00A67611">
              <w:t xml:space="preserve"> therapy, and appears low for a group considered treatment refractory</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Proportion of patients meeting criteria for continuation</w:t>
            </w:r>
          </w:p>
        </w:tc>
        <w:tc>
          <w:tcPr>
            <w:tcW w:w="2110" w:type="pct"/>
            <w:gridSpan w:val="2"/>
            <w:shd w:val="clear" w:color="auto" w:fill="auto"/>
            <w:vAlign w:val="center"/>
          </w:tcPr>
          <w:p w:rsidR="00FA30CD" w:rsidRPr="00FA1835" w:rsidRDefault="00FA30CD" w:rsidP="00E9534A">
            <w:pPr>
              <w:pStyle w:val="TableText0"/>
              <w:keepLines/>
              <w:widowControl w:val="0"/>
            </w:pPr>
            <w:r w:rsidRPr="00FA1835">
              <w:t xml:space="preserve">55.5% based on proportion entering </w:t>
            </w:r>
            <w:r w:rsidR="006E5237" w:rsidRPr="00FA1835">
              <w:t>P</w:t>
            </w:r>
            <w:r w:rsidRPr="00FA1835">
              <w:t>hase B of Markovà 2019</w:t>
            </w:r>
            <w:r w:rsidR="00F64FBC" w:rsidRPr="00FA1835">
              <w:t xml:space="preserve">, based on having at least a 20% improvement in NRS in </w:t>
            </w:r>
            <w:r w:rsidR="006E5237" w:rsidRPr="00FA1835">
              <w:t>P</w:t>
            </w:r>
            <w:r w:rsidR="00F64FBC" w:rsidRPr="00FA1835">
              <w:t>hase A</w:t>
            </w:r>
            <w:r w:rsidR="00064F1E" w:rsidRPr="00FA1835">
              <w:t xml:space="preserve"> </w:t>
            </w:r>
            <w:r w:rsidR="00F64FBC" w:rsidRPr="00FA1835">
              <w:t>and having reverted back to at least 80% of their baseline NRS</w:t>
            </w:r>
          </w:p>
        </w:tc>
        <w:tc>
          <w:tcPr>
            <w:tcW w:w="2032" w:type="pct"/>
            <w:shd w:val="clear" w:color="auto" w:fill="auto"/>
            <w:vAlign w:val="center"/>
          </w:tcPr>
          <w:p w:rsidR="00FA30CD" w:rsidRPr="00FA1835" w:rsidRDefault="00FA30CD" w:rsidP="00E9534A">
            <w:pPr>
              <w:pStyle w:val="TableText0"/>
              <w:keepLines/>
              <w:widowControl w:val="0"/>
            </w:pPr>
            <w:r w:rsidRPr="00FA1835">
              <w:t>May be underestimated since patients also discontinued for reasons other than non-response in Markovà 2019, and real-world data indicates a higher rate of continuation.</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Grandfathered patients</w:t>
            </w:r>
          </w:p>
        </w:tc>
        <w:tc>
          <w:tcPr>
            <w:tcW w:w="2110" w:type="pct"/>
            <w:gridSpan w:val="2"/>
            <w:shd w:val="clear" w:color="auto" w:fill="auto"/>
            <w:vAlign w:val="center"/>
          </w:tcPr>
          <w:p w:rsidR="00FA30CD" w:rsidRPr="00FA1835" w:rsidRDefault="00FA30CD" w:rsidP="00E9534A">
            <w:pPr>
              <w:pStyle w:val="TableText0"/>
              <w:keepLines/>
              <w:widowControl w:val="0"/>
            </w:pPr>
            <w:r w:rsidRPr="00FA1835">
              <w:t>None included.</w:t>
            </w:r>
          </w:p>
        </w:tc>
        <w:tc>
          <w:tcPr>
            <w:tcW w:w="2032" w:type="pct"/>
            <w:shd w:val="clear" w:color="auto" w:fill="auto"/>
            <w:vAlign w:val="center"/>
          </w:tcPr>
          <w:p w:rsidR="00FA30CD" w:rsidRPr="00FA1835" w:rsidRDefault="00FA1835" w:rsidP="00FA1835">
            <w:pPr>
              <w:pStyle w:val="TableText0"/>
              <w:keepLines/>
              <w:widowControl w:val="0"/>
            </w:pPr>
            <w:r>
              <w:t xml:space="preserve">It is uncertain if the estimated 56 patients currently being treated with nabiximols will qualify under the proposed PBS criteria. </w:t>
            </w:r>
            <w:r w:rsidR="00FA30CD" w:rsidRPr="00FA1835">
              <w:t xml:space="preserve"> </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Dose</w:t>
            </w:r>
          </w:p>
        </w:tc>
        <w:tc>
          <w:tcPr>
            <w:tcW w:w="2110" w:type="pct"/>
            <w:gridSpan w:val="2"/>
            <w:shd w:val="clear" w:color="auto" w:fill="auto"/>
            <w:vAlign w:val="center"/>
          </w:tcPr>
          <w:p w:rsidR="00FA30CD" w:rsidRPr="00A67611" w:rsidRDefault="00FA30CD" w:rsidP="00E9534A">
            <w:pPr>
              <w:pStyle w:val="TableText0"/>
              <w:keepLines/>
              <w:widowControl w:val="0"/>
            </w:pPr>
            <w:r w:rsidRPr="00A67611">
              <w:t>0.92 scripts of three spray bottles for initial patients and 4.93 scripts for two units of three spray bottles</w:t>
            </w:r>
          </w:p>
        </w:tc>
        <w:tc>
          <w:tcPr>
            <w:tcW w:w="2032" w:type="pct"/>
            <w:shd w:val="clear" w:color="auto" w:fill="auto"/>
            <w:vAlign w:val="center"/>
          </w:tcPr>
          <w:p w:rsidR="00FA30CD" w:rsidRPr="00A67611" w:rsidRDefault="00FA30CD" w:rsidP="00F82043">
            <w:pPr>
              <w:pStyle w:val="TableText0"/>
              <w:keepLines/>
              <w:widowControl w:val="0"/>
            </w:pPr>
            <w:r w:rsidRPr="00A67611">
              <w:t>Inconsistent with the economic evaluation</w:t>
            </w:r>
            <w:r w:rsidR="00F82043">
              <w:t xml:space="preserve"> (which estimated lower use for initial patients). </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Change in comparator/ subsequent therapies</w:t>
            </w:r>
          </w:p>
        </w:tc>
        <w:tc>
          <w:tcPr>
            <w:tcW w:w="2110" w:type="pct"/>
            <w:gridSpan w:val="2"/>
            <w:shd w:val="clear" w:color="auto" w:fill="auto"/>
            <w:vAlign w:val="center"/>
          </w:tcPr>
          <w:p w:rsidR="00FA30CD" w:rsidRPr="00A67611" w:rsidRDefault="00FA30CD" w:rsidP="00E9534A">
            <w:pPr>
              <w:pStyle w:val="TableText0"/>
              <w:keepLines/>
              <w:widowControl w:val="0"/>
            </w:pPr>
            <w:r w:rsidRPr="00A67611">
              <w:t>None included.</w:t>
            </w:r>
          </w:p>
        </w:tc>
        <w:tc>
          <w:tcPr>
            <w:tcW w:w="2032" w:type="pct"/>
            <w:shd w:val="clear" w:color="auto" w:fill="auto"/>
            <w:vAlign w:val="center"/>
          </w:tcPr>
          <w:p w:rsidR="00FA30CD" w:rsidRPr="00A67611" w:rsidRDefault="00FA30CD" w:rsidP="000933EE">
            <w:pPr>
              <w:pStyle w:val="TableText0"/>
              <w:keepLines/>
              <w:widowControl w:val="0"/>
            </w:pPr>
            <w:r w:rsidRPr="00A67611">
              <w:t xml:space="preserve">May be unreasonable, given that patients need to be taking oral anti-spasticity medication to access nabiximols under the proposed restriction. </w:t>
            </w:r>
            <w:r w:rsidR="00076574" w:rsidRPr="00A67611">
              <w:t>There</w:t>
            </w:r>
            <w:r w:rsidR="000933EE">
              <w:t>fore there</w:t>
            </w:r>
            <w:r w:rsidR="00076574" w:rsidRPr="00A67611">
              <w:t xml:space="preserve"> may be an increase in use of other therapies associated with init</w:t>
            </w:r>
            <w:r w:rsidR="00044849" w:rsidRPr="00A67611">
              <w:t>i</w:t>
            </w:r>
            <w:r w:rsidR="00076574" w:rsidRPr="00A67611">
              <w:t>ation of nabiximols.</w:t>
            </w:r>
          </w:p>
        </w:tc>
      </w:tr>
      <w:tr w:rsidR="00FA30CD" w:rsidRPr="00A67611" w:rsidTr="001F3025">
        <w:tc>
          <w:tcPr>
            <w:tcW w:w="858" w:type="pct"/>
            <w:shd w:val="clear" w:color="auto" w:fill="auto"/>
            <w:vAlign w:val="center"/>
          </w:tcPr>
          <w:p w:rsidR="00FA30CD" w:rsidRPr="00A67611" w:rsidRDefault="00FA30CD" w:rsidP="00E9534A">
            <w:pPr>
              <w:pStyle w:val="TableText0"/>
              <w:keepLines/>
              <w:widowControl w:val="0"/>
            </w:pPr>
            <w:r w:rsidRPr="00A67611">
              <w:t>Cost of adverse events</w:t>
            </w:r>
          </w:p>
        </w:tc>
        <w:tc>
          <w:tcPr>
            <w:tcW w:w="2110" w:type="pct"/>
            <w:gridSpan w:val="2"/>
            <w:shd w:val="clear" w:color="auto" w:fill="auto"/>
            <w:vAlign w:val="center"/>
          </w:tcPr>
          <w:p w:rsidR="00FA30CD" w:rsidRPr="00A67611" w:rsidRDefault="00FA30CD" w:rsidP="00E9534A">
            <w:pPr>
              <w:pStyle w:val="TableText0"/>
              <w:keepLines/>
              <w:widowControl w:val="0"/>
            </w:pPr>
            <w:r w:rsidRPr="00A67611">
              <w:t>None included.</w:t>
            </w:r>
          </w:p>
        </w:tc>
        <w:tc>
          <w:tcPr>
            <w:tcW w:w="2032" w:type="pct"/>
            <w:shd w:val="clear" w:color="auto" w:fill="auto"/>
            <w:vAlign w:val="center"/>
          </w:tcPr>
          <w:p w:rsidR="00FA30CD" w:rsidRPr="00A67611" w:rsidRDefault="0071157F" w:rsidP="00E9534A">
            <w:pPr>
              <w:pStyle w:val="TableText0"/>
              <w:keepLines/>
              <w:widowControl w:val="0"/>
            </w:pPr>
            <w:r w:rsidRPr="00A67611">
              <w:t>These should have been included</w:t>
            </w:r>
            <w:r w:rsidR="00B05FC3" w:rsidRPr="00A67611">
              <w:t>.</w:t>
            </w:r>
            <w:r w:rsidRPr="00A67611">
              <w:t xml:space="preserve">  </w:t>
            </w:r>
          </w:p>
        </w:tc>
      </w:tr>
      <w:tr w:rsidR="001F3025" w:rsidRPr="00A67611" w:rsidTr="001F3025">
        <w:tc>
          <w:tcPr>
            <w:tcW w:w="858" w:type="pct"/>
            <w:vMerge w:val="restart"/>
            <w:vAlign w:val="center"/>
          </w:tcPr>
          <w:p w:rsidR="001F3025" w:rsidRPr="00A67611" w:rsidRDefault="001F3025" w:rsidP="00E9534A">
            <w:pPr>
              <w:pStyle w:val="TableText0"/>
              <w:keepLines/>
              <w:widowControl w:val="0"/>
            </w:pPr>
            <w:r w:rsidRPr="00A67611">
              <w:t>Treatment costs for responders and non-responder</w:t>
            </w:r>
            <w:r w:rsidR="00065870" w:rsidRPr="00A67611">
              <w:t xml:space="preserve">s on nabiximols and standard </w:t>
            </w:r>
            <w:r w:rsidRPr="00A67611">
              <w:t>care</w:t>
            </w:r>
          </w:p>
        </w:tc>
        <w:tc>
          <w:tcPr>
            <w:tcW w:w="1016" w:type="pct"/>
            <w:vAlign w:val="center"/>
          </w:tcPr>
          <w:p w:rsidR="001F3025" w:rsidRPr="00A67611" w:rsidRDefault="001F3025" w:rsidP="00E9534A">
            <w:pPr>
              <w:pStyle w:val="TableText0"/>
              <w:keepLines/>
              <w:widowControl w:val="0"/>
            </w:pPr>
            <w:r w:rsidRPr="00A67611">
              <w:t>$1,400 Treatment for drug disorders for serious adverse event</w:t>
            </w:r>
          </w:p>
        </w:tc>
        <w:tc>
          <w:tcPr>
            <w:tcW w:w="1094" w:type="pct"/>
            <w:vAlign w:val="center"/>
          </w:tcPr>
          <w:p w:rsidR="001F3025" w:rsidRPr="00A67611" w:rsidRDefault="001F3025" w:rsidP="00E9534A">
            <w:pPr>
              <w:pStyle w:val="TableText0"/>
              <w:keepLines/>
              <w:widowControl w:val="0"/>
            </w:pPr>
            <w:r w:rsidRPr="00A67611">
              <w:t>AR-DRG Public Sector V66Z</w:t>
            </w:r>
          </w:p>
          <w:p w:rsidR="001F3025" w:rsidRPr="00A67611" w:rsidRDefault="001F3025" w:rsidP="00E9534A">
            <w:pPr>
              <w:pStyle w:val="TableText0"/>
              <w:keepLines/>
              <w:widowControl w:val="0"/>
            </w:pPr>
          </w:p>
        </w:tc>
        <w:tc>
          <w:tcPr>
            <w:tcW w:w="2032" w:type="pct"/>
            <w:vMerge w:val="restart"/>
            <w:vAlign w:val="center"/>
          </w:tcPr>
          <w:p w:rsidR="001F3025" w:rsidRPr="00A67611" w:rsidRDefault="001F3025" w:rsidP="00E9534A">
            <w:pPr>
              <w:pStyle w:val="TableText0"/>
              <w:keepLines/>
              <w:widowControl w:val="0"/>
            </w:pPr>
            <w:r w:rsidRPr="00A67611">
              <w:t xml:space="preserve">While the sources look appropriate, for the costs per episode or hour, it wasn’t clear where the value of $38.78 per hour for home care was in the reported reference source. Rates for NDIS self-care for example appeared to be at least 10% higher. </w:t>
            </w:r>
          </w:p>
        </w:tc>
      </w:tr>
      <w:tr w:rsidR="001F3025" w:rsidRPr="00A67611" w:rsidTr="001F3025">
        <w:tc>
          <w:tcPr>
            <w:tcW w:w="858" w:type="pct"/>
            <w:vMerge/>
            <w:vAlign w:val="center"/>
          </w:tcPr>
          <w:p w:rsidR="001F3025" w:rsidRPr="00A67611" w:rsidRDefault="001F3025" w:rsidP="00E9534A">
            <w:pPr>
              <w:pStyle w:val="TableText0"/>
              <w:keepLines/>
              <w:widowControl w:val="0"/>
            </w:pPr>
          </w:p>
        </w:tc>
        <w:tc>
          <w:tcPr>
            <w:tcW w:w="1016" w:type="pct"/>
            <w:vAlign w:val="center"/>
          </w:tcPr>
          <w:p w:rsidR="001F3025" w:rsidRPr="00A67611" w:rsidRDefault="001F3025" w:rsidP="00E9534A">
            <w:pPr>
              <w:pStyle w:val="TableText0"/>
              <w:keepLines/>
              <w:widowControl w:val="0"/>
              <w:spacing w:after="40"/>
            </w:pPr>
            <w:r w:rsidRPr="00A67611">
              <w:t>$185 outpatient treatment per episode</w:t>
            </w:r>
          </w:p>
          <w:p w:rsidR="001F3025" w:rsidRPr="00A67611" w:rsidRDefault="001F3025" w:rsidP="00E9534A">
            <w:pPr>
              <w:pStyle w:val="TableText0"/>
              <w:keepLines/>
              <w:widowControl w:val="0"/>
              <w:spacing w:after="40"/>
            </w:pPr>
            <w:r w:rsidRPr="00A67611">
              <w:t>$666 A&amp;E per episode</w:t>
            </w:r>
          </w:p>
          <w:p w:rsidR="001F3025" w:rsidRPr="00A67611" w:rsidRDefault="001F3025" w:rsidP="00E9534A">
            <w:pPr>
              <w:pStyle w:val="TableText0"/>
              <w:keepLines/>
              <w:widowControl w:val="0"/>
            </w:pPr>
            <w:r w:rsidRPr="00A67611">
              <w:t>$2,087 per hospital admission</w:t>
            </w:r>
          </w:p>
        </w:tc>
        <w:tc>
          <w:tcPr>
            <w:tcW w:w="1094" w:type="pct"/>
            <w:vAlign w:val="center"/>
          </w:tcPr>
          <w:p w:rsidR="001F3025" w:rsidRPr="00A67611" w:rsidRDefault="001F3025" w:rsidP="00E9534A">
            <w:pPr>
              <w:pStyle w:val="TableText0"/>
              <w:keepLines/>
              <w:widowControl w:val="0"/>
              <w:spacing w:after="40"/>
            </w:pPr>
            <w:r w:rsidRPr="00A67611">
              <w:t>AMA: List of medical services and fees</w:t>
            </w:r>
          </w:p>
          <w:p w:rsidR="001F3025" w:rsidRPr="00A67611" w:rsidRDefault="001F3025" w:rsidP="00E9534A">
            <w:pPr>
              <w:pStyle w:val="TableText0"/>
              <w:keepLines/>
              <w:widowControl w:val="0"/>
              <w:spacing w:after="40"/>
            </w:pPr>
            <w:r w:rsidRPr="00A67611">
              <w:t>National hospital cost data round 21 2016-17</w:t>
            </w:r>
          </w:p>
          <w:p w:rsidR="001F3025" w:rsidRPr="00A67611" w:rsidRDefault="001F3025" w:rsidP="00E9534A">
            <w:pPr>
              <w:pStyle w:val="TableText0"/>
              <w:keepLines/>
              <w:widowControl w:val="0"/>
            </w:pPr>
            <w:r w:rsidRPr="00A67611">
              <w:t>As above (cost weight table)</w:t>
            </w:r>
          </w:p>
        </w:tc>
        <w:tc>
          <w:tcPr>
            <w:tcW w:w="2032" w:type="pct"/>
            <w:vMerge/>
            <w:vAlign w:val="center"/>
          </w:tcPr>
          <w:p w:rsidR="001F3025" w:rsidRPr="00A67611" w:rsidRDefault="001F3025" w:rsidP="00E9534A">
            <w:pPr>
              <w:pStyle w:val="TableText0"/>
              <w:keepLines/>
              <w:widowControl w:val="0"/>
              <w:rPr>
                <w:i/>
              </w:rPr>
            </w:pPr>
          </w:p>
        </w:tc>
      </w:tr>
      <w:tr w:rsidR="001F3025" w:rsidRPr="00A67611" w:rsidTr="001F3025">
        <w:tc>
          <w:tcPr>
            <w:tcW w:w="858" w:type="pct"/>
            <w:vMerge/>
            <w:vAlign w:val="center"/>
          </w:tcPr>
          <w:p w:rsidR="001F3025" w:rsidRPr="00A67611" w:rsidRDefault="001F3025" w:rsidP="00E9534A">
            <w:pPr>
              <w:pStyle w:val="TableText0"/>
              <w:keepLines/>
              <w:widowControl w:val="0"/>
            </w:pPr>
          </w:p>
        </w:tc>
        <w:tc>
          <w:tcPr>
            <w:tcW w:w="1016" w:type="pct"/>
            <w:vAlign w:val="center"/>
          </w:tcPr>
          <w:p w:rsidR="001F3025" w:rsidRPr="00A67611" w:rsidRDefault="001F3025" w:rsidP="00E9534A">
            <w:pPr>
              <w:pStyle w:val="TableText0"/>
              <w:keepLines/>
              <w:widowControl w:val="0"/>
              <w:spacing w:after="40"/>
            </w:pPr>
            <w:r w:rsidRPr="00A67611">
              <w:t>$91.83 per hour district nurse</w:t>
            </w:r>
          </w:p>
          <w:p w:rsidR="001F3025" w:rsidRPr="00A67611" w:rsidRDefault="001F3025" w:rsidP="00E9534A">
            <w:pPr>
              <w:pStyle w:val="TableText0"/>
              <w:keepLines/>
              <w:widowControl w:val="0"/>
            </w:pPr>
            <w:r w:rsidRPr="00A67611">
              <w:t xml:space="preserve">$38.78 per hour home care </w:t>
            </w:r>
          </w:p>
        </w:tc>
        <w:tc>
          <w:tcPr>
            <w:tcW w:w="1094" w:type="pct"/>
            <w:vAlign w:val="center"/>
          </w:tcPr>
          <w:p w:rsidR="001F3025" w:rsidRPr="00A67611" w:rsidRDefault="001F3025" w:rsidP="00E9534A">
            <w:pPr>
              <w:pStyle w:val="TableText0"/>
              <w:keepLines/>
              <w:widowControl w:val="0"/>
              <w:spacing w:after="40"/>
            </w:pPr>
            <w:r w:rsidRPr="00A67611">
              <w:t>Pbs.gov.au. December 2016 manual of resources</w:t>
            </w:r>
          </w:p>
          <w:p w:rsidR="001F3025" w:rsidRPr="00A67611" w:rsidRDefault="001F3025" w:rsidP="00E9534A">
            <w:pPr>
              <w:pStyle w:val="TableText0"/>
              <w:keepLines/>
              <w:widowControl w:val="0"/>
            </w:pPr>
            <w:r w:rsidRPr="00A67611">
              <w:t>Arts.unsw.edu.au NDIS pricing report</w:t>
            </w:r>
          </w:p>
        </w:tc>
        <w:tc>
          <w:tcPr>
            <w:tcW w:w="2032" w:type="pct"/>
            <w:vMerge/>
            <w:vAlign w:val="center"/>
          </w:tcPr>
          <w:p w:rsidR="001F3025" w:rsidRPr="00A67611" w:rsidRDefault="001F3025" w:rsidP="00E9534A">
            <w:pPr>
              <w:pStyle w:val="TableText0"/>
              <w:keepLines/>
              <w:widowControl w:val="0"/>
              <w:rPr>
                <w:highlight w:val="green"/>
              </w:rPr>
            </w:pPr>
          </w:p>
        </w:tc>
      </w:tr>
      <w:tr w:rsidR="006E629F" w:rsidRPr="00A67611" w:rsidTr="000E68C3">
        <w:tc>
          <w:tcPr>
            <w:tcW w:w="858" w:type="pct"/>
            <w:shd w:val="clear" w:color="auto" w:fill="auto"/>
            <w:vAlign w:val="center"/>
          </w:tcPr>
          <w:p w:rsidR="006E629F" w:rsidRPr="00A67611" w:rsidRDefault="006E629F" w:rsidP="00E9534A">
            <w:pPr>
              <w:pStyle w:val="TableText0"/>
              <w:keepLines/>
              <w:widowControl w:val="0"/>
            </w:pPr>
            <w:r w:rsidRPr="00A67611">
              <w:t>Cost offsets for medical services</w:t>
            </w:r>
            <w:r w:rsidR="005D247F" w:rsidRPr="00A67611">
              <w:t xml:space="preserve"> (</w:t>
            </w:r>
            <w:r w:rsidR="00C97E57" w:rsidRPr="00A67611">
              <w:t>per continuing patient treated with nabiximols per annum)</w:t>
            </w:r>
            <w:r w:rsidR="005D247F" w:rsidRPr="00A67611">
              <w:t xml:space="preserve"> </w:t>
            </w:r>
          </w:p>
        </w:tc>
        <w:tc>
          <w:tcPr>
            <w:tcW w:w="1016" w:type="pct"/>
            <w:shd w:val="clear" w:color="auto" w:fill="auto"/>
            <w:vAlign w:val="center"/>
          </w:tcPr>
          <w:p w:rsidR="005D247F" w:rsidRPr="00A67611" w:rsidRDefault="005D247F" w:rsidP="00E9534A">
            <w:pPr>
              <w:pStyle w:val="TableText0"/>
              <w:keepLines/>
              <w:widowControl w:val="0"/>
              <w:spacing w:after="40"/>
              <w:rPr>
                <w:szCs w:val="20"/>
              </w:rPr>
            </w:pPr>
            <w:r w:rsidRPr="00A67611">
              <w:rPr>
                <w:szCs w:val="20"/>
              </w:rPr>
              <w:t>-$6,362.29</w:t>
            </w:r>
          </w:p>
          <w:p w:rsidR="005D247F" w:rsidRPr="00A67611" w:rsidRDefault="005D247F" w:rsidP="00E9534A">
            <w:pPr>
              <w:pStyle w:val="TableText0"/>
              <w:keepLines/>
              <w:widowControl w:val="0"/>
              <w:spacing w:after="40"/>
            </w:pPr>
            <w:r w:rsidRPr="00A67611">
              <w:t xml:space="preserve">  </w:t>
            </w:r>
          </w:p>
        </w:tc>
        <w:tc>
          <w:tcPr>
            <w:tcW w:w="1094" w:type="pct"/>
            <w:shd w:val="clear" w:color="auto" w:fill="auto"/>
            <w:vAlign w:val="center"/>
          </w:tcPr>
          <w:p w:rsidR="006E629F" w:rsidRPr="00A67611" w:rsidRDefault="00C97E57" w:rsidP="00E9534A">
            <w:pPr>
              <w:pStyle w:val="TableText0"/>
              <w:keepLines/>
              <w:widowControl w:val="0"/>
              <w:spacing w:after="40"/>
            </w:pPr>
            <w:r w:rsidRPr="00A67611">
              <w:t>Resource</w:t>
            </w:r>
            <w:r w:rsidR="005D247F" w:rsidRPr="00A67611">
              <w:t xml:space="preserve"> utilisation from </w:t>
            </w:r>
            <w:r w:rsidR="005E08A3" w:rsidRPr="00A67611">
              <w:t>Stevenson 2015</w:t>
            </w:r>
            <w:r w:rsidRPr="00A67611">
              <w:t xml:space="preserve"> and MBS fee</w:t>
            </w:r>
          </w:p>
        </w:tc>
        <w:tc>
          <w:tcPr>
            <w:tcW w:w="2032" w:type="pct"/>
            <w:shd w:val="clear" w:color="auto" w:fill="auto"/>
            <w:vAlign w:val="center"/>
          </w:tcPr>
          <w:p w:rsidR="006E629F" w:rsidRPr="00A67611" w:rsidRDefault="005E08A3" w:rsidP="00E9534A">
            <w:pPr>
              <w:pStyle w:val="TableText0"/>
              <w:keepLines/>
              <w:widowControl w:val="0"/>
            </w:pPr>
            <w:r w:rsidRPr="00A67611">
              <w:t xml:space="preserve">The ESC considered the </w:t>
            </w:r>
            <w:r w:rsidR="00C97E57" w:rsidRPr="00A67611">
              <w:t xml:space="preserve">cost offset for reduced </w:t>
            </w:r>
            <w:r w:rsidRPr="00A67611">
              <w:t>health care resource</w:t>
            </w:r>
            <w:r w:rsidR="00C97E57" w:rsidRPr="00A67611">
              <w:t xml:space="preserve"> utilisation </w:t>
            </w:r>
            <w:r w:rsidR="00453A12" w:rsidRPr="00A67611">
              <w:t>was high</w:t>
            </w:r>
            <w:r w:rsidRPr="00A67611">
              <w:t xml:space="preserve"> and not likely to be reflective of actual costs.</w:t>
            </w:r>
            <w:r w:rsidR="00EA298B" w:rsidRPr="00A67611">
              <w:t xml:space="preserve"> The ESC noted most of the cost offset (85%) </w:t>
            </w:r>
            <w:r w:rsidR="00453A12" w:rsidRPr="00A67611">
              <w:t>was due</w:t>
            </w:r>
            <w:r w:rsidR="00EA298B" w:rsidRPr="00A67611">
              <w:t xml:space="preserve"> to a reduction in home care costs. </w:t>
            </w:r>
          </w:p>
        </w:tc>
      </w:tr>
    </w:tbl>
    <w:p w:rsidR="00FA30CD" w:rsidRPr="00A67611" w:rsidRDefault="00FA30CD" w:rsidP="00E9534A">
      <w:pPr>
        <w:pStyle w:val="TableFigureFooter"/>
        <w:keepNext/>
        <w:keepLines/>
        <w:widowControl w:val="0"/>
      </w:pPr>
      <w:r w:rsidRPr="00A67611">
        <w:t>Source: Section 4 of the resubmission.</w:t>
      </w:r>
    </w:p>
    <w:p w:rsidR="00FA30CD" w:rsidRPr="00A67611" w:rsidRDefault="00772D36" w:rsidP="000F706A">
      <w:pPr>
        <w:pStyle w:val="3-BodyText"/>
      </w:pPr>
      <w:r w:rsidRPr="00A67611">
        <w:lastRenderedPageBreak/>
        <w:t xml:space="preserve">The resubmission used an epidemiological approach to estimate the impact of listing nabiximols on the PBS. </w:t>
      </w:r>
      <w:r w:rsidR="003039E4" w:rsidRPr="00A67611">
        <w:t xml:space="preserve">The number of patients treated, script numbers and overall financial impact of listing nabiximols as adjunctive treatment of moderate to severe spasticity in patients with </w:t>
      </w:r>
      <w:r w:rsidR="0070424B" w:rsidRPr="00A67611">
        <w:t>MS who have no</w:t>
      </w:r>
      <w:r w:rsidR="003039E4" w:rsidRPr="00A67611">
        <w:t xml:space="preserve">t adequately responded to oral anti-spasticity agents is summarised in </w:t>
      </w:r>
      <w:r w:rsidR="00D420F9" w:rsidRPr="00D420F9">
        <w:t>Table 16</w:t>
      </w:r>
      <w:r w:rsidR="0070424B" w:rsidRPr="00A67611">
        <w:t>.</w:t>
      </w:r>
    </w:p>
    <w:p w:rsidR="00FA30CD" w:rsidRPr="00A67611" w:rsidRDefault="0070424B" w:rsidP="00FA30CD">
      <w:pPr>
        <w:pStyle w:val="TableFigureHeading"/>
      </w:pPr>
      <w:bookmarkStart w:id="78" w:name="_Ref27567158"/>
      <w:bookmarkStart w:id="79" w:name="estimates"/>
      <w:bookmarkStart w:id="80" w:name="_Ref35610241"/>
      <w:r w:rsidRPr="00A67611">
        <w:rPr>
          <w:rStyle w:val="CommentReference"/>
          <w:b/>
          <w:szCs w:val="24"/>
        </w:rPr>
        <w:t xml:space="preserve">Table </w:t>
      </w:r>
      <w:bookmarkEnd w:id="78"/>
      <w:bookmarkEnd w:id="79"/>
      <w:r w:rsidR="00D420F9">
        <w:rPr>
          <w:rStyle w:val="CommentReference"/>
          <w:b/>
          <w:noProof/>
          <w:szCs w:val="24"/>
        </w:rPr>
        <w:t>16</w:t>
      </w:r>
      <w:bookmarkEnd w:id="80"/>
      <w:r w:rsidR="00FA30CD" w:rsidRPr="00A67611">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FA30CD" w:rsidRPr="00A67611" w:rsidTr="00806AE4">
        <w:trPr>
          <w:tblHeader/>
        </w:trPr>
        <w:tc>
          <w:tcPr>
            <w:tcW w:w="1116" w:type="pct"/>
            <w:shd w:val="clear" w:color="auto" w:fill="auto"/>
            <w:vAlign w:val="center"/>
          </w:tcPr>
          <w:p w:rsidR="00FA30CD" w:rsidRPr="00A67611" w:rsidRDefault="00FA30CD" w:rsidP="00806AE4">
            <w:pPr>
              <w:pStyle w:val="In-tableHeading"/>
              <w:jc w:val="center"/>
              <w:rPr>
                <w:lang w:val="en-AU"/>
              </w:rPr>
            </w:pPr>
          </w:p>
        </w:tc>
        <w:tc>
          <w:tcPr>
            <w:tcW w:w="647" w:type="pct"/>
            <w:shd w:val="clear" w:color="auto" w:fill="auto"/>
            <w:vAlign w:val="center"/>
          </w:tcPr>
          <w:p w:rsidR="00FA30CD" w:rsidRPr="00A67611" w:rsidRDefault="00FA30CD" w:rsidP="00806AE4">
            <w:pPr>
              <w:pStyle w:val="In-tableHeading"/>
              <w:jc w:val="center"/>
              <w:rPr>
                <w:lang w:val="en-AU"/>
              </w:rPr>
            </w:pPr>
            <w:r w:rsidRPr="00A67611">
              <w:rPr>
                <w:lang w:val="en-AU"/>
              </w:rPr>
              <w:t>Year 1</w:t>
            </w:r>
          </w:p>
        </w:tc>
        <w:tc>
          <w:tcPr>
            <w:tcW w:w="647" w:type="pct"/>
            <w:shd w:val="clear" w:color="auto" w:fill="auto"/>
            <w:vAlign w:val="center"/>
          </w:tcPr>
          <w:p w:rsidR="00FA30CD" w:rsidRPr="00A67611" w:rsidRDefault="00FA30CD" w:rsidP="00806AE4">
            <w:pPr>
              <w:pStyle w:val="In-tableHeading"/>
              <w:jc w:val="center"/>
              <w:rPr>
                <w:lang w:val="en-AU"/>
              </w:rPr>
            </w:pPr>
            <w:r w:rsidRPr="00A67611">
              <w:rPr>
                <w:lang w:val="en-AU"/>
              </w:rPr>
              <w:t>Year 2</w:t>
            </w:r>
          </w:p>
        </w:tc>
        <w:tc>
          <w:tcPr>
            <w:tcW w:w="647" w:type="pct"/>
            <w:shd w:val="clear" w:color="auto" w:fill="auto"/>
            <w:vAlign w:val="center"/>
          </w:tcPr>
          <w:p w:rsidR="00FA30CD" w:rsidRPr="00A67611" w:rsidRDefault="00FA30CD" w:rsidP="00806AE4">
            <w:pPr>
              <w:pStyle w:val="In-tableHeading"/>
              <w:jc w:val="center"/>
              <w:rPr>
                <w:lang w:val="en-AU"/>
              </w:rPr>
            </w:pPr>
            <w:r w:rsidRPr="00A67611">
              <w:rPr>
                <w:lang w:val="en-AU"/>
              </w:rPr>
              <w:t>Year 3</w:t>
            </w:r>
          </w:p>
        </w:tc>
        <w:tc>
          <w:tcPr>
            <w:tcW w:w="647" w:type="pct"/>
            <w:shd w:val="clear" w:color="auto" w:fill="auto"/>
            <w:vAlign w:val="center"/>
          </w:tcPr>
          <w:p w:rsidR="00FA30CD" w:rsidRPr="00A67611" w:rsidRDefault="00FA30CD" w:rsidP="00806AE4">
            <w:pPr>
              <w:pStyle w:val="In-tableHeading"/>
              <w:jc w:val="center"/>
              <w:rPr>
                <w:lang w:val="en-AU"/>
              </w:rPr>
            </w:pPr>
            <w:r w:rsidRPr="00A67611">
              <w:rPr>
                <w:lang w:val="en-AU"/>
              </w:rPr>
              <w:t>Year 4</w:t>
            </w:r>
          </w:p>
        </w:tc>
        <w:tc>
          <w:tcPr>
            <w:tcW w:w="647" w:type="pct"/>
            <w:shd w:val="clear" w:color="auto" w:fill="auto"/>
            <w:vAlign w:val="center"/>
          </w:tcPr>
          <w:p w:rsidR="00FA30CD" w:rsidRPr="00A67611" w:rsidRDefault="00FA30CD" w:rsidP="00806AE4">
            <w:pPr>
              <w:pStyle w:val="In-tableHeading"/>
              <w:jc w:val="center"/>
              <w:rPr>
                <w:lang w:val="en-AU"/>
              </w:rPr>
            </w:pPr>
            <w:r w:rsidRPr="00A67611">
              <w:rPr>
                <w:lang w:val="en-AU"/>
              </w:rPr>
              <w:t>Year 5</w:t>
            </w:r>
          </w:p>
        </w:tc>
        <w:tc>
          <w:tcPr>
            <w:tcW w:w="649" w:type="pct"/>
          </w:tcPr>
          <w:p w:rsidR="00FA30CD" w:rsidRPr="00A67611" w:rsidRDefault="00FA30CD" w:rsidP="00806AE4">
            <w:pPr>
              <w:pStyle w:val="In-tableHeading"/>
              <w:jc w:val="center"/>
              <w:rPr>
                <w:lang w:val="en-AU"/>
              </w:rPr>
            </w:pPr>
            <w:r w:rsidRPr="00A67611">
              <w:rPr>
                <w:lang w:val="en-AU"/>
              </w:rPr>
              <w:t>Year 6</w:t>
            </w:r>
          </w:p>
        </w:tc>
      </w:tr>
      <w:tr w:rsidR="00FA30CD" w:rsidRPr="00A67611" w:rsidTr="00806AE4">
        <w:tc>
          <w:tcPr>
            <w:tcW w:w="5000" w:type="pct"/>
            <w:gridSpan w:val="7"/>
            <w:shd w:val="clear" w:color="auto" w:fill="auto"/>
            <w:vAlign w:val="center"/>
          </w:tcPr>
          <w:p w:rsidR="00FA30CD" w:rsidRPr="00A67611" w:rsidRDefault="00FA30CD" w:rsidP="00806AE4">
            <w:pPr>
              <w:pStyle w:val="In-tableHeading"/>
              <w:rPr>
                <w:bCs/>
                <w:color w:val="000000"/>
                <w:lang w:val="en-AU"/>
              </w:rPr>
            </w:pPr>
            <w:r w:rsidRPr="00A67611">
              <w:rPr>
                <w:bCs/>
                <w:color w:val="000000"/>
                <w:lang w:val="en-AU"/>
              </w:rPr>
              <w:t>Estimated extent of use</w:t>
            </w:r>
          </w:p>
        </w:tc>
      </w:tr>
      <w:tr w:rsidR="00FA30CD" w:rsidRPr="00A67611" w:rsidTr="00806AE4">
        <w:tc>
          <w:tcPr>
            <w:tcW w:w="1116" w:type="pct"/>
            <w:shd w:val="clear" w:color="auto" w:fill="auto"/>
            <w:vAlign w:val="center"/>
          </w:tcPr>
          <w:p w:rsidR="00FA30CD" w:rsidRPr="00A67611" w:rsidRDefault="00FA30CD" w:rsidP="00806AE4">
            <w:pPr>
              <w:pStyle w:val="TableText0"/>
              <w:rPr>
                <w:rFonts w:ascii="Times" w:hAnsi="Times"/>
              </w:rPr>
            </w:pPr>
            <w:r w:rsidRPr="00A67611">
              <w:t>Number of patients who trial therapy</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9"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r>
      <w:tr w:rsidR="00FA30CD" w:rsidRPr="00A67611" w:rsidTr="00806AE4">
        <w:tc>
          <w:tcPr>
            <w:tcW w:w="1116" w:type="pct"/>
            <w:shd w:val="clear" w:color="auto" w:fill="auto"/>
            <w:vAlign w:val="center"/>
          </w:tcPr>
          <w:p w:rsidR="00FA30CD" w:rsidRPr="00A67611" w:rsidRDefault="00FA30CD" w:rsidP="00806AE4">
            <w:pPr>
              <w:pStyle w:val="TableText0"/>
            </w:pPr>
            <w:r w:rsidRPr="00A67611">
              <w:t>Number of patients who continue therapy</w:t>
            </w:r>
          </w:p>
        </w:tc>
        <w:tc>
          <w:tcPr>
            <w:tcW w:w="647" w:type="pct"/>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highlight w:val="black"/>
              </w:rPr>
            </w:pPr>
            <w:r>
              <w:rPr>
                <w:noProof/>
                <w:color w:val="000000"/>
                <w:highlight w:val="black"/>
              </w:rPr>
              <w:t>''''''''''</w:t>
            </w:r>
          </w:p>
        </w:tc>
        <w:tc>
          <w:tcPr>
            <w:tcW w:w="649" w:type="pct"/>
            <w:vAlign w:val="center"/>
          </w:tcPr>
          <w:p w:rsidR="00FA30CD" w:rsidRPr="00184F66" w:rsidRDefault="00184F66" w:rsidP="00806AE4">
            <w:pPr>
              <w:pStyle w:val="TableText0"/>
              <w:jc w:val="center"/>
              <w:rPr>
                <w:highlight w:val="black"/>
              </w:rPr>
            </w:pPr>
            <w:r>
              <w:rPr>
                <w:noProof/>
                <w:color w:val="000000"/>
                <w:highlight w:val="black"/>
              </w:rPr>
              <w:t>''''''''''</w:t>
            </w:r>
          </w:p>
        </w:tc>
      </w:tr>
      <w:tr w:rsidR="00FA30CD" w:rsidRPr="00A67611" w:rsidTr="00806AE4">
        <w:tc>
          <w:tcPr>
            <w:tcW w:w="1116" w:type="pct"/>
            <w:shd w:val="clear" w:color="auto" w:fill="auto"/>
            <w:vAlign w:val="center"/>
          </w:tcPr>
          <w:p w:rsidR="00FA30CD" w:rsidRPr="00A67611" w:rsidRDefault="00FA30CD" w:rsidP="00806AE4">
            <w:pPr>
              <w:pStyle w:val="TableText0"/>
              <w:rPr>
                <w:rFonts w:ascii="Times" w:hAnsi="Times"/>
              </w:rPr>
            </w:pPr>
            <w:r w:rsidRPr="00A67611">
              <w:t>Number of scripts dispensed for initial patients</w:t>
            </w:r>
            <w:r w:rsidRPr="00A67611">
              <w:rPr>
                <w:vertAlign w:val="superscript"/>
              </w:rPr>
              <w:t>a</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9" w:type="pct"/>
            <w:vAlign w:val="center"/>
          </w:tcPr>
          <w:p w:rsidR="00FA30CD" w:rsidRPr="00184F66" w:rsidRDefault="00184F66" w:rsidP="00806AE4">
            <w:pPr>
              <w:pStyle w:val="TableText0"/>
              <w:jc w:val="center"/>
              <w:rPr>
                <w:color w:val="000000"/>
                <w:highlight w:val="black"/>
              </w:rPr>
            </w:pPr>
            <w:r>
              <w:rPr>
                <w:noProof/>
                <w:color w:val="000000"/>
                <w:highlight w:val="black"/>
              </w:rPr>
              <w:t>''''''</w:t>
            </w:r>
          </w:p>
        </w:tc>
      </w:tr>
      <w:tr w:rsidR="00FA30CD" w:rsidRPr="00A67611" w:rsidTr="00806AE4">
        <w:tc>
          <w:tcPr>
            <w:tcW w:w="1116" w:type="pct"/>
            <w:shd w:val="clear" w:color="auto" w:fill="auto"/>
            <w:vAlign w:val="center"/>
          </w:tcPr>
          <w:p w:rsidR="00FA30CD" w:rsidRPr="00A67611" w:rsidRDefault="00FA30CD" w:rsidP="00806AE4">
            <w:pPr>
              <w:pStyle w:val="TableText0"/>
            </w:pPr>
            <w:r w:rsidRPr="00A67611">
              <w:t>Number of scripts dispensed for continuing patients</w:t>
            </w:r>
            <w:r w:rsidRPr="00A67611">
              <w:rPr>
                <w:vertAlign w:val="superscript"/>
              </w:rPr>
              <w:t>b</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tcBorders>
              <w:top w:val="nil"/>
              <w:left w:val="nil"/>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tcBorders>
              <w:top w:val="nil"/>
              <w:left w:val="nil"/>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tcBorders>
              <w:top w:val="nil"/>
              <w:left w:val="nil"/>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7" w:type="pct"/>
            <w:tcBorders>
              <w:top w:val="nil"/>
              <w:left w:val="nil"/>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c>
          <w:tcPr>
            <w:tcW w:w="649" w:type="pct"/>
            <w:tcBorders>
              <w:top w:val="nil"/>
              <w:left w:val="nil"/>
              <w:bottom w:val="single" w:sz="4" w:space="0" w:color="auto"/>
              <w:right w:val="single" w:sz="4" w:space="0" w:color="auto"/>
            </w:tcBorders>
            <w:shd w:val="clear" w:color="auto" w:fill="FFFFFF" w:themeFill="background1"/>
            <w:vAlign w:val="center"/>
          </w:tcPr>
          <w:p w:rsidR="00FA30CD" w:rsidRPr="00184F66" w:rsidRDefault="00184F66" w:rsidP="00806AE4">
            <w:pPr>
              <w:pStyle w:val="TableText0"/>
              <w:jc w:val="center"/>
              <w:rPr>
                <w:color w:val="000000"/>
                <w:highlight w:val="black"/>
              </w:rPr>
            </w:pPr>
            <w:r>
              <w:rPr>
                <w:noProof/>
                <w:color w:val="000000"/>
                <w:highlight w:val="black"/>
              </w:rPr>
              <w:t>'''''''''''''</w:t>
            </w:r>
          </w:p>
        </w:tc>
      </w:tr>
      <w:tr w:rsidR="00FA30CD" w:rsidRPr="00A67611" w:rsidTr="00806AE4">
        <w:tc>
          <w:tcPr>
            <w:tcW w:w="5000" w:type="pct"/>
            <w:gridSpan w:val="7"/>
            <w:shd w:val="clear" w:color="auto" w:fill="auto"/>
            <w:vAlign w:val="center"/>
          </w:tcPr>
          <w:p w:rsidR="00FA30CD" w:rsidRPr="00A67611" w:rsidRDefault="00FA30CD" w:rsidP="00806AE4">
            <w:pPr>
              <w:pStyle w:val="In-tableHeading"/>
              <w:rPr>
                <w:lang w:val="en-AU"/>
              </w:rPr>
            </w:pPr>
            <w:r w:rsidRPr="00A67611">
              <w:rPr>
                <w:lang w:val="en-AU"/>
              </w:rPr>
              <w:t>Net financial implications</w:t>
            </w:r>
            <w:r w:rsidRPr="00A67611">
              <w:rPr>
                <w:color w:val="4BACC6" w:themeColor="accent5"/>
                <w:lang w:val="en-AU"/>
              </w:rPr>
              <w:t xml:space="preserve"> </w:t>
            </w:r>
          </w:p>
        </w:tc>
      </w:tr>
      <w:tr w:rsidR="00FA30CD" w:rsidRPr="00A67611" w:rsidTr="00806AE4">
        <w:tc>
          <w:tcPr>
            <w:tcW w:w="1116" w:type="pct"/>
            <w:shd w:val="clear" w:color="auto" w:fill="auto"/>
            <w:vAlign w:val="center"/>
          </w:tcPr>
          <w:p w:rsidR="00FA30CD" w:rsidRPr="00A67611" w:rsidRDefault="00FA30CD" w:rsidP="00806AE4">
            <w:pPr>
              <w:pStyle w:val="TableText0"/>
              <w:rPr>
                <w:b/>
                <w:sz w:val="19"/>
                <w:szCs w:val="19"/>
              </w:rPr>
            </w:pPr>
            <w:r w:rsidRPr="00A67611">
              <w:rPr>
                <w:b/>
                <w:sz w:val="19"/>
                <w:szCs w:val="19"/>
              </w:rPr>
              <w:t>Net cost to PBS/RPBS of nabiximols</w:t>
            </w:r>
            <w:r w:rsidRPr="00A67611">
              <w:rPr>
                <w:b/>
                <w:sz w:val="19"/>
                <w:szCs w:val="19"/>
                <w:vertAlign w:val="superscript"/>
              </w:rPr>
              <w:t>c</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FA30CD" w:rsidRPr="00A67611" w:rsidRDefault="00FA30CD" w:rsidP="00806AE4">
            <w:pPr>
              <w:pStyle w:val="TableText0"/>
              <w:jc w:val="center"/>
            </w:pPr>
            <w:r w:rsidRPr="00A67611">
              <w:rPr>
                <w:rFonts w:cs="Arial"/>
                <w:b/>
                <w:bCs w:val="0"/>
                <w:color w:val="000000"/>
                <w:szCs w:val="20"/>
              </w:rPr>
              <w:t>$</w:t>
            </w:r>
            <w:r w:rsidR="00184F66">
              <w:rPr>
                <w:rFonts w:cs="Arial"/>
                <w:b/>
                <w:bCs w:val="0"/>
                <w:noProof/>
                <w:color w:val="000000"/>
                <w:szCs w:val="20"/>
                <w:highlight w:val="black"/>
              </w:rPr>
              <w:t>''''''''''''''''''</w:t>
            </w:r>
            <w:r w:rsidRPr="00A67611">
              <w:rPr>
                <w:rFonts w:cs="Arial"/>
                <w:b/>
                <w:bCs w:val="0"/>
                <w:color w:val="000000"/>
                <w:szCs w:val="20"/>
              </w:rPr>
              <w:t xml:space="preserve"> </w:t>
            </w:r>
          </w:p>
        </w:tc>
      </w:tr>
      <w:tr w:rsidR="00FA30CD" w:rsidRPr="00A67611" w:rsidTr="00806AE4">
        <w:tc>
          <w:tcPr>
            <w:tcW w:w="1116" w:type="pct"/>
            <w:shd w:val="clear" w:color="auto" w:fill="auto"/>
            <w:vAlign w:val="center"/>
          </w:tcPr>
          <w:p w:rsidR="00FA30CD" w:rsidRPr="00A67611" w:rsidRDefault="00FA30CD" w:rsidP="00806AE4">
            <w:pPr>
              <w:pStyle w:val="TableText0"/>
              <w:rPr>
                <w:rFonts w:ascii="Times" w:hAnsi="Times"/>
              </w:rPr>
            </w:pPr>
            <w:r w:rsidRPr="00A67611">
              <w:rPr>
                <w:sz w:val="19"/>
                <w:szCs w:val="19"/>
              </w:rPr>
              <w:t>Net cost of medical services</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c>
          <w:tcPr>
            <w:tcW w:w="649"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szCs w:val="20"/>
              </w:rPr>
              <w:t>-$</w:t>
            </w:r>
            <w:r w:rsidR="00184F66">
              <w:rPr>
                <w:noProof/>
                <w:color w:val="000000"/>
                <w:szCs w:val="20"/>
                <w:highlight w:val="black"/>
              </w:rPr>
              <w:t>''''''''''''''''''''''</w:t>
            </w:r>
          </w:p>
        </w:tc>
      </w:tr>
      <w:tr w:rsidR="00FA30CD" w:rsidRPr="00A67611" w:rsidTr="00806AE4">
        <w:tc>
          <w:tcPr>
            <w:tcW w:w="1116" w:type="pct"/>
            <w:shd w:val="clear" w:color="auto" w:fill="auto"/>
            <w:vAlign w:val="center"/>
          </w:tcPr>
          <w:p w:rsidR="00FA30CD" w:rsidRPr="00A67611" w:rsidRDefault="00FA30CD" w:rsidP="00806AE4">
            <w:pPr>
              <w:pStyle w:val="TableText0"/>
              <w:rPr>
                <w:b/>
                <w:sz w:val="19"/>
                <w:szCs w:val="19"/>
              </w:rPr>
            </w:pPr>
            <w:r w:rsidRPr="00A67611">
              <w:rPr>
                <w:b/>
                <w:sz w:val="19"/>
                <w:szCs w:val="19"/>
              </w:rPr>
              <w:t>Net cost to the health budget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c>
          <w:tcPr>
            <w:tcW w:w="649" w:type="pct"/>
            <w:tcBorders>
              <w:top w:val="single" w:sz="4" w:space="0" w:color="auto"/>
              <w:left w:val="single" w:sz="4" w:space="0" w:color="auto"/>
              <w:bottom w:val="single" w:sz="4" w:space="0" w:color="auto"/>
              <w:right w:val="single" w:sz="4" w:space="0" w:color="auto"/>
            </w:tcBorders>
          </w:tcPr>
          <w:p w:rsidR="00FA30CD" w:rsidRPr="00A67611" w:rsidRDefault="00FA30CD" w:rsidP="00806AE4">
            <w:pPr>
              <w:pStyle w:val="TableText0"/>
              <w:jc w:val="center"/>
            </w:pPr>
            <w:r w:rsidRPr="00A67611">
              <w:rPr>
                <w:b/>
                <w:bCs w:val="0"/>
                <w:szCs w:val="20"/>
              </w:rPr>
              <w:t>-$</w:t>
            </w:r>
            <w:r w:rsidR="00184F66">
              <w:rPr>
                <w:b/>
                <w:bCs w:val="0"/>
                <w:noProof/>
                <w:color w:val="000000"/>
                <w:szCs w:val="20"/>
                <w:highlight w:val="black"/>
              </w:rPr>
              <w:t>''''''''''''''</w:t>
            </w:r>
          </w:p>
        </w:tc>
      </w:tr>
      <w:tr w:rsidR="00FA30CD" w:rsidRPr="00A67611" w:rsidTr="00806AE4">
        <w:tc>
          <w:tcPr>
            <w:tcW w:w="1116" w:type="pct"/>
            <w:shd w:val="clear" w:color="auto" w:fill="auto"/>
            <w:vAlign w:val="center"/>
          </w:tcPr>
          <w:p w:rsidR="00FA30CD" w:rsidRPr="00A67611" w:rsidRDefault="00FA30CD" w:rsidP="00806AE4">
            <w:pPr>
              <w:pStyle w:val="TableText0"/>
              <w:rPr>
                <w:sz w:val="19"/>
                <w:szCs w:val="19"/>
              </w:rPr>
            </w:pPr>
            <w:r w:rsidRPr="00A67611">
              <w:rPr>
                <w:sz w:val="19"/>
                <w:szCs w:val="19"/>
              </w:rPr>
              <w:t>Revised net cost to the health budget based on resource use of only 25% of that estimated in Stevenson  2015</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FA30CD" w:rsidRPr="00A67611" w:rsidRDefault="00FA30CD" w:rsidP="00806AE4">
            <w:pPr>
              <w:pStyle w:val="TableText0"/>
              <w:jc w:val="center"/>
              <w:rPr>
                <w:b/>
                <w:bCs w:val="0"/>
                <w:szCs w:val="20"/>
              </w:rPr>
            </w:pPr>
            <w:r w:rsidRPr="00A67611">
              <w:rPr>
                <w:rFonts w:cs="Arial"/>
                <w:b/>
                <w:bCs w:val="0"/>
                <w:szCs w:val="20"/>
              </w:rPr>
              <w:t>$</w:t>
            </w:r>
            <w:r w:rsidR="00184F66">
              <w:rPr>
                <w:rFonts w:cs="Arial"/>
                <w:b/>
                <w:bCs w:val="0"/>
                <w:noProof/>
                <w:color w:val="000000"/>
                <w:szCs w:val="20"/>
                <w:highlight w:val="black"/>
              </w:rPr>
              <w:t>'''''''''''''''''''</w:t>
            </w:r>
            <w:r w:rsidRPr="00A67611">
              <w:rPr>
                <w:rFonts w:cs="Arial"/>
                <w:b/>
                <w:bCs w:val="0"/>
                <w:szCs w:val="20"/>
              </w:rPr>
              <w:t xml:space="preserve"> </w:t>
            </w:r>
          </w:p>
        </w:tc>
      </w:tr>
      <w:tr w:rsidR="00FA30CD" w:rsidRPr="00A67611" w:rsidTr="00806AE4">
        <w:tc>
          <w:tcPr>
            <w:tcW w:w="5000" w:type="pct"/>
            <w:gridSpan w:val="7"/>
            <w:shd w:val="clear" w:color="auto" w:fill="B8CCE4" w:themeFill="accent1" w:themeFillTint="66"/>
            <w:vAlign w:val="center"/>
          </w:tcPr>
          <w:p w:rsidR="00FA30CD" w:rsidRPr="00A67611" w:rsidRDefault="00FA30CD" w:rsidP="00806AE4">
            <w:pPr>
              <w:pStyle w:val="In-tableHeading"/>
              <w:rPr>
                <w:lang w:val="en-AU"/>
              </w:rPr>
            </w:pPr>
            <w:r w:rsidRPr="00A67611">
              <w:rPr>
                <w:lang w:val="en-AU"/>
              </w:rPr>
              <w:t>Previous submission July, 2013</w:t>
            </w:r>
          </w:p>
        </w:tc>
      </w:tr>
      <w:tr w:rsidR="00FA30CD" w:rsidRPr="00A67611" w:rsidTr="00806AE4">
        <w:tc>
          <w:tcPr>
            <w:tcW w:w="1116" w:type="pct"/>
            <w:shd w:val="clear" w:color="auto" w:fill="B8CCE4" w:themeFill="accent1" w:themeFillTint="66"/>
            <w:vAlign w:val="center"/>
          </w:tcPr>
          <w:p w:rsidR="00FA30CD" w:rsidRPr="00A67611" w:rsidRDefault="00FA30CD" w:rsidP="00806AE4">
            <w:pPr>
              <w:pStyle w:val="TableText0"/>
              <w:rPr>
                <w:sz w:val="19"/>
                <w:szCs w:val="19"/>
              </w:rPr>
            </w:pPr>
            <w:r w:rsidRPr="00A67611">
              <w:rPr>
                <w:sz w:val="19"/>
                <w:szCs w:val="19"/>
              </w:rPr>
              <w:t>Patients initiated on therapy</w:t>
            </w:r>
          </w:p>
        </w:tc>
        <w:tc>
          <w:tcPr>
            <w:tcW w:w="647" w:type="pct"/>
            <w:shd w:val="clear" w:color="auto" w:fill="B8CCE4" w:themeFill="accent1" w:themeFillTint="66"/>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highlight w:val="black"/>
              </w:rPr>
            </w:pPr>
            <w:r>
              <w:rPr>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highlight w:val="black"/>
              </w:rPr>
            </w:pPr>
            <w:r>
              <w:rPr>
                <w:noProof/>
                <w:color w:val="000000"/>
                <w:highlight w:val="black"/>
              </w:rPr>
              <w:t>''''''''''''''</w:t>
            </w:r>
          </w:p>
        </w:tc>
        <w:tc>
          <w:tcPr>
            <w:tcW w:w="649" w:type="pct"/>
            <w:vAlign w:val="center"/>
          </w:tcPr>
          <w:p w:rsidR="00FA30CD" w:rsidRPr="00A67611" w:rsidRDefault="00FA30CD" w:rsidP="00806AE4">
            <w:pPr>
              <w:pStyle w:val="TableText0"/>
              <w:jc w:val="center"/>
              <w:rPr>
                <w:highlight w:val="yellow"/>
              </w:rPr>
            </w:pPr>
          </w:p>
        </w:tc>
      </w:tr>
      <w:tr w:rsidR="00FA30CD" w:rsidRPr="00A67611" w:rsidTr="00806AE4">
        <w:tc>
          <w:tcPr>
            <w:tcW w:w="1116" w:type="pct"/>
            <w:shd w:val="clear" w:color="auto" w:fill="B8CCE4" w:themeFill="accent1" w:themeFillTint="66"/>
            <w:vAlign w:val="center"/>
          </w:tcPr>
          <w:p w:rsidR="00FA30CD" w:rsidRPr="00A67611" w:rsidRDefault="00FA30CD" w:rsidP="00806AE4">
            <w:pPr>
              <w:pStyle w:val="TableText0"/>
              <w:rPr>
                <w:sz w:val="19"/>
                <w:szCs w:val="19"/>
              </w:rPr>
            </w:pPr>
            <w:r w:rsidRPr="00A67611">
              <w:rPr>
                <w:sz w:val="19"/>
                <w:szCs w:val="19"/>
              </w:rPr>
              <w:t>Patients continuing on therapy</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p>
        </w:tc>
        <w:tc>
          <w:tcPr>
            <w:tcW w:w="647" w:type="pct"/>
            <w:shd w:val="clear" w:color="auto" w:fill="B8CCE4" w:themeFill="accent1" w:themeFillTint="66"/>
            <w:vAlign w:val="center"/>
          </w:tcPr>
          <w:p w:rsidR="00FA30CD" w:rsidRPr="00184F66" w:rsidRDefault="00184F66" w:rsidP="00806AE4">
            <w:pPr>
              <w:pStyle w:val="TableText0"/>
              <w:jc w:val="center"/>
              <w:rPr>
                <w:rFonts w:cs="Arial"/>
                <w:highlight w:val="black"/>
              </w:rPr>
            </w:pPr>
            <w:r>
              <w:rPr>
                <w:rFonts w:cs="Arial"/>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rFonts w:cs="Arial"/>
                <w:highlight w:val="black"/>
              </w:rPr>
            </w:pPr>
            <w:r>
              <w:rPr>
                <w:rFonts w:cs="Arial"/>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rFonts w:cs="Arial"/>
                <w:highlight w:val="black"/>
              </w:rPr>
            </w:pPr>
            <w:r>
              <w:rPr>
                <w:rFonts w:cs="Arial"/>
                <w:noProof/>
                <w:color w:val="000000"/>
                <w:highlight w:val="black"/>
              </w:rPr>
              <w:t>''''''''''</w:t>
            </w:r>
          </w:p>
        </w:tc>
        <w:tc>
          <w:tcPr>
            <w:tcW w:w="647" w:type="pct"/>
            <w:shd w:val="clear" w:color="auto" w:fill="B8CCE4" w:themeFill="accent1" w:themeFillTint="66"/>
            <w:vAlign w:val="center"/>
          </w:tcPr>
          <w:p w:rsidR="00FA30CD" w:rsidRPr="00184F66" w:rsidRDefault="00184F66" w:rsidP="00806AE4">
            <w:pPr>
              <w:pStyle w:val="TableText0"/>
              <w:jc w:val="center"/>
              <w:rPr>
                <w:rFonts w:cs="Arial"/>
                <w:highlight w:val="black"/>
              </w:rPr>
            </w:pPr>
            <w:r>
              <w:rPr>
                <w:rFonts w:cs="Arial"/>
                <w:noProof/>
                <w:color w:val="000000"/>
                <w:highlight w:val="black"/>
              </w:rPr>
              <w:t>''''''''''</w:t>
            </w:r>
          </w:p>
        </w:tc>
        <w:tc>
          <w:tcPr>
            <w:tcW w:w="649" w:type="pct"/>
            <w:vAlign w:val="center"/>
          </w:tcPr>
          <w:p w:rsidR="00FA30CD" w:rsidRPr="00A67611" w:rsidRDefault="00FA30CD" w:rsidP="00806AE4">
            <w:pPr>
              <w:pStyle w:val="TableText0"/>
              <w:jc w:val="center"/>
              <w:rPr>
                <w:rFonts w:cs="Arial"/>
                <w:b/>
                <w:highlight w:val="yellow"/>
              </w:rPr>
            </w:pPr>
          </w:p>
        </w:tc>
      </w:tr>
      <w:tr w:rsidR="00FA30CD" w:rsidRPr="00A67611" w:rsidTr="00806AE4">
        <w:tc>
          <w:tcPr>
            <w:tcW w:w="1116" w:type="pct"/>
            <w:shd w:val="clear" w:color="auto" w:fill="B8CCE4" w:themeFill="accent1" w:themeFillTint="66"/>
            <w:vAlign w:val="center"/>
          </w:tcPr>
          <w:p w:rsidR="00FA30CD" w:rsidRPr="00A67611" w:rsidRDefault="00FA30CD" w:rsidP="00806AE4">
            <w:pPr>
              <w:pStyle w:val="TableText0"/>
              <w:rPr>
                <w:sz w:val="19"/>
                <w:szCs w:val="19"/>
              </w:rPr>
            </w:pPr>
            <w:r w:rsidRPr="00A67611">
              <w:rPr>
                <w:sz w:val="19"/>
                <w:szCs w:val="19"/>
              </w:rPr>
              <w:t>Net cost to PBS/RPBS using DPMQ of $413.30</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r w:rsidRPr="00A67611">
              <w:rPr>
                <w:rFonts w:cs="Arial"/>
              </w:rPr>
              <w:t>$</w:t>
            </w:r>
            <w:r w:rsidR="00184F66">
              <w:rPr>
                <w:rFonts w:cs="Arial"/>
                <w:noProof/>
                <w:color w:val="000000"/>
                <w:highlight w:val="black"/>
              </w:rPr>
              <w:t>''''''''''''''''''''''''''</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r w:rsidRPr="00A67611">
              <w:rPr>
                <w:rFonts w:cs="Arial"/>
              </w:rPr>
              <w:t>$</w:t>
            </w:r>
            <w:r w:rsidR="00184F66">
              <w:rPr>
                <w:rFonts w:cs="Arial"/>
                <w:noProof/>
                <w:color w:val="000000"/>
                <w:highlight w:val="black"/>
              </w:rPr>
              <w:t>'''''''''''''''''''''''''</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r w:rsidRPr="00A67611">
              <w:rPr>
                <w:rFonts w:cs="Arial"/>
              </w:rPr>
              <w:t>$</w:t>
            </w:r>
            <w:r w:rsidR="00184F66">
              <w:rPr>
                <w:rFonts w:cs="Arial"/>
                <w:noProof/>
                <w:color w:val="000000"/>
                <w:highlight w:val="black"/>
              </w:rPr>
              <w:t>'''''''''''''''''''''''''</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r w:rsidRPr="00A67611">
              <w:rPr>
                <w:rFonts w:cs="Arial"/>
              </w:rPr>
              <w:t>$</w:t>
            </w:r>
            <w:r w:rsidR="00184F66">
              <w:rPr>
                <w:rFonts w:cs="Arial"/>
                <w:noProof/>
                <w:color w:val="000000"/>
                <w:highlight w:val="black"/>
              </w:rPr>
              <w:t>'''''''''''''''''''''''</w:t>
            </w:r>
          </w:p>
        </w:tc>
        <w:tc>
          <w:tcPr>
            <w:tcW w:w="647" w:type="pct"/>
            <w:shd w:val="clear" w:color="auto" w:fill="B8CCE4" w:themeFill="accent1" w:themeFillTint="66"/>
            <w:vAlign w:val="center"/>
          </w:tcPr>
          <w:p w:rsidR="00FA30CD" w:rsidRPr="00A67611" w:rsidRDefault="00FA30CD" w:rsidP="00806AE4">
            <w:pPr>
              <w:pStyle w:val="TableText0"/>
              <w:jc w:val="center"/>
              <w:rPr>
                <w:rFonts w:cs="Arial"/>
              </w:rPr>
            </w:pPr>
            <w:r w:rsidRPr="00A67611">
              <w:rPr>
                <w:rFonts w:cs="Arial"/>
              </w:rPr>
              <w:t>$</w:t>
            </w:r>
            <w:r w:rsidR="00184F66">
              <w:rPr>
                <w:rFonts w:cs="Arial"/>
                <w:noProof/>
                <w:color w:val="000000"/>
                <w:highlight w:val="black"/>
              </w:rPr>
              <w:t>''''''''''''''''''''''''''</w:t>
            </w:r>
          </w:p>
        </w:tc>
        <w:tc>
          <w:tcPr>
            <w:tcW w:w="649" w:type="pct"/>
            <w:vAlign w:val="center"/>
          </w:tcPr>
          <w:p w:rsidR="00FA30CD" w:rsidRPr="00A67611" w:rsidRDefault="00FA30CD" w:rsidP="00806AE4">
            <w:pPr>
              <w:pStyle w:val="TableText0"/>
              <w:jc w:val="center"/>
              <w:rPr>
                <w:rFonts w:cs="Arial"/>
                <w:b/>
                <w:highlight w:val="yellow"/>
              </w:rPr>
            </w:pPr>
          </w:p>
        </w:tc>
      </w:tr>
    </w:tbl>
    <w:p w:rsidR="00FA30CD" w:rsidRPr="00A67611" w:rsidRDefault="00FA30CD" w:rsidP="00FA30CD">
      <w:pPr>
        <w:pStyle w:val="TableFigureFooter"/>
        <w:rPr>
          <w:rStyle w:val="CommentReference"/>
        </w:rPr>
      </w:pPr>
      <w:r w:rsidRPr="00A67611">
        <w:t xml:space="preserve">Source: Section 4 Workbook provided with the resubmission, Table 103, p151 of the resubmission, </w:t>
      </w:r>
      <w:r w:rsidR="00017E74">
        <w:t>Paragraph</w:t>
      </w:r>
      <w:r w:rsidRPr="00A67611">
        <w:t xml:space="preserve"> 6.31 and </w:t>
      </w:r>
      <w:r w:rsidRPr="003E531D">
        <w:t>6.34 5-15 Nabiximols Minutes</w:t>
      </w:r>
      <w:r w:rsidRPr="006162F8">
        <w:rPr>
          <w:highlight w:val="yellow"/>
        </w:rPr>
        <w:t>,</w:t>
      </w:r>
      <w:r w:rsidRPr="00A67611">
        <w:t xml:space="preserve"> July 2013 PBAC Meeting</w:t>
      </w:r>
      <w:r w:rsidR="006A6003" w:rsidRPr="00A67611">
        <w:t xml:space="preserve"> (</w:t>
      </w:r>
      <w:r w:rsidR="006A6003" w:rsidRPr="00A67611">
        <w:rPr>
          <w:color w:val="000000" w:themeColor="text1"/>
          <w:szCs w:val="18"/>
        </w:rPr>
        <w:t>provided as an attachment to the submission</w:t>
      </w:r>
      <w:r w:rsidR="006A6003" w:rsidRPr="00A67611">
        <w:t>)</w:t>
      </w:r>
    </w:p>
    <w:p w:rsidR="00FA30CD" w:rsidRPr="00A67611" w:rsidRDefault="00FA30CD" w:rsidP="00FA30CD">
      <w:pPr>
        <w:pStyle w:val="TableFigureFooter"/>
      </w:pPr>
      <w:r w:rsidRPr="00A67611">
        <w:rPr>
          <w:vertAlign w:val="superscript"/>
        </w:rPr>
        <w:t>a</w:t>
      </w:r>
      <w:r w:rsidRPr="00A67611">
        <w:t xml:space="preserve"> Assuming 0.92 scripts per year as estimated by the resubmission.</w:t>
      </w:r>
    </w:p>
    <w:p w:rsidR="00FA30CD" w:rsidRPr="00A67611" w:rsidRDefault="00FA30CD" w:rsidP="00FA30CD">
      <w:pPr>
        <w:pStyle w:val="TableFigureFooter"/>
      </w:pPr>
      <w:r w:rsidRPr="00A67611">
        <w:rPr>
          <w:vertAlign w:val="superscript"/>
        </w:rPr>
        <w:t>b</w:t>
      </w:r>
      <w:r w:rsidRPr="00A67611">
        <w:t xml:space="preserve"> Assuming 4.93 scripts per year as estimated by the resubmission.</w:t>
      </w:r>
    </w:p>
    <w:p w:rsidR="00FA30CD" w:rsidRPr="00A67611" w:rsidRDefault="00FA30CD" w:rsidP="00FA30CD">
      <w:pPr>
        <w:pStyle w:val="TableFigureFooter"/>
      </w:pPr>
      <w:r w:rsidRPr="00A67611">
        <w:rPr>
          <w:vertAlign w:val="superscript"/>
        </w:rPr>
        <w:t>c</w:t>
      </w:r>
      <w:r w:rsidRPr="00A67611">
        <w:t xml:space="preserve"> There were no financial implications included for other medic</w:t>
      </w:r>
      <w:r w:rsidR="00064F1E" w:rsidRPr="00A67611">
        <w:t>ines and no copayments assumed.</w:t>
      </w:r>
    </w:p>
    <w:p w:rsidR="003E531D" w:rsidRPr="0065000A" w:rsidRDefault="003E531D" w:rsidP="0065000A">
      <w:pPr>
        <w:pStyle w:val="3-BodyText"/>
        <w:numPr>
          <w:ilvl w:val="0"/>
          <w:numId w:val="0"/>
        </w:numPr>
        <w:ind w:left="720"/>
        <w:rPr>
          <w:i/>
        </w:rPr>
      </w:pPr>
      <w:r w:rsidRPr="0065000A">
        <w:rPr>
          <w:i/>
        </w:rPr>
        <w:t>The redacted table shows that at Year 6, the estimated number of patients was less than 10,000 and the net cost to the PBS would be less than $10 million.</w:t>
      </w:r>
    </w:p>
    <w:p w:rsidR="00FA30CD" w:rsidRPr="00A67611" w:rsidRDefault="00FA30CD" w:rsidP="000F706A">
      <w:pPr>
        <w:pStyle w:val="3-BodyText"/>
      </w:pPr>
      <w:r w:rsidRPr="00A67611">
        <w:t xml:space="preserve">The total cost to the PBS/RPBS of listing nabiximols was estimated to be </w:t>
      </w:r>
      <w:r w:rsidR="00A31DBD">
        <w:t>less than $10</w:t>
      </w:r>
      <w:r w:rsidRPr="00A67611">
        <w:t xml:space="preserve"> million in Year 6, and a total of </w:t>
      </w:r>
      <w:r w:rsidR="00271B01">
        <w:t xml:space="preserve">$20 - $30 </w:t>
      </w:r>
      <w:r w:rsidRPr="00A67611">
        <w:t xml:space="preserve"> million </w:t>
      </w:r>
      <w:r w:rsidR="00EA298B" w:rsidRPr="00A67611">
        <w:t xml:space="preserve">over </w:t>
      </w:r>
      <w:r w:rsidRPr="00A67611">
        <w:t xml:space="preserve">the first 6 years of listing. There was an estimated saving to the health budget of </w:t>
      </w:r>
      <w:r w:rsidR="00A31DBD">
        <w:t>less than $10</w:t>
      </w:r>
      <w:r w:rsidRPr="00A67611">
        <w:t xml:space="preserve"> million over the first 6 years of listing.</w:t>
      </w:r>
      <w:r w:rsidR="003039E4" w:rsidRPr="00A67611">
        <w:rPr>
          <w:i/>
        </w:rPr>
        <w:t xml:space="preserve"> </w:t>
      </w:r>
      <w:r w:rsidR="003039E4" w:rsidRPr="00A67611">
        <w:t xml:space="preserve">The estimated savings </w:t>
      </w:r>
      <w:r w:rsidR="0070424B" w:rsidRPr="00A67611">
        <w:t>were</w:t>
      </w:r>
      <w:r w:rsidR="003039E4" w:rsidRPr="00A67611">
        <w:t xml:space="preserve"> optimistic and unlikely to be realised, as it was based on overestimated costs for managing spasticity (see </w:t>
      </w:r>
      <w:r w:rsidR="0070424B" w:rsidRPr="00A67611">
        <w:t xml:space="preserve">paragraphs </w:t>
      </w:r>
      <w:r w:rsidR="00F82043">
        <w:t>6.67</w:t>
      </w:r>
      <w:r w:rsidR="00772D36">
        <w:t xml:space="preserve"> </w:t>
      </w:r>
      <w:r w:rsidR="003039E4" w:rsidRPr="00A67611">
        <w:t xml:space="preserve">to </w:t>
      </w:r>
      <w:r w:rsidR="00F82043">
        <w:t>6.68</w:t>
      </w:r>
      <w:r w:rsidR="003039E4" w:rsidRPr="00A67611">
        <w:t>). Assuming reduction in cost</w:t>
      </w:r>
      <w:r w:rsidR="00C174C1" w:rsidRPr="00A67611">
        <w:t xml:space="preserve"> to 25%</w:t>
      </w:r>
      <w:r w:rsidR="003039E4" w:rsidRPr="00A67611">
        <w:t xml:space="preserve"> for managing spasticity, an overall net cost </w:t>
      </w:r>
      <w:r w:rsidR="00EA298B" w:rsidRPr="00A67611">
        <w:t xml:space="preserve">to the health budget </w:t>
      </w:r>
      <w:r w:rsidR="003039E4" w:rsidRPr="00A67611">
        <w:t xml:space="preserve">of </w:t>
      </w:r>
      <w:r w:rsidR="00004F96">
        <w:t xml:space="preserve">$10 - $20 </w:t>
      </w:r>
      <w:r w:rsidR="003039E4" w:rsidRPr="00A67611">
        <w:t>million over the first six years of listing was estimated.</w:t>
      </w:r>
    </w:p>
    <w:p w:rsidR="004F1797" w:rsidRPr="00A67611" w:rsidRDefault="004F1797" w:rsidP="000F706A">
      <w:pPr>
        <w:pStyle w:val="3-BodyText"/>
      </w:pPr>
      <w:r w:rsidRPr="00A67611">
        <w:lastRenderedPageBreak/>
        <w:t xml:space="preserve">The PSCR  argued </w:t>
      </w:r>
      <w:r w:rsidR="00EC7625" w:rsidRPr="00A67611">
        <w:t>the cost offsets were not overestimated, as the treatment costs were taken from the Stevenson 2015 study and furthermore, the cost</w:t>
      </w:r>
      <w:r w:rsidR="00AC306E" w:rsidRPr="00A67611">
        <w:t xml:space="preserve"> offsets</w:t>
      </w:r>
      <w:r w:rsidR="00EC7625" w:rsidRPr="00A67611">
        <w:t xml:space="preserve"> are more likely to be underestimated as the cost of care in Australia is 38% higher than the UK, based on figures in the </w:t>
      </w:r>
      <w:r w:rsidR="007A68BC" w:rsidRPr="00A67611">
        <w:t>AMSLS study (</w:t>
      </w:r>
      <w:r w:rsidR="00772D36">
        <w:t xml:space="preserve">see </w:t>
      </w:r>
      <w:r w:rsidR="007A68BC" w:rsidRPr="00A67611">
        <w:t xml:space="preserve">paragraph </w:t>
      </w:r>
      <w:r w:rsidR="00F82043">
        <w:t>6.66</w:t>
      </w:r>
      <w:r w:rsidR="007A68BC" w:rsidRPr="00A67611">
        <w:t>)</w:t>
      </w:r>
      <w:r w:rsidR="00EC7625" w:rsidRPr="00A67611">
        <w:t>.</w:t>
      </w:r>
    </w:p>
    <w:p w:rsidR="00EC7625" w:rsidRPr="00A67611" w:rsidRDefault="0045272C" w:rsidP="000F706A">
      <w:pPr>
        <w:pStyle w:val="3-BodyText"/>
      </w:pPr>
      <w:r w:rsidRPr="00A67611">
        <w:t xml:space="preserve">The ESC agreed with the evaluation, and considered the estimated savings were implausible and agreed with </w:t>
      </w:r>
      <w:r w:rsidR="008D7778" w:rsidRPr="00A67611">
        <w:t xml:space="preserve">the </w:t>
      </w:r>
      <w:r w:rsidRPr="00A67611">
        <w:t>NICE conclusion that many of the costs for disease management will be incurred regardless of changes in spasticity</w:t>
      </w:r>
      <w:r w:rsidR="00AC306E" w:rsidRPr="00A67611">
        <w:t>,</w:t>
      </w:r>
      <w:r w:rsidRPr="00A67611">
        <w:t xml:space="preserve"> so are not likely to be offset.</w:t>
      </w:r>
    </w:p>
    <w:p w:rsidR="00FA30CD" w:rsidRPr="00A67611" w:rsidRDefault="003039E4" w:rsidP="000F706A">
      <w:pPr>
        <w:pStyle w:val="3-BodyText"/>
      </w:pPr>
      <w:r w:rsidRPr="00A67611">
        <w:t>Additionally, t</w:t>
      </w:r>
      <w:r w:rsidR="00FA30CD" w:rsidRPr="00A67611">
        <w:t xml:space="preserve">he estimated cost to the PBS/RPBS was likely to be </w:t>
      </w:r>
      <w:r w:rsidRPr="00A67611">
        <w:t xml:space="preserve">underestimated </w:t>
      </w:r>
      <w:r w:rsidR="00FA30CD" w:rsidRPr="00A67611">
        <w:t>due to an underestimation of the number of MS patients with moderate to severe spasticity, no inclusion of grandfathered patients or patients who might retrial nabiximols, underestimation of the uptake rate, and underestimation of the proportion of patients likely to continue on nabiximols after an initial 4-week trial of treatment.</w:t>
      </w:r>
    </w:p>
    <w:p w:rsidR="00FA30CD" w:rsidRPr="00A67611" w:rsidRDefault="00FA30CD" w:rsidP="000F706A">
      <w:pPr>
        <w:pStyle w:val="3-BodyText"/>
      </w:pPr>
      <w:r w:rsidRPr="00A67611">
        <w:t>There may also be patients who need to reinitiate therapy with oral anti-spasticity medication in order to be able to access nabiximols under the proposed restriction. The</w:t>
      </w:r>
      <w:r w:rsidRPr="00A67611">
        <w:rPr>
          <w:i/>
        </w:rPr>
        <w:t xml:space="preserve"> </w:t>
      </w:r>
      <w:r w:rsidRPr="00A67611">
        <w:t xml:space="preserve">financial estimates made no allowance for increased costs associated with increased use of concomitant medications. </w:t>
      </w:r>
    </w:p>
    <w:p w:rsidR="00FA30CD" w:rsidRPr="00A67611" w:rsidRDefault="00FA30CD" w:rsidP="00FA30CD">
      <w:pPr>
        <w:pStyle w:val="4-SubsectionHeading"/>
      </w:pPr>
      <w:bookmarkStart w:id="81" w:name="_Toc22897648"/>
      <w:bookmarkStart w:id="82" w:name="_Toc27326493"/>
      <w:bookmarkStart w:id="83" w:name="_Toc30583497"/>
      <w:r w:rsidRPr="00A67611">
        <w:t>Quality Use of Medicines</w:t>
      </w:r>
      <w:bookmarkEnd w:id="81"/>
      <w:bookmarkEnd w:id="82"/>
      <w:bookmarkEnd w:id="83"/>
    </w:p>
    <w:p w:rsidR="00FA30CD" w:rsidRPr="00A67611" w:rsidRDefault="00FA30CD" w:rsidP="000F706A">
      <w:pPr>
        <w:pStyle w:val="3-BodyText"/>
      </w:pPr>
      <w:r w:rsidRPr="00A67611">
        <w:t xml:space="preserve">The Sponsor proposed a prescriber education program to cover safety aspects, dosing and titration schedule and treatment criteria, in order to ensure that health practitioners receive the appropriate education before prescribing nabiximols. </w:t>
      </w:r>
    </w:p>
    <w:p w:rsidR="00FA30CD" w:rsidRPr="00A67611" w:rsidRDefault="00FA30CD" w:rsidP="00FA30CD">
      <w:pPr>
        <w:pStyle w:val="4-SubsectionHeading"/>
      </w:pPr>
      <w:bookmarkStart w:id="84" w:name="_Toc22897649"/>
      <w:bookmarkStart w:id="85" w:name="_Toc27326494"/>
      <w:bookmarkStart w:id="86" w:name="_Toc30583498"/>
      <w:r w:rsidRPr="00A67611">
        <w:t>Financial Management – Risk Sharing Arrangements</w:t>
      </w:r>
      <w:bookmarkEnd w:id="84"/>
      <w:bookmarkEnd w:id="85"/>
      <w:bookmarkEnd w:id="86"/>
    </w:p>
    <w:p w:rsidR="008D1984" w:rsidRPr="00C94878" w:rsidRDefault="00FA30CD" w:rsidP="000F706A">
      <w:pPr>
        <w:pStyle w:val="3-BodyText"/>
      </w:pPr>
      <w:r w:rsidRPr="00C94878">
        <w:t xml:space="preserve">The </w:t>
      </w:r>
      <w:r w:rsidR="00BF4CAE" w:rsidRPr="00C94878">
        <w:t xml:space="preserve">Sponsor </w:t>
      </w:r>
      <w:r w:rsidR="00917CA9" w:rsidRPr="00C94878">
        <w:t>indicated they were</w:t>
      </w:r>
      <w:r w:rsidR="00BF4CAE" w:rsidRPr="00C94878">
        <w:t xml:space="preserve"> willing to negotiate a Risk Sharing Arrangement as part of negotiations for a ‘reasonable price for listing, which is competitive by international listing standards’</w:t>
      </w:r>
      <w:r w:rsidR="00917CA9" w:rsidRPr="00C94878">
        <w:t xml:space="preserve"> (Pre-PBAC Response)</w:t>
      </w:r>
      <w:r w:rsidR="00BF4CAE" w:rsidRPr="00C94878">
        <w:t>.</w:t>
      </w:r>
    </w:p>
    <w:p w:rsidR="008D1984" w:rsidRPr="00A67611" w:rsidRDefault="00641FCD" w:rsidP="00917CA9">
      <w:pPr>
        <w:rPr>
          <w:i/>
        </w:rPr>
      </w:pPr>
      <w:r>
        <w:rPr>
          <w:i/>
        </w:rPr>
        <w:tab/>
      </w:r>
      <w:r w:rsidR="008D1984" w:rsidRPr="00A67611">
        <w:rPr>
          <w:i/>
        </w:rPr>
        <w:t>For more detail on PBAC’s view, see section 7 PBAC outcome.</w:t>
      </w:r>
    </w:p>
    <w:p w:rsidR="008D1984" w:rsidRPr="00A67611" w:rsidRDefault="008D1984" w:rsidP="008D1984">
      <w:pPr>
        <w:keepNext/>
        <w:widowControl w:val="0"/>
        <w:numPr>
          <w:ilvl w:val="0"/>
          <w:numId w:val="1"/>
        </w:numPr>
        <w:spacing w:before="240" w:after="120"/>
        <w:outlineLvl w:val="0"/>
        <w:rPr>
          <w:rFonts w:asciiTheme="minorHAnsi" w:hAnsiTheme="minorHAnsi"/>
          <w:b/>
          <w:bCs/>
          <w:snapToGrid w:val="0"/>
          <w:sz w:val="32"/>
        </w:rPr>
      </w:pPr>
      <w:r w:rsidRPr="00A67611">
        <w:rPr>
          <w:rFonts w:asciiTheme="minorHAnsi" w:hAnsiTheme="minorHAnsi"/>
          <w:b/>
          <w:bCs/>
          <w:snapToGrid w:val="0"/>
          <w:sz w:val="32"/>
        </w:rPr>
        <w:t>PBAC Outcome</w:t>
      </w:r>
    </w:p>
    <w:p w:rsidR="008D1984" w:rsidRPr="00A67611" w:rsidRDefault="008D1984" w:rsidP="000F706A">
      <w:pPr>
        <w:pStyle w:val="3-BodyText"/>
      </w:pPr>
      <w:r w:rsidRPr="000F706A">
        <w:t xml:space="preserve">The </w:t>
      </w:r>
      <w:r w:rsidR="00BF6FFD" w:rsidRPr="000F706A">
        <w:t xml:space="preserve">PBAC did not recommend the listing of nabiximols </w:t>
      </w:r>
      <w:r w:rsidR="00AB05C2" w:rsidRPr="000F706A">
        <w:t xml:space="preserve">as an adjunctive </w:t>
      </w:r>
      <w:r w:rsidR="003F46DC" w:rsidRPr="000F706A">
        <w:t xml:space="preserve">treatment for </w:t>
      </w:r>
      <w:r w:rsidR="00195B75" w:rsidRPr="000F706A">
        <w:t xml:space="preserve">moderate to severe spasticity due to </w:t>
      </w:r>
      <w:r w:rsidR="00BF6FFD" w:rsidRPr="000F706A">
        <w:t>multiple sclerosis (MS)</w:t>
      </w:r>
      <w:r w:rsidR="0007619E" w:rsidRPr="000F706A">
        <w:t>. In deciding not to recommend the listing of nabiximols,</w:t>
      </w:r>
      <w:r w:rsidR="00BF6FFD" w:rsidRPr="000F706A">
        <w:t xml:space="preserve"> the</w:t>
      </w:r>
      <w:r w:rsidR="0007619E" w:rsidRPr="000F706A">
        <w:t xml:space="preserve"> </w:t>
      </w:r>
      <w:r w:rsidR="00991D49" w:rsidRPr="000F706A">
        <w:t xml:space="preserve">PBAC </w:t>
      </w:r>
      <w:r w:rsidR="0007619E" w:rsidRPr="000F706A">
        <w:t>considered the</w:t>
      </w:r>
      <w:r w:rsidR="00BF6FFD" w:rsidRPr="000F706A">
        <w:t xml:space="preserve"> treatment effect was</w:t>
      </w:r>
      <w:r w:rsidR="00BF6FFD" w:rsidRPr="00A67611">
        <w:t xml:space="preserve"> likely overestimated in the </w:t>
      </w:r>
      <w:r w:rsidR="00641FCD">
        <w:t>re</w:t>
      </w:r>
      <w:r w:rsidR="00BF6FFD" w:rsidRPr="00A67611">
        <w:t>submission</w:t>
      </w:r>
      <w:r w:rsidR="0007619E" w:rsidRPr="00A67611">
        <w:t xml:space="preserve"> due to </w:t>
      </w:r>
      <w:r w:rsidR="00D909F2">
        <w:t xml:space="preserve">the design </w:t>
      </w:r>
      <w:r w:rsidR="00991D49">
        <w:t xml:space="preserve">of the </w:t>
      </w:r>
      <w:r w:rsidR="0007619E" w:rsidRPr="00A67611">
        <w:t>key clinical trial</w:t>
      </w:r>
      <w:r w:rsidR="00BF6FFD" w:rsidRPr="00A67611">
        <w:t xml:space="preserve"> and</w:t>
      </w:r>
      <w:r w:rsidR="0007619E" w:rsidRPr="00A67611">
        <w:t xml:space="preserve"> that there were substantial </w:t>
      </w:r>
      <w:r w:rsidR="006F12FA" w:rsidRPr="00A67611">
        <w:t>structural</w:t>
      </w:r>
      <w:r w:rsidR="0007619E" w:rsidRPr="00A67611">
        <w:t xml:space="preserve"> issues and unrealistic assumptions in the economic model. On that basis, the PBAC considered</w:t>
      </w:r>
      <w:r w:rsidR="00BF6FFD" w:rsidRPr="00A67611">
        <w:t xml:space="preserve"> the ICER was</w:t>
      </w:r>
      <w:r w:rsidR="00A90C5A">
        <w:t xml:space="preserve"> very</w:t>
      </w:r>
      <w:r w:rsidR="00BF6FFD" w:rsidRPr="00A67611">
        <w:t xml:space="preserve"> </w:t>
      </w:r>
      <w:r w:rsidR="00FC5000">
        <w:t xml:space="preserve">uncertain and unacceptably </w:t>
      </w:r>
      <w:r w:rsidR="00BF6FFD" w:rsidRPr="00A67611">
        <w:t xml:space="preserve">high </w:t>
      </w:r>
      <w:r w:rsidR="0007619E" w:rsidRPr="00A67611">
        <w:t>at the proposed price.</w:t>
      </w:r>
    </w:p>
    <w:p w:rsidR="008D1984" w:rsidRPr="00A67611" w:rsidRDefault="00DD170B" w:rsidP="000F706A">
      <w:pPr>
        <w:pStyle w:val="3-BodyText"/>
      </w:pPr>
      <w:r>
        <w:t xml:space="preserve">The PBAC noted there were treatment options currently available for MS-related </w:t>
      </w:r>
      <w:r w:rsidR="00991D49">
        <w:t xml:space="preserve">moderate to severe </w:t>
      </w:r>
      <w:r>
        <w:t>spasticity, including intrathecal baclofen and botulinum toxin</w:t>
      </w:r>
      <w:r w:rsidR="00195B75">
        <w:t xml:space="preserve">; </w:t>
      </w:r>
      <w:r>
        <w:lastRenderedPageBreak/>
        <w:t>however</w:t>
      </w:r>
      <w:r w:rsidR="00195B75">
        <w:t xml:space="preserve">, </w:t>
      </w:r>
      <w:r>
        <w:t xml:space="preserve">acknowledged there was a clinical need for additional effective </w:t>
      </w:r>
      <w:r w:rsidR="00AB05C2">
        <w:t xml:space="preserve">and safe </w:t>
      </w:r>
      <w:r>
        <w:t xml:space="preserve">treatment options. </w:t>
      </w:r>
    </w:p>
    <w:p w:rsidR="00CE5C7D" w:rsidRPr="00CE5C7D" w:rsidRDefault="00711024" w:rsidP="000F706A">
      <w:pPr>
        <w:pStyle w:val="3-BodyText"/>
      </w:pPr>
      <w:r w:rsidRPr="00CE5C7D">
        <w:t>The PBAC considered the</w:t>
      </w:r>
      <w:r w:rsidR="00A20648">
        <w:t xml:space="preserve"> proposed</w:t>
      </w:r>
      <w:r w:rsidRPr="00CE5C7D">
        <w:t xml:space="preserve"> </w:t>
      </w:r>
      <w:r w:rsidR="00551D79">
        <w:t xml:space="preserve">patient population </w:t>
      </w:r>
      <w:r w:rsidR="00A20648">
        <w:t>for</w:t>
      </w:r>
      <w:r w:rsidRPr="00CE5C7D">
        <w:t xml:space="preserve"> nabiximols </w:t>
      </w:r>
      <w:r w:rsidR="00A20648">
        <w:t>of</w:t>
      </w:r>
      <w:r w:rsidRPr="00CE5C7D">
        <w:t xml:space="preserve"> patients with moderate to severe spasticity, defined as a numeric rating scale (NRS) score of 4 or greater, associated with </w:t>
      </w:r>
      <w:r w:rsidR="00991D49">
        <w:t>MS</w:t>
      </w:r>
      <w:r w:rsidR="00CE5C7D" w:rsidRPr="00CE5C7D">
        <w:t xml:space="preserve">, following an inadequate response to prior anti-spasticity treatment was appropriate. The PBAC considered the proposed threshold for continuing treatment of at least </w:t>
      </w:r>
      <w:r w:rsidR="00FC5000">
        <w:t xml:space="preserve">a </w:t>
      </w:r>
      <w:r w:rsidR="00CE5C7D" w:rsidRPr="00CE5C7D">
        <w:t>20% improvement in NRS after 4 weeks of treatment was reasonable and consistent with the clinical trial data presented in the resubmission.</w:t>
      </w:r>
    </w:p>
    <w:p w:rsidR="008D1984" w:rsidRPr="00A67611" w:rsidRDefault="006E278D" w:rsidP="000F706A">
      <w:pPr>
        <w:pStyle w:val="3-BodyText"/>
      </w:pPr>
      <w:r w:rsidRPr="00A67611">
        <w:t xml:space="preserve">The PBAC considered the nominated comparator of standard care, defined as </w:t>
      </w:r>
      <w:r w:rsidR="009E0427">
        <w:t>oral</w:t>
      </w:r>
      <w:r w:rsidR="009E0427" w:rsidRPr="00A67611">
        <w:t xml:space="preserve"> </w:t>
      </w:r>
      <w:r w:rsidRPr="00A67611">
        <w:t>anti-spasticity</w:t>
      </w:r>
      <w:r w:rsidR="009E0427">
        <w:t xml:space="preserve"> medication</w:t>
      </w:r>
      <w:r w:rsidRPr="00A67611">
        <w:t>, was reasonable.</w:t>
      </w:r>
    </w:p>
    <w:p w:rsidR="008E10E4" w:rsidRDefault="008E10E4" w:rsidP="000F706A">
      <w:pPr>
        <w:pStyle w:val="3-BodyText"/>
      </w:pPr>
      <w:bookmarkStart w:id="87" w:name="_Ref35867136"/>
      <w:r>
        <w:t xml:space="preserve">The PBAC noted clinical data from five studies was provided in the resubmission and the results </w:t>
      </w:r>
      <w:r w:rsidRPr="00A67611">
        <w:t>generally supported a conclusion that nabiximols is effective at reducing MS-related spasticity</w:t>
      </w:r>
      <w:r>
        <w:t xml:space="preserve">. Three of the five studies </w:t>
      </w:r>
      <w:r w:rsidRPr="005C2C55">
        <w:t xml:space="preserve">(Vachovà 2014, Collin 2007 and Collin 2010) were </w:t>
      </w:r>
      <w:r w:rsidR="005F0D03">
        <w:t>inconsistent with</w:t>
      </w:r>
      <w:r w:rsidRPr="005C2C55">
        <w:t xml:space="preserve"> the requested population and listing as Vachovà 2014 did not include criteria for discontinuation and the Collin 2007 and 2010 studies permitted maximum doses of nabiximols higher than that approved for use in the Product Information.</w:t>
      </w:r>
      <w:r>
        <w:t xml:space="preserve"> T</w:t>
      </w:r>
      <w:r w:rsidRPr="00A67611">
        <w:t xml:space="preserve">he </w:t>
      </w:r>
      <w:r>
        <w:t xml:space="preserve">PBAC </w:t>
      </w:r>
      <w:r w:rsidRPr="00A67611">
        <w:t xml:space="preserve">considered the Markovà 2019 and Novotna 2011 </w:t>
      </w:r>
      <w:r w:rsidR="005F0D03">
        <w:t>studies</w:t>
      </w:r>
      <w:r w:rsidRPr="00A67611">
        <w:t xml:space="preserve"> to be the most reflective of the requested place in therapy for nabiximols. </w:t>
      </w:r>
    </w:p>
    <w:p w:rsidR="00C24F15" w:rsidRPr="00A67611" w:rsidRDefault="007F1315" w:rsidP="000F706A">
      <w:pPr>
        <w:pStyle w:val="3-BodyText"/>
      </w:pPr>
      <w:r w:rsidRPr="00A67611">
        <w:t>The PBAC noted the</w:t>
      </w:r>
      <w:r w:rsidR="002D2908" w:rsidRPr="00A67611">
        <w:t xml:space="preserve"> key clinical trial</w:t>
      </w:r>
      <w:r w:rsidRPr="00A67611">
        <w:t xml:space="preserve"> </w:t>
      </w:r>
      <w:r w:rsidR="002D2908" w:rsidRPr="00A67611">
        <w:t>(</w:t>
      </w:r>
      <w:r w:rsidR="00A97E3A" w:rsidRPr="00A67611">
        <w:t>Markovà 2019</w:t>
      </w:r>
      <w:r w:rsidR="002D2908" w:rsidRPr="00A67611">
        <w:t>)</w:t>
      </w:r>
      <w:r w:rsidRPr="00A67611">
        <w:t xml:space="preserve"> </w:t>
      </w:r>
      <w:r w:rsidR="00F15142">
        <w:t xml:space="preserve">presented in the resubmission </w:t>
      </w:r>
      <w:r w:rsidRPr="00A67611">
        <w:t>used an enriched population</w:t>
      </w:r>
      <w:r w:rsidR="007E3202" w:rsidRPr="00A67611">
        <w:t xml:space="preserve"> design</w:t>
      </w:r>
      <w:r w:rsidRPr="00A67611">
        <w:t xml:space="preserve">, which included </w:t>
      </w:r>
      <w:r w:rsidR="00E115A9" w:rsidRPr="00A67611">
        <w:t>a</w:t>
      </w:r>
      <w:r w:rsidR="007A28AA">
        <w:t xml:space="preserve"> </w:t>
      </w:r>
      <w:r w:rsidRPr="00A67611">
        <w:t xml:space="preserve">response testing phase (Phase A), </w:t>
      </w:r>
      <w:r w:rsidR="00E115A9" w:rsidRPr="00A67611">
        <w:t xml:space="preserve">and </w:t>
      </w:r>
      <w:r w:rsidRPr="00A67611">
        <w:t>a washout period for</w:t>
      </w:r>
      <w:r w:rsidR="00944EEA">
        <w:t xml:space="preserve"> responders</w:t>
      </w:r>
      <w:r w:rsidRPr="00A67611">
        <w:t xml:space="preserve"> prior to the randomised controlled</w:t>
      </w:r>
      <w:r w:rsidR="007E3202" w:rsidRPr="00A67611">
        <w:t xml:space="preserve"> phase (Phase B)</w:t>
      </w:r>
      <w:r w:rsidRPr="00A67611">
        <w:t>, while no</w:t>
      </w:r>
      <w:r w:rsidR="00C24F15" w:rsidRPr="00A67611">
        <w:t>n-responders</w:t>
      </w:r>
      <w:r w:rsidR="001D7360">
        <w:t xml:space="preserve"> were excluded from further participation in the </w:t>
      </w:r>
      <w:r w:rsidR="00C24F15" w:rsidRPr="00A67611">
        <w:t xml:space="preserve">study. The </w:t>
      </w:r>
      <w:r w:rsidR="00B45B81">
        <w:t>PBAC</w:t>
      </w:r>
      <w:r w:rsidR="00B45B81" w:rsidRPr="00A67611">
        <w:t xml:space="preserve"> </w:t>
      </w:r>
      <w:r w:rsidR="00C24F15" w:rsidRPr="00A67611">
        <w:t xml:space="preserve">considered </w:t>
      </w:r>
      <w:r w:rsidR="00581FEE">
        <w:t xml:space="preserve">that, while the trial </w:t>
      </w:r>
      <w:r w:rsidRPr="00A67611">
        <w:t xml:space="preserve">design was </w:t>
      </w:r>
      <w:r w:rsidR="00581FEE">
        <w:t xml:space="preserve">reasonable, it was likely to result in an overestimate of the clinical benefit and an underestimate </w:t>
      </w:r>
      <w:r w:rsidR="00731FF6">
        <w:t xml:space="preserve">of </w:t>
      </w:r>
      <w:r w:rsidR="00581FEE">
        <w:t xml:space="preserve">the adverse events for nabiximols </w:t>
      </w:r>
      <w:r w:rsidR="001F69F8">
        <w:t>because</w:t>
      </w:r>
      <w:r w:rsidR="00C24F15" w:rsidRPr="00A67611">
        <w:t>:</w:t>
      </w:r>
      <w:bookmarkEnd w:id="87"/>
    </w:p>
    <w:p w:rsidR="008A3596" w:rsidRDefault="004D6EE6" w:rsidP="00C44BCF">
      <w:pPr>
        <w:pStyle w:val="PBACbulletpoint"/>
      </w:pPr>
      <w:r>
        <w:t>The inclusion of a washout period</w:t>
      </w:r>
      <w:r w:rsidR="00E52EA9">
        <w:t xml:space="preserve"> in the Markov</w:t>
      </w:r>
      <w:r w:rsidR="00E52EA9" w:rsidRPr="00A67611">
        <w:t>à</w:t>
      </w:r>
      <w:r w:rsidR="00E52EA9">
        <w:t xml:space="preserve"> 2019 study</w:t>
      </w:r>
      <w:r>
        <w:t xml:space="preserve"> </w:t>
      </w:r>
      <w:r w:rsidR="005C2C55">
        <w:t xml:space="preserve">was </w:t>
      </w:r>
      <w:r w:rsidRPr="004D6EE6">
        <w:t xml:space="preserve">likely </w:t>
      </w:r>
      <w:r w:rsidR="005C2C55">
        <w:t xml:space="preserve">to have </w:t>
      </w:r>
      <w:r w:rsidRPr="004D6EE6">
        <w:t>led to some patients becoming aware of</w:t>
      </w:r>
      <w:r>
        <w:t xml:space="preserve"> their </w:t>
      </w:r>
      <w:r w:rsidRPr="00C44BCF">
        <w:t>treatment</w:t>
      </w:r>
      <w:r>
        <w:t xml:space="preserve"> allocation</w:t>
      </w:r>
      <w:r w:rsidR="009B1D78">
        <w:t xml:space="preserve"> </w:t>
      </w:r>
      <w:r w:rsidR="003A23E6">
        <w:t xml:space="preserve">(i.e. unblinding) </w:t>
      </w:r>
      <w:r w:rsidR="005C2C55">
        <w:t>in P</w:t>
      </w:r>
      <w:r w:rsidR="00E52EA9">
        <w:t>hase</w:t>
      </w:r>
      <w:r w:rsidR="005C2C55">
        <w:t xml:space="preserve"> B </w:t>
      </w:r>
      <w:r>
        <w:t>given the</w:t>
      </w:r>
      <w:r w:rsidR="009B1D78">
        <w:t>y had been exposed to nabiximols in P</w:t>
      </w:r>
      <w:r w:rsidR="00E52EA9">
        <w:t>hase</w:t>
      </w:r>
      <w:r w:rsidR="009B1D78">
        <w:t xml:space="preserve"> A of the stud</w:t>
      </w:r>
      <w:r w:rsidR="003A23E6">
        <w:t>y</w:t>
      </w:r>
      <w:r w:rsidR="005C2C55">
        <w:t xml:space="preserve"> </w:t>
      </w:r>
      <w:r w:rsidR="003A23E6">
        <w:t>followed by treatment withdrawal</w:t>
      </w:r>
      <w:r>
        <w:t xml:space="preserve">. </w:t>
      </w:r>
      <w:r w:rsidR="00A019D6">
        <w:t xml:space="preserve">Unblinding may lead to an overestimate of nabiximols benefit and underestimate of placebo benefit, given the subjective nature of the outcome. </w:t>
      </w:r>
    </w:p>
    <w:p w:rsidR="0007619E" w:rsidRPr="00731FF6" w:rsidRDefault="00E52EA9" w:rsidP="00C44BCF">
      <w:pPr>
        <w:pStyle w:val="PBACbulletpoint"/>
      </w:pPr>
      <w:r>
        <w:t xml:space="preserve">The Novotna 2011 study used an enrichment design without a washout period and its participants were unaware of </w:t>
      </w:r>
      <w:r w:rsidR="008A3596">
        <w:t>the</w:t>
      </w:r>
      <w:r>
        <w:t xml:space="preserve"> potential change of drug/placebo</w:t>
      </w:r>
      <w:r w:rsidR="008A3596">
        <w:t xml:space="preserve"> allocation</w:t>
      </w:r>
      <w:r>
        <w:t xml:space="preserve"> between Phases A and B. Th</w:t>
      </w:r>
      <w:r w:rsidR="008A3596">
        <w:t xml:space="preserve">ese study design features would </w:t>
      </w:r>
      <w:r>
        <w:t>reduce the risk of unblinding, and</w:t>
      </w:r>
      <w:r w:rsidR="008A3596">
        <w:t xml:space="preserve"> accordingly,</w:t>
      </w:r>
      <w:r>
        <w:t xml:space="preserve"> t</w:t>
      </w:r>
      <w:r w:rsidR="00A019D6">
        <w:t xml:space="preserve">he PBAC noted the incremental benefit of nabiximols versus placebo in the Novotna 2011 study, was </w:t>
      </w:r>
      <w:r w:rsidR="00DF6B1B">
        <w:t xml:space="preserve">lower </w:t>
      </w:r>
      <w:r w:rsidR="00A019D6">
        <w:t>than observed in Markova 2019</w:t>
      </w:r>
      <w:r w:rsidR="004B1256">
        <w:t xml:space="preserve"> (paragraph 7.7)</w:t>
      </w:r>
      <w:r w:rsidR="00A019D6">
        <w:t xml:space="preserve">. </w:t>
      </w:r>
    </w:p>
    <w:p w:rsidR="00816AAF" w:rsidRDefault="00816AAF" w:rsidP="00C44BCF">
      <w:pPr>
        <w:pStyle w:val="PBACbulletpoint"/>
      </w:pPr>
      <w:r w:rsidRPr="00A67611">
        <w:t>The enrich</w:t>
      </w:r>
      <w:r w:rsidR="003A23E6">
        <w:t xml:space="preserve">ed population </w:t>
      </w:r>
      <w:r w:rsidRPr="00A67611">
        <w:t xml:space="preserve">design </w:t>
      </w:r>
      <w:r w:rsidR="00434482">
        <w:t>may l</w:t>
      </w:r>
      <w:r w:rsidRPr="00A67611">
        <w:t>imit the generalisability of the trial to the broader population as non-responders were</w:t>
      </w:r>
      <w:r w:rsidR="005C2C55">
        <w:t xml:space="preserve"> </w:t>
      </w:r>
      <w:r w:rsidRPr="00A67611">
        <w:t xml:space="preserve">excluded from the randomised </w:t>
      </w:r>
      <w:r w:rsidRPr="00A67611">
        <w:lastRenderedPageBreak/>
        <w:t>controlled phase.</w:t>
      </w:r>
    </w:p>
    <w:p w:rsidR="00153AA6" w:rsidRDefault="003A23E6" w:rsidP="00C44BCF">
      <w:pPr>
        <w:pStyle w:val="PBACbulletpoint"/>
      </w:pPr>
      <w:r>
        <w:t>Adverse events</w:t>
      </w:r>
      <w:r w:rsidR="00DE6D37">
        <w:t xml:space="preserve"> in P</w:t>
      </w:r>
      <w:r w:rsidR="00153AA6">
        <w:t>hase</w:t>
      </w:r>
      <w:r w:rsidR="00DE6D37">
        <w:t xml:space="preserve"> B</w:t>
      </w:r>
      <w:r>
        <w:t xml:space="preserve"> may be underestimated as patients experiencing </w:t>
      </w:r>
      <w:r w:rsidR="00DE6D37">
        <w:t>tolerability</w:t>
      </w:r>
      <w:r>
        <w:t xml:space="preserve"> issues may withdraw from treatment in </w:t>
      </w:r>
      <w:r w:rsidR="00153AA6">
        <w:t>Phase A or the washout period</w:t>
      </w:r>
    </w:p>
    <w:p w:rsidR="0028400B" w:rsidRDefault="00877DE2" w:rsidP="000F706A">
      <w:pPr>
        <w:pStyle w:val="3-BodyText"/>
      </w:pPr>
      <w:r>
        <w:t xml:space="preserve">The PBAC noted the risk difference (RD) for the proportion of patients </w:t>
      </w:r>
      <w:r w:rsidR="000F706A">
        <w:t xml:space="preserve">treated with nabiximols </w:t>
      </w:r>
      <w:r>
        <w:t xml:space="preserve">achieving a 30% or more reduction in NRS over 12 weeks of treatment </w:t>
      </w:r>
      <w:r w:rsidR="000F706A">
        <w:t xml:space="preserve">compared to placebo </w:t>
      </w:r>
      <w:r w:rsidR="00C44BCF">
        <w:t xml:space="preserve">was 45% </w:t>
      </w:r>
      <w:r>
        <w:t xml:space="preserve">and 23% </w:t>
      </w:r>
      <w:r w:rsidR="004B1256">
        <w:t>i</w:t>
      </w:r>
      <w:r>
        <w:t xml:space="preserve">n Markova 2019 and Novotna 2011, respectively. </w:t>
      </w:r>
      <w:r w:rsidR="00276FDC" w:rsidRPr="00A67611">
        <w:t>The PBAC</w:t>
      </w:r>
      <w:r w:rsidR="00810CFF" w:rsidRPr="00A67611">
        <w:t xml:space="preserve"> noted th</w:t>
      </w:r>
      <w:r w:rsidR="00276FDC" w:rsidRPr="00A67611">
        <w:t xml:space="preserve">e </w:t>
      </w:r>
      <w:r w:rsidR="00B45B81">
        <w:t xml:space="preserve">nabiximols </w:t>
      </w:r>
      <w:r w:rsidR="00276FDC" w:rsidRPr="00A67611">
        <w:t>treatment response rates were similar in</w:t>
      </w:r>
      <w:r w:rsidR="00F3490F">
        <w:t xml:space="preserve"> the Markova 2019 and Novotna 2011 </w:t>
      </w:r>
      <w:r w:rsidR="00276FDC" w:rsidRPr="00A67611">
        <w:t xml:space="preserve">studies </w:t>
      </w:r>
      <w:r w:rsidR="00B45B81">
        <w:t xml:space="preserve">(77% and 74%, respectively) </w:t>
      </w:r>
      <w:r w:rsidR="00276FDC" w:rsidRPr="00A67611">
        <w:t xml:space="preserve">and the observed differences in </w:t>
      </w:r>
      <w:r>
        <w:t xml:space="preserve">RD was </w:t>
      </w:r>
      <w:r w:rsidR="00FB3AD7" w:rsidRPr="00A67611">
        <w:t>attributable</w:t>
      </w:r>
      <w:r w:rsidR="00276FDC" w:rsidRPr="00A67611">
        <w:t xml:space="preserve"> to the</w:t>
      </w:r>
      <w:r w:rsidR="00FB3AD7" w:rsidRPr="00A67611">
        <w:t xml:space="preserve"> observed</w:t>
      </w:r>
      <w:r w:rsidR="00276FDC" w:rsidRPr="00A67611">
        <w:t xml:space="preserve"> differences in placebo response rates</w:t>
      </w:r>
      <w:r>
        <w:t xml:space="preserve"> (32% and 51% in Markova 2019 and Novotna 2011, respectively)</w:t>
      </w:r>
      <w:r w:rsidR="00276FDC" w:rsidRPr="00A67611">
        <w:t xml:space="preserve">. Due to the design of the </w:t>
      </w:r>
      <w:r w:rsidR="00883110" w:rsidRPr="00A67611">
        <w:t xml:space="preserve">Markovà </w:t>
      </w:r>
      <w:r w:rsidR="00276FDC" w:rsidRPr="00A67611">
        <w:t>2019 trial</w:t>
      </w:r>
      <w:r w:rsidR="00FB3AD7" w:rsidRPr="00A67611">
        <w:t xml:space="preserve"> (</w:t>
      </w:r>
      <w:r w:rsidR="00A97E3A">
        <w:t xml:space="preserve">see </w:t>
      </w:r>
      <w:r w:rsidR="00276FDC" w:rsidRPr="00A67611">
        <w:t xml:space="preserve">paragraph </w:t>
      </w:r>
      <w:r w:rsidR="008A3596">
        <w:t>7.6</w:t>
      </w:r>
      <w:r w:rsidR="00FB3AD7" w:rsidRPr="00A67611">
        <w:t>)</w:t>
      </w:r>
      <w:r w:rsidR="00276FDC" w:rsidRPr="00A67611">
        <w:t>, the PBAC considered the difference</w:t>
      </w:r>
      <w:r w:rsidR="00332291" w:rsidRPr="00A67611">
        <w:t xml:space="preserve"> in placebo response rates</w:t>
      </w:r>
      <w:r w:rsidR="00276FDC" w:rsidRPr="00A67611">
        <w:t xml:space="preserve"> </w:t>
      </w:r>
      <w:r w:rsidR="00A20648">
        <w:t>was</w:t>
      </w:r>
      <w:r w:rsidR="00A20648" w:rsidRPr="00A67611">
        <w:t xml:space="preserve"> </w:t>
      </w:r>
      <w:r w:rsidR="00276FDC" w:rsidRPr="00A67611">
        <w:t xml:space="preserve">likely </w:t>
      </w:r>
      <w:r w:rsidR="00332291" w:rsidRPr="00A67611">
        <w:t xml:space="preserve">due to potential unblinding of participants in </w:t>
      </w:r>
      <w:r w:rsidR="00883110" w:rsidRPr="00A67611">
        <w:t>Markovà</w:t>
      </w:r>
      <w:r w:rsidR="00332291" w:rsidRPr="00A67611">
        <w:t xml:space="preserve"> 2019</w:t>
      </w:r>
      <w:r w:rsidR="00FB3AD7" w:rsidRPr="00A67611">
        <w:t xml:space="preserve">. Further, the </w:t>
      </w:r>
      <w:r w:rsidR="000F706A">
        <w:t>PBAC</w:t>
      </w:r>
      <w:r w:rsidR="000F706A" w:rsidRPr="00A67611">
        <w:t xml:space="preserve"> </w:t>
      </w:r>
      <w:r w:rsidR="00332291" w:rsidRPr="00A67611">
        <w:t>considered the impact</w:t>
      </w:r>
      <w:r w:rsidR="0078162A" w:rsidRPr="00A67611">
        <w:t xml:space="preserve"> of </w:t>
      </w:r>
      <w:r w:rsidR="008435DA">
        <w:t>unblinding</w:t>
      </w:r>
      <w:r w:rsidR="00332291" w:rsidRPr="00A67611">
        <w:t xml:space="preserve"> was likely to be exacerbated as the primary outcome of improvement in NRS score was a subjective measure. </w:t>
      </w:r>
    </w:p>
    <w:p w:rsidR="008D1984" w:rsidRPr="00A67611" w:rsidRDefault="00332291" w:rsidP="000F706A">
      <w:pPr>
        <w:pStyle w:val="3-BodyText"/>
      </w:pPr>
      <w:r w:rsidRPr="00A67611">
        <w:t>The PBAC considered that based on the available evidence, it was likely that nabiximols was of modest benefit in the requested populatio</w:t>
      </w:r>
      <w:r w:rsidR="0028400B">
        <w:t xml:space="preserve">n; however, the magnitude and durability of the benefit was uncertain. </w:t>
      </w:r>
    </w:p>
    <w:p w:rsidR="008D1984" w:rsidRPr="00A67611" w:rsidRDefault="00F3490F" w:rsidP="000F706A">
      <w:pPr>
        <w:pStyle w:val="3-BodyText"/>
      </w:pPr>
      <w:r>
        <w:t>The PBAC considered the c</w:t>
      </w:r>
      <w:r w:rsidR="00FA77EB" w:rsidRPr="00A67611">
        <w:t>laim that nabiximols was of inferior safety to standard care</w:t>
      </w:r>
      <w:r>
        <w:t xml:space="preserve"> was reasonable</w:t>
      </w:r>
      <w:r w:rsidR="00FA77EB" w:rsidRPr="00A67611">
        <w:t xml:space="preserve">, however further considered the comparative safety may be less favourable than reported for nabiximols due to the likely underestimate of adverse events in Phase B of the </w:t>
      </w:r>
      <w:r w:rsidR="008435DA" w:rsidRPr="00A67611">
        <w:t>Markovà 2019</w:t>
      </w:r>
      <w:r w:rsidR="008435DA">
        <w:t xml:space="preserve"> </w:t>
      </w:r>
      <w:r w:rsidR="00FA77EB" w:rsidRPr="00A67611">
        <w:t>trial</w:t>
      </w:r>
      <w:r w:rsidR="007D14BC">
        <w:t xml:space="preserve"> (paragraph 7.6)</w:t>
      </w:r>
      <w:r w:rsidR="00FA77EB" w:rsidRPr="00A67611">
        <w:t>.</w:t>
      </w:r>
    </w:p>
    <w:p w:rsidR="00FA77EB" w:rsidRPr="00A67611" w:rsidRDefault="00FA77EB" w:rsidP="000F706A">
      <w:pPr>
        <w:pStyle w:val="3-BodyText"/>
      </w:pPr>
      <w:r w:rsidRPr="00A67611">
        <w:t>The PBAC had substantial concerns with the</w:t>
      </w:r>
      <w:r w:rsidR="00B52D08" w:rsidRPr="00A67611">
        <w:t xml:space="preserve"> structure and inputs to the</w:t>
      </w:r>
      <w:r w:rsidRPr="00A67611">
        <w:t xml:space="preserve"> economic model and con</w:t>
      </w:r>
      <w:r w:rsidR="00EA3CC8" w:rsidRPr="00A67611">
        <w:t>sidered the submission base case</w:t>
      </w:r>
      <w:r w:rsidRPr="00A67611">
        <w:t xml:space="preserve"> to be uninformative for decisi</w:t>
      </w:r>
      <w:r w:rsidR="00EA3CC8" w:rsidRPr="00A67611">
        <w:t xml:space="preserve">on making </w:t>
      </w:r>
      <w:r w:rsidR="00B52D08" w:rsidRPr="00A67611">
        <w:t>because:</w:t>
      </w:r>
    </w:p>
    <w:p w:rsidR="00FA77EB" w:rsidRDefault="00A92CC3" w:rsidP="00416BEE">
      <w:pPr>
        <w:pStyle w:val="PBACbulletpoint"/>
      </w:pPr>
      <w:r w:rsidRPr="00A97E3A">
        <w:t>The model structure was overly simplistic and did not capture the complexity of MS-related spasticity, inappropriately assumed responders w</w:t>
      </w:r>
      <w:r w:rsidR="00EC0DE2" w:rsidRPr="00A97E3A">
        <w:t>ould</w:t>
      </w:r>
      <w:r w:rsidRPr="00A97E3A">
        <w:t xml:space="preserve"> respond from day 1 of treatment, excluded initial non-responders to nabiximols (and associated costs) and nominated a time horizon of 12 months, which was too short for a chronic condition where treatment would likely be long-term</w:t>
      </w:r>
      <w:r w:rsidR="0078162A" w:rsidRPr="00A97E3A">
        <w:t xml:space="preserve"> </w:t>
      </w:r>
      <w:r w:rsidR="00A0051C" w:rsidRPr="00A97E3A">
        <w:t xml:space="preserve">in </w:t>
      </w:r>
      <w:r w:rsidR="0078162A" w:rsidRPr="00A97E3A">
        <w:t xml:space="preserve">patients </w:t>
      </w:r>
      <w:r w:rsidR="00A0051C" w:rsidRPr="00A97E3A">
        <w:t xml:space="preserve">who </w:t>
      </w:r>
      <w:r w:rsidR="0078162A" w:rsidRPr="00A97E3A">
        <w:t>received a benefit</w:t>
      </w:r>
      <w:r w:rsidR="00F50601">
        <w:t xml:space="preserve">. </w:t>
      </w:r>
      <w:r w:rsidR="00F50601" w:rsidRPr="00A67611">
        <w:t>The PBAC noted the PSCR provided an updated model extended to 10 years and applied an arbitrary decline in response of 1% per year</w:t>
      </w:r>
      <w:r w:rsidR="00E55A8D">
        <w:t xml:space="preserve">. </w:t>
      </w:r>
      <w:r w:rsidR="00416BEE">
        <w:t>H</w:t>
      </w:r>
      <w:r w:rsidR="00416BEE" w:rsidRPr="00416BEE">
        <w:t>owever, the PBAC noted the model was informed by only 12 weeks of data which created substantial uncertainty in a longer model duration and extending the model duration in isolation of other changes did not provide more certainty or better inform the cost effectiveness of nabiximols;</w:t>
      </w:r>
    </w:p>
    <w:p w:rsidR="00A92CC3" w:rsidRDefault="00A92CC3" w:rsidP="00C44BCF">
      <w:pPr>
        <w:pStyle w:val="PBACbulletpoint"/>
      </w:pPr>
      <w:r w:rsidRPr="00A67611">
        <w:t>Given the issues</w:t>
      </w:r>
      <w:r w:rsidR="00EA3CC8" w:rsidRPr="00A67611">
        <w:t xml:space="preserve"> with the design of the </w:t>
      </w:r>
      <w:r w:rsidR="00883110" w:rsidRPr="00A67611">
        <w:t xml:space="preserve">Markovà </w:t>
      </w:r>
      <w:r w:rsidR="00EA3CC8" w:rsidRPr="00A67611">
        <w:t>2019 trial</w:t>
      </w:r>
      <w:r w:rsidRPr="00A67611">
        <w:t xml:space="preserve"> </w:t>
      </w:r>
      <w:r w:rsidR="00BB4410">
        <w:t xml:space="preserve">(see </w:t>
      </w:r>
      <w:r w:rsidRPr="00A67611">
        <w:t xml:space="preserve">paragraph </w:t>
      </w:r>
      <w:r w:rsidR="008A3596">
        <w:t>7.6</w:t>
      </w:r>
      <w:r w:rsidR="00BB4410">
        <w:t xml:space="preserve">) </w:t>
      </w:r>
      <w:r w:rsidR="00EA3CC8" w:rsidRPr="00A67611">
        <w:t xml:space="preserve">and as the only study used in the economic model, the </w:t>
      </w:r>
      <w:r w:rsidR="00C53EB3">
        <w:t>clinical data that informs the model is highly uncertain</w:t>
      </w:r>
      <w:r w:rsidR="000733EB">
        <w:t xml:space="preserve">. The PBAC considered the effect size included in the economic model was likely to be an overestimate and the rate of adverse events </w:t>
      </w:r>
      <w:r w:rsidR="000733EB">
        <w:lastRenderedPageBreak/>
        <w:t xml:space="preserve">were likely to be </w:t>
      </w:r>
      <w:r w:rsidR="00711024">
        <w:t xml:space="preserve">an </w:t>
      </w:r>
      <w:r w:rsidR="000733EB">
        <w:t>underestimate</w:t>
      </w:r>
      <w:r w:rsidR="00C53EB3">
        <w:t>;</w:t>
      </w:r>
    </w:p>
    <w:p w:rsidR="000733EB" w:rsidRPr="000733EB" w:rsidRDefault="000733EB" w:rsidP="00D65A55">
      <w:pPr>
        <w:pStyle w:val="PBACbulletpoint"/>
        <w:widowControl/>
        <w:ind w:left="1077" w:hanging="357"/>
      </w:pPr>
      <w:r w:rsidRPr="00A67611">
        <w:t xml:space="preserve">The </w:t>
      </w:r>
      <w:r>
        <w:t xml:space="preserve">method used to determine the utility gain </w:t>
      </w:r>
      <w:r w:rsidRPr="00A67611">
        <w:t>from achieving ≥30% improvement from baseline NRS</w:t>
      </w:r>
      <w:r>
        <w:t xml:space="preserve"> was uncertain</w:t>
      </w:r>
      <w:r w:rsidR="00711024">
        <w:t>;</w:t>
      </w:r>
    </w:p>
    <w:p w:rsidR="00A92CC3" w:rsidRPr="00A67611" w:rsidRDefault="00EA3CC8" w:rsidP="001D7360">
      <w:pPr>
        <w:pStyle w:val="PBACbulletpoint"/>
      </w:pPr>
      <w:r w:rsidRPr="00A67611">
        <w:t>The cost offsets in the model were substantially overestimated, as the model inappropriately assumed all MS-related treatment costs would be offset. The PBAC considered this was inappropriate and</w:t>
      </w:r>
      <w:r w:rsidR="00C53EB3">
        <w:t xml:space="preserve"> agreed with ESC</w:t>
      </w:r>
      <w:r w:rsidRPr="00A67611">
        <w:t xml:space="preserve"> that health system costs for the management of MS would continue, and that only a proportion of costs which could be attributed to spasticity may be offset. </w:t>
      </w:r>
      <w:r w:rsidR="001D7360">
        <w:t>T</w:t>
      </w:r>
      <w:r w:rsidR="001D7360" w:rsidRPr="00A67611">
        <w:t xml:space="preserve">he PBAC noted there was no observed significant difference in healthcare use between the nabiximols and standard care arms in Markovà </w:t>
      </w:r>
      <w:r w:rsidR="001D7360">
        <w:t xml:space="preserve">2019. </w:t>
      </w:r>
      <w:r w:rsidRPr="00A67611">
        <w:t xml:space="preserve">The PBAC </w:t>
      </w:r>
      <w:r w:rsidR="001D7360">
        <w:t>noted the economic model</w:t>
      </w:r>
      <w:r w:rsidR="001D7360" w:rsidRPr="00A67611">
        <w:t xml:space="preserve"> </w:t>
      </w:r>
      <w:r w:rsidR="001D7360">
        <w:t xml:space="preserve">was </w:t>
      </w:r>
      <w:r w:rsidR="008E10DE">
        <w:t xml:space="preserve">highly </w:t>
      </w:r>
      <w:r w:rsidR="001D7360">
        <w:t xml:space="preserve">sensitive to </w:t>
      </w:r>
      <w:r w:rsidR="00B14F30">
        <w:t>healthcare cost</w:t>
      </w:r>
      <w:r w:rsidR="008E10DE">
        <w:t xml:space="preserve"> assumptions</w:t>
      </w:r>
      <w:r w:rsidR="00B14F30">
        <w:t xml:space="preserve"> </w:t>
      </w:r>
      <w:r w:rsidR="008E10DE">
        <w:t xml:space="preserve">and applying </w:t>
      </w:r>
      <w:r w:rsidR="00B14F30">
        <w:t xml:space="preserve">the </w:t>
      </w:r>
      <w:r w:rsidRPr="00A67611">
        <w:t xml:space="preserve">NICE review values </w:t>
      </w:r>
      <w:r w:rsidR="002A350C">
        <w:t>of</w:t>
      </w:r>
      <w:r w:rsidRPr="00A67611">
        <w:t xml:space="preserve"> 25% of costs reported in Stevenson 2015 and 49.65% of home</w:t>
      </w:r>
      <w:r w:rsidR="00A0051C" w:rsidRPr="00A67611">
        <w:t xml:space="preserve"> care visits</w:t>
      </w:r>
      <w:r w:rsidR="008E10DE">
        <w:t xml:space="preserve"> increased the ICER substantially</w:t>
      </w:r>
      <w:r w:rsidR="00B14F30">
        <w:t>.</w:t>
      </w:r>
    </w:p>
    <w:p w:rsidR="00756A46" w:rsidRPr="00756A46" w:rsidRDefault="00B52D08" w:rsidP="00756A46">
      <w:pPr>
        <w:pStyle w:val="3-BodyText"/>
        <w:rPr>
          <w:lang w:eastAsia="en-US"/>
        </w:rPr>
      </w:pPr>
      <w:r w:rsidRPr="00A67611">
        <w:rPr>
          <w:lang w:eastAsia="en-US"/>
        </w:rPr>
        <w:t>Noting the substantial issues with the economic model</w:t>
      </w:r>
      <w:r w:rsidR="00BF4CAE" w:rsidRPr="00A67611">
        <w:rPr>
          <w:lang w:eastAsia="en-US"/>
        </w:rPr>
        <w:t xml:space="preserve"> </w:t>
      </w:r>
      <w:r w:rsidRPr="00A67611">
        <w:rPr>
          <w:lang w:eastAsia="en-US"/>
        </w:rPr>
        <w:t xml:space="preserve">the PBAC considered the cost-effectiveness of nabiximols to be </w:t>
      </w:r>
      <w:r w:rsidR="00A90C5A">
        <w:rPr>
          <w:lang w:eastAsia="en-US"/>
        </w:rPr>
        <w:t xml:space="preserve">very </w:t>
      </w:r>
      <w:r w:rsidRPr="00A67611">
        <w:rPr>
          <w:lang w:eastAsia="en-US"/>
        </w:rPr>
        <w:t xml:space="preserve">uncertain </w:t>
      </w:r>
      <w:r w:rsidR="00A90C5A">
        <w:rPr>
          <w:lang w:eastAsia="en-US"/>
        </w:rPr>
        <w:t xml:space="preserve">and unacceptably high </w:t>
      </w:r>
      <w:r w:rsidRPr="00A67611">
        <w:rPr>
          <w:lang w:eastAsia="en-US"/>
        </w:rPr>
        <w:t xml:space="preserve">at the proposed price. </w:t>
      </w:r>
    </w:p>
    <w:p w:rsidR="008D1984" w:rsidRPr="00A67611" w:rsidRDefault="00BF4CAE" w:rsidP="000F706A">
      <w:pPr>
        <w:pStyle w:val="3-BodyText"/>
      </w:pPr>
      <w:r w:rsidRPr="00A67611">
        <w:t xml:space="preserve">The PBAC considered the </w:t>
      </w:r>
      <w:r w:rsidR="009A3683" w:rsidRPr="00A67611">
        <w:t xml:space="preserve">base case financial estimates of total cost to the health system to be underestimated, as the cost offsets for other health system costs avoided were not realistic. </w:t>
      </w:r>
      <w:r w:rsidR="00A90C5A">
        <w:t>As for</w:t>
      </w:r>
      <w:r w:rsidR="009A3683" w:rsidRPr="00A67611">
        <w:t xml:space="preserve"> the economic model, the PBAC noted the submission assumed large proportions of MS-related health system costs would be avoided and considered this was an unreasonable assumption, as only a portion of those costs were attributable to MS-related spasticity. Furthermore, the PBAC considered the assumption of reduced health system costs to be uncertain as changes in health resource use were not observed in the </w:t>
      </w:r>
      <w:r w:rsidR="00A97E3A" w:rsidRPr="00A67611">
        <w:t>Markovà 2019</w:t>
      </w:r>
      <w:r w:rsidR="009A3683" w:rsidRPr="00A67611">
        <w:t xml:space="preserve"> trial.</w:t>
      </w:r>
    </w:p>
    <w:p w:rsidR="00756A46" w:rsidRPr="00756A46" w:rsidRDefault="00B20709" w:rsidP="00756A46">
      <w:pPr>
        <w:pStyle w:val="3-BodyText"/>
        <w:rPr>
          <w:lang w:eastAsia="en-US"/>
        </w:rPr>
      </w:pPr>
      <w:r w:rsidRPr="00A67611">
        <w:t xml:space="preserve">The PBAC considered any potential resubmission would require a major submission with a re-specified economic model </w:t>
      </w:r>
      <w:r w:rsidR="00206D90">
        <w:t>addressing</w:t>
      </w:r>
      <w:r w:rsidR="00C53EB3">
        <w:t xml:space="preserve"> the issues raised in paragraph 7.</w:t>
      </w:r>
      <w:r w:rsidR="000E3491">
        <w:t>10 and revised financial estimates noting the issues raised in paragraph</w:t>
      </w:r>
      <w:r w:rsidR="009B17FD">
        <w:t>s 6.87</w:t>
      </w:r>
      <w:r w:rsidR="00E55A8D">
        <w:t xml:space="preserve"> and </w:t>
      </w:r>
      <w:r w:rsidR="000E3491">
        <w:t>7.12</w:t>
      </w:r>
      <w:r w:rsidRPr="00A67611">
        <w:t xml:space="preserve">. </w:t>
      </w:r>
      <w:r w:rsidR="00756A46">
        <w:rPr>
          <w:lang w:eastAsia="en-US"/>
        </w:rPr>
        <w:t>The PBAC considered that while the</w:t>
      </w:r>
      <w:r w:rsidR="00756A46" w:rsidRPr="00756A46">
        <w:rPr>
          <w:lang w:eastAsia="en-US"/>
        </w:rPr>
        <w:t xml:space="preserve"> </w:t>
      </w:r>
      <w:r w:rsidR="00756A46">
        <w:rPr>
          <w:lang w:eastAsia="en-US"/>
        </w:rPr>
        <w:t xml:space="preserve">economic </w:t>
      </w:r>
      <w:r w:rsidR="00756A46" w:rsidRPr="00756A46">
        <w:rPr>
          <w:lang w:eastAsia="en-US"/>
        </w:rPr>
        <w:t xml:space="preserve">model presented in the </w:t>
      </w:r>
      <w:r w:rsidR="00756A46">
        <w:rPr>
          <w:lang w:eastAsia="en-US"/>
        </w:rPr>
        <w:t xml:space="preserve">resubmission was unreliable, it was </w:t>
      </w:r>
      <w:r w:rsidR="00756A46" w:rsidRPr="00756A46">
        <w:rPr>
          <w:lang w:eastAsia="en-US"/>
        </w:rPr>
        <w:t xml:space="preserve">likely to have </w:t>
      </w:r>
      <w:r w:rsidR="00756A46">
        <w:rPr>
          <w:lang w:eastAsia="en-US"/>
        </w:rPr>
        <w:t xml:space="preserve">substantially </w:t>
      </w:r>
      <w:r w:rsidR="00756A46" w:rsidRPr="00756A46">
        <w:rPr>
          <w:lang w:eastAsia="en-US"/>
        </w:rPr>
        <w:t xml:space="preserve">underestimated </w:t>
      </w:r>
      <w:r w:rsidR="00756A46">
        <w:rPr>
          <w:lang w:eastAsia="en-US"/>
        </w:rPr>
        <w:t xml:space="preserve">the </w:t>
      </w:r>
      <w:r w:rsidR="00756A46" w:rsidRPr="00756A46">
        <w:rPr>
          <w:lang w:eastAsia="en-US"/>
        </w:rPr>
        <w:t xml:space="preserve">ICER </w:t>
      </w:r>
      <w:r w:rsidR="00756A46">
        <w:rPr>
          <w:lang w:eastAsia="en-US"/>
        </w:rPr>
        <w:t xml:space="preserve">and considered a </w:t>
      </w:r>
      <w:r w:rsidR="00756A46" w:rsidRPr="00756A46">
        <w:rPr>
          <w:lang w:eastAsia="en-US"/>
        </w:rPr>
        <w:t>rea</w:t>
      </w:r>
      <w:r w:rsidR="00756A46">
        <w:rPr>
          <w:lang w:eastAsia="en-US"/>
        </w:rPr>
        <w:t xml:space="preserve">sonable re-specified economic model would likely </w:t>
      </w:r>
      <w:r w:rsidR="00DE7DA4">
        <w:t>require the price of nabiximols to be reduced substantially to achieve a reasonable ICER</w:t>
      </w:r>
      <w:r w:rsidR="00DE7DA4">
        <w:rPr>
          <w:lang w:eastAsia="en-US"/>
        </w:rPr>
        <w:t xml:space="preserve">. </w:t>
      </w:r>
      <w:r w:rsidR="00756A46">
        <w:rPr>
          <w:lang w:eastAsia="en-US"/>
        </w:rPr>
        <w:t xml:space="preserve"> </w:t>
      </w:r>
    </w:p>
    <w:p w:rsidR="00BF4CAE" w:rsidRPr="00A67611" w:rsidRDefault="008D1984" w:rsidP="000F706A">
      <w:pPr>
        <w:pStyle w:val="3-BodyText"/>
        <w:rPr>
          <w:b/>
        </w:rPr>
      </w:pPr>
      <w:r w:rsidRPr="00A67611">
        <w:t>The PBAC note</w:t>
      </w:r>
      <w:r w:rsidR="00BF4CAE" w:rsidRPr="00A67611">
        <w:t>d that this submission is</w:t>
      </w:r>
      <w:r w:rsidRPr="00A67611">
        <w:t xml:space="preserve"> eligible for an Independent Review. </w:t>
      </w:r>
    </w:p>
    <w:p w:rsidR="008D1984" w:rsidRPr="00A67611" w:rsidRDefault="008D1984" w:rsidP="00BF4CAE">
      <w:pPr>
        <w:widowControl w:val="0"/>
        <w:spacing w:after="120"/>
        <w:rPr>
          <w:rFonts w:asciiTheme="minorHAnsi" w:hAnsiTheme="minorHAnsi"/>
          <w:b/>
          <w:bCs/>
          <w:snapToGrid w:val="0"/>
        </w:rPr>
      </w:pPr>
      <w:r w:rsidRPr="00A67611">
        <w:rPr>
          <w:rFonts w:asciiTheme="minorHAnsi" w:hAnsiTheme="minorHAnsi"/>
          <w:b/>
          <w:bCs/>
          <w:snapToGrid w:val="0"/>
        </w:rPr>
        <w:t>Outcome:</w:t>
      </w:r>
    </w:p>
    <w:p w:rsidR="0087595C" w:rsidRDefault="008D1984" w:rsidP="00813A24">
      <w:pPr>
        <w:rPr>
          <w:rFonts w:asciiTheme="minorHAnsi" w:hAnsiTheme="minorHAnsi"/>
          <w:bCs/>
          <w:snapToGrid w:val="0"/>
        </w:rPr>
      </w:pPr>
      <w:r w:rsidRPr="00A67611">
        <w:rPr>
          <w:rFonts w:asciiTheme="minorHAnsi" w:hAnsiTheme="minorHAnsi"/>
          <w:bCs/>
          <w:snapToGrid w:val="0"/>
        </w:rPr>
        <w:t xml:space="preserve">Rejected </w:t>
      </w:r>
    </w:p>
    <w:p w:rsidR="0087595C" w:rsidRPr="003B7841" w:rsidRDefault="0087595C" w:rsidP="0087595C">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87595C" w:rsidRPr="003B7841" w:rsidRDefault="0087595C" w:rsidP="00184F66">
      <w:pPr>
        <w:spacing w:line="276" w:lineRule="auto"/>
        <w:rPr>
          <w:rFonts w:asciiTheme="minorHAnsi" w:eastAsiaTheme="minorHAnsi" w:hAnsiTheme="minorHAnsi" w:cs="Times New Roman"/>
          <w:szCs w:val="22"/>
          <w:lang w:eastAsia="en-US"/>
        </w:rPr>
      </w:pPr>
      <w:r w:rsidRPr="003B7841">
        <w:rPr>
          <w:rFonts w:asciiTheme="minorHAnsi" w:eastAsiaTheme="minorHAnsi" w:hAnsiTheme="minorHAnsi" w:cs="Times New Roman"/>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3B7841">
        <w:rPr>
          <w:rFonts w:asciiTheme="minorHAnsi" w:eastAsiaTheme="minorHAnsi" w:hAnsiTheme="minorHAnsi" w:cs="Times New Roman"/>
          <w:szCs w:val="22"/>
          <w:lang w:eastAsia="en-US"/>
        </w:rPr>
        <w:lastRenderedPageBreak/>
        <w:t>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7595C" w:rsidRPr="003B7841" w:rsidRDefault="0087595C" w:rsidP="0087595C">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87595C" w:rsidRPr="00872627" w:rsidRDefault="0048114E" w:rsidP="00184F66">
      <w:pPr>
        <w:spacing w:line="276" w:lineRule="auto"/>
        <w:rPr>
          <w:rFonts w:asciiTheme="minorHAnsi" w:eastAsiaTheme="minorHAnsi" w:hAnsiTheme="minorHAnsi" w:cs="Times New Roman"/>
          <w:szCs w:val="22"/>
          <w:lang w:eastAsia="en-US"/>
        </w:rPr>
      </w:pPr>
      <w:r w:rsidRPr="0048114E">
        <w:rPr>
          <w:rFonts w:asciiTheme="minorHAnsi" w:hAnsiTheme="minorHAnsi"/>
          <w:bCs/>
          <w:snapToGrid w:val="0"/>
        </w:rPr>
        <w:t>Emerge Health is disappointed with the PBAC outcome but will continue to work collaboratively with the PBAC, the Department of Health and Federal Government to ensure patients with MS related spasticity receive access to Sativex through the Pharmaceutical Benefits Scheme</w:t>
      </w:r>
      <w:r w:rsidR="00872627">
        <w:rPr>
          <w:rFonts w:asciiTheme="minorHAnsi" w:hAnsiTheme="minorHAnsi"/>
          <w:bCs/>
          <w:snapToGrid w:val="0"/>
        </w:rPr>
        <w:t>.</w:t>
      </w:r>
    </w:p>
    <w:sectPr w:rsidR="0087595C" w:rsidRPr="00872627" w:rsidSect="00A0051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93500F" w16cid:durableId="22417A8F"/>
  <w16cid:commentId w16cid:paraId="1AC4A141" w16cid:durableId="2242063C"/>
  <w16cid:commentId w16cid:paraId="7F0E2730" w16cid:durableId="22417A90"/>
  <w16cid:commentId w16cid:paraId="71E6024E" w16cid:durableId="22420610"/>
  <w16cid:commentId w16cid:paraId="790D739C" w16cid:durableId="22417A91"/>
  <w16cid:commentId w16cid:paraId="5005D670" w16cid:durableId="224183EF"/>
  <w16cid:commentId w16cid:paraId="5F302984" w16cid:durableId="22417A92"/>
  <w16cid:commentId w16cid:paraId="1D29B459" w16cid:durableId="2241842F"/>
  <w16cid:commentId w16cid:paraId="57E8DE5C" w16cid:durableId="22417A93"/>
  <w16cid:commentId w16cid:paraId="74196D56" w16cid:durableId="224187A6"/>
  <w16cid:commentId w16cid:paraId="2B866820" w16cid:durableId="22417A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66" w:rsidRDefault="00184F66" w:rsidP="00124A51">
      <w:r>
        <w:separator/>
      </w:r>
    </w:p>
    <w:p w:rsidR="00184F66" w:rsidRDefault="00184F66"/>
  </w:endnote>
  <w:endnote w:type="continuationSeparator" w:id="0">
    <w:p w:rsidR="00184F66" w:rsidRDefault="00184F66" w:rsidP="00124A51">
      <w:r>
        <w:continuationSeparator/>
      </w:r>
    </w:p>
    <w:p w:rsidR="00184F66" w:rsidRDefault="0018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66" w:rsidRDefault="0018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3E" w:rsidRPr="00D13A3E" w:rsidRDefault="006F7A3E" w:rsidP="00015886">
    <w:pPr>
      <w:ind w:right="360"/>
      <w:jc w:val="center"/>
      <w:rPr>
        <w:b/>
        <w:sz w:val="20"/>
      </w:rPr>
    </w:pPr>
  </w:p>
  <w:p w:rsidR="006F7A3E" w:rsidRPr="007C1CD9" w:rsidRDefault="006F7A3E" w:rsidP="00BC06EF">
    <w:pPr>
      <w:ind w:right="360"/>
      <w:jc w:val="center"/>
    </w:pPr>
    <w:r>
      <w:rPr>
        <w:b/>
      </w:rPr>
      <w:t xml:space="preserve"> </w:t>
    </w:r>
    <w:r w:rsidRPr="00836F75">
      <w:rPr>
        <w:b/>
      </w:rPr>
      <w:fldChar w:fldCharType="begin"/>
    </w:r>
    <w:r w:rsidRPr="00836F75">
      <w:rPr>
        <w:b/>
      </w:rPr>
      <w:instrText xml:space="preserve"> PAGE   \* MERGEFORMAT </w:instrText>
    </w:r>
    <w:r w:rsidRPr="00836F75">
      <w:rPr>
        <w:b/>
      </w:rPr>
      <w:fldChar w:fldCharType="separate"/>
    </w:r>
    <w:r w:rsidR="00EC5AAD">
      <w:rPr>
        <w:b/>
        <w:noProof/>
      </w:rPr>
      <w:t>20</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66" w:rsidRDefault="0018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66" w:rsidRDefault="00184F66" w:rsidP="00124A51">
      <w:r>
        <w:separator/>
      </w:r>
    </w:p>
    <w:p w:rsidR="00184F66" w:rsidRDefault="00184F66"/>
  </w:footnote>
  <w:footnote w:type="continuationSeparator" w:id="0">
    <w:p w:rsidR="00184F66" w:rsidRDefault="00184F66" w:rsidP="00124A51">
      <w:r>
        <w:continuationSeparator/>
      </w:r>
    </w:p>
    <w:p w:rsidR="00184F66" w:rsidRDefault="00184F66"/>
  </w:footnote>
  <w:footnote w:id="1">
    <w:p w:rsidR="006F7A3E" w:rsidRPr="00B21251" w:rsidRDefault="006F7A3E" w:rsidP="00B21251">
      <w:pPr>
        <w:rPr>
          <w:rFonts w:cs="Calibri"/>
          <w:sz w:val="20"/>
          <w:szCs w:val="20"/>
        </w:rPr>
      </w:pPr>
      <w:r w:rsidRPr="00B21251">
        <w:rPr>
          <w:rStyle w:val="FootnoteReference"/>
          <w:sz w:val="20"/>
          <w:szCs w:val="20"/>
        </w:rPr>
        <w:footnoteRef/>
      </w:r>
      <w:r w:rsidRPr="00B21251">
        <w:rPr>
          <w:sz w:val="20"/>
          <w:szCs w:val="20"/>
        </w:rPr>
        <w:t xml:space="preserve"> </w:t>
      </w:r>
      <w:hyperlink r:id="rId1" w:history="1">
        <w:r w:rsidRPr="00B21251">
          <w:rPr>
            <w:rStyle w:val="Hyperlink"/>
            <w:sz w:val="20"/>
            <w:szCs w:val="20"/>
          </w:rPr>
          <w:t>https://www.racgp.org.au/advocacy/position-statements/view-all-position-statements/clinical-and-practice-management/medical-cannabis#ref-num-7</w:t>
        </w:r>
      </w:hyperlink>
      <w:r w:rsidRPr="00B21251">
        <w:rPr>
          <w:sz w:val="20"/>
          <w:szCs w:val="20"/>
        </w:rPr>
        <w:t> </w:t>
      </w:r>
    </w:p>
  </w:footnote>
  <w:footnote w:id="2">
    <w:p w:rsidR="006F7A3E" w:rsidRPr="00B21251" w:rsidRDefault="006F7A3E" w:rsidP="00B21251">
      <w:pPr>
        <w:rPr>
          <w:sz w:val="20"/>
        </w:rPr>
      </w:pPr>
      <w:r w:rsidRPr="00B21251">
        <w:rPr>
          <w:rStyle w:val="FootnoteReference"/>
          <w:sz w:val="20"/>
          <w:szCs w:val="20"/>
        </w:rPr>
        <w:footnoteRef/>
      </w:r>
      <w:r w:rsidRPr="00B21251">
        <w:rPr>
          <w:sz w:val="20"/>
          <w:szCs w:val="20"/>
        </w:rPr>
        <w:t xml:space="preserve"> </w:t>
      </w:r>
      <w:hyperlink r:id="rId2" w:history="1">
        <w:r w:rsidRPr="00B21251">
          <w:rPr>
            <w:rStyle w:val="Hyperlink"/>
            <w:sz w:val="20"/>
            <w:szCs w:val="20"/>
          </w:rPr>
          <w:t>https://www.nice.org.uk/guidance/ng144/chapter/Recommendations#spasticity</w:t>
        </w:r>
      </w:hyperlink>
    </w:p>
  </w:footnote>
  <w:footnote w:id="3">
    <w:p w:rsidR="006F7A3E" w:rsidRPr="00433AC7" w:rsidRDefault="006F7A3E">
      <w:pPr>
        <w:pStyle w:val="FootnoteText"/>
      </w:pPr>
      <w:r>
        <w:rPr>
          <w:rStyle w:val="FootnoteReference"/>
        </w:rPr>
        <w:footnoteRef/>
      </w:r>
      <w:r>
        <w:t xml:space="preserve"> </w:t>
      </w:r>
      <w:r w:rsidRPr="00050C65">
        <w:rPr>
          <w:rFonts w:asciiTheme="minorHAnsi" w:hAnsiTheme="minorHAnsi" w:cstheme="minorHAnsi"/>
        </w:rPr>
        <w:t xml:space="preserve">Ahmad H et al. ‘Health Economic Impact of Multiple Sclerosis in Australia in 2017: An analysis of MS Research Australia’s platform–the Australian </w:t>
      </w:r>
      <w:r w:rsidRPr="00433AC7">
        <w:rPr>
          <w:rFonts w:asciiTheme="minorHAnsi" w:hAnsiTheme="minorHAnsi" w:cstheme="minorHAnsi"/>
        </w:rPr>
        <w:t>MS Longitudinal Study’ (2018).</w:t>
      </w:r>
    </w:p>
  </w:footnote>
  <w:footnote w:id="4">
    <w:p w:rsidR="006F7A3E" w:rsidRPr="00433AC7" w:rsidRDefault="006F7A3E">
      <w:pPr>
        <w:pStyle w:val="FootnoteText"/>
      </w:pPr>
      <w:r w:rsidRPr="00433AC7">
        <w:rPr>
          <w:rStyle w:val="FootnoteReference"/>
        </w:rPr>
        <w:footnoteRef/>
      </w:r>
      <w:r w:rsidRPr="00433AC7">
        <w:t xml:space="preserve"> </w:t>
      </w:r>
      <w:r w:rsidRPr="00433AC7">
        <w:rPr>
          <w:rFonts w:asciiTheme="minorHAnsi" w:hAnsiTheme="minorHAnsi" w:cstheme="minorHAnsi"/>
        </w:rPr>
        <w:t>Estimated from Figure 3.10, Panel B, p36, Ahmad 2018</w:t>
      </w:r>
    </w:p>
  </w:footnote>
  <w:footnote w:id="5">
    <w:p w:rsidR="006F7A3E" w:rsidRDefault="006F7A3E">
      <w:pPr>
        <w:pStyle w:val="FootnoteText"/>
      </w:pPr>
      <w:r w:rsidRPr="00433AC7">
        <w:rPr>
          <w:rStyle w:val="FootnoteReference"/>
        </w:rPr>
        <w:footnoteRef/>
      </w:r>
      <w:r w:rsidRPr="00433AC7">
        <w:t xml:space="preserve"> </w:t>
      </w:r>
      <w:r w:rsidRPr="00433AC7">
        <w:rPr>
          <w:rFonts w:asciiTheme="minorHAnsi" w:hAnsiTheme="minorHAnsi" w:cstheme="minorHAnsi"/>
        </w:rPr>
        <w:t>Estimated from Figure 3.2, Panel B, p30, Ahmad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66" w:rsidRDefault="0018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3E" w:rsidRPr="00AE7449" w:rsidRDefault="006F7A3E" w:rsidP="0087595C">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2020</w:t>
    </w:r>
    <w:r w:rsidRPr="00056684">
      <w:rPr>
        <w:rFonts w:asciiTheme="minorHAnsi" w:hAnsiTheme="minorHAnsi"/>
        <w:i/>
        <w:color w:val="808080"/>
      </w:rPr>
      <w:t xml:space="preserve"> PBAC Meeting</w:t>
    </w:r>
  </w:p>
  <w:p w:rsidR="006F7A3E" w:rsidRDefault="006F7A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66" w:rsidRDefault="00184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C61B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2C0989"/>
    <w:multiLevelType w:val="hybridMultilevel"/>
    <w:tmpl w:val="AB568650"/>
    <w:lvl w:ilvl="0" w:tplc="1A8AA5B8">
      <w:start w:val="1"/>
      <w:numFmt w:val="bullet"/>
      <w:pStyle w:val="Summary-Bullet"/>
      <w:lvlText w:val=""/>
      <w:lvlJc w:val="left"/>
      <w:pPr>
        <w:ind w:left="1571" w:hanging="360"/>
      </w:pPr>
      <w:rPr>
        <w:rFonts w:ascii="Symbol" w:hAnsi="Symbol" w:hint="default"/>
        <w:color w:val="00529B"/>
      </w:rPr>
    </w:lvl>
    <w:lvl w:ilvl="1" w:tplc="19D4277C" w:tentative="1">
      <w:start w:val="1"/>
      <w:numFmt w:val="bullet"/>
      <w:lvlText w:val="o"/>
      <w:lvlJc w:val="left"/>
      <w:pPr>
        <w:ind w:left="2291" w:hanging="360"/>
      </w:pPr>
      <w:rPr>
        <w:rFonts w:ascii="Courier New" w:hAnsi="Courier New" w:cs="Courier New" w:hint="default"/>
      </w:rPr>
    </w:lvl>
    <w:lvl w:ilvl="2" w:tplc="053C3A54" w:tentative="1">
      <w:start w:val="1"/>
      <w:numFmt w:val="bullet"/>
      <w:lvlText w:val=""/>
      <w:lvlJc w:val="left"/>
      <w:pPr>
        <w:ind w:left="3011" w:hanging="360"/>
      </w:pPr>
      <w:rPr>
        <w:rFonts w:ascii="Wingdings" w:hAnsi="Wingdings" w:hint="default"/>
      </w:rPr>
    </w:lvl>
    <w:lvl w:ilvl="3" w:tplc="060C4516" w:tentative="1">
      <w:start w:val="1"/>
      <w:numFmt w:val="bullet"/>
      <w:lvlText w:val=""/>
      <w:lvlJc w:val="left"/>
      <w:pPr>
        <w:ind w:left="3731" w:hanging="360"/>
      </w:pPr>
      <w:rPr>
        <w:rFonts w:ascii="Symbol" w:hAnsi="Symbol" w:hint="default"/>
      </w:rPr>
    </w:lvl>
    <w:lvl w:ilvl="4" w:tplc="D764BC92" w:tentative="1">
      <w:start w:val="1"/>
      <w:numFmt w:val="bullet"/>
      <w:lvlText w:val="o"/>
      <w:lvlJc w:val="left"/>
      <w:pPr>
        <w:ind w:left="4451" w:hanging="360"/>
      </w:pPr>
      <w:rPr>
        <w:rFonts w:ascii="Courier New" w:hAnsi="Courier New" w:cs="Courier New" w:hint="default"/>
      </w:rPr>
    </w:lvl>
    <w:lvl w:ilvl="5" w:tplc="BD64242C" w:tentative="1">
      <w:start w:val="1"/>
      <w:numFmt w:val="bullet"/>
      <w:lvlText w:val=""/>
      <w:lvlJc w:val="left"/>
      <w:pPr>
        <w:ind w:left="5171" w:hanging="360"/>
      </w:pPr>
      <w:rPr>
        <w:rFonts w:ascii="Wingdings" w:hAnsi="Wingdings" w:hint="default"/>
      </w:rPr>
    </w:lvl>
    <w:lvl w:ilvl="6" w:tplc="1DD01CAC" w:tentative="1">
      <w:start w:val="1"/>
      <w:numFmt w:val="bullet"/>
      <w:lvlText w:val=""/>
      <w:lvlJc w:val="left"/>
      <w:pPr>
        <w:ind w:left="5891" w:hanging="360"/>
      </w:pPr>
      <w:rPr>
        <w:rFonts w:ascii="Symbol" w:hAnsi="Symbol" w:hint="default"/>
      </w:rPr>
    </w:lvl>
    <w:lvl w:ilvl="7" w:tplc="4F3AC242" w:tentative="1">
      <w:start w:val="1"/>
      <w:numFmt w:val="bullet"/>
      <w:lvlText w:val="o"/>
      <w:lvlJc w:val="left"/>
      <w:pPr>
        <w:ind w:left="6611" w:hanging="360"/>
      </w:pPr>
      <w:rPr>
        <w:rFonts w:ascii="Courier New" w:hAnsi="Courier New" w:cs="Courier New" w:hint="default"/>
      </w:rPr>
    </w:lvl>
    <w:lvl w:ilvl="8" w:tplc="DC0C645C" w:tentative="1">
      <w:start w:val="1"/>
      <w:numFmt w:val="bullet"/>
      <w:lvlText w:val=""/>
      <w:lvlJc w:val="left"/>
      <w:pPr>
        <w:ind w:left="7331"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F053A"/>
    <w:multiLevelType w:val="multilevel"/>
    <w:tmpl w:val="427E41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FB62D1"/>
    <w:multiLevelType w:val="multilevel"/>
    <w:tmpl w:val="1CFA021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C0C89"/>
    <w:multiLevelType w:val="multilevel"/>
    <w:tmpl w:val="1CFA021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241825"/>
    <w:multiLevelType w:val="hybridMultilevel"/>
    <w:tmpl w:val="FF5065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BA27AF3"/>
    <w:multiLevelType w:val="hybridMultilevel"/>
    <w:tmpl w:val="3440E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8D0F12"/>
    <w:multiLevelType w:val="hybridMultilevel"/>
    <w:tmpl w:val="5AEA2852"/>
    <w:lvl w:ilvl="0" w:tplc="29806998">
      <w:start w:val="1"/>
      <w:numFmt w:val="bullet"/>
      <w:pStyle w:val="PBACbulletpoin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84D033C"/>
    <w:multiLevelType w:val="multilevel"/>
    <w:tmpl w:val="800A6B10"/>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1146"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34504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9"/>
  </w:num>
  <w:num w:numId="2">
    <w:abstractNumId w:val="10"/>
  </w:num>
  <w:num w:numId="3">
    <w:abstractNumId w:val="0"/>
  </w:num>
  <w:num w:numId="4">
    <w:abstractNumId w:val="20"/>
  </w:num>
  <w:num w:numId="5">
    <w:abstractNumId w:val="4"/>
  </w:num>
  <w:num w:numId="6">
    <w:abstractNumId w:val="3"/>
  </w:num>
  <w:num w:numId="7">
    <w:abstractNumId w:val="9"/>
  </w:num>
  <w:num w:numId="8">
    <w:abstractNumId w:val="11"/>
  </w:num>
  <w:num w:numId="9">
    <w:abstractNumId w:val="13"/>
  </w:num>
  <w:num w:numId="10">
    <w:abstractNumId w:val="12"/>
  </w:num>
  <w:num w:numId="11">
    <w:abstractNumId w:val="6"/>
  </w:num>
  <w:num w:numId="12">
    <w:abstractNumId w:val="21"/>
  </w:num>
  <w:num w:numId="13">
    <w:abstractNumId w:val="14"/>
  </w:num>
  <w:num w:numId="14">
    <w:abstractNumId w:val="15"/>
  </w:num>
  <w:num w:numId="15">
    <w:abstractNumId w:val="2"/>
  </w:num>
  <w:num w:numId="16">
    <w:abstractNumId w:val="1"/>
  </w:num>
  <w:num w:numId="17">
    <w:abstractNumId w:val="7"/>
  </w:num>
  <w:num w:numId="18">
    <w:abstractNumId w:val="8"/>
  </w:num>
  <w:num w:numId="19">
    <w:abstractNumId w:val="5"/>
  </w:num>
  <w:num w:numId="20">
    <w:abstractNumId w:val="18"/>
  </w:num>
  <w:num w:numId="21">
    <w:abstractNumId w:val="16"/>
  </w:num>
  <w:num w:numId="22">
    <w:abstractNumId w:val="19"/>
  </w:num>
  <w:num w:numId="23">
    <w:abstractNumId w:val="19"/>
  </w:num>
  <w:num w:numId="24">
    <w:abstractNumId w:val="19"/>
  </w:num>
  <w:num w:numId="25">
    <w:abstractNumId w:val="19"/>
  </w:num>
  <w:num w:numId="26">
    <w:abstractNumId w:val="0"/>
  </w:num>
  <w:num w:numId="27">
    <w:abstractNumId w:val="0"/>
  </w:num>
  <w:num w:numId="28">
    <w:abstractNumId w:val="0"/>
  </w:num>
  <w:num w:numId="29">
    <w:abstractNumId w:val="0"/>
  </w:num>
  <w:num w:numId="30">
    <w:abstractNumId w:val="18"/>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D4"/>
    <w:rsid w:val="000001AC"/>
    <w:rsid w:val="00000790"/>
    <w:rsid w:val="00000B86"/>
    <w:rsid w:val="0000110B"/>
    <w:rsid w:val="000018F7"/>
    <w:rsid w:val="00001F24"/>
    <w:rsid w:val="0000258A"/>
    <w:rsid w:val="00003043"/>
    <w:rsid w:val="00003499"/>
    <w:rsid w:val="000034DF"/>
    <w:rsid w:val="000039B7"/>
    <w:rsid w:val="00004F96"/>
    <w:rsid w:val="000050E1"/>
    <w:rsid w:val="000054F4"/>
    <w:rsid w:val="0000639A"/>
    <w:rsid w:val="00006A11"/>
    <w:rsid w:val="000077CA"/>
    <w:rsid w:val="00007C52"/>
    <w:rsid w:val="00007E31"/>
    <w:rsid w:val="00010181"/>
    <w:rsid w:val="0001036D"/>
    <w:rsid w:val="000103FF"/>
    <w:rsid w:val="00010782"/>
    <w:rsid w:val="00011297"/>
    <w:rsid w:val="00011354"/>
    <w:rsid w:val="00013247"/>
    <w:rsid w:val="000132EF"/>
    <w:rsid w:val="0001584A"/>
    <w:rsid w:val="00015886"/>
    <w:rsid w:val="00015BF9"/>
    <w:rsid w:val="000162EF"/>
    <w:rsid w:val="0001662A"/>
    <w:rsid w:val="00017E74"/>
    <w:rsid w:val="00020026"/>
    <w:rsid w:val="000207C9"/>
    <w:rsid w:val="00020FBC"/>
    <w:rsid w:val="0002225F"/>
    <w:rsid w:val="00022E53"/>
    <w:rsid w:val="000234AA"/>
    <w:rsid w:val="00023763"/>
    <w:rsid w:val="00023996"/>
    <w:rsid w:val="000246F4"/>
    <w:rsid w:val="00024FC8"/>
    <w:rsid w:val="00025664"/>
    <w:rsid w:val="00025A30"/>
    <w:rsid w:val="00025E26"/>
    <w:rsid w:val="00026564"/>
    <w:rsid w:val="00026AE0"/>
    <w:rsid w:val="000274B8"/>
    <w:rsid w:val="00027EA8"/>
    <w:rsid w:val="00031B93"/>
    <w:rsid w:val="00032C99"/>
    <w:rsid w:val="000331E2"/>
    <w:rsid w:val="000331FF"/>
    <w:rsid w:val="000334D5"/>
    <w:rsid w:val="000334E3"/>
    <w:rsid w:val="0003351C"/>
    <w:rsid w:val="00033863"/>
    <w:rsid w:val="00033AB9"/>
    <w:rsid w:val="0003425F"/>
    <w:rsid w:val="00035B24"/>
    <w:rsid w:val="00035DC0"/>
    <w:rsid w:val="00036829"/>
    <w:rsid w:val="00036A3E"/>
    <w:rsid w:val="0003798D"/>
    <w:rsid w:val="00037F85"/>
    <w:rsid w:val="00040540"/>
    <w:rsid w:val="00040832"/>
    <w:rsid w:val="00040895"/>
    <w:rsid w:val="000410BB"/>
    <w:rsid w:val="0004192A"/>
    <w:rsid w:val="00041B41"/>
    <w:rsid w:val="0004305F"/>
    <w:rsid w:val="000435EE"/>
    <w:rsid w:val="00043C37"/>
    <w:rsid w:val="00044043"/>
    <w:rsid w:val="00044849"/>
    <w:rsid w:val="00045017"/>
    <w:rsid w:val="0004535B"/>
    <w:rsid w:val="00045A2B"/>
    <w:rsid w:val="00045FB5"/>
    <w:rsid w:val="0004698F"/>
    <w:rsid w:val="0004734E"/>
    <w:rsid w:val="00050521"/>
    <w:rsid w:val="00050802"/>
    <w:rsid w:val="00050C65"/>
    <w:rsid w:val="00050E40"/>
    <w:rsid w:val="0005100D"/>
    <w:rsid w:val="00051241"/>
    <w:rsid w:val="000516A5"/>
    <w:rsid w:val="00052D64"/>
    <w:rsid w:val="000532A0"/>
    <w:rsid w:val="0005382A"/>
    <w:rsid w:val="000539D0"/>
    <w:rsid w:val="00053B6C"/>
    <w:rsid w:val="00054338"/>
    <w:rsid w:val="00054621"/>
    <w:rsid w:val="000546D7"/>
    <w:rsid w:val="00054B97"/>
    <w:rsid w:val="00055A9F"/>
    <w:rsid w:val="00056263"/>
    <w:rsid w:val="00056281"/>
    <w:rsid w:val="0005664B"/>
    <w:rsid w:val="00056A3B"/>
    <w:rsid w:val="00056ECF"/>
    <w:rsid w:val="0005732F"/>
    <w:rsid w:val="000577DF"/>
    <w:rsid w:val="000604DF"/>
    <w:rsid w:val="000607A3"/>
    <w:rsid w:val="00060D3E"/>
    <w:rsid w:val="00062899"/>
    <w:rsid w:val="00062AB9"/>
    <w:rsid w:val="00062CDB"/>
    <w:rsid w:val="00062DF5"/>
    <w:rsid w:val="00062E9E"/>
    <w:rsid w:val="000632C7"/>
    <w:rsid w:val="00063DE8"/>
    <w:rsid w:val="00064903"/>
    <w:rsid w:val="00064F1E"/>
    <w:rsid w:val="000653B5"/>
    <w:rsid w:val="000657FF"/>
    <w:rsid w:val="00065870"/>
    <w:rsid w:val="00065F32"/>
    <w:rsid w:val="00066360"/>
    <w:rsid w:val="00066AF8"/>
    <w:rsid w:val="00066CDF"/>
    <w:rsid w:val="000670AB"/>
    <w:rsid w:val="00067FCF"/>
    <w:rsid w:val="00070626"/>
    <w:rsid w:val="00070D61"/>
    <w:rsid w:val="00071248"/>
    <w:rsid w:val="000712D0"/>
    <w:rsid w:val="00071492"/>
    <w:rsid w:val="000720B9"/>
    <w:rsid w:val="000733EB"/>
    <w:rsid w:val="000737F7"/>
    <w:rsid w:val="000749B1"/>
    <w:rsid w:val="00074A5B"/>
    <w:rsid w:val="00075E41"/>
    <w:rsid w:val="0007619E"/>
    <w:rsid w:val="00076574"/>
    <w:rsid w:val="0007672F"/>
    <w:rsid w:val="00076B54"/>
    <w:rsid w:val="00076C68"/>
    <w:rsid w:val="00076EF1"/>
    <w:rsid w:val="000773F1"/>
    <w:rsid w:val="000774F0"/>
    <w:rsid w:val="00080192"/>
    <w:rsid w:val="00080909"/>
    <w:rsid w:val="00080C36"/>
    <w:rsid w:val="00080DFE"/>
    <w:rsid w:val="000812CA"/>
    <w:rsid w:val="000812E4"/>
    <w:rsid w:val="00081B2A"/>
    <w:rsid w:val="00081E63"/>
    <w:rsid w:val="0008208D"/>
    <w:rsid w:val="0008258D"/>
    <w:rsid w:val="00082652"/>
    <w:rsid w:val="00082656"/>
    <w:rsid w:val="000828AF"/>
    <w:rsid w:val="00083DF3"/>
    <w:rsid w:val="00083E99"/>
    <w:rsid w:val="0008454F"/>
    <w:rsid w:val="00084FA8"/>
    <w:rsid w:val="000856C5"/>
    <w:rsid w:val="00085C31"/>
    <w:rsid w:val="000863F5"/>
    <w:rsid w:val="00086698"/>
    <w:rsid w:val="000900EB"/>
    <w:rsid w:val="00090148"/>
    <w:rsid w:val="000902D9"/>
    <w:rsid w:val="00090A22"/>
    <w:rsid w:val="00090C7E"/>
    <w:rsid w:val="00090C8C"/>
    <w:rsid w:val="0009136A"/>
    <w:rsid w:val="00092600"/>
    <w:rsid w:val="0009262B"/>
    <w:rsid w:val="00092973"/>
    <w:rsid w:val="00092F57"/>
    <w:rsid w:val="00093310"/>
    <w:rsid w:val="000933EE"/>
    <w:rsid w:val="00093440"/>
    <w:rsid w:val="000938CF"/>
    <w:rsid w:val="000940F6"/>
    <w:rsid w:val="0009445C"/>
    <w:rsid w:val="00095200"/>
    <w:rsid w:val="00095C4B"/>
    <w:rsid w:val="00095FE5"/>
    <w:rsid w:val="0009625F"/>
    <w:rsid w:val="00096284"/>
    <w:rsid w:val="00097DB8"/>
    <w:rsid w:val="000A0395"/>
    <w:rsid w:val="000A110D"/>
    <w:rsid w:val="000A1BC0"/>
    <w:rsid w:val="000A1BF9"/>
    <w:rsid w:val="000A2471"/>
    <w:rsid w:val="000A475A"/>
    <w:rsid w:val="000A4881"/>
    <w:rsid w:val="000A4D01"/>
    <w:rsid w:val="000A6039"/>
    <w:rsid w:val="000A62F2"/>
    <w:rsid w:val="000A662D"/>
    <w:rsid w:val="000A6733"/>
    <w:rsid w:val="000A7453"/>
    <w:rsid w:val="000A7D08"/>
    <w:rsid w:val="000B0121"/>
    <w:rsid w:val="000B0670"/>
    <w:rsid w:val="000B0843"/>
    <w:rsid w:val="000B0E75"/>
    <w:rsid w:val="000B2397"/>
    <w:rsid w:val="000B2D5E"/>
    <w:rsid w:val="000B2DCB"/>
    <w:rsid w:val="000B40FE"/>
    <w:rsid w:val="000B4A2E"/>
    <w:rsid w:val="000B5269"/>
    <w:rsid w:val="000B57F8"/>
    <w:rsid w:val="000B5CE0"/>
    <w:rsid w:val="000B5DD8"/>
    <w:rsid w:val="000B5F1B"/>
    <w:rsid w:val="000B6104"/>
    <w:rsid w:val="000B6760"/>
    <w:rsid w:val="000B69D5"/>
    <w:rsid w:val="000B6C2E"/>
    <w:rsid w:val="000B6CAC"/>
    <w:rsid w:val="000B6CEC"/>
    <w:rsid w:val="000B6D50"/>
    <w:rsid w:val="000B748C"/>
    <w:rsid w:val="000B7612"/>
    <w:rsid w:val="000B78AE"/>
    <w:rsid w:val="000C017D"/>
    <w:rsid w:val="000C0264"/>
    <w:rsid w:val="000C084C"/>
    <w:rsid w:val="000C09C8"/>
    <w:rsid w:val="000C11A8"/>
    <w:rsid w:val="000C2033"/>
    <w:rsid w:val="000C238A"/>
    <w:rsid w:val="000C242B"/>
    <w:rsid w:val="000C24DE"/>
    <w:rsid w:val="000C3707"/>
    <w:rsid w:val="000C3C3C"/>
    <w:rsid w:val="000C3DF9"/>
    <w:rsid w:val="000C4175"/>
    <w:rsid w:val="000C4BD3"/>
    <w:rsid w:val="000C654C"/>
    <w:rsid w:val="000C666B"/>
    <w:rsid w:val="000C6713"/>
    <w:rsid w:val="000C6A6F"/>
    <w:rsid w:val="000C6BE8"/>
    <w:rsid w:val="000C73C6"/>
    <w:rsid w:val="000C7539"/>
    <w:rsid w:val="000C7C0D"/>
    <w:rsid w:val="000C7E80"/>
    <w:rsid w:val="000D0313"/>
    <w:rsid w:val="000D1479"/>
    <w:rsid w:val="000D1859"/>
    <w:rsid w:val="000D1AFC"/>
    <w:rsid w:val="000D1BFC"/>
    <w:rsid w:val="000D1D4F"/>
    <w:rsid w:val="000D1D5D"/>
    <w:rsid w:val="000D2079"/>
    <w:rsid w:val="000D207A"/>
    <w:rsid w:val="000D281A"/>
    <w:rsid w:val="000D2848"/>
    <w:rsid w:val="000D2939"/>
    <w:rsid w:val="000D2E60"/>
    <w:rsid w:val="000D3056"/>
    <w:rsid w:val="000D326A"/>
    <w:rsid w:val="000D3D08"/>
    <w:rsid w:val="000D4618"/>
    <w:rsid w:val="000D51FB"/>
    <w:rsid w:val="000D52A8"/>
    <w:rsid w:val="000D5349"/>
    <w:rsid w:val="000D5FA0"/>
    <w:rsid w:val="000D60B2"/>
    <w:rsid w:val="000D6192"/>
    <w:rsid w:val="000D63E8"/>
    <w:rsid w:val="000D7347"/>
    <w:rsid w:val="000D7557"/>
    <w:rsid w:val="000D7D07"/>
    <w:rsid w:val="000E05C2"/>
    <w:rsid w:val="000E0640"/>
    <w:rsid w:val="000E06CC"/>
    <w:rsid w:val="000E0D3A"/>
    <w:rsid w:val="000E0EFA"/>
    <w:rsid w:val="000E135D"/>
    <w:rsid w:val="000E1EE9"/>
    <w:rsid w:val="000E3308"/>
    <w:rsid w:val="000E3491"/>
    <w:rsid w:val="000E3B5A"/>
    <w:rsid w:val="000E4091"/>
    <w:rsid w:val="000E4381"/>
    <w:rsid w:val="000E4410"/>
    <w:rsid w:val="000E44CA"/>
    <w:rsid w:val="000E5F04"/>
    <w:rsid w:val="000E65E4"/>
    <w:rsid w:val="000E68C3"/>
    <w:rsid w:val="000E6DBD"/>
    <w:rsid w:val="000E794E"/>
    <w:rsid w:val="000F00BA"/>
    <w:rsid w:val="000F056C"/>
    <w:rsid w:val="000F0A1E"/>
    <w:rsid w:val="000F0EEC"/>
    <w:rsid w:val="000F2476"/>
    <w:rsid w:val="000F316A"/>
    <w:rsid w:val="000F3C74"/>
    <w:rsid w:val="000F4BB8"/>
    <w:rsid w:val="000F4E57"/>
    <w:rsid w:val="000F4FA9"/>
    <w:rsid w:val="000F53FB"/>
    <w:rsid w:val="000F5F21"/>
    <w:rsid w:val="000F6DFD"/>
    <w:rsid w:val="000F706A"/>
    <w:rsid w:val="000F7127"/>
    <w:rsid w:val="000F793F"/>
    <w:rsid w:val="000F7B54"/>
    <w:rsid w:val="000F7DEA"/>
    <w:rsid w:val="00100B23"/>
    <w:rsid w:val="00100F8A"/>
    <w:rsid w:val="00101387"/>
    <w:rsid w:val="001024EF"/>
    <w:rsid w:val="00103B2A"/>
    <w:rsid w:val="0010452E"/>
    <w:rsid w:val="001051EC"/>
    <w:rsid w:val="001056C8"/>
    <w:rsid w:val="00105AE2"/>
    <w:rsid w:val="001060C6"/>
    <w:rsid w:val="00106B80"/>
    <w:rsid w:val="001073E7"/>
    <w:rsid w:val="0011032E"/>
    <w:rsid w:val="00110CEF"/>
    <w:rsid w:val="00110D89"/>
    <w:rsid w:val="0011105A"/>
    <w:rsid w:val="0011348B"/>
    <w:rsid w:val="00115982"/>
    <w:rsid w:val="001167EE"/>
    <w:rsid w:val="00116C53"/>
    <w:rsid w:val="00117A7E"/>
    <w:rsid w:val="0012086C"/>
    <w:rsid w:val="00121799"/>
    <w:rsid w:val="0012195B"/>
    <w:rsid w:val="00121B1A"/>
    <w:rsid w:val="001222FC"/>
    <w:rsid w:val="001235FF"/>
    <w:rsid w:val="00123902"/>
    <w:rsid w:val="00124873"/>
    <w:rsid w:val="00124A51"/>
    <w:rsid w:val="00125423"/>
    <w:rsid w:val="00125CDA"/>
    <w:rsid w:val="00126621"/>
    <w:rsid w:val="00126B1D"/>
    <w:rsid w:val="001270DC"/>
    <w:rsid w:val="001272FC"/>
    <w:rsid w:val="00127B51"/>
    <w:rsid w:val="00130104"/>
    <w:rsid w:val="0013010C"/>
    <w:rsid w:val="001301E9"/>
    <w:rsid w:val="00130599"/>
    <w:rsid w:val="0013097E"/>
    <w:rsid w:val="001316D2"/>
    <w:rsid w:val="00131CD2"/>
    <w:rsid w:val="00131D73"/>
    <w:rsid w:val="00131D82"/>
    <w:rsid w:val="001323C5"/>
    <w:rsid w:val="00132B22"/>
    <w:rsid w:val="001333DE"/>
    <w:rsid w:val="001339C5"/>
    <w:rsid w:val="00133D36"/>
    <w:rsid w:val="00134817"/>
    <w:rsid w:val="00135237"/>
    <w:rsid w:val="001358E9"/>
    <w:rsid w:val="00135ED2"/>
    <w:rsid w:val="0013634F"/>
    <w:rsid w:val="00137645"/>
    <w:rsid w:val="001377BB"/>
    <w:rsid w:val="00137C2A"/>
    <w:rsid w:val="0014015A"/>
    <w:rsid w:val="00140E99"/>
    <w:rsid w:val="00140F9A"/>
    <w:rsid w:val="00141BD3"/>
    <w:rsid w:val="00142793"/>
    <w:rsid w:val="00142BAA"/>
    <w:rsid w:val="00143E30"/>
    <w:rsid w:val="00143F67"/>
    <w:rsid w:val="0014421E"/>
    <w:rsid w:val="00145540"/>
    <w:rsid w:val="001456B0"/>
    <w:rsid w:val="00145F85"/>
    <w:rsid w:val="00146257"/>
    <w:rsid w:val="0014731D"/>
    <w:rsid w:val="001473BB"/>
    <w:rsid w:val="00147CED"/>
    <w:rsid w:val="00150089"/>
    <w:rsid w:val="001507E6"/>
    <w:rsid w:val="00152293"/>
    <w:rsid w:val="00153AA6"/>
    <w:rsid w:val="00154181"/>
    <w:rsid w:val="00154D99"/>
    <w:rsid w:val="00155E6D"/>
    <w:rsid w:val="00156E6B"/>
    <w:rsid w:val="00156F8F"/>
    <w:rsid w:val="00157130"/>
    <w:rsid w:val="001576B1"/>
    <w:rsid w:val="001579DC"/>
    <w:rsid w:val="00157EB8"/>
    <w:rsid w:val="0016047B"/>
    <w:rsid w:val="00160626"/>
    <w:rsid w:val="00160A4C"/>
    <w:rsid w:val="0016106B"/>
    <w:rsid w:val="001622EF"/>
    <w:rsid w:val="001628DF"/>
    <w:rsid w:val="00162913"/>
    <w:rsid w:val="00162CE8"/>
    <w:rsid w:val="00163EFF"/>
    <w:rsid w:val="00163F66"/>
    <w:rsid w:val="00165617"/>
    <w:rsid w:val="001661FB"/>
    <w:rsid w:val="001663A8"/>
    <w:rsid w:val="001671A0"/>
    <w:rsid w:val="001672AF"/>
    <w:rsid w:val="0016767F"/>
    <w:rsid w:val="00170101"/>
    <w:rsid w:val="001703FF"/>
    <w:rsid w:val="00170A9C"/>
    <w:rsid w:val="001711FD"/>
    <w:rsid w:val="001723C3"/>
    <w:rsid w:val="00173565"/>
    <w:rsid w:val="00173B07"/>
    <w:rsid w:val="001751FA"/>
    <w:rsid w:val="00175F49"/>
    <w:rsid w:val="00176BEC"/>
    <w:rsid w:val="001778A2"/>
    <w:rsid w:val="0018034E"/>
    <w:rsid w:val="001807F1"/>
    <w:rsid w:val="00180F22"/>
    <w:rsid w:val="0018178B"/>
    <w:rsid w:val="00181B8D"/>
    <w:rsid w:val="00181D9C"/>
    <w:rsid w:val="00181DB1"/>
    <w:rsid w:val="001832C9"/>
    <w:rsid w:val="00184541"/>
    <w:rsid w:val="0018468B"/>
    <w:rsid w:val="00184B0E"/>
    <w:rsid w:val="00184D7F"/>
    <w:rsid w:val="00184F66"/>
    <w:rsid w:val="001852EB"/>
    <w:rsid w:val="00186D89"/>
    <w:rsid w:val="0018752F"/>
    <w:rsid w:val="001901DC"/>
    <w:rsid w:val="00190A73"/>
    <w:rsid w:val="00190FB7"/>
    <w:rsid w:val="0019202F"/>
    <w:rsid w:val="001922FA"/>
    <w:rsid w:val="00192457"/>
    <w:rsid w:val="00193838"/>
    <w:rsid w:val="00194299"/>
    <w:rsid w:val="0019452E"/>
    <w:rsid w:val="00194AD8"/>
    <w:rsid w:val="00194DC5"/>
    <w:rsid w:val="00194F91"/>
    <w:rsid w:val="00195222"/>
    <w:rsid w:val="00195271"/>
    <w:rsid w:val="00195B75"/>
    <w:rsid w:val="00196520"/>
    <w:rsid w:val="0019710F"/>
    <w:rsid w:val="001975D8"/>
    <w:rsid w:val="001A0138"/>
    <w:rsid w:val="001A04E4"/>
    <w:rsid w:val="001A0695"/>
    <w:rsid w:val="001A121F"/>
    <w:rsid w:val="001A178E"/>
    <w:rsid w:val="001A210B"/>
    <w:rsid w:val="001A258D"/>
    <w:rsid w:val="001A2E1F"/>
    <w:rsid w:val="001A43FA"/>
    <w:rsid w:val="001A47C5"/>
    <w:rsid w:val="001A59FB"/>
    <w:rsid w:val="001A5E33"/>
    <w:rsid w:val="001A5E9E"/>
    <w:rsid w:val="001A6096"/>
    <w:rsid w:val="001A6354"/>
    <w:rsid w:val="001A6366"/>
    <w:rsid w:val="001A674C"/>
    <w:rsid w:val="001A7099"/>
    <w:rsid w:val="001A7AE8"/>
    <w:rsid w:val="001B043C"/>
    <w:rsid w:val="001B072A"/>
    <w:rsid w:val="001B0957"/>
    <w:rsid w:val="001B1F35"/>
    <w:rsid w:val="001B2044"/>
    <w:rsid w:val="001B204E"/>
    <w:rsid w:val="001B2372"/>
    <w:rsid w:val="001B239E"/>
    <w:rsid w:val="001B245A"/>
    <w:rsid w:val="001B3443"/>
    <w:rsid w:val="001B3CBA"/>
    <w:rsid w:val="001B44B0"/>
    <w:rsid w:val="001B4622"/>
    <w:rsid w:val="001B4D20"/>
    <w:rsid w:val="001B5141"/>
    <w:rsid w:val="001B571E"/>
    <w:rsid w:val="001B6E88"/>
    <w:rsid w:val="001B7090"/>
    <w:rsid w:val="001B7A60"/>
    <w:rsid w:val="001B7E95"/>
    <w:rsid w:val="001C0BD0"/>
    <w:rsid w:val="001C0CF2"/>
    <w:rsid w:val="001C19B0"/>
    <w:rsid w:val="001C1FB6"/>
    <w:rsid w:val="001C28D4"/>
    <w:rsid w:val="001C2A00"/>
    <w:rsid w:val="001C2A9B"/>
    <w:rsid w:val="001C2EB7"/>
    <w:rsid w:val="001C3642"/>
    <w:rsid w:val="001C4299"/>
    <w:rsid w:val="001C4874"/>
    <w:rsid w:val="001C5F94"/>
    <w:rsid w:val="001C6327"/>
    <w:rsid w:val="001C6E66"/>
    <w:rsid w:val="001C74AB"/>
    <w:rsid w:val="001C7F9B"/>
    <w:rsid w:val="001D00BC"/>
    <w:rsid w:val="001D0A38"/>
    <w:rsid w:val="001D1100"/>
    <w:rsid w:val="001D1391"/>
    <w:rsid w:val="001D1C1C"/>
    <w:rsid w:val="001D25D7"/>
    <w:rsid w:val="001D2A3C"/>
    <w:rsid w:val="001D33BD"/>
    <w:rsid w:val="001D3947"/>
    <w:rsid w:val="001D40B3"/>
    <w:rsid w:val="001D4422"/>
    <w:rsid w:val="001D490F"/>
    <w:rsid w:val="001D50B2"/>
    <w:rsid w:val="001D5D6B"/>
    <w:rsid w:val="001D7360"/>
    <w:rsid w:val="001D7645"/>
    <w:rsid w:val="001D794A"/>
    <w:rsid w:val="001D7BC6"/>
    <w:rsid w:val="001E0703"/>
    <w:rsid w:val="001E0ACE"/>
    <w:rsid w:val="001E1367"/>
    <w:rsid w:val="001E1E86"/>
    <w:rsid w:val="001E238E"/>
    <w:rsid w:val="001E2483"/>
    <w:rsid w:val="001E251C"/>
    <w:rsid w:val="001E254C"/>
    <w:rsid w:val="001E2B1E"/>
    <w:rsid w:val="001E2CFF"/>
    <w:rsid w:val="001E2F24"/>
    <w:rsid w:val="001E30D4"/>
    <w:rsid w:val="001E34DF"/>
    <w:rsid w:val="001E428E"/>
    <w:rsid w:val="001E52EB"/>
    <w:rsid w:val="001E5AB9"/>
    <w:rsid w:val="001E5D64"/>
    <w:rsid w:val="001E610B"/>
    <w:rsid w:val="001E61D2"/>
    <w:rsid w:val="001E740C"/>
    <w:rsid w:val="001F01E4"/>
    <w:rsid w:val="001F073A"/>
    <w:rsid w:val="001F113A"/>
    <w:rsid w:val="001F1235"/>
    <w:rsid w:val="001F1CB3"/>
    <w:rsid w:val="001F1CCB"/>
    <w:rsid w:val="001F1FD4"/>
    <w:rsid w:val="001F2850"/>
    <w:rsid w:val="001F3025"/>
    <w:rsid w:val="001F350D"/>
    <w:rsid w:val="001F35A0"/>
    <w:rsid w:val="001F38B5"/>
    <w:rsid w:val="001F4081"/>
    <w:rsid w:val="001F4287"/>
    <w:rsid w:val="001F4FCF"/>
    <w:rsid w:val="001F51CA"/>
    <w:rsid w:val="001F657C"/>
    <w:rsid w:val="001F69F8"/>
    <w:rsid w:val="001F6CD8"/>
    <w:rsid w:val="001F7361"/>
    <w:rsid w:val="001F749B"/>
    <w:rsid w:val="002011B0"/>
    <w:rsid w:val="002015D8"/>
    <w:rsid w:val="00201756"/>
    <w:rsid w:val="00202AD5"/>
    <w:rsid w:val="00202E22"/>
    <w:rsid w:val="00202F0D"/>
    <w:rsid w:val="00203181"/>
    <w:rsid w:val="00203783"/>
    <w:rsid w:val="0020385F"/>
    <w:rsid w:val="00203D6A"/>
    <w:rsid w:val="00203F57"/>
    <w:rsid w:val="00203F65"/>
    <w:rsid w:val="00206198"/>
    <w:rsid w:val="002068A0"/>
    <w:rsid w:val="00206D90"/>
    <w:rsid w:val="00207021"/>
    <w:rsid w:val="0020732F"/>
    <w:rsid w:val="00207CC9"/>
    <w:rsid w:val="00207D00"/>
    <w:rsid w:val="002105C1"/>
    <w:rsid w:val="002109A3"/>
    <w:rsid w:val="00210EC4"/>
    <w:rsid w:val="00212050"/>
    <w:rsid w:val="002127EF"/>
    <w:rsid w:val="0021389C"/>
    <w:rsid w:val="00213EF5"/>
    <w:rsid w:val="0021452E"/>
    <w:rsid w:val="002149BE"/>
    <w:rsid w:val="0021511C"/>
    <w:rsid w:val="00215E05"/>
    <w:rsid w:val="00216BF5"/>
    <w:rsid w:val="00217193"/>
    <w:rsid w:val="00217478"/>
    <w:rsid w:val="002177E7"/>
    <w:rsid w:val="0022016B"/>
    <w:rsid w:val="00221873"/>
    <w:rsid w:val="00221F6A"/>
    <w:rsid w:val="00222738"/>
    <w:rsid w:val="00222A5E"/>
    <w:rsid w:val="00222D45"/>
    <w:rsid w:val="00222F8A"/>
    <w:rsid w:val="00223B49"/>
    <w:rsid w:val="00223D5A"/>
    <w:rsid w:val="00224DD4"/>
    <w:rsid w:val="002250DE"/>
    <w:rsid w:val="00225F92"/>
    <w:rsid w:val="00227725"/>
    <w:rsid w:val="002278A0"/>
    <w:rsid w:val="002309CC"/>
    <w:rsid w:val="00230F7B"/>
    <w:rsid w:val="00231585"/>
    <w:rsid w:val="002319AE"/>
    <w:rsid w:val="0023209F"/>
    <w:rsid w:val="002321D0"/>
    <w:rsid w:val="002324DA"/>
    <w:rsid w:val="002326AE"/>
    <w:rsid w:val="00233292"/>
    <w:rsid w:val="00233C01"/>
    <w:rsid w:val="0023413C"/>
    <w:rsid w:val="00234431"/>
    <w:rsid w:val="002346F0"/>
    <w:rsid w:val="00234F8D"/>
    <w:rsid w:val="002361DE"/>
    <w:rsid w:val="0023629D"/>
    <w:rsid w:val="00237255"/>
    <w:rsid w:val="00237380"/>
    <w:rsid w:val="00240353"/>
    <w:rsid w:val="002414E0"/>
    <w:rsid w:val="00241952"/>
    <w:rsid w:val="00242295"/>
    <w:rsid w:val="002424AF"/>
    <w:rsid w:val="0024353F"/>
    <w:rsid w:val="002437F8"/>
    <w:rsid w:val="002439DC"/>
    <w:rsid w:val="002441D2"/>
    <w:rsid w:val="002448A4"/>
    <w:rsid w:val="00244A6F"/>
    <w:rsid w:val="00244DC8"/>
    <w:rsid w:val="002455DE"/>
    <w:rsid w:val="002458BA"/>
    <w:rsid w:val="00245CE9"/>
    <w:rsid w:val="0024636C"/>
    <w:rsid w:val="002469F9"/>
    <w:rsid w:val="00247925"/>
    <w:rsid w:val="002504E1"/>
    <w:rsid w:val="00250D8D"/>
    <w:rsid w:val="00251006"/>
    <w:rsid w:val="002524D5"/>
    <w:rsid w:val="00252695"/>
    <w:rsid w:val="002528A1"/>
    <w:rsid w:val="00252B05"/>
    <w:rsid w:val="00252B39"/>
    <w:rsid w:val="00252CFF"/>
    <w:rsid w:val="0025384A"/>
    <w:rsid w:val="00253B1D"/>
    <w:rsid w:val="00253C39"/>
    <w:rsid w:val="00254436"/>
    <w:rsid w:val="00254DCF"/>
    <w:rsid w:val="0025534B"/>
    <w:rsid w:val="00255BB7"/>
    <w:rsid w:val="002560FE"/>
    <w:rsid w:val="002566FA"/>
    <w:rsid w:val="00257541"/>
    <w:rsid w:val="00257913"/>
    <w:rsid w:val="00257916"/>
    <w:rsid w:val="00257A39"/>
    <w:rsid w:val="00257AC4"/>
    <w:rsid w:val="002602DE"/>
    <w:rsid w:val="002603CE"/>
    <w:rsid w:val="00260CDB"/>
    <w:rsid w:val="00260E52"/>
    <w:rsid w:val="00261645"/>
    <w:rsid w:val="00261E4D"/>
    <w:rsid w:val="00261EEF"/>
    <w:rsid w:val="00262A1A"/>
    <w:rsid w:val="00262A87"/>
    <w:rsid w:val="00264D26"/>
    <w:rsid w:val="002656B6"/>
    <w:rsid w:val="002657EC"/>
    <w:rsid w:val="00265AD6"/>
    <w:rsid w:val="00267642"/>
    <w:rsid w:val="00267AEA"/>
    <w:rsid w:val="002700E6"/>
    <w:rsid w:val="00270EBE"/>
    <w:rsid w:val="00271A71"/>
    <w:rsid w:val="00271B01"/>
    <w:rsid w:val="00272241"/>
    <w:rsid w:val="0027294B"/>
    <w:rsid w:val="0027322C"/>
    <w:rsid w:val="00273388"/>
    <w:rsid w:val="002733AC"/>
    <w:rsid w:val="002736E7"/>
    <w:rsid w:val="00273EB4"/>
    <w:rsid w:val="00274682"/>
    <w:rsid w:val="00274F2A"/>
    <w:rsid w:val="002750AD"/>
    <w:rsid w:val="002757E7"/>
    <w:rsid w:val="00275ACE"/>
    <w:rsid w:val="00275C5A"/>
    <w:rsid w:val="00275D73"/>
    <w:rsid w:val="00276358"/>
    <w:rsid w:val="0027698F"/>
    <w:rsid w:val="00276FDC"/>
    <w:rsid w:val="00280586"/>
    <w:rsid w:val="00281014"/>
    <w:rsid w:val="002810B8"/>
    <w:rsid w:val="00281C84"/>
    <w:rsid w:val="0028237D"/>
    <w:rsid w:val="00282799"/>
    <w:rsid w:val="00283F5C"/>
    <w:rsid w:val="0028400B"/>
    <w:rsid w:val="00284078"/>
    <w:rsid w:val="00285905"/>
    <w:rsid w:val="002864E0"/>
    <w:rsid w:val="002865E7"/>
    <w:rsid w:val="0028665D"/>
    <w:rsid w:val="0028746B"/>
    <w:rsid w:val="002874E0"/>
    <w:rsid w:val="00287EDC"/>
    <w:rsid w:val="002922DC"/>
    <w:rsid w:val="00292362"/>
    <w:rsid w:val="00292397"/>
    <w:rsid w:val="00293551"/>
    <w:rsid w:val="002939A1"/>
    <w:rsid w:val="00293F83"/>
    <w:rsid w:val="00294B65"/>
    <w:rsid w:val="00296CFF"/>
    <w:rsid w:val="00296FAB"/>
    <w:rsid w:val="00297A7D"/>
    <w:rsid w:val="00297AF9"/>
    <w:rsid w:val="002A14AB"/>
    <w:rsid w:val="002A22EF"/>
    <w:rsid w:val="002A2ADE"/>
    <w:rsid w:val="002A2F50"/>
    <w:rsid w:val="002A3163"/>
    <w:rsid w:val="002A350C"/>
    <w:rsid w:val="002A49B4"/>
    <w:rsid w:val="002A4C18"/>
    <w:rsid w:val="002A4DA4"/>
    <w:rsid w:val="002A501F"/>
    <w:rsid w:val="002A5C32"/>
    <w:rsid w:val="002A65AF"/>
    <w:rsid w:val="002A7108"/>
    <w:rsid w:val="002A766E"/>
    <w:rsid w:val="002A786C"/>
    <w:rsid w:val="002A7AE3"/>
    <w:rsid w:val="002B05A1"/>
    <w:rsid w:val="002B09A4"/>
    <w:rsid w:val="002B0E52"/>
    <w:rsid w:val="002B1C1F"/>
    <w:rsid w:val="002B1ED0"/>
    <w:rsid w:val="002B32A2"/>
    <w:rsid w:val="002B432F"/>
    <w:rsid w:val="002B43D9"/>
    <w:rsid w:val="002B4C3A"/>
    <w:rsid w:val="002B5BFF"/>
    <w:rsid w:val="002B5FE5"/>
    <w:rsid w:val="002B6263"/>
    <w:rsid w:val="002B62A4"/>
    <w:rsid w:val="002B62B3"/>
    <w:rsid w:val="002B6754"/>
    <w:rsid w:val="002B6C62"/>
    <w:rsid w:val="002B6CCE"/>
    <w:rsid w:val="002B79BE"/>
    <w:rsid w:val="002B7E5A"/>
    <w:rsid w:val="002C1080"/>
    <w:rsid w:val="002C1860"/>
    <w:rsid w:val="002C2510"/>
    <w:rsid w:val="002C2775"/>
    <w:rsid w:val="002C27C1"/>
    <w:rsid w:val="002C3CED"/>
    <w:rsid w:val="002C3FB1"/>
    <w:rsid w:val="002C5099"/>
    <w:rsid w:val="002C5702"/>
    <w:rsid w:val="002C5889"/>
    <w:rsid w:val="002C6DCB"/>
    <w:rsid w:val="002C7085"/>
    <w:rsid w:val="002C71CE"/>
    <w:rsid w:val="002C7240"/>
    <w:rsid w:val="002C7916"/>
    <w:rsid w:val="002C7DF8"/>
    <w:rsid w:val="002D08F8"/>
    <w:rsid w:val="002D100F"/>
    <w:rsid w:val="002D1BEB"/>
    <w:rsid w:val="002D1D31"/>
    <w:rsid w:val="002D1D41"/>
    <w:rsid w:val="002D1F83"/>
    <w:rsid w:val="002D2169"/>
    <w:rsid w:val="002D24DA"/>
    <w:rsid w:val="002D2908"/>
    <w:rsid w:val="002D2EB9"/>
    <w:rsid w:val="002D5622"/>
    <w:rsid w:val="002D577C"/>
    <w:rsid w:val="002D61E9"/>
    <w:rsid w:val="002D62C7"/>
    <w:rsid w:val="002D65F1"/>
    <w:rsid w:val="002D6A77"/>
    <w:rsid w:val="002D6D13"/>
    <w:rsid w:val="002D6ECA"/>
    <w:rsid w:val="002D71A8"/>
    <w:rsid w:val="002D7448"/>
    <w:rsid w:val="002D7B74"/>
    <w:rsid w:val="002E036C"/>
    <w:rsid w:val="002E03AF"/>
    <w:rsid w:val="002E0A63"/>
    <w:rsid w:val="002E1071"/>
    <w:rsid w:val="002E15B9"/>
    <w:rsid w:val="002E1DF1"/>
    <w:rsid w:val="002E2158"/>
    <w:rsid w:val="002E21C8"/>
    <w:rsid w:val="002E2998"/>
    <w:rsid w:val="002E2C7D"/>
    <w:rsid w:val="002E3E39"/>
    <w:rsid w:val="002E4305"/>
    <w:rsid w:val="002E4814"/>
    <w:rsid w:val="002E4F02"/>
    <w:rsid w:val="002E5166"/>
    <w:rsid w:val="002E59CC"/>
    <w:rsid w:val="002E717C"/>
    <w:rsid w:val="002E7722"/>
    <w:rsid w:val="002E7D1B"/>
    <w:rsid w:val="002F07BA"/>
    <w:rsid w:val="002F0DA9"/>
    <w:rsid w:val="002F1014"/>
    <w:rsid w:val="002F144E"/>
    <w:rsid w:val="002F18BB"/>
    <w:rsid w:val="002F1BDB"/>
    <w:rsid w:val="002F1E8A"/>
    <w:rsid w:val="002F237D"/>
    <w:rsid w:val="002F25E3"/>
    <w:rsid w:val="002F28B8"/>
    <w:rsid w:val="002F2E54"/>
    <w:rsid w:val="002F322C"/>
    <w:rsid w:val="002F3BDC"/>
    <w:rsid w:val="002F41B5"/>
    <w:rsid w:val="002F4F3A"/>
    <w:rsid w:val="002F57C9"/>
    <w:rsid w:val="002F643C"/>
    <w:rsid w:val="002F6D00"/>
    <w:rsid w:val="002F71C0"/>
    <w:rsid w:val="002F74F1"/>
    <w:rsid w:val="002F7F94"/>
    <w:rsid w:val="00300060"/>
    <w:rsid w:val="00301017"/>
    <w:rsid w:val="0030155F"/>
    <w:rsid w:val="00301719"/>
    <w:rsid w:val="00301A0D"/>
    <w:rsid w:val="00301E6D"/>
    <w:rsid w:val="00302AFA"/>
    <w:rsid w:val="00302D00"/>
    <w:rsid w:val="003039E4"/>
    <w:rsid w:val="00303C2E"/>
    <w:rsid w:val="00303E4D"/>
    <w:rsid w:val="00303F56"/>
    <w:rsid w:val="003042B5"/>
    <w:rsid w:val="00305418"/>
    <w:rsid w:val="003055A1"/>
    <w:rsid w:val="0030587B"/>
    <w:rsid w:val="00306042"/>
    <w:rsid w:val="00306D98"/>
    <w:rsid w:val="003074D7"/>
    <w:rsid w:val="0030773E"/>
    <w:rsid w:val="0030786C"/>
    <w:rsid w:val="0031031A"/>
    <w:rsid w:val="0031048D"/>
    <w:rsid w:val="00310981"/>
    <w:rsid w:val="003114BA"/>
    <w:rsid w:val="00311ECB"/>
    <w:rsid w:val="003124D9"/>
    <w:rsid w:val="00312594"/>
    <w:rsid w:val="00312ADD"/>
    <w:rsid w:val="00312D09"/>
    <w:rsid w:val="00313E43"/>
    <w:rsid w:val="003148A0"/>
    <w:rsid w:val="00315498"/>
    <w:rsid w:val="0031604B"/>
    <w:rsid w:val="003162D1"/>
    <w:rsid w:val="00316474"/>
    <w:rsid w:val="00317D9B"/>
    <w:rsid w:val="003200EB"/>
    <w:rsid w:val="003210AB"/>
    <w:rsid w:val="0032182C"/>
    <w:rsid w:val="00322107"/>
    <w:rsid w:val="00322355"/>
    <w:rsid w:val="00322846"/>
    <w:rsid w:val="00324B74"/>
    <w:rsid w:val="003250B9"/>
    <w:rsid w:val="003259DC"/>
    <w:rsid w:val="00326DA7"/>
    <w:rsid w:val="00326F9C"/>
    <w:rsid w:val="003270E4"/>
    <w:rsid w:val="00327D07"/>
    <w:rsid w:val="0033017A"/>
    <w:rsid w:val="00330DAA"/>
    <w:rsid w:val="00330F5C"/>
    <w:rsid w:val="00331997"/>
    <w:rsid w:val="00332291"/>
    <w:rsid w:val="00333E5F"/>
    <w:rsid w:val="00333F33"/>
    <w:rsid w:val="0033425E"/>
    <w:rsid w:val="00334A4C"/>
    <w:rsid w:val="00335CD6"/>
    <w:rsid w:val="00335CDA"/>
    <w:rsid w:val="0033646F"/>
    <w:rsid w:val="003366C9"/>
    <w:rsid w:val="003371B0"/>
    <w:rsid w:val="003372DF"/>
    <w:rsid w:val="003402A6"/>
    <w:rsid w:val="0034038E"/>
    <w:rsid w:val="00340DF1"/>
    <w:rsid w:val="00343051"/>
    <w:rsid w:val="00343B0D"/>
    <w:rsid w:val="00343C7D"/>
    <w:rsid w:val="00343D9B"/>
    <w:rsid w:val="0034436B"/>
    <w:rsid w:val="00344685"/>
    <w:rsid w:val="00344FDD"/>
    <w:rsid w:val="00345B44"/>
    <w:rsid w:val="003461D0"/>
    <w:rsid w:val="0034670F"/>
    <w:rsid w:val="003468A8"/>
    <w:rsid w:val="003471B1"/>
    <w:rsid w:val="00347CD2"/>
    <w:rsid w:val="00347E1C"/>
    <w:rsid w:val="00350012"/>
    <w:rsid w:val="0035061F"/>
    <w:rsid w:val="003517F9"/>
    <w:rsid w:val="00351BA9"/>
    <w:rsid w:val="00351F0A"/>
    <w:rsid w:val="0035240F"/>
    <w:rsid w:val="00354A01"/>
    <w:rsid w:val="00354F64"/>
    <w:rsid w:val="003559F9"/>
    <w:rsid w:val="0035620E"/>
    <w:rsid w:val="003565C6"/>
    <w:rsid w:val="00356F6F"/>
    <w:rsid w:val="003576E3"/>
    <w:rsid w:val="00357791"/>
    <w:rsid w:val="00360345"/>
    <w:rsid w:val="003609E4"/>
    <w:rsid w:val="00361A05"/>
    <w:rsid w:val="00361B29"/>
    <w:rsid w:val="003624C4"/>
    <w:rsid w:val="0036325D"/>
    <w:rsid w:val="00363B00"/>
    <w:rsid w:val="00363DCC"/>
    <w:rsid w:val="00364F9C"/>
    <w:rsid w:val="003654AC"/>
    <w:rsid w:val="003654BD"/>
    <w:rsid w:val="0036574D"/>
    <w:rsid w:val="003660BC"/>
    <w:rsid w:val="00366471"/>
    <w:rsid w:val="00367B00"/>
    <w:rsid w:val="003707D1"/>
    <w:rsid w:val="003710CF"/>
    <w:rsid w:val="00371147"/>
    <w:rsid w:val="00371787"/>
    <w:rsid w:val="00372093"/>
    <w:rsid w:val="0037358A"/>
    <w:rsid w:val="003750F6"/>
    <w:rsid w:val="003753DB"/>
    <w:rsid w:val="003760FC"/>
    <w:rsid w:val="003761B9"/>
    <w:rsid w:val="00377DDE"/>
    <w:rsid w:val="00380033"/>
    <w:rsid w:val="003810A0"/>
    <w:rsid w:val="00382207"/>
    <w:rsid w:val="003835BC"/>
    <w:rsid w:val="0038365C"/>
    <w:rsid w:val="0038369B"/>
    <w:rsid w:val="00383827"/>
    <w:rsid w:val="00383B78"/>
    <w:rsid w:val="00384FE6"/>
    <w:rsid w:val="003850DA"/>
    <w:rsid w:val="00385985"/>
    <w:rsid w:val="00385A9D"/>
    <w:rsid w:val="003902B1"/>
    <w:rsid w:val="003904F8"/>
    <w:rsid w:val="00390F81"/>
    <w:rsid w:val="003912AF"/>
    <w:rsid w:val="0039179C"/>
    <w:rsid w:val="003922DA"/>
    <w:rsid w:val="0039401A"/>
    <w:rsid w:val="00394BF5"/>
    <w:rsid w:val="003950A6"/>
    <w:rsid w:val="0039534A"/>
    <w:rsid w:val="0039537B"/>
    <w:rsid w:val="00396896"/>
    <w:rsid w:val="00396FD0"/>
    <w:rsid w:val="003A0083"/>
    <w:rsid w:val="003A0376"/>
    <w:rsid w:val="003A05C6"/>
    <w:rsid w:val="003A0FED"/>
    <w:rsid w:val="003A1404"/>
    <w:rsid w:val="003A14E1"/>
    <w:rsid w:val="003A1A7A"/>
    <w:rsid w:val="003A1D28"/>
    <w:rsid w:val="003A21AB"/>
    <w:rsid w:val="003A2392"/>
    <w:rsid w:val="003A23E6"/>
    <w:rsid w:val="003A2831"/>
    <w:rsid w:val="003A3CB6"/>
    <w:rsid w:val="003A3CF8"/>
    <w:rsid w:val="003A3DD1"/>
    <w:rsid w:val="003A3ED1"/>
    <w:rsid w:val="003A44DB"/>
    <w:rsid w:val="003A647A"/>
    <w:rsid w:val="003A66E4"/>
    <w:rsid w:val="003A6E3D"/>
    <w:rsid w:val="003A734F"/>
    <w:rsid w:val="003B00D7"/>
    <w:rsid w:val="003B0B6D"/>
    <w:rsid w:val="003B15DD"/>
    <w:rsid w:val="003B1CDF"/>
    <w:rsid w:val="003B372F"/>
    <w:rsid w:val="003B38D5"/>
    <w:rsid w:val="003B3971"/>
    <w:rsid w:val="003B3B76"/>
    <w:rsid w:val="003B3D8F"/>
    <w:rsid w:val="003B55D1"/>
    <w:rsid w:val="003B5B61"/>
    <w:rsid w:val="003B6AB2"/>
    <w:rsid w:val="003B6DDD"/>
    <w:rsid w:val="003B6FC0"/>
    <w:rsid w:val="003B718C"/>
    <w:rsid w:val="003B7D0A"/>
    <w:rsid w:val="003C0024"/>
    <w:rsid w:val="003C0330"/>
    <w:rsid w:val="003C04B3"/>
    <w:rsid w:val="003C0D0F"/>
    <w:rsid w:val="003C13F1"/>
    <w:rsid w:val="003C1654"/>
    <w:rsid w:val="003C4BDD"/>
    <w:rsid w:val="003C4FBF"/>
    <w:rsid w:val="003C513B"/>
    <w:rsid w:val="003C5350"/>
    <w:rsid w:val="003C5542"/>
    <w:rsid w:val="003C5C41"/>
    <w:rsid w:val="003C6CAC"/>
    <w:rsid w:val="003C7223"/>
    <w:rsid w:val="003C7591"/>
    <w:rsid w:val="003C7D19"/>
    <w:rsid w:val="003C7D2F"/>
    <w:rsid w:val="003D1828"/>
    <w:rsid w:val="003D1DE4"/>
    <w:rsid w:val="003D1E9A"/>
    <w:rsid w:val="003D2422"/>
    <w:rsid w:val="003D2820"/>
    <w:rsid w:val="003D356D"/>
    <w:rsid w:val="003D39A1"/>
    <w:rsid w:val="003D3C5E"/>
    <w:rsid w:val="003D3FBF"/>
    <w:rsid w:val="003D48CC"/>
    <w:rsid w:val="003D4A30"/>
    <w:rsid w:val="003D53C6"/>
    <w:rsid w:val="003D5944"/>
    <w:rsid w:val="003D6989"/>
    <w:rsid w:val="003D699B"/>
    <w:rsid w:val="003D7452"/>
    <w:rsid w:val="003D756F"/>
    <w:rsid w:val="003D79BB"/>
    <w:rsid w:val="003D7C98"/>
    <w:rsid w:val="003D7D9D"/>
    <w:rsid w:val="003E0250"/>
    <w:rsid w:val="003E0543"/>
    <w:rsid w:val="003E1245"/>
    <w:rsid w:val="003E1D50"/>
    <w:rsid w:val="003E1EC7"/>
    <w:rsid w:val="003E28BD"/>
    <w:rsid w:val="003E2BA2"/>
    <w:rsid w:val="003E32E4"/>
    <w:rsid w:val="003E36C8"/>
    <w:rsid w:val="003E4BF8"/>
    <w:rsid w:val="003E531D"/>
    <w:rsid w:val="003E541A"/>
    <w:rsid w:val="003E5710"/>
    <w:rsid w:val="003E6CB7"/>
    <w:rsid w:val="003E7367"/>
    <w:rsid w:val="003E749E"/>
    <w:rsid w:val="003E77CE"/>
    <w:rsid w:val="003F110D"/>
    <w:rsid w:val="003F1675"/>
    <w:rsid w:val="003F1760"/>
    <w:rsid w:val="003F1C68"/>
    <w:rsid w:val="003F2A0F"/>
    <w:rsid w:val="003F2D9D"/>
    <w:rsid w:val="003F2DF0"/>
    <w:rsid w:val="003F4156"/>
    <w:rsid w:val="003F41C4"/>
    <w:rsid w:val="003F46DC"/>
    <w:rsid w:val="003F4FF2"/>
    <w:rsid w:val="003F500A"/>
    <w:rsid w:val="003F5ADF"/>
    <w:rsid w:val="003F664C"/>
    <w:rsid w:val="003F6FF7"/>
    <w:rsid w:val="003F7537"/>
    <w:rsid w:val="0040065F"/>
    <w:rsid w:val="00400985"/>
    <w:rsid w:val="00400B29"/>
    <w:rsid w:val="0040128C"/>
    <w:rsid w:val="00401408"/>
    <w:rsid w:val="004014A6"/>
    <w:rsid w:val="004032C9"/>
    <w:rsid w:val="004032F7"/>
    <w:rsid w:val="00403A3A"/>
    <w:rsid w:val="00403F9D"/>
    <w:rsid w:val="0040413F"/>
    <w:rsid w:val="0040431A"/>
    <w:rsid w:val="0040504B"/>
    <w:rsid w:val="0040524F"/>
    <w:rsid w:val="00405260"/>
    <w:rsid w:val="004054CB"/>
    <w:rsid w:val="004059F4"/>
    <w:rsid w:val="00405AF5"/>
    <w:rsid w:val="00405D1E"/>
    <w:rsid w:val="00406318"/>
    <w:rsid w:val="004063D5"/>
    <w:rsid w:val="00406806"/>
    <w:rsid w:val="004072C2"/>
    <w:rsid w:val="00407C0B"/>
    <w:rsid w:val="00407CE1"/>
    <w:rsid w:val="00407FE5"/>
    <w:rsid w:val="00410151"/>
    <w:rsid w:val="004101B0"/>
    <w:rsid w:val="00410326"/>
    <w:rsid w:val="00410330"/>
    <w:rsid w:val="0041060C"/>
    <w:rsid w:val="00410708"/>
    <w:rsid w:val="00410EC7"/>
    <w:rsid w:val="00411B39"/>
    <w:rsid w:val="004127A7"/>
    <w:rsid w:val="00413A1E"/>
    <w:rsid w:val="00413E07"/>
    <w:rsid w:val="00414476"/>
    <w:rsid w:val="004145AE"/>
    <w:rsid w:val="00414A03"/>
    <w:rsid w:val="00414C2E"/>
    <w:rsid w:val="004150A7"/>
    <w:rsid w:val="004150F8"/>
    <w:rsid w:val="004151CF"/>
    <w:rsid w:val="00416364"/>
    <w:rsid w:val="00416BEE"/>
    <w:rsid w:val="00417091"/>
    <w:rsid w:val="00417DBB"/>
    <w:rsid w:val="0042022F"/>
    <w:rsid w:val="0042047F"/>
    <w:rsid w:val="00420AA6"/>
    <w:rsid w:val="00420B9F"/>
    <w:rsid w:val="0042192C"/>
    <w:rsid w:val="00422260"/>
    <w:rsid w:val="004226E6"/>
    <w:rsid w:val="00422783"/>
    <w:rsid w:val="0042371C"/>
    <w:rsid w:val="0042413B"/>
    <w:rsid w:val="0042413F"/>
    <w:rsid w:val="00424BAB"/>
    <w:rsid w:val="00425478"/>
    <w:rsid w:val="004278B7"/>
    <w:rsid w:val="00427ACD"/>
    <w:rsid w:val="004313B4"/>
    <w:rsid w:val="004319F8"/>
    <w:rsid w:val="00431E55"/>
    <w:rsid w:val="004321F6"/>
    <w:rsid w:val="00432D7C"/>
    <w:rsid w:val="00433044"/>
    <w:rsid w:val="00433AC7"/>
    <w:rsid w:val="00434088"/>
    <w:rsid w:val="00434482"/>
    <w:rsid w:val="00434FAD"/>
    <w:rsid w:val="00435CBA"/>
    <w:rsid w:val="004375B9"/>
    <w:rsid w:val="004404EA"/>
    <w:rsid w:val="00440A53"/>
    <w:rsid w:val="004419EA"/>
    <w:rsid w:val="00441E80"/>
    <w:rsid w:val="004421BC"/>
    <w:rsid w:val="004428D0"/>
    <w:rsid w:val="00444185"/>
    <w:rsid w:val="004443A7"/>
    <w:rsid w:val="0044442C"/>
    <w:rsid w:val="00444552"/>
    <w:rsid w:val="00444590"/>
    <w:rsid w:val="00444738"/>
    <w:rsid w:val="00444E63"/>
    <w:rsid w:val="004453C2"/>
    <w:rsid w:val="00445941"/>
    <w:rsid w:val="004464EB"/>
    <w:rsid w:val="00447D26"/>
    <w:rsid w:val="00447DFC"/>
    <w:rsid w:val="00447F0F"/>
    <w:rsid w:val="0045063D"/>
    <w:rsid w:val="0045069C"/>
    <w:rsid w:val="00450757"/>
    <w:rsid w:val="00450A68"/>
    <w:rsid w:val="00450EB4"/>
    <w:rsid w:val="00450F0A"/>
    <w:rsid w:val="0045272C"/>
    <w:rsid w:val="00453645"/>
    <w:rsid w:val="00453A12"/>
    <w:rsid w:val="00454762"/>
    <w:rsid w:val="00454879"/>
    <w:rsid w:val="00454C14"/>
    <w:rsid w:val="004559E0"/>
    <w:rsid w:val="00455CE2"/>
    <w:rsid w:val="00455D45"/>
    <w:rsid w:val="00455E42"/>
    <w:rsid w:val="00456461"/>
    <w:rsid w:val="0045656D"/>
    <w:rsid w:val="0046052E"/>
    <w:rsid w:val="00462CFE"/>
    <w:rsid w:val="00463120"/>
    <w:rsid w:val="0046436E"/>
    <w:rsid w:val="00464595"/>
    <w:rsid w:val="0046519E"/>
    <w:rsid w:val="004654D1"/>
    <w:rsid w:val="004658B5"/>
    <w:rsid w:val="00465992"/>
    <w:rsid w:val="004659F3"/>
    <w:rsid w:val="00466FEB"/>
    <w:rsid w:val="00467344"/>
    <w:rsid w:val="004674C5"/>
    <w:rsid w:val="00467C13"/>
    <w:rsid w:val="00470DC0"/>
    <w:rsid w:val="00471C10"/>
    <w:rsid w:val="00471EA5"/>
    <w:rsid w:val="0047250B"/>
    <w:rsid w:val="00472669"/>
    <w:rsid w:val="00472A79"/>
    <w:rsid w:val="00472F0A"/>
    <w:rsid w:val="00473138"/>
    <w:rsid w:val="00473BBC"/>
    <w:rsid w:val="00473D36"/>
    <w:rsid w:val="00473F19"/>
    <w:rsid w:val="00474C41"/>
    <w:rsid w:val="00475913"/>
    <w:rsid w:val="00475E22"/>
    <w:rsid w:val="004805CB"/>
    <w:rsid w:val="0048088E"/>
    <w:rsid w:val="00480AE2"/>
    <w:rsid w:val="00480F2B"/>
    <w:rsid w:val="00480FF9"/>
    <w:rsid w:val="0048114E"/>
    <w:rsid w:val="004817C2"/>
    <w:rsid w:val="00481995"/>
    <w:rsid w:val="00481BF8"/>
    <w:rsid w:val="00481D66"/>
    <w:rsid w:val="00482720"/>
    <w:rsid w:val="0048315A"/>
    <w:rsid w:val="004831EE"/>
    <w:rsid w:val="004835E7"/>
    <w:rsid w:val="004839F3"/>
    <w:rsid w:val="00485244"/>
    <w:rsid w:val="004858DD"/>
    <w:rsid w:val="004867E2"/>
    <w:rsid w:val="0048697A"/>
    <w:rsid w:val="004874E6"/>
    <w:rsid w:val="00487ADE"/>
    <w:rsid w:val="00490307"/>
    <w:rsid w:val="00490473"/>
    <w:rsid w:val="00490919"/>
    <w:rsid w:val="00490B17"/>
    <w:rsid w:val="00490B6F"/>
    <w:rsid w:val="0049157B"/>
    <w:rsid w:val="0049184F"/>
    <w:rsid w:val="00491B3A"/>
    <w:rsid w:val="004923A6"/>
    <w:rsid w:val="0049256C"/>
    <w:rsid w:val="00492CFD"/>
    <w:rsid w:val="00493010"/>
    <w:rsid w:val="00493041"/>
    <w:rsid w:val="004930AB"/>
    <w:rsid w:val="00493616"/>
    <w:rsid w:val="00494207"/>
    <w:rsid w:val="00494DD5"/>
    <w:rsid w:val="0049502F"/>
    <w:rsid w:val="00495505"/>
    <w:rsid w:val="004959B9"/>
    <w:rsid w:val="00495A87"/>
    <w:rsid w:val="004962D2"/>
    <w:rsid w:val="0049672C"/>
    <w:rsid w:val="0049688E"/>
    <w:rsid w:val="00496D5D"/>
    <w:rsid w:val="004A0CCB"/>
    <w:rsid w:val="004A0DA1"/>
    <w:rsid w:val="004A13D6"/>
    <w:rsid w:val="004A1BE7"/>
    <w:rsid w:val="004A22B4"/>
    <w:rsid w:val="004A3738"/>
    <w:rsid w:val="004A3F46"/>
    <w:rsid w:val="004A423F"/>
    <w:rsid w:val="004A4BD9"/>
    <w:rsid w:val="004A4D88"/>
    <w:rsid w:val="004A52E9"/>
    <w:rsid w:val="004A6040"/>
    <w:rsid w:val="004A6597"/>
    <w:rsid w:val="004A6956"/>
    <w:rsid w:val="004A6DE6"/>
    <w:rsid w:val="004A7848"/>
    <w:rsid w:val="004B0415"/>
    <w:rsid w:val="004B0BAE"/>
    <w:rsid w:val="004B0D40"/>
    <w:rsid w:val="004B1256"/>
    <w:rsid w:val="004B1381"/>
    <w:rsid w:val="004B1444"/>
    <w:rsid w:val="004B1903"/>
    <w:rsid w:val="004B1CB4"/>
    <w:rsid w:val="004B1E86"/>
    <w:rsid w:val="004B2954"/>
    <w:rsid w:val="004B2F18"/>
    <w:rsid w:val="004B3006"/>
    <w:rsid w:val="004B3698"/>
    <w:rsid w:val="004B39C7"/>
    <w:rsid w:val="004B3DDB"/>
    <w:rsid w:val="004B428E"/>
    <w:rsid w:val="004B44FD"/>
    <w:rsid w:val="004B5CFC"/>
    <w:rsid w:val="004B5EDF"/>
    <w:rsid w:val="004B664A"/>
    <w:rsid w:val="004B6DDA"/>
    <w:rsid w:val="004B6F79"/>
    <w:rsid w:val="004B7070"/>
    <w:rsid w:val="004B7435"/>
    <w:rsid w:val="004B774D"/>
    <w:rsid w:val="004C1674"/>
    <w:rsid w:val="004C21C9"/>
    <w:rsid w:val="004C31CF"/>
    <w:rsid w:val="004C4AED"/>
    <w:rsid w:val="004C4D1F"/>
    <w:rsid w:val="004C51D3"/>
    <w:rsid w:val="004D1549"/>
    <w:rsid w:val="004D1685"/>
    <w:rsid w:val="004D1E12"/>
    <w:rsid w:val="004D2393"/>
    <w:rsid w:val="004D2C2D"/>
    <w:rsid w:val="004D320E"/>
    <w:rsid w:val="004D44B7"/>
    <w:rsid w:val="004D5756"/>
    <w:rsid w:val="004D59AD"/>
    <w:rsid w:val="004D609B"/>
    <w:rsid w:val="004D69B5"/>
    <w:rsid w:val="004D6EE6"/>
    <w:rsid w:val="004D7009"/>
    <w:rsid w:val="004D7227"/>
    <w:rsid w:val="004D74AA"/>
    <w:rsid w:val="004D7712"/>
    <w:rsid w:val="004E0917"/>
    <w:rsid w:val="004E0E7F"/>
    <w:rsid w:val="004E0EB8"/>
    <w:rsid w:val="004E1062"/>
    <w:rsid w:val="004E18E9"/>
    <w:rsid w:val="004E2ADC"/>
    <w:rsid w:val="004E33CE"/>
    <w:rsid w:val="004E3995"/>
    <w:rsid w:val="004E3C31"/>
    <w:rsid w:val="004E43B2"/>
    <w:rsid w:val="004E5290"/>
    <w:rsid w:val="004E58F9"/>
    <w:rsid w:val="004E603E"/>
    <w:rsid w:val="004E6B11"/>
    <w:rsid w:val="004E7457"/>
    <w:rsid w:val="004E77F6"/>
    <w:rsid w:val="004F00D9"/>
    <w:rsid w:val="004F0C55"/>
    <w:rsid w:val="004F1797"/>
    <w:rsid w:val="004F1AF9"/>
    <w:rsid w:val="004F1D02"/>
    <w:rsid w:val="004F1DA0"/>
    <w:rsid w:val="004F2679"/>
    <w:rsid w:val="004F2F21"/>
    <w:rsid w:val="004F30DF"/>
    <w:rsid w:val="004F3DE5"/>
    <w:rsid w:val="004F4ABF"/>
    <w:rsid w:val="004F5A48"/>
    <w:rsid w:val="004F5C30"/>
    <w:rsid w:val="004F6023"/>
    <w:rsid w:val="004F6095"/>
    <w:rsid w:val="004F6913"/>
    <w:rsid w:val="004F7865"/>
    <w:rsid w:val="004F7E47"/>
    <w:rsid w:val="00500262"/>
    <w:rsid w:val="0050144D"/>
    <w:rsid w:val="00501591"/>
    <w:rsid w:val="0050174E"/>
    <w:rsid w:val="00501854"/>
    <w:rsid w:val="0050219B"/>
    <w:rsid w:val="005030D4"/>
    <w:rsid w:val="00503F17"/>
    <w:rsid w:val="00504275"/>
    <w:rsid w:val="0050544A"/>
    <w:rsid w:val="00505635"/>
    <w:rsid w:val="00505C7B"/>
    <w:rsid w:val="00505F85"/>
    <w:rsid w:val="00506928"/>
    <w:rsid w:val="00507067"/>
    <w:rsid w:val="005077EF"/>
    <w:rsid w:val="0051162E"/>
    <w:rsid w:val="00511AD5"/>
    <w:rsid w:val="00511BB2"/>
    <w:rsid w:val="00511DC7"/>
    <w:rsid w:val="0051214F"/>
    <w:rsid w:val="00512C4E"/>
    <w:rsid w:val="00513685"/>
    <w:rsid w:val="00513B5B"/>
    <w:rsid w:val="005142C5"/>
    <w:rsid w:val="0051501B"/>
    <w:rsid w:val="00515171"/>
    <w:rsid w:val="005152B5"/>
    <w:rsid w:val="00515B93"/>
    <w:rsid w:val="0051668F"/>
    <w:rsid w:val="00516825"/>
    <w:rsid w:val="00516ACB"/>
    <w:rsid w:val="00520A87"/>
    <w:rsid w:val="005210F9"/>
    <w:rsid w:val="0052123C"/>
    <w:rsid w:val="00521319"/>
    <w:rsid w:val="00521D85"/>
    <w:rsid w:val="00522B31"/>
    <w:rsid w:val="00522BC8"/>
    <w:rsid w:val="00523C28"/>
    <w:rsid w:val="00523E95"/>
    <w:rsid w:val="00525793"/>
    <w:rsid w:val="00525B79"/>
    <w:rsid w:val="00527825"/>
    <w:rsid w:val="005311D2"/>
    <w:rsid w:val="0053176B"/>
    <w:rsid w:val="005318AB"/>
    <w:rsid w:val="00534934"/>
    <w:rsid w:val="00534C0C"/>
    <w:rsid w:val="00534FC0"/>
    <w:rsid w:val="00534FCD"/>
    <w:rsid w:val="00536DDA"/>
    <w:rsid w:val="00536EBB"/>
    <w:rsid w:val="00536F42"/>
    <w:rsid w:val="0053707F"/>
    <w:rsid w:val="00537182"/>
    <w:rsid w:val="00537700"/>
    <w:rsid w:val="00537FAB"/>
    <w:rsid w:val="00540328"/>
    <w:rsid w:val="00540887"/>
    <w:rsid w:val="00541EDD"/>
    <w:rsid w:val="00542076"/>
    <w:rsid w:val="00542696"/>
    <w:rsid w:val="00542743"/>
    <w:rsid w:val="00542885"/>
    <w:rsid w:val="00542C2D"/>
    <w:rsid w:val="00542E24"/>
    <w:rsid w:val="00543291"/>
    <w:rsid w:val="00545B2B"/>
    <w:rsid w:val="00545C20"/>
    <w:rsid w:val="00545C71"/>
    <w:rsid w:val="005478AE"/>
    <w:rsid w:val="005478BD"/>
    <w:rsid w:val="005479E3"/>
    <w:rsid w:val="00547C1D"/>
    <w:rsid w:val="00547FC6"/>
    <w:rsid w:val="00550621"/>
    <w:rsid w:val="0055074C"/>
    <w:rsid w:val="005509A2"/>
    <w:rsid w:val="00551172"/>
    <w:rsid w:val="00551985"/>
    <w:rsid w:val="00551D79"/>
    <w:rsid w:val="00552357"/>
    <w:rsid w:val="0055281C"/>
    <w:rsid w:val="00552AFE"/>
    <w:rsid w:val="00552BD3"/>
    <w:rsid w:val="005532A0"/>
    <w:rsid w:val="0055349C"/>
    <w:rsid w:val="00554F0A"/>
    <w:rsid w:val="00555109"/>
    <w:rsid w:val="00555483"/>
    <w:rsid w:val="00555B7B"/>
    <w:rsid w:val="005560B3"/>
    <w:rsid w:val="00556A13"/>
    <w:rsid w:val="00556B35"/>
    <w:rsid w:val="005573C4"/>
    <w:rsid w:val="0055741A"/>
    <w:rsid w:val="00557732"/>
    <w:rsid w:val="00557A4D"/>
    <w:rsid w:val="00560328"/>
    <w:rsid w:val="00560497"/>
    <w:rsid w:val="005606E6"/>
    <w:rsid w:val="005611B7"/>
    <w:rsid w:val="005618D4"/>
    <w:rsid w:val="00561BE2"/>
    <w:rsid w:val="00561D66"/>
    <w:rsid w:val="00563C11"/>
    <w:rsid w:val="00563D42"/>
    <w:rsid w:val="00564E3F"/>
    <w:rsid w:val="00565901"/>
    <w:rsid w:val="00565A9A"/>
    <w:rsid w:val="00565DF0"/>
    <w:rsid w:val="00566907"/>
    <w:rsid w:val="0056696F"/>
    <w:rsid w:val="00567BA1"/>
    <w:rsid w:val="005716E6"/>
    <w:rsid w:val="0057186E"/>
    <w:rsid w:val="005721AC"/>
    <w:rsid w:val="00572269"/>
    <w:rsid w:val="0057244A"/>
    <w:rsid w:val="005728E2"/>
    <w:rsid w:val="005729FA"/>
    <w:rsid w:val="00572C72"/>
    <w:rsid w:val="00572F26"/>
    <w:rsid w:val="00573235"/>
    <w:rsid w:val="0057331A"/>
    <w:rsid w:val="00573E74"/>
    <w:rsid w:val="0057424A"/>
    <w:rsid w:val="005750C5"/>
    <w:rsid w:val="005752DE"/>
    <w:rsid w:val="00575682"/>
    <w:rsid w:val="00575810"/>
    <w:rsid w:val="00575D35"/>
    <w:rsid w:val="00575D8D"/>
    <w:rsid w:val="00576028"/>
    <w:rsid w:val="00576972"/>
    <w:rsid w:val="00576C0B"/>
    <w:rsid w:val="005778F1"/>
    <w:rsid w:val="00577B29"/>
    <w:rsid w:val="0058089F"/>
    <w:rsid w:val="0058132C"/>
    <w:rsid w:val="00581819"/>
    <w:rsid w:val="005819F5"/>
    <w:rsid w:val="00581FEE"/>
    <w:rsid w:val="00582FA4"/>
    <w:rsid w:val="00583699"/>
    <w:rsid w:val="00583D9A"/>
    <w:rsid w:val="0058434F"/>
    <w:rsid w:val="005847AE"/>
    <w:rsid w:val="00584FED"/>
    <w:rsid w:val="00585017"/>
    <w:rsid w:val="00585CDD"/>
    <w:rsid w:val="00587058"/>
    <w:rsid w:val="00587644"/>
    <w:rsid w:val="0058764F"/>
    <w:rsid w:val="00587D97"/>
    <w:rsid w:val="00590054"/>
    <w:rsid w:val="00590CFF"/>
    <w:rsid w:val="005913A1"/>
    <w:rsid w:val="00591957"/>
    <w:rsid w:val="00591CF7"/>
    <w:rsid w:val="0059258D"/>
    <w:rsid w:val="00592D4F"/>
    <w:rsid w:val="00593E71"/>
    <w:rsid w:val="00594223"/>
    <w:rsid w:val="00594725"/>
    <w:rsid w:val="005949A2"/>
    <w:rsid w:val="0059647A"/>
    <w:rsid w:val="00596CF9"/>
    <w:rsid w:val="00596DB4"/>
    <w:rsid w:val="0059748C"/>
    <w:rsid w:val="005975E6"/>
    <w:rsid w:val="00597BF9"/>
    <w:rsid w:val="005A0727"/>
    <w:rsid w:val="005A0B0A"/>
    <w:rsid w:val="005A0F93"/>
    <w:rsid w:val="005A1562"/>
    <w:rsid w:val="005A1C31"/>
    <w:rsid w:val="005A306F"/>
    <w:rsid w:val="005A309A"/>
    <w:rsid w:val="005A3180"/>
    <w:rsid w:val="005A373D"/>
    <w:rsid w:val="005A3948"/>
    <w:rsid w:val="005A59F0"/>
    <w:rsid w:val="005A6FD4"/>
    <w:rsid w:val="005A7CD4"/>
    <w:rsid w:val="005A7F56"/>
    <w:rsid w:val="005B02D3"/>
    <w:rsid w:val="005B0B58"/>
    <w:rsid w:val="005B227F"/>
    <w:rsid w:val="005B2854"/>
    <w:rsid w:val="005B2886"/>
    <w:rsid w:val="005B2DFA"/>
    <w:rsid w:val="005B2E78"/>
    <w:rsid w:val="005B373B"/>
    <w:rsid w:val="005B3A81"/>
    <w:rsid w:val="005B3FB6"/>
    <w:rsid w:val="005B4009"/>
    <w:rsid w:val="005B4E53"/>
    <w:rsid w:val="005B5857"/>
    <w:rsid w:val="005B5E84"/>
    <w:rsid w:val="005B6903"/>
    <w:rsid w:val="005B706C"/>
    <w:rsid w:val="005B7261"/>
    <w:rsid w:val="005B7A74"/>
    <w:rsid w:val="005B7D70"/>
    <w:rsid w:val="005C1B83"/>
    <w:rsid w:val="005C200C"/>
    <w:rsid w:val="005C25FF"/>
    <w:rsid w:val="005C2C55"/>
    <w:rsid w:val="005C2D55"/>
    <w:rsid w:val="005C346B"/>
    <w:rsid w:val="005C494A"/>
    <w:rsid w:val="005C4CA7"/>
    <w:rsid w:val="005C5F35"/>
    <w:rsid w:val="005C65C2"/>
    <w:rsid w:val="005C686F"/>
    <w:rsid w:val="005C6ACA"/>
    <w:rsid w:val="005C72E0"/>
    <w:rsid w:val="005C7523"/>
    <w:rsid w:val="005C7885"/>
    <w:rsid w:val="005D044D"/>
    <w:rsid w:val="005D0ABD"/>
    <w:rsid w:val="005D13C6"/>
    <w:rsid w:val="005D18AD"/>
    <w:rsid w:val="005D247F"/>
    <w:rsid w:val="005D26B4"/>
    <w:rsid w:val="005D272F"/>
    <w:rsid w:val="005D2BE5"/>
    <w:rsid w:val="005D2C05"/>
    <w:rsid w:val="005D3506"/>
    <w:rsid w:val="005D3570"/>
    <w:rsid w:val="005D38C9"/>
    <w:rsid w:val="005D50AC"/>
    <w:rsid w:val="005D58B6"/>
    <w:rsid w:val="005D69D9"/>
    <w:rsid w:val="005D6A51"/>
    <w:rsid w:val="005D7A5E"/>
    <w:rsid w:val="005D7EC8"/>
    <w:rsid w:val="005E08A3"/>
    <w:rsid w:val="005E09D0"/>
    <w:rsid w:val="005E1A1E"/>
    <w:rsid w:val="005E25B6"/>
    <w:rsid w:val="005E40CD"/>
    <w:rsid w:val="005E54E6"/>
    <w:rsid w:val="005E5638"/>
    <w:rsid w:val="005E592B"/>
    <w:rsid w:val="005E6425"/>
    <w:rsid w:val="005E6B31"/>
    <w:rsid w:val="005E6B5E"/>
    <w:rsid w:val="005E6CBC"/>
    <w:rsid w:val="005E72FF"/>
    <w:rsid w:val="005E73C0"/>
    <w:rsid w:val="005E78F9"/>
    <w:rsid w:val="005F0D03"/>
    <w:rsid w:val="005F1063"/>
    <w:rsid w:val="005F10BA"/>
    <w:rsid w:val="005F1160"/>
    <w:rsid w:val="005F2706"/>
    <w:rsid w:val="005F2B08"/>
    <w:rsid w:val="005F2B81"/>
    <w:rsid w:val="005F2BF8"/>
    <w:rsid w:val="005F3453"/>
    <w:rsid w:val="005F44C2"/>
    <w:rsid w:val="005F455C"/>
    <w:rsid w:val="005F4762"/>
    <w:rsid w:val="005F559F"/>
    <w:rsid w:val="005F5D32"/>
    <w:rsid w:val="005F6A8F"/>
    <w:rsid w:val="005F6A90"/>
    <w:rsid w:val="005F6BB7"/>
    <w:rsid w:val="005F7588"/>
    <w:rsid w:val="005F7650"/>
    <w:rsid w:val="00601997"/>
    <w:rsid w:val="006028B4"/>
    <w:rsid w:val="00603153"/>
    <w:rsid w:val="00603DB9"/>
    <w:rsid w:val="00603E15"/>
    <w:rsid w:val="00604B31"/>
    <w:rsid w:val="00606182"/>
    <w:rsid w:val="00606203"/>
    <w:rsid w:val="006067D9"/>
    <w:rsid w:val="00606FBA"/>
    <w:rsid w:val="00607669"/>
    <w:rsid w:val="006076F4"/>
    <w:rsid w:val="00607A9A"/>
    <w:rsid w:val="00607AFD"/>
    <w:rsid w:val="00611ABF"/>
    <w:rsid w:val="00612159"/>
    <w:rsid w:val="00612F97"/>
    <w:rsid w:val="00613366"/>
    <w:rsid w:val="0061345D"/>
    <w:rsid w:val="006146C2"/>
    <w:rsid w:val="006147C1"/>
    <w:rsid w:val="00614AE2"/>
    <w:rsid w:val="00615141"/>
    <w:rsid w:val="006153B9"/>
    <w:rsid w:val="00615488"/>
    <w:rsid w:val="0061549B"/>
    <w:rsid w:val="00615B08"/>
    <w:rsid w:val="00615C91"/>
    <w:rsid w:val="00615F9A"/>
    <w:rsid w:val="00616041"/>
    <w:rsid w:val="006162F8"/>
    <w:rsid w:val="00616802"/>
    <w:rsid w:val="00617198"/>
    <w:rsid w:val="00617791"/>
    <w:rsid w:val="00617A2E"/>
    <w:rsid w:val="00617D67"/>
    <w:rsid w:val="00617E12"/>
    <w:rsid w:val="00620C25"/>
    <w:rsid w:val="00620DBA"/>
    <w:rsid w:val="00620E72"/>
    <w:rsid w:val="006212A3"/>
    <w:rsid w:val="00621477"/>
    <w:rsid w:val="0062149C"/>
    <w:rsid w:val="00621ADA"/>
    <w:rsid w:val="00622A0D"/>
    <w:rsid w:val="00622FDE"/>
    <w:rsid w:val="00623974"/>
    <w:rsid w:val="00623F7B"/>
    <w:rsid w:val="0062439A"/>
    <w:rsid w:val="0062462C"/>
    <w:rsid w:val="00630932"/>
    <w:rsid w:val="0063149F"/>
    <w:rsid w:val="00631568"/>
    <w:rsid w:val="0063158F"/>
    <w:rsid w:val="00631D6B"/>
    <w:rsid w:val="006320F5"/>
    <w:rsid w:val="00632183"/>
    <w:rsid w:val="006322F4"/>
    <w:rsid w:val="00632EA9"/>
    <w:rsid w:val="006330A1"/>
    <w:rsid w:val="00633828"/>
    <w:rsid w:val="006338A4"/>
    <w:rsid w:val="0063477E"/>
    <w:rsid w:val="0063479F"/>
    <w:rsid w:val="00634A00"/>
    <w:rsid w:val="00635337"/>
    <w:rsid w:val="006353F0"/>
    <w:rsid w:val="006357B5"/>
    <w:rsid w:val="00635F96"/>
    <w:rsid w:val="006364A1"/>
    <w:rsid w:val="0063678E"/>
    <w:rsid w:val="00637BFD"/>
    <w:rsid w:val="00637D9D"/>
    <w:rsid w:val="00637E84"/>
    <w:rsid w:val="0064042A"/>
    <w:rsid w:val="006405C6"/>
    <w:rsid w:val="006408B8"/>
    <w:rsid w:val="00641C4E"/>
    <w:rsid w:val="00641FB3"/>
    <w:rsid w:val="00641FCD"/>
    <w:rsid w:val="00643DA7"/>
    <w:rsid w:val="0064434C"/>
    <w:rsid w:val="0064518D"/>
    <w:rsid w:val="00646A91"/>
    <w:rsid w:val="006471CC"/>
    <w:rsid w:val="0064735D"/>
    <w:rsid w:val="00647A29"/>
    <w:rsid w:val="0065000A"/>
    <w:rsid w:val="0065022B"/>
    <w:rsid w:val="0065079F"/>
    <w:rsid w:val="006508AE"/>
    <w:rsid w:val="00650A76"/>
    <w:rsid w:val="006513C8"/>
    <w:rsid w:val="00651DF8"/>
    <w:rsid w:val="00652A28"/>
    <w:rsid w:val="0065379F"/>
    <w:rsid w:val="00653C0D"/>
    <w:rsid w:val="00654044"/>
    <w:rsid w:val="006549B7"/>
    <w:rsid w:val="00655119"/>
    <w:rsid w:val="006555CF"/>
    <w:rsid w:val="00656188"/>
    <w:rsid w:val="00656DE7"/>
    <w:rsid w:val="0065715A"/>
    <w:rsid w:val="0066031D"/>
    <w:rsid w:val="00660530"/>
    <w:rsid w:val="00660D24"/>
    <w:rsid w:val="00660D91"/>
    <w:rsid w:val="00660F21"/>
    <w:rsid w:val="006610F1"/>
    <w:rsid w:val="00661949"/>
    <w:rsid w:val="0066199F"/>
    <w:rsid w:val="00661C6B"/>
    <w:rsid w:val="00664EB1"/>
    <w:rsid w:val="006654D5"/>
    <w:rsid w:val="006657B7"/>
    <w:rsid w:val="00665A92"/>
    <w:rsid w:val="0066641D"/>
    <w:rsid w:val="00666F2F"/>
    <w:rsid w:val="00666F82"/>
    <w:rsid w:val="00667010"/>
    <w:rsid w:val="006677EF"/>
    <w:rsid w:val="00670757"/>
    <w:rsid w:val="00670F2D"/>
    <w:rsid w:val="00671004"/>
    <w:rsid w:val="006714E8"/>
    <w:rsid w:val="0067219B"/>
    <w:rsid w:val="00672646"/>
    <w:rsid w:val="006748DB"/>
    <w:rsid w:val="00674E42"/>
    <w:rsid w:val="0067520E"/>
    <w:rsid w:val="006763D1"/>
    <w:rsid w:val="0068129C"/>
    <w:rsid w:val="006813F8"/>
    <w:rsid w:val="00682112"/>
    <w:rsid w:val="00682823"/>
    <w:rsid w:val="00682BA6"/>
    <w:rsid w:val="00684892"/>
    <w:rsid w:val="006852DC"/>
    <w:rsid w:val="00685FDC"/>
    <w:rsid w:val="00686957"/>
    <w:rsid w:val="0068698D"/>
    <w:rsid w:val="00686DEB"/>
    <w:rsid w:val="00686FE1"/>
    <w:rsid w:val="006872BA"/>
    <w:rsid w:val="00687D8A"/>
    <w:rsid w:val="00690795"/>
    <w:rsid w:val="00690BBA"/>
    <w:rsid w:val="00690C4E"/>
    <w:rsid w:val="00690CCF"/>
    <w:rsid w:val="00690D5B"/>
    <w:rsid w:val="00690DF5"/>
    <w:rsid w:val="00691648"/>
    <w:rsid w:val="006917D7"/>
    <w:rsid w:val="00691A88"/>
    <w:rsid w:val="006922A0"/>
    <w:rsid w:val="00692397"/>
    <w:rsid w:val="00693010"/>
    <w:rsid w:val="006934E4"/>
    <w:rsid w:val="00693656"/>
    <w:rsid w:val="00693827"/>
    <w:rsid w:val="0069434C"/>
    <w:rsid w:val="00694F44"/>
    <w:rsid w:val="00695008"/>
    <w:rsid w:val="006957A5"/>
    <w:rsid w:val="006969BC"/>
    <w:rsid w:val="00696F51"/>
    <w:rsid w:val="00697066"/>
    <w:rsid w:val="00697390"/>
    <w:rsid w:val="00697457"/>
    <w:rsid w:val="006979A5"/>
    <w:rsid w:val="006A08D7"/>
    <w:rsid w:val="006A1672"/>
    <w:rsid w:val="006A1EFB"/>
    <w:rsid w:val="006A2770"/>
    <w:rsid w:val="006A342C"/>
    <w:rsid w:val="006A5182"/>
    <w:rsid w:val="006A57DC"/>
    <w:rsid w:val="006A59F9"/>
    <w:rsid w:val="006A6003"/>
    <w:rsid w:val="006A6681"/>
    <w:rsid w:val="006A6A60"/>
    <w:rsid w:val="006A6B99"/>
    <w:rsid w:val="006A6E02"/>
    <w:rsid w:val="006A79FA"/>
    <w:rsid w:val="006A7E5F"/>
    <w:rsid w:val="006A7F5E"/>
    <w:rsid w:val="006B039C"/>
    <w:rsid w:val="006B118F"/>
    <w:rsid w:val="006B261B"/>
    <w:rsid w:val="006B2C90"/>
    <w:rsid w:val="006B35E6"/>
    <w:rsid w:val="006B465A"/>
    <w:rsid w:val="006B4AC5"/>
    <w:rsid w:val="006B54C4"/>
    <w:rsid w:val="006B58C8"/>
    <w:rsid w:val="006B66A9"/>
    <w:rsid w:val="006B6866"/>
    <w:rsid w:val="006B6DD0"/>
    <w:rsid w:val="006B75E0"/>
    <w:rsid w:val="006C0399"/>
    <w:rsid w:val="006C0970"/>
    <w:rsid w:val="006C09A0"/>
    <w:rsid w:val="006C16BA"/>
    <w:rsid w:val="006C24A7"/>
    <w:rsid w:val="006C2A8E"/>
    <w:rsid w:val="006C303E"/>
    <w:rsid w:val="006C3255"/>
    <w:rsid w:val="006C362B"/>
    <w:rsid w:val="006C3A8C"/>
    <w:rsid w:val="006C3F26"/>
    <w:rsid w:val="006C437D"/>
    <w:rsid w:val="006C43B4"/>
    <w:rsid w:val="006C49E6"/>
    <w:rsid w:val="006C6289"/>
    <w:rsid w:val="006C69A0"/>
    <w:rsid w:val="006C6A59"/>
    <w:rsid w:val="006C6BB8"/>
    <w:rsid w:val="006C75B8"/>
    <w:rsid w:val="006C7C0B"/>
    <w:rsid w:val="006C7E77"/>
    <w:rsid w:val="006D0106"/>
    <w:rsid w:val="006D0805"/>
    <w:rsid w:val="006D0826"/>
    <w:rsid w:val="006D08E0"/>
    <w:rsid w:val="006D0C38"/>
    <w:rsid w:val="006D0D17"/>
    <w:rsid w:val="006D0E49"/>
    <w:rsid w:val="006D3447"/>
    <w:rsid w:val="006D3C7D"/>
    <w:rsid w:val="006D3F65"/>
    <w:rsid w:val="006D4659"/>
    <w:rsid w:val="006D586D"/>
    <w:rsid w:val="006D5D01"/>
    <w:rsid w:val="006D5D5F"/>
    <w:rsid w:val="006D5EA1"/>
    <w:rsid w:val="006D6153"/>
    <w:rsid w:val="006D68FB"/>
    <w:rsid w:val="006D6AF5"/>
    <w:rsid w:val="006D7333"/>
    <w:rsid w:val="006D74A1"/>
    <w:rsid w:val="006D7EB0"/>
    <w:rsid w:val="006E00D8"/>
    <w:rsid w:val="006E0337"/>
    <w:rsid w:val="006E04A8"/>
    <w:rsid w:val="006E08BE"/>
    <w:rsid w:val="006E12C3"/>
    <w:rsid w:val="006E16EE"/>
    <w:rsid w:val="006E1AE8"/>
    <w:rsid w:val="006E278D"/>
    <w:rsid w:val="006E2868"/>
    <w:rsid w:val="006E3133"/>
    <w:rsid w:val="006E3477"/>
    <w:rsid w:val="006E50C7"/>
    <w:rsid w:val="006E5237"/>
    <w:rsid w:val="006E626C"/>
    <w:rsid w:val="006E6299"/>
    <w:rsid w:val="006E629F"/>
    <w:rsid w:val="006E67E3"/>
    <w:rsid w:val="006E6E52"/>
    <w:rsid w:val="006E77A4"/>
    <w:rsid w:val="006E7983"/>
    <w:rsid w:val="006E7C46"/>
    <w:rsid w:val="006F0180"/>
    <w:rsid w:val="006F07C7"/>
    <w:rsid w:val="006F0A74"/>
    <w:rsid w:val="006F12FA"/>
    <w:rsid w:val="006F168F"/>
    <w:rsid w:val="006F176E"/>
    <w:rsid w:val="006F195D"/>
    <w:rsid w:val="006F2076"/>
    <w:rsid w:val="006F241A"/>
    <w:rsid w:val="006F25F4"/>
    <w:rsid w:val="006F2954"/>
    <w:rsid w:val="006F2B26"/>
    <w:rsid w:val="006F2CF4"/>
    <w:rsid w:val="006F306C"/>
    <w:rsid w:val="006F32E0"/>
    <w:rsid w:val="006F3E3C"/>
    <w:rsid w:val="006F44D6"/>
    <w:rsid w:val="006F4FAA"/>
    <w:rsid w:val="006F51CC"/>
    <w:rsid w:val="006F63A5"/>
    <w:rsid w:val="006F676F"/>
    <w:rsid w:val="006F75EA"/>
    <w:rsid w:val="006F79EC"/>
    <w:rsid w:val="006F7A3E"/>
    <w:rsid w:val="006F7A72"/>
    <w:rsid w:val="006F7F77"/>
    <w:rsid w:val="0070142B"/>
    <w:rsid w:val="0070190E"/>
    <w:rsid w:val="00701A6A"/>
    <w:rsid w:val="00701F55"/>
    <w:rsid w:val="007020F0"/>
    <w:rsid w:val="0070276E"/>
    <w:rsid w:val="00702EF3"/>
    <w:rsid w:val="00702F8F"/>
    <w:rsid w:val="0070424B"/>
    <w:rsid w:val="00705074"/>
    <w:rsid w:val="007053F4"/>
    <w:rsid w:val="00705C4B"/>
    <w:rsid w:val="007068D6"/>
    <w:rsid w:val="007079FC"/>
    <w:rsid w:val="00707B77"/>
    <w:rsid w:val="00710D56"/>
    <w:rsid w:val="00711024"/>
    <w:rsid w:val="00711027"/>
    <w:rsid w:val="00711497"/>
    <w:rsid w:val="0071157F"/>
    <w:rsid w:val="007118C0"/>
    <w:rsid w:val="00711A36"/>
    <w:rsid w:val="00711E4B"/>
    <w:rsid w:val="0071241E"/>
    <w:rsid w:val="00713332"/>
    <w:rsid w:val="0071357D"/>
    <w:rsid w:val="00714090"/>
    <w:rsid w:val="00714496"/>
    <w:rsid w:val="00714C26"/>
    <w:rsid w:val="00714CA8"/>
    <w:rsid w:val="00714D53"/>
    <w:rsid w:val="0071529C"/>
    <w:rsid w:val="007154E5"/>
    <w:rsid w:val="007170DA"/>
    <w:rsid w:val="00717101"/>
    <w:rsid w:val="007172AD"/>
    <w:rsid w:val="0071798A"/>
    <w:rsid w:val="00720801"/>
    <w:rsid w:val="0072082D"/>
    <w:rsid w:val="0072104A"/>
    <w:rsid w:val="0072121C"/>
    <w:rsid w:val="00721440"/>
    <w:rsid w:val="00722A76"/>
    <w:rsid w:val="00722B1B"/>
    <w:rsid w:val="0072375C"/>
    <w:rsid w:val="0072416F"/>
    <w:rsid w:val="007254DD"/>
    <w:rsid w:val="00726222"/>
    <w:rsid w:val="00727C94"/>
    <w:rsid w:val="0073022C"/>
    <w:rsid w:val="00730D36"/>
    <w:rsid w:val="0073102B"/>
    <w:rsid w:val="0073121D"/>
    <w:rsid w:val="007314F6"/>
    <w:rsid w:val="00731B0A"/>
    <w:rsid w:val="00731CCC"/>
    <w:rsid w:val="00731EAE"/>
    <w:rsid w:val="00731FF6"/>
    <w:rsid w:val="007329E5"/>
    <w:rsid w:val="00733073"/>
    <w:rsid w:val="00733B44"/>
    <w:rsid w:val="00734AE8"/>
    <w:rsid w:val="00734C1F"/>
    <w:rsid w:val="00734D34"/>
    <w:rsid w:val="00734E7A"/>
    <w:rsid w:val="00735033"/>
    <w:rsid w:val="00735328"/>
    <w:rsid w:val="00736625"/>
    <w:rsid w:val="00736788"/>
    <w:rsid w:val="0073685B"/>
    <w:rsid w:val="00736C3A"/>
    <w:rsid w:val="00740109"/>
    <w:rsid w:val="007402E2"/>
    <w:rsid w:val="007408A8"/>
    <w:rsid w:val="007413EB"/>
    <w:rsid w:val="007418D6"/>
    <w:rsid w:val="00741B1E"/>
    <w:rsid w:val="00742142"/>
    <w:rsid w:val="0074258C"/>
    <w:rsid w:val="007429F2"/>
    <w:rsid w:val="00742ABD"/>
    <w:rsid w:val="0074408C"/>
    <w:rsid w:val="0074431F"/>
    <w:rsid w:val="007447E7"/>
    <w:rsid w:val="007449BF"/>
    <w:rsid w:val="00745B62"/>
    <w:rsid w:val="00746212"/>
    <w:rsid w:val="00746BC0"/>
    <w:rsid w:val="00746E89"/>
    <w:rsid w:val="00746EDB"/>
    <w:rsid w:val="00747573"/>
    <w:rsid w:val="00747AB4"/>
    <w:rsid w:val="00747C61"/>
    <w:rsid w:val="00750367"/>
    <w:rsid w:val="0075099C"/>
    <w:rsid w:val="007510B4"/>
    <w:rsid w:val="007517D0"/>
    <w:rsid w:val="00751F65"/>
    <w:rsid w:val="00752142"/>
    <w:rsid w:val="007523F9"/>
    <w:rsid w:val="00752B71"/>
    <w:rsid w:val="0075309B"/>
    <w:rsid w:val="0075357E"/>
    <w:rsid w:val="0075406B"/>
    <w:rsid w:val="007543EE"/>
    <w:rsid w:val="0075522F"/>
    <w:rsid w:val="00755957"/>
    <w:rsid w:val="0075674F"/>
    <w:rsid w:val="00756A46"/>
    <w:rsid w:val="00756C96"/>
    <w:rsid w:val="007573D9"/>
    <w:rsid w:val="007573E8"/>
    <w:rsid w:val="00760293"/>
    <w:rsid w:val="00760C4E"/>
    <w:rsid w:val="00760F9E"/>
    <w:rsid w:val="007617A6"/>
    <w:rsid w:val="0076189C"/>
    <w:rsid w:val="007627BE"/>
    <w:rsid w:val="00763228"/>
    <w:rsid w:val="00763298"/>
    <w:rsid w:val="00763831"/>
    <w:rsid w:val="00764185"/>
    <w:rsid w:val="00764BF5"/>
    <w:rsid w:val="00764F03"/>
    <w:rsid w:val="007650C8"/>
    <w:rsid w:val="00765B1A"/>
    <w:rsid w:val="00766EED"/>
    <w:rsid w:val="0076789D"/>
    <w:rsid w:val="00767C1B"/>
    <w:rsid w:val="00767D86"/>
    <w:rsid w:val="00770162"/>
    <w:rsid w:val="00770437"/>
    <w:rsid w:val="00770851"/>
    <w:rsid w:val="00770D7A"/>
    <w:rsid w:val="007712F5"/>
    <w:rsid w:val="007717A7"/>
    <w:rsid w:val="00772D36"/>
    <w:rsid w:val="00772EBB"/>
    <w:rsid w:val="0077441E"/>
    <w:rsid w:val="00775247"/>
    <w:rsid w:val="007753B8"/>
    <w:rsid w:val="007758E3"/>
    <w:rsid w:val="00775BAF"/>
    <w:rsid w:val="00776149"/>
    <w:rsid w:val="007768D0"/>
    <w:rsid w:val="00777335"/>
    <w:rsid w:val="00777397"/>
    <w:rsid w:val="007777AB"/>
    <w:rsid w:val="00777982"/>
    <w:rsid w:val="00777C3B"/>
    <w:rsid w:val="00780E54"/>
    <w:rsid w:val="00780F08"/>
    <w:rsid w:val="0078162A"/>
    <w:rsid w:val="007819E4"/>
    <w:rsid w:val="00781A8D"/>
    <w:rsid w:val="00783470"/>
    <w:rsid w:val="007843F2"/>
    <w:rsid w:val="00784A67"/>
    <w:rsid w:val="00785A9F"/>
    <w:rsid w:val="00785BE8"/>
    <w:rsid w:val="007869BA"/>
    <w:rsid w:val="00787485"/>
    <w:rsid w:val="0079035D"/>
    <w:rsid w:val="0079081B"/>
    <w:rsid w:val="00790B83"/>
    <w:rsid w:val="00790C40"/>
    <w:rsid w:val="00791061"/>
    <w:rsid w:val="00791B64"/>
    <w:rsid w:val="00792194"/>
    <w:rsid w:val="00792305"/>
    <w:rsid w:val="007925DF"/>
    <w:rsid w:val="00792896"/>
    <w:rsid w:val="00792AF4"/>
    <w:rsid w:val="007933C3"/>
    <w:rsid w:val="007945B9"/>
    <w:rsid w:val="007947AC"/>
    <w:rsid w:val="00794FA5"/>
    <w:rsid w:val="00794FF5"/>
    <w:rsid w:val="0079576F"/>
    <w:rsid w:val="007958AA"/>
    <w:rsid w:val="007966D4"/>
    <w:rsid w:val="00796DC4"/>
    <w:rsid w:val="00797AC0"/>
    <w:rsid w:val="00797D03"/>
    <w:rsid w:val="00797FA9"/>
    <w:rsid w:val="007A08AA"/>
    <w:rsid w:val="007A0A12"/>
    <w:rsid w:val="007A132D"/>
    <w:rsid w:val="007A1345"/>
    <w:rsid w:val="007A23DA"/>
    <w:rsid w:val="007A28AA"/>
    <w:rsid w:val="007A2A18"/>
    <w:rsid w:val="007A2DDB"/>
    <w:rsid w:val="007A304B"/>
    <w:rsid w:val="007A31C1"/>
    <w:rsid w:val="007A3309"/>
    <w:rsid w:val="007A4262"/>
    <w:rsid w:val="007A506D"/>
    <w:rsid w:val="007A68BC"/>
    <w:rsid w:val="007A6FD4"/>
    <w:rsid w:val="007A70BA"/>
    <w:rsid w:val="007B0D68"/>
    <w:rsid w:val="007B24E0"/>
    <w:rsid w:val="007B251D"/>
    <w:rsid w:val="007B2E8D"/>
    <w:rsid w:val="007B2EEE"/>
    <w:rsid w:val="007B3CE3"/>
    <w:rsid w:val="007B4F58"/>
    <w:rsid w:val="007B5083"/>
    <w:rsid w:val="007B528D"/>
    <w:rsid w:val="007B5855"/>
    <w:rsid w:val="007B5908"/>
    <w:rsid w:val="007B63CA"/>
    <w:rsid w:val="007B6C16"/>
    <w:rsid w:val="007B7534"/>
    <w:rsid w:val="007B77D1"/>
    <w:rsid w:val="007B7B3E"/>
    <w:rsid w:val="007C026D"/>
    <w:rsid w:val="007C06CF"/>
    <w:rsid w:val="007C07C7"/>
    <w:rsid w:val="007C1CD9"/>
    <w:rsid w:val="007C27F7"/>
    <w:rsid w:val="007C32EF"/>
    <w:rsid w:val="007C361D"/>
    <w:rsid w:val="007C4B84"/>
    <w:rsid w:val="007C5360"/>
    <w:rsid w:val="007C55AB"/>
    <w:rsid w:val="007C6E3F"/>
    <w:rsid w:val="007C70FF"/>
    <w:rsid w:val="007C7C25"/>
    <w:rsid w:val="007C7E93"/>
    <w:rsid w:val="007D004F"/>
    <w:rsid w:val="007D0305"/>
    <w:rsid w:val="007D0B38"/>
    <w:rsid w:val="007D14BC"/>
    <w:rsid w:val="007D191A"/>
    <w:rsid w:val="007D24A3"/>
    <w:rsid w:val="007D24EE"/>
    <w:rsid w:val="007D4B9F"/>
    <w:rsid w:val="007D4BF0"/>
    <w:rsid w:val="007D50DB"/>
    <w:rsid w:val="007D5440"/>
    <w:rsid w:val="007D55EB"/>
    <w:rsid w:val="007D58D5"/>
    <w:rsid w:val="007D69EB"/>
    <w:rsid w:val="007D7C2D"/>
    <w:rsid w:val="007E0C67"/>
    <w:rsid w:val="007E128F"/>
    <w:rsid w:val="007E145C"/>
    <w:rsid w:val="007E2591"/>
    <w:rsid w:val="007E2BC4"/>
    <w:rsid w:val="007E2CE9"/>
    <w:rsid w:val="007E3202"/>
    <w:rsid w:val="007E36D2"/>
    <w:rsid w:val="007E40DA"/>
    <w:rsid w:val="007E492D"/>
    <w:rsid w:val="007E4932"/>
    <w:rsid w:val="007E6D07"/>
    <w:rsid w:val="007E7B2B"/>
    <w:rsid w:val="007F0BD8"/>
    <w:rsid w:val="007F1017"/>
    <w:rsid w:val="007F1315"/>
    <w:rsid w:val="007F1A37"/>
    <w:rsid w:val="007F20B3"/>
    <w:rsid w:val="007F2357"/>
    <w:rsid w:val="007F3EDF"/>
    <w:rsid w:val="007F48B4"/>
    <w:rsid w:val="007F4A3F"/>
    <w:rsid w:val="007F4A61"/>
    <w:rsid w:val="007F4D27"/>
    <w:rsid w:val="007F5255"/>
    <w:rsid w:val="007F548C"/>
    <w:rsid w:val="007F56CC"/>
    <w:rsid w:val="007F5B64"/>
    <w:rsid w:val="007F610F"/>
    <w:rsid w:val="007F61C2"/>
    <w:rsid w:val="007F6475"/>
    <w:rsid w:val="007F7A9C"/>
    <w:rsid w:val="007F7B66"/>
    <w:rsid w:val="00802419"/>
    <w:rsid w:val="00802BB0"/>
    <w:rsid w:val="00802E62"/>
    <w:rsid w:val="0080431D"/>
    <w:rsid w:val="00804A5B"/>
    <w:rsid w:val="00805142"/>
    <w:rsid w:val="0080530B"/>
    <w:rsid w:val="00805EB2"/>
    <w:rsid w:val="00805FCE"/>
    <w:rsid w:val="00806AE4"/>
    <w:rsid w:val="008078EB"/>
    <w:rsid w:val="00807A59"/>
    <w:rsid w:val="00807A8B"/>
    <w:rsid w:val="00807CCE"/>
    <w:rsid w:val="00807ED6"/>
    <w:rsid w:val="00807FA2"/>
    <w:rsid w:val="00810624"/>
    <w:rsid w:val="008109DA"/>
    <w:rsid w:val="00810CFF"/>
    <w:rsid w:val="00811383"/>
    <w:rsid w:val="00811B3F"/>
    <w:rsid w:val="00812149"/>
    <w:rsid w:val="008122E9"/>
    <w:rsid w:val="00812A76"/>
    <w:rsid w:val="00812CAC"/>
    <w:rsid w:val="0081344B"/>
    <w:rsid w:val="00813527"/>
    <w:rsid w:val="008138F8"/>
    <w:rsid w:val="00813A24"/>
    <w:rsid w:val="0081402C"/>
    <w:rsid w:val="0081408B"/>
    <w:rsid w:val="008144CD"/>
    <w:rsid w:val="0081488E"/>
    <w:rsid w:val="00814A1B"/>
    <w:rsid w:val="00815B02"/>
    <w:rsid w:val="00816361"/>
    <w:rsid w:val="008166EF"/>
    <w:rsid w:val="00816AAF"/>
    <w:rsid w:val="00816C70"/>
    <w:rsid w:val="00816FEF"/>
    <w:rsid w:val="00820A8C"/>
    <w:rsid w:val="008215FB"/>
    <w:rsid w:val="00821641"/>
    <w:rsid w:val="00821B38"/>
    <w:rsid w:val="00823174"/>
    <w:rsid w:val="008231F7"/>
    <w:rsid w:val="00823D92"/>
    <w:rsid w:val="008247BD"/>
    <w:rsid w:val="00824A4D"/>
    <w:rsid w:val="00825219"/>
    <w:rsid w:val="00825751"/>
    <w:rsid w:val="00825BE6"/>
    <w:rsid w:val="008264EB"/>
    <w:rsid w:val="00826D6C"/>
    <w:rsid w:val="00826FA0"/>
    <w:rsid w:val="00827ECA"/>
    <w:rsid w:val="00830117"/>
    <w:rsid w:val="008301E5"/>
    <w:rsid w:val="008319A3"/>
    <w:rsid w:val="00831AF1"/>
    <w:rsid w:val="00831ECE"/>
    <w:rsid w:val="008335B0"/>
    <w:rsid w:val="0083387C"/>
    <w:rsid w:val="00833B05"/>
    <w:rsid w:val="00833ED7"/>
    <w:rsid w:val="00833F60"/>
    <w:rsid w:val="00834348"/>
    <w:rsid w:val="008352D5"/>
    <w:rsid w:val="00835405"/>
    <w:rsid w:val="00835CE9"/>
    <w:rsid w:val="008362B4"/>
    <w:rsid w:val="00837FA1"/>
    <w:rsid w:val="0084054D"/>
    <w:rsid w:val="0084065E"/>
    <w:rsid w:val="00840758"/>
    <w:rsid w:val="00840CA2"/>
    <w:rsid w:val="00840EB7"/>
    <w:rsid w:val="00841337"/>
    <w:rsid w:val="008419DA"/>
    <w:rsid w:val="00841DDC"/>
    <w:rsid w:val="00841EE1"/>
    <w:rsid w:val="00842100"/>
    <w:rsid w:val="0084220E"/>
    <w:rsid w:val="0084274D"/>
    <w:rsid w:val="00842E55"/>
    <w:rsid w:val="008435DA"/>
    <w:rsid w:val="0084374F"/>
    <w:rsid w:val="008442AE"/>
    <w:rsid w:val="0084492C"/>
    <w:rsid w:val="00844A22"/>
    <w:rsid w:val="00845983"/>
    <w:rsid w:val="00845B08"/>
    <w:rsid w:val="008465EA"/>
    <w:rsid w:val="00846EA7"/>
    <w:rsid w:val="00846FBC"/>
    <w:rsid w:val="00847467"/>
    <w:rsid w:val="00847703"/>
    <w:rsid w:val="00847DF5"/>
    <w:rsid w:val="008504E5"/>
    <w:rsid w:val="008513B1"/>
    <w:rsid w:val="00851453"/>
    <w:rsid w:val="00851CD6"/>
    <w:rsid w:val="00851D14"/>
    <w:rsid w:val="00851DED"/>
    <w:rsid w:val="008524D6"/>
    <w:rsid w:val="00852CCF"/>
    <w:rsid w:val="0085309D"/>
    <w:rsid w:val="0085315E"/>
    <w:rsid w:val="00854066"/>
    <w:rsid w:val="00854CB9"/>
    <w:rsid w:val="00854DDF"/>
    <w:rsid w:val="00854F72"/>
    <w:rsid w:val="0085625E"/>
    <w:rsid w:val="00856897"/>
    <w:rsid w:val="00856AF5"/>
    <w:rsid w:val="00856E9A"/>
    <w:rsid w:val="008572C9"/>
    <w:rsid w:val="00857948"/>
    <w:rsid w:val="00857D2C"/>
    <w:rsid w:val="00860180"/>
    <w:rsid w:val="00860431"/>
    <w:rsid w:val="0086075D"/>
    <w:rsid w:val="008608DF"/>
    <w:rsid w:val="00862502"/>
    <w:rsid w:val="00862595"/>
    <w:rsid w:val="00862CC1"/>
    <w:rsid w:val="008638DE"/>
    <w:rsid w:val="008660D4"/>
    <w:rsid w:val="00866512"/>
    <w:rsid w:val="008668E3"/>
    <w:rsid w:val="008704A6"/>
    <w:rsid w:val="00870695"/>
    <w:rsid w:val="00870A4B"/>
    <w:rsid w:val="00871069"/>
    <w:rsid w:val="008716B9"/>
    <w:rsid w:val="00871FA9"/>
    <w:rsid w:val="00872627"/>
    <w:rsid w:val="008728E9"/>
    <w:rsid w:val="00872C20"/>
    <w:rsid w:val="00873712"/>
    <w:rsid w:val="00874558"/>
    <w:rsid w:val="00874980"/>
    <w:rsid w:val="00874C90"/>
    <w:rsid w:val="0087595C"/>
    <w:rsid w:val="00875E44"/>
    <w:rsid w:val="008763B9"/>
    <w:rsid w:val="00877259"/>
    <w:rsid w:val="0087769D"/>
    <w:rsid w:val="0087783C"/>
    <w:rsid w:val="00877DE2"/>
    <w:rsid w:val="008805DE"/>
    <w:rsid w:val="00880DAE"/>
    <w:rsid w:val="00881AAB"/>
    <w:rsid w:val="00881EA2"/>
    <w:rsid w:val="00882077"/>
    <w:rsid w:val="008824F7"/>
    <w:rsid w:val="00882874"/>
    <w:rsid w:val="00882E3C"/>
    <w:rsid w:val="00882EA4"/>
    <w:rsid w:val="00883110"/>
    <w:rsid w:val="00883787"/>
    <w:rsid w:val="00884241"/>
    <w:rsid w:val="00884458"/>
    <w:rsid w:val="008844A6"/>
    <w:rsid w:val="00884850"/>
    <w:rsid w:val="008855E4"/>
    <w:rsid w:val="008856D1"/>
    <w:rsid w:val="00885963"/>
    <w:rsid w:val="00885A92"/>
    <w:rsid w:val="008861EA"/>
    <w:rsid w:val="00886603"/>
    <w:rsid w:val="00886CD2"/>
    <w:rsid w:val="00887249"/>
    <w:rsid w:val="00887295"/>
    <w:rsid w:val="00887E19"/>
    <w:rsid w:val="008908C7"/>
    <w:rsid w:val="00890CC6"/>
    <w:rsid w:val="00891E6F"/>
    <w:rsid w:val="00891FFE"/>
    <w:rsid w:val="0089275D"/>
    <w:rsid w:val="00892A36"/>
    <w:rsid w:val="00893239"/>
    <w:rsid w:val="00893310"/>
    <w:rsid w:val="0089362F"/>
    <w:rsid w:val="008936F1"/>
    <w:rsid w:val="00894489"/>
    <w:rsid w:val="00894C89"/>
    <w:rsid w:val="00895B47"/>
    <w:rsid w:val="008963A5"/>
    <w:rsid w:val="0089649E"/>
    <w:rsid w:val="008969EB"/>
    <w:rsid w:val="00896D5D"/>
    <w:rsid w:val="00897822"/>
    <w:rsid w:val="00897A18"/>
    <w:rsid w:val="008A0349"/>
    <w:rsid w:val="008A03BE"/>
    <w:rsid w:val="008A0BED"/>
    <w:rsid w:val="008A0DE7"/>
    <w:rsid w:val="008A13F1"/>
    <w:rsid w:val="008A1412"/>
    <w:rsid w:val="008A3130"/>
    <w:rsid w:val="008A3363"/>
    <w:rsid w:val="008A3371"/>
    <w:rsid w:val="008A33B0"/>
    <w:rsid w:val="008A3596"/>
    <w:rsid w:val="008A3A97"/>
    <w:rsid w:val="008A3C26"/>
    <w:rsid w:val="008A3C3E"/>
    <w:rsid w:val="008A4CA2"/>
    <w:rsid w:val="008A4DF1"/>
    <w:rsid w:val="008A5049"/>
    <w:rsid w:val="008A5209"/>
    <w:rsid w:val="008A5B4A"/>
    <w:rsid w:val="008A5EF9"/>
    <w:rsid w:val="008A70E3"/>
    <w:rsid w:val="008A77F3"/>
    <w:rsid w:val="008A79DE"/>
    <w:rsid w:val="008A7D13"/>
    <w:rsid w:val="008A7DEC"/>
    <w:rsid w:val="008B0738"/>
    <w:rsid w:val="008B0AE5"/>
    <w:rsid w:val="008B15CA"/>
    <w:rsid w:val="008B1757"/>
    <w:rsid w:val="008B1CBC"/>
    <w:rsid w:val="008B2DB7"/>
    <w:rsid w:val="008B2F56"/>
    <w:rsid w:val="008B372E"/>
    <w:rsid w:val="008B5D59"/>
    <w:rsid w:val="008B61F2"/>
    <w:rsid w:val="008B6D3F"/>
    <w:rsid w:val="008B78A9"/>
    <w:rsid w:val="008B7992"/>
    <w:rsid w:val="008B7D7E"/>
    <w:rsid w:val="008C09A5"/>
    <w:rsid w:val="008C145F"/>
    <w:rsid w:val="008C20EA"/>
    <w:rsid w:val="008C2390"/>
    <w:rsid w:val="008C2EE7"/>
    <w:rsid w:val="008C35EE"/>
    <w:rsid w:val="008C36E3"/>
    <w:rsid w:val="008C3BC0"/>
    <w:rsid w:val="008C506E"/>
    <w:rsid w:val="008C54FC"/>
    <w:rsid w:val="008C5610"/>
    <w:rsid w:val="008C5739"/>
    <w:rsid w:val="008C5E48"/>
    <w:rsid w:val="008C6BE1"/>
    <w:rsid w:val="008C7A10"/>
    <w:rsid w:val="008C7ECB"/>
    <w:rsid w:val="008D10C1"/>
    <w:rsid w:val="008D1984"/>
    <w:rsid w:val="008D2442"/>
    <w:rsid w:val="008D2917"/>
    <w:rsid w:val="008D2C57"/>
    <w:rsid w:val="008D2F9F"/>
    <w:rsid w:val="008D3235"/>
    <w:rsid w:val="008D3854"/>
    <w:rsid w:val="008D3B86"/>
    <w:rsid w:val="008D4755"/>
    <w:rsid w:val="008D4C3D"/>
    <w:rsid w:val="008D4D6C"/>
    <w:rsid w:val="008D624E"/>
    <w:rsid w:val="008D743C"/>
    <w:rsid w:val="008D7778"/>
    <w:rsid w:val="008D7782"/>
    <w:rsid w:val="008D77AA"/>
    <w:rsid w:val="008D7C53"/>
    <w:rsid w:val="008E08FF"/>
    <w:rsid w:val="008E0D3C"/>
    <w:rsid w:val="008E10DE"/>
    <w:rsid w:val="008E10E4"/>
    <w:rsid w:val="008E1B80"/>
    <w:rsid w:val="008E1B9E"/>
    <w:rsid w:val="008E2EB2"/>
    <w:rsid w:val="008E3953"/>
    <w:rsid w:val="008E41AD"/>
    <w:rsid w:val="008E4CE2"/>
    <w:rsid w:val="008E53AC"/>
    <w:rsid w:val="008E55AB"/>
    <w:rsid w:val="008E7000"/>
    <w:rsid w:val="008E79A4"/>
    <w:rsid w:val="008E7B93"/>
    <w:rsid w:val="008E7DF5"/>
    <w:rsid w:val="008F02BD"/>
    <w:rsid w:val="008F120A"/>
    <w:rsid w:val="008F1648"/>
    <w:rsid w:val="008F17DD"/>
    <w:rsid w:val="008F1921"/>
    <w:rsid w:val="008F27E0"/>
    <w:rsid w:val="008F2FDD"/>
    <w:rsid w:val="008F39DE"/>
    <w:rsid w:val="008F3CEC"/>
    <w:rsid w:val="008F4723"/>
    <w:rsid w:val="008F48EB"/>
    <w:rsid w:val="008F4F0B"/>
    <w:rsid w:val="008F4F33"/>
    <w:rsid w:val="008F5817"/>
    <w:rsid w:val="008F7247"/>
    <w:rsid w:val="008F76D7"/>
    <w:rsid w:val="008F78CD"/>
    <w:rsid w:val="008F7AAB"/>
    <w:rsid w:val="008F7DB1"/>
    <w:rsid w:val="00900861"/>
    <w:rsid w:val="00900A8D"/>
    <w:rsid w:val="00900FFC"/>
    <w:rsid w:val="0090103F"/>
    <w:rsid w:val="00901F19"/>
    <w:rsid w:val="00902871"/>
    <w:rsid w:val="009046C4"/>
    <w:rsid w:val="00904E5C"/>
    <w:rsid w:val="00904EE9"/>
    <w:rsid w:val="00905072"/>
    <w:rsid w:val="00905E9A"/>
    <w:rsid w:val="00905F70"/>
    <w:rsid w:val="00906244"/>
    <w:rsid w:val="009062A5"/>
    <w:rsid w:val="00906724"/>
    <w:rsid w:val="009068CF"/>
    <w:rsid w:val="00907F9A"/>
    <w:rsid w:val="00910207"/>
    <w:rsid w:val="00910BD1"/>
    <w:rsid w:val="00910FA7"/>
    <w:rsid w:val="00911272"/>
    <w:rsid w:val="009119F5"/>
    <w:rsid w:val="009135D6"/>
    <w:rsid w:val="0091426B"/>
    <w:rsid w:val="0091432D"/>
    <w:rsid w:val="00914C77"/>
    <w:rsid w:val="009156C4"/>
    <w:rsid w:val="00915D43"/>
    <w:rsid w:val="00916504"/>
    <w:rsid w:val="00916674"/>
    <w:rsid w:val="00916680"/>
    <w:rsid w:val="00917675"/>
    <w:rsid w:val="00917CA9"/>
    <w:rsid w:val="00920F8E"/>
    <w:rsid w:val="00921ACB"/>
    <w:rsid w:val="00921C2C"/>
    <w:rsid w:val="00921D88"/>
    <w:rsid w:val="00922D29"/>
    <w:rsid w:val="00923357"/>
    <w:rsid w:val="0092347A"/>
    <w:rsid w:val="0092369B"/>
    <w:rsid w:val="009251F4"/>
    <w:rsid w:val="00925C65"/>
    <w:rsid w:val="00925EF6"/>
    <w:rsid w:val="00925F0F"/>
    <w:rsid w:val="00925F31"/>
    <w:rsid w:val="00926C8C"/>
    <w:rsid w:val="0093053D"/>
    <w:rsid w:val="009318B6"/>
    <w:rsid w:val="00932840"/>
    <w:rsid w:val="00932CFC"/>
    <w:rsid w:val="00934024"/>
    <w:rsid w:val="00934988"/>
    <w:rsid w:val="00937089"/>
    <w:rsid w:val="00941551"/>
    <w:rsid w:val="0094183F"/>
    <w:rsid w:val="0094193B"/>
    <w:rsid w:val="00942A60"/>
    <w:rsid w:val="00942E3C"/>
    <w:rsid w:val="0094309E"/>
    <w:rsid w:val="00943246"/>
    <w:rsid w:val="00943C13"/>
    <w:rsid w:val="00944551"/>
    <w:rsid w:val="00944EEA"/>
    <w:rsid w:val="00944F8A"/>
    <w:rsid w:val="00945009"/>
    <w:rsid w:val="00945294"/>
    <w:rsid w:val="00945CBC"/>
    <w:rsid w:val="00946618"/>
    <w:rsid w:val="009473E6"/>
    <w:rsid w:val="009473EA"/>
    <w:rsid w:val="00950ADD"/>
    <w:rsid w:val="00950C78"/>
    <w:rsid w:val="009510A2"/>
    <w:rsid w:val="00952393"/>
    <w:rsid w:val="00953257"/>
    <w:rsid w:val="009532F3"/>
    <w:rsid w:val="00954440"/>
    <w:rsid w:val="0095474C"/>
    <w:rsid w:val="00954C2D"/>
    <w:rsid w:val="00955048"/>
    <w:rsid w:val="00956BD7"/>
    <w:rsid w:val="00957F37"/>
    <w:rsid w:val="0096048F"/>
    <w:rsid w:val="00961C69"/>
    <w:rsid w:val="00962CB9"/>
    <w:rsid w:val="00963A03"/>
    <w:rsid w:val="00963CCB"/>
    <w:rsid w:val="00964312"/>
    <w:rsid w:val="00964850"/>
    <w:rsid w:val="00965076"/>
    <w:rsid w:val="00965B6C"/>
    <w:rsid w:val="00965B8A"/>
    <w:rsid w:val="00966A37"/>
    <w:rsid w:val="00966CAD"/>
    <w:rsid w:val="00970260"/>
    <w:rsid w:val="0097041D"/>
    <w:rsid w:val="0097071F"/>
    <w:rsid w:val="00970E87"/>
    <w:rsid w:val="009711F7"/>
    <w:rsid w:val="009717AC"/>
    <w:rsid w:val="00971D0A"/>
    <w:rsid w:val="00971EF4"/>
    <w:rsid w:val="0097251D"/>
    <w:rsid w:val="0097282C"/>
    <w:rsid w:val="00973520"/>
    <w:rsid w:val="00973B62"/>
    <w:rsid w:val="00974701"/>
    <w:rsid w:val="00974913"/>
    <w:rsid w:val="009751C1"/>
    <w:rsid w:val="00976257"/>
    <w:rsid w:val="00976A89"/>
    <w:rsid w:val="0098078B"/>
    <w:rsid w:val="00980A47"/>
    <w:rsid w:val="00980A82"/>
    <w:rsid w:val="009811F1"/>
    <w:rsid w:val="00982BFA"/>
    <w:rsid w:val="00982EC0"/>
    <w:rsid w:val="00982EC8"/>
    <w:rsid w:val="00983E57"/>
    <w:rsid w:val="00984787"/>
    <w:rsid w:val="0098548D"/>
    <w:rsid w:val="009854F8"/>
    <w:rsid w:val="00985DE2"/>
    <w:rsid w:val="0098675D"/>
    <w:rsid w:val="00987DBF"/>
    <w:rsid w:val="00987F08"/>
    <w:rsid w:val="009904C2"/>
    <w:rsid w:val="00990A69"/>
    <w:rsid w:val="00990C31"/>
    <w:rsid w:val="00991729"/>
    <w:rsid w:val="009919CA"/>
    <w:rsid w:val="00991D49"/>
    <w:rsid w:val="0099224B"/>
    <w:rsid w:val="009926E0"/>
    <w:rsid w:val="00992EFE"/>
    <w:rsid w:val="00992F79"/>
    <w:rsid w:val="00993549"/>
    <w:rsid w:val="00993D5E"/>
    <w:rsid w:val="0099451E"/>
    <w:rsid w:val="0099550E"/>
    <w:rsid w:val="00995558"/>
    <w:rsid w:val="009961A6"/>
    <w:rsid w:val="009964DE"/>
    <w:rsid w:val="00996B1A"/>
    <w:rsid w:val="00997639"/>
    <w:rsid w:val="009A0BAA"/>
    <w:rsid w:val="009A2DCC"/>
    <w:rsid w:val="009A3683"/>
    <w:rsid w:val="009A3C6C"/>
    <w:rsid w:val="009A44CE"/>
    <w:rsid w:val="009A5A7C"/>
    <w:rsid w:val="009A5ABC"/>
    <w:rsid w:val="009A61A0"/>
    <w:rsid w:val="009A7F10"/>
    <w:rsid w:val="009A7FFE"/>
    <w:rsid w:val="009B0E9C"/>
    <w:rsid w:val="009B0FD4"/>
    <w:rsid w:val="009B10A4"/>
    <w:rsid w:val="009B1587"/>
    <w:rsid w:val="009B17FD"/>
    <w:rsid w:val="009B1D78"/>
    <w:rsid w:val="009B2212"/>
    <w:rsid w:val="009B2366"/>
    <w:rsid w:val="009B2374"/>
    <w:rsid w:val="009B31FD"/>
    <w:rsid w:val="009B336B"/>
    <w:rsid w:val="009B3E26"/>
    <w:rsid w:val="009B4657"/>
    <w:rsid w:val="009B4710"/>
    <w:rsid w:val="009B47CA"/>
    <w:rsid w:val="009B499C"/>
    <w:rsid w:val="009B5345"/>
    <w:rsid w:val="009B572E"/>
    <w:rsid w:val="009B6138"/>
    <w:rsid w:val="009B7338"/>
    <w:rsid w:val="009B7592"/>
    <w:rsid w:val="009C0010"/>
    <w:rsid w:val="009C0B4F"/>
    <w:rsid w:val="009C1396"/>
    <w:rsid w:val="009C13B3"/>
    <w:rsid w:val="009C13DB"/>
    <w:rsid w:val="009C1498"/>
    <w:rsid w:val="009C158F"/>
    <w:rsid w:val="009C3706"/>
    <w:rsid w:val="009C3A3A"/>
    <w:rsid w:val="009C4EE2"/>
    <w:rsid w:val="009C5F85"/>
    <w:rsid w:val="009C630F"/>
    <w:rsid w:val="009C6CEA"/>
    <w:rsid w:val="009C7B85"/>
    <w:rsid w:val="009C7D8C"/>
    <w:rsid w:val="009D0254"/>
    <w:rsid w:val="009D089C"/>
    <w:rsid w:val="009D0BB5"/>
    <w:rsid w:val="009D0DC8"/>
    <w:rsid w:val="009D0F82"/>
    <w:rsid w:val="009D102E"/>
    <w:rsid w:val="009D1A64"/>
    <w:rsid w:val="009D1F74"/>
    <w:rsid w:val="009D307A"/>
    <w:rsid w:val="009D3949"/>
    <w:rsid w:val="009D3C7E"/>
    <w:rsid w:val="009D4091"/>
    <w:rsid w:val="009D44EA"/>
    <w:rsid w:val="009D4C3F"/>
    <w:rsid w:val="009D52F7"/>
    <w:rsid w:val="009D5B91"/>
    <w:rsid w:val="009D5E83"/>
    <w:rsid w:val="009D792E"/>
    <w:rsid w:val="009D7B45"/>
    <w:rsid w:val="009E00FD"/>
    <w:rsid w:val="009E0427"/>
    <w:rsid w:val="009E08DA"/>
    <w:rsid w:val="009E08F2"/>
    <w:rsid w:val="009E0DFE"/>
    <w:rsid w:val="009E317C"/>
    <w:rsid w:val="009E31F6"/>
    <w:rsid w:val="009E4C07"/>
    <w:rsid w:val="009E4D59"/>
    <w:rsid w:val="009E626A"/>
    <w:rsid w:val="009E6D83"/>
    <w:rsid w:val="009E6DC6"/>
    <w:rsid w:val="009E72B0"/>
    <w:rsid w:val="009E7505"/>
    <w:rsid w:val="009E7A81"/>
    <w:rsid w:val="009F068A"/>
    <w:rsid w:val="009F144D"/>
    <w:rsid w:val="009F1CA6"/>
    <w:rsid w:val="009F3209"/>
    <w:rsid w:val="009F3919"/>
    <w:rsid w:val="009F4848"/>
    <w:rsid w:val="009F538B"/>
    <w:rsid w:val="009F54D9"/>
    <w:rsid w:val="009F5B75"/>
    <w:rsid w:val="009F72A8"/>
    <w:rsid w:val="009F7F88"/>
    <w:rsid w:val="00A0002C"/>
    <w:rsid w:val="00A0051C"/>
    <w:rsid w:val="00A0063A"/>
    <w:rsid w:val="00A00DED"/>
    <w:rsid w:val="00A01174"/>
    <w:rsid w:val="00A01184"/>
    <w:rsid w:val="00A013F2"/>
    <w:rsid w:val="00A019D6"/>
    <w:rsid w:val="00A037C2"/>
    <w:rsid w:val="00A038A2"/>
    <w:rsid w:val="00A03D43"/>
    <w:rsid w:val="00A04380"/>
    <w:rsid w:val="00A045BA"/>
    <w:rsid w:val="00A050E2"/>
    <w:rsid w:val="00A05472"/>
    <w:rsid w:val="00A05C32"/>
    <w:rsid w:val="00A0653F"/>
    <w:rsid w:val="00A070E0"/>
    <w:rsid w:val="00A0744E"/>
    <w:rsid w:val="00A07EF7"/>
    <w:rsid w:val="00A110C8"/>
    <w:rsid w:val="00A11618"/>
    <w:rsid w:val="00A1172D"/>
    <w:rsid w:val="00A11AF3"/>
    <w:rsid w:val="00A11C5E"/>
    <w:rsid w:val="00A11C60"/>
    <w:rsid w:val="00A11C95"/>
    <w:rsid w:val="00A11CD0"/>
    <w:rsid w:val="00A13948"/>
    <w:rsid w:val="00A14415"/>
    <w:rsid w:val="00A14AE8"/>
    <w:rsid w:val="00A1555B"/>
    <w:rsid w:val="00A155C5"/>
    <w:rsid w:val="00A16AD8"/>
    <w:rsid w:val="00A16FC7"/>
    <w:rsid w:val="00A2060C"/>
    <w:rsid w:val="00A20648"/>
    <w:rsid w:val="00A21704"/>
    <w:rsid w:val="00A21C95"/>
    <w:rsid w:val="00A21CF3"/>
    <w:rsid w:val="00A22E81"/>
    <w:rsid w:val="00A22F5E"/>
    <w:rsid w:val="00A22FF3"/>
    <w:rsid w:val="00A247FC"/>
    <w:rsid w:val="00A24813"/>
    <w:rsid w:val="00A2571A"/>
    <w:rsid w:val="00A26B86"/>
    <w:rsid w:val="00A26BC2"/>
    <w:rsid w:val="00A26D5D"/>
    <w:rsid w:val="00A276F6"/>
    <w:rsid w:val="00A27AEC"/>
    <w:rsid w:val="00A27DE5"/>
    <w:rsid w:val="00A27F1C"/>
    <w:rsid w:val="00A307CC"/>
    <w:rsid w:val="00A31A97"/>
    <w:rsid w:val="00A31DBD"/>
    <w:rsid w:val="00A320DB"/>
    <w:rsid w:val="00A345D4"/>
    <w:rsid w:val="00A357B4"/>
    <w:rsid w:val="00A35D16"/>
    <w:rsid w:val="00A37AC2"/>
    <w:rsid w:val="00A37BCD"/>
    <w:rsid w:val="00A37F82"/>
    <w:rsid w:val="00A410A2"/>
    <w:rsid w:val="00A41689"/>
    <w:rsid w:val="00A41A30"/>
    <w:rsid w:val="00A42538"/>
    <w:rsid w:val="00A42592"/>
    <w:rsid w:val="00A43C59"/>
    <w:rsid w:val="00A44433"/>
    <w:rsid w:val="00A45405"/>
    <w:rsid w:val="00A45915"/>
    <w:rsid w:val="00A47D2F"/>
    <w:rsid w:val="00A47EAD"/>
    <w:rsid w:val="00A50626"/>
    <w:rsid w:val="00A50ECD"/>
    <w:rsid w:val="00A518F3"/>
    <w:rsid w:val="00A52729"/>
    <w:rsid w:val="00A52781"/>
    <w:rsid w:val="00A53675"/>
    <w:rsid w:val="00A53FBF"/>
    <w:rsid w:val="00A54C6B"/>
    <w:rsid w:val="00A54F5D"/>
    <w:rsid w:val="00A55A82"/>
    <w:rsid w:val="00A55B32"/>
    <w:rsid w:val="00A564D7"/>
    <w:rsid w:val="00A56B6A"/>
    <w:rsid w:val="00A578DC"/>
    <w:rsid w:val="00A60467"/>
    <w:rsid w:val="00A6189E"/>
    <w:rsid w:val="00A61D5C"/>
    <w:rsid w:val="00A622D6"/>
    <w:rsid w:val="00A6279B"/>
    <w:rsid w:val="00A62DE3"/>
    <w:rsid w:val="00A637BC"/>
    <w:rsid w:val="00A63DCD"/>
    <w:rsid w:val="00A640E2"/>
    <w:rsid w:val="00A64D65"/>
    <w:rsid w:val="00A66B47"/>
    <w:rsid w:val="00A6725B"/>
    <w:rsid w:val="00A6750C"/>
    <w:rsid w:val="00A67611"/>
    <w:rsid w:val="00A67B51"/>
    <w:rsid w:val="00A67DF5"/>
    <w:rsid w:val="00A67F14"/>
    <w:rsid w:val="00A67FB3"/>
    <w:rsid w:val="00A70605"/>
    <w:rsid w:val="00A71123"/>
    <w:rsid w:val="00A72049"/>
    <w:rsid w:val="00A7222E"/>
    <w:rsid w:val="00A72A05"/>
    <w:rsid w:val="00A73134"/>
    <w:rsid w:val="00A7368C"/>
    <w:rsid w:val="00A73A08"/>
    <w:rsid w:val="00A7400A"/>
    <w:rsid w:val="00A74BE6"/>
    <w:rsid w:val="00A7569B"/>
    <w:rsid w:val="00A757AD"/>
    <w:rsid w:val="00A76001"/>
    <w:rsid w:val="00A76221"/>
    <w:rsid w:val="00A7733D"/>
    <w:rsid w:val="00A7761F"/>
    <w:rsid w:val="00A777B2"/>
    <w:rsid w:val="00A801F7"/>
    <w:rsid w:val="00A804D3"/>
    <w:rsid w:val="00A822D1"/>
    <w:rsid w:val="00A822FA"/>
    <w:rsid w:val="00A8258D"/>
    <w:rsid w:val="00A825D4"/>
    <w:rsid w:val="00A828F6"/>
    <w:rsid w:val="00A82B73"/>
    <w:rsid w:val="00A839FF"/>
    <w:rsid w:val="00A84785"/>
    <w:rsid w:val="00A84816"/>
    <w:rsid w:val="00A85C40"/>
    <w:rsid w:val="00A85DC6"/>
    <w:rsid w:val="00A863F7"/>
    <w:rsid w:val="00A8674F"/>
    <w:rsid w:val="00A86E19"/>
    <w:rsid w:val="00A86E8B"/>
    <w:rsid w:val="00A87164"/>
    <w:rsid w:val="00A87565"/>
    <w:rsid w:val="00A907E7"/>
    <w:rsid w:val="00A90B27"/>
    <w:rsid w:val="00A90C5A"/>
    <w:rsid w:val="00A90FE2"/>
    <w:rsid w:val="00A929FB"/>
    <w:rsid w:val="00A92CC3"/>
    <w:rsid w:val="00A92E04"/>
    <w:rsid w:val="00A93072"/>
    <w:rsid w:val="00A936CF"/>
    <w:rsid w:val="00A938BD"/>
    <w:rsid w:val="00A93953"/>
    <w:rsid w:val="00A95034"/>
    <w:rsid w:val="00A95226"/>
    <w:rsid w:val="00A95871"/>
    <w:rsid w:val="00A958F0"/>
    <w:rsid w:val="00A959D8"/>
    <w:rsid w:val="00A95D44"/>
    <w:rsid w:val="00A95FE0"/>
    <w:rsid w:val="00A96A7F"/>
    <w:rsid w:val="00A97E3A"/>
    <w:rsid w:val="00AA0381"/>
    <w:rsid w:val="00AA113D"/>
    <w:rsid w:val="00AA1DB5"/>
    <w:rsid w:val="00AA202D"/>
    <w:rsid w:val="00AA25C7"/>
    <w:rsid w:val="00AA2C90"/>
    <w:rsid w:val="00AA512C"/>
    <w:rsid w:val="00AA54C2"/>
    <w:rsid w:val="00AA573D"/>
    <w:rsid w:val="00AA5858"/>
    <w:rsid w:val="00AA6BD5"/>
    <w:rsid w:val="00AA6BD8"/>
    <w:rsid w:val="00AA6C7D"/>
    <w:rsid w:val="00AA740E"/>
    <w:rsid w:val="00AA7FD6"/>
    <w:rsid w:val="00AB0189"/>
    <w:rsid w:val="00AB042A"/>
    <w:rsid w:val="00AB05C2"/>
    <w:rsid w:val="00AB19EF"/>
    <w:rsid w:val="00AB24D3"/>
    <w:rsid w:val="00AB2D34"/>
    <w:rsid w:val="00AB3430"/>
    <w:rsid w:val="00AB37B9"/>
    <w:rsid w:val="00AB3ED6"/>
    <w:rsid w:val="00AB42DD"/>
    <w:rsid w:val="00AB4560"/>
    <w:rsid w:val="00AB4AD1"/>
    <w:rsid w:val="00AB50E9"/>
    <w:rsid w:val="00AB5A94"/>
    <w:rsid w:val="00AB5E07"/>
    <w:rsid w:val="00AB7A5A"/>
    <w:rsid w:val="00AB7CFA"/>
    <w:rsid w:val="00AC0F64"/>
    <w:rsid w:val="00AC1EE7"/>
    <w:rsid w:val="00AC25B1"/>
    <w:rsid w:val="00AC2AE2"/>
    <w:rsid w:val="00AC306E"/>
    <w:rsid w:val="00AC35BD"/>
    <w:rsid w:val="00AC3912"/>
    <w:rsid w:val="00AC4DCC"/>
    <w:rsid w:val="00AC5275"/>
    <w:rsid w:val="00AC53AF"/>
    <w:rsid w:val="00AC5B48"/>
    <w:rsid w:val="00AC60DC"/>
    <w:rsid w:val="00AC619E"/>
    <w:rsid w:val="00AC7C87"/>
    <w:rsid w:val="00AD1018"/>
    <w:rsid w:val="00AD1450"/>
    <w:rsid w:val="00AD154A"/>
    <w:rsid w:val="00AD1938"/>
    <w:rsid w:val="00AD28B8"/>
    <w:rsid w:val="00AD2E1A"/>
    <w:rsid w:val="00AD41C1"/>
    <w:rsid w:val="00AD4A62"/>
    <w:rsid w:val="00AD4C4B"/>
    <w:rsid w:val="00AD4E20"/>
    <w:rsid w:val="00AD4F96"/>
    <w:rsid w:val="00AD506F"/>
    <w:rsid w:val="00AD5329"/>
    <w:rsid w:val="00AD5F3A"/>
    <w:rsid w:val="00AD61BA"/>
    <w:rsid w:val="00AD62F3"/>
    <w:rsid w:val="00AD646C"/>
    <w:rsid w:val="00AD6502"/>
    <w:rsid w:val="00AD73A9"/>
    <w:rsid w:val="00AE0175"/>
    <w:rsid w:val="00AE01C3"/>
    <w:rsid w:val="00AE0695"/>
    <w:rsid w:val="00AE07C4"/>
    <w:rsid w:val="00AE1A5A"/>
    <w:rsid w:val="00AE1F17"/>
    <w:rsid w:val="00AE1F9E"/>
    <w:rsid w:val="00AE2193"/>
    <w:rsid w:val="00AE2959"/>
    <w:rsid w:val="00AE2A1D"/>
    <w:rsid w:val="00AE2A35"/>
    <w:rsid w:val="00AE33A1"/>
    <w:rsid w:val="00AE3E7E"/>
    <w:rsid w:val="00AE4E42"/>
    <w:rsid w:val="00AE62C4"/>
    <w:rsid w:val="00AE674D"/>
    <w:rsid w:val="00AE7449"/>
    <w:rsid w:val="00AE7A23"/>
    <w:rsid w:val="00AF0A46"/>
    <w:rsid w:val="00AF1315"/>
    <w:rsid w:val="00AF131A"/>
    <w:rsid w:val="00AF1901"/>
    <w:rsid w:val="00AF19BF"/>
    <w:rsid w:val="00AF1F3F"/>
    <w:rsid w:val="00AF2AF5"/>
    <w:rsid w:val="00AF2DC3"/>
    <w:rsid w:val="00AF3B8A"/>
    <w:rsid w:val="00AF400A"/>
    <w:rsid w:val="00AF40A3"/>
    <w:rsid w:val="00AF476D"/>
    <w:rsid w:val="00AF613E"/>
    <w:rsid w:val="00AF6399"/>
    <w:rsid w:val="00AF66C2"/>
    <w:rsid w:val="00AF6CA0"/>
    <w:rsid w:val="00AF7104"/>
    <w:rsid w:val="00B01204"/>
    <w:rsid w:val="00B01762"/>
    <w:rsid w:val="00B0185E"/>
    <w:rsid w:val="00B021AC"/>
    <w:rsid w:val="00B0232C"/>
    <w:rsid w:val="00B02791"/>
    <w:rsid w:val="00B02A53"/>
    <w:rsid w:val="00B033E5"/>
    <w:rsid w:val="00B03A63"/>
    <w:rsid w:val="00B0577C"/>
    <w:rsid w:val="00B057D0"/>
    <w:rsid w:val="00B05FC3"/>
    <w:rsid w:val="00B100B2"/>
    <w:rsid w:val="00B10903"/>
    <w:rsid w:val="00B115C7"/>
    <w:rsid w:val="00B117AB"/>
    <w:rsid w:val="00B11F5A"/>
    <w:rsid w:val="00B13C6B"/>
    <w:rsid w:val="00B14F30"/>
    <w:rsid w:val="00B16ACF"/>
    <w:rsid w:val="00B201A4"/>
    <w:rsid w:val="00B201D1"/>
    <w:rsid w:val="00B20709"/>
    <w:rsid w:val="00B20965"/>
    <w:rsid w:val="00B21251"/>
    <w:rsid w:val="00B213A6"/>
    <w:rsid w:val="00B222E8"/>
    <w:rsid w:val="00B235B0"/>
    <w:rsid w:val="00B23F1E"/>
    <w:rsid w:val="00B242C3"/>
    <w:rsid w:val="00B2437A"/>
    <w:rsid w:val="00B24DF6"/>
    <w:rsid w:val="00B24F47"/>
    <w:rsid w:val="00B25746"/>
    <w:rsid w:val="00B25D27"/>
    <w:rsid w:val="00B261F0"/>
    <w:rsid w:val="00B27129"/>
    <w:rsid w:val="00B300E4"/>
    <w:rsid w:val="00B3028E"/>
    <w:rsid w:val="00B307C9"/>
    <w:rsid w:val="00B3098E"/>
    <w:rsid w:val="00B3117D"/>
    <w:rsid w:val="00B31344"/>
    <w:rsid w:val="00B31892"/>
    <w:rsid w:val="00B31A67"/>
    <w:rsid w:val="00B31DBF"/>
    <w:rsid w:val="00B33598"/>
    <w:rsid w:val="00B33DAF"/>
    <w:rsid w:val="00B34053"/>
    <w:rsid w:val="00B34210"/>
    <w:rsid w:val="00B34FE2"/>
    <w:rsid w:val="00B35166"/>
    <w:rsid w:val="00B357D8"/>
    <w:rsid w:val="00B360F4"/>
    <w:rsid w:val="00B36151"/>
    <w:rsid w:val="00B3618B"/>
    <w:rsid w:val="00B36A00"/>
    <w:rsid w:val="00B36CC3"/>
    <w:rsid w:val="00B37BFC"/>
    <w:rsid w:val="00B40358"/>
    <w:rsid w:val="00B40864"/>
    <w:rsid w:val="00B4141B"/>
    <w:rsid w:val="00B41614"/>
    <w:rsid w:val="00B4179C"/>
    <w:rsid w:val="00B41FF6"/>
    <w:rsid w:val="00B42851"/>
    <w:rsid w:val="00B42F80"/>
    <w:rsid w:val="00B435CB"/>
    <w:rsid w:val="00B440DF"/>
    <w:rsid w:val="00B44454"/>
    <w:rsid w:val="00B4472C"/>
    <w:rsid w:val="00B449BC"/>
    <w:rsid w:val="00B456A0"/>
    <w:rsid w:val="00B45719"/>
    <w:rsid w:val="00B45B81"/>
    <w:rsid w:val="00B45C19"/>
    <w:rsid w:val="00B45D78"/>
    <w:rsid w:val="00B46D55"/>
    <w:rsid w:val="00B4745E"/>
    <w:rsid w:val="00B47620"/>
    <w:rsid w:val="00B47D64"/>
    <w:rsid w:val="00B505C8"/>
    <w:rsid w:val="00B50DB8"/>
    <w:rsid w:val="00B52B2B"/>
    <w:rsid w:val="00B52D08"/>
    <w:rsid w:val="00B52E67"/>
    <w:rsid w:val="00B52ED6"/>
    <w:rsid w:val="00B53654"/>
    <w:rsid w:val="00B53905"/>
    <w:rsid w:val="00B53DD0"/>
    <w:rsid w:val="00B53FBA"/>
    <w:rsid w:val="00B54B5B"/>
    <w:rsid w:val="00B54D74"/>
    <w:rsid w:val="00B54E29"/>
    <w:rsid w:val="00B54F43"/>
    <w:rsid w:val="00B5562E"/>
    <w:rsid w:val="00B55D3A"/>
    <w:rsid w:val="00B55D65"/>
    <w:rsid w:val="00B55EC8"/>
    <w:rsid w:val="00B57000"/>
    <w:rsid w:val="00B5710B"/>
    <w:rsid w:val="00B571C3"/>
    <w:rsid w:val="00B57D23"/>
    <w:rsid w:val="00B60173"/>
    <w:rsid w:val="00B603A5"/>
    <w:rsid w:val="00B60939"/>
    <w:rsid w:val="00B60A08"/>
    <w:rsid w:val="00B60AFD"/>
    <w:rsid w:val="00B60FD7"/>
    <w:rsid w:val="00B61E28"/>
    <w:rsid w:val="00B625EE"/>
    <w:rsid w:val="00B62715"/>
    <w:rsid w:val="00B65611"/>
    <w:rsid w:val="00B671D1"/>
    <w:rsid w:val="00B701E6"/>
    <w:rsid w:val="00B7020A"/>
    <w:rsid w:val="00B70314"/>
    <w:rsid w:val="00B70E8E"/>
    <w:rsid w:val="00B71518"/>
    <w:rsid w:val="00B7153E"/>
    <w:rsid w:val="00B71D55"/>
    <w:rsid w:val="00B733D5"/>
    <w:rsid w:val="00B73909"/>
    <w:rsid w:val="00B73C5D"/>
    <w:rsid w:val="00B73DF0"/>
    <w:rsid w:val="00B73F0A"/>
    <w:rsid w:val="00B756BF"/>
    <w:rsid w:val="00B75BA1"/>
    <w:rsid w:val="00B7661E"/>
    <w:rsid w:val="00B76C92"/>
    <w:rsid w:val="00B818A4"/>
    <w:rsid w:val="00B81B11"/>
    <w:rsid w:val="00B833DE"/>
    <w:rsid w:val="00B835E6"/>
    <w:rsid w:val="00B84117"/>
    <w:rsid w:val="00B84CE4"/>
    <w:rsid w:val="00B851EC"/>
    <w:rsid w:val="00B85481"/>
    <w:rsid w:val="00B858F0"/>
    <w:rsid w:val="00B85AA2"/>
    <w:rsid w:val="00B8649C"/>
    <w:rsid w:val="00B868AF"/>
    <w:rsid w:val="00B8695D"/>
    <w:rsid w:val="00B86A70"/>
    <w:rsid w:val="00B87F0A"/>
    <w:rsid w:val="00B90E0C"/>
    <w:rsid w:val="00B91BB4"/>
    <w:rsid w:val="00B92D0B"/>
    <w:rsid w:val="00B939CB"/>
    <w:rsid w:val="00B93F33"/>
    <w:rsid w:val="00B94945"/>
    <w:rsid w:val="00B94DD6"/>
    <w:rsid w:val="00B950D1"/>
    <w:rsid w:val="00B95B18"/>
    <w:rsid w:val="00B97401"/>
    <w:rsid w:val="00B97505"/>
    <w:rsid w:val="00B97576"/>
    <w:rsid w:val="00B97708"/>
    <w:rsid w:val="00B97B32"/>
    <w:rsid w:val="00B97CA3"/>
    <w:rsid w:val="00BA0774"/>
    <w:rsid w:val="00BA2548"/>
    <w:rsid w:val="00BA2E2A"/>
    <w:rsid w:val="00BA322D"/>
    <w:rsid w:val="00BA36AD"/>
    <w:rsid w:val="00BA3C7D"/>
    <w:rsid w:val="00BA49FB"/>
    <w:rsid w:val="00BA51A2"/>
    <w:rsid w:val="00BA5634"/>
    <w:rsid w:val="00BA597C"/>
    <w:rsid w:val="00BA5AFD"/>
    <w:rsid w:val="00BA5CE5"/>
    <w:rsid w:val="00BA63FA"/>
    <w:rsid w:val="00BB00B3"/>
    <w:rsid w:val="00BB0AB2"/>
    <w:rsid w:val="00BB0AFC"/>
    <w:rsid w:val="00BB0BDD"/>
    <w:rsid w:val="00BB0CDE"/>
    <w:rsid w:val="00BB1150"/>
    <w:rsid w:val="00BB1459"/>
    <w:rsid w:val="00BB176C"/>
    <w:rsid w:val="00BB19A3"/>
    <w:rsid w:val="00BB19C2"/>
    <w:rsid w:val="00BB29B5"/>
    <w:rsid w:val="00BB2A73"/>
    <w:rsid w:val="00BB3448"/>
    <w:rsid w:val="00BB3A45"/>
    <w:rsid w:val="00BB4410"/>
    <w:rsid w:val="00BB4A16"/>
    <w:rsid w:val="00BB4ACC"/>
    <w:rsid w:val="00BB5801"/>
    <w:rsid w:val="00BB5E2B"/>
    <w:rsid w:val="00BB6264"/>
    <w:rsid w:val="00BB6AA3"/>
    <w:rsid w:val="00BB703E"/>
    <w:rsid w:val="00BB732D"/>
    <w:rsid w:val="00BB7405"/>
    <w:rsid w:val="00BB754A"/>
    <w:rsid w:val="00BB7690"/>
    <w:rsid w:val="00BC06EF"/>
    <w:rsid w:val="00BC07BD"/>
    <w:rsid w:val="00BC0FB9"/>
    <w:rsid w:val="00BC110B"/>
    <w:rsid w:val="00BC11F3"/>
    <w:rsid w:val="00BC1E56"/>
    <w:rsid w:val="00BC26F9"/>
    <w:rsid w:val="00BC3631"/>
    <w:rsid w:val="00BC3CE4"/>
    <w:rsid w:val="00BC4F0A"/>
    <w:rsid w:val="00BC4F14"/>
    <w:rsid w:val="00BC502F"/>
    <w:rsid w:val="00BC5646"/>
    <w:rsid w:val="00BC591F"/>
    <w:rsid w:val="00BC69C3"/>
    <w:rsid w:val="00BC6D48"/>
    <w:rsid w:val="00BC726F"/>
    <w:rsid w:val="00BC7D6D"/>
    <w:rsid w:val="00BC7DF8"/>
    <w:rsid w:val="00BD0913"/>
    <w:rsid w:val="00BD206E"/>
    <w:rsid w:val="00BD2108"/>
    <w:rsid w:val="00BD499D"/>
    <w:rsid w:val="00BD5475"/>
    <w:rsid w:val="00BD65E1"/>
    <w:rsid w:val="00BD68A3"/>
    <w:rsid w:val="00BD6938"/>
    <w:rsid w:val="00BD6CF3"/>
    <w:rsid w:val="00BD71FF"/>
    <w:rsid w:val="00BD7BEE"/>
    <w:rsid w:val="00BE0C74"/>
    <w:rsid w:val="00BE0ECA"/>
    <w:rsid w:val="00BE2180"/>
    <w:rsid w:val="00BE21F2"/>
    <w:rsid w:val="00BE2388"/>
    <w:rsid w:val="00BE2B87"/>
    <w:rsid w:val="00BE2CFD"/>
    <w:rsid w:val="00BE34C2"/>
    <w:rsid w:val="00BE3EB6"/>
    <w:rsid w:val="00BE40F8"/>
    <w:rsid w:val="00BE4275"/>
    <w:rsid w:val="00BE43FB"/>
    <w:rsid w:val="00BE48B0"/>
    <w:rsid w:val="00BE5A8F"/>
    <w:rsid w:val="00BE6E49"/>
    <w:rsid w:val="00BE7662"/>
    <w:rsid w:val="00BF03A5"/>
    <w:rsid w:val="00BF06AE"/>
    <w:rsid w:val="00BF0F95"/>
    <w:rsid w:val="00BF2433"/>
    <w:rsid w:val="00BF2763"/>
    <w:rsid w:val="00BF4167"/>
    <w:rsid w:val="00BF4CAE"/>
    <w:rsid w:val="00BF4E9F"/>
    <w:rsid w:val="00BF5459"/>
    <w:rsid w:val="00BF546C"/>
    <w:rsid w:val="00BF5ED8"/>
    <w:rsid w:val="00BF61C9"/>
    <w:rsid w:val="00BF6C94"/>
    <w:rsid w:val="00BF6DB2"/>
    <w:rsid w:val="00BF6FFD"/>
    <w:rsid w:val="00BF7005"/>
    <w:rsid w:val="00BF72B5"/>
    <w:rsid w:val="00BF7E39"/>
    <w:rsid w:val="00C002DA"/>
    <w:rsid w:val="00C00424"/>
    <w:rsid w:val="00C01D61"/>
    <w:rsid w:val="00C022D3"/>
    <w:rsid w:val="00C02428"/>
    <w:rsid w:val="00C024CF"/>
    <w:rsid w:val="00C03518"/>
    <w:rsid w:val="00C04285"/>
    <w:rsid w:val="00C042C1"/>
    <w:rsid w:val="00C043B0"/>
    <w:rsid w:val="00C048A4"/>
    <w:rsid w:val="00C050CF"/>
    <w:rsid w:val="00C0532A"/>
    <w:rsid w:val="00C062A0"/>
    <w:rsid w:val="00C070B1"/>
    <w:rsid w:val="00C112CC"/>
    <w:rsid w:val="00C1179F"/>
    <w:rsid w:val="00C11C6B"/>
    <w:rsid w:val="00C1245A"/>
    <w:rsid w:val="00C12C14"/>
    <w:rsid w:val="00C1334E"/>
    <w:rsid w:val="00C134EB"/>
    <w:rsid w:val="00C1397D"/>
    <w:rsid w:val="00C14574"/>
    <w:rsid w:val="00C1556F"/>
    <w:rsid w:val="00C15F04"/>
    <w:rsid w:val="00C1662A"/>
    <w:rsid w:val="00C16A11"/>
    <w:rsid w:val="00C16C22"/>
    <w:rsid w:val="00C1723C"/>
    <w:rsid w:val="00C174C1"/>
    <w:rsid w:val="00C179B3"/>
    <w:rsid w:val="00C17E3F"/>
    <w:rsid w:val="00C200AA"/>
    <w:rsid w:val="00C20A89"/>
    <w:rsid w:val="00C22B7F"/>
    <w:rsid w:val="00C237ED"/>
    <w:rsid w:val="00C240DF"/>
    <w:rsid w:val="00C243BA"/>
    <w:rsid w:val="00C24632"/>
    <w:rsid w:val="00C24C66"/>
    <w:rsid w:val="00C24F15"/>
    <w:rsid w:val="00C25418"/>
    <w:rsid w:val="00C25B83"/>
    <w:rsid w:val="00C25D9C"/>
    <w:rsid w:val="00C26691"/>
    <w:rsid w:val="00C26B8A"/>
    <w:rsid w:val="00C26C4F"/>
    <w:rsid w:val="00C2742D"/>
    <w:rsid w:val="00C2778B"/>
    <w:rsid w:val="00C279EA"/>
    <w:rsid w:val="00C30786"/>
    <w:rsid w:val="00C315D8"/>
    <w:rsid w:val="00C31649"/>
    <w:rsid w:val="00C31E55"/>
    <w:rsid w:val="00C32316"/>
    <w:rsid w:val="00C32484"/>
    <w:rsid w:val="00C32917"/>
    <w:rsid w:val="00C32A2B"/>
    <w:rsid w:val="00C33663"/>
    <w:rsid w:val="00C3434C"/>
    <w:rsid w:val="00C3508C"/>
    <w:rsid w:val="00C40385"/>
    <w:rsid w:val="00C4151E"/>
    <w:rsid w:val="00C41768"/>
    <w:rsid w:val="00C4176F"/>
    <w:rsid w:val="00C439F0"/>
    <w:rsid w:val="00C43D4F"/>
    <w:rsid w:val="00C43FBE"/>
    <w:rsid w:val="00C445BA"/>
    <w:rsid w:val="00C44BCF"/>
    <w:rsid w:val="00C44F28"/>
    <w:rsid w:val="00C45500"/>
    <w:rsid w:val="00C45A70"/>
    <w:rsid w:val="00C45F0A"/>
    <w:rsid w:val="00C462B5"/>
    <w:rsid w:val="00C4649E"/>
    <w:rsid w:val="00C466C4"/>
    <w:rsid w:val="00C4718D"/>
    <w:rsid w:val="00C475AA"/>
    <w:rsid w:val="00C507F0"/>
    <w:rsid w:val="00C51154"/>
    <w:rsid w:val="00C514A0"/>
    <w:rsid w:val="00C52B68"/>
    <w:rsid w:val="00C53165"/>
    <w:rsid w:val="00C53C98"/>
    <w:rsid w:val="00C53EB3"/>
    <w:rsid w:val="00C53EC6"/>
    <w:rsid w:val="00C5414D"/>
    <w:rsid w:val="00C546A5"/>
    <w:rsid w:val="00C54C8B"/>
    <w:rsid w:val="00C56290"/>
    <w:rsid w:val="00C56FCF"/>
    <w:rsid w:val="00C5791B"/>
    <w:rsid w:val="00C57B6C"/>
    <w:rsid w:val="00C61C35"/>
    <w:rsid w:val="00C6208B"/>
    <w:rsid w:val="00C62679"/>
    <w:rsid w:val="00C628A6"/>
    <w:rsid w:val="00C629F7"/>
    <w:rsid w:val="00C62D42"/>
    <w:rsid w:val="00C63105"/>
    <w:rsid w:val="00C63A31"/>
    <w:rsid w:val="00C64344"/>
    <w:rsid w:val="00C64351"/>
    <w:rsid w:val="00C64D27"/>
    <w:rsid w:val="00C65108"/>
    <w:rsid w:val="00C65576"/>
    <w:rsid w:val="00C65B6A"/>
    <w:rsid w:val="00C65C44"/>
    <w:rsid w:val="00C66165"/>
    <w:rsid w:val="00C67214"/>
    <w:rsid w:val="00C67349"/>
    <w:rsid w:val="00C6788D"/>
    <w:rsid w:val="00C700A0"/>
    <w:rsid w:val="00C7060A"/>
    <w:rsid w:val="00C70D3E"/>
    <w:rsid w:val="00C7142E"/>
    <w:rsid w:val="00C71475"/>
    <w:rsid w:val="00C7151A"/>
    <w:rsid w:val="00C71705"/>
    <w:rsid w:val="00C7177A"/>
    <w:rsid w:val="00C717E3"/>
    <w:rsid w:val="00C71F60"/>
    <w:rsid w:val="00C72241"/>
    <w:rsid w:val="00C7355E"/>
    <w:rsid w:val="00C7413B"/>
    <w:rsid w:val="00C74AA2"/>
    <w:rsid w:val="00C750C8"/>
    <w:rsid w:val="00C75214"/>
    <w:rsid w:val="00C7560F"/>
    <w:rsid w:val="00C76626"/>
    <w:rsid w:val="00C769F8"/>
    <w:rsid w:val="00C76FA8"/>
    <w:rsid w:val="00C7722A"/>
    <w:rsid w:val="00C77B0F"/>
    <w:rsid w:val="00C77F07"/>
    <w:rsid w:val="00C80415"/>
    <w:rsid w:val="00C80A0E"/>
    <w:rsid w:val="00C80FC8"/>
    <w:rsid w:val="00C81375"/>
    <w:rsid w:val="00C81C51"/>
    <w:rsid w:val="00C8213F"/>
    <w:rsid w:val="00C8435D"/>
    <w:rsid w:val="00C84AA7"/>
    <w:rsid w:val="00C84D79"/>
    <w:rsid w:val="00C84E1F"/>
    <w:rsid w:val="00C85154"/>
    <w:rsid w:val="00C85C66"/>
    <w:rsid w:val="00C85CED"/>
    <w:rsid w:val="00C85D39"/>
    <w:rsid w:val="00C87815"/>
    <w:rsid w:val="00C878C2"/>
    <w:rsid w:val="00C8797A"/>
    <w:rsid w:val="00C900B8"/>
    <w:rsid w:val="00C9067A"/>
    <w:rsid w:val="00C90C71"/>
    <w:rsid w:val="00C91FD1"/>
    <w:rsid w:val="00C9225E"/>
    <w:rsid w:val="00C92C04"/>
    <w:rsid w:val="00C931CF"/>
    <w:rsid w:val="00C938CF"/>
    <w:rsid w:val="00C93FA5"/>
    <w:rsid w:val="00C94053"/>
    <w:rsid w:val="00C94878"/>
    <w:rsid w:val="00C9624D"/>
    <w:rsid w:val="00C964AF"/>
    <w:rsid w:val="00C969DA"/>
    <w:rsid w:val="00C96F38"/>
    <w:rsid w:val="00C970FD"/>
    <w:rsid w:val="00C97BC7"/>
    <w:rsid w:val="00C97E57"/>
    <w:rsid w:val="00CA0A99"/>
    <w:rsid w:val="00CA0B1D"/>
    <w:rsid w:val="00CA0D6B"/>
    <w:rsid w:val="00CA1F01"/>
    <w:rsid w:val="00CA2528"/>
    <w:rsid w:val="00CA259B"/>
    <w:rsid w:val="00CA2C77"/>
    <w:rsid w:val="00CA2DC8"/>
    <w:rsid w:val="00CA444F"/>
    <w:rsid w:val="00CA5245"/>
    <w:rsid w:val="00CA5BD3"/>
    <w:rsid w:val="00CA66AB"/>
    <w:rsid w:val="00CA71F4"/>
    <w:rsid w:val="00CA7985"/>
    <w:rsid w:val="00CA7B09"/>
    <w:rsid w:val="00CA7BFE"/>
    <w:rsid w:val="00CB08B6"/>
    <w:rsid w:val="00CB0A99"/>
    <w:rsid w:val="00CB0D9F"/>
    <w:rsid w:val="00CB12A5"/>
    <w:rsid w:val="00CB1CAC"/>
    <w:rsid w:val="00CB2779"/>
    <w:rsid w:val="00CB2F2A"/>
    <w:rsid w:val="00CB4B4B"/>
    <w:rsid w:val="00CB4B7C"/>
    <w:rsid w:val="00CB5B1A"/>
    <w:rsid w:val="00CB6024"/>
    <w:rsid w:val="00CB633D"/>
    <w:rsid w:val="00CB63F4"/>
    <w:rsid w:val="00CB6659"/>
    <w:rsid w:val="00CB6B22"/>
    <w:rsid w:val="00CB6C14"/>
    <w:rsid w:val="00CB7E49"/>
    <w:rsid w:val="00CB7F5F"/>
    <w:rsid w:val="00CB7FCE"/>
    <w:rsid w:val="00CC0C59"/>
    <w:rsid w:val="00CC0C96"/>
    <w:rsid w:val="00CC1B39"/>
    <w:rsid w:val="00CC287F"/>
    <w:rsid w:val="00CC35EA"/>
    <w:rsid w:val="00CC3848"/>
    <w:rsid w:val="00CC3B1C"/>
    <w:rsid w:val="00CC4552"/>
    <w:rsid w:val="00CC47EA"/>
    <w:rsid w:val="00CC48F7"/>
    <w:rsid w:val="00CC59AE"/>
    <w:rsid w:val="00CC5EE6"/>
    <w:rsid w:val="00CC70AF"/>
    <w:rsid w:val="00CD0ECF"/>
    <w:rsid w:val="00CD0F27"/>
    <w:rsid w:val="00CD2EEA"/>
    <w:rsid w:val="00CD3717"/>
    <w:rsid w:val="00CD3F77"/>
    <w:rsid w:val="00CD43A6"/>
    <w:rsid w:val="00CD5211"/>
    <w:rsid w:val="00CD5305"/>
    <w:rsid w:val="00CD5E75"/>
    <w:rsid w:val="00CD5FE3"/>
    <w:rsid w:val="00CD6100"/>
    <w:rsid w:val="00CD6ADC"/>
    <w:rsid w:val="00CD7193"/>
    <w:rsid w:val="00CD7BCF"/>
    <w:rsid w:val="00CD7FB9"/>
    <w:rsid w:val="00CE100F"/>
    <w:rsid w:val="00CE1201"/>
    <w:rsid w:val="00CE134F"/>
    <w:rsid w:val="00CE16FF"/>
    <w:rsid w:val="00CE1903"/>
    <w:rsid w:val="00CE1E09"/>
    <w:rsid w:val="00CE2357"/>
    <w:rsid w:val="00CE322B"/>
    <w:rsid w:val="00CE38C8"/>
    <w:rsid w:val="00CE42A8"/>
    <w:rsid w:val="00CE4834"/>
    <w:rsid w:val="00CE5133"/>
    <w:rsid w:val="00CE5C7D"/>
    <w:rsid w:val="00CE6274"/>
    <w:rsid w:val="00CE62E8"/>
    <w:rsid w:val="00CE683D"/>
    <w:rsid w:val="00CE6E93"/>
    <w:rsid w:val="00CE6F49"/>
    <w:rsid w:val="00CE7298"/>
    <w:rsid w:val="00CE7436"/>
    <w:rsid w:val="00CE77B6"/>
    <w:rsid w:val="00CE7B6D"/>
    <w:rsid w:val="00CF04E6"/>
    <w:rsid w:val="00CF0E10"/>
    <w:rsid w:val="00CF0E9E"/>
    <w:rsid w:val="00CF1018"/>
    <w:rsid w:val="00CF1ABB"/>
    <w:rsid w:val="00CF2043"/>
    <w:rsid w:val="00CF2B8D"/>
    <w:rsid w:val="00CF41C8"/>
    <w:rsid w:val="00CF4296"/>
    <w:rsid w:val="00CF456B"/>
    <w:rsid w:val="00CF4B21"/>
    <w:rsid w:val="00CF4F5B"/>
    <w:rsid w:val="00CF510B"/>
    <w:rsid w:val="00CF5341"/>
    <w:rsid w:val="00CF5A22"/>
    <w:rsid w:val="00CF602D"/>
    <w:rsid w:val="00CF69B7"/>
    <w:rsid w:val="00CF74CA"/>
    <w:rsid w:val="00D002F7"/>
    <w:rsid w:val="00D0150E"/>
    <w:rsid w:val="00D02498"/>
    <w:rsid w:val="00D0262E"/>
    <w:rsid w:val="00D04723"/>
    <w:rsid w:val="00D049F8"/>
    <w:rsid w:val="00D05E3D"/>
    <w:rsid w:val="00D06139"/>
    <w:rsid w:val="00D0680F"/>
    <w:rsid w:val="00D07200"/>
    <w:rsid w:val="00D10BD2"/>
    <w:rsid w:val="00D10E41"/>
    <w:rsid w:val="00D110BD"/>
    <w:rsid w:val="00D11308"/>
    <w:rsid w:val="00D13675"/>
    <w:rsid w:val="00D1391D"/>
    <w:rsid w:val="00D13BCA"/>
    <w:rsid w:val="00D141E1"/>
    <w:rsid w:val="00D149E0"/>
    <w:rsid w:val="00D14DD6"/>
    <w:rsid w:val="00D15314"/>
    <w:rsid w:val="00D16028"/>
    <w:rsid w:val="00D1624B"/>
    <w:rsid w:val="00D162D1"/>
    <w:rsid w:val="00D17D6C"/>
    <w:rsid w:val="00D17E7F"/>
    <w:rsid w:val="00D205A3"/>
    <w:rsid w:val="00D20ADB"/>
    <w:rsid w:val="00D2119E"/>
    <w:rsid w:val="00D2155B"/>
    <w:rsid w:val="00D21926"/>
    <w:rsid w:val="00D21988"/>
    <w:rsid w:val="00D22C90"/>
    <w:rsid w:val="00D22DBE"/>
    <w:rsid w:val="00D23D11"/>
    <w:rsid w:val="00D23E3A"/>
    <w:rsid w:val="00D244B6"/>
    <w:rsid w:val="00D24CBB"/>
    <w:rsid w:val="00D25155"/>
    <w:rsid w:val="00D25212"/>
    <w:rsid w:val="00D262B4"/>
    <w:rsid w:val="00D263D2"/>
    <w:rsid w:val="00D26DF9"/>
    <w:rsid w:val="00D26F3B"/>
    <w:rsid w:val="00D26F84"/>
    <w:rsid w:val="00D2754D"/>
    <w:rsid w:val="00D2792A"/>
    <w:rsid w:val="00D27B27"/>
    <w:rsid w:val="00D30735"/>
    <w:rsid w:val="00D31D36"/>
    <w:rsid w:val="00D322C1"/>
    <w:rsid w:val="00D324DB"/>
    <w:rsid w:val="00D33BE9"/>
    <w:rsid w:val="00D33F93"/>
    <w:rsid w:val="00D340E5"/>
    <w:rsid w:val="00D34FE6"/>
    <w:rsid w:val="00D34FFE"/>
    <w:rsid w:val="00D35189"/>
    <w:rsid w:val="00D357FF"/>
    <w:rsid w:val="00D359A2"/>
    <w:rsid w:val="00D359CC"/>
    <w:rsid w:val="00D366CA"/>
    <w:rsid w:val="00D372C1"/>
    <w:rsid w:val="00D4018C"/>
    <w:rsid w:val="00D40A3F"/>
    <w:rsid w:val="00D40C0F"/>
    <w:rsid w:val="00D414C2"/>
    <w:rsid w:val="00D41AB2"/>
    <w:rsid w:val="00D420F9"/>
    <w:rsid w:val="00D424C7"/>
    <w:rsid w:val="00D427FA"/>
    <w:rsid w:val="00D429D7"/>
    <w:rsid w:val="00D42B16"/>
    <w:rsid w:val="00D42DF5"/>
    <w:rsid w:val="00D43B2A"/>
    <w:rsid w:val="00D43C83"/>
    <w:rsid w:val="00D43CFC"/>
    <w:rsid w:val="00D43D83"/>
    <w:rsid w:val="00D43DE3"/>
    <w:rsid w:val="00D441D4"/>
    <w:rsid w:val="00D441F0"/>
    <w:rsid w:val="00D44417"/>
    <w:rsid w:val="00D4458E"/>
    <w:rsid w:val="00D445BE"/>
    <w:rsid w:val="00D45FC7"/>
    <w:rsid w:val="00D462CA"/>
    <w:rsid w:val="00D466A6"/>
    <w:rsid w:val="00D4733F"/>
    <w:rsid w:val="00D47575"/>
    <w:rsid w:val="00D47BCF"/>
    <w:rsid w:val="00D47D04"/>
    <w:rsid w:val="00D506C3"/>
    <w:rsid w:val="00D50A0E"/>
    <w:rsid w:val="00D51111"/>
    <w:rsid w:val="00D517A1"/>
    <w:rsid w:val="00D5243B"/>
    <w:rsid w:val="00D533EC"/>
    <w:rsid w:val="00D534FB"/>
    <w:rsid w:val="00D544FF"/>
    <w:rsid w:val="00D55069"/>
    <w:rsid w:val="00D55E8F"/>
    <w:rsid w:val="00D55EB3"/>
    <w:rsid w:val="00D564E9"/>
    <w:rsid w:val="00D56A95"/>
    <w:rsid w:val="00D6010B"/>
    <w:rsid w:val="00D60A11"/>
    <w:rsid w:val="00D60A50"/>
    <w:rsid w:val="00D60F38"/>
    <w:rsid w:val="00D614D8"/>
    <w:rsid w:val="00D61936"/>
    <w:rsid w:val="00D61967"/>
    <w:rsid w:val="00D637E5"/>
    <w:rsid w:val="00D65854"/>
    <w:rsid w:val="00D65A55"/>
    <w:rsid w:val="00D662B6"/>
    <w:rsid w:val="00D67BEF"/>
    <w:rsid w:val="00D70E2C"/>
    <w:rsid w:val="00D70E6A"/>
    <w:rsid w:val="00D70F16"/>
    <w:rsid w:val="00D713D4"/>
    <w:rsid w:val="00D7294D"/>
    <w:rsid w:val="00D72F57"/>
    <w:rsid w:val="00D7468F"/>
    <w:rsid w:val="00D74FD4"/>
    <w:rsid w:val="00D764D2"/>
    <w:rsid w:val="00D7679B"/>
    <w:rsid w:val="00D768A0"/>
    <w:rsid w:val="00D76A44"/>
    <w:rsid w:val="00D76A94"/>
    <w:rsid w:val="00D76B54"/>
    <w:rsid w:val="00D7701A"/>
    <w:rsid w:val="00D77E04"/>
    <w:rsid w:val="00D77FA8"/>
    <w:rsid w:val="00D80DF6"/>
    <w:rsid w:val="00D810BF"/>
    <w:rsid w:val="00D815EF"/>
    <w:rsid w:val="00D81F26"/>
    <w:rsid w:val="00D826EF"/>
    <w:rsid w:val="00D82FF6"/>
    <w:rsid w:val="00D84444"/>
    <w:rsid w:val="00D851C4"/>
    <w:rsid w:val="00D85EC9"/>
    <w:rsid w:val="00D86231"/>
    <w:rsid w:val="00D86608"/>
    <w:rsid w:val="00D8734C"/>
    <w:rsid w:val="00D8743F"/>
    <w:rsid w:val="00D87586"/>
    <w:rsid w:val="00D901EC"/>
    <w:rsid w:val="00D904DB"/>
    <w:rsid w:val="00D909F2"/>
    <w:rsid w:val="00D91923"/>
    <w:rsid w:val="00D91D48"/>
    <w:rsid w:val="00D93624"/>
    <w:rsid w:val="00D93753"/>
    <w:rsid w:val="00D94B4C"/>
    <w:rsid w:val="00D94F50"/>
    <w:rsid w:val="00D96074"/>
    <w:rsid w:val="00D967E8"/>
    <w:rsid w:val="00D96D77"/>
    <w:rsid w:val="00D97204"/>
    <w:rsid w:val="00DA0A2A"/>
    <w:rsid w:val="00DA167C"/>
    <w:rsid w:val="00DA1A33"/>
    <w:rsid w:val="00DA2DAE"/>
    <w:rsid w:val="00DA3167"/>
    <w:rsid w:val="00DA3171"/>
    <w:rsid w:val="00DA3202"/>
    <w:rsid w:val="00DA4DC3"/>
    <w:rsid w:val="00DA4F2A"/>
    <w:rsid w:val="00DA6A0F"/>
    <w:rsid w:val="00DA6B18"/>
    <w:rsid w:val="00DA6F01"/>
    <w:rsid w:val="00DA70EA"/>
    <w:rsid w:val="00DA72E9"/>
    <w:rsid w:val="00DA77A5"/>
    <w:rsid w:val="00DA77C9"/>
    <w:rsid w:val="00DA7EB2"/>
    <w:rsid w:val="00DB07BF"/>
    <w:rsid w:val="00DB0C8B"/>
    <w:rsid w:val="00DB14C9"/>
    <w:rsid w:val="00DB183E"/>
    <w:rsid w:val="00DB2098"/>
    <w:rsid w:val="00DB21D6"/>
    <w:rsid w:val="00DB2877"/>
    <w:rsid w:val="00DB3070"/>
    <w:rsid w:val="00DB3542"/>
    <w:rsid w:val="00DB3DBF"/>
    <w:rsid w:val="00DB484F"/>
    <w:rsid w:val="00DB4D15"/>
    <w:rsid w:val="00DB553E"/>
    <w:rsid w:val="00DB5BB1"/>
    <w:rsid w:val="00DB5D8B"/>
    <w:rsid w:val="00DB6786"/>
    <w:rsid w:val="00DB6F7B"/>
    <w:rsid w:val="00DC0244"/>
    <w:rsid w:val="00DC02AE"/>
    <w:rsid w:val="00DC04F6"/>
    <w:rsid w:val="00DC0690"/>
    <w:rsid w:val="00DC07DD"/>
    <w:rsid w:val="00DC1D65"/>
    <w:rsid w:val="00DC1ECE"/>
    <w:rsid w:val="00DC2CA7"/>
    <w:rsid w:val="00DC2EB2"/>
    <w:rsid w:val="00DC2F94"/>
    <w:rsid w:val="00DC3A64"/>
    <w:rsid w:val="00DC3C57"/>
    <w:rsid w:val="00DC49C8"/>
    <w:rsid w:val="00DC5501"/>
    <w:rsid w:val="00DC5D30"/>
    <w:rsid w:val="00DC7154"/>
    <w:rsid w:val="00DC72E5"/>
    <w:rsid w:val="00DC7BD8"/>
    <w:rsid w:val="00DC7E8A"/>
    <w:rsid w:val="00DD030C"/>
    <w:rsid w:val="00DD03BC"/>
    <w:rsid w:val="00DD0F78"/>
    <w:rsid w:val="00DD170B"/>
    <w:rsid w:val="00DD20A6"/>
    <w:rsid w:val="00DD2407"/>
    <w:rsid w:val="00DD2734"/>
    <w:rsid w:val="00DD273C"/>
    <w:rsid w:val="00DD2AB0"/>
    <w:rsid w:val="00DD3F28"/>
    <w:rsid w:val="00DD415B"/>
    <w:rsid w:val="00DD4537"/>
    <w:rsid w:val="00DD4805"/>
    <w:rsid w:val="00DD4A55"/>
    <w:rsid w:val="00DD4E15"/>
    <w:rsid w:val="00DD5754"/>
    <w:rsid w:val="00DD5D76"/>
    <w:rsid w:val="00DD65F8"/>
    <w:rsid w:val="00DE0564"/>
    <w:rsid w:val="00DE058B"/>
    <w:rsid w:val="00DE0B2C"/>
    <w:rsid w:val="00DE16EB"/>
    <w:rsid w:val="00DE1DB4"/>
    <w:rsid w:val="00DE2304"/>
    <w:rsid w:val="00DE276B"/>
    <w:rsid w:val="00DE2B81"/>
    <w:rsid w:val="00DE2C12"/>
    <w:rsid w:val="00DE3138"/>
    <w:rsid w:val="00DE37F8"/>
    <w:rsid w:val="00DE3F7A"/>
    <w:rsid w:val="00DE4E88"/>
    <w:rsid w:val="00DE4FCB"/>
    <w:rsid w:val="00DE5867"/>
    <w:rsid w:val="00DE59C2"/>
    <w:rsid w:val="00DE5C14"/>
    <w:rsid w:val="00DE5D07"/>
    <w:rsid w:val="00DE6CDB"/>
    <w:rsid w:val="00DE6D37"/>
    <w:rsid w:val="00DE72A7"/>
    <w:rsid w:val="00DE755E"/>
    <w:rsid w:val="00DE7832"/>
    <w:rsid w:val="00DE7DA4"/>
    <w:rsid w:val="00DE7F95"/>
    <w:rsid w:val="00DF0DC6"/>
    <w:rsid w:val="00DF139D"/>
    <w:rsid w:val="00DF18FC"/>
    <w:rsid w:val="00DF237B"/>
    <w:rsid w:val="00DF25A0"/>
    <w:rsid w:val="00DF37B2"/>
    <w:rsid w:val="00DF41B3"/>
    <w:rsid w:val="00DF4210"/>
    <w:rsid w:val="00DF55BF"/>
    <w:rsid w:val="00DF5718"/>
    <w:rsid w:val="00DF5D2B"/>
    <w:rsid w:val="00DF6B1B"/>
    <w:rsid w:val="00DF6D54"/>
    <w:rsid w:val="00DF72AB"/>
    <w:rsid w:val="00DF76E8"/>
    <w:rsid w:val="00E00A31"/>
    <w:rsid w:val="00E00E8E"/>
    <w:rsid w:val="00E0123B"/>
    <w:rsid w:val="00E02239"/>
    <w:rsid w:val="00E02352"/>
    <w:rsid w:val="00E02F13"/>
    <w:rsid w:val="00E04288"/>
    <w:rsid w:val="00E04490"/>
    <w:rsid w:val="00E04822"/>
    <w:rsid w:val="00E050C2"/>
    <w:rsid w:val="00E05630"/>
    <w:rsid w:val="00E05C98"/>
    <w:rsid w:val="00E060D6"/>
    <w:rsid w:val="00E06DBB"/>
    <w:rsid w:val="00E0706C"/>
    <w:rsid w:val="00E07529"/>
    <w:rsid w:val="00E10149"/>
    <w:rsid w:val="00E105A6"/>
    <w:rsid w:val="00E11340"/>
    <w:rsid w:val="00E115A9"/>
    <w:rsid w:val="00E116DC"/>
    <w:rsid w:val="00E122A1"/>
    <w:rsid w:val="00E1295C"/>
    <w:rsid w:val="00E12E78"/>
    <w:rsid w:val="00E13656"/>
    <w:rsid w:val="00E14172"/>
    <w:rsid w:val="00E14E32"/>
    <w:rsid w:val="00E15C51"/>
    <w:rsid w:val="00E16372"/>
    <w:rsid w:val="00E168A5"/>
    <w:rsid w:val="00E16BFD"/>
    <w:rsid w:val="00E170D3"/>
    <w:rsid w:val="00E207F8"/>
    <w:rsid w:val="00E20E4D"/>
    <w:rsid w:val="00E20ED6"/>
    <w:rsid w:val="00E21358"/>
    <w:rsid w:val="00E215B6"/>
    <w:rsid w:val="00E21E9C"/>
    <w:rsid w:val="00E2249B"/>
    <w:rsid w:val="00E22A0D"/>
    <w:rsid w:val="00E231A0"/>
    <w:rsid w:val="00E240BB"/>
    <w:rsid w:val="00E244F6"/>
    <w:rsid w:val="00E247A6"/>
    <w:rsid w:val="00E25119"/>
    <w:rsid w:val="00E260E5"/>
    <w:rsid w:val="00E261F2"/>
    <w:rsid w:val="00E264F7"/>
    <w:rsid w:val="00E26865"/>
    <w:rsid w:val="00E26AF9"/>
    <w:rsid w:val="00E26E4F"/>
    <w:rsid w:val="00E2771E"/>
    <w:rsid w:val="00E311EF"/>
    <w:rsid w:val="00E32180"/>
    <w:rsid w:val="00E32473"/>
    <w:rsid w:val="00E33222"/>
    <w:rsid w:val="00E33547"/>
    <w:rsid w:val="00E33B4F"/>
    <w:rsid w:val="00E34948"/>
    <w:rsid w:val="00E36990"/>
    <w:rsid w:val="00E371E4"/>
    <w:rsid w:val="00E371EE"/>
    <w:rsid w:val="00E37526"/>
    <w:rsid w:val="00E37569"/>
    <w:rsid w:val="00E37DE9"/>
    <w:rsid w:val="00E401B2"/>
    <w:rsid w:val="00E40921"/>
    <w:rsid w:val="00E40AE8"/>
    <w:rsid w:val="00E41E30"/>
    <w:rsid w:val="00E42538"/>
    <w:rsid w:val="00E42F73"/>
    <w:rsid w:val="00E431C3"/>
    <w:rsid w:val="00E43223"/>
    <w:rsid w:val="00E43B6F"/>
    <w:rsid w:val="00E43BC9"/>
    <w:rsid w:val="00E43D70"/>
    <w:rsid w:val="00E444E1"/>
    <w:rsid w:val="00E44E8B"/>
    <w:rsid w:val="00E456E9"/>
    <w:rsid w:val="00E4644E"/>
    <w:rsid w:val="00E466F3"/>
    <w:rsid w:val="00E473FE"/>
    <w:rsid w:val="00E475A8"/>
    <w:rsid w:val="00E47B2C"/>
    <w:rsid w:val="00E47FE4"/>
    <w:rsid w:val="00E50194"/>
    <w:rsid w:val="00E50389"/>
    <w:rsid w:val="00E51267"/>
    <w:rsid w:val="00E51560"/>
    <w:rsid w:val="00E51EF2"/>
    <w:rsid w:val="00E521A7"/>
    <w:rsid w:val="00E5226E"/>
    <w:rsid w:val="00E52EA9"/>
    <w:rsid w:val="00E5336F"/>
    <w:rsid w:val="00E53381"/>
    <w:rsid w:val="00E533A5"/>
    <w:rsid w:val="00E53FC8"/>
    <w:rsid w:val="00E54347"/>
    <w:rsid w:val="00E544E1"/>
    <w:rsid w:val="00E551BC"/>
    <w:rsid w:val="00E55226"/>
    <w:rsid w:val="00E55424"/>
    <w:rsid w:val="00E55915"/>
    <w:rsid w:val="00E55A8D"/>
    <w:rsid w:val="00E55BB5"/>
    <w:rsid w:val="00E5701E"/>
    <w:rsid w:val="00E57032"/>
    <w:rsid w:val="00E57E10"/>
    <w:rsid w:val="00E60422"/>
    <w:rsid w:val="00E605D0"/>
    <w:rsid w:val="00E60FFB"/>
    <w:rsid w:val="00E61A46"/>
    <w:rsid w:val="00E62264"/>
    <w:rsid w:val="00E63120"/>
    <w:rsid w:val="00E63A5D"/>
    <w:rsid w:val="00E64306"/>
    <w:rsid w:val="00E64C21"/>
    <w:rsid w:val="00E65B71"/>
    <w:rsid w:val="00E65C7E"/>
    <w:rsid w:val="00E65E79"/>
    <w:rsid w:val="00E66BA2"/>
    <w:rsid w:val="00E67416"/>
    <w:rsid w:val="00E677DD"/>
    <w:rsid w:val="00E677F9"/>
    <w:rsid w:val="00E7023C"/>
    <w:rsid w:val="00E705C5"/>
    <w:rsid w:val="00E7127D"/>
    <w:rsid w:val="00E718B6"/>
    <w:rsid w:val="00E723BA"/>
    <w:rsid w:val="00E72EF5"/>
    <w:rsid w:val="00E730ED"/>
    <w:rsid w:val="00E73581"/>
    <w:rsid w:val="00E74C47"/>
    <w:rsid w:val="00E7691D"/>
    <w:rsid w:val="00E769E6"/>
    <w:rsid w:val="00E76A6E"/>
    <w:rsid w:val="00E76DB4"/>
    <w:rsid w:val="00E77467"/>
    <w:rsid w:val="00E778BD"/>
    <w:rsid w:val="00E8003A"/>
    <w:rsid w:val="00E81103"/>
    <w:rsid w:val="00E8120F"/>
    <w:rsid w:val="00E8199E"/>
    <w:rsid w:val="00E83279"/>
    <w:rsid w:val="00E833F7"/>
    <w:rsid w:val="00E836DE"/>
    <w:rsid w:val="00E8397B"/>
    <w:rsid w:val="00E83BDF"/>
    <w:rsid w:val="00E851BB"/>
    <w:rsid w:val="00E854EA"/>
    <w:rsid w:val="00E85B8E"/>
    <w:rsid w:val="00E86D1D"/>
    <w:rsid w:val="00E87A1D"/>
    <w:rsid w:val="00E87B80"/>
    <w:rsid w:val="00E9094A"/>
    <w:rsid w:val="00E9099C"/>
    <w:rsid w:val="00E90AF6"/>
    <w:rsid w:val="00E91D35"/>
    <w:rsid w:val="00E92077"/>
    <w:rsid w:val="00E92239"/>
    <w:rsid w:val="00E926A5"/>
    <w:rsid w:val="00E92882"/>
    <w:rsid w:val="00E93449"/>
    <w:rsid w:val="00E939E4"/>
    <w:rsid w:val="00E93EAE"/>
    <w:rsid w:val="00E9534A"/>
    <w:rsid w:val="00E964CC"/>
    <w:rsid w:val="00E96D09"/>
    <w:rsid w:val="00E972DB"/>
    <w:rsid w:val="00EA17C3"/>
    <w:rsid w:val="00EA23F2"/>
    <w:rsid w:val="00EA298B"/>
    <w:rsid w:val="00EA2AC1"/>
    <w:rsid w:val="00EA2CAA"/>
    <w:rsid w:val="00EA2FD2"/>
    <w:rsid w:val="00EA3668"/>
    <w:rsid w:val="00EA3864"/>
    <w:rsid w:val="00EA3CC8"/>
    <w:rsid w:val="00EA472D"/>
    <w:rsid w:val="00EA6163"/>
    <w:rsid w:val="00EA6666"/>
    <w:rsid w:val="00EA6E93"/>
    <w:rsid w:val="00EA706C"/>
    <w:rsid w:val="00EA7D5E"/>
    <w:rsid w:val="00EA7F1C"/>
    <w:rsid w:val="00EB0BE6"/>
    <w:rsid w:val="00EB10A9"/>
    <w:rsid w:val="00EB1316"/>
    <w:rsid w:val="00EB15B6"/>
    <w:rsid w:val="00EB2748"/>
    <w:rsid w:val="00EB3104"/>
    <w:rsid w:val="00EB3CD7"/>
    <w:rsid w:val="00EB3D06"/>
    <w:rsid w:val="00EB42E9"/>
    <w:rsid w:val="00EB4916"/>
    <w:rsid w:val="00EB55D5"/>
    <w:rsid w:val="00EB5C22"/>
    <w:rsid w:val="00EC00C9"/>
    <w:rsid w:val="00EC0D1B"/>
    <w:rsid w:val="00EC0DD9"/>
    <w:rsid w:val="00EC0DE2"/>
    <w:rsid w:val="00EC1149"/>
    <w:rsid w:val="00EC1B8E"/>
    <w:rsid w:val="00EC2300"/>
    <w:rsid w:val="00EC23BA"/>
    <w:rsid w:val="00EC2410"/>
    <w:rsid w:val="00EC2649"/>
    <w:rsid w:val="00EC2B9F"/>
    <w:rsid w:val="00EC31ED"/>
    <w:rsid w:val="00EC327B"/>
    <w:rsid w:val="00EC45B2"/>
    <w:rsid w:val="00EC4B6A"/>
    <w:rsid w:val="00EC5836"/>
    <w:rsid w:val="00EC5AAD"/>
    <w:rsid w:val="00EC612A"/>
    <w:rsid w:val="00EC6299"/>
    <w:rsid w:val="00EC688C"/>
    <w:rsid w:val="00EC6D74"/>
    <w:rsid w:val="00EC7625"/>
    <w:rsid w:val="00EC7A1C"/>
    <w:rsid w:val="00ED012F"/>
    <w:rsid w:val="00ED0AC4"/>
    <w:rsid w:val="00ED0FFF"/>
    <w:rsid w:val="00ED19A2"/>
    <w:rsid w:val="00ED1A13"/>
    <w:rsid w:val="00ED2619"/>
    <w:rsid w:val="00ED2D83"/>
    <w:rsid w:val="00ED36FF"/>
    <w:rsid w:val="00ED3B10"/>
    <w:rsid w:val="00ED3C03"/>
    <w:rsid w:val="00ED402B"/>
    <w:rsid w:val="00ED4490"/>
    <w:rsid w:val="00ED4A05"/>
    <w:rsid w:val="00ED53F9"/>
    <w:rsid w:val="00ED57EA"/>
    <w:rsid w:val="00ED58FE"/>
    <w:rsid w:val="00ED5BD4"/>
    <w:rsid w:val="00ED5CEE"/>
    <w:rsid w:val="00ED5FB4"/>
    <w:rsid w:val="00ED7FB0"/>
    <w:rsid w:val="00EE0121"/>
    <w:rsid w:val="00EE07D3"/>
    <w:rsid w:val="00EE1996"/>
    <w:rsid w:val="00EE1C01"/>
    <w:rsid w:val="00EE22AF"/>
    <w:rsid w:val="00EE34A9"/>
    <w:rsid w:val="00EE38AE"/>
    <w:rsid w:val="00EE42ED"/>
    <w:rsid w:val="00EE4A6B"/>
    <w:rsid w:val="00EE5C9F"/>
    <w:rsid w:val="00EE619A"/>
    <w:rsid w:val="00EE61B4"/>
    <w:rsid w:val="00EE679A"/>
    <w:rsid w:val="00EE7F7B"/>
    <w:rsid w:val="00EF0171"/>
    <w:rsid w:val="00EF05FF"/>
    <w:rsid w:val="00EF0EB4"/>
    <w:rsid w:val="00EF1B25"/>
    <w:rsid w:val="00EF1DA0"/>
    <w:rsid w:val="00EF26E1"/>
    <w:rsid w:val="00EF301E"/>
    <w:rsid w:val="00EF3C35"/>
    <w:rsid w:val="00EF403C"/>
    <w:rsid w:val="00EF4747"/>
    <w:rsid w:val="00EF4B5A"/>
    <w:rsid w:val="00EF4BF8"/>
    <w:rsid w:val="00EF52AE"/>
    <w:rsid w:val="00EF6A17"/>
    <w:rsid w:val="00EF6F7D"/>
    <w:rsid w:val="00F0000C"/>
    <w:rsid w:val="00F00165"/>
    <w:rsid w:val="00F00691"/>
    <w:rsid w:val="00F00A88"/>
    <w:rsid w:val="00F00FA0"/>
    <w:rsid w:val="00F019E0"/>
    <w:rsid w:val="00F01FF5"/>
    <w:rsid w:val="00F02253"/>
    <w:rsid w:val="00F0244E"/>
    <w:rsid w:val="00F03C2E"/>
    <w:rsid w:val="00F03D00"/>
    <w:rsid w:val="00F03D69"/>
    <w:rsid w:val="00F045E7"/>
    <w:rsid w:val="00F04A66"/>
    <w:rsid w:val="00F04B4B"/>
    <w:rsid w:val="00F04C3A"/>
    <w:rsid w:val="00F0516C"/>
    <w:rsid w:val="00F0550F"/>
    <w:rsid w:val="00F05869"/>
    <w:rsid w:val="00F061A2"/>
    <w:rsid w:val="00F067A2"/>
    <w:rsid w:val="00F07537"/>
    <w:rsid w:val="00F07B9E"/>
    <w:rsid w:val="00F07C19"/>
    <w:rsid w:val="00F1116F"/>
    <w:rsid w:val="00F12245"/>
    <w:rsid w:val="00F1263A"/>
    <w:rsid w:val="00F129FA"/>
    <w:rsid w:val="00F12D0A"/>
    <w:rsid w:val="00F12D19"/>
    <w:rsid w:val="00F1350D"/>
    <w:rsid w:val="00F13FA1"/>
    <w:rsid w:val="00F146F5"/>
    <w:rsid w:val="00F1476A"/>
    <w:rsid w:val="00F14A52"/>
    <w:rsid w:val="00F15142"/>
    <w:rsid w:val="00F15B77"/>
    <w:rsid w:val="00F15F61"/>
    <w:rsid w:val="00F210CA"/>
    <w:rsid w:val="00F21D84"/>
    <w:rsid w:val="00F220AA"/>
    <w:rsid w:val="00F2287E"/>
    <w:rsid w:val="00F2383B"/>
    <w:rsid w:val="00F23D8B"/>
    <w:rsid w:val="00F24221"/>
    <w:rsid w:val="00F246A5"/>
    <w:rsid w:val="00F24837"/>
    <w:rsid w:val="00F2575F"/>
    <w:rsid w:val="00F258D3"/>
    <w:rsid w:val="00F25C44"/>
    <w:rsid w:val="00F26479"/>
    <w:rsid w:val="00F26912"/>
    <w:rsid w:val="00F2750C"/>
    <w:rsid w:val="00F27565"/>
    <w:rsid w:val="00F30347"/>
    <w:rsid w:val="00F30B68"/>
    <w:rsid w:val="00F310D4"/>
    <w:rsid w:val="00F31188"/>
    <w:rsid w:val="00F315AC"/>
    <w:rsid w:val="00F315C4"/>
    <w:rsid w:val="00F318D8"/>
    <w:rsid w:val="00F31D5A"/>
    <w:rsid w:val="00F31F5B"/>
    <w:rsid w:val="00F33381"/>
    <w:rsid w:val="00F33975"/>
    <w:rsid w:val="00F33C5B"/>
    <w:rsid w:val="00F33DE9"/>
    <w:rsid w:val="00F344A6"/>
    <w:rsid w:val="00F3476F"/>
    <w:rsid w:val="00F3479D"/>
    <w:rsid w:val="00F3490F"/>
    <w:rsid w:val="00F35799"/>
    <w:rsid w:val="00F35E6D"/>
    <w:rsid w:val="00F3619A"/>
    <w:rsid w:val="00F37213"/>
    <w:rsid w:val="00F37ABF"/>
    <w:rsid w:val="00F40AAA"/>
    <w:rsid w:val="00F40BA7"/>
    <w:rsid w:val="00F40F9D"/>
    <w:rsid w:val="00F41ACD"/>
    <w:rsid w:val="00F43064"/>
    <w:rsid w:val="00F434D3"/>
    <w:rsid w:val="00F43EA9"/>
    <w:rsid w:val="00F45DDD"/>
    <w:rsid w:val="00F462B8"/>
    <w:rsid w:val="00F4637C"/>
    <w:rsid w:val="00F46CB6"/>
    <w:rsid w:val="00F4756D"/>
    <w:rsid w:val="00F47779"/>
    <w:rsid w:val="00F47D18"/>
    <w:rsid w:val="00F47DE8"/>
    <w:rsid w:val="00F5014E"/>
    <w:rsid w:val="00F50601"/>
    <w:rsid w:val="00F50D79"/>
    <w:rsid w:val="00F50FA7"/>
    <w:rsid w:val="00F51056"/>
    <w:rsid w:val="00F51BBC"/>
    <w:rsid w:val="00F51BF7"/>
    <w:rsid w:val="00F536FC"/>
    <w:rsid w:val="00F542C1"/>
    <w:rsid w:val="00F54FEB"/>
    <w:rsid w:val="00F55330"/>
    <w:rsid w:val="00F559CD"/>
    <w:rsid w:val="00F55E73"/>
    <w:rsid w:val="00F55EDA"/>
    <w:rsid w:val="00F56C4C"/>
    <w:rsid w:val="00F56C80"/>
    <w:rsid w:val="00F56D97"/>
    <w:rsid w:val="00F5771B"/>
    <w:rsid w:val="00F60092"/>
    <w:rsid w:val="00F602CC"/>
    <w:rsid w:val="00F611C9"/>
    <w:rsid w:val="00F61266"/>
    <w:rsid w:val="00F617AB"/>
    <w:rsid w:val="00F61C18"/>
    <w:rsid w:val="00F61E19"/>
    <w:rsid w:val="00F61ED8"/>
    <w:rsid w:val="00F623CE"/>
    <w:rsid w:val="00F63AA6"/>
    <w:rsid w:val="00F63D27"/>
    <w:rsid w:val="00F6409C"/>
    <w:rsid w:val="00F640E9"/>
    <w:rsid w:val="00F64DDD"/>
    <w:rsid w:val="00F64FBC"/>
    <w:rsid w:val="00F652C5"/>
    <w:rsid w:val="00F65F4B"/>
    <w:rsid w:val="00F67A69"/>
    <w:rsid w:val="00F67ADF"/>
    <w:rsid w:val="00F709B7"/>
    <w:rsid w:val="00F70BFF"/>
    <w:rsid w:val="00F70C9D"/>
    <w:rsid w:val="00F71B29"/>
    <w:rsid w:val="00F720B3"/>
    <w:rsid w:val="00F73063"/>
    <w:rsid w:val="00F73585"/>
    <w:rsid w:val="00F735CC"/>
    <w:rsid w:val="00F73807"/>
    <w:rsid w:val="00F739C6"/>
    <w:rsid w:val="00F74779"/>
    <w:rsid w:val="00F74CD9"/>
    <w:rsid w:val="00F75490"/>
    <w:rsid w:val="00F76AC4"/>
    <w:rsid w:val="00F76FAE"/>
    <w:rsid w:val="00F7776C"/>
    <w:rsid w:val="00F77DF0"/>
    <w:rsid w:val="00F80A7B"/>
    <w:rsid w:val="00F80E5D"/>
    <w:rsid w:val="00F8154D"/>
    <w:rsid w:val="00F817E8"/>
    <w:rsid w:val="00F8196E"/>
    <w:rsid w:val="00F81A59"/>
    <w:rsid w:val="00F81B02"/>
    <w:rsid w:val="00F81E78"/>
    <w:rsid w:val="00F81F7A"/>
    <w:rsid w:val="00F82043"/>
    <w:rsid w:val="00F82159"/>
    <w:rsid w:val="00F825F6"/>
    <w:rsid w:val="00F8305A"/>
    <w:rsid w:val="00F84014"/>
    <w:rsid w:val="00F840B4"/>
    <w:rsid w:val="00F84275"/>
    <w:rsid w:val="00F845FF"/>
    <w:rsid w:val="00F84D4B"/>
    <w:rsid w:val="00F851CE"/>
    <w:rsid w:val="00F8520B"/>
    <w:rsid w:val="00F85B85"/>
    <w:rsid w:val="00F85EAD"/>
    <w:rsid w:val="00F86682"/>
    <w:rsid w:val="00F86BEB"/>
    <w:rsid w:val="00F872F7"/>
    <w:rsid w:val="00F8737A"/>
    <w:rsid w:val="00F87AAB"/>
    <w:rsid w:val="00F900B0"/>
    <w:rsid w:val="00F9021F"/>
    <w:rsid w:val="00F911E3"/>
    <w:rsid w:val="00F91219"/>
    <w:rsid w:val="00F91D93"/>
    <w:rsid w:val="00F92046"/>
    <w:rsid w:val="00F92444"/>
    <w:rsid w:val="00F924BE"/>
    <w:rsid w:val="00F93673"/>
    <w:rsid w:val="00F9393E"/>
    <w:rsid w:val="00F93ABC"/>
    <w:rsid w:val="00F95B64"/>
    <w:rsid w:val="00F95CEF"/>
    <w:rsid w:val="00F96654"/>
    <w:rsid w:val="00F96FD0"/>
    <w:rsid w:val="00F97439"/>
    <w:rsid w:val="00F97450"/>
    <w:rsid w:val="00F97A78"/>
    <w:rsid w:val="00F97D50"/>
    <w:rsid w:val="00FA0941"/>
    <w:rsid w:val="00FA0B20"/>
    <w:rsid w:val="00FA1835"/>
    <w:rsid w:val="00FA1C01"/>
    <w:rsid w:val="00FA24E7"/>
    <w:rsid w:val="00FA29B6"/>
    <w:rsid w:val="00FA2E52"/>
    <w:rsid w:val="00FA30CD"/>
    <w:rsid w:val="00FA3147"/>
    <w:rsid w:val="00FA3619"/>
    <w:rsid w:val="00FA4004"/>
    <w:rsid w:val="00FA575C"/>
    <w:rsid w:val="00FA5EE6"/>
    <w:rsid w:val="00FA6511"/>
    <w:rsid w:val="00FA71A9"/>
    <w:rsid w:val="00FA77EB"/>
    <w:rsid w:val="00FA7956"/>
    <w:rsid w:val="00FA7DBA"/>
    <w:rsid w:val="00FB2665"/>
    <w:rsid w:val="00FB2FCB"/>
    <w:rsid w:val="00FB3AD7"/>
    <w:rsid w:val="00FB4F61"/>
    <w:rsid w:val="00FB5047"/>
    <w:rsid w:val="00FB533C"/>
    <w:rsid w:val="00FB59D5"/>
    <w:rsid w:val="00FB6039"/>
    <w:rsid w:val="00FB7C55"/>
    <w:rsid w:val="00FC00F2"/>
    <w:rsid w:val="00FC0701"/>
    <w:rsid w:val="00FC09BA"/>
    <w:rsid w:val="00FC1074"/>
    <w:rsid w:val="00FC1884"/>
    <w:rsid w:val="00FC1D64"/>
    <w:rsid w:val="00FC1DBD"/>
    <w:rsid w:val="00FC3008"/>
    <w:rsid w:val="00FC31C2"/>
    <w:rsid w:val="00FC36F1"/>
    <w:rsid w:val="00FC371D"/>
    <w:rsid w:val="00FC3B93"/>
    <w:rsid w:val="00FC4699"/>
    <w:rsid w:val="00FC4D8B"/>
    <w:rsid w:val="00FC5000"/>
    <w:rsid w:val="00FC5765"/>
    <w:rsid w:val="00FC58EB"/>
    <w:rsid w:val="00FC5F0B"/>
    <w:rsid w:val="00FC7711"/>
    <w:rsid w:val="00FC7E98"/>
    <w:rsid w:val="00FC7FC8"/>
    <w:rsid w:val="00FD04FE"/>
    <w:rsid w:val="00FD0C60"/>
    <w:rsid w:val="00FD179B"/>
    <w:rsid w:val="00FD2100"/>
    <w:rsid w:val="00FD2B73"/>
    <w:rsid w:val="00FD2D4F"/>
    <w:rsid w:val="00FD2E15"/>
    <w:rsid w:val="00FD2E4D"/>
    <w:rsid w:val="00FD436C"/>
    <w:rsid w:val="00FD446D"/>
    <w:rsid w:val="00FD469B"/>
    <w:rsid w:val="00FD4F2C"/>
    <w:rsid w:val="00FD5791"/>
    <w:rsid w:val="00FD5CF5"/>
    <w:rsid w:val="00FD60BF"/>
    <w:rsid w:val="00FD6394"/>
    <w:rsid w:val="00FD655F"/>
    <w:rsid w:val="00FE0E6C"/>
    <w:rsid w:val="00FE0EA6"/>
    <w:rsid w:val="00FE1719"/>
    <w:rsid w:val="00FE1CDC"/>
    <w:rsid w:val="00FE24F5"/>
    <w:rsid w:val="00FE2513"/>
    <w:rsid w:val="00FE3582"/>
    <w:rsid w:val="00FE3D93"/>
    <w:rsid w:val="00FE4352"/>
    <w:rsid w:val="00FE4735"/>
    <w:rsid w:val="00FE5704"/>
    <w:rsid w:val="00FE63EF"/>
    <w:rsid w:val="00FE65EC"/>
    <w:rsid w:val="00FE6B8A"/>
    <w:rsid w:val="00FE70C3"/>
    <w:rsid w:val="00FE70FB"/>
    <w:rsid w:val="00FE7C6D"/>
    <w:rsid w:val="00FF1374"/>
    <w:rsid w:val="00FF14C8"/>
    <w:rsid w:val="00FF19F2"/>
    <w:rsid w:val="00FF28F1"/>
    <w:rsid w:val="00FF2AD9"/>
    <w:rsid w:val="00FF359F"/>
    <w:rsid w:val="00FF3DCF"/>
    <w:rsid w:val="00FF492C"/>
    <w:rsid w:val="00FF4A21"/>
    <w:rsid w:val="00FF4F16"/>
    <w:rsid w:val="00FF548A"/>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BB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1D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99"/>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BULLET,_CC_Bullet,Bullet1,Bullet List,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A6B1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7717A7"/>
    <w:pPr>
      <w:numPr>
        <w:ilvl w:val="1"/>
        <w:numId w:val="1"/>
      </w:numPr>
      <w:ind w:left="720"/>
    </w:pPr>
  </w:style>
  <w:style w:type="character" w:customStyle="1" w:styleId="3-BodyTextChar">
    <w:name w:val="3-Body Text Char"/>
    <w:basedOn w:val="ListParagraphChar"/>
    <w:link w:val="3-BodyText"/>
    <w:rsid w:val="007717A7"/>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styleId="EndnoteReference">
    <w:name w:val="endnote reference"/>
    <w:basedOn w:val="DefaultParagraphFont"/>
    <w:uiPriority w:val="99"/>
    <w:unhideWhenUsed/>
    <w:rsid w:val="00E456E9"/>
    <w:rPr>
      <w:vertAlign w:val="superscript"/>
    </w:rPr>
  </w:style>
  <w:style w:type="table" w:customStyle="1" w:styleId="TableGrid1">
    <w:name w:val="Table Grid1"/>
    <w:basedOn w:val="TableNormal"/>
    <w:next w:val="TableGrid"/>
    <w:uiPriority w:val="59"/>
    <w:rsid w:val="00C336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33663"/>
    <w:pPr>
      <w:numPr>
        <w:numId w:val="5"/>
      </w:numPr>
    </w:pPr>
  </w:style>
  <w:style w:type="table" w:customStyle="1" w:styleId="TableGrid5">
    <w:name w:val="Table Grid5"/>
    <w:basedOn w:val="TableNormal"/>
    <w:next w:val="TableGrid"/>
    <w:rsid w:val="00C3366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1">
    <w:name w:val="Section Bi1"/>
    <w:uiPriority w:val="99"/>
    <w:rsid w:val="00C33663"/>
  </w:style>
  <w:style w:type="table" w:customStyle="1" w:styleId="TableGrid11">
    <w:name w:val="Table Grid11"/>
    <w:basedOn w:val="TableNormal"/>
    <w:next w:val="TableGrid"/>
    <w:uiPriority w:val="59"/>
    <w:rsid w:val="00C336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33663"/>
  </w:style>
  <w:style w:type="paragraph" w:customStyle="1" w:styleId="TableFigHeading">
    <w:name w:val="Table&amp;Fig Heading"/>
    <w:qFormat/>
    <w:rsid w:val="00665A92"/>
    <w:pPr>
      <w:spacing w:after="60"/>
      <w:jc w:val="both"/>
    </w:pPr>
    <w:rPr>
      <w:rFonts w:ascii="Garamond" w:eastAsiaTheme="minorHAnsi" w:hAnsi="Garamond" w:cstheme="minorBidi"/>
      <w:b/>
      <w:sz w:val="22"/>
      <w:szCs w:val="22"/>
      <w:lang w:eastAsia="en-US"/>
    </w:rPr>
  </w:style>
  <w:style w:type="character" w:customStyle="1" w:styleId="NoSpacingChar">
    <w:name w:val="No Spacing Char"/>
    <w:aliases w:val="Main text Char,Title Page text Char"/>
    <w:basedOn w:val="DefaultParagraphFont"/>
    <w:link w:val="NoSpacing"/>
    <w:uiPriority w:val="1"/>
    <w:rsid w:val="00665A92"/>
    <w:rPr>
      <w:rFonts w:ascii="Arial" w:hAnsi="Arial" w:cs="Arial"/>
      <w:snapToGrid w:val="0"/>
      <w:sz w:val="22"/>
      <w:lang w:eastAsia="en-US"/>
    </w:rPr>
  </w:style>
  <w:style w:type="paragraph" w:customStyle="1" w:styleId="TableBullet">
    <w:name w:val="Table Bullet"/>
    <w:basedOn w:val="TableText0"/>
    <w:qFormat/>
    <w:rsid w:val="002B6C62"/>
    <w:pPr>
      <w:keepNext w:val="0"/>
      <w:numPr>
        <w:numId w:val="6"/>
      </w:numPr>
      <w:spacing w:before="40" w:after="40"/>
    </w:pPr>
    <w:rPr>
      <w:rFonts w:eastAsiaTheme="minorHAnsi" w:cstheme="minorBidi"/>
      <w:bCs w:val="0"/>
      <w:szCs w:val="22"/>
      <w:lang w:eastAsia="en-US"/>
    </w:rPr>
  </w:style>
  <w:style w:type="paragraph" w:customStyle="1" w:styleId="Summary-Bullet">
    <w:name w:val="Summary - Bullet"/>
    <w:basedOn w:val="Normal"/>
    <w:rsid w:val="00950C78"/>
    <w:pPr>
      <w:keepLines/>
      <w:widowControl w:val="0"/>
      <w:numPr>
        <w:numId w:val="7"/>
      </w:numPr>
      <w:pBdr>
        <w:top w:val="single" w:sz="12" w:space="12" w:color="00529B"/>
        <w:left w:val="single" w:sz="12" w:space="12" w:color="00529B"/>
        <w:bottom w:val="single" w:sz="12" w:space="12" w:color="00529B"/>
        <w:right w:val="single" w:sz="12" w:space="12" w:color="00529B"/>
      </w:pBdr>
      <w:shd w:val="clear" w:color="auto" w:fill="C0C0C0"/>
      <w:spacing w:after="120"/>
      <w:ind w:left="1276" w:right="804" w:hanging="425"/>
      <w:jc w:val="left"/>
    </w:pPr>
    <w:rPr>
      <w:rFonts w:ascii="Tahoma" w:hAnsi="Tahoma" w:cs="Times New Roman"/>
      <w:iCs/>
      <w:noProof/>
      <w:sz w:val="20"/>
      <w:szCs w:val="20"/>
      <w:lang w:val="en-GB" w:eastAsia="en-US"/>
    </w:rPr>
  </w:style>
  <w:style w:type="table" w:customStyle="1" w:styleId="Summarybox1">
    <w:name w:val="Summary box1"/>
    <w:basedOn w:val="TableNormal"/>
    <w:next w:val="TableGrid"/>
    <w:uiPriority w:val="59"/>
    <w:rsid w:val="00957F37"/>
    <w:rPr>
      <w:rFonts w:ascii="Garamond" w:eastAsia="Calibri" w:hAnsi="Garamond"/>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258C"/>
    <w:pPr>
      <w:jc w:val="left"/>
    </w:pPr>
    <w:rPr>
      <w:rFonts w:ascii="Garamond" w:eastAsiaTheme="minorHAnsi" w:hAnsi="Garamond" w:cs="Times New Roman"/>
      <w:sz w:val="20"/>
      <w:szCs w:val="20"/>
      <w:lang w:eastAsia="en-US"/>
    </w:rPr>
  </w:style>
  <w:style w:type="character" w:customStyle="1" w:styleId="FootnoteTextChar">
    <w:name w:val="Footnote Text Char"/>
    <w:basedOn w:val="DefaultParagraphFont"/>
    <w:link w:val="FootnoteText"/>
    <w:uiPriority w:val="99"/>
    <w:rsid w:val="0074258C"/>
    <w:rPr>
      <w:rFonts w:ascii="Garamond" w:eastAsiaTheme="minorHAnsi" w:hAnsi="Garamond"/>
      <w:lang w:eastAsia="en-US"/>
    </w:rPr>
  </w:style>
  <w:style w:type="character" w:styleId="FootnoteReference">
    <w:name w:val="footnote reference"/>
    <w:basedOn w:val="DefaultParagraphFont"/>
    <w:unhideWhenUsed/>
    <w:rsid w:val="0074258C"/>
    <w:rPr>
      <w:vertAlign w:val="superscript"/>
    </w:rPr>
  </w:style>
  <w:style w:type="table" w:customStyle="1" w:styleId="C-Table">
    <w:name w:val="C-Table"/>
    <w:basedOn w:val="TableNormal"/>
    <w:rsid w:val="008A3A97"/>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customStyle="1" w:styleId="C-Table1">
    <w:name w:val="C-Table1"/>
    <w:basedOn w:val="TableNormal"/>
    <w:rsid w:val="00EF6F7D"/>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ref-title">
    <w:name w:val="ref-title"/>
    <w:basedOn w:val="DefaultParagraphFont"/>
    <w:rsid w:val="00900A8D"/>
  </w:style>
  <w:style w:type="character" w:customStyle="1" w:styleId="ref-journal">
    <w:name w:val="ref-journal"/>
    <w:basedOn w:val="DefaultParagraphFont"/>
    <w:rsid w:val="00900A8D"/>
  </w:style>
  <w:style w:type="character" w:customStyle="1" w:styleId="ref-vol">
    <w:name w:val="ref-vol"/>
    <w:basedOn w:val="DefaultParagraphFont"/>
    <w:rsid w:val="00900A8D"/>
  </w:style>
  <w:style w:type="character" w:customStyle="1" w:styleId="InstructionText">
    <w:name w:val="Instruction Text"/>
    <w:basedOn w:val="DefaultParagraphFont"/>
    <w:rsid w:val="00E260E5"/>
    <w:rPr>
      <w:i/>
      <w:iCs/>
      <w:vanish/>
      <w:webHidden w:val="0"/>
      <w:color w:val="FF0000"/>
      <w:specVanish w:val="0"/>
    </w:rPr>
  </w:style>
  <w:style w:type="paragraph" w:customStyle="1" w:styleId="L4heading">
    <w:name w:val="L4 heading"/>
    <w:basedOn w:val="Normal"/>
    <w:link w:val="L4headingChar"/>
    <w:qFormat/>
    <w:rsid w:val="002B0E52"/>
    <w:pPr>
      <w:keepNext/>
      <w:keepLines/>
      <w:spacing w:before="240" w:after="120"/>
    </w:pPr>
    <w:rPr>
      <w:b/>
      <w:i/>
    </w:rPr>
  </w:style>
  <w:style w:type="character" w:customStyle="1" w:styleId="L4headingChar">
    <w:name w:val="L4 heading Char"/>
    <w:basedOn w:val="DefaultParagraphFont"/>
    <w:link w:val="L4heading"/>
    <w:rsid w:val="002B0E52"/>
    <w:rPr>
      <w:rFonts w:ascii="Calibri" w:hAnsi="Calibri" w:cs="Arial"/>
      <w:b/>
      <w:i/>
      <w:sz w:val="24"/>
      <w:szCs w:val="24"/>
    </w:rPr>
  </w:style>
  <w:style w:type="paragraph" w:customStyle="1" w:styleId="PBACbulletpoint">
    <w:name w:val="PBAC bullet point"/>
    <w:basedOn w:val="ListParagraph"/>
    <w:link w:val="PBACbulletpointChar"/>
    <w:qFormat/>
    <w:rsid w:val="00C44BCF"/>
    <w:pPr>
      <w:widowControl w:val="0"/>
      <w:numPr>
        <w:numId w:val="20"/>
      </w:numPr>
    </w:pPr>
    <w:rPr>
      <w:bCs/>
    </w:rPr>
  </w:style>
  <w:style w:type="character" w:customStyle="1" w:styleId="ListBulletChar">
    <w:name w:val="List Bullet Char"/>
    <w:basedOn w:val="DefaultParagraphFont"/>
    <w:link w:val="ListBullet"/>
    <w:rsid w:val="007717A7"/>
    <w:rPr>
      <w:rFonts w:ascii="Calibri" w:hAnsi="Calibri" w:cs="Arial"/>
      <w:sz w:val="24"/>
      <w:szCs w:val="24"/>
    </w:rPr>
  </w:style>
  <w:style w:type="character" w:customStyle="1" w:styleId="PBACbulletpointChar">
    <w:name w:val="PBAC bullet point Char"/>
    <w:basedOn w:val="ListBulletChar"/>
    <w:link w:val="PBACbulletpoint"/>
    <w:rsid w:val="00C44BCF"/>
    <w:rPr>
      <w:rFonts w:asciiTheme="minorHAnsi" w:hAnsiTheme="minorHAnsi" w:cs="Arial"/>
      <w:bCs/>
      <w:snapToGrid w:val="0"/>
      <w:sz w:val="24"/>
      <w:szCs w:val="24"/>
    </w:rPr>
  </w:style>
  <w:style w:type="paragraph" w:customStyle="1" w:styleId="ExecSumBodyText">
    <w:name w:val="Exec Sum Body Text"/>
    <w:basedOn w:val="Normal"/>
    <w:qFormat/>
    <w:rsid w:val="0087595C"/>
    <w:pPr>
      <w:spacing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68854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934633633">
      <w:bodyDiv w:val="1"/>
      <w:marLeft w:val="0"/>
      <w:marRight w:val="0"/>
      <w:marTop w:val="0"/>
      <w:marBottom w:val="0"/>
      <w:divBdr>
        <w:top w:val="none" w:sz="0" w:space="0" w:color="auto"/>
        <w:left w:val="none" w:sz="0" w:space="0" w:color="auto"/>
        <w:bottom w:val="none" w:sz="0" w:space="0" w:color="auto"/>
        <w:right w:val="none" w:sz="0" w:space="0" w:color="auto"/>
      </w:divBdr>
    </w:div>
    <w:div w:id="102636877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296">
      <w:bodyDiv w:val="1"/>
      <w:marLeft w:val="0"/>
      <w:marRight w:val="0"/>
      <w:marTop w:val="0"/>
      <w:marBottom w:val="0"/>
      <w:divBdr>
        <w:top w:val="none" w:sz="0" w:space="0" w:color="auto"/>
        <w:left w:val="none" w:sz="0" w:space="0" w:color="auto"/>
        <w:bottom w:val="none" w:sz="0" w:space="0" w:color="auto"/>
        <w:right w:val="none" w:sz="0" w:space="0" w:color="auto"/>
      </w:divBdr>
    </w:div>
    <w:div w:id="1827279556">
      <w:bodyDiv w:val="1"/>
      <w:marLeft w:val="0"/>
      <w:marRight w:val="0"/>
      <w:marTop w:val="0"/>
      <w:marBottom w:val="0"/>
      <w:divBdr>
        <w:top w:val="none" w:sz="0" w:space="0" w:color="auto"/>
        <w:left w:val="none" w:sz="0" w:space="0" w:color="auto"/>
        <w:bottom w:val="none" w:sz="0" w:space="0" w:color="auto"/>
        <w:right w:val="none" w:sz="0" w:space="0" w:color="auto"/>
      </w:divBdr>
    </w:div>
    <w:div w:id="192571910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protect-au.mimecast.com/s/gB5gC3Q8Z2FppB7vYHqxwtd?domain=nice.org.uk" TargetMode="External"/><Relationship Id="rId1" Type="http://schemas.openxmlformats.org/officeDocument/2006/relationships/hyperlink" Target="https://protect-au.mimecast.com/s/lyedC2xZYvCppjKQoHnPNL6?domain=racgp.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48C7-680E-41B2-B2AF-8F3C328C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14422</Words>
  <Characters>78914</Characters>
  <Application>Microsoft Office Word</Application>
  <DocSecurity>0</DocSecurity>
  <Lines>657</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2020-06-19T06:38:00Z</dcterms:created>
  <dcterms:modified xsi:type="dcterms:W3CDTF">2020-06-24T23:36:00Z</dcterms:modified>
</cp:coreProperties>
</file>