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0E" w:rsidRPr="00DD31CC" w:rsidRDefault="00DA3B0E" w:rsidP="00DA3B0E"/>
    <w:p w:rsidR="006552E6" w:rsidRPr="00EA5E6F" w:rsidRDefault="00343E62" w:rsidP="00EA5E6F">
      <w:pPr>
        <w:ind w:left="709" w:hanging="709"/>
        <w:outlineLvl w:val="0"/>
        <w:rPr>
          <w:rFonts w:asciiTheme="minorHAnsi" w:hAnsiTheme="minorHAnsi" w:cstheme="minorHAnsi"/>
          <w:b/>
          <w:sz w:val="36"/>
          <w:szCs w:val="36"/>
        </w:rPr>
      </w:pPr>
      <w:r w:rsidRPr="00DD31CC">
        <w:rPr>
          <w:rFonts w:asciiTheme="minorHAnsi" w:hAnsiTheme="minorHAnsi" w:cstheme="minorHAnsi"/>
          <w:b/>
          <w:sz w:val="36"/>
          <w:szCs w:val="36"/>
        </w:rPr>
        <w:t>6.10</w:t>
      </w:r>
      <w:r w:rsidRPr="00DD31CC">
        <w:rPr>
          <w:rFonts w:asciiTheme="minorHAnsi" w:hAnsiTheme="minorHAnsi" w:cstheme="minorHAnsi"/>
          <w:b/>
          <w:sz w:val="36"/>
          <w:szCs w:val="36"/>
        </w:rPr>
        <w:tab/>
        <w:t>LISDEXAMFETAMINE</w:t>
      </w:r>
      <w:r w:rsidR="007F122B" w:rsidRPr="00DD31CC">
        <w:rPr>
          <w:rFonts w:asciiTheme="minorHAnsi" w:hAnsiTheme="minorHAnsi" w:cstheme="minorHAnsi"/>
          <w:b/>
          <w:sz w:val="36"/>
          <w:szCs w:val="36"/>
        </w:rPr>
        <w:t>,</w:t>
      </w:r>
      <w:r w:rsidR="00DE45F6" w:rsidRPr="00DD31CC">
        <w:rPr>
          <w:rFonts w:asciiTheme="minorHAnsi" w:hAnsiTheme="minorHAnsi" w:cstheme="minorHAnsi"/>
          <w:b/>
          <w:sz w:val="36"/>
          <w:szCs w:val="36"/>
        </w:rPr>
        <w:t xml:space="preserve"> </w:t>
      </w:r>
      <w:r w:rsidR="00DE45F6" w:rsidRPr="00DD31CC">
        <w:rPr>
          <w:rFonts w:asciiTheme="minorHAnsi" w:hAnsiTheme="minorHAnsi" w:cstheme="minorHAnsi"/>
          <w:b/>
          <w:sz w:val="36"/>
          <w:szCs w:val="36"/>
        </w:rPr>
        <w:br/>
      </w:r>
      <w:r w:rsidRPr="00DD31CC">
        <w:rPr>
          <w:rFonts w:asciiTheme="minorHAnsi" w:hAnsiTheme="minorHAnsi" w:cstheme="minorHAnsi"/>
          <w:b/>
          <w:sz w:val="36"/>
          <w:szCs w:val="36"/>
        </w:rPr>
        <w:t>Capsule containing lisdexamfetamine dimesilate,</w:t>
      </w:r>
      <w:r w:rsidR="00DE45F6" w:rsidRPr="00DD31CC">
        <w:rPr>
          <w:rFonts w:asciiTheme="minorHAnsi" w:hAnsiTheme="minorHAnsi" w:cstheme="minorHAnsi"/>
          <w:b/>
          <w:sz w:val="36"/>
          <w:szCs w:val="36"/>
        </w:rPr>
        <w:t xml:space="preserve"> </w:t>
      </w:r>
      <w:r w:rsidR="00DE45F6" w:rsidRPr="00DD31CC">
        <w:rPr>
          <w:rFonts w:asciiTheme="minorHAnsi" w:hAnsiTheme="minorHAnsi" w:cstheme="minorHAnsi"/>
          <w:b/>
          <w:sz w:val="36"/>
          <w:szCs w:val="36"/>
        </w:rPr>
        <w:br/>
      </w:r>
      <w:r w:rsidRPr="00DD31CC">
        <w:rPr>
          <w:rFonts w:asciiTheme="minorHAnsi" w:hAnsiTheme="minorHAnsi" w:cstheme="minorHAnsi"/>
          <w:b/>
          <w:sz w:val="36"/>
          <w:szCs w:val="36"/>
        </w:rPr>
        <w:t>20 mg, 30 mg, 40 mg, 50 mg, 60 mg and 70 mg,</w:t>
      </w:r>
      <w:r w:rsidR="00DE45F6" w:rsidRPr="00DD31CC">
        <w:rPr>
          <w:rFonts w:asciiTheme="minorHAnsi" w:hAnsiTheme="minorHAnsi" w:cstheme="minorHAnsi"/>
          <w:b/>
          <w:sz w:val="36"/>
          <w:szCs w:val="36"/>
        </w:rPr>
        <w:t xml:space="preserve"> </w:t>
      </w:r>
      <w:r w:rsidR="00DE45F6" w:rsidRPr="00DD31CC">
        <w:rPr>
          <w:rFonts w:asciiTheme="minorHAnsi" w:hAnsiTheme="minorHAnsi" w:cstheme="minorHAnsi"/>
          <w:b/>
          <w:sz w:val="36"/>
          <w:szCs w:val="36"/>
        </w:rPr>
        <w:br/>
      </w:r>
      <w:r w:rsidRPr="00DD31CC">
        <w:rPr>
          <w:rFonts w:asciiTheme="minorHAnsi" w:hAnsiTheme="minorHAnsi" w:cstheme="minorHAnsi"/>
          <w:b/>
          <w:sz w:val="36"/>
          <w:szCs w:val="36"/>
        </w:rPr>
        <w:t>Vyvanse</w:t>
      </w:r>
      <w:r w:rsidR="007F122B" w:rsidRPr="00DD31CC">
        <w:rPr>
          <w:rFonts w:asciiTheme="minorHAnsi" w:hAnsiTheme="minorHAnsi" w:cstheme="minorHAnsi"/>
          <w:b/>
          <w:sz w:val="36"/>
          <w:szCs w:val="36"/>
          <w:vertAlign w:val="superscript"/>
        </w:rPr>
        <w:t>®</w:t>
      </w:r>
      <w:r w:rsidR="007F122B" w:rsidRPr="00DD31CC">
        <w:rPr>
          <w:rFonts w:asciiTheme="minorHAnsi" w:hAnsiTheme="minorHAnsi" w:cstheme="minorHAnsi"/>
          <w:b/>
          <w:sz w:val="36"/>
          <w:szCs w:val="36"/>
        </w:rPr>
        <w:t xml:space="preserve">, </w:t>
      </w:r>
      <w:r w:rsidR="00DE45F6" w:rsidRPr="00DD31CC">
        <w:rPr>
          <w:rFonts w:asciiTheme="minorHAnsi" w:hAnsiTheme="minorHAnsi" w:cstheme="minorHAnsi"/>
          <w:b/>
          <w:sz w:val="36"/>
          <w:szCs w:val="36"/>
        </w:rPr>
        <w:br/>
      </w:r>
      <w:r w:rsidRPr="00DD31CC">
        <w:rPr>
          <w:rFonts w:asciiTheme="minorHAnsi" w:hAnsiTheme="minorHAnsi" w:cstheme="minorHAnsi"/>
          <w:b/>
          <w:sz w:val="36"/>
          <w:szCs w:val="36"/>
        </w:rPr>
        <w:t>Shire Australia Pty Ltd</w:t>
      </w:r>
    </w:p>
    <w:p w:rsidR="008A50F1" w:rsidRPr="00DD31CC" w:rsidRDefault="00CE10C4" w:rsidP="00BD1BB3">
      <w:pPr>
        <w:pStyle w:val="2Sections"/>
        <w:numPr>
          <w:ilvl w:val="0"/>
          <w:numId w:val="7"/>
        </w:numPr>
      </w:pPr>
      <w:r w:rsidRPr="00DD31CC">
        <w:t xml:space="preserve">Purpose of </w:t>
      </w:r>
      <w:r w:rsidR="0004240E" w:rsidRPr="00DD31CC">
        <w:t>Application</w:t>
      </w:r>
    </w:p>
    <w:p w:rsidR="00EF44A0" w:rsidRPr="00DD31CC" w:rsidRDefault="00EF44A0" w:rsidP="00BA5A7A">
      <w:pPr>
        <w:pStyle w:val="ListParagraph"/>
        <w:widowControl/>
        <w:numPr>
          <w:ilvl w:val="1"/>
          <w:numId w:val="1"/>
        </w:numPr>
        <w:spacing w:after="120"/>
        <w:contextualSpacing w:val="0"/>
        <w:rPr>
          <w:rFonts w:asciiTheme="minorHAnsi" w:hAnsiTheme="minorHAnsi"/>
          <w:sz w:val="24"/>
          <w:szCs w:val="24"/>
        </w:rPr>
      </w:pPr>
      <w:r w:rsidRPr="00DD31CC">
        <w:rPr>
          <w:rFonts w:asciiTheme="minorHAnsi" w:eastAsiaTheme="minorHAnsi" w:hAnsiTheme="minorHAnsi" w:cstheme="minorBidi"/>
          <w:snapToGrid/>
          <w:sz w:val="24"/>
          <w:szCs w:val="22"/>
        </w:rPr>
        <w:t>The mi</w:t>
      </w:r>
      <w:r w:rsidR="00FF2801" w:rsidRPr="00DD31CC">
        <w:rPr>
          <w:rFonts w:asciiTheme="minorHAnsi" w:eastAsiaTheme="minorHAnsi" w:hAnsiTheme="minorHAnsi" w:cstheme="minorBidi"/>
          <w:snapToGrid/>
          <w:sz w:val="24"/>
          <w:szCs w:val="22"/>
        </w:rPr>
        <w:t xml:space="preserve">nor </w:t>
      </w:r>
      <w:r w:rsidR="00343E62" w:rsidRPr="00DD31CC">
        <w:rPr>
          <w:rFonts w:asciiTheme="minorHAnsi" w:eastAsiaTheme="minorHAnsi" w:hAnsiTheme="minorHAnsi" w:cstheme="minorBidi"/>
          <w:snapToGrid/>
          <w:sz w:val="24"/>
          <w:szCs w:val="22"/>
        </w:rPr>
        <w:t xml:space="preserve">submission </w:t>
      </w:r>
      <w:r w:rsidR="00FB6966" w:rsidRPr="00DD31CC">
        <w:rPr>
          <w:rFonts w:asciiTheme="minorHAnsi" w:eastAsiaTheme="minorHAnsi" w:hAnsiTheme="minorHAnsi" w:cstheme="minorBidi"/>
          <w:snapToGrid/>
          <w:sz w:val="24"/>
          <w:szCs w:val="22"/>
        </w:rPr>
        <w:t>sought to</w:t>
      </w:r>
      <w:r w:rsidR="00343E62" w:rsidRPr="00DD31CC">
        <w:rPr>
          <w:rFonts w:asciiTheme="minorHAnsi" w:eastAsiaTheme="minorHAnsi" w:hAnsiTheme="minorHAnsi" w:cstheme="minorBidi"/>
          <w:snapToGrid/>
          <w:sz w:val="24"/>
          <w:szCs w:val="22"/>
        </w:rPr>
        <w:t xml:space="preserve"> remov</w:t>
      </w:r>
      <w:r w:rsidR="00FB6966" w:rsidRPr="00DD31CC">
        <w:rPr>
          <w:rFonts w:asciiTheme="minorHAnsi" w:eastAsiaTheme="minorHAnsi" w:hAnsiTheme="minorHAnsi" w:cstheme="minorBidi"/>
          <w:snapToGrid/>
          <w:sz w:val="24"/>
          <w:szCs w:val="22"/>
        </w:rPr>
        <w:t>e</w:t>
      </w:r>
      <w:r w:rsidR="00343E62" w:rsidRPr="00DD31CC">
        <w:rPr>
          <w:rFonts w:asciiTheme="minorHAnsi" w:eastAsiaTheme="minorHAnsi" w:hAnsiTheme="minorHAnsi" w:cstheme="minorBidi"/>
          <w:snapToGrid/>
          <w:sz w:val="24"/>
          <w:szCs w:val="22"/>
        </w:rPr>
        <w:t xml:space="preserve"> the </w:t>
      </w:r>
      <w:r w:rsidR="0007660B" w:rsidRPr="00DD31CC">
        <w:rPr>
          <w:rFonts w:asciiTheme="minorHAnsi" w:eastAsiaTheme="minorHAnsi" w:hAnsiTheme="minorHAnsi" w:cstheme="minorBidi"/>
          <w:snapToGrid/>
          <w:sz w:val="24"/>
          <w:szCs w:val="22"/>
        </w:rPr>
        <w:t xml:space="preserve">age of diagnosis criterion in the </w:t>
      </w:r>
      <w:r w:rsidR="009E3B80" w:rsidRPr="00DD31CC">
        <w:rPr>
          <w:rFonts w:asciiTheme="minorHAnsi" w:eastAsiaTheme="minorHAnsi" w:hAnsiTheme="minorHAnsi" w:cstheme="minorBidi"/>
          <w:snapToGrid/>
          <w:sz w:val="24"/>
          <w:szCs w:val="22"/>
        </w:rPr>
        <w:t>Authority Required listings of lisdexamfetamine (LDX)</w:t>
      </w:r>
      <w:r w:rsidR="00545CE0" w:rsidRPr="00DD31CC">
        <w:rPr>
          <w:rFonts w:asciiTheme="minorHAnsi" w:eastAsiaTheme="minorHAnsi" w:hAnsiTheme="minorHAnsi" w:cstheme="minorBidi"/>
          <w:snapToGrid/>
          <w:sz w:val="24"/>
          <w:szCs w:val="22"/>
        </w:rPr>
        <w:t xml:space="preserve"> for attention deficit hyperactivity disorder (ADHD)</w:t>
      </w:r>
      <w:r w:rsidR="00FD18DA" w:rsidRPr="00DD31CC">
        <w:rPr>
          <w:rFonts w:asciiTheme="minorHAnsi" w:eastAsiaTheme="minorHAnsi" w:hAnsiTheme="minorHAnsi" w:cstheme="minorBidi"/>
          <w:snapToGrid/>
          <w:sz w:val="24"/>
          <w:szCs w:val="22"/>
        </w:rPr>
        <w:t xml:space="preserve"> to allow use in patients diagnosed over the age of 18 years</w:t>
      </w:r>
      <w:r w:rsidR="00DD31CC">
        <w:rPr>
          <w:rFonts w:asciiTheme="minorHAnsi" w:eastAsiaTheme="minorHAnsi" w:hAnsiTheme="minorHAnsi" w:cstheme="minorBidi"/>
          <w:snapToGrid/>
          <w:sz w:val="24"/>
          <w:szCs w:val="22"/>
        </w:rPr>
        <w:t xml:space="preserve">. </w:t>
      </w:r>
    </w:p>
    <w:p w:rsidR="00BF3C35" w:rsidRPr="00DD31CC" w:rsidRDefault="0007660B" w:rsidP="00BA5A7A">
      <w:pPr>
        <w:pStyle w:val="ListParagraph"/>
        <w:widowControl/>
        <w:numPr>
          <w:ilvl w:val="1"/>
          <w:numId w:val="1"/>
        </w:numPr>
        <w:spacing w:after="120"/>
        <w:contextualSpacing w:val="0"/>
        <w:rPr>
          <w:rFonts w:asciiTheme="minorHAnsi" w:hAnsiTheme="minorHAnsi"/>
          <w:sz w:val="24"/>
          <w:szCs w:val="24"/>
        </w:rPr>
      </w:pPr>
      <w:r w:rsidRPr="00DD31CC">
        <w:rPr>
          <w:rFonts w:asciiTheme="minorHAnsi" w:hAnsiTheme="minorHAnsi"/>
          <w:sz w:val="24"/>
          <w:szCs w:val="24"/>
        </w:rPr>
        <w:t>The minor submission requested</w:t>
      </w:r>
      <w:r w:rsidR="00BF3C35" w:rsidRPr="00DD31CC">
        <w:rPr>
          <w:rFonts w:asciiTheme="minorHAnsi" w:hAnsiTheme="minorHAnsi"/>
          <w:sz w:val="24"/>
          <w:szCs w:val="24"/>
        </w:rPr>
        <w:t xml:space="preserve"> a price premium for LDX in the expanded (adult) population</w:t>
      </w:r>
      <w:r w:rsidR="00424941" w:rsidRPr="00DD31CC">
        <w:rPr>
          <w:rFonts w:asciiTheme="minorHAnsi" w:hAnsiTheme="minorHAnsi"/>
          <w:sz w:val="24"/>
          <w:szCs w:val="24"/>
        </w:rPr>
        <w:t xml:space="preserve"> only,</w:t>
      </w:r>
      <w:r w:rsidR="00BF3C35" w:rsidRPr="00DD31CC">
        <w:rPr>
          <w:rFonts w:asciiTheme="minorHAnsi" w:hAnsiTheme="minorHAnsi"/>
          <w:sz w:val="24"/>
          <w:szCs w:val="24"/>
        </w:rPr>
        <w:t xml:space="preserve"> relative to</w:t>
      </w:r>
      <w:r w:rsidRPr="00DD31CC">
        <w:rPr>
          <w:rFonts w:asciiTheme="minorHAnsi" w:hAnsiTheme="minorHAnsi"/>
          <w:sz w:val="24"/>
          <w:szCs w:val="24"/>
        </w:rPr>
        <w:t xml:space="preserve"> the nominated comparator,</w:t>
      </w:r>
      <w:r w:rsidR="00BF3C35" w:rsidRPr="00DD31CC">
        <w:rPr>
          <w:rFonts w:asciiTheme="minorHAnsi" w:hAnsiTheme="minorHAnsi"/>
          <w:sz w:val="24"/>
          <w:szCs w:val="24"/>
        </w:rPr>
        <w:t xml:space="preserve"> immediate release dexamfetamine (IR DEX). </w:t>
      </w:r>
      <w:r w:rsidR="00424941" w:rsidRPr="00DD31CC">
        <w:rPr>
          <w:rFonts w:asciiTheme="minorHAnsi" w:hAnsiTheme="minorHAnsi"/>
          <w:sz w:val="24"/>
          <w:szCs w:val="24"/>
        </w:rPr>
        <w:t xml:space="preserve">This represents an overall </w:t>
      </w:r>
      <w:r w:rsidR="00F10657" w:rsidRPr="00DD31CC">
        <w:rPr>
          <w:rFonts w:asciiTheme="minorHAnsi" w:hAnsiTheme="minorHAnsi"/>
          <w:sz w:val="24"/>
          <w:szCs w:val="24"/>
        </w:rPr>
        <w:t>price reduction</w:t>
      </w:r>
      <w:r w:rsidR="00424941" w:rsidRPr="00DD31CC">
        <w:rPr>
          <w:rFonts w:asciiTheme="minorHAnsi" w:hAnsiTheme="minorHAnsi"/>
          <w:sz w:val="24"/>
          <w:szCs w:val="24"/>
        </w:rPr>
        <w:t xml:space="preserve"> for lisdexam</w:t>
      </w:r>
      <w:r w:rsidR="00F10657" w:rsidRPr="00DD31CC">
        <w:rPr>
          <w:rFonts w:asciiTheme="minorHAnsi" w:hAnsiTheme="minorHAnsi"/>
          <w:sz w:val="24"/>
          <w:szCs w:val="24"/>
        </w:rPr>
        <w:t>f</w:t>
      </w:r>
      <w:r w:rsidR="00424941" w:rsidRPr="00DD31CC">
        <w:rPr>
          <w:rFonts w:asciiTheme="minorHAnsi" w:hAnsiTheme="minorHAnsi"/>
          <w:sz w:val="24"/>
          <w:szCs w:val="24"/>
        </w:rPr>
        <w:t xml:space="preserve">etamine across the whole population. </w:t>
      </w:r>
    </w:p>
    <w:p w:rsidR="005E746A" w:rsidRPr="00DD31CC" w:rsidRDefault="005E746A" w:rsidP="005E746A">
      <w:pPr>
        <w:pStyle w:val="2Sections"/>
      </w:pPr>
      <w:r w:rsidRPr="00DD31CC">
        <w:t xml:space="preserve">Background </w:t>
      </w:r>
    </w:p>
    <w:p w:rsidR="00AA2F40" w:rsidRPr="00DD31CC" w:rsidRDefault="00AA2F40" w:rsidP="00AA2F40">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Previous PBAC consideration</w:t>
      </w:r>
    </w:p>
    <w:p w:rsidR="00AA2F40" w:rsidRPr="00DD31CC" w:rsidRDefault="00AA2F40" w:rsidP="00DA3962">
      <w:pPr>
        <w:pStyle w:val="3Bodytext"/>
        <w:numPr>
          <w:ilvl w:val="1"/>
          <w:numId w:val="1"/>
        </w:numPr>
        <w:jc w:val="both"/>
      </w:pPr>
      <w:r w:rsidRPr="00DD31CC">
        <w:t>At its July 2014 meeting, the PBAC recommended the listing of LDX (30</w:t>
      </w:r>
      <w:r w:rsidR="0081788D" w:rsidRPr="00DD31CC">
        <w:t xml:space="preserve"> mg</w:t>
      </w:r>
      <w:r w:rsidRPr="00DD31CC">
        <w:t xml:space="preserve">, 50 </w:t>
      </w:r>
      <w:r w:rsidR="0081788D" w:rsidRPr="00DD31CC">
        <w:t xml:space="preserve">mg </w:t>
      </w:r>
      <w:r w:rsidRPr="00DD31CC">
        <w:t>and 70</w:t>
      </w:r>
      <w:r w:rsidR="0007660B" w:rsidRPr="00DD31CC">
        <w:t xml:space="preserve"> </w:t>
      </w:r>
      <w:r w:rsidR="0081788D" w:rsidRPr="00DD31CC">
        <w:t>mg</w:t>
      </w:r>
      <w:r w:rsidRPr="00DD31CC">
        <w:t xml:space="preserve">) on a cost-minimisation basis with </w:t>
      </w:r>
      <w:r w:rsidR="008418A4" w:rsidRPr="00DD31CC">
        <w:t>long-acting methylphenidate</w:t>
      </w:r>
      <w:r w:rsidRPr="00DD31CC">
        <w:t xml:space="preserve"> </w:t>
      </w:r>
      <w:r w:rsidR="00545CE0" w:rsidRPr="00DD31CC">
        <w:t>(Concerta</w:t>
      </w:r>
      <w:r w:rsidR="00062D6E" w:rsidRPr="00DD31CC">
        <w:t>®</w:t>
      </w:r>
      <w:r w:rsidR="00545CE0" w:rsidRPr="00DD31CC">
        <w:t xml:space="preserve">) </w:t>
      </w:r>
      <w:r w:rsidRPr="00DD31CC">
        <w:t>for use in both children and adolescents. The PBAC accepted that a modest clinical need existed for alternative treatments for ADHD in children and adolescents as response to one treatment over another appea</w:t>
      </w:r>
      <w:r w:rsidR="00DA3962" w:rsidRPr="00DD31CC">
        <w:t xml:space="preserve">rs to be highly individualised. </w:t>
      </w:r>
      <w:r w:rsidRPr="00DD31CC">
        <w:t>At its July 2019 m</w:t>
      </w:r>
      <w:r w:rsidR="00850B12" w:rsidRPr="00DD31CC">
        <w:t>eeting, the PBAC recommended three</w:t>
      </w:r>
      <w:r w:rsidRPr="00DD31CC">
        <w:t xml:space="preserve"> new strengths of LDX</w:t>
      </w:r>
      <w:r w:rsidR="00850B12" w:rsidRPr="00DD31CC">
        <w:t xml:space="preserve"> (20</w:t>
      </w:r>
      <w:r w:rsidR="0081788D" w:rsidRPr="00DD31CC">
        <w:t xml:space="preserve"> mg</w:t>
      </w:r>
      <w:r w:rsidR="00850B12" w:rsidRPr="00DD31CC">
        <w:t xml:space="preserve">, 40 </w:t>
      </w:r>
      <w:r w:rsidR="0081788D" w:rsidRPr="00DD31CC">
        <w:t xml:space="preserve">mg </w:t>
      </w:r>
      <w:r w:rsidR="00850B12" w:rsidRPr="00DD31CC">
        <w:t>and 60 mg)</w:t>
      </w:r>
      <w:r w:rsidRPr="00DD31CC">
        <w:t xml:space="preserve"> and considered they would provide greater dosing flexibility to achieve optimal efficacy and tolerability for patients. </w:t>
      </w:r>
    </w:p>
    <w:p w:rsidR="00721B19" w:rsidRPr="00DD31CC" w:rsidRDefault="00721B19" w:rsidP="00DA3962">
      <w:pPr>
        <w:pStyle w:val="ListParagraph"/>
        <w:widowControl/>
        <w:numPr>
          <w:ilvl w:val="1"/>
          <w:numId w:val="1"/>
        </w:numPr>
        <w:spacing w:after="120"/>
        <w:contextualSpacing w:val="0"/>
        <w:rPr>
          <w:rFonts w:asciiTheme="minorHAnsi" w:hAnsiTheme="minorHAnsi"/>
          <w:sz w:val="24"/>
          <w:szCs w:val="24"/>
        </w:rPr>
      </w:pPr>
      <w:r w:rsidRPr="00DD31CC">
        <w:rPr>
          <w:rFonts w:asciiTheme="minorHAnsi" w:eastAsiaTheme="minorHAnsi" w:hAnsiTheme="minorHAnsi" w:cstheme="minorBidi"/>
          <w:snapToGrid/>
          <w:sz w:val="24"/>
          <w:szCs w:val="22"/>
        </w:rPr>
        <w:t>LDX is currently listed on the PBS for the treatment of patients with ADHD diagnosed between the ages of 6 and 18 years</w:t>
      </w:r>
      <w:r w:rsidR="005A0C0D" w:rsidRPr="00DD31CC">
        <w:rPr>
          <w:rFonts w:asciiTheme="minorHAnsi" w:eastAsiaTheme="minorHAnsi" w:hAnsiTheme="minorHAnsi" w:cstheme="minorBidi"/>
          <w:snapToGrid/>
          <w:sz w:val="24"/>
          <w:szCs w:val="22"/>
        </w:rPr>
        <w:t xml:space="preserve"> (inclusive)</w:t>
      </w:r>
      <w:r w:rsidRPr="00DD31CC">
        <w:rPr>
          <w:rFonts w:asciiTheme="minorHAnsi" w:eastAsiaTheme="minorHAnsi" w:hAnsiTheme="minorHAnsi" w:cstheme="minorBidi"/>
          <w:snapToGrid/>
          <w:sz w:val="24"/>
          <w:szCs w:val="22"/>
        </w:rPr>
        <w:t>. This same PBS restriction applies to all long</w:t>
      </w:r>
      <w:r w:rsidR="00495CE5" w:rsidRPr="00DD31CC">
        <w:rPr>
          <w:rFonts w:asciiTheme="minorHAnsi" w:eastAsiaTheme="minorHAnsi" w:hAnsiTheme="minorHAnsi" w:cstheme="minorBidi"/>
          <w:snapToGrid/>
          <w:sz w:val="24"/>
          <w:szCs w:val="22"/>
        </w:rPr>
        <w:t>-</w:t>
      </w:r>
      <w:r w:rsidRPr="00DD31CC">
        <w:rPr>
          <w:rFonts w:asciiTheme="minorHAnsi" w:eastAsiaTheme="minorHAnsi" w:hAnsiTheme="minorHAnsi" w:cstheme="minorBidi"/>
          <w:snapToGrid/>
          <w:sz w:val="24"/>
          <w:szCs w:val="22"/>
        </w:rPr>
        <w:t>acting stimulant medications used in t</w:t>
      </w:r>
      <w:r w:rsidR="00495CE5" w:rsidRPr="00DD31CC">
        <w:rPr>
          <w:rFonts w:asciiTheme="minorHAnsi" w:eastAsiaTheme="minorHAnsi" w:hAnsiTheme="minorHAnsi" w:cstheme="minorBidi"/>
          <w:snapToGrid/>
          <w:sz w:val="24"/>
          <w:szCs w:val="22"/>
        </w:rPr>
        <w:t>he treatment of ADHD, i.e. long-</w:t>
      </w:r>
      <w:r w:rsidRPr="00DD31CC">
        <w:rPr>
          <w:rFonts w:asciiTheme="minorHAnsi" w:eastAsiaTheme="minorHAnsi" w:hAnsiTheme="minorHAnsi" w:cstheme="minorBidi"/>
          <w:snapToGrid/>
          <w:sz w:val="24"/>
          <w:szCs w:val="22"/>
        </w:rPr>
        <w:t>acting methylph</w:t>
      </w:r>
      <w:r w:rsidR="00FD18DA" w:rsidRPr="00DD31CC">
        <w:rPr>
          <w:rFonts w:asciiTheme="minorHAnsi" w:eastAsiaTheme="minorHAnsi" w:hAnsiTheme="minorHAnsi" w:cstheme="minorBidi"/>
          <w:snapToGrid/>
          <w:sz w:val="24"/>
          <w:szCs w:val="22"/>
        </w:rPr>
        <w:t>enidate hydrochloride (Concerta</w:t>
      </w:r>
      <w:r w:rsidRPr="00DD31CC">
        <w:rPr>
          <w:rFonts w:asciiTheme="minorHAnsi" w:eastAsiaTheme="minorHAnsi" w:hAnsiTheme="minorHAnsi" w:cstheme="minorBidi"/>
          <w:snapToGrid/>
          <w:sz w:val="24"/>
          <w:szCs w:val="22"/>
        </w:rPr>
        <w:t xml:space="preserve"> and Ritalin LA®) and atomoxetine (Strattera®).</w:t>
      </w:r>
      <w:r w:rsidR="00DA3962" w:rsidRPr="00DD31CC">
        <w:rPr>
          <w:rFonts w:asciiTheme="minorHAnsi" w:eastAsiaTheme="minorHAnsi" w:hAnsiTheme="minorHAnsi" w:cstheme="minorBidi"/>
          <w:snapToGrid/>
          <w:sz w:val="24"/>
          <w:szCs w:val="22"/>
        </w:rPr>
        <w:t xml:space="preserve"> </w:t>
      </w:r>
      <w:r w:rsidR="00F10657" w:rsidRPr="00DD31CC">
        <w:rPr>
          <w:rFonts w:asciiTheme="minorHAnsi" w:eastAsiaTheme="minorHAnsi" w:hAnsiTheme="minorHAnsi" w:cstheme="minorBidi"/>
          <w:snapToGrid/>
          <w:sz w:val="24"/>
          <w:szCs w:val="22"/>
        </w:rPr>
        <w:t xml:space="preserve">Under the PBS, </w:t>
      </w:r>
      <w:r w:rsidR="00F10657" w:rsidRPr="00DD31CC">
        <w:rPr>
          <w:rFonts w:asciiTheme="minorHAnsi" w:hAnsiTheme="minorHAnsi"/>
          <w:sz w:val="24"/>
          <w:szCs w:val="24"/>
        </w:rPr>
        <w:t>a</w:t>
      </w:r>
      <w:r w:rsidRPr="00DD31CC">
        <w:rPr>
          <w:rFonts w:asciiTheme="minorHAnsi" w:hAnsiTheme="minorHAnsi"/>
          <w:sz w:val="24"/>
          <w:szCs w:val="24"/>
        </w:rPr>
        <w:t xml:space="preserve">n individual diagnosed </w:t>
      </w:r>
      <w:r w:rsidR="0007660B" w:rsidRPr="00DD31CC">
        <w:rPr>
          <w:rFonts w:asciiTheme="minorHAnsi" w:hAnsiTheme="minorHAnsi"/>
          <w:sz w:val="24"/>
          <w:szCs w:val="24"/>
        </w:rPr>
        <w:t>with</w:t>
      </w:r>
      <w:r w:rsidRPr="00DD31CC">
        <w:rPr>
          <w:rFonts w:asciiTheme="minorHAnsi" w:hAnsiTheme="minorHAnsi"/>
          <w:sz w:val="24"/>
          <w:szCs w:val="24"/>
        </w:rPr>
        <w:t xml:space="preserve"> ADHD after the age of 18 is</w:t>
      </w:r>
      <w:r w:rsidR="00495CE5" w:rsidRPr="00DD31CC">
        <w:rPr>
          <w:rFonts w:asciiTheme="minorHAnsi" w:hAnsiTheme="minorHAnsi"/>
          <w:sz w:val="24"/>
          <w:szCs w:val="24"/>
        </w:rPr>
        <w:t xml:space="preserve"> only eligible to receive short-</w:t>
      </w:r>
      <w:r w:rsidRPr="00DD31CC">
        <w:rPr>
          <w:rFonts w:asciiTheme="minorHAnsi" w:hAnsiTheme="minorHAnsi"/>
          <w:sz w:val="24"/>
          <w:szCs w:val="24"/>
        </w:rPr>
        <w:t>acting ADHD medications on the PBS (</w:t>
      </w:r>
      <w:r w:rsidR="00BF3C35" w:rsidRPr="00DD31CC">
        <w:rPr>
          <w:rFonts w:asciiTheme="minorHAnsi" w:hAnsiTheme="minorHAnsi"/>
          <w:sz w:val="24"/>
          <w:szCs w:val="24"/>
        </w:rPr>
        <w:t>IR DEX</w:t>
      </w:r>
      <w:r w:rsidRPr="00DD31CC">
        <w:rPr>
          <w:rFonts w:asciiTheme="minorHAnsi" w:hAnsiTheme="minorHAnsi"/>
          <w:sz w:val="24"/>
          <w:szCs w:val="24"/>
        </w:rPr>
        <w:t xml:space="preserve"> and immediate release methylphenidate (IR MPH)). </w:t>
      </w:r>
    </w:p>
    <w:p w:rsidR="00B33533" w:rsidRPr="00DD31CC" w:rsidRDefault="00A8135F" w:rsidP="00D81F04">
      <w:pPr>
        <w:pStyle w:val="ListParagraph"/>
        <w:widowControl/>
        <w:numPr>
          <w:ilvl w:val="1"/>
          <w:numId w:val="1"/>
        </w:numPr>
        <w:spacing w:after="120"/>
        <w:contextualSpacing w:val="0"/>
        <w:rPr>
          <w:rFonts w:ascii="Calibri" w:hAnsi="Calibri" w:cs="Calibri"/>
          <w:sz w:val="24"/>
          <w:szCs w:val="24"/>
        </w:rPr>
      </w:pPr>
      <w:r w:rsidRPr="00DD31CC">
        <w:rPr>
          <w:rFonts w:asciiTheme="minorHAnsi" w:hAnsiTheme="minorHAnsi" w:cstheme="minorHAnsi"/>
          <w:sz w:val="24"/>
          <w:szCs w:val="24"/>
        </w:rPr>
        <w:t>At its July 2012 meeting, the PBAC considered a submission from Janssen-Cilag Pty Ltd to extend the listing for Concerta</w:t>
      </w:r>
      <w:r w:rsidR="00FD18DA" w:rsidRPr="00DD31CC">
        <w:rPr>
          <w:rFonts w:asciiTheme="minorHAnsi" w:eastAsiaTheme="minorHAnsi" w:hAnsiTheme="minorHAnsi" w:cstheme="minorBidi"/>
          <w:snapToGrid/>
          <w:sz w:val="24"/>
          <w:szCs w:val="22"/>
        </w:rPr>
        <w:t xml:space="preserve"> </w:t>
      </w:r>
      <w:r w:rsidRPr="00DD31CC">
        <w:rPr>
          <w:rFonts w:asciiTheme="minorHAnsi" w:hAnsiTheme="minorHAnsi" w:cstheme="minorHAnsi"/>
          <w:sz w:val="24"/>
          <w:szCs w:val="24"/>
        </w:rPr>
        <w:t>to include patients diagnosed after the age 18 years</w:t>
      </w:r>
      <w:r w:rsidR="0007660B" w:rsidRPr="00DD31CC">
        <w:rPr>
          <w:rFonts w:asciiTheme="minorHAnsi" w:hAnsiTheme="minorHAnsi" w:cstheme="minorHAnsi"/>
          <w:sz w:val="24"/>
          <w:szCs w:val="24"/>
        </w:rPr>
        <w:t>. T</w:t>
      </w:r>
      <w:r w:rsidRPr="00DD31CC">
        <w:rPr>
          <w:rFonts w:asciiTheme="minorHAnsi" w:hAnsiTheme="minorHAnsi" w:cstheme="minorHAnsi"/>
          <w:sz w:val="24"/>
          <w:szCs w:val="24"/>
        </w:rPr>
        <w:t>he PBAC was unable to make a recommendation to change the PBS listing criteria</w:t>
      </w:r>
      <w:r w:rsidR="00FD18DA" w:rsidRPr="00DD31CC">
        <w:rPr>
          <w:rFonts w:asciiTheme="minorHAnsi" w:hAnsiTheme="minorHAnsi" w:cstheme="minorHAnsi"/>
          <w:sz w:val="24"/>
          <w:szCs w:val="24"/>
        </w:rPr>
        <w:t xml:space="preserve"> due to the following issues:</w:t>
      </w:r>
    </w:p>
    <w:p w:rsidR="00B33533" w:rsidRPr="00DD31CC" w:rsidRDefault="00B33533" w:rsidP="00B33533">
      <w:pPr>
        <w:pStyle w:val="ListParagraph"/>
        <w:widowControl/>
        <w:numPr>
          <w:ilvl w:val="0"/>
          <w:numId w:val="29"/>
        </w:numPr>
        <w:spacing w:after="120"/>
        <w:contextualSpacing w:val="0"/>
        <w:rPr>
          <w:rFonts w:ascii="Calibri" w:hAnsi="Calibri" w:cs="Calibri"/>
          <w:sz w:val="24"/>
          <w:szCs w:val="24"/>
        </w:rPr>
      </w:pPr>
      <w:r w:rsidRPr="00DD31CC">
        <w:rPr>
          <w:rFonts w:ascii="Calibri" w:hAnsi="Calibri" w:cs="Calibri"/>
          <w:sz w:val="24"/>
          <w:szCs w:val="24"/>
          <w:u w:val="single"/>
        </w:rPr>
        <w:lastRenderedPageBreak/>
        <w:t>Comparator:</w:t>
      </w:r>
      <w:r w:rsidRPr="00DD31CC">
        <w:rPr>
          <w:rFonts w:ascii="Calibri" w:hAnsi="Calibri" w:cs="Calibri"/>
          <w:sz w:val="24"/>
          <w:szCs w:val="24"/>
        </w:rPr>
        <w:t xml:space="preserve"> </w:t>
      </w:r>
      <w:r w:rsidR="00D81F04" w:rsidRPr="00DD31CC">
        <w:rPr>
          <w:rFonts w:ascii="Calibri" w:hAnsi="Calibri" w:cs="Calibri"/>
          <w:sz w:val="24"/>
          <w:szCs w:val="24"/>
        </w:rPr>
        <w:t>The</w:t>
      </w:r>
      <w:r w:rsidR="00211082" w:rsidRPr="00DD31CC">
        <w:rPr>
          <w:rFonts w:ascii="Calibri" w:hAnsi="Calibri" w:cs="Calibri"/>
          <w:sz w:val="24"/>
          <w:szCs w:val="24"/>
        </w:rPr>
        <w:t xml:space="preserve"> submission had inappropriately nominated </w:t>
      </w:r>
      <w:r w:rsidR="00941324" w:rsidRPr="00DD31CC">
        <w:rPr>
          <w:rFonts w:ascii="Calibri" w:hAnsi="Calibri" w:cs="Calibri"/>
          <w:sz w:val="24"/>
          <w:szCs w:val="24"/>
        </w:rPr>
        <w:t xml:space="preserve">long-acting </w:t>
      </w:r>
      <w:r w:rsidR="0045413B" w:rsidRPr="00DD31CC">
        <w:rPr>
          <w:rFonts w:ascii="Calibri" w:hAnsi="Calibri" w:cs="Calibri"/>
          <w:sz w:val="24"/>
          <w:szCs w:val="24"/>
        </w:rPr>
        <w:t>MPH</w:t>
      </w:r>
      <w:r w:rsidR="00D81F04" w:rsidRPr="00DD31CC">
        <w:rPr>
          <w:rFonts w:ascii="Calibri" w:hAnsi="Calibri" w:cs="Calibri"/>
          <w:sz w:val="24"/>
          <w:szCs w:val="24"/>
        </w:rPr>
        <w:t xml:space="preserve"> used in patients diagnosed with ADHD </w:t>
      </w:r>
      <w:r w:rsidR="00D81F04" w:rsidRPr="00DD31CC">
        <w:rPr>
          <w:rFonts w:ascii="Calibri" w:hAnsi="Calibri" w:cs="Calibri"/>
          <w:b/>
          <w:sz w:val="24"/>
          <w:szCs w:val="24"/>
        </w:rPr>
        <w:t>aged 18 years or less</w:t>
      </w:r>
      <w:r w:rsidR="00211082" w:rsidRPr="00DD31CC">
        <w:rPr>
          <w:rFonts w:ascii="Calibri" w:hAnsi="Calibri" w:cs="Calibri"/>
          <w:sz w:val="24"/>
          <w:szCs w:val="24"/>
        </w:rPr>
        <w:t xml:space="preserve"> as the comparator. The PBAC considered that IR MPH and IR DEX were the appropriate comparators</w:t>
      </w:r>
      <w:r w:rsidR="00DD31CC">
        <w:rPr>
          <w:rFonts w:ascii="Calibri" w:hAnsi="Calibri" w:cs="Calibri"/>
          <w:sz w:val="24"/>
          <w:szCs w:val="24"/>
        </w:rPr>
        <w:t xml:space="preserve">. </w:t>
      </w:r>
    </w:p>
    <w:p w:rsidR="00B33533" w:rsidRPr="00DD31CC" w:rsidRDefault="00B33533" w:rsidP="00B33533">
      <w:pPr>
        <w:pStyle w:val="ListParagraph"/>
        <w:widowControl/>
        <w:numPr>
          <w:ilvl w:val="0"/>
          <w:numId w:val="29"/>
        </w:numPr>
        <w:spacing w:after="120"/>
        <w:contextualSpacing w:val="0"/>
        <w:rPr>
          <w:rFonts w:asciiTheme="minorHAnsi" w:hAnsiTheme="minorHAnsi" w:cstheme="minorHAnsi"/>
          <w:sz w:val="24"/>
          <w:szCs w:val="24"/>
        </w:rPr>
      </w:pPr>
      <w:r w:rsidRPr="00DD31CC">
        <w:rPr>
          <w:rFonts w:asciiTheme="minorHAnsi" w:hAnsiTheme="minorHAnsi" w:cstheme="minorHAnsi"/>
          <w:sz w:val="24"/>
          <w:szCs w:val="24"/>
          <w:u w:val="single"/>
        </w:rPr>
        <w:t>Clinical relevance of outcome measure:</w:t>
      </w:r>
      <w:r w:rsidRPr="00DD31CC">
        <w:rPr>
          <w:rFonts w:asciiTheme="minorHAnsi" w:hAnsiTheme="minorHAnsi" w:cstheme="minorHAnsi"/>
          <w:sz w:val="24"/>
          <w:szCs w:val="24"/>
        </w:rPr>
        <w:t xml:space="preserve"> </w:t>
      </w:r>
      <w:r w:rsidR="00577CFF" w:rsidRPr="00DD31CC">
        <w:rPr>
          <w:rFonts w:asciiTheme="minorHAnsi" w:hAnsiTheme="minorHAnsi" w:cstheme="minorHAnsi"/>
          <w:sz w:val="24"/>
          <w:szCs w:val="24"/>
        </w:rPr>
        <w:t xml:space="preserve"> The PBAC noted that the pooled result of the post-hoc subgroup analysis of patients diagnosed with ADHD after 18 years of age from the pivotal trials was a mean difference of -5.83 (-8.02, -3.63) of the ADHD Investigator Symptom Rating Scale (AISRS), the primary outcome of the trials</w:t>
      </w:r>
      <w:r w:rsidR="00DD31CC">
        <w:rPr>
          <w:rFonts w:asciiTheme="minorHAnsi" w:hAnsiTheme="minorHAnsi" w:cstheme="minorHAnsi"/>
          <w:sz w:val="24"/>
          <w:szCs w:val="24"/>
        </w:rPr>
        <w:t xml:space="preserve">. </w:t>
      </w:r>
      <w:r w:rsidR="00577CFF" w:rsidRPr="00DD31CC">
        <w:rPr>
          <w:rFonts w:asciiTheme="minorHAnsi" w:hAnsiTheme="minorHAnsi" w:cstheme="minorHAnsi"/>
          <w:sz w:val="24"/>
          <w:szCs w:val="24"/>
        </w:rPr>
        <w:t>The PBAC did not accept that the clinical relevance and validity of the outcome measures used in the trials ha</w:t>
      </w:r>
      <w:r w:rsidR="004E3610" w:rsidRPr="00DD31CC">
        <w:rPr>
          <w:rFonts w:asciiTheme="minorHAnsi" w:hAnsiTheme="minorHAnsi" w:cstheme="minorHAnsi"/>
          <w:sz w:val="24"/>
          <w:szCs w:val="24"/>
        </w:rPr>
        <w:t xml:space="preserve">d been adequately </w:t>
      </w:r>
      <w:r w:rsidR="00610EE1" w:rsidRPr="00DD31CC">
        <w:rPr>
          <w:rFonts w:asciiTheme="minorHAnsi" w:hAnsiTheme="minorHAnsi" w:cstheme="minorHAnsi"/>
          <w:sz w:val="24"/>
          <w:szCs w:val="24"/>
        </w:rPr>
        <w:t xml:space="preserve">established. </w:t>
      </w:r>
    </w:p>
    <w:p w:rsidR="00B33533" w:rsidRPr="00DD31CC" w:rsidRDefault="00B33533" w:rsidP="00B33533">
      <w:pPr>
        <w:pStyle w:val="ListParagraph"/>
        <w:widowControl/>
        <w:numPr>
          <w:ilvl w:val="0"/>
          <w:numId w:val="29"/>
        </w:numPr>
        <w:spacing w:after="120"/>
        <w:contextualSpacing w:val="0"/>
        <w:rPr>
          <w:rFonts w:asciiTheme="minorHAnsi" w:hAnsiTheme="minorHAnsi" w:cstheme="minorHAnsi"/>
          <w:sz w:val="24"/>
          <w:szCs w:val="24"/>
        </w:rPr>
      </w:pPr>
      <w:r w:rsidRPr="00DD31CC">
        <w:rPr>
          <w:rFonts w:asciiTheme="minorHAnsi" w:hAnsiTheme="minorHAnsi" w:cstheme="minorHAnsi"/>
          <w:sz w:val="24"/>
          <w:szCs w:val="24"/>
          <w:u w:val="single"/>
        </w:rPr>
        <w:t>Safety:</w:t>
      </w:r>
      <w:r w:rsidRPr="00DD31CC">
        <w:rPr>
          <w:rFonts w:asciiTheme="minorHAnsi" w:hAnsiTheme="minorHAnsi" w:cstheme="minorHAnsi"/>
          <w:sz w:val="24"/>
          <w:szCs w:val="24"/>
        </w:rPr>
        <w:t xml:space="preserve">  The PBAC considered that the safety profile of methylphenidate in adults may be different to that in children and adolescents, including the potential for increase in the incidence of hypertension i</w:t>
      </w:r>
      <w:r w:rsidR="00610EE1" w:rsidRPr="00DD31CC">
        <w:rPr>
          <w:rFonts w:asciiTheme="minorHAnsi" w:hAnsiTheme="minorHAnsi" w:cstheme="minorHAnsi"/>
          <w:sz w:val="24"/>
          <w:szCs w:val="24"/>
        </w:rPr>
        <w:t>n adults as an adverse effect.</w:t>
      </w:r>
      <w:r w:rsidR="00E67DFE" w:rsidRPr="00DD31CC">
        <w:rPr>
          <w:rFonts w:asciiTheme="minorHAnsi" w:hAnsiTheme="minorHAnsi" w:cstheme="minorHAnsi"/>
          <w:sz w:val="24"/>
          <w:szCs w:val="24"/>
        </w:rPr>
        <w:t xml:space="preserve"> </w:t>
      </w:r>
    </w:p>
    <w:p w:rsidR="00F10657" w:rsidRPr="00DD31CC" w:rsidRDefault="00B33533" w:rsidP="00F10657">
      <w:pPr>
        <w:pStyle w:val="ListParagraph"/>
        <w:widowControl/>
        <w:numPr>
          <w:ilvl w:val="0"/>
          <w:numId w:val="29"/>
        </w:numPr>
        <w:spacing w:after="120"/>
        <w:contextualSpacing w:val="0"/>
        <w:rPr>
          <w:rFonts w:asciiTheme="minorHAnsi" w:hAnsiTheme="minorHAnsi" w:cstheme="minorHAnsi"/>
          <w:sz w:val="24"/>
          <w:szCs w:val="24"/>
        </w:rPr>
      </w:pPr>
      <w:r w:rsidRPr="00DD31CC">
        <w:rPr>
          <w:rFonts w:asciiTheme="minorHAnsi" w:hAnsiTheme="minorHAnsi" w:cstheme="minorHAnsi"/>
          <w:sz w:val="24"/>
          <w:szCs w:val="24"/>
          <w:u w:val="single"/>
        </w:rPr>
        <w:t>Higher price:</w:t>
      </w:r>
      <w:r w:rsidRPr="00DD31CC">
        <w:rPr>
          <w:rFonts w:asciiTheme="minorHAnsi" w:hAnsiTheme="minorHAnsi" w:cstheme="minorHAnsi"/>
          <w:sz w:val="24"/>
          <w:szCs w:val="24"/>
        </w:rPr>
        <w:t xml:space="preserve"> </w:t>
      </w:r>
      <w:r w:rsidR="00577CFF" w:rsidRPr="00DD31CC">
        <w:rPr>
          <w:rFonts w:asciiTheme="minorHAnsi" w:hAnsiTheme="minorHAnsi" w:cstheme="minorHAnsi"/>
          <w:sz w:val="24"/>
          <w:szCs w:val="24"/>
        </w:rPr>
        <w:t xml:space="preserve">The PBAC considered that no evidence was presented in the submission to support the substantially higher price proposed for long-acting </w:t>
      </w:r>
      <w:r w:rsidR="0045413B" w:rsidRPr="00DD31CC">
        <w:rPr>
          <w:rFonts w:asciiTheme="minorHAnsi" w:hAnsiTheme="minorHAnsi" w:cstheme="minorHAnsi"/>
          <w:sz w:val="24"/>
          <w:szCs w:val="24"/>
        </w:rPr>
        <w:t>MPH</w:t>
      </w:r>
      <w:r w:rsidR="00577CFF" w:rsidRPr="00DD31CC">
        <w:rPr>
          <w:rFonts w:asciiTheme="minorHAnsi" w:hAnsiTheme="minorHAnsi" w:cstheme="minorHAnsi"/>
          <w:sz w:val="24"/>
          <w:szCs w:val="24"/>
        </w:rPr>
        <w:t xml:space="preserve"> over IR MPH in patients diagnosed after 18 years of age</w:t>
      </w:r>
      <w:r w:rsidR="00DD31CC">
        <w:rPr>
          <w:rFonts w:asciiTheme="minorHAnsi" w:hAnsiTheme="minorHAnsi" w:cstheme="minorHAnsi"/>
          <w:sz w:val="24"/>
          <w:szCs w:val="24"/>
        </w:rPr>
        <w:t xml:space="preserve">. </w:t>
      </w:r>
    </w:p>
    <w:p w:rsidR="00E418F2" w:rsidRPr="00DD31CC" w:rsidRDefault="00B33533" w:rsidP="00F10657">
      <w:pPr>
        <w:pStyle w:val="ListParagraph"/>
        <w:widowControl/>
        <w:numPr>
          <w:ilvl w:val="0"/>
          <w:numId w:val="29"/>
        </w:numPr>
        <w:spacing w:after="120"/>
        <w:contextualSpacing w:val="0"/>
        <w:rPr>
          <w:rFonts w:asciiTheme="minorHAnsi" w:hAnsiTheme="minorHAnsi" w:cstheme="minorHAnsi"/>
          <w:sz w:val="24"/>
          <w:szCs w:val="24"/>
        </w:rPr>
      </w:pPr>
      <w:r w:rsidRPr="00DD31CC">
        <w:rPr>
          <w:rFonts w:asciiTheme="minorHAnsi" w:hAnsiTheme="minorHAnsi" w:cstheme="minorHAnsi"/>
          <w:sz w:val="24"/>
          <w:szCs w:val="24"/>
          <w:u w:val="single"/>
        </w:rPr>
        <w:t>Utilisation:</w:t>
      </w:r>
      <w:r w:rsidRPr="00DD31CC">
        <w:rPr>
          <w:rFonts w:asciiTheme="minorHAnsi" w:hAnsiTheme="minorHAnsi" w:cstheme="minorHAnsi"/>
          <w:sz w:val="24"/>
          <w:szCs w:val="24"/>
        </w:rPr>
        <w:t xml:space="preserve"> </w:t>
      </w:r>
      <w:r w:rsidR="00577CFF" w:rsidRPr="00DD31CC">
        <w:rPr>
          <w:rFonts w:asciiTheme="minorHAnsi" w:hAnsiTheme="minorHAnsi" w:cstheme="minorHAnsi"/>
          <w:sz w:val="24"/>
          <w:szCs w:val="24"/>
        </w:rPr>
        <w:t xml:space="preserve">The PBAC considered that the utilisation of </w:t>
      </w:r>
      <w:r w:rsidR="00610EE1" w:rsidRPr="00DD31CC">
        <w:rPr>
          <w:rFonts w:asciiTheme="minorHAnsi" w:hAnsiTheme="minorHAnsi" w:cstheme="minorHAnsi"/>
          <w:sz w:val="24"/>
          <w:szCs w:val="24"/>
        </w:rPr>
        <w:t xml:space="preserve">long-acting </w:t>
      </w:r>
      <w:r w:rsidR="0045413B" w:rsidRPr="00DD31CC">
        <w:rPr>
          <w:rFonts w:asciiTheme="minorHAnsi" w:hAnsiTheme="minorHAnsi" w:cstheme="minorHAnsi"/>
          <w:sz w:val="24"/>
          <w:szCs w:val="24"/>
        </w:rPr>
        <w:t>MPH</w:t>
      </w:r>
      <w:r w:rsidR="00577CFF" w:rsidRPr="00DD31CC">
        <w:rPr>
          <w:rFonts w:asciiTheme="minorHAnsi" w:hAnsiTheme="minorHAnsi" w:cstheme="minorHAnsi"/>
          <w:sz w:val="24"/>
          <w:szCs w:val="24"/>
        </w:rPr>
        <w:t xml:space="preserve"> in patients diagnosed after 18 years of age was highly uncertain and that the utilisation estimates provided in the submission and the overall costs to the PBS were likely to be substantially underestimated</w:t>
      </w:r>
      <w:r w:rsidR="00DD31CC">
        <w:rPr>
          <w:rFonts w:asciiTheme="minorHAnsi" w:hAnsiTheme="minorHAnsi" w:cstheme="minorHAnsi"/>
          <w:sz w:val="24"/>
          <w:szCs w:val="24"/>
        </w:rPr>
        <w:t xml:space="preserve">. </w:t>
      </w:r>
      <w:r w:rsidR="00577CFF" w:rsidRPr="00DD31CC">
        <w:rPr>
          <w:rFonts w:asciiTheme="minorHAnsi" w:hAnsiTheme="minorHAnsi" w:cstheme="minorHAnsi"/>
          <w:sz w:val="24"/>
          <w:szCs w:val="24"/>
        </w:rPr>
        <w:t xml:space="preserve">The PBAC considered that the proposed extension to PBS listing of </w:t>
      </w:r>
      <w:r w:rsidR="00610EE1" w:rsidRPr="00DD31CC">
        <w:rPr>
          <w:rFonts w:asciiTheme="minorHAnsi" w:hAnsiTheme="minorHAnsi" w:cstheme="minorHAnsi"/>
          <w:sz w:val="24"/>
          <w:szCs w:val="24"/>
        </w:rPr>
        <w:t>long-acting</w:t>
      </w:r>
      <w:r w:rsidR="0045413B" w:rsidRPr="00DD31CC">
        <w:rPr>
          <w:rFonts w:asciiTheme="minorHAnsi" w:hAnsiTheme="minorHAnsi" w:cstheme="minorHAnsi"/>
          <w:sz w:val="24"/>
          <w:szCs w:val="24"/>
        </w:rPr>
        <w:t xml:space="preserve"> MPH</w:t>
      </w:r>
      <w:r w:rsidR="00577CFF" w:rsidRPr="00DD31CC">
        <w:rPr>
          <w:rFonts w:asciiTheme="minorHAnsi" w:hAnsiTheme="minorHAnsi" w:cstheme="minorHAnsi"/>
          <w:sz w:val="24"/>
          <w:szCs w:val="24"/>
        </w:rPr>
        <w:t xml:space="preserve"> would expand the ADHD market by a much larger extent than that estimated in the submission</w:t>
      </w:r>
      <w:r w:rsidR="00DD31CC">
        <w:rPr>
          <w:rFonts w:asciiTheme="minorHAnsi" w:hAnsiTheme="minorHAnsi" w:cstheme="minorHAnsi"/>
          <w:sz w:val="24"/>
          <w:szCs w:val="24"/>
        </w:rPr>
        <w:t xml:space="preserve">. </w:t>
      </w:r>
    </w:p>
    <w:p w:rsidR="00E418F2" w:rsidRPr="00DD31CC" w:rsidRDefault="00C04EEF" w:rsidP="00DA3962">
      <w:pPr>
        <w:pStyle w:val="ListParagraph"/>
        <w:widowControl/>
        <w:numPr>
          <w:ilvl w:val="1"/>
          <w:numId w:val="1"/>
        </w:numPr>
        <w:spacing w:after="120"/>
        <w:contextualSpacing w:val="0"/>
        <w:rPr>
          <w:rFonts w:asciiTheme="minorHAnsi" w:hAnsiTheme="minorHAnsi"/>
          <w:sz w:val="24"/>
          <w:szCs w:val="24"/>
        </w:rPr>
      </w:pPr>
      <w:r w:rsidRPr="00DD31CC">
        <w:rPr>
          <w:rFonts w:asciiTheme="minorHAnsi" w:hAnsiTheme="minorHAnsi"/>
          <w:sz w:val="24"/>
          <w:szCs w:val="24"/>
        </w:rPr>
        <w:t>The PBAC had received correspondence from a range of patients, clinicians, and professional organisations</w:t>
      </w:r>
      <w:r w:rsidR="006A06BA" w:rsidRPr="00DD31CC">
        <w:rPr>
          <w:rFonts w:asciiTheme="minorHAnsi" w:hAnsiTheme="minorHAnsi"/>
          <w:sz w:val="24"/>
          <w:szCs w:val="24"/>
        </w:rPr>
        <w:t xml:space="preserve"> who were</w:t>
      </w:r>
      <w:r w:rsidRPr="00DD31CC">
        <w:rPr>
          <w:rFonts w:asciiTheme="minorHAnsi" w:hAnsiTheme="minorHAnsi"/>
          <w:sz w:val="24"/>
          <w:szCs w:val="24"/>
        </w:rPr>
        <w:t xml:space="preserve"> concerned that some adult patients were disadvantaged by the age of diagnosis criteria</w:t>
      </w:r>
      <w:r w:rsidR="008D4F7E" w:rsidRPr="00DD31CC">
        <w:rPr>
          <w:rFonts w:asciiTheme="minorHAnsi" w:hAnsiTheme="minorHAnsi"/>
          <w:sz w:val="24"/>
          <w:szCs w:val="24"/>
        </w:rPr>
        <w:t xml:space="preserve"> associated with PBS-listed long-acting ADHD treatments</w:t>
      </w:r>
      <w:r w:rsidRPr="00DD31CC">
        <w:rPr>
          <w:rFonts w:asciiTheme="minorHAnsi" w:hAnsiTheme="minorHAnsi"/>
          <w:sz w:val="24"/>
          <w:szCs w:val="24"/>
        </w:rPr>
        <w:t xml:space="preserve">. </w:t>
      </w:r>
    </w:p>
    <w:p w:rsidR="00DA3962" w:rsidRPr="00DD31CC" w:rsidRDefault="00802B9E" w:rsidP="00E418F2">
      <w:pPr>
        <w:pStyle w:val="ListParagraph"/>
        <w:widowControl/>
        <w:numPr>
          <w:ilvl w:val="1"/>
          <w:numId w:val="1"/>
        </w:numPr>
        <w:spacing w:after="120"/>
        <w:contextualSpacing w:val="0"/>
        <w:rPr>
          <w:rFonts w:asciiTheme="minorHAnsi" w:hAnsiTheme="minorHAnsi"/>
          <w:sz w:val="24"/>
          <w:szCs w:val="24"/>
        </w:rPr>
      </w:pPr>
      <w:r w:rsidRPr="00DD31CC">
        <w:rPr>
          <w:rFonts w:asciiTheme="minorHAnsi" w:hAnsiTheme="minorHAnsi"/>
          <w:sz w:val="24"/>
          <w:szCs w:val="24"/>
        </w:rPr>
        <w:t>In September 2019, t</w:t>
      </w:r>
      <w:r w:rsidR="00C04EEF" w:rsidRPr="00DD31CC">
        <w:rPr>
          <w:rFonts w:asciiTheme="minorHAnsi" w:hAnsiTheme="minorHAnsi"/>
          <w:sz w:val="24"/>
          <w:szCs w:val="24"/>
        </w:rPr>
        <w:t xml:space="preserve">he PBAC </w:t>
      </w:r>
      <w:r w:rsidR="008D4F7E" w:rsidRPr="00DD31CC">
        <w:rPr>
          <w:rFonts w:asciiTheme="minorHAnsi" w:hAnsiTheme="minorHAnsi"/>
          <w:sz w:val="24"/>
          <w:szCs w:val="24"/>
        </w:rPr>
        <w:t>sought</w:t>
      </w:r>
      <w:r w:rsidR="00C04EEF" w:rsidRPr="00DD31CC">
        <w:rPr>
          <w:rFonts w:asciiTheme="minorHAnsi" w:hAnsiTheme="minorHAnsi"/>
          <w:sz w:val="24"/>
          <w:szCs w:val="24"/>
        </w:rPr>
        <w:t xml:space="preserve"> advice from the Royal Australian &amp; New Zealand College of Psychiatrists (RANZCP) as to whether the age of diagnosis criteria for ADHD medicines on the PBS were </w:t>
      </w:r>
      <w:r w:rsidR="008D4F7E" w:rsidRPr="00DD31CC">
        <w:rPr>
          <w:rFonts w:asciiTheme="minorHAnsi" w:hAnsiTheme="minorHAnsi"/>
          <w:sz w:val="24"/>
          <w:szCs w:val="24"/>
        </w:rPr>
        <w:t>problematic</w:t>
      </w:r>
      <w:r w:rsidR="00C04EEF" w:rsidRPr="00DD31CC">
        <w:rPr>
          <w:rFonts w:asciiTheme="minorHAnsi" w:hAnsiTheme="minorHAnsi"/>
          <w:sz w:val="24"/>
          <w:szCs w:val="24"/>
        </w:rPr>
        <w:t xml:space="preserve"> for prescribers or for patients, and if the restrictions were inconsistent with the current evidence-based standard of care for ADHD patients. </w:t>
      </w:r>
      <w:r w:rsidR="001A2EBC" w:rsidRPr="00DD31CC">
        <w:rPr>
          <w:rFonts w:asciiTheme="minorHAnsi" w:hAnsiTheme="minorHAnsi"/>
          <w:sz w:val="24"/>
          <w:szCs w:val="24"/>
        </w:rPr>
        <w:t>A</w:t>
      </w:r>
      <w:r w:rsidR="008D4F7E" w:rsidRPr="00DD31CC">
        <w:rPr>
          <w:rFonts w:asciiTheme="minorHAnsi" w:hAnsiTheme="minorHAnsi"/>
          <w:sz w:val="24"/>
          <w:szCs w:val="24"/>
        </w:rPr>
        <w:t xml:space="preserve"> response</w:t>
      </w:r>
      <w:r w:rsidR="006E1F07" w:rsidRPr="00DD31CC">
        <w:rPr>
          <w:rFonts w:asciiTheme="minorHAnsi" w:hAnsiTheme="minorHAnsi"/>
          <w:sz w:val="24"/>
          <w:szCs w:val="24"/>
        </w:rPr>
        <w:t xml:space="preserve"> </w:t>
      </w:r>
      <w:r w:rsidR="001A2EBC" w:rsidRPr="00DD31CC">
        <w:rPr>
          <w:rFonts w:asciiTheme="minorHAnsi" w:hAnsiTheme="minorHAnsi"/>
          <w:sz w:val="24"/>
          <w:szCs w:val="24"/>
        </w:rPr>
        <w:t>from</w:t>
      </w:r>
      <w:r w:rsidR="006E1F07" w:rsidRPr="00DD31CC">
        <w:rPr>
          <w:rFonts w:asciiTheme="minorHAnsi" w:hAnsiTheme="minorHAnsi"/>
          <w:sz w:val="24"/>
          <w:szCs w:val="24"/>
        </w:rPr>
        <w:t xml:space="preserve"> the RANZCP </w:t>
      </w:r>
      <w:r w:rsidR="00AF0E94" w:rsidRPr="00DD31CC">
        <w:rPr>
          <w:rFonts w:asciiTheme="minorHAnsi" w:hAnsiTheme="minorHAnsi"/>
          <w:sz w:val="24"/>
          <w:szCs w:val="24"/>
        </w:rPr>
        <w:t>raised the following concerns</w:t>
      </w:r>
      <w:r w:rsidR="00E418F2" w:rsidRPr="00DD31CC">
        <w:rPr>
          <w:rFonts w:asciiTheme="minorHAnsi" w:hAnsiTheme="minorHAnsi"/>
          <w:sz w:val="24"/>
          <w:szCs w:val="24"/>
        </w:rPr>
        <w:t xml:space="preserve"> with the existing PBS listing</w:t>
      </w:r>
      <w:r w:rsidR="00AF0E94" w:rsidRPr="00DD31CC">
        <w:rPr>
          <w:rFonts w:asciiTheme="minorHAnsi" w:hAnsiTheme="minorHAnsi"/>
          <w:sz w:val="24"/>
          <w:szCs w:val="24"/>
        </w:rPr>
        <w:t>:</w:t>
      </w:r>
    </w:p>
    <w:p w:rsidR="00AF0E94" w:rsidRPr="00DD31CC" w:rsidRDefault="00AF0E94" w:rsidP="00087353">
      <w:pPr>
        <w:pStyle w:val="ListParagraph"/>
        <w:numPr>
          <w:ilvl w:val="0"/>
          <w:numId w:val="8"/>
        </w:numPr>
        <w:rPr>
          <w:rFonts w:asciiTheme="minorHAnsi" w:hAnsiTheme="minorHAnsi" w:cstheme="minorHAnsi"/>
          <w:sz w:val="24"/>
          <w:szCs w:val="24"/>
        </w:rPr>
      </w:pPr>
      <w:r w:rsidRPr="00DD31CC">
        <w:rPr>
          <w:rFonts w:asciiTheme="minorHAnsi" w:hAnsiTheme="minorHAnsi" w:cstheme="minorHAnsi"/>
          <w:sz w:val="24"/>
          <w:szCs w:val="24"/>
        </w:rPr>
        <w:t>That access to PBS subsidised ADHD medications is limited by the age of diagnosis criteria;</w:t>
      </w:r>
    </w:p>
    <w:p w:rsidR="00AF0E94" w:rsidRPr="00DD31CC" w:rsidRDefault="00AF0E94" w:rsidP="00087353">
      <w:pPr>
        <w:pStyle w:val="ListParagraph"/>
        <w:numPr>
          <w:ilvl w:val="0"/>
          <w:numId w:val="8"/>
        </w:numPr>
        <w:rPr>
          <w:rFonts w:asciiTheme="minorHAnsi" w:hAnsiTheme="minorHAnsi" w:cstheme="minorHAnsi"/>
          <w:sz w:val="24"/>
          <w:szCs w:val="24"/>
        </w:rPr>
      </w:pPr>
      <w:r w:rsidRPr="00DD31CC">
        <w:rPr>
          <w:rFonts w:asciiTheme="minorHAnsi" w:hAnsiTheme="minorHAnsi" w:cstheme="minorHAnsi"/>
          <w:sz w:val="24"/>
          <w:szCs w:val="24"/>
        </w:rPr>
        <w:t>That there is significant cross-over between substance use di</w:t>
      </w:r>
      <w:r w:rsidR="00062D6E" w:rsidRPr="00DD31CC">
        <w:rPr>
          <w:rFonts w:asciiTheme="minorHAnsi" w:hAnsiTheme="minorHAnsi" w:cstheme="minorHAnsi"/>
          <w:sz w:val="24"/>
          <w:szCs w:val="24"/>
        </w:rPr>
        <w:t>sorder and ADHD</w:t>
      </w:r>
      <w:r w:rsidR="001A2EBC" w:rsidRPr="00DD31CC">
        <w:rPr>
          <w:rFonts w:asciiTheme="minorHAnsi" w:hAnsiTheme="minorHAnsi" w:cstheme="minorHAnsi"/>
          <w:sz w:val="24"/>
          <w:szCs w:val="24"/>
        </w:rPr>
        <w:t>. S</w:t>
      </w:r>
      <w:r w:rsidR="00B5761D" w:rsidRPr="00DD31CC">
        <w:rPr>
          <w:rFonts w:asciiTheme="minorHAnsi" w:hAnsiTheme="minorHAnsi" w:cstheme="minorHAnsi"/>
          <w:sz w:val="24"/>
          <w:szCs w:val="24"/>
        </w:rPr>
        <w:t>ome practitioners are reluctant to prescribe short-acting ADHD medications for adults</w:t>
      </w:r>
      <w:r w:rsidR="005823D3" w:rsidRPr="00DD31CC">
        <w:rPr>
          <w:rFonts w:asciiTheme="minorHAnsi" w:hAnsiTheme="minorHAnsi" w:cstheme="minorHAnsi"/>
          <w:sz w:val="24"/>
          <w:szCs w:val="24"/>
        </w:rPr>
        <w:t xml:space="preserve"> as they are more susceptible to abuse by people with </w:t>
      </w:r>
      <w:r w:rsidR="001A2EBC" w:rsidRPr="00DD31CC">
        <w:rPr>
          <w:rFonts w:asciiTheme="minorHAnsi" w:hAnsiTheme="minorHAnsi" w:cstheme="minorHAnsi"/>
          <w:sz w:val="24"/>
          <w:szCs w:val="24"/>
        </w:rPr>
        <w:t>substance use disorder</w:t>
      </w:r>
      <w:r w:rsidR="005823D3" w:rsidRPr="00DD31CC">
        <w:rPr>
          <w:rFonts w:asciiTheme="minorHAnsi" w:hAnsiTheme="minorHAnsi" w:cstheme="minorHAnsi"/>
          <w:sz w:val="24"/>
          <w:szCs w:val="24"/>
        </w:rPr>
        <w:t>;</w:t>
      </w:r>
    </w:p>
    <w:p w:rsidR="00B5761D" w:rsidRPr="00DD31CC" w:rsidRDefault="00B5761D" w:rsidP="00087353">
      <w:pPr>
        <w:pStyle w:val="ListParagraph"/>
        <w:numPr>
          <w:ilvl w:val="0"/>
          <w:numId w:val="8"/>
        </w:numPr>
        <w:rPr>
          <w:rFonts w:asciiTheme="minorHAnsi" w:hAnsiTheme="minorHAnsi" w:cstheme="minorHAnsi"/>
          <w:sz w:val="24"/>
          <w:szCs w:val="24"/>
        </w:rPr>
      </w:pPr>
      <w:r w:rsidRPr="00DD31CC">
        <w:rPr>
          <w:rFonts w:asciiTheme="minorHAnsi" w:hAnsiTheme="minorHAnsi" w:cstheme="minorHAnsi"/>
          <w:sz w:val="24"/>
          <w:szCs w:val="24"/>
        </w:rPr>
        <w:t xml:space="preserve">Short-acting medications require multiple daily doses which can lead to poor compliance and therefore poorer clinical outcomes; </w:t>
      </w:r>
    </w:p>
    <w:p w:rsidR="00B5761D" w:rsidRPr="00DD31CC" w:rsidRDefault="00B5761D" w:rsidP="00087353">
      <w:pPr>
        <w:pStyle w:val="ListParagraph"/>
        <w:numPr>
          <w:ilvl w:val="0"/>
          <w:numId w:val="8"/>
        </w:numPr>
        <w:rPr>
          <w:rFonts w:asciiTheme="minorHAnsi" w:hAnsiTheme="minorHAnsi" w:cstheme="minorHAnsi"/>
          <w:sz w:val="24"/>
          <w:szCs w:val="24"/>
        </w:rPr>
      </w:pPr>
      <w:r w:rsidRPr="00DD31CC">
        <w:rPr>
          <w:rFonts w:asciiTheme="minorHAnsi" w:hAnsiTheme="minorHAnsi" w:cstheme="minorHAnsi"/>
          <w:sz w:val="24"/>
          <w:szCs w:val="24"/>
        </w:rPr>
        <w:t>Poorly managed ADHD can lead to a greater risk of failure at school, the workplace, and relationships. Rates of suicide, serious accidents, substance abuse and imprisonment are also significantly increased; and</w:t>
      </w:r>
    </w:p>
    <w:p w:rsidR="002645B8" w:rsidRPr="00F96625" w:rsidRDefault="00B5761D" w:rsidP="00F96625">
      <w:pPr>
        <w:pStyle w:val="ListParagraph"/>
        <w:numPr>
          <w:ilvl w:val="0"/>
          <w:numId w:val="8"/>
        </w:numPr>
        <w:rPr>
          <w:rFonts w:asciiTheme="minorHAnsi" w:hAnsiTheme="minorHAnsi" w:cstheme="minorHAnsi"/>
          <w:sz w:val="24"/>
          <w:szCs w:val="24"/>
        </w:rPr>
      </w:pPr>
      <w:r w:rsidRPr="00DD31CC">
        <w:rPr>
          <w:rFonts w:asciiTheme="minorHAnsi" w:hAnsiTheme="minorHAnsi" w:cstheme="minorHAnsi"/>
          <w:sz w:val="24"/>
          <w:szCs w:val="24"/>
        </w:rPr>
        <w:t xml:space="preserve">that improved access to treatment would significantly reduce </w:t>
      </w:r>
      <w:r w:rsidR="00E418F2" w:rsidRPr="00DD31CC">
        <w:rPr>
          <w:rFonts w:asciiTheme="minorHAnsi" w:hAnsiTheme="minorHAnsi" w:cstheme="minorHAnsi"/>
          <w:sz w:val="24"/>
          <w:szCs w:val="24"/>
        </w:rPr>
        <w:t xml:space="preserve">the societal costs of ADHD in Australia. </w:t>
      </w:r>
    </w:p>
    <w:p w:rsidR="005E746A" w:rsidRPr="00DD31CC" w:rsidRDefault="005E746A" w:rsidP="00AA2F40">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Registration status</w:t>
      </w:r>
    </w:p>
    <w:p w:rsidR="007D0455" w:rsidRPr="00DD31CC" w:rsidRDefault="00850B12" w:rsidP="00946FED">
      <w:pPr>
        <w:pStyle w:val="Bodytextitalics"/>
        <w:keepLines/>
        <w:spacing w:before="240"/>
        <w:jc w:val="both"/>
        <w:rPr>
          <w:rFonts w:eastAsiaTheme="majorEastAsia" w:cstheme="majorBidi"/>
          <w:sz w:val="28"/>
          <w:szCs w:val="28"/>
          <w:lang w:eastAsia="en-US"/>
        </w:rPr>
      </w:pPr>
      <w:r w:rsidRPr="00DD31CC">
        <w:rPr>
          <w:i w:val="0"/>
        </w:rPr>
        <w:t>LDX (30</w:t>
      </w:r>
      <w:r w:rsidR="0081788D" w:rsidRPr="00DD31CC">
        <w:rPr>
          <w:i w:val="0"/>
        </w:rPr>
        <w:t xml:space="preserve"> mg</w:t>
      </w:r>
      <w:r w:rsidRPr="00DD31CC">
        <w:rPr>
          <w:i w:val="0"/>
        </w:rPr>
        <w:t>, 50</w:t>
      </w:r>
      <w:r w:rsidR="0081788D" w:rsidRPr="00DD31CC">
        <w:rPr>
          <w:i w:val="0"/>
        </w:rPr>
        <w:t xml:space="preserve"> mg</w:t>
      </w:r>
      <w:r w:rsidRPr="00DD31CC">
        <w:rPr>
          <w:i w:val="0"/>
        </w:rPr>
        <w:t xml:space="preserve"> and 70 mg strengths) was TGA registered on 22 July 2013 for the treatment of ADHD. </w:t>
      </w:r>
      <w:r w:rsidR="007D0455" w:rsidRPr="00DD31CC">
        <w:rPr>
          <w:i w:val="0"/>
        </w:rPr>
        <w:t xml:space="preserve">In 2017, the TGA registered 20 mg, 40 mg and 60 mg strengths of LDX. </w:t>
      </w:r>
    </w:p>
    <w:p w:rsidR="00850B12" w:rsidRPr="00DD31CC" w:rsidRDefault="00850B12" w:rsidP="00062D6E">
      <w:pPr>
        <w:pStyle w:val="Bodytextitalics"/>
        <w:jc w:val="both"/>
        <w:rPr>
          <w:i w:val="0"/>
        </w:rPr>
      </w:pPr>
      <w:r w:rsidRPr="00DD31CC">
        <w:rPr>
          <w:i w:val="0"/>
        </w:rPr>
        <w:t xml:space="preserve">The </w:t>
      </w:r>
      <w:r w:rsidR="009C6799" w:rsidRPr="00DD31CC">
        <w:rPr>
          <w:i w:val="0"/>
        </w:rPr>
        <w:t>TGA-approved PI</w:t>
      </w:r>
      <w:r w:rsidRPr="00DD31CC">
        <w:rPr>
          <w:i w:val="0"/>
        </w:rPr>
        <w:t xml:space="preserve"> also states the following: </w:t>
      </w:r>
    </w:p>
    <w:p w:rsidR="00850D19" w:rsidRPr="00DD31CC" w:rsidRDefault="00850D19" w:rsidP="00BD1BB3">
      <w:pPr>
        <w:pStyle w:val="ListParagraph"/>
        <w:numPr>
          <w:ilvl w:val="0"/>
          <w:numId w:val="8"/>
        </w:numPr>
        <w:rPr>
          <w:rFonts w:asciiTheme="minorHAnsi" w:hAnsiTheme="minorHAnsi" w:cstheme="minorHAnsi"/>
          <w:i/>
          <w:sz w:val="24"/>
          <w:szCs w:val="24"/>
        </w:rPr>
      </w:pPr>
      <w:r w:rsidRPr="00DD31CC">
        <w:rPr>
          <w:rFonts w:asciiTheme="minorHAnsi" w:hAnsiTheme="minorHAnsi" w:cstheme="minorHAnsi"/>
          <w:sz w:val="24"/>
          <w:szCs w:val="24"/>
        </w:rPr>
        <w:t>Treatment should be commenced by a specialist as part of a comprehensive treatment plan and re-evaluated periodically during long-term use</w:t>
      </w:r>
      <w:r w:rsidR="0081788D" w:rsidRPr="00DD31CC">
        <w:rPr>
          <w:rFonts w:asciiTheme="minorHAnsi" w:hAnsiTheme="minorHAnsi" w:cstheme="minorHAnsi"/>
          <w:sz w:val="24"/>
          <w:szCs w:val="24"/>
        </w:rPr>
        <w:t>; and</w:t>
      </w:r>
      <w:r w:rsidRPr="00DD31CC">
        <w:rPr>
          <w:rFonts w:asciiTheme="minorHAnsi" w:hAnsiTheme="minorHAnsi" w:cstheme="minorHAnsi"/>
          <w:sz w:val="24"/>
          <w:szCs w:val="24"/>
        </w:rPr>
        <w:t xml:space="preserve"> </w:t>
      </w:r>
    </w:p>
    <w:p w:rsidR="00850D19" w:rsidRPr="00DD31CC" w:rsidRDefault="00850D19" w:rsidP="00062D6E">
      <w:pPr>
        <w:pStyle w:val="ListParagraph"/>
        <w:numPr>
          <w:ilvl w:val="0"/>
          <w:numId w:val="8"/>
        </w:numPr>
        <w:spacing w:after="120"/>
        <w:rPr>
          <w:rFonts w:asciiTheme="minorHAnsi" w:hAnsiTheme="minorHAnsi" w:cstheme="minorHAnsi"/>
          <w:i/>
          <w:sz w:val="24"/>
          <w:szCs w:val="24"/>
        </w:rPr>
      </w:pPr>
      <w:r w:rsidRPr="00DD31CC">
        <w:rPr>
          <w:rFonts w:asciiTheme="minorHAnsi" w:hAnsiTheme="minorHAnsi" w:cstheme="minorHAnsi"/>
          <w:sz w:val="24"/>
          <w:szCs w:val="24"/>
        </w:rPr>
        <w:t>A diagnosis of ADHD implies the presence of hyperactive-impulsive or inattentive symptoms that caused impairment and were</w:t>
      </w:r>
      <w:r w:rsidR="00875958" w:rsidRPr="00DD31CC">
        <w:rPr>
          <w:rFonts w:asciiTheme="minorHAnsi" w:hAnsiTheme="minorHAnsi" w:cstheme="minorHAnsi"/>
          <w:sz w:val="24"/>
          <w:szCs w:val="24"/>
        </w:rPr>
        <w:t xml:space="preserve"> present before 12 years of age</w:t>
      </w:r>
      <w:r w:rsidR="007D0455" w:rsidRPr="00DD31CC">
        <w:rPr>
          <w:rFonts w:asciiTheme="minorHAnsi" w:hAnsiTheme="minorHAnsi" w:cstheme="minorHAnsi"/>
          <w:sz w:val="24"/>
          <w:szCs w:val="24"/>
        </w:rPr>
        <w:t>.</w:t>
      </w:r>
    </w:p>
    <w:p w:rsidR="007222C5" w:rsidRPr="00946FED" w:rsidRDefault="00946FED" w:rsidP="00946FED">
      <w:pPr>
        <w:pStyle w:val="Bodytextitalics"/>
        <w:numPr>
          <w:ilvl w:val="0"/>
          <w:numId w:val="0"/>
        </w:numPr>
        <w:spacing w:before="120"/>
        <w:ind w:firstLine="720"/>
        <w:jc w:val="both"/>
        <w:rPr>
          <w:szCs w:val="24"/>
        </w:rPr>
      </w:pPr>
      <w:r w:rsidRPr="00946FED">
        <w:rPr>
          <w:rFonts w:eastAsia="Times New Roman"/>
          <w:szCs w:val="24"/>
        </w:rPr>
        <w:t>F</w:t>
      </w:r>
      <w:r w:rsidR="007222C5" w:rsidRPr="00946FED">
        <w:rPr>
          <w:szCs w:val="24"/>
        </w:rPr>
        <w:t xml:space="preserve">or more detail on PBAC’s view, see section 6 PBAC outcome. </w:t>
      </w:r>
    </w:p>
    <w:p w:rsidR="006A12A5" w:rsidRPr="00DD31CC" w:rsidRDefault="006A12A5" w:rsidP="0033263D">
      <w:pPr>
        <w:pStyle w:val="2Sections"/>
      </w:pPr>
      <w:r w:rsidRPr="00DD31CC">
        <w:t>Requested listing</w:t>
      </w:r>
    </w:p>
    <w:p w:rsidR="00234252" w:rsidRPr="00E25B55" w:rsidRDefault="00EF44A0" w:rsidP="00721B19">
      <w:pPr>
        <w:pStyle w:val="3Bodytext"/>
        <w:rPr>
          <w:b/>
          <w:i/>
          <w:color w:val="000000" w:themeColor="text1"/>
          <w:lang w:eastAsia="en-US"/>
        </w:rPr>
      </w:pPr>
      <w:r w:rsidRPr="00DD31CC">
        <w:t xml:space="preserve">The submission </w:t>
      </w:r>
      <w:r w:rsidR="00E93DBF" w:rsidRPr="00DD31CC">
        <w:t>proposed two options for</w:t>
      </w:r>
      <w:r w:rsidR="00721B19" w:rsidRPr="00E25B55">
        <w:t xml:space="preserve"> changes to the existing restriction. </w:t>
      </w:r>
    </w:p>
    <w:p w:rsidR="00666863" w:rsidRPr="00DD31CC" w:rsidRDefault="009F4129" w:rsidP="00666863">
      <w:pPr>
        <w:pStyle w:val="3Bodytext"/>
        <w:jc w:val="both"/>
        <w:rPr>
          <w:b/>
          <w:color w:val="000000" w:themeColor="text1"/>
          <w:lang w:eastAsia="en-US"/>
        </w:rPr>
      </w:pPr>
      <w:r w:rsidRPr="00E25B55">
        <w:t>Bold text (and bold strikethrough text) indicate the changes to the current restriction proposed by the sponsor.</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850"/>
        <w:gridCol w:w="851"/>
        <w:gridCol w:w="708"/>
        <w:gridCol w:w="1134"/>
        <w:gridCol w:w="992"/>
      </w:tblGrid>
      <w:tr w:rsidR="009421B6" w:rsidRPr="00DD31CC" w:rsidTr="0081788D">
        <w:trPr>
          <w:cantSplit/>
          <w:trHeight w:val="295"/>
        </w:trPr>
        <w:tc>
          <w:tcPr>
            <w:tcW w:w="3397" w:type="dxa"/>
            <w:tcBorders>
              <w:left w:val="nil"/>
              <w:bottom w:val="single" w:sz="4" w:space="0" w:color="auto"/>
              <w:right w:val="nil"/>
            </w:tcBorders>
          </w:tcPr>
          <w:p w:rsidR="009421B6" w:rsidRPr="00DD31CC" w:rsidRDefault="009421B6" w:rsidP="00875958">
            <w:pPr>
              <w:keepNext/>
              <w:ind w:left="-108"/>
              <w:rPr>
                <w:rFonts w:ascii="Arial Narrow" w:hAnsi="Arial Narrow" w:cs="Arial"/>
                <w:b/>
                <w:sz w:val="18"/>
                <w:szCs w:val="18"/>
              </w:rPr>
            </w:pPr>
            <w:r w:rsidRPr="00DD31CC">
              <w:rPr>
                <w:rFonts w:ascii="Arial Narrow" w:hAnsi="Arial Narrow" w:cs="Arial"/>
                <w:b/>
                <w:sz w:val="18"/>
                <w:szCs w:val="18"/>
              </w:rPr>
              <w:t>Name, Restriction,</w:t>
            </w:r>
          </w:p>
          <w:p w:rsidR="009421B6" w:rsidRPr="00DD31CC" w:rsidRDefault="009421B6" w:rsidP="00875958">
            <w:pPr>
              <w:keepNext/>
              <w:ind w:left="-108"/>
              <w:rPr>
                <w:rFonts w:ascii="Arial Narrow" w:hAnsi="Arial Narrow" w:cs="Arial"/>
                <w:b/>
                <w:sz w:val="18"/>
                <w:szCs w:val="18"/>
              </w:rPr>
            </w:pPr>
            <w:r w:rsidRPr="00DD31CC">
              <w:rPr>
                <w:rFonts w:ascii="Arial Narrow" w:hAnsi="Arial Narrow" w:cs="Arial"/>
                <w:b/>
                <w:sz w:val="18"/>
                <w:szCs w:val="18"/>
              </w:rPr>
              <w:t>Manner of administration and form</w:t>
            </w:r>
          </w:p>
        </w:tc>
        <w:tc>
          <w:tcPr>
            <w:tcW w:w="993" w:type="dxa"/>
            <w:tcBorders>
              <w:left w:val="nil"/>
              <w:bottom w:val="single" w:sz="4" w:space="0" w:color="auto"/>
              <w:right w:val="nil"/>
            </w:tcBorders>
          </w:tcPr>
          <w:p w:rsidR="009421B6" w:rsidRPr="00DD31CC" w:rsidRDefault="009421B6" w:rsidP="00875958">
            <w:pPr>
              <w:keepNext/>
              <w:ind w:left="-108"/>
              <w:jc w:val="center"/>
              <w:rPr>
                <w:rFonts w:ascii="Arial Narrow" w:hAnsi="Arial Narrow" w:cs="Arial"/>
                <w:b/>
                <w:sz w:val="18"/>
                <w:szCs w:val="18"/>
              </w:rPr>
            </w:pPr>
            <w:r w:rsidRPr="00DD31CC">
              <w:rPr>
                <w:rFonts w:ascii="Arial Narrow" w:hAnsi="Arial Narrow" w:cs="Arial"/>
                <w:b/>
                <w:sz w:val="18"/>
                <w:szCs w:val="18"/>
              </w:rPr>
              <w:t>PBS item code</w:t>
            </w:r>
          </w:p>
        </w:tc>
        <w:tc>
          <w:tcPr>
            <w:tcW w:w="850" w:type="dxa"/>
            <w:tcBorders>
              <w:left w:val="nil"/>
              <w:bottom w:val="single" w:sz="4" w:space="0" w:color="auto"/>
              <w:right w:val="nil"/>
            </w:tcBorders>
          </w:tcPr>
          <w:p w:rsidR="009421B6" w:rsidRPr="00DD31CC" w:rsidRDefault="009421B6" w:rsidP="00875958">
            <w:pPr>
              <w:keepNext/>
              <w:ind w:left="-108"/>
              <w:jc w:val="center"/>
              <w:rPr>
                <w:rFonts w:ascii="Arial Narrow" w:hAnsi="Arial Narrow" w:cs="Arial"/>
                <w:b/>
                <w:sz w:val="18"/>
                <w:szCs w:val="18"/>
              </w:rPr>
            </w:pPr>
            <w:r w:rsidRPr="00DD31CC">
              <w:rPr>
                <w:rFonts w:ascii="Arial Narrow" w:hAnsi="Arial Narrow" w:cs="Arial"/>
                <w:b/>
                <w:sz w:val="18"/>
                <w:szCs w:val="18"/>
              </w:rPr>
              <w:t xml:space="preserve">Max. </w:t>
            </w:r>
            <w:r w:rsidR="00CB356A" w:rsidRPr="00DD31CC">
              <w:rPr>
                <w:rFonts w:ascii="Arial Narrow" w:hAnsi="Arial Narrow" w:cs="Arial"/>
                <w:b/>
                <w:sz w:val="18"/>
                <w:szCs w:val="18"/>
              </w:rPr>
              <w:t>Qty</w:t>
            </w:r>
            <w:r w:rsidRPr="00DD31CC">
              <w:rPr>
                <w:rFonts w:ascii="Arial Narrow" w:hAnsi="Arial Narrow" w:cs="Arial"/>
                <w:b/>
                <w:sz w:val="18"/>
                <w:szCs w:val="18"/>
              </w:rPr>
              <w:t xml:space="preserve"> packs</w:t>
            </w:r>
          </w:p>
        </w:tc>
        <w:tc>
          <w:tcPr>
            <w:tcW w:w="851" w:type="dxa"/>
            <w:tcBorders>
              <w:left w:val="nil"/>
              <w:bottom w:val="single" w:sz="4" w:space="0" w:color="auto"/>
              <w:right w:val="nil"/>
            </w:tcBorders>
          </w:tcPr>
          <w:p w:rsidR="009421B6" w:rsidRPr="00DD31CC" w:rsidRDefault="009421B6" w:rsidP="00875958">
            <w:pPr>
              <w:keepNext/>
              <w:ind w:left="-108"/>
              <w:jc w:val="center"/>
              <w:rPr>
                <w:rFonts w:ascii="Arial Narrow" w:hAnsi="Arial Narrow" w:cs="Arial"/>
                <w:b/>
                <w:sz w:val="18"/>
                <w:szCs w:val="18"/>
              </w:rPr>
            </w:pPr>
            <w:r w:rsidRPr="00DD31CC">
              <w:rPr>
                <w:rFonts w:ascii="Arial Narrow" w:hAnsi="Arial Narrow" w:cs="Arial"/>
                <w:b/>
                <w:sz w:val="18"/>
                <w:szCs w:val="18"/>
              </w:rPr>
              <w:t xml:space="preserve">Max. </w:t>
            </w:r>
            <w:r w:rsidR="00CB356A" w:rsidRPr="00DD31CC">
              <w:rPr>
                <w:rFonts w:ascii="Arial Narrow" w:hAnsi="Arial Narrow" w:cs="Arial"/>
                <w:b/>
                <w:sz w:val="18"/>
                <w:szCs w:val="18"/>
              </w:rPr>
              <w:t>Qty</w:t>
            </w:r>
            <w:r w:rsidRPr="00DD31CC">
              <w:rPr>
                <w:rFonts w:ascii="Arial Narrow" w:hAnsi="Arial Narrow" w:cs="Arial"/>
                <w:b/>
                <w:sz w:val="18"/>
                <w:szCs w:val="18"/>
              </w:rPr>
              <w:t xml:space="preserve"> units</w:t>
            </w:r>
          </w:p>
        </w:tc>
        <w:tc>
          <w:tcPr>
            <w:tcW w:w="708" w:type="dxa"/>
            <w:tcBorders>
              <w:left w:val="nil"/>
              <w:bottom w:val="single" w:sz="4" w:space="0" w:color="auto"/>
              <w:right w:val="nil"/>
            </w:tcBorders>
          </w:tcPr>
          <w:p w:rsidR="009421B6" w:rsidRPr="00DD31CC" w:rsidRDefault="009421B6" w:rsidP="00875958">
            <w:pPr>
              <w:keepNext/>
              <w:ind w:left="-108"/>
              <w:jc w:val="center"/>
              <w:rPr>
                <w:rFonts w:ascii="Arial Narrow" w:hAnsi="Arial Narrow" w:cs="Arial"/>
                <w:b/>
                <w:sz w:val="18"/>
                <w:szCs w:val="18"/>
              </w:rPr>
            </w:pPr>
            <w:r w:rsidRPr="00DD31CC">
              <w:rPr>
                <w:rFonts w:ascii="Arial Narrow" w:hAnsi="Arial Narrow" w:cs="Arial"/>
                <w:b/>
                <w:sz w:val="18"/>
                <w:szCs w:val="18"/>
              </w:rPr>
              <w:t>№.of</w:t>
            </w:r>
          </w:p>
          <w:p w:rsidR="009421B6" w:rsidRPr="00DD31CC" w:rsidRDefault="009421B6" w:rsidP="00875958">
            <w:pPr>
              <w:keepNext/>
              <w:ind w:left="-108"/>
              <w:jc w:val="center"/>
              <w:rPr>
                <w:rFonts w:ascii="Arial Narrow" w:hAnsi="Arial Narrow" w:cs="Arial"/>
                <w:b/>
                <w:sz w:val="18"/>
                <w:szCs w:val="18"/>
              </w:rPr>
            </w:pPr>
            <w:r w:rsidRPr="00DD31CC">
              <w:rPr>
                <w:rFonts w:ascii="Arial Narrow" w:hAnsi="Arial Narrow" w:cs="Arial"/>
                <w:b/>
                <w:sz w:val="18"/>
                <w:szCs w:val="18"/>
              </w:rPr>
              <w:t>Rpts</w:t>
            </w:r>
          </w:p>
        </w:tc>
        <w:tc>
          <w:tcPr>
            <w:tcW w:w="2126" w:type="dxa"/>
            <w:gridSpan w:val="2"/>
            <w:tcBorders>
              <w:left w:val="nil"/>
              <w:bottom w:val="single" w:sz="4" w:space="0" w:color="auto"/>
              <w:right w:val="nil"/>
            </w:tcBorders>
          </w:tcPr>
          <w:p w:rsidR="009421B6" w:rsidRPr="00743538" w:rsidRDefault="009421B6" w:rsidP="00875958">
            <w:pPr>
              <w:keepNext/>
              <w:rPr>
                <w:rFonts w:ascii="Arial Narrow" w:hAnsi="Arial Narrow" w:cs="Arial"/>
                <w:b/>
                <w:sz w:val="18"/>
                <w:szCs w:val="18"/>
              </w:rPr>
            </w:pPr>
            <w:r w:rsidRPr="00DD31CC">
              <w:rPr>
                <w:rFonts w:ascii="Arial Narrow" w:hAnsi="Arial Narrow" w:cs="Arial"/>
                <w:b/>
                <w:sz w:val="18"/>
                <w:szCs w:val="18"/>
              </w:rPr>
              <w:t>Proprietary Name and Manufacturer</w:t>
            </w:r>
          </w:p>
        </w:tc>
      </w:tr>
      <w:tr w:rsidR="0081788D" w:rsidRPr="00DD31CC" w:rsidTr="00F52906">
        <w:trPr>
          <w:cantSplit/>
          <w:trHeight w:val="301"/>
        </w:trPr>
        <w:tc>
          <w:tcPr>
            <w:tcW w:w="3397" w:type="dxa"/>
            <w:tcBorders>
              <w:left w:val="nil"/>
              <w:bottom w:val="nil"/>
              <w:right w:val="nil"/>
            </w:tcBorders>
          </w:tcPr>
          <w:p w:rsidR="0081788D" w:rsidRPr="00DD31CC" w:rsidRDefault="0081788D" w:rsidP="0081788D">
            <w:pPr>
              <w:keepNext/>
              <w:ind w:left="-108"/>
              <w:rPr>
                <w:rFonts w:ascii="Arial Narrow" w:hAnsi="Arial Narrow" w:cs="Arial"/>
                <w:sz w:val="18"/>
                <w:szCs w:val="18"/>
              </w:rPr>
            </w:pPr>
            <w:r w:rsidRPr="00DD31CC">
              <w:rPr>
                <w:rFonts w:ascii="Arial Narrow" w:hAnsi="Arial Narrow" w:cs="Arial"/>
                <w:sz w:val="18"/>
                <w:szCs w:val="18"/>
              </w:rPr>
              <w:t>LISDEXAMFETAMINE</w:t>
            </w:r>
          </w:p>
          <w:p w:rsidR="0081788D" w:rsidRPr="00DD31CC" w:rsidRDefault="0081788D" w:rsidP="0081788D">
            <w:pPr>
              <w:keepNext/>
              <w:ind w:left="-108"/>
              <w:rPr>
                <w:rFonts w:ascii="Arial Narrow" w:hAnsi="Arial Narrow" w:cs="Arial"/>
                <w:sz w:val="18"/>
                <w:szCs w:val="18"/>
              </w:rPr>
            </w:pPr>
            <w:r w:rsidRPr="00DD31CC">
              <w:rPr>
                <w:rFonts w:ascii="Arial Narrow" w:hAnsi="Arial Narrow" w:cs="Arial"/>
                <w:sz w:val="18"/>
                <w:szCs w:val="18"/>
              </w:rPr>
              <w:t>lisdexamfetamine dimesilate 20 mg capsule, 30</w:t>
            </w:r>
          </w:p>
        </w:tc>
        <w:tc>
          <w:tcPr>
            <w:tcW w:w="993" w:type="dxa"/>
            <w:tcBorders>
              <w:left w:val="nil"/>
              <w:bottom w:val="nil"/>
              <w:right w:val="nil"/>
            </w:tcBorders>
            <w:tcMar>
              <w:left w:w="28" w:type="dxa"/>
              <w:right w:w="28" w:type="dxa"/>
            </w:tcMar>
          </w:tcPr>
          <w:p w:rsidR="0081788D" w:rsidRPr="00DD31CC" w:rsidRDefault="0081788D" w:rsidP="00F52906">
            <w:pPr>
              <w:keepNext/>
              <w:jc w:val="center"/>
              <w:rPr>
                <w:rFonts w:ascii="Arial Narrow" w:hAnsi="Arial Narrow" w:cs="Arial"/>
                <w:sz w:val="18"/>
                <w:szCs w:val="18"/>
              </w:rPr>
            </w:pPr>
          </w:p>
          <w:p w:rsidR="0081788D" w:rsidRPr="00DD31CC" w:rsidRDefault="0081788D" w:rsidP="00F52906">
            <w:pPr>
              <w:keepNext/>
              <w:ind w:left="-108"/>
              <w:jc w:val="center"/>
              <w:rPr>
                <w:rFonts w:ascii="Arial Narrow" w:hAnsi="Arial Narrow" w:cs="Arial"/>
                <w:sz w:val="18"/>
                <w:szCs w:val="18"/>
              </w:rPr>
            </w:pPr>
            <w:r w:rsidRPr="00DD31CC">
              <w:rPr>
                <w:rFonts w:ascii="Arial Narrow" w:hAnsi="Arial Narrow" w:cs="Arial"/>
                <w:sz w:val="18"/>
                <w:szCs w:val="18"/>
              </w:rPr>
              <w:t>11884L</w:t>
            </w:r>
          </w:p>
        </w:tc>
        <w:tc>
          <w:tcPr>
            <w:tcW w:w="850" w:type="dxa"/>
            <w:tcBorders>
              <w:left w:val="nil"/>
              <w:bottom w:val="nil"/>
              <w:right w:val="nil"/>
            </w:tcBorders>
          </w:tcPr>
          <w:p w:rsidR="0081788D" w:rsidRPr="00DD31CC" w:rsidRDefault="0081788D" w:rsidP="0081788D">
            <w:pPr>
              <w:keepNext/>
              <w:rPr>
                <w:rFonts w:ascii="Arial Narrow" w:hAnsi="Arial Narrow" w:cs="Arial"/>
                <w:sz w:val="18"/>
                <w:szCs w:val="18"/>
              </w:rPr>
            </w:pPr>
          </w:p>
          <w:p w:rsidR="0081788D" w:rsidRPr="00DD31CC" w:rsidRDefault="0081788D" w:rsidP="00875958">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left w:val="nil"/>
              <w:bottom w:val="nil"/>
              <w:right w:val="nil"/>
            </w:tcBorders>
          </w:tcPr>
          <w:p w:rsidR="0081788D" w:rsidRPr="00DD31CC" w:rsidRDefault="0081788D" w:rsidP="00875958">
            <w:pPr>
              <w:keepNext/>
              <w:rPr>
                <w:rFonts w:ascii="Arial Narrow" w:hAnsi="Arial Narrow" w:cs="Arial"/>
                <w:sz w:val="18"/>
                <w:szCs w:val="18"/>
              </w:rPr>
            </w:pPr>
          </w:p>
          <w:p w:rsidR="0081788D" w:rsidRPr="00DD31CC" w:rsidRDefault="0081788D" w:rsidP="00875958">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left w:val="nil"/>
              <w:bottom w:val="nil"/>
              <w:right w:val="nil"/>
            </w:tcBorders>
          </w:tcPr>
          <w:p w:rsidR="0081788D" w:rsidRPr="00DD31CC" w:rsidRDefault="0081788D" w:rsidP="0081788D">
            <w:pPr>
              <w:keepNext/>
              <w:rPr>
                <w:rFonts w:ascii="Arial Narrow" w:hAnsi="Arial Narrow" w:cs="Arial"/>
                <w:sz w:val="18"/>
                <w:szCs w:val="18"/>
              </w:rPr>
            </w:pPr>
          </w:p>
          <w:p w:rsidR="0081788D" w:rsidRPr="00DD31CC" w:rsidRDefault="0081788D" w:rsidP="0081788D">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val="restart"/>
            <w:tcBorders>
              <w:left w:val="nil"/>
              <w:right w:val="nil"/>
            </w:tcBorders>
            <w:vAlign w:val="center"/>
          </w:tcPr>
          <w:p w:rsidR="0081788D" w:rsidRPr="00DD31CC" w:rsidRDefault="0081788D" w:rsidP="0081788D">
            <w:pPr>
              <w:keepNext/>
              <w:jc w:val="center"/>
              <w:rPr>
                <w:rFonts w:ascii="Arial Narrow" w:hAnsi="Arial Narrow" w:cs="Arial"/>
                <w:sz w:val="18"/>
                <w:szCs w:val="18"/>
              </w:rPr>
            </w:pPr>
            <w:r w:rsidRPr="00DD31CC">
              <w:rPr>
                <w:rFonts w:ascii="Arial Narrow" w:hAnsi="Arial Narrow" w:cs="Arial"/>
                <w:sz w:val="18"/>
                <w:szCs w:val="18"/>
              </w:rPr>
              <w:t>Vyvanse</w:t>
            </w:r>
            <w:r w:rsidRPr="00DD31CC">
              <w:rPr>
                <w:rFonts w:ascii="Arial Narrow" w:hAnsi="Arial Narrow" w:cs="Arial"/>
                <w:sz w:val="18"/>
                <w:szCs w:val="18"/>
                <w:vertAlign w:val="superscript"/>
              </w:rPr>
              <w:t>®</w:t>
            </w:r>
          </w:p>
        </w:tc>
        <w:tc>
          <w:tcPr>
            <w:tcW w:w="992" w:type="dxa"/>
            <w:vMerge w:val="restart"/>
            <w:tcBorders>
              <w:left w:val="nil"/>
              <w:right w:val="nil"/>
            </w:tcBorders>
            <w:vAlign w:val="center"/>
          </w:tcPr>
          <w:p w:rsidR="0081788D" w:rsidRPr="00DD31CC" w:rsidRDefault="0081788D" w:rsidP="0081788D">
            <w:pPr>
              <w:keepNext/>
              <w:jc w:val="center"/>
              <w:rPr>
                <w:rFonts w:ascii="Arial Narrow" w:hAnsi="Arial Narrow" w:cs="Arial"/>
                <w:sz w:val="18"/>
                <w:szCs w:val="18"/>
              </w:rPr>
            </w:pPr>
            <w:r w:rsidRPr="00DD31CC">
              <w:rPr>
                <w:rFonts w:ascii="Arial Narrow" w:hAnsi="Arial Narrow" w:cs="Arial"/>
                <w:sz w:val="18"/>
                <w:szCs w:val="18"/>
              </w:rPr>
              <w:t>Shire Australia Pty Ltd</w:t>
            </w:r>
          </w:p>
        </w:tc>
      </w:tr>
      <w:tr w:rsidR="0081788D" w:rsidRPr="00DD31CC" w:rsidTr="00F52906">
        <w:trPr>
          <w:cantSplit/>
          <w:trHeight w:val="183"/>
        </w:trPr>
        <w:tc>
          <w:tcPr>
            <w:tcW w:w="3397" w:type="dxa"/>
            <w:tcBorders>
              <w:top w:val="nil"/>
              <w:left w:val="nil"/>
              <w:bottom w:val="nil"/>
              <w:right w:val="nil"/>
            </w:tcBorders>
          </w:tcPr>
          <w:p w:rsidR="0081788D" w:rsidRPr="00DD31CC" w:rsidRDefault="0081788D" w:rsidP="00455573">
            <w:pPr>
              <w:keepNext/>
              <w:ind w:left="-108"/>
              <w:rPr>
                <w:rFonts w:ascii="Arial Narrow" w:hAnsi="Arial Narrow" w:cs="Arial"/>
                <w:sz w:val="18"/>
                <w:szCs w:val="18"/>
              </w:rPr>
            </w:pPr>
            <w:r w:rsidRPr="00DD31CC">
              <w:rPr>
                <w:rFonts w:ascii="Arial Narrow" w:hAnsi="Arial Narrow" w:cs="Arial"/>
                <w:sz w:val="18"/>
                <w:szCs w:val="18"/>
              </w:rPr>
              <w:t>lisdexamfetamine dimesilate 30 mg capsule, 30</w:t>
            </w:r>
          </w:p>
        </w:tc>
        <w:tc>
          <w:tcPr>
            <w:tcW w:w="993" w:type="dxa"/>
            <w:tcBorders>
              <w:top w:val="nil"/>
              <w:left w:val="nil"/>
              <w:bottom w:val="nil"/>
              <w:right w:val="nil"/>
            </w:tcBorders>
            <w:tcMar>
              <w:left w:w="28" w:type="dxa"/>
              <w:right w:w="28" w:type="dxa"/>
            </w:tcMar>
          </w:tcPr>
          <w:p w:rsidR="0081788D" w:rsidRPr="00DD31CC" w:rsidRDefault="0081788D" w:rsidP="00F52906">
            <w:pPr>
              <w:keepNext/>
              <w:ind w:left="-108"/>
              <w:jc w:val="center"/>
              <w:rPr>
                <w:rFonts w:ascii="Arial Narrow" w:hAnsi="Arial Narrow" w:cs="Arial"/>
                <w:sz w:val="18"/>
                <w:szCs w:val="18"/>
              </w:rPr>
            </w:pPr>
            <w:r w:rsidRPr="00DD31CC">
              <w:rPr>
                <w:rFonts w:ascii="Arial Narrow" w:hAnsi="Arial Narrow" w:cs="Arial"/>
                <w:sz w:val="18"/>
                <w:szCs w:val="18"/>
              </w:rPr>
              <w:t>10486X</w:t>
            </w:r>
          </w:p>
        </w:tc>
        <w:tc>
          <w:tcPr>
            <w:tcW w:w="850" w:type="dxa"/>
            <w:tcBorders>
              <w:top w:val="nil"/>
              <w:left w:val="nil"/>
              <w:bottom w:val="nil"/>
              <w:right w:val="nil"/>
            </w:tcBorders>
          </w:tcPr>
          <w:p w:rsidR="0081788D" w:rsidRPr="00DD31CC" w:rsidRDefault="0081788D" w:rsidP="00455573">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c>
          <w:tcPr>
            <w:tcW w:w="992"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r>
      <w:tr w:rsidR="0081788D" w:rsidRPr="00DD31CC" w:rsidTr="00F52906">
        <w:trPr>
          <w:cantSplit/>
          <w:trHeight w:val="83"/>
        </w:trPr>
        <w:tc>
          <w:tcPr>
            <w:tcW w:w="3397" w:type="dxa"/>
            <w:tcBorders>
              <w:top w:val="nil"/>
              <w:left w:val="nil"/>
              <w:bottom w:val="nil"/>
              <w:right w:val="nil"/>
            </w:tcBorders>
          </w:tcPr>
          <w:p w:rsidR="0081788D" w:rsidRPr="00DD31CC" w:rsidRDefault="0081788D" w:rsidP="00455573">
            <w:pPr>
              <w:keepNext/>
              <w:ind w:left="-108"/>
              <w:rPr>
                <w:rFonts w:ascii="Arial Narrow" w:hAnsi="Arial Narrow" w:cs="Arial"/>
                <w:sz w:val="18"/>
                <w:szCs w:val="18"/>
              </w:rPr>
            </w:pPr>
            <w:r w:rsidRPr="00DD31CC">
              <w:rPr>
                <w:rFonts w:ascii="Arial Narrow" w:hAnsi="Arial Narrow" w:cs="Arial"/>
                <w:sz w:val="18"/>
                <w:szCs w:val="18"/>
              </w:rPr>
              <w:t>lisdexamfetamine dimesilate 40 mg capsule, 30</w:t>
            </w:r>
          </w:p>
        </w:tc>
        <w:tc>
          <w:tcPr>
            <w:tcW w:w="993" w:type="dxa"/>
            <w:tcBorders>
              <w:top w:val="nil"/>
              <w:left w:val="nil"/>
              <w:bottom w:val="nil"/>
              <w:right w:val="nil"/>
            </w:tcBorders>
            <w:tcMar>
              <w:left w:w="28" w:type="dxa"/>
              <w:right w:w="28" w:type="dxa"/>
            </w:tcMar>
          </w:tcPr>
          <w:p w:rsidR="0081788D" w:rsidRPr="00DD31CC" w:rsidRDefault="0081788D" w:rsidP="00F52906">
            <w:pPr>
              <w:keepNext/>
              <w:jc w:val="center"/>
              <w:rPr>
                <w:rFonts w:ascii="Arial Narrow" w:hAnsi="Arial Narrow" w:cs="Arial"/>
                <w:sz w:val="18"/>
                <w:szCs w:val="18"/>
              </w:rPr>
            </w:pPr>
            <w:r w:rsidRPr="00DD31CC">
              <w:rPr>
                <w:rFonts w:ascii="Arial Narrow" w:hAnsi="Arial Narrow" w:cs="Arial"/>
                <w:sz w:val="18"/>
                <w:szCs w:val="18"/>
              </w:rPr>
              <w:t>11898F</w:t>
            </w:r>
          </w:p>
        </w:tc>
        <w:tc>
          <w:tcPr>
            <w:tcW w:w="850" w:type="dxa"/>
            <w:tcBorders>
              <w:top w:val="nil"/>
              <w:left w:val="nil"/>
              <w:bottom w:val="nil"/>
              <w:right w:val="nil"/>
            </w:tcBorders>
          </w:tcPr>
          <w:p w:rsidR="0081788D" w:rsidRPr="00DD31CC" w:rsidRDefault="0081788D" w:rsidP="00455573">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c>
          <w:tcPr>
            <w:tcW w:w="992"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r>
      <w:tr w:rsidR="0081788D" w:rsidRPr="00DD31CC" w:rsidTr="00F52906">
        <w:trPr>
          <w:cantSplit/>
          <w:trHeight w:val="147"/>
        </w:trPr>
        <w:tc>
          <w:tcPr>
            <w:tcW w:w="3397" w:type="dxa"/>
            <w:tcBorders>
              <w:top w:val="nil"/>
              <w:left w:val="nil"/>
              <w:bottom w:val="nil"/>
              <w:right w:val="nil"/>
            </w:tcBorders>
          </w:tcPr>
          <w:p w:rsidR="0081788D" w:rsidRPr="00DD31CC" w:rsidRDefault="0081788D" w:rsidP="00455573">
            <w:pPr>
              <w:keepNext/>
              <w:ind w:left="-108"/>
              <w:rPr>
                <w:rFonts w:ascii="Arial Narrow" w:hAnsi="Arial Narrow" w:cs="Arial"/>
                <w:sz w:val="18"/>
                <w:szCs w:val="18"/>
              </w:rPr>
            </w:pPr>
            <w:r w:rsidRPr="00DD31CC">
              <w:rPr>
                <w:rFonts w:ascii="Arial Narrow" w:hAnsi="Arial Narrow" w:cs="Arial"/>
                <w:sz w:val="18"/>
                <w:szCs w:val="18"/>
              </w:rPr>
              <w:t>lisdexamfetamine dimesilate 50 mg capsule, 30</w:t>
            </w:r>
          </w:p>
        </w:tc>
        <w:tc>
          <w:tcPr>
            <w:tcW w:w="993" w:type="dxa"/>
            <w:tcBorders>
              <w:top w:val="nil"/>
              <w:left w:val="nil"/>
              <w:bottom w:val="nil"/>
              <w:right w:val="nil"/>
            </w:tcBorders>
            <w:tcMar>
              <w:left w:w="28" w:type="dxa"/>
              <w:right w:w="28" w:type="dxa"/>
            </w:tcMar>
          </w:tcPr>
          <w:p w:rsidR="0081788D" w:rsidRPr="00DD31CC" w:rsidRDefault="0081788D" w:rsidP="00F52906">
            <w:pPr>
              <w:keepNext/>
              <w:jc w:val="center"/>
              <w:rPr>
                <w:rFonts w:ascii="Arial Narrow" w:hAnsi="Arial Narrow" w:cs="Arial"/>
                <w:sz w:val="18"/>
                <w:szCs w:val="18"/>
              </w:rPr>
            </w:pPr>
            <w:r w:rsidRPr="00DD31CC">
              <w:rPr>
                <w:rFonts w:ascii="Arial Narrow" w:hAnsi="Arial Narrow" w:cs="Arial"/>
                <w:sz w:val="18"/>
                <w:szCs w:val="18"/>
              </w:rPr>
              <w:t>10474G</w:t>
            </w:r>
          </w:p>
        </w:tc>
        <w:tc>
          <w:tcPr>
            <w:tcW w:w="850" w:type="dxa"/>
            <w:tcBorders>
              <w:top w:val="nil"/>
              <w:left w:val="nil"/>
              <w:bottom w:val="nil"/>
              <w:right w:val="nil"/>
            </w:tcBorders>
          </w:tcPr>
          <w:p w:rsidR="0081788D" w:rsidRPr="00DD31CC" w:rsidRDefault="0081788D" w:rsidP="00455573">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c>
          <w:tcPr>
            <w:tcW w:w="992"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r>
      <w:tr w:rsidR="0081788D" w:rsidRPr="00DD31CC" w:rsidTr="00F52906">
        <w:trPr>
          <w:cantSplit/>
          <w:trHeight w:val="66"/>
        </w:trPr>
        <w:tc>
          <w:tcPr>
            <w:tcW w:w="3397" w:type="dxa"/>
            <w:tcBorders>
              <w:top w:val="nil"/>
              <w:left w:val="nil"/>
              <w:bottom w:val="nil"/>
              <w:right w:val="nil"/>
            </w:tcBorders>
          </w:tcPr>
          <w:p w:rsidR="0081788D" w:rsidRPr="00DD31CC" w:rsidRDefault="0081788D" w:rsidP="00455573">
            <w:pPr>
              <w:keepNext/>
              <w:ind w:left="-108"/>
              <w:rPr>
                <w:rFonts w:ascii="Arial Narrow" w:hAnsi="Arial Narrow" w:cs="Arial"/>
                <w:sz w:val="18"/>
                <w:szCs w:val="18"/>
              </w:rPr>
            </w:pPr>
            <w:r w:rsidRPr="00DD31CC">
              <w:rPr>
                <w:rFonts w:ascii="Arial Narrow" w:hAnsi="Arial Narrow" w:cs="Arial"/>
                <w:sz w:val="18"/>
                <w:szCs w:val="18"/>
              </w:rPr>
              <w:t>lisdexamfetamine dimesilate 60 mg capsule, 30</w:t>
            </w:r>
          </w:p>
        </w:tc>
        <w:tc>
          <w:tcPr>
            <w:tcW w:w="993" w:type="dxa"/>
            <w:tcBorders>
              <w:top w:val="nil"/>
              <w:left w:val="nil"/>
              <w:bottom w:val="nil"/>
              <w:right w:val="nil"/>
            </w:tcBorders>
            <w:tcMar>
              <w:left w:w="28" w:type="dxa"/>
              <w:right w:w="28" w:type="dxa"/>
            </w:tcMar>
          </w:tcPr>
          <w:p w:rsidR="0081788D" w:rsidRPr="00DD31CC" w:rsidRDefault="0081788D" w:rsidP="00F52906">
            <w:pPr>
              <w:keepNext/>
              <w:jc w:val="center"/>
              <w:rPr>
                <w:rFonts w:ascii="Arial Narrow" w:hAnsi="Arial Narrow" w:cs="Arial"/>
                <w:sz w:val="18"/>
                <w:szCs w:val="18"/>
              </w:rPr>
            </w:pPr>
            <w:r w:rsidRPr="00DD31CC">
              <w:rPr>
                <w:rFonts w:ascii="Arial Narrow" w:hAnsi="Arial Narrow" w:cs="Arial"/>
                <w:sz w:val="18"/>
                <w:szCs w:val="18"/>
              </w:rPr>
              <w:t>11897E</w:t>
            </w:r>
          </w:p>
        </w:tc>
        <w:tc>
          <w:tcPr>
            <w:tcW w:w="850" w:type="dxa"/>
            <w:tcBorders>
              <w:top w:val="nil"/>
              <w:left w:val="nil"/>
              <w:bottom w:val="nil"/>
              <w:right w:val="nil"/>
            </w:tcBorders>
          </w:tcPr>
          <w:p w:rsidR="0081788D" w:rsidRPr="00DD31CC" w:rsidRDefault="0081788D" w:rsidP="00455573">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c>
          <w:tcPr>
            <w:tcW w:w="992"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r>
      <w:tr w:rsidR="0081788D" w:rsidRPr="00DD31CC" w:rsidTr="00F52906">
        <w:trPr>
          <w:cantSplit/>
          <w:trHeight w:val="53"/>
        </w:trPr>
        <w:tc>
          <w:tcPr>
            <w:tcW w:w="3397" w:type="dxa"/>
            <w:tcBorders>
              <w:top w:val="nil"/>
              <w:left w:val="nil"/>
              <w:right w:val="nil"/>
            </w:tcBorders>
          </w:tcPr>
          <w:p w:rsidR="0081788D" w:rsidRPr="00DD31CC" w:rsidRDefault="0081788D" w:rsidP="00455573">
            <w:pPr>
              <w:keepNext/>
              <w:ind w:left="-108"/>
              <w:rPr>
                <w:rFonts w:ascii="Arial Narrow" w:hAnsi="Arial Narrow" w:cs="Arial"/>
                <w:sz w:val="18"/>
                <w:szCs w:val="18"/>
              </w:rPr>
            </w:pPr>
            <w:r w:rsidRPr="00DD31CC">
              <w:rPr>
                <w:rFonts w:ascii="Arial Narrow" w:hAnsi="Arial Narrow" w:cs="Arial"/>
                <w:sz w:val="18"/>
                <w:szCs w:val="18"/>
              </w:rPr>
              <w:t>lisdexamfetamine dimesilate 70 mg capsule, 30</w:t>
            </w:r>
          </w:p>
        </w:tc>
        <w:tc>
          <w:tcPr>
            <w:tcW w:w="993" w:type="dxa"/>
            <w:tcBorders>
              <w:top w:val="nil"/>
              <w:left w:val="nil"/>
              <w:right w:val="nil"/>
            </w:tcBorders>
            <w:tcMar>
              <w:left w:w="28" w:type="dxa"/>
              <w:right w:w="28" w:type="dxa"/>
            </w:tcMar>
          </w:tcPr>
          <w:p w:rsidR="0081788D" w:rsidRPr="00DD31CC" w:rsidRDefault="0081788D" w:rsidP="00F52906">
            <w:pPr>
              <w:keepNext/>
              <w:jc w:val="center"/>
              <w:rPr>
                <w:rFonts w:ascii="Arial Narrow" w:hAnsi="Arial Narrow" w:cs="Arial"/>
                <w:sz w:val="18"/>
                <w:szCs w:val="18"/>
              </w:rPr>
            </w:pPr>
            <w:r w:rsidRPr="00DD31CC">
              <w:rPr>
                <w:rFonts w:ascii="Arial Narrow" w:hAnsi="Arial Narrow" w:cs="Arial"/>
                <w:sz w:val="18"/>
                <w:szCs w:val="18"/>
              </w:rPr>
              <w:t>10492F</w:t>
            </w:r>
          </w:p>
        </w:tc>
        <w:tc>
          <w:tcPr>
            <w:tcW w:w="850" w:type="dxa"/>
            <w:tcBorders>
              <w:top w:val="nil"/>
              <w:left w:val="nil"/>
              <w:right w:val="nil"/>
            </w:tcBorders>
          </w:tcPr>
          <w:p w:rsidR="0081788D" w:rsidRPr="00DD31CC" w:rsidRDefault="0081788D" w:rsidP="00455573">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right w:val="nil"/>
            </w:tcBorders>
          </w:tcPr>
          <w:p w:rsidR="0081788D" w:rsidRPr="00DD31CC" w:rsidRDefault="0081788D" w:rsidP="00455573">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c>
          <w:tcPr>
            <w:tcW w:w="992" w:type="dxa"/>
            <w:vMerge/>
            <w:tcBorders>
              <w:top w:val="single" w:sz="4" w:space="0" w:color="auto"/>
              <w:left w:val="nil"/>
              <w:right w:val="nil"/>
            </w:tcBorders>
          </w:tcPr>
          <w:p w:rsidR="0081788D" w:rsidRPr="00DD31CC" w:rsidRDefault="0081788D" w:rsidP="00455573">
            <w:pPr>
              <w:keepNext/>
              <w:rPr>
                <w:rFonts w:ascii="Arial Narrow" w:hAnsi="Arial Narrow" w:cs="Arial"/>
                <w:sz w:val="18"/>
                <w:szCs w:val="18"/>
              </w:rPr>
            </w:pPr>
          </w:p>
        </w:tc>
      </w:tr>
    </w:tbl>
    <w:p w:rsidR="00946FED" w:rsidRDefault="00946FED" w:rsidP="00052966">
      <w:pPr>
        <w:keepNext/>
        <w:rPr>
          <w:rFonts w:ascii="Arial Narrow" w:hAnsi="Arial Narrow"/>
          <w:b/>
          <w:sz w:val="18"/>
          <w:szCs w:val="18"/>
        </w:rPr>
      </w:pPr>
    </w:p>
    <w:p w:rsidR="009865EE" w:rsidRPr="00DD31CC" w:rsidRDefault="00946FED" w:rsidP="008E32CE">
      <w:pPr>
        <w:rPr>
          <w:rFonts w:ascii="Arial Narrow" w:hAnsi="Arial Narrow"/>
          <w:b/>
          <w:sz w:val="18"/>
          <w:szCs w:val="18"/>
        </w:rPr>
      </w:pPr>
      <w:r>
        <w:rPr>
          <w:rFonts w:ascii="Arial Narrow" w:hAnsi="Arial Narrow"/>
          <w:b/>
          <w:sz w:val="18"/>
          <w:szCs w:val="18"/>
        </w:rPr>
        <w:br w:type="page"/>
      </w:r>
      <w:r w:rsidR="009865EE" w:rsidRPr="00DD31CC">
        <w:rPr>
          <w:rFonts w:ascii="Arial Narrow" w:hAnsi="Arial Narrow"/>
          <w:b/>
          <w:sz w:val="18"/>
          <w:szCs w:val="18"/>
        </w:rPr>
        <w:t>Option 1:</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624480" w:rsidRPr="00DD31CC" w:rsidTr="00743538">
        <w:tc>
          <w:tcPr>
            <w:tcW w:w="5000" w:type="pct"/>
            <w:tcBorders>
              <w:top w:val="single" w:sz="4" w:space="0" w:color="auto"/>
              <w:left w:val="single" w:sz="4" w:space="0" w:color="auto"/>
              <w:bottom w:val="single" w:sz="4" w:space="0" w:color="auto"/>
              <w:right w:val="single" w:sz="4" w:space="0" w:color="auto"/>
            </w:tcBorders>
          </w:tcPr>
          <w:p w:rsidR="00624480" w:rsidRPr="00DD31CC" w:rsidRDefault="00624480" w:rsidP="00052966">
            <w:pPr>
              <w:keepNext/>
              <w:rPr>
                <w:rFonts w:ascii="Arial Narrow" w:hAnsi="Arial Narrow" w:cs="Arial"/>
                <w:sz w:val="18"/>
                <w:szCs w:val="18"/>
              </w:rPr>
            </w:pPr>
            <w:r w:rsidRPr="00DD31CC">
              <w:rPr>
                <w:rFonts w:ascii="Arial Narrow" w:hAnsi="Arial Narrow" w:cs="Arial"/>
                <w:b/>
                <w:sz w:val="18"/>
                <w:szCs w:val="18"/>
              </w:rPr>
              <w:t xml:space="preserve">Category / Program:   </w:t>
            </w:r>
            <w:r w:rsidRPr="00DD31CC">
              <w:rPr>
                <w:rFonts w:ascii="Arial Narrow" w:hAnsi="Arial Narrow" w:cs="Arial"/>
                <w:sz w:val="18"/>
                <w:szCs w:val="18"/>
              </w:rPr>
              <w:t xml:space="preserve"> GENERAL – General Schedule (Code GE)</w:t>
            </w:r>
          </w:p>
        </w:tc>
      </w:tr>
      <w:tr w:rsidR="00624480" w:rsidRPr="00DD31CC" w:rsidTr="00743538">
        <w:trPr>
          <w:trHeight w:val="240"/>
        </w:trPr>
        <w:tc>
          <w:tcPr>
            <w:tcW w:w="5000" w:type="pct"/>
            <w:tcBorders>
              <w:top w:val="single" w:sz="4" w:space="0" w:color="auto"/>
              <w:left w:val="single" w:sz="4" w:space="0" w:color="auto"/>
              <w:bottom w:val="single" w:sz="4" w:space="0" w:color="auto"/>
              <w:right w:val="single" w:sz="4" w:space="0" w:color="auto"/>
            </w:tcBorders>
          </w:tcPr>
          <w:p w:rsidR="00624480" w:rsidRPr="00DD31CC" w:rsidRDefault="00624480" w:rsidP="00052966">
            <w:pPr>
              <w:keepNext/>
              <w:rPr>
                <w:rFonts w:ascii="Arial Narrow" w:hAnsi="Arial Narrow" w:cs="Arial"/>
                <w:b/>
                <w:sz w:val="18"/>
                <w:szCs w:val="18"/>
              </w:rPr>
            </w:pPr>
            <w:r w:rsidRPr="00DD31CC">
              <w:rPr>
                <w:rFonts w:ascii="Arial Narrow" w:hAnsi="Arial Narrow" w:cs="Arial"/>
                <w:b/>
                <w:sz w:val="18"/>
                <w:szCs w:val="18"/>
              </w:rPr>
              <w:t xml:space="preserve">Prescriber type:   </w:t>
            </w:r>
            <w:r w:rsidRPr="00743538">
              <w:rPr>
                <w:rFonts w:ascii="Arial Narrow" w:hAnsi="Arial Narrow" w:cs="Arial"/>
                <w:sz w:val="18"/>
                <w:szCs w:val="18"/>
              </w:rPr>
              <w:fldChar w:fldCharType="begin">
                <w:ffData>
                  <w:name w:val="Check1"/>
                  <w:enabled/>
                  <w:calcOnExit w:val="0"/>
                  <w:checkBox>
                    <w:sizeAuto/>
                    <w:default w:val="0"/>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Dental    </w:t>
            </w:r>
            <w:r w:rsidRPr="00743538">
              <w:rPr>
                <w:rFonts w:ascii="Arial Narrow" w:hAnsi="Arial Narrow" w:cs="Arial"/>
                <w:sz w:val="18"/>
                <w:szCs w:val="18"/>
              </w:rPr>
              <w:fldChar w:fldCharType="begin">
                <w:ffData>
                  <w:name w:val=""/>
                  <w:enabled/>
                  <w:calcOnExit w:val="0"/>
                  <w:checkBox>
                    <w:sizeAuto/>
                    <w:default w:val="1"/>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Medical Practitioners    </w:t>
            </w:r>
            <w:r w:rsidRPr="00743538">
              <w:rPr>
                <w:rFonts w:ascii="Arial Narrow" w:hAnsi="Arial Narrow" w:cs="Arial"/>
                <w:sz w:val="18"/>
                <w:szCs w:val="18"/>
              </w:rPr>
              <w:fldChar w:fldCharType="begin">
                <w:ffData>
                  <w:name w:val="Check3"/>
                  <w:enabled/>
                  <w:calcOnExit w:val="0"/>
                  <w:checkBox>
                    <w:sizeAuto/>
                    <w:default w:val="1"/>
                  </w:checkBox>
                </w:ffData>
              </w:fldChar>
            </w:r>
            <w:bookmarkStart w:id="0" w:name="Check3"/>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bookmarkEnd w:id="0"/>
            <w:r w:rsidRPr="00DD31CC">
              <w:rPr>
                <w:rFonts w:ascii="Arial Narrow" w:hAnsi="Arial Narrow" w:cs="Arial"/>
                <w:sz w:val="18"/>
                <w:szCs w:val="18"/>
              </w:rPr>
              <w:t>Nurse practitioners</w:t>
            </w:r>
            <w:r w:rsidR="008E32CE">
              <w:rPr>
                <w:rFonts w:ascii="Arial Narrow" w:hAnsi="Arial Narrow" w:cs="Arial"/>
                <w:sz w:val="18"/>
                <w:szCs w:val="18"/>
              </w:rPr>
              <w:t xml:space="preserve">   </w:t>
            </w:r>
            <w:r w:rsidRPr="00DD31CC">
              <w:rPr>
                <w:rFonts w:ascii="Arial Narrow" w:hAnsi="Arial Narrow" w:cs="Arial"/>
                <w:sz w:val="18"/>
                <w:szCs w:val="18"/>
              </w:rPr>
              <w:t xml:space="preserve"> </w:t>
            </w:r>
            <w:r w:rsidRPr="00743538">
              <w:rPr>
                <w:rFonts w:ascii="Arial Narrow" w:hAnsi="Arial Narrow" w:cs="Arial"/>
                <w:sz w:val="18"/>
                <w:szCs w:val="18"/>
              </w:rPr>
              <w:fldChar w:fldCharType="begin">
                <w:ffData>
                  <w:name w:val=""/>
                  <w:enabled/>
                  <w:calcOnExit w:val="0"/>
                  <w:checkBox>
                    <w:sizeAuto/>
                    <w:default w:val="0"/>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Optometrists    </w:t>
            </w:r>
            <w:r w:rsidRPr="00743538">
              <w:rPr>
                <w:rFonts w:ascii="Arial Narrow" w:hAnsi="Arial Narrow" w:cs="Arial"/>
                <w:sz w:val="18"/>
                <w:szCs w:val="18"/>
              </w:rPr>
              <w:fldChar w:fldCharType="begin">
                <w:ffData>
                  <w:name w:val="Check5"/>
                  <w:enabled/>
                  <w:calcOnExit w:val="0"/>
                  <w:checkBox>
                    <w:sizeAuto/>
                    <w:default w:val="0"/>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Midwives</w:t>
            </w:r>
          </w:p>
        </w:tc>
      </w:tr>
      <w:tr w:rsidR="00624480" w:rsidRPr="00DD31CC" w:rsidTr="00743538">
        <w:tc>
          <w:tcPr>
            <w:tcW w:w="5000" w:type="pct"/>
            <w:tcBorders>
              <w:top w:val="single" w:sz="4" w:space="0" w:color="auto"/>
              <w:left w:val="single" w:sz="4" w:space="0" w:color="auto"/>
              <w:bottom w:val="single" w:sz="4" w:space="0" w:color="auto"/>
              <w:right w:val="single" w:sz="4" w:space="0" w:color="auto"/>
            </w:tcBorders>
          </w:tcPr>
          <w:p w:rsidR="00624480" w:rsidRPr="00624480" w:rsidRDefault="00624480" w:rsidP="00052966">
            <w:pPr>
              <w:keepNext/>
              <w:rPr>
                <w:rFonts w:ascii="Arial Narrow" w:hAnsi="Arial Narrow" w:cs="Arial"/>
                <w:b/>
                <w:sz w:val="18"/>
                <w:szCs w:val="18"/>
              </w:rPr>
            </w:pPr>
            <w:r w:rsidRPr="00DD31CC">
              <w:rPr>
                <w:rFonts w:ascii="Arial Narrow" w:hAnsi="Arial Narrow" w:cs="Arial"/>
                <w:b/>
                <w:sz w:val="18"/>
                <w:szCs w:val="18"/>
              </w:rPr>
              <w:t>Restriction Level / Method:</w:t>
            </w:r>
            <w:r>
              <w:rPr>
                <w:rFonts w:ascii="Arial Narrow" w:hAnsi="Arial Narrow" w:cs="Arial"/>
                <w:b/>
                <w:sz w:val="18"/>
                <w:szCs w:val="18"/>
              </w:rPr>
              <w:t xml:space="preserve"> </w:t>
            </w:r>
            <w:r w:rsidRPr="00743538">
              <w:rPr>
                <w:rFonts w:ascii="Arial Narrow" w:hAnsi="Arial Narrow" w:cs="Arial"/>
                <w:sz w:val="18"/>
                <w:szCs w:val="18"/>
              </w:rPr>
              <w:fldChar w:fldCharType="begin">
                <w:ffData>
                  <w:name w:val=""/>
                  <w:enabled/>
                  <w:calcOnExit w:val="0"/>
                  <w:checkBox>
                    <w:sizeAuto/>
                    <w:default w:val="1"/>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Pr>
                <w:rFonts w:ascii="Arial Narrow" w:hAnsi="Arial Narrow" w:cs="Arial"/>
                <w:sz w:val="18"/>
                <w:szCs w:val="18"/>
              </w:rPr>
              <w:t xml:space="preserve">  </w:t>
            </w:r>
            <w:r w:rsidRPr="00DD31CC">
              <w:rPr>
                <w:rFonts w:ascii="Arial Narrow" w:hAnsi="Arial Narrow" w:cs="Arial"/>
                <w:sz w:val="18"/>
                <w:szCs w:val="18"/>
              </w:rPr>
              <w:t>Authority Required – Telephone/Electronic/Emergency</w:t>
            </w:r>
          </w:p>
        </w:tc>
      </w:tr>
      <w:tr w:rsidR="00624480" w:rsidRPr="00DD31CC" w:rsidTr="00743538">
        <w:tc>
          <w:tcPr>
            <w:tcW w:w="5000" w:type="pct"/>
            <w:tcBorders>
              <w:top w:val="single" w:sz="4" w:space="0" w:color="auto"/>
              <w:left w:val="single" w:sz="4" w:space="0" w:color="auto"/>
              <w:bottom w:val="single" w:sz="4" w:space="0" w:color="auto"/>
              <w:right w:val="single" w:sz="4" w:space="0" w:color="auto"/>
            </w:tcBorders>
            <w:vAlign w:val="center"/>
          </w:tcPr>
          <w:p w:rsidR="00624480" w:rsidRPr="00DD31CC" w:rsidRDefault="00624480" w:rsidP="00B92FBC">
            <w:pPr>
              <w:rPr>
                <w:rFonts w:ascii="Arial Narrow" w:hAnsi="Arial Narrow" w:cs="Arial"/>
                <w:b/>
                <w:sz w:val="18"/>
                <w:szCs w:val="18"/>
              </w:rPr>
            </w:pPr>
            <w:r w:rsidRPr="00DD31CC">
              <w:rPr>
                <w:rFonts w:ascii="Arial Narrow" w:hAnsi="Arial Narrow"/>
                <w:b/>
                <w:bCs/>
                <w:color w:val="333333"/>
                <w:sz w:val="18"/>
                <w:szCs w:val="18"/>
              </w:rPr>
              <w:t>Administrative Advice:</w:t>
            </w:r>
            <w:r w:rsidRPr="00DD31CC">
              <w:rPr>
                <w:rFonts w:ascii="Arial Narrow" w:hAnsi="Arial Narrow"/>
                <w:color w:val="333333"/>
                <w:sz w:val="18"/>
                <w:szCs w:val="18"/>
              </w:rPr>
              <w:t xml:space="preserve"> Continuing Therapy Only: </w:t>
            </w:r>
            <w:r w:rsidRPr="00DD31CC">
              <w:rPr>
                <w:rFonts w:ascii="Arial Narrow" w:hAnsi="Arial Narrow" w:cs="Arial"/>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624480" w:rsidRPr="00DD31CC" w:rsidTr="00743538">
        <w:tc>
          <w:tcPr>
            <w:tcW w:w="5000" w:type="pct"/>
            <w:tcBorders>
              <w:top w:val="single" w:sz="4" w:space="0" w:color="auto"/>
              <w:left w:val="single" w:sz="4" w:space="0" w:color="auto"/>
              <w:bottom w:val="single" w:sz="4" w:space="0" w:color="auto"/>
              <w:right w:val="single" w:sz="4" w:space="0" w:color="auto"/>
            </w:tcBorders>
            <w:vAlign w:val="center"/>
          </w:tcPr>
          <w:p w:rsidR="00624480" w:rsidRPr="00DD31CC" w:rsidRDefault="00624480" w:rsidP="00B92FBC">
            <w:pPr>
              <w:rPr>
                <w:rFonts w:ascii="Arial Narrow" w:hAnsi="Arial Narrow" w:cs="Arial"/>
                <w:b/>
                <w:sz w:val="18"/>
                <w:szCs w:val="18"/>
              </w:rPr>
            </w:pPr>
            <w:r w:rsidRPr="00DD31CC">
              <w:rPr>
                <w:rFonts w:ascii="Arial Narrow" w:hAnsi="Arial Narrow"/>
                <w:b/>
                <w:bCs/>
                <w:color w:val="333333"/>
                <w:sz w:val="18"/>
                <w:szCs w:val="18"/>
              </w:rPr>
              <w:t>Administrative Advice:</w:t>
            </w:r>
            <w:r w:rsidRPr="00DD31CC">
              <w:rPr>
                <w:rFonts w:ascii="Arial Narrow" w:hAnsi="Arial Narrow"/>
                <w:color w:val="333333"/>
                <w:sz w:val="18"/>
                <w:szCs w:val="18"/>
              </w:rPr>
              <w:t xml:space="preserve"> Special Pricing Arrangements Apply. </w:t>
            </w:r>
          </w:p>
        </w:tc>
      </w:tr>
      <w:tr w:rsidR="00624480" w:rsidRPr="00DD31CC" w:rsidTr="00743538">
        <w:tc>
          <w:tcPr>
            <w:tcW w:w="5000" w:type="pct"/>
            <w:vAlign w:val="center"/>
            <w:hideMark/>
          </w:tcPr>
          <w:p w:rsidR="00624480" w:rsidRPr="00DD31CC" w:rsidRDefault="00624480" w:rsidP="009A0299">
            <w:pPr>
              <w:rPr>
                <w:rFonts w:ascii="Arial Narrow" w:hAnsi="Arial Narrow"/>
                <w:color w:val="333333"/>
                <w:sz w:val="18"/>
                <w:szCs w:val="18"/>
              </w:rPr>
            </w:pPr>
            <w:r w:rsidRPr="00DD31CC">
              <w:rPr>
                <w:rFonts w:ascii="Arial Narrow" w:hAnsi="Arial Narrow"/>
                <w:b/>
                <w:bCs/>
                <w:color w:val="333333"/>
                <w:sz w:val="18"/>
                <w:szCs w:val="18"/>
              </w:rPr>
              <w:t>Indication:</w:t>
            </w:r>
            <w:r w:rsidRPr="00DD31CC">
              <w:rPr>
                <w:rFonts w:ascii="Arial Narrow" w:hAnsi="Arial Narrow"/>
                <w:color w:val="333333"/>
                <w:sz w:val="18"/>
                <w:szCs w:val="18"/>
              </w:rPr>
              <w:t xml:space="preserve"> Attention deficit hyperactivity disorder</w:t>
            </w:r>
          </w:p>
        </w:tc>
      </w:tr>
      <w:tr w:rsidR="00624480" w:rsidRPr="00DD31CC" w:rsidTr="00743538">
        <w:tc>
          <w:tcPr>
            <w:tcW w:w="5000" w:type="pct"/>
            <w:vAlign w:val="center"/>
            <w:hideMark/>
          </w:tcPr>
          <w:p w:rsidR="00624480" w:rsidRPr="00DD31CC" w:rsidRDefault="00624480" w:rsidP="00875958">
            <w:pPr>
              <w:rPr>
                <w:rFonts w:ascii="Arial Narrow" w:hAnsi="Arial Narrow"/>
                <w:color w:val="333333"/>
                <w:sz w:val="18"/>
                <w:szCs w:val="18"/>
              </w:rPr>
            </w:pPr>
            <w:r w:rsidRPr="00DD31CC">
              <w:rPr>
                <w:rFonts w:ascii="Arial Narrow" w:hAnsi="Arial Narrow"/>
                <w:b/>
                <w:bCs/>
                <w:color w:val="333333"/>
                <w:sz w:val="18"/>
                <w:szCs w:val="18"/>
              </w:rPr>
              <w:t>Clinical criteria:</w:t>
            </w:r>
          </w:p>
        </w:tc>
      </w:tr>
      <w:tr w:rsidR="00624480" w:rsidRPr="00DD31CC" w:rsidTr="00743538">
        <w:tc>
          <w:tcPr>
            <w:tcW w:w="5000" w:type="pct"/>
            <w:vAlign w:val="center"/>
            <w:hideMark/>
          </w:tcPr>
          <w:p w:rsidR="00624480" w:rsidRPr="00DD31CC" w:rsidRDefault="00624480" w:rsidP="00875958">
            <w:pPr>
              <w:rPr>
                <w:rFonts w:ascii="Arial Narrow" w:hAnsi="Arial Narrow"/>
                <w:color w:val="333333"/>
                <w:sz w:val="18"/>
                <w:szCs w:val="18"/>
              </w:rPr>
            </w:pPr>
            <w:r w:rsidRPr="00DD31CC">
              <w:rPr>
                <w:rFonts w:ascii="Arial Narrow" w:hAnsi="Arial Narrow"/>
                <w:color w:val="333333"/>
                <w:sz w:val="18"/>
                <w:szCs w:val="18"/>
              </w:rPr>
              <w:t xml:space="preserve">Patient must require continuous coverage over 12 hours. </w:t>
            </w:r>
          </w:p>
        </w:tc>
      </w:tr>
      <w:tr w:rsidR="00624480" w:rsidRPr="00DD31CC" w:rsidTr="00743538">
        <w:tc>
          <w:tcPr>
            <w:tcW w:w="5000" w:type="pct"/>
            <w:vAlign w:val="center"/>
          </w:tcPr>
          <w:p w:rsidR="00624480" w:rsidRPr="00DD31CC" w:rsidRDefault="00624480" w:rsidP="00875958">
            <w:pPr>
              <w:rPr>
                <w:rFonts w:ascii="Arial Narrow" w:hAnsi="Arial Narrow"/>
                <w:b/>
                <w:color w:val="333333"/>
                <w:sz w:val="18"/>
                <w:szCs w:val="18"/>
              </w:rPr>
            </w:pPr>
            <w:r w:rsidRPr="00DD31CC">
              <w:rPr>
                <w:rFonts w:ascii="Arial Narrow" w:hAnsi="Arial Narrow"/>
                <w:b/>
                <w:color w:val="333333"/>
                <w:sz w:val="18"/>
                <w:szCs w:val="18"/>
              </w:rPr>
              <w:t>AND</w:t>
            </w:r>
          </w:p>
        </w:tc>
      </w:tr>
      <w:tr w:rsidR="00624480" w:rsidRPr="00DD31CC" w:rsidTr="00743538">
        <w:tc>
          <w:tcPr>
            <w:tcW w:w="5000" w:type="pct"/>
            <w:vAlign w:val="center"/>
            <w:hideMark/>
          </w:tcPr>
          <w:p w:rsidR="00624480" w:rsidRPr="00DD31CC" w:rsidRDefault="00624480" w:rsidP="00875958">
            <w:pPr>
              <w:rPr>
                <w:rFonts w:ascii="Arial Narrow" w:hAnsi="Arial Narrow"/>
                <w:color w:val="333333"/>
                <w:sz w:val="18"/>
                <w:szCs w:val="18"/>
              </w:rPr>
            </w:pPr>
            <w:r w:rsidRPr="00DD31CC">
              <w:rPr>
                <w:rFonts w:ascii="Arial Narrow" w:hAnsi="Arial Narrow"/>
                <w:b/>
                <w:bCs/>
                <w:color w:val="333333"/>
                <w:sz w:val="18"/>
                <w:szCs w:val="18"/>
              </w:rPr>
              <w:t>Population criteria:</w:t>
            </w:r>
          </w:p>
        </w:tc>
      </w:tr>
      <w:tr w:rsidR="00624480" w:rsidRPr="00DD31CC" w:rsidTr="00743538">
        <w:tc>
          <w:tcPr>
            <w:tcW w:w="5000" w:type="pct"/>
            <w:vAlign w:val="center"/>
            <w:hideMark/>
          </w:tcPr>
          <w:p w:rsidR="00624480" w:rsidRPr="00DD31CC" w:rsidRDefault="00624480" w:rsidP="009A0299">
            <w:pPr>
              <w:rPr>
                <w:rFonts w:ascii="Arial Narrow" w:hAnsi="Arial Narrow"/>
                <w:color w:val="333333"/>
                <w:sz w:val="18"/>
                <w:szCs w:val="18"/>
              </w:rPr>
            </w:pPr>
            <w:r w:rsidRPr="00DD31CC">
              <w:rPr>
                <w:rFonts w:ascii="Arial Narrow" w:hAnsi="Arial Narrow"/>
                <w:color w:val="333333"/>
                <w:sz w:val="18"/>
                <w:szCs w:val="18"/>
              </w:rPr>
              <w:t xml:space="preserve">Patient must be or have been diagnosed </w:t>
            </w:r>
            <w:r w:rsidRPr="00DD31CC">
              <w:rPr>
                <w:rFonts w:ascii="Arial Narrow" w:hAnsi="Arial Narrow"/>
                <w:b/>
                <w:strike/>
                <w:color w:val="333333"/>
                <w:sz w:val="18"/>
                <w:szCs w:val="18"/>
              </w:rPr>
              <w:t>between</w:t>
            </w:r>
            <w:r w:rsidRPr="00DD31CC">
              <w:rPr>
                <w:rFonts w:ascii="Arial Narrow" w:hAnsi="Arial Narrow"/>
                <w:color w:val="333333"/>
                <w:sz w:val="18"/>
                <w:szCs w:val="18"/>
              </w:rPr>
              <w:t xml:space="preserve"> </w:t>
            </w:r>
            <w:r w:rsidRPr="00DD31CC">
              <w:rPr>
                <w:rFonts w:ascii="Arial Narrow" w:hAnsi="Arial Narrow"/>
                <w:b/>
                <w:color w:val="333333"/>
                <w:sz w:val="18"/>
                <w:szCs w:val="18"/>
              </w:rPr>
              <w:t xml:space="preserve">after </w:t>
            </w:r>
            <w:r w:rsidRPr="00DD31CC">
              <w:rPr>
                <w:rFonts w:ascii="Arial Narrow" w:hAnsi="Arial Narrow"/>
                <w:color w:val="333333"/>
                <w:sz w:val="18"/>
                <w:szCs w:val="18"/>
              </w:rPr>
              <w:t xml:space="preserve">the age of 6 </w:t>
            </w:r>
            <w:r w:rsidRPr="00DD31CC">
              <w:rPr>
                <w:rFonts w:ascii="Arial Narrow" w:hAnsi="Arial Narrow"/>
                <w:b/>
                <w:strike/>
                <w:color w:val="333333"/>
                <w:sz w:val="18"/>
                <w:szCs w:val="18"/>
              </w:rPr>
              <w:t>and 18</w:t>
            </w:r>
            <w:r w:rsidRPr="00DD31CC">
              <w:rPr>
                <w:rFonts w:ascii="Arial Narrow" w:hAnsi="Arial Narrow"/>
                <w:color w:val="333333"/>
                <w:sz w:val="18"/>
                <w:szCs w:val="18"/>
              </w:rPr>
              <w:t xml:space="preserve"> years </w:t>
            </w:r>
            <w:r w:rsidRPr="00DD31CC">
              <w:rPr>
                <w:rFonts w:ascii="Arial Narrow" w:hAnsi="Arial Narrow"/>
                <w:b/>
                <w:strike/>
                <w:color w:val="333333"/>
                <w:sz w:val="18"/>
                <w:szCs w:val="18"/>
              </w:rPr>
              <w:t>inclusive</w:t>
            </w:r>
            <w:r w:rsidRPr="00DD31CC">
              <w:rPr>
                <w:rFonts w:ascii="Arial Narrow" w:hAnsi="Arial Narrow"/>
                <w:color w:val="333333"/>
                <w:sz w:val="18"/>
                <w:szCs w:val="18"/>
              </w:rPr>
              <w:t xml:space="preserve">. </w:t>
            </w:r>
          </w:p>
        </w:tc>
      </w:tr>
      <w:tr w:rsidR="00624480" w:rsidRPr="00DD31CC" w:rsidTr="00743538">
        <w:trPr>
          <w:trHeight w:val="180"/>
        </w:trPr>
        <w:tc>
          <w:tcPr>
            <w:tcW w:w="5000" w:type="pct"/>
            <w:vAlign w:val="center"/>
            <w:hideMark/>
          </w:tcPr>
          <w:p w:rsidR="00624480" w:rsidRPr="00DD31CC" w:rsidRDefault="00624480" w:rsidP="00875958">
            <w:pPr>
              <w:rPr>
                <w:rFonts w:ascii="Arial Narrow" w:hAnsi="Arial Narrow"/>
                <w:color w:val="333333"/>
                <w:sz w:val="18"/>
                <w:szCs w:val="18"/>
              </w:rPr>
            </w:pPr>
            <w:r w:rsidRPr="00DD31CC">
              <w:rPr>
                <w:rFonts w:ascii="Arial Narrow" w:hAnsi="Arial Narrow"/>
                <w:b/>
                <w:bCs/>
                <w:color w:val="333333"/>
                <w:sz w:val="18"/>
                <w:szCs w:val="18"/>
              </w:rPr>
              <w:t>Administrative Advice:</w:t>
            </w:r>
            <w:r w:rsidRPr="00DD31CC">
              <w:rPr>
                <w:rFonts w:ascii="Arial Narrow" w:hAnsi="Arial Narrow"/>
                <w:color w:val="333333"/>
                <w:sz w:val="18"/>
                <w:szCs w:val="18"/>
              </w:rPr>
              <w:t xml:space="preserve"> Care must be taken to comply with the provisions of State/Territory law when prescribing this drug. </w:t>
            </w:r>
          </w:p>
        </w:tc>
      </w:tr>
      <w:tr w:rsidR="00624480" w:rsidRPr="00DD31CC" w:rsidTr="00743538">
        <w:trPr>
          <w:trHeight w:val="38"/>
        </w:trPr>
        <w:tc>
          <w:tcPr>
            <w:tcW w:w="5000" w:type="pct"/>
            <w:vAlign w:val="center"/>
            <w:hideMark/>
          </w:tcPr>
          <w:p w:rsidR="00624480" w:rsidRPr="00DD31CC" w:rsidRDefault="00624480" w:rsidP="00875958">
            <w:pPr>
              <w:rPr>
                <w:rFonts w:ascii="Arial Narrow" w:hAnsi="Arial Narrow"/>
                <w:color w:val="333333"/>
                <w:sz w:val="18"/>
                <w:szCs w:val="18"/>
              </w:rPr>
            </w:pPr>
            <w:r w:rsidRPr="00DD31CC">
              <w:rPr>
                <w:rFonts w:ascii="Arial Narrow" w:hAnsi="Arial Narrow"/>
                <w:b/>
                <w:bCs/>
                <w:color w:val="333333"/>
                <w:sz w:val="18"/>
                <w:szCs w:val="18"/>
              </w:rPr>
              <w:t>Administrative Advice:</w:t>
            </w:r>
            <w:r w:rsidRPr="00DD31CC">
              <w:rPr>
                <w:rFonts w:ascii="Arial Narrow" w:hAnsi="Arial Narrow"/>
                <w:color w:val="333333"/>
                <w:sz w:val="18"/>
                <w:szCs w:val="18"/>
              </w:rPr>
              <w:t xml:space="preserve"> The treatment must not exceed a maximum daily dose of 70 mg. </w:t>
            </w:r>
          </w:p>
        </w:tc>
      </w:tr>
    </w:tbl>
    <w:p w:rsidR="00424941" w:rsidRPr="00DD31CC" w:rsidRDefault="00424941" w:rsidP="005E3D8B">
      <w:pPr>
        <w:pStyle w:val="3Bodytext"/>
        <w:spacing w:before="120"/>
        <w:jc w:val="both"/>
      </w:pPr>
      <w:r w:rsidRPr="00DD31CC">
        <w:t xml:space="preserve">The pre-PBAC response  claimed that the criteria presented in Option 1 is the most relevant to current clinical practice and is consistent with the restrictions of ADHD medications currently available to patients diagnosed after the age of 18, IR DEX and IR MPH. </w:t>
      </w:r>
    </w:p>
    <w:p w:rsidR="00D4145B" w:rsidRDefault="00E93DBF" w:rsidP="00666863">
      <w:pPr>
        <w:pStyle w:val="Bodytextitalics"/>
        <w:numPr>
          <w:ilvl w:val="1"/>
          <w:numId w:val="28"/>
        </w:numPr>
        <w:jc w:val="both"/>
      </w:pPr>
      <w:r w:rsidRPr="00DD31CC">
        <w:rPr>
          <w:i w:val="0"/>
        </w:rPr>
        <w:t>Option 2</w:t>
      </w:r>
      <w:r w:rsidR="00D4145B" w:rsidRPr="00DD31CC">
        <w:rPr>
          <w:i w:val="0"/>
        </w:rPr>
        <w:t xml:space="preserve"> provided alternative wording for the population criteria, reflective of current Diagnostic and Statistical Manual of Mental Disorders criteria</w:t>
      </w:r>
      <w:r w:rsidR="00D4145B" w:rsidRPr="00DD31CC">
        <w:rPr>
          <w:rStyle w:val="FootnoteReference"/>
          <w:i w:val="0"/>
        </w:rPr>
        <w:footnoteReference w:id="1"/>
      </w:r>
      <w:r w:rsidR="00D4145B" w:rsidRPr="00DD31CC">
        <w:rPr>
          <w:i w:val="0"/>
        </w:rPr>
        <w:t xml:space="preserve"> and International Classification of Diseases guidelines</w:t>
      </w:r>
      <w:r w:rsidR="00D4145B" w:rsidRPr="00DD31CC">
        <w:rPr>
          <w:rStyle w:val="FootnoteReference"/>
          <w:i w:val="0"/>
        </w:rPr>
        <w:footnoteReference w:id="2"/>
      </w:r>
      <w:r w:rsidR="00D4145B" w:rsidRPr="00DD31CC">
        <w:rPr>
          <w:i w:val="0"/>
        </w:rPr>
        <w:t>. The proposed criterion is based on wording included in the UK summary of product characteristics for Elvanse Adult® (lisdexamfetamine dimesilate)</w:t>
      </w:r>
      <w:r w:rsidR="00D4145B" w:rsidRPr="00DD31CC">
        <w:rPr>
          <w:rStyle w:val="FootnoteReference"/>
          <w:i w:val="0"/>
        </w:rPr>
        <w:footnoteReference w:id="3"/>
      </w:r>
      <w:r w:rsidR="00D4145B" w:rsidRPr="00DD31CC">
        <w:rPr>
          <w:i w:val="0"/>
        </w:rPr>
        <w:t xml:space="preserve"> and specifies that, in patients who are diagnosed as adults, the presence of symptoms of ADHD that were pre-existing in childhood should be confirmed retrospectively (e.g. from the patient’s medical record</w:t>
      </w:r>
      <w:r w:rsidR="00F62817" w:rsidRPr="00DD31CC">
        <w:rPr>
          <w:i w:val="0"/>
        </w:rPr>
        <w:t>s</w:t>
      </w:r>
      <w:r w:rsidR="00C04EEF" w:rsidRPr="00DD31CC">
        <w:rPr>
          <w:i w:val="0"/>
        </w:rPr>
        <w:t xml:space="preserve">, </w:t>
      </w:r>
      <w:r w:rsidR="00D4145B" w:rsidRPr="00DD31CC">
        <w:rPr>
          <w:i w:val="0"/>
        </w:rPr>
        <w:t>in-depth clinical interview and/or obtaining corroborating evidence from parents, teachers or siblings</w:t>
      </w:r>
      <w:r w:rsidR="00D4145B" w:rsidRPr="00946FED">
        <w:rPr>
          <w:i w:val="0"/>
        </w:rPr>
        <w:t>)</w:t>
      </w:r>
      <w:r w:rsidR="00D4145B" w:rsidRPr="00DD31CC">
        <w:t>.</w:t>
      </w:r>
    </w:p>
    <w:p w:rsidR="00B262B6" w:rsidRPr="00946FED" w:rsidRDefault="00B262B6" w:rsidP="00946FED">
      <w:pPr>
        <w:rPr>
          <w:rFonts w:ascii="Arial Narrow" w:eastAsiaTheme="minorHAnsi" w:hAnsi="Arial Narrow" w:cstheme="minorBidi"/>
          <w:b/>
          <w:sz w:val="18"/>
          <w:szCs w:val="18"/>
        </w:rPr>
      </w:pPr>
      <w:r w:rsidRPr="00B262B6">
        <w:rPr>
          <w:rFonts w:ascii="Arial Narrow" w:hAnsi="Arial Narrow"/>
          <w:b/>
          <w:i/>
          <w:sz w:val="18"/>
          <w:szCs w:val="18"/>
        </w:rPr>
        <w:t>Option 2:</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31"/>
      </w:tblGrid>
      <w:tr w:rsidR="00B262B6" w:rsidRPr="00DD31CC" w:rsidTr="005E3D8B">
        <w:tc>
          <w:tcPr>
            <w:tcW w:w="5000" w:type="pct"/>
            <w:vAlign w:val="center"/>
            <w:hideMark/>
          </w:tcPr>
          <w:p w:rsidR="00B262B6" w:rsidRPr="00DD31CC" w:rsidRDefault="00B262B6" w:rsidP="00875958">
            <w:pPr>
              <w:rPr>
                <w:rFonts w:ascii="Arial Narrow" w:hAnsi="Arial Narrow"/>
                <w:color w:val="333333"/>
                <w:sz w:val="18"/>
                <w:szCs w:val="18"/>
              </w:rPr>
            </w:pPr>
            <w:r w:rsidRPr="00DD31CC">
              <w:rPr>
                <w:rFonts w:ascii="Arial Narrow" w:hAnsi="Arial Narrow"/>
                <w:b/>
                <w:bCs/>
                <w:color w:val="333333"/>
                <w:sz w:val="18"/>
                <w:szCs w:val="18"/>
              </w:rPr>
              <w:t>Population criteria:</w:t>
            </w:r>
          </w:p>
        </w:tc>
      </w:tr>
      <w:tr w:rsidR="00B262B6" w:rsidRPr="00DD31CC" w:rsidTr="005E3D8B">
        <w:tc>
          <w:tcPr>
            <w:tcW w:w="5000" w:type="pct"/>
            <w:vAlign w:val="center"/>
            <w:hideMark/>
          </w:tcPr>
          <w:p w:rsidR="00B262B6" w:rsidRPr="00DD31CC" w:rsidRDefault="00B262B6" w:rsidP="00686EA1">
            <w:pPr>
              <w:rPr>
                <w:rFonts w:ascii="Arial Narrow" w:hAnsi="Arial Narrow"/>
                <w:b/>
                <w:color w:val="333333"/>
                <w:sz w:val="18"/>
                <w:szCs w:val="18"/>
              </w:rPr>
            </w:pPr>
            <w:r w:rsidRPr="00DD31CC">
              <w:rPr>
                <w:rFonts w:ascii="Arial Narrow" w:hAnsi="Arial Narrow"/>
                <w:color w:val="333333"/>
                <w:sz w:val="18"/>
                <w:szCs w:val="18"/>
              </w:rPr>
              <w:t>Patient must be or</w:t>
            </w:r>
            <w:r w:rsidRPr="00DD31CC">
              <w:rPr>
                <w:rFonts w:ascii="Arial Narrow" w:hAnsi="Arial Narrow"/>
                <w:strike/>
                <w:color w:val="333333"/>
                <w:sz w:val="18"/>
                <w:szCs w:val="18"/>
              </w:rPr>
              <w:t xml:space="preserve"> </w:t>
            </w:r>
            <w:r w:rsidRPr="00DD31CC">
              <w:rPr>
                <w:rFonts w:ascii="Arial Narrow" w:hAnsi="Arial Narrow"/>
                <w:color w:val="333333"/>
                <w:sz w:val="18"/>
                <w:szCs w:val="18"/>
              </w:rPr>
              <w:t>have been diagnosed between the age of 6 and 18 years inclusive</w:t>
            </w:r>
            <w:r w:rsidRPr="00DD31CC">
              <w:rPr>
                <w:rFonts w:ascii="Arial Narrow" w:hAnsi="Arial Narrow"/>
                <w:i/>
                <w:color w:val="333333"/>
                <w:sz w:val="18"/>
                <w:szCs w:val="18"/>
              </w:rPr>
              <w:t>; OR</w:t>
            </w:r>
          </w:p>
        </w:tc>
      </w:tr>
      <w:tr w:rsidR="00B262B6" w:rsidRPr="00DD31CC" w:rsidTr="005E3D8B">
        <w:trPr>
          <w:trHeight w:val="262"/>
        </w:trPr>
        <w:tc>
          <w:tcPr>
            <w:tcW w:w="5000" w:type="pct"/>
            <w:vAlign w:val="center"/>
          </w:tcPr>
          <w:p w:rsidR="00B262B6" w:rsidRPr="00DD31CC" w:rsidRDefault="00B262B6" w:rsidP="00CF2D6F">
            <w:pPr>
              <w:rPr>
                <w:rFonts w:ascii="Arial Narrow" w:hAnsi="Arial Narrow"/>
                <w:color w:val="333333"/>
                <w:sz w:val="18"/>
                <w:szCs w:val="18"/>
              </w:rPr>
            </w:pPr>
            <w:r w:rsidRPr="00DD31CC">
              <w:rPr>
                <w:rFonts w:ascii="Arial Narrow" w:hAnsi="Arial Narrow"/>
                <w:b/>
                <w:color w:val="333333"/>
                <w:sz w:val="18"/>
                <w:szCs w:val="18"/>
              </w:rPr>
              <w:t>Patient must be or have been diagnosed after the age of 18 years with retrospective confirmation of the presence of symptoms of ADHD that were pre-existing in childhood (before the age of 12 years</w:t>
            </w:r>
            <w:r w:rsidRPr="00DD31CC">
              <w:rPr>
                <w:rFonts w:ascii="Arial Narrow" w:hAnsi="Arial Narrow"/>
                <w:color w:val="333333"/>
                <w:sz w:val="18"/>
                <w:szCs w:val="18"/>
              </w:rPr>
              <w:t>).</w:t>
            </w:r>
          </w:p>
        </w:tc>
      </w:tr>
    </w:tbl>
    <w:p w:rsidR="00B23E25" w:rsidRPr="00DD31CC" w:rsidRDefault="00F52906" w:rsidP="005E3D8B">
      <w:pPr>
        <w:pStyle w:val="3Bodytext"/>
        <w:spacing w:before="120"/>
        <w:jc w:val="both"/>
      </w:pPr>
      <w:r w:rsidRPr="00DD31CC">
        <w:t xml:space="preserve">Option 2 </w:t>
      </w:r>
      <w:r w:rsidR="00241149" w:rsidRPr="00DD31CC">
        <w:t>is consistent with the TGA-approved P</w:t>
      </w:r>
      <w:r w:rsidR="001A2EBC" w:rsidRPr="00DD31CC">
        <w:t xml:space="preserve">roduct </w:t>
      </w:r>
      <w:r w:rsidR="00241149" w:rsidRPr="00DD31CC">
        <w:t>I</w:t>
      </w:r>
      <w:r w:rsidR="001A2EBC" w:rsidRPr="00DD31CC">
        <w:t>nformation</w:t>
      </w:r>
      <w:r w:rsidR="00241149" w:rsidRPr="00DD31CC">
        <w:t xml:space="preserve"> for LDX, which states that “a diagnosis of ADHD implies the presence of hyperactive-impulsive or inattentive symptoms that caused impairment and were present before 12 years of age”</w:t>
      </w:r>
      <w:r w:rsidR="00DD31CC">
        <w:t xml:space="preserve">. </w:t>
      </w:r>
    </w:p>
    <w:p w:rsidR="007222C5" w:rsidRPr="00E25B55" w:rsidRDefault="007222C5" w:rsidP="007222C5">
      <w:pPr>
        <w:pStyle w:val="Bodytextitalics"/>
        <w:numPr>
          <w:ilvl w:val="0"/>
          <w:numId w:val="0"/>
        </w:numPr>
        <w:ind w:left="720"/>
        <w:jc w:val="both"/>
        <w:rPr>
          <w:i w:val="0"/>
          <w:highlight w:val="yellow"/>
          <w:lang w:eastAsia="en-US"/>
        </w:rPr>
      </w:pPr>
      <w:r w:rsidRPr="00E25B55">
        <w:t>For more detail on PBAC’s view, see section 6 PBAC outcome.</w:t>
      </w:r>
    </w:p>
    <w:p w:rsidR="005A3173" w:rsidRPr="00DD31CC" w:rsidRDefault="005A3173" w:rsidP="0033263D">
      <w:pPr>
        <w:pStyle w:val="2Sections"/>
        <w:rPr>
          <w:color w:val="FF0000"/>
        </w:rPr>
      </w:pPr>
      <w:r w:rsidRPr="00DD31CC">
        <w:t>Comparator</w:t>
      </w:r>
      <w:r w:rsidR="0099465B" w:rsidRPr="00DD31CC">
        <w:t xml:space="preserve"> </w:t>
      </w:r>
    </w:p>
    <w:p w:rsidR="00424941" w:rsidRPr="00DD31CC" w:rsidRDefault="00FF2801" w:rsidP="00424941">
      <w:pPr>
        <w:pStyle w:val="Bodytextitalics"/>
        <w:jc w:val="both"/>
        <w:rPr>
          <w:i w:val="0"/>
        </w:rPr>
      </w:pPr>
      <w:r w:rsidRPr="00DD31CC">
        <w:rPr>
          <w:i w:val="0"/>
        </w:rPr>
        <w:t>The minor submission nominated</w:t>
      </w:r>
      <w:r w:rsidR="00CB1193" w:rsidRPr="00DD31CC">
        <w:rPr>
          <w:i w:val="0"/>
        </w:rPr>
        <w:t xml:space="preserve"> </w:t>
      </w:r>
      <w:r w:rsidR="009A73C5" w:rsidRPr="00DD31CC">
        <w:rPr>
          <w:i w:val="0"/>
        </w:rPr>
        <w:t>IR DEX as the main comparator, and IR</w:t>
      </w:r>
      <w:r w:rsidR="00465A34" w:rsidRPr="00DD31CC">
        <w:rPr>
          <w:i w:val="0"/>
        </w:rPr>
        <w:t xml:space="preserve"> MPH as a secondary comparator</w:t>
      </w:r>
      <w:r w:rsidR="00F52906" w:rsidRPr="00DD31CC">
        <w:rPr>
          <w:i w:val="0"/>
        </w:rPr>
        <w:t>,</w:t>
      </w:r>
      <w:r w:rsidR="00465A34" w:rsidRPr="00DD31CC">
        <w:rPr>
          <w:i w:val="0"/>
        </w:rPr>
        <w:t xml:space="preserve"> as a</w:t>
      </w:r>
      <w:r w:rsidR="00465A34" w:rsidRPr="00DD31CC">
        <w:rPr>
          <w:i w:val="0"/>
          <w:szCs w:val="24"/>
        </w:rPr>
        <w:t xml:space="preserve">n individual diagnosed with ADHD after the age of 18 is </w:t>
      </w:r>
      <w:r w:rsidR="00F52906" w:rsidRPr="00DD31CC">
        <w:rPr>
          <w:i w:val="0"/>
          <w:szCs w:val="24"/>
        </w:rPr>
        <w:t xml:space="preserve">currently </w:t>
      </w:r>
      <w:r w:rsidR="00465A34" w:rsidRPr="00DD31CC">
        <w:rPr>
          <w:i w:val="0"/>
          <w:szCs w:val="24"/>
        </w:rPr>
        <w:t>only eligible to receive short-acting ADHD medications on the PBS.</w:t>
      </w:r>
      <w:r w:rsidR="00001B92" w:rsidRPr="00DD31CC">
        <w:rPr>
          <w:i w:val="0"/>
          <w:szCs w:val="24"/>
        </w:rPr>
        <w:t xml:space="preserve"> The nomination of IR DEX and IR MPH as comparators </w:t>
      </w:r>
      <w:r w:rsidR="002C6917" w:rsidRPr="00DD31CC">
        <w:rPr>
          <w:i w:val="0"/>
          <w:szCs w:val="24"/>
        </w:rPr>
        <w:t>aligned with the advice provided by the PBAC in consideration of Concerta in July 2012.</w:t>
      </w:r>
      <w:r w:rsidR="00424941" w:rsidRPr="00DD31CC">
        <w:rPr>
          <w:i w:val="0"/>
          <w:szCs w:val="24"/>
        </w:rPr>
        <w:t xml:space="preserve"> A DUSC analysis conducted in May 2018 </w:t>
      </w:r>
      <w:r w:rsidR="009A73C5" w:rsidRPr="00DD31CC">
        <w:rPr>
          <w:i w:val="0"/>
        </w:rPr>
        <w:t>s</w:t>
      </w:r>
      <w:r w:rsidR="00F42A8E" w:rsidRPr="00DD31CC">
        <w:rPr>
          <w:i w:val="0"/>
        </w:rPr>
        <w:t>h</w:t>
      </w:r>
      <w:r w:rsidR="009A73C5" w:rsidRPr="00DD31CC">
        <w:rPr>
          <w:i w:val="0"/>
        </w:rPr>
        <w:t xml:space="preserve">owed that IR DEX </w:t>
      </w:r>
      <w:r w:rsidR="00885DC9" w:rsidRPr="00DD31CC">
        <w:rPr>
          <w:i w:val="0"/>
        </w:rPr>
        <w:t>wa</w:t>
      </w:r>
      <w:r w:rsidR="009A73C5" w:rsidRPr="00DD31CC">
        <w:rPr>
          <w:i w:val="0"/>
        </w:rPr>
        <w:t xml:space="preserve">s the most widely </w:t>
      </w:r>
      <w:r w:rsidR="00424941" w:rsidRPr="00DD31CC">
        <w:rPr>
          <w:i w:val="0"/>
        </w:rPr>
        <w:t>used PBS subsidised</w:t>
      </w:r>
      <w:r w:rsidR="00F42A8E" w:rsidRPr="00DD31CC">
        <w:rPr>
          <w:i w:val="0"/>
        </w:rPr>
        <w:t xml:space="preserve"> ADHD medication </w:t>
      </w:r>
      <w:r w:rsidR="00885DC9" w:rsidRPr="00DD31CC">
        <w:rPr>
          <w:i w:val="0"/>
        </w:rPr>
        <w:t>in adults</w:t>
      </w:r>
      <w:r w:rsidR="001A2EBC" w:rsidRPr="00DD31CC">
        <w:rPr>
          <w:i w:val="0"/>
        </w:rPr>
        <w:t>, including those who commence ADHD therapy after the age of 18 years</w:t>
      </w:r>
      <w:r w:rsidR="00315C97" w:rsidRPr="00DD31CC">
        <w:rPr>
          <w:i w:val="0"/>
        </w:rPr>
        <w:t xml:space="preserve">. </w:t>
      </w:r>
    </w:p>
    <w:p w:rsidR="007222C5" w:rsidRPr="00DD31CC" w:rsidRDefault="007222C5" w:rsidP="00946FED">
      <w:pPr>
        <w:pStyle w:val="Bodytextitalics"/>
        <w:numPr>
          <w:ilvl w:val="0"/>
          <w:numId w:val="0"/>
        </w:numPr>
        <w:spacing w:before="120"/>
        <w:ind w:left="720"/>
        <w:jc w:val="both"/>
        <w:rPr>
          <w:i w:val="0"/>
        </w:rPr>
      </w:pPr>
      <w:r w:rsidRPr="00DD31CC">
        <w:t>For more detail on PBAC’s view, see section 6 PBAC outcome.</w:t>
      </w:r>
    </w:p>
    <w:p w:rsidR="000B558D" w:rsidRPr="00DD31CC" w:rsidRDefault="008D7A41" w:rsidP="00BA5A7A">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DD31CC">
        <w:rPr>
          <w:rFonts w:asciiTheme="minorHAnsi" w:hAnsiTheme="minorHAnsi"/>
          <w:sz w:val="32"/>
          <w:szCs w:val="32"/>
        </w:rPr>
        <w:t>C</w:t>
      </w:r>
      <w:r w:rsidR="00D84934" w:rsidRPr="00DD31CC">
        <w:rPr>
          <w:rFonts w:asciiTheme="minorHAnsi" w:hAnsiTheme="minorHAnsi"/>
          <w:sz w:val="32"/>
          <w:szCs w:val="32"/>
        </w:rPr>
        <w:t>onsideration of the evidence</w:t>
      </w:r>
    </w:p>
    <w:p w:rsidR="007222C5" w:rsidRPr="00DD31CC" w:rsidRDefault="007222C5" w:rsidP="007222C5">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Sponsor hearing</w:t>
      </w:r>
    </w:p>
    <w:p w:rsidR="00BC0EBB" w:rsidRPr="00DD31CC" w:rsidRDefault="00BC0EBB" w:rsidP="00BC0EBB">
      <w:pPr>
        <w:widowControl w:val="0"/>
        <w:numPr>
          <w:ilvl w:val="1"/>
          <w:numId w:val="1"/>
        </w:numPr>
        <w:spacing w:after="120"/>
        <w:jc w:val="both"/>
        <w:rPr>
          <w:rFonts w:asciiTheme="minorHAnsi" w:hAnsiTheme="minorHAnsi" w:cs="Arial"/>
          <w:bCs/>
          <w:snapToGrid w:val="0"/>
        </w:rPr>
      </w:pPr>
      <w:r w:rsidRPr="00DD31CC">
        <w:rPr>
          <w:rFonts w:asciiTheme="minorHAnsi" w:hAnsiTheme="minorHAnsi" w:cs="Arial"/>
          <w:bCs/>
          <w:snapToGrid w:val="0"/>
        </w:rPr>
        <w:t xml:space="preserve">There was no hearing for this item as it was a minor submission. </w:t>
      </w:r>
    </w:p>
    <w:p w:rsidR="007222C5" w:rsidRPr="00DD31CC" w:rsidRDefault="007222C5" w:rsidP="007222C5">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Consumer comments</w:t>
      </w:r>
    </w:p>
    <w:p w:rsidR="003A34C8" w:rsidRPr="00DD31CC" w:rsidRDefault="003A34C8" w:rsidP="003A34C8">
      <w:pPr>
        <w:widowControl w:val="0"/>
        <w:numPr>
          <w:ilvl w:val="1"/>
          <w:numId w:val="1"/>
        </w:numPr>
        <w:spacing w:after="120"/>
        <w:jc w:val="both"/>
        <w:rPr>
          <w:rFonts w:asciiTheme="minorHAnsi" w:hAnsiTheme="minorHAnsi" w:cs="Arial"/>
          <w:bCs/>
          <w:snapToGrid w:val="0"/>
        </w:rPr>
      </w:pPr>
      <w:r w:rsidRPr="00DD31CC">
        <w:rPr>
          <w:rFonts w:asciiTheme="minorHAnsi" w:hAnsiTheme="minorHAnsi" w:cs="Arial"/>
          <w:bCs/>
          <w:snapToGrid w:val="0"/>
        </w:rPr>
        <w:t>The PBAC noted and welcomed the input from individuals (194), health care professionals (18) and organisations (1) via the Consumer Comments facility on the PBS website</w:t>
      </w:r>
      <w:r w:rsidR="00DD31CC">
        <w:rPr>
          <w:rFonts w:asciiTheme="minorHAnsi" w:hAnsiTheme="minorHAnsi" w:cs="Arial"/>
          <w:bCs/>
          <w:snapToGrid w:val="0"/>
        </w:rPr>
        <w:t xml:space="preserve">. </w:t>
      </w:r>
      <w:r w:rsidRPr="00DD31CC">
        <w:rPr>
          <w:rFonts w:asciiTheme="minorHAnsi" w:hAnsiTheme="minorHAnsi" w:cs="Arial"/>
          <w:bCs/>
          <w:snapToGrid w:val="0"/>
        </w:rPr>
        <w:t xml:space="preserve">The comments </w:t>
      </w:r>
      <w:r w:rsidR="007B3BB0" w:rsidRPr="00DD31CC">
        <w:rPr>
          <w:rFonts w:asciiTheme="minorHAnsi" w:hAnsiTheme="minorHAnsi" w:cs="Arial"/>
          <w:bCs/>
          <w:snapToGrid w:val="0"/>
        </w:rPr>
        <w:t xml:space="preserve">from health care professionals </w:t>
      </w:r>
      <w:r w:rsidRPr="00DD31CC">
        <w:rPr>
          <w:rFonts w:asciiTheme="minorHAnsi" w:hAnsiTheme="minorHAnsi" w:cs="Arial"/>
          <w:bCs/>
          <w:snapToGrid w:val="0"/>
        </w:rPr>
        <w:t xml:space="preserve">described the benefits </w:t>
      </w:r>
      <w:r w:rsidRPr="00E25B55">
        <w:rPr>
          <w:rFonts w:asciiTheme="minorHAnsi" w:hAnsiTheme="minorHAnsi" w:cs="Arial"/>
          <w:bCs/>
          <w:snapToGrid w:val="0"/>
        </w:rPr>
        <w:t xml:space="preserve">of treatment with LDX with respect to once daily dosing, such as improved compliance due to ease of use, and sustained response </w:t>
      </w:r>
      <w:r w:rsidR="002E620C" w:rsidRPr="00E25B55">
        <w:rPr>
          <w:rFonts w:asciiTheme="minorHAnsi" w:hAnsiTheme="minorHAnsi" w:cs="Arial"/>
          <w:bCs/>
          <w:snapToGrid w:val="0"/>
        </w:rPr>
        <w:t>to</w:t>
      </w:r>
      <w:r w:rsidRPr="00E25B55">
        <w:rPr>
          <w:rFonts w:asciiTheme="minorHAnsi" w:hAnsiTheme="minorHAnsi" w:cs="Arial"/>
          <w:bCs/>
          <w:snapToGrid w:val="0"/>
        </w:rPr>
        <w:t xml:space="preserve"> the medication. Individuals described the significant improvement</w:t>
      </w:r>
      <w:r w:rsidR="007B3BB0" w:rsidRPr="00E25B55">
        <w:rPr>
          <w:rFonts w:asciiTheme="minorHAnsi" w:hAnsiTheme="minorHAnsi" w:cs="Arial"/>
          <w:bCs/>
          <w:snapToGrid w:val="0"/>
        </w:rPr>
        <w:t>s</w:t>
      </w:r>
      <w:r w:rsidRPr="00DD31CC">
        <w:rPr>
          <w:rFonts w:asciiTheme="minorHAnsi" w:hAnsiTheme="minorHAnsi" w:cs="Arial"/>
          <w:bCs/>
          <w:snapToGrid w:val="0"/>
        </w:rPr>
        <w:t xml:space="preserve"> in quality of life due to LDX, but also the financial hardship </w:t>
      </w:r>
      <w:r w:rsidR="007B3BB0" w:rsidRPr="00DD31CC">
        <w:rPr>
          <w:rFonts w:asciiTheme="minorHAnsi" w:hAnsiTheme="minorHAnsi" w:cs="Arial"/>
          <w:bCs/>
          <w:snapToGrid w:val="0"/>
        </w:rPr>
        <w:t xml:space="preserve">associated </w:t>
      </w:r>
      <w:r w:rsidRPr="00DD31CC">
        <w:rPr>
          <w:rFonts w:asciiTheme="minorHAnsi" w:hAnsiTheme="minorHAnsi" w:cs="Arial"/>
          <w:bCs/>
          <w:snapToGrid w:val="0"/>
        </w:rPr>
        <w:t>with having to access the medication via a private prescription due to a diagnosis of ADHD in adulthood.</w:t>
      </w:r>
    </w:p>
    <w:p w:rsidR="003A34C8" w:rsidRPr="00DD31CC" w:rsidRDefault="003A34C8" w:rsidP="003A34C8">
      <w:pPr>
        <w:widowControl w:val="0"/>
        <w:numPr>
          <w:ilvl w:val="1"/>
          <w:numId w:val="1"/>
        </w:numPr>
        <w:spacing w:after="120"/>
        <w:jc w:val="both"/>
        <w:rPr>
          <w:rFonts w:asciiTheme="minorHAnsi" w:hAnsiTheme="minorHAnsi" w:cs="Arial"/>
          <w:bCs/>
          <w:snapToGrid w:val="0"/>
        </w:rPr>
      </w:pPr>
      <w:r w:rsidRPr="00DD31CC">
        <w:rPr>
          <w:rFonts w:asciiTheme="minorHAnsi" w:hAnsiTheme="minorHAnsi" w:cs="Arial"/>
          <w:bCs/>
          <w:snapToGrid w:val="0"/>
        </w:rPr>
        <w:t>The PBAC also noted that ADHD Australia w</w:t>
      </w:r>
      <w:r w:rsidR="002E620C" w:rsidRPr="00DD31CC">
        <w:rPr>
          <w:rFonts w:asciiTheme="minorHAnsi" w:hAnsiTheme="minorHAnsi" w:cs="Arial"/>
          <w:bCs/>
          <w:snapToGrid w:val="0"/>
        </w:rPr>
        <w:t>as</w:t>
      </w:r>
      <w:r w:rsidRPr="00DD31CC">
        <w:rPr>
          <w:rFonts w:asciiTheme="minorHAnsi" w:hAnsiTheme="minorHAnsi" w:cs="Arial"/>
          <w:bCs/>
          <w:snapToGrid w:val="0"/>
        </w:rPr>
        <w:t xml:space="preserve"> in strong support of the </w:t>
      </w:r>
      <w:r w:rsidR="002E620C" w:rsidRPr="00DD31CC">
        <w:rPr>
          <w:rFonts w:asciiTheme="minorHAnsi" w:hAnsiTheme="minorHAnsi" w:cs="Arial"/>
          <w:bCs/>
          <w:snapToGrid w:val="0"/>
        </w:rPr>
        <w:t xml:space="preserve">requested change to the </w:t>
      </w:r>
      <w:r w:rsidRPr="00DD31CC">
        <w:rPr>
          <w:rFonts w:asciiTheme="minorHAnsi" w:hAnsiTheme="minorHAnsi" w:cs="Arial"/>
          <w:bCs/>
          <w:snapToGrid w:val="0"/>
        </w:rPr>
        <w:t>listing.</w:t>
      </w:r>
      <w:r w:rsidR="00735706" w:rsidRPr="00DD31CC">
        <w:rPr>
          <w:rFonts w:asciiTheme="minorHAnsi" w:hAnsiTheme="minorHAnsi" w:cs="Arial"/>
          <w:bCs/>
          <w:snapToGrid w:val="0"/>
        </w:rPr>
        <w:t xml:space="preserve"> The comments emphasised</w:t>
      </w:r>
      <w:r w:rsidRPr="00DD31CC">
        <w:rPr>
          <w:rFonts w:asciiTheme="minorHAnsi" w:hAnsiTheme="minorHAnsi" w:cs="Arial"/>
          <w:bCs/>
          <w:snapToGrid w:val="0"/>
        </w:rPr>
        <w:t xml:space="preserve"> that not all patients with ADHD are afforded the benefit o</w:t>
      </w:r>
      <w:r w:rsidR="004C6F01" w:rsidRPr="00DD31CC">
        <w:rPr>
          <w:rFonts w:asciiTheme="minorHAnsi" w:hAnsiTheme="minorHAnsi" w:cs="Arial"/>
          <w:bCs/>
          <w:snapToGrid w:val="0"/>
        </w:rPr>
        <w:t xml:space="preserve">f diagnosis in their early life. The organisation </w:t>
      </w:r>
      <w:r w:rsidRPr="00DD31CC">
        <w:rPr>
          <w:rFonts w:asciiTheme="minorHAnsi" w:hAnsiTheme="minorHAnsi" w:cs="Arial"/>
          <w:bCs/>
          <w:snapToGrid w:val="0"/>
        </w:rPr>
        <w:t>stated that it has been advocating for equity of access for long-acting</w:t>
      </w:r>
      <w:r w:rsidR="00735706" w:rsidRPr="00DD31CC">
        <w:rPr>
          <w:rFonts w:asciiTheme="minorHAnsi" w:hAnsiTheme="minorHAnsi" w:cs="Arial"/>
          <w:bCs/>
          <w:snapToGrid w:val="0"/>
        </w:rPr>
        <w:t xml:space="preserve"> ADHD</w:t>
      </w:r>
      <w:r w:rsidRPr="00DD31CC">
        <w:rPr>
          <w:rFonts w:asciiTheme="minorHAnsi" w:hAnsiTheme="minorHAnsi" w:cs="Arial"/>
          <w:bCs/>
          <w:snapToGrid w:val="0"/>
        </w:rPr>
        <w:t xml:space="preserve"> medications for some time. </w:t>
      </w:r>
    </w:p>
    <w:p w:rsidR="00D84934" w:rsidRPr="00DD31CC" w:rsidRDefault="00D84934" w:rsidP="00937958">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Clinical trials</w:t>
      </w:r>
      <w:r w:rsidR="0099465B" w:rsidRPr="00DD31CC">
        <w:rPr>
          <w:rFonts w:asciiTheme="minorHAnsi" w:eastAsiaTheme="majorEastAsia" w:hAnsiTheme="minorHAnsi" w:cstheme="majorBidi"/>
          <w:sz w:val="28"/>
          <w:szCs w:val="28"/>
          <w:lang w:eastAsia="en-US"/>
        </w:rPr>
        <w:t xml:space="preserve"> </w:t>
      </w:r>
    </w:p>
    <w:p w:rsidR="00AA2F1C" w:rsidRPr="00DD31CC" w:rsidRDefault="00AA2F1C" w:rsidP="00AA2F1C">
      <w:pPr>
        <w:pStyle w:val="3Bodytext"/>
        <w:rPr>
          <w:lang w:eastAsia="en-US"/>
        </w:rPr>
      </w:pPr>
      <w:r w:rsidRPr="00DD31CC">
        <w:rPr>
          <w:lang w:eastAsia="en-US"/>
        </w:rPr>
        <w:t xml:space="preserve">The minor submission provided the following evidence: </w:t>
      </w:r>
    </w:p>
    <w:p w:rsidR="00AA2F1C" w:rsidRPr="00DD31CC" w:rsidRDefault="00AA2F1C" w:rsidP="00AA2F1C">
      <w:pPr>
        <w:pStyle w:val="ListParagraph"/>
        <w:numPr>
          <w:ilvl w:val="0"/>
          <w:numId w:val="8"/>
        </w:numPr>
        <w:rPr>
          <w:rFonts w:asciiTheme="minorHAnsi" w:eastAsiaTheme="majorEastAsia" w:hAnsiTheme="minorHAnsi" w:cstheme="minorHAnsi"/>
          <w:sz w:val="24"/>
          <w:szCs w:val="24"/>
        </w:rPr>
      </w:pPr>
      <w:r w:rsidRPr="00DD31CC">
        <w:rPr>
          <w:rFonts w:asciiTheme="minorHAnsi" w:eastAsiaTheme="majorEastAsia" w:hAnsiTheme="minorHAnsi" w:cstheme="minorHAnsi"/>
          <w:sz w:val="24"/>
          <w:szCs w:val="24"/>
        </w:rPr>
        <w:t xml:space="preserve">The results of </w:t>
      </w:r>
      <w:r w:rsidR="009706CA" w:rsidRPr="00DD31CC">
        <w:rPr>
          <w:rFonts w:asciiTheme="minorHAnsi" w:eastAsiaTheme="majorEastAsia" w:hAnsiTheme="minorHAnsi" w:cstheme="minorHAnsi"/>
          <w:sz w:val="24"/>
          <w:szCs w:val="24"/>
        </w:rPr>
        <w:t xml:space="preserve">eight </w:t>
      </w:r>
      <w:r w:rsidRPr="00DD31CC">
        <w:rPr>
          <w:rFonts w:asciiTheme="minorHAnsi" w:eastAsiaTheme="majorEastAsia" w:hAnsiTheme="minorHAnsi" w:cstheme="minorHAnsi"/>
          <w:sz w:val="24"/>
          <w:szCs w:val="24"/>
        </w:rPr>
        <w:t>randomised placebo-controlled trials evaluating the efficacy and safety of LDX versus placebo in adults diagnosed with ADHD, to support the submission’s claim that LDX is more effective than placebo.</w:t>
      </w:r>
    </w:p>
    <w:p w:rsidR="00AA2F1C" w:rsidRPr="00DD31CC" w:rsidRDefault="00AA2F1C" w:rsidP="005E3D8B">
      <w:pPr>
        <w:pStyle w:val="ListParagraph"/>
        <w:numPr>
          <w:ilvl w:val="0"/>
          <w:numId w:val="8"/>
        </w:numPr>
        <w:rPr>
          <w:rFonts w:asciiTheme="minorHAnsi" w:eastAsiaTheme="majorEastAsia" w:hAnsiTheme="minorHAnsi" w:cstheme="minorHAnsi"/>
          <w:sz w:val="24"/>
          <w:szCs w:val="24"/>
        </w:rPr>
      </w:pPr>
      <w:r w:rsidRPr="00DD31CC">
        <w:rPr>
          <w:rFonts w:asciiTheme="minorHAnsi" w:eastAsiaTheme="majorEastAsia" w:hAnsiTheme="minorHAnsi" w:cstheme="minorHAnsi"/>
          <w:sz w:val="24"/>
          <w:szCs w:val="24"/>
        </w:rPr>
        <w:t>Outcomes from recent systematic literature reviews which estimated the treatment effect sizes of LDX, I</w:t>
      </w:r>
      <w:r w:rsidR="00ED12B1" w:rsidRPr="00DD31CC">
        <w:rPr>
          <w:rFonts w:asciiTheme="minorHAnsi" w:eastAsiaTheme="majorEastAsia" w:hAnsiTheme="minorHAnsi" w:cstheme="minorHAnsi"/>
          <w:sz w:val="24"/>
          <w:szCs w:val="24"/>
        </w:rPr>
        <w:t>R DEX and IR MPH versus placebo, based on meta-analyses data from randomised contr</w:t>
      </w:r>
      <w:r w:rsidR="00E87ADA" w:rsidRPr="00DD31CC">
        <w:rPr>
          <w:rFonts w:asciiTheme="minorHAnsi" w:eastAsiaTheme="majorEastAsia" w:hAnsiTheme="minorHAnsi" w:cstheme="minorHAnsi"/>
          <w:sz w:val="24"/>
          <w:szCs w:val="24"/>
        </w:rPr>
        <w:t>olled trials conducted in adult</w:t>
      </w:r>
      <w:r w:rsidR="00ED12B1" w:rsidRPr="00DD31CC">
        <w:rPr>
          <w:rFonts w:asciiTheme="minorHAnsi" w:eastAsiaTheme="majorEastAsia" w:hAnsiTheme="minorHAnsi" w:cstheme="minorHAnsi"/>
          <w:sz w:val="24"/>
          <w:szCs w:val="24"/>
        </w:rPr>
        <w:t xml:space="preserve"> ADHD population</w:t>
      </w:r>
      <w:r w:rsidR="00E87ADA" w:rsidRPr="00DD31CC">
        <w:rPr>
          <w:rFonts w:asciiTheme="minorHAnsi" w:eastAsiaTheme="majorEastAsia" w:hAnsiTheme="minorHAnsi" w:cstheme="minorHAnsi"/>
          <w:sz w:val="24"/>
          <w:szCs w:val="24"/>
        </w:rPr>
        <w:t>s</w:t>
      </w:r>
      <w:r w:rsidR="00ED12B1" w:rsidRPr="00DD31CC">
        <w:rPr>
          <w:rFonts w:asciiTheme="minorHAnsi" w:eastAsiaTheme="majorEastAsia" w:hAnsiTheme="minorHAnsi" w:cstheme="minorHAnsi"/>
          <w:sz w:val="24"/>
          <w:szCs w:val="24"/>
        </w:rPr>
        <w:t xml:space="preserve">, </w:t>
      </w:r>
      <w:r w:rsidRPr="00DD31CC">
        <w:rPr>
          <w:rFonts w:asciiTheme="minorHAnsi" w:eastAsiaTheme="majorEastAsia" w:hAnsiTheme="minorHAnsi" w:cstheme="minorHAnsi"/>
          <w:sz w:val="24"/>
          <w:szCs w:val="24"/>
        </w:rPr>
        <w:t>to support the submission’s claim that the treatment effect size for LDX is similar to, if not better than, short-acting stimulant therapies</w:t>
      </w:r>
      <w:r w:rsidR="00ED12B1" w:rsidRPr="00DD31CC">
        <w:rPr>
          <w:rFonts w:asciiTheme="minorHAnsi" w:eastAsiaTheme="majorEastAsia" w:hAnsiTheme="minorHAnsi" w:cstheme="minorHAnsi"/>
          <w:sz w:val="24"/>
          <w:szCs w:val="24"/>
        </w:rPr>
        <w:t xml:space="preserve"> in adults</w:t>
      </w:r>
      <w:r w:rsidRPr="00DD31CC">
        <w:rPr>
          <w:rFonts w:asciiTheme="minorHAnsi" w:eastAsiaTheme="majorEastAsia" w:hAnsiTheme="minorHAnsi" w:cstheme="minorHAnsi"/>
          <w:sz w:val="24"/>
          <w:szCs w:val="24"/>
        </w:rPr>
        <w:t>.</w:t>
      </w:r>
    </w:p>
    <w:p w:rsidR="00AA2F1C" w:rsidRPr="00DD31CC" w:rsidRDefault="00AA2F1C" w:rsidP="005E3D8B">
      <w:pPr>
        <w:pStyle w:val="ListParagraph"/>
        <w:numPr>
          <w:ilvl w:val="0"/>
          <w:numId w:val="8"/>
        </w:numPr>
        <w:spacing w:after="120"/>
        <w:ind w:left="1077" w:hanging="357"/>
        <w:contextualSpacing w:val="0"/>
        <w:rPr>
          <w:rFonts w:asciiTheme="minorHAnsi" w:eastAsiaTheme="majorEastAsia" w:hAnsiTheme="minorHAnsi" w:cstheme="minorHAnsi"/>
          <w:sz w:val="24"/>
          <w:szCs w:val="24"/>
        </w:rPr>
      </w:pPr>
      <w:r w:rsidRPr="00DD31CC">
        <w:rPr>
          <w:rFonts w:asciiTheme="minorHAnsi" w:eastAsiaTheme="majorEastAsia" w:hAnsiTheme="minorHAnsi" w:cstheme="minorHAnsi"/>
          <w:sz w:val="24"/>
          <w:szCs w:val="24"/>
        </w:rPr>
        <w:t>A comparison of the safety information in the TGA-approved Product Information for LDX, IR DEX, long-acting MPH and IR MPH products, to support the submission’s claim that LDX has a similar safety profile to short-acting therapies and other long-acting therapies.</w:t>
      </w:r>
    </w:p>
    <w:p w:rsidR="0076420C" w:rsidRPr="00DD31CC" w:rsidRDefault="00980B0E" w:rsidP="004B58EE">
      <w:pPr>
        <w:pStyle w:val="Bodytextitalics"/>
        <w:jc w:val="both"/>
        <w:rPr>
          <w:i w:val="0"/>
        </w:rPr>
      </w:pPr>
      <w:r w:rsidRPr="00DD31CC">
        <w:rPr>
          <w:i w:val="0"/>
        </w:rPr>
        <w:t>Details of the trials presented in the submission are provided in the table below.</w:t>
      </w:r>
    </w:p>
    <w:p w:rsidR="00BF092C" w:rsidRPr="00DD31CC" w:rsidRDefault="00BF092C" w:rsidP="006E7062">
      <w:pPr>
        <w:pStyle w:val="Caption"/>
        <w:keepNext/>
        <w:keepLines/>
        <w:spacing w:after="0"/>
        <w:rPr>
          <w:rFonts w:ascii="Arial Narrow" w:hAnsi="Arial Narrow"/>
          <w:b/>
          <w:i w:val="0"/>
          <w:sz w:val="20"/>
          <w:szCs w:val="20"/>
        </w:rPr>
      </w:pPr>
      <w:r w:rsidRPr="00DD31CC">
        <w:rPr>
          <w:rFonts w:ascii="Arial Narrow" w:hAnsi="Arial Narrow"/>
          <w:b/>
          <w:i w:val="0"/>
          <w:sz w:val="20"/>
          <w:szCs w:val="20"/>
        </w:rPr>
        <w:t xml:space="preserve">Table </w:t>
      </w:r>
      <w:r w:rsidR="00762EFB" w:rsidRPr="00DD31CC">
        <w:rPr>
          <w:rFonts w:ascii="Arial Narrow" w:hAnsi="Arial Narrow"/>
          <w:b/>
          <w:i w:val="0"/>
          <w:sz w:val="20"/>
          <w:szCs w:val="20"/>
        </w:rPr>
        <w:t>1:</w:t>
      </w:r>
      <w:r w:rsidRPr="00DD31CC">
        <w:rPr>
          <w:rFonts w:ascii="Arial Narrow" w:hAnsi="Arial Narrow"/>
          <w:b/>
          <w:i w:val="0"/>
          <w:sz w:val="20"/>
          <w:szCs w:val="20"/>
        </w:rPr>
        <w:t xml:space="preserve"> </w:t>
      </w:r>
      <w:r w:rsidR="00807806" w:rsidRPr="00DD31CC">
        <w:rPr>
          <w:rFonts w:ascii="Arial Narrow" w:hAnsi="Arial Narrow"/>
          <w:b/>
          <w:i w:val="0"/>
          <w:sz w:val="20"/>
          <w:szCs w:val="20"/>
        </w:rPr>
        <w:t>Randomised control trials a</w:t>
      </w:r>
      <w:r w:rsidRPr="00DD31CC">
        <w:rPr>
          <w:rFonts w:ascii="Arial Narrow" w:hAnsi="Arial Narrow"/>
          <w:b/>
          <w:i w:val="0"/>
          <w:sz w:val="20"/>
          <w:szCs w:val="20"/>
        </w:rPr>
        <w:t xml:space="preserve">nd associated </w:t>
      </w:r>
      <w:r w:rsidR="00001B92" w:rsidRPr="00DD31CC">
        <w:rPr>
          <w:rFonts w:ascii="Arial Narrow" w:hAnsi="Arial Narrow"/>
          <w:b/>
          <w:i w:val="0"/>
          <w:sz w:val="20"/>
          <w:szCs w:val="20"/>
        </w:rPr>
        <w:t xml:space="preserve">reports presented in the </w:t>
      </w:r>
      <w:r w:rsidRPr="00DD31CC">
        <w:rPr>
          <w:rFonts w:ascii="Arial Narrow" w:hAnsi="Arial Narrow"/>
          <w:b/>
          <w:i w:val="0"/>
          <w:sz w:val="20"/>
          <w:szCs w:val="20"/>
        </w:rPr>
        <w:t>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5276"/>
        <w:gridCol w:w="2259"/>
      </w:tblGrid>
      <w:tr w:rsidR="0076420C" w:rsidRPr="00DD31CC" w:rsidTr="00F52906">
        <w:trPr>
          <w:cantSplit/>
          <w:trHeight w:val="78"/>
          <w:tblHeader/>
        </w:trPr>
        <w:tc>
          <w:tcPr>
            <w:tcW w:w="747" w:type="pct"/>
          </w:tcPr>
          <w:p w:rsidR="0076420C" w:rsidRPr="00DD31CC" w:rsidRDefault="0076420C" w:rsidP="004B58EE">
            <w:pPr>
              <w:pStyle w:val="NoSpacing"/>
              <w:keepNext/>
              <w:keepLines/>
              <w:spacing w:before="40" w:after="40"/>
              <w:jc w:val="left"/>
              <w:rPr>
                <w:rFonts w:ascii="Arial Narrow" w:hAnsi="Arial Narrow"/>
                <w:b/>
                <w:sz w:val="20"/>
              </w:rPr>
            </w:pPr>
            <w:r w:rsidRPr="00DD31CC">
              <w:rPr>
                <w:rFonts w:ascii="Arial Narrow" w:hAnsi="Arial Narrow"/>
                <w:b/>
                <w:sz w:val="20"/>
              </w:rPr>
              <w:t>Trial ID</w:t>
            </w:r>
          </w:p>
        </w:tc>
        <w:tc>
          <w:tcPr>
            <w:tcW w:w="2978" w:type="pct"/>
          </w:tcPr>
          <w:p w:rsidR="0076420C" w:rsidRPr="00DD31CC" w:rsidRDefault="0076420C" w:rsidP="006E7062">
            <w:pPr>
              <w:keepNext/>
              <w:keepLines/>
              <w:spacing w:before="40" w:after="40"/>
              <w:rPr>
                <w:rFonts w:ascii="Arial Narrow" w:hAnsi="Arial Narrow"/>
                <w:b/>
                <w:sz w:val="20"/>
              </w:rPr>
            </w:pPr>
            <w:r w:rsidRPr="00DD31CC">
              <w:rPr>
                <w:rFonts w:ascii="Arial Narrow" w:hAnsi="Arial Narrow"/>
                <w:b/>
                <w:sz w:val="20"/>
              </w:rPr>
              <w:t>Protocol title/ Publication title</w:t>
            </w:r>
          </w:p>
        </w:tc>
        <w:tc>
          <w:tcPr>
            <w:tcW w:w="1275" w:type="pct"/>
          </w:tcPr>
          <w:p w:rsidR="0076420C" w:rsidRPr="00DD31CC" w:rsidRDefault="0076420C" w:rsidP="006E7062">
            <w:pPr>
              <w:keepNext/>
              <w:keepLines/>
              <w:spacing w:before="40" w:after="40"/>
              <w:rPr>
                <w:rFonts w:ascii="Arial Narrow" w:hAnsi="Arial Narrow"/>
                <w:b/>
                <w:sz w:val="20"/>
              </w:rPr>
            </w:pPr>
            <w:r w:rsidRPr="00DD31CC">
              <w:rPr>
                <w:rFonts w:ascii="Arial Narrow" w:hAnsi="Arial Narrow"/>
                <w:b/>
                <w:sz w:val="20"/>
              </w:rPr>
              <w:t>Publication citation</w:t>
            </w:r>
          </w:p>
        </w:tc>
      </w:tr>
      <w:tr w:rsidR="0076420C" w:rsidRPr="00DD31CC" w:rsidTr="00F52906">
        <w:trPr>
          <w:cantSplit/>
          <w:trHeight w:val="53"/>
        </w:trPr>
        <w:tc>
          <w:tcPr>
            <w:tcW w:w="5000" w:type="pct"/>
            <w:gridSpan w:val="3"/>
          </w:tcPr>
          <w:p w:rsidR="0076420C" w:rsidRPr="00DD31CC" w:rsidRDefault="00807806" w:rsidP="006E7062">
            <w:pPr>
              <w:pStyle w:val="NoSpacing"/>
              <w:keepNext/>
              <w:keepLines/>
              <w:spacing w:before="40" w:after="40"/>
              <w:rPr>
                <w:rFonts w:ascii="Arial Narrow" w:hAnsi="Arial Narrow"/>
                <w:b/>
                <w:sz w:val="20"/>
                <w:szCs w:val="20"/>
              </w:rPr>
            </w:pPr>
            <w:r w:rsidRPr="00DD31CC">
              <w:rPr>
                <w:rFonts w:ascii="Arial Narrow" w:hAnsi="Arial Narrow"/>
                <w:b/>
                <w:sz w:val="20"/>
                <w:szCs w:val="20"/>
              </w:rPr>
              <w:t>Pivotal</w:t>
            </w:r>
          </w:p>
        </w:tc>
      </w:tr>
      <w:tr w:rsidR="0076420C" w:rsidRPr="00DD31CC" w:rsidTr="00807806">
        <w:trPr>
          <w:cantSplit/>
          <w:trHeight w:val="317"/>
        </w:trPr>
        <w:tc>
          <w:tcPr>
            <w:tcW w:w="747" w:type="pct"/>
          </w:tcPr>
          <w:p w:rsidR="006E7062" w:rsidRPr="00DD31CC" w:rsidRDefault="006E7062" w:rsidP="006E7062">
            <w:pPr>
              <w:pStyle w:val="Default"/>
              <w:keepNext/>
              <w:keepLines/>
              <w:rPr>
                <w:rFonts w:ascii="Arial Narrow" w:hAnsi="Arial Narrow"/>
                <w:sz w:val="20"/>
                <w:szCs w:val="20"/>
              </w:rPr>
            </w:pPr>
            <w:r w:rsidRPr="00DD31CC">
              <w:rPr>
                <w:rFonts w:ascii="Arial Narrow" w:hAnsi="Arial Narrow"/>
                <w:sz w:val="20"/>
                <w:szCs w:val="20"/>
              </w:rPr>
              <w:t xml:space="preserve">NRP 104-303 </w:t>
            </w:r>
          </w:p>
          <w:p w:rsidR="0076420C" w:rsidRPr="00DD31CC" w:rsidRDefault="0076420C" w:rsidP="006E7062">
            <w:pPr>
              <w:pStyle w:val="TableText0"/>
              <w:keepNext/>
              <w:keepLines/>
            </w:pPr>
          </w:p>
        </w:tc>
        <w:tc>
          <w:tcPr>
            <w:tcW w:w="2978" w:type="pct"/>
          </w:tcPr>
          <w:p w:rsidR="006E7062" w:rsidRPr="00DD31CC" w:rsidRDefault="006E7062" w:rsidP="006E7062">
            <w:pPr>
              <w:pStyle w:val="Default"/>
              <w:keepNext/>
              <w:keepLines/>
              <w:rPr>
                <w:rFonts w:ascii="Arial Narrow" w:hAnsi="Arial Narrow"/>
                <w:sz w:val="20"/>
                <w:szCs w:val="20"/>
              </w:rPr>
            </w:pPr>
            <w:r w:rsidRPr="00DD31CC">
              <w:rPr>
                <w:rFonts w:ascii="Arial Narrow" w:hAnsi="Arial Narrow"/>
                <w:sz w:val="20"/>
                <w:szCs w:val="20"/>
              </w:rPr>
              <w:t>A Phase 3, Randomized, Double-Blind, Multi-Center, Placebo-Controlled, Parallel- Group, Forced Dose Titration, Safety and Efficacy Study of NRP104 in Adults with Attention Defici</w:t>
            </w:r>
            <w:r w:rsidR="00B07390" w:rsidRPr="00DD31CC">
              <w:rPr>
                <w:rFonts w:ascii="Arial Narrow" w:hAnsi="Arial Narrow"/>
                <w:sz w:val="20"/>
                <w:szCs w:val="20"/>
              </w:rPr>
              <w:t>t Hyperactivity Disorder (ADHD).</w:t>
            </w:r>
          </w:p>
          <w:p w:rsidR="0076420C" w:rsidRPr="00DD31CC" w:rsidRDefault="0076420C" w:rsidP="006E7062">
            <w:pPr>
              <w:keepNext/>
              <w:keepLines/>
              <w:rPr>
                <w:rFonts w:ascii="Arial Narrow" w:hAnsi="Arial Narrow"/>
                <w:b/>
                <w:sz w:val="20"/>
                <w:szCs w:val="20"/>
              </w:rPr>
            </w:pPr>
          </w:p>
          <w:p w:rsidR="006E7062" w:rsidRPr="00DD31CC" w:rsidRDefault="006E7062" w:rsidP="006E7062">
            <w:pPr>
              <w:pStyle w:val="Default"/>
              <w:keepNext/>
              <w:keepLines/>
              <w:rPr>
                <w:rFonts w:ascii="Arial Narrow" w:hAnsi="Arial Narrow"/>
                <w:sz w:val="20"/>
                <w:szCs w:val="20"/>
              </w:rPr>
            </w:pPr>
            <w:r w:rsidRPr="00DD31CC">
              <w:rPr>
                <w:rFonts w:ascii="Arial Narrow" w:hAnsi="Arial Narrow"/>
                <w:sz w:val="20"/>
                <w:szCs w:val="20"/>
              </w:rPr>
              <w:t xml:space="preserve">Adler LA, Goodman DW, Kollins SH, Weisler RH, Krishnan S, Zhang Y, et al. Double-blind, placebo-controlled study of the efficacy and safety of lisdexamfetamine dimesylate in adults with attention-deficit/hyperactivity disorder. </w:t>
            </w:r>
          </w:p>
          <w:p w:rsidR="006E7062" w:rsidRPr="00DD31CC" w:rsidRDefault="006E7062" w:rsidP="006E7062">
            <w:pPr>
              <w:keepNext/>
              <w:keepLines/>
              <w:rPr>
                <w:rFonts w:ascii="Arial Narrow" w:hAnsi="Arial Narrow"/>
                <w:b/>
                <w:sz w:val="20"/>
                <w:szCs w:val="20"/>
              </w:rPr>
            </w:pPr>
          </w:p>
          <w:p w:rsidR="006E7062" w:rsidRPr="00DD31CC" w:rsidRDefault="006E7062" w:rsidP="006E7062">
            <w:pPr>
              <w:pStyle w:val="Default"/>
              <w:keepNext/>
              <w:keepLines/>
              <w:rPr>
                <w:rFonts w:ascii="Arial Narrow" w:hAnsi="Arial Narrow"/>
                <w:sz w:val="20"/>
                <w:szCs w:val="20"/>
              </w:rPr>
            </w:pPr>
            <w:r w:rsidRPr="00DD31CC">
              <w:rPr>
                <w:rFonts w:ascii="Arial Narrow" w:hAnsi="Arial Narrow"/>
                <w:sz w:val="20"/>
                <w:szCs w:val="20"/>
              </w:rPr>
              <w:t xml:space="preserve">Adler LA, Weisler RH, Goodman DW, Hamdani M, Niebler GE. Short-term effects of lisdexamfetamine dimesylate on cardiovascular parameters in a 4-week clinical trial in adults with attention-deficit/ hyperactivity disorder. </w:t>
            </w:r>
          </w:p>
          <w:p w:rsidR="006E7062" w:rsidRPr="00DD31CC" w:rsidRDefault="006E7062" w:rsidP="006E7062">
            <w:pPr>
              <w:keepNext/>
              <w:keepLines/>
              <w:rPr>
                <w:rFonts w:ascii="Arial Narrow" w:hAnsi="Arial Narrow"/>
                <w:b/>
                <w:sz w:val="20"/>
                <w:szCs w:val="20"/>
              </w:rPr>
            </w:pPr>
          </w:p>
          <w:p w:rsidR="006E7062" w:rsidRPr="00DD31CC" w:rsidRDefault="006E7062" w:rsidP="00B07390">
            <w:pPr>
              <w:pStyle w:val="Default"/>
              <w:keepNext/>
              <w:keepLines/>
              <w:rPr>
                <w:rFonts w:ascii="Arial Narrow" w:hAnsi="Arial Narrow"/>
                <w:sz w:val="20"/>
                <w:szCs w:val="20"/>
              </w:rPr>
            </w:pPr>
            <w:r w:rsidRPr="00DD31CC">
              <w:rPr>
                <w:rFonts w:ascii="Arial Narrow" w:hAnsi="Arial Narrow"/>
                <w:sz w:val="20"/>
                <w:szCs w:val="20"/>
              </w:rPr>
              <w:t xml:space="preserve">Adler LA, Goodman D, Weisler R, Hamdani M, Roth T. Effect of lisdexamfetamine dimesylate on sleep in adults with attention-deficit/hyperactivity disorder. </w:t>
            </w:r>
          </w:p>
        </w:tc>
        <w:tc>
          <w:tcPr>
            <w:tcW w:w="1275" w:type="pct"/>
          </w:tcPr>
          <w:p w:rsidR="0076420C" w:rsidRPr="00DD31CC" w:rsidRDefault="006E7062" w:rsidP="006E7062">
            <w:pPr>
              <w:keepNext/>
              <w:keepLines/>
              <w:rPr>
                <w:rFonts w:ascii="Arial Narrow" w:hAnsi="Arial Narrow"/>
                <w:sz w:val="20"/>
                <w:szCs w:val="20"/>
              </w:rPr>
            </w:pPr>
            <w:r w:rsidRPr="00DD31CC">
              <w:rPr>
                <w:rFonts w:ascii="Arial Narrow" w:hAnsi="Arial Narrow"/>
                <w:sz w:val="20"/>
                <w:szCs w:val="20"/>
              </w:rPr>
              <w:t>Clinical study report</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B07390" w:rsidP="006E7062">
            <w:pPr>
              <w:keepNext/>
              <w:keepLines/>
              <w:rPr>
                <w:rFonts w:ascii="Arial Narrow" w:hAnsi="Arial Narrow"/>
                <w:sz w:val="20"/>
                <w:szCs w:val="20"/>
              </w:rPr>
            </w:pPr>
            <w:r w:rsidRPr="00DD31CC">
              <w:rPr>
                <w:rFonts w:ascii="Arial Narrow" w:hAnsi="Arial Narrow"/>
                <w:sz w:val="20"/>
                <w:szCs w:val="20"/>
              </w:rPr>
              <w:br/>
            </w:r>
            <w:r w:rsidRPr="00DD31CC">
              <w:rPr>
                <w:rFonts w:ascii="Arial Narrow" w:hAnsi="Arial Narrow"/>
                <w:i/>
                <w:sz w:val="20"/>
                <w:szCs w:val="20"/>
              </w:rPr>
              <w:t>Journal of Clinical Psychiatry.</w:t>
            </w:r>
            <w:r w:rsidRPr="00DD31CC">
              <w:rPr>
                <w:rFonts w:ascii="Arial Narrow" w:hAnsi="Arial Narrow"/>
                <w:sz w:val="20"/>
                <w:szCs w:val="20"/>
              </w:rPr>
              <w:t xml:space="preserve"> 2008;69(9):1364-73.</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B07390" w:rsidP="006E7062">
            <w:pPr>
              <w:keepNext/>
              <w:keepLines/>
              <w:rPr>
                <w:rFonts w:ascii="Arial Narrow" w:hAnsi="Arial Narrow"/>
                <w:sz w:val="20"/>
                <w:szCs w:val="20"/>
              </w:rPr>
            </w:pPr>
            <w:r w:rsidRPr="00DD31CC">
              <w:rPr>
                <w:rFonts w:ascii="Arial Narrow" w:hAnsi="Arial Narrow"/>
                <w:i/>
                <w:sz w:val="20"/>
                <w:szCs w:val="20"/>
              </w:rPr>
              <w:t>Journal of Clinical Psychiatry.</w:t>
            </w:r>
            <w:r w:rsidRPr="00DD31CC">
              <w:rPr>
                <w:rFonts w:ascii="Arial Narrow" w:hAnsi="Arial Narrow"/>
                <w:sz w:val="20"/>
                <w:szCs w:val="20"/>
              </w:rPr>
              <w:t xml:space="preserve"> 2009a;70(12):1652-61.</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B07390" w:rsidP="00B07390">
            <w:pPr>
              <w:keepNext/>
              <w:keepLines/>
              <w:rPr>
                <w:rFonts w:ascii="Arial Narrow" w:hAnsi="Arial Narrow"/>
                <w:sz w:val="20"/>
                <w:szCs w:val="20"/>
              </w:rPr>
            </w:pPr>
            <w:r w:rsidRPr="00DD31CC">
              <w:rPr>
                <w:rFonts w:ascii="Arial Narrow" w:hAnsi="Arial Narrow"/>
                <w:i/>
                <w:sz w:val="20"/>
                <w:szCs w:val="20"/>
              </w:rPr>
              <w:t>Behavioral and Brain Functions.</w:t>
            </w:r>
            <w:r w:rsidRPr="00DD31CC">
              <w:rPr>
                <w:rFonts w:ascii="Arial Narrow" w:hAnsi="Arial Narrow"/>
                <w:sz w:val="20"/>
                <w:szCs w:val="20"/>
              </w:rPr>
              <w:t xml:space="preserve"> 2009b;5</w:t>
            </w:r>
          </w:p>
        </w:tc>
      </w:tr>
      <w:tr w:rsidR="00807806" w:rsidRPr="00DD31CC" w:rsidTr="00807806">
        <w:trPr>
          <w:cantSplit/>
          <w:trHeight w:val="317"/>
        </w:trPr>
        <w:tc>
          <w:tcPr>
            <w:tcW w:w="5000" w:type="pct"/>
            <w:gridSpan w:val="3"/>
            <w:vAlign w:val="center"/>
          </w:tcPr>
          <w:p w:rsidR="00807806" w:rsidRPr="00DD31CC" w:rsidRDefault="00807806" w:rsidP="006E7062">
            <w:pPr>
              <w:keepNext/>
              <w:keepLines/>
              <w:rPr>
                <w:rFonts w:ascii="Arial Narrow" w:hAnsi="Arial Narrow"/>
                <w:sz w:val="20"/>
                <w:szCs w:val="20"/>
              </w:rPr>
            </w:pPr>
            <w:r w:rsidRPr="00DD31CC">
              <w:rPr>
                <w:rFonts w:ascii="Arial Narrow" w:hAnsi="Arial Narrow"/>
                <w:b/>
                <w:sz w:val="20"/>
                <w:szCs w:val="20"/>
              </w:rPr>
              <w:t>Supportive</w:t>
            </w:r>
          </w:p>
        </w:tc>
      </w:tr>
      <w:tr w:rsidR="0076420C" w:rsidRPr="00DD31CC" w:rsidTr="00807806">
        <w:trPr>
          <w:cantSplit/>
          <w:trHeight w:val="317"/>
        </w:trPr>
        <w:tc>
          <w:tcPr>
            <w:tcW w:w="747" w:type="pct"/>
          </w:tcPr>
          <w:p w:rsidR="006E7062" w:rsidRPr="00DD31CC" w:rsidRDefault="006E7062" w:rsidP="006E7062">
            <w:pPr>
              <w:pStyle w:val="Default"/>
              <w:jc w:val="both"/>
              <w:rPr>
                <w:rFonts w:ascii="Arial Narrow" w:hAnsi="Arial Narrow"/>
                <w:sz w:val="20"/>
                <w:szCs w:val="20"/>
              </w:rPr>
            </w:pPr>
            <w:r w:rsidRPr="00DD31CC">
              <w:rPr>
                <w:rFonts w:ascii="Arial Narrow" w:hAnsi="Arial Narrow"/>
                <w:sz w:val="20"/>
                <w:szCs w:val="20"/>
              </w:rPr>
              <w:t xml:space="preserve">SPD489-403 </w:t>
            </w:r>
          </w:p>
          <w:p w:rsidR="0076420C" w:rsidRPr="00DD31CC" w:rsidRDefault="0076420C" w:rsidP="006E7062">
            <w:pPr>
              <w:pStyle w:val="NoSpacing"/>
              <w:keepNext/>
              <w:keepLines/>
              <w:rPr>
                <w:rFonts w:ascii="Arial Narrow" w:hAnsi="Arial Narrow"/>
                <w:b/>
                <w:sz w:val="20"/>
                <w:szCs w:val="20"/>
              </w:rPr>
            </w:pPr>
          </w:p>
        </w:tc>
        <w:tc>
          <w:tcPr>
            <w:tcW w:w="2978" w:type="pct"/>
          </w:tcPr>
          <w:p w:rsidR="006E7062" w:rsidRPr="00DD31CC" w:rsidRDefault="006E7062" w:rsidP="006E7062">
            <w:pPr>
              <w:pStyle w:val="Default"/>
              <w:rPr>
                <w:rFonts w:ascii="Arial Narrow" w:hAnsi="Arial Narrow"/>
                <w:sz w:val="20"/>
                <w:szCs w:val="20"/>
              </w:rPr>
            </w:pPr>
            <w:r w:rsidRPr="00DD31CC">
              <w:rPr>
                <w:rFonts w:ascii="Arial Narrow" w:hAnsi="Arial Narrow"/>
                <w:sz w:val="20"/>
                <w:szCs w:val="20"/>
              </w:rPr>
              <w:t>A Phase 4, Randomized, Double-blind, Multi-center, Placebo controlled, Parallel-group Study Evaluating the Safety and Efficacy of SPD489 on Executive Function (Self-regulation) Behaviors in Adults with Attention-Deficit/Hyperactivity Disorder (ADHD) Reporting Clinically Significant Impairment of Real-wo</w:t>
            </w:r>
            <w:r w:rsidR="00B07390" w:rsidRPr="00DD31CC">
              <w:rPr>
                <w:rFonts w:ascii="Arial Narrow" w:hAnsi="Arial Narrow"/>
                <w:sz w:val="20"/>
                <w:szCs w:val="20"/>
              </w:rPr>
              <w:t>rld Executive Function Behavior.</w:t>
            </w:r>
          </w:p>
          <w:p w:rsidR="0076420C" w:rsidRPr="00DD31CC" w:rsidRDefault="0076420C" w:rsidP="006E7062">
            <w:pPr>
              <w:keepNext/>
              <w:keepLines/>
              <w:rPr>
                <w:rFonts w:ascii="Arial Narrow" w:hAnsi="Arial Narrow"/>
                <w:b/>
                <w:sz w:val="20"/>
                <w:szCs w:val="20"/>
              </w:rPr>
            </w:pPr>
          </w:p>
          <w:p w:rsidR="006E7062" w:rsidRPr="00DD31CC" w:rsidRDefault="006E7062" w:rsidP="006E7062">
            <w:pPr>
              <w:pStyle w:val="Default"/>
              <w:rPr>
                <w:rFonts w:ascii="Arial Narrow" w:hAnsi="Arial Narrow"/>
                <w:sz w:val="20"/>
                <w:szCs w:val="20"/>
              </w:rPr>
            </w:pPr>
            <w:r w:rsidRPr="00DD31CC">
              <w:rPr>
                <w:rFonts w:ascii="Arial Narrow" w:hAnsi="Arial Narrow"/>
                <w:sz w:val="20"/>
                <w:szCs w:val="20"/>
              </w:rPr>
              <w:t xml:space="preserve">Adler LA, Dirks B, Deas P, Raychaudhuri A, Dauphin M, Saylor K, et al. Self-Reported quality of life in adults with attention-deficit/hyperactivity disorder and executive function impairment treated with lisdexamfetamine dimesylate: a randomized, double-blind, multicenter, placebo-controlled, parallel-group study. </w:t>
            </w:r>
          </w:p>
          <w:p w:rsidR="006E7062" w:rsidRPr="00DD31CC" w:rsidRDefault="006E7062" w:rsidP="006E7062">
            <w:pPr>
              <w:keepNext/>
              <w:keepLines/>
              <w:rPr>
                <w:rFonts w:ascii="Arial Narrow" w:hAnsi="Arial Narrow"/>
                <w:b/>
                <w:sz w:val="20"/>
                <w:szCs w:val="20"/>
              </w:rPr>
            </w:pPr>
          </w:p>
          <w:p w:rsidR="006E7062" w:rsidRPr="00DD31CC" w:rsidRDefault="006E7062" w:rsidP="00B07390">
            <w:pPr>
              <w:pStyle w:val="Default"/>
              <w:rPr>
                <w:rFonts w:ascii="Arial Narrow" w:hAnsi="Arial Narrow"/>
                <w:sz w:val="20"/>
                <w:szCs w:val="20"/>
              </w:rPr>
            </w:pPr>
            <w:r w:rsidRPr="00DD31CC">
              <w:rPr>
                <w:rFonts w:ascii="Arial Narrow" w:hAnsi="Arial Narrow"/>
                <w:sz w:val="20"/>
                <w:szCs w:val="20"/>
              </w:rPr>
              <w:t xml:space="preserve">Adler LA, Dirks B, Deas PF, Raychaudhuri A, Dauphin MR, Lasser RA, et al. Lisdexamfetamine dimesylate in adults with attention-deficit/hyperactivity disorder who report clinically significant impairment in executive function: Results from a randomized, double-blind, placebo-controlled study. </w:t>
            </w:r>
          </w:p>
        </w:tc>
        <w:tc>
          <w:tcPr>
            <w:tcW w:w="1275" w:type="pct"/>
          </w:tcPr>
          <w:p w:rsidR="0076420C" w:rsidRPr="00DD31CC" w:rsidRDefault="006E7062" w:rsidP="006E7062">
            <w:pPr>
              <w:keepNext/>
              <w:keepLines/>
              <w:rPr>
                <w:rFonts w:ascii="Arial Narrow" w:hAnsi="Arial Narrow"/>
                <w:sz w:val="20"/>
                <w:szCs w:val="20"/>
              </w:rPr>
            </w:pPr>
            <w:r w:rsidRPr="00DD31CC">
              <w:rPr>
                <w:rFonts w:ascii="Arial Narrow" w:hAnsi="Arial Narrow"/>
                <w:sz w:val="20"/>
                <w:szCs w:val="20"/>
              </w:rPr>
              <w:t>Clinical study report</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B07390" w:rsidP="006E7062">
            <w:pPr>
              <w:keepNext/>
              <w:keepLines/>
              <w:rPr>
                <w:rFonts w:ascii="Arial Narrow" w:hAnsi="Arial Narrow"/>
                <w:sz w:val="20"/>
                <w:szCs w:val="20"/>
              </w:rPr>
            </w:pPr>
            <w:r w:rsidRPr="00DD31CC">
              <w:rPr>
                <w:rFonts w:ascii="Arial Narrow" w:hAnsi="Arial Narrow"/>
                <w:i/>
                <w:sz w:val="20"/>
                <w:szCs w:val="20"/>
              </w:rPr>
              <w:t>BMC psychiatry.</w:t>
            </w:r>
            <w:r w:rsidRPr="00DD31CC">
              <w:rPr>
                <w:rFonts w:ascii="Arial Narrow" w:hAnsi="Arial Narrow"/>
                <w:sz w:val="20"/>
                <w:szCs w:val="20"/>
              </w:rPr>
              <w:t xml:space="preserve"> 2013a;13:253</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B07390" w:rsidP="006E7062">
            <w:pPr>
              <w:keepNext/>
              <w:keepLines/>
              <w:rPr>
                <w:rFonts w:ascii="Arial Narrow" w:hAnsi="Arial Narrow"/>
                <w:sz w:val="20"/>
                <w:szCs w:val="20"/>
              </w:rPr>
            </w:pPr>
            <w:r w:rsidRPr="00DD31CC">
              <w:rPr>
                <w:rFonts w:ascii="Arial Narrow" w:hAnsi="Arial Narrow"/>
                <w:i/>
                <w:sz w:val="20"/>
                <w:szCs w:val="20"/>
              </w:rPr>
              <w:t>Journal of Clinical Psychiatry.</w:t>
            </w:r>
            <w:r w:rsidRPr="00DD31CC">
              <w:rPr>
                <w:rFonts w:ascii="Arial Narrow" w:hAnsi="Arial Narrow"/>
                <w:sz w:val="20"/>
                <w:szCs w:val="20"/>
              </w:rPr>
              <w:t xml:space="preserve"> 2013b;74(7):694-702</w:t>
            </w:r>
            <w:r w:rsidRPr="00DD31CC">
              <w:rPr>
                <w:rFonts w:ascii="Arial Narrow" w:hAnsi="Arial Narrow"/>
                <w:sz w:val="20"/>
                <w:szCs w:val="20"/>
              </w:rPr>
              <w:br/>
            </w:r>
          </w:p>
        </w:tc>
      </w:tr>
      <w:tr w:rsidR="006E7062" w:rsidRPr="00DD31CC" w:rsidTr="00807806">
        <w:trPr>
          <w:cantSplit/>
          <w:trHeight w:val="317"/>
        </w:trPr>
        <w:tc>
          <w:tcPr>
            <w:tcW w:w="747" w:type="pct"/>
          </w:tcPr>
          <w:p w:rsidR="006E7062" w:rsidRPr="00DD31CC" w:rsidRDefault="006E7062" w:rsidP="006E7062">
            <w:pPr>
              <w:pStyle w:val="Default"/>
              <w:jc w:val="both"/>
              <w:rPr>
                <w:rFonts w:ascii="Arial Narrow" w:hAnsi="Arial Narrow"/>
                <w:sz w:val="20"/>
                <w:szCs w:val="20"/>
              </w:rPr>
            </w:pPr>
            <w:r w:rsidRPr="00DD31CC">
              <w:rPr>
                <w:rFonts w:ascii="Arial Narrow" w:hAnsi="Arial Narrow"/>
                <w:sz w:val="20"/>
                <w:szCs w:val="20"/>
              </w:rPr>
              <w:t xml:space="preserve">SPD489-316 </w:t>
            </w:r>
          </w:p>
          <w:p w:rsidR="006E7062" w:rsidRPr="00DD31CC" w:rsidRDefault="006E7062" w:rsidP="006E7062">
            <w:pPr>
              <w:pStyle w:val="Default"/>
              <w:jc w:val="both"/>
              <w:rPr>
                <w:rFonts w:ascii="Arial Narrow" w:hAnsi="Arial Narrow"/>
                <w:sz w:val="20"/>
                <w:szCs w:val="20"/>
              </w:rPr>
            </w:pPr>
          </w:p>
        </w:tc>
        <w:tc>
          <w:tcPr>
            <w:tcW w:w="2978" w:type="pct"/>
          </w:tcPr>
          <w:p w:rsidR="006E7062" w:rsidRPr="00DD31CC" w:rsidRDefault="006E7062" w:rsidP="006E7062">
            <w:pPr>
              <w:pStyle w:val="Default"/>
              <w:rPr>
                <w:rFonts w:ascii="Arial Narrow" w:hAnsi="Arial Narrow"/>
                <w:sz w:val="20"/>
                <w:szCs w:val="20"/>
              </w:rPr>
            </w:pPr>
            <w:r w:rsidRPr="00DD31CC">
              <w:rPr>
                <w:rFonts w:ascii="Arial Narrow" w:hAnsi="Arial Narrow"/>
                <w:sz w:val="20"/>
                <w:szCs w:val="20"/>
              </w:rPr>
              <w:t>A Phase IIIb Randomized, Double-Blind, Multicenter, Placebo-controlled, Dose Optimization, Crossover, Safety and Efficacy Workplace Environment Study of Lisdexamfetamine Dimesylate (LDX) in Adults with Attention-Defici</w:t>
            </w:r>
            <w:r w:rsidR="0073332A" w:rsidRPr="00DD31CC">
              <w:rPr>
                <w:rFonts w:ascii="Arial Narrow" w:hAnsi="Arial Narrow"/>
                <w:sz w:val="20"/>
                <w:szCs w:val="20"/>
              </w:rPr>
              <w:t>t Hyperactivity Disorder (ADHD).</w:t>
            </w:r>
          </w:p>
          <w:p w:rsidR="006E7062" w:rsidRPr="00DD31CC" w:rsidRDefault="006E7062" w:rsidP="006E7062">
            <w:pPr>
              <w:pStyle w:val="Default"/>
              <w:rPr>
                <w:rFonts w:ascii="Arial Narrow" w:hAnsi="Arial Narrow"/>
                <w:sz w:val="20"/>
                <w:szCs w:val="20"/>
              </w:rPr>
            </w:pPr>
          </w:p>
          <w:p w:rsidR="006E7062" w:rsidRPr="00DD31CC" w:rsidRDefault="006E7062" w:rsidP="006E7062">
            <w:pPr>
              <w:pStyle w:val="Default"/>
              <w:rPr>
                <w:rFonts w:ascii="Arial Narrow" w:hAnsi="Arial Narrow"/>
                <w:sz w:val="20"/>
                <w:szCs w:val="20"/>
              </w:rPr>
            </w:pPr>
            <w:r w:rsidRPr="00DD31CC">
              <w:rPr>
                <w:rFonts w:ascii="Arial Narrow" w:hAnsi="Arial Narrow"/>
                <w:sz w:val="20"/>
                <w:szCs w:val="20"/>
              </w:rPr>
              <w:t xml:space="preserve">Wigal T, Brams M, Gasior M, Gao J, Squires L, Giblin J. Randomized, double-blind, placebo-controlled, crossover study of the efficacy and safety of lisdexamfetamine dimesylate in adults with attention-deficit/hyperactivity disorder: novel findings using a simulated adult workplace environment design. </w:t>
            </w:r>
          </w:p>
          <w:p w:rsidR="006E7062" w:rsidRPr="00DD31CC" w:rsidRDefault="006E7062" w:rsidP="006E7062">
            <w:pPr>
              <w:pStyle w:val="Default"/>
              <w:rPr>
                <w:rFonts w:ascii="Arial Narrow" w:hAnsi="Arial Narrow"/>
                <w:sz w:val="20"/>
                <w:szCs w:val="20"/>
              </w:rPr>
            </w:pPr>
          </w:p>
          <w:p w:rsidR="006E7062" w:rsidRPr="00DD31CC" w:rsidRDefault="006E7062" w:rsidP="006E7062">
            <w:pPr>
              <w:pStyle w:val="Default"/>
              <w:rPr>
                <w:rFonts w:ascii="Arial Narrow" w:hAnsi="Arial Narrow"/>
                <w:sz w:val="20"/>
                <w:szCs w:val="20"/>
              </w:rPr>
            </w:pPr>
            <w:r w:rsidRPr="00DD31CC">
              <w:rPr>
                <w:rFonts w:ascii="Arial Narrow" w:hAnsi="Arial Narrow"/>
                <w:sz w:val="20"/>
                <w:szCs w:val="20"/>
              </w:rPr>
              <w:t xml:space="preserve">Wigal T, Brams M, Gasior M, Gao J, Giblin J. Effect size of lisdexamfetamine dimesylate in adults with attention-deficit/hyperactivity disorder. </w:t>
            </w:r>
          </w:p>
          <w:p w:rsidR="006E7062" w:rsidRPr="00DD31CC" w:rsidRDefault="006E7062" w:rsidP="006E7062">
            <w:pPr>
              <w:pStyle w:val="Default"/>
              <w:rPr>
                <w:rFonts w:ascii="Arial Narrow" w:hAnsi="Arial Narrow"/>
                <w:sz w:val="20"/>
                <w:szCs w:val="20"/>
              </w:rPr>
            </w:pPr>
          </w:p>
          <w:p w:rsidR="006E7062" w:rsidRPr="00DD31CC" w:rsidRDefault="006E7062" w:rsidP="00B07390">
            <w:pPr>
              <w:pStyle w:val="Default"/>
              <w:rPr>
                <w:rFonts w:ascii="Arial Narrow" w:hAnsi="Arial Narrow"/>
                <w:sz w:val="20"/>
                <w:szCs w:val="20"/>
              </w:rPr>
            </w:pPr>
            <w:r w:rsidRPr="00DD31CC">
              <w:rPr>
                <w:rFonts w:ascii="Arial Narrow" w:hAnsi="Arial Narrow"/>
                <w:sz w:val="20"/>
                <w:szCs w:val="20"/>
              </w:rPr>
              <w:t xml:space="preserve">Wigal T, Gao J, Gasior M, Giblin J, Valliere S, Brams M. Efficacy and safety of lisdexamfetamine dimesylate in adults with attention-deficit/hyperactivity disorder in the simulated adult workplace environment. </w:t>
            </w:r>
          </w:p>
        </w:tc>
        <w:tc>
          <w:tcPr>
            <w:tcW w:w="1275" w:type="pct"/>
          </w:tcPr>
          <w:p w:rsidR="006E7062" w:rsidRPr="00DD31CC" w:rsidRDefault="006E7062" w:rsidP="006E7062">
            <w:pPr>
              <w:keepNext/>
              <w:keepLines/>
              <w:rPr>
                <w:rFonts w:ascii="Arial Narrow" w:hAnsi="Arial Narrow"/>
                <w:sz w:val="20"/>
                <w:szCs w:val="20"/>
              </w:rPr>
            </w:pPr>
            <w:r w:rsidRPr="00DD31CC">
              <w:rPr>
                <w:rFonts w:ascii="Arial Narrow" w:hAnsi="Arial Narrow"/>
                <w:sz w:val="20"/>
                <w:szCs w:val="20"/>
              </w:rPr>
              <w:t>Clinical study report</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B07390" w:rsidP="006E7062">
            <w:pPr>
              <w:keepNext/>
              <w:keepLines/>
              <w:rPr>
                <w:rFonts w:ascii="Arial Narrow" w:hAnsi="Arial Narrow"/>
                <w:sz w:val="20"/>
                <w:szCs w:val="20"/>
              </w:rPr>
            </w:pPr>
            <w:r w:rsidRPr="00DD31CC">
              <w:rPr>
                <w:rFonts w:ascii="Arial Narrow" w:hAnsi="Arial Narrow"/>
                <w:i/>
                <w:sz w:val="20"/>
                <w:szCs w:val="20"/>
              </w:rPr>
              <w:t>Behavioral and brain functions.</w:t>
            </w:r>
            <w:r w:rsidRPr="00DD31CC">
              <w:rPr>
                <w:rFonts w:ascii="Arial Narrow" w:hAnsi="Arial Narrow"/>
                <w:sz w:val="20"/>
                <w:szCs w:val="20"/>
              </w:rPr>
              <w:t xml:space="preserve"> 2010a;6:34</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B07390" w:rsidRPr="00DD31CC" w:rsidRDefault="00B07390" w:rsidP="00B07390">
            <w:pPr>
              <w:pStyle w:val="Default"/>
              <w:rPr>
                <w:rFonts w:ascii="Arial Narrow" w:hAnsi="Arial Narrow"/>
                <w:sz w:val="20"/>
                <w:szCs w:val="20"/>
              </w:rPr>
            </w:pPr>
            <w:r w:rsidRPr="00DD31CC">
              <w:rPr>
                <w:rFonts w:ascii="Arial Narrow" w:hAnsi="Arial Narrow"/>
                <w:i/>
                <w:sz w:val="20"/>
                <w:szCs w:val="20"/>
              </w:rPr>
              <w:t>Postgraduate Medicine</w:t>
            </w:r>
            <w:r w:rsidRPr="00DD31CC">
              <w:rPr>
                <w:rFonts w:ascii="Arial Narrow" w:hAnsi="Arial Narrow"/>
                <w:sz w:val="20"/>
                <w:szCs w:val="20"/>
              </w:rPr>
              <w:t xml:space="preserve">. 2011;123(2):169-75 </w:t>
            </w:r>
          </w:p>
          <w:p w:rsidR="006E7062" w:rsidRPr="00DD31CC" w:rsidRDefault="00B07390" w:rsidP="006E7062">
            <w:pPr>
              <w:keepNext/>
              <w:keepLines/>
              <w:rPr>
                <w:rFonts w:ascii="Arial Narrow" w:hAnsi="Arial Narrow"/>
                <w:sz w:val="20"/>
                <w:szCs w:val="20"/>
              </w:rPr>
            </w:pPr>
            <w:r w:rsidRPr="00DD31CC">
              <w:rPr>
                <w:rFonts w:ascii="Arial Narrow" w:hAnsi="Arial Narrow"/>
                <w:sz w:val="20"/>
                <w:szCs w:val="20"/>
              </w:rPr>
              <w:br/>
            </w:r>
          </w:p>
          <w:p w:rsidR="006E7062" w:rsidRPr="00DD31CC" w:rsidRDefault="00B07390" w:rsidP="006E7062">
            <w:pPr>
              <w:keepNext/>
              <w:keepLines/>
              <w:rPr>
                <w:rFonts w:ascii="Arial Narrow" w:hAnsi="Arial Narrow"/>
                <w:sz w:val="20"/>
                <w:szCs w:val="20"/>
              </w:rPr>
            </w:pPr>
            <w:r w:rsidRPr="00DD31CC">
              <w:rPr>
                <w:rFonts w:ascii="Arial Narrow" w:hAnsi="Arial Narrow"/>
                <w:i/>
                <w:sz w:val="20"/>
                <w:szCs w:val="20"/>
              </w:rPr>
              <w:t>Pharmacotherapy.</w:t>
            </w:r>
            <w:r w:rsidRPr="00DD31CC">
              <w:rPr>
                <w:rFonts w:ascii="Arial Narrow" w:hAnsi="Arial Narrow"/>
                <w:sz w:val="20"/>
                <w:szCs w:val="20"/>
              </w:rPr>
              <w:t xml:space="preserve"> 2010b;30(10):422e.</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tc>
      </w:tr>
      <w:tr w:rsidR="006E7062" w:rsidRPr="00DD31CC" w:rsidTr="00807806">
        <w:trPr>
          <w:cantSplit/>
          <w:trHeight w:val="317"/>
        </w:trPr>
        <w:tc>
          <w:tcPr>
            <w:tcW w:w="747" w:type="pct"/>
          </w:tcPr>
          <w:p w:rsidR="006E7062" w:rsidRPr="00DD31CC" w:rsidRDefault="006E7062" w:rsidP="006E7062">
            <w:pPr>
              <w:pStyle w:val="Default"/>
              <w:jc w:val="both"/>
              <w:rPr>
                <w:rFonts w:ascii="Arial Narrow" w:hAnsi="Arial Narrow"/>
                <w:sz w:val="20"/>
                <w:szCs w:val="20"/>
              </w:rPr>
            </w:pPr>
            <w:r w:rsidRPr="00DD31CC">
              <w:rPr>
                <w:rFonts w:ascii="Arial Narrow" w:hAnsi="Arial Narrow"/>
                <w:sz w:val="20"/>
                <w:szCs w:val="20"/>
              </w:rPr>
              <w:t xml:space="preserve">SPD489-401 </w:t>
            </w:r>
          </w:p>
          <w:p w:rsidR="006E7062" w:rsidRPr="00DD31CC" w:rsidRDefault="006E7062" w:rsidP="006E7062">
            <w:pPr>
              <w:pStyle w:val="Default"/>
              <w:jc w:val="both"/>
              <w:rPr>
                <w:rFonts w:ascii="Arial Narrow" w:hAnsi="Arial Narrow"/>
                <w:sz w:val="20"/>
                <w:szCs w:val="20"/>
              </w:rPr>
            </w:pPr>
          </w:p>
        </w:tc>
        <w:tc>
          <w:tcPr>
            <w:tcW w:w="2978" w:type="pct"/>
          </w:tcPr>
          <w:p w:rsidR="006E7062" w:rsidRPr="00DD31CC" w:rsidRDefault="006E7062" w:rsidP="006E7062">
            <w:pPr>
              <w:pStyle w:val="Default"/>
              <w:rPr>
                <w:rFonts w:ascii="Arial Narrow" w:hAnsi="Arial Narrow"/>
                <w:sz w:val="20"/>
                <w:szCs w:val="20"/>
              </w:rPr>
            </w:pPr>
            <w:r w:rsidRPr="00DD31CC">
              <w:rPr>
                <w:rFonts w:ascii="Arial Narrow" w:hAnsi="Arial Narrow"/>
                <w:sz w:val="20"/>
                <w:szCs w:val="20"/>
              </w:rPr>
              <w:t>Phase 4, Double-blind, Multi-center, Placebo-controlled, Randomized Withdrawal, Safety and Efficacy Study of SPD489 in Adults Aged 18-55 with Attention-Defici</w:t>
            </w:r>
            <w:r w:rsidR="0073332A" w:rsidRPr="00DD31CC">
              <w:rPr>
                <w:rFonts w:ascii="Arial Narrow" w:hAnsi="Arial Narrow"/>
                <w:sz w:val="20"/>
                <w:szCs w:val="20"/>
              </w:rPr>
              <w:t>t/Hyperactivity Disorder (ADHD).</w:t>
            </w:r>
          </w:p>
          <w:p w:rsidR="006E7062" w:rsidRPr="00DD31CC" w:rsidRDefault="006E7062" w:rsidP="006E7062">
            <w:pPr>
              <w:pStyle w:val="Default"/>
              <w:rPr>
                <w:rFonts w:ascii="Arial Narrow" w:hAnsi="Arial Narrow"/>
                <w:sz w:val="20"/>
                <w:szCs w:val="20"/>
              </w:rPr>
            </w:pPr>
          </w:p>
          <w:p w:rsidR="006E7062" w:rsidRPr="00DD31CC" w:rsidRDefault="006E7062" w:rsidP="0073332A">
            <w:pPr>
              <w:pStyle w:val="Default"/>
              <w:rPr>
                <w:rFonts w:ascii="Arial Narrow" w:hAnsi="Arial Narrow"/>
                <w:sz w:val="20"/>
                <w:szCs w:val="20"/>
              </w:rPr>
            </w:pPr>
            <w:r w:rsidRPr="00DD31CC">
              <w:rPr>
                <w:rFonts w:ascii="Arial Narrow" w:hAnsi="Arial Narrow"/>
                <w:sz w:val="20"/>
                <w:szCs w:val="20"/>
              </w:rPr>
              <w:t xml:space="preserve">Brams M, Weisler R, Findling RL, Gasior M, Hamdani M, Ferreira-Cornwell MC, et al. Maintenance of efficacy of lisdexamfetamine dimesylate in adults with attention-deficit/hyperactivity disorder: Randomized withdrawal design. </w:t>
            </w:r>
          </w:p>
        </w:tc>
        <w:tc>
          <w:tcPr>
            <w:tcW w:w="1275" w:type="pct"/>
          </w:tcPr>
          <w:p w:rsidR="006E7062" w:rsidRPr="00DD31CC" w:rsidRDefault="006E7062" w:rsidP="006E7062">
            <w:pPr>
              <w:keepNext/>
              <w:keepLines/>
              <w:rPr>
                <w:rFonts w:ascii="Arial Narrow" w:hAnsi="Arial Narrow"/>
                <w:sz w:val="20"/>
                <w:szCs w:val="20"/>
              </w:rPr>
            </w:pPr>
            <w:r w:rsidRPr="00DD31CC">
              <w:rPr>
                <w:rFonts w:ascii="Arial Narrow" w:hAnsi="Arial Narrow"/>
                <w:sz w:val="20"/>
                <w:szCs w:val="20"/>
              </w:rPr>
              <w:t>Clinical study report</w:t>
            </w: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6E7062" w:rsidP="006E7062">
            <w:pPr>
              <w:keepNext/>
              <w:keepLines/>
              <w:rPr>
                <w:rFonts w:ascii="Arial Narrow" w:hAnsi="Arial Narrow"/>
                <w:sz w:val="20"/>
                <w:szCs w:val="20"/>
              </w:rPr>
            </w:pPr>
          </w:p>
          <w:p w:rsidR="006E7062" w:rsidRPr="00DD31CC" w:rsidRDefault="0073332A" w:rsidP="006E7062">
            <w:pPr>
              <w:keepNext/>
              <w:keepLines/>
              <w:rPr>
                <w:rFonts w:ascii="Arial Narrow" w:hAnsi="Arial Narrow"/>
                <w:sz w:val="20"/>
                <w:szCs w:val="20"/>
              </w:rPr>
            </w:pPr>
            <w:r w:rsidRPr="00DD31CC">
              <w:rPr>
                <w:rFonts w:ascii="Arial Narrow" w:hAnsi="Arial Narrow"/>
                <w:i/>
                <w:sz w:val="20"/>
                <w:szCs w:val="20"/>
              </w:rPr>
              <w:t>Journal of Clinical Psychiatry.</w:t>
            </w:r>
            <w:r w:rsidRPr="00DD31CC">
              <w:rPr>
                <w:rFonts w:ascii="Arial Narrow" w:hAnsi="Arial Narrow"/>
                <w:sz w:val="20"/>
                <w:szCs w:val="20"/>
              </w:rPr>
              <w:t xml:space="preserve"> 2012;73(7):977-83.</w:t>
            </w:r>
          </w:p>
        </w:tc>
      </w:tr>
      <w:tr w:rsidR="006E7062" w:rsidRPr="00DD31CC" w:rsidTr="00807806">
        <w:trPr>
          <w:cantSplit/>
          <w:trHeight w:val="317"/>
        </w:trPr>
        <w:tc>
          <w:tcPr>
            <w:tcW w:w="747" w:type="pct"/>
          </w:tcPr>
          <w:p w:rsidR="00B07390" w:rsidRPr="00DD31CC" w:rsidRDefault="00B07390" w:rsidP="00B07390">
            <w:pPr>
              <w:pStyle w:val="Default"/>
              <w:jc w:val="both"/>
              <w:rPr>
                <w:rFonts w:ascii="Arial Narrow" w:hAnsi="Arial Narrow"/>
                <w:sz w:val="20"/>
                <w:szCs w:val="20"/>
              </w:rPr>
            </w:pPr>
            <w:r w:rsidRPr="00DD31CC">
              <w:rPr>
                <w:rFonts w:ascii="Arial Narrow" w:hAnsi="Arial Narrow"/>
                <w:sz w:val="20"/>
                <w:szCs w:val="20"/>
              </w:rPr>
              <w:t xml:space="preserve">Biederman 2012 </w:t>
            </w:r>
          </w:p>
          <w:p w:rsidR="006E7062" w:rsidRPr="00DD31CC" w:rsidRDefault="006E7062" w:rsidP="006E7062">
            <w:pPr>
              <w:pStyle w:val="Default"/>
              <w:jc w:val="both"/>
              <w:rPr>
                <w:rFonts w:ascii="Arial Narrow" w:hAnsi="Arial Narrow"/>
                <w:sz w:val="20"/>
                <w:szCs w:val="20"/>
              </w:rPr>
            </w:pPr>
          </w:p>
        </w:tc>
        <w:tc>
          <w:tcPr>
            <w:tcW w:w="2978" w:type="pct"/>
          </w:tcPr>
          <w:p w:rsidR="00B07390" w:rsidRPr="00DD31CC" w:rsidRDefault="00B07390" w:rsidP="00B07390">
            <w:pPr>
              <w:pStyle w:val="Default"/>
              <w:rPr>
                <w:rFonts w:ascii="Arial Narrow" w:hAnsi="Arial Narrow"/>
                <w:sz w:val="20"/>
                <w:szCs w:val="20"/>
              </w:rPr>
            </w:pPr>
            <w:r w:rsidRPr="00DD31CC">
              <w:rPr>
                <w:rFonts w:ascii="Arial Narrow" w:hAnsi="Arial Narrow"/>
                <w:sz w:val="20"/>
                <w:szCs w:val="20"/>
              </w:rPr>
              <w:t xml:space="preserve">Biederman J, Fried R, Hammerness P, Surman C, Mehler B, Petty CR, et al. The effects of lisdexamfetamine dimesylate on the driving performance of young adults with ADHD: A randomized, double-blind, placebo-controlled study using a validated driving simulator paradigm. </w:t>
            </w:r>
          </w:p>
          <w:p w:rsidR="006E7062" w:rsidRPr="00DD31CC" w:rsidRDefault="006E7062" w:rsidP="006E7062">
            <w:pPr>
              <w:pStyle w:val="Default"/>
              <w:rPr>
                <w:rFonts w:ascii="Arial Narrow" w:hAnsi="Arial Narrow"/>
                <w:sz w:val="20"/>
                <w:szCs w:val="20"/>
              </w:rPr>
            </w:pPr>
          </w:p>
          <w:p w:rsidR="00B07390" w:rsidRPr="00DD31CC" w:rsidRDefault="00B07390" w:rsidP="0073332A">
            <w:pPr>
              <w:pStyle w:val="Default"/>
              <w:rPr>
                <w:rFonts w:ascii="Arial Narrow" w:hAnsi="Arial Narrow"/>
                <w:sz w:val="20"/>
                <w:szCs w:val="20"/>
              </w:rPr>
            </w:pPr>
            <w:r w:rsidRPr="00DD31CC">
              <w:rPr>
                <w:rFonts w:ascii="Arial Narrow" w:hAnsi="Arial Narrow"/>
                <w:sz w:val="20"/>
                <w:szCs w:val="20"/>
              </w:rPr>
              <w:t xml:space="preserve">Biederman J, Fried R. The effects of lisdexamfetamine dimesylate on the driving performance of young adults with ADHD. </w:t>
            </w:r>
          </w:p>
        </w:tc>
        <w:tc>
          <w:tcPr>
            <w:tcW w:w="1275" w:type="pct"/>
          </w:tcPr>
          <w:p w:rsidR="0073332A" w:rsidRPr="00DD31CC" w:rsidRDefault="0073332A" w:rsidP="0073332A">
            <w:pPr>
              <w:pStyle w:val="Default"/>
              <w:rPr>
                <w:rFonts w:ascii="Arial Narrow" w:hAnsi="Arial Narrow"/>
                <w:sz w:val="20"/>
                <w:szCs w:val="20"/>
              </w:rPr>
            </w:pPr>
            <w:r w:rsidRPr="00DD31CC">
              <w:rPr>
                <w:rFonts w:ascii="Arial Narrow" w:hAnsi="Arial Narrow"/>
                <w:i/>
                <w:sz w:val="20"/>
                <w:szCs w:val="20"/>
              </w:rPr>
              <w:t>Journal of Psychiatric Research.</w:t>
            </w:r>
            <w:r w:rsidRPr="00DD31CC">
              <w:rPr>
                <w:rFonts w:ascii="Arial Narrow" w:hAnsi="Arial Narrow"/>
                <w:sz w:val="20"/>
                <w:szCs w:val="20"/>
              </w:rPr>
              <w:t xml:space="preserve"> 2012a;46(4):484-91.</w:t>
            </w:r>
          </w:p>
          <w:p w:rsidR="00B07390" w:rsidRPr="00DD31CC" w:rsidRDefault="00B07390" w:rsidP="006E7062">
            <w:pPr>
              <w:keepNext/>
              <w:keepLines/>
              <w:rPr>
                <w:rFonts w:ascii="Arial Narrow" w:hAnsi="Arial Narrow"/>
                <w:sz w:val="20"/>
                <w:szCs w:val="20"/>
              </w:rPr>
            </w:pPr>
          </w:p>
          <w:p w:rsidR="00B07390" w:rsidRPr="00DD31CC" w:rsidRDefault="00B07390" w:rsidP="006E7062">
            <w:pPr>
              <w:keepNext/>
              <w:keepLines/>
              <w:rPr>
                <w:rFonts w:ascii="Arial Narrow" w:hAnsi="Arial Narrow"/>
                <w:sz w:val="20"/>
                <w:szCs w:val="20"/>
              </w:rPr>
            </w:pPr>
          </w:p>
          <w:p w:rsidR="0073332A" w:rsidRPr="00DD31CC" w:rsidRDefault="0073332A" w:rsidP="006E7062">
            <w:pPr>
              <w:keepNext/>
              <w:keepLines/>
              <w:rPr>
                <w:rFonts w:ascii="Arial Narrow" w:hAnsi="Arial Narrow"/>
                <w:sz w:val="20"/>
                <w:szCs w:val="20"/>
              </w:rPr>
            </w:pPr>
          </w:p>
          <w:p w:rsidR="00B07390" w:rsidRPr="00DD31CC" w:rsidRDefault="0073332A" w:rsidP="006E7062">
            <w:pPr>
              <w:keepNext/>
              <w:keepLines/>
              <w:rPr>
                <w:rFonts w:ascii="Arial Narrow" w:hAnsi="Arial Narrow"/>
                <w:sz w:val="20"/>
                <w:szCs w:val="20"/>
              </w:rPr>
            </w:pPr>
            <w:r w:rsidRPr="00DD31CC">
              <w:rPr>
                <w:rFonts w:ascii="Arial Narrow" w:hAnsi="Arial Narrow"/>
                <w:i/>
                <w:sz w:val="20"/>
                <w:szCs w:val="20"/>
              </w:rPr>
              <w:t>European Neuropsychopharmacology.</w:t>
            </w:r>
            <w:r w:rsidRPr="00DD31CC">
              <w:rPr>
                <w:rFonts w:ascii="Arial Narrow" w:hAnsi="Arial Narrow"/>
                <w:sz w:val="20"/>
                <w:szCs w:val="20"/>
              </w:rPr>
              <w:t xml:space="preserve"> 2012b;22:S436.</w:t>
            </w:r>
          </w:p>
        </w:tc>
      </w:tr>
      <w:tr w:rsidR="00B07390" w:rsidRPr="00DD31CC" w:rsidTr="00807806">
        <w:trPr>
          <w:cantSplit/>
          <w:trHeight w:val="317"/>
        </w:trPr>
        <w:tc>
          <w:tcPr>
            <w:tcW w:w="747" w:type="pct"/>
          </w:tcPr>
          <w:p w:rsidR="00B07390" w:rsidRPr="00DD31CC" w:rsidRDefault="00B07390" w:rsidP="00B07390">
            <w:pPr>
              <w:pStyle w:val="Default"/>
              <w:jc w:val="both"/>
              <w:rPr>
                <w:rFonts w:ascii="Arial Narrow" w:hAnsi="Arial Narrow"/>
                <w:sz w:val="20"/>
                <w:szCs w:val="20"/>
              </w:rPr>
            </w:pPr>
            <w:r w:rsidRPr="00DD31CC">
              <w:rPr>
                <w:rFonts w:ascii="Arial Narrow" w:hAnsi="Arial Narrow"/>
                <w:sz w:val="20"/>
                <w:szCs w:val="20"/>
              </w:rPr>
              <w:t xml:space="preserve">DuPaul </w:t>
            </w:r>
          </w:p>
          <w:p w:rsidR="00B07390" w:rsidRPr="00DD31CC" w:rsidRDefault="00B07390" w:rsidP="00B07390">
            <w:pPr>
              <w:pStyle w:val="Default"/>
              <w:jc w:val="both"/>
              <w:rPr>
                <w:rFonts w:ascii="Arial Narrow" w:hAnsi="Arial Narrow"/>
                <w:sz w:val="20"/>
                <w:szCs w:val="20"/>
              </w:rPr>
            </w:pPr>
            <w:r w:rsidRPr="00DD31CC">
              <w:rPr>
                <w:rFonts w:ascii="Arial Narrow" w:hAnsi="Arial Narrow"/>
                <w:sz w:val="20"/>
                <w:szCs w:val="20"/>
              </w:rPr>
              <w:t xml:space="preserve">2012 </w:t>
            </w:r>
          </w:p>
        </w:tc>
        <w:tc>
          <w:tcPr>
            <w:tcW w:w="2978" w:type="pct"/>
          </w:tcPr>
          <w:p w:rsidR="00B07390" w:rsidRPr="00DD31CC" w:rsidRDefault="00B07390" w:rsidP="00B07390">
            <w:pPr>
              <w:pStyle w:val="Default"/>
              <w:rPr>
                <w:rFonts w:ascii="Arial Narrow" w:hAnsi="Arial Narrow"/>
                <w:sz w:val="20"/>
                <w:szCs w:val="20"/>
              </w:rPr>
            </w:pPr>
            <w:r w:rsidRPr="00DD31CC">
              <w:rPr>
                <w:rFonts w:ascii="Arial Narrow" w:hAnsi="Arial Narrow"/>
                <w:sz w:val="20"/>
                <w:szCs w:val="20"/>
              </w:rPr>
              <w:t xml:space="preserve">DuPaul GJ, Weyandt LL, Rossi JS, Vilardo BA, O'Dell SM, Carson KM, et al. Double-blind, placebo-controlled, crossover study of the efficacy and safety of lisdexamfetamine dimesylate in college students with ADHD. </w:t>
            </w:r>
          </w:p>
        </w:tc>
        <w:tc>
          <w:tcPr>
            <w:tcW w:w="1275" w:type="pct"/>
          </w:tcPr>
          <w:p w:rsidR="00B07390" w:rsidRPr="00DD31CC" w:rsidRDefault="0073332A" w:rsidP="006E7062">
            <w:pPr>
              <w:keepNext/>
              <w:keepLines/>
              <w:rPr>
                <w:rFonts w:ascii="Arial Narrow" w:hAnsi="Arial Narrow"/>
                <w:sz w:val="20"/>
                <w:szCs w:val="20"/>
              </w:rPr>
            </w:pPr>
            <w:r w:rsidRPr="00DD31CC">
              <w:rPr>
                <w:rFonts w:ascii="Arial Narrow" w:hAnsi="Arial Narrow"/>
                <w:i/>
                <w:sz w:val="20"/>
                <w:szCs w:val="20"/>
              </w:rPr>
              <w:t>Journal of Attention Disorders.</w:t>
            </w:r>
            <w:r w:rsidRPr="00DD31CC">
              <w:rPr>
                <w:rFonts w:ascii="Arial Narrow" w:hAnsi="Arial Narrow"/>
                <w:sz w:val="20"/>
                <w:szCs w:val="20"/>
              </w:rPr>
              <w:t xml:space="preserve"> 2012;16(3):202-20.</w:t>
            </w:r>
          </w:p>
        </w:tc>
      </w:tr>
      <w:tr w:rsidR="00B07390" w:rsidRPr="00DD31CC" w:rsidTr="00807806">
        <w:trPr>
          <w:cantSplit/>
          <w:trHeight w:val="317"/>
        </w:trPr>
        <w:tc>
          <w:tcPr>
            <w:tcW w:w="747" w:type="pct"/>
          </w:tcPr>
          <w:p w:rsidR="00B07390" w:rsidRPr="00DD31CC" w:rsidRDefault="00B07390" w:rsidP="00B07390">
            <w:pPr>
              <w:pStyle w:val="Default"/>
              <w:jc w:val="both"/>
              <w:rPr>
                <w:rFonts w:ascii="Arial Narrow" w:hAnsi="Arial Narrow"/>
                <w:sz w:val="20"/>
                <w:szCs w:val="20"/>
              </w:rPr>
            </w:pPr>
            <w:r w:rsidRPr="00DD31CC">
              <w:rPr>
                <w:rFonts w:ascii="Arial Narrow" w:hAnsi="Arial Narrow"/>
                <w:sz w:val="20"/>
                <w:szCs w:val="20"/>
              </w:rPr>
              <w:t xml:space="preserve">Martin 2014 </w:t>
            </w:r>
          </w:p>
          <w:p w:rsidR="00B07390" w:rsidRPr="00DD31CC" w:rsidRDefault="00B07390" w:rsidP="00B07390">
            <w:pPr>
              <w:pStyle w:val="Default"/>
              <w:jc w:val="both"/>
              <w:rPr>
                <w:rFonts w:ascii="Arial Narrow" w:hAnsi="Arial Narrow"/>
                <w:sz w:val="20"/>
                <w:szCs w:val="20"/>
              </w:rPr>
            </w:pPr>
          </w:p>
        </w:tc>
        <w:tc>
          <w:tcPr>
            <w:tcW w:w="2978" w:type="pct"/>
          </w:tcPr>
          <w:p w:rsidR="00B07390" w:rsidRPr="00DD31CC" w:rsidRDefault="00B07390" w:rsidP="00B07390">
            <w:pPr>
              <w:pStyle w:val="Default"/>
              <w:rPr>
                <w:rFonts w:ascii="Arial Narrow" w:hAnsi="Arial Narrow"/>
                <w:sz w:val="20"/>
                <w:szCs w:val="20"/>
              </w:rPr>
            </w:pPr>
            <w:r w:rsidRPr="00DD31CC">
              <w:rPr>
                <w:rFonts w:ascii="Arial Narrow" w:hAnsi="Arial Narrow"/>
                <w:sz w:val="20"/>
                <w:szCs w:val="20"/>
              </w:rPr>
              <w:t xml:space="preserve">Martin PT, Corcoran M, Zhang P, Katic A. Randomized, double-blind, placebo-controlled, crossover study of the effects of lisdexamfetamine dimesylate and mixed amphetamine salts on cognition throughout the day in adults with attention-deficit/hyperactivity disorder. </w:t>
            </w:r>
          </w:p>
        </w:tc>
        <w:tc>
          <w:tcPr>
            <w:tcW w:w="1275" w:type="pct"/>
          </w:tcPr>
          <w:p w:rsidR="00B07390" w:rsidRPr="00DD31CC" w:rsidRDefault="0073332A" w:rsidP="006E7062">
            <w:pPr>
              <w:keepNext/>
              <w:keepLines/>
              <w:rPr>
                <w:rFonts w:ascii="Arial Narrow" w:hAnsi="Arial Narrow"/>
                <w:sz w:val="20"/>
                <w:szCs w:val="20"/>
              </w:rPr>
            </w:pPr>
            <w:r w:rsidRPr="00DD31CC">
              <w:rPr>
                <w:rFonts w:ascii="Arial Narrow" w:hAnsi="Arial Narrow"/>
                <w:i/>
                <w:sz w:val="20"/>
                <w:szCs w:val="20"/>
              </w:rPr>
              <w:t>Clinical Drug Investigation.</w:t>
            </w:r>
            <w:r w:rsidRPr="00DD31CC">
              <w:rPr>
                <w:rFonts w:ascii="Arial Narrow" w:hAnsi="Arial Narrow"/>
                <w:sz w:val="20"/>
                <w:szCs w:val="20"/>
              </w:rPr>
              <w:t xml:space="preserve"> 2014;34(2):147-57.</w:t>
            </w:r>
          </w:p>
        </w:tc>
      </w:tr>
      <w:tr w:rsidR="00B07390" w:rsidRPr="00DD31CC" w:rsidTr="00807806">
        <w:trPr>
          <w:cantSplit/>
          <w:trHeight w:val="317"/>
        </w:trPr>
        <w:tc>
          <w:tcPr>
            <w:tcW w:w="747" w:type="pct"/>
          </w:tcPr>
          <w:p w:rsidR="00B07390" w:rsidRPr="00DD31CC" w:rsidRDefault="00B07390" w:rsidP="00B07390">
            <w:pPr>
              <w:pStyle w:val="Default"/>
              <w:jc w:val="both"/>
              <w:rPr>
                <w:rFonts w:ascii="Arial Narrow" w:hAnsi="Arial Narrow"/>
                <w:sz w:val="20"/>
                <w:szCs w:val="20"/>
              </w:rPr>
            </w:pPr>
            <w:r w:rsidRPr="00DD31CC">
              <w:rPr>
                <w:rFonts w:ascii="Arial Narrow" w:hAnsi="Arial Narrow"/>
                <w:sz w:val="20"/>
                <w:szCs w:val="20"/>
              </w:rPr>
              <w:t xml:space="preserve">Waxmonsky 2014 </w:t>
            </w:r>
          </w:p>
          <w:p w:rsidR="00B07390" w:rsidRPr="00DD31CC" w:rsidRDefault="00B07390" w:rsidP="00B07390">
            <w:pPr>
              <w:pStyle w:val="Default"/>
              <w:jc w:val="both"/>
              <w:rPr>
                <w:rFonts w:ascii="Arial Narrow" w:hAnsi="Arial Narrow"/>
                <w:sz w:val="20"/>
                <w:szCs w:val="20"/>
              </w:rPr>
            </w:pPr>
          </w:p>
        </w:tc>
        <w:tc>
          <w:tcPr>
            <w:tcW w:w="2978" w:type="pct"/>
          </w:tcPr>
          <w:p w:rsidR="00B07390" w:rsidRPr="00DD31CC" w:rsidRDefault="00B07390" w:rsidP="00B07390">
            <w:pPr>
              <w:pStyle w:val="Default"/>
              <w:rPr>
                <w:rFonts w:ascii="Arial Narrow" w:hAnsi="Arial Narrow"/>
                <w:sz w:val="20"/>
                <w:szCs w:val="20"/>
              </w:rPr>
            </w:pPr>
            <w:r w:rsidRPr="00DD31CC">
              <w:rPr>
                <w:rFonts w:ascii="Arial Narrow" w:hAnsi="Arial Narrow"/>
                <w:sz w:val="20"/>
                <w:szCs w:val="20"/>
              </w:rPr>
              <w:t xml:space="preserve">Waxmonsky JG, Waschbusch DA, Babinski DE, Humphrey HH, Alfonso A, Crum KI, et al. Does pharmacological treatment of ADHD in adults enhance parenting performance? Results of a double-blind randomized trial. </w:t>
            </w:r>
          </w:p>
          <w:p w:rsidR="00B07390" w:rsidRPr="00DD31CC" w:rsidRDefault="00B07390" w:rsidP="00B07390">
            <w:pPr>
              <w:pStyle w:val="Default"/>
              <w:rPr>
                <w:rFonts w:ascii="Arial Narrow" w:hAnsi="Arial Narrow"/>
                <w:sz w:val="20"/>
                <w:szCs w:val="20"/>
              </w:rPr>
            </w:pPr>
          </w:p>
          <w:p w:rsidR="00B07390" w:rsidRPr="00DD31CC" w:rsidRDefault="00B07390" w:rsidP="0073332A">
            <w:pPr>
              <w:pStyle w:val="Default"/>
              <w:rPr>
                <w:rFonts w:ascii="Arial Narrow" w:hAnsi="Arial Narrow"/>
                <w:sz w:val="20"/>
                <w:szCs w:val="20"/>
              </w:rPr>
            </w:pPr>
            <w:r w:rsidRPr="00DD31CC">
              <w:rPr>
                <w:rFonts w:ascii="Arial Narrow" w:hAnsi="Arial Narrow"/>
                <w:sz w:val="20"/>
                <w:szCs w:val="20"/>
              </w:rPr>
              <w:t xml:space="preserve">Babinski DE, Waxmonsky JG, Waschbusch DA, Humphery H, Pelham WE. Parent-reported improvements in family functioning in a randomized controlled trial of lisdexamfetamine for treatment of parental attention-deficit/hyperactivity disorder. </w:t>
            </w:r>
          </w:p>
        </w:tc>
        <w:tc>
          <w:tcPr>
            <w:tcW w:w="1275" w:type="pct"/>
          </w:tcPr>
          <w:p w:rsidR="00B07390" w:rsidRPr="00DD31CC" w:rsidRDefault="0073332A" w:rsidP="006E7062">
            <w:pPr>
              <w:keepNext/>
              <w:keepLines/>
              <w:rPr>
                <w:rFonts w:ascii="Arial Narrow" w:hAnsi="Arial Narrow"/>
                <w:sz w:val="20"/>
                <w:szCs w:val="20"/>
              </w:rPr>
            </w:pPr>
            <w:r w:rsidRPr="00DD31CC">
              <w:rPr>
                <w:rFonts w:ascii="Arial Narrow" w:hAnsi="Arial Narrow"/>
                <w:i/>
                <w:sz w:val="20"/>
                <w:szCs w:val="20"/>
              </w:rPr>
              <w:t>CNS Drugs.</w:t>
            </w:r>
            <w:r w:rsidRPr="00DD31CC">
              <w:rPr>
                <w:rFonts w:ascii="Arial Narrow" w:hAnsi="Arial Narrow"/>
                <w:sz w:val="20"/>
                <w:szCs w:val="20"/>
              </w:rPr>
              <w:t xml:space="preserve"> 2014;28(7):665-77.</w:t>
            </w:r>
          </w:p>
          <w:p w:rsidR="00B07390" w:rsidRPr="00DD31CC" w:rsidRDefault="00B07390" w:rsidP="006E7062">
            <w:pPr>
              <w:keepNext/>
              <w:keepLines/>
              <w:rPr>
                <w:rFonts w:ascii="Arial Narrow" w:hAnsi="Arial Narrow"/>
                <w:sz w:val="20"/>
                <w:szCs w:val="20"/>
              </w:rPr>
            </w:pPr>
          </w:p>
          <w:p w:rsidR="00B07390" w:rsidRPr="00DD31CC" w:rsidRDefault="00B07390" w:rsidP="006E7062">
            <w:pPr>
              <w:keepNext/>
              <w:keepLines/>
              <w:rPr>
                <w:rFonts w:ascii="Arial Narrow" w:hAnsi="Arial Narrow"/>
                <w:sz w:val="20"/>
                <w:szCs w:val="20"/>
              </w:rPr>
            </w:pPr>
          </w:p>
          <w:p w:rsidR="00B07390" w:rsidRPr="00DD31CC" w:rsidRDefault="00B07390" w:rsidP="006E7062">
            <w:pPr>
              <w:keepNext/>
              <w:keepLines/>
              <w:rPr>
                <w:rFonts w:ascii="Arial Narrow" w:hAnsi="Arial Narrow"/>
                <w:sz w:val="20"/>
                <w:szCs w:val="20"/>
              </w:rPr>
            </w:pPr>
            <w:r w:rsidRPr="00DD31CC">
              <w:rPr>
                <w:rFonts w:ascii="Arial Narrow" w:hAnsi="Arial Narrow"/>
                <w:sz w:val="20"/>
                <w:szCs w:val="20"/>
              </w:rPr>
              <w:br/>
            </w:r>
            <w:r w:rsidR="0073332A" w:rsidRPr="00DD31CC">
              <w:rPr>
                <w:rFonts w:ascii="Arial Narrow" w:hAnsi="Arial Narrow"/>
                <w:i/>
                <w:sz w:val="20"/>
                <w:szCs w:val="20"/>
              </w:rPr>
              <w:t>Journal of Child and Adolescent Psychopharmacology.</w:t>
            </w:r>
            <w:r w:rsidR="0073332A" w:rsidRPr="00DD31CC">
              <w:rPr>
                <w:rFonts w:ascii="Arial Narrow" w:hAnsi="Arial Narrow"/>
                <w:sz w:val="20"/>
                <w:szCs w:val="20"/>
              </w:rPr>
              <w:t xml:space="preserve"> 2017;27(3):250-7.</w:t>
            </w:r>
          </w:p>
        </w:tc>
      </w:tr>
    </w:tbl>
    <w:p w:rsidR="00D84934" w:rsidRPr="00DD31CC" w:rsidRDefault="0076420C" w:rsidP="000214D1">
      <w:pPr>
        <w:pStyle w:val="tablenotes"/>
        <w:spacing w:after="120"/>
        <w:rPr>
          <w:rFonts w:ascii="Arial Narrow" w:hAnsi="Arial Narrow"/>
          <w:sz w:val="18"/>
          <w:szCs w:val="18"/>
        </w:rPr>
      </w:pPr>
      <w:r w:rsidRPr="00DD31CC">
        <w:rPr>
          <w:rFonts w:ascii="Arial Narrow" w:hAnsi="Arial Narrow"/>
          <w:sz w:val="18"/>
          <w:szCs w:val="18"/>
        </w:rPr>
        <w:t xml:space="preserve"> </w:t>
      </w:r>
      <w:r w:rsidR="00762EFB" w:rsidRPr="00DD31CC">
        <w:rPr>
          <w:rFonts w:ascii="Arial Narrow" w:hAnsi="Arial Narrow"/>
          <w:sz w:val="18"/>
          <w:szCs w:val="18"/>
        </w:rPr>
        <w:t>Source: Table 4, Appendix A, of the minor submission</w:t>
      </w:r>
    </w:p>
    <w:p w:rsidR="005A3173" w:rsidRDefault="007F0021" w:rsidP="00944D8D">
      <w:pPr>
        <w:pStyle w:val="Heading2"/>
        <w:keepLines/>
        <w:spacing w:before="24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 xml:space="preserve">Comparative </w:t>
      </w:r>
      <w:r w:rsidR="005A3173" w:rsidRPr="00DD31CC">
        <w:rPr>
          <w:rFonts w:asciiTheme="minorHAnsi" w:eastAsiaTheme="majorEastAsia" w:hAnsiTheme="minorHAnsi" w:cstheme="majorBidi"/>
          <w:sz w:val="28"/>
          <w:szCs w:val="28"/>
          <w:lang w:eastAsia="en-US"/>
        </w:rPr>
        <w:t>effectiveness</w:t>
      </w:r>
    </w:p>
    <w:p w:rsidR="00B45D8F" w:rsidRPr="00B45D8F" w:rsidRDefault="00B45D8F" w:rsidP="00B45D8F">
      <w:pPr>
        <w:rPr>
          <w:rFonts w:eastAsiaTheme="majorEastAsia"/>
          <w:lang w:eastAsia="en-US"/>
        </w:rPr>
      </w:pPr>
    </w:p>
    <w:p w:rsidR="00CB339D" w:rsidRPr="00DD31CC" w:rsidRDefault="00CB339D" w:rsidP="00944D8D">
      <w:pPr>
        <w:pStyle w:val="Heading2"/>
        <w:spacing w:after="120"/>
        <w:rPr>
          <w:rFonts w:ascii="Calibri" w:eastAsiaTheme="majorEastAsia" w:hAnsi="Calibri" w:cs="Calibri"/>
          <w:b w:val="0"/>
          <w:bCs/>
          <w:i w:val="0"/>
          <w:sz w:val="24"/>
          <w:u w:val="single"/>
          <w:lang w:eastAsia="en-US"/>
        </w:rPr>
      </w:pPr>
      <w:r w:rsidRPr="00DD31CC">
        <w:rPr>
          <w:rFonts w:ascii="Calibri" w:eastAsiaTheme="majorEastAsia" w:hAnsi="Calibri" w:cs="Calibri"/>
          <w:b w:val="0"/>
          <w:bCs/>
          <w:i w:val="0"/>
          <w:sz w:val="24"/>
          <w:u w:val="single"/>
          <w:lang w:eastAsia="en-US"/>
        </w:rPr>
        <w:t xml:space="preserve">Randomised </w:t>
      </w:r>
      <w:r w:rsidR="007900F6" w:rsidRPr="00DD31CC">
        <w:rPr>
          <w:rFonts w:ascii="Calibri" w:eastAsiaTheme="majorEastAsia" w:hAnsi="Calibri" w:cs="Calibri"/>
          <w:b w:val="0"/>
          <w:bCs/>
          <w:i w:val="0"/>
          <w:sz w:val="24"/>
          <w:u w:val="single"/>
          <w:lang w:eastAsia="en-US"/>
        </w:rPr>
        <w:t>placebo-</w:t>
      </w:r>
      <w:r w:rsidRPr="00DD31CC">
        <w:rPr>
          <w:rFonts w:ascii="Calibri" w:eastAsiaTheme="majorEastAsia" w:hAnsi="Calibri" w:cs="Calibri"/>
          <w:b w:val="0"/>
          <w:bCs/>
          <w:i w:val="0"/>
          <w:sz w:val="24"/>
          <w:u w:val="single"/>
          <w:lang w:eastAsia="en-US"/>
        </w:rPr>
        <w:t xml:space="preserve">controlled trials </w:t>
      </w:r>
      <w:r w:rsidR="002E1AF2" w:rsidRPr="00DD31CC">
        <w:rPr>
          <w:rFonts w:ascii="Calibri" w:eastAsiaTheme="majorEastAsia" w:hAnsi="Calibri" w:cs="Calibri"/>
          <w:b w:val="0"/>
          <w:bCs/>
          <w:i w:val="0"/>
          <w:sz w:val="24"/>
          <w:u w:val="single"/>
          <w:lang w:eastAsia="en-US"/>
        </w:rPr>
        <w:t xml:space="preserve">of </w:t>
      </w:r>
      <w:r w:rsidRPr="00DD31CC">
        <w:rPr>
          <w:rFonts w:ascii="Calibri" w:eastAsiaTheme="majorEastAsia" w:hAnsi="Calibri" w:cs="Calibri"/>
          <w:b w:val="0"/>
          <w:bCs/>
          <w:i w:val="0"/>
          <w:sz w:val="24"/>
          <w:u w:val="single"/>
          <w:lang w:eastAsia="en-US"/>
        </w:rPr>
        <w:t xml:space="preserve">LDX in adults </w:t>
      </w:r>
    </w:p>
    <w:p w:rsidR="00A87A6D" w:rsidRPr="00DD31CC" w:rsidRDefault="00F52906" w:rsidP="004B58EE">
      <w:pPr>
        <w:pStyle w:val="3Bodytext"/>
        <w:jc w:val="both"/>
        <w:rPr>
          <w:szCs w:val="24"/>
        </w:rPr>
      </w:pPr>
      <w:r w:rsidRPr="00DD31CC">
        <w:rPr>
          <w:szCs w:val="24"/>
        </w:rPr>
        <w:t>The minor submission provided a summary of the efficacy results from the randomised controlled trials comparing LDX with placebo in adults</w:t>
      </w:r>
      <w:r w:rsidR="003F51BC" w:rsidRPr="00DD31CC">
        <w:rPr>
          <w:szCs w:val="24"/>
        </w:rPr>
        <w:t xml:space="preserve">. </w:t>
      </w:r>
      <w:r w:rsidR="00A87A6D" w:rsidRPr="00DD31CC">
        <w:rPr>
          <w:szCs w:val="24"/>
        </w:rPr>
        <w:t xml:space="preserve">The minor submission claimed that, overall, the body of evidence presented </w:t>
      </w:r>
      <w:r w:rsidR="003F51BC" w:rsidRPr="00DD31CC">
        <w:rPr>
          <w:szCs w:val="24"/>
        </w:rPr>
        <w:t>demonstrates</w:t>
      </w:r>
      <w:r w:rsidR="00A87A6D" w:rsidRPr="00DD31CC">
        <w:rPr>
          <w:szCs w:val="24"/>
        </w:rPr>
        <w:t xml:space="preserve">: </w:t>
      </w:r>
    </w:p>
    <w:p w:rsidR="00A87A6D" w:rsidRPr="00DD31CC" w:rsidRDefault="00A87A6D" w:rsidP="004B58EE">
      <w:pPr>
        <w:pStyle w:val="ListParagraph"/>
        <w:numPr>
          <w:ilvl w:val="0"/>
          <w:numId w:val="10"/>
        </w:numPr>
        <w:ind w:left="1077" w:hanging="357"/>
        <w:rPr>
          <w:rFonts w:asciiTheme="minorHAnsi" w:hAnsiTheme="minorHAnsi" w:cstheme="minorHAnsi"/>
          <w:sz w:val="24"/>
          <w:szCs w:val="24"/>
        </w:rPr>
      </w:pPr>
      <w:r w:rsidRPr="00DD31CC">
        <w:rPr>
          <w:rFonts w:asciiTheme="minorHAnsi" w:hAnsiTheme="minorHAnsi" w:cstheme="minorHAnsi"/>
          <w:sz w:val="24"/>
          <w:szCs w:val="24"/>
        </w:rPr>
        <w:t xml:space="preserve">In terms of improvement in </w:t>
      </w:r>
      <w:r w:rsidR="009B2FD5" w:rsidRPr="00DD31CC">
        <w:rPr>
          <w:rFonts w:asciiTheme="minorHAnsi" w:hAnsiTheme="minorHAnsi" w:cstheme="minorHAnsi"/>
          <w:sz w:val="24"/>
          <w:szCs w:val="24"/>
        </w:rPr>
        <w:t>ADHD-Rating Scale</w:t>
      </w:r>
      <w:r w:rsidRPr="00DD31CC">
        <w:rPr>
          <w:rFonts w:asciiTheme="minorHAnsi" w:hAnsiTheme="minorHAnsi" w:cstheme="minorHAnsi"/>
          <w:sz w:val="24"/>
          <w:szCs w:val="24"/>
        </w:rPr>
        <w:t xml:space="preserve"> total score</w:t>
      </w:r>
      <w:r w:rsidR="00031FEB" w:rsidRPr="00DD31CC">
        <w:rPr>
          <w:rFonts w:asciiTheme="minorHAnsi" w:hAnsiTheme="minorHAnsi" w:cstheme="minorHAnsi"/>
          <w:sz w:val="24"/>
          <w:szCs w:val="24"/>
        </w:rPr>
        <w:t xml:space="preserve"> (ADHD-RS)</w:t>
      </w:r>
      <w:r w:rsidRPr="00DD31CC">
        <w:rPr>
          <w:rFonts w:asciiTheme="minorHAnsi" w:hAnsiTheme="minorHAnsi" w:cstheme="minorHAnsi"/>
          <w:sz w:val="24"/>
          <w:szCs w:val="24"/>
        </w:rPr>
        <w:t>, the treatment effect is consistently large across the studies (</w:t>
      </w:r>
      <w:r w:rsidR="009B2FD5" w:rsidRPr="00DD31CC">
        <w:rPr>
          <w:rFonts w:asciiTheme="minorHAnsi" w:hAnsiTheme="minorHAnsi" w:cstheme="minorHAnsi"/>
          <w:sz w:val="24"/>
          <w:szCs w:val="24"/>
        </w:rPr>
        <w:t>weighted mean difference (</w:t>
      </w:r>
      <w:r w:rsidRPr="00DD31CC">
        <w:rPr>
          <w:rFonts w:asciiTheme="minorHAnsi" w:hAnsiTheme="minorHAnsi" w:cstheme="minorHAnsi"/>
          <w:sz w:val="24"/>
          <w:szCs w:val="24"/>
        </w:rPr>
        <w:t>WMD</w:t>
      </w:r>
      <w:r w:rsidR="009B2FD5" w:rsidRPr="00DD31CC">
        <w:rPr>
          <w:rFonts w:asciiTheme="minorHAnsi" w:hAnsiTheme="minorHAnsi" w:cstheme="minorHAnsi"/>
          <w:sz w:val="24"/>
          <w:szCs w:val="24"/>
        </w:rPr>
        <w:t>)</w:t>
      </w:r>
      <w:r w:rsidR="00807806" w:rsidRPr="00DD31CC">
        <w:rPr>
          <w:rFonts w:asciiTheme="minorHAnsi" w:hAnsiTheme="minorHAnsi" w:cstheme="minorHAnsi"/>
          <w:sz w:val="24"/>
          <w:szCs w:val="24"/>
        </w:rPr>
        <w:t xml:space="preserve"> vs placebo = -</w:t>
      </w:r>
      <w:r w:rsidRPr="00DD31CC">
        <w:rPr>
          <w:rFonts w:asciiTheme="minorHAnsi" w:hAnsiTheme="minorHAnsi" w:cstheme="minorHAnsi"/>
          <w:sz w:val="24"/>
          <w:szCs w:val="24"/>
        </w:rPr>
        <w:t xml:space="preserve">10.54 </w:t>
      </w:r>
      <w:r w:rsidR="004B58EE" w:rsidRPr="00DD31CC">
        <w:rPr>
          <w:rFonts w:asciiTheme="minorHAnsi" w:hAnsiTheme="minorHAnsi" w:cstheme="minorHAnsi"/>
          <w:sz w:val="24"/>
          <w:szCs w:val="24"/>
        </w:rPr>
        <w:t xml:space="preserve">points </w:t>
      </w:r>
      <w:r w:rsidRPr="00DD31CC">
        <w:rPr>
          <w:rFonts w:asciiTheme="minorHAnsi" w:hAnsiTheme="minorHAnsi" w:cstheme="minorHAnsi"/>
          <w:sz w:val="24"/>
          <w:szCs w:val="24"/>
        </w:rPr>
        <w:t xml:space="preserve">[95% CI: -12.17, -8.91]). The size of </w:t>
      </w:r>
      <w:r w:rsidR="004B58EE" w:rsidRPr="00DD31CC">
        <w:rPr>
          <w:rFonts w:asciiTheme="minorHAnsi" w:hAnsiTheme="minorHAnsi" w:cstheme="minorHAnsi"/>
          <w:sz w:val="24"/>
          <w:szCs w:val="24"/>
        </w:rPr>
        <w:t xml:space="preserve">the </w:t>
      </w:r>
      <w:r w:rsidRPr="00DD31CC">
        <w:rPr>
          <w:rFonts w:asciiTheme="minorHAnsi" w:hAnsiTheme="minorHAnsi" w:cstheme="minorHAnsi"/>
          <w:sz w:val="24"/>
          <w:szCs w:val="24"/>
        </w:rPr>
        <w:t>treatment effect for LDX, according to convention, also represents a large Cohen’s d treatment effect size (</w:t>
      </w:r>
      <w:r w:rsidR="009B2FD5" w:rsidRPr="00DD31CC">
        <w:rPr>
          <w:rFonts w:asciiTheme="minorHAnsi" w:hAnsiTheme="minorHAnsi" w:cstheme="minorHAnsi"/>
          <w:sz w:val="24"/>
          <w:szCs w:val="24"/>
        </w:rPr>
        <w:t>Standardised mean difference (SMD)</w:t>
      </w:r>
      <w:r w:rsidRPr="00DD31CC">
        <w:rPr>
          <w:rFonts w:asciiTheme="minorHAnsi" w:hAnsiTheme="minorHAnsi" w:cstheme="minorHAnsi"/>
          <w:sz w:val="24"/>
          <w:szCs w:val="24"/>
        </w:rPr>
        <w:t xml:space="preserve"> = -0.97 [95% CI: -</w:t>
      </w:r>
      <w:r w:rsidR="00F52906" w:rsidRPr="00DD31CC">
        <w:rPr>
          <w:rFonts w:asciiTheme="minorHAnsi" w:hAnsiTheme="minorHAnsi" w:cstheme="minorHAnsi"/>
          <w:sz w:val="24"/>
          <w:szCs w:val="24"/>
        </w:rPr>
        <w:t>0</w:t>
      </w:r>
      <w:r w:rsidRPr="00DD31CC">
        <w:rPr>
          <w:rFonts w:asciiTheme="minorHAnsi" w:hAnsiTheme="minorHAnsi" w:cstheme="minorHAnsi"/>
          <w:sz w:val="24"/>
          <w:szCs w:val="24"/>
        </w:rPr>
        <w:t xml:space="preserve">.13, -0.81]). </w:t>
      </w:r>
    </w:p>
    <w:p w:rsidR="00A87A6D" w:rsidRPr="00DD31CC" w:rsidRDefault="00A87A6D" w:rsidP="004B58EE">
      <w:pPr>
        <w:pStyle w:val="ListParagraph"/>
        <w:numPr>
          <w:ilvl w:val="0"/>
          <w:numId w:val="10"/>
        </w:numPr>
        <w:ind w:left="1077" w:hanging="357"/>
        <w:rPr>
          <w:rFonts w:asciiTheme="minorHAnsi" w:hAnsiTheme="minorHAnsi" w:cstheme="minorHAnsi"/>
          <w:sz w:val="24"/>
          <w:szCs w:val="24"/>
        </w:rPr>
      </w:pPr>
      <w:r w:rsidRPr="00DD31CC">
        <w:rPr>
          <w:rFonts w:asciiTheme="minorHAnsi" w:hAnsiTheme="minorHAnsi" w:cstheme="minorHAnsi"/>
          <w:sz w:val="24"/>
          <w:szCs w:val="24"/>
        </w:rPr>
        <w:t>The difference between LDX and placebo is greater than the range of minimal clinicall</w:t>
      </w:r>
      <w:r w:rsidR="00807806" w:rsidRPr="00DD31CC">
        <w:rPr>
          <w:rFonts w:asciiTheme="minorHAnsi" w:hAnsiTheme="minorHAnsi" w:cstheme="minorHAnsi"/>
          <w:sz w:val="24"/>
          <w:szCs w:val="24"/>
        </w:rPr>
        <w:t xml:space="preserve">y important “between treatment” </w:t>
      </w:r>
      <w:r w:rsidRPr="00DD31CC">
        <w:rPr>
          <w:rFonts w:asciiTheme="minorHAnsi" w:hAnsiTheme="minorHAnsi" w:cstheme="minorHAnsi"/>
          <w:sz w:val="24"/>
          <w:szCs w:val="24"/>
        </w:rPr>
        <w:t>differences (</w:t>
      </w:r>
      <w:r w:rsidR="009B2FD5" w:rsidRPr="00DD31CC">
        <w:rPr>
          <w:rFonts w:asciiTheme="minorHAnsi" w:hAnsiTheme="minorHAnsi" w:cstheme="minorHAnsi"/>
          <w:sz w:val="24"/>
          <w:szCs w:val="24"/>
        </w:rPr>
        <w:t>M</w:t>
      </w:r>
      <w:r w:rsidR="00807806" w:rsidRPr="00DD31CC">
        <w:rPr>
          <w:rFonts w:asciiTheme="minorHAnsi" w:hAnsiTheme="minorHAnsi" w:cstheme="minorHAnsi"/>
          <w:sz w:val="24"/>
          <w:szCs w:val="24"/>
        </w:rPr>
        <w:t xml:space="preserve">CIDs </w:t>
      </w:r>
      <w:r w:rsidRPr="00DD31CC">
        <w:rPr>
          <w:rFonts w:asciiTheme="minorHAnsi" w:hAnsiTheme="minorHAnsi" w:cstheme="minorHAnsi"/>
          <w:sz w:val="24"/>
          <w:szCs w:val="24"/>
        </w:rPr>
        <w:t>of -5.2 to -7.7 estimated for this outcome by Zhang et al 2005 when anchored to the Clinical Global Impressions-ADHD-Severity (CGI-ADHD-S). It is also greater than the “between treatment” MCIDs of -4.0 to -9.9 estimated for the outcome in three key trials of LDX in adults when anchored to the CGI-I.</w:t>
      </w:r>
    </w:p>
    <w:p w:rsidR="00A87A6D" w:rsidRPr="00DD31CC" w:rsidRDefault="00A87A6D" w:rsidP="00FE608A">
      <w:pPr>
        <w:pStyle w:val="ListParagraph"/>
        <w:numPr>
          <w:ilvl w:val="0"/>
          <w:numId w:val="10"/>
        </w:numPr>
        <w:ind w:left="1077" w:hanging="357"/>
        <w:rPr>
          <w:rFonts w:asciiTheme="minorHAnsi" w:hAnsiTheme="minorHAnsi" w:cstheme="minorHAnsi"/>
          <w:sz w:val="24"/>
          <w:szCs w:val="24"/>
        </w:rPr>
      </w:pPr>
      <w:r w:rsidRPr="00DD31CC">
        <w:rPr>
          <w:rFonts w:asciiTheme="minorHAnsi" w:hAnsiTheme="minorHAnsi" w:cstheme="minorHAnsi"/>
          <w:sz w:val="24"/>
          <w:szCs w:val="24"/>
        </w:rPr>
        <w:t>The</w:t>
      </w:r>
      <w:r w:rsidR="00031FEB" w:rsidRPr="00DD31CC">
        <w:rPr>
          <w:rFonts w:asciiTheme="minorHAnsi" w:hAnsiTheme="minorHAnsi" w:cstheme="minorHAnsi"/>
          <w:sz w:val="24"/>
          <w:szCs w:val="24"/>
        </w:rPr>
        <w:t xml:space="preserve"> risk ratio for CGI improvement (CGI-I) </w:t>
      </w:r>
      <w:r w:rsidRPr="00DD31CC">
        <w:rPr>
          <w:rFonts w:asciiTheme="minorHAnsi" w:hAnsiTheme="minorHAnsi" w:cstheme="minorHAnsi"/>
          <w:sz w:val="24"/>
          <w:szCs w:val="24"/>
        </w:rPr>
        <w:t>(much improved, very much improved) is 2.36 [95% CI: 1.93, 2.87]. The number needed to treat based on achieving a CGI-I response (much or very much improved) is between 2 to 3.</w:t>
      </w:r>
    </w:p>
    <w:p w:rsidR="00A87A6D" w:rsidRPr="00DD31CC" w:rsidRDefault="00A87A6D" w:rsidP="004B58EE">
      <w:pPr>
        <w:pStyle w:val="ListParagraph"/>
        <w:numPr>
          <w:ilvl w:val="0"/>
          <w:numId w:val="10"/>
        </w:numPr>
        <w:ind w:left="1077" w:hanging="357"/>
        <w:rPr>
          <w:rFonts w:asciiTheme="minorHAnsi" w:hAnsiTheme="minorHAnsi" w:cstheme="minorHAnsi"/>
          <w:sz w:val="24"/>
          <w:szCs w:val="24"/>
        </w:rPr>
      </w:pPr>
      <w:r w:rsidRPr="00DD31CC">
        <w:rPr>
          <w:rFonts w:asciiTheme="minorHAnsi" w:hAnsiTheme="minorHAnsi" w:cstheme="minorHAnsi"/>
          <w:sz w:val="24"/>
          <w:szCs w:val="24"/>
        </w:rPr>
        <w:t>The clinical response to LDX has been shown to be maintained long-term (Study SPD489-401).</w:t>
      </w:r>
    </w:p>
    <w:p w:rsidR="00A87A6D" w:rsidRPr="00DD31CC" w:rsidRDefault="00A87A6D" w:rsidP="004B58EE">
      <w:pPr>
        <w:pStyle w:val="ListParagraph"/>
        <w:numPr>
          <w:ilvl w:val="0"/>
          <w:numId w:val="10"/>
        </w:numPr>
        <w:ind w:left="1077" w:hanging="357"/>
        <w:rPr>
          <w:rFonts w:asciiTheme="minorHAnsi" w:hAnsiTheme="minorHAnsi" w:cstheme="minorHAnsi"/>
          <w:sz w:val="24"/>
          <w:szCs w:val="24"/>
        </w:rPr>
      </w:pPr>
      <w:r w:rsidRPr="00DD31CC">
        <w:rPr>
          <w:rFonts w:asciiTheme="minorHAnsi" w:hAnsiTheme="minorHAnsi" w:cstheme="minorHAnsi"/>
          <w:sz w:val="24"/>
          <w:szCs w:val="24"/>
        </w:rPr>
        <w:t>LDX has been shown to significantly improve executive functioning and quality of life, helping adults with ADHD to lead more normal lives (Studies SDP489-316; SDP489-403; DuPaul 2012). This includes facilitating improvements in parent-child interactions (Waxmonsky 2014).</w:t>
      </w:r>
    </w:p>
    <w:p w:rsidR="00A87A6D" w:rsidRPr="00DD31CC" w:rsidRDefault="00A87A6D" w:rsidP="004B58EE">
      <w:pPr>
        <w:pStyle w:val="ListParagraph"/>
        <w:numPr>
          <w:ilvl w:val="0"/>
          <w:numId w:val="10"/>
        </w:numPr>
        <w:ind w:left="1077" w:hanging="357"/>
        <w:rPr>
          <w:rFonts w:asciiTheme="minorHAnsi" w:hAnsiTheme="minorHAnsi" w:cstheme="minorHAnsi"/>
          <w:sz w:val="24"/>
          <w:szCs w:val="24"/>
        </w:rPr>
      </w:pPr>
      <w:r w:rsidRPr="00DD31CC">
        <w:rPr>
          <w:rFonts w:asciiTheme="minorHAnsi" w:hAnsiTheme="minorHAnsi" w:cstheme="minorHAnsi"/>
          <w:sz w:val="24"/>
          <w:szCs w:val="24"/>
        </w:rPr>
        <w:t>LDX may also improve reaction times and may help to reduce driving risks of young adults with ADHD (Biederman 2012).</w:t>
      </w:r>
    </w:p>
    <w:p w:rsidR="00A87A6D" w:rsidRPr="00DD31CC" w:rsidRDefault="00A87A6D" w:rsidP="00FE608A">
      <w:pPr>
        <w:pStyle w:val="ListParagraph"/>
        <w:numPr>
          <w:ilvl w:val="0"/>
          <w:numId w:val="10"/>
        </w:numPr>
        <w:spacing w:after="120"/>
        <w:ind w:left="1077" w:hanging="357"/>
        <w:rPr>
          <w:rFonts w:asciiTheme="minorHAnsi" w:hAnsiTheme="minorHAnsi" w:cstheme="minorHAnsi"/>
          <w:sz w:val="24"/>
          <w:szCs w:val="24"/>
        </w:rPr>
      </w:pPr>
      <w:r w:rsidRPr="00DD31CC">
        <w:rPr>
          <w:rFonts w:asciiTheme="minorHAnsi" w:hAnsiTheme="minorHAnsi" w:cstheme="minorHAnsi"/>
          <w:sz w:val="24"/>
          <w:szCs w:val="24"/>
        </w:rPr>
        <w:t xml:space="preserve">The long duration lasting up to 14 </w:t>
      </w:r>
      <w:r w:rsidR="00B45D8F" w:rsidRPr="00DD31CC">
        <w:rPr>
          <w:rFonts w:asciiTheme="minorHAnsi" w:hAnsiTheme="minorHAnsi" w:cstheme="minorHAnsi"/>
          <w:sz w:val="24"/>
          <w:szCs w:val="24"/>
        </w:rPr>
        <w:t>hours,</w:t>
      </w:r>
      <w:r w:rsidRPr="00DD31CC">
        <w:rPr>
          <w:rFonts w:asciiTheme="minorHAnsi" w:hAnsiTheme="minorHAnsi" w:cstheme="minorHAnsi"/>
          <w:sz w:val="24"/>
          <w:szCs w:val="24"/>
        </w:rPr>
        <w:t xml:space="preserve"> (SDP489-316) gives patients on LDX the advantage of avoiding supplemental doses of short-acting stimulants in the afternoon or early evening.</w:t>
      </w:r>
    </w:p>
    <w:p w:rsidR="00A87A6D" w:rsidRPr="00DD31CC" w:rsidRDefault="00112369" w:rsidP="001621FC">
      <w:pPr>
        <w:pStyle w:val="3Bodytext"/>
        <w:jc w:val="both"/>
        <w:rPr>
          <w:szCs w:val="24"/>
        </w:rPr>
      </w:pPr>
      <w:r w:rsidRPr="00DD31CC">
        <w:rPr>
          <w:szCs w:val="24"/>
        </w:rPr>
        <w:t>Th</w:t>
      </w:r>
      <w:r w:rsidR="001621FC" w:rsidRPr="00DD31CC">
        <w:rPr>
          <w:szCs w:val="24"/>
        </w:rPr>
        <w:t xml:space="preserve">e minor submission stated that </w:t>
      </w:r>
      <w:r w:rsidR="00A87A6D" w:rsidRPr="00DD31CC">
        <w:rPr>
          <w:szCs w:val="24"/>
        </w:rPr>
        <w:t>the available randomised controlled evidence for LDX support</w:t>
      </w:r>
      <w:r w:rsidR="00807806" w:rsidRPr="00DD31CC">
        <w:rPr>
          <w:szCs w:val="24"/>
        </w:rPr>
        <w:t>s</w:t>
      </w:r>
      <w:r w:rsidR="00A87A6D" w:rsidRPr="00DD31CC">
        <w:rPr>
          <w:szCs w:val="24"/>
        </w:rPr>
        <w:t xml:space="preserve"> the drug as being highly effective as a treatment of ADHD in adults, providing day long continuous ADHD symptom control and functional improvement across settings </w:t>
      </w:r>
      <w:r w:rsidR="001621FC" w:rsidRPr="00DD31CC">
        <w:rPr>
          <w:szCs w:val="24"/>
        </w:rPr>
        <w:t>compared to placebo</w:t>
      </w:r>
      <w:r w:rsidR="00A87A6D" w:rsidRPr="00DD31CC">
        <w:rPr>
          <w:szCs w:val="24"/>
        </w:rPr>
        <w:t>.</w:t>
      </w:r>
    </w:p>
    <w:p w:rsidR="00A87A6D" w:rsidRPr="00DD31CC" w:rsidRDefault="002E1AF2" w:rsidP="00074EC2">
      <w:pPr>
        <w:pStyle w:val="Heading2"/>
        <w:spacing w:after="120"/>
        <w:rPr>
          <w:rFonts w:asciiTheme="minorHAnsi" w:hAnsiTheme="minorHAnsi" w:cstheme="minorHAnsi"/>
          <w:b w:val="0"/>
          <w:i w:val="0"/>
          <w:sz w:val="24"/>
          <w:u w:val="single"/>
        </w:rPr>
      </w:pPr>
      <w:r w:rsidRPr="00DD31CC">
        <w:rPr>
          <w:rFonts w:asciiTheme="minorHAnsi" w:eastAsiaTheme="majorEastAsia" w:hAnsiTheme="minorHAnsi" w:cstheme="minorHAnsi"/>
          <w:b w:val="0"/>
          <w:i w:val="0"/>
          <w:sz w:val="24"/>
          <w:u w:val="single"/>
          <w:lang w:eastAsia="en-US"/>
        </w:rPr>
        <w:t xml:space="preserve">Efficacy of LDX versus immediate </w:t>
      </w:r>
      <w:r w:rsidR="007613E0" w:rsidRPr="00DD31CC">
        <w:rPr>
          <w:rFonts w:asciiTheme="minorHAnsi" w:eastAsiaTheme="majorEastAsia" w:hAnsiTheme="minorHAnsi" w:cstheme="minorHAnsi"/>
          <w:b w:val="0"/>
          <w:i w:val="0"/>
          <w:sz w:val="24"/>
          <w:u w:val="single"/>
          <w:lang w:eastAsia="en-US"/>
        </w:rPr>
        <w:t>release</w:t>
      </w:r>
      <w:r w:rsidR="00AD33A9" w:rsidRPr="00DD31CC">
        <w:rPr>
          <w:rFonts w:asciiTheme="minorHAnsi" w:eastAsiaTheme="majorEastAsia" w:hAnsiTheme="minorHAnsi" w:cstheme="minorHAnsi"/>
          <w:b w:val="0"/>
          <w:i w:val="0"/>
          <w:sz w:val="24"/>
          <w:u w:val="single"/>
          <w:lang w:eastAsia="en-US"/>
        </w:rPr>
        <w:t xml:space="preserve"> (short-acting)</w:t>
      </w:r>
      <w:r w:rsidR="007613E0" w:rsidRPr="00DD31CC">
        <w:rPr>
          <w:rFonts w:asciiTheme="minorHAnsi" w:eastAsiaTheme="majorEastAsia" w:hAnsiTheme="minorHAnsi" w:cstheme="minorHAnsi"/>
          <w:b w:val="0"/>
          <w:i w:val="0"/>
          <w:sz w:val="24"/>
          <w:u w:val="single"/>
          <w:lang w:eastAsia="en-US"/>
        </w:rPr>
        <w:t xml:space="preserve"> stimulants</w:t>
      </w:r>
    </w:p>
    <w:p w:rsidR="001D48F6" w:rsidRPr="00DD31CC" w:rsidRDefault="003F51BC" w:rsidP="00FE608A">
      <w:pPr>
        <w:pStyle w:val="3Bodytext"/>
        <w:jc w:val="both"/>
        <w:rPr>
          <w:szCs w:val="24"/>
        </w:rPr>
      </w:pPr>
      <w:r w:rsidRPr="00DD31CC">
        <w:rPr>
          <w:szCs w:val="24"/>
        </w:rPr>
        <w:t>T</w:t>
      </w:r>
      <w:r w:rsidR="001D48F6" w:rsidRPr="00DD31CC">
        <w:rPr>
          <w:szCs w:val="24"/>
        </w:rPr>
        <w:t xml:space="preserve">here are no direct comparative trials </w:t>
      </w:r>
      <w:r w:rsidR="00FE608A" w:rsidRPr="00DD31CC">
        <w:rPr>
          <w:szCs w:val="24"/>
        </w:rPr>
        <w:t>between</w:t>
      </w:r>
      <w:r w:rsidR="001D48F6" w:rsidRPr="00DD31CC">
        <w:rPr>
          <w:szCs w:val="24"/>
        </w:rPr>
        <w:t xml:space="preserve"> LDX and </w:t>
      </w:r>
      <w:r w:rsidRPr="00DD31CC">
        <w:rPr>
          <w:szCs w:val="24"/>
        </w:rPr>
        <w:t>immediate release stimulant</w:t>
      </w:r>
      <w:r w:rsidR="001D48F6" w:rsidRPr="00DD31CC">
        <w:rPr>
          <w:szCs w:val="24"/>
        </w:rPr>
        <w:t xml:space="preserve"> therapies, with widely reported heterogeneity and variable quality of th</w:t>
      </w:r>
      <w:r w:rsidR="00C21D84" w:rsidRPr="00DD31CC">
        <w:rPr>
          <w:szCs w:val="24"/>
        </w:rPr>
        <w:t xml:space="preserve">e </w:t>
      </w:r>
      <w:r w:rsidR="002B6914" w:rsidRPr="00DD31CC">
        <w:rPr>
          <w:szCs w:val="24"/>
        </w:rPr>
        <w:t>trial</w:t>
      </w:r>
      <w:r w:rsidRPr="00DD31CC">
        <w:rPr>
          <w:szCs w:val="24"/>
        </w:rPr>
        <w:t xml:space="preserve"> data. </w:t>
      </w:r>
    </w:p>
    <w:p w:rsidR="001D48F6" w:rsidRPr="00DD31CC" w:rsidRDefault="001D48F6" w:rsidP="00FE608A">
      <w:pPr>
        <w:pStyle w:val="3Bodytext"/>
        <w:jc w:val="both"/>
        <w:rPr>
          <w:szCs w:val="24"/>
        </w:rPr>
      </w:pPr>
      <w:r w:rsidRPr="00DD31CC">
        <w:rPr>
          <w:szCs w:val="24"/>
        </w:rPr>
        <w:t xml:space="preserve">The minor submission presented outcomes from recent systematic literature </w:t>
      </w:r>
      <w:r w:rsidR="001621FC" w:rsidRPr="00DD31CC">
        <w:rPr>
          <w:szCs w:val="24"/>
        </w:rPr>
        <w:t>reviews</w:t>
      </w:r>
      <w:r w:rsidR="002B6914" w:rsidRPr="00DD31CC">
        <w:rPr>
          <w:szCs w:val="24"/>
        </w:rPr>
        <w:t xml:space="preserve"> which estimated the treatment effect sizes of LDX, IR DEX and IR MPH versus placebo</w:t>
      </w:r>
      <w:r w:rsidR="00ED12B1" w:rsidRPr="00DD31CC">
        <w:rPr>
          <w:szCs w:val="24"/>
        </w:rPr>
        <w:t>,</w:t>
      </w:r>
      <w:r w:rsidR="002B6914" w:rsidRPr="00DD31CC">
        <w:rPr>
          <w:szCs w:val="24"/>
        </w:rPr>
        <w:t xml:space="preserve"> i</w:t>
      </w:r>
      <w:r w:rsidR="00C21D84" w:rsidRPr="00DD31CC">
        <w:rPr>
          <w:szCs w:val="24"/>
        </w:rPr>
        <w:t>n terms of ADHD symptom control</w:t>
      </w:r>
      <w:r w:rsidR="00ED12B1" w:rsidRPr="00DD31CC">
        <w:rPr>
          <w:szCs w:val="24"/>
        </w:rPr>
        <w:t xml:space="preserve">, based on </w:t>
      </w:r>
      <w:r w:rsidR="002B6914" w:rsidRPr="00DD31CC">
        <w:rPr>
          <w:szCs w:val="24"/>
        </w:rPr>
        <w:t>meta-analyses data from randomised controlled trials cond</w:t>
      </w:r>
      <w:r w:rsidR="003F51BC" w:rsidRPr="00DD31CC">
        <w:rPr>
          <w:szCs w:val="24"/>
        </w:rPr>
        <w:t>ucted in adult ADHD populations.</w:t>
      </w:r>
    </w:p>
    <w:p w:rsidR="002B6914" w:rsidRPr="00DD31CC" w:rsidRDefault="002B6914" w:rsidP="00FE608A">
      <w:pPr>
        <w:pStyle w:val="3Bodytext"/>
        <w:jc w:val="both"/>
        <w:rPr>
          <w:szCs w:val="24"/>
        </w:rPr>
      </w:pPr>
      <w:r w:rsidRPr="00DD31CC">
        <w:rPr>
          <w:szCs w:val="24"/>
        </w:rPr>
        <w:t xml:space="preserve">The </w:t>
      </w:r>
      <w:r w:rsidR="005E040D" w:rsidRPr="00DD31CC">
        <w:rPr>
          <w:szCs w:val="24"/>
        </w:rPr>
        <w:t>minor submission claimed that</w:t>
      </w:r>
      <w:r w:rsidR="00074EC2" w:rsidRPr="00DD31CC">
        <w:rPr>
          <w:szCs w:val="24"/>
        </w:rPr>
        <w:t xml:space="preserve"> (see Figure 1)</w:t>
      </w:r>
      <w:r w:rsidR="005E040D" w:rsidRPr="00DD31CC">
        <w:rPr>
          <w:szCs w:val="24"/>
        </w:rPr>
        <w:t xml:space="preserve">: </w:t>
      </w:r>
      <w:r w:rsidR="00760967" w:rsidRPr="00DD31CC">
        <w:rPr>
          <w:szCs w:val="24"/>
        </w:rPr>
        <w:t xml:space="preserve"> </w:t>
      </w:r>
    </w:p>
    <w:p w:rsidR="002B6914" w:rsidRPr="00DD31CC" w:rsidRDefault="00031FEB" w:rsidP="00FE608A">
      <w:pPr>
        <w:pStyle w:val="3Bodytext"/>
        <w:numPr>
          <w:ilvl w:val="0"/>
          <w:numId w:val="20"/>
        </w:numPr>
        <w:spacing w:after="0"/>
        <w:ind w:left="1077" w:hanging="357"/>
        <w:jc w:val="both"/>
        <w:rPr>
          <w:szCs w:val="24"/>
        </w:rPr>
      </w:pPr>
      <w:r w:rsidRPr="00DD31CC">
        <w:rPr>
          <w:szCs w:val="24"/>
        </w:rPr>
        <w:t xml:space="preserve">In general, based on Cohen’s d effect size, the findings of the identified </w:t>
      </w:r>
      <w:r w:rsidR="001621FC" w:rsidRPr="00DD31CC">
        <w:rPr>
          <w:szCs w:val="24"/>
        </w:rPr>
        <w:t>systematic literature review and meta-analyses sug</w:t>
      </w:r>
      <w:r w:rsidRPr="00DD31CC">
        <w:rPr>
          <w:szCs w:val="24"/>
        </w:rPr>
        <w:t>gest relatively large effect sizes for stimulant therapies in the treatment of ADHD in adults over the study period</w:t>
      </w:r>
      <w:r w:rsidR="001621FC" w:rsidRPr="00DD31CC">
        <w:rPr>
          <w:szCs w:val="24"/>
        </w:rPr>
        <w:t>s</w:t>
      </w:r>
      <w:r w:rsidRPr="00DD31CC">
        <w:rPr>
          <w:szCs w:val="24"/>
        </w:rPr>
        <w:t xml:space="preserve">. </w:t>
      </w:r>
    </w:p>
    <w:p w:rsidR="00031FEB" w:rsidRPr="00DD31CC" w:rsidRDefault="00031FEB" w:rsidP="00FE608A">
      <w:pPr>
        <w:pStyle w:val="3Bodytext"/>
        <w:numPr>
          <w:ilvl w:val="0"/>
          <w:numId w:val="20"/>
        </w:numPr>
        <w:spacing w:after="0"/>
        <w:ind w:left="1077" w:hanging="357"/>
        <w:jc w:val="both"/>
        <w:rPr>
          <w:szCs w:val="24"/>
        </w:rPr>
      </w:pPr>
      <w:r w:rsidRPr="00DD31CC">
        <w:rPr>
          <w:szCs w:val="24"/>
        </w:rPr>
        <w:t xml:space="preserve">The effect sizes reported for amphetamines are, for the most part, larger than those reported for </w:t>
      </w:r>
      <w:r w:rsidR="001621FC" w:rsidRPr="00DD31CC">
        <w:rPr>
          <w:szCs w:val="24"/>
        </w:rPr>
        <w:t>MPH</w:t>
      </w:r>
      <w:r w:rsidRPr="00DD31CC">
        <w:rPr>
          <w:szCs w:val="24"/>
        </w:rPr>
        <w:t xml:space="preserve">, with those reported for LDX amongst the largest. </w:t>
      </w:r>
    </w:p>
    <w:p w:rsidR="00031FEB" w:rsidRPr="00DD31CC" w:rsidRDefault="00031FEB" w:rsidP="00FE608A">
      <w:pPr>
        <w:pStyle w:val="3Bodytext"/>
        <w:numPr>
          <w:ilvl w:val="0"/>
          <w:numId w:val="20"/>
        </w:numPr>
        <w:spacing w:after="0"/>
        <w:ind w:left="1077" w:hanging="357"/>
        <w:jc w:val="both"/>
        <w:rPr>
          <w:szCs w:val="24"/>
        </w:rPr>
      </w:pPr>
      <w:r w:rsidRPr="00DD31CC">
        <w:rPr>
          <w:szCs w:val="24"/>
        </w:rPr>
        <w:t xml:space="preserve">The treatment effect sizes for symptom control based on ADHD-RS scores reported for IR DEX and IR MPH vary considerably. </w:t>
      </w:r>
    </w:p>
    <w:p w:rsidR="00031FEB" w:rsidRPr="00DD31CC" w:rsidRDefault="00031FEB" w:rsidP="00FE608A">
      <w:pPr>
        <w:pStyle w:val="3Bodytext"/>
        <w:numPr>
          <w:ilvl w:val="0"/>
          <w:numId w:val="20"/>
        </w:numPr>
        <w:spacing w:after="0"/>
        <w:ind w:left="1077" w:hanging="357"/>
        <w:jc w:val="both"/>
        <w:rPr>
          <w:szCs w:val="24"/>
        </w:rPr>
      </w:pPr>
      <w:r w:rsidRPr="00DD31CC">
        <w:rPr>
          <w:szCs w:val="24"/>
        </w:rPr>
        <w:t xml:space="preserve">Based on a CGI-I score of 1 or 2, i.e. much or very much improved, the response rates with LDX are least comparable to those for mixed amphetamine salts </w:t>
      </w:r>
      <w:r w:rsidR="001621FC" w:rsidRPr="00DD31CC">
        <w:rPr>
          <w:szCs w:val="24"/>
        </w:rPr>
        <w:t>a</w:t>
      </w:r>
      <w:r w:rsidRPr="00DD31CC">
        <w:rPr>
          <w:szCs w:val="24"/>
        </w:rPr>
        <w:t xml:space="preserve">nd all formulations of MPH. Data specifically for IR MPH and IR DEX are lacking. </w:t>
      </w:r>
    </w:p>
    <w:p w:rsidR="005E3D8B" w:rsidRPr="005E3D8B" w:rsidRDefault="00031FEB" w:rsidP="005E3D8B">
      <w:pPr>
        <w:pStyle w:val="3Bodytext"/>
        <w:numPr>
          <w:ilvl w:val="0"/>
          <w:numId w:val="20"/>
        </w:numPr>
        <w:ind w:left="1077" w:hanging="357"/>
        <w:jc w:val="both"/>
        <w:rPr>
          <w:szCs w:val="24"/>
        </w:rPr>
      </w:pPr>
      <w:r w:rsidRPr="00DD31CC">
        <w:rPr>
          <w:szCs w:val="24"/>
        </w:rPr>
        <w:t xml:space="preserve">None of the reviews provide evidence-based support for any treatment hierarchy in adult ADHD. </w:t>
      </w:r>
    </w:p>
    <w:p w:rsidR="00074EC2" w:rsidRPr="005E3D8B" w:rsidRDefault="00074EC2" w:rsidP="005E3D8B">
      <w:pPr>
        <w:pStyle w:val="3Bodytext"/>
        <w:numPr>
          <w:ilvl w:val="0"/>
          <w:numId w:val="0"/>
        </w:numPr>
        <w:spacing w:after="0"/>
        <w:jc w:val="both"/>
        <w:rPr>
          <w:szCs w:val="24"/>
        </w:rPr>
      </w:pPr>
      <w:r w:rsidRPr="005E3D8B">
        <w:rPr>
          <w:rFonts w:ascii="Arial Narrow" w:hAnsi="Arial Narrow"/>
          <w:b/>
          <w:sz w:val="20"/>
          <w:szCs w:val="20"/>
        </w:rPr>
        <w:t>Figure 1: Treatment effect sizes reported for stimulant therapies in recent systematic reviews based on meta-analyses of ADHD symptom severity assessments in randomised controlled studies</w:t>
      </w:r>
      <w:r w:rsidR="00ED12B1" w:rsidRPr="005E3D8B">
        <w:rPr>
          <w:rFonts w:ascii="Arial Narrow" w:hAnsi="Arial Narrow"/>
          <w:b/>
          <w:sz w:val="20"/>
          <w:szCs w:val="20"/>
        </w:rPr>
        <w:t xml:space="preserve"> in adult ADHD populations</w:t>
      </w:r>
    </w:p>
    <w:p w:rsidR="00074EC2" w:rsidRPr="00DD31CC" w:rsidRDefault="00074EC2" w:rsidP="00074EC2">
      <w:pPr>
        <w:pStyle w:val="3Bodytext"/>
        <w:numPr>
          <w:ilvl w:val="0"/>
          <w:numId w:val="0"/>
        </w:numPr>
        <w:ind w:left="720"/>
        <w:jc w:val="both"/>
        <w:rPr>
          <w:szCs w:val="24"/>
        </w:rPr>
      </w:pPr>
      <w:r w:rsidRPr="00624480">
        <w:rPr>
          <w:noProof/>
        </w:rPr>
        <w:drawing>
          <wp:anchor distT="0" distB="0" distL="114300" distR="114300" simplePos="0" relativeHeight="251658240" behindDoc="0" locked="0" layoutInCell="1" allowOverlap="1" wp14:anchorId="4A6A4923" wp14:editId="415CE1E7">
            <wp:simplePos x="0" y="0"/>
            <wp:positionH relativeFrom="margin">
              <wp:align>left</wp:align>
            </wp:positionH>
            <wp:positionV relativeFrom="paragraph">
              <wp:posOffset>7811</wp:posOffset>
            </wp:positionV>
            <wp:extent cx="5651083" cy="2721935"/>
            <wp:effectExtent l="0" t="0" r="6985" b="2540"/>
            <wp:wrapNone/>
            <wp:docPr id="3" name="Picture 3" title="Figure 1: Treatment effect sizes reported for stimulant therapies in recent systematic reviews based on meta-analyses of ADHD symptom severity assessments in randomised controlled studies in adult ADHD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51083" cy="2721935"/>
                    </a:xfrm>
                    <a:prstGeom prst="rect">
                      <a:avLst/>
                    </a:prstGeom>
                  </pic:spPr>
                </pic:pic>
              </a:graphicData>
            </a:graphic>
            <wp14:sizeRelH relativeFrom="page">
              <wp14:pctWidth>0</wp14:pctWidth>
            </wp14:sizeRelH>
            <wp14:sizeRelV relativeFrom="page">
              <wp14:pctHeight>0</wp14:pctHeight>
            </wp14:sizeRelV>
          </wp:anchor>
        </w:drawing>
      </w:r>
    </w:p>
    <w:p w:rsidR="00074EC2" w:rsidRPr="00DD31CC" w:rsidRDefault="00074EC2" w:rsidP="00074EC2">
      <w:pPr>
        <w:pStyle w:val="3Bodytext"/>
        <w:numPr>
          <w:ilvl w:val="0"/>
          <w:numId w:val="0"/>
        </w:numPr>
        <w:ind w:left="720"/>
        <w:jc w:val="both"/>
        <w:rPr>
          <w:szCs w:val="24"/>
        </w:rPr>
      </w:pPr>
    </w:p>
    <w:p w:rsidR="00074EC2" w:rsidRPr="00DD31CC" w:rsidRDefault="00074EC2" w:rsidP="00074EC2">
      <w:pPr>
        <w:pStyle w:val="3Bodytext"/>
        <w:numPr>
          <w:ilvl w:val="0"/>
          <w:numId w:val="0"/>
        </w:numPr>
        <w:ind w:left="720"/>
        <w:jc w:val="both"/>
        <w:rPr>
          <w:szCs w:val="24"/>
        </w:rPr>
      </w:pPr>
    </w:p>
    <w:p w:rsidR="00074EC2" w:rsidRPr="00E25B55" w:rsidRDefault="00074EC2" w:rsidP="00074EC2">
      <w:pPr>
        <w:pStyle w:val="3Bodytext"/>
        <w:numPr>
          <w:ilvl w:val="0"/>
          <w:numId w:val="0"/>
        </w:numPr>
        <w:ind w:left="720"/>
        <w:jc w:val="both"/>
        <w:rPr>
          <w:szCs w:val="24"/>
        </w:rPr>
      </w:pPr>
    </w:p>
    <w:p w:rsidR="00074EC2" w:rsidRPr="00E25B55" w:rsidRDefault="00074EC2" w:rsidP="00074EC2">
      <w:pPr>
        <w:pStyle w:val="3Bodytext"/>
        <w:numPr>
          <w:ilvl w:val="0"/>
          <w:numId w:val="0"/>
        </w:numPr>
        <w:ind w:left="720"/>
        <w:jc w:val="both"/>
        <w:rPr>
          <w:szCs w:val="24"/>
        </w:rPr>
      </w:pPr>
    </w:p>
    <w:p w:rsidR="00074EC2" w:rsidRPr="00DD31CC" w:rsidRDefault="00074EC2" w:rsidP="00074EC2">
      <w:pPr>
        <w:pStyle w:val="3Bodytext"/>
        <w:numPr>
          <w:ilvl w:val="0"/>
          <w:numId w:val="0"/>
        </w:numPr>
        <w:ind w:left="720"/>
        <w:jc w:val="both"/>
        <w:rPr>
          <w:szCs w:val="24"/>
        </w:rPr>
      </w:pPr>
    </w:p>
    <w:p w:rsidR="00074EC2" w:rsidRPr="00DD31CC" w:rsidRDefault="00074EC2" w:rsidP="00074EC2">
      <w:pPr>
        <w:pStyle w:val="3Bodytext"/>
        <w:numPr>
          <w:ilvl w:val="0"/>
          <w:numId w:val="0"/>
        </w:numPr>
        <w:ind w:left="720"/>
        <w:jc w:val="both"/>
        <w:rPr>
          <w:szCs w:val="24"/>
        </w:rPr>
      </w:pPr>
    </w:p>
    <w:p w:rsidR="00074EC2" w:rsidRPr="00DD31CC" w:rsidRDefault="00074EC2" w:rsidP="00074EC2">
      <w:pPr>
        <w:pStyle w:val="3Bodytext"/>
        <w:numPr>
          <w:ilvl w:val="0"/>
          <w:numId w:val="0"/>
        </w:numPr>
        <w:ind w:left="720"/>
        <w:jc w:val="both"/>
        <w:rPr>
          <w:szCs w:val="24"/>
        </w:rPr>
      </w:pPr>
    </w:p>
    <w:p w:rsidR="00074EC2" w:rsidRPr="00DD31CC" w:rsidRDefault="00074EC2" w:rsidP="00074EC2">
      <w:pPr>
        <w:pStyle w:val="3Bodytext"/>
        <w:numPr>
          <w:ilvl w:val="0"/>
          <w:numId w:val="0"/>
        </w:numPr>
        <w:ind w:left="720"/>
        <w:jc w:val="both"/>
        <w:rPr>
          <w:szCs w:val="24"/>
        </w:rPr>
      </w:pPr>
    </w:p>
    <w:p w:rsidR="00074EC2" w:rsidRPr="00DD31CC" w:rsidRDefault="00074EC2" w:rsidP="00074EC2">
      <w:pPr>
        <w:pStyle w:val="3Bodytext"/>
        <w:numPr>
          <w:ilvl w:val="0"/>
          <w:numId w:val="0"/>
        </w:numPr>
        <w:ind w:left="720"/>
        <w:jc w:val="both"/>
        <w:rPr>
          <w:szCs w:val="24"/>
        </w:rPr>
      </w:pPr>
    </w:p>
    <w:p w:rsidR="00074EC2" w:rsidRPr="00DD31CC" w:rsidRDefault="00074EC2" w:rsidP="00074EC2">
      <w:pPr>
        <w:pStyle w:val="Tablefootnote"/>
        <w:rPr>
          <w:sz w:val="18"/>
          <w:szCs w:val="18"/>
        </w:rPr>
      </w:pPr>
      <w:r w:rsidRPr="00DD31CC">
        <w:rPr>
          <w:sz w:val="18"/>
          <w:szCs w:val="18"/>
        </w:rPr>
        <w:br/>
        <w:t xml:space="preserve">Source: Figure 6, page 23 of the minor submission; Table 7, Appendix A of the minor submission </w:t>
      </w:r>
    </w:p>
    <w:p w:rsidR="00074EC2" w:rsidRPr="00DD31CC" w:rsidRDefault="00074EC2" w:rsidP="00074EC2">
      <w:pPr>
        <w:pStyle w:val="Tablefootnote"/>
        <w:rPr>
          <w:sz w:val="18"/>
          <w:szCs w:val="18"/>
        </w:rPr>
      </w:pPr>
      <w:r w:rsidRPr="00DD31CC">
        <w:rPr>
          <w:sz w:val="18"/>
          <w:szCs w:val="18"/>
        </w:rPr>
        <w:t>DEX, dexamphetamine; IR, immediate-release; LDX, lisdexamfetamine; MAS, mixed amphetamine salts, max, maximum effect size; min, minimum effect size; MPH, methylphenidate; SLR, systematic review; SMD, standardise mean difference</w:t>
      </w:r>
    </w:p>
    <w:p w:rsidR="00074EC2" w:rsidRPr="00DD31CC" w:rsidRDefault="00074EC2" w:rsidP="00074EC2">
      <w:pPr>
        <w:pStyle w:val="Tablefootnote"/>
        <w:rPr>
          <w:sz w:val="18"/>
          <w:szCs w:val="18"/>
        </w:rPr>
      </w:pPr>
      <w:r w:rsidRPr="00DD31CC">
        <w:rPr>
          <w:sz w:val="18"/>
          <w:szCs w:val="18"/>
        </w:rPr>
        <w:t>*Any amphetamine includes IR DEX, IR or long-acting MAS and LDX</w:t>
      </w:r>
    </w:p>
    <w:p w:rsidR="00074EC2" w:rsidRPr="00DD31CC" w:rsidRDefault="00074EC2" w:rsidP="00074EC2">
      <w:pPr>
        <w:pStyle w:val="Tablefootnote"/>
        <w:rPr>
          <w:sz w:val="18"/>
          <w:szCs w:val="18"/>
        </w:rPr>
      </w:pPr>
      <w:r w:rsidRPr="00DD31CC">
        <w:rPr>
          <w:sz w:val="18"/>
          <w:szCs w:val="18"/>
        </w:rPr>
        <w:t>**Any MPH includes IR MPH or long-acting MPH formulations</w:t>
      </w:r>
    </w:p>
    <w:p w:rsidR="00031FEB" w:rsidRPr="00DD31CC" w:rsidRDefault="00151377" w:rsidP="00FE608A">
      <w:pPr>
        <w:pStyle w:val="3Bodytext"/>
        <w:jc w:val="both"/>
        <w:rPr>
          <w:rFonts w:cstheme="minorHAnsi"/>
          <w:szCs w:val="24"/>
        </w:rPr>
      </w:pPr>
      <w:r w:rsidRPr="00DD31CC">
        <w:rPr>
          <w:rFonts w:cstheme="minorHAnsi"/>
          <w:szCs w:val="24"/>
        </w:rPr>
        <w:t>T</w:t>
      </w:r>
      <w:r w:rsidR="00031FEB" w:rsidRPr="00DD31CC">
        <w:rPr>
          <w:rFonts w:cstheme="minorHAnsi"/>
          <w:szCs w:val="24"/>
        </w:rPr>
        <w:t>he minor submission stated that</w:t>
      </w:r>
      <w:r w:rsidRPr="00DD31CC">
        <w:rPr>
          <w:rFonts w:cstheme="minorHAnsi"/>
          <w:szCs w:val="24"/>
        </w:rPr>
        <w:t>, whilst not providing robust evidence,</w:t>
      </w:r>
      <w:r w:rsidR="00031FEB" w:rsidRPr="00DD31CC">
        <w:rPr>
          <w:rFonts w:cstheme="minorHAnsi"/>
          <w:szCs w:val="24"/>
        </w:rPr>
        <w:t xml:space="preserve"> the treatment effect sizes reported across the </w:t>
      </w:r>
      <w:r w:rsidR="001621FC" w:rsidRPr="00DD31CC">
        <w:rPr>
          <w:rFonts w:cstheme="minorHAnsi"/>
          <w:szCs w:val="24"/>
        </w:rPr>
        <w:t>systematic literature reviews and meta-analyses</w:t>
      </w:r>
      <w:r w:rsidR="00031FEB" w:rsidRPr="00DD31CC">
        <w:rPr>
          <w:rFonts w:cstheme="minorHAnsi"/>
          <w:szCs w:val="24"/>
        </w:rPr>
        <w:t xml:space="preserve"> may be considered informative. </w:t>
      </w:r>
      <w:r w:rsidR="00FF24E1" w:rsidRPr="00DD31CC">
        <w:rPr>
          <w:rFonts w:cstheme="minorHAnsi"/>
          <w:szCs w:val="24"/>
        </w:rPr>
        <w:t xml:space="preserve">It </w:t>
      </w:r>
      <w:r w:rsidR="00760967" w:rsidRPr="00DD31CC">
        <w:rPr>
          <w:rFonts w:cstheme="minorHAnsi"/>
          <w:szCs w:val="24"/>
        </w:rPr>
        <w:t>also claimed that the large treatment effect size reported for LDX provides reasonable confidence that the level of ADHD symptom control provided by LDX is similar to, if not bett</w:t>
      </w:r>
      <w:r w:rsidR="00495CE5" w:rsidRPr="00DD31CC">
        <w:rPr>
          <w:rFonts w:cstheme="minorHAnsi"/>
          <w:szCs w:val="24"/>
        </w:rPr>
        <w:t>er than, that provided by short-</w:t>
      </w:r>
      <w:r w:rsidR="00760967" w:rsidRPr="00DD31CC">
        <w:rPr>
          <w:rFonts w:cstheme="minorHAnsi"/>
          <w:szCs w:val="24"/>
        </w:rPr>
        <w:t>acting stimulant therapies in adults, before any consideration of any additional benefits provided by LDX due to once daily dosing.</w:t>
      </w:r>
    </w:p>
    <w:p w:rsidR="00501B08" w:rsidRPr="00DD31CC" w:rsidRDefault="007F0021" w:rsidP="00501B08">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 xml:space="preserve">Comparative </w:t>
      </w:r>
      <w:r w:rsidR="005A3173" w:rsidRPr="00DD31CC">
        <w:rPr>
          <w:rFonts w:asciiTheme="minorHAnsi" w:eastAsiaTheme="majorEastAsia" w:hAnsiTheme="minorHAnsi" w:cstheme="majorBidi"/>
          <w:sz w:val="28"/>
          <w:szCs w:val="28"/>
          <w:lang w:eastAsia="en-US"/>
        </w:rPr>
        <w:t>harms</w:t>
      </w:r>
    </w:p>
    <w:p w:rsidR="00501B08" w:rsidRPr="00DD31CC" w:rsidRDefault="00501B08" w:rsidP="001621FC">
      <w:pPr>
        <w:pStyle w:val="3Bodytext"/>
        <w:jc w:val="both"/>
        <w:rPr>
          <w:rFonts w:cstheme="minorHAnsi"/>
          <w:szCs w:val="24"/>
        </w:rPr>
      </w:pPr>
      <w:r w:rsidRPr="00DD31CC">
        <w:rPr>
          <w:rFonts w:cstheme="minorHAnsi"/>
          <w:szCs w:val="24"/>
        </w:rPr>
        <w:t xml:space="preserve">The minor submission presented a review of information </w:t>
      </w:r>
      <w:r w:rsidR="00FF24E1" w:rsidRPr="00DD31CC">
        <w:rPr>
          <w:rFonts w:cstheme="minorHAnsi"/>
          <w:szCs w:val="24"/>
        </w:rPr>
        <w:t>available in the respective TGA-</w:t>
      </w:r>
      <w:r w:rsidRPr="00DD31CC">
        <w:rPr>
          <w:rFonts w:cstheme="minorHAnsi"/>
          <w:szCs w:val="24"/>
        </w:rPr>
        <w:t>approved Product Information</w:t>
      </w:r>
      <w:r w:rsidR="001621FC" w:rsidRPr="00DD31CC">
        <w:rPr>
          <w:rFonts w:cstheme="minorHAnsi"/>
          <w:szCs w:val="24"/>
        </w:rPr>
        <w:t xml:space="preserve"> leaflets</w:t>
      </w:r>
      <w:r w:rsidRPr="00DD31CC">
        <w:rPr>
          <w:rFonts w:cstheme="minorHAnsi"/>
          <w:szCs w:val="24"/>
        </w:rPr>
        <w:t xml:space="preserve"> for </w:t>
      </w:r>
      <w:r w:rsidR="00BE38E9" w:rsidRPr="00DD31CC">
        <w:rPr>
          <w:rFonts w:cstheme="minorHAnsi"/>
          <w:szCs w:val="24"/>
        </w:rPr>
        <w:t>LDX (</w:t>
      </w:r>
      <w:r w:rsidRPr="00DD31CC">
        <w:rPr>
          <w:rFonts w:cstheme="minorHAnsi"/>
          <w:szCs w:val="24"/>
        </w:rPr>
        <w:t>Vyvanse</w:t>
      </w:r>
      <w:r w:rsidR="001621FC" w:rsidRPr="00DD31CC">
        <w:rPr>
          <w:rFonts w:cstheme="minorHAnsi"/>
          <w:szCs w:val="24"/>
        </w:rPr>
        <w:t>®</w:t>
      </w:r>
      <w:r w:rsidR="00BE38E9" w:rsidRPr="00DD31CC">
        <w:rPr>
          <w:rFonts w:cstheme="minorHAnsi"/>
          <w:szCs w:val="24"/>
        </w:rPr>
        <w:t>)</w:t>
      </w:r>
      <w:r w:rsidRPr="00DD31CC">
        <w:rPr>
          <w:rFonts w:cstheme="minorHAnsi"/>
          <w:szCs w:val="24"/>
        </w:rPr>
        <w:t>,</w:t>
      </w:r>
      <w:r w:rsidR="00BE38E9" w:rsidRPr="00DD31CC">
        <w:rPr>
          <w:rFonts w:cstheme="minorHAnsi"/>
          <w:szCs w:val="24"/>
        </w:rPr>
        <w:t xml:space="preserve"> IR DEX</w:t>
      </w:r>
      <w:r w:rsidRPr="00DD31CC">
        <w:rPr>
          <w:rFonts w:cstheme="minorHAnsi"/>
          <w:szCs w:val="24"/>
        </w:rPr>
        <w:t xml:space="preserve"> </w:t>
      </w:r>
      <w:r w:rsidR="00BE38E9" w:rsidRPr="00DD31CC">
        <w:rPr>
          <w:rFonts w:cstheme="minorHAnsi"/>
          <w:szCs w:val="24"/>
        </w:rPr>
        <w:t>(</w:t>
      </w:r>
      <w:r w:rsidRPr="00DD31CC">
        <w:rPr>
          <w:rFonts w:cstheme="minorHAnsi"/>
          <w:szCs w:val="24"/>
        </w:rPr>
        <w:t>Aspen Dexamfetamine</w:t>
      </w:r>
      <w:r w:rsidR="00EE2C1F" w:rsidRPr="00DD31CC">
        <w:rPr>
          <w:rFonts w:cstheme="minorHAnsi"/>
          <w:szCs w:val="24"/>
        </w:rPr>
        <w:t>®</w:t>
      </w:r>
      <w:r w:rsidR="00BE38E9" w:rsidRPr="00DD31CC">
        <w:rPr>
          <w:rFonts w:cstheme="minorHAnsi"/>
          <w:szCs w:val="24"/>
        </w:rPr>
        <w:t xml:space="preserve"> and</w:t>
      </w:r>
      <w:r w:rsidRPr="00DD31CC">
        <w:rPr>
          <w:rFonts w:cstheme="minorHAnsi"/>
          <w:szCs w:val="24"/>
        </w:rPr>
        <w:t xml:space="preserve"> Dexmine</w:t>
      </w:r>
      <w:r w:rsidR="00EE2C1F" w:rsidRPr="00DD31CC">
        <w:rPr>
          <w:rFonts w:cstheme="minorHAnsi"/>
          <w:szCs w:val="24"/>
        </w:rPr>
        <w:t>®</w:t>
      </w:r>
      <w:r w:rsidR="00BE38E9" w:rsidRPr="00DD31CC">
        <w:rPr>
          <w:rFonts w:cstheme="minorHAnsi"/>
          <w:szCs w:val="24"/>
        </w:rPr>
        <w:t>)</w:t>
      </w:r>
      <w:r w:rsidRPr="00DD31CC">
        <w:rPr>
          <w:rFonts w:cstheme="minorHAnsi"/>
          <w:szCs w:val="24"/>
        </w:rPr>
        <w:t>,</w:t>
      </w:r>
      <w:r w:rsidR="00495CE5" w:rsidRPr="00DD31CC">
        <w:rPr>
          <w:rFonts w:cstheme="minorHAnsi"/>
          <w:szCs w:val="24"/>
        </w:rPr>
        <w:t xml:space="preserve"> long-</w:t>
      </w:r>
      <w:r w:rsidR="00BE38E9" w:rsidRPr="00DD31CC">
        <w:rPr>
          <w:rFonts w:cstheme="minorHAnsi"/>
          <w:szCs w:val="24"/>
        </w:rPr>
        <w:t>acting MPH</w:t>
      </w:r>
      <w:r w:rsidRPr="00DD31CC">
        <w:rPr>
          <w:rFonts w:cstheme="minorHAnsi"/>
          <w:szCs w:val="24"/>
        </w:rPr>
        <w:t xml:space="preserve"> </w:t>
      </w:r>
      <w:r w:rsidR="00BE38E9" w:rsidRPr="00DD31CC">
        <w:rPr>
          <w:rFonts w:cstheme="minorHAnsi"/>
          <w:szCs w:val="24"/>
        </w:rPr>
        <w:t>(</w:t>
      </w:r>
      <w:r w:rsidRPr="00DD31CC">
        <w:rPr>
          <w:rFonts w:cstheme="minorHAnsi"/>
          <w:szCs w:val="24"/>
        </w:rPr>
        <w:t>Ritalin LA</w:t>
      </w:r>
      <w:r w:rsidR="00EE2C1F" w:rsidRPr="00DD31CC">
        <w:rPr>
          <w:rFonts w:cstheme="minorHAnsi"/>
          <w:szCs w:val="24"/>
        </w:rPr>
        <w:t>®</w:t>
      </w:r>
      <w:r w:rsidR="00BE38E9" w:rsidRPr="00DD31CC">
        <w:rPr>
          <w:rFonts w:cstheme="minorHAnsi"/>
          <w:szCs w:val="24"/>
        </w:rPr>
        <w:t>), and IR MPH (</w:t>
      </w:r>
      <w:r w:rsidRPr="00DD31CC">
        <w:rPr>
          <w:rFonts w:cstheme="minorHAnsi"/>
          <w:szCs w:val="24"/>
        </w:rPr>
        <w:t>Ritalin</w:t>
      </w:r>
      <w:r w:rsidR="00EE2C1F" w:rsidRPr="00DD31CC">
        <w:rPr>
          <w:rFonts w:cstheme="minorHAnsi"/>
          <w:szCs w:val="24"/>
        </w:rPr>
        <w:t>®</w:t>
      </w:r>
      <w:r w:rsidRPr="00DD31CC">
        <w:rPr>
          <w:rFonts w:cstheme="minorHAnsi"/>
          <w:szCs w:val="24"/>
        </w:rPr>
        <w:t xml:space="preserve"> 10 and Artige</w:t>
      </w:r>
      <w:r w:rsidR="00EE2C1F" w:rsidRPr="00DD31CC">
        <w:rPr>
          <w:rFonts w:cstheme="minorHAnsi"/>
          <w:szCs w:val="24"/>
        </w:rPr>
        <w:t>®</w:t>
      </w:r>
      <w:r w:rsidR="00BE38E9" w:rsidRPr="00DD31CC">
        <w:rPr>
          <w:rFonts w:cstheme="minorHAnsi"/>
          <w:szCs w:val="24"/>
        </w:rPr>
        <w:t>)</w:t>
      </w:r>
      <w:r w:rsidR="006948D6" w:rsidRPr="00DD31CC">
        <w:rPr>
          <w:rFonts w:cstheme="minorHAnsi"/>
          <w:szCs w:val="24"/>
        </w:rPr>
        <w:t>.</w:t>
      </w:r>
    </w:p>
    <w:p w:rsidR="00501B08" w:rsidRPr="00DD31CC" w:rsidRDefault="00F26FC4" w:rsidP="001621FC">
      <w:pPr>
        <w:pStyle w:val="3Bodytext"/>
        <w:jc w:val="both"/>
        <w:rPr>
          <w:rFonts w:cstheme="minorHAnsi"/>
          <w:szCs w:val="24"/>
        </w:rPr>
      </w:pPr>
      <w:r w:rsidRPr="00DD31CC">
        <w:rPr>
          <w:rFonts w:cstheme="minorHAnsi"/>
          <w:szCs w:val="24"/>
        </w:rPr>
        <w:t>The minor submission stated that the adverse effect profiles, contraindications, special warnings and precautions for use are similar across all three therapies, wi</w:t>
      </w:r>
      <w:r w:rsidR="00FF24E1" w:rsidRPr="00DD31CC">
        <w:rPr>
          <w:rFonts w:cstheme="minorHAnsi"/>
          <w:szCs w:val="24"/>
        </w:rPr>
        <w:t xml:space="preserve">th common adverse effects </w:t>
      </w:r>
      <w:r w:rsidRPr="00DD31CC">
        <w:rPr>
          <w:rFonts w:cstheme="minorHAnsi"/>
          <w:szCs w:val="24"/>
        </w:rPr>
        <w:t xml:space="preserve">such as insomnia, nausea, decreased appetite and increased blood pressure. </w:t>
      </w:r>
    </w:p>
    <w:p w:rsidR="00F26FC4" w:rsidRPr="00DD31CC" w:rsidRDefault="00B640A0" w:rsidP="001621FC">
      <w:pPr>
        <w:pStyle w:val="3Bodytext"/>
        <w:jc w:val="both"/>
        <w:rPr>
          <w:rFonts w:cstheme="minorHAnsi"/>
          <w:szCs w:val="24"/>
        </w:rPr>
      </w:pPr>
      <w:r w:rsidRPr="00DD31CC">
        <w:rPr>
          <w:rFonts w:cstheme="minorHAnsi"/>
          <w:szCs w:val="24"/>
        </w:rPr>
        <w:t>The minor submission noted that</w:t>
      </w:r>
      <w:r w:rsidR="00F26FC4" w:rsidRPr="00DD31CC">
        <w:rPr>
          <w:rFonts w:cstheme="minorHAnsi"/>
          <w:szCs w:val="24"/>
        </w:rPr>
        <w:t xml:space="preserve"> for patients with borderline hypertension and antecedent cardiac disease, sympathomimetic effects (e.g. increases in blood pressure and heart rate)</w:t>
      </w:r>
      <w:r w:rsidRPr="00DD31CC">
        <w:rPr>
          <w:rFonts w:cstheme="minorHAnsi"/>
          <w:szCs w:val="24"/>
        </w:rPr>
        <w:t>, although usually small,</w:t>
      </w:r>
      <w:r w:rsidR="00F26FC4" w:rsidRPr="00DD31CC">
        <w:rPr>
          <w:rFonts w:cstheme="minorHAnsi"/>
          <w:szCs w:val="24"/>
        </w:rPr>
        <w:t xml:space="preserve"> could be clinically significant</w:t>
      </w:r>
      <w:r w:rsidR="00E87ADA" w:rsidRPr="00DD31CC">
        <w:rPr>
          <w:rFonts w:cstheme="minorHAnsi"/>
          <w:szCs w:val="24"/>
        </w:rPr>
        <w:t xml:space="preserve"> for patients using short-acting or long-acting stimulant therapies</w:t>
      </w:r>
      <w:r w:rsidR="00F26FC4" w:rsidRPr="00DD31CC">
        <w:rPr>
          <w:rFonts w:cstheme="minorHAnsi"/>
          <w:szCs w:val="24"/>
        </w:rPr>
        <w:t xml:space="preserve">. </w:t>
      </w:r>
    </w:p>
    <w:p w:rsidR="00F26FC4" w:rsidRPr="00DD31CC" w:rsidRDefault="00F26FC4" w:rsidP="001621FC">
      <w:pPr>
        <w:pStyle w:val="3Bodytext"/>
        <w:jc w:val="both"/>
        <w:rPr>
          <w:rFonts w:cstheme="minorHAnsi"/>
          <w:szCs w:val="24"/>
        </w:rPr>
      </w:pPr>
      <w:r w:rsidRPr="00DD31CC">
        <w:rPr>
          <w:rFonts w:cstheme="minorHAnsi"/>
          <w:szCs w:val="24"/>
        </w:rPr>
        <w:t>The minor submission claimed that a key distinguishing fe</w:t>
      </w:r>
      <w:r w:rsidR="00495CE5" w:rsidRPr="00DD31CC">
        <w:rPr>
          <w:rFonts w:cstheme="minorHAnsi"/>
          <w:szCs w:val="24"/>
        </w:rPr>
        <w:t>ature between LDX and the short-</w:t>
      </w:r>
      <w:r w:rsidRPr="00DD31CC">
        <w:rPr>
          <w:rFonts w:cstheme="minorHAnsi"/>
          <w:szCs w:val="24"/>
        </w:rPr>
        <w:t>acting stimulants relates to a comparatively lower potential for abuse, misuse, dependence, or diversion for non-therapeutic uses, based on its pharmacokinetic</w:t>
      </w:r>
      <w:r w:rsidR="00EE2C1F" w:rsidRPr="00DD31CC">
        <w:rPr>
          <w:rFonts w:cstheme="minorHAnsi"/>
          <w:szCs w:val="24"/>
        </w:rPr>
        <w:t xml:space="preserve"> and physiochemical properties.</w:t>
      </w:r>
    </w:p>
    <w:p w:rsidR="003C2FB5" w:rsidRPr="00DD31CC" w:rsidRDefault="005A3173" w:rsidP="008306F3">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Clinical claim</w:t>
      </w:r>
    </w:p>
    <w:p w:rsidR="00F57A6D" w:rsidRPr="00DD31CC" w:rsidRDefault="00FF2801" w:rsidP="00891B4D">
      <w:pPr>
        <w:pStyle w:val="3Bodytext"/>
        <w:jc w:val="both"/>
        <w:rPr>
          <w:rFonts w:cstheme="minorHAnsi"/>
          <w:szCs w:val="24"/>
        </w:rPr>
      </w:pPr>
      <w:r w:rsidRPr="00DD31CC">
        <w:rPr>
          <w:rFonts w:cstheme="minorHAnsi"/>
          <w:szCs w:val="24"/>
        </w:rPr>
        <w:t xml:space="preserve">The </w:t>
      </w:r>
      <w:r w:rsidR="00E47FB8" w:rsidRPr="00DD31CC">
        <w:rPr>
          <w:rFonts w:cstheme="minorHAnsi"/>
          <w:szCs w:val="24"/>
        </w:rPr>
        <w:t xml:space="preserve">minor submission claimed that, within the limits of the available evidence, LDX is </w:t>
      </w:r>
      <w:r w:rsidR="006948D6" w:rsidRPr="00DD31CC">
        <w:rPr>
          <w:rFonts w:cstheme="minorHAnsi"/>
          <w:szCs w:val="24"/>
        </w:rPr>
        <w:t>at least non-inferior to</w:t>
      </w:r>
      <w:r w:rsidR="00495CE5" w:rsidRPr="00DD31CC">
        <w:rPr>
          <w:rFonts w:cstheme="minorHAnsi"/>
          <w:szCs w:val="24"/>
        </w:rPr>
        <w:t xml:space="preserve"> short-</w:t>
      </w:r>
      <w:r w:rsidR="006948D6" w:rsidRPr="00DD31CC">
        <w:rPr>
          <w:rFonts w:cstheme="minorHAnsi"/>
          <w:szCs w:val="24"/>
        </w:rPr>
        <w:t xml:space="preserve">acting stimulants </w:t>
      </w:r>
      <w:r w:rsidR="00F630DB" w:rsidRPr="00DD31CC">
        <w:rPr>
          <w:rFonts w:cstheme="minorHAnsi"/>
          <w:szCs w:val="24"/>
        </w:rPr>
        <w:t>IR DEX and IR MPH</w:t>
      </w:r>
      <w:r w:rsidR="00E47FB8" w:rsidRPr="00DD31CC">
        <w:rPr>
          <w:rFonts w:cstheme="minorHAnsi"/>
          <w:szCs w:val="24"/>
        </w:rPr>
        <w:t xml:space="preserve"> in terms of </w:t>
      </w:r>
      <w:r w:rsidR="00151377" w:rsidRPr="00DD31CC">
        <w:rPr>
          <w:rFonts w:cstheme="minorHAnsi"/>
          <w:szCs w:val="24"/>
        </w:rPr>
        <w:t>efficacy</w:t>
      </w:r>
      <w:r w:rsidR="00DD31CC">
        <w:rPr>
          <w:rFonts w:cstheme="minorHAnsi"/>
          <w:szCs w:val="24"/>
        </w:rPr>
        <w:t xml:space="preserve">. </w:t>
      </w:r>
      <w:r w:rsidR="00C00DA7" w:rsidRPr="00DD31CC">
        <w:rPr>
          <w:rFonts w:cstheme="minorHAnsi"/>
          <w:i/>
          <w:szCs w:val="24"/>
        </w:rPr>
        <w:t xml:space="preserve"> </w:t>
      </w:r>
    </w:p>
    <w:p w:rsidR="007B3BB0" w:rsidRPr="00E25B55" w:rsidRDefault="00FF24E1" w:rsidP="007222C5">
      <w:pPr>
        <w:pStyle w:val="3Bodytext"/>
        <w:jc w:val="both"/>
        <w:rPr>
          <w:rFonts w:cstheme="minorHAnsi"/>
          <w:szCs w:val="24"/>
        </w:rPr>
      </w:pPr>
      <w:r w:rsidRPr="00DD31CC">
        <w:rPr>
          <w:rFonts w:cstheme="minorHAnsi"/>
          <w:szCs w:val="24"/>
        </w:rPr>
        <w:t>The submission</w:t>
      </w:r>
      <w:r w:rsidR="00F26FC4" w:rsidRPr="00DD31CC">
        <w:rPr>
          <w:rFonts w:cstheme="minorHAnsi"/>
          <w:szCs w:val="24"/>
        </w:rPr>
        <w:t xml:space="preserve"> also claimed that LDX is non-inferior in terms of safety versus IR DEX and IR MPH.</w:t>
      </w:r>
    </w:p>
    <w:p w:rsidR="005A3173" w:rsidRPr="00DD31CC" w:rsidRDefault="005A3173" w:rsidP="00966D0D">
      <w:pPr>
        <w:pStyle w:val="Heading2"/>
        <w:keepLines/>
        <w:spacing w:before="240" w:after="120"/>
        <w:rPr>
          <w:rFonts w:asciiTheme="minorHAnsi" w:eastAsiaTheme="majorEastAsia" w:hAnsiTheme="minorHAnsi" w:cstheme="majorBidi"/>
          <w:sz w:val="28"/>
          <w:szCs w:val="28"/>
          <w:lang w:eastAsia="en-US"/>
        </w:rPr>
      </w:pPr>
      <w:r w:rsidRPr="00E25B55">
        <w:rPr>
          <w:rFonts w:asciiTheme="minorHAnsi" w:eastAsiaTheme="majorEastAsia" w:hAnsiTheme="minorHAnsi" w:cstheme="majorBidi"/>
          <w:sz w:val="28"/>
          <w:szCs w:val="28"/>
          <w:lang w:eastAsia="en-US"/>
        </w:rPr>
        <w:t>Economic analysis</w:t>
      </w:r>
      <w:r w:rsidR="009803E4" w:rsidRPr="00E25B55">
        <w:rPr>
          <w:rFonts w:asciiTheme="minorHAnsi" w:eastAsiaTheme="majorEastAsia" w:hAnsiTheme="minorHAnsi" w:cstheme="majorBidi"/>
          <w:sz w:val="28"/>
          <w:szCs w:val="28"/>
          <w:lang w:eastAsia="en-US"/>
        </w:rPr>
        <w:t xml:space="preserve"> </w:t>
      </w:r>
    </w:p>
    <w:p w:rsidR="00887ACA" w:rsidRPr="00DD31CC" w:rsidRDefault="00887ACA" w:rsidP="00891B4D">
      <w:pPr>
        <w:pStyle w:val="Bodytextitalics"/>
        <w:jc w:val="both"/>
        <w:rPr>
          <w:rFonts w:cstheme="minorHAnsi"/>
          <w:szCs w:val="24"/>
        </w:rPr>
      </w:pPr>
      <w:r w:rsidRPr="00DD31CC">
        <w:rPr>
          <w:rFonts w:cstheme="minorHAnsi"/>
          <w:i w:val="0"/>
          <w:szCs w:val="24"/>
        </w:rPr>
        <w:t>The minor submission did not present a formal ec</w:t>
      </w:r>
      <w:r w:rsidR="00FC0057" w:rsidRPr="00DD31CC">
        <w:rPr>
          <w:rFonts w:cstheme="minorHAnsi"/>
          <w:i w:val="0"/>
          <w:szCs w:val="24"/>
        </w:rPr>
        <w:t>onomic evaluation. Rather, it</w:t>
      </w:r>
      <w:r w:rsidRPr="00DD31CC">
        <w:rPr>
          <w:rFonts w:cstheme="minorHAnsi"/>
          <w:i w:val="0"/>
          <w:szCs w:val="24"/>
        </w:rPr>
        <w:t xml:space="preserve"> </w:t>
      </w:r>
      <w:r w:rsidR="004E6877" w:rsidRPr="00DD31CC">
        <w:rPr>
          <w:rFonts w:cstheme="minorHAnsi"/>
          <w:i w:val="0"/>
          <w:szCs w:val="24"/>
        </w:rPr>
        <w:t xml:space="preserve">proposed </w:t>
      </w:r>
      <w:r w:rsidRPr="00DD31CC">
        <w:rPr>
          <w:rFonts w:cstheme="minorHAnsi"/>
          <w:i w:val="0"/>
          <w:szCs w:val="24"/>
        </w:rPr>
        <w:t xml:space="preserve">that a proportion of the price premium awarded to Concerta </w:t>
      </w:r>
      <w:r w:rsidR="00FC0057" w:rsidRPr="00DD31CC">
        <w:rPr>
          <w:rFonts w:cstheme="minorHAnsi"/>
          <w:i w:val="0"/>
          <w:szCs w:val="24"/>
        </w:rPr>
        <w:t xml:space="preserve">(in 2006) </w:t>
      </w:r>
      <w:r w:rsidRPr="00DD31CC">
        <w:rPr>
          <w:rFonts w:cstheme="minorHAnsi"/>
          <w:i w:val="0"/>
          <w:szCs w:val="24"/>
        </w:rPr>
        <w:t>and other long</w:t>
      </w:r>
      <w:r w:rsidR="00495CE5" w:rsidRPr="00DD31CC">
        <w:rPr>
          <w:rFonts w:cstheme="minorHAnsi"/>
          <w:i w:val="0"/>
          <w:szCs w:val="24"/>
        </w:rPr>
        <w:t xml:space="preserve">-acting formulations over </w:t>
      </w:r>
      <w:r w:rsidR="0045413B" w:rsidRPr="00DD31CC">
        <w:rPr>
          <w:rFonts w:cstheme="minorHAnsi"/>
          <w:i w:val="0"/>
          <w:szCs w:val="24"/>
        </w:rPr>
        <w:t>IR MPH</w:t>
      </w:r>
      <w:r w:rsidRPr="00DD31CC">
        <w:rPr>
          <w:rFonts w:cstheme="minorHAnsi"/>
          <w:i w:val="0"/>
          <w:szCs w:val="24"/>
        </w:rPr>
        <w:t xml:space="preserve"> in the child</w:t>
      </w:r>
      <w:r w:rsidR="00CF000E" w:rsidRPr="00DD31CC">
        <w:rPr>
          <w:rFonts w:cstheme="minorHAnsi"/>
          <w:i w:val="0"/>
          <w:szCs w:val="24"/>
        </w:rPr>
        <w:t>/</w:t>
      </w:r>
      <w:r w:rsidRPr="00DD31CC">
        <w:rPr>
          <w:rFonts w:cstheme="minorHAnsi"/>
          <w:i w:val="0"/>
          <w:szCs w:val="24"/>
        </w:rPr>
        <w:t>adolescent population also be awarded to LDX in adults</w:t>
      </w:r>
      <w:r w:rsidR="00E92DE2" w:rsidRPr="00DD31CC">
        <w:rPr>
          <w:rFonts w:cstheme="minorHAnsi"/>
          <w:i w:val="0"/>
          <w:szCs w:val="24"/>
        </w:rPr>
        <w:t xml:space="preserve"> (relative to IR DEX)</w:t>
      </w:r>
      <w:r w:rsidRPr="00DD31CC">
        <w:rPr>
          <w:rFonts w:cstheme="minorHAnsi"/>
          <w:i w:val="0"/>
          <w:szCs w:val="24"/>
        </w:rPr>
        <w:t xml:space="preserve">. The submission stated that this is based on </w:t>
      </w:r>
      <w:r w:rsidR="00FF24E1" w:rsidRPr="00DD31CC">
        <w:rPr>
          <w:rFonts w:cstheme="minorHAnsi"/>
          <w:i w:val="0"/>
          <w:szCs w:val="24"/>
        </w:rPr>
        <w:t>“</w:t>
      </w:r>
      <w:r w:rsidRPr="00DD31CC">
        <w:rPr>
          <w:rFonts w:cstheme="minorHAnsi"/>
          <w:i w:val="0"/>
          <w:szCs w:val="24"/>
        </w:rPr>
        <w:t>analogous, although potentially less valuable, non-clinical benefits</w:t>
      </w:r>
      <w:r w:rsidR="00FF24E1" w:rsidRPr="00DD31CC">
        <w:rPr>
          <w:rFonts w:cstheme="minorHAnsi"/>
          <w:i w:val="0"/>
          <w:szCs w:val="24"/>
        </w:rPr>
        <w:t>”</w:t>
      </w:r>
      <w:r w:rsidRPr="00DD31CC">
        <w:rPr>
          <w:rFonts w:cstheme="minorHAnsi"/>
          <w:i w:val="0"/>
          <w:szCs w:val="24"/>
        </w:rPr>
        <w:t xml:space="preserve"> </w:t>
      </w:r>
      <w:r w:rsidR="004E6877" w:rsidRPr="00DD31CC">
        <w:rPr>
          <w:rFonts w:cstheme="minorHAnsi"/>
          <w:i w:val="0"/>
          <w:szCs w:val="24"/>
        </w:rPr>
        <w:t xml:space="preserve">of once daily dosing </w:t>
      </w:r>
      <w:r w:rsidRPr="00DD31CC">
        <w:rPr>
          <w:rFonts w:cstheme="minorHAnsi"/>
          <w:i w:val="0"/>
          <w:szCs w:val="24"/>
        </w:rPr>
        <w:t>in the adult population</w:t>
      </w:r>
      <w:r w:rsidR="004E6877" w:rsidRPr="00DD31CC">
        <w:rPr>
          <w:rFonts w:cstheme="minorHAnsi"/>
          <w:i w:val="0"/>
          <w:szCs w:val="24"/>
        </w:rPr>
        <w:t xml:space="preserve"> compared to the child/adolescent population</w:t>
      </w:r>
      <w:r w:rsidR="00161BD0" w:rsidRPr="00DD31CC">
        <w:rPr>
          <w:rFonts w:cstheme="minorHAnsi"/>
          <w:i w:val="0"/>
          <w:szCs w:val="24"/>
        </w:rPr>
        <w:t>.</w:t>
      </w:r>
    </w:p>
    <w:p w:rsidR="002867A6" w:rsidRPr="00DD31CC" w:rsidRDefault="00FC0057" w:rsidP="00891B4D">
      <w:pPr>
        <w:pStyle w:val="3Bodytext"/>
        <w:jc w:val="both"/>
        <w:rPr>
          <w:rFonts w:cstheme="minorHAnsi"/>
          <w:szCs w:val="24"/>
        </w:rPr>
      </w:pPr>
      <w:r w:rsidRPr="00DD31CC">
        <w:rPr>
          <w:rFonts w:cstheme="minorHAnsi"/>
          <w:szCs w:val="24"/>
        </w:rPr>
        <w:t xml:space="preserve">The minor submission stated that the clinical claim </w:t>
      </w:r>
      <w:r w:rsidR="004E6877" w:rsidRPr="00DD31CC">
        <w:rPr>
          <w:rFonts w:cstheme="minorHAnsi"/>
          <w:szCs w:val="24"/>
        </w:rPr>
        <w:t>ha</w:t>
      </w:r>
      <w:r w:rsidR="00021C9C" w:rsidRPr="00DD31CC">
        <w:rPr>
          <w:rFonts w:cstheme="minorHAnsi"/>
          <w:szCs w:val="24"/>
        </w:rPr>
        <w:t>d</w:t>
      </w:r>
      <w:r w:rsidR="004E6877" w:rsidRPr="00DD31CC">
        <w:rPr>
          <w:rFonts w:cstheme="minorHAnsi"/>
          <w:szCs w:val="24"/>
        </w:rPr>
        <w:t xml:space="preserve"> not taken into account the</w:t>
      </w:r>
      <w:r w:rsidRPr="00DD31CC">
        <w:rPr>
          <w:rFonts w:cstheme="minorHAnsi"/>
          <w:szCs w:val="24"/>
        </w:rPr>
        <w:t xml:space="preserve"> additional benefits provided to adults by LDX </w:t>
      </w:r>
      <w:r w:rsidR="00FF24E1" w:rsidRPr="00DD31CC">
        <w:rPr>
          <w:rFonts w:cstheme="minorHAnsi"/>
          <w:szCs w:val="24"/>
        </w:rPr>
        <w:t xml:space="preserve">due to once daily dosing. </w:t>
      </w:r>
      <w:r w:rsidR="004E6877" w:rsidRPr="00DD31CC">
        <w:rPr>
          <w:rFonts w:cstheme="minorHAnsi"/>
          <w:szCs w:val="24"/>
        </w:rPr>
        <w:t>T</w:t>
      </w:r>
      <w:r w:rsidRPr="00DD31CC">
        <w:rPr>
          <w:rFonts w:cstheme="minorHAnsi"/>
          <w:szCs w:val="24"/>
        </w:rPr>
        <w:t xml:space="preserve">hese benefits </w:t>
      </w:r>
      <w:r w:rsidR="004E6877" w:rsidRPr="00DD31CC">
        <w:rPr>
          <w:rFonts w:cstheme="minorHAnsi"/>
          <w:szCs w:val="24"/>
        </w:rPr>
        <w:t>were acknowledged by the</w:t>
      </w:r>
      <w:r w:rsidR="00495CE5" w:rsidRPr="00DD31CC">
        <w:rPr>
          <w:rFonts w:cstheme="minorHAnsi"/>
          <w:szCs w:val="24"/>
        </w:rPr>
        <w:t xml:space="preserve"> PBAC for long-</w:t>
      </w:r>
      <w:r w:rsidRPr="00DD31CC">
        <w:rPr>
          <w:rFonts w:cstheme="minorHAnsi"/>
          <w:szCs w:val="24"/>
        </w:rPr>
        <w:t>acting stimulant therapies in the child</w:t>
      </w:r>
      <w:r w:rsidR="00CF000E" w:rsidRPr="00DD31CC">
        <w:rPr>
          <w:rFonts w:cstheme="minorHAnsi"/>
          <w:szCs w:val="24"/>
        </w:rPr>
        <w:t>/a</w:t>
      </w:r>
      <w:r w:rsidRPr="00DD31CC">
        <w:rPr>
          <w:rFonts w:cstheme="minorHAnsi"/>
          <w:szCs w:val="24"/>
        </w:rPr>
        <w:t xml:space="preserve">dolescent setting </w:t>
      </w:r>
      <w:r w:rsidR="004E6877" w:rsidRPr="00DD31CC">
        <w:rPr>
          <w:rFonts w:cstheme="minorHAnsi"/>
          <w:szCs w:val="24"/>
        </w:rPr>
        <w:t xml:space="preserve">in its November </w:t>
      </w:r>
      <w:r w:rsidR="009E47F3" w:rsidRPr="00DD31CC">
        <w:rPr>
          <w:rFonts w:cstheme="minorHAnsi"/>
          <w:szCs w:val="24"/>
        </w:rPr>
        <w:t>2006 recommendation for Concerta, including</w:t>
      </w:r>
      <w:r w:rsidRPr="00DD31CC">
        <w:t xml:space="preserve"> likely improvements in compliance and in ease of administration, particularly in relation to the removal of the need for </w:t>
      </w:r>
      <w:r w:rsidR="009E47F3" w:rsidRPr="00DD31CC">
        <w:t xml:space="preserve">a dose of medication at school. </w:t>
      </w:r>
    </w:p>
    <w:p w:rsidR="002867A6" w:rsidRPr="00DD31CC" w:rsidRDefault="002867A6" w:rsidP="00891B4D">
      <w:pPr>
        <w:pStyle w:val="3Bodytext"/>
        <w:jc w:val="both"/>
        <w:rPr>
          <w:rFonts w:cstheme="minorHAnsi"/>
          <w:szCs w:val="24"/>
        </w:rPr>
      </w:pPr>
      <w:r w:rsidRPr="00DD31CC">
        <w:rPr>
          <w:rFonts w:cstheme="minorHAnsi"/>
          <w:szCs w:val="24"/>
        </w:rPr>
        <w:t>The minor submission stated that the additional benefits</w:t>
      </w:r>
      <w:r w:rsidR="008D4F7E" w:rsidRPr="00DD31CC">
        <w:rPr>
          <w:rFonts w:cstheme="minorHAnsi"/>
          <w:szCs w:val="24"/>
        </w:rPr>
        <w:t xml:space="preserve"> of LDX compared to the nominated comparator</w:t>
      </w:r>
      <w:r w:rsidRPr="00DD31CC">
        <w:rPr>
          <w:rFonts w:cstheme="minorHAnsi"/>
          <w:szCs w:val="24"/>
        </w:rPr>
        <w:t xml:space="preserve"> </w:t>
      </w:r>
      <w:r w:rsidR="009E47F3" w:rsidRPr="00DD31CC">
        <w:rPr>
          <w:rFonts w:cstheme="minorHAnsi"/>
          <w:szCs w:val="24"/>
        </w:rPr>
        <w:t>in adults include:</w:t>
      </w:r>
    </w:p>
    <w:p w:rsidR="002867A6" w:rsidRPr="00743538" w:rsidRDefault="002867A6" w:rsidP="00891B4D">
      <w:pPr>
        <w:pStyle w:val="ListParagraph"/>
        <w:numPr>
          <w:ilvl w:val="0"/>
          <w:numId w:val="27"/>
        </w:numPr>
        <w:ind w:left="1077" w:hanging="357"/>
        <w:rPr>
          <w:rFonts w:asciiTheme="minorHAnsi" w:hAnsiTheme="minorHAnsi" w:cstheme="minorHAnsi"/>
          <w:sz w:val="24"/>
          <w:szCs w:val="24"/>
        </w:rPr>
      </w:pPr>
      <w:r w:rsidRPr="00743538">
        <w:rPr>
          <w:rFonts w:asciiTheme="minorHAnsi" w:hAnsiTheme="minorHAnsi" w:cstheme="minorHAnsi"/>
          <w:sz w:val="24"/>
          <w:szCs w:val="24"/>
        </w:rPr>
        <w:t>A smoother and a longer duration of effect, thereby avoiding the peaks and troughs and wearing off effects which that occur throughout the day with short-acting therapy</w:t>
      </w:r>
      <w:r w:rsidR="00891B4D" w:rsidRPr="00743538">
        <w:rPr>
          <w:rFonts w:asciiTheme="minorHAnsi" w:hAnsiTheme="minorHAnsi" w:cstheme="minorHAnsi"/>
          <w:sz w:val="24"/>
          <w:szCs w:val="24"/>
        </w:rPr>
        <w:t>;</w:t>
      </w:r>
    </w:p>
    <w:p w:rsidR="002867A6" w:rsidRPr="00743538" w:rsidRDefault="002867A6" w:rsidP="00891B4D">
      <w:pPr>
        <w:pStyle w:val="ListParagraph"/>
        <w:numPr>
          <w:ilvl w:val="0"/>
          <w:numId w:val="27"/>
        </w:numPr>
        <w:ind w:left="1077" w:hanging="357"/>
        <w:rPr>
          <w:rFonts w:asciiTheme="minorHAnsi" w:hAnsiTheme="minorHAnsi" w:cstheme="minorHAnsi"/>
          <w:sz w:val="24"/>
          <w:szCs w:val="24"/>
        </w:rPr>
      </w:pPr>
      <w:r w:rsidRPr="00743538">
        <w:rPr>
          <w:rFonts w:asciiTheme="minorHAnsi" w:hAnsiTheme="minorHAnsi" w:cstheme="minorHAnsi"/>
          <w:sz w:val="24"/>
          <w:szCs w:val="24"/>
        </w:rPr>
        <w:t xml:space="preserve">Convenience and ease of once-a-day administration which removes the need for a second, third or even fourth doses to be taken during the day in the workplace; with avoidance </w:t>
      </w:r>
      <w:r w:rsidR="00891B4D" w:rsidRPr="00743538">
        <w:rPr>
          <w:rFonts w:asciiTheme="minorHAnsi" w:hAnsiTheme="minorHAnsi" w:cstheme="minorHAnsi"/>
          <w:sz w:val="24"/>
          <w:szCs w:val="24"/>
        </w:rPr>
        <w:t>of the associated social stigma;</w:t>
      </w:r>
    </w:p>
    <w:p w:rsidR="002867A6" w:rsidRPr="00743538" w:rsidRDefault="002867A6" w:rsidP="00891B4D">
      <w:pPr>
        <w:pStyle w:val="ListParagraph"/>
        <w:numPr>
          <w:ilvl w:val="0"/>
          <w:numId w:val="27"/>
        </w:numPr>
        <w:ind w:left="1077" w:hanging="357"/>
        <w:rPr>
          <w:rFonts w:asciiTheme="minorHAnsi" w:hAnsiTheme="minorHAnsi" w:cstheme="minorHAnsi"/>
          <w:sz w:val="24"/>
          <w:szCs w:val="24"/>
        </w:rPr>
      </w:pPr>
      <w:r w:rsidRPr="00743538">
        <w:rPr>
          <w:rFonts w:asciiTheme="minorHAnsi" w:hAnsiTheme="minorHAnsi" w:cstheme="minorHAnsi"/>
          <w:sz w:val="24"/>
          <w:szCs w:val="24"/>
        </w:rPr>
        <w:t>Improved medication compliance (adherence/ persistence)</w:t>
      </w:r>
      <w:r w:rsidR="00891B4D" w:rsidRPr="00743538">
        <w:rPr>
          <w:rFonts w:asciiTheme="minorHAnsi" w:hAnsiTheme="minorHAnsi" w:cstheme="minorHAnsi"/>
          <w:sz w:val="24"/>
          <w:szCs w:val="24"/>
        </w:rPr>
        <w:t>;</w:t>
      </w:r>
      <w:r w:rsidR="009E47F3" w:rsidRPr="00743538">
        <w:rPr>
          <w:rFonts w:asciiTheme="minorHAnsi" w:hAnsiTheme="minorHAnsi" w:cstheme="minorHAnsi"/>
          <w:sz w:val="24"/>
          <w:szCs w:val="24"/>
        </w:rPr>
        <w:t xml:space="preserve"> and</w:t>
      </w:r>
    </w:p>
    <w:p w:rsidR="002867A6" w:rsidRPr="00743538" w:rsidRDefault="002867A6" w:rsidP="00CD3149">
      <w:pPr>
        <w:pStyle w:val="ListParagraph"/>
        <w:numPr>
          <w:ilvl w:val="0"/>
          <w:numId w:val="27"/>
        </w:numPr>
        <w:spacing w:after="120"/>
        <w:ind w:left="1077" w:hanging="357"/>
        <w:contextualSpacing w:val="0"/>
        <w:rPr>
          <w:rFonts w:asciiTheme="minorHAnsi" w:hAnsiTheme="minorHAnsi" w:cstheme="minorHAnsi"/>
          <w:sz w:val="24"/>
          <w:szCs w:val="24"/>
        </w:rPr>
      </w:pPr>
      <w:r w:rsidRPr="00743538">
        <w:rPr>
          <w:rFonts w:asciiTheme="minorHAnsi" w:hAnsiTheme="minorHAnsi" w:cstheme="minorHAnsi"/>
          <w:sz w:val="24"/>
          <w:szCs w:val="24"/>
        </w:rPr>
        <w:t>A decreased risk of misuse or diversion</w:t>
      </w:r>
      <w:r w:rsidR="009E47F3" w:rsidRPr="00743538">
        <w:rPr>
          <w:rFonts w:asciiTheme="minorHAnsi" w:hAnsiTheme="minorHAnsi" w:cstheme="minorHAnsi"/>
          <w:sz w:val="24"/>
          <w:szCs w:val="24"/>
        </w:rPr>
        <w:t>.</w:t>
      </w:r>
    </w:p>
    <w:p w:rsidR="00432A56" w:rsidRPr="00DD31CC" w:rsidRDefault="00432A56" w:rsidP="00743538">
      <w:pPr>
        <w:pStyle w:val="Bodytextitalics"/>
        <w:jc w:val="both"/>
        <w:rPr>
          <w:i w:val="0"/>
        </w:rPr>
      </w:pPr>
      <w:r w:rsidRPr="00DD31CC">
        <w:rPr>
          <w:i w:val="0"/>
        </w:rPr>
        <w:t xml:space="preserve">The submission acknowledged that the potential benefits of once daily treatment in adults will be different to that for children/adolescents (e.g. the removal of school dosing is not applicable to adults). Conversely, the impact of treatment on driving is not applicable to children/adolescents. The reduced risk of misuse, abuse and diversion however is arguably of greater applicability in an adult population. </w:t>
      </w:r>
    </w:p>
    <w:p w:rsidR="004C7456" w:rsidRPr="00DD31CC" w:rsidRDefault="00C11FBA" w:rsidP="00471144">
      <w:pPr>
        <w:pStyle w:val="Bodytextitalics"/>
        <w:jc w:val="both"/>
        <w:rPr>
          <w:rFonts w:cstheme="minorHAnsi"/>
          <w:i w:val="0"/>
          <w:szCs w:val="24"/>
        </w:rPr>
      </w:pPr>
      <w:r w:rsidRPr="00E25B55">
        <w:rPr>
          <w:rFonts w:cstheme="minorHAnsi"/>
          <w:i w:val="0"/>
          <w:szCs w:val="24"/>
        </w:rPr>
        <w:t xml:space="preserve">The minor submission </w:t>
      </w:r>
      <w:r w:rsidR="008D18CA" w:rsidRPr="00E25B55">
        <w:rPr>
          <w:rFonts w:cstheme="minorHAnsi"/>
          <w:i w:val="0"/>
          <w:szCs w:val="24"/>
        </w:rPr>
        <w:t>used</w:t>
      </w:r>
      <w:r w:rsidRPr="00E25B55">
        <w:rPr>
          <w:rFonts w:cstheme="minorHAnsi"/>
          <w:i w:val="0"/>
          <w:szCs w:val="24"/>
        </w:rPr>
        <w:t xml:space="preserve"> the price premium awarded to Concerta in </w:t>
      </w:r>
      <w:r w:rsidR="00CF000E" w:rsidRPr="00E25B55">
        <w:rPr>
          <w:rFonts w:cstheme="minorHAnsi"/>
          <w:i w:val="0"/>
          <w:szCs w:val="24"/>
        </w:rPr>
        <w:t xml:space="preserve">the </w:t>
      </w:r>
      <w:r w:rsidRPr="00DD31CC">
        <w:rPr>
          <w:rFonts w:cstheme="minorHAnsi"/>
          <w:i w:val="0"/>
          <w:szCs w:val="24"/>
        </w:rPr>
        <w:t>child</w:t>
      </w:r>
      <w:r w:rsidR="00CF000E" w:rsidRPr="00DD31CC">
        <w:rPr>
          <w:rFonts w:cstheme="minorHAnsi"/>
          <w:i w:val="0"/>
          <w:szCs w:val="24"/>
        </w:rPr>
        <w:t>/adolescent pop</w:t>
      </w:r>
      <w:r w:rsidR="009E47F3" w:rsidRPr="00DD31CC">
        <w:rPr>
          <w:rFonts w:cstheme="minorHAnsi"/>
          <w:i w:val="0"/>
          <w:szCs w:val="24"/>
        </w:rPr>
        <w:t>ulation, relative to Ritalin 10</w:t>
      </w:r>
      <w:r w:rsidR="00CF000E" w:rsidRPr="00DD31CC">
        <w:rPr>
          <w:rFonts w:cstheme="minorHAnsi"/>
          <w:i w:val="0"/>
          <w:szCs w:val="24"/>
        </w:rPr>
        <w:t xml:space="preserve">, </w:t>
      </w:r>
      <w:r w:rsidRPr="00DD31CC">
        <w:rPr>
          <w:rFonts w:cstheme="minorHAnsi"/>
          <w:i w:val="0"/>
          <w:szCs w:val="24"/>
        </w:rPr>
        <w:t xml:space="preserve"> as a benchmark for assigning value to the benefits of once daily ADHD medication in adults </w:t>
      </w:r>
      <w:r w:rsidR="00CA3715" w:rsidRPr="00DD31CC">
        <w:rPr>
          <w:rFonts w:cstheme="minorHAnsi"/>
          <w:i w:val="0"/>
          <w:szCs w:val="24"/>
        </w:rPr>
        <w:t>(see table below). T</w:t>
      </w:r>
      <w:r w:rsidR="002867A6" w:rsidRPr="00DD31CC">
        <w:rPr>
          <w:rFonts w:cstheme="minorHAnsi"/>
          <w:i w:val="0"/>
          <w:szCs w:val="24"/>
        </w:rPr>
        <w:t xml:space="preserve">he premium was $1.73 per day at the time of listing and has since decreased to $1.21 per day. </w:t>
      </w:r>
    </w:p>
    <w:p w:rsidR="00C11FBA" w:rsidRPr="00DD31CC" w:rsidRDefault="00C11FBA" w:rsidP="00C11FBA">
      <w:pPr>
        <w:pStyle w:val="Caption"/>
        <w:spacing w:after="0"/>
        <w:rPr>
          <w:rFonts w:ascii="Arial Narrow" w:hAnsi="Arial Narrow"/>
          <w:b/>
          <w:i w:val="0"/>
          <w:sz w:val="20"/>
          <w:szCs w:val="20"/>
        </w:rPr>
      </w:pPr>
      <w:bookmarkStart w:id="1" w:name="_Ref25938597"/>
      <w:bookmarkStart w:id="2" w:name="_Toc27640128"/>
      <w:bookmarkStart w:id="3" w:name="_Hlk26778799"/>
      <w:r w:rsidRPr="00DD31CC">
        <w:rPr>
          <w:rFonts w:ascii="Arial Narrow" w:hAnsi="Arial Narrow"/>
          <w:b/>
          <w:i w:val="0"/>
          <w:sz w:val="20"/>
          <w:szCs w:val="20"/>
        </w:rPr>
        <w:t xml:space="preserve">Table </w:t>
      </w:r>
      <w:bookmarkEnd w:id="1"/>
      <w:r w:rsidRPr="00DD31CC">
        <w:rPr>
          <w:rFonts w:ascii="Arial Narrow" w:hAnsi="Arial Narrow"/>
          <w:b/>
          <w:i w:val="0"/>
          <w:sz w:val="20"/>
          <w:szCs w:val="20"/>
        </w:rPr>
        <w:t>2: Price premium of Concerta</w:t>
      </w:r>
      <w:r w:rsidR="00CF000E" w:rsidRPr="00DD31CC">
        <w:rPr>
          <w:rFonts w:cstheme="minorHAnsi"/>
          <w:i w:val="0"/>
          <w:szCs w:val="24"/>
        </w:rPr>
        <w:t>®</w:t>
      </w:r>
      <w:r w:rsidRPr="00DD31CC">
        <w:rPr>
          <w:rFonts w:ascii="Arial Narrow" w:hAnsi="Arial Narrow"/>
          <w:b/>
          <w:i w:val="0"/>
          <w:sz w:val="20"/>
          <w:szCs w:val="20"/>
        </w:rPr>
        <w:t xml:space="preserve"> relative to Ritalin 10</w:t>
      </w:r>
      <w:r w:rsidR="00CF000E" w:rsidRPr="00DD31CC">
        <w:rPr>
          <w:rFonts w:cstheme="minorHAnsi"/>
          <w:i w:val="0"/>
          <w:szCs w:val="24"/>
        </w:rPr>
        <w:t>®</w:t>
      </w:r>
      <w:r w:rsidRPr="00DD31CC">
        <w:rPr>
          <w:rFonts w:ascii="Arial Narrow" w:hAnsi="Arial Narrow"/>
          <w:b/>
          <w:i w:val="0"/>
          <w:sz w:val="20"/>
          <w:szCs w:val="20"/>
        </w:rPr>
        <w:t>, 2007 to 2019</w:t>
      </w:r>
      <w:bookmarkEnd w:id="2"/>
    </w:p>
    <w:tbl>
      <w:tblPr>
        <w:tblStyle w:val="ASDTable20"/>
        <w:tblW w:w="5000" w:type="pct"/>
        <w:tblLook w:val="04A0" w:firstRow="1" w:lastRow="0" w:firstColumn="1" w:lastColumn="0" w:noHBand="0" w:noVBand="1"/>
        <w:tblCaption w:val="Table 2: Price premium of Concerta® relative to Ritalin 10®, 2007 to 2019"/>
      </w:tblPr>
      <w:tblGrid>
        <w:gridCol w:w="2200"/>
        <w:gridCol w:w="2414"/>
        <w:gridCol w:w="2201"/>
        <w:gridCol w:w="2201"/>
      </w:tblGrid>
      <w:tr w:rsidR="00C11FBA" w:rsidRPr="00DD31CC" w:rsidTr="00C33485">
        <w:trPr>
          <w:trHeight w:val="53"/>
          <w:tblHeader/>
        </w:trPr>
        <w:tc>
          <w:tcPr>
            <w:tcW w:w="1250" w:type="pct"/>
            <w:noWrap/>
          </w:tcPr>
          <w:p w:rsidR="00C11FBA" w:rsidRPr="00DD31CC" w:rsidRDefault="00C11FBA" w:rsidP="00A86557">
            <w:pPr>
              <w:pStyle w:val="TableText0"/>
            </w:pPr>
          </w:p>
        </w:tc>
        <w:tc>
          <w:tcPr>
            <w:tcW w:w="1250" w:type="pct"/>
            <w:noWrap/>
          </w:tcPr>
          <w:p w:rsidR="00C11FBA" w:rsidRPr="00DD31CC" w:rsidRDefault="00F958B4" w:rsidP="00471144">
            <w:pPr>
              <w:pStyle w:val="TableText0"/>
              <w:jc w:val="center"/>
              <w:rPr>
                <w:b/>
                <w:bCs/>
              </w:rPr>
            </w:pPr>
            <w:r w:rsidRPr="00DD31CC">
              <w:rPr>
                <w:b/>
                <w:bCs/>
              </w:rPr>
              <w:t>Concerta</w:t>
            </w:r>
            <w:r w:rsidR="00471144" w:rsidRPr="00DD31CC">
              <w:rPr>
                <w:rFonts w:cstheme="minorHAnsi"/>
                <w:i/>
                <w:szCs w:val="24"/>
                <w:vertAlign w:val="superscript"/>
              </w:rPr>
              <w:t>®</w:t>
            </w:r>
            <w:r w:rsidR="00C11FBA" w:rsidRPr="00DD31CC">
              <w:rPr>
                <w:b/>
                <w:bCs/>
                <w:vertAlign w:val="superscript"/>
              </w:rPr>
              <w:t>a</w:t>
            </w:r>
          </w:p>
        </w:tc>
        <w:tc>
          <w:tcPr>
            <w:tcW w:w="1250" w:type="pct"/>
            <w:noWrap/>
          </w:tcPr>
          <w:p w:rsidR="00C11FBA" w:rsidRPr="00DD31CC" w:rsidRDefault="00F958B4" w:rsidP="00471144">
            <w:pPr>
              <w:pStyle w:val="TableText0"/>
              <w:jc w:val="center"/>
              <w:rPr>
                <w:b/>
                <w:bCs/>
              </w:rPr>
            </w:pPr>
            <w:r w:rsidRPr="00DD31CC">
              <w:rPr>
                <w:b/>
                <w:bCs/>
              </w:rPr>
              <w:t>Ritalin 10</w:t>
            </w:r>
            <w:r w:rsidR="00471144" w:rsidRPr="00DD31CC">
              <w:rPr>
                <w:rFonts w:cstheme="minorHAnsi"/>
                <w:i/>
                <w:szCs w:val="24"/>
                <w:vertAlign w:val="superscript"/>
              </w:rPr>
              <w:t>®</w:t>
            </w:r>
          </w:p>
        </w:tc>
        <w:tc>
          <w:tcPr>
            <w:tcW w:w="1250" w:type="pct"/>
          </w:tcPr>
          <w:p w:rsidR="00C11FBA" w:rsidRPr="00DD31CC" w:rsidRDefault="00C11FBA" w:rsidP="00471144">
            <w:pPr>
              <w:pStyle w:val="TableText0"/>
              <w:jc w:val="center"/>
              <w:rPr>
                <w:b/>
                <w:bCs/>
              </w:rPr>
            </w:pPr>
            <w:r w:rsidRPr="00DD31CC">
              <w:rPr>
                <w:b/>
                <w:bCs/>
              </w:rPr>
              <w:t>Premium</w:t>
            </w:r>
          </w:p>
        </w:tc>
      </w:tr>
      <w:tr w:rsidR="00C11FBA" w:rsidRPr="00DD31CC" w:rsidTr="00471144">
        <w:trPr>
          <w:trHeight w:val="89"/>
        </w:trPr>
        <w:tc>
          <w:tcPr>
            <w:tcW w:w="1250" w:type="pct"/>
            <w:noWrap/>
          </w:tcPr>
          <w:p w:rsidR="00C11FBA" w:rsidRPr="00DD31CC" w:rsidRDefault="00C11FBA" w:rsidP="00A86557">
            <w:pPr>
              <w:pStyle w:val="TableText0"/>
            </w:pPr>
            <w:r w:rsidRPr="00DD31CC">
              <w:t>PBS item(s)</w:t>
            </w:r>
          </w:p>
        </w:tc>
        <w:tc>
          <w:tcPr>
            <w:tcW w:w="1250" w:type="pct"/>
            <w:noWrap/>
          </w:tcPr>
          <w:p w:rsidR="00C11FBA" w:rsidRPr="00DD31CC" w:rsidRDefault="00C11FBA" w:rsidP="00471144">
            <w:pPr>
              <w:pStyle w:val="TableText0"/>
              <w:jc w:val="center"/>
            </w:pPr>
            <w:r w:rsidRPr="00DD31CC">
              <w:t>2387P, 2172H, 2388Q, 2432B</w:t>
            </w:r>
          </w:p>
        </w:tc>
        <w:tc>
          <w:tcPr>
            <w:tcW w:w="1250" w:type="pct"/>
            <w:noWrap/>
            <w:hideMark/>
          </w:tcPr>
          <w:p w:rsidR="00C11FBA" w:rsidRPr="00DD31CC" w:rsidRDefault="00C11FBA" w:rsidP="00471144">
            <w:pPr>
              <w:pStyle w:val="TableText0"/>
              <w:jc w:val="center"/>
            </w:pPr>
            <w:r w:rsidRPr="00DD31CC">
              <w:t>8839F</w:t>
            </w:r>
          </w:p>
        </w:tc>
        <w:tc>
          <w:tcPr>
            <w:tcW w:w="1250" w:type="pct"/>
          </w:tcPr>
          <w:p w:rsidR="00C11FBA" w:rsidRPr="00DD31CC" w:rsidRDefault="00C11FBA" w:rsidP="00471144">
            <w:pPr>
              <w:pStyle w:val="TableText0"/>
              <w:jc w:val="center"/>
            </w:pPr>
            <w:r w:rsidRPr="00DD31CC">
              <w:t>-</w:t>
            </w:r>
          </w:p>
        </w:tc>
      </w:tr>
      <w:tr w:rsidR="00C11FBA" w:rsidRPr="00DD31CC" w:rsidTr="00471144">
        <w:trPr>
          <w:trHeight w:val="121"/>
        </w:trPr>
        <w:tc>
          <w:tcPr>
            <w:tcW w:w="1250" w:type="pct"/>
            <w:noWrap/>
          </w:tcPr>
          <w:p w:rsidR="00C11FBA" w:rsidRPr="00DD31CC" w:rsidRDefault="00C11FBA" w:rsidP="00A86557">
            <w:pPr>
              <w:pStyle w:val="TableText0"/>
            </w:pPr>
            <w:r w:rsidRPr="00DD31CC">
              <w:t>Daily dose</w:t>
            </w:r>
          </w:p>
        </w:tc>
        <w:tc>
          <w:tcPr>
            <w:tcW w:w="1250" w:type="pct"/>
            <w:noWrap/>
          </w:tcPr>
          <w:p w:rsidR="00C11FBA" w:rsidRPr="00DD31CC" w:rsidRDefault="00C11FBA" w:rsidP="00471144">
            <w:pPr>
              <w:pStyle w:val="TableText0"/>
              <w:jc w:val="center"/>
            </w:pPr>
            <w:r w:rsidRPr="00DD31CC">
              <w:t>18 – 54 mg once-daily</w:t>
            </w:r>
          </w:p>
        </w:tc>
        <w:tc>
          <w:tcPr>
            <w:tcW w:w="1250" w:type="pct"/>
            <w:noWrap/>
          </w:tcPr>
          <w:p w:rsidR="00C11FBA" w:rsidRPr="00DD31CC" w:rsidRDefault="00C11FBA" w:rsidP="00471144">
            <w:pPr>
              <w:pStyle w:val="TableText0"/>
              <w:jc w:val="center"/>
            </w:pPr>
            <w:r w:rsidRPr="00DD31CC">
              <w:t>3 x 10 mg daily</w:t>
            </w:r>
          </w:p>
        </w:tc>
        <w:tc>
          <w:tcPr>
            <w:tcW w:w="1250" w:type="pct"/>
          </w:tcPr>
          <w:p w:rsidR="00C11FBA" w:rsidRPr="00DD31CC" w:rsidRDefault="00C11FBA" w:rsidP="00471144">
            <w:pPr>
              <w:pStyle w:val="TableText0"/>
              <w:jc w:val="center"/>
            </w:pPr>
            <w:r w:rsidRPr="00DD31CC">
              <w:t>-</w:t>
            </w:r>
          </w:p>
        </w:tc>
      </w:tr>
      <w:tr w:rsidR="00C11FBA" w:rsidRPr="00DD31CC" w:rsidTr="00471144">
        <w:trPr>
          <w:trHeight w:val="53"/>
        </w:trPr>
        <w:tc>
          <w:tcPr>
            <w:tcW w:w="5000" w:type="pct"/>
            <w:gridSpan w:val="4"/>
            <w:noWrap/>
          </w:tcPr>
          <w:p w:rsidR="00C11FBA" w:rsidRPr="00DD31CC" w:rsidRDefault="00C11FBA" w:rsidP="00A86557">
            <w:pPr>
              <w:pStyle w:val="TableText0"/>
            </w:pPr>
            <w:r w:rsidRPr="00DD31CC">
              <w:t>August 2007</w:t>
            </w:r>
          </w:p>
        </w:tc>
      </w:tr>
      <w:tr w:rsidR="00C11FBA" w:rsidRPr="00DD31CC" w:rsidTr="00471144">
        <w:trPr>
          <w:trHeight w:val="71"/>
        </w:trPr>
        <w:tc>
          <w:tcPr>
            <w:tcW w:w="1250" w:type="pct"/>
            <w:noWrap/>
          </w:tcPr>
          <w:p w:rsidR="00C11FBA" w:rsidRPr="00DD31CC" w:rsidRDefault="00CF000E" w:rsidP="00A86557">
            <w:pPr>
              <w:pStyle w:val="TableText0"/>
            </w:pPr>
            <w:r w:rsidRPr="00DD31CC">
              <w:t xml:space="preserve">   </w:t>
            </w:r>
            <w:r w:rsidR="00C11FBA" w:rsidRPr="00DD31CC">
              <w:t>DPMQ/day</w:t>
            </w:r>
          </w:p>
        </w:tc>
        <w:tc>
          <w:tcPr>
            <w:tcW w:w="1250" w:type="pct"/>
            <w:noWrap/>
          </w:tcPr>
          <w:p w:rsidR="00C11FBA" w:rsidRPr="00DD31CC" w:rsidRDefault="00C11FBA" w:rsidP="00471144">
            <w:pPr>
              <w:pStyle w:val="TableText0"/>
              <w:jc w:val="center"/>
            </w:pPr>
            <w:r w:rsidRPr="00DD31CC">
              <w:t>$2.70</w:t>
            </w:r>
          </w:p>
        </w:tc>
        <w:tc>
          <w:tcPr>
            <w:tcW w:w="1250" w:type="pct"/>
            <w:noWrap/>
          </w:tcPr>
          <w:p w:rsidR="00C11FBA" w:rsidRPr="00DD31CC" w:rsidRDefault="00C11FBA" w:rsidP="00471144">
            <w:pPr>
              <w:pStyle w:val="TableText0"/>
              <w:jc w:val="center"/>
            </w:pPr>
            <w:r w:rsidRPr="00DD31CC">
              <w:t>$0.56</w:t>
            </w:r>
          </w:p>
        </w:tc>
        <w:tc>
          <w:tcPr>
            <w:tcW w:w="1250" w:type="pct"/>
          </w:tcPr>
          <w:p w:rsidR="00C11FBA" w:rsidRPr="00DD31CC" w:rsidRDefault="00C11FBA" w:rsidP="00471144">
            <w:pPr>
              <w:pStyle w:val="TableText0"/>
              <w:jc w:val="center"/>
            </w:pPr>
            <w:r w:rsidRPr="00DD31CC">
              <w:t>$2.14</w:t>
            </w:r>
          </w:p>
        </w:tc>
      </w:tr>
      <w:tr w:rsidR="00C11FBA" w:rsidRPr="00DD31CC" w:rsidTr="00471144">
        <w:trPr>
          <w:trHeight w:val="118"/>
        </w:trPr>
        <w:tc>
          <w:tcPr>
            <w:tcW w:w="1250" w:type="pct"/>
            <w:noWrap/>
          </w:tcPr>
          <w:p w:rsidR="00C11FBA" w:rsidRPr="00DD31CC" w:rsidRDefault="00CF000E" w:rsidP="00471144">
            <w:pPr>
              <w:pStyle w:val="TableText0"/>
            </w:pPr>
            <w:r w:rsidRPr="00DD31CC">
              <w:t xml:space="preserve">   </w:t>
            </w:r>
            <w:r w:rsidR="00471144" w:rsidRPr="00DD31CC">
              <w:t>AEMP</w:t>
            </w:r>
            <w:r w:rsidR="00C11FBA" w:rsidRPr="00DD31CC">
              <w:t>/day</w:t>
            </w:r>
          </w:p>
        </w:tc>
        <w:tc>
          <w:tcPr>
            <w:tcW w:w="1250" w:type="pct"/>
            <w:noWrap/>
          </w:tcPr>
          <w:p w:rsidR="00C11FBA" w:rsidRPr="00DD31CC" w:rsidRDefault="00C11FBA" w:rsidP="00471144">
            <w:pPr>
              <w:pStyle w:val="TableText0"/>
              <w:jc w:val="center"/>
            </w:pPr>
            <w:r w:rsidRPr="00DD31CC">
              <w:t>$2.06</w:t>
            </w:r>
          </w:p>
        </w:tc>
        <w:tc>
          <w:tcPr>
            <w:tcW w:w="1250" w:type="pct"/>
            <w:noWrap/>
          </w:tcPr>
          <w:p w:rsidR="00C11FBA" w:rsidRPr="00DD31CC" w:rsidRDefault="00C11FBA" w:rsidP="00471144">
            <w:pPr>
              <w:pStyle w:val="TableText0"/>
              <w:jc w:val="center"/>
            </w:pPr>
            <w:r w:rsidRPr="00DD31CC">
              <w:t>$0.25</w:t>
            </w:r>
          </w:p>
        </w:tc>
        <w:tc>
          <w:tcPr>
            <w:tcW w:w="1250" w:type="pct"/>
          </w:tcPr>
          <w:p w:rsidR="00C11FBA" w:rsidRPr="00DD31CC" w:rsidRDefault="00C11FBA" w:rsidP="00471144">
            <w:pPr>
              <w:pStyle w:val="TableText0"/>
              <w:jc w:val="center"/>
            </w:pPr>
            <w:r w:rsidRPr="00DD31CC">
              <w:t>$1.73</w:t>
            </w:r>
          </w:p>
        </w:tc>
      </w:tr>
      <w:tr w:rsidR="00C11FBA" w:rsidRPr="00DD31CC" w:rsidTr="00471144">
        <w:trPr>
          <w:trHeight w:val="53"/>
        </w:trPr>
        <w:tc>
          <w:tcPr>
            <w:tcW w:w="5000" w:type="pct"/>
            <w:gridSpan w:val="4"/>
            <w:noWrap/>
          </w:tcPr>
          <w:p w:rsidR="00C11FBA" w:rsidRPr="00DD31CC" w:rsidRDefault="00C11FBA" w:rsidP="00A86557">
            <w:pPr>
              <w:pStyle w:val="TableText0"/>
            </w:pPr>
            <w:r w:rsidRPr="00DD31CC">
              <w:t>December 2019</w:t>
            </w:r>
          </w:p>
        </w:tc>
      </w:tr>
      <w:tr w:rsidR="00C11FBA" w:rsidRPr="00DD31CC" w:rsidTr="00471144">
        <w:trPr>
          <w:trHeight w:val="68"/>
        </w:trPr>
        <w:tc>
          <w:tcPr>
            <w:tcW w:w="1250" w:type="pct"/>
            <w:noWrap/>
          </w:tcPr>
          <w:p w:rsidR="00C11FBA" w:rsidRPr="00DD31CC" w:rsidRDefault="00CF000E" w:rsidP="00A86557">
            <w:pPr>
              <w:pStyle w:val="TableText0"/>
            </w:pPr>
            <w:r w:rsidRPr="00DD31CC">
              <w:t xml:space="preserve">   </w:t>
            </w:r>
            <w:r w:rsidR="00C11FBA" w:rsidRPr="00DD31CC">
              <w:t>DPMQ/day</w:t>
            </w:r>
          </w:p>
        </w:tc>
        <w:tc>
          <w:tcPr>
            <w:tcW w:w="1250" w:type="pct"/>
            <w:noWrap/>
          </w:tcPr>
          <w:p w:rsidR="00C11FBA" w:rsidRPr="00DD31CC" w:rsidRDefault="00C11FBA" w:rsidP="00471144">
            <w:pPr>
              <w:pStyle w:val="TableText0"/>
              <w:jc w:val="center"/>
            </w:pPr>
            <w:r w:rsidRPr="00DD31CC">
              <w:t>$2.06</w:t>
            </w:r>
          </w:p>
        </w:tc>
        <w:tc>
          <w:tcPr>
            <w:tcW w:w="1250" w:type="pct"/>
            <w:noWrap/>
          </w:tcPr>
          <w:p w:rsidR="00C11FBA" w:rsidRPr="00DD31CC" w:rsidRDefault="00C11FBA" w:rsidP="00471144">
            <w:pPr>
              <w:pStyle w:val="TableText0"/>
              <w:jc w:val="center"/>
            </w:pPr>
            <w:r w:rsidRPr="00DD31CC">
              <w:t>$0.71</w:t>
            </w:r>
          </w:p>
        </w:tc>
        <w:tc>
          <w:tcPr>
            <w:tcW w:w="1250" w:type="pct"/>
          </w:tcPr>
          <w:p w:rsidR="00C11FBA" w:rsidRPr="00DD31CC" w:rsidRDefault="00C11FBA" w:rsidP="00471144">
            <w:pPr>
              <w:pStyle w:val="TableText0"/>
              <w:jc w:val="center"/>
            </w:pPr>
            <w:r w:rsidRPr="00DD31CC">
              <w:t>$1.35</w:t>
            </w:r>
          </w:p>
        </w:tc>
      </w:tr>
      <w:tr w:rsidR="00C11FBA" w:rsidRPr="00DD31CC" w:rsidTr="00471144">
        <w:trPr>
          <w:trHeight w:val="113"/>
        </w:trPr>
        <w:tc>
          <w:tcPr>
            <w:tcW w:w="1250" w:type="pct"/>
            <w:noWrap/>
          </w:tcPr>
          <w:p w:rsidR="00C11FBA" w:rsidRPr="00DD31CC" w:rsidRDefault="00CF000E" w:rsidP="00471144">
            <w:pPr>
              <w:pStyle w:val="TableText0"/>
            </w:pPr>
            <w:r w:rsidRPr="00DD31CC">
              <w:t xml:space="preserve">   </w:t>
            </w:r>
            <w:r w:rsidR="00471144" w:rsidRPr="00DD31CC">
              <w:t>AEMP</w:t>
            </w:r>
            <w:r w:rsidR="00C11FBA" w:rsidRPr="00DD31CC">
              <w:t>/day</w:t>
            </w:r>
          </w:p>
        </w:tc>
        <w:tc>
          <w:tcPr>
            <w:tcW w:w="1250" w:type="pct"/>
            <w:noWrap/>
          </w:tcPr>
          <w:p w:rsidR="00C11FBA" w:rsidRPr="00DD31CC" w:rsidRDefault="00C11FBA" w:rsidP="00471144">
            <w:pPr>
              <w:pStyle w:val="TableText0"/>
              <w:jc w:val="center"/>
            </w:pPr>
            <w:r w:rsidRPr="00DD31CC">
              <w:t>$1.47</w:t>
            </w:r>
          </w:p>
        </w:tc>
        <w:tc>
          <w:tcPr>
            <w:tcW w:w="1250" w:type="pct"/>
            <w:noWrap/>
          </w:tcPr>
          <w:p w:rsidR="00C11FBA" w:rsidRPr="00DD31CC" w:rsidRDefault="00C11FBA" w:rsidP="00471144">
            <w:pPr>
              <w:pStyle w:val="TableText0"/>
              <w:jc w:val="center"/>
            </w:pPr>
            <w:r w:rsidRPr="00DD31CC">
              <w:t>$0.26</w:t>
            </w:r>
          </w:p>
        </w:tc>
        <w:tc>
          <w:tcPr>
            <w:tcW w:w="1250" w:type="pct"/>
          </w:tcPr>
          <w:p w:rsidR="00C11FBA" w:rsidRPr="00DD31CC" w:rsidRDefault="00C11FBA" w:rsidP="00471144">
            <w:pPr>
              <w:pStyle w:val="TableText0"/>
              <w:jc w:val="center"/>
            </w:pPr>
            <w:r w:rsidRPr="00DD31CC">
              <w:t>$1.21</w:t>
            </w:r>
          </w:p>
        </w:tc>
      </w:tr>
    </w:tbl>
    <w:p w:rsidR="00C11FBA" w:rsidRPr="00743538" w:rsidRDefault="00C11FBA" w:rsidP="00C11FBA">
      <w:pPr>
        <w:pStyle w:val="Tablefootnote"/>
        <w:rPr>
          <w:sz w:val="18"/>
          <w:szCs w:val="18"/>
        </w:rPr>
      </w:pPr>
      <w:r w:rsidRPr="00743538">
        <w:rPr>
          <w:sz w:val="18"/>
          <w:szCs w:val="18"/>
        </w:rPr>
        <w:t xml:space="preserve">Source: Table 8, p27 of the minor submission </w:t>
      </w:r>
    </w:p>
    <w:p w:rsidR="00471144" w:rsidRPr="00743538" w:rsidRDefault="00471144" w:rsidP="00C11FBA">
      <w:pPr>
        <w:pStyle w:val="Tablefootnote"/>
        <w:rPr>
          <w:sz w:val="18"/>
          <w:szCs w:val="18"/>
        </w:rPr>
      </w:pPr>
      <w:r w:rsidRPr="00743538">
        <w:rPr>
          <w:sz w:val="18"/>
          <w:szCs w:val="18"/>
        </w:rPr>
        <w:t>AEMP = approved ex-manufacturer price; DPMQ = dispensed price for maximum amount; PBS = Pharmaceutical Benefits Scheme</w:t>
      </w:r>
    </w:p>
    <w:p w:rsidR="00C11FBA" w:rsidRPr="00743538" w:rsidRDefault="00C11FBA" w:rsidP="00EC7870">
      <w:pPr>
        <w:pStyle w:val="Tablefootnote"/>
        <w:spacing w:after="120"/>
        <w:rPr>
          <w:sz w:val="18"/>
          <w:szCs w:val="18"/>
        </w:rPr>
      </w:pPr>
      <w:r w:rsidRPr="00743538">
        <w:rPr>
          <w:sz w:val="18"/>
          <w:szCs w:val="18"/>
        </w:rPr>
        <w:t xml:space="preserve">a. Price per day calculated as a weighted average across all four doses of </w:t>
      </w:r>
      <w:r w:rsidR="00F958B4" w:rsidRPr="00743538">
        <w:rPr>
          <w:sz w:val="18"/>
          <w:szCs w:val="18"/>
        </w:rPr>
        <w:t>Concerta</w:t>
      </w:r>
      <w:r w:rsidR="00471144" w:rsidRPr="00DD31CC">
        <w:rPr>
          <w:rFonts w:cstheme="minorHAnsi"/>
          <w:i/>
          <w:szCs w:val="24"/>
          <w:vertAlign w:val="superscript"/>
        </w:rPr>
        <w:t>®</w:t>
      </w:r>
      <w:r w:rsidRPr="00743538">
        <w:rPr>
          <w:sz w:val="18"/>
          <w:szCs w:val="18"/>
        </w:rPr>
        <w:t xml:space="preserve">, see spreadsheet Section 3 </w:t>
      </w:r>
      <w:r w:rsidR="00471144" w:rsidRPr="00743538">
        <w:rPr>
          <w:sz w:val="18"/>
          <w:szCs w:val="18"/>
        </w:rPr>
        <w:t>s</w:t>
      </w:r>
      <w:r w:rsidRPr="00743538">
        <w:rPr>
          <w:sz w:val="18"/>
          <w:szCs w:val="18"/>
        </w:rPr>
        <w:t>preadsheet_Vyvanse_Minor Dec2019.xlsx.</w:t>
      </w:r>
      <w:bookmarkEnd w:id="3"/>
    </w:p>
    <w:p w:rsidR="00944D8D" w:rsidRPr="00DD31CC" w:rsidRDefault="00CA3715" w:rsidP="00471144">
      <w:pPr>
        <w:pStyle w:val="Bodytextitalics"/>
        <w:numPr>
          <w:ilvl w:val="1"/>
          <w:numId w:val="1"/>
        </w:numPr>
        <w:jc w:val="both"/>
        <w:rPr>
          <w:rFonts w:cstheme="minorHAnsi"/>
          <w:szCs w:val="24"/>
        </w:rPr>
      </w:pPr>
      <w:r w:rsidRPr="00DD31CC">
        <w:rPr>
          <w:rFonts w:cstheme="minorHAnsi"/>
          <w:i w:val="0"/>
          <w:szCs w:val="24"/>
        </w:rPr>
        <w:t>The minor submission proposed a</w:t>
      </w:r>
      <w:r w:rsidR="00F958B4" w:rsidRPr="00DD31CC">
        <w:rPr>
          <w:rFonts w:cstheme="minorHAnsi"/>
          <w:i w:val="0"/>
          <w:szCs w:val="24"/>
        </w:rPr>
        <w:t xml:space="preserve"> p</w:t>
      </w:r>
      <w:r w:rsidR="00BA74D2" w:rsidRPr="00DD31CC">
        <w:rPr>
          <w:rFonts w:cstheme="minorHAnsi"/>
          <w:i w:val="0"/>
          <w:szCs w:val="24"/>
        </w:rPr>
        <w:t>rice premium of $</w:t>
      </w:r>
      <w:r w:rsidR="00BC3AA0">
        <w:rPr>
          <w:rFonts w:cstheme="minorHAnsi"/>
          <w:i w:val="0"/>
          <w:noProof/>
          <w:color w:val="000000"/>
          <w:szCs w:val="24"/>
          <w:highlight w:val="black"/>
        </w:rPr>
        <w:t>'''''''''</w:t>
      </w:r>
      <w:r w:rsidR="00BA74D2" w:rsidRPr="00DD31CC">
        <w:rPr>
          <w:rFonts w:cstheme="minorHAnsi"/>
          <w:i w:val="0"/>
          <w:szCs w:val="24"/>
        </w:rPr>
        <w:t xml:space="preserve"> per day </w:t>
      </w:r>
      <w:r w:rsidR="00F958B4" w:rsidRPr="00DD31CC">
        <w:rPr>
          <w:rFonts w:cstheme="minorHAnsi"/>
          <w:i w:val="0"/>
          <w:szCs w:val="24"/>
        </w:rPr>
        <w:t>for LDX in the adult population</w:t>
      </w:r>
      <w:r w:rsidR="00E92DE2" w:rsidRPr="00DD31CC">
        <w:rPr>
          <w:rFonts w:cstheme="minorHAnsi"/>
          <w:i w:val="0"/>
          <w:szCs w:val="24"/>
        </w:rPr>
        <w:t xml:space="preserve"> (relative to IR DEX)</w:t>
      </w:r>
      <w:r w:rsidR="00F958B4" w:rsidRPr="00DD31CC">
        <w:rPr>
          <w:rFonts w:cstheme="minorHAnsi"/>
          <w:i w:val="0"/>
          <w:szCs w:val="24"/>
        </w:rPr>
        <w:t xml:space="preserve">, </w:t>
      </w:r>
      <w:r w:rsidRPr="00E25B55">
        <w:rPr>
          <w:rFonts w:cstheme="minorHAnsi"/>
          <w:i w:val="0"/>
          <w:szCs w:val="24"/>
        </w:rPr>
        <w:t xml:space="preserve">which is </w:t>
      </w:r>
      <w:r w:rsidR="00BC3AA0">
        <w:rPr>
          <w:rFonts w:cstheme="minorHAnsi"/>
          <w:i w:val="0"/>
          <w:noProof/>
          <w:color w:val="000000"/>
          <w:szCs w:val="24"/>
          <w:highlight w:val="black"/>
        </w:rPr>
        <w:t>''''''''''''''''''</w:t>
      </w:r>
      <w:r w:rsidR="00F958B4" w:rsidRPr="00E25B55">
        <w:rPr>
          <w:rFonts w:cstheme="minorHAnsi"/>
          <w:i w:val="0"/>
          <w:szCs w:val="24"/>
        </w:rPr>
        <w:t xml:space="preserve"> of the current premium ($1.21 per day) and </w:t>
      </w:r>
      <w:r w:rsidR="00BC3AA0">
        <w:rPr>
          <w:rFonts w:cstheme="minorHAnsi"/>
          <w:i w:val="0"/>
          <w:noProof/>
          <w:color w:val="000000"/>
          <w:szCs w:val="24"/>
          <w:highlight w:val="black"/>
        </w:rPr>
        <w:t>''''''' ''''''''' '''''''</w:t>
      </w:r>
      <w:r w:rsidR="00F958B4" w:rsidRPr="00E25B55">
        <w:rPr>
          <w:rFonts w:cstheme="minorHAnsi"/>
          <w:i w:val="0"/>
          <w:szCs w:val="24"/>
        </w:rPr>
        <w:t xml:space="preserve"> of the original price premium applied to </w:t>
      </w:r>
      <w:r w:rsidRPr="00E25B55">
        <w:rPr>
          <w:rFonts w:cstheme="minorHAnsi"/>
          <w:i w:val="0"/>
          <w:szCs w:val="24"/>
        </w:rPr>
        <w:t xml:space="preserve">Concerta for </w:t>
      </w:r>
      <w:r w:rsidR="00F958B4" w:rsidRPr="00E25B55">
        <w:rPr>
          <w:rFonts w:cstheme="minorHAnsi"/>
          <w:i w:val="0"/>
          <w:szCs w:val="24"/>
        </w:rPr>
        <w:t>the child</w:t>
      </w:r>
      <w:r w:rsidR="0029090F" w:rsidRPr="00DD31CC">
        <w:rPr>
          <w:rFonts w:cstheme="minorHAnsi"/>
          <w:i w:val="0"/>
          <w:szCs w:val="24"/>
        </w:rPr>
        <w:t>/adolescent</w:t>
      </w:r>
      <w:r w:rsidR="00F958B4" w:rsidRPr="00DD31CC">
        <w:rPr>
          <w:rFonts w:cstheme="minorHAnsi"/>
          <w:i w:val="0"/>
          <w:szCs w:val="24"/>
        </w:rPr>
        <w:t xml:space="preserve"> population ($1.73 per day). The submission </w:t>
      </w:r>
      <w:r w:rsidR="002C6742" w:rsidRPr="00DD31CC">
        <w:rPr>
          <w:rFonts w:cstheme="minorHAnsi"/>
          <w:i w:val="0"/>
          <w:szCs w:val="24"/>
        </w:rPr>
        <w:t>estimated</w:t>
      </w:r>
      <w:r w:rsidR="00495CE5" w:rsidRPr="00DD31CC">
        <w:rPr>
          <w:rFonts w:cstheme="minorHAnsi"/>
          <w:i w:val="0"/>
          <w:szCs w:val="24"/>
        </w:rPr>
        <w:t xml:space="preserve"> that the value of long-</w:t>
      </w:r>
      <w:r w:rsidR="00F958B4" w:rsidRPr="00DD31CC">
        <w:rPr>
          <w:rFonts w:cstheme="minorHAnsi"/>
          <w:i w:val="0"/>
          <w:szCs w:val="24"/>
        </w:rPr>
        <w:t xml:space="preserve">acting medication in adults is </w:t>
      </w:r>
      <w:r w:rsidR="00BC3AA0">
        <w:rPr>
          <w:rFonts w:cstheme="minorHAnsi"/>
          <w:i w:val="0"/>
          <w:noProof/>
          <w:color w:val="000000"/>
          <w:szCs w:val="24"/>
          <w:highlight w:val="black"/>
        </w:rPr>
        <w:t>''''''' ''''''''' ''''''''</w:t>
      </w:r>
      <w:r w:rsidR="00F958B4" w:rsidRPr="00DD31CC">
        <w:rPr>
          <w:rFonts w:cstheme="minorHAnsi"/>
          <w:i w:val="0"/>
          <w:szCs w:val="24"/>
        </w:rPr>
        <w:t xml:space="preserve"> that in children</w:t>
      </w:r>
      <w:r w:rsidR="0029090F" w:rsidRPr="00DD31CC">
        <w:rPr>
          <w:rFonts w:cstheme="minorHAnsi"/>
          <w:i w:val="0"/>
          <w:szCs w:val="24"/>
        </w:rPr>
        <w:t>/adolescents</w:t>
      </w:r>
      <w:r w:rsidR="00F958B4" w:rsidRPr="00DD31CC">
        <w:rPr>
          <w:rFonts w:cstheme="minorHAnsi"/>
          <w:i w:val="0"/>
          <w:szCs w:val="24"/>
        </w:rPr>
        <w:t xml:space="preserve"> (using the original premium as the benchm</w:t>
      </w:r>
      <w:r w:rsidR="00D34546" w:rsidRPr="00DD31CC">
        <w:rPr>
          <w:rFonts w:cstheme="minorHAnsi"/>
          <w:i w:val="0"/>
          <w:szCs w:val="24"/>
        </w:rPr>
        <w:t>ark</w:t>
      </w:r>
      <w:r w:rsidR="00432A56" w:rsidRPr="00DD31CC">
        <w:rPr>
          <w:rFonts w:cstheme="minorHAnsi"/>
          <w:i w:val="0"/>
          <w:szCs w:val="24"/>
        </w:rPr>
        <w:t>)</w:t>
      </w:r>
      <w:r w:rsidR="00F958B4" w:rsidRPr="00DD31CC">
        <w:rPr>
          <w:rFonts w:cstheme="minorHAnsi"/>
          <w:i w:val="0"/>
          <w:szCs w:val="24"/>
        </w:rPr>
        <w:t xml:space="preserve">. </w:t>
      </w:r>
    </w:p>
    <w:p w:rsidR="002867A6" w:rsidRPr="00DD31CC" w:rsidRDefault="00944D8D" w:rsidP="00471144">
      <w:pPr>
        <w:pStyle w:val="Bodytextitalics"/>
        <w:numPr>
          <w:ilvl w:val="1"/>
          <w:numId w:val="1"/>
        </w:numPr>
        <w:jc w:val="both"/>
        <w:rPr>
          <w:rFonts w:cstheme="minorHAnsi"/>
          <w:i w:val="0"/>
          <w:szCs w:val="24"/>
        </w:rPr>
      </w:pPr>
      <w:r w:rsidRPr="00743538">
        <w:rPr>
          <w:i w:val="0"/>
        </w:rPr>
        <w:t xml:space="preserve">The proposed </w:t>
      </w:r>
      <w:r w:rsidR="0029090F" w:rsidRPr="00743538">
        <w:rPr>
          <w:i w:val="0"/>
        </w:rPr>
        <w:t>approved ex-manufacturer price (AEMP)</w:t>
      </w:r>
      <w:r w:rsidRPr="00743538">
        <w:rPr>
          <w:i w:val="0"/>
        </w:rPr>
        <w:t xml:space="preserve"> f</w:t>
      </w:r>
      <w:r w:rsidR="00BD1BB3" w:rsidRPr="00743538">
        <w:rPr>
          <w:i w:val="0"/>
        </w:rPr>
        <w:t xml:space="preserve">or LDX in the </w:t>
      </w:r>
      <w:r w:rsidR="00BA74D2" w:rsidRPr="00743538">
        <w:rPr>
          <w:i w:val="0"/>
        </w:rPr>
        <w:t>adult population was</w:t>
      </w:r>
      <w:r w:rsidRPr="00743538">
        <w:rPr>
          <w:i w:val="0"/>
        </w:rPr>
        <w:t xml:space="preserve"> calculated at </w:t>
      </w:r>
      <w:r w:rsidR="00C31B0F" w:rsidRPr="00743538">
        <w:rPr>
          <w:i w:val="0"/>
        </w:rPr>
        <w:t>$</w:t>
      </w:r>
      <w:r w:rsidR="00BC3AA0">
        <w:rPr>
          <w:i w:val="0"/>
          <w:noProof/>
          <w:color w:val="000000"/>
          <w:highlight w:val="black"/>
        </w:rPr>
        <w:t>'''''''''''</w:t>
      </w:r>
      <w:r w:rsidRPr="00743538">
        <w:rPr>
          <w:i w:val="0"/>
        </w:rPr>
        <w:t xml:space="preserve"> </w:t>
      </w:r>
      <w:r w:rsidR="00BD1BB3" w:rsidRPr="00743538">
        <w:rPr>
          <w:i w:val="0"/>
        </w:rPr>
        <w:t>(</w:t>
      </w:r>
      <w:r w:rsidRPr="00743538">
        <w:rPr>
          <w:i w:val="0"/>
        </w:rPr>
        <w:t>30 units) using the proposed $</w:t>
      </w:r>
      <w:r w:rsidR="00BC3AA0">
        <w:rPr>
          <w:i w:val="0"/>
          <w:noProof/>
          <w:color w:val="000000"/>
          <w:highlight w:val="black"/>
        </w:rPr>
        <w:t>''''''''</w:t>
      </w:r>
      <w:r w:rsidRPr="00743538">
        <w:rPr>
          <w:i w:val="0"/>
        </w:rPr>
        <w:t xml:space="preserve"> premium per day (</w:t>
      </w:r>
      <w:r w:rsidR="00C31B0F" w:rsidRPr="00743538">
        <w:rPr>
          <w:i w:val="0"/>
        </w:rPr>
        <w:t xml:space="preserve">see </w:t>
      </w:r>
      <w:r w:rsidRPr="00743538">
        <w:rPr>
          <w:i w:val="0"/>
        </w:rPr>
        <w:t xml:space="preserve">Table 3). </w:t>
      </w:r>
      <w:r w:rsidR="00BD1BB3" w:rsidRPr="00743538">
        <w:rPr>
          <w:i w:val="0"/>
        </w:rPr>
        <w:t>The proposed effective dispensed price for maximum quantity (DPMQ) for LDX in the expanded adult population was</w:t>
      </w:r>
      <w:r w:rsidR="001664DE" w:rsidRPr="00743538">
        <w:rPr>
          <w:i w:val="0"/>
        </w:rPr>
        <w:t xml:space="preserve"> calculated </w:t>
      </w:r>
      <w:r w:rsidR="002C6742" w:rsidRPr="00743538">
        <w:rPr>
          <w:i w:val="0"/>
        </w:rPr>
        <w:t xml:space="preserve">by the </w:t>
      </w:r>
      <w:r w:rsidR="00C8724D" w:rsidRPr="00743538">
        <w:rPr>
          <w:i w:val="0"/>
        </w:rPr>
        <w:t>submission</w:t>
      </w:r>
      <w:r w:rsidR="002C6742" w:rsidRPr="00743538">
        <w:rPr>
          <w:i w:val="0"/>
        </w:rPr>
        <w:t xml:space="preserve"> to be </w:t>
      </w:r>
      <w:r w:rsidR="00BD1BB3" w:rsidRPr="00743538">
        <w:rPr>
          <w:i w:val="0"/>
        </w:rPr>
        <w:t>$</w:t>
      </w:r>
      <w:r w:rsidR="00BC3AA0">
        <w:rPr>
          <w:i w:val="0"/>
          <w:noProof/>
          <w:color w:val="000000"/>
          <w:highlight w:val="black"/>
        </w:rPr>
        <w:t>''''''''''''</w:t>
      </w:r>
      <w:r w:rsidR="00BD1BB3" w:rsidRPr="00743538">
        <w:rPr>
          <w:i w:val="0"/>
        </w:rPr>
        <w:t>.</w:t>
      </w:r>
      <w:r w:rsidR="00BD1BB3" w:rsidRPr="00743538">
        <w:t xml:space="preserve"> </w:t>
      </w:r>
    </w:p>
    <w:p w:rsidR="00471144" w:rsidRPr="00DD31CC" w:rsidRDefault="00944D8D" w:rsidP="00471144">
      <w:pPr>
        <w:pStyle w:val="Bodytextitalics"/>
        <w:numPr>
          <w:ilvl w:val="1"/>
          <w:numId w:val="1"/>
        </w:numPr>
        <w:jc w:val="both"/>
        <w:rPr>
          <w:rFonts w:cstheme="minorHAnsi"/>
          <w:i w:val="0"/>
          <w:szCs w:val="24"/>
        </w:rPr>
      </w:pPr>
      <w:r w:rsidRPr="00743538">
        <w:rPr>
          <w:i w:val="0"/>
        </w:rPr>
        <w:t xml:space="preserve">The current effective </w:t>
      </w:r>
      <w:r w:rsidR="00471144" w:rsidRPr="00743538">
        <w:rPr>
          <w:i w:val="0"/>
        </w:rPr>
        <w:t>AEMP</w:t>
      </w:r>
      <w:r w:rsidR="00802B9E" w:rsidRPr="00743538">
        <w:rPr>
          <w:i w:val="0"/>
        </w:rPr>
        <w:t xml:space="preserve"> </w:t>
      </w:r>
      <w:r w:rsidRPr="00743538">
        <w:rPr>
          <w:i w:val="0"/>
        </w:rPr>
        <w:t>of LDX in the child/adolescent population is $</w:t>
      </w:r>
      <w:r w:rsidR="00BC3AA0">
        <w:rPr>
          <w:i w:val="0"/>
          <w:noProof/>
          <w:color w:val="000000"/>
          <w:highlight w:val="black"/>
        </w:rPr>
        <w:t>''''''''''''</w:t>
      </w:r>
      <w:r w:rsidRPr="00743538">
        <w:rPr>
          <w:i w:val="0"/>
        </w:rPr>
        <w:t xml:space="preserve">. </w:t>
      </w:r>
    </w:p>
    <w:p w:rsidR="00F958B4" w:rsidRPr="00DD31CC" w:rsidRDefault="00944D8D" w:rsidP="00944D8D">
      <w:pPr>
        <w:pStyle w:val="Bodytextitalics"/>
        <w:numPr>
          <w:ilvl w:val="0"/>
          <w:numId w:val="0"/>
        </w:numPr>
        <w:spacing w:after="0"/>
        <w:rPr>
          <w:rFonts w:ascii="Arial Narrow" w:hAnsi="Arial Narrow" w:cstheme="minorHAnsi"/>
          <w:b/>
          <w:i w:val="0"/>
          <w:sz w:val="20"/>
          <w:szCs w:val="20"/>
        </w:rPr>
      </w:pPr>
      <w:r w:rsidRPr="00DD31CC">
        <w:rPr>
          <w:rFonts w:ascii="Arial Narrow" w:hAnsi="Arial Narrow" w:cstheme="minorHAnsi"/>
          <w:b/>
          <w:i w:val="0"/>
          <w:sz w:val="20"/>
          <w:szCs w:val="20"/>
        </w:rPr>
        <w:t>T</w:t>
      </w:r>
      <w:r w:rsidR="0029090F" w:rsidRPr="00DD31CC">
        <w:rPr>
          <w:rFonts w:ascii="Arial Narrow" w:hAnsi="Arial Narrow" w:cstheme="minorHAnsi"/>
          <w:b/>
          <w:i w:val="0"/>
          <w:sz w:val="20"/>
          <w:szCs w:val="20"/>
        </w:rPr>
        <w:t>able 3: Requested LDX price in a</w:t>
      </w:r>
      <w:r w:rsidRPr="00DD31CC">
        <w:rPr>
          <w:rFonts w:ascii="Arial Narrow" w:hAnsi="Arial Narrow" w:cstheme="minorHAnsi"/>
          <w:b/>
          <w:i w:val="0"/>
          <w:sz w:val="20"/>
          <w:szCs w:val="20"/>
        </w:rPr>
        <w:t xml:space="preserve">dult patients </w:t>
      </w:r>
    </w:p>
    <w:tbl>
      <w:tblPr>
        <w:tblStyle w:val="ASDTable20"/>
        <w:tblW w:w="5000" w:type="pct"/>
        <w:tblLook w:val="04A0" w:firstRow="1" w:lastRow="0" w:firstColumn="1" w:lastColumn="0" w:noHBand="0" w:noVBand="1"/>
        <w:tblCaption w:val="Table 3: Requested LDX price in adult patients"/>
      </w:tblPr>
      <w:tblGrid>
        <w:gridCol w:w="403"/>
        <w:gridCol w:w="5562"/>
        <w:gridCol w:w="692"/>
        <w:gridCol w:w="2359"/>
      </w:tblGrid>
      <w:tr w:rsidR="00944D8D" w:rsidRPr="00DD31CC" w:rsidTr="00C33485">
        <w:trPr>
          <w:trHeight w:val="155"/>
          <w:tblHeader/>
        </w:trPr>
        <w:tc>
          <w:tcPr>
            <w:tcW w:w="223" w:type="pct"/>
            <w:tcMar>
              <w:left w:w="28" w:type="dxa"/>
              <w:right w:w="28" w:type="dxa"/>
            </w:tcMar>
            <w:vAlign w:val="center"/>
          </w:tcPr>
          <w:p w:rsidR="00944D8D" w:rsidRPr="00DD31CC" w:rsidRDefault="00944D8D" w:rsidP="00A86557">
            <w:pPr>
              <w:pStyle w:val="TableText0"/>
              <w:rPr>
                <w:b/>
                <w:bCs/>
              </w:rPr>
            </w:pPr>
            <w:r w:rsidRPr="00DD31CC">
              <w:rPr>
                <w:b/>
                <w:bCs/>
              </w:rPr>
              <w:t>Row</w:t>
            </w:r>
          </w:p>
        </w:tc>
        <w:tc>
          <w:tcPr>
            <w:tcW w:w="3085" w:type="pct"/>
            <w:noWrap/>
            <w:tcMar>
              <w:left w:w="28" w:type="dxa"/>
              <w:right w:w="28" w:type="dxa"/>
            </w:tcMar>
            <w:vAlign w:val="center"/>
          </w:tcPr>
          <w:p w:rsidR="00944D8D" w:rsidRPr="00E25B55" w:rsidRDefault="00944D8D" w:rsidP="00A86557">
            <w:pPr>
              <w:pStyle w:val="TableText0"/>
              <w:rPr>
                <w:b/>
                <w:bCs/>
              </w:rPr>
            </w:pPr>
            <w:r w:rsidRPr="00E25B55">
              <w:rPr>
                <w:b/>
                <w:bCs/>
              </w:rPr>
              <w:t>Parameter</w:t>
            </w:r>
          </w:p>
        </w:tc>
        <w:tc>
          <w:tcPr>
            <w:tcW w:w="384" w:type="pct"/>
            <w:noWrap/>
            <w:tcMar>
              <w:left w:w="28" w:type="dxa"/>
              <w:right w:w="28" w:type="dxa"/>
            </w:tcMar>
            <w:vAlign w:val="center"/>
          </w:tcPr>
          <w:p w:rsidR="00944D8D" w:rsidRPr="00E25B55" w:rsidRDefault="00944D8D" w:rsidP="00EF6997">
            <w:pPr>
              <w:pStyle w:val="TableText0"/>
              <w:jc w:val="center"/>
              <w:rPr>
                <w:b/>
                <w:bCs/>
              </w:rPr>
            </w:pPr>
            <w:r w:rsidRPr="00E25B55">
              <w:rPr>
                <w:b/>
                <w:bCs/>
              </w:rPr>
              <w:t>Value</w:t>
            </w:r>
          </w:p>
        </w:tc>
        <w:tc>
          <w:tcPr>
            <w:tcW w:w="1308" w:type="pct"/>
            <w:tcMar>
              <w:left w:w="28" w:type="dxa"/>
              <w:right w:w="28" w:type="dxa"/>
            </w:tcMar>
            <w:vAlign w:val="center"/>
          </w:tcPr>
          <w:p w:rsidR="00944D8D" w:rsidRPr="00DD31CC" w:rsidRDefault="00944D8D" w:rsidP="00A86557">
            <w:pPr>
              <w:pStyle w:val="TableText0"/>
              <w:rPr>
                <w:b/>
                <w:bCs/>
              </w:rPr>
            </w:pPr>
            <w:r w:rsidRPr="00DD31CC">
              <w:rPr>
                <w:b/>
                <w:bCs/>
              </w:rPr>
              <w:t>Reference</w:t>
            </w:r>
          </w:p>
        </w:tc>
      </w:tr>
      <w:tr w:rsidR="00471144" w:rsidRPr="00DD31CC" w:rsidTr="00EF6997">
        <w:trPr>
          <w:trHeight w:val="60"/>
        </w:trPr>
        <w:tc>
          <w:tcPr>
            <w:tcW w:w="5000" w:type="pct"/>
            <w:gridSpan w:val="4"/>
            <w:tcMar>
              <w:left w:w="28" w:type="dxa"/>
              <w:right w:w="28" w:type="dxa"/>
            </w:tcMar>
            <w:vAlign w:val="center"/>
          </w:tcPr>
          <w:p w:rsidR="00471144" w:rsidRPr="00DD31CC" w:rsidRDefault="00471144" w:rsidP="00A86557">
            <w:pPr>
              <w:pStyle w:val="TableText0"/>
            </w:pPr>
            <w:r w:rsidRPr="00DD31CC">
              <w:t>Price Premium for LA in adult patients</w:t>
            </w:r>
          </w:p>
        </w:tc>
      </w:tr>
      <w:tr w:rsidR="00944D8D" w:rsidRPr="00DD31CC" w:rsidTr="00EF6997">
        <w:trPr>
          <w:trHeight w:val="300"/>
        </w:trPr>
        <w:tc>
          <w:tcPr>
            <w:tcW w:w="223" w:type="pct"/>
            <w:tcMar>
              <w:left w:w="28" w:type="dxa"/>
              <w:right w:w="28" w:type="dxa"/>
            </w:tcMar>
            <w:vAlign w:val="center"/>
          </w:tcPr>
          <w:p w:rsidR="00944D8D" w:rsidRPr="00DD31CC" w:rsidRDefault="00944D8D" w:rsidP="00EF6997">
            <w:pPr>
              <w:pStyle w:val="TableText0"/>
              <w:jc w:val="center"/>
            </w:pPr>
            <w:r w:rsidRPr="00DD31CC">
              <w:t>A</w:t>
            </w:r>
          </w:p>
        </w:tc>
        <w:tc>
          <w:tcPr>
            <w:tcW w:w="3085" w:type="pct"/>
            <w:noWrap/>
            <w:tcMar>
              <w:left w:w="28" w:type="dxa"/>
              <w:right w:w="28" w:type="dxa"/>
            </w:tcMar>
            <w:vAlign w:val="center"/>
            <w:hideMark/>
          </w:tcPr>
          <w:p w:rsidR="00944D8D" w:rsidRPr="00DD31CC" w:rsidRDefault="00944D8D" w:rsidP="00A86557">
            <w:pPr>
              <w:pStyle w:val="TableText0"/>
            </w:pPr>
            <w:r w:rsidRPr="00DD31CC">
              <w:t>Current DEX price (Ex-man) in ineligible patients (per day)</w:t>
            </w:r>
          </w:p>
        </w:tc>
        <w:tc>
          <w:tcPr>
            <w:tcW w:w="384" w:type="pct"/>
            <w:noWrap/>
            <w:tcMar>
              <w:left w:w="28" w:type="dxa"/>
              <w:right w:w="28" w:type="dxa"/>
            </w:tcMar>
            <w:vAlign w:val="center"/>
            <w:hideMark/>
          </w:tcPr>
          <w:p w:rsidR="00944D8D" w:rsidRPr="00DD31CC" w:rsidRDefault="00944D8D" w:rsidP="00EF6997">
            <w:pPr>
              <w:pStyle w:val="TableText0"/>
              <w:jc w:val="center"/>
            </w:pPr>
            <w:r w:rsidRPr="00DD31CC">
              <w:t>$0.18</w:t>
            </w:r>
          </w:p>
        </w:tc>
        <w:tc>
          <w:tcPr>
            <w:tcW w:w="1308" w:type="pct"/>
            <w:tcMar>
              <w:left w:w="28" w:type="dxa"/>
              <w:right w:w="28" w:type="dxa"/>
            </w:tcMar>
            <w:vAlign w:val="center"/>
          </w:tcPr>
          <w:p w:rsidR="00944D8D" w:rsidRPr="00DD31CC" w:rsidRDefault="00944D8D" w:rsidP="00471144">
            <w:pPr>
              <w:pStyle w:val="TableText0"/>
              <w:jc w:val="left"/>
            </w:pPr>
            <w:r w:rsidRPr="00DD31CC">
              <w:t>PBS Item: 1165H; assumes 1 script is equivalent to 100/3 days of therapy</w:t>
            </w:r>
          </w:p>
        </w:tc>
      </w:tr>
      <w:tr w:rsidR="00944D8D" w:rsidRPr="00DD31CC" w:rsidTr="00EF6997">
        <w:trPr>
          <w:trHeight w:val="53"/>
        </w:trPr>
        <w:tc>
          <w:tcPr>
            <w:tcW w:w="223" w:type="pct"/>
            <w:tcMar>
              <w:left w:w="28" w:type="dxa"/>
              <w:right w:w="28" w:type="dxa"/>
            </w:tcMar>
            <w:vAlign w:val="center"/>
          </w:tcPr>
          <w:p w:rsidR="00944D8D" w:rsidRPr="00DD31CC" w:rsidRDefault="00944D8D" w:rsidP="00EF6997">
            <w:pPr>
              <w:pStyle w:val="TableText0"/>
              <w:jc w:val="center"/>
            </w:pPr>
            <w:r w:rsidRPr="00DD31CC">
              <w:t>B</w:t>
            </w:r>
          </w:p>
        </w:tc>
        <w:tc>
          <w:tcPr>
            <w:tcW w:w="3085" w:type="pct"/>
            <w:noWrap/>
            <w:tcMar>
              <w:left w:w="28" w:type="dxa"/>
              <w:right w:w="28" w:type="dxa"/>
            </w:tcMar>
            <w:vAlign w:val="center"/>
            <w:hideMark/>
          </w:tcPr>
          <w:p w:rsidR="00944D8D" w:rsidRPr="00DD31CC" w:rsidRDefault="00944D8D" w:rsidP="00A86557">
            <w:pPr>
              <w:pStyle w:val="TableText0"/>
            </w:pPr>
            <w:r w:rsidRPr="00DD31CC">
              <w:t>Price premium for LDX in ineligible patients</w:t>
            </w:r>
          </w:p>
        </w:tc>
        <w:tc>
          <w:tcPr>
            <w:tcW w:w="384" w:type="pct"/>
            <w:noWrap/>
            <w:tcMar>
              <w:left w:w="28" w:type="dxa"/>
              <w:right w:w="28" w:type="dxa"/>
            </w:tcMar>
            <w:vAlign w:val="center"/>
            <w:hideMark/>
          </w:tcPr>
          <w:p w:rsidR="00944D8D" w:rsidRPr="00DD31CC" w:rsidRDefault="00944D8D" w:rsidP="00EF6997">
            <w:pPr>
              <w:pStyle w:val="TableText0"/>
              <w:jc w:val="center"/>
            </w:pPr>
            <w:r w:rsidRPr="00DD31CC">
              <w:t>$</w:t>
            </w:r>
            <w:r w:rsidR="00BC3AA0">
              <w:rPr>
                <w:noProof/>
                <w:color w:val="000000"/>
                <w:highlight w:val="black"/>
              </w:rPr>
              <w:t>''''''''''''</w:t>
            </w:r>
          </w:p>
        </w:tc>
        <w:tc>
          <w:tcPr>
            <w:tcW w:w="1308" w:type="pct"/>
            <w:tcMar>
              <w:left w:w="28" w:type="dxa"/>
              <w:right w:w="28" w:type="dxa"/>
            </w:tcMar>
            <w:vAlign w:val="center"/>
          </w:tcPr>
          <w:p w:rsidR="00944D8D" w:rsidRPr="00DD31CC" w:rsidRDefault="00EF6997" w:rsidP="00EF6997">
            <w:pPr>
              <w:pStyle w:val="TableText0"/>
            </w:pPr>
            <w:r w:rsidRPr="00DD31CC">
              <w:t>-</w:t>
            </w:r>
          </w:p>
        </w:tc>
      </w:tr>
      <w:tr w:rsidR="00471144" w:rsidRPr="00DD31CC" w:rsidTr="00EF6997">
        <w:trPr>
          <w:trHeight w:val="65"/>
        </w:trPr>
        <w:tc>
          <w:tcPr>
            <w:tcW w:w="5000" w:type="pct"/>
            <w:gridSpan w:val="4"/>
            <w:tcMar>
              <w:left w:w="28" w:type="dxa"/>
              <w:right w:w="28" w:type="dxa"/>
            </w:tcMar>
            <w:vAlign w:val="center"/>
          </w:tcPr>
          <w:p w:rsidR="00471144" w:rsidRPr="00DD31CC" w:rsidRDefault="00471144" w:rsidP="00471144">
            <w:pPr>
              <w:pStyle w:val="TableText0"/>
              <w:rPr>
                <w:bCs/>
              </w:rPr>
            </w:pPr>
            <w:r w:rsidRPr="00DD31CC">
              <w:t xml:space="preserve">LDX price (AEMP) in adult patients </w:t>
            </w:r>
          </w:p>
        </w:tc>
      </w:tr>
      <w:tr w:rsidR="00944D8D" w:rsidRPr="00DD31CC" w:rsidTr="00EF6997">
        <w:trPr>
          <w:trHeight w:val="53"/>
        </w:trPr>
        <w:tc>
          <w:tcPr>
            <w:tcW w:w="223" w:type="pct"/>
            <w:tcMar>
              <w:left w:w="28" w:type="dxa"/>
              <w:right w:w="28" w:type="dxa"/>
            </w:tcMar>
            <w:vAlign w:val="center"/>
          </w:tcPr>
          <w:p w:rsidR="00944D8D" w:rsidRPr="00DD31CC" w:rsidRDefault="00944D8D" w:rsidP="00EF6997">
            <w:pPr>
              <w:pStyle w:val="TableText0"/>
              <w:jc w:val="center"/>
            </w:pPr>
            <w:r w:rsidRPr="00DD31CC">
              <w:t>C</w:t>
            </w:r>
          </w:p>
        </w:tc>
        <w:tc>
          <w:tcPr>
            <w:tcW w:w="3085" w:type="pct"/>
            <w:noWrap/>
            <w:tcMar>
              <w:left w:w="28" w:type="dxa"/>
              <w:right w:w="28" w:type="dxa"/>
            </w:tcMar>
            <w:vAlign w:val="center"/>
            <w:hideMark/>
          </w:tcPr>
          <w:p w:rsidR="00944D8D" w:rsidRPr="00DD31CC" w:rsidRDefault="00944D8D" w:rsidP="00A86557">
            <w:pPr>
              <w:pStyle w:val="TableText0"/>
            </w:pPr>
            <w:r w:rsidRPr="00DD31CC">
              <w:t>Price per day</w:t>
            </w:r>
          </w:p>
        </w:tc>
        <w:tc>
          <w:tcPr>
            <w:tcW w:w="384" w:type="pct"/>
            <w:noWrap/>
            <w:tcMar>
              <w:left w:w="28" w:type="dxa"/>
              <w:right w:w="28" w:type="dxa"/>
            </w:tcMar>
            <w:vAlign w:val="center"/>
            <w:hideMark/>
          </w:tcPr>
          <w:p w:rsidR="00944D8D" w:rsidRPr="00DD31CC" w:rsidRDefault="00944D8D" w:rsidP="00EF6997">
            <w:pPr>
              <w:pStyle w:val="TableText0"/>
              <w:jc w:val="center"/>
            </w:pPr>
            <w:r w:rsidRPr="00DD31CC">
              <w:t>$</w:t>
            </w:r>
            <w:r w:rsidR="00BC3AA0">
              <w:rPr>
                <w:noProof/>
                <w:color w:val="000000"/>
                <w:highlight w:val="black"/>
              </w:rPr>
              <w:t>'''''''''''</w:t>
            </w:r>
          </w:p>
        </w:tc>
        <w:tc>
          <w:tcPr>
            <w:tcW w:w="1308" w:type="pct"/>
            <w:tcMar>
              <w:left w:w="28" w:type="dxa"/>
              <w:right w:w="28" w:type="dxa"/>
            </w:tcMar>
            <w:vAlign w:val="center"/>
          </w:tcPr>
          <w:p w:rsidR="00944D8D" w:rsidRPr="00DD31CC" w:rsidRDefault="00944D8D" w:rsidP="00A86557">
            <w:pPr>
              <w:pStyle w:val="TableText0"/>
            </w:pPr>
            <w:r w:rsidRPr="00DD31CC">
              <w:t>A + B</w:t>
            </w:r>
          </w:p>
        </w:tc>
      </w:tr>
      <w:tr w:rsidR="00944D8D" w:rsidRPr="00DD31CC" w:rsidTr="00EF6997">
        <w:trPr>
          <w:trHeight w:val="53"/>
        </w:trPr>
        <w:tc>
          <w:tcPr>
            <w:tcW w:w="223" w:type="pct"/>
            <w:tcMar>
              <w:left w:w="28" w:type="dxa"/>
              <w:right w:w="28" w:type="dxa"/>
            </w:tcMar>
            <w:vAlign w:val="center"/>
          </w:tcPr>
          <w:p w:rsidR="00944D8D" w:rsidRPr="00DD31CC" w:rsidRDefault="00944D8D" w:rsidP="00EF6997">
            <w:pPr>
              <w:pStyle w:val="TableText0"/>
              <w:jc w:val="center"/>
            </w:pPr>
            <w:r w:rsidRPr="00DD31CC">
              <w:t>D</w:t>
            </w:r>
          </w:p>
        </w:tc>
        <w:tc>
          <w:tcPr>
            <w:tcW w:w="3085" w:type="pct"/>
            <w:noWrap/>
            <w:tcMar>
              <w:left w:w="28" w:type="dxa"/>
              <w:right w:w="28" w:type="dxa"/>
            </w:tcMar>
            <w:vAlign w:val="center"/>
            <w:hideMark/>
          </w:tcPr>
          <w:p w:rsidR="00944D8D" w:rsidRPr="00DD31CC" w:rsidRDefault="00944D8D" w:rsidP="00A86557">
            <w:pPr>
              <w:pStyle w:val="TableText0"/>
            </w:pPr>
            <w:r w:rsidRPr="00DD31CC">
              <w:t>Price per pack</w:t>
            </w:r>
          </w:p>
        </w:tc>
        <w:tc>
          <w:tcPr>
            <w:tcW w:w="384" w:type="pct"/>
            <w:noWrap/>
            <w:tcMar>
              <w:left w:w="28" w:type="dxa"/>
              <w:right w:w="28" w:type="dxa"/>
            </w:tcMar>
            <w:vAlign w:val="center"/>
            <w:hideMark/>
          </w:tcPr>
          <w:p w:rsidR="00944D8D" w:rsidRPr="00DD31CC" w:rsidRDefault="00944D8D" w:rsidP="00EF6997">
            <w:pPr>
              <w:pStyle w:val="TableText0"/>
              <w:jc w:val="center"/>
            </w:pPr>
            <w:r w:rsidRPr="00DD31CC">
              <w:t>$</w:t>
            </w:r>
            <w:r w:rsidR="00BC3AA0">
              <w:rPr>
                <w:noProof/>
                <w:color w:val="000000"/>
                <w:highlight w:val="black"/>
              </w:rPr>
              <w:t>''''''''''''''</w:t>
            </w:r>
          </w:p>
        </w:tc>
        <w:tc>
          <w:tcPr>
            <w:tcW w:w="1308" w:type="pct"/>
            <w:tcMar>
              <w:left w:w="28" w:type="dxa"/>
              <w:right w:w="28" w:type="dxa"/>
            </w:tcMar>
            <w:vAlign w:val="center"/>
          </w:tcPr>
          <w:p w:rsidR="00944D8D" w:rsidRPr="00DD31CC" w:rsidRDefault="00944D8D" w:rsidP="00A86557">
            <w:pPr>
              <w:pStyle w:val="TableText0"/>
            </w:pPr>
            <w:r w:rsidRPr="00DD31CC">
              <w:t>C x 30</w:t>
            </w:r>
          </w:p>
        </w:tc>
      </w:tr>
      <w:tr w:rsidR="00944D8D" w:rsidRPr="00DD31CC" w:rsidTr="00EF6997">
        <w:trPr>
          <w:trHeight w:val="203"/>
        </w:trPr>
        <w:tc>
          <w:tcPr>
            <w:tcW w:w="223" w:type="pct"/>
            <w:tcMar>
              <w:left w:w="28" w:type="dxa"/>
              <w:right w:w="28" w:type="dxa"/>
            </w:tcMar>
            <w:vAlign w:val="center"/>
          </w:tcPr>
          <w:p w:rsidR="00944D8D" w:rsidRPr="00DD31CC" w:rsidRDefault="00944D8D" w:rsidP="00EF6997">
            <w:pPr>
              <w:pStyle w:val="TableText0"/>
              <w:jc w:val="center"/>
            </w:pPr>
            <w:r w:rsidRPr="00DD31CC">
              <w:t>E</w:t>
            </w:r>
          </w:p>
        </w:tc>
        <w:tc>
          <w:tcPr>
            <w:tcW w:w="3085" w:type="pct"/>
            <w:noWrap/>
            <w:tcMar>
              <w:left w:w="28" w:type="dxa"/>
              <w:right w:w="28" w:type="dxa"/>
            </w:tcMar>
            <w:vAlign w:val="center"/>
            <w:hideMark/>
          </w:tcPr>
          <w:p w:rsidR="00944D8D" w:rsidRPr="00DD31CC" w:rsidRDefault="00944D8D" w:rsidP="00A86557">
            <w:pPr>
              <w:pStyle w:val="TableText0"/>
            </w:pPr>
            <w:r w:rsidRPr="00DD31CC">
              <w:t>Price cut in LDX ineligible patients (relative to current effective price $</w:t>
            </w:r>
            <w:r w:rsidR="00BC3AA0">
              <w:rPr>
                <w:noProof/>
                <w:color w:val="000000"/>
                <w:highlight w:val="black"/>
              </w:rPr>
              <w:t>'''''''''''''</w:t>
            </w:r>
            <w:r w:rsidRPr="00DD31CC">
              <w:t>)</w:t>
            </w:r>
          </w:p>
        </w:tc>
        <w:tc>
          <w:tcPr>
            <w:tcW w:w="384" w:type="pct"/>
            <w:noWrap/>
            <w:tcMar>
              <w:left w:w="28" w:type="dxa"/>
              <w:right w:w="28" w:type="dxa"/>
            </w:tcMar>
            <w:vAlign w:val="center"/>
            <w:hideMark/>
          </w:tcPr>
          <w:p w:rsidR="00944D8D" w:rsidRPr="00DD31CC" w:rsidRDefault="00944D8D" w:rsidP="00EF6997">
            <w:pPr>
              <w:pStyle w:val="TableText0"/>
              <w:jc w:val="center"/>
            </w:pPr>
            <w:r w:rsidRPr="00DD31CC">
              <w:t>43%</w:t>
            </w:r>
          </w:p>
        </w:tc>
        <w:tc>
          <w:tcPr>
            <w:tcW w:w="1308" w:type="pct"/>
            <w:tcMar>
              <w:left w:w="28" w:type="dxa"/>
              <w:right w:w="28" w:type="dxa"/>
            </w:tcMar>
            <w:vAlign w:val="center"/>
          </w:tcPr>
          <w:p w:rsidR="00944D8D" w:rsidRPr="00DD31CC" w:rsidRDefault="00944D8D" w:rsidP="00471144">
            <w:pPr>
              <w:pStyle w:val="TableText0"/>
              <w:jc w:val="left"/>
            </w:pPr>
            <w:r w:rsidRPr="00DD31CC">
              <w:t>(D - $</w:t>
            </w:r>
            <w:r w:rsidR="00BC3AA0">
              <w:rPr>
                <w:noProof/>
                <w:color w:val="000000"/>
                <w:highlight w:val="black"/>
              </w:rPr>
              <w:t>'''''''''''''</w:t>
            </w:r>
            <w:r w:rsidRPr="00DD31CC">
              <w:t>)/$</w:t>
            </w:r>
            <w:r w:rsidR="00BC3AA0">
              <w:rPr>
                <w:noProof/>
                <w:color w:val="000000"/>
                <w:highlight w:val="black"/>
              </w:rPr>
              <w:t>''''''''''''''</w:t>
            </w:r>
          </w:p>
        </w:tc>
      </w:tr>
    </w:tbl>
    <w:p w:rsidR="00944D8D" w:rsidRPr="00DD31CC" w:rsidRDefault="00944D8D" w:rsidP="00EF6997">
      <w:pPr>
        <w:pStyle w:val="TableFooter"/>
      </w:pPr>
      <w:r w:rsidRPr="00DD31CC">
        <w:t xml:space="preserve">Source: Table 9, p29 of the minor submission </w:t>
      </w:r>
    </w:p>
    <w:p w:rsidR="00471144" w:rsidRPr="00DD31CC" w:rsidRDefault="00471144" w:rsidP="00EF6997">
      <w:pPr>
        <w:pStyle w:val="TableFooter"/>
      </w:pPr>
      <w:r w:rsidRPr="00DD31CC">
        <w:t>AEMP = approved ex-manufacturer price; DEX = dexamfetamine; LA = long acting; LDX = lisdexamfetamine; PBS = Pharmaceutical Benefits Scheme</w:t>
      </w:r>
    </w:p>
    <w:p w:rsidR="00944D8D" w:rsidRPr="00DD31CC" w:rsidRDefault="00944D8D" w:rsidP="00944D8D">
      <w:pPr>
        <w:pStyle w:val="Heading2"/>
        <w:spacing w:after="120"/>
        <w:rPr>
          <w:rFonts w:ascii="Calibri" w:eastAsiaTheme="minorHAnsi" w:hAnsi="Calibri" w:cs="Calibri"/>
          <w:b w:val="0"/>
          <w:bCs/>
          <w:i w:val="0"/>
          <w:sz w:val="24"/>
          <w:u w:val="single"/>
        </w:rPr>
      </w:pPr>
      <w:r w:rsidRPr="00DD31CC">
        <w:rPr>
          <w:rFonts w:ascii="Calibri" w:eastAsiaTheme="majorEastAsia" w:hAnsi="Calibri" w:cs="Calibri"/>
          <w:b w:val="0"/>
          <w:bCs/>
          <w:i w:val="0"/>
          <w:sz w:val="24"/>
          <w:u w:val="single"/>
          <w:lang w:eastAsia="en-US"/>
        </w:rPr>
        <w:t xml:space="preserve">Weighted price calculation </w:t>
      </w:r>
    </w:p>
    <w:p w:rsidR="00944D8D" w:rsidRPr="00DD31CC" w:rsidRDefault="00944D8D" w:rsidP="00EF6997">
      <w:pPr>
        <w:pStyle w:val="Bodytextitalics"/>
        <w:numPr>
          <w:ilvl w:val="1"/>
          <w:numId w:val="1"/>
        </w:numPr>
        <w:jc w:val="both"/>
        <w:rPr>
          <w:rFonts w:cstheme="minorHAnsi"/>
          <w:i w:val="0"/>
          <w:szCs w:val="24"/>
        </w:rPr>
      </w:pPr>
      <w:r w:rsidRPr="00743538">
        <w:rPr>
          <w:i w:val="0"/>
        </w:rPr>
        <w:t xml:space="preserve">The </w:t>
      </w:r>
      <w:r w:rsidR="00BA74D2" w:rsidRPr="00743538">
        <w:rPr>
          <w:i w:val="0"/>
        </w:rPr>
        <w:t xml:space="preserve">minor submission proposed </w:t>
      </w:r>
      <w:r w:rsidR="0029090F" w:rsidRPr="00743538">
        <w:rPr>
          <w:i w:val="0"/>
        </w:rPr>
        <w:t xml:space="preserve">a weighted effective AEMP, which </w:t>
      </w:r>
      <w:r w:rsidR="00BA74D2" w:rsidRPr="00743538">
        <w:rPr>
          <w:i w:val="0"/>
        </w:rPr>
        <w:t>would include two</w:t>
      </w:r>
      <w:r w:rsidR="00590AC3" w:rsidRPr="00743538">
        <w:rPr>
          <w:i w:val="0"/>
        </w:rPr>
        <w:t xml:space="preserve"> patient populations</w:t>
      </w:r>
      <w:r w:rsidR="002C6742" w:rsidRPr="00743538">
        <w:rPr>
          <w:i w:val="0"/>
        </w:rPr>
        <w:t>:</w:t>
      </w:r>
      <w:r w:rsidR="00BA74D2" w:rsidRPr="00743538">
        <w:rPr>
          <w:i w:val="0"/>
        </w:rPr>
        <w:t xml:space="preserve">  </w:t>
      </w:r>
    </w:p>
    <w:p w:rsidR="00BA74D2" w:rsidRPr="00743538" w:rsidRDefault="00BA74D2" w:rsidP="00BD1BB3">
      <w:pPr>
        <w:pStyle w:val="ListParagraph"/>
        <w:numPr>
          <w:ilvl w:val="0"/>
          <w:numId w:val="22"/>
        </w:numPr>
        <w:rPr>
          <w:rFonts w:asciiTheme="minorHAnsi" w:hAnsiTheme="minorHAnsi" w:cstheme="minorHAnsi"/>
          <w:sz w:val="24"/>
          <w:szCs w:val="24"/>
        </w:rPr>
      </w:pPr>
      <w:r w:rsidRPr="00743538">
        <w:rPr>
          <w:rFonts w:asciiTheme="minorHAnsi" w:hAnsiTheme="minorHAnsi" w:cstheme="minorHAnsi"/>
          <w:sz w:val="24"/>
          <w:szCs w:val="24"/>
        </w:rPr>
        <w:t>Patients currently eligible for LDX, that is patients diagnosed before the age of 18</w:t>
      </w:r>
      <w:r w:rsidR="00B262B6">
        <w:rPr>
          <w:rFonts w:asciiTheme="minorHAnsi" w:hAnsiTheme="minorHAnsi" w:cstheme="minorHAnsi"/>
          <w:sz w:val="24"/>
          <w:szCs w:val="24"/>
        </w:rPr>
        <w:t> </w:t>
      </w:r>
      <w:r w:rsidRPr="00743538">
        <w:rPr>
          <w:rFonts w:asciiTheme="minorHAnsi" w:hAnsiTheme="minorHAnsi" w:cstheme="minorHAnsi"/>
          <w:sz w:val="24"/>
          <w:szCs w:val="24"/>
        </w:rPr>
        <w:t xml:space="preserve">years, in which the current effective </w:t>
      </w:r>
      <w:r w:rsidR="00EF6997" w:rsidRPr="00743538">
        <w:rPr>
          <w:rFonts w:asciiTheme="minorHAnsi" w:hAnsiTheme="minorHAnsi" w:cstheme="minorHAnsi"/>
          <w:sz w:val="24"/>
          <w:szCs w:val="24"/>
        </w:rPr>
        <w:t>AEMP of LDX is $</w:t>
      </w:r>
      <w:r w:rsidR="00BC3AA0">
        <w:rPr>
          <w:rFonts w:asciiTheme="minorHAnsi" w:hAnsiTheme="minorHAnsi" w:cstheme="minorHAnsi"/>
          <w:noProof/>
          <w:color w:val="000000"/>
          <w:sz w:val="24"/>
          <w:szCs w:val="24"/>
          <w:highlight w:val="black"/>
        </w:rPr>
        <w:t>'''''''''''</w:t>
      </w:r>
      <w:r w:rsidR="00EF6997" w:rsidRPr="00743538">
        <w:rPr>
          <w:rFonts w:asciiTheme="minorHAnsi" w:hAnsiTheme="minorHAnsi" w:cstheme="minorHAnsi"/>
          <w:sz w:val="24"/>
          <w:szCs w:val="24"/>
        </w:rPr>
        <w:t xml:space="preserve"> per pack; and</w:t>
      </w:r>
    </w:p>
    <w:p w:rsidR="00BA74D2" w:rsidRPr="00743538" w:rsidRDefault="00BA74D2" w:rsidP="00EF6997">
      <w:pPr>
        <w:pStyle w:val="ListParagraph"/>
        <w:numPr>
          <w:ilvl w:val="0"/>
          <w:numId w:val="22"/>
        </w:numPr>
        <w:spacing w:after="120"/>
        <w:ind w:left="1077" w:hanging="357"/>
        <w:rPr>
          <w:rFonts w:asciiTheme="minorHAnsi" w:hAnsiTheme="minorHAnsi" w:cstheme="minorHAnsi"/>
          <w:sz w:val="24"/>
          <w:szCs w:val="24"/>
        </w:rPr>
      </w:pPr>
      <w:r w:rsidRPr="00743538">
        <w:rPr>
          <w:rFonts w:asciiTheme="minorHAnsi" w:hAnsiTheme="minorHAnsi" w:cstheme="minorHAnsi"/>
          <w:sz w:val="24"/>
          <w:szCs w:val="24"/>
        </w:rPr>
        <w:t>Patients currently ineligible for LDX, that is patients diagnosed after the age of 18</w:t>
      </w:r>
      <w:r w:rsidR="00B262B6">
        <w:rPr>
          <w:rFonts w:asciiTheme="minorHAnsi" w:hAnsiTheme="minorHAnsi" w:cstheme="minorHAnsi"/>
          <w:sz w:val="24"/>
          <w:szCs w:val="24"/>
        </w:rPr>
        <w:t> </w:t>
      </w:r>
      <w:r w:rsidRPr="00743538">
        <w:rPr>
          <w:rFonts w:asciiTheme="minorHAnsi" w:hAnsiTheme="minorHAnsi" w:cstheme="minorHAnsi"/>
          <w:sz w:val="24"/>
          <w:szCs w:val="24"/>
        </w:rPr>
        <w:t>years, in which the proposed effective</w:t>
      </w:r>
      <w:r w:rsidR="00EF6997" w:rsidRPr="00743538">
        <w:rPr>
          <w:rFonts w:asciiTheme="minorHAnsi" w:hAnsiTheme="minorHAnsi" w:cstheme="minorHAnsi"/>
          <w:sz w:val="24"/>
          <w:szCs w:val="24"/>
        </w:rPr>
        <w:t xml:space="preserve"> AEMP</w:t>
      </w:r>
      <w:r w:rsidRPr="00743538">
        <w:rPr>
          <w:rFonts w:asciiTheme="minorHAnsi" w:hAnsiTheme="minorHAnsi" w:cstheme="minorHAnsi"/>
          <w:sz w:val="24"/>
          <w:szCs w:val="24"/>
        </w:rPr>
        <w:t xml:space="preserve"> of LDX </w:t>
      </w:r>
      <w:r w:rsidR="002C6742" w:rsidRPr="00743538">
        <w:rPr>
          <w:rFonts w:asciiTheme="minorHAnsi" w:hAnsiTheme="minorHAnsi" w:cstheme="minorHAnsi"/>
          <w:sz w:val="24"/>
          <w:szCs w:val="24"/>
        </w:rPr>
        <w:t>would be</w:t>
      </w:r>
      <w:r w:rsidRPr="00743538">
        <w:rPr>
          <w:rFonts w:asciiTheme="minorHAnsi" w:hAnsiTheme="minorHAnsi" w:cstheme="minorHAnsi"/>
          <w:sz w:val="24"/>
          <w:szCs w:val="24"/>
        </w:rPr>
        <w:t xml:space="preserve"> $</w:t>
      </w:r>
      <w:r w:rsidR="00BC3AA0">
        <w:rPr>
          <w:rFonts w:asciiTheme="minorHAnsi" w:hAnsiTheme="minorHAnsi" w:cstheme="minorHAnsi"/>
          <w:noProof/>
          <w:color w:val="000000"/>
          <w:sz w:val="24"/>
          <w:szCs w:val="24"/>
          <w:highlight w:val="black"/>
        </w:rPr>
        <w:t>'''''''''''</w:t>
      </w:r>
      <w:r w:rsidRPr="00DD31CC">
        <w:rPr>
          <w:rFonts w:asciiTheme="minorHAnsi" w:hAnsiTheme="minorHAnsi" w:cstheme="minorHAnsi"/>
          <w:sz w:val="24"/>
          <w:szCs w:val="24"/>
        </w:rPr>
        <w:t xml:space="preserve"> </w:t>
      </w:r>
      <w:r w:rsidRPr="00743538">
        <w:rPr>
          <w:rFonts w:asciiTheme="minorHAnsi" w:hAnsiTheme="minorHAnsi" w:cstheme="minorHAnsi"/>
          <w:sz w:val="24"/>
          <w:szCs w:val="24"/>
        </w:rPr>
        <w:t>per pack.</w:t>
      </w:r>
    </w:p>
    <w:p w:rsidR="00FD5DF0" w:rsidRPr="00DD31CC" w:rsidRDefault="00BA74D2" w:rsidP="00590AC3">
      <w:pPr>
        <w:pStyle w:val="Bodytextitalics"/>
        <w:numPr>
          <w:ilvl w:val="1"/>
          <w:numId w:val="1"/>
        </w:numPr>
        <w:jc w:val="both"/>
        <w:rPr>
          <w:rFonts w:cstheme="minorHAnsi"/>
          <w:i w:val="0"/>
          <w:szCs w:val="24"/>
        </w:rPr>
      </w:pPr>
      <w:r w:rsidRPr="00743538">
        <w:rPr>
          <w:i w:val="0"/>
        </w:rPr>
        <w:t>A weighting of</w:t>
      </w:r>
      <w:r w:rsidR="00590AC3" w:rsidRPr="00743538">
        <w:rPr>
          <w:i w:val="0"/>
        </w:rPr>
        <w:t xml:space="preserve"> these two prices was proposed </w:t>
      </w:r>
      <w:r w:rsidRPr="00743538">
        <w:rPr>
          <w:i w:val="0"/>
        </w:rPr>
        <w:t>based on the s</w:t>
      </w:r>
      <w:r w:rsidR="00590AC3" w:rsidRPr="00743538">
        <w:rPr>
          <w:i w:val="0"/>
        </w:rPr>
        <w:t xml:space="preserve">ize of each patient population based on </w:t>
      </w:r>
      <w:r w:rsidR="00A068FA" w:rsidRPr="00743538">
        <w:rPr>
          <w:i w:val="0"/>
        </w:rPr>
        <w:t xml:space="preserve">a 10% sample of longitudinal PBS data </w:t>
      </w:r>
      <w:r w:rsidR="00590AC3" w:rsidRPr="00743538">
        <w:rPr>
          <w:i w:val="0"/>
        </w:rPr>
        <w:t xml:space="preserve">for all ADHD medications. </w:t>
      </w:r>
    </w:p>
    <w:p w:rsidR="00A86557" w:rsidRPr="00DD31CC" w:rsidRDefault="00A86557" w:rsidP="00EF6997">
      <w:pPr>
        <w:pStyle w:val="Bodytextitalics"/>
        <w:numPr>
          <w:ilvl w:val="0"/>
          <w:numId w:val="0"/>
        </w:numPr>
        <w:spacing w:after="0"/>
        <w:jc w:val="both"/>
        <w:rPr>
          <w:rFonts w:ascii="Arial Narrow" w:hAnsi="Arial Narrow" w:cstheme="minorHAnsi"/>
          <w:b/>
          <w:i w:val="0"/>
          <w:sz w:val="20"/>
          <w:szCs w:val="20"/>
        </w:rPr>
      </w:pPr>
      <w:r w:rsidRPr="00743538">
        <w:rPr>
          <w:rFonts w:ascii="Arial Narrow" w:hAnsi="Arial Narrow"/>
          <w:b/>
          <w:i w:val="0"/>
          <w:sz w:val="20"/>
          <w:szCs w:val="20"/>
        </w:rPr>
        <w:t xml:space="preserve">Table 4: </w:t>
      </w:r>
      <w:r w:rsidRPr="00DD31CC">
        <w:rPr>
          <w:rFonts w:ascii="Arial Narrow" w:hAnsi="Arial Narrow"/>
          <w:b/>
          <w:i w:val="0"/>
          <w:sz w:val="20"/>
          <w:szCs w:val="20"/>
        </w:rPr>
        <w:t xml:space="preserve">Number of </w:t>
      </w:r>
      <w:r w:rsidR="00EF6997" w:rsidRPr="00DD31CC">
        <w:rPr>
          <w:rFonts w:ascii="Arial Narrow" w:hAnsi="Arial Narrow"/>
          <w:b/>
          <w:i w:val="0"/>
          <w:sz w:val="20"/>
          <w:szCs w:val="20"/>
        </w:rPr>
        <w:t>long and short acting</w:t>
      </w:r>
      <w:r w:rsidRPr="00DD31CC">
        <w:rPr>
          <w:rFonts w:ascii="Arial Narrow" w:hAnsi="Arial Narrow"/>
          <w:b/>
          <w:i w:val="0"/>
          <w:sz w:val="20"/>
          <w:szCs w:val="20"/>
        </w:rPr>
        <w:t xml:space="preserve"> ADHD scripts dispensed in ‘children’, ‘continuers’ and ‘adults’ from July 2011 to June 2019</w:t>
      </w:r>
    </w:p>
    <w:tbl>
      <w:tblPr>
        <w:tblStyle w:val="ASDTable19"/>
        <w:tblW w:w="5000" w:type="pct"/>
        <w:tblLayout w:type="fixed"/>
        <w:tblLook w:val="04A0" w:firstRow="1" w:lastRow="0" w:firstColumn="1" w:lastColumn="0" w:noHBand="0" w:noVBand="1"/>
        <w:tblCaption w:val="Table 4: Number of long and short acting ADHD scripts dispensed in ‘children’, ‘continuers’ and ‘adults’ from July 2011 to June 2019"/>
      </w:tblPr>
      <w:tblGrid>
        <w:gridCol w:w="2264"/>
        <w:gridCol w:w="851"/>
        <w:gridCol w:w="849"/>
        <w:gridCol w:w="851"/>
        <w:gridCol w:w="849"/>
        <w:gridCol w:w="851"/>
        <w:gridCol w:w="849"/>
        <w:gridCol w:w="851"/>
        <w:gridCol w:w="801"/>
      </w:tblGrid>
      <w:tr w:rsidR="00EF6997" w:rsidRPr="00DD31CC" w:rsidTr="00C33485">
        <w:trPr>
          <w:trHeight w:val="235"/>
          <w:tblHeader/>
        </w:trPr>
        <w:tc>
          <w:tcPr>
            <w:tcW w:w="1255" w:type="pct"/>
            <w:noWrap/>
            <w:tcMar>
              <w:left w:w="28" w:type="dxa"/>
              <w:right w:w="28" w:type="dxa"/>
            </w:tcMar>
            <w:vAlign w:val="center"/>
            <w:hideMark/>
          </w:tcPr>
          <w:p w:rsidR="00A86557" w:rsidRPr="00E25B55" w:rsidRDefault="00A86557" w:rsidP="00A86557">
            <w:pPr>
              <w:pStyle w:val="TableText0"/>
              <w:rPr>
                <w:b/>
                <w:bCs/>
                <w:sz w:val="18"/>
                <w:szCs w:val="18"/>
              </w:rPr>
            </w:pPr>
          </w:p>
        </w:tc>
        <w:tc>
          <w:tcPr>
            <w:tcW w:w="472" w:type="pct"/>
            <w:noWrap/>
            <w:tcMar>
              <w:left w:w="28" w:type="dxa"/>
              <w:right w:w="28" w:type="dxa"/>
            </w:tcMar>
            <w:vAlign w:val="center"/>
            <w:hideMark/>
          </w:tcPr>
          <w:p w:rsidR="00A86557" w:rsidRPr="00E25B55" w:rsidRDefault="00A86557" w:rsidP="00EF6997">
            <w:pPr>
              <w:pStyle w:val="TableText0"/>
              <w:jc w:val="center"/>
              <w:rPr>
                <w:b/>
                <w:bCs/>
                <w:sz w:val="18"/>
                <w:szCs w:val="18"/>
              </w:rPr>
            </w:pPr>
            <w:r w:rsidRPr="00E25B55">
              <w:rPr>
                <w:b/>
                <w:bCs/>
                <w:sz w:val="18"/>
                <w:szCs w:val="18"/>
              </w:rPr>
              <w:t>2011/12</w:t>
            </w:r>
          </w:p>
        </w:tc>
        <w:tc>
          <w:tcPr>
            <w:tcW w:w="471"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2012/13</w:t>
            </w:r>
          </w:p>
        </w:tc>
        <w:tc>
          <w:tcPr>
            <w:tcW w:w="472"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2013/14</w:t>
            </w:r>
          </w:p>
        </w:tc>
        <w:tc>
          <w:tcPr>
            <w:tcW w:w="471"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2014/15</w:t>
            </w:r>
          </w:p>
        </w:tc>
        <w:tc>
          <w:tcPr>
            <w:tcW w:w="472"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2015/16</w:t>
            </w:r>
          </w:p>
        </w:tc>
        <w:tc>
          <w:tcPr>
            <w:tcW w:w="471"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2016/17</w:t>
            </w:r>
          </w:p>
        </w:tc>
        <w:tc>
          <w:tcPr>
            <w:tcW w:w="472"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2017/18</w:t>
            </w:r>
          </w:p>
        </w:tc>
        <w:tc>
          <w:tcPr>
            <w:tcW w:w="444" w:type="pct"/>
            <w:noWrap/>
            <w:tcMar>
              <w:left w:w="28" w:type="dxa"/>
              <w:right w:w="28" w:type="dxa"/>
            </w:tcMar>
            <w:vAlign w:val="center"/>
            <w:hideMark/>
          </w:tcPr>
          <w:p w:rsidR="00A86557" w:rsidRPr="00DD31CC" w:rsidRDefault="00A86557" w:rsidP="00EF6997">
            <w:pPr>
              <w:pStyle w:val="TableText0"/>
              <w:jc w:val="center"/>
              <w:rPr>
                <w:b/>
                <w:bCs/>
                <w:sz w:val="18"/>
                <w:szCs w:val="18"/>
              </w:rPr>
            </w:pPr>
            <w:r w:rsidRPr="00DD31CC">
              <w:rPr>
                <w:b/>
                <w:bCs/>
                <w:sz w:val="18"/>
                <w:szCs w:val="18"/>
              </w:rPr>
              <w:t>2018/19</w:t>
            </w:r>
          </w:p>
        </w:tc>
      </w:tr>
      <w:tr w:rsidR="00A86557" w:rsidRPr="00DD31CC" w:rsidTr="00EF6997">
        <w:trPr>
          <w:trHeight w:val="139"/>
        </w:trPr>
        <w:tc>
          <w:tcPr>
            <w:tcW w:w="5000" w:type="pct"/>
            <w:gridSpan w:val="9"/>
            <w:noWrap/>
            <w:tcMar>
              <w:left w:w="28" w:type="dxa"/>
              <w:right w:w="28" w:type="dxa"/>
            </w:tcMar>
            <w:vAlign w:val="center"/>
            <w:hideMark/>
          </w:tcPr>
          <w:p w:rsidR="00A86557" w:rsidRPr="00DD31CC" w:rsidRDefault="00EF6997" w:rsidP="00EF6997">
            <w:pPr>
              <w:pStyle w:val="TableText0"/>
              <w:rPr>
                <w:b/>
                <w:sz w:val="18"/>
                <w:szCs w:val="18"/>
              </w:rPr>
            </w:pPr>
            <w:r w:rsidRPr="00DD31CC">
              <w:rPr>
                <w:b/>
                <w:sz w:val="18"/>
                <w:szCs w:val="18"/>
              </w:rPr>
              <w:t>Prescription</w:t>
            </w:r>
            <w:r w:rsidR="00A86557" w:rsidRPr="00DD31CC">
              <w:rPr>
                <w:b/>
                <w:sz w:val="18"/>
                <w:szCs w:val="18"/>
              </w:rPr>
              <w:t xml:space="preserve"> numbers</w:t>
            </w:r>
          </w:p>
        </w:tc>
      </w:tr>
      <w:tr w:rsidR="00EF6997" w:rsidRPr="00DD31CC" w:rsidTr="00EF6997">
        <w:trPr>
          <w:trHeight w:val="101"/>
        </w:trPr>
        <w:tc>
          <w:tcPr>
            <w:tcW w:w="1255" w:type="pct"/>
            <w:noWrap/>
            <w:tcMar>
              <w:left w:w="28" w:type="dxa"/>
              <w:right w:w="28" w:type="dxa"/>
            </w:tcMar>
            <w:vAlign w:val="center"/>
            <w:hideMark/>
          </w:tcPr>
          <w:p w:rsidR="00A86557" w:rsidRPr="00DD31CC" w:rsidRDefault="00A86557" w:rsidP="00A86557">
            <w:pPr>
              <w:pStyle w:val="TableText0"/>
              <w:rPr>
                <w:sz w:val="18"/>
                <w:szCs w:val="18"/>
              </w:rPr>
            </w:pPr>
            <w:r w:rsidRPr="00DD31CC">
              <w:rPr>
                <w:sz w:val="18"/>
                <w:szCs w:val="18"/>
              </w:rPr>
              <w:t>Children</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424,400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488,070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526,940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563,330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634,520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707,170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781,580</w:t>
            </w:r>
          </w:p>
        </w:tc>
        <w:tc>
          <w:tcPr>
            <w:tcW w:w="444"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871,420</w:t>
            </w:r>
          </w:p>
        </w:tc>
      </w:tr>
      <w:tr w:rsidR="00EF6997" w:rsidRPr="00DD31CC" w:rsidTr="00EF6997">
        <w:trPr>
          <w:trHeight w:val="131"/>
        </w:trPr>
        <w:tc>
          <w:tcPr>
            <w:tcW w:w="1255" w:type="pct"/>
            <w:noWrap/>
            <w:tcMar>
              <w:left w:w="28" w:type="dxa"/>
              <w:right w:w="28" w:type="dxa"/>
            </w:tcMar>
            <w:vAlign w:val="center"/>
            <w:hideMark/>
          </w:tcPr>
          <w:p w:rsidR="00A86557" w:rsidRPr="00DD31CC" w:rsidRDefault="00A86557" w:rsidP="00A86557">
            <w:pPr>
              <w:pStyle w:val="TableText0"/>
              <w:rPr>
                <w:sz w:val="18"/>
                <w:szCs w:val="18"/>
              </w:rPr>
            </w:pPr>
            <w:r w:rsidRPr="00DD31CC">
              <w:rPr>
                <w:sz w:val="18"/>
                <w:szCs w:val="18"/>
              </w:rPr>
              <w:t>Continuers</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31,280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46,880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54,740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64,460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75,410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86,610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97,930</w:t>
            </w:r>
          </w:p>
        </w:tc>
        <w:tc>
          <w:tcPr>
            <w:tcW w:w="444"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113,010</w:t>
            </w:r>
          </w:p>
        </w:tc>
      </w:tr>
      <w:tr w:rsidR="00EF6997" w:rsidRPr="00DD31CC" w:rsidTr="00EF6997">
        <w:trPr>
          <w:trHeight w:val="206"/>
        </w:trPr>
        <w:tc>
          <w:tcPr>
            <w:tcW w:w="1255" w:type="pct"/>
            <w:noWrap/>
            <w:tcMar>
              <w:left w:w="28" w:type="dxa"/>
              <w:right w:w="28" w:type="dxa"/>
            </w:tcMar>
            <w:vAlign w:val="center"/>
            <w:hideMark/>
          </w:tcPr>
          <w:p w:rsidR="00A86557" w:rsidRPr="00DD31CC" w:rsidRDefault="00A86557" w:rsidP="00A86557">
            <w:pPr>
              <w:pStyle w:val="TableText0"/>
              <w:rPr>
                <w:sz w:val="18"/>
                <w:szCs w:val="18"/>
              </w:rPr>
            </w:pPr>
            <w:r w:rsidRPr="00DD31CC">
              <w:rPr>
                <w:sz w:val="18"/>
                <w:szCs w:val="18"/>
              </w:rPr>
              <w:t>Adults</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134,780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230,590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241,710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258,960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290,610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314,350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336,790</w:t>
            </w:r>
          </w:p>
        </w:tc>
        <w:tc>
          <w:tcPr>
            <w:tcW w:w="444"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375,620</w:t>
            </w:r>
          </w:p>
        </w:tc>
      </w:tr>
      <w:tr w:rsidR="00EF6997" w:rsidRPr="00DD31CC" w:rsidTr="00EF6997">
        <w:trPr>
          <w:trHeight w:val="123"/>
        </w:trPr>
        <w:tc>
          <w:tcPr>
            <w:tcW w:w="1255" w:type="pct"/>
            <w:noWrap/>
            <w:tcMar>
              <w:left w:w="28" w:type="dxa"/>
              <w:right w:w="28" w:type="dxa"/>
            </w:tcMar>
            <w:vAlign w:val="center"/>
            <w:hideMark/>
          </w:tcPr>
          <w:p w:rsidR="00A86557" w:rsidRPr="00DD31CC" w:rsidRDefault="00A86557" w:rsidP="00A86557">
            <w:pPr>
              <w:pStyle w:val="TableText0"/>
              <w:rPr>
                <w:sz w:val="18"/>
                <w:szCs w:val="18"/>
              </w:rPr>
            </w:pPr>
            <w:r w:rsidRPr="00DD31CC">
              <w:rPr>
                <w:sz w:val="18"/>
                <w:szCs w:val="18"/>
              </w:rPr>
              <w:t>Total</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590,460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765,540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823,390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886,750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1,000,540</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1,108,130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1,216,300</w:t>
            </w:r>
          </w:p>
        </w:tc>
        <w:tc>
          <w:tcPr>
            <w:tcW w:w="444"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1,360,050</w:t>
            </w:r>
          </w:p>
        </w:tc>
      </w:tr>
      <w:tr w:rsidR="00A86557" w:rsidRPr="00DD31CC" w:rsidTr="00EF6997">
        <w:trPr>
          <w:trHeight w:val="183"/>
        </w:trPr>
        <w:tc>
          <w:tcPr>
            <w:tcW w:w="5000" w:type="pct"/>
            <w:gridSpan w:val="9"/>
            <w:noWrap/>
            <w:tcMar>
              <w:left w:w="28" w:type="dxa"/>
              <w:right w:w="28" w:type="dxa"/>
            </w:tcMar>
            <w:vAlign w:val="center"/>
          </w:tcPr>
          <w:p w:rsidR="00A86557" w:rsidRPr="00DD31CC" w:rsidRDefault="00A86557" w:rsidP="00A86557">
            <w:pPr>
              <w:pStyle w:val="TableText0"/>
              <w:rPr>
                <w:b/>
                <w:sz w:val="18"/>
                <w:szCs w:val="18"/>
              </w:rPr>
            </w:pPr>
            <w:r w:rsidRPr="00DD31CC">
              <w:rPr>
                <w:b/>
                <w:sz w:val="18"/>
                <w:szCs w:val="18"/>
              </w:rPr>
              <w:t xml:space="preserve">Proportion by cohort </w:t>
            </w:r>
          </w:p>
        </w:tc>
      </w:tr>
      <w:tr w:rsidR="00EF6997" w:rsidRPr="00DD31CC" w:rsidTr="00EF6997">
        <w:trPr>
          <w:trHeight w:val="115"/>
        </w:trPr>
        <w:tc>
          <w:tcPr>
            <w:tcW w:w="1255" w:type="pct"/>
            <w:noWrap/>
            <w:tcMar>
              <w:left w:w="28" w:type="dxa"/>
              <w:right w:w="28" w:type="dxa"/>
            </w:tcMar>
            <w:vAlign w:val="center"/>
          </w:tcPr>
          <w:p w:rsidR="00A86557" w:rsidRPr="00DD31CC" w:rsidRDefault="00A86557" w:rsidP="00A86557">
            <w:pPr>
              <w:pStyle w:val="TableText0"/>
              <w:rPr>
                <w:sz w:val="18"/>
                <w:szCs w:val="18"/>
              </w:rPr>
            </w:pPr>
            <w:r w:rsidRPr="00DD31CC">
              <w:rPr>
                <w:sz w:val="18"/>
                <w:szCs w:val="18"/>
              </w:rPr>
              <w:t>Children</w:t>
            </w:r>
            <w:r w:rsidRPr="00DD31CC">
              <w:rPr>
                <w:sz w:val="18"/>
                <w:szCs w:val="18"/>
                <w:vertAlign w:val="superscript"/>
              </w:rPr>
              <w:t>a</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72%</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63%</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44"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r>
      <w:tr w:rsidR="00EF6997" w:rsidRPr="00DD31CC" w:rsidTr="00EF6997">
        <w:trPr>
          <w:trHeight w:val="77"/>
        </w:trPr>
        <w:tc>
          <w:tcPr>
            <w:tcW w:w="1255" w:type="pct"/>
            <w:noWrap/>
            <w:tcMar>
              <w:left w:w="28" w:type="dxa"/>
              <w:right w:w="28" w:type="dxa"/>
            </w:tcMar>
            <w:vAlign w:val="center"/>
          </w:tcPr>
          <w:p w:rsidR="00A86557" w:rsidRPr="00DD31CC" w:rsidRDefault="00A86557" w:rsidP="00A86557">
            <w:pPr>
              <w:pStyle w:val="TableText0"/>
              <w:rPr>
                <w:sz w:val="18"/>
                <w:szCs w:val="18"/>
              </w:rPr>
            </w:pPr>
            <w:r w:rsidRPr="00DD31CC">
              <w:rPr>
                <w:sz w:val="18"/>
                <w:szCs w:val="18"/>
              </w:rPr>
              <w:t>Continuer</w:t>
            </w:r>
            <w:r w:rsidR="00BD1BB3" w:rsidRPr="00DD31CC">
              <w:rPr>
                <w:sz w:val="18"/>
                <w:szCs w:val="18"/>
              </w:rPr>
              <w:t>s</w:t>
            </w:r>
            <w:r w:rsidRPr="00DD31CC">
              <w:rPr>
                <w:sz w:val="18"/>
                <w:szCs w:val="18"/>
                <w:vertAlign w:val="superscript"/>
              </w:rPr>
              <w:t>b</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5%</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7%</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7%</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8%</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8%</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8%</w:t>
            </w:r>
          </w:p>
        </w:tc>
        <w:tc>
          <w:tcPr>
            <w:tcW w:w="444"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8%</w:t>
            </w:r>
          </w:p>
        </w:tc>
      </w:tr>
      <w:tr w:rsidR="00EF6997" w:rsidRPr="00DD31CC" w:rsidTr="00EF6997">
        <w:trPr>
          <w:trHeight w:val="152"/>
        </w:trPr>
        <w:tc>
          <w:tcPr>
            <w:tcW w:w="1255" w:type="pct"/>
            <w:noWrap/>
            <w:tcMar>
              <w:left w:w="28" w:type="dxa"/>
              <w:right w:w="28" w:type="dxa"/>
            </w:tcMar>
            <w:vAlign w:val="center"/>
          </w:tcPr>
          <w:p w:rsidR="00A86557" w:rsidRPr="00DD31CC" w:rsidRDefault="00A86557" w:rsidP="00A86557">
            <w:pPr>
              <w:pStyle w:val="TableText0"/>
              <w:rPr>
                <w:sz w:val="18"/>
                <w:szCs w:val="18"/>
              </w:rPr>
            </w:pPr>
            <w:r w:rsidRPr="00DD31CC">
              <w:rPr>
                <w:sz w:val="18"/>
                <w:szCs w:val="18"/>
              </w:rPr>
              <w:t>Adults</w:t>
            </w:r>
            <w:r w:rsidRPr="00DD31CC">
              <w:rPr>
                <w:sz w:val="18"/>
                <w:szCs w:val="18"/>
                <w:vertAlign w:val="superscript"/>
              </w:rPr>
              <w:t>c</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23%</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30%</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29%</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29%</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29%</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28%</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28%</w:t>
            </w:r>
          </w:p>
        </w:tc>
        <w:tc>
          <w:tcPr>
            <w:tcW w:w="444"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28%</w:t>
            </w:r>
          </w:p>
        </w:tc>
      </w:tr>
      <w:tr w:rsidR="00A86557" w:rsidRPr="00DD31CC" w:rsidTr="00EF6997">
        <w:trPr>
          <w:trHeight w:val="83"/>
        </w:trPr>
        <w:tc>
          <w:tcPr>
            <w:tcW w:w="5000" w:type="pct"/>
            <w:gridSpan w:val="9"/>
            <w:noWrap/>
            <w:tcMar>
              <w:left w:w="28" w:type="dxa"/>
              <w:right w:w="28" w:type="dxa"/>
            </w:tcMar>
            <w:vAlign w:val="center"/>
          </w:tcPr>
          <w:p w:rsidR="00A86557" w:rsidRPr="00DD31CC" w:rsidRDefault="00A86557" w:rsidP="00A86557">
            <w:pPr>
              <w:pStyle w:val="TableText0"/>
              <w:rPr>
                <w:b/>
                <w:sz w:val="18"/>
                <w:szCs w:val="18"/>
              </w:rPr>
            </w:pPr>
            <w:r w:rsidRPr="00DD31CC">
              <w:rPr>
                <w:b/>
                <w:sz w:val="18"/>
                <w:szCs w:val="18"/>
              </w:rPr>
              <w:t>Proportions by age at supply</w:t>
            </w:r>
          </w:p>
        </w:tc>
      </w:tr>
      <w:tr w:rsidR="00EF6997" w:rsidRPr="00DD31CC" w:rsidTr="00EF6997">
        <w:trPr>
          <w:trHeight w:val="99"/>
        </w:trPr>
        <w:tc>
          <w:tcPr>
            <w:tcW w:w="1255" w:type="pct"/>
            <w:noWrap/>
            <w:tcMar>
              <w:left w:w="28" w:type="dxa"/>
              <w:right w:w="28" w:type="dxa"/>
            </w:tcMar>
            <w:vAlign w:val="center"/>
          </w:tcPr>
          <w:p w:rsidR="00A86557" w:rsidRPr="00DD31CC" w:rsidRDefault="00EF6997" w:rsidP="00A86557">
            <w:pPr>
              <w:pStyle w:val="TableText0"/>
              <w:rPr>
                <w:sz w:val="18"/>
                <w:szCs w:val="18"/>
              </w:rPr>
            </w:pPr>
            <w:r w:rsidRPr="00DD31CC">
              <w:rPr>
                <w:sz w:val="18"/>
                <w:szCs w:val="18"/>
              </w:rPr>
              <w:t>&lt;18 (Children)</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72%</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63%</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c>
          <w:tcPr>
            <w:tcW w:w="444"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64%</w:t>
            </w:r>
          </w:p>
        </w:tc>
      </w:tr>
      <w:tr w:rsidR="00EF6997" w:rsidRPr="00DD31CC" w:rsidTr="00EF6997">
        <w:trPr>
          <w:trHeight w:val="119"/>
        </w:trPr>
        <w:tc>
          <w:tcPr>
            <w:tcW w:w="1255" w:type="pct"/>
            <w:noWrap/>
            <w:tcMar>
              <w:left w:w="28" w:type="dxa"/>
              <w:right w:w="28" w:type="dxa"/>
            </w:tcMar>
            <w:vAlign w:val="center"/>
          </w:tcPr>
          <w:p w:rsidR="00A86557" w:rsidRPr="00DD31CC" w:rsidRDefault="00A86557" w:rsidP="00EF6997">
            <w:pPr>
              <w:pStyle w:val="TableText0"/>
              <w:jc w:val="left"/>
              <w:rPr>
                <w:sz w:val="18"/>
                <w:szCs w:val="18"/>
              </w:rPr>
            </w:pPr>
            <w:r w:rsidRPr="00DD31CC">
              <w:rPr>
                <w:sz w:val="18"/>
                <w:szCs w:val="18"/>
              </w:rPr>
              <w:t>18+ (Continuers/Adults)</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28%</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36%</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36%</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36%</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37%</w:t>
            </w:r>
          </w:p>
        </w:tc>
        <w:tc>
          <w:tcPr>
            <w:tcW w:w="471"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36%</w:t>
            </w:r>
          </w:p>
        </w:tc>
        <w:tc>
          <w:tcPr>
            <w:tcW w:w="472"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36%</w:t>
            </w:r>
          </w:p>
        </w:tc>
        <w:tc>
          <w:tcPr>
            <w:tcW w:w="444" w:type="pct"/>
            <w:noWrap/>
            <w:tcMar>
              <w:left w:w="28" w:type="dxa"/>
              <w:right w:w="28" w:type="dxa"/>
            </w:tcMar>
            <w:vAlign w:val="center"/>
          </w:tcPr>
          <w:p w:rsidR="00A86557" w:rsidRPr="00DD31CC" w:rsidRDefault="00A86557" w:rsidP="00EF6997">
            <w:pPr>
              <w:pStyle w:val="TableText0"/>
              <w:jc w:val="center"/>
              <w:rPr>
                <w:sz w:val="18"/>
                <w:szCs w:val="18"/>
              </w:rPr>
            </w:pPr>
            <w:r w:rsidRPr="00DD31CC">
              <w:rPr>
                <w:sz w:val="18"/>
                <w:szCs w:val="18"/>
              </w:rPr>
              <w:t>36%</w:t>
            </w:r>
          </w:p>
        </w:tc>
      </w:tr>
      <w:tr w:rsidR="00A86557" w:rsidRPr="00DD31CC" w:rsidTr="00EF6997">
        <w:trPr>
          <w:trHeight w:val="126"/>
        </w:trPr>
        <w:tc>
          <w:tcPr>
            <w:tcW w:w="5000" w:type="pct"/>
            <w:gridSpan w:val="9"/>
            <w:noWrap/>
            <w:tcMar>
              <w:left w:w="28" w:type="dxa"/>
              <w:right w:w="28" w:type="dxa"/>
            </w:tcMar>
            <w:vAlign w:val="center"/>
            <w:hideMark/>
          </w:tcPr>
          <w:p w:rsidR="00A86557" w:rsidRPr="00DD31CC" w:rsidRDefault="00A86557" w:rsidP="00A86557">
            <w:pPr>
              <w:pStyle w:val="TableText0"/>
              <w:rPr>
                <w:b/>
                <w:sz w:val="18"/>
                <w:szCs w:val="18"/>
              </w:rPr>
            </w:pPr>
            <w:r w:rsidRPr="00DD31CC">
              <w:rPr>
                <w:b/>
                <w:sz w:val="18"/>
                <w:szCs w:val="18"/>
              </w:rPr>
              <w:t xml:space="preserve">Proportions by PBS restriction </w:t>
            </w:r>
          </w:p>
        </w:tc>
      </w:tr>
      <w:tr w:rsidR="00EF6997" w:rsidRPr="00DD31CC" w:rsidTr="00EF6997">
        <w:trPr>
          <w:trHeight w:val="57"/>
        </w:trPr>
        <w:tc>
          <w:tcPr>
            <w:tcW w:w="1255" w:type="pct"/>
            <w:noWrap/>
            <w:tcMar>
              <w:left w:w="28" w:type="dxa"/>
              <w:right w:w="28" w:type="dxa"/>
            </w:tcMar>
            <w:vAlign w:val="center"/>
            <w:hideMark/>
          </w:tcPr>
          <w:p w:rsidR="00A86557" w:rsidRPr="00DD31CC" w:rsidRDefault="00A86557" w:rsidP="00EF6997">
            <w:pPr>
              <w:pStyle w:val="TableText0"/>
              <w:rPr>
                <w:sz w:val="18"/>
                <w:szCs w:val="18"/>
              </w:rPr>
            </w:pPr>
            <w:r w:rsidRPr="00DD31CC">
              <w:rPr>
                <w:sz w:val="18"/>
                <w:szCs w:val="18"/>
              </w:rPr>
              <w:t>Children/Continuers</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77%</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71%</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71%</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71%</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72%</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72%</w:t>
            </w:r>
          </w:p>
        </w:tc>
        <w:tc>
          <w:tcPr>
            <w:tcW w:w="444"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72%</w:t>
            </w:r>
          </w:p>
        </w:tc>
      </w:tr>
      <w:tr w:rsidR="00EF6997" w:rsidRPr="00DD31CC" w:rsidTr="00EF6997">
        <w:trPr>
          <w:trHeight w:val="53"/>
        </w:trPr>
        <w:tc>
          <w:tcPr>
            <w:tcW w:w="1255" w:type="pct"/>
            <w:noWrap/>
            <w:tcMar>
              <w:left w:w="28" w:type="dxa"/>
              <w:right w:w="28" w:type="dxa"/>
            </w:tcMar>
            <w:vAlign w:val="center"/>
            <w:hideMark/>
          </w:tcPr>
          <w:p w:rsidR="00A86557" w:rsidRPr="00DD31CC" w:rsidRDefault="00A86557" w:rsidP="00A86557">
            <w:pPr>
              <w:pStyle w:val="TableText0"/>
              <w:rPr>
                <w:sz w:val="18"/>
                <w:szCs w:val="18"/>
              </w:rPr>
            </w:pPr>
            <w:r w:rsidRPr="00DD31CC">
              <w:rPr>
                <w:sz w:val="18"/>
                <w:szCs w:val="18"/>
              </w:rPr>
              <w:t>Adults</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23%</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30%</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29%</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29%</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29%</w:t>
            </w:r>
          </w:p>
        </w:tc>
        <w:tc>
          <w:tcPr>
            <w:tcW w:w="471"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28%</w:t>
            </w:r>
          </w:p>
        </w:tc>
        <w:tc>
          <w:tcPr>
            <w:tcW w:w="472"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28%</w:t>
            </w:r>
          </w:p>
        </w:tc>
        <w:tc>
          <w:tcPr>
            <w:tcW w:w="444" w:type="pct"/>
            <w:noWrap/>
            <w:tcMar>
              <w:left w:w="28" w:type="dxa"/>
              <w:right w:w="28" w:type="dxa"/>
            </w:tcMar>
            <w:vAlign w:val="center"/>
            <w:hideMark/>
          </w:tcPr>
          <w:p w:rsidR="00A86557" w:rsidRPr="00DD31CC" w:rsidRDefault="00A86557" w:rsidP="00EF6997">
            <w:pPr>
              <w:pStyle w:val="TableText0"/>
              <w:jc w:val="center"/>
              <w:rPr>
                <w:sz w:val="18"/>
                <w:szCs w:val="18"/>
              </w:rPr>
            </w:pPr>
            <w:r w:rsidRPr="00DD31CC">
              <w:rPr>
                <w:sz w:val="18"/>
                <w:szCs w:val="18"/>
              </w:rPr>
              <w:t>28%</w:t>
            </w:r>
          </w:p>
        </w:tc>
      </w:tr>
    </w:tbl>
    <w:p w:rsidR="00BA74D2" w:rsidRPr="00743538" w:rsidRDefault="00A86557" w:rsidP="00A86557">
      <w:pPr>
        <w:rPr>
          <w:rFonts w:ascii="Arial Narrow" w:hAnsi="Arial Narrow"/>
          <w:snapToGrid w:val="0"/>
          <w:sz w:val="18"/>
          <w:szCs w:val="18"/>
        </w:rPr>
      </w:pPr>
      <w:r w:rsidRPr="00743538">
        <w:rPr>
          <w:rFonts w:ascii="Arial Narrow" w:hAnsi="Arial Narrow"/>
          <w:snapToGrid w:val="0"/>
          <w:sz w:val="18"/>
          <w:szCs w:val="18"/>
        </w:rPr>
        <w:t>Source: Table 11, p33 of the minor submission</w:t>
      </w:r>
    </w:p>
    <w:p w:rsidR="00EF6997" w:rsidRPr="00743538" w:rsidRDefault="00EF6997" w:rsidP="00A86557">
      <w:pPr>
        <w:rPr>
          <w:rFonts w:ascii="Arial Narrow" w:hAnsi="Arial Narrow"/>
          <w:snapToGrid w:val="0"/>
          <w:sz w:val="18"/>
          <w:szCs w:val="18"/>
        </w:rPr>
      </w:pPr>
      <w:r w:rsidRPr="00743538">
        <w:rPr>
          <w:rFonts w:ascii="Arial Narrow" w:hAnsi="Arial Narrow"/>
          <w:snapToGrid w:val="0"/>
          <w:sz w:val="18"/>
          <w:szCs w:val="18"/>
        </w:rPr>
        <w:t>ADHD = attention deficit/hyperactivity disorder; PBS = Pharmaceutical Benefits Scheme</w:t>
      </w:r>
    </w:p>
    <w:p w:rsidR="00A86557" w:rsidRPr="00DD31CC" w:rsidRDefault="00A86557" w:rsidP="00A86557">
      <w:pPr>
        <w:pStyle w:val="BodyText1"/>
        <w:spacing w:before="0" w:after="0"/>
        <w:rPr>
          <w:rFonts w:ascii="Arial Narrow" w:hAnsi="Arial Narrow"/>
          <w:sz w:val="18"/>
          <w:szCs w:val="18"/>
        </w:rPr>
      </w:pPr>
      <w:r w:rsidRPr="00743538">
        <w:rPr>
          <w:rFonts w:ascii="Arial Narrow" w:hAnsi="Arial Narrow"/>
          <w:snapToGrid w:val="0"/>
          <w:sz w:val="18"/>
          <w:szCs w:val="18"/>
          <w:vertAlign w:val="superscript"/>
        </w:rPr>
        <w:t xml:space="preserve">a </w:t>
      </w:r>
      <w:r w:rsidRPr="00DD31CC">
        <w:rPr>
          <w:rFonts w:ascii="Arial Narrow" w:hAnsi="Arial Narrow"/>
          <w:sz w:val="18"/>
          <w:szCs w:val="18"/>
        </w:rPr>
        <w:t>Children: Aged &lt;18 at date of supply and “diagnosed” (i.e. first script) &lt;</w:t>
      </w:r>
      <w:r w:rsidR="00EF6997" w:rsidRPr="00DD31CC">
        <w:rPr>
          <w:rFonts w:ascii="Arial Narrow" w:hAnsi="Arial Narrow"/>
          <w:sz w:val="18"/>
          <w:szCs w:val="18"/>
        </w:rPr>
        <w:t xml:space="preserve"> </w:t>
      </w:r>
      <w:r w:rsidRPr="00DD31CC">
        <w:rPr>
          <w:rFonts w:ascii="Arial Narrow" w:hAnsi="Arial Narrow"/>
          <w:sz w:val="18"/>
          <w:szCs w:val="18"/>
        </w:rPr>
        <w:t>18</w:t>
      </w:r>
    </w:p>
    <w:p w:rsidR="00A86557" w:rsidRPr="00E25B55" w:rsidRDefault="00A86557" w:rsidP="00A86557">
      <w:pPr>
        <w:pStyle w:val="BodyText1"/>
        <w:spacing w:before="0" w:after="0"/>
        <w:rPr>
          <w:rFonts w:ascii="Arial Narrow" w:hAnsi="Arial Narrow"/>
          <w:sz w:val="18"/>
          <w:szCs w:val="18"/>
        </w:rPr>
      </w:pPr>
      <w:r w:rsidRPr="00DD31CC">
        <w:rPr>
          <w:rFonts w:ascii="Arial Narrow" w:hAnsi="Arial Narrow"/>
          <w:sz w:val="18"/>
          <w:szCs w:val="18"/>
          <w:vertAlign w:val="superscript"/>
        </w:rPr>
        <w:t xml:space="preserve">b </w:t>
      </w:r>
      <w:r w:rsidRPr="00E25B55">
        <w:rPr>
          <w:rFonts w:ascii="Arial Narrow" w:hAnsi="Arial Narrow"/>
          <w:sz w:val="18"/>
          <w:szCs w:val="18"/>
        </w:rPr>
        <w:t>Continuers: Aged 18+ at date of supply but “diagnosed” (i.e. first script) &lt;</w:t>
      </w:r>
      <w:r w:rsidR="00EF6997" w:rsidRPr="00E25B55">
        <w:rPr>
          <w:rFonts w:ascii="Arial Narrow" w:hAnsi="Arial Narrow"/>
          <w:sz w:val="18"/>
          <w:szCs w:val="18"/>
        </w:rPr>
        <w:t xml:space="preserve"> </w:t>
      </w:r>
      <w:r w:rsidRPr="00E25B55">
        <w:rPr>
          <w:rFonts w:ascii="Arial Narrow" w:hAnsi="Arial Narrow"/>
          <w:sz w:val="18"/>
          <w:szCs w:val="18"/>
        </w:rPr>
        <w:t>18</w:t>
      </w:r>
    </w:p>
    <w:p w:rsidR="00A86557" w:rsidRPr="00DD31CC" w:rsidRDefault="00A86557" w:rsidP="00A86557">
      <w:pPr>
        <w:pStyle w:val="BodyText1"/>
        <w:spacing w:before="0" w:after="0"/>
        <w:rPr>
          <w:rFonts w:ascii="Arial Narrow" w:hAnsi="Arial Narrow"/>
          <w:sz w:val="18"/>
          <w:szCs w:val="18"/>
        </w:rPr>
      </w:pPr>
      <w:r w:rsidRPr="00DD31CC">
        <w:rPr>
          <w:rFonts w:ascii="Arial Narrow" w:hAnsi="Arial Narrow"/>
          <w:sz w:val="18"/>
          <w:szCs w:val="18"/>
          <w:vertAlign w:val="superscript"/>
        </w:rPr>
        <w:t xml:space="preserve">c </w:t>
      </w:r>
      <w:r w:rsidRPr="00DD31CC">
        <w:rPr>
          <w:rFonts w:ascii="Arial Narrow" w:hAnsi="Arial Narrow"/>
          <w:sz w:val="18"/>
          <w:szCs w:val="18"/>
        </w:rPr>
        <w:t xml:space="preserve">Adults: Aged 18+ at date of supply </w:t>
      </w:r>
      <w:r w:rsidR="00A62831" w:rsidRPr="00DD31CC">
        <w:rPr>
          <w:rFonts w:ascii="Arial Narrow" w:hAnsi="Arial Narrow"/>
          <w:sz w:val="18"/>
          <w:szCs w:val="18"/>
        </w:rPr>
        <w:t xml:space="preserve">and </w:t>
      </w:r>
      <w:r w:rsidRPr="00DD31CC">
        <w:rPr>
          <w:rFonts w:ascii="Arial Narrow" w:hAnsi="Arial Narrow"/>
          <w:sz w:val="18"/>
          <w:szCs w:val="18"/>
        </w:rPr>
        <w:t>“</w:t>
      </w:r>
      <w:r w:rsidR="00A62831" w:rsidRPr="00DD31CC">
        <w:rPr>
          <w:rFonts w:ascii="Arial Narrow" w:hAnsi="Arial Narrow"/>
          <w:sz w:val="18"/>
          <w:szCs w:val="18"/>
        </w:rPr>
        <w:t>diagnosed” (i.e. first script) &gt;</w:t>
      </w:r>
      <w:r w:rsidR="00EF6997" w:rsidRPr="00DD31CC">
        <w:rPr>
          <w:rFonts w:ascii="Arial Narrow" w:hAnsi="Arial Narrow"/>
          <w:sz w:val="18"/>
          <w:szCs w:val="18"/>
        </w:rPr>
        <w:t xml:space="preserve"> </w:t>
      </w:r>
      <w:r w:rsidRPr="00DD31CC">
        <w:rPr>
          <w:rFonts w:ascii="Arial Narrow" w:hAnsi="Arial Narrow"/>
          <w:sz w:val="18"/>
          <w:szCs w:val="18"/>
        </w:rPr>
        <w:t>18.</w:t>
      </w:r>
    </w:p>
    <w:p w:rsidR="00FD5DF0" w:rsidRPr="00DD31CC" w:rsidRDefault="00A62831" w:rsidP="00A86557">
      <w:pPr>
        <w:pStyle w:val="BodyText1"/>
        <w:spacing w:before="0" w:after="0"/>
        <w:rPr>
          <w:rFonts w:ascii="Arial Narrow" w:hAnsi="Arial Narrow"/>
          <w:sz w:val="18"/>
          <w:szCs w:val="18"/>
        </w:rPr>
      </w:pPr>
      <w:r w:rsidRPr="00DD31CC">
        <w:rPr>
          <w:rFonts w:ascii="Arial Narrow" w:hAnsi="Arial Narrow"/>
          <w:sz w:val="18"/>
          <w:szCs w:val="18"/>
        </w:rPr>
        <w:t xml:space="preserve">These definitions assume that the age of the patient when they received their first ADHD script is a proxy for age at diagnosis. </w:t>
      </w:r>
    </w:p>
    <w:p w:rsidR="00FD5DF0" w:rsidRPr="00DD31CC" w:rsidRDefault="00FD5DF0" w:rsidP="00A86557">
      <w:pPr>
        <w:pStyle w:val="BodyText1"/>
        <w:spacing w:before="0" w:after="0"/>
        <w:rPr>
          <w:rFonts w:ascii="Arial Narrow" w:hAnsi="Arial Narrow"/>
          <w:sz w:val="18"/>
          <w:szCs w:val="18"/>
        </w:rPr>
      </w:pPr>
    </w:p>
    <w:p w:rsidR="00DB47AB" w:rsidRPr="00DB47AB" w:rsidRDefault="00A62831" w:rsidP="00BA74D2">
      <w:pPr>
        <w:pStyle w:val="Bodytextitalics"/>
        <w:numPr>
          <w:ilvl w:val="1"/>
          <w:numId w:val="1"/>
        </w:numPr>
        <w:jc w:val="both"/>
        <w:rPr>
          <w:rFonts w:cstheme="minorHAnsi"/>
          <w:i w:val="0"/>
          <w:szCs w:val="24"/>
        </w:rPr>
      </w:pPr>
      <w:r w:rsidRPr="00743538">
        <w:rPr>
          <w:i w:val="0"/>
        </w:rPr>
        <w:t>In 2018/</w:t>
      </w:r>
      <w:r w:rsidR="0029090F" w:rsidRPr="00743538">
        <w:rPr>
          <w:i w:val="0"/>
        </w:rPr>
        <w:t>1</w:t>
      </w:r>
      <w:r w:rsidRPr="00743538">
        <w:rPr>
          <w:i w:val="0"/>
        </w:rPr>
        <w:t xml:space="preserve">9, 72% of </w:t>
      </w:r>
      <w:r w:rsidR="0008117C" w:rsidRPr="00743538">
        <w:rPr>
          <w:i w:val="0"/>
        </w:rPr>
        <w:t xml:space="preserve">all PBS </w:t>
      </w:r>
      <w:r w:rsidRPr="00743538">
        <w:rPr>
          <w:i w:val="0"/>
        </w:rPr>
        <w:t xml:space="preserve">scripts in the ADHD market were dispensed to patients </w:t>
      </w:r>
      <w:r w:rsidR="006C43D1" w:rsidRPr="00743538">
        <w:rPr>
          <w:i w:val="0"/>
        </w:rPr>
        <w:t xml:space="preserve">who received their first PBS-subsidised prescription </w:t>
      </w:r>
      <w:r w:rsidRPr="00743538">
        <w:rPr>
          <w:i w:val="0"/>
        </w:rPr>
        <w:t xml:space="preserve">before 18 years </w:t>
      </w:r>
      <w:r w:rsidR="0074026A" w:rsidRPr="00743538">
        <w:rPr>
          <w:i w:val="0"/>
        </w:rPr>
        <w:t xml:space="preserve">of age </w:t>
      </w:r>
      <w:r w:rsidRPr="00743538">
        <w:rPr>
          <w:i w:val="0"/>
        </w:rPr>
        <w:t xml:space="preserve">and 28% were dispensed to patients </w:t>
      </w:r>
      <w:r w:rsidR="006C43D1" w:rsidRPr="00743538">
        <w:rPr>
          <w:i w:val="0"/>
        </w:rPr>
        <w:t>who received their first PBS-subsidised prescription</w:t>
      </w:r>
      <w:r w:rsidRPr="00743538">
        <w:rPr>
          <w:i w:val="0"/>
        </w:rPr>
        <w:t xml:space="preserve"> after 18</w:t>
      </w:r>
      <w:r w:rsidR="00B262B6">
        <w:rPr>
          <w:i w:val="0"/>
        </w:rPr>
        <w:t> </w:t>
      </w:r>
      <w:r w:rsidRPr="00743538">
        <w:rPr>
          <w:i w:val="0"/>
        </w:rPr>
        <w:t>years</w:t>
      </w:r>
      <w:r w:rsidR="0074026A" w:rsidRPr="00743538">
        <w:rPr>
          <w:i w:val="0"/>
        </w:rPr>
        <w:t xml:space="preserve"> of age</w:t>
      </w:r>
      <w:r w:rsidR="00DD31CC">
        <w:rPr>
          <w:i w:val="0"/>
        </w:rPr>
        <w:t xml:space="preserve">. </w:t>
      </w:r>
      <w:r w:rsidR="00590AC3" w:rsidRPr="00DD31CC">
        <w:rPr>
          <w:rFonts w:cstheme="minorHAnsi"/>
          <w:i w:val="0"/>
          <w:szCs w:val="24"/>
        </w:rPr>
        <w:t>Using these proportions</w:t>
      </w:r>
      <w:r w:rsidR="00590AC3" w:rsidRPr="00743538">
        <w:rPr>
          <w:i w:val="0"/>
        </w:rPr>
        <w:t xml:space="preserve"> </w:t>
      </w:r>
      <w:r w:rsidR="0029090F" w:rsidRPr="00743538">
        <w:rPr>
          <w:i w:val="0"/>
        </w:rPr>
        <w:t>resulted in</w:t>
      </w:r>
      <w:r w:rsidRPr="00743538">
        <w:rPr>
          <w:i w:val="0"/>
        </w:rPr>
        <w:t xml:space="preserve"> an effective </w:t>
      </w:r>
      <w:r w:rsidR="0074026A" w:rsidRPr="00743538">
        <w:rPr>
          <w:i w:val="0"/>
        </w:rPr>
        <w:t xml:space="preserve">AEMP </w:t>
      </w:r>
      <w:r w:rsidR="00590AC3" w:rsidRPr="00743538">
        <w:rPr>
          <w:i w:val="0"/>
        </w:rPr>
        <w:t>of LDX per pack equal to $</w:t>
      </w:r>
      <w:r w:rsidR="00BC3AA0">
        <w:rPr>
          <w:i w:val="0"/>
          <w:noProof/>
          <w:color w:val="000000"/>
          <w:highlight w:val="black"/>
        </w:rPr>
        <w:t>''''''''''''</w:t>
      </w:r>
      <w:r w:rsidR="004C7456" w:rsidRPr="00743538">
        <w:rPr>
          <w:i w:val="0"/>
        </w:rPr>
        <w:t>, a</w:t>
      </w:r>
      <w:r w:rsidR="008E212B" w:rsidRPr="00743538">
        <w:rPr>
          <w:i w:val="0"/>
        </w:rPr>
        <w:t>n approximate</w:t>
      </w:r>
      <w:r w:rsidR="00590AC3" w:rsidRPr="00743538">
        <w:rPr>
          <w:i w:val="0"/>
        </w:rPr>
        <w:t xml:space="preserve"> 12</w:t>
      </w:r>
      <w:r w:rsidR="004C7456" w:rsidRPr="00743538">
        <w:rPr>
          <w:i w:val="0"/>
        </w:rPr>
        <w:t>%</w:t>
      </w:r>
      <w:r w:rsidRPr="00743538">
        <w:rPr>
          <w:i w:val="0"/>
        </w:rPr>
        <w:t xml:space="preserve"> redu</w:t>
      </w:r>
      <w:r w:rsidR="00D324DA" w:rsidRPr="00743538">
        <w:rPr>
          <w:i w:val="0"/>
        </w:rPr>
        <w:t xml:space="preserve">ction on the current effective </w:t>
      </w:r>
      <w:r w:rsidR="0074026A" w:rsidRPr="00743538">
        <w:rPr>
          <w:i w:val="0"/>
        </w:rPr>
        <w:t>AEMP</w:t>
      </w:r>
      <w:r w:rsidRPr="00743538">
        <w:rPr>
          <w:i w:val="0"/>
        </w:rPr>
        <w:t xml:space="preserve"> (see Table 5). </w:t>
      </w:r>
    </w:p>
    <w:p w:rsidR="00A62831" w:rsidRPr="00DB47AB" w:rsidRDefault="00A62831" w:rsidP="00DB47AB">
      <w:pPr>
        <w:pStyle w:val="Bodytextitalics"/>
        <w:numPr>
          <w:ilvl w:val="0"/>
          <w:numId w:val="0"/>
        </w:numPr>
        <w:spacing w:after="0"/>
        <w:jc w:val="both"/>
        <w:rPr>
          <w:rFonts w:cstheme="minorHAnsi"/>
          <w:i w:val="0"/>
          <w:szCs w:val="24"/>
        </w:rPr>
      </w:pPr>
      <w:r w:rsidRPr="00DB47AB">
        <w:rPr>
          <w:rFonts w:ascii="Arial Narrow" w:hAnsi="Arial Narrow" w:cstheme="minorHAnsi"/>
          <w:b/>
          <w:i w:val="0"/>
          <w:snapToGrid w:val="0"/>
          <w:sz w:val="20"/>
          <w:szCs w:val="18"/>
        </w:rPr>
        <w:t xml:space="preserve">Table 5: </w:t>
      </w:r>
      <w:r w:rsidR="0008117C" w:rsidRPr="00DB47AB">
        <w:rPr>
          <w:rFonts w:ascii="Arial Narrow" w:hAnsi="Arial Narrow" w:cstheme="minorHAnsi"/>
          <w:b/>
          <w:i w:val="0"/>
          <w:snapToGrid w:val="0"/>
          <w:sz w:val="20"/>
          <w:szCs w:val="18"/>
        </w:rPr>
        <w:t>Calculation of w</w:t>
      </w:r>
      <w:r w:rsidRPr="00DB47AB">
        <w:rPr>
          <w:rFonts w:ascii="Arial Narrow" w:hAnsi="Arial Narrow" w:cstheme="minorHAnsi"/>
          <w:b/>
          <w:i w:val="0"/>
          <w:snapToGrid w:val="0"/>
          <w:sz w:val="20"/>
          <w:szCs w:val="18"/>
        </w:rPr>
        <w:t xml:space="preserve">eighted price of LDX </w:t>
      </w:r>
    </w:p>
    <w:tbl>
      <w:tblPr>
        <w:tblStyle w:val="ASDTable19"/>
        <w:tblW w:w="0" w:type="auto"/>
        <w:tblLook w:val="04A0" w:firstRow="1" w:lastRow="0" w:firstColumn="1" w:lastColumn="0" w:noHBand="0" w:noVBand="1"/>
        <w:tblCaption w:val="Table 5: Calculation of weighted price of LDX"/>
      </w:tblPr>
      <w:tblGrid>
        <w:gridCol w:w="2213"/>
        <w:gridCol w:w="2222"/>
        <w:gridCol w:w="2222"/>
        <w:gridCol w:w="2215"/>
      </w:tblGrid>
      <w:tr w:rsidR="00A62831" w:rsidRPr="00DD31CC" w:rsidTr="00C33485">
        <w:trPr>
          <w:trHeight w:val="135"/>
          <w:tblHeader/>
        </w:trPr>
        <w:tc>
          <w:tcPr>
            <w:tcW w:w="2213" w:type="dxa"/>
            <w:noWrap/>
            <w:vAlign w:val="center"/>
            <w:hideMark/>
          </w:tcPr>
          <w:p w:rsidR="00A62831" w:rsidRPr="00DD31CC" w:rsidRDefault="00A62831" w:rsidP="00FF24E1">
            <w:pPr>
              <w:pStyle w:val="TableText0"/>
              <w:rPr>
                <w:rFonts w:eastAsiaTheme="minorHAnsi"/>
                <w:b/>
                <w:lang w:eastAsia="en-GB"/>
              </w:rPr>
            </w:pPr>
            <w:r w:rsidRPr="00DD31CC">
              <w:rPr>
                <w:rFonts w:eastAsiaTheme="minorHAnsi"/>
                <w:b/>
              </w:rPr>
              <w:t>Patient population</w:t>
            </w:r>
          </w:p>
        </w:tc>
        <w:tc>
          <w:tcPr>
            <w:tcW w:w="2222" w:type="dxa"/>
            <w:noWrap/>
            <w:vAlign w:val="center"/>
            <w:hideMark/>
          </w:tcPr>
          <w:p w:rsidR="00A62831" w:rsidRPr="00E25B55" w:rsidRDefault="00A62831" w:rsidP="0074026A">
            <w:pPr>
              <w:pStyle w:val="TableText0"/>
              <w:jc w:val="center"/>
              <w:rPr>
                <w:rFonts w:eastAsiaTheme="minorHAnsi"/>
                <w:b/>
                <w:lang w:eastAsia="en-GB"/>
              </w:rPr>
            </w:pPr>
            <w:r w:rsidRPr="00DD31CC">
              <w:rPr>
                <w:rFonts w:eastAsiaTheme="minorHAnsi"/>
                <w:b/>
              </w:rPr>
              <w:t xml:space="preserve">Number of </w:t>
            </w:r>
            <w:r w:rsidR="0074026A" w:rsidRPr="00DD31CC">
              <w:rPr>
                <w:rFonts w:eastAsiaTheme="minorHAnsi"/>
                <w:b/>
              </w:rPr>
              <w:t>prescriptions</w:t>
            </w:r>
          </w:p>
        </w:tc>
        <w:tc>
          <w:tcPr>
            <w:tcW w:w="2222" w:type="dxa"/>
            <w:noWrap/>
            <w:vAlign w:val="center"/>
            <w:hideMark/>
          </w:tcPr>
          <w:p w:rsidR="00A62831" w:rsidRPr="00DD31CC" w:rsidRDefault="0074026A" w:rsidP="0074026A">
            <w:pPr>
              <w:pStyle w:val="TableText0"/>
              <w:jc w:val="center"/>
              <w:rPr>
                <w:rFonts w:eastAsiaTheme="minorHAnsi"/>
                <w:b/>
                <w:lang w:eastAsia="en-GB"/>
              </w:rPr>
            </w:pPr>
            <w:r w:rsidRPr="00E25B55">
              <w:rPr>
                <w:rFonts w:eastAsiaTheme="minorHAnsi"/>
                <w:b/>
                <w:lang w:eastAsia="en-GB"/>
              </w:rPr>
              <w:t>Weighting</w:t>
            </w:r>
          </w:p>
        </w:tc>
        <w:tc>
          <w:tcPr>
            <w:tcW w:w="2215" w:type="dxa"/>
            <w:noWrap/>
            <w:vAlign w:val="center"/>
            <w:hideMark/>
          </w:tcPr>
          <w:p w:rsidR="00A62831" w:rsidRPr="00DD31CC" w:rsidRDefault="0074026A" w:rsidP="0074026A">
            <w:pPr>
              <w:pStyle w:val="TableText0"/>
              <w:jc w:val="center"/>
              <w:rPr>
                <w:rFonts w:eastAsiaTheme="minorHAnsi"/>
                <w:b/>
                <w:lang w:eastAsia="en-GB"/>
              </w:rPr>
            </w:pPr>
            <w:r w:rsidRPr="00DD31CC">
              <w:rPr>
                <w:rFonts w:eastAsiaTheme="minorHAnsi"/>
                <w:b/>
                <w:lang w:eastAsia="en-GB"/>
              </w:rPr>
              <w:t>AEMP pe</w:t>
            </w:r>
            <w:r w:rsidR="00A62831" w:rsidRPr="00DD31CC">
              <w:rPr>
                <w:rFonts w:eastAsiaTheme="minorHAnsi"/>
                <w:b/>
                <w:lang w:eastAsia="en-GB"/>
              </w:rPr>
              <w:t>r pack</w:t>
            </w:r>
          </w:p>
        </w:tc>
      </w:tr>
      <w:tr w:rsidR="00A62831" w:rsidRPr="00DD31CC" w:rsidTr="0074026A">
        <w:trPr>
          <w:trHeight w:val="53"/>
        </w:trPr>
        <w:tc>
          <w:tcPr>
            <w:tcW w:w="2213" w:type="dxa"/>
            <w:vAlign w:val="center"/>
            <w:hideMark/>
          </w:tcPr>
          <w:p w:rsidR="00A62831" w:rsidRPr="00DD31CC" w:rsidRDefault="00A62831" w:rsidP="0029090F">
            <w:pPr>
              <w:pStyle w:val="TableText0"/>
              <w:rPr>
                <w:rFonts w:eastAsiaTheme="minorHAnsi"/>
                <w:lang w:eastAsia="en-GB"/>
              </w:rPr>
            </w:pPr>
            <w:r w:rsidRPr="00DD31CC">
              <w:t>Children/Continuers</w:t>
            </w:r>
          </w:p>
        </w:tc>
        <w:tc>
          <w:tcPr>
            <w:tcW w:w="2222" w:type="dxa"/>
            <w:noWrap/>
            <w:vAlign w:val="center"/>
            <w:hideMark/>
          </w:tcPr>
          <w:p w:rsidR="00A62831" w:rsidRPr="00DD31CC" w:rsidRDefault="004C7456" w:rsidP="0074026A">
            <w:pPr>
              <w:pStyle w:val="TableText0"/>
              <w:jc w:val="center"/>
              <w:rPr>
                <w:rFonts w:eastAsiaTheme="minorHAnsi"/>
                <w:lang w:eastAsia="en-GB"/>
              </w:rPr>
            </w:pPr>
            <w:r w:rsidRPr="00DD31CC">
              <w:rPr>
                <w:rFonts w:eastAsiaTheme="minorHAnsi"/>
                <w:lang w:eastAsia="en-GB"/>
              </w:rPr>
              <w:t>984,430*</w:t>
            </w:r>
          </w:p>
        </w:tc>
        <w:tc>
          <w:tcPr>
            <w:tcW w:w="2222" w:type="dxa"/>
            <w:noWrap/>
            <w:vAlign w:val="center"/>
            <w:hideMark/>
          </w:tcPr>
          <w:p w:rsidR="00A62831" w:rsidRPr="00DD31CC" w:rsidRDefault="00A62831" w:rsidP="0074026A">
            <w:pPr>
              <w:pStyle w:val="TableText0"/>
              <w:jc w:val="center"/>
              <w:rPr>
                <w:rFonts w:eastAsiaTheme="minorHAnsi"/>
                <w:lang w:eastAsia="en-GB"/>
              </w:rPr>
            </w:pPr>
            <w:r w:rsidRPr="00DD31CC">
              <w:t>72%</w:t>
            </w:r>
          </w:p>
        </w:tc>
        <w:tc>
          <w:tcPr>
            <w:tcW w:w="2215" w:type="dxa"/>
            <w:noWrap/>
            <w:vAlign w:val="center"/>
            <w:hideMark/>
          </w:tcPr>
          <w:p w:rsidR="00A62831" w:rsidRPr="00DD31CC" w:rsidRDefault="00A62831" w:rsidP="0074026A">
            <w:pPr>
              <w:pStyle w:val="TableText0"/>
              <w:jc w:val="center"/>
              <w:rPr>
                <w:rFonts w:eastAsiaTheme="minorHAnsi"/>
                <w:lang w:eastAsia="en-GB"/>
              </w:rPr>
            </w:pPr>
            <w:r w:rsidRPr="00DD31CC">
              <w:rPr>
                <w:rFonts w:eastAsiaTheme="minorHAnsi"/>
                <w:lang w:eastAsia="en-GB"/>
              </w:rPr>
              <w:t>$</w:t>
            </w:r>
            <w:r w:rsidR="00BC3AA0">
              <w:rPr>
                <w:rFonts w:eastAsiaTheme="minorHAnsi"/>
                <w:noProof/>
                <w:color w:val="000000"/>
                <w:highlight w:val="black"/>
                <w:lang w:eastAsia="en-GB"/>
              </w:rPr>
              <w:t>'''''''''''''</w:t>
            </w:r>
          </w:p>
        </w:tc>
      </w:tr>
      <w:tr w:rsidR="00A62831" w:rsidRPr="00DD31CC" w:rsidTr="0074026A">
        <w:trPr>
          <w:trHeight w:val="71"/>
        </w:trPr>
        <w:tc>
          <w:tcPr>
            <w:tcW w:w="2213" w:type="dxa"/>
            <w:vAlign w:val="center"/>
            <w:hideMark/>
          </w:tcPr>
          <w:p w:rsidR="00A62831" w:rsidRPr="00DD31CC" w:rsidRDefault="00A62831" w:rsidP="00FF24E1">
            <w:pPr>
              <w:pStyle w:val="TableText0"/>
              <w:rPr>
                <w:rFonts w:eastAsiaTheme="minorHAnsi"/>
                <w:lang w:eastAsia="en-GB"/>
              </w:rPr>
            </w:pPr>
            <w:r w:rsidRPr="00DD31CC">
              <w:t>Adults</w:t>
            </w:r>
          </w:p>
        </w:tc>
        <w:tc>
          <w:tcPr>
            <w:tcW w:w="2222" w:type="dxa"/>
            <w:noWrap/>
            <w:vAlign w:val="center"/>
            <w:hideMark/>
          </w:tcPr>
          <w:p w:rsidR="00A62831" w:rsidRPr="00DD31CC" w:rsidRDefault="00A62831" w:rsidP="0074026A">
            <w:pPr>
              <w:pStyle w:val="TableText0"/>
              <w:jc w:val="center"/>
              <w:rPr>
                <w:rFonts w:eastAsiaTheme="minorHAnsi"/>
                <w:lang w:eastAsia="en-GB"/>
              </w:rPr>
            </w:pPr>
            <w:r w:rsidRPr="00DD31CC">
              <w:t>375,620</w:t>
            </w:r>
          </w:p>
        </w:tc>
        <w:tc>
          <w:tcPr>
            <w:tcW w:w="2222" w:type="dxa"/>
            <w:noWrap/>
            <w:vAlign w:val="center"/>
            <w:hideMark/>
          </w:tcPr>
          <w:p w:rsidR="00A62831" w:rsidRPr="00DD31CC" w:rsidRDefault="00A62831" w:rsidP="0074026A">
            <w:pPr>
              <w:pStyle w:val="TableText0"/>
              <w:jc w:val="center"/>
              <w:rPr>
                <w:rFonts w:eastAsiaTheme="minorHAnsi"/>
                <w:lang w:eastAsia="en-GB"/>
              </w:rPr>
            </w:pPr>
            <w:r w:rsidRPr="00DD31CC">
              <w:t>28%</w:t>
            </w:r>
          </w:p>
        </w:tc>
        <w:tc>
          <w:tcPr>
            <w:tcW w:w="2215" w:type="dxa"/>
            <w:noWrap/>
            <w:vAlign w:val="center"/>
            <w:hideMark/>
          </w:tcPr>
          <w:p w:rsidR="00A62831" w:rsidRPr="00DD31CC" w:rsidRDefault="00A62831" w:rsidP="0074026A">
            <w:pPr>
              <w:pStyle w:val="TableText0"/>
              <w:jc w:val="center"/>
              <w:rPr>
                <w:rFonts w:eastAsiaTheme="minorHAnsi"/>
                <w:lang w:eastAsia="en-GB"/>
              </w:rPr>
            </w:pPr>
            <w:r w:rsidRPr="00DD31CC">
              <w:rPr>
                <w:rFonts w:eastAsiaTheme="minorHAnsi"/>
                <w:lang w:eastAsia="en-GB"/>
              </w:rPr>
              <w:t>$</w:t>
            </w:r>
            <w:r w:rsidR="00BC3AA0">
              <w:rPr>
                <w:rFonts w:eastAsiaTheme="minorHAnsi"/>
                <w:noProof/>
                <w:color w:val="000000"/>
                <w:highlight w:val="black"/>
                <w:lang w:eastAsia="en-GB"/>
              </w:rPr>
              <w:t>''''''''''''''</w:t>
            </w:r>
          </w:p>
        </w:tc>
      </w:tr>
      <w:tr w:rsidR="00A62831" w:rsidRPr="00DD31CC" w:rsidTr="0074026A">
        <w:trPr>
          <w:trHeight w:val="117"/>
        </w:trPr>
        <w:tc>
          <w:tcPr>
            <w:tcW w:w="6657" w:type="dxa"/>
            <w:gridSpan w:val="3"/>
            <w:noWrap/>
            <w:vAlign w:val="center"/>
            <w:hideMark/>
          </w:tcPr>
          <w:p w:rsidR="00A62831" w:rsidRPr="00DD31CC" w:rsidRDefault="00A62831" w:rsidP="0032364F">
            <w:pPr>
              <w:pStyle w:val="TableText0"/>
              <w:rPr>
                <w:rFonts w:eastAsiaTheme="minorHAnsi"/>
                <w:lang w:eastAsia="en-GB"/>
              </w:rPr>
            </w:pPr>
            <w:r w:rsidRPr="00DD31CC">
              <w:rPr>
                <w:rFonts w:eastAsiaTheme="minorHAnsi"/>
                <w:lang w:eastAsia="en-GB"/>
              </w:rPr>
              <w:t xml:space="preserve">Weighted </w:t>
            </w:r>
            <w:r w:rsidR="0032364F" w:rsidRPr="00DD31CC">
              <w:rPr>
                <w:rFonts w:eastAsiaTheme="minorHAnsi"/>
                <w:lang w:eastAsia="en-GB"/>
              </w:rPr>
              <w:t>AEMP</w:t>
            </w:r>
          </w:p>
        </w:tc>
        <w:tc>
          <w:tcPr>
            <w:tcW w:w="2215" w:type="dxa"/>
            <w:noWrap/>
            <w:vAlign w:val="center"/>
            <w:hideMark/>
          </w:tcPr>
          <w:p w:rsidR="00A62831" w:rsidRPr="00DD31CC" w:rsidRDefault="00A62831" w:rsidP="0074026A">
            <w:pPr>
              <w:pStyle w:val="TableText0"/>
              <w:jc w:val="center"/>
              <w:rPr>
                <w:rFonts w:eastAsiaTheme="minorHAnsi"/>
                <w:lang w:eastAsia="en-GB"/>
              </w:rPr>
            </w:pPr>
            <w:r w:rsidRPr="00DD31CC">
              <w:t>$</w:t>
            </w:r>
            <w:r w:rsidR="00BC3AA0">
              <w:rPr>
                <w:noProof/>
                <w:color w:val="000000"/>
                <w:highlight w:val="black"/>
              </w:rPr>
              <w:t>''''''''''''</w:t>
            </w:r>
            <w:r w:rsidR="004C7456" w:rsidRPr="00DD31CC">
              <w:t>*</w:t>
            </w:r>
          </w:p>
        </w:tc>
      </w:tr>
      <w:tr w:rsidR="00A62831" w:rsidRPr="00DD31CC" w:rsidTr="0074026A">
        <w:trPr>
          <w:trHeight w:val="53"/>
        </w:trPr>
        <w:tc>
          <w:tcPr>
            <w:tcW w:w="6657" w:type="dxa"/>
            <w:gridSpan w:val="3"/>
            <w:noWrap/>
            <w:vAlign w:val="center"/>
            <w:hideMark/>
          </w:tcPr>
          <w:p w:rsidR="00A62831" w:rsidRPr="00DD31CC" w:rsidRDefault="00A62831" w:rsidP="00FF24E1">
            <w:pPr>
              <w:pStyle w:val="TableText0"/>
              <w:rPr>
                <w:rFonts w:eastAsiaTheme="minorHAnsi"/>
                <w:lang w:eastAsia="en-GB"/>
              </w:rPr>
            </w:pPr>
            <w:r w:rsidRPr="00DD31CC">
              <w:rPr>
                <w:rFonts w:eastAsiaTheme="minorHAnsi"/>
                <w:lang w:eastAsia="en-GB"/>
              </w:rPr>
              <w:t>Change in price relative to current effective ex-man $</w:t>
            </w:r>
            <w:r w:rsidR="00BC3AA0">
              <w:rPr>
                <w:rFonts w:eastAsiaTheme="minorHAnsi"/>
                <w:noProof/>
                <w:color w:val="000000"/>
                <w:highlight w:val="black"/>
                <w:lang w:eastAsia="en-GB"/>
              </w:rPr>
              <w:t>'''''''''''''</w:t>
            </w:r>
          </w:p>
        </w:tc>
        <w:tc>
          <w:tcPr>
            <w:tcW w:w="2215" w:type="dxa"/>
            <w:noWrap/>
            <w:vAlign w:val="center"/>
            <w:hideMark/>
          </w:tcPr>
          <w:p w:rsidR="00A62831" w:rsidRPr="00DD31CC" w:rsidRDefault="008E212B" w:rsidP="0074026A">
            <w:pPr>
              <w:pStyle w:val="TableText0"/>
              <w:jc w:val="center"/>
              <w:rPr>
                <w:rFonts w:eastAsiaTheme="minorHAnsi"/>
                <w:lang w:eastAsia="en-GB"/>
              </w:rPr>
            </w:pPr>
            <w:r w:rsidRPr="00DD31CC">
              <w:t>~</w:t>
            </w:r>
            <w:r w:rsidR="004C7456" w:rsidRPr="00DD31CC">
              <w:t>-12.0%</w:t>
            </w:r>
          </w:p>
        </w:tc>
      </w:tr>
    </w:tbl>
    <w:p w:rsidR="0074026A" w:rsidRPr="00743538" w:rsidRDefault="00A62831" w:rsidP="00BA74D2">
      <w:pPr>
        <w:rPr>
          <w:rFonts w:ascii="Arial Narrow" w:hAnsi="Arial Narrow" w:cstheme="minorHAnsi"/>
          <w:snapToGrid w:val="0"/>
          <w:sz w:val="18"/>
          <w:szCs w:val="18"/>
        </w:rPr>
      </w:pPr>
      <w:r w:rsidRPr="00743538">
        <w:rPr>
          <w:rFonts w:ascii="Arial Narrow" w:hAnsi="Arial Narrow" w:cstheme="minorHAnsi"/>
          <w:snapToGrid w:val="0"/>
          <w:sz w:val="18"/>
          <w:szCs w:val="18"/>
        </w:rPr>
        <w:t>Source: Table 12, p34 of the minor submission</w:t>
      </w:r>
    </w:p>
    <w:p w:rsidR="004C7456" w:rsidRPr="00743538" w:rsidRDefault="0074026A" w:rsidP="00BA74D2">
      <w:pPr>
        <w:rPr>
          <w:rFonts w:ascii="Arial Narrow" w:hAnsi="Arial Narrow" w:cstheme="minorHAnsi"/>
          <w:snapToGrid w:val="0"/>
          <w:sz w:val="18"/>
          <w:szCs w:val="18"/>
        </w:rPr>
      </w:pPr>
      <w:r w:rsidRPr="00743538">
        <w:rPr>
          <w:rFonts w:ascii="Arial Narrow" w:hAnsi="Arial Narrow" w:cstheme="minorHAnsi"/>
          <w:snapToGrid w:val="0"/>
          <w:sz w:val="18"/>
          <w:szCs w:val="18"/>
        </w:rPr>
        <w:t>AEMP = approved ex-manufacturer price; LDX = lisdexamfetamine</w:t>
      </w:r>
      <w:r w:rsidR="004C7456" w:rsidRPr="00743538">
        <w:rPr>
          <w:rFonts w:ascii="Arial Narrow" w:hAnsi="Arial Narrow" w:cstheme="minorHAnsi"/>
          <w:snapToGrid w:val="0"/>
          <w:sz w:val="18"/>
          <w:szCs w:val="18"/>
        </w:rPr>
        <w:br/>
        <w:t xml:space="preserve">* The sponsor had number </w:t>
      </w:r>
      <w:r w:rsidRPr="00743538">
        <w:rPr>
          <w:rFonts w:ascii="Arial Narrow" w:hAnsi="Arial Narrow" w:cstheme="minorHAnsi"/>
          <w:snapToGrid w:val="0"/>
          <w:sz w:val="18"/>
          <w:szCs w:val="18"/>
        </w:rPr>
        <w:t>of prescriptions</w:t>
      </w:r>
      <w:r w:rsidR="004C7456" w:rsidRPr="00743538">
        <w:rPr>
          <w:rFonts w:ascii="Arial Narrow" w:hAnsi="Arial Narrow" w:cstheme="minorHAnsi"/>
          <w:snapToGrid w:val="0"/>
          <w:sz w:val="18"/>
          <w:szCs w:val="18"/>
        </w:rPr>
        <w:t xml:space="preserve"> for children/continuers at 1,073,320 (this is incorrect, based on Table 4). </w:t>
      </w:r>
    </w:p>
    <w:p w:rsidR="00F15B6E" w:rsidRPr="00743538" w:rsidRDefault="004C7456" w:rsidP="00F15B6E">
      <w:pPr>
        <w:rPr>
          <w:rFonts w:ascii="Arial Narrow" w:hAnsi="Arial Narrow" w:cstheme="minorHAnsi"/>
          <w:snapToGrid w:val="0"/>
          <w:sz w:val="18"/>
          <w:szCs w:val="18"/>
        </w:rPr>
      </w:pPr>
      <w:r w:rsidRPr="00743538">
        <w:rPr>
          <w:rFonts w:ascii="Arial Narrow" w:hAnsi="Arial Narrow" w:cstheme="minorHAnsi"/>
          <w:snapToGrid w:val="0"/>
          <w:sz w:val="18"/>
          <w:szCs w:val="18"/>
        </w:rPr>
        <w:t>* (72% of $</w:t>
      </w:r>
      <w:r w:rsidR="00BC3AA0">
        <w:rPr>
          <w:rFonts w:ascii="Arial Narrow" w:hAnsi="Arial Narrow" w:cstheme="minorHAnsi"/>
          <w:noProof/>
          <w:snapToGrid w:val="0"/>
          <w:color w:val="000000"/>
          <w:sz w:val="18"/>
          <w:szCs w:val="18"/>
          <w:highlight w:val="black"/>
        </w:rPr>
        <w:t>''''''''''''</w:t>
      </w:r>
      <w:r w:rsidRPr="00743538">
        <w:rPr>
          <w:rFonts w:ascii="Arial Narrow" w:hAnsi="Arial Narrow" w:cstheme="minorHAnsi"/>
          <w:snapToGrid w:val="0"/>
          <w:sz w:val="18"/>
          <w:szCs w:val="18"/>
        </w:rPr>
        <w:t>) + (28% of $</w:t>
      </w:r>
      <w:r w:rsidR="00BC3AA0">
        <w:rPr>
          <w:rFonts w:ascii="Arial Narrow" w:hAnsi="Arial Narrow" w:cstheme="minorHAnsi"/>
          <w:noProof/>
          <w:snapToGrid w:val="0"/>
          <w:color w:val="000000"/>
          <w:sz w:val="18"/>
          <w:szCs w:val="18"/>
          <w:highlight w:val="black"/>
        </w:rPr>
        <w:t>''''''''''''''</w:t>
      </w:r>
      <w:r w:rsidRPr="00743538">
        <w:rPr>
          <w:rFonts w:ascii="Arial Narrow" w:hAnsi="Arial Narrow" w:cstheme="minorHAnsi"/>
          <w:snapToGrid w:val="0"/>
          <w:sz w:val="18"/>
          <w:szCs w:val="18"/>
        </w:rPr>
        <w:t>) gives $</w:t>
      </w:r>
      <w:r w:rsidR="00BC3AA0">
        <w:rPr>
          <w:rFonts w:ascii="Arial Narrow" w:hAnsi="Arial Narrow" w:cstheme="minorHAnsi"/>
          <w:noProof/>
          <w:snapToGrid w:val="0"/>
          <w:color w:val="000000"/>
          <w:sz w:val="18"/>
          <w:szCs w:val="18"/>
          <w:highlight w:val="black"/>
        </w:rPr>
        <w:t>'''''''''''''</w:t>
      </w:r>
      <w:r w:rsidRPr="00743538">
        <w:rPr>
          <w:rFonts w:ascii="Arial Narrow" w:hAnsi="Arial Narrow" w:cstheme="minorHAnsi"/>
          <w:snapToGrid w:val="0"/>
          <w:sz w:val="18"/>
          <w:szCs w:val="18"/>
        </w:rPr>
        <w:t xml:space="preserve"> (not $</w:t>
      </w:r>
      <w:r w:rsidR="00BC3AA0">
        <w:rPr>
          <w:rFonts w:ascii="Arial Narrow" w:hAnsi="Arial Narrow" w:cstheme="minorHAnsi"/>
          <w:noProof/>
          <w:snapToGrid w:val="0"/>
          <w:color w:val="000000"/>
          <w:sz w:val="18"/>
          <w:szCs w:val="18"/>
          <w:highlight w:val="black"/>
        </w:rPr>
        <w:t>''''''''''''''</w:t>
      </w:r>
      <w:r w:rsidRPr="00743538">
        <w:rPr>
          <w:rFonts w:ascii="Arial Narrow" w:hAnsi="Arial Narrow" w:cstheme="minorHAnsi"/>
          <w:snapToGrid w:val="0"/>
          <w:sz w:val="18"/>
          <w:szCs w:val="18"/>
        </w:rPr>
        <w:t xml:space="preserve">). </w:t>
      </w:r>
    </w:p>
    <w:p w:rsidR="003C2FB5" w:rsidRPr="00DD31CC" w:rsidRDefault="00A55FEE" w:rsidP="008306F3">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D</w:t>
      </w:r>
      <w:r w:rsidR="00BD1BB3" w:rsidRPr="00DD31CC">
        <w:rPr>
          <w:rFonts w:asciiTheme="minorHAnsi" w:eastAsiaTheme="majorEastAsia" w:hAnsiTheme="minorHAnsi" w:cstheme="majorBidi"/>
          <w:sz w:val="28"/>
          <w:szCs w:val="28"/>
          <w:lang w:eastAsia="en-US"/>
        </w:rPr>
        <w:t>rug cost/patient/year: $</w:t>
      </w:r>
      <w:r w:rsidR="00BC3AA0">
        <w:rPr>
          <w:rFonts w:asciiTheme="minorHAnsi" w:eastAsiaTheme="majorEastAsia" w:hAnsiTheme="minorHAnsi" w:cstheme="majorBidi"/>
          <w:noProof/>
          <w:color w:val="000000"/>
          <w:sz w:val="28"/>
          <w:szCs w:val="28"/>
          <w:highlight w:val="black"/>
          <w:lang w:eastAsia="en-US"/>
        </w:rPr>
        <w:t>''''''''''''</w:t>
      </w:r>
      <w:r w:rsidRPr="00DD31CC">
        <w:rPr>
          <w:rFonts w:asciiTheme="minorHAnsi" w:eastAsiaTheme="majorEastAsia" w:hAnsiTheme="minorHAnsi" w:cstheme="majorBidi"/>
          <w:sz w:val="28"/>
          <w:szCs w:val="28"/>
          <w:lang w:eastAsia="en-US"/>
        </w:rPr>
        <w:t>.</w:t>
      </w:r>
    </w:p>
    <w:p w:rsidR="00A55FEE" w:rsidRPr="00DD31CC" w:rsidRDefault="003064AF" w:rsidP="0074026A">
      <w:pPr>
        <w:pStyle w:val="Bodytextitalics"/>
        <w:jc w:val="both"/>
        <w:rPr>
          <w:i w:val="0"/>
        </w:rPr>
      </w:pPr>
      <w:r w:rsidRPr="00DD31CC">
        <w:rPr>
          <w:i w:val="0"/>
        </w:rPr>
        <w:t>The estimated drug cost</w:t>
      </w:r>
      <w:r w:rsidR="00C31B0F" w:rsidRPr="00DD31CC">
        <w:rPr>
          <w:i w:val="0"/>
        </w:rPr>
        <w:t xml:space="preserve"> per </w:t>
      </w:r>
      <w:r w:rsidR="0052792D" w:rsidRPr="00E25B55">
        <w:rPr>
          <w:i w:val="0"/>
        </w:rPr>
        <w:t>patient</w:t>
      </w:r>
      <w:r w:rsidR="00C31B0F" w:rsidRPr="00E25B55">
        <w:rPr>
          <w:i w:val="0"/>
        </w:rPr>
        <w:t xml:space="preserve"> per month woul</w:t>
      </w:r>
      <w:r w:rsidR="00C21D84" w:rsidRPr="00E25B55">
        <w:rPr>
          <w:i w:val="0"/>
        </w:rPr>
        <w:t xml:space="preserve">d be </w:t>
      </w:r>
      <w:r w:rsidR="00F82078" w:rsidRPr="00E25B55">
        <w:rPr>
          <w:i w:val="0"/>
        </w:rPr>
        <w:t>$</w:t>
      </w:r>
      <w:r w:rsidR="00BC3AA0">
        <w:rPr>
          <w:i w:val="0"/>
          <w:noProof/>
          <w:color w:val="000000"/>
          <w:highlight w:val="black"/>
        </w:rPr>
        <w:t>'''''''''''</w:t>
      </w:r>
      <w:r w:rsidR="00C21D84" w:rsidRPr="00DD31CC">
        <w:rPr>
          <w:i w:val="0"/>
        </w:rPr>
        <w:t xml:space="preserve"> (the proposed</w:t>
      </w:r>
      <w:r w:rsidR="008E212B" w:rsidRPr="00DD31CC">
        <w:rPr>
          <w:i w:val="0"/>
        </w:rPr>
        <w:t xml:space="preserve"> weighted</w:t>
      </w:r>
      <w:r w:rsidR="00C21D84" w:rsidRPr="00DD31CC">
        <w:rPr>
          <w:i w:val="0"/>
        </w:rPr>
        <w:t xml:space="preserve"> </w:t>
      </w:r>
      <w:r w:rsidR="00C31B0F" w:rsidRPr="00DD31CC">
        <w:rPr>
          <w:i w:val="0"/>
        </w:rPr>
        <w:t>DP</w:t>
      </w:r>
      <w:r w:rsidR="00C21D84" w:rsidRPr="00DD31CC">
        <w:rPr>
          <w:i w:val="0"/>
        </w:rPr>
        <w:t xml:space="preserve">MQ </w:t>
      </w:r>
      <w:r w:rsidR="00C31B0F" w:rsidRPr="00DD31CC">
        <w:rPr>
          <w:i w:val="0"/>
        </w:rPr>
        <w:t>for 30 tablets</w:t>
      </w:r>
      <w:r w:rsidR="00C21D84" w:rsidRPr="00DD31CC">
        <w:rPr>
          <w:i w:val="0"/>
        </w:rPr>
        <w:t xml:space="preserve">) </w:t>
      </w:r>
      <w:r w:rsidR="00C31B0F" w:rsidRPr="00DD31CC">
        <w:rPr>
          <w:i w:val="0"/>
        </w:rPr>
        <w:t xml:space="preserve">based on a course duration of 30 days (once daily dosing). Therefore, the estimated drug cost per patient per year would be </w:t>
      </w:r>
      <w:r w:rsidR="008E212B" w:rsidRPr="00DD31CC">
        <w:rPr>
          <w:i w:val="0"/>
        </w:rPr>
        <w:t>$</w:t>
      </w:r>
      <w:r w:rsidR="00BC3AA0">
        <w:rPr>
          <w:i w:val="0"/>
          <w:noProof/>
          <w:color w:val="000000"/>
          <w:highlight w:val="black"/>
        </w:rPr>
        <w:t>''''''''''''''</w:t>
      </w:r>
      <w:r w:rsidR="00C31B0F" w:rsidRPr="00DD31CC">
        <w:rPr>
          <w:i w:val="0"/>
        </w:rPr>
        <w:t xml:space="preserve">. </w:t>
      </w:r>
    </w:p>
    <w:p w:rsidR="005A3173" w:rsidRPr="00DD31CC" w:rsidRDefault="005A3173" w:rsidP="008306F3">
      <w:pPr>
        <w:pStyle w:val="Heading2"/>
        <w:keepLines/>
        <w:spacing w:before="240" w:after="120"/>
        <w:rPr>
          <w:rFonts w:asciiTheme="minorHAnsi" w:eastAsiaTheme="majorEastAsia" w:hAnsiTheme="minorHAnsi" w:cstheme="majorBidi"/>
          <w:sz w:val="28"/>
          <w:szCs w:val="28"/>
          <w:lang w:eastAsia="en-US"/>
        </w:rPr>
      </w:pPr>
      <w:r w:rsidRPr="00DD31CC">
        <w:rPr>
          <w:rFonts w:asciiTheme="minorHAnsi" w:eastAsiaTheme="majorEastAsia" w:hAnsiTheme="minorHAnsi" w:cstheme="majorBidi"/>
          <w:sz w:val="28"/>
          <w:szCs w:val="28"/>
          <w:lang w:eastAsia="en-US"/>
        </w:rPr>
        <w:t>Estimated PBS usage &amp; financial implications</w:t>
      </w:r>
    </w:p>
    <w:p w:rsidR="00C00DA7" w:rsidRPr="00DD31CC" w:rsidRDefault="001D2202" w:rsidP="0074026A">
      <w:pPr>
        <w:pStyle w:val="3Bodytext"/>
        <w:jc w:val="both"/>
      </w:pPr>
      <w:r w:rsidRPr="00DD31CC">
        <w:t>With respect to the new adult market, t</w:t>
      </w:r>
      <w:r w:rsidR="00DC404D" w:rsidRPr="00DD31CC">
        <w:t xml:space="preserve">he minor submission estimated a net cost to the PBS of </w:t>
      </w:r>
      <w:r w:rsidR="008002EF">
        <w:t>less than $10 million</w:t>
      </w:r>
      <w:r w:rsidR="00DC404D" w:rsidRPr="00DD31CC">
        <w:t xml:space="preserve"> in Year 5 of listing, with a total net cost to the PBS of </w:t>
      </w:r>
      <w:r w:rsidR="008002EF">
        <w:t>$20 - $30 million</w:t>
      </w:r>
      <w:r w:rsidR="00DC404D" w:rsidRPr="00DD31CC">
        <w:t xml:space="preserve"> over the first 5 years of listing. This i</w:t>
      </w:r>
      <w:r w:rsidR="001664DE" w:rsidRPr="00DD31CC">
        <w:t xml:space="preserve">s </w:t>
      </w:r>
      <w:r w:rsidR="0074026A" w:rsidRPr="00DD31CC">
        <w:t xml:space="preserve">summarised in the table below. </w:t>
      </w:r>
      <w:r w:rsidR="0029090F" w:rsidRPr="00DD31CC">
        <w:t>The submission did not provide estimated usage or financial implications for Year 6 of listing.</w:t>
      </w:r>
    </w:p>
    <w:p w:rsidR="00C7409E" w:rsidRPr="00DD31CC" w:rsidRDefault="00C7409E" w:rsidP="00DD401A">
      <w:pPr>
        <w:keepNext/>
        <w:rPr>
          <w:rStyle w:val="CommentReference"/>
          <w:rFonts w:ascii="Arial Narrow" w:hAnsi="Arial Narrow"/>
          <w:b/>
          <w:sz w:val="20"/>
          <w:szCs w:val="20"/>
        </w:rPr>
      </w:pPr>
      <w:r w:rsidRPr="00DD31CC">
        <w:rPr>
          <w:rStyle w:val="CommentReference"/>
          <w:rFonts w:ascii="Arial Narrow" w:hAnsi="Arial Narrow"/>
          <w:b/>
          <w:sz w:val="20"/>
          <w:szCs w:val="20"/>
        </w:rPr>
        <w:t xml:space="preserve">Table </w:t>
      </w:r>
      <w:r w:rsidR="00DC404D" w:rsidRPr="00DD31CC">
        <w:rPr>
          <w:rStyle w:val="CommentReference"/>
          <w:rFonts w:ascii="Arial Narrow" w:hAnsi="Arial Narrow"/>
          <w:b/>
          <w:sz w:val="20"/>
          <w:szCs w:val="20"/>
        </w:rPr>
        <w:t>6</w:t>
      </w:r>
      <w:r w:rsidRPr="00DD31CC">
        <w:rPr>
          <w:rStyle w:val="CommentReference"/>
          <w:rFonts w:ascii="Arial Narrow" w:hAnsi="Arial Narrow"/>
          <w:b/>
          <w:sz w:val="20"/>
          <w:szCs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994"/>
        <w:gridCol w:w="1134"/>
        <w:gridCol w:w="1134"/>
        <w:gridCol w:w="1132"/>
        <w:gridCol w:w="1082"/>
      </w:tblGrid>
      <w:tr w:rsidR="0029090F" w:rsidRPr="00DD31CC" w:rsidTr="0029090F">
        <w:trPr>
          <w:trHeight w:val="53"/>
        </w:trPr>
        <w:tc>
          <w:tcPr>
            <w:tcW w:w="1963" w:type="pct"/>
            <w:shd w:val="clear" w:color="auto" w:fill="auto"/>
            <w:noWrap/>
            <w:tcMar>
              <w:left w:w="28" w:type="dxa"/>
              <w:right w:w="28" w:type="dxa"/>
            </w:tcMar>
            <w:vAlign w:val="bottom"/>
            <w:hideMark/>
          </w:tcPr>
          <w:p w:rsidR="001D2202" w:rsidRPr="00DD31CC" w:rsidRDefault="001D2202" w:rsidP="00DD401A">
            <w:pPr>
              <w:keepNext/>
              <w:keepLines/>
              <w:rPr>
                <w:rFonts w:ascii="Arial Narrow" w:hAnsi="Arial Narrow"/>
                <w:b/>
                <w:bCs/>
                <w:sz w:val="20"/>
                <w:szCs w:val="20"/>
              </w:rPr>
            </w:pPr>
          </w:p>
        </w:tc>
        <w:tc>
          <w:tcPr>
            <w:tcW w:w="551" w:type="pct"/>
            <w:shd w:val="clear" w:color="auto" w:fill="auto"/>
            <w:noWrap/>
            <w:tcMar>
              <w:left w:w="28" w:type="dxa"/>
              <w:right w:w="28" w:type="dxa"/>
            </w:tcMar>
            <w:vAlign w:val="bottom"/>
            <w:hideMark/>
          </w:tcPr>
          <w:p w:rsidR="001D2202" w:rsidRPr="00DD31CC" w:rsidRDefault="001D2202" w:rsidP="00DD401A">
            <w:pPr>
              <w:keepNext/>
              <w:keepLines/>
              <w:jc w:val="center"/>
              <w:rPr>
                <w:rFonts w:ascii="Arial Narrow" w:hAnsi="Arial Narrow"/>
                <w:b/>
                <w:bCs/>
                <w:sz w:val="20"/>
                <w:szCs w:val="20"/>
              </w:rPr>
            </w:pPr>
            <w:r w:rsidRPr="00DD31CC">
              <w:rPr>
                <w:rFonts w:ascii="Arial Narrow" w:hAnsi="Arial Narrow"/>
                <w:b/>
                <w:bCs/>
                <w:sz w:val="20"/>
                <w:szCs w:val="20"/>
              </w:rPr>
              <w:t>Year 1</w:t>
            </w:r>
          </w:p>
        </w:tc>
        <w:tc>
          <w:tcPr>
            <w:tcW w:w="629" w:type="pct"/>
            <w:shd w:val="clear" w:color="auto" w:fill="auto"/>
            <w:noWrap/>
            <w:tcMar>
              <w:left w:w="28" w:type="dxa"/>
              <w:right w:w="28" w:type="dxa"/>
            </w:tcMar>
            <w:vAlign w:val="bottom"/>
            <w:hideMark/>
          </w:tcPr>
          <w:p w:rsidR="001D2202" w:rsidRPr="00DD31CC" w:rsidRDefault="001D2202" w:rsidP="00DD401A">
            <w:pPr>
              <w:keepNext/>
              <w:keepLines/>
              <w:jc w:val="center"/>
              <w:rPr>
                <w:rFonts w:ascii="Arial Narrow" w:hAnsi="Arial Narrow"/>
                <w:b/>
                <w:bCs/>
                <w:sz w:val="20"/>
                <w:szCs w:val="20"/>
              </w:rPr>
            </w:pPr>
            <w:r w:rsidRPr="00DD31CC">
              <w:rPr>
                <w:rFonts w:ascii="Arial Narrow" w:hAnsi="Arial Narrow"/>
                <w:b/>
                <w:bCs/>
                <w:sz w:val="20"/>
                <w:szCs w:val="20"/>
              </w:rPr>
              <w:t>Year 2</w:t>
            </w:r>
          </w:p>
        </w:tc>
        <w:tc>
          <w:tcPr>
            <w:tcW w:w="629" w:type="pct"/>
            <w:shd w:val="clear" w:color="auto" w:fill="auto"/>
            <w:noWrap/>
            <w:tcMar>
              <w:left w:w="28" w:type="dxa"/>
              <w:right w:w="28" w:type="dxa"/>
            </w:tcMar>
            <w:vAlign w:val="bottom"/>
            <w:hideMark/>
          </w:tcPr>
          <w:p w:rsidR="001D2202" w:rsidRPr="00DD31CC" w:rsidRDefault="001D2202" w:rsidP="00DD401A">
            <w:pPr>
              <w:keepNext/>
              <w:keepLines/>
              <w:jc w:val="center"/>
              <w:rPr>
                <w:rFonts w:ascii="Arial Narrow" w:hAnsi="Arial Narrow"/>
                <w:b/>
                <w:bCs/>
                <w:sz w:val="20"/>
                <w:szCs w:val="20"/>
              </w:rPr>
            </w:pPr>
            <w:r w:rsidRPr="00DD31CC">
              <w:rPr>
                <w:rFonts w:ascii="Arial Narrow" w:hAnsi="Arial Narrow"/>
                <w:b/>
                <w:bCs/>
                <w:sz w:val="20"/>
                <w:szCs w:val="20"/>
              </w:rPr>
              <w:t>Year 3</w:t>
            </w:r>
          </w:p>
        </w:tc>
        <w:tc>
          <w:tcPr>
            <w:tcW w:w="628" w:type="pct"/>
            <w:shd w:val="clear" w:color="auto" w:fill="auto"/>
            <w:noWrap/>
            <w:tcMar>
              <w:left w:w="28" w:type="dxa"/>
              <w:right w:w="28" w:type="dxa"/>
            </w:tcMar>
            <w:vAlign w:val="bottom"/>
            <w:hideMark/>
          </w:tcPr>
          <w:p w:rsidR="001D2202" w:rsidRPr="00DD31CC" w:rsidRDefault="001D2202" w:rsidP="00DD401A">
            <w:pPr>
              <w:keepNext/>
              <w:keepLines/>
              <w:jc w:val="center"/>
              <w:rPr>
                <w:rFonts w:ascii="Arial Narrow" w:hAnsi="Arial Narrow"/>
                <w:b/>
                <w:bCs/>
                <w:sz w:val="20"/>
                <w:szCs w:val="20"/>
              </w:rPr>
            </w:pPr>
            <w:r w:rsidRPr="00DD31CC">
              <w:rPr>
                <w:rFonts w:ascii="Arial Narrow" w:hAnsi="Arial Narrow"/>
                <w:b/>
                <w:bCs/>
                <w:sz w:val="20"/>
                <w:szCs w:val="20"/>
              </w:rPr>
              <w:t>Year 4</w:t>
            </w:r>
          </w:p>
        </w:tc>
        <w:tc>
          <w:tcPr>
            <w:tcW w:w="601" w:type="pct"/>
            <w:shd w:val="clear" w:color="auto" w:fill="auto"/>
            <w:noWrap/>
            <w:tcMar>
              <w:left w:w="28" w:type="dxa"/>
              <w:right w:w="28" w:type="dxa"/>
            </w:tcMar>
            <w:vAlign w:val="bottom"/>
            <w:hideMark/>
          </w:tcPr>
          <w:p w:rsidR="001D2202" w:rsidRPr="00DD31CC" w:rsidRDefault="001D2202" w:rsidP="00DD401A">
            <w:pPr>
              <w:keepNext/>
              <w:keepLines/>
              <w:jc w:val="center"/>
              <w:rPr>
                <w:rFonts w:ascii="Arial Narrow" w:hAnsi="Arial Narrow"/>
                <w:b/>
                <w:bCs/>
                <w:sz w:val="20"/>
                <w:szCs w:val="20"/>
              </w:rPr>
            </w:pPr>
            <w:r w:rsidRPr="00DD31CC">
              <w:rPr>
                <w:rFonts w:ascii="Arial Narrow" w:hAnsi="Arial Narrow"/>
                <w:b/>
                <w:bCs/>
                <w:sz w:val="20"/>
                <w:szCs w:val="20"/>
              </w:rPr>
              <w:t>Year 5</w:t>
            </w:r>
          </w:p>
        </w:tc>
      </w:tr>
      <w:tr w:rsidR="0029090F" w:rsidRPr="00DD31CC" w:rsidTr="00C9655D">
        <w:trPr>
          <w:trHeight w:val="53"/>
        </w:trPr>
        <w:tc>
          <w:tcPr>
            <w:tcW w:w="1963" w:type="pct"/>
            <w:shd w:val="clear" w:color="auto" w:fill="auto"/>
            <w:noWrap/>
            <w:tcMar>
              <w:left w:w="28" w:type="dxa"/>
              <w:right w:w="28" w:type="dxa"/>
            </w:tcMar>
            <w:vAlign w:val="center"/>
            <w:hideMark/>
          </w:tcPr>
          <w:p w:rsidR="001D2202" w:rsidRPr="00DD31CC" w:rsidRDefault="001D2202" w:rsidP="00DD401A">
            <w:pPr>
              <w:keepNext/>
              <w:keepLines/>
              <w:rPr>
                <w:rFonts w:ascii="Arial Narrow" w:hAnsi="Arial Narrow"/>
                <w:sz w:val="20"/>
                <w:szCs w:val="20"/>
              </w:rPr>
            </w:pPr>
            <w:r w:rsidRPr="00DD31CC">
              <w:rPr>
                <w:rFonts w:ascii="Arial Narrow" w:hAnsi="Arial Narrow"/>
                <w:sz w:val="20"/>
                <w:szCs w:val="20"/>
              </w:rPr>
              <w:t xml:space="preserve">Projected size of adult ADHD market </w:t>
            </w:r>
          </w:p>
        </w:tc>
        <w:tc>
          <w:tcPr>
            <w:tcW w:w="55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8"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0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r>
      <w:tr w:rsidR="0029090F" w:rsidRPr="00DD31CC" w:rsidTr="00C9655D">
        <w:trPr>
          <w:trHeight w:val="79"/>
        </w:trPr>
        <w:tc>
          <w:tcPr>
            <w:tcW w:w="1963" w:type="pct"/>
            <w:shd w:val="clear" w:color="auto" w:fill="auto"/>
            <w:noWrap/>
            <w:tcMar>
              <w:left w:w="28" w:type="dxa"/>
              <w:right w:w="28" w:type="dxa"/>
            </w:tcMar>
            <w:vAlign w:val="center"/>
            <w:hideMark/>
          </w:tcPr>
          <w:p w:rsidR="001D2202" w:rsidRPr="00DD31CC" w:rsidRDefault="001D2202" w:rsidP="00DD401A">
            <w:pPr>
              <w:keepNext/>
              <w:keepLines/>
              <w:rPr>
                <w:rFonts w:ascii="Arial Narrow" w:hAnsi="Arial Narrow"/>
                <w:sz w:val="20"/>
                <w:szCs w:val="20"/>
              </w:rPr>
            </w:pPr>
            <w:r w:rsidRPr="00DD31CC">
              <w:rPr>
                <w:rFonts w:ascii="Arial Narrow" w:hAnsi="Arial Narrow"/>
                <w:sz w:val="20"/>
                <w:szCs w:val="20"/>
              </w:rPr>
              <w:t>Uptake of LDX</w:t>
            </w:r>
          </w:p>
        </w:tc>
        <w:tc>
          <w:tcPr>
            <w:tcW w:w="55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8"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0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r>
      <w:tr w:rsidR="0029090F" w:rsidRPr="00DD31CC" w:rsidTr="00C9655D">
        <w:trPr>
          <w:trHeight w:val="125"/>
        </w:trPr>
        <w:tc>
          <w:tcPr>
            <w:tcW w:w="1963" w:type="pct"/>
            <w:shd w:val="clear" w:color="auto" w:fill="auto"/>
            <w:noWrap/>
            <w:tcMar>
              <w:left w:w="28" w:type="dxa"/>
              <w:right w:w="28" w:type="dxa"/>
            </w:tcMar>
            <w:vAlign w:val="center"/>
            <w:hideMark/>
          </w:tcPr>
          <w:p w:rsidR="001D2202" w:rsidRPr="00DD31CC" w:rsidRDefault="001D2202" w:rsidP="00DD401A">
            <w:pPr>
              <w:keepNext/>
              <w:keepLines/>
              <w:rPr>
                <w:rFonts w:ascii="Arial Narrow" w:hAnsi="Arial Narrow"/>
                <w:sz w:val="20"/>
                <w:szCs w:val="20"/>
              </w:rPr>
            </w:pPr>
            <w:r w:rsidRPr="00DD31CC">
              <w:rPr>
                <w:rFonts w:ascii="Arial Narrow" w:hAnsi="Arial Narrow"/>
                <w:sz w:val="20"/>
                <w:szCs w:val="20"/>
              </w:rPr>
              <w:t>LDX items dispensed</w:t>
            </w:r>
          </w:p>
        </w:tc>
        <w:tc>
          <w:tcPr>
            <w:tcW w:w="55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8"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0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r>
      <w:tr w:rsidR="0029090F" w:rsidRPr="00DD31CC" w:rsidTr="00C9655D">
        <w:trPr>
          <w:trHeight w:val="172"/>
        </w:trPr>
        <w:tc>
          <w:tcPr>
            <w:tcW w:w="1963" w:type="pct"/>
            <w:shd w:val="clear" w:color="auto" w:fill="auto"/>
            <w:noWrap/>
            <w:tcMar>
              <w:left w:w="28" w:type="dxa"/>
              <w:right w:w="28" w:type="dxa"/>
            </w:tcMar>
            <w:vAlign w:val="center"/>
            <w:hideMark/>
          </w:tcPr>
          <w:p w:rsidR="001D2202" w:rsidRPr="00DD31CC" w:rsidRDefault="001D2202" w:rsidP="00DD401A">
            <w:pPr>
              <w:keepNext/>
              <w:keepLines/>
              <w:rPr>
                <w:rFonts w:ascii="Arial Narrow" w:hAnsi="Arial Narrow"/>
                <w:sz w:val="20"/>
                <w:szCs w:val="20"/>
              </w:rPr>
            </w:pPr>
            <w:r w:rsidRPr="00DD31CC">
              <w:rPr>
                <w:rFonts w:ascii="Arial Narrow" w:hAnsi="Arial Narrow"/>
                <w:sz w:val="20"/>
                <w:szCs w:val="20"/>
              </w:rPr>
              <w:t>Substituted IR MPH and IR DEX items</w:t>
            </w:r>
          </w:p>
        </w:tc>
        <w:tc>
          <w:tcPr>
            <w:tcW w:w="55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8"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0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r>
      <w:tr w:rsidR="0029090F" w:rsidRPr="00DD31CC" w:rsidTr="00C9655D">
        <w:trPr>
          <w:trHeight w:val="53"/>
        </w:trPr>
        <w:tc>
          <w:tcPr>
            <w:tcW w:w="1963" w:type="pct"/>
            <w:shd w:val="clear" w:color="auto" w:fill="auto"/>
            <w:noWrap/>
            <w:tcMar>
              <w:left w:w="28" w:type="dxa"/>
              <w:right w:w="28" w:type="dxa"/>
            </w:tcMar>
            <w:vAlign w:val="center"/>
            <w:hideMark/>
          </w:tcPr>
          <w:p w:rsidR="001D2202" w:rsidRPr="00DD31CC" w:rsidRDefault="0074026A" w:rsidP="00DD401A">
            <w:pPr>
              <w:keepNext/>
              <w:keepLines/>
              <w:rPr>
                <w:rFonts w:ascii="Arial Narrow" w:hAnsi="Arial Narrow"/>
                <w:sz w:val="20"/>
                <w:szCs w:val="20"/>
              </w:rPr>
            </w:pPr>
            <w:r w:rsidRPr="00DD31CC">
              <w:rPr>
                <w:rFonts w:ascii="Arial Narrow" w:hAnsi="Arial Narrow"/>
                <w:sz w:val="20"/>
                <w:szCs w:val="20"/>
              </w:rPr>
              <w:t>LDX</w:t>
            </w:r>
            <w:r w:rsidR="001D2202" w:rsidRPr="00DD31CC">
              <w:rPr>
                <w:rFonts w:ascii="Arial Narrow" w:hAnsi="Arial Narrow"/>
                <w:sz w:val="20"/>
                <w:szCs w:val="20"/>
              </w:rPr>
              <w:t xml:space="preserve"> expenditure (at adult price, $</w:t>
            </w:r>
            <w:r w:rsidR="00BC3AA0">
              <w:rPr>
                <w:rFonts w:ascii="Arial Narrow" w:hAnsi="Arial Narrow"/>
                <w:noProof/>
                <w:color w:val="000000"/>
                <w:sz w:val="20"/>
                <w:szCs w:val="20"/>
                <w:highlight w:val="black"/>
              </w:rPr>
              <w:t>'''''''''''''''</w:t>
            </w:r>
            <w:r w:rsidR="001D2202" w:rsidRPr="00DD31CC">
              <w:rPr>
                <w:rFonts w:ascii="Arial Narrow" w:hAnsi="Arial Narrow"/>
                <w:sz w:val="20"/>
                <w:szCs w:val="20"/>
              </w:rPr>
              <w:t>)</w:t>
            </w:r>
          </w:p>
        </w:tc>
        <w:tc>
          <w:tcPr>
            <w:tcW w:w="551" w:type="pct"/>
            <w:shd w:val="clear" w:color="auto" w:fill="auto"/>
            <w:noWrap/>
            <w:tcMar>
              <w:left w:w="28" w:type="dxa"/>
              <w:right w:w="28" w:type="dxa"/>
            </w:tcMar>
            <w:vAlign w:val="center"/>
            <w:hideMark/>
          </w:tcPr>
          <w:p w:rsidR="001D2202" w:rsidRPr="00DD31CC" w:rsidRDefault="001D2202" w:rsidP="00DD401A">
            <w:pPr>
              <w:pStyle w:val="TableText0"/>
              <w:keepNext/>
              <w:jc w:val="center"/>
            </w:pPr>
            <w:r w:rsidRPr="00DD31CC">
              <w:t>$</w:t>
            </w:r>
            <w:r w:rsidR="00BC3AA0">
              <w:rPr>
                <w:noProof/>
                <w:color w:val="000000"/>
                <w:highlight w:val="black"/>
              </w:rPr>
              <w:t>''''''''''''''''''''''</w:t>
            </w:r>
          </w:p>
        </w:tc>
        <w:tc>
          <w:tcPr>
            <w:tcW w:w="629" w:type="pct"/>
            <w:shd w:val="clear" w:color="auto" w:fill="auto"/>
            <w:noWrap/>
            <w:tcMar>
              <w:left w:w="28" w:type="dxa"/>
              <w:right w:w="28" w:type="dxa"/>
            </w:tcMar>
            <w:vAlign w:val="center"/>
            <w:hideMark/>
          </w:tcPr>
          <w:p w:rsidR="001D2202" w:rsidRPr="00DD31CC" w:rsidRDefault="001D2202" w:rsidP="00DD401A">
            <w:pPr>
              <w:pStyle w:val="TableText0"/>
              <w:keepNext/>
              <w:jc w:val="center"/>
            </w:pPr>
            <w:r w:rsidRPr="00DD31CC">
              <w:t>$</w:t>
            </w:r>
            <w:r w:rsidR="00BC3AA0">
              <w:rPr>
                <w:noProof/>
                <w:color w:val="000000"/>
                <w:highlight w:val="black"/>
              </w:rPr>
              <w:t>'''''''''''''''''''''''</w:t>
            </w:r>
          </w:p>
        </w:tc>
        <w:tc>
          <w:tcPr>
            <w:tcW w:w="629" w:type="pct"/>
            <w:shd w:val="clear" w:color="auto" w:fill="auto"/>
            <w:noWrap/>
            <w:tcMar>
              <w:left w:w="28" w:type="dxa"/>
              <w:right w:w="28" w:type="dxa"/>
            </w:tcMar>
            <w:vAlign w:val="center"/>
            <w:hideMark/>
          </w:tcPr>
          <w:p w:rsidR="001D2202" w:rsidRPr="00DD31CC" w:rsidRDefault="001D2202" w:rsidP="00DD401A">
            <w:pPr>
              <w:pStyle w:val="TableText0"/>
              <w:keepNext/>
              <w:jc w:val="center"/>
            </w:pPr>
            <w:r w:rsidRPr="00DD31CC">
              <w:t>$</w:t>
            </w:r>
            <w:r w:rsidR="00BC3AA0">
              <w:rPr>
                <w:noProof/>
                <w:color w:val="000000"/>
                <w:highlight w:val="black"/>
              </w:rPr>
              <w:t>''''''''''''''''''''''</w:t>
            </w:r>
          </w:p>
        </w:tc>
        <w:tc>
          <w:tcPr>
            <w:tcW w:w="628" w:type="pct"/>
            <w:shd w:val="clear" w:color="auto" w:fill="auto"/>
            <w:noWrap/>
            <w:tcMar>
              <w:left w:w="28" w:type="dxa"/>
              <w:right w:w="28" w:type="dxa"/>
            </w:tcMar>
            <w:vAlign w:val="center"/>
            <w:hideMark/>
          </w:tcPr>
          <w:p w:rsidR="001D2202" w:rsidRPr="00DD31CC" w:rsidRDefault="001D2202" w:rsidP="00DD401A">
            <w:pPr>
              <w:pStyle w:val="TableText0"/>
              <w:keepNext/>
              <w:jc w:val="center"/>
            </w:pPr>
            <w:r w:rsidRPr="00DD31CC">
              <w:t>$</w:t>
            </w:r>
            <w:r w:rsidR="00BC3AA0">
              <w:rPr>
                <w:noProof/>
                <w:color w:val="000000"/>
                <w:highlight w:val="black"/>
              </w:rPr>
              <w:t>'''''''''''''''''''''</w:t>
            </w:r>
          </w:p>
        </w:tc>
        <w:tc>
          <w:tcPr>
            <w:tcW w:w="601" w:type="pct"/>
            <w:shd w:val="clear" w:color="auto" w:fill="auto"/>
            <w:noWrap/>
            <w:tcMar>
              <w:left w:w="28" w:type="dxa"/>
              <w:right w:w="28" w:type="dxa"/>
            </w:tcMar>
            <w:vAlign w:val="center"/>
            <w:hideMark/>
          </w:tcPr>
          <w:p w:rsidR="001D2202" w:rsidRPr="00DD31CC" w:rsidRDefault="001D2202" w:rsidP="00DD401A">
            <w:pPr>
              <w:pStyle w:val="TableText0"/>
              <w:keepNext/>
              <w:jc w:val="center"/>
            </w:pPr>
            <w:r w:rsidRPr="00DD31CC">
              <w:t>$</w:t>
            </w:r>
            <w:r w:rsidR="00BC3AA0">
              <w:rPr>
                <w:noProof/>
                <w:color w:val="000000"/>
                <w:highlight w:val="black"/>
              </w:rPr>
              <w:t>''''''''''''''''''''''''''</w:t>
            </w:r>
          </w:p>
        </w:tc>
      </w:tr>
      <w:tr w:rsidR="0029090F" w:rsidRPr="00DD31CC" w:rsidTr="00C9655D">
        <w:trPr>
          <w:trHeight w:val="53"/>
        </w:trPr>
        <w:tc>
          <w:tcPr>
            <w:tcW w:w="1963" w:type="pct"/>
            <w:shd w:val="clear" w:color="auto" w:fill="auto"/>
            <w:noWrap/>
            <w:tcMar>
              <w:left w:w="28" w:type="dxa"/>
              <w:right w:w="28" w:type="dxa"/>
            </w:tcMar>
            <w:vAlign w:val="center"/>
            <w:hideMark/>
          </w:tcPr>
          <w:p w:rsidR="001D2202" w:rsidRPr="00DD31CC" w:rsidRDefault="001D2202" w:rsidP="00DD401A">
            <w:pPr>
              <w:keepNext/>
              <w:keepLines/>
              <w:rPr>
                <w:rFonts w:ascii="Arial Narrow" w:hAnsi="Arial Narrow"/>
                <w:sz w:val="20"/>
                <w:szCs w:val="20"/>
              </w:rPr>
            </w:pPr>
            <w:r w:rsidRPr="00DD31CC">
              <w:rPr>
                <w:rFonts w:ascii="Arial Narrow" w:hAnsi="Arial Narrow"/>
                <w:sz w:val="20"/>
                <w:szCs w:val="20"/>
              </w:rPr>
              <w:t>Substituted IR MPH and IR DEX expenditure</w:t>
            </w:r>
          </w:p>
        </w:tc>
        <w:tc>
          <w:tcPr>
            <w:tcW w:w="55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9"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28"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c>
          <w:tcPr>
            <w:tcW w:w="601" w:type="pct"/>
            <w:shd w:val="clear" w:color="auto" w:fill="auto"/>
            <w:noWrap/>
            <w:tcMar>
              <w:left w:w="28" w:type="dxa"/>
              <w:right w:w="28" w:type="dxa"/>
            </w:tcMar>
            <w:vAlign w:val="center"/>
            <w:hideMark/>
          </w:tcPr>
          <w:p w:rsidR="001D2202" w:rsidRPr="00BC3AA0" w:rsidRDefault="00BC3AA0" w:rsidP="00DD401A">
            <w:pPr>
              <w:pStyle w:val="TableText0"/>
              <w:keepNext/>
              <w:jc w:val="center"/>
              <w:rPr>
                <w:highlight w:val="black"/>
              </w:rPr>
            </w:pPr>
            <w:r>
              <w:rPr>
                <w:noProof/>
                <w:color w:val="000000"/>
                <w:highlight w:val="black"/>
              </w:rPr>
              <w:t>''''''''''''''''''''''''''''''</w:t>
            </w:r>
          </w:p>
        </w:tc>
      </w:tr>
      <w:tr w:rsidR="0029090F" w:rsidRPr="00DD31CC" w:rsidTr="00C9655D">
        <w:trPr>
          <w:trHeight w:val="53"/>
        </w:trPr>
        <w:tc>
          <w:tcPr>
            <w:tcW w:w="1963" w:type="pct"/>
            <w:shd w:val="clear" w:color="auto" w:fill="auto"/>
            <w:noWrap/>
            <w:tcMar>
              <w:left w:w="28" w:type="dxa"/>
              <w:right w:w="28" w:type="dxa"/>
            </w:tcMar>
            <w:vAlign w:val="center"/>
            <w:hideMark/>
          </w:tcPr>
          <w:p w:rsidR="001D2202" w:rsidRPr="00DD31CC" w:rsidRDefault="001D2202" w:rsidP="00DD401A">
            <w:pPr>
              <w:keepNext/>
              <w:keepLines/>
              <w:rPr>
                <w:rFonts w:ascii="Arial Narrow" w:hAnsi="Arial Narrow"/>
                <w:b/>
                <w:sz w:val="20"/>
                <w:szCs w:val="20"/>
              </w:rPr>
            </w:pPr>
            <w:r w:rsidRPr="00DD31CC">
              <w:rPr>
                <w:rFonts w:ascii="Arial Narrow" w:hAnsi="Arial Narrow"/>
                <w:b/>
                <w:sz w:val="20"/>
                <w:szCs w:val="20"/>
              </w:rPr>
              <w:t>Net cost to PBS/RPBS</w:t>
            </w:r>
          </w:p>
        </w:tc>
        <w:tc>
          <w:tcPr>
            <w:tcW w:w="551" w:type="pct"/>
            <w:shd w:val="clear" w:color="auto" w:fill="auto"/>
            <w:noWrap/>
            <w:tcMar>
              <w:left w:w="28" w:type="dxa"/>
              <w:right w:w="28" w:type="dxa"/>
            </w:tcMar>
            <w:vAlign w:val="center"/>
            <w:hideMark/>
          </w:tcPr>
          <w:p w:rsidR="001D2202" w:rsidRPr="00DD31CC" w:rsidRDefault="001D2202" w:rsidP="00DD401A">
            <w:pPr>
              <w:pStyle w:val="TableText0"/>
              <w:keepNext/>
              <w:jc w:val="center"/>
              <w:rPr>
                <w:b/>
              </w:rPr>
            </w:pPr>
            <w:r w:rsidRPr="00DD31CC">
              <w:rPr>
                <w:b/>
              </w:rPr>
              <w:t>$</w:t>
            </w:r>
            <w:r w:rsidR="00BC3AA0">
              <w:rPr>
                <w:b/>
                <w:noProof/>
                <w:color w:val="000000"/>
                <w:highlight w:val="black"/>
              </w:rPr>
              <w:t>'''''''''''''''''''''</w:t>
            </w:r>
          </w:p>
        </w:tc>
        <w:tc>
          <w:tcPr>
            <w:tcW w:w="629" w:type="pct"/>
            <w:shd w:val="clear" w:color="auto" w:fill="auto"/>
            <w:noWrap/>
            <w:tcMar>
              <w:left w:w="28" w:type="dxa"/>
              <w:right w:w="28" w:type="dxa"/>
            </w:tcMar>
            <w:vAlign w:val="center"/>
            <w:hideMark/>
          </w:tcPr>
          <w:p w:rsidR="001D2202" w:rsidRPr="00DD31CC" w:rsidRDefault="001D2202" w:rsidP="00DD401A">
            <w:pPr>
              <w:pStyle w:val="TableText0"/>
              <w:keepNext/>
              <w:jc w:val="center"/>
              <w:rPr>
                <w:b/>
              </w:rPr>
            </w:pPr>
            <w:r w:rsidRPr="00DD31CC">
              <w:rPr>
                <w:b/>
              </w:rPr>
              <w:t>$</w:t>
            </w:r>
            <w:r w:rsidR="00BC3AA0">
              <w:rPr>
                <w:b/>
                <w:noProof/>
                <w:color w:val="000000"/>
                <w:highlight w:val="black"/>
              </w:rPr>
              <w:t>''''''''''''''''''''</w:t>
            </w:r>
          </w:p>
        </w:tc>
        <w:tc>
          <w:tcPr>
            <w:tcW w:w="629" w:type="pct"/>
            <w:shd w:val="clear" w:color="auto" w:fill="auto"/>
            <w:noWrap/>
            <w:tcMar>
              <w:left w:w="28" w:type="dxa"/>
              <w:right w:w="28" w:type="dxa"/>
            </w:tcMar>
            <w:vAlign w:val="center"/>
            <w:hideMark/>
          </w:tcPr>
          <w:p w:rsidR="001D2202" w:rsidRPr="00DD31CC" w:rsidRDefault="001D2202" w:rsidP="00DD401A">
            <w:pPr>
              <w:pStyle w:val="TableText0"/>
              <w:keepNext/>
              <w:jc w:val="center"/>
              <w:rPr>
                <w:b/>
              </w:rPr>
            </w:pPr>
            <w:r w:rsidRPr="00DD31CC">
              <w:rPr>
                <w:b/>
              </w:rPr>
              <w:t>$</w:t>
            </w:r>
            <w:r w:rsidR="00BC3AA0">
              <w:rPr>
                <w:b/>
                <w:noProof/>
                <w:color w:val="000000"/>
                <w:highlight w:val="black"/>
              </w:rPr>
              <w:t>'''''''''''''''''</w:t>
            </w:r>
          </w:p>
        </w:tc>
        <w:tc>
          <w:tcPr>
            <w:tcW w:w="628" w:type="pct"/>
            <w:shd w:val="clear" w:color="auto" w:fill="auto"/>
            <w:noWrap/>
            <w:tcMar>
              <w:left w:w="28" w:type="dxa"/>
              <w:right w:w="28" w:type="dxa"/>
            </w:tcMar>
            <w:vAlign w:val="center"/>
            <w:hideMark/>
          </w:tcPr>
          <w:p w:rsidR="001D2202" w:rsidRPr="00DD31CC" w:rsidRDefault="001D2202" w:rsidP="00DD401A">
            <w:pPr>
              <w:pStyle w:val="TableText0"/>
              <w:keepNext/>
              <w:jc w:val="center"/>
              <w:rPr>
                <w:b/>
              </w:rPr>
            </w:pPr>
            <w:r w:rsidRPr="00DD31CC">
              <w:rPr>
                <w:b/>
              </w:rPr>
              <w:t>$</w:t>
            </w:r>
            <w:r w:rsidR="00BC3AA0">
              <w:rPr>
                <w:b/>
                <w:noProof/>
                <w:color w:val="000000"/>
                <w:highlight w:val="black"/>
              </w:rPr>
              <w:t>'''''''''''''''''''</w:t>
            </w:r>
          </w:p>
        </w:tc>
        <w:tc>
          <w:tcPr>
            <w:tcW w:w="601" w:type="pct"/>
            <w:shd w:val="clear" w:color="auto" w:fill="auto"/>
            <w:noWrap/>
            <w:tcMar>
              <w:left w:w="28" w:type="dxa"/>
              <w:right w:w="28" w:type="dxa"/>
            </w:tcMar>
            <w:vAlign w:val="center"/>
            <w:hideMark/>
          </w:tcPr>
          <w:p w:rsidR="001D2202" w:rsidRPr="00DD31CC" w:rsidRDefault="001D2202" w:rsidP="00DD401A">
            <w:pPr>
              <w:pStyle w:val="TableText0"/>
              <w:keepNext/>
              <w:jc w:val="center"/>
              <w:rPr>
                <w:b/>
              </w:rPr>
            </w:pPr>
            <w:r w:rsidRPr="00DD31CC">
              <w:rPr>
                <w:b/>
              </w:rPr>
              <w:t>$</w:t>
            </w:r>
            <w:r w:rsidR="00BC3AA0">
              <w:rPr>
                <w:b/>
                <w:noProof/>
                <w:color w:val="000000"/>
                <w:highlight w:val="black"/>
              </w:rPr>
              <w:t>'''''''''''''''''''''</w:t>
            </w:r>
          </w:p>
        </w:tc>
      </w:tr>
    </w:tbl>
    <w:p w:rsidR="001D2202" w:rsidRPr="00DD31CC" w:rsidRDefault="001D2202" w:rsidP="00C7409E">
      <w:pPr>
        <w:rPr>
          <w:rFonts w:ascii="Arial Narrow" w:hAnsi="Arial Narrow"/>
          <w:sz w:val="18"/>
          <w:szCs w:val="18"/>
        </w:rPr>
      </w:pPr>
      <w:r w:rsidRPr="00DD31CC">
        <w:rPr>
          <w:rFonts w:ascii="Arial Narrow" w:hAnsi="Arial Narrow"/>
          <w:sz w:val="18"/>
          <w:szCs w:val="18"/>
        </w:rPr>
        <w:t xml:space="preserve">Source: Table 14, p37 of the minor submission </w:t>
      </w:r>
    </w:p>
    <w:p w:rsidR="0074026A" w:rsidRPr="00DD31CC" w:rsidRDefault="0074026A" w:rsidP="00C7409E">
      <w:pPr>
        <w:rPr>
          <w:rFonts w:ascii="Arial Narrow" w:hAnsi="Arial Narrow"/>
          <w:sz w:val="18"/>
          <w:szCs w:val="18"/>
        </w:rPr>
      </w:pPr>
      <w:r w:rsidRPr="00DD31CC">
        <w:rPr>
          <w:rFonts w:ascii="Arial Narrow" w:hAnsi="Arial Narrow"/>
          <w:sz w:val="18"/>
          <w:szCs w:val="18"/>
        </w:rPr>
        <w:t>ADHD = attention deficit/hyperactivity disorder; DPMQ = dispensed price for maximum quantity; IR DEX = immediate release dexamfetamine; IR MPH = immediate release methylphenidate; LDX = lisdexamfetamine; PBS = Pharmaceutical Benefits Scheme; RPBS = Repatriation Pharmaceutical Benefits Scheme</w:t>
      </w:r>
    </w:p>
    <w:p w:rsidR="001D2202" w:rsidRPr="00DD31CC" w:rsidRDefault="001D2202" w:rsidP="001D2202">
      <w:pPr>
        <w:pStyle w:val="Tablefootnote"/>
        <w:rPr>
          <w:sz w:val="18"/>
          <w:szCs w:val="18"/>
        </w:rPr>
      </w:pPr>
      <w:r w:rsidRPr="00DD31CC">
        <w:rPr>
          <w:sz w:val="18"/>
          <w:szCs w:val="18"/>
        </w:rPr>
        <w:t xml:space="preserve">All units for IR MPH, IR DEX and LDX are presented as natural units. However, </w:t>
      </w:r>
      <w:r w:rsidR="0074026A" w:rsidRPr="00DD31CC">
        <w:rPr>
          <w:sz w:val="18"/>
          <w:szCs w:val="18"/>
        </w:rPr>
        <w:t>prescription</w:t>
      </w:r>
      <w:r w:rsidRPr="00DD31CC">
        <w:rPr>
          <w:sz w:val="18"/>
          <w:szCs w:val="18"/>
        </w:rPr>
        <w:t xml:space="preserve"> equivalence was applied when calculating uptake of LDX and substitution of stimulant medication in the ‘adult’ ADHD market, see </w:t>
      </w:r>
      <w:r w:rsidRPr="00DD31CC">
        <w:rPr>
          <w:sz w:val="18"/>
          <w:szCs w:val="18"/>
          <w:lang w:eastAsia="en-GB"/>
        </w:rPr>
        <w:t xml:space="preserve">Section 4 spreadsheet_ VYVANSE _Minor_Dec19.xls for calculations. As such, </w:t>
      </w:r>
      <w:r w:rsidRPr="00DD31CC">
        <w:rPr>
          <w:sz w:val="18"/>
          <w:szCs w:val="18"/>
        </w:rPr>
        <w:t xml:space="preserve">the number of dispensed LDX items are not equal to the % uptake of LDX in the adult ADHD market. Also, substituted IR MPH and IR DEX items are not equal to the number of LDX items despite the assumption that no additional LDX items will grow the adult ADHD market due to the reversal of </w:t>
      </w:r>
      <w:r w:rsidR="0074026A" w:rsidRPr="00DD31CC">
        <w:rPr>
          <w:sz w:val="18"/>
          <w:szCs w:val="18"/>
        </w:rPr>
        <w:t>prescription</w:t>
      </w:r>
      <w:r w:rsidRPr="00DD31CC">
        <w:rPr>
          <w:sz w:val="18"/>
          <w:szCs w:val="18"/>
        </w:rPr>
        <w:t xml:space="preserve"> equivalence.</w:t>
      </w:r>
    </w:p>
    <w:p w:rsidR="001D2202" w:rsidRPr="00DD31CC" w:rsidRDefault="001D2202" w:rsidP="001D2202">
      <w:pPr>
        <w:pStyle w:val="Tablefootnote"/>
        <w:rPr>
          <w:sz w:val="18"/>
          <w:szCs w:val="18"/>
        </w:rPr>
      </w:pPr>
      <w:r w:rsidRPr="00DD31CC">
        <w:rPr>
          <w:sz w:val="18"/>
          <w:szCs w:val="18"/>
        </w:rPr>
        <w:t xml:space="preserve">Costs are presented as total cost to the PBS/RBS and hence are based on DPMQ for each ADHD medication less patient co-payments. </w:t>
      </w:r>
    </w:p>
    <w:p w:rsidR="001D2202" w:rsidRPr="00DD31CC" w:rsidRDefault="001D2202" w:rsidP="00A070F3">
      <w:pPr>
        <w:pStyle w:val="Bodytextitalics"/>
        <w:jc w:val="both"/>
        <w:rPr>
          <w:szCs w:val="24"/>
        </w:rPr>
      </w:pPr>
      <w:r w:rsidRPr="00DD31CC">
        <w:rPr>
          <w:i w:val="0"/>
          <w:szCs w:val="24"/>
        </w:rPr>
        <w:t xml:space="preserve">The estimated use and financial impact of LDX in the adult population was estimated by way of a market share analysis. The submission stated </w:t>
      </w:r>
      <w:r w:rsidR="001C59B0" w:rsidRPr="00DD31CC">
        <w:rPr>
          <w:i w:val="0"/>
          <w:szCs w:val="24"/>
        </w:rPr>
        <w:t>that the analysis followed these steps:</w:t>
      </w:r>
      <w:r w:rsidRPr="00DD31CC">
        <w:rPr>
          <w:i w:val="0"/>
          <w:szCs w:val="24"/>
        </w:rPr>
        <w:t xml:space="preserve"> </w:t>
      </w:r>
    </w:p>
    <w:p w:rsidR="001D2202" w:rsidRPr="00DD31CC" w:rsidRDefault="001D2202" w:rsidP="001D2202">
      <w:pPr>
        <w:pStyle w:val="ListParagraph"/>
        <w:numPr>
          <w:ilvl w:val="0"/>
          <w:numId w:val="26"/>
        </w:numPr>
        <w:rPr>
          <w:rFonts w:asciiTheme="minorHAnsi" w:eastAsiaTheme="minorHAnsi" w:hAnsiTheme="minorHAnsi" w:cstheme="minorHAnsi"/>
          <w:sz w:val="24"/>
          <w:szCs w:val="24"/>
        </w:rPr>
      </w:pPr>
      <w:r w:rsidRPr="00DD31CC">
        <w:rPr>
          <w:rFonts w:asciiTheme="minorHAnsi" w:eastAsiaTheme="minorHAnsi" w:hAnsiTheme="minorHAnsi" w:cstheme="minorHAnsi"/>
          <w:sz w:val="24"/>
          <w:szCs w:val="24"/>
        </w:rPr>
        <w:t>Summary of the units of short</w:t>
      </w:r>
      <w:r w:rsidR="00495CE5" w:rsidRPr="00DD31CC">
        <w:rPr>
          <w:rFonts w:asciiTheme="minorHAnsi" w:eastAsiaTheme="minorHAnsi" w:hAnsiTheme="minorHAnsi" w:cstheme="minorHAnsi"/>
          <w:sz w:val="24"/>
          <w:szCs w:val="24"/>
        </w:rPr>
        <w:t>-</w:t>
      </w:r>
      <w:r w:rsidRPr="00DD31CC">
        <w:rPr>
          <w:rFonts w:asciiTheme="minorHAnsi" w:eastAsiaTheme="minorHAnsi" w:hAnsiTheme="minorHAnsi" w:cstheme="minorHAnsi"/>
          <w:sz w:val="24"/>
          <w:szCs w:val="24"/>
        </w:rPr>
        <w:t>acting ADHD medications dispensed on the PBS (including below co-payment items).</w:t>
      </w:r>
    </w:p>
    <w:p w:rsidR="001D2202" w:rsidRPr="00DD31CC" w:rsidRDefault="001D2202" w:rsidP="001D2202">
      <w:pPr>
        <w:pStyle w:val="ListParagraph"/>
        <w:numPr>
          <w:ilvl w:val="0"/>
          <w:numId w:val="26"/>
        </w:numPr>
        <w:rPr>
          <w:rFonts w:asciiTheme="minorHAnsi" w:eastAsiaTheme="minorHAnsi" w:hAnsiTheme="minorHAnsi" w:cstheme="minorHAnsi"/>
          <w:sz w:val="24"/>
          <w:szCs w:val="24"/>
        </w:rPr>
      </w:pPr>
      <w:r w:rsidRPr="00743538">
        <w:rPr>
          <w:rFonts w:asciiTheme="minorHAnsi" w:hAnsiTheme="minorHAnsi" w:cstheme="minorHAnsi"/>
          <w:sz w:val="24"/>
          <w:szCs w:val="24"/>
        </w:rPr>
        <w:t xml:space="preserve">Inclusion of additional units of LDX dispensed on a private </w:t>
      </w:r>
      <w:r w:rsidR="00C9655D" w:rsidRPr="00743538">
        <w:rPr>
          <w:rFonts w:asciiTheme="minorHAnsi" w:hAnsiTheme="minorHAnsi" w:cstheme="minorHAnsi"/>
          <w:sz w:val="24"/>
          <w:szCs w:val="24"/>
        </w:rPr>
        <w:t>prescription</w:t>
      </w:r>
      <w:r w:rsidRPr="00743538">
        <w:rPr>
          <w:rFonts w:asciiTheme="minorHAnsi" w:hAnsiTheme="minorHAnsi" w:cstheme="minorHAnsi"/>
          <w:sz w:val="24"/>
          <w:szCs w:val="24"/>
        </w:rPr>
        <w:t xml:space="preserve">. Sales of non-PBS LDX are increasing and expected to represent approximately </w:t>
      </w:r>
      <w:r w:rsidR="00BC3AA0">
        <w:rPr>
          <w:rFonts w:asciiTheme="minorHAnsi" w:hAnsiTheme="minorHAnsi" w:cstheme="minorHAnsi"/>
          <w:noProof/>
          <w:color w:val="000000"/>
          <w:sz w:val="24"/>
          <w:szCs w:val="24"/>
          <w:highlight w:val="black"/>
        </w:rPr>
        <w:t>''''''</w:t>
      </w:r>
      <w:r w:rsidRPr="00743538">
        <w:rPr>
          <w:rFonts w:asciiTheme="minorHAnsi" w:hAnsiTheme="minorHAnsi" w:cstheme="minorHAnsi"/>
          <w:sz w:val="24"/>
          <w:szCs w:val="24"/>
        </w:rPr>
        <w:t xml:space="preserve">% of PBS sales by the end of 2019 based on </w:t>
      </w:r>
      <w:r w:rsidR="0032364F" w:rsidRPr="00743538">
        <w:rPr>
          <w:rFonts w:asciiTheme="minorHAnsi" w:hAnsiTheme="minorHAnsi" w:cstheme="minorHAnsi"/>
          <w:sz w:val="24"/>
          <w:szCs w:val="24"/>
        </w:rPr>
        <w:t>sales data.</w:t>
      </w:r>
      <w:r w:rsidRPr="00743538">
        <w:rPr>
          <w:rFonts w:asciiTheme="minorHAnsi" w:hAnsiTheme="minorHAnsi" w:cstheme="minorHAnsi"/>
          <w:sz w:val="24"/>
          <w:szCs w:val="24"/>
        </w:rPr>
        <w:t xml:space="preserve"> </w:t>
      </w:r>
    </w:p>
    <w:p w:rsidR="001D2202" w:rsidRPr="00E25B55" w:rsidRDefault="001D2202" w:rsidP="001D2202">
      <w:pPr>
        <w:pStyle w:val="ListParagraph"/>
        <w:numPr>
          <w:ilvl w:val="0"/>
          <w:numId w:val="26"/>
        </w:numPr>
        <w:rPr>
          <w:rFonts w:asciiTheme="minorHAnsi" w:eastAsiaTheme="minorHAnsi" w:hAnsiTheme="minorHAnsi" w:cstheme="minorHAnsi"/>
          <w:sz w:val="24"/>
          <w:szCs w:val="24"/>
        </w:rPr>
      </w:pPr>
      <w:r w:rsidRPr="00DD31CC">
        <w:rPr>
          <w:rFonts w:asciiTheme="minorHAnsi" w:eastAsiaTheme="minorHAnsi" w:hAnsiTheme="minorHAnsi" w:cstheme="minorHAnsi"/>
          <w:sz w:val="24"/>
          <w:szCs w:val="24"/>
        </w:rPr>
        <w:t>Units dispensed to “children” and to “continuers” are removed from this potential market because they are already eligible for LDX (and other long</w:t>
      </w:r>
      <w:r w:rsidR="00495CE5" w:rsidRPr="00DD31CC">
        <w:rPr>
          <w:rFonts w:asciiTheme="minorHAnsi" w:eastAsiaTheme="minorHAnsi" w:hAnsiTheme="minorHAnsi" w:cstheme="minorHAnsi"/>
          <w:sz w:val="24"/>
          <w:szCs w:val="24"/>
        </w:rPr>
        <w:t>-</w:t>
      </w:r>
      <w:r w:rsidRPr="00DD31CC">
        <w:rPr>
          <w:rFonts w:asciiTheme="minorHAnsi" w:eastAsiaTheme="minorHAnsi" w:hAnsiTheme="minorHAnsi" w:cstheme="minorHAnsi"/>
          <w:sz w:val="24"/>
          <w:szCs w:val="24"/>
        </w:rPr>
        <w:t>acting ADHD medications) and would be using LDX (or other long</w:t>
      </w:r>
      <w:r w:rsidR="00495CE5" w:rsidRPr="00DD31CC">
        <w:rPr>
          <w:rFonts w:asciiTheme="minorHAnsi" w:eastAsiaTheme="minorHAnsi" w:hAnsiTheme="minorHAnsi" w:cstheme="minorHAnsi"/>
          <w:sz w:val="24"/>
          <w:szCs w:val="24"/>
        </w:rPr>
        <w:t>-</w:t>
      </w:r>
      <w:r w:rsidRPr="00DD31CC">
        <w:rPr>
          <w:rFonts w:asciiTheme="minorHAnsi" w:eastAsiaTheme="minorHAnsi" w:hAnsiTheme="minorHAnsi" w:cstheme="minorHAnsi"/>
          <w:sz w:val="24"/>
          <w:szCs w:val="24"/>
        </w:rPr>
        <w:t>acting ADHD medication) if that was their pref</w:t>
      </w:r>
      <w:r w:rsidRPr="00E25B55">
        <w:rPr>
          <w:rFonts w:asciiTheme="minorHAnsi" w:eastAsiaTheme="minorHAnsi" w:hAnsiTheme="minorHAnsi" w:cstheme="minorHAnsi"/>
          <w:sz w:val="24"/>
          <w:szCs w:val="24"/>
        </w:rPr>
        <w:t>erence.</w:t>
      </w:r>
    </w:p>
    <w:p w:rsidR="001D2202" w:rsidRPr="00DD31CC" w:rsidRDefault="001D2202" w:rsidP="001D2202">
      <w:pPr>
        <w:pStyle w:val="ListParagraph"/>
        <w:numPr>
          <w:ilvl w:val="0"/>
          <w:numId w:val="26"/>
        </w:numPr>
        <w:rPr>
          <w:rFonts w:asciiTheme="minorHAnsi" w:eastAsiaTheme="minorHAnsi" w:hAnsiTheme="minorHAnsi" w:cstheme="minorHAnsi"/>
          <w:sz w:val="24"/>
          <w:szCs w:val="24"/>
        </w:rPr>
      </w:pPr>
      <w:r w:rsidRPr="00E25B55">
        <w:rPr>
          <w:rFonts w:asciiTheme="minorHAnsi" w:eastAsiaTheme="minorHAnsi" w:hAnsiTheme="minorHAnsi" w:cstheme="minorHAnsi"/>
          <w:sz w:val="24"/>
          <w:szCs w:val="24"/>
        </w:rPr>
        <w:t xml:space="preserve">Uptake of LDX within this “adult” market is based on market share of </w:t>
      </w:r>
      <w:r w:rsidR="00C9655D" w:rsidRPr="00E25B55">
        <w:rPr>
          <w:rFonts w:asciiTheme="minorHAnsi" w:eastAsiaTheme="minorHAnsi" w:hAnsiTheme="minorHAnsi" w:cstheme="minorHAnsi"/>
          <w:sz w:val="24"/>
          <w:szCs w:val="24"/>
        </w:rPr>
        <w:t>long-acting</w:t>
      </w:r>
      <w:r w:rsidRPr="00DD31CC">
        <w:rPr>
          <w:rFonts w:asciiTheme="minorHAnsi" w:eastAsiaTheme="minorHAnsi" w:hAnsiTheme="minorHAnsi" w:cstheme="minorHAnsi"/>
          <w:sz w:val="24"/>
          <w:szCs w:val="24"/>
        </w:rPr>
        <w:t xml:space="preserve"> medication in “continuers” (estimated from 10% PBS data) as a proxy.</w:t>
      </w:r>
    </w:p>
    <w:p w:rsidR="001D2202" w:rsidRPr="00DD31CC" w:rsidRDefault="001D2202" w:rsidP="001D2202">
      <w:pPr>
        <w:pStyle w:val="ListParagraph"/>
        <w:numPr>
          <w:ilvl w:val="0"/>
          <w:numId w:val="26"/>
        </w:numPr>
        <w:rPr>
          <w:rFonts w:asciiTheme="minorHAnsi" w:eastAsiaTheme="minorHAnsi" w:hAnsiTheme="minorHAnsi" w:cstheme="minorHAnsi"/>
          <w:sz w:val="24"/>
          <w:szCs w:val="24"/>
        </w:rPr>
      </w:pPr>
      <w:r w:rsidRPr="00DD31CC">
        <w:rPr>
          <w:rFonts w:asciiTheme="minorHAnsi" w:eastAsiaTheme="minorHAnsi" w:hAnsiTheme="minorHAnsi" w:cstheme="minorHAnsi"/>
          <w:sz w:val="24"/>
          <w:szCs w:val="24"/>
        </w:rPr>
        <w:t>Units of LDX dispensed, and units of other short</w:t>
      </w:r>
      <w:r w:rsidR="00495CE5" w:rsidRPr="00DD31CC">
        <w:rPr>
          <w:rFonts w:asciiTheme="minorHAnsi" w:eastAsiaTheme="minorHAnsi" w:hAnsiTheme="minorHAnsi" w:cstheme="minorHAnsi"/>
          <w:sz w:val="24"/>
          <w:szCs w:val="24"/>
        </w:rPr>
        <w:t>-</w:t>
      </w:r>
      <w:r w:rsidRPr="00DD31CC">
        <w:rPr>
          <w:rFonts w:asciiTheme="minorHAnsi" w:eastAsiaTheme="minorHAnsi" w:hAnsiTheme="minorHAnsi" w:cstheme="minorHAnsi"/>
          <w:sz w:val="24"/>
          <w:szCs w:val="24"/>
        </w:rPr>
        <w:t>acting ADHD medications substituted in the proposed adult patient population is then calculated.</w:t>
      </w:r>
    </w:p>
    <w:p w:rsidR="001D2202" w:rsidRPr="00DD31CC" w:rsidRDefault="001D2202" w:rsidP="001D2202">
      <w:pPr>
        <w:pStyle w:val="ListParagraph"/>
        <w:numPr>
          <w:ilvl w:val="0"/>
          <w:numId w:val="26"/>
        </w:numPr>
        <w:rPr>
          <w:rFonts w:asciiTheme="minorHAnsi" w:eastAsiaTheme="minorHAnsi" w:hAnsiTheme="minorHAnsi" w:cstheme="minorHAnsi"/>
          <w:sz w:val="24"/>
          <w:szCs w:val="24"/>
        </w:rPr>
      </w:pPr>
      <w:r w:rsidRPr="00DD31CC">
        <w:rPr>
          <w:rFonts w:asciiTheme="minorHAnsi" w:eastAsiaTheme="minorHAnsi" w:hAnsiTheme="minorHAnsi" w:cstheme="minorHAnsi"/>
          <w:sz w:val="24"/>
          <w:szCs w:val="24"/>
        </w:rPr>
        <w:t>The financial impact of LDX on the PBS is then calculated by applying the adult price of $</w:t>
      </w:r>
      <w:r w:rsidR="00BC3AA0">
        <w:rPr>
          <w:rFonts w:asciiTheme="minorHAnsi" w:eastAsiaTheme="minorHAnsi" w:hAnsiTheme="minorHAnsi" w:cstheme="minorHAnsi"/>
          <w:noProof/>
          <w:color w:val="000000"/>
          <w:sz w:val="24"/>
          <w:szCs w:val="24"/>
          <w:highlight w:val="black"/>
        </w:rPr>
        <w:t>''''''''''''</w:t>
      </w:r>
      <w:r w:rsidRPr="00DD31CC">
        <w:rPr>
          <w:rFonts w:asciiTheme="minorHAnsi" w:eastAsiaTheme="minorHAnsi" w:hAnsiTheme="minorHAnsi" w:cstheme="minorHAnsi"/>
          <w:sz w:val="24"/>
          <w:szCs w:val="24"/>
        </w:rPr>
        <w:t xml:space="preserve"> in the adult population to calculate the incremental cost of adding adults to the PBS.</w:t>
      </w:r>
    </w:p>
    <w:p w:rsidR="001D2202" w:rsidRPr="00DD31CC" w:rsidRDefault="00495CE5" w:rsidP="00A070F3">
      <w:pPr>
        <w:pStyle w:val="ListParagraph"/>
        <w:numPr>
          <w:ilvl w:val="0"/>
          <w:numId w:val="26"/>
        </w:numPr>
        <w:spacing w:after="120"/>
        <w:ind w:left="1077" w:hanging="357"/>
        <w:rPr>
          <w:rFonts w:asciiTheme="minorHAnsi" w:eastAsiaTheme="minorHAnsi" w:hAnsiTheme="minorHAnsi" w:cstheme="minorHAnsi"/>
          <w:sz w:val="24"/>
          <w:szCs w:val="24"/>
        </w:rPr>
      </w:pPr>
      <w:r w:rsidRPr="00DD31CC">
        <w:rPr>
          <w:rFonts w:asciiTheme="minorHAnsi" w:eastAsiaTheme="minorHAnsi" w:hAnsiTheme="minorHAnsi" w:cstheme="minorHAnsi"/>
          <w:sz w:val="24"/>
          <w:szCs w:val="24"/>
        </w:rPr>
        <w:t>Substituted costs of short-</w:t>
      </w:r>
      <w:r w:rsidR="001D2202" w:rsidRPr="00DD31CC">
        <w:rPr>
          <w:rFonts w:asciiTheme="minorHAnsi" w:eastAsiaTheme="minorHAnsi" w:hAnsiTheme="minorHAnsi" w:cstheme="minorHAnsi"/>
          <w:sz w:val="24"/>
          <w:szCs w:val="24"/>
        </w:rPr>
        <w:t>acting medications are incorporated to calculate the net financial impact to the PBS.</w:t>
      </w:r>
    </w:p>
    <w:p w:rsidR="001D2202" w:rsidRPr="00DD31CC" w:rsidRDefault="001D2202" w:rsidP="00A070F3">
      <w:pPr>
        <w:pStyle w:val="Bodytextitalics"/>
        <w:jc w:val="both"/>
        <w:rPr>
          <w:szCs w:val="24"/>
        </w:rPr>
      </w:pPr>
      <w:r w:rsidRPr="00DD31CC">
        <w:rPr>
          <w:i w:val="0"/>
          <w:szCs w:val="24"/>
        </w:rPr>
        <w:t xml:space="preserve">The minor submission </w:t>
      </w:r>
      <w:r w:rsidR="00494346" w:rsidRPr="00DD31CC">
        <w:rPr>
          <w:i w:val="0"/>
          <w:szCs w:val="24"/>
        </w:rPr>
        <w:t>suggested</w:t>
      </w:r>
      <w:r w:rsidRPr="00DD31CC">
        <w:rPr>
          <w:i w:val="0"/>
          <w:szCs w:val="24"/>
        </w:rPr>
        <w:t xml:space="preserve"> that,</w:t>
      </w:r>
      <w:r w:rsidR="00495CE5" w:rsidRPr="00DD31CC">
        <w:rPr>
          <w:i w:val="0"/>
          <w:szCs w:val="24"/>
        </w:rPr>
        <w:t xml:space="preserve"> if other sponsors of long-</w:t>
      </w:r>
      <w:r w:rsidR="00863C8E" w:rsidRPr="00DD31CC">
        <w:rPr>
          <w:i w:val="0"/>
          <w:szCs w:val="24"/>
        </w:rPr>
        <w:t>acting medication decide to apply for expansion of their listings, the financial estimates would reflec</w:t>
      </w:r>
      <w:r w:rsidR="00495CE5" w:rsidRPr="00DD31CC">
        <w:rPr>
          <w:i w:val="0"/>
          <w:szCs w:val="24"/>
        </w:rPr>
        <w:t>t the budget impact of all long-</w:t>
      </w:r>
      <w:r w:rsidR="00863C8E" w:rsidRPr="00DD31CC">
        <w:rPr>
          <w:i w:val="0"/>
          <w:szCs w:val="24"/>
        </w:rPr>
        <w:t>acting medication in ADHD patients diagnosed after the age of 18 years.</w:t>
      </w:r>
    </w:p>
    <w:p w:rsidR="00863C8E" w:rsidRPr="00DD31CC" w:rsidRDefault="00BA347C" w:rsidP="00A070F3">
      <w:pPr>
        <w:pStyle w:val="Bodytextitalics"/>
        <w:jc w:val="both"/>
        <w:rPr>
          <w:i w:val="0"/>
          <w:szCs w:val="24"/>
        </w:rPr>
      </w:pPr>
      <w:r w:rsidRPr="00DD31CC">
        <w:rPr>
          <w:i w:val="0"/>
          <w:szCs w:val="24"/>
        </w:rPr>
        <w:t>As a minor submission, the financial estimates have not been independently evaluated.</w:t>
      </w:r>
    </w:p>
    <w:p w:rsidR="00863C8E" w:rsidRPr="00DD31CC" w:rsidRDefault="00863C8E" w:rsidP="00A070F3">
      <w:pPr>
        <w:pStyle w:val="Bodytextitalics"/>
        <w:jc w:val="both"/>
        <w:rPr>
          <w:i w:val="0"/>
          <w:szCs w:val="24"/>
        </w:rPr>
      </w:pPr>
      <w:r w:rsidRPr="00743538">
        <w:rPr>
          <w:i w:val="0"/>
        </w:rPr>
        <w:t>LDX is currently listed with a Special Pricing Arrangement (SPA).</w:t>
      </w:r>
      <w:r w:rsidRPr="00743538">
        <w:t xml:space="preserve"> </w:t>
      </w:r>
      <w:r w:rsidRPr="00743538">
        <w:rPr>
          <w:i w:val="0"/>
        </w:rPr>
        <w:t xml:space="preserve">The sponsor requested that an SPA be maintained for PBS listing to occur at the proposed weighted effective price in this submission. </w:t>
      </w:r>
    </w:p>
    <w:p w:rsidR="0032364F" w:rsidRPr="00E25B55" w:rsidRDefault="00863C8E" w:rsidP="0032364F">
      <w:pPr>
        <w:pStyle w:val="Bodytextitalics"/>
        <w:jc w:val="both"/>
      </w:pPr>
      <w:r w:rsidRPr="00743538">
        <w:rPr>
          <w:i w:val="0"/>
        </w:rPr>
        <w:t>The minor submission also requested that the current risk sharing arrangement (RSA</w:t>
      </w:r>
      <w:r w:rsidR="00FF24E1" w:rsidRPr="00743538">
        <w:rPr>
          <w:i w:val="0"/>
        </w:rPr>
        <w:t xml:space="preserve">) for LDX be terminated. It </w:t>
      </w:r>
      <w:r w:rsidRPr="00743538">
        <w:rPr>
          <w:i w:val="0"/>
        </w:rPr>
        <w:t>claimed that because LDX is listed as a first-line treatment option, and with the expansion of indication into adults diagnosed after 18 years, there is no risk of utilisation outside of the proposed population. The submission also stated that LDX has four years of PBS history, with relative certainty in the expected utilisation for the “children” and “continuers” segments of the currently eligible market compared to when LDX was first listed on the PBS.</w:t>
      </w:r>
      <w:r w:rsidR="00B9160F" w:rsidRPr="00DD31CC">
        <w:rPr>
          <w:i w:val="0"/>
          <w:szCs w:val="24"/>
        </w:rPr>
        <w:t xml:space="preserve"> </w:t>
      </w:r>
      <w:r w:rsidR="00B9160F" w:rsidRPr="00DD31CC">
        <w:rPr>
          <w:i w:val="0"/>
        </w:rPr>
        <w:t>The</w:t>
      </w:r>
      <w:r w:rsidR="00CA3BE0" w:rsidRPr="00DD31CC">
        <w:rPr>
          <w:i w:val="0"/>
        </w:rPr>
        <w:t xml:space="preserve"> </w:t>
      </w:r>
      <w:r w:rsidR="00342A8F" w:rsidRPr="00DD31CC">
        <w:rPr>
          <w:i w:val="0"/>
        </w:rPr>
        <w:t xml:space="preserve">PBAC noted that the </w:t>
      </w:r>
      <w:r w:rsidR="00B9160F" w:rsidRPr="00DD31CC">
        <w:rPr>
          <w:i w:val="0"/>
        </w:rPr>
        <w:t>financial cap in place for LDX was originally proposed by the sponsor as a way to offer further rebate and reduction in the price of the listing, and not to manage a particular utilis</w:t>
      </w:r>
      <w:r w:rsidR="00801252" w:rsidRPr="00E25B55">
        <w:rPr>
          <w:i w:val="0"/>
        </w:rPr>
        <w:t xml:space="preserve">ation risk. </w:t>
      </w:r>
    </w:p>
    <w:p w:rsidR="007222C5" w:rsidRPr="00E25B55" w:rsidRDefault="007222C5" w:rsidP="007222C5">
      <w:pPr>
        <w:pStyle w:val="Bodytextitalics"/>
        <w:numPr>
          <w:ilvl w:val="0"/>
          <w:numId w:val="0"/>
        </w:numPr>
        <w:ind w:left="720"/>
        <w:jc w:val="both"/>
      </w:pPr>
      <w:r w:rsidRPr="00E25B55">
        <w:t>For more detail on PBAC’s view, see section 6 PBAC outcome.</w:t>
      </w:r>
    </w:p>
    <w:p w:rsidR="007222C5" w:rsidRPr="00DD31CC" w:rsidRDefault="007222C5" w:rsidP="007222C5">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DD31CC">
        <w:rPr>
          <w:rFonts w:asciiTheme="minorHAnsi" w:hAnsiTheme="minorHAnsi"/>
          <w:sz w:val="32"/>
          <w:szCs w:val="32"/>
        </w:rPr>
        <w:t>PBAC Outcome</w:t>
      </w:r>
    </w:p>
    <w:p w:rsidR="00FF1F7B" w:rsidRPr="00743538" w:rsidRDefault="007B3BB0" w:rsidP="0032364F">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The PBAC recommended e</w:t>
      </w:r>
      <w:r w:rsidR="00CD36B3">
        <w:rPr>
          <w:rFonts w:asciiTheme="minorHAnsi" w:hAnsiTheme="minorHAnsi" w:cs="Arial"/>
          <w:bCs/>
          <w:snapToGrid w:val="0"/>
        </w:rPr>
        <w:t>xpanding</w:t>
      </w:r>
      <w:r w:rsidRPr="00743538">
        <w:rPr>
          <w:rFonts w:asciiTheme="minorHAnsi" w:hAnsiTheme="minorHAnsi" w:cs="Arial"/>
          <w:bCs/>
          <w:snapToGrid w:val="0"/>
        </w:rPr>
        <w:t xml:space="preserve"> the listing of lisdexamfetamine (LDX) </w:t>
      </w:r>
      <w:r w:rsidR="00792C72" w:rsidRPr="00743538">
        <w:rPr>
          <w:rFonts w:asciiTheme="minorHAnsi" w:hAnsiTheme="minorHAnsi" w:cs="Arial"/>
          <w:bCs/>
          <w:snapToGrid w:val="0"/>
        </w:rPr>
        <w:t>to include</w:t>
      </w:r>
      <w:r w:rsidRPr="00743538">
        <w:rPr>
          <w:rFonts w:asciiTheme="minorHAnsi" w:hAnsiTheme="minorHAnsi" w:cs="Arial"/>
          <w:bCs/>
          <w:snapToGrid w:val="0"/>
        </w:rPr>
        <w:t xml:space="preserve"> treatment of patients with attention deficit hyperactivity disorder (ADHD) </w:t>
      </w:r>
      <w:r w:rsidR="0032364F" w:rsidRPr="00743538">
        <w:rPr>
          <w:rFonts w:asciiTheme="minorHAnsi" w:hAnsiTheme="minorHAnsi" w:cs="Arial"/>
          <w:bCs/>
          <w:snapToGrid w:val="0"/>
        </w:rPr>
        <w:t xml:space="preserve">who are </w:t>
      </w:r>
      <w:r w:rsidRPr="00743538">
        <w:rPr>
          <w:rFonts w:asciiTheme="minorHAnsi" w:hAnsiTheme="minorHAnsi" w:cs="Arial"/>
          <w:bCs/>
          <w:snapToGrid w:val="0"/>
        </w:rPr>
        <w:t xml:space="preserve">diagnosed after the age of 18. The PBAC’s recommendation was based on, among other matters, its assessment that the cost-effectiveness of LDX in adults would be acceptable if </w:t>
      </w:r>
      <w:r w:rsidR="00A61721" w:rsidRPr="00743538">
        <w:rPr>
          <w:rFonts w:asciiTheme="minorHAnsi" w:hAnsiTheme="minorHAnsi" w:cs="Arial"/>
          <w:bCs/>
          <w:snapToGrid w:val="0"/>
        </w:rPr>
        <w:t>LDX</w:t>
      </w:r>
      <w:r w:rsidR="00342A8F" w:rsidRPr="00743538">
        <w:rPr>
          <w:rFonts w:asciiTheme="minorHAnsi" w:hAnsiTheme="minorHAnsi" w:cs="Arial"/>
          <w:bCs/>
          <w:snapToGrid w:val="0"/>
        </w:rPr>
        <w:t xml:space="preserve"> was no more costly on a per day basis (at ex-man</w:t>
      </w:r>
      <w:r w:rsidR="00CD36B3">
        <w:rPr>
          <w:rFonts w:asciiTheme="minorHAnsi" w:hAnsiTheme="minorHAnsi" w:cs="Arial"/>
          <w:bCs/>
          <w:snapToGrid w:val="0"/>
        </w:rPr>
        <w:t>ufacturer price</w:t>
      </w:r>
      <w:r w:rsidR="00342A8F" w:rsidRPr="00743538">
        <w:rPr>
          <w:rFonts w:asciiTheme="minorHAnsi" w:hAnsiTheme="minorHAnsi" w:cs="Arial"/>
          <w:bCs/>
          <w:snapToGrid w:val="0"/>
        </w:rPr>
        <w:t>)</w:t>
      </w:r>
      <w:r w:rsidR="00DD401A" w:rsidRPr="00743538">
        <w:rPr>
          <w:rFonts w:asciiTheme="minorHAnsi" w:hAnsiTheme="minorHAnsi" w:cs="Arial"/>
          <w:bCs/>
          <w:snapToGrid w:val="0"/>
        </w:rPr>
        <w:t xml:space="preserve"> for this population </w:t>
      </w:r>
      <w:r w:rsidR="00342A8F" w:rsidRPr="00743538">
        <w:rPr>
          <w:rFonts w:asciiTheme="minorHAnsi" w:hAnsiTheme="minorHAnsi" w:cs="Arial"/>
          <w:bCs/>
          <w:snapToGrid w:val="0"/>
        </w:rPr>
        <w:t xml:space="preserve">than </w:t>
      </w:r>
      <w:r w:rsidR="00DD401A" w:rsidRPr="00743538">
        <w:rPr>
          <w:rFonts w:asciiTheme="minorHAnsi" w:hAnsiTheme="minorHAnsi" w:cs="Arial"/>
          <w:bCs/>
          <w:snapToGrid w:val="0"/>
        </w:rPr>
        <w:t xml:space="preserve">the drug cost per patient per day of immediate release dexamfetamine (IR DEX), without the requested price premium. </w:t>
      </w:r>
    </w:p>
    <w:p w:rsidR="00FF1F7B" w:rsidRPr="00743538" w:rsidRDefault="00B019C3" w:rsidP="007222C5">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I</w:t>
      </w:r>
      <w:r w:rsidR="00ED3A84" w:rsidRPr="00743538">
        <w:rPr>
          <w:rFonts w:asciiTheme="minorHAnsi" w:hAnsiTheme="minorHAnsi" w:cs="Arial"/>
          <w:bCs/>
          <w:snapToGrid w:val="0"/>
        </w:rPr>
        <w:t>n addition to the advice and support received from the Australian ADHD Professionals Association and the Royal Australian &amp; New Zealand College of Psychiatrists</w:t>
      </w:r>
      <w:r w:rsidR="00CD36B3">
        <w:rPr>
          <w:rFonts w:asciiTheme="minorHAnsi" w:hAnsiTheme="minorHAnsi" w:cs="Arial"/>
          <w:bCs/>
          <w:snapToGrid w:val="0"/>
        </w:rPr>
        <w:t xml:space="preserve"> (RANZCP)</w:t>
      </w:r>
      <w:r w:rsidR="00ED3A84" w:rsidRPr="00743538">
        <w:rPr>
          <w:rFonts w:asciiTheme="minorHAnsi" w:hAnsiTheme="minorHAnsi" w:cs="Arial"/>
          <w:bCs/>
          <w:snapToGrid w:val="0"/>
        </w:rPr>
        <w:t>,</w:t>
      </w:r>
      <w:r w:rsidRPr="00743538">
        <w:rPr>
          <w:rFonts w:asciiTheme="minorHAnsi" w:hAnsiTheme="minorHAnsi" w:cs="Arial"/>
          <w:bCs/>
          <w:snapToGrid w:val="0"/>
        </w:rPr>
        <w:t xml:space="preserve"> the PBAC noted</w:t>
      </w:r>
      <w:r w:rsidR="002D7658" w:rsidRPr="00743538">
        <w:rPr>
          <w:rFonts w:asciiTheme="minorHAnsi" w:hAnsiTheme="minorHAnsi" w:cs="Arial"/>
          <w:bCs/>
          <w:snapToGrid w:val="0"/>
        </w:rPr>
        <w:t xml:space="preserve"> that </w:t>
      </w:r>
      <w:r w:rsidRPr="00743538">
        <w:rPr>
          <w:rFonts w:asciiTheme="minorHAnsi" w:hAnsiTheme="minorHAnsi" w:cs="Arial"/>
          <w:bCs/>
          <w:snapToGrid w:val="0"/>
        </w:rPr>
        <w:t xml:space="preserve">the consumer comments were strongly supportive of the requested listing. </w:t>
      </w:r>
    </w:p>
    <w:p w:rsidR="00F10657" w:rsidRPr="00DD31CC" w:rsidRDefault="00F10657" w:rsidP="00F10657">
      <w:pPr>
        <w:pStyle w:val="Bodytextitalics"/>
        <w:jc w:val="both"/>
        <w:rPr>
          <w:rFonts w:cstheme="minorHAnsi"/>
          <w:szCs w:val="24"/>
        </w:rPr>
      </w:pPr>
      <w:r w:rsidRPr="00DD31CC">
        <w:rPr>
          <w:rFonts w:cstheme="minorHAnsi"/>
          <w:i w:val="0"/>
          <w:szCs w:val="24"/>
        </w:rPr>
        <w:t>The PBAC noted several reasons for why a diagnosis of ADHD may have been missed in childhood, including:</w:t>
      </w:r>
    </w:p>
    <w:p w:rsidR="00F10657" w:rsidRPr="00E25B55" w:rsidRDefault="00F10657" w:rsidP="00F10657">
      <w:pPr>
        <w:pStyle w:val="Bodytextitalics"/>
        <w:numPr>
          <w:ilvl w:val="0"/>
          <w:numId w:val="45"/>
        </w:numPr>
        <w:jc w:val="both"/>
        <w:rPr>
          <w:rFonts w:cstheme="minorHAnsi"/>
          <w:szCs w:val="24"/>
        </w:rPr>
      </w:pPr>
      <w:r w:rsidRPr="00DD31CC">
        <w:rPr>
          <w:rFonts w:cstheme="minorHAnsi"/>
          <w:i w:val="0"/>
          <w:szCs w:val="24"/>
        </w:rPr>
        <w:t xml:space="preserve">Lack of access to clinicians with the relevant expertise and associated referral pathways; </w:t>
      </w:r>
    </w:p>
    <w:p w:rsidR="00F10657" w:rsidRPr="00DD31CC" w:rsidRDefault="00F10657" w:rsidP="00F10657">
      <w:pPr>
        <w:pStyle w:val="Bodytextitalics"/>
        <w:numPr>
          <w:ilvl w:val="0"/>
          <w:numId w:val="45"/>
        </w:numPr>
        <w:jc w:val="both"/>
        <w:rPr>
          <w:rFonts w:cstheme="minorHAnsi"/>
          <w:szCs w:val="24"/>
        </w:rPr>
      </w:pPr>
      <w:r w:rsidRPr="00E25B55">
        <w:rPr>
          <w:rFonts w:cstheme="minorHAnsi"/>
          <w:i w:val="0"/>
          <w:szCs w:val="24"/>
        </w:rPr>
        <w:t>ADHD in adults may only be recognised when a person has a child diagnosed with ADHD; and</w:t>
      </w:r>
    </w:p>
    <w:p w:rsidR="00F10657" w:rsidRPr="00DD31CC" w:rsidRDefault="00F10657" w:rsidP="00F10657">
      <w:pPr>
        <w:pStyle w:val="Bodytextitalics"/>
        <w:numPr>
          <w:ilvl w:val="0"/>
          <w:numId w:val="45"/>
        </w:numPr>
        <w:jc w:val="both"/>
        <w:rPr>
          <w:rFonts w:cstheme="minorHAnsi"/>
          <w:szCs w:val="24"/>
        </w:rPr>
      </w:pPr>
      <w:r w:rsidRPr="00DD31CC">
        <w:rPr>
          <w:rFonts w:cstheme="minorHAnsi"/>
          <w:i w:val="0"/>
          <w:szCs w:val="24"/>
        </w:rPr>
        <w:t xml:space="preserve">The presence of masking or overlapping comorbidities. </w:t>
      </w:r>
    </w:p>
    <w:p w:rsidR="00F10657" w:rsidRPr="00DD31CC" w:rsidRDefault="00B019C3" w:rsidP="00666863">
      <w:pPr>
        <w:widowControl w:val="0"/>
        <w:numPr>
          <w:ilvl w:val="1"/>
          <w:numId w:val="1"/>
        </w:numPr>
        <w:spacing w:after="120"/>
        <w:jc w:val="both"/>
        <w:rPr>
          <w:i/>
        </w:rPr>
      </w:pPr>
      <w:r w:rsidRPr="00743538">
        <w:rPr>
          <w:rFonts w:asciiTheme="minorHAnsi" w:hAnsiTheme="minorHAnsi" w:cs="Arial"/>
          <w:bCs/>
          <w:snapToGrid w:val="0"/>
        </w:rPr>
        <w:t>T</w:t>
      </w:r>
      <w:r w:rsidR="00C01EEF" w:rsidRPr="00743538">
        <w:rPr>
          <w:rFonts w:asciiTheme="minorHAnsi" w:hAnsiTheme="minorHAnsi" w:cs="Arial"/>
          <w:bCs/>
          <w:snapToGrid w:val="0"/>
        </w:rPr>
        <w:t xml:space="preserve">he PBAC </w:t>
      </w:r>
      <w:r w:rsidR="00FF1F7B" w:rsidRPr="00743538">
        <w:rPr>
          <w:rFonts w:asciiTheme="minorHAnsi" w:hAnsiTheme="minorHAnsi" w:cs="Arial"/>
          <w:bCs/>
          <w:snapToGrid w:val="0"/>
        </w:rPr>
        <w:t>considered that there is a</w:t>
      </w:r>
      <w:r w:rsidR="007D4475" w:rsidRPr="00743538">
        <w:rPr>
          <w:rFonts w:asciiTheme="minorHAnsi" w:hAnsiTheme="minorHAnsi" w:cs="Arial"/>
          <w:bCs/>
          <w:snapToGrid w:val="0"/>
        </w:rPr>
        <w:t xml:space="preserve"> moderate unmet </w:t>
      </w:r>
      <w:r w:rsidR="00C01EEF" w:rsidRPr="00743538">
        <w:rPr>
          <w:rFonts w:asciiTheme="minorHAnsi" w:hAnsiTheme="minorHAnsi" w:cs="Arial"/>
          <w:bCs/>
          <w:snapToGrid w:val="0"/>
        </w:rPr>
        <w:t>clinical need for effective treatments for</w:t>
      </w:r>
      <w:r w:rsidRPr="00743538">
        <w:rPr>
          <w:rFonts w:asciiTheme="minorHAnsi" w:hAnsiTheme="minorHAnsi" w:cs="Arial"/>
          <w:bCs/>
          <w:snapToGrid w:val="0"/>
        </w:rPr>
        <w:t xml:space="preserve"> this cohort of patients, acknowledging that there is </w:t>
      </w:r>
      <w:r w:rsidR="00C01EEF" w:rsidRPr="00743538">
        <w:rPr>
          <w:rFonts w:asciiTheme="minorHAnsi" w:hAnsiTheme="minorHAnsi" w:cs="Arial"/>
          <w:bCs/>
          <w:snapToGrid w:val="0"/>
        </w:rPr>
        <w:t>now greater acceptance</w:t>
      </w:r>
      <w:r w:rsidR="008E40CF" w:rsidRPr="00743538">
        <w:rPr>
          <w:rFonts w:asciiTheme="minorHAnsi" w:hAnsiTheme="minorHAnsi" w:cs="Arial"/>
          <w:bCs/>
          <w:snapToGrid w:val="0"/>
        </w:rPr>
        <w:t xml:space="preserve"> in the medical community</w:t>
      </w:r>
      <w:r w:rsidR="00C01EEF" w:rsidRPr="00743538">
        <w:rPr>
          <w:rFonts w:asciiTheme="minorHAnsi" w:hAnsiTheme="minorHAnsi" w:cs="Arial"/>
          <w:bCs/>
          <w:snapToGrid w:val="0"/>
        </w:rPr>
        <w:t xml:space="preserve"> of</w:t>
      </w:r>
      <w:r w:rsidR="00ED3A84" w:rsidRPr="00743538">
        <w:rPr>
          <w:rFonts w:asciiTheme="minorHAnsi" w:hAnsiTheme="minorHAnsi" w:cs="Arial"/>
          <w:bCs/>
          <w:snapToGrid w:val="0"/>
        </w:rPr>
        <w:t xml:space="preserve"> the </w:t>
      </w:r>
      <w:r w:rsidR="00C01EEF" w:rsidRPr="00743538">
        <w:rPr>
          <w:rFonts w:asciiTheme="minorHAnsi" w:hAnsiTheme="minorHAnsi" w:cs="Arial"/>
          <w:bCs/>
          <w:snapToGrid w:val="0"/>
        </w:rPr>
        <w:t xml:space="preserve">diagnosis of </w:t>
      </w:r>
      <w:r w:rsidR="009F4129" w:rsidRPr="00743538">
        <w:rPr>
          <w:rFonts w:asciiTheme="minorHAnsi" w:hAnsiTheme="minorHAnsi" w:cs="Arial"/>
          <w:bCs/>
          <w:snapToGrid w:val="0"/>
        </w:rPr>
        <w:t>ADHD</w:t>
      </w:r>
      <w:r w:rsidR="00FF1F7B" w:rsidRPr="00743538">
        <w:rPr>
          <w:rFonts w:asciiTheme="minorHAnsi" w:hAnsiTheme="minorHAnsi" w:cs="Arial"/>
          <w:bCs/>
          <w:snapToGrid w:val="0"/>
        </w:rPr>
        <w:t xml:space="preserve"> in adulthood</w:t>
      </w:r>
      <w:r w:rsidR="00C01EEF" w:rsidRPr="00743538">
        <w:rPr>
          <w:rFonts w:asciiTheme="minorHAnsi" w:hAnsiTheme="minorHAnsi" w:cs="Arial"/>
          <w:bCs/>
          <w:snapToGrid w:val="0"/>
        </w:rPr>
        <w:t xml:space="preserve">. </w:t>
      </w:r>
      <w:r w:rsidR="00C876D2" w:rsidRPr="00743538">
        <w:rPr>
          <w:rFonts w:asciiTheme="minorHAnsi" w:hAnsiTheme="minorHAnsi" w:cs="Arial"/>
          <w:bCs/>
          <w:snapToGrid w:val="0"/>
        </w:rPr>
        <w:t xml:space="preserve">The </w:t>
      </w:r>
      <w:r w:rsidR="00666863" w:rsidRPr="00743538">
        <w:rPr>
          <w:rFonts w:asciiTheme="minorHAnsi" w:hAnsiTheme="minorHAnsi" w:cs="Arial"/>
          <w:bCs/>
          <w:snapToGrid w:val="0"/>
        </w:rPr>
        <w:t>PBAC noted that RANZCP recommends the Canadian ADHD Practice Guidelines (CADDRA 4th Edition, 2018) and the UK National Institute for Health Care and Excellence Guidelines (NICE, 2018), both of which consider the use of long-acting stimulant medications as first-line pharmacotherapy in adults with ADHD.</w:t>
      </w:r>
      <w:r w:rsidR="00666863" w:rsidRPr="00DD31CC">
        <w:rPr>
          <w:i/>
        </w:rPr>
        <w:t xml:space="preserve"> </w:t>
      </w:r>
    </w:p>
    <w:p w:rsidR="00C20996" w:rsidRPr="00DD31CC" w:rsidRDefault="00C20996" w:rsidP="00743538">
      <w:pPr>
        <w:pStyle w:val="Bodytextitalics"/>
        <w:jc w:val="both"/>
        <w:rPr>
          <w:i w:val="0"/>
        </w:rPr>
      </w:pPr>
      <w:r w:rsidRPr="00DD31CC">
        <w:rPr>
          <w:i w:val="0"/>
        </w:rPr>
        <w:t>The PBAC considered it appropriate that the restriction should be amended to require retrospective confirmation of symptoms before age 12, as this aligns with the TGA-approved Product Information for LDX, as well as the Diagnostic and Statistical Manual of Mental Disorders criteria (5</w:t>
      </w:r>
      <w:r w:rsidRPr="00DD31CC">
        <w:rPr>
          <w:i w:val="0"/>
          <w:vertAlign w:val="superscript"/>
        </w:rPr>
        <w:t>th</w:t>
      </w:r>
      <w:r w:rsidRPr="00E25B55">
        <w:rPr>
          <w:i w:val="0"/>
        </w:rPr>
        <w:t xml:space="preserve"> edition) and International Classification of Diseases guidelines (11</w:t>
      </w:r>
      <w:r w:rsidRPr="00E25B55">
        <w:rPr>
          <w:i w:val="0"/>
          <w:vertAlign w:val="superscript"/>
        </w:rPr>
        <w:t>th</w:t>
      </w:r>
      <w:r w:rsidRPr="00E25B55">
        <w:rPr>
          <w:i w:val="0"/>
        </w:rPr>
        <w:t xml:space="preserve"> revision). The PBAC requested that the Department work with the </w:t>
      </w:r>
      <w:r w:rsidR="00CD36B3">
        <w:rPr>
          <w:i w:val="0"/>
        </w:rPr>
        <w:t>Australian ADHD Professionals Association and RANZCP</w:t>
      </w:r>
      <w:r w:rsidRPr="00E25B55">
        <w:rPr>
          <w:i w:val="0"/>
        </w:rPr>
        <w:t xml:space="preserve"> to develop an appropriate definition</w:t>
      </w:r>
      <w:r w:rsidR="00A61721" w:rsidRPr="00DD31CC">
        <w:rPr>
          <w:i w:val="0"/>
        </w:rPr>
        <w:t xml:space="preserve"> of a retrospective confirmation of symptoms</w:t>
      </w:r>
      <w:r w:rsidRPr="00DD31CC">
        <w:rPr>
          <w:i w:val="0"/>
        </w:rPr>
        <w:t xml:space="preserve">. </w:t>
      </w:r>
    </w:p>
    <w:p w:rsidR="002F4D2D" w:rsidRPr="00DD31CC" w:rsidRDefault="002F4D2D" w:rsidP="002F4D2D">
      <w:pPr>
        <w:widowControl w:val="0"/>
        <w:numPr>
          <w:ilvl w:val="1"/>
          <w:numId w:val="1"/>
        </w:numPr>
        <w:spacing w:after="120"/>
        <w:jc w:val="both"/>
        <w:rPr>
          <w:rFonts w:asciiTheme="minorHAnsi" w:eastAsiaTheme="minorHAnsi" w:hAnsiTheme="minorHAnsi" w:cstheme="minorBidi"/>
          <w:szCs w:val="22"/>
        </w:rPr>
      </w:pPr>
      <w:r w:rsidRPr="00DD31CC">
        <w:rPr>
          <w:rFonts w:asciiTheme="minorHAnsi" w:eastAsiaTheme="minorHAnsi" w:hAnsiTheme="minorHAnsi" w:cstheme="minorBidi"/>
          <w:szCs w:val="22"/>
        </w:rPr>
        <w:t>The PBAC reiterated its previous advice that IR DEX and immediate release</w:t>
      </w:r>
      <w:r w:rsidR="00792C72" w:rsidRPr="00DD31CC">
        <w:rPr>
          <w:rFonts w:asciiTheme="minorHAnsi" w:eastAsiaTheme="minorHAnsi" w:hAnsiTheme="minorHAnsi" w:cstheme="minorBidi"/>
          <w:szCs w:val="22"/>
        </w:rPr>
        <w:t xml:space="preserve"> methylphenidate</w:t>
      </w:r>
      <w:r w:rsidRPr="00DD31CC">
        <w:rPr>
          <w:rFonts w:asciiTheme="minorHAnsi" w:eastAsiaTheme="minorHAnsi" w:hAnsiTheme="minorHAnsi" w:cstheme="minorBidi"/>
          <w:szCs w:val="22"/>
        </w:rPr>
        <w:t xml:space="preserve"> (IR MPH) were the appropriate comparators. </w:t>
      </w:r>
    </w:p>
    <w:p w:rsidR="003C6D62" w:rsidRPr="00DD31CC" w:rsidRDefault="002E3806" w:rsidP="003C6D62">
      <w:pPr>
        <w:pStyle w:val="3Bodytext"/>
        <w:jc w:val="both"/>
        <w:rPr>
          <w:rFonts w:cstheme="minorHAnsi"/>
          <w:szCs w:val="24"/>
        </w:rPr>
      </w:pPr>
      <w:r w:rsidRPr="00743538">
        <w:rPr>
          <w:rFonts w:cs="Arial"/>
          <w:bCs/>
          <w:snapToGrid w:val="0"/>
        </w:rPr>
        <w:t>The PBAC noted that no dir</w:t>
      </w:r>
      <w:r w:rsidR="00362945" w:rsidRPr="00743538">
        <w:rPr>
          <w:rFonts w:cs="Arial"/>
          <w:bCs/>
          <w:snapToGrid w:val="0"/>
        </w:rPr>
        <w:t>ect comparative evidence for LDX versus IR DEX (or IR MPH) in patients diagnosed after 18 years of age was presented.</w:t>
      </w:r>
      <w:r w:rsidR="00BE37B9" w:rsidRPr="00743538">
        <w:rPr>
          <w:rFonts w:cs="Arial"/>
          <w:bCs/>
          <w:snapToGrid w:val="0"/>
        </w:rPr>
        <w:t xml:space="preserve"> Rather, evidence of LDX versus placebo was presented in order to demonstrate the efficacy of LDX in adults, as well as </w:t>
      </w:r>
      <w:r w:rsidR="00A61721" w:rsidRPr="00743538">
        <w:rPr>
          <w:rFonts w:cs="Arial"/>
          <w:bCs/>
          <w:snapToGrid w:val="0"/>
        </w:rPr>
        <w:t xml:space="preserve">an estimation of the relative treatment effect sizes of </w:t>
      </w:r>
      <w:r w:rsidR="00BE37B9" w:rsidRPr="00743538">
        <w:rPr>
          <w:rFonts w:cs="Arial"/>
          <w:bCs/>
          <w:snapToGrid w:val="0"/>
        </w:rPr>
        <w:t xml:space="preserve">LDX </w:t>
      </w:r>
      <w:r w:rsidR="00A61721" w:rsidRPr="00743538">
        <w:rPr>
          <w:rFonts w:cs="Arial"/>
          <w:bCs/>
          <w:snapToGrid w:val="0"/>
        </w:rPr>
        <w:t>and</w:t>
      </w:r>
      <w:r w:rsidR="00BE37B9" w:rsidRPr="00743538">
        <w:rPr>
          <w:rFonts w:cs="Arial"/>
          <w:bCs/>
          <w:snapToGrid w:val="0"/>
        </w:rPr>
        <w:t xml:space="preserve"> </w:t>
      </w:r>
      <w:r w:rsidR="00481385" w:rsidRPr="00743538">
        <w:rPr>
          <w:rFonts w:cs="Arial"/>
          <w:bCs/>
          <w:snapToGrid w:val="0"/>
        </w:rPr>
        <w:t>immediate release (short-acting) therapies</w:t>
      </w:r>
      <w:r w:rsidR="00A61721" w:rsidRPr="00743538">
        <w:rPr>
          <w:rFonts w:cs="Arial"/>
          <w:bCs/>
          <w:snapToGrid w:val="0"/>
        </w:rPr>
        <w:t xml:space="preserve"> versus placebo</w:t>
      </w:r>
      <w:r w:rsidR="00BE37B9" w:rsidRPr="00743538">
        <w:rPr>
          <w:rFonts w:cs="Arial"/>
          <w:bCs/>
          <w:snapToGrid w:val="0"/>
        </w:rPr>
        <w:t xml:space="preserve">. </w:t>
      </w:r>
      <w:r w:rsidR="00DC6AAB" w:rsidRPr="00743538">
        <w:rPr>
          <w:rFonts w:cs="Arial"/>
          <w:bCs/>
          <w:snapToGrid w:val="0"/>
        </w:rPr>
        <w:t>The PBAC considered these comparisons to b</w:t>
      </w:r>
      <w:r w:rsidR="00B46980" w:rsidRPr="00743538">
        <w:rPr>
          <w:rFonts w:cs="Arial"/>
          <w:bCs/>
          <w:snapToGrid w:val="0"/>
        </w:rPr>
        <w:t>e</w:t>
      </w:r>
      <w:r w:rsidR="00FF2F01" w:rsidRPr="00743538">
        <w:rPr>
          <w:rFonts w:cs="Arial"/>
          <w:bCs/>
          <w:snapToGrid w:val="0"/>
        </w:rPr>
        <w:t xml:space="preserve"> informative</w:t>
      </w:r>
      <w:r w:rsidR="00702D1C" w:rsidRPr="00743538">
        <w:rPr>
          <w:rFonts w:cs="Arial"/>
          <w:bCs/>
          <w:snapToGrid w:val="0"/>
        </w:rPr>
        <w:t>.</w:t>
      </w:r>
      <w:r w:rsidR="006D71FF" w:rsidRPr="00743538">
        <w:rPr>
          <w:rFonts w:cs="Arial"/>
          <w:bCs/>
          <w:snapToGrid w:val="0"/>
        </w:rPr>
        <w:t xml:space="preserve"> The PBAC also considered that LDX is likely </w:t>
      </w:r>
      <w:r w:rsidR="00283724" w:rsidRPr="00743538">
        <w:rPr>
          <w:rFonts w:cs="Arial"/>
          <w:bCs/>
          <w:snapToGrid w:val="0"/>
        </w:rPr>
        <w:t>to</w:t>
      </w:r>
      <w:r w:rsidR="006D71FF" w:rsidRPr="00743538">
        <w:rPr>
          <w:rFonts w:cs="Arial"/>
          <w:bCs/>
          <w:snapToGrid w:val="0"/>
        </w:rPr>
        <w:t xml:space="preserve"> </w:t>
      </w:r>
      <w:r w:rsidR="005C293F" w:rsidRPr="00743538">
        <w:rPr>
          <w:rFonts w:cs="Arial"/>
          <w:bCs/>
          <w:snapToGrid w:val="0"/>
        </w:rPr>
        <w:t xml:space="preserve">be as effective at </w:t>
      </w:r>
      <w:r w:rsidR="006D71FF" w:rsidRPr="00743538">
        <w:rPr>
          <w:rFonts w:cs="Arial"/>
          <w:bCs/>
          <w:snapToGrid w:val="0"/>
        </w:rPr>
        <w:t>improv</w:t>
      </w:r>
      <w:r w:rsidR="005C293F" w:rsidRPr="00743538">
        <w:rPr>
          <w:rFonts w:cs="Arial"/>
          <w:bCs/>
          <w:snapToGrid w:val="0"/>
        </w:rPr>
        <w:t>ing</w:t>
      </w:r>
      <w:r w:rsidR="006D71FF" w:rsidRPr="00743538">
        <w:rPr>
          <w:rFonts w:cs="Arial"/>
          <w:bCs/>
          <w:snapToGrid w:val="0"/>
        </w:rPr>
        <w:t xml:space="preserve"> measures of ADHD core symptoms in adults</w:t>
      </w:r>
      <w:r w:rsidR="005C293F" w:rsidRPr="00743538">
        <w:rPr>
          <w:rFonts w:cs="Arial"/>
          <w:bCs/>
          <w:snapToGrid w:val="0"/>
        </w:rPr>
        <w:t xml:space="preserve"> as the short-acting stimulant therapies</w:t>
      </w:r>
      <w:r w:rsidR="006D71FF" w:rsidRPr="00743538">
        <w:rPr>
          <w:rFonts w:cs="Arial"/>
          <w:bCs/>
          <w:snapToGrid w:val="0"/>
        </w:rPr>
        <w:t xml:space="preserve">. </w:t>
      </w:r>
    </w:p>
    <w:p w:rsidR="002B5455" w:rsidRPr="00DD31CC" w:rsidRDefault="002B5455" w:rsidP="00802D06">
      <w:pPr>
        <w:pStyle w:val="3Bodytext"/>
        <w:jc w:val="both"/>
        <w:rPr>
          <w:rFonts w:cstheme="minorHAnsi"/>
          <w:szCs w:val="24"/>
        </w:rPr>
      </w:pPr>
      <w:r w:rsidRPr="00DD31CC">
        <w:rPr>
          <w:rFonts w:cstheme="minorHAnsi"/>
          <w:szCs w:val="24"/>
        </w:rPr>
        <w:t>The PBAC also noted that safety data specific to the use of LDX in adults was not presented</w:t>
      </w:r>
      <w:r w:rsidR="002767F5" w:rsidRPr="00DD31CC">
        <w:rPr>
          <w:rFonts w:cstheme="minorHAnsi"/>
          <w:szCs w:val="24"/>
        </w:rPr>
        <w:t xml:space="preserve"> in the minor submission</w:t>
      </w:r>
      <w:r w:rsidRPr="00DD31CC">
        <w:rPr>
          <w:rFonts w:cstheme="minorHAnsi"/>
          <w:szCs w:val="24"/>
        </w:rPr>
        <w:t xml:space="preserve">. Rather, a review of information available in the TGA-approved Product Information for </w:t>
      </w:r>
      <w:r w:rsidR="00A83238" w:rsidRPr="00E25B55">
        <w:rPr>
          <w:rFonts w:cstheme="minorHAnsi"/>
          <w:szCs w:val="24"/>
        </w:rPr>
        <w:t xml:space="preserve">LDX, long-acting MPH, IR DEX, and IR MPH </w:t>
      </w:r>
      <w:r w:rsidRPr="00E25B55">
        <w:rPr>
          <w:rFonts w:cstheme="minorHAnsi"/>
          <w:szCs w:val="24"/>
        </w:rPr>
        <w:t>was presented. The PBAC considered that, compared with the short-acting stimulants, LDX may have a lower potential for abuse or dependence</w:t>
      </w:r>
      <w:r w:rsidR="00A61721" w:rsidRPr="00E25B55">
        <w:rPr>
          <w:rFonts w:cstheme="minorHAnsi"/>
          <w:szCs w:val="24"/>
        </w:rPr>
        <w:t>, and was likely to be similar in relation to other potential harms</w:t>
      </w:r>
      <w:r w:rsidRPr="00DD31CC">
        <w:rPr>
          <w:rFonts w:cstheme="minorHAnsi"/>
          <w:szCs w:val="24"/>
        </w:rPr>
        <w:t xml:space="preserve">. </w:t>
      </w:r>
    </w:p>
    <w:p w:rsidR="002E3806" w:rsidRPr="00DD31CC" w:rsidRDefault="005C293F" w:rsidP="003C6D62">
      <w:pPr>
        <w:pStyle w:val="3Bodytext"/>
        <w:jc w:val="both"/>
        <w:rPr>
          <w:rFonts w:cstheme="minorHAnsi"/>
          <w:szCs w:val="24"/>
        </w:rPr>
      </w:pPr>
      <w:r w:rsidRPr="00DD31CC">
        <w:rPr>
          <w:rFonts w:cstheme="minorHAnsi"/>
          <w:szCs w:val="24"/>
        </w:rPr>
        <w:t>Overall, t</w:t>
      </w:r>
      <w:r w:rsidR="003C6D62" w:rsidRPr="00DD31CC">
        <w:rPr>
          <w:rFonts w:cstheme="minorHAnsi"/>
          <w:szCs w:val="24"/>
        </w:rPr>
        <w:t>he PBAC considered that the evidence base for the clinical claim was not robust</w:t>
      </w:r>
      <w:r w:rsidR="00702D1C" w:rsidRPr="00DD31CC">
        <w:rPr>
          <w:rFonts w:cstheme="minorHAnsi"/>
          <w:szCs w:val="24"/>
        </w:rPr>
        <w:t>, but r</w:t>
      </w:r>
      <w:r w:rsidR="003C6D62" w:rsidRPr="00DD31CC">
        <w:rPr>
          <w:rFonts w:cstheme="minorHAnsi"/>
          <w:szCs w:val="24"/>
        </w:rPr>
        <w:t>ecalled the additional benefits of long-acting stimulant therapies (over short-acting stimulants) that were accepted in 2006 for children</w:t>
      </w:r>
      <w:r w:rsidR="00A83238" w:rsidRPr="00DD31CC">
        <w:rPr>
          <w:rFonts w:cstheme="minorHAnsi"/>
          <w:szCs w:val="24"/>
        </w:rPr>
        <w:t xml:space="preserve"> and </w:t>
      </w:r>
      <w:r w:rsidR="003C6D62" w:rsidRPr="00DD31CC">
        <w:rPr>
          <w:rFonts w:cstheme="minorHAnsi"/>
          <w:szCs w:val="24"/>
        </w:rPr>
        <w:t>adolescents (see paragraphs 5.2</w:t>
      </w:r>
      <w:r w:rsidR="00CD3149">
        <w:rPr>
          <w:rFonts w:cstheme="minorHAnsi"/>
          <w:szCs w:val="24"/>
        </w:rPr>
        <w:t>0</w:t>
      </w:r>
      <w:r w:rsidR="003C6D62" w:rsidRPr="00DD31CC">
        <w:rPr>
          <w:rFonts w:cstheme="minorHAnsi"/>
          <w:szCs w:val="24"/>
        </w:rPr>
        <w:t xml:space="preserve"> and</w:t>
      </w:r>
      <w:r w:rsidR="000027B7" w:rsidRPr="00DD31CC">
        <w:rPr>
          <w:rFonts w:cstheme="minorHAnsi"/>
          <w:szCs w:val="24"/>
        </w:rPr>
        <w:t xml:space="preserve"> </w:t>
      </w:r>
      <w:r w:rsidR="003C6D62" w:rsidRPr="00DD31CC">
        <w:rPr>
          <w:rFonts w:cstheme="minorHAnsi"/>
          <w:szCs w:val="24"/>
        </w:rPr>
        <w:t>5.2</w:t>
      </w:r>
      <w:r w:rsidR="00CD3149">
        <w:rPr>
          <w:rFonts w:cstheme="minorHAnsi"/>
          <w:szCs w:val="24"/>
        </w:rPr>
        <w:t>1</w:t>
      </w:r>
      <w:r w:rsidR="003C6D62" w:rsidRPr="00DD31CC">
        <w:rPr>
          <w:rFonts w:cstheme="minorHAnsi"/>
          <w:szCs w:val="24"/>
        </w:rPr>
        <w:t>). On balance, the PBAC considered that</w:t>
      </w:r>
      <w:r w:rsidR="0086419F" w:rsidRPr="00DD31CC">
        <w:rPr>
          <w:rFonts w:cstheme="minorHAnsi"/>
          <w:szCs w:val="24"/>
        </w:rPr>
        <w:t xml:space="preserve"> the evidence presented supports the proposed listing</w:t>
      </w:r>
      <w:r w:rsidR="00DD31CC">
        <w:rPr>
          <w:rFonts w:cstheme="minorHAnsi"/>
          <w:szCs w:val="24"/>
        </w:rPr>
        <w:t xml:space="preserve">. </w:t>
      </w:r>
    </w:p>
    <w:p w:rsidR="007B67D8" w:rsidRPr="00743538" w:rsidRDefault="00C95B7C" w:rsidP="007B67D8">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The PBAC noted</w:t>
      </w:r>
      <w:r w:rsidR="00533630" w:rsidRPr="00743538">
        <w:rPr>
          <w:rFonts w:asciiTheme="minorHAnsi" w:hAnsiTheme="minorHAnsi" w:cs="Arial"/>
          <w:bCs/>
          <w:snapToGrid w:val="0"/>
        </w:rPr>
        <w:t xml:space="preserve"> that</w:t>
      </w:r>
      <w:r w:rsidRPr="00743538">
        <w:rPr>
          <w:rFonts w:asciiTheme="minorHAnsi" w:hAnsiTheme="minorHAnsi" w:cs="Arial"/>
          <w:bCs/>
          <w:snapToGrid w:val="0"/>
        </w:rPr>
        <w:t xml:space="preserve"> the proposed effective approved ex-manufacturer price (AEMP) of LDX </w:t>
      </w:r>
      <w:r w:rsidR="00C80136" w:rsidRPr="00743538">
        <w:rPr>
          <w:rFonts w:asciiTheme="minorHAnsi" w:hAnsiTheme="minorHAnsi" w:cs="Arial"/>
          <w:bCs/>
          <w:snapToGrid w:val="0"/>
        </w:rPr>
        <w:t>per pack</w:t>
      </w:r>
      <w:r w:rsidR="00655DD5" w:rsidRPr="00743538">
        <w:rPr>
          <w:rFonts w:asciiTheme="minorHAnsi" w:hAnsiTheme="minorHAnsi" w:cs="Arial"/>
          <w:bCs/>
          <w:snapToGrid w:val="0"/>
        </w:rPr>
        <w:t xml:space="preserve"> (</w:t>
      </w:r>
      <w:r w:rsidR="002A6414" w:rsidRPr="00743538">
        <w:rPr>
          <w:rFonts w:asciiTheme="minorHAnsi" w:hAnsiTheme="minorHAnsi" w:cs="Arial"/>
          <w:bCs/>
          <w:snapToGrid w:val="0"/>
        </w:rPr>
        <w:t xml:space="preserve">i.e. </w:t>
      </w:r>
      <w:r w:rsidR="00655DD5" w:rsidRPr="00743538">
        <w:rPr>
          <w:rFonts w:asciiTheme="minorHAnsi" w:hAnsiTheme="minorHAnsi" w:cs="Arial"/>
          <w:bCs/>
          <w:snapToGrid w:val="0"/>
        </w:rPr>
        <w:t>30 days</w:t>
      </w:r>
      <w:r w:rsidR="00F115D7" w:rsidRPr="00743538">
        <w:rPr>
          <w:rFonts w:asciiTheme="minorHAnsi" w:hAnsiTheme="minorHAnsi" w:cs="Arial"/>
          <w:bCs/>
          <w:snapToGrid w:val="0"/>
        </w:rPr>
        <w:t>’</w:t>
      </w:r>
      <w:r w:rsidR="00655DD5" w:rsidRPr="00743538">
        <w:rPr>
          <w:rFonts w:asciiTheme="minorHAnsi" w:hAnsiTheme="minorHAnsi" w:cs="Arial"/>
          <w:bCs/>
          <w:snapToGrid w:val="0"/>
        </w:rPr>
        <w:t xml:space="preserve"> </w:t>
      </w:r>
      <w:r w:rsidR="00F115D7" w:rsidRPr="00743538">
        <w:rPr>
          <w:rFonts w:asciiTheme="minorHAnsi" w:hAnsiTheme="minorHAnsi" w:cs="Arial"/>
          <w:bCs/>
          <w:snapToGrid w:val="0"/>
        </w:rPr>
        <w:t xml:space="preserve">worth </w:t>
      </w:r>
      <w:r w:rsidR="00655DD5" w:rsidRPr="00743538">
        <w:rPr>
          <w:rFonts w:asciiTheme="minorHAnsi" w:hAnsiTheme="minorHAnsi" w:cs="Arial"/>
          <w:bCs/>
          <w:snapToGrid w:val="0"/>
        </w:rPr>
        <w:t>of treatment)</w:t>
      </w:r>
      <w:r w:rsidR="00C80136" w:rsidRPr="00743538">
        <w:rPr>
          <w:rFonts w:asciiTheme="minorHAnsi" w:hAnsiTheme="minorHAnsi" w:cs="Arial"/>
          <w:bCs/>
          <w:snapToGrid w:val="0"/>
        </w:rPr>
        <w:t xml:space="preserve"> </w:t>
      </w:r>
      <w:r w:rsidRPr="00743538">
        <w:rPr>
          <w:rFonts w:asciiTheme="minorHAnsi" w:hAnsiTheme="minorHAnsi" w:cs="Arial"/>
          <w:bCs/>
          <w:snapToGrid w:val="0"/>
        </w:rPr>
        <w:t>for patients diagnosed after the age of 18 years</w:t>
      </w:r>
      <w:r w:rsidR="00C80136" w:rsidRPr="00743538">
        <w:rPr>
          <w:rFonts w:asciiTheme="minorHAnsi" w:hAnsiTheme="minorHAnsi" w:cs="Arial"/>
          <w:bCs/>
          <w:snapToGrid w:val="0"/>
        </w:rPr>
        <w:t xml:space="preserve"> </w:t>
      </w:r>
      <w:r w:rsidR="00655DD5" w:rsidRPr="00743538">
        <w:rPr>
          <w:rFonts w:asciiTheme="minorHAnsi" w:hAnsiTheme="minorHAnsi" w:cs="Arial"/>
          <w:bCs/>
          <w:snapToGrid w:val="0"/>
        </w:rPr>
        <w:t xml:space="preserve">was </w:t>
      </w:r>
      <w:r w:rsidR="00C80136" w:rsidRPr="00743538">
        <w:rPr>
          <w:rFonts w:asciiTheme="minorHAnsi" w:hAnsiTheme="minorHAnsi" w:cs="Arial"/>
          <w:bCs/>
          <w:snapToGrid w:val="0"/>
        </w:rPr>
        <w:t>$</w:t>
      </w:r>
      <w:r w:rsidR="00BC3AA0">
        <w:rPr>
          <w:rFonts w:asciiTheme="minorHAnsi" w:hAnsiTheme="minorHAnsi" w:cs="Arial"/>
          <w:bCs/>
          <w:noProof/>
          <w:snapToGrid w:val="0"/>
          <w:color w:val="000000"/>
          <w:highlight w:val="black"/>
        </w:rPr>
        <w:t>''''''''''</w:t>
      </w:r>
      <w:r w:rsidRPr="00743538">
        <w:rPr>
          <w:rFonts w:asciiTheme="minorHAnsi" w:hAnsiTheme="minorHAnsi" w:cs="Arial"/>
          <w:bCs/>
          <w:snapToGrid w:val="0"/>
        </w:rPr>
        <w:t xml:space="preserve">, derived from </w:t>
      </w:r>
      <w:r w:rsidR="00C80136" w:rsidRPr="00743538">
        <w:rPr>
          <w:rFonts w:asciiTheme="minorHAnsi" w:hAnsiTheme="minorHAnsi" w:cs="Arial"/>
          <w:bCs/>
          <w:snapToGrid w:val="0"/>
        </w:rPr>
        <w:t>the current ex-manufacturer</w:t>
      </w:r>
      <w:r w:rsidRPr="00743538">
        <w:rPr>
          <w:rFonts w:asciiTheme="minorHAnsi" w:hAnsiTheme="minorHAnsi" w:cs="Arial"/>
          <w:bCs/>
          <w:snapToGrid w:val="0"/>
        </w:rPr>
        <w:t xml:space="preserve"> cost per day of IR DEX </w:t>
      </w:r>
      <w:r w:rsidR="00AE21B4" w:rsidRPr="00743538">
        <w:rPr>
          <w:rFonts w:asciiTheme="minorHAnsi" w:hAnsiTheme="minorHAnsi" w:cs="Arial"/>
          <w:bCs/>
          <w:snapToGrid w:val="0"/>
        </w:rPr>
        <w:t xml:space="preserve">of </w:t>
      </w:r>
      <w:r w:rsidR="00C80136" w:rsidRPr="00743538">
        <w:rPr>
          <w:rFonts w:asciiTheme="minorHAnsi" w:hAnsiTheme="minorHAnsi" w:cs="Arial"/>
          <w:bCs/>
          <w:snapToGrid w:val="0"/>
        </w:rPr>
        <w:t>$</w:t>
      </w:r>
      <w:r w:rsidR="00C80136" w:rsidRPr="00FE011E">
        <w:rPr>
          <w:rFonts w:asciiTheme="minorHAnsi" w:hAnsiTheme="minorHAnsi" w:cs="Arial"/>
          <w:bCs/>
          <w:snapToGrid w:val="0"/>
        </w:rPr>
        <w:t>0.18</w:t>
      </w:r>
      <w:r w:rsidR="00C80136" w:rsidRPr="00743538">
        <w:rPr>
          <w:rFonts w:asciiTheme="minorHAnsi" w:hAnsiTheme="minorHAnsi" w:cs="Arial"/>
          <w:bCs/>
          <w:snapToGrid w:val="0"/>
        </w:rPr>
        <w:t xml:space="preserve"> </w:t>
      </w:r>
      <w:r w:rsidRPr="00743538">
        <w:rPr>
          <w:rFonts w:asciiTheme="minorHAnsi" w:hAnsiTheme="minorHAnsi" w:cs="Arial"/>
          <w:bCs/>
          <w:snapToGrid w:val="0"/>
        </w:rPr>
        <w:t>with a $</w:t>
      </w:r>
      <w:r w:rsidR="00BC3AA0">
        <w:rPr>
          <w:rFonts w:asciiTheme="minorHAnsi" w:hAnsiTheme="minorHAnsi" w:cs="Arial"/>
          <w:bCs/>
          <w:noProof/>
          <w:snapToGrid w:val="0"/>
          <w:color w:val="000000"/>
          <w:highlight w:val="black"/>
        </w:rPr>
        <w:t>''''''''</w:t>
      </w:r>
      <w:r w:rsidRPr="00743538">
        <w:rPr>
          <w:rFonts w:asciiTheme="minorHAnsi" w:hAnsiTheme="minorHAnsi" w:cs="Arial"/>
          <w:bCs/>
          <w:snapToGrid w:val="0"/>
        </w:rPr>
        <w:t xml:space="preserve"> </w:t>
      </w:r>
      <w:r w:rsidR="00A61721" w:rsidRPr="00743538">
        <w:rPr>
          <w:rFonts w:asciiTheme="minorHAnsi" w:hAnsiTheme="minorHAnsi" w:cs="Arial"/>
          <w:bCs/>
          <w:snapToGrid w:val="0"/>
        </w:rPr>
        <w:t xml:space="preserve">per day </w:t>
      </w:r>
      <w:r w:rsidRPr="00743538">
        <w:rPr>
          <w:rFonts w:asciiTheme="minorHAnsi" w:hAnsiTheme="minorHAnsi" w:cs="Arial"/>
          <w:bCs/>
          <w:snapToGrid w:val="0"/>
        </w:rPr>
        <w:t>price premium.</w:t>
      </w:r>
      <w:r w:rsidR="00293490" w:rsidRPr="00743538">
        <w:rPr>
          <w:rFonts w:asciiTheme="minorHAnsi" w:hAnsiTheme="minorHAnsi" w:cs="Arial"/>
          <w:bCs/>
          <w:snapToGrid w:val="0"/>
        </w:rPr>
        <w:t xml:space="preserve"> The PBAC considered that because evidence of superiority of LDX over IR DEX was limited, it</w:t>
      </w:r>
      <w:r w:rsidR="003B1678" w:rsidRPr="00743538">
        <w:rPr>
          <w:rFonts w:asciiTheme="minorHAnsi" w:hAnsiTheme="minorHAnsi" w:cs="Arial"/>
          <w:bCs/>
          <w:snapToGrid w:val="0"/>
        </w:rPr>
        <w:t xml:space="preserve"> did not</w:t>
      </w:r>
      <w:r w:rsidR="00293490" w:rsidRPr="00743538">
        <w:rPr>
          <w:rFonts w:asciiTheme="minorHAnsi" w:hAnsiTheme="minorHAnsi" w:cs="Arial"/>
          <w:bCs/>
          <w:snapToGrid w:val="0"/>
        </w:rPr>
        <w:t xml:space="preserve"> support</w:t>
      </w:r>
      <w:r w:rsidR="003B1678" w:rsidRPr="00743538">
        <w:rPr>
          <w:rFonts w:asciiTheme="minorHAnsi" w:hAnsiTheme="minorHAnsi" w:cs="Arial"/>
          <w:bCs/>
          <w:snapToGrid w:val="0"/>
        </w:rPr>
        <w:t xml:space="preserve"> the requested price premium.</w:t>
      </w:r>
      <w:r w:rsidR="007B67D8" w:rsidRPr="00743538">
        <w:rPr>
          <w:rFonts w:asciiTheme="minorHAnsi" w:hAnsiTheme="minorHAnsi" w:cs="Arial"/>
          <w:bCs/>
          <w:snapToGrid w:val="0"/>
        </w:rPr>
        <w:t xml:space="preserve"> </w:t>
      </w:r>
    </w:p>
    <w:p w:rsidR="007B67D8" w:rsidRPr="00743538" w:rsidRDefault="00EA14C5" w:rsidP="007B67D8">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 xml:space="preserve">Under Section 101 (3B) of the </w:t>
      </w:r>
      <w:r w:rsidRPr="00743538">
        <w:rPr>
          <w:rFonts w:asciiTheme="minorHAnsi" w:hAnsiTheme="minorHAnsi" w:cs="Arial"/>
          <w:bCs/>
          <w:i/>
          <w:snapToGrid w:val="0"/>
        </w:rPr>
        <w:t>National Health Act 1953</w:t>
      </w:r>
      <w:r w:rsidRPr="00743538">
        <w:rPr>
          <w:rFonts w:asciiTheme="minorHAnsi" w:hAnsiTheme="minorHAnsi" w:cs="Arial"/>
          <w:bCs/>
          <w:snapToGrid w:val="0"/>
        </w:rPr>
        <w:t>, the</w:t>
      </w:r>
      <w:r w:rsidR="007B67D8" w:rsidRPr="00743538">
        <w:rPr>
          <w:rFonts w:asciiTheme="minorHAnsi" w:hAnsiTheme="minorHAnsi" w:cs="Arial"/>
          <w:bCs/>
          <w:snapToGrid w:val="0"/>
        </w:rPr>
        <w:t xml:space="preserve"> PBAC </w:t>
      </w:r>
      <w:r w:rsidR="00293490" w:rsidRPr="00743538">
        <w:rPr>
          <w:rFonts w:asciiTheme="minorHAnsi" w:hAnsiTheme="minorHAnsi" w:cs="Arial"/>
          <w:bCs/>
          <w:snapToGrid w:val="0"/>
        </w:rPr>
        <w:t xml:space="preserve">noted that it </w:t>
      </w:r>
      <w:r w:rsidR="007B67D8" w:rsidRPr="00743538">
        <w:rPr>
          <w:rFonts w:asciiTheme="minorHAnsi" w:hAnsiTheme="minorHAnsi" w:cs="Arial"/>
          <w:bCs/>
          <w:snapToGrid w:val="0"/>
        </w:rPr>
        <w:t xml:space="preserve">could not recommend listing LDX at a higher price than the alternative therapy (IR DEX) as it was not satisfied that it provides, for some patients, a significant improvement in efficacy, or reduction of toxicity, over the alternative therapy. </w:t>
      </w:r>
    </w:p>
    <w:p w:rsidR="00655DD5" w:rsidRPr="00743538" w:rsidRDefault="00C80136" w:rsidP="007B67D8">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The PBAC noted</w:t>
      </w:r>
      <w:r w:rsidR="003B1678" w:rsidRPr="00743538">
        <w:rPr>
          <w:rFonts w:asciiTheme="minorHAnsi" w:hAnsiTheme="minorHAnsi" w:cs="Arial"/>
          <w:bCs/>
          <w:snapToGrid w:val="0"/>
        </w:rPr>
        <w:t xml:space="preserve"> </w:t>
      </w:r>
      <w:r w:rsidR="00533630" w:rsidRPr="00743538">
        <w:rPr>
          <w:rFonts w:asciiTheme="minorHAnsi" w:hAnsiTheme="minorHAnsi" w:cs="Arial"/>
          <w:bCs/>
          <w:snapToGrid w:val="0"/>
        </w:rPr>
        <w:t xml:space="preserve">that </w:t>
      </w:r>
      <w:r w:rsidR="003B1678" w:rsidRPr="00743538">
        <w:rPr>
          <w:rFonts w:asciiTheme="minorHAnsi" w:hAnsiTheme="minorHAnsi" w:cs="Arial"/>
          <w:bCs/>
          <w:snapToGrid w:val="0"/>
        </w:rPr>
        <w:t xml:space="preserve">the proposed </w:t>
      </w:r>
      <w:r w:rsidRPr="00743538">
        <w:rPr>
          <w:rFonts w:asciiTheme="minorHAnsi" w:hAnsiTheme="minorHAnsi" w:cs="Arial"/>
          <w:bCs/>
          <w:snapToGrid w:val="0"/>
        </w:rPr>
        <w:t xml:space="preserve">weighted effective AEMP of LDX per pack </w:t>
      </w:r>
      <w:r w:rsidR="00AE21B4" w:rsidRPr="00743538">
        <w:rPr>
          <w:rFonts w:asciiTheme="minorHAnsi" w:hAnsiTheme="minorHAnsi" w:cs="Arial"/>
          <w:bCs/>
          <w:snapToGrid w:val="0"/>
        </w:rPr>
        <w:t xml:space="preserve">was </w:t>
      </w:r>
      <w:r w:rsidRPr="00743538">
        <w:rPr>
          <w:rFonts w:asciiTheme="minorHAnsi" w:hAnsiTheme="minorHAnsi" w:cs="Arial"/>
          <w:bCs/>
          <w:snapToGrid w:val="0"/>
        </w:rPr>
        <w:t>equal to $</w:t>
      </w:r>
      <w:r w:rsidR="00BC3AA0">
        <w:rPr>
          <w:rFonts w:asciiTheme="minorHAnsi" w:hAnsiTheme="minorHAnsi" w:cs="Arial"/>
          <w:bCs/>
          <w:noProof/>
          <w:snapToGrid w:val="0"/>
          <w:color w:val="000000"/>
          <w:highlight w:val="black"/>
        </w:rPr>
        <w:t>''''''''''</w:t>
      </w:r>
      <w:r w:rsidR="00247DF0" w:rsidRPr="00743538">
        <w:rPr>
          <w:rFonts w:asciiTheme="minorHAnsi" w:hAnsiTheme="minorHAnsi" w:cs="Arial"/>
          <w:bCs/>
          <w:snapToGrid w:val="0"/>
        </w:rPr>
        <w:t>, inclusive of the price premium and</w:t>
      </w:r>
      <w:r w:rsidRPr="00743538">
        <w:rPr>
          <w:rFonts w:asciiTheme="minorHAnsi" w:hAnsiTheme="minorHAnsi" w:cs="Arial"/>
          <w:bCs/>
          <w:snapToGrid w:val="0"/>
        </w:rPr>
        <w:t xml:space="preserve"> based on a 28%</w:t>
      </w:r>
      <w:r w:rsidR="00EA14C5" w:rsidRPr="00743538">
        <w:rPr>
          <w:rFonts w:asciiTheme="minorHAnsi" w:hAnsiTheme="minorHAnsi" w:cs="Arial"/>
          <w:bCs/>
          <w:snapToGrid w:val="0"/>
        </w:rPr>
        <w:t>:</w:t>
      </w:r>
      <w:r w:rsidRPr="00743538">
        <w:rPr>
          <w:rFonts w:asciiTheme="minorHAnsi" w:hAnsiTheme="minorHAnsi" w:cs="Arial"/>
          <w:bCs/>
          <w:snapToGrid w:val="0"/>
        </w:rPr>
        <w:t xml:space="preserve">72% split for patients diagnosed after the age of 18 and patients diagnosed before </w:t>
      </w:r>
      <w:r w:rsidR="00A24E66" w:rsidRPr="00743538">
        <w:rPr>
          <w:rFonts w:asciiTheme="minorHAnsi" w:hAnsiTheme="minorHAnsi" w:cs="Arial"/>
          <w:bCs/>
          <w:snapToGrid w:val="0"/>
        </w:rPr>
        <w:t>the age of 18</w:t>
      </w:r>
      <w:r w:rsidR="00EA14C5" w:rsidRPr="00743538">
        <w:rPr>
          <w:rFonts w:asciiTheme="minorHAnsi" w:hAnsiTheme="minorHAnsi" w:cs="Arial"/>
          <w:bCs/>
          <w:snapToGrid w:val="0"/>
        </w:rPr>
        <w:t>,</w:t>
      </w:r>
      <w:r w:rsidRPr="00743538">
        <w:rPr>
          <w:rFonts w:asciiTheme="minorHAnsi" w:hAnsiTheme="minorHAnsi" w:cs="Arial"/>
          <w:bCs/>
          <w:snapToGrid w:val="0"/>
        </w:rPr>
        <w:t xml:space="preserve"> respectively. The PBAC</w:t>
      </w:r>
      <w:r w:rsidR="00CD36B3">
        <w:rPr>
          <w:rFonts w:asciiTheme="minorHAnsi" w:hAnsiTheme="minorHAnsi" w:cs="Arial"/>
          <w:bCs/>
          <w:snapToGrid w:val="0"/>
        </w:rPr>
        <w:t xml:space="preserve"> considered that the submission’s proposed weighting was appropriate, and</w:t>
      </w:r>
      <w:r w:rsidRPr="00743538">
        <w:rPr>
          <w:rFonts w:asciiTheme="minorHAnsi" w:hAnsiTheme="minorHAnsi" w:cs="Arial"/>
          <w:bCs/>
          <w:snapToGrid w:val="0"/>
        </w:rPr>
        <w:t xml:space="preserve"> noted </w:t>
      </w:r>
      <w:r w:rsidR="00EA1611" w:rsidRPr="00743538">
        <w:rPr>
          <w:rFonts w:asciiTheme="minorHAnsi" w:hAnsiTheme="minorHAnsi" w:cs="Arial"/>
          <w:bCs/>
          <w:snapToGrid w:val="0"/>
        </w:rPr>
        <w:t xml:space="preserve">that </w:t>
      </w:r>
      <w:r w:rsidR="00CD36B3">
        <w:rPr>
          <w:rFonts w:asciiTheme="minorHAnsi" w:hAnsiTheme="minorHAnsi" w:cs="Arial"/>
          <w:bCs/>
          <w:snapToGrid w:val="0"/>
        </w:rPr>
        <w:t xml:space="preserve">the resulting price proposed </w:t>
      </w:r>
      <w:r w:rsidRPr="00743538">
        <w:rPr>
          <w:rFonts w:asciiTheme="minorHAnsi" w:hAnsiTheme="minorHAnsi" w:cs="Arial"/>
          <w:bCs/>
          <w:snapToGrid w:val="0"/>
        </w:rPr>
        <w:t xml:space="preserve">was </w:t>
      </w:r>
      <w:r w:rsidR="00293490" w:rsidRPr="00743538">
        <w:rPr>
          <w:rFonts w:asciiTheme="minorHAnsi" w:hAnsiTheme="minorHAnsi" w:cs="Arial"/>
          <w:bCs/>
          <w:snapToGrid w:val="0"/>
        </w:rPr>
        <w:t>approximately a</w:t>
      </w:r>
      <w:r w:rsidRPr="00743538">
        <w:rPr>
          <w:rFonts w:asciiTheme="minorHAnsi" w:hAnsiTheme="minorHAnsi" w:cs="Arial"/>
          <w:bCs/>
          <w:snapToGrid w:val="0"/>
        </w:rPr>
        <w:t xml:space="preserve"> 12% reduction on the current effective AEMP </w:t>
      </w:r>
      <w:r w:rsidR="00AE21B4" w:rsidRPr="00743538">
        <w:rPr>
          <w:rFonts w:asciiTheme="minorHAnsi" w:hAnsiTheme="minorHAnsi" w:cs="Arial"/>
          <w:bCs/>
          <w:snapToGrid w:val="0"/>
        </w:rPr>
        <w:t xml:space="preserve">of </w:t>
      </w:r>
      <w:r w:rsidRPr="00743538">
        <w:rPr>
          <w:rFonts w:asciiTheme="minorHAnsi" w:hAnsiTheme="minorHAnsi" w:cs="Arial"/>
          <w:bCs/>
          <w:snapToGrid w:val="0"/>
        </w:rPr>
        <w:t>$</w:t>
      </w:r>
      <w:r w:rsidR="00BC3AA0">
        <w:rPr>
          <w:rFonts w:asciiTheme="minorHAnsi" w:hAnsiTheme="minorHAnsi" w:cs="Arial"/>
          <w:bCs/>
          <w:noProof/>
          <w:snapToGrid w:val="0"/>
          <w:color w:val="000000"/>
          <w:highlight w:val="black"/>
        </w:rPr>
        <w:t>'''''''''''</w:t>
      </w:r>
      <w:r w:rsidRPr="00743538">
        <w:rPr>
          <w:rFonts w:asciiTheme="minorHAnsi" w:hAnsiTheme="minorHAnsi" w:cs="Arial"/>
          <w:bCs/>
          <w:snapToGrid w:val="0"/>
        </w:rPr>
        <w:t xml:space="preserve">. </w:t>
      </w:r>
      <w:r w:rsidR="00AE21B4" w:rsidRPr="00743538">
        <w:rPr>
          <w:rFonts w:asciiTheme="minorHAnsi" w:hAnsiTheme="minorHAnsi" w:cs="Arial"/>
          <w:bCs/>
          <w:snapToGrid w:val="0"/>
        </w:rPr>
        <w:t>The PBAC considered that,</w:t>
      </w:r>
      <w:r w:rsidR="00655DD5" w:rsidRPr="00743538">
        <w:rPr>
          <w:rFonts w:asciiTheme="minorHAnsi" w:hAnsiTheme="minorHAnsi" w:cs="Arial"/>
          <w:bCs/>
          <w:snapToGrid w:val="0"/>
        </w:rPr>
        <w:t xml:space="preserve"> in order to </w:t>
      </w:r>
      <w:r w:rsidR="00AE21B4" w:rsidRPr="00743538">
        <w:rPr>
          <w:rFonts w:asciiTheme="minorHAnsi" w:hAnsiTheme="minorHAnsi" w:cs="Arial"/>
          <w:bCs/>
          <w:snapToGrid w:val="0"/>
        </w:rPr>
        <w:t>ensure cost-effectiveness of LDX</w:t>
      </w:r>
      <w:r w:rsidR="00EA14C5" w:rsidRPr="00743538">
        <w:rPr>
          <w:rFonts w:asciiTheme="minorHAnsi" w:hAnsiTheme="minorHAnsi" w:cs="Arial"/>
          <w:bCs/>
          <w:snapToGrid w:val="0"/>
        </w:rPr>
        <w:t xml:space="preserve"> in the expanded population</w:t>
      </w:r>
      <w:r w:rsidR="00AE21B4" w:rsidRPr="00743538">
        <w:rPr>
          <w:rFonts w:asciiTheme="minorHAnsi" w:hAnsiTheme="minorHAnsi" w:cs="Arial"/>
          <w:bCs/>
          <w:snapToGrid w:val="0"/>
        </w:rPr>
        <w:t xml:space="preserve">, </w:t>
      </w:r>
      <w:r w:rsidR="00655DD5" w:rsidRPr="00743538">
        <w:rPr>
          <w:rFonts w:asciiTheme="minorHAnsi" w:hAnsiTheme="minorHAnsi" w:cs="Arial"/>
          <w:bCs/>
          <w:snapToGrid w:val="0"/>
        </w:rPr>
        <w:t xml:space="preserve">an </w:t>
      </w:r>
      <w:r w:rsidR="002A6414" w:rsidRPr="00743538">
        <w:rPr>
          <w:rFonts w:asciiTheme="minorHAnsi" w:hAnsiTheme="minorHAnsi" w:cs="Arial"/>
          <w:bCs/>
          <w:snapToGrid w:val="0"/>
        </w:rPr>
        <w:t xml:space="preserve">effective </w:t>
      </w:r>
      <w:r w:rsidR="00655DD5" w:rsidRPr="00743538">
        <w:rPr>
          <w:rFonts w:asciiTheme="minorHAnsi" w:hAnsiTheme="minorHAnsi" w:cs="Arial"/>
          <w:bCs/>
          <w:snapToGrid w:val="0"/>
        </w:rPr>
        <w:t>AEMP</w:t>
      </w:r>
      <w:r w:rsidR="00AE21B4" w:rsidRPr="00743538">
        <w:rPr>
          <w:rFonts w:asciiTheme="minorHAnsi" w:hAnsiTheme="minorHAnsi" w:cs="Arial"/>
          <w:bCs/>
          <w:snapToGrid w:val="0"/>
        </w:rPr>
        <w:t xml:space="preserve"> for the </w:t>
      </w:r>
      <w:r w:rsidR="007B71A8" w:rsidRPr="00743538">
        <w:rPr>
          <w:rFonts w:asciiTheme="minorHAnsi" w:hAnsiTheme="minorHAnsi" w:cs="Arial"/>
          <w:bCs/>
          <w:snapToGrid w:val="0"/>
        </w:rPr>
        <w:t xml:space="preserve">expanded </w:t>
      </w:r>
      <w:r w:rsidR="00AE21B4" w:rsidRPr="00743538">
        <w:rPr>
          <w:rFonts w:asciiTheme="minorHAnsi" w:hAnsiTheme="minorHAnsi" w:cs="Arial"/>
          <w:bCs/>
          <w:snapToGrid w:val="0"/>
        </w:rPr>
        <w:t>population</w:t>
      </w:r>
      <w:r w:rsidR="00EA14C5" w:rsidRPr="00743538">
        <w:rPr>
          <w:rFonts w:asciiTheme="minorHAnsi" w:hAnsiTheme="minorHAnsi" w:cs="Arial"/>
          <w:bCs/>
          <w:snapToGrid w:val="0"/>
        </w:rPr>
        <w:t xml:space="preserve"> equivalent to the cost per day of IR DEX</w:t>
      </w:r>
      <w:r w:rsidR="00AE21B4" w:rsidRPr="00743538">
        <w:rPr>
          <w:rFonts w:asciiTheme="minorHAnsi" w:hAnsiTheme="minorHAnsi" w:cs="Arial"/>
          <w:bCs/>
          <w:snapToGrid w:val="0"/>
        </w:rPr>
        <w:t xml:space="preserve"> would be appropriate. The PBAC noted that this would equate to a</w:t>
      </w:r>
      <w:r w:rsidR="00EA14C5" w:rsidRPr="00743538">
        <w:rPr>
          <w:rFonts w:asciiTheme="minorHAnsi" w:hAnsiTheme="minorHAnsi" w:cs="Arial"/>
          <w:bCs/>
          <w:snapToGrid w:val="0"/>
        </w:rPr>
        <w:t xml:space="preserve"> revised weighted AEMP that is</w:t>
      </w:r>
      <w:r w:rsidR="00AE21B4" w:rsidRPr="00743538">
        <w:rPr>
          <w:rFonts w:asciiTheme="minorHAnsi" w:hAnsiTheme="minorHAnsi" w:cs="Arial"/>
          <w:bCs/>
          <w:snapToGrid w:val="0"/>
        </w:rPr>
        <w:t xml:space="preserve"> approximate</w:t>
      </w:r>
      <w:r w:rsidR="00EA14C5" w:rsidRPr="00743538">
        <w:rPr>
          <w:rFonts w:asciiTheme="minorHAnsi" w:hAnsiTheme="minorHAnsi" w:cs="Arial"/>
          <w:bCs/>
          <w:snapToGrid w:val="0"/>
        </w:rPr>
        <w:t>ly</w:t>
      </w:r>
      <w:r w:rsidR="00AE21B4" w:rsidRPr="00743538">
        <w:rPr>
          <w:rFonts w:asciiTheme="minorHAnsi" w:hAnsiTheme="minorHAnsi" w:cs="Arial"/>
          <w:bCs/>
          <w:snapToGrid w:val="0"/>
        </w:rPr>
        <w:t xml:space="preserve"> 25% </w:t>
      </w:r>
      <w:r w:rsidR="00EA14C5" w:rsidRPr="00743538">
        <w:rPr>
          <w:rFonts w:asciiTheme="minorHAnsi" w:hAnsiTheme="minorHAnsi" w:cs="Arial"/>
          <w:bCs/>
          <w:snapToGrid w:val="0"/>
        </w:rPr>
        <w:t xml:space="preserve">lower than the </w:t>
      </w:r>
      <w:r w:rsidR="00AE21B4" w:rsidRPr="00743538">
        <w:rPr>
          <w:rFonts w:asciiTheme="minorHAnsi" w:hAnsiTheme="minorHAnsi" w:cs="Arial"/>
          <w:bCs/>
          <w:snapToGrid w:val="0"/>
        </w:rPr>
        <w:t xml:space="preserve">current effective AEMP. </w:t>
      </w:r>
    </w:p>
    <w:p w:rsidR="007953EE" w:rsidRPr="00743538" w:rsidRDefault="001A53A2" w:rsidP="007B71A8">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The PBAC</w:t>
      </w:r>
      <w:r w:rsidR="002E48D8" w:rsidRPr="00743538">
        <w:rPr>
          <w:rFonts w:asciiTheme="minorHAnsi" w:hAnsiTheme="minorHAnsi" w:cs="Arial"/>
          <w:bCs/>
          <w:snapToGrid w:val="0"/>
        </w:rPr>
        <w:t xml:space="preserve"> </w:t>
      </w:r>
      <w:r w:rsidR="007B71A8" w:rsidRPr="00743538">
        <w:rPr>
          <w:rFonts w:asciiTheme="minorHAnsi" w:hAnsiTheme="minorHAnsi" w:cs="Arial"/>
          <w:bCs/>
          <w:snapToGrid w:val="0"/>
        </w:rPr>
        <w:t>c</w:t>
      </w:r>
      <w:r w:rsidRPr="00743538">
        <w:rPr>
          <w:rFonts w:asciiTheme="minorHAnsi" w:hAnsiTheme="minorHAnsi" w:cs="Arial"/>
          <w:bCs/>
          <w:snapToGrid w:val="0"/>
        </w:rPr>
        <w:t xml:space="preserve">onsidered </w:t>
      </w:r>
      <w:r w:rsidR="002E48D8" w:rsidRPr="00743538">
        <w:rPr>
          <w:rFonts w:asciiTheme="minorHAnsi" w:hAnsiTheme="minorHAnsi" w:cs="Arial"/>
          <w:bCs/>
          <w:snapToGrid w:val="0"/>
        </w:rPr>
        <w:t xml:space="preserve">that </w:t>
      </w:r>
      <w:r w:rsidRPr="00743538">
        <w:rPr>
          <w:rFonts w:asciiTheme="minorHAnsi" w:hAnsiTheme="minorHAnsi" w:cs="Arial"/>
          <w:bCs/>
          <w:snapToGrid w:val="0"/>
        </w:rPr>
        <w:t>there was uncertainty with respect to uptake rate and the size of the expanded adult population</w:t>
      </w:r>
      <w:r w:rsidR="007B71A8" w:rsidRPr="00743538">
        <w:rPr>
          <w:rFonts w:asciiTheme="minorHAnsi" w:hAnsiTheme="minorHAnsi" w:cs="Arial"/>
          <w:bCs/>
          <w:snapToGrid w:val="0"/>
        </w:rPr>
        <w:t xml:space="preserve">, and therefore considered </w:t>
      </w:r>
      <w:r w:rsidRPr="00743538">
        <w:rPr>
          <w:rFonts w:asciiTheme="minorHAnsi" w:hAnsiTheme="minorHAnsi" w:cs="Arial"/>
          <w:bCs/>
          <w:snapToGrid w:val="0"/>
        </w:rPr>
        <w:t>that th</w:t>
      </w:r>
      <w:r w:rsidR="00CF65D4" w:rsidRPr="00743538">
        <w:rPr>
          <w:rFonts w:asciiTheme="minorHAnsi" w:hAnsiTheme="minorHAnsi" w:cs="Arial"/>
          <w:bCs/>
          <w:snapToGrid w:val="0"/>
        </w:rPr>
        <w:t>is</w:t>
      </w:r>
      <w:r w:rsidRPr="00743538">
        <w:rPr>
          <w:rFonts w:asciiTheme="minorHAnsi" w:hAnsiTheme="minorHAnsi" w:cs="Arial"/>
          <w:bCs/>
          <w:snapToGrid w:val="0"/>
        </w:rPr>
        <w:t xml:space="preserve"> uncertainty </w:t>
      </w:r>
      <w:r w:rsidR="00C20996" w:rsidRPr="00743538">
        <w:rPr>
          <w:rFonts w:asciiTheme="minorHAnsi" w:hAnsiTheme="minorHAnsi" w:cs="Arial"/>
          <w:bCs/>
          <w:snapToGrid w:val="0"/>
        </w:rPr>
        <w:t xml:space="preserve">could </w:t>
      </w:r>
      <w:r w:rsidRPr="00743538">
        <w:rPr>
          <w:rFonts w:asciiTheme="minorHAnsi" w:hAnsiTheme="minorHAnsi" w:cs="Arial"/>
          <w:bCs/>
          <w:snapToGrid w:val="0"/>
        </w:rPr>
        <w:t xml:space="preserve">be managed by </w:t>
      </w:r>
      <w:r w:rsidR="00481138" w:rsidRPr="00743538">
        <w:rPr>
          <w:rFonts w:asciiTheme="minorHAnsi" w:hAnsiTheme="minorHAnsi" w:cs="Arial"/>
          <w:bCs/>
          <w:snapToGrid w:val="0"/>
        </w:rPr>
        <w:t xml:space="preserve">increasing the LDX </w:t>
      </w:r>
      <w:r w:rsidR="00247DF0" w:rsidRPr="00743538">
        <w:rPr>
          <w:rFonts w:asciiTheme="minorHAnsi" w:hAnsiTheme="minorHAnsi" w:cs="Arial"/>
          <w:bCs/>
          <w:snapToGrid w:val="0"/>
        </w:rPr>
        <w:t>RSA</w:t>
      </w:r>
      <w:r w:rsidRPr="00743538">
        <w:rPr>
          <w:rFonts w:asciiTheme="minorHAnsi" w:hAnsiTheme="minorHAnsi" w:cs="Arial"/>
          <w:bCs/>
          <w:snapToGrid w:val="0"/>
        </w:rPr>
        <w:t xml:space="preserve"> </w:t>
      </w:r>
      <w:r w:rsidR="00481138" w:rsidRPr="00743538">
        <w:rPr>
          <w:rFonts w:asciiTheme="minorHAnsi" w:hAnsiTheme="minorHAnsi" w:cs="Arial"/>
          <w:bCs/>
          <w:snapToGrid w:val="0"/>
        </w:rPr>
        <w:t>but only to capture the additional</w:t>
      </w:r>
      <w:r w:rsidRPr="00743538">
        <w:rPr>
          <w:rFonts w:asciiTheme="minorHAnsi" w:hAnsiTheme="minorHAnsi" w:cs="Arial"/>
          <w:bCs/>
          <w:snapToGrid w:val="0"/>
        </w:rPr>
        <w:t xml:space="preserve"> </w:t>
      </w:r>
      <w:r w:rsidR="002F78F7" w:rsidRPr="00743538">
        <w:rPr>
          <w:rFonts w:asciiTheme="minorHAnsi" w:hAnsiTheme="minorHAnsi" w:cs="Arial"/>
          <w:bCs/>
          <w:snapToGrid w:val="0"/>
        </w:rPr>
        <w:t>patient numbers at the level</w:t>
      </w:r>
      <w:r w:rsidR="00C20996" w:rsidRPr="00743538">
        <w:rPr>
          <w:rFonts w:asciiTheme="minorHAnsi" w:hAnsiTheme="minorHAnsi" w:cs="Arial"/>
          <w:bCs/>
          <w:snapToGrid w:val="0"/>
        </w:rPr>
        <w:t xml:space="preserve"> estimated in the submission, with</w:t>
      </w:r>
      <w:r w:rsidR="002F78F7" w:rsidRPr="00743538">
        <w:rPr>
          <w:rFonts w:asciiTheme="minorHAnsi" w:hAnsiTheme="minorHAnsi" w:cs="Arial"/>
          <w:bCs/>
          <w:snapToGrid w:val="0"/>
        </w:rPr>
        <w:t xml:space="preserve"> </w:t>
      </w:r>
      <w:r w:rsidRPr="00743538">
        <w:rPr>
          <w:rFonts w:asciiTheme="minorHAnsi" w:hAnsiTheme="minorHAnsi" w:cs="Arial"/>
          <w:bCs/>
          <w:snapToGrid w:val="0"/>
        </w:rPr>
        <w:t xml:space="preserve">a </w:t>
      </w:r>
      <w:r w:rsidR="00BC3AA0">
        <w:rPr>
          <w:rFonts w:asciiTheme="minorHAnsi" w:hAnsiTheme="minorHAnsi" w:cs="Arial"/>
          <w:bCs/>
          <w:noProof/>
          <w:snapToGrid w:val="0"/>
          <w:color w:val="000000"/>
          <w:highlight w:val="black"/>
        </w:rPr>
        <w:t>'''''''</w:t>
      </w:r>
      <w:r w:rsidRPr="00743538">
        <w:rPr>
          <w:rFonts w:asciiTheme="minorHAnsi" w:hAnsiTheme="minorHAnsi" w:cs="Arial"/>
          <w:bCs/>
          <w:snapToGrid w:val="0"/>
        </w:rPr>
        <w:t>% rebate above the</w:t>
      </w:r>
      <w:r w:rsidR="00C20996" w:rsidRPr="00743538">
        <w:rPr>
          <w:rFonts w:asciiTheme="minorHAnsi" w:hAnsiTheme="minorHAnsi" w:cs="Arial"/>
          <w:bCs/>
          <w:snapToGrid w:val="0"/>
        </w:rPr>
        <w:t>se</w:t>
      </w:r>
      <w:r w:rsidRPr="00743538">
        <w:rPr>
          <w:rFonts w:asciiTheme="minorHAnsi" w:hAnsiTheme="minorHAnsi" w:cs="Arial"/>
          <w:bCs/>
          <w:snapToGrid w:val="0"/>
        </w:rPr>
        <w:t xml:space="preserve"> caps</w:t>
      </w:r>
      <w:r w:rsidR="00C20996" w:rsidRPr="00743538">
        <w:rPr>
          <w:rFonts w:asciiTheme="minorHAnsi" w:hAnsiTheme="minorHAnsi" w:cs="Arial"/>
          <w:bCs/>
          <w:snapToGrid w:val="0"/>
        </w:rPr>
        <w:t>.</w:t>
      </w:r>
      <w:r w:rsidRPr="00743538">
        <w:rPr>
          <w:rFonts w:asciiTheme="minorHAnsi" w:hAnsiTheme="minorHAnsi" w:cs="Arial"/>
          <w:bCs/>
          <w:snapToGrid w:val="0"/>
        </w:rPr>
        <w:t xml:space="preserve"> </w:t>
      </w:r>
    </w:p>
    <w:p w:rsidR="006227E5" w:rsidRPr="009F0518" w:rsidRDefault="0098242F" w:rsidP="009F0518">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The PBAC considered that the recommended changes to the restriction for LDX should flow-on to</w:t>
      </w:r>
      <w:r w:rsidR="009F0518">
        <w:rPr>
          <w:rFonts w:asciiTheme="minorHAnsi" w:hAnsiTheme="minorHAnsi" w:cs="Arial"/>
          <w:bCs/>
          <w:snapToGrid w:val="0"/>
        </w:rPr>
        <w:t xml:space="preserve"> all other</w:t>
      </w:r>
      <w:r w:rsidRPr="00743538">
        <w:rPr>
          <w:rFonts w:asciiTheme="minorHAnsi" w:hAnsiTheme="minorHAnsi" w:cs="Arial"/>
          <w:bCs/>
          <w:snapToGrid w:val="0"/>
        </w:rPr>
        <w:t xml:space="preserve"> </w:t>
      </w:r>
      <w:r w:rsidR="006B27DA" w:rsidRPr="009F0518">
        <w:rPr>
          <w:rFonts w:asciiTheme="minorHAnsi" w:hAnsiTheme="minorHAnsi" w:cs="Arial"/>
          <w:bCs/>
          <w:snapToGrid w:val="0"/>
        </w:rPr>
        <w:t xml:space="preserve">long-acting </w:t>
      </w:r>
      <w:r w:rsidR="009F0518" w:rsidRPr="009F0518">
        <w:rPr>
          <w:rFonts w:asciiTheme="minorHAnsi" w:hAnsiTheme="minorHAnsi" w:cs="Arial"/>
          <w:bCs/>
          <w:snapToGrid w:val="0"/>
        </w:rPr>
        <w:t xml:space="preserve">ADHD medicines on the PBS, including </w:t>
      </w:r>
      <w:r w:rsidR="006B27DA" w:rsidRPr="009F0518">
        <w:rPr>
          <w:rFonts w:asciiTheme="minorHAnsi" w:hAnsiTheme="minorHAnsi" w:cs="Arial"/>
          <w:bCs/>
          <w:snapToGrid w:val="0"/>
        </w:rPr>
        <w:t>methylphenidate hydrochloride (Concerta and Ritalin LA) and atomoxetine (Strattera)</w:t>
      </w:r>
      <w:r w:rsidR="009F0518" w:rsidRPr="009F0518">
        <w:rPr>
          <w:rFonts w:asciiTheme="minorHAnsi" w:hAnsiTheme="minorHAnsi" w:cs="Arial"/>
          <w:bCs/>
          <w:snapToGrid w:val="0"/>
        </w:rPr>
        <w:t xml:space="preserve">, at a similarly reduced price based on the accepted weighting of 28% diagnosed after the age of 18 years and 72% diagnosed before the age of 18. </w:t>
      </w:r>
    </w:p>
    <w:p w:rsidR="006227E5" w:rsidRPr="00DD31CC" w:rsidRDefault="006227E5" w:rsidP="00B963D9">
      <w:pPr>
        <w:widowControl w:val="0"/>
        <w:numPr>
          <w:ilvl w:val="1"/>
          <w:numId w:val="1"/>
        </w:numPr>
        <w:spacing w:after="120"/>
        <w:jc w:val="both"/>
        <w:rPr>
          <w:rFonts w:asciiTheme="minorHAnsi" w:hAnsiTheme="minorHAnsi" w:cstheme="minorHAnsi"/>
          <w:bCs/>
          <w:snapToGrid w:val="0"/>
        </w:rPr>
      </w:pPr>
      <w:r w:rsidRPr="00DD31CC">
        <w:rPr>
          <w:rFonts w:asciiTheme="minorHAnsi" w:hAnsiTheme="minorHAnsi" w:cstheme="minorHAnsi"/>
          <w:bCs/>
          <w:snapToGrid w:val="0"/>
        </w:rPr>
        <w:t>The PBAC previously recommended that LDX is suitable for inclusion in the PBS medicines for prescribing by nurse practitioners as continuing therapy</w:t>
      </w:r>
      <w:r w:rsidR="009F0518">
        <w:rPr>
          <w:rFonts w:asciiTheme="minorHAnsi" w:hAnsiTheme="minorHAnsi" w:cstheme="minorHAnsi"/>
          <w:bCs/>
          <w:snapToGrid w:val="0"/>
        </w:rPr>
        <w:t>, noting that some state based laws may prevent this from occurring in practice</w:t>
      </w:r>
      <w:r w:rsidRPr="00DD31CC">
        <w:rPr>
          <w:rFonts w:asciiTheme="minorHAnsi" w:hAnsiTheme="minorHAnsi" w:cstheme="minorHAnsi"/>
          <w:bCs/>
          <w:snapToGrid w:val="0"/>
        </w:rPr>
        <w:t xml:space="preserve">. </w:t>
      </w:r>
    </w:p>
    <w:p w:rsidR="00B963D9" w:rsidRPr="00DD31CC" w:rsidRDefault="00B963D9" w:rsidP="00B963D9">
      <w:pPr>
        <w:widowControl w:val="0"/>
        <w:numPr>
          <w:ilvl w:val="1"/>
          <w:numId w:val="1"/>
        </w:numPr>
        <w:spacing w:after="120"/>
        <w:jc w:val="both"/>
        <w:rPr>
          <w:rFonts w:asciiTheme="minorHAnsi" w:hAnsiTheme="minorHAnsi" w:cstheme="minorHAnsi"/>
          <w:bCs/>
          <w:snapToGrid w:val="0"/>
        </w:rPr>
      </w:pPr>
      <w:r w:rsidRPr="00DD31CC">
        <w:rPr>
          <w:rFonts w:asciiTheme="minorHAnsi" w:hAnsiTheme="minorHAnsi" w:cstheme="minorHAnsi"/>
          <w:bCs/>
          <w:snapToGrid w:val="0"/>
        </w:rPr>
        <w:t xml:space="preserve">The PBAC previously considered that it is not appropriate to apply the Early Supply Rule to LDX. </w:t>
      </w:r>
    </w:p>
    <w:p w:rsidR="00B963D9" w:rsidRPr="00E25B55" w:rsidRDefault="00B963D9" w:rsidP="00B963D9">
      <w:pPr>
        <w:widowControl w:val="0"/>
        <w:numPr>
          <w:ilvl w:val="1"/>
          <w:numId w:val="1"/>
        </w:numPr>
        <w:spacing w:after="120"/>
        <w:jc w:val="both"/>
        <w:rPr>
          <w:rFonts w:asciiTheme="minorHAnsi" w:hAnsiTheme="minorHAnsi" w:cstheme="minorHAnsi"/>
          <w:bCs/>
          <w:snapToGrid w:val="0"/>
        </w:rPr>
      </w:pPr>
      <w:r w:rsidRPr="00DD31CC">
        <w:rPr>
          <w:rFonts w:asciiTheme="minorHAnsi" w:hAnsiTheme="minorHAnsi" w:cstheme="minorHAnsi"/>
          <w:bCs/>
          <w:snapToGrid w:val="0"/>
        </w:rPr>
        <w:t xml:space="preserve">The PBAC previously considered, under Section 101(3BA) of the </w:t>
      </w:r>
      <w:r w:rsidRPr="00DD31CC">
        <w:rPr>
          <w:rFonts w:asciiTheme="minorHAnsi" w:hAnsiTheme="minorHAnsi" w:cstheme="minorHAnsi"/>
          <w:bCs/>
          <w:i/>
          <w:snapToGrid w:val="0"/>
        </w:rPr>
        <w:t>National Health Act 1953</w:t>
      </w:r>
      <w:r w:rsidRPr="00E25B55">
        <w:rPr>
          <w:rFonts w:asciiTheme="minorHAnsi" w:hAnsiTheme="minorHAnsi" w:cstheme="minorHAnsi"/>
          <w:bCs/>
          <w:snapToGrid w:val="0"/>
        </w:rPr>
        <w:t xml:space="preserve">, that LDX should not be treated as interchangeable with any other drugs. </w:t>
      </w:r>
    </w:p>
    <w:p w:rsidR="00B963D9" w:rsidRPr="00DD31CC" w:rsidRDefault="00B963D9" w:rsidP="00B963D9">
      <w:pPr>
        <w:widowControl w:val="0"/>
        <w:numPr>
          <w:ilvl w:val="1"/>
          <w:numId w:val="1"/>
        </w:numPr>
        <w:spacing w:after="120"/>
        <w:jc w:val="both"/>
        <w:rPr>
          <w:rFonts w:asciiTheme="minorHAnsi" w:hAnsiTheme="minorHAnsi" w:cstheme="minorHAnsi"/>
          <w:bCs/>
          <w:snapToGrid w:val="0"/>
        </w:rPr>
      </w:pPr>
      <w:r w:rsidRPr="00E25B55">
        <w:rPr>
          <w:rFonts w:asciiTheme="minorHAnsi" w:hAnsiTheme="minorHAnsi" w:cstheme="minorHAnsi"/>
        </w:rPr>
        <w:t>The PBAC advised that,</w:t>
      </w:r>
      <w:r w:rsidR="009A01F6" w:rsidRPr="00E25B55">
        <w:rPr>
          <w:rFonts w:asciiTheme="minorHAnsi" w:hAnsiTheme="minorHAnsi" w:cstheme="minorHAnsi"/>
        </w:rPr>
        <w:t xml:space="preserve"> because</w:t>
      </w:r>
      <w:r w:rsidRPr="00E25B55">
        <w:rPr>
          <w:rFonts w:asciiTheme="minorHAnsi" w:hAnsiTheme="minorHAnsi" w:cstheme="minorHAnsi"/>
        </w:rPr>
        <w:t xml:space="preserve"> lisdexamfetamine is not expected to provide a substantial and clinically relevant improvement in efficacy, or reduction of toxicity, over immediate release dexamfetamine, or address an urgent unmet clinical need given the</w:t>
      </w:r>
      <w:r w:rsidRPr="00DD31CC">
        <w:rPr>
          <w:rFonts w:asciiTheme="minorHAnsi" w:hAnsiTheme="minorHAnsi" w:cstheme="minorHAnsi"/>
        </w:rPr>
        <w:t xml:space="preserve"> presence of alternative therapies, the criteria prescribed by the </w:t>
      </w:r>
      <w:r w:rsidRPr="00DD31CC">
        <w:rPr>
          <w:rFonts w:asciiTheme="minorHAnsi" w:hAnsiTheme="minorHAnsi" w:cstheme="minorHAnsi"/>
          <w:i/>
        </w:rPr>
        <w:t xml:space="preserve">National Health (Pharmaceuticals and Vaccines – Cost Recovery) Regulations 2009 </w:t>
      </w:r>
      <w:r w:rsidRPr="00DD31CC">
        <w:rPr>
          <w:rFonts w:asciiTheme="minorHAnsi" w:hAnsiTheme="minorHAnsi" w:cstheme="minorHAnsi"/>
        </w:rPr>
        <w:t>for Pricing Pathway A were not met.</w:t>
      </w:r>
    </w:p>
    <w:p w:rsidR="007B1961" w:rsidRPr="00743538" w:rsidRDefault="007B1961" w:rsidP="007222C5">
      <w:pPr>
        <w:widowControl w:val="0"/>
        <w:numPr>
          <w:ilvl w:val="1"/>
          <w:numId w:val="1"/>
        </w:numPr>
        <w:spacing w:after="120"/>
        <w:jc w:val="both"/>
        <w:rPr>
          <w:rFonts w:asciiTheme="minorHAnsi" w:hAnsiTheme="minorHAnsi" w:cs="Arial"/>
          <w:bCs/>
          <w:snapToGrid w:val="0"/>
        </w:rPr>
      </w:pPr>
      <w:r w:rsidRPr="00743538">
        <w:rPr>
          <w:rFonts w:asciiTheme="minorHAnsi" w:hAnsiTheme="minorHAnsi" w:cs="Arial"/>
          <w:bCs/>
          <w:snapToGrid w:val="0"/>
        </w:rPr>
        <w:t xml:space="preserve">The PBAC advised that this submission would not meet the criteria for an Independent Review as it received a positive recommendation. </w:t>
      </w:r>
    </w:p>
    <w:p w:rsidR="007222C5" w:rsidRPr="00743538" w:rsidRDefault="007222C5" w:rsidP="007222C5">
      <w:pPr>
        <w:spacing w:before="240"/>
        <w:jc w:val="both"/>
        <w:rPr>
          <w:rFonts w:asciiTheme="minorHAnsi" w:hAnsiTheme="minorHAnsi" w:cs="Arial"/>
          <w:b/>
          <w:bCs/>
          <w:snapToGrid w:val="0"/>
        </w:rPr>
      </w:pPr>
      <w:r w:rsidRPr="00743538">
        <w:rPr>
          <w:rFonts w:asciiTheme="minorHAnsi" w:hAnsiTheme="minorHAnsi" w:cs="Arial"/>
          <w:b/>
          <w:bCs/>
          <w:snapToGrid w:val="0"/>
        </w:rPr>
        <w:t>Outcome:</w:t>
      </w:r>
    </w:p>
    <w:p w:rsidR="00DB47AB" w:rsidRDefault="00B963D9" w:rsidP="007222C5">
      <w:pPr>
        <w:jc w:val="both"/>
        <w:rPr>
          <w:rFonts w:asciiTheme="minorHAnsi" w:hAnsiTheme="minorHAnsi" w:cs="Arial"/>
          <w:bCs/>
          <w:snapToGrid w:val="0"/>
        </w:rPr>
      </w:pPr>
      <w:r w:rsidRPr="00743538">
        <w:rPr>
          <w:rFonts w:asciiTheme="minorHAnsi" w:hAnsiTheme="minorHAnsi" w:cs="Arial"/>
          <w:bCs/>
          <w:snapToGrid w:val="0"/>
        </w:rPr>
        <w:t>Recommended</w:t>
      </w:r>
    </w:p>
    <w:p w:rsidR="007222C5" w:rsidRPr="00743538" w:rsidRDefault="00DB47AB" w:rsidP="00DB47AB">
      <w:pPr>
        <w:rPr>
          <w:rFonts w:asciiTheme="minorHAnsi" w:hAnsiTheme="minorHAnsi" w:cs="Arial"/>
          <w:bCs/>
          <w:snapToGrid w:val="0"/>
        </w:rPr>
      </w:pPr>
      <w:r>
        <w:rPr>
          <w:rFonts w:asciiTheme="minorHAnsi" w:hAnsiTheme="minorHAnsi" w:cs="Arial"/>
          <w:bCs/>
          <w:snapToGrid w:val="0"/>
        </w:rPr>
        <w:br w:type="page"/>
      </w:r>
    </w:p>
    <w:p w:rsidR="007222C5" w:rsidRPr="00DD31CC" w:rsidRDefault="007222C5" w:rsidP="007222C5">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DD31CC">
        <w:rPr>
          <w:rFonts w:asciiTheme="minorHAnsi" w:hAnsiTheme="minorHAnsi"/>
          <w:sz w:val="32"/>
          <w:szCs w:val="32"/>
        </w:rPr>
        <w:t>Recommended listing</w:t>
      </w:r>
    </w:p>
    <w:p w:rsidR="00C53CF1" w:rsidRPr="0025444B" w:rsidRDefault="00AD33A9" w:rsidP="0025444B">
      <w:pPr>
        <w:widowControl w:val="0"/>
        <w:numPr>
          <w:ilvl w:val="1"/>
          <w:numId w:val="1"/>
        </w:numPr>
        <w:spacing w:after="120"/>
        <w:jc w:val="both"/>
        <w:rPr>
          <w:rFonts w:asciiTheme="minorHAnsi" w:hAnsiTheme="minorHAnsi" w:cs="Arial"/>
          <w:b/>
          <w:bCs/>
          <w:snapToGrid w:val="0"/>
        </w:rPr>
      </w:pPr>
      <w:r w:rsidRPr="00DD31CC">
        <w:rPr>
          <w:rFonts w:asciiTheme="minorHAnsi" w:hAnsiTheme="minorHAnsi" w:cs="Arial"/>
          <w:bCs/>
          <w:snapToGrid w:val="0"/>
        </w:rPr>
        <w:t>Amend existing listing</w:t>
      </w:r>
      <w:r w:rsidR="0025444B">
        <w:rPr>
          <w:rFonts w:asciiTheme="minorHAnsi" w:hAnsiTheme="minorHAnsi" w:cs="Arial"/>
          <w:bCs/>
          <w:snapToGrid w:val="0"/>
        </w:rPr>
        <w:t>s</w:t>
      </w:r>
      <w:r w:rsidR="00BB2DED">
        <w:rPr>
          <w:rFonts w:asciiTheme="minorHAnsi" w:hAnsiTheme="minorHAnsi" w:cs="Arial"/>
          <w:bCs/>
          <w:snapToGrid w:val="0"/>
        </w:rPr>
        <w:t xml:space="preserve"> to read</w:t>
      </w:r>
      <w:r w:rsidRPr="00DD31CC">
        <w:rPr>
          <w:rFonts w:asciiTheme="minorHAnsi" w:hAnsiTheme="minorHAnsi" w:cs="Arial"/>
          <w:bCs/>
          <w:snapToGrid w:val="0"/>
        </w:rPr>
        <w:t xml:space="preserve"> as follows: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850"/>
        <w:gridCol w:w="851"/>
        <w:gridCol w:w="708"/>
        <w:gridCol w:w="1134"/>
        <w:gridCol w:w="992"/>
      </w:tblGrid>
      <w:tr w:rsidR="00C53CF1" w:rsidRPr="00DD31CC" w:rsidTr="006D71FF">
        <w:trPr>
          <w:cantSplit/>
          <w:trHeight w:val="295"/>
        </w:trPr>
        <w:tc>
          <w:tcPr>
            <w:tcW w:w="3397" w:type="dxa"/>
            <w:tcBorders>
              <w:left w:val="nil"/>
              <w:bottom w:val="single" w:sz="4" w:space="0" w:color="auto"/>
              <w:right w:val="nil"/>
            </w:tcBorders>
          </w:tcPr>
          <w:p w:rsidR="00C53CF1" w:rsidRPr="00DD31CC" w:rsidRDefault="00C53CF1" w:rsidP="006D71FF">
            <w:pPr>
              <w:keepNext/>
              <w:ind w:left="-108"/>
              <w:rPr>
                <w:rFonts w:ascii="Arial Narrow" w:hAnsi="Arial Narrow" w:cs="Arial"/>
                <w:b/>
                <w:sz w:val="18"/>
                <w:szCs w:val="18"/>
              </w:rPr>
            </w:pPr>
            <w:r w:rsidRPr="00DD31CC">
              <w:rPr>
                <w:rFonts w:ascii="Arial Narrow" w:hAnsi="Arial Narrow" w:cs="Arial"/>
                <w:b/>
                <w:sz w:val="18"/>
                <w:szCs w:val="18"/>
              </w:rPr>
              <w:t>Name, Restriction,</w:t>
            </w:r>
          </w:p>
          <w:p w:rsidR="00C53CF1" w:rsidRPr="00E25B55" w:rsidRDefault="00C53CF1" w:rsidP="006D71FF">
            <w:pPr>
              <w:keepNext/>
              <w:ind w:left="-108"/>
              <w:rPr>
                <w:rFonts w:ascii="Arial Narrow" w:hAnsi="Arial Narrow" w:cs="Arial"/>
                <w:b/>
                <w:sz w:val="18"/>
                <w:szCs w:val="18"/>
              </w:rPr>
            </w:pPr>
            <w:r w:rsidRPr="00E25B55">
              <w:rPr>
                <w:rFonts w:ascii="Arial Narrow" w:hAnsi="Arial Narrow" w:cs="Arial"/>
                <w:b/>
                <w:sz w:val="18"/>
                <w:szCs w:val="18"/>
              </w:rPr>
              <w:t>Manner of administration and form</w:t>
            </w:r>
          </w:p>
        </w:tc>
        <w:tc>
          <w:tcPr>
            <w:tcW w:w="993" w:type="dxa"/>
            <w:tcBorders>
              <w:left w:val="nil"/>
              <w:bottom w:val="single" w:sz="4" w:space="0" w:color="auto"/>
              <w:right w:val="nil"/>
            </w:tcBorders>
          </w:tcPr>
          <w:p w:rsidR="00C53CF1" w:rsidRPr="00E25B55" w:rsidRDefault="00C53CF1" w:rsidP="006D71FF">
            <w:pPr>
              <w:keepNext/>
              <w:ind w:left="-108"/>
              <w:jc w:val="center"/>
              <w:rPr>
                <w:rFonts w:ascii="Arial Narrow" w:hAnsi="Arial Narrow" w:cs="Arial"/>
                <w:b/>
                <w:sz w:val="18"/>
                <w:szCs w:val="18"/>
              </w:rPr>
            </w:pPr>
            <w:r w:rsidRPr="00E25B55">
              <w:rPr>
                <w:rFonts w:ascii="Arial Narrow" w:hAnsi="Arial Narrow" w:cs="Arial"/>
                <w:b/>
                <w:sz w:val="18"/>
                <w:szCs w:val="18"/>
              </w:rPr>
              <w:t>PBS item code</w:t>
            </w:r>
          </w:p>
        </w:tc>
        <w:tc>
          <w:tcPr>
            <w:tcW w:w="850" w:type="dxa"/>
            <w:tcBorders>
              <w:left w:val="nil"/>
              <w:bottom w:val="single" w:sz="4" w:space="0" w:color="auto"/>
              <w:right w:val="nil"/>
            </w:tcBorders>
          </w:tcPr>
          <w:p w:rsidR="00C53CF1" w:rsidRPr="00DD31CC" w:rsidRDefault="00C53CF1" w:rsidP="006D71FF">
            <w:pPr>
              <w:keepNext/>
              <w:ind w:left="-108"/>
              <w:jc w:val="center"/>
              <w:rPr>
                <w:rFonts w:ascii="Arial Narrow" w:hAnsi="Arial Narrow" w:cs="Arial"/>
                <w:b/>
                <w:sz w:val="18"/>
                <w:szCs w:val="18"/>
              </w:rPr>
            </w:pPr>
            <w:r w:rsidRPr="00DD31CC">
              <w:rPr>
                <w:rFonts w:ascii="Arial Narrow" w:hAnsi="Arial Narrow" w:cs="Arial"/>
                <w:b/>
                <w:sz w:val="18"/>
                <w:szCs w:val="18"/>
              </w:rPr>
              <w:t xml:space="preserve">Max. </w:t>
            </w:r>
            <w:r w:rsidR="00CB356A" w:rsidRPr="00DD31CC">
              <w:rPr>
                <w:rFonts w:ascii="Arial Narrow" w:hAnsi="Arial Narrow" w:cs="Arial"/>
                <w:b/>
                <w:sz w:val="18"/>
                <w:szCs w:val="18"/>
              </w:rPr>
              <w:t>Qty</w:t>
            </w:r>
            <w:r w:rsidRPr="00DD31CC">
              <w:rPr>
                <w:rFonts w:ascii="Arial Narrow" w:hAnsi="Arial Narrow" w:cs="Arial"/>
                <w:b/>
                <w:sz w:val="18"/>
                <w:szCs w:val="18"/>
              </w:rPr>
              <w:t xml:space="preserve"> packs</w:t>
            </w:r>
          </w:p>
        </w:tc>
        <w:tc>
          <w:tcPr>
            <w:tcW w:w="851" w:type="dxa"/>
            <w:tcBorders>
              <w:left w:val="nil"/>
              <w:bottom w:val="single" w:sz="4" w:space="0" w:color="auto"/>
              <w:right w:val="nil"/>
            </w:tcBorders>
          </w:tcPr>
          <w:p w:rsidR="00C53CF1" w:rsidRPr="00DD31CC" w:rsidRDefault="00C53CF1" w:rsidP="006D71FF">
            <w:pPr>
              <w:keepNext/>
              <w:ind w:left="-108"/>
              <w:jc w:val="center"/>
              <w:rPr>
                <w:rFonts w:ascii="Arial Narrow" w:hAnsi="Arial Narrow" w:cs="Arial"/>
                <w:b/>
                <w:sz w:val="18"/>
                <w:szCs w:val="18"/>
              </w:rPr>
            </w:pPr>
            <w:r w:rsidRPr="00DD31CC">
              <w:rPr>
                <w:rFonts w:ascii="Arial Narrow" w:hAnsi="Arial Narrow" w:cs="Arial"/>
                <w:b/>
                <w:sz w:val="18"/>
                <w:szCs w:val="18"/>
              </w:rPr>
              <w:t xml:space="preserve">Max. </w:t>
            </w:r>
            <w:r w:rsidR="00CB356A" w:rsidRPr="00DD31CC">
              <w:rPr>
                <w:rFonts w:ascii="Arial Narrow" w:hAnsi="Arial Narrow" w:cs="Arial"/>
                <w:b/>
                <w:sz w:val="18"/>
                <w:szCs w:val="18"/>
              </w:rPr>
              <w:t>Qty</w:t>
            </w:r>
            <w:r w:rsidRPr="00DD31CC">
              <w:rPr>
                <w:rFonts w:ascii="Arial Narrow" w:hAnsi="Arial Narrow" w:cs="Arial"/>
                <w:b/>
                <w:sz w:val="18"/>
                <w:szCs w:val="18"/>
              </w:rPr>
              <w:t xml:space="preserve"> units</w:t>
            </w:r>
          </w:p>
        </w:tc>
        <w:tc>
          <w:tcPr>
            <w:tcW w:w="708" w:type="dxa"/>
            <w:tcBorders>
              <w:left w:val="nil"/>
              <w:bottom w:val="single" w:sz="4" w:space="0" w:color="auto"/>
              <w:right w:val="nil"/>
            </w:tcBorders>
          </w:tcPr>
          <w:p w:rsidR="00C53CF1" w:rsidRPr="00DD31CC" w:rsidRDefault="00C53CF1" w:rsidP="006D71FF">
            <w:pPr>
              <w:keepNext/>
              <w:ind w:left="-108"/>
              <w:jc w:val="center"/>
              <w:rPr>
                <w:rFonts w:ascii="Arial Narrow" w:hAnsi="Arial Narrow" w:cs="Arial"/>
                <w:b/>
                <w:sz w:val="18"/>
                <w:szCs w:val="18"/>
              </w:rPr>
            </w:pPr>
            <w:r w:rsidRPr="00DD31CC">
              <w:rPr>
                <w:rFonts w:ascii="Arial Narrow" w:hAnsi="Arial Narrow" w:cs="Arial"/>
                <w:b/>
                <w:sz w:val="18"/>
                <w:szCs w:val="18"/>
              </w:rPr>
              <w:t>№.of</w:t>
            </w:r>
          </w:p>
          <w:p w:rsidR="00C53CF1" w:rsidRPr="00DD31CC" w:rsidRDefault="00C53CF1" w:rsidP="006D71FF">
            <w:pPr>
              <w:keepNext/>
              <w:ind w:left="-108"/>
              <w:jc w:val="center"/>
              <w:rPr>
                <w:rFonts w:ascii="Arial Narrow" w:hAnsi="Arial Narrow" w:cs="Arial"/>
                <w:b/>
                <w:sz w:val="18"/>
                <w:szCs w:val="18"/>
              </w:rPr>
            </w:pPr>
            <w:r w:rsidRPr="00DD31CC">
              <w:rPr>
                <w:rFonts w:ascii="Arial Narrow" w:hAnsi="Arial Narrow" w:cs="Arial"/>
                <w:b/>
                <w:sz w:val="18"/>
                <w:szCs w:val="18"/>
              </w:rPr>
              <w:t>Rpts</w:t>
            </w:r>
          </w:p>
        </w:tc>
        <w:tc>
          <w:tcPr>
            <w:tcW w:w="2126" w:type="dxa"/>
            <w:gridSpan w:val="2"/>
            <w:tcBorders>
              <w:left w:val="nil"/>
              <w:bottom w:val="single" w:sz="4" w:space="0" w:color="auto"/>
              <w:right w:val="nil"/>
            </w:tcBorders>
          </w:tcPr>
          <w:p w:rsidR="00C53CF1" w:rsidRPr="00743538" w:rsidRDefault="00C53CF1" w:rsidP="006D71FF">
            <w:pPr>
              <w:keepNext/>
              <w:rPr>
                <w:rFonts w:ascii="Arial Narrow" w:hAnsi="Arial Narrow" w:cs="Arial"/>
                <w:b/>
                <w:sz w:val="18"/>
                <w:szCs w:val="18"/>
              </w:rPr>
            </w:pPr>
            <w:r w:rsidRPr="00DD31CC">
              <w:rPr>
                <w:rFonts w:ascii="Arial Narrow" w:hAnsi="Arial Narrow" w:cs="Arial"/>
                <w:b/>
                <w:sz w:val="18"/>
                <w:szCs w:val="18"/>
              </w:rPr>
              <w:t>Proprietary Name and Manufacturer</w:t>
            </w:r>
          </w:p>
        </w:tc>
      </w:tr>
      <w:tr w:rsidR="00C53CF1" w:rsidRPr="00DD31CC" w:rsidTr="006D71FF">
        <w:trPr>
          <w:cantSplit/>
          <w:trHeight w:val="301"/>
        </w:trPr>
        <w:tc>
          <w:tcPr>
            <w:tcW w:w="3397" w:type="dxa"/>
            <w:tcBorders>
              <w:left w:val="nil"/>
              <w:bottom w:val="nil"/>
              <w:right w:val="nil"/>
            </w:tcBorders>
          </w:tcPr>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w:t>
            </w:r>
          </w:p>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 dimesilate 20 mg capsule, 30</w:t>
            </w:r>
          </w:p>
        </w:tc>
        <w:tc>
          <w:tcPr>
            <w:tcW w:w="993" w:type="dxa"/>
            <w:tcBorders>
              <w:left w:val="nil"/>
              <w:bottom w:val="nil"/>
              <w:right w:val="nil"/>
            </w:tcBorders>
            <w:tcMar>
              <w:left w:w="28" w:type="dxa"/>
              <w:right w:w="28" w:type="dxa"/>
            </w:tcMar>
          </w:tcPr>
          <w:p w:rsidR="00C53CF1" w:rsidRPr="00DD31CC" w:rsidRDefault="00C53CF1" w:rsidP="006D71FF">
            <w:pPr>
              <w:keepNext/>
              <w:jc w:val="center"/>
              <w:rPr>
                <w:rFonts w:ascii="Arial Narrow" w:hAnsi="Arial Narrow" w:cs="Arial"/>
                <w:sz w:val="18"/>
                <w:szCs w:val="18"/>
              </w:rPr>
            </w:pPr>
          </w:p>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11884L</w:t>
            </w:r>
          </w:p>
        </w:tc>
        <w:tc>
          <w:tcPr>
            <w:tcW w:w="850" w:type="dxa"/>
            <w:tcBorders>
              <w:left w:val="nil"/>
              <w:bottom w:val="nil"/>
              <w:right w:val="nil"/>
            </w:tcBorders>
          </w:tcPr>
          <w:p w:rsidR="00C53CF1" w:rsidRPr="00DD31CC" w:rsidRDefault="00C53CF1" w:rsidP="006D71FF">
            <w:pPr>
              <w:keepNext/>
              <w:rPr>
                <w:rFonts w:ascii="Arial Narrow" w:hAnsi="Arial Narrow" w:cs="Arial"/>
                <w:sz w:val="18"/>
                <w:szCs w:val="18"/>
              </w:rPr>
            </w:pPr>
          </w:p>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left w:val="nil"/>
              <w:bottom w:val="nil"/>
              <w:right w:val="nil"/>
            </w:tcBorders>
          </w:tcPr>
          <w:p w:rsidR="00C53CF1" w:rsidRPr="00DD31CC" w:rsidRDefault="00C53CF1" w:rsidP="006D71FF">
            <w:pPr>
              <w:keepNext/>
              <w:rPr>
                <w:rFonts w:ascii="Arial Narrow" w:hAnsi="Arial Narrow" w:cs="Arial"/>
                <w:sz w:val="18"/>
                <w:szCs w:val="18"/>
              </w:rPr>
            </w:pPr>
          </w:p>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left w:val="nil"/>
              <w:bottom w:val="nil"/>
              <w:right w:val="nil"/>
            </w:tcBorders>
          </w:tcPr>
          <w:p w:rsidR="00C53CF1" w:rsidRPr="00DD31CC" w:rsidRDefault="00C53CF1" w:rsidP="006D71FF">
            <w:pPr>
              <w:keepNext/>
              <w:rPr>
                <w:rFonts w:ascii="Arial Narrow" w:hAnsi="Arial Narrow" w:cs="Arial"/>
                <w:sz w:val="18"/>
                <w:szCs w:val="18"/>
              </w:rPr>
            </w:pPr>
          </w:p>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val="restart"/>
            <w:tcBorders>
              <w:left w:val="nil"/>
              <w:right w:val="nil"/>
            </w:tcBorders>
            <w:vAlign w:val="center"/>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Vyvanse</w:t>
            </w:r>
            <w:r w:rsidRPr="00DD31CC">
              <w:rPr>
                <w:rFonts w:ascii="Arial Narrow" w:hAnsi="Arial Narrow" w:cs="Arial"/>
                <w:sz w:val="18"/>
                <w:szCs w:val="18"/>
                <w:vertAlign w:val="superscript"/>
              </w:rPr>
              <w:t>®</w:t>
            </w:r>
          </w:p>
        </w:tc>
        <w:tc>
          <w:tcPr>
            <w:tcW w:w="992" w:type="dxa"/>
            <w:vMerge w:val="restart"/>
            <w:tcBorders>
              <w:left w:val="nil"/>
              <w:right w:val="nil"/>
            </w:tcBorders>
            <w:vAlign w:val="center"/>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Shire Australia Pty Ltd</w:t>
            </w:r>
          </w:p>
        </w:tc>
      </w:tr>
      <w:tr w:rsidR="00C53CF1" w:rsidRPr="00DD31CC" w:rsidTr="006D71FF">
        <w:trPr>
          <w:cantSplit/>
          <w:trHeight w:val="183"/>
        </w:trPr>
        <w:tc>
          <w:tcPr>
            <w:tcW w:w="3397" w:type="dxa"/>
            <w:tcBorders>
              <w:top w:val="nil"/>
              <w:left w:val="nil"/>
              <w:bottom w:val="nil"/>
              <w:right w:val="nil"/>
            </w:tcBorders>
          </w:tcPr>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 dimesilate 30 mg capsule, 30</w:t>
            </w:r>
          </w:p>
        </w:tc>
        <w:tc>
          <w:tcPr>
            <w:tcW w:w="993" w:type="dxa"/>
            <w:tcBorders>
              <w:top w:val="nil"/>
              <w:left w:val="nil"/>
              <w:bottom w:val="nil"/>
              <w:right w:val="nil"/>
            </w:tcBorders>
            <w:tcMar>
              <w:left w:w="28" w:type="dxa"/>
              <w:right w:w="28" w:type="dxa"/>
            </w:tcMar>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10486X</w:t>
            </w:r>
          </w:p>
        </w:tc>
        <w:tc>
          <w:tcPr>
            <w:tcW w:w="850" w:type="dxa"/>
            <w:tcBorders>
              <w:top w:val="nil"/>
              <w:left w:val="nil"/>
              <w:bottom w:val="nil"/>
              <w:right w:val="nil"/>
            </w:tcBorders>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c>
          <w:tcPr>
            <w:tcW w:w="992"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r>
      <w:tr w:rsidR="00C53CF1" w:rsidRPr="00DD31CC" w:rsidTr="006D71FF">
        <w:trPr>
          <w:cantSplit/>
          <w:trHeight w:val="83"/>
        </w:trPr>
        <w:tc>
          <w:tcPr>
            <w:tcW w:w="3397" w:type="dxa"/>
            <w:tcBorders>
              <w:top w:val="nil"/>
              <w:left w:val="nil"/>
              <w:bottom w:val="nil"/>
              <w:right w:val="nil"/>
            </w:tcBorders>
          </w:tcPr>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 dimesilate 40 mg capsule, 30</w:t>
            </w:r>
          </w:p>
        </w:tc>
        <w:tc>
          <w:tcPr>
            <w:tcW w:w="993" w:type="dxa"/>
            <w:tcBorders>
              <w:top w:val="nil"/>
              <w:left w:val="nil"/>
              <w:bottom w:val="nil"/>
              <w:right w:val="nil"/>
            </w:tcBorders>
            <w:tcMar>
              <w:left w:w="28" w:type="dxa"/>
              <w:right w:w="28" w:type="dxa"/>
            </w:tcMar>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11898F</w:t>
            </w:r>
          </w:p>
        </w:tc>
        <w:tc>
          <w:tcPr>
            <w:tcW w:w="850" w:type="dxa"/>
            <w:tcBorders>
              <w:top w:val="nil"/>
              <w:left w:val="nil"/>
              <w:bottom w:val="nil"/>
              <w:right w:val="nil"/>
            </w:tcBorders>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c>
          <w:tcPr>
            <w:tcW w:w="992"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r>
      <w:tr w:rsidR="00C53CF1" w:rsidRPr="00DD31CC" w:rsidTr="006D71FF">
        <w:trPr>
          <w:cantSplit/>
          <w:trHeight w:val="147"/>
        </w:trPr>
        <w:tc>
          <w:tcPr>
            <w:tcW w:w="3397" w:type="dxa"/>
            <w:tcBorders>
              <w:top w:val="nil"/>
              <w:left w:val="nil"/>
              <w:bottom w:val="nil"/>
              <w:right w:val="nil"/>
            </w:tcBorders>
          </w:tcPr>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 dimesilate 50 mg capsule, 30</w:t>
            </w:r>
          </w:p>
        </w:tc>
        <w:tc>
          <w:tcPr>
            <w:tcW w:w="993" w:type="dxa"/>
            <w:tcBorders>
              <w:top w:val="nil"/>
              <w:left w:val="nil"/>
              <w:bottom w:val="nil"/>
              <w:right w:val="nil"/>
            </w:tcBorders>
            <w:tcMar>
              <w:left w:w="28" w:type="dxa"/>
              <w:right w:w="28" w:type="dxa"/>
            </w:tcMar>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10474G</w:t>
            </w:r>
          </w:p>
        </w:tc>
        <w:tc>
          <w:tcPr>
            <w:tcW w:w="850" w:type="dxa"/>
            <w:tcBorders>
              <w:top w:val="nil"/>
              <w:left w:val="nil"/>
              <w:bottom w:val="nil"/>
              <w:right w:val="nil"/>
            </w:tcBorders>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c>
          <w:tcPr>
            <w:tcW w:w="992"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r>
      <w:tr w:rsidR="00C53CF1" w:rsidRPr="00DD31CC" w:rsidTr="006D71FF">
        <w:trPr>
          <w:cantSplit/>
          <w:trHeight w:val="66"/>
        </w:trPr>
        <w:tc>
          <w:tcPr>
            <w:tcW w:w="3397" w:type="dxa"/>
            <w:tcBorders>
              <w:top w:val="nil"/>
              <w:left w:val="nil"/>
              <w:bottom w:val="nil"/>
              <w:right w:val="nil"/>
            </w:tcBorders>
          </w:tcPr>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 dimesilate 60 mg capsule, 30</w:t>
            </w:r>
          </w:p>
        </w:tc>
        <w:tc>
          <w:tcPr>
            <w:tcW w:w="993" w:type="dxa"/>
            <w:tcBorders>
              <w:top w:val="nil"/>
              <w:left w:val="nil"/>
              <w:bottom w:val="nil"/>
              <w:right w:val="nil"/>
            </w:tcBorders>
            <w:tcMar>
              <w:left w:w="28" w:type="dxa"/>
              <w:right w:w="28" w:type="dxa"/>
            </w:tcMar>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11897E</w:t>
            </w:r>
          </w:p>
        </w:tc>
        <w:tc>
          <w:tcPr>
            <w:tcW w:w="850" w:type="dxa"/>
            <w:tcBorders>
              <w:top w:val="nil"/>
              <w:left w:val="nil"/>
              <w:bottom w:val="nil"/>
              <w:right w:val="nil"/>
            </w:tcBorders>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bottom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c>
          <w:tcPr>
            <w:tcW w:w="992"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r>
      <w:tr w:rsidR="00C53CF1" w:rsidRPr="00DD31CC" w:rsidTr="006D71FF">
        <w:trPr>
          <w:cantSplit/>
          <w:trHeight w:val="53"/>
        </w:trPr>
        <w:tc>
          <w:tcPr>
            <w:tcW w:w="3397" w:type="dxa"/>
            <w:tcBorders>
              <w:top w:val="nil"/>
              <w:left w:val="nil"/>
              <w:right w:val="nil"/>
            </w:tcBorders>
          </w:tcPr>
          <w:p w:rsidR="00C53CF1" w:rsidRPr="00DD31CC" w:rsidRDefault="00C53CF1" w:rsidP="006D71FF">
            <w:pPr>
              <w:keepNext/>
              <w:ind w:left="-108"/>
              <w:rPr>
                <w:rFonts w:ascii="Arial Narrow" w:hAnsi="Arial Narrow" w:cs="Arial"/>
                <w:sz w:val="18"/>
                <w:szCs w:val="18"/>
              </w:rPr>
            </w:pPr>
            <w:r w:rsidRPr="00DD31CC">
              <w:rPr>
                <w:rFonts w:ascii="Arial Narrow" w:hAnsi="Arial Narrow" w:cs="Arial"/>
                <w:sz w:val="18"/>
                <w:szCs w:val="18"/>
              </w:rPr>
              <w:t>lisdexamfetamine dimesilate 70 mg capsule, 30</w:t>
            </w:r>
          </w:p>
        </w:tc>
        <w:tc>
          <w:tcPr>
            <w:tcW w:w="993" w:type="dxa"/>
            <w:tcBorders>
              <w:top w:val="nil"/>
              <w:left w:val="nil"/>
              <w:right w:val="nil"/>
            </w:tcBorders>
            <w:tcMar>
              <w:left w:w="28" w:type="dxa"/>
              <w:right w:w="28" w:type="dxa"/>
            </w:tcMar>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10492F</w:t>
            </w:r>
          </w:p>
        </w:tc>
        <w:tc>
          <w:tcPr>
            <w:tcW w:w="850" w:type="dxa"/>
            <w:tcBorders>
              <w:top w:val="nil"/>
              <w:left w:val="nil"/>
              <w:right w:val="nil"/>
            </w:tcBorders>
          </w:tcPr>
          <w:p w:rsidR="00C53CF1" w:rsidRPr="00DD31CC" w:rsidRDefault="00C53CF1" w:rsidP="006D71FF">
            <w:pPr>
              <w:keepNext/>
              <w:jc w:val="center"/>
              <w:rPr>
                <w:rFonts w:ascii="Arial Narrow" w:hAnsi="Arial Narrow" w:cs="Arial"/>
                <w:sz w:val="18"/>
                <w:szCs w:val="18"/>
              </w:rPr>
            </w:pPr>
            <w:r w:rsidRPr="00DD31CC">
              <w:rPr>
                <w:rFonts w:ascii="Arial Narrow" w:hAnsi="Arial Narrow" w:cs="Arial"/>
                <w:sz w:val="18"/>
                <w:szCs w:val="18"/>
              </w:rPr>
              <w:t>1</w:t>
            </w:r>
          </w:p>
        </w:tc>
        <w:tc>
          <w:tcPr>
            <w:tcW w:w="851" w:type="dxa"/>
            <w:tcBorders>
              <w:top w:val="nil"/>
              <w:left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30</w:t>
            </w:r>
          </w:p>
        </w:tc>
        <w:tc>
          <w:tcPr>
            <w:tcW w:w="708" w:type="dxa"/>
            <w:tcBorders>
              <w:top w:val="nil"/>
              <w:left w:val="nil"/>
              <w:right w:val="nil"/>
            </w:tcBorders>
          </w:tcPr>
          <w:p w:rsidR="00C53CF1" w:rsidRPr="00DD31CC" w:rsidRDefault="00C53CF1" w:rsidP="006D71FF">
            <w:pPr>
              <w:keepNext/>
              <w:ind w:left="-108"/>
              <w:jc w:val="center"/>
              <w:rPr>
                <w:rFonts w:ascii="Arial Narrow" w:hAnsi="Arial Narrow" w:cs="Arial"/>
                <w:sz w:val="18"/>
                <w:szCs w:val="18"/>
              </w:rPr>
            </w:pPr>
            <w:r w:rsidRPr="00DD31CC">
              <w:rPr>
                <w:rFonts w:ascii="Arial Narrow" w:hAnsi="Arial Narrow" w:cs="Arial"/>
                <w:sz w:val="18"/>
                <w:szCs w:val="18"/>
              </w:rPr>
              <w:t>5</w:t>
            </w:r>
          </w:p>
        </w:tc>
        <w:tc>
          <w:tcPr>
            <w:tcW w:w="1134"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c>
          <w:tcPr>
            <w:tcW w:w="992" w:type="dxa"/>
            <w:vMerge/>
            <w:tcBorders>
              <w:top w:val="single" w:sz="4" w:space="0" w:color="auto"/>
              <w:left w:val="nil"/>
              <w:right w:val="nil"/>
            </w:tcBorders>
          </w:tcPr>
          <w:p w:rsidR="00C53CF1" w:rsidRPr="00DD31CC" w:rsidRDefault="00C53CF1" w:rsidP="006D71FF">
            <w:pPr>
              <w:keepNext/>
              <w:rPr>
                <w:rFonts w:ascii="Arial Narrow" w:hAnsi="Arial Narrow" w:cs="Arial"/>
                <w:sz w:val="18"/>
                <w:szCs w:val="18"/>
              </w:rPr>
            </w:pPr>
          </w:p>
        </w:tc>
      </w:tr>
    </w:tbl>
    <w:p w:rsidR="00C53CF1" w:rsidRPr="00DD31CC" w:rsidRDefault="00C53CF1" w:rsidP="00C53CF1">
      <w:pPr>
        <w:keepNext/>
        <w:rPr>
          <w:rFonts w:ascii="Arial Narrow" w:hAnsi="Arial Narrow"/>
          <w:b/>
          <w:sz w:val="18"/>
          <w:szCs w:val="18"/>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83"/>
      </w:tblGrid>
      <w:tr w:rsidR="008C286D" w:rsidRPr="00DD31CC" w:rsidTr="008C286D">
        <w:tc>
          <w:tcPr>
            <w:tcW w:w="5000" w:type="pct"/>
            <w:tcBorders>
              <w:top w:val="single" w:sz="4" w:space="0" w:color="auto"/>
              <w:left w:val="single" w:sz="4" w:space="0" w:color="auto"/>
              <w:bottom w:val="single" w:sz="4" w:space="0" w:color="auto"/>
              <w:right w:val="single" w:sz="4" w:space="0" w:color="auto"/>
            </w:tcBorders>
          </w:tcPr>
          <w:p w:rsidR="008C286D" w:rsidRPr="00DD31CC" w:rsidRDefault="008C286D" w:rsidP="006D71FF">
            <w:pPr>
              <w:keepNext/>
              <w:rPr>
                <w:rFonts w:ascii="Arial Narrow" w:hAnsi="Arial Narrow" w:cs="Arial"/>
                <w:sz w:val="18"/>
                <w:szCs w:val="18"/>
              </w:rPr>
            </w:pPr>
            <w:r w:rsidRPr="00DD31CC">
              <w:rPr>
                <w:rFonts w:ascii="Arial Narrow" w:hAnsi="Arial Narrow" w:cs="Arial"/>
                <w:b/>
                <w:sz w:val="18"/>
                <w:szCs w:val="18"/>
              </w:rPr>
              <w:t xml:space="preserve">Category / Program:   </w:t>
            </w:r>
            <w:r w:rsidRPr="00DD31CC">
              <w:rPr>
                <w:rFonts w:ascii="Arial Narrow" w:hAnsi="Arial Narrow" w:cs="Arial"/>
                <w:sz w:val="18"/>
                <w:szCs w:val="18"/>
              </w:rPr>
              <w:t xml:space="preserve"> GENERAL – General Schedule (Code GE)</w:t>
            </w:r>
          </w:p>
        </w:tc>
      </w:tr>
      <w:tr w:rsidR="008C286D" w:rsidRPr="00DD31CC" w:rsidTr="008C286D">
        <w:trPr>
          <w:trHeight w:val="240"/>
        </w:trPr>
        <w:tc>
          <w:tcPr>
            <w:tcW w:w="5000" w:type="pct"/>
            <w:tcBorders>
              <w:top w:val="single" w:sz="4" w:space="0" w:color="auto"/>
              <w:left w:val="single" w:sz="4" w:space="0" w:color="auto"/>
              <w:bottom w:val="single" w:sz="4" w:space="0" w:color="auto"/>
              <w:right w:val="single" w:sz="4" w:space="0" w:color="auto"/>
            </w:tcBorders>
          </w:tcPr>
          <w:p w:rsidR="008C286D" w:rsidRPr="00DD31CC" w:rsidRDefault="008C286D" w:rsidP="006D71FF">
            <w:pPr>
              <w:keepNext/>
              <w:rPr>
                <w:rFonts w:ascii="Arial Narrow" w:hAnsi="Arial Narrow" w:cs="Arial"/>
                <w:b/>
                <w:sz w:val="18"/>
                <w:szCs w:val="18"/>
              </w:rPr>
            </w:pPr>
            <w:r w:rsidRPr="00DD31CC">
              <w:rPr>
                <w:rFonts w:ascii="Arial Narrow" w:hAnsi="Arial Narrow" w:cs="Arial"/>
                <w:b/>
                <w:sz w:val="18"/>
                <w:szCs w:val="18"/>
              </w:rPr>
              <w:t xml:space="preserve">Prescriber type:   </w:t>
            </w:r>
            <w:r w:rsidRPr="00743538">
              <w:rPr>
                <w:rFonts w:ascii="Arial Narrow" w:hAnsi="Arial Narrow" w:cs="Arial"/>
                <w:sz w:val="18"/>
                <w:szCs w:val="18"/>
              </w:rPr>
              <w:fldChar w:fldCharType="begin">
                <w:ffData>
                  <w:name w:val="Check1"/>
                  <w:enabled/>
                  <w:calcOnExit w:val="0"/>
                  <w:checkBox>
                    <w:sizeAuto/>
                    <w:default w:val="0"/>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Dental    </w:t>
            </w:r>
            <w:r w:rsidRPr="00743538">
              <w:rPr>
                <w:rFonts w:ascii="Arial Narrow" w:hAnsi="Arial Narrow" w:cs="Arial"/>
                <w:sz w:val="18"/>
                <w:szCs w:val="18"/>
              </w:rPr>
              <w:fldChar w:fldCharType="begin">
                <w:ffData>
                  <w:name w:val=""/>
                  <w:enabled/>
                  <w:calcOnExit w:val="0"/>
                  <w:checkBox>
                    <w:sizeAuto/>
                    <w:default w:val="1"/>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Medical Practitioners    </w:t>
            </w:r>
            <w:r w:rsidRPr="00743538">
              <w:rPr>
                <w:rFonts w:ascii="Arial Narrow" w:hAnsi="Arial Narrow" w:cs="Arial"/>
                <w:sz w:val="18"/>
                <w:szCs w:val="18"/>
              </w:rPr>
              <w:fldChar w:fldCharType="begin">
                <w:ffData>
                  <w:name w:val="Check3"/>
                  <w:enabled/>
                  <w:calcOnExit w:val="0"/>
                  <w:checkBox>
                    <w:sizeAuto/>
                    <w:default w:val="1"/>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Nurse practitioners </w:t>
            </w:r>
            <w:r>
              <w:rPr>
                <w:rFonts w:ascii="Arial Narrow" w:hAnsi="Arial Narrow" w:cs="Arial"/>
                <w:sz w:val="18"/>
                <w:szCs w:val="18"/>
              </w:rPr>
              <w:t>- CTO</w:t>
            </w:r>
            <w:r w:rsidRPr="00DD31CC">
              <w:rPr>
                <w:rFonts w:ascii="Arial Narrow" w:hAnsi="Arial Narrow" w:cs="Arial"/>
                <w:sz w:val="18"/>
                <w:szCs w:val="18"/>
              </w:rPr>
              <w:t xml:space="preserve">    </w:t>
            </w:r>
            <w:r w:rsidRPr="00743538">
              <w:rPr>
                <w:rFonts w:ascii="Arial Narrow" w:hAnsi="Arial Narrow" w:cs="Arial"/>
                <w:sz w:val="18"/>
                <w:szCs w:val="18"/>
              </w:rPr>
              <w:fldChar w:fldCharType="begin">
                <w:ffData>
                  <w:name w:val=""/>
                  <w:enabled/>
                  <w:calcOnExit w:val="0"/>
                  <w:checkBox>
                    <w:sizeAuto/>
                    <w:default w:val="0"/>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 xml:space="preserve">Optometrists    </w:t>
            </w:r>
            <w:r w:rsidRPr="00743538">
              <w:rPr>
                <w:rFonts w:ascii="Arial Narrow" w:hAnsi="Arial Narrow" w:cs="Arial"/>
                <w:sz w:val="18"/>
                <w:szCs w:val="18"/>
              </w:rPr>
              <w:fldChar w:fldCharType="begin">
                <w:ffData>
                  <w:name w:val="Check5"/>
                  <w:enabled/>
                  <w:calcOnExit w:val="0"/>
                  <w:checkBox>
                    <w:sizeAuto/>
                    <w:default w:val="0"/>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sidRPr="00DD31CC">
              <w:rPr>
                <w:rFonts w:ascii="Arial Narrow" w:hAnsi="Arial Narrow" w:cs="Arial"/>
                <w:sz w:val="18"/>
                <w:szCs w:val="18"/>
              </w:rPr>
              <w:t>Midwives</w:t>
            </w:r>
          </w:p>
        </w:tc>
      </w:tr>
      <w:tr w:rsidR="008C286D" w:rsidRPr="00DD31CC" w:rsidTr="008C286D">
        <w:tc>
          <w:tcPr>
            <w:tcW w:w="5000" w:type="pct"/>
            <w:tcBorders>
              <w:top w:val="single" w:sz="4" w:space="0" w:color="auto"/>
              <w:left w:val="single" w:sz="4" w:space="0" w:color="auto"/>
              <w:bottom w:val="single" w:sz="4" w:space="0" w:color="auto"/>
              <w:right w:val="single" w:sz="4" w:space="0" w:color="auto"/>
            </w:tcBorders>
          </w:tcPr>
          <w:p w:rsidR="008C286D" w:rsidRPr="008C286D" w:rsidRDefault="008C286D" w:rsidP="006D71FF">
            <w:pPr>
              <w:keepNext/>
              <w:rPr>
                <w:rFonts w:ascii="Arial Narrow" w:hAnsi="Arial Narrow" w:cs="Arial"/>
                <w:b/>
                <w:sz w:val="18"/>
                <w:szCs w:val="18"/>
              </w:rPr>
            </w:pPr>
            <w:r w:rsidRPr="00DD31CC">
              <w:rPr>
                <w:rFonts w:ascii="Arial Narrow" w:hAnsi="Arial Narrow" w:cs="Arial"/>
                <w:b/>
                <w:sz w:val="18"/>
                <w:szCs w:val="18"/>
              </w:rPr>
              <w:t>Restriction Level / Method:</w:t>
            </w:r>
            <w:r w:rsidRPr="00743538">
              <w:rPr>
                <w:rFonts w:ascii="Arial Narrow" w:hAnsi="Arial Narrow" w:cs="Arial"/>
                <w:sz w:val="18"/>
                <w:szCs w:val="18"/>
              </w:rPr>
              <w:fldChar w:fldCharType="begin">
                <w:ffData>
                  <w:name w:val=""/>
                  <w:enabled/>
                  <w:calcOnExit w:val="0"/>
                  <w:checkBox>
                    <w:sizeAuto/>
                    <w:default w:val="1"/>
                  </w:checkBox>
                </w:ffData>
              </w:fldChar>
            </w:r>
            <w:r w:rsidRPr="00DD31CC">
              <w:rPr>
                <w:rFonts w:ascii="Arial Narrow" w:hAnsi="Arial Narrow" w:cs="Arial"/>
                <w:sz w:val="18"/>
                <w:szCs w:val="18"/>
              </w:rPr>
              <w:instrText xml:space="preserve"> FORMCHECKBOX </w:instrText>
            </w:r>
            <w:r w:rsidR="00C33485">
              <w:rPr>
                <w:rFonts w:ascii="Arial Narrow" w:hAnsi="Arial Narrow" w:cs="Arial"/>
                <w:sz w:val="18"/>
                <w:szCs w:val="18"/>
              </w:rPr>
            </w:r>
            <w:r w:rsidR="00C33485">
              <w:rPr>
                <w:rFonts w:ascii="Arial Narrow" w:hAnsi="Arial Narrow" w:cs="Arial"/>
                <w:sz w:val="18"/>
                <w:szCs w:val="18"/>
              </w:rPr>
              <w:fldChar w:fldCharType="separate"/>
            </w:r>
            <w:r w:rsidRPr="00743538">
              <w:rPr>
                <w:rFonts w:ascii="Arial Narrow" w:hAnsi="Arial Narrow" w:cs="Arial"/>
                <w:sz w:val="18"/>
                <w:szCs w:val="18"/>
              </w:rPr>
              <w:fldChar w:fldCharType="end"/>
            </w:r>
            <w:r>
              <w:rPr>
                <w:rFonts w:ascii="Arial Narrow" w:hAnsi="Arial Narrow" w:cs="Arial"/>
                <w:sz w:val="18"/>
                <w:szCs w:val="18"/>
              </w:rPr>
              <w:t xml:space="preserve"> </w:t>
            </w:r>
            <w:r w:rsidRPr="00DD31CC">
              <w:rPr>
                <w:rFonts w:ascii="Arial Narrow" w:hAnsi="Arial Narrow" w:cs="Arial"/>
                <w:sz w:val="18"/>
                <w:szCs w:val="18"/>
              </w:rPr>
              <w:t>Authority Required – Telephone/Electronic/Emergency</w:t>
            </w:r>
          </w:p>
        </w:tc>
      </w:tr>
      <w:tr w:rsidR="008C286D" w:rsidRPr="00DD31CC" w:rsidTr="008C286D">
        <w:trPr>
          <w:trHeight w:val="866"/>
        </w:trPr>
        <w:tc>
          <w:tcPr>
            <w:tcW w:w="5000" w:type="pct"/>
            <w:tcBorders>
              <w:top w:val="single" w:sz="4" w:space="0" w:color="auto"/>
              <w:left w:val="single" w:sz="4" w:space="0" w:color="auto"/>
              <w:bottom w:val="single" w:sz="4" w:space="0" w:color="auto"/>
              <w:right w:val="single" w:sz="4" w:space="0" w:color="auto"/>
            </w:tcBorders>
            <w:vAlign w:val="center"/>
          </w:tcPr>
          <w:p w:rsidR="008C286D" w:rsidRDefault="008C286D" w:rsidP="006D71FF">
            <w:pPr>
              <w:rPr>
                <w:rFonts w:ascii="Arial Narrow" w:hAnsi="Arial Narrow"/>
                <w:color w:val="333333"/>
                <w:sz w:val="18"/>
                <w:szCs w:val="18"/>
              </w:rPr>
            </w:pPr>
            <w:r w:rsidRPr="00DD31CC">
              <w:rPr>
                <w:rFonts w:ascii="Arial Narrow" w:hAnsi="Arial Narrow"/>
                <w:b/>
                <w:bCs/>
                <w:color w:val="333333"/>
                <w:sz w:val="18"/>
                <w:szCs w:val="18"/>
              </w:rPr>
              <w:t>Administrative Advice:</w:t>
            </w:r>
            <w:r w:rsidRPr="00DD31CC">
              <w:rPr>
                <w:rFonts w:ascii="Arial Narrow" w:hAnsi="Arial Narrow"/>
                <w:color w:val="333333"/>
                <w:sz w:val="18"/>
                <w:szCs w:val="18"/>
              </w:rPr>
              <w:t xml:space="preserve"> </w:t>
            </w:r>
          </w:p>
          <w:p w:rsidR="008C286D" w:rsidRDefault="008C286D" w:rsidP="006D71FF">
            <w:pPr>
              <w:rPr>
                <w:rFonts w:ascii="Arial Narrow" w:hAnsi="Arial Narrow"/>
                <w:color w:val="333333"/>
                <w:sz w:val="18"/>
                <w:szCs w:val="18"/>
              </w:rPr>
            </w:pPr>
            <w:r w:rsidRPr="00DD31CC">
              <w:rPr>
                <w:rFonts w:ascii="Arial Narrow" w:hAnsi="Arial Narrow"/>
                <w:color w:val="333333"/>
                <w:sz w:val="18"/>
                <w:szCs w:val="18"/>
              </w:rPr>
              <w:t>Continuing Therapy Only:</w:t>
            </w:r>
          </w:p>
          <w:p w:rsidR="008C286D" w:rsidRDefault="008C286D" w:rsidP="006D71FF">
            <w:pPr>
              <w:rPr>
                <w:rFonts w:ascii="Arial Narrow" w:hAnsi="Arial Narrow" w:cs="Arial"/>
                <w:sz w:val="18"/>
                <w:szCs w:val="18"/>
              </w:rPr>
            </w:pPr>
            <w:r w:rsidRPr="00DD31CC">
              <w:rPr>
                <w:rFonts w:ascii="Arial Narrow" w:hAnsi="Arial Narrow" w:cs="Arial"/>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8C286D" w:rsidRPr="00DD31CC" w:rsidRDefault="008C286D" w:rsidP="006D71FF">
            <w:pPr>
              <w:rPr>
                <w:rFonts w:ascii="Arial Narrow" w:hAnsi="Arial Narrow" w:cs="Arial"/>
                <w:b/>
                <w:sz w:val="18"/>
                <w:szCs w:val="18"/>
              </w:rPr>
            </w:pPr>
          </w:p>
          <w:p w:rsidR="008C286D" w:rsidRPr="00DD31CC" w:rsidRDefault="008C286D" w:rsidP="006D71FF">
            <w:pPr>
              <w:rPr>
                <w:rFonts w:ascii="Arial Narrow" w:hAnsi="Arial Narrow" w:cs="Arial"/>
                <w:b/>
                <w:sz w:val="18"/>
                <w:szCs w:val="18"/>
              </w:rPr>
            </w:pPr>
            <w:r w:rsidRPr="00DD31CC">
              <w:rPr>
                <w:rFonts w:ascii="Arial Narrow" w:hAnsi="Arial Narrow"/>
                <w:color w:val="333333"/>
                <w:sz w:val="18"/>
                <w:szCs w:val="18"/>
              </w:rPr>
              <w:t xml:space="preserve">Special Pricing Arrangements Apply. </w:t>
            </w:r>
          </w:p>
        </w:tc>
      </w:tr>
      <w:tr w:rsidR="008C286D" w:rsidRPr="00DD31CC" w:rsidTr="008C286D">
        <w:tc>
          <w:tcPr>
            <w:tcW w:w="5000" w:type="pct"/>
            <w:tcBorders>
              <w:bottom w:val="nil"/>
            </w:tcBorders>
            <w:vAlign w:val="center"/>
            <w:hideMark/>
          </w:tcPr>
          <w:p w:rsidR="008C286D" w:rsidRPr="00DD31CC" w:rsidRDefault="008C286D" w:rsidP="006D71FF">
            <w:pPr>
              <w:rPr>
                <w:rFonts w:ascii="Arial Narrow" w:hAnsi="Arial Narrow"/>
                <w:color w:val="333333"/>
                <w:sz w:val="18"/>
                <w:szCs w:val="18"/>
              </w:rPr>
            </w:pPr>
            <w:r w:rsidRPr="00DD31CC">
              <w:rPr>
                <w:rFonts w:ascii="Arial Narrow" w:hAnsi="Arial Narrow"/>
                <w:b/>
                <w:bCs/>
                <w:color w:val="333333"/>
                <w:sz w:val="18"/>
                <w:szCs w:val="18"/>
              </w:rPr>
              <w:t>Indication:</w:t>
            </w:r>
            <w:r w:rsidRPr="00DD31CC">
              <w:rPr>
                <w:rFonts w:ascii="Arial Narrow" w:hAnsi="Arial Narrow"/>
                <w:color w:val="333333"/>
                <w:sz w:val="18"/>
                <w:szCs w:val="18"/>
              </w:rPr>
              <w:t xml:space="preserve"> Attention deficit hyperactivity disorder</w:t>
            </w:r>
          </w:p>
        </w:tc>
      </w:tr>
      <w:tr w:rsidR="008C286D" w:rsidRPr="00DD31CC" w:rsidTr="008C286D">
        <w:tc>
          <w:tcPr>
            <w:tcW w:w="5000" w:type="pct"/>
            <w:tcBorders>
              <w:top w:val="nil"/>
              <w:bottom w:val="nil"/>
            </w:tcBorders>
            <w:vAlign w:val="center"/>
            <w:hideMark/>
          </w:tcPr>
          <w:p w:rsidR="008C286D" w:rsidRPr="00DD31CC" w:rsidRDefault="008C286D" w:rsidP="006D71FF">
            <w:pPr>
              <w:rPr>
                <w:rFonts w:ascii="Arial Narrow" w:hAnsi="Arial Narrow"/>
                <w:color w:val="333333"/>
                <w:sz w:val="18"/>
                <w:szCs w:val="18"/>
              </w:rPr>
            </w:pPr>
            <w:r w:rsidRPr="00DD31CC">
              <w:rPr>
                <w:rFonts w:ascii="Arial Narrow" w:hAnsi="Arial Narrow"/>
                <w:b/>
                <w:bCs/>
                <w:color w:val="333333"/>
                <w:sz w:val="18"/>
                <w:szCs w:val="18"/>
              </w:rPr>
              <w:t>Clinical criteria:</w:t>
            </w:r>
          </w:p>
        </w:tc>
      </w:tr>
      <w:tr w:rsidR="008C286D" w:rsidRPr="00DD31CC" w:rsidTr="008C286D">
        <w:tc>
          <w:tcPr>
            <w:tcW w:w="5000" w:type="pct"/>
            <w:tcBorders>
              <w:top w:val="nil"/>
              <w:bottom w:val="nil"/>
            </w:tcBorders>
            <w:vAlign w:val="center"/>
            <w:hideMark/>
          </w:tcPr>
          <w:p w:rsidR="008C286D" w:rsidRPr="008C286D" w:rsidRDefault="008C286D" w:rsidP="008C286D">
            <w:pPr>
              <w:pStyle w:val="ListParagraph"/>
              <w:numPr>
                <w:ilvl w:val="0"/>
                <w:numId w:val="49"/>
              </w:numPr>
              <w:rPr>
                <w:rFonts w:ascii="Arial Narrow" w:hAnsi="Arial Narrow"/>
                <w:color w:val="333333"/>
                <w:sz w:val="18"/>
                <w:szCs w:val="18"/>
              </w:rPr>
            </w:pPr>
            <w:r w:rsidRPr="008C286D">
              <w:rPr>
                <w:rFonts w:ascii="Arial Narrow" w:hAnsi="Arial Narrow"/>
                <w:color w:val="333333"/>
                <w:sz w:val="18"/>
                <w:szCs w:val="18"/>
              </w:rPr>
              <w:t xml:space="preserve">Patient must require continuous coverage over 12 hours. </w:t>
            </w:r>
          </w:p>
        </w:tc>
      </w:tr>
      <w:tr w:rsidR="008C286D" w:rsidRPr="00DD31CC" w:rsidTr="008C286D">
        <w:tc>
          <w:tcPr>
            <w:tcW w:w="5000" w:type="pct"/>
            <w:tcBorders>
              <w:top w:val="nil"/>
              <w:bottom w:val="nil"/>
            </w:tcBorders>
            <w:vAlign w:val="center"/>
            <w:hideMark/>
          </w:tcPr>
          <w:p w:rsidR="008C286D" w:rsidRPr="00DD31CC" w:rsidRDefault="008C286D" w:rsidP="00C53CF1">
            <w:pPr>
              <w:rPr>
                <w:rFonts w:ascii="Arial Narrow" w:hAnsi="Arial Narrow"/>
                <w:color w:val="333333"/>
                <w:sz w:val="18"/>
                <w:szCs w:val="18"/>
              </w:rPr>
            </w:pPr>
            <w:r w:rsidRPr="00DD31CC">
              <w:rPr>
                <w:rFonts w:ascii="Arial Narrow" w:hAnsi="Arial Narrow"/>
                <w:b/>
                <w:bCs/>
                <w:color w:val="333333"/>
                <w:sz w:val="18"/>
                <w:szCs w:val="18"/>
              </w:rPr>
              <w:t>Population criteria:</w:t>
            </w:r>
          </w:p>
        </w:tc>
      </w:tr>
      <w:tr w:rsidR="008C286D" w:rsidRPr="00DD31CC" w:rsidTr="008C286D">
        <w:tc>
          <w:tcPr>
            <w:tcW w:w="5000" w:type="pct"/>
            <w:tcBorders>
              <w:top w:val="nil"/>
              <w:bottom w:val="nil"/>
            </w:tcBorders>
            <w:hideMark/>
          </w:tcPr>
          <w:p w:rsidR="008C286D" w:rsidRPr="008C286D" w:rsidRDefault="008C286D" w:rsidP="008C286D">
            <w:pPr>
              <w:pStyle w:val="ListParagraph"/>
              <w:numPr>
                <w:ilvl w:val="0"/>
                <w:numId w:val="50"/>
              </w:numPr>
              <w:rPr>
                <w:rFonts w:ascii="Arial Narrow" w:hAnsi="Arial Narrow"/>
                <w:sz w:val="18"/>
                <w:szCs w:val="18"/>
              </w:rPr>
            </w:pPr>
            <w:r w:rsidRPr="008C286D">
              <w:rPr>
                <w:rFonts w:ascii="Arial Narrow" w:hAnsi="Arial Narrow"/>
                <w:sz w:val="18"/>
                <w:szCs w:val="18"/>
              </w:rPr>
              <w:t>Patient must be aged between the ages of 6 and 18 years inclusive; or</w:t>
            </w:r>
          </w:p>
        </w:tc>
      </w:tr>
      <w:tr w:rsidR="008C286D" w:rsidRPr="00DD31CC" w:rsidTr="008C286D">
        <w:tc>
          <w:tcPr>
            <w:tcW w:w="5000" w:type="pct"/>
            <w:tcBorders>
              <w:top w:val="nil"/>
              <w:bottom w:val="nil"/>
            </w:tcBorders>
          </w:tcPr>
          <w:p w:rsidR="008C286D" w:rsidRPr="008C286D" w:rsidRDefault="008C286D" w:rsidP="008C286D">
            <w:pPr>
              <w:pStyle w:val="ListParagraph"/>
              <w:numPr>
                <w:ilvl w:val="0"/>
                <w:numId w:val="50"/>
              </w:numPr>
              <w:rPr>
                <w:rFonts w:ascii="Arial Narrow" w:hAnsi="Arial Narrow"/>
                <w:sz w:val="18"/>
                <w:szCs w:val="18"/>
              </w:rPr>
            </w:pPr>
            <w:r w:rsidRPr="008C286D">
              <w:rPr>
                <w:rFonts w:ascii="Arial Narrow" w:hAnsi="Arial Narrow"/>
                <w:sz w:val="18"/>
                <w:szCs w:val="18"/>
              </w:rPr>
              <w:t>Patient must have had a diagnosis of ADHD prior to turning 18 years of age if PBS-subsidised treatment is</w:t>
            </w:r>
            <w:r w:rsidRPr="008C286D">
              <w:rPr>
                <w:rFonts w:ascii="Arial Narrow" w:hAnsi="Arial Narrow"/>
                <w:bCs/>
                <w:sz w:val="18"/>
                <w:szCs w:val="18"/>
              </w:rPr>
              <w:t xml:space="preserve"> continuing</w:t>
            </w:r>
            <w:r w:rsidRPr="008C286D">
              <w:rPr>
                <w:rFonts w:ascii="Arial Narrow" w:hAnsi="Arial Narrow"/>
                <w:sz w:val="18"/>
                <w:szCs w:val="18"/>
              </w:rPr>
              <w:t xml:space="preserve"> beyond 18 years of age; or</w:t>
            </w:r>
          </w:p>
        </w:tc>
      </w:tr>
      <w:tr w:rsidR="008C286D" w:rsidRPr="00DD31CC" w:rsidTr="008C286D">
        <w:tc>
          <w:tcPr>
            <w:tcW w:w="5000" w:type="pct"/>
            <w:tcBorders>
              <w:top w:val="nil"/>
              <w:bottom w:val="nil"/>
            </w:tcBorders>
          </w:tcPr>
          <w:p w:rsidR="008C286D" w:rsidRPr="008C286D" w:rsidRDefault="008C286D" w:rsidP="008C286D">
            <w:pPr>
              <w:pStyle w:val="ListParagraph"/>
              <w:numPr>
                <w:ilvl w:val="0"/>
                <w:numId w:val="50"/>
              </w:numPr>
              <w:rPr>
                <w:rFonts w:ascii="Arial Narrow" w:hAnsi="Arial Narrow"/>
                <w:sz w:val="18"/>
                <w:szCs w:val="18"/>
              </w:rPr>
            </w:pPr>
            <w:r w:rsidRPr="008C286D">
              <w:rPr>
                <w:rFonts w:ascii="Arial Narrow" w:hAnsi="Arial Narrow"/>
                <w:sz w:val="18"/>
                <w:szCs w:val="18"/>
              </w:rPr>
              <w:t>Patient must have a retrospective diagnosis of ADHD if PBS-subsidised treatment is</w:t>
            </w:r>
            <w:r w:rsidRPr="008C286D">
              <w:rPr>
                <w:rFonts w:ascii="Arial Narrow" w:hAnsi="Arial Narrow"/>
                <w:bCs/>
                <w:sz w:val="18"/>
                <w:szCs w:val="18"/>
              </w:rPr>
              <w:t xml:space="preserve"> commencing</w:t>
            </w:r>
            <w:r w:rsidRPr="008C286D">
              <w:rPr>
                <w:rFonts w:ascii="Arial Narrow" w:hAnsi="Arial Narrow"/>
                <w:sz w:val="18"/>
                <w:szCs w:val="18"/>
              </w:rPr>
              <w:t xml:space="preserve"> after turning 18 years of age; or</w:t>
            </w:r>
          </w:p>
        </w:tc>
      </w:tr>
      <w:tr w:rsidR="008C286D" w:rsidRPr="00DD31CC" w:rsidTr="008C286D">
        <w:tc>
          <w:tcPr>
            <w:tcW w:w="5000" w:type="pct"/>
            <w:tcBorders>
              <w:top w:val="nil"/>
            </w:tcBorders>
          </w:tcPr>
          <w:p w:rsidR="008C286D" w:rsidRPr="008C286D" w:rsidRDefault="008C286D" w:rsidP="008C286D">
            <w:pPr>
              <w:pStyle w:val="ListParagraph"/>
              <w:numPr>
                <w:ilvl w:val="0"/>
                <w:numId w:val="50"/>
              </w:numPr>
              <w:rPr>
                <w:rFonts w:ascii="Arial Narrow" w:hAnsi="Arial Narrow"/>
                <w:sz w:val="18"/>
                <w:szCs w:val="18"/>
              </w:rPr>
            </w:pPr>
            <w:r w:rsidRPr="008C286D">
              <w:rPr>
                <w:rFonts w:ascii="Arial Narrow" w:hAnsi="Arial Narrow"/>
                <w:sz w:val="18"/>
                <w:szCs w:val="18"/>
              </w:rPr>
              <w:t xml:space="preserve">Patient must have had a retrospective diagnosis of ADHD if PBS-subsidised treatment is </w:t>
            </w:r>
            <w:r w:rsidRPr="008C286D">
              <w:rPr>
                <w:rFonts w:ascii="Arial Narrow" w:hAnsi="Arial Narrow"/>
                <w:bCs/>
                <w:sz w:val="18"/>
                <w:szCs w:val="18"/>
              </w:rPr>
              <w:t>continuing in</w:t>
            </w:r>
            <w:r w:rsidRPr="008C286D">
              <w:rPr>
                <w:rFonts w:ascii="Arial Narrow" w:hAnsi="Arial Narrow"/>
                <w:sz w:val="18"/>
                <w:szCs w:val="18"/>
              </w:rPr>
              <w:t xml:space="preserve"> a patient who </w:t>
            </w:r>
            <w:r w:rsidRPr="008C286D">
              <w:rPr>
                <w:rFonts w:ascii="Arial Narrow" w:hAnsi="Arial Narrow"/>
                <w:bCs/>
                <w:sz w:val="18"/>
                <w:szCs w:val="18"/>
              </w:rPr>
              <w:t>commenced</w:t>
            </w:r>
            <w:r w:rsidRPr="008C286D">
              <w:rPr>
                <w:rFonts w:ascii="Arial Narrow" w:hAnsi="Arial Narrow"/>
                <w:sz w:val="18"/>
                <w:szCs w:val="18"/>
              </w:rPr>
              <w:t xml:space="preserve"> PBS-subsidised treatment after turning 18 years of age</w:t>
            </w:r>
          </w:p>
        </w:tc>
      </w:tr>
      <w:tr w:rsidR="008C286D" w:rsidRPr="00DD31CC" w:rsidTr="008C286D">
        <w:tc>
          <w:tcPr>
            <w:tcW w:w="5000" w:type="pct"/>
            <w:vAlign w:val="center"/>
          </w:tcPr>
          <w:p w:rsidR="008C286D" w:rsidRPr="00DD31CC" w:rsidRDefault="008C286D" w:rsidP="001B340D">
            <w:pPr>
              <w:rPr>
                <w:rFonts w:ascii="Arial Narrow" w:hAnsi="Arial Narrow"/>
                <w:sz w:val="18"/>
                <w:szCs w:val="18"/>
              </w:rPr>
            </w:pPr>
            <w:r w:rsidRPr="00DD31CC">
              <w:rPr>
                <w:rFonts w:ascii="Arial Narrow" w:hAnsi="Arial Narrow"/>
                <w:b/>
                <w:color w:val="333333"/>
                <w:sz w:val="18"/>
                <w:szCs w:val="18"/>
              </w:rPr>
              <w:t>Prescriber Instructions:</w:t>
            </w:r>
          </w:p>
          <w:p w:rsidR="008C286D" w:rsidRPr="00DD31CC" w:rsidRDefault="008C286D" w:rsidP="001B340D">
            <w:pPr>
              <w:rPr>
                <w:rFonts w:ascii="Arial Narrow" w:hAnsi="Arial Narrow"/>
                <w:sz w:val="18"/>
                <w:szCs w:val="18"/>
              </w:rPr>
            </w:pPr>
            <w:r w:rsidRPr="00DD31CC">
              <w:rPr>
                <w:rFonts w:ascii="Arial Narrow" w:hAnsi="Arial Narrow"/>
                <w:sz w:val="18"/>
                <w:szCs w:val="18"/>
              </w:rPr>
              <w:t>A retrospective diagnosis of ADHD for the purposes of administering this restriction is:</w:t>
            </w:r>
          </w:p>
          <w:p w:rsidR="008C286D" w:rsidRPr="00DD31CC" w:rsidRDefault="008C286D" w:rsidP="001B340D">
            <w:pPr>
              <w:rPr>
                <w:rFonts w:ascii="Arial Narrow" w:hAnsi="Arial Narrow"/>
                <w:sz w:val="18"/>
                <w:szCs w:val="18"/>
              </w:rPr>
            </w:pPr>
            <w:r w:rsidRPr="00DD31CC">
              <w:rPr>
                <w:rFonts w:ascii="Arial Narrow" w:hAnsi="Arial Narrow"/>
                <w:sz w:val="18"/>
                <w:szCs w:val="18"/>
              </w:rPr>
              <w:t xml:space="preserve">(i) the presence of pre-existing childhood (before the age of 12 years) symptoms of ADHD documented in the patient’s medical records; and </w:t>
            </w:r>
          </w:p>
          <w:p w:rsidR="008C286D" w:rsidRPr="00DD31CC" w:rsidRDefault="008C286D" w:rsidP="00C53CF1">
            <w:pPr>
              <w:rPr>
                <w:rFonts w:ascii="Arial Narrow" w:hAnsi="Arial Narrow"/>
                <w:sz w:val="18"/>
                <w:szCs w:val="18"/>
              </w:rPr>
            </w:pPr>
            <w:r w:rsidRPr="00DD31CC">
              <w:rPr>
                <w:rFonts w:ascii="Arial Narrow" w:hAnsi="Arial Narrow"/>
                <w:sz w:val="18"/>
                <w:szCs w:val="18"/>
              </w:rPr>
              <w:t>(ii) thorough conduct of an in-depth clinical interview and/or obtaining corroborating evidence from parents, teachers or siblings, which is documented in the patient’s medical records</w:t>
            </w:r>
          </w:p>
        </w:tc>
      </w:tr>
      <w:tr w:rsidR="008C286D" w:rsidRPr="00DD31CC" w:rsidTr="00743538">
        <w:trPr>
          <w:trHeight w:val="453"/>
        </w:trPr>
        <w:tc>
          <w:tcPr>
            <w:tcW w:w="5000" w:type="pct"/>
            <w:vAlign w:val="center"/>
            <w:hideMark/>
          </w:tcPr>
          <w:p w:rsidR="008C286D" w:rsidRDefault="008C286D" w:rsidP="006D71FF">
            <w:pPr>
              <w:rPr>
                <w:rFonts w:ascii="Arial Narrow" w:hAnsi="Arial Narrow"/>
                <w:color w:val="333333"/>
                <w:sz w:val="18"/>
                <w:szCs w:val="18"/>
              </w:rPr>
            </w:pPr>
            <w:r w:rsidRPr="00DD31CC">
              <w:rPr>
                <w:rFonts w:ascii="Arial Narrow" w:hAnsi="Arial Narrow"/>
                <w:b/>
                <w:bCs/>
                <w:color w:val="333333"/>
                <w:sz w:val="18"/>
                <w:szCs w:val="18"/>
              </w:rPr>
              <w:t>Administrative Advice:</w:t>
            </w:r>
            <w:r w:rsidRPr="00DD31CC">
              <w:rPr>
                <w:rFonts w:ascii="Arial Narrow" w:hAnsi="Arial Narrow"/>
                <w:color w:val="333333"/>
                <w:sz w:val="18"/>
                <w:szCs w:val="18"/>
              </w:rPr>
              <w:t xml:space="preserve"> </w:t>
            </w:r>
          </w:p>
          <w:p w:rsidR="008C286D" w:rsidRPr="00DD31CC" w:rsidRDefault="008C286D" w:rsidP="006D71FF">
            <w:pPr>
              <w:rPr>
                <w:rFonts w:ascii="Arial Narrow" w:hAnsi="Arial Narrow"/>
                <w:color w:val="333333"/>
                <w:sz w:val="18"/>
                <w:szCs w:val="18"/>
              </w:rPr>
            </w:pPr>
            <w:r w:rsidRPr="00DD31CC">
              <w:rPr>
                <w:rFonts w:ascii="Arial Narrow" w:hAnsi="Arial Narrow"/>
                <w:color w:val="333333"/>
                <w:sz w:val="18"/>
                <w:szCs w:val="18"/>
              </w:rPr>
              <w:t xml:space="preserve">Care must be taken to comply with the provisions of State/Territory law when prescribing this drug. </w:t>
            </w:r>
          </w:p>
          <w:p w:rsidR="008C286D" w:rsidRPr="00DD31CC" w:rsidRDefault="008C286D" w:rsidP="006D71FF">
            <w:pPr>
              <w:rPr>
                <w:rFonts w:ascii="Arial Narrow" w:hAnsi="Arial Narrow"/>
                <w:color w:val="333333"/>
                <w:sz w:val="18"/>
                <w:szCs w:val="18"/>
              </w:rPr>
            </w:pPr>
            <w:r w:rsidRPr="00DD31CC">
              <w:rPr>
                <w:rFonts w:ascii="Arial Narrow" w:hAnsi="Arial Narrow"/>
                <w:color w:val="333333"/>
                <w:sz w:val="18"/>
                <w:szCs w:val="18"/>
              </w:rPr>
              <w:t xml:space="preserve">The treatment must not exceed a maximum daily dose of 70 mg. </w:t>
            </w:r>
          </w:p>
        </w:tc>
      </w:tr>
    </w:tbl>
    <w:p w:rsidR="00F10657" w:rsidRDefault="00F10657" w:rsidP="00F10657">
      <w:pPr>
        <w:rPr>
          <w:rFonts w:asciiTheme="minorHAnsi" w:eastAsiaTheme="minorHAnsi" w:hAnsiTheme="minorHAnsi" w:cstheme="minorBidi"/>
          <w:b/>
          <w:i/>
          <w:color w:val="000000" w:themeColor="text1"/>
          <w:szCs w:val="22"/>
          <w:lang w:eastAsia="en-US"/>
        </w:rPr>
      </w:pPr>
    </w:p>
    <w:p w:rsidR="00950BEB" w:rsidRPr="00950BEB" w:rsidRDefault="00950BEB" w:rsidP="00F10657">
      <w:pPr>
        <w:rPr>
          <w:rFonts w:asciiTheme="minorHAnsi" w:eastAsiaTheme="minorHAnsi" w:hAnsiTheme="minorHAnsi" w:cstheme="minorBidi"/>
          <w:i/>
          <w:color w:val="000000" w:themeColor="text1"/>
          <w:szCs w:val="22"/>
          <w:lang w:eastAsia="en-US"/>
        </w:rPr>
      </w:pPr>
      <w:r w:rsidRPr="00950BEB">
        <w:rPr>
          <w:rFonts w:asciiTheme="minorHAnsi" w:eastAsiaTheme="minorHAnsi" w:hAnsiTheme="minorHAnsi" w:cstheme="minorBidi"/>
          <w:color w:val="000000" w:themeColor="text1"/>
          <w:szCs w:val="22"/>
          <w:lang w:eastAsia="en-US"/>
        </w:rPr>
        <w:t>7.2</w:t>
      </w:r>
      <w:r>
        <w:rPr>
          <w:rFonts w:asciiTheme="minorHAnsi" w:eastAsiaTheme="minorHAnsi" w:hAnsiTheme="minorHAnsi" w:cstheme="minorBidi"/>
          <w:color w:val="000000" w:themeColor="text1"/>
          <w:szCs w:val="22"/>
          <w:lang w:eastAsia="en-US"/>
        </w:rPr>
        <w:tab/>
      </w:r>
      <w:r w:rsidRPr="00950BEB">
        <w:rPr>
          <w:rFonts w:asciiTheme="minorHAnsi" w:eastAsiaTheme="minorHAnsi" w:hAnsiTheme="minorHAnsi" w:cstheme="minorBidi"/>
          <w:i/>
          <w:color w:val="000000" w:themeColor="text1"/>
          <w:szCs w:val="22"/>
          <w:lang w:eastAsia="en-US"/>
        </w:rPr>
        <w:t>Flow-on changes:</w:t>
      </w:r>
    </w:p>
    <w:p w:rsidR="00950BEB" w:rsidRPr="00950BEB" w:rsidRDefault="00950BEB" w:rsidP="00950BEB">
      <w:pPr>
        <w:ind w:left="720"/>
        <w:rPr>
          <w:rFonts w:asciiTheme="minorHAnsi" w:eastAsiaTheme="minorHAnsi" w:hAnsiTheme="minorHAnsi" w:cstheme="minorBidi"/>
          <w:i/>
          <w:color w:val="000000" w:themeColor="text1"/>
          <w:szCs w:val="22"/>
          <w:lang w:eastAsia="en-US"/>
        </w:rPr>
      </w:pPr>
    </w:p>
    <w:p w:rsidR="00950BEB" w:rsidRPr="00950BEB" w:rsidRDefault="00950BEB" w:rsidP="00950BEB">
      <w:pPr>
        <w:ind w:left="720"/>
        <w:jc w:val="both"/>
        <w:rPr>
          <w:rFonts w:asciiTheme="minorHAnsi" w:eastAsiaTheme="minorHAnsi" w:hAnsiTheme="minorHAnsi" w:cstheme="minorBidi"/>
          <w:i/>
          <w:color w:val="000000" w:themeColor="text1"/>
          <w:szCs w:val="22"/>
          <w:lang w:eastAsia="en-US"/>
        </w:rPr>
      </w:pPr>
      <w:r>
        <w:rPr>
          <w:rFonts w:asciiTheme="minorHAnsi" w:eastAsiaTheme="minorHAnsi" w:hAnsiTheme="minorHAnsi" w:cstheme="minorBidi"/>
          <w:i/>
          <w:color w:val="000000" w:themeColor="text1"/>
          <w:szCs w:val="22"/>
          <w:lang w:eastAsia="en-US"/>
        </w:rPr>
        <w:t>Pending implementation of the above recommendation, a</w:t>
      </w:r>
      <w:r w:rsidRPr="00950BEB">
        <w:rPr>
          <w:rFonts w:asciiTheme="minorHAnsi" w:eastAsiaTheme="minorHAnsi" w:hAnsiTheme="minorHAnsi" w:cstheme="minorBidi"/>
          <w:i/>
          <w:color w:val="000000" w:themeColor="text1"/>
          <w:szCs w:val="22"/>
          <w:lang w:eastAsia="en-US"/>
        </w:rPr>
        <w:t xml:space="preserve">mend the following population criterion where it appears in the restrictions for methylphenidate modified release tablets </w:t>
      </w:r>
      <w:r w:rsidR="00D12B30">
        <w:rPr>
          <w:rFonts w:asciiTheme="minorHAnsi" w:eastAsiaTheme="minorHAnsi" w:hAnsiTheme="minorHAnsi" w:cstheme="minorBidi"/>
          <w:i/>
          <w:color w:val="000000" w:themeColor="text1"/>
          <w:szCs w:val="22"/>
          <w:lang w:eastAsia="en-US"/>
        </w:rPr>
        <w:t xml:space="preserve">and atomoxetine capsules ADHD listings, </w:t>
      </w:r>
      <w:r w:rsidRPr="00950BEB">
        <w:rPr>
          <w:rFonts w:asciiTheme="minorHAnsi" w:eastAsiaTheme="minorHAnsi" w:hAnsiTheme="minorHAnsi" w:cstheme="minorBidi"/>
          <w:i/>
          <w:color w:val="000000" w:themeColor="text1"/>
          <w:szCs w:val="22"/>
          <w:lang w:eastAsia="en-US"/>
        </w:rPr>
        <w:t>to be consistent with lisdexamfetamine.</w:t>
      </w:r>
    </w:p>
    <w:p w:rsidR="00950BEB" w:rsidRDefault="00950BEB" w:rsidP="00950BEB">
      <w:pPr>
        <w:ind w:left="720"/>
        <w:rPr>
          <w:rFonts w:asciiTheme="minorHAnsi" w:eastAsiaTheme="minorHAnsi" w:hAnsiTheme="minorHAnsi" w:cstheme="minorBidi"/>
          <w:color w:val="000000" w:themeColor="text1"/>
          <w:szCs w:val="22"/>
          <w:lang w:eastAsia="en-US"/>
        </w:rPr>
      </w:pPr>
    </w:p>
    <w:p w:rsidR="00950BEB" w:rsidRPr="00950BEB" w:rsidRDefault="00950BEB" w:rsidP="00950BEB">
      <w:pPr>
        <w:ind w:left="720"/>
        <w:rPr>
          <w:rFonts w:ascii="Arial Narrow" w:eastAsiaTheme="minorHAnsi" w:hAnsi="Arial Narrow" w:cstheme="minorBidi"/>
          <w:b/>
          <w:color w:val="000000" w:themeColor="text1"/>
          <w:sz w:val="18"/>
          <w:szCs w:val="18"/>
          <w:lang w:eastAsia="en-US"/>
        </w:rPr>
      </w:pPr>
      <w:r w:rsidRPr="00950BEB">
        <w:rPr>
          <w:rFonts w:ascii="Arial Narrow" w:eastAsiaTheme="minorHAnsi" w:hAnsi="Arial Narrow" w:cstheme="minorBidi"/>
          <w:b/>
          <w:color w:val="000000" w:themeColor="text1"/>
          <w:sz w:val="18"/>
          <w:szCs w:val="18"/>
          <w:lang w:eastAsia="en-US"/>
        </w:rPr>
        <w:t>Population criteria:</w:t>
      </w:r>
    </w:p>
    <w:p w:rsidR="00950BEB" w:rsidRPr="00950BEB" w:rsidRDefault="00950BEB" w:rsidP="00950BEB">
      <w:pPr>
        <w:ind w:left="720"/>
        <w:rPr>
          <w:rFonts w:ascii="Arial Narrow" w:eastAsiaTheme="minorHAnsi" w:hAnsi="Arial Narrow" w:cstheme="minorBidi"/>
          <w:color w:val="000000" w:themeColor="text1"/>
          <w:sz w:val="18"/>
          <w:szCs w:val="18"/>
          <w:lang w:eastAsia="en-US"/>
        </w:rPr>
      </w:pPr>
    </w:p>
    <w:p w:rsidR="00A87A6D" w:rsidRPr="00DB47AB" w:rsidRDefault="00950BEB" w:rsidP="00DB47AB">
      <w:pPr>
        <w:pStyle w:val="ListParagraph"/>
        <w:numPr>
          <w:ilvl w:val="0"/>
          <w:numId w:val="48"/>
        </w:numPr>
        <w:rPr>
          <w:rFonts w:ascii="Calibri" w:hAnsi="Calibri"/>
          <w:b/>
          <w:szCs w:val="22"/>
          <w:u w:val="single"/>
        </w:rPr>
      </w:pPr>
      <w:r w:rsidRPr="00CC1C95">
        <w:rPr>
          <w:rFonts w:ascii="Arial Narrow" w:eastAsiaTheme="minorHAnsi" w:hAnsi="Arial Narrow" w:cstheme="minorBidi"/>
          <w:color w:val="000000" w:themeColor="text1"/>
          <w:sz w:val="18"/>
          <w:szCs w:val="18"/>
        </w:rPr>
        <w:t>Patient must be or have been diagnosed between the ages of 6 and 18 years inclusive.</w:t>
      </w:r>
    </w:p>
    <w:p w:rsidR="00CB356A" w:rsidRDefault="00CB356A" w:rsidP="00EC7870">
      <w:pPr>
        <w:spacing w:before="240"/>
        <w:rPr>
          <w:rFonts w:asciiTheme="minorHAnsi" w:hAnsiTheme="minorHAnsi" w:cstheme="minorHAnsi"/>
          <w:b/>
          <w:bCs/>
          <w:i/>
          <w:iCs/>
        </w:rPr>
      </w:pPr>
      <w:r w:rsidRPr="00CB356A">
        <w:rPr>
          <w:rFonts w:asciiTheme="minorHAnsi" w:hAnsiTheme="minorHAnsi" w:cstheme="minorHAnsi"/>
          <w:b/>
          <w:bCs/>
          <w:i/>
          <w:iCs/>
        </w:rPr>
        <w:t>These restrictions may be subject to further review. Should there be any changes made to the restriction the Sponsor will be informed.</w:t>
      </w:r>
    </w:p>
    <w:p w:rsidR="00C61235" w:rsidRPr="003B7841" w:rsidRDefault="00C61235" w:rsidP="00C61235">
      <w:pPr>
        <w:keepNext/>
        <w:numPr>
          <w:ilvl w:val="0"/>
          <w:numId w:val="1"/>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rsidR="00C61235" w:rsidRPr="003B7841" w:rsidRDefault="00C61235" w:rsidP="00DB47AB">
      <w:pPr>
        <w:spacing w:line="276" w:lineRule="auto"/>
        <w:jc w:val="both"/>
        <w:rPr>
          <w:rFonts w:asciiTheme="minorHAnsi" w:eastAsiaTheme="minorHAnsi" w:hAnsiTheme="minorHAnsi"/>
          <w:szCs w:val="22"/>
          <w:lang w:eastAsia="en-US"/>
        </w:rPr>
      </w:pPr>
      <w:r w:rsidRPr="003B7841">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bookmarkStart w:id="4" w:name="_GoBack"/>
      <w:bookmarkEnd w:id="4"/>
    </w:p>
    <w:p w:rsidR="00D03B96" w:rsidRPr="00D03B96" w:rsidRDefault="00C61235" w:rsidP="00D03B96">
      <w:pPr>
        <w:keepNext/>
        <w:numPr>
          <w:ilvl w:val="0"/>
          <w:numId w:val="1"/>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C61235" w:rsidRPr="00C61235" w:rsidRDefault="00D03B96" w:rsidP="00DB47AB">
      <w:pPr>
        <w:spacing w:line="276" w:lineRule="auto"/>
        <w:jc w:val="both"/>
        <w:rPr>
          <w:rFonts w:asciiTheme="minorHAnsi" w:eastAsiaTheme="minorHAnsi" w:hAnsiTheme="minorHAnsi"/>
          <w:szCs w:val="22"/>
          <w:lang w:eastAsia="en-US"/>
        </w:rPr>
      </w:pPr>
      <w:r w:rsidRPr="00D03B96">
        <w:rPr>
          <w:rFonts w:asciiTheme="minorHAnsi" w:eastAsiaTheme="minorHAnsi" w:hAnsiTheme="minorHAnsi"/>
          <w:bCs/>
          <w:szCs w:val="22"/>
          <w:lang w:val="en-GB" w:eastAsia="en-US"/>
        </w:rPr>
        <w:t>Shire Australia (now part of Takeda) welcomes the PBAC’s decision to recommend lisdexamfetamine for the treatment of ADHD in patients diagnosed over the age of 18. Shire also wishes to thank those patients, clinicians, and organisations who took time to submit comments during the PBAC process.</w:t>
      </w:r>
    </w:p>
    <w:sectPr w:rsidR="00C61235" w:rsidRPr="00C61235" w:rsidSect="00CC1C9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485" w:rsidRDefault="00C33485">
      <w:r>
        <w:separator/>
      </w:r>
    </w:p>
    <w:p w:rsidR="00C33485" w:rsidRDefault="00C33485"/>
  </w:endnote>
  <w:endnote w:type="continuationSeparator" w:id="0">
    <w:p w:rsidR="00C33485" w:rsidRDefault="00C33485">
      <w:r>
        <w:continuationSeparator/>
      </w:r>
    </w:p>
    <w:p w:rsidR="00C33485" w:rsidRDefault="00C3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33485" w:rsidTr="005A3173">
      <w:trPr>
        <w:trHeight w:val="151"/>
      </w:trPr>
      <w:tc>
        <w:tcPr>
          <w:tcW w:w="2250" w:type="pct"/>
          <w:tcBorders>
            <w:top w:val="nil"/>
            <w:left w:val="nil"/>
            <w:bottom w:val="single" w:sz="4" w:space="0" w:color="4F81BD"/>
            <w:right w:val="nil"/>
          </w:tcBorders>
        </w:tcPr>
        <w:p w:rsidR="00C33485" w:rsidRPr="005A3173" w:rsidRDefault="00C334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33485" w:rsidRPr="005A3173" w:rsidRDefault="00C334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33485" w:rsidRPr="005A3173" w:rsidRDefault="00C33485" w:rsidP="005A3173">
          <w:pPr>
            <w:pStyle w:val="Header"/>
            <w:spacing w:line="276" w:lineRule="auto"/>
            <w:rPr>
              <w:rFonts w:ascii="Calibri" w:eastAsia="MS Gothic" w:hAnsi="Calibri"/>
              <w:b/>
              <w:bCs/>
              <w:color w:val="4F81BD"/>
            </w:rPr>
          </w:pPr>
        </w:p>
      </w:tc>
    </w:tr>
    <w:tr w:rsidR="00C33485" w:rsidTr="005A3173">
      <w:trPr>
        <w:trHeight w:val="150"/>
      </w:trPr>
      <w:tc>
        <w:tcPr>
          <w:tcW w:w="2250" w:type="pct"/>
          <w:tcBorders>
            <w:top w:val="single" w:sz="4" w:space="0" w:color="4F81BD"/>
            <w:left w:val="nil"/>
            <w:bottom w:val="nil"/>
            <w:right w:val="nil"/>
          </w:tcBorders>
        </w:tcPr>
        <w:p w:rsidR="00C33485" w:rsidRPr="005A3173" w:rsidRDefault="00C33485" w:rsidP="005A3173">
          <w:pPr>
            <w:pStyle w:val="Header"/>
            <w:spacing w:line="276" w:lineRule="auto"/>
            <w:rPr>
              <w:rFonts w:ascii="Calibri" w:eastAsia="MS Gothic" w:hAnsi="Calibri"/>
              <w:b/>
              <w:bCs/>
              <w:color w:val="4F81BD"/>
            </w:rPr>
          </w:pPr>
        </w:p>
      </w:tc>
      <w:tc>
        <w:tcPr>
          <w:tcW w:w="0" w:type="auto"/>
          <w:vMerge/>
          <w:vAlign w:val="center"/>
          <w:hideMark/>
        </w:tcPr>
        <w:p w:rsidR="00C33485" w:rsidRPr="005A3173" w:rsidRDefault="00C334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C33485" w:rsidRPr="005A3173" w:rsidRDefault="00C33485" w:rsidP="005A3173">
          <w:pPr>
            <w:pStyle w:val="Header"/>
            <w:spacing w:line="276" w:lineRule="auto"/>
            <w:rPr>
              <w:rFonts w:ascii="Calibri" w:eastAsia="MS Gothic" w:hAnsi="Calibri"/>
              <w:b/>
              <w:bCs/>
              <w:color w:val="4F81BD"/>
            </w:rPr>
          </w:pPr>
        </w:p>
      </w:tc>
    </w:tr>
  </w:tbl>
  <w:p w:rsidR="00C33485" w:rsidRDefault="00C3348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485" w:rsidRDefault="00C33485">
    <w:pPr>
      <w:pStyle w:val="Footer"/>
    </w:pPr>
  </w:p>
  <w:p w:rsidR="00C33485" w:rsidRDefault="00C334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85" w:rsidRDefault="00C33485">
    <w:pPr>
      <w:pStyle w:val="Footer"/>
      <w:jc w:val="center"/>
    </w:pPr>
  </w:p>
  <w:p w:rsidR="00C33485" w:rsidRPr="007222C5" w:rsidRDefault="00C33485">
    <w:pPr>
      <w:pStyle w:val="Footer"/>
      <w:jc w:val="center"/>
      <w:rPr>
        <w:rFonts w:asciiTheme="minorHAnsi" w:hAnsiTheme="minorHAnsi" w:cstheme="minorHAnsi"/>
        <w:b/>
      </w:rPr>
    </w:pPr>
    <w:sdt>
      <w:sdtPr>
        <w:rPr>
          <w:rFonts w:asciiTheme="minorHAnsi" w:hAnsiTheme="minorHAnsi" w:cstheme="minorHAnsi"/>
          <w:b/>
        </w:rPr>
        <w:id w:val="968554157"/>
        <w:docPartObj>
          <w:docPartGallery w:val="Page Numbers (Bottom of Page)"/>
          <w:docPartUnique/>
        </w:docPartObj>
      </w:sdtPr>
      <w:sdtEndPr>
        <w:rPr>
          <w:noProof/>
        </w:rPr>
      </w:sdtEndPr>
      <w:sdtContent>
        <w:r w:rsidRPr="007222C5">
          <w:rPr>
            <w:rFonts w:asciiTheme="minorHAnsi" w:hAnsiTheme="minorHAnsi" w:cstheme="minorHAnsi"/>
            <w:b/>
          </w:rPr>
          <w:fldChar w:fldCharType="begin"/>
        </w:r>
        <w:r w:rsidRPr="007222C5">
          <w:rPr>
            <w:rFonts w:asciiTheme="minorHAnsi" w:hAnsiTheme="minorHAnsi" w:cstheme="minorHAnsi"/>
            <w:b/>
          </w:rPr>
          <w:instrText xml:space="preserve"> PAGE   \* MERGEFORMAT </w:instrText>
        </w:r>
        <w:r w:rsidRPr="007222C5">
          <w:rPr>
            <w:rFonts w:asciiTheme="minorHAnsi" w:hAnsiTheme="minorHAnsi" w:cstheme="minorHAnsi"/>
            <w:b/>
          </w:rPr>
          <w:fldChar w:fldCharType="separate"/>
        </w:r>
        <w:r w:rsidR="00671AF5">
          <w:rPr>
            <w:rFonts w:asciiTheme="minorHAnsi" w:hAnsiTheme="minorHAnsi" w:cstheme="minorHAnsi"/>
            <w:b/>
            <w:noProof/>
          </w:rPr>
          <w:t>19</w:t>
        </w:r>
        <w:r w:rsidRPr="007222C5">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33485" w:rsidTr="005A3173">
      <w:trPr>
        <w:trHeight w:val="151"/>
      </w:trPr>
      <w:tc>
        <w:tcPr>
          <w:tcW w:w="2250" w:type="pct"/>
          <w:tcBorders>
            <w:top w:val="nil"/>
            <w:left w:val="nil"/>
            <w:bottom w:val="single" w:sz="4" w:space="0" w:color="4F81BD"/>
            <w:right w:val="nil"/>
          </w:tcBorders>
        </w:tcPr>
        <w:p w:rsidR="00C33485" w:rsidRPr="005A3173" w:rsidRDefault="00C334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33485" w:rsidRPr="005A3173" w:rsidRDefault="00C334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33485" w:rsidRPr="005A3173" w:rsidRDefault="00C33485" w:rsidP="005A3173">
          <w:pPr>
            <w:pStyle w:val="Header"/>
            <w:spacing w:line="276" w:lineRule="auto"/>
            <w:rPr>
              <w:rFonts w:ascii="Calibri" w:eastAsia="MS Gothic" w:hAnsi="Calibri"/>
              <w:b/>
              <w:bCs/>
              <w:color w:val="4F81BD"/>
            </w:rPr>
          </w:pPr>
        </w:p>
      </w:tc>
    </w:tr>
    <w:tr w:rsidR="00C33485" w:rsidTr="005A3173">
      <w:trPr>
        <w:trHeight w:val="150"/>
      </w:trPr>
      <w:tc>
        <w:tcPr>
          <w:tcW w:w="2250" w:type="pct"/>
          <w:tcBorders>
            <w:top w:val="single" w:sz="4" w:space="0" w:color="4F81BD"/>
            <w:left w:val="nil"/>
            <w:bottom w:val="nil"/>
            <w:right w:val="nil"/>
          </w:tcBorders>
        </w:tcPr>
        <w:p w:rsidR="00C33485" w:rsidRPr="005A3173" w:rsidRDefault="00C33485" w:rsidP="005A3173">
          <w:pPr>
            <w:pStyle w:val="Header"/>
            <w:spacing w:line="276" w:lineRule="auto"/>
            <w:rPr>
              <w:rFonts w:ascii="Calibri" w:eastAsia="MS Gothic" w:hAnsi="Calibri"/>
              <w:b/>
              <w:bCs/>
              <w:color w:val="4F81BD"/>
            </w:rPr>
          </w:pPr>
        </w:p>
      </w:tc>
      <w:tc>
        <w:tcPr>
          <w:tcW w:w="0" w:type="auto"/>
          <w:vMerge/>
          <w:vAlign w:val="center"/>
          <w:hideMark/>
        </w:tcPr>
        <w:p w:rsidR="00C33485" w:rsidRPr="005A3173" w:rsidRDefault="00C334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C33485" w:rsidRPr="005A3173" w:rsidRDefault="00C3348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33485" w:rsidTr="005A3173">
      <w:trPr>
        <w:trHeight w:val="151"/>
      </w:trPr>
      <w:tc>
        <w:tcPr>
          <w:tcW w:w="2250" w:type="pct"/>
          <w:tcBorders>
            <w:top w:val="nil"/>
            <w:left w:val="nil"/>
            <w:bottom w:val="single" w:sz="4" w:space="0" w:color="4F81BD"/>
            <w:right w:val="nil"/>
          </w:tcBorders>
        </w:tcPr>
        <w:p w:rsidR="00C33485" w:rsidRPr="005A3173" w:rsidRDefault="00C334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33485" w:rsidRPr="005A3173" w:rsidRDefault="00C334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33485" w:rsidRPr="005A3173" w:rsidRDefault="00C33485" w:rsidP="005A3173">
          <w:pPr>
            <w:pStyle w:val="Header"/>
            <w:spacing w:line="276" w:lineRule="auto"/>
            <w:rPr>
              <w:rFonts w:ascii="Calibri" w:eastAsia="MS Gothic" w:hAnsi="Calibri"/>
              <w:b/>
              <w:bCs/>
              <w:color w:val="4F81BD"/>
            </w:rPr>
          </w:pPr>
        </w:p>
      </w:tc>
    </w:tr>
    <w:tr w:rsidR="00C33485" w:rsidTr="005A3173">
      <w:trPr>
        <w:trHeight w:val="150"/>
      </w:trPr>
      <w:tc>
        <w:tcPr>
          <w:tcW w:w="2250" w:type="pct"/>
          <w:tcBorders>
            <w:top w:val="single" w:sz="4" w:space="0" w:color="4F81BD"/>
            <w:left w:val="nil"/>
            <w:bottom w:val="nil"/>
            <w:right w:val="nil"/>
          </w:tcBorders>
        </w:tcPr>
        <w:p w:rsidR="00C33485" w:rsidRPr="005A3173" w:rsidRDefault="00C33485" w:rsidP="005A3173">
          <w:pPr>
            <w:pStyle w:val="Header"/>
            <w:spacing w:line="276" w:lineRule="auto"/>
            <w:rPr>
              <w:rFonts w:ascii="Calibri" w:eastAsia="MS Gothic" w:hAnsi="Calibri"/>
              <w:b/>
              <w:bCs/>
              <w:color w:val="4F81BD"/>
            </w:rPr>
          </w:pPr>
        </w:p>
      </w:tc>
      <w:tc>
        <w:tcPr>
          <w:tcW w:w="0" w:type="auto"/>
          <w:vMerge/>
          <w:vAlign w:val="center"/>
          <w:hideMark/>
        </w:tcPr>
        <w:p w:rsidR="00C33485" w:rsidRPr="005A3173" w:rsidRDefault="00C334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C33485" w:rsidRPr="005A3173" w:rsidRDefault="00C33485" w:rsidP="005A3173">
          <w:pPr>
            <w:pStyle w:val="Header"/>
            <w:spacing w:line="276" w:lineRule="auto"/>
            <w:rPr>
              <w:rFonts w:ascii="Calibri" w:eastAsia="MS Gothic" w:hAnsi="Calibri"/>
              <w:b/>
              <w:bCs/>
              <w:color w:val="4F81BD"/>
            </w:rPr>
          </w:pPr>
        </w:p>
      </w:tc>
    </w:tr>
  </w:tbl>
  <w:p w:rsidR="00C33485" w:rsidRPr="007C0F57" w:rsidRDefault="00C3348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33485" w:rsidRPr="007C0F57" w:rsidRDefault="00C33485" w:rsidP="007C0F57">
    <w:pPr>
      <w:pStyle w:val="Footer"/>
      <w:jc w:val="center"/>
      <w:rPr>
        <w:b/>
        <w:i/>
        <w:sz w:val="20"/>
        <w:szCs w:val="20"/>
      </w:rPr>
    </w:pPr>
    <w:r w:rsidRPr="007C0F57">
      <w:rPr>
        <w:b/>
        <w:i/>
        <w:sz w:val="20"/>
        <w:szCs w:val="20"/>
      </w:rPr>
      <w:t>Commercial-in-Confidence</w:t>
    </w:r>
  </w:p>
  <w:p w:rsidR="00C33485" w:rsidRDefault="00C334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485" w:rsidRDefault="00C33485">
      <w:r>
        <w:separator/>
      </w:r>
    </w:p>
    <w:p w:rsidR="00C33485" w:rsidRDefault="00C33485"/>
  </w:footnote>
  <w:footnote w:type="continuationSeparator" w:id="0">
    <w:p w:rsidR="00C33485" w:rsidRDefault="00C33485">
      <w:r>
        <w:continuationSeparator/>
      </w:r>
    </w:p>
    <w:p w:rsidR="00C33485" w:rsidRDefault="00C33485"/>
  </w:footnote>
  <w:footnote w:id="1">
    <w:p w:rsidR="00C33485" w:rsidRPr="00850D19" w:rsidRDefault="00C33485" w:rsidP="00F52906">
      <w:pPr>
        <w:spacing w:line="259" w:lineRule="auto"/>
        <w:rPr>
          <w:rFonts w:asciiTheme="minorHAnsi" w:eastAsia="Calibri" w:hAnsiTheme="minorHAnsi" w:cstheme="minorHAnsi"/>
          <w:sz w:val="18"/>
          <w:szCs w:val="18"/>
        </w:rPr>
      </w:pPr>
      <w:r w:rsidRPr="00850D19">
        <w:rPr>
          <w:rStyle w:val="FootnoteReference"/>
          <w:rFonts w:asciiTheme="minorHAnsi" w:hAnsiTheme="minorHAnsi" w:cstheme="minorHAnsi"/>
          <w:sz w:val="18"/>
          <w:szCs w:val="18"/>
        </w:rPr>
        <w:footnoteRef/>
      </w:r>
      <w:r w:rsidRPr="00850D19">
        <w:rPr>
          <w:rFonts w:asciiTheme="minorHAnsi" w:hAnsiTheme="minorHAnsi" w:cstheme="minorHAnsi"/>
          <w:sz w:val="18"/>
          <w:szCs w:val="18"/>
        </w:rPr>
        <w:t xml:space="preserve"> </w:t>
      </w:r>
      <w:r w:rsidRPr="00850D19">
        <w:rPr>
          <w:rFonts w:asciiTheme="minorHAnsi" w:eastAsia="Calibri" w:hAnsiTheme="minorHAnsi" w:cstheme="minorHAnsi"/>
          <w:sz w:val="18"/>
          <w:szCs w:val="18"/>
        </w:rPr>
        <w:t>DSM5. American Psychiatric Association: Diagnostic and Statistical Manual of Mental Disorders: Diagnostic and Statistical Manual of Mental Disorders, Fifth Edition. Arlington, VA: American Psychiatric Association, 2013</w:t>
      </w:r>
    </w:p>
  </w:footnote>
  <w:footnote w:id="2">
    <w:p w:rsidR="00C33485" w:rsidRPr="00850D19" w:rsidRDefault="00C33485" w:rsidP="00F52906">
      <w:pPr>
        <w:spacing w:line="259" w:lineRule="auto"/>
        <w:rPr>
          <w:rFonts w:asciiTheme="minorHAnsi" w:eastAsia="Calibri" w:hAnsiTheme="minorHAnsi" w:cstheme="minorHAnsi"/>
          <w:bCs/>
          <w:sz w:val="18"/>
          <w:szCs w:val="18"/>
        </w:rPr>
      </w:pPr>
      <w:r w:rsidRPr="00850D19">
        <w:rPr>
          <w:rStyle w:val="FootnoteReference"/>
          <w:rFonts w:asciiTheme="minorHAnsi" w:hAnsiTheme="minorHAnsi" w:cstheme="minorHAnsi"/>
          <w:sz w:val="18"/>
          <w:szCs w:val="18"/>
        </w:rPr>
        <w:footnoteRef/>
      </w:r>
      <w:r w:rsidRPr="00850D19">
        <w:rPr>
          <w:rFonts w:asciiTheme="minorHAnsi" w:hAnsiTheme="minorHAnsi" w:cstheme="minorHAnsi"/>
          <w:sz w:val="18"/>
          <w:szCs w:val="18"/>
        </w:rPr>
        <w:t xml:space="preserve"> </w:t>
      </w:r>
      <w:r w:rsidRPr="00850D19">
        <w:rPr>
          <w:rFonts w:asciiTheme="minorHAnsi" w:eastAsia="Calibri" w:hAnsiTheme="minorHAnsi" w:cstheme="minorHAnsi"/>
          <w:bCs/>
          <w:sz w:val="18"/>
          <w:szCs w:val="18"/>
        </w:rPr>
        <w:t>ICD-11 International Classification of Diseases 11th Revision The global standard for diagnostic health information. Availa</w:t>
      </w:r>
      <w:r>
        <w:rPr>
          <w:rFonts w:asciiTheme="minorHAnsi" w:eastAsia="Calibri" w:hAnsiTheme="minorHAnsi" w:cstheme="minorHAnsi"/>
          <w:bCs/>
          <w:sz w:val="18"/>
          <w:szCs w:val="18"/>
        </w:rPr>
        <w:t xml:space="preserve">ble at. </w:t>
      </w:r>
      <w:hyperlink r:id="rId1" w:history="1">
        <w:r w:rsidRPr="0023233B">
          <w:rPr>
            <w:rStyle w:val="Hyperlink"/>
            <w:rFonts w:asciiTheme="minorHAnsi" w:eastAsia="Calibri" w:hAnsiTheme="minorHAnsi" w:cstheme="minorHAnsi"/>
            <w:bCs/>
            <w:sz w:val="18"/>
            <w:szCs w:val="18"/>
          </w:rPr>
          <w:t>https://icd.who.int/en</w:t>
        </w:r>
      </w:hyperlink>
      <w:r>
        <w:rPr>
          <w:rFonts w:asciiTheme="minorHAnsi" w:eastAsia="Calibri" w:hAnsiTheme="minorHAnsi" w:cstheme="minorHAnsi"/>
          <w:bCs/>
          <w:sz w:val="18"/>
          <w:szCs w:val="18"/>
        </w:rPr>
        <w:t xml:space="preserve"> </w:t>
      </w:r>
    </w:p>
  </w:footnote>
  <w:footnote w:id="3">
    <w:p w:rsidR="00C33485" w:rsidRDefault="00C33485" w:rsidP="00F52906">
      <w:pPr>
        <w:pStyle w:val="FootnoteText"/>
      </w:pPr>
      <w:r w:rsidRPr="00850D19">
        <w:rPr>
          <w:rStyle w:val="FootnoteReference"/>
          <w:rFonts w:asciiTheme="minorHAnsi" w:hAnsiTheme="minorHAnsi" w:cstheme="minorHAnsi"/>
          <w:sz w:val="18"/>
          <w:szCs w:val="18"/>
        </w:rPr>
        <w:footnoteRef/>
      </w:r>
      <w:r w:rsidRPr="00850D19">
        <w:rPr>
          <w:rFonts w:asciiTheme="minorHAnsi" w:hAnsiTheme="minorHAnsi" w:cstheme="minorHAnsi"/>
          <w:sz w:val="18"/>
          <w:szCs w:val="18"/>
        </w:rPr>
        <w:t xml:space="preserve"> </w:t>
      </w:r>
      <w:hyperlink r:id="rId2" w:anchor="PRODUCTINFO" w:history="1">
        <w:r w:rsidRPr="00850D19">
          <w:rPr>
            <w:rStyle w:val="Hyperlink"/>
            <w:rFonts w:asciiTheme="minorHAnsi" w:hAnsiTheme="minorHAnsi" w:cstheme="minorHAnsi"/>
            <w:sz w:val="18"/>
            <w:szCs w:val="18"/>
          </w:rPr>
          <w:t>https://www.medicines.org.uk/emc/product/7504/smpc#PRODUCTINFO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33485" w:rsidRPr="008E0D90" w:rsidTr="00A06225">
      <w:trPr>
        <w:trHeight w:val="151"/>
      </w:trPr>
      <w:tc>
        <w:tcPr>
          <w:tcW w:w="2389" w:type="pct"/>
          <w:tcBorders>
            <w:top w:val="nil"/>
            <w:left w:val="nil"/>
            <w:bottom w:val="single" w:sz="4" w:space="0" w:color="4F81BD"/>
            <w:right w:val="nil"/>
          </w:tcBorders>
        </w:tcPr>
        <w:p w:rsidR="00C33485" w:rsidRPr="00A06225" w:rsidRDefault="00C33485">
          <w:pPr>
            <w:pStyle w:val="Header"/>
            <w:spacing w:line="276" w:lineRule="auto"/>
            <w:rPr>
              <w:rFonts w:ascii="Cambria" w:eastAsia="MS Gothic" w:hAnsi="Cambria"/>
              <w:b/>
              <w:bCs/>
              <w:color w:val="4F81BD"/>
            </w:rPr>
          </w:pPr>
        </w:p>
      </w:tc>
      <w:tc>
        <w:tcPr>
          <w:tcW w:w="333" w:type="pct"/>
          <w:vMerge w:val="restart"/>
          <w:noWrap/>
          <w:vAlign w:val="center"/>
          <w:hideMark/>
        </w:tcPr>
        <w:p w:rsidR="00C33485" w:rsidRPr="00A06225" w:rsidRDefault="00C334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33485" w:rsidRPr="00A06225" w:rsidRDefault="00C33485">
          <w:pPr>
            <w:pStyle w:val="Header"/>
            <w:spacing w:line="276" w:lineRule="auto"/>
            <w:rPr>
              <w:rFonts w:ascii="Cambria" w:eastAsia="MS Gothic" w:hAnsi="Cambria"/>
              <w:b/>
              <w:bCs/>
              <w:color w:val="4F81BD"/>
            </w:rPr>
          </w:pPr>
        </w:p>
      </w:tc>
    </w:tr>
    <w:tr w:rsidR="00C33485" w:rsidRPr="008E0D90" w:rsidTr="00A06225">
      <w:trPr>
        <w:trHeight w:val="150"/>
      </w:trPr>
      <w:tc>
        <w:tcPr>
          <w:tcW w:w="2389" w:type="pct"/>
          <w:tcBorders>
            <w:top w:val="single" w:sz="4" w:space="0" w:color="4F81BD"/>
            <w:left w:val="nil"/>
            <w:bottom w:val="nil"/>
            <w:right w:val="nil"/>
          </w:tcBorders>
        </w:tcPr>
        <w:p w:rsidR="00C33485" w:rsidRPr="00A06225" w:rsidRDefault="00C33485">
          <w:pPr>
            <w:pStyle w:val="Header"/>
            <w:spacing w:line="276" w:lineRule="auto"/>
            <w:rPr>
              <w:rFonts w:ascii="Cambria" w:eastAsia="MS Gothic" w:hAnsi="Cambria"/>
              <w:b/>
              <w:bCs/>
              <w:color w:val="4F81BD"/>
            </w:rPr>
          </w:pPr>
        </w:p>
      </w:tc>
      <w:tc>
        <w:tcPr>
          <w:tcW w:w="0" w:type="auto"/>
          <w:vMerge/>
          <w:vAlign w:val="center"/>
          <w:hideMark/>
        </w:tcPr>
        <w:p w:rsidR="00C33485" w:rsidRPr="00A06225" w:rsidRDefault="00C33485">
          <w:pPr>
            <w:rPr>
              <w:rFonts w:ascii="Cambria" w:hAnsi="Cambria"/>
              <w:color w:val="4F81BD"/>
              <w:sz w:val="22"/>
              <w:szCs w:val="22"/>
            </w:rPr>
          </w:pPr>
        </w:p>
      </w:tc>
      <w:tc>
        <w:tcPr>
          <w:tcW w:w="2278" w:type="pct"/>
          <w:tcBorders>
            <w:top w:val="single" w:sz="4" w:space="0" w:color="4F81BD"/>
            <w:left w:val="nil"/>
            <w:bottom w:val="nil"/>
            <w:right w:val="nil"/>
          </w:tcBorders>
        </w:tcPr>
        <w:p w:rsidR="00C33485" w:rsidRPr="00A06225" w:rsidRDefault="00C33485">
          <w:pPr>
            <w:pStyle w:val="Header"/>
            <w:spacing w:line="276" w:lineRule="auto"/>
            <w:rPr>
              <w:rFonts w:ascii="Cambria" w:eastAsia="MS Gothic" w:hAnsi="Cambria"/>
              <w:b/>
              <w:bCs/>
              <w:color w:val="4F81BD"/>
            </w:rPr>
          </w:pPr>
        </w:p>
      </w:tc>
    </w:tr>
  </w:tbl>
  <w:p w:rsidR="00C33485" w:rsidRDefault="00C33485">
    <w:pPr>
      <w:pStyle w:val="Header"/>
    </w:pPr>
  </w:p>
  <w:p w:rsidR="00C33485" w:rsidRDefault="00C334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85" w:rsidRDefault="00C33485" w:rsidP="007222C5">
    <w:pPr>
      <w:pStyle w:val="MinorOVRHeader"/>
      <w:jc w:val="center"/>
      <w:rPr>
        <w:i/>
      </w:rPr>
    </w:pPr>
    <w:r>
      <w:rPr>
        <w:i/>
      </w:rPr>
      <w:t>Public Summary Document – March 2020 PBAC Meeting</w:t>
    </w:r>
  </w:p>
  <w:p w:rsidR="00C33485" w:rsidRDefault="00C3348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AF5" w:rsidRDefault="0067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D75F3"/>
    <w:multiLevelType w:val="hybridMultilevel"/>
    <w:tmpl w:val="7DE41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A909AD"/>
    <w:multiLevelType w:val="hybridMultilevel"/>
    <w:tmpl w:val="AB28A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F821E1"/>
    <w:multiLevelType w:val="hybridMultilevel"/>
    <w:tmpl w:val="12AA72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008F0"/>
    <w:multiLevelType w:val="hybridMultilevel"/>
    <w:tmpl w:val="5FDAB4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94A00"/>
    <w:multiLevelType w:val="hybridMultilevel"/>
    <w:tmpl w:val="2758C796"/>
    <w:lvl w:ilvl="0" w:tplc="66CE75D8">
      <w:start w:val="1"/>
      <w:numFmt w:val="bullet"/>
      <w:lvlText w:val="•"/>
      <w:lvlJc w:val="left"/>
      <w:pPr>
        <w:tabs>
          <w:tab w:val="num" w:pos="720"/>
        </w:tabs>
        <w:ind w:left="720" w:hanging="360"/>
      </w:pPr>
      <w:rPr>
        <w:rFonts w:ascii="Arial" w:hAnsi="Arial" w:hint="default"/>
      </w:rPr>
    </w:lvl>
    <w:lvl w:ilvl="1" w:tplc="5BB2104E" w:tentative="1">
      <w:start w:val="1"/>
      <w:numFmt w:val="bullet"/>
      <w:lvlText w:val="•"/>
      <w:lvlJc w:val="left"/>
      <w:pPr>
        <w:tabs>
          <w:tab w:val="num" w:pos="1440"/>
        </w:tabs>
        <w:ind w:left="1440" w:hanging="360"/>
      </w:pPr>
      <w:rPr>
        <w:rFonts w:ascii="Arial" w:hAnsi="Arial" w:hint="default"/>
      </w:rPr>
    </w:lvl>
    <w:lvl w:ilvl="2" w:tplc="C152DC5A" w:tentative="1">
      <w:start w:val="1"/>
      <w:numFmt w:val="bullet"/>
      <w:lvlText w:val="•"/>
      <w:lvlJc w:val="left"/>
      <w:pPr>
        <w:tabs>
          <w:tab w:val="num" w:pos="2160"/>
        </w:tabs>
        <w:ind w:left="2160" w:hanging="360"/>
      </w:pPr>
      <w:rPr>
        <w:rFonts w:ascii="Arial" w:hAnsi="Arial" w:hint="default"/>
      </w:rPr>
    </w:lvl>
    <w:lvl w:ilvl="3" w:tplc="083057C0" w:tentative="1">
      <w:start w:val="1"/>
      <w:numFmt w:val="bullet"/>
      <w:lvlText w:val="•"/>
      <w:lvlJc w:val="left"/>
      <w:pPr>
        <w:tabs>
          <w:tab w:val="num" w:pos="2880"/>
        </w:tabs>
        <w:ind w:left="2880" w:hanging="360"/>
      </w:pPr>
      <w:rPr>
        <w:rFonts w:ascii="Arial" w:hAnsi="Arial" w:hint="default"/>
      </w:rPr>
    </w:lvl>
    <w:lvl w:ilvl="4" w:tplc="E3AE3C16" w:tentative="1">
      <w:start w:val="1"/>
      <w:numFmt w:val="bullet"/>
      <w:lvlText w:val="•"/>
      <w:lvlJc w:val="left"/>
      <w:pPr>
        <w:tabs>
          <w:tab w:val="num" w:pos="3600"/>
        </w:tabs>
        <w:ind w:left="3600" w:hanging="360"/>
      </w:pPr>
      <w:rPr>
        <w:rFonts w:ascii="Arial" w:hAnsi="Arial" w:hint="default"/>
      </w:rPr>
    </w:lvl>
    <w:lvl w:ilvl="5" w:tplc="88D25776" w:tentative="1">
      <w:start w:val="1"/>
      <w:numFmt w:val="bullet"/>
      <w:lvlText w:val="•"/>
      <w:lvlJc w:val="left"/>
      <w:pPr>
        <w:tabs>
          <w:tab w:val="num" w:pos="4320"/>
        </w:tabs>
        <w:ind w:left="4320" w:hanging="360"/>
      </w:pPr>
      <w:rPr>
        <w:rFonts w:ascii="Arial" w:hAnsi="Arial" w:hint="default"/>
      </w:rPr>
    </w:lvl>
    <w:lvl w:ilvl="6" w:tplc="C0946E3C" w:tentative="1">
      <w:start w:val="1"/>
      <w:numFmt w:val="bullet"/>
      <w:lvlText w:val="•"/>
      <w:lvlJc w:val="left"/>
      <w:pPr>
        <w:tabs>
          <w:tab w:val="num" w:pos="5040"/>
        </w:tabs>
        <w:ind w:left="5040" w:hanging="360"/>
      </w:pPr>
      <w:rPr>
        <w:rFonts w:ascii="Arial" w:hAnsi="Arial" w:hint="default"/>
      </w:rPr>
    </w:lvl>
    <w:lvl w:ilvl="7" w:tplc="604247FC" w:tentative="1">
      <w:start w:val="1"/>
      <w:numFmt w:val="bullet"/>
      <w:lvlText w:val="•"/>
      <w:lvlJc w:val="left"/>
      <w:pPr>
        <w:tabs>
          <w:tab w:val="num" w:pos="5760"/>
        </w:tabs>
        <w:ind w:left="5760" w:hanging="360"/>
      </w:pPr>
      <w:rPr>
        <w:rFonts w:ascii="Arial" w:hAnsi="Arial" w:hint="default"/>
      </w:rPr>
    </w:lvl>
    <w:lvl w:ilvl="8" w:tplc="0888AC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281F5D"/>
    <w:multiLevelType w:val="hybridMultilevel"/>
    <w:tmpl w:val="DB5E247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CEC3527"/>
    <w:multiLevelType w:val="hybridMultilevel"/>
    <w:tmpl w:val="AD88D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37D27"/>
    <w:multiLevelType w:val="hybridMultilevel"/>
    <w:tmpl w:val="4F3883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EB11692"/>
    <w:multiLevelType w:val="hybridMultilevel"/>
    <w:tmpl w:val="274850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3187DA7"/>
    <w:multiLevelType w:val="hybridMultilevel"/>
    <w:tmpl w:val="A20C1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5C1B5F"/>
    <w:multiLevelType w:val="hybridMultilevel"/>
    <w:tmpl w:val="A742216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8700AAA"/>
    <w:multiLevelType w:val="hybridMultilevel"/>
    <w:tmpl w:val="AD728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606394"/>
    <w:multiLevelType w:val="hybridMultilevel"/>
    <w:tmpl w:val="F1DE7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92F5F"/>
    <w:multiLevelType w:val="hybridMultilevel"/>
    <w:tmpl w:val="240C5D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E5117B7"/>
    <w:multiLevelType w:val="hybridMultilevel"/>
    <w:tmpl w:val="938CC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4A45C1"/>
    <w:multiLevelType w:val="hybridMultilevel"/>
    <w:tmpl w:val="63DA2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91343D"/>
    <w:multiLevelType w:val="hybridMultilevel"/>
    <w:tmpl w:val="71229C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856BEA"/>
    <w:multiLevelType w:val="hybridMultilevel"/>
    <w:tmpl w:val="7C0A0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66B5998"/>
    <w:multiLevelType w:val="hybridMultilevel"/>
    <w:tmpl w:val="B95EE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93563F6"/>
    <w:multiLevelType w:val="hybridMultilevel"/>
    <w:tmpl w:val="6248C0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28" w15:restartNumberingAfterBreak="0">
    <w:nsid w:val="3FDD3C5A"/>
    <w:multiLevelType w:val="hybridMultilevel"/>
    <w:tmpl w:val="0136AF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9C3896"/>
    <w:multiLevelType w:val="hybridMultilevel"/>
    <w:tmpl w:val="3D58D7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CE680C"/>
    <w:multiLevelType w:val="hybridMultilevel"/>
    <w:tmpl w:val="BFCCB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E695DA9"/>
    <w:multiLevelType w:val="hybridMultilevel"/>
    <w:tmpl w:val="F0E2CB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1349DE"/>
    <w:multiLevelType w:val="hybridMultilevel"/>
    <w:tmpl w:val="03F2B4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978F8"/>
    <w:multiLevelType w:val="hybridMultilevel"/>
    <w:tmpl w:val="3C70F0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25936DA"/>
    <w:multiLevelType w:val="hybridMultilevel"/>
    <w:tmpl w:val="1F5442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42A7BB5"/>
    <w:multiLevelType w:val="hybridMultilevel"/>
    <w:tmpl w:val="1278E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57F12DA"/>
    <w:multiLevelType w:val="hybridMultilevel"/>
    <w:tmpl w:val="C3C29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8E568D6"/>
    <w:multiLevelType w:val="hybridMultilevel"/>
    <w:tmpl w:val="72848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5B2BA0"/>
    <w:multiLevelType w:val="hybridMultilevel"/>
    <w:tmpl w:val="FC8A03F0"/>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4D033C"/>
    <w:multiLevelType w:val="multilevel"/>
    <w:tmpl w:val="E15291DC"/>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96352E"/>
    <w:multiLevelType w:val="hybridMultilevel"/>
    <w:tmpl w:val="B0B8F7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3"/>
  </w:num>
  <w:num w:numId="2">
    <w:abstractNumId w:val="0"/>
  </w:num>
  <w:num w:numId="3">
    <w:abstractNumId w:val="43"/>
  </w:num>
  <w:num w:numId="4">
    <w:abstractNumId w:val="37"/>
  </w:num>
  <w:num w:numId="5">
    <w:abstractNumId w:val="29"/>
  </w:num>
  <w:num w:numId="6">
    <w:abstractNumId w:val="27"/>
    <w:lvlOverride w:ilvl="0">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0"/>
  </w:num>
  <w:num w:numId="10">
    <w:abstractNumId w:val="10"/>
  </w:num>
  <w:num w:numId="11">
    <w:abstractNumId w:val="31"/>
  </w:num>
  <w:num w:numId="12">
    <w:abstractNumId w:val="21"/>
  </w:num>
  <w:num w:numId="13">
    <w:abstractNumId w:val="41"/>
  </w:num>
  <w:num w:numId="14">
    <w:abstractNumId w:val="4"/>
  </w:num>
  <w:num w:numId="15">
    <w:abstractNumId w:val="22"/>
  </w:num>
  <w:num w:numId="16">
    <w:abstractNumId w:val="6"/>
  </w:num>
  <w:num w:numId="17">
    <w:abstractNumId w:val="39"/>
  </w:num>
  <w:num w:numId="18">
    <w:abstractNumId w:val="24"/>
  </w:num>
  <w:num w:numId="19">
    <w:abstractNumId w:val="2"/>
  </w:num>
  <w:num w:numId="20">
    <w:abstractNumId w:val="9"/>
  </w:num>
  <w:num w:numId="21">
    <w:abstractNumId w:val="40"/>
  </w:num>
  <w:num w:numId="22">
    <w:abstractNumId w:val="28"/>
  </w:num>
  <w:num w:numId="23">
    <w:abstractNumId w:val="36"/>
  </w:num>
  <w:num w:numId="24">
    <w:abstractNumId w:val="20"/>
  </w:num>
  <w:num w:numId="25">
    <w:abstractNumId w:val="42"/>
  </w:num>
  <w:num w:numId="26">
    <w:abstractNumId w:val="3"/>
  </w:num>
  <w:num w:numId="27">
    <w:abstractNumId w:val="17"/>
  </w:num>
  <w:num w:numId="28">
    <w:abstractNumId w:val="43"/>
    <w:lvlOverride w:ilvl="0">
      <w:startOverride w:val="3"/>
    </w:lvlOverride>
    <w:lvlOverride w:ilvl="1">
      <w:startOverride w:val="4"/>
    </w:lvlOverride>
  </w:num>
  <w:num w:numId="29">
    <w:abstractNumId w:val="38"/>
  </w:num>
  <w:num w:numId="30">
    <w:abstractNumId w:val="7"/>
  </w:num>
  <w:num w:numId="31">
    <w:abstractNumId w:val="13"/>
  </w:num>
  <w:num w:numId="32">
    <w:abstractNumId w:val="33"/>
  </w:num>
  <w:num w:numId="33">
    <w:abstractNumId w:val="34"/>
  </w:num>
  <w:num w:numId="34">
    <w:abstractNumId w:val="5"/>
  </w:num>
  <w:num w:numId="35">
    <w:abstractNumId w:val="1"/>
  </w:num>
  <w:num w:numId="36">
    <w:abstractNumId w:val="15"/>
  </w:num>
  <w:num w:numId="37">
    <w:abstractNumId w:val="19"/>
  </w:num>
  <w:num w:numId="38">
    <w:abstractNumId w:val="14"/>
  </w:num>
  <w:num w:numId="39">
    <w:abstractNumId w:val="43"/>
  </w:num>
  <w:num w:numId="40">
    <w:abstractNumId w:val="25"/>
  </w:num>
  <w:num w:numId="41">
    <w:abstractNumId w:val="8"/>
  </w:num>
  <w:num w:numId="42">
    <w:abstractNumId w:val="43"/>
  </w:num>
  <w:num w:numId="43">
    <w:abstractNumId w:val="18"/>
  </w:num>
  <w:num w:numId="44">
    <w:abstractNumId w:val="26"/>
  </w:num>
  <w:num w:numId="45">
    <w:abstractNumId w:val="12"/>
  </w:num>
  <w:num w:numId="46">
    <w:abstractNumId w:val="32"/>
  </w:num>
  <w:num w:numId="47">
    <w:abstractNumId w:val="44"/>
  </w:num>
  <w:num w:numId="48">
    <w:abstractNumId w:val="16"/>
  </w:num>
  <w:num w:numId="49">
    <w:abstractNumId w:val="23"/>
  </w:num>
  <w:num w:numId="50">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B92"/>
    <w:rsid w:val="000025AD"/>
    <w:rsid w:val="000027B7"/>
    <w:rsid w:val="0000335D"/>
    <w:rsid w:val="00011A59"/>
    <w:rsid w:val="00012367"/>
    <w:rsid w:val="00016A41"/>
    <w:rsid w:val="00017105"/>
    <w:rsid w:val="000214D1"/>
    <w:rsid w:val="00021C9C"/>
    <w:rsid w:val="0002464A"/>
    <w:rsid w:val="0003106B"/>
    <w:rsid w:val="00031FEB"/>
    <w:rsid w:val="00034905"/>
    <w:rsid w:val="0004195D"/>
    <w:rsid w:val="000421A1"/>
    <w:rsid w:val="0004240E"/>
    <w:rsid w:val="00045E26"/>
    <w:rsid w:val="000514B5"/>
    <w:rsid w:val="00052966"/>
    <w:rsid w:val="00055282"/>
    <w:rsid w:val="00060E64"/>
    <w:rsid w:val="00062D6E"/>
    <w:rsid w:val="00065FB0"/>
    <w:rsid w:val="00066755"/>
    <w:rsid w:val="0006753B"/>
    <w:rsid w:val="00074EC2"/>
    <w:rsid w:val="000763D5"/>
    <w:rsid w:val="0007660B"/>
    <w:rsid w:val="00077143"/>
    <w:rsid w:val="0008117C"/>
    <w:rsid w:val="00082169"/>
    <w:rsid w:val="00087353"/>
    <w:rsid w:val="000918CB"/>
    <w:rsid w:val="00091B06"/>
    <w:rsid w:val="000951C4"/>
    <w:rsid w:val="00095ADA"/>
    <w:rsid w:val="000969AD"/>
    <w:rsid w:val="000A3AA2"/>
    <w:rsid w:val="000A44B2"/>
    <w:rsid w:val="000B4038"/>
    <w:rsid w:val="000B44C3"/>
    <w:rsid w:val="000B527B"/>
    <w:rsid w:val="000B558D"/>
    <w:rsid w:val="000C5F95"/>
    <w:rsid w:val="000C6996"/>
    <w:rsid w:val="000D09E9"/>
    <w:rsid w:val="000D23BA"/>
    <w:rsid w:val="000D2AE9"/>
    <w:rsid w:val="000D5600"/>
    <w:rsid w:val="000E681E"/>
    <w:rsid w:val="000F0003"/>
    <w:rsid w:val="000F3384"/>
    <w:rsid w:val="000F4E6A"/>
    <w:rsid w:val="000F52B7"/>
    <w:rsid w:val="000F692E"/>
    <w:rsid w:val="000F7354"/>
    <w:rsid w:val="00100414"/>
    <w:rsid w:val="00102202"/>
    <w:rsid w:val="00104227"/>
    <w:rsid w:val="001107BF"/>
    <w:rsid w:val="00112369"/>
    <w:rsid w:val="00113649"/>
    <w:rsid w:val="00114288"/>
    <w:rsid w:val="0012417C"/>
    <w:rsid w:val="00125031"/>
    <w:rsid w:val="0012749D"/>
    <w:rsid w:val="00133B1C"/>
    <w:rsid w:val="0013440B"/>
    <w:rsid w:val="00142395"/>
    <w:rsid w:val="00142714"/>
    <w:rsid w:val="00142E41"/>
    <w:rsid w:val="001452ED"/>
    <w:rsid w:val="00146D9E"/>
    <w:rsid w:val="00147D84"/>
    <w:rsid w:val="00151377"/>
    <w:rsid w:val="001549C1"/>
    <w:rsid w:val="00161BD0"/>
    <w:rsid w:val="001621FC"/>
    <w:rsid w:val="00162D4E"/>
    <w:rsid w:val="00163329"/>
    <w:rsid w:val="00164623"/>
    <w:rsid w:val="001652DE"/>
    <w:rsid w:val="00165B64"/>
    <w:rsid w:val="001664DE"/>
    <w:rsid w:val="00180713"/>
    <w:rsid w:val="001830CE"/>
    <w:rsid w:val="00184C46"/>
    <w:rsid w:val="0018643B"/>
    <w:rsid w:val="001878BB"/>
    <w:rsid w:val="00193AD4"/>
    <w:rsid w:val="00196307"/>
    <w:rsid w:val="00196ADF"/>
    <w:rsid w:val="001A2EBC"/>
    <w:rsid w:val="001A33EA"/>
    <w:rsid w:val="001A4C4F"/>
    <w:rsid w:val="001A53A2"/>
    <w:rsid w:val="001A76FB"/>
    <w:rsid w:val="001B017F"/>
    <w:rsid w:val="001B2BBC"/>
    <w:rsid w:val="001B340D"/>
    <w:rsid w:val="001B3FFE"/>
    <w:rsid w:val="001B4877"/>
    <w:rsid w:val="001B5129"/>
    <w:rsid w:val="001C0B4C"/>
    <w:rsid w:val="001C1195"/>
    <w:rsid w:val="001C23C0"/>
    <w:rsid w:val="001C510F"/>
    <w:rsid w:val="001C59B0"/>
    <w:rsid w:val="001D1F5F"/>
    <w:rsid w:val="001D2202"/>
    <w:rsid w:val="001D4188"/>
    <w:rsid w:val="001D48F6"/>
    <w:rsid w:val="001E06D2"/>
    <w:rsid w:val="001E0D66"/>
    <w:rsid w:val="001E4DBF"/>
    <w:rsid w:val="001F1850"/>
    <w:rsid w:val="001F3189"/>
    <w:rsid w:val="00203FAC"/>
    <w:rsid w:val="002074BE"/>
    <w:rsid w:val="00210AEE"/>
    <w:rsid w:val="00211082"/>
    <w:rsid w:val="00213CFB"/>
    <w:rsid w:val="0021553C"/>
    <w:rsid w:val="0021557B"/>
    <w:rsid w:val="002174FD"/>
    <w:rsid w:val="00217BE1"/>
    <w:rsid w:val="00223413"/>
    <w:rsid w:val="00225753"/>
    <w:rsid w:val="00234252"/>
    <w:rsid w:val="00237AC6"/>
    <w:rsid w:val="00241149"/>
    <w:rsid w:val="00244490"/>
    <w:rsid w:val="00247DF0"/>
    <w:rsid w:val="00251E6F"/>
    <w:rsid w:val="0025300B"/>
    <w:rsid w:val="00253499"/>
    <w:rsid w:val="0025444B"/>
    <w:rsid w:val="002551A4"/>
    <w:rsid w:val="00257664"/>
    <w:rsid w:val="00262E71"/>
    <w:rsid w:val="00264031"/>
    <w:rsid w:val="002645B8"/>
    <w:rsid w:val="00265151"/>
    <w:rsid w:val="00266509"/>
    <w:rsid w:val="00271BA1"/>
    <w:rsid w:val="002762FA"/>
    <w:rsid w:val="002767F5"/>
    <w:rsid w:val="00277505"/>
    <w:rsid w:val="002823B6"/>
    <w:rsid w:val="00283724"/>
    <w:rsid w:val="002867A6"/>
    <w:rsid w:val="0029090F"/>
    <w:rsid w:val="00293490"/>
    <w:rsid w:val="00294274"/>
    <w:rsid w:val="0029458F"/>
    <w:rsid w:val="00297A76"/>
    <w:rsid w:val="002A0E04"/>
    <w:rsid w:val="002A104C"/>
    <w:rsid w:val="002A2FEA"/>
    <w:rsid w:val="002A494D"/>
    <w:rsid w:val="002A4960"/>
    <w:rsid w:val="002A6414"/>
    <w:rsid w:val="002B086C"/>
    <w:rsid w:val="002B0AE0"/>
    <w:rsid w:val="002B1AE6"/>
    <w:rsid w:val="002B1D51"/>
    <w:rsid w:val="002B2DE8"/>
    <w:rsid w:val="002B30F8"/>
    <w:rsid w:val="002B388A"/>
    <w:rsid w:val="002B5455"/>
    <w:rsid w:val="002B5596"/>
    <w:rsid w:val="002B6914"/>
    <w:rsid w:val="002B6A62"/>
    <w:rsid w:val="002C212F"/>
    <w:rsid w:val="002C6742"/>
    <w:rsid w:val="002C6917"/>
    <w:rsid w:val="002C7485"/>
    <w:rsid w:val="002D0CF8"/>
    <w:rsid w:val="002D283A"/>
    <w:rsid w:val="002D4543"/>
    <w:rsid w:val="002D7658"/>
    <w:rsid w:val="002E1AF2"/>
    <w:rsid w:val="002E3153"/>
    <w:rsid w:val="002E3806"/>
    <w:rsid w:val="002E48D8"/>
    <w:rsid w:val="002E5292"/>
    <w:rsid w:val="002E620C"/>
    <w:rsid w:val="002E72CA"/>
    <w:rsid w:val="002F2067"/>
    <w:rsid w:val="002F4D2D"/>
    <w:rsid w:val="002F507C"/>
    <w:rsid w:val="002F600D"/>
    <w:rsid w:val="002F78F7"/>
    <w:rsid w:val="00300AD6"/>
    <w:rsid w:val="00300B1B"/>
    <w:rsid w:val="003019D0"/>
    <w:rsid w:val="003064AF"/>
    <w:rsid w:val="00315C97"/>
    <w:rsid w:val="00315F8F"/>
    <w:rsid w:val="00317C6C"/>
    <w:rsid w:val="00320CD3"/>
    <w:rsid w:val="00322856"/>
    <w:rsid w:val="0032364F"/>
    <w:rsid w:val="00326E79"/>
    <w:rsid w:val="003301B1"/>
    <w:rsid w:val="0033114B"/>
    <w:rsid w:val="00331189"/>
    <w:rsid w:val="00331395"/>
    <w:rsid w:val="0033263D"/>
    <w:rsid w:val="0033518A"/>
    <w:rsid w:val="003367EF"/>
    <w:rsid w:val="00341AE4"/>
    <w:rsid w:val="00342A8F"/>
    <w:rsid w:val="00343E62"/>
    <w:rsid w:val="00344694"/>
    <w:rsid w:val="003476EE"/>
    <w:rsid w:val="00347E55"/>
    <w:rsid w:val="003615D3"/>
    <w:rsid w:val="00362945"/>
    <w:rsid w:val="003736C9"/>
    <w:rsid w:val="003839E8"/>
    <w:rsid w:val="00384988"/>
    <w:rsid w:val="003872CF"/>
    <w:rsid w:val="00393E7C"/>
    <w:rsid w:val="003951F7"/>
    <w:rsid w:val="0039782C"/>
    <w:rsid w:val="003A34C8"/>
    <w:rsid w:val="003A5B4A"/>
    <w:rsid w:val="003A631B"/>
    <w:rsid w:val="003B1678"/>
    <w:rsid w:val="003B23C5"/>
    <w:rsid w:val="003B2A75"/>
    <w:rsid w:val="003B6124"/>
    <w:rsid w:val="003C093A"/>
    <w:rsid w:val="003C1C92"/>
    <w:rsid w:val="003C1ECF"/>
    <w:rsid w:val="003C2E4E"/>
    <w:rsid w:val="003C2FB5"/>
    <w:rsid w:val="003C6D62"/>
    <w:rsid w:val="003D24C5"/>
    <w:rsid w:val="003D4AC4"/>
    <w:rsid w:val="003D63B7"/>
    <w:rsid w:val="003E172D"/>
    <w:rsid w:val="003E468B"/>
    <w:rsid w:val="003E62BD"/>
    <w:rsid w:val="003F016C"/>
    <w:rsid w:val="003F0C3A"/>
    <w:rsid w:val="003F3228"/>
    <w:rsid w:val="003F51BC"/>
    <w:rsid w:val="003F5C8C"/>
    <w:rsid w:val="003F5ED7"/>
    <w:rsid w:val="003F6EA1"/>
    <w:rsid w:val="003F775A"/>
    <w:rsid w:val="00400E55"/>
    <w:rsid w:val="0040128E"/>
    <w:rsid w:val="0040216B"/>
    <w:rsid w:val="00410B47"/>
    <w:rsid w:val="004214F9"/>
    <w:rsid w:val="00424941"/>
    <w:rsid w:val="004252EC"/>
    <w:rsid w:val="00430D39"/>
    <w:rsid w:val="00432A56"/>
    <w:rsid w:val="00443AC9"/>
    <w:rsid w:val="004465BD"/>
    <w:rsid w:val="0045413B"/>
    <w:rsid w:val="00455573"/>
    <w:rsid w:val="00461A44"/>
    <w:rsid w:val="00465A34"/>
    <w:rsid w:val="00466ADA"/>
    <w:rsid w:val="004702BB"/>
    <w:rsid w:val="00471144"/>
    <w:rsid w:val="0047494B"/>
    <w:rsid w:val="00476245"/>
    <w:rsid w:val="00477A9B"/>
    <w:rsid w:val="00481138"/>
    <w:rsid w:val="00481385"/>
    <w:rsid w:val="00483035"/>
    <w:rsid w:val="00485940"/>
    <w:rsid w:val="004866DC"/>
    <w:rsid w:val="00487B5B"/>
    <w:rsid w:val="004904B9"/>
    <w:rsid w:val="00494346"/>
    <w:rsid w:val="00495CE5"/>
    <w:rsid w:val="004A2484"/>
    <w:rsid w:val="004A522A"/>
    <w:rsid w:val="004A5A85"/>
    <w:rsid w:val="004A71D1"/>
    <w:rsid w:val="004A796B"/>
    <w:rsid w:val="004A7C5B"/>
    <w:rsid w:val="004B2E98"/>
    <w:rsid w:val="004B5640"/>
    <w:rsid w:val="004B58EE"/>
    <w:rsid w:val="004C1BD7"/>
    <w:rsid w:val="004C31FE"/>
    <w:rsid w:val="004C524C"/>
    <w:rsid w:val="004C691D"/>
    <w:rsid w:val="004C6C07"/>
    <w:rsid w:val="004C6F01"/>
    <w:rsid w:val="004C7456"/>
    <w:rsid w:val="004D2C51"/>
    <w:rsid w:val="004D34CD"/>
    <w:rsid w:val="004D4FF6"/>
    <w:rsid w:val="004E12C4"/>
    <w:rsid w:val="004E3610"/>
    <w:rsid w:val="004E6877"/>
    <w:rsid w:val="004E692D"/>
    <w:rsid w:val="004E7D87"/>
    <w:rsid w:val="004F01BD"/>
    <w:rsid w:val="004F2553"/>
    <w:rsid w:val="004F7582"/>
    <w:rsid w:val="00501554"/>
    <w:rsid w:val="00501B08"/>
    <w:rsid w:val="00502AFE"/>
    <w:rsid w:val="00502D20"/>
    <w:rsid w:val="00503AD7"/>
    <w:rsid w:val="00504E0C"/>
    <w:rsid w:val="00505BCA"/>
    <w:rsid w:val="005109D4"/>
    <w:rsid w:val="00514CD7"/>
    <w:rsid w:val="00520D6A"/>
    <w:rsid w:val="00522DB6"/>
    <w:rsid w:val="005234B2"/>
    <w:rsid w:val="00524CC5"/>
    <w:rsid w:val="0052792D"/>
    <w:rsid w:val="005319B2"/>
    <w:rsid w:val="00532402"/>
    <w:rsid w:val="00532C74"/>
    <w:rsid w:val="00533630"/>
    <w:rsid w:val="00534E2E"/>
    <w:rsid w:val="00534F1F"/>
    <w:rsid w:val="00544552"/>
    <w:rsid w:val="00545CE0"/>
    <w:rsid w:val="0055286A"/>
    <w:rsid w:val="00553960"/>
    <w:rsid w:val="00555745"/>
    <w:rsid w:val="00557D4F"/>
    <w:rsid w:val="0056484E"/>
    <w:rsid w:val="00571167"/>
    <w:rsid w:val="005764CD"/>
    <w:rsid w:val="00577C4D"/>
    <w:rsid w:val="00577CFF"/>
    <w:rsid w:val="00580532"/>
    <w:rsid w:val="00581932"/>
    <w:rsid w:val="005823D3"/>
    <w:rsid w:val="00587755"/>
    <w:rsid w:val="00590AC3"/>
    <w:rsid w:val="00595722"/>
    <w:rsid w:val="005963BB"/>
    <w:rsid w:val="005A0C0D"/>
    <w:rsid w:val="005A3173"/>
    <w:rsid w:val="005A3223"/>
    <w:rsid w:val="005A3DA3"/>
    <w:rsid w:val="005A52C4"/>
    <w:rsid w:val="005A53D5"/>
    <w:rsid w:val="005C293F"/>
    <w:rsid w:val="005D0075"/>
    <w:rsid w:val="005D03AB"/>
    <w:rsid w:val="005D3D43"/>
    <w:rsid w:val="005D5017"/>
    <w:rsid w:val="005D63FA"/>
    <w:rsid w:val="005E040D"/>
    <w:rsid w:val="005E1333"/>
    <w:rsid w:val="005E3136"/>
    <w:rsid w:val="005E3D8B"/>
    <w:rsid w:val="005E507D"/>
    <w:rsid w:val="005E6709"/>
    <w:rsid w:val="005E746A"/>
    <w:rsid w:val="005F0450"/>
    <w:rsid w:val="005F12A5"/>
    <w:rsid w:val="005F593D"/>
    <w:rsid w:val="00601A91"/>
    <w:rsid w:val="00602BA3"/>
    <w:rsid w:val="00605B63"/>
    <w:rsid w:val="00606EED"/>
    <w:rsid w:val="00610CED"/>
    <w:rsid w:val="00610EE1"/>
    <w:rsid w:val="00612E34"/>
    <w:rsid w:val="00614159"/>
    <w:rsid w:val="00616C5F"/>
    <w:rsid w:val="00616DAC"/>
    <w:rsid w:val="00617C00"/>
    <w:rsid w:val="006227E5"/>
    <w:rsid w:val="00624480"/>
    <w:rsid w:val="006263BF"/>
    <w:rsid w:val="0062748A"/>
    <w:rsid w:val="00630A2C"/>
    <w:rsid w:val="0063682E"/>
    <w:rsid w:val="00642DA8"/>
    <w:rsid w:val="006436CD"/>
    <w:rsid w:val="00651169"/>
    <w:rsid w:val="00653D69"/>
    <w:rsid w:val="006552E6"/>
    <w:rsid w:val="00655DD5"/>
    <w:rsid w:val="00657C63"/>
    <w:rsid w:val="00666863"/>
    <w:rsid w:val="00666DB7"/>
    <w:rsid w:val="006670BE"/>
    <w:rsid w:val="00670A76"/>
    <w:rsid w:val="006711AA"/>
    <w:rsid w:val="00671AF5"/>
    <w:rsid w:val="00672B57"/>
    <w:rsid w:val="00675622"/>
    <w:rsid w:val="0067747D"/>
    <w:rsid w:val="00681CA4"/>
    <w:rsid w:val="00683381"/>
    <w:rsid w:val="00686EA1"/>
    <w:rsid w:val="0069039D"/>
    <w:rsid w:val="006906DB"/>
    <w:rsid w:val="00691E6C"/>
    <w:rsid w:val="00693757"/>
    <w:rsid w:val="00693DFB"/>
    <w:rsid w:val="006948D6"/>
    <w:rsid w:val="0069501D"/>
    <w:rsid w:val="006952D5"/>
    <w:rsid w:val="00696129"/>
    <w:rsid w:val="00696667"/>
    <w:rsid w:val="00697CF2"/>
    <w:rsid w:val="006A06BA"/>
    <w:rsid w:val="006A12A5"/>
    <w:rsid w:val="006A220E"/>
    <w:rsid w:val="006A5E20"/>
    <w:rsid w:val="006A6457"/>
    <w:rsid w:val="006B0D94"/>
    <w:rsid w:val="006B27DA"/>
    <w:rsid w:val="006B485D"/>
    <w:rsid w:val="006B5928"/>
    <w:rsid w:val="006B6BC1"/>
    <w:rsid w:val="006C334C"/>
    <w:rsid w:val="006C43D1"/>
    <w:rsid w:val="006C708E"/>
    <w:rsid w:val="006D14E7"/>
    <w:rsid w:val="006D4444"/>
    <w:rsid w:val="006D6493"/>
    <w:rsid w:val="006D6EC7"/>
    <w:rsid w:val="006D71FF"/>
    <w:rsid w:val="006E1BCD"/>
    <w:rsid w:val="006E1F07"/>
    <w:rsid w:val="006E3D91"/>
    <w:rsid w:val="006E7062"/>
    <w:rsid w:val="006F13C8"/>
    <w:rsid w:val="006F5125"/>
    <w:rsid w:val="006F733D"/>
    <w:rsid w:val="00702B6F"/>
    <w:rsid w:val="00702D1C"/>
    <w:rsid w:val="00704052"/>
    <w:rsid w:val="00706A2F"/>
    <w:rsid w:val="0070718E"/>
    <w:rsid w:val="0071340B"/>
    <w:rsid w:val="00713912"/>
    <w:rsid w:val="00716C2D"/>
    <w:rsid w:val="007174BB"/>
    <w:rsid w:val="0072025D"/>
    <w:rsid w:val="00721B19"/>
    <w:rsid w:val="007222C5"/>
    <w:rsid w:val="00725EB2"/>
    <w:rsid w:val="00727FFE"/>
    <w:rsid w:val="0073137C"/>
    <w:rsid w:val="0073332A"/>
    <w:rsid w:val="007353D3"/>
    <w:rsid w:val="00735706"/>
    <w:rsid w:val="0074026A"/>
    <w:rsid w:val="0074156B"/>
    <w:rsid w:val="00743538"/>
    <w:rsid w:val="007523D9"/>
    <w:rsid w:val="007555E8"/>
    <w:rsid w:val="00760967"/>
    <w:rsid w:val="00760D53"/>
    <w:rsid w:val="007613E0"/>
    <w:rsid w:val="00762EFB"/>
    <w:rsid w:val="0076420C"/>
    <w:rsid w:val="00771D07"/>
    <w:rsid w:val="00774E2C"/>
    <w:rsid w:val="007753C2"/>
    <w:rsid w:val="007838B8"/>
    <w:rsid w:val="007900F6"/>
    <w:rsid w:val="007915BA"/>
    <w:rsid w:val="00791D1F"/>
    <w:rsid w:val="00792C72"/>
    <w:rsid w:val="007935B9"/>
    <w:rsid w:val="007953EE"/>
    <w:rsid w:val="007A7FEA"/>
    <w:rsid w:val="007B1961"/>
    <w:rsid w:val="007B3BB0"/>
    <w:rsid w:val="007B3DDC"/>
    <w:rsid w:val="007B67D8"/>
    <w:rsid w:val="007B71A8"/>
    <w:rsid w:val="007B72A6"/>
    <w:rsid w:val="007C0F57"/>
    <w:rsid w:val="007C232C"/>
    <w:rsid w:val="007C40B6"/>
    <w:rsid w:val="007C729F"/>
    <w:rsid w:val="007D0455"/>
    <w:rsid w:val="007D4475"/>
    <w:rsid w:val="007D5DBE"/>
    <w:rsid w:val="007E1D28"/>
    <w:rsid w:val="007F0021"/>
    <w:rsid w:val="007F122B"/>
    <w:rsid w:val="007F2641"/>
    <w:rsid w:val="007F7C36"/>
    <w:rsid w:val="008002EF"/>
    <w:rsid w:val="00800B50"/>
    <w:rsid w:val="00801252"/>
    <w:rsid w:val="00802845"/>
    <w:rsid w:val="00802B9E"/>
    <w:rsid w:val="00802D06"/>
    <w:rsid w:val="00803947"/>
    <w:rsid w:val="00806796"/>
    <w:rsid w:val="008072ED"/>
    <w:rsid w:val="00807806"/>
    <w:rsid w:val="00811CC0"/>
    <w:rsid w:val="008151D6"/>
    <w:rsid w:val="0081788D"/>
    <w:rsid w:val="00821527"/>
    <w:rsid w:val="008268BB"/>
    <w:rsid w:val="00826F6D"/>
    <w:rsid w:val="008306F3"/>
    <w:rsid w:val="00830E40"/>
    <w:rsid w:val="00834E91"/>
    <w:rsid w:val="00837EB7"/>
    <w:rsid w:val="008418A4"/>
    <w:rsid w:val="00845063"/>
    <w:rsid w:val="00850B12"/>
    <w:rsid w:val="00850D19"/>
    <w:rsid w:val="00850F6C"/>
    <w:rsid w:val="00855FD6"/>
    <w:rsid w:val="00856DDD"/>
    <w:rsid w:val="008617CB"/>
    <w:rsid w:val="00863C8E"/>
    <w:rsid w:val="00863E68"/>
    <w:rsid w:val="0086419F"/>
    <w:rsid w:val="008647B5"/>
    <w:rsid w:val="00872ADF"/>
    <w:rsid w:val="00875958"/>
    <w:rsid w:val="00875DCB"/>
    <w:rsid w:val="00882085"/>
    <w:rsid w:val="00883188"/>
    <w:rsid w:val="00884C54"/>
    <w:rsid w:val="00885DC9"/>
    <w:rsid w:val="00887ACA"/>
    <w:rsid w:val="00891B4D"/>
    <w:rsid w:val="00897D58"/>
    <w:rsid w:val="00897F22"/>
    <w:rsid w:val="008A0B39"/>
    <w:rsid w:val="008A1956"/>
    <w:rsid w:val="008A4937"/>
    <w:rsid w:val="008A50F1"/>
    <w:rsid w:val="008A59D9"/>
    <w:rsid w:val="008A6819"/>
    <w:rsid w:val="008B2EC0"/>
    <w:rsid w:val="008B362B"/>
    <w:rsid w:val="008C286D"/>
    <w:rsid w:val="008C29C6"/>
    <w:rsid w:val="008D18CA"/>
    <w:rsid w:val="008D1B5C"/>
    <w:rsid w:val="008D3C82"/>
    <w:rsid w:val="008D447E"/>
    <w:rsid w:val="008D4F7E"/>
    <w:rsid w:val="008D7A41"/>
    <w:rsid w:val="008E212B"/>
    <w:rsid w:val="008E2C72"/>
    <w:rsid w:val="008E32CE"/>
    <w:rsid w:val="008E3680"/>
    <w:rsid w:val="008E40CF"/>
    <w:rsid w:val="008E5870"/>
    <w:rsid w:val="008F1434"/>
    <w:rsid w:val="008F54C3"/>
    <w:rsid w:val="008F7355"/>
    <w:rsid w:val="009023DC"/>
    <w:rsid w:val="009026A0"/>
    <w:rsid w:val="00904B8F"/>
    <w:rsid w:val="009067B7"/>
    <w:rsid w:val="00912065"/>
    <w:rsid w:val="00926560"/>
    <w:rsid w:val="00930937"/>
    <w:rsid w:val="0093238B"/>
    <w:rsid w:val="009324A6"/>
    <w:rsid w:val="00933E6C"/>
    <w:rsid w:val="00937958"/>
    <w:rsid w:val="00940313"/>
    <w:rsid w:val="00941324"/>
    <w:rsid w:val="00941602"/>
    <w:rsid w:val="00942160"/>
    <w:rsid w:val="009421B6"/>
    <w:rsid w:val="00944D8D"/>
    <w:rsid w:val="00946FED"/>
    <w:rsid w:val="00950BEB"/>
    <w:rsid w:val="00951238"/>
    <w:rsid w:val="0095146F"/>
    <w:rsid w:val="00952605"/>
    <w:rsid w:val="00956AF7"/>
    <w:rsid w:val="00957944"/>
    <w:rsid w:val="009602C5"/>
    <w:rsid w:val="00962223"/>
    <w:rsid w:val="00966D0D"/>
    <w:rsid w:val="0096783C"/>
    <w:rsid w:val="009706CA"/>
    <w:rsid w:val="009722B3"/>
    <w:rsid w:val="00974BC4"/>
    <w:rsid w:val="00974C21"/>
    <w:rsid w:val="00977BF3"/>
    <w:rsid w:val="009803E4"/>
    <w:rsid w:val="00980B0E"/>
    <w:rsid w:val="0098242F"/>
    <w:rsid w:val="009836A3"/>
    <w:rsid w:val="009855A8"/>
    <w:rsid w:val="009865EE"/>
    <w:rsid w:val="009913F4"/>
    <w:rsid w:val="009922FF"/>
    <w:rsid w:val="0099465B"/>
    <w:rsid w:val="009966C1"/>
    <w:rsid w:val="009A01F6"/>
    <w:rsid w:val="009A0299"/>
    <w:rsid w:val="009A0CDD"/>
    <w:rsid w:val="009A29AF"/>
    <w:rsid w:val="009A3168"/>
    <w:rsid w:val="009A3628"/>
    <w:rsid w:val="009A61CA"/>
    <w:rsid w:val="009A73C5"/>
    <w:rsid w:val="009B0929"/>
    <w:rsid w:val="009B0C64"/>
    <w:rsid w:val="009B0F67"/>
    <w:rsid w:val="009B2FD5"/>
    <w:rsid w:val="009C4629"/>
    <w:rsid w:val="009C6799"/>
    <w:rsid w:val="009C703C"/>
    <w:rsid w:val="009D1F38"/>
    <w:rsid w:val="009D206E"/>
    <w:rsid w:val="009D3CAA"/>
    <w:rsid w:val="009D5A73"/>
    <w:rsid w:val="009D6532"/>
    <w:rsid w:val="009E3B80"/>
    <w:rsid w:val="009E40E1"/>
    <w:rsid w:val="009E47F3"/>
    <w:rsid w:val="009F0518"/>
    <w:rsid w:val="009F0EFA"/>
    <w:rsid w:val="009F4129"/>
    <w:rsid w:val="009F4E46"/>
    <w:rsid w:val="009F5B65"/>
    <w:rsid w:val="009F5F2E"/>
    <w:rsid w:val="00A00D20"/>
    <w:rsid w:val="00A02ECB"/>
    <w:rsid w:val="00A06225"/>
    <w:rsid w:val="00A068FA"/>
    <w:rsid w:val="00A070F3"/>
    <w:rsid w:val="00A07585"/>
    <w:rsid w:val="00A128E6"/>
    <w:rsid w:val="00A144D3"/>
    <w:rsid w:val="00A155FB"/>
    <w:rsid w:val="00A211D3"/>
    <w:rsid w:val="00A22AC3"/>
    <w:rsid w:val="00A24E66"/>
    <w:rsid w:val="00A26FF8"/>
    <w:rsid w:val="00A2744D"/>
    <w:rsid w:val="00A30914"/>
    <w:rsid w:val="00A34E6C"/>
    <w:rsid w:val="00A36398"/>
    <w:rsid w:val="00A37C8D"/>
    <w:rsid w:val="00A4020E"/>
    <w:rsid w:val="00A40FB5"/>
    <w:rsid w:val="00A42826"/>
    <w:rsid w:val="00A5273B"/>
    <w:rsid w:val="00A53A9D"/>
    <w:rsid w:val="00A55EAE"/>
    <w:rsid w:val="00A55FEE"/>
    <w:rsid w:val="00A61721"/>
    <w:rsid w:val="00A62831"/>
    <w:rsid w:val="00A62C1A"/>
    <w:rsid w:val="00A6426D"/>
    <w:rsid w:val="00A650C1"/>
    <w:rsid w:val="00A65AE8"/>
    <w:rsid w:val="00A665C1"/>
    <w:rsid w:val="00A66C08"/>
    <w:rsid w:val="00A70622"/>
    <w:rsid w:val="00A7067F"/>
    <w:rsid w:val="00A70977"/>
    <w:rsid w:val="00A70D58"/>
    <w:rsid w:val="00A744F9"/>
    <w:rsid w:val="00A77562"/>
    <w:rsid w:val="00A77613"/>
    <w:rsid w:val="00A77685"/>
    <w:rsid w:val="00A8135F"/>
    <w:rsid w:val="00A83238"/>
    <w:rsid w:val="00A8390C"/>
    <w:rsid w:val="00A8587F"/>
    <w:rsid w:val="00A8633F"/>
    <w:rsid w:val="00A86557"/>
    <w:rsid w:val="00A86AE0"/>
    <w:rsid w:val="00A87A6D"/>
    <w:rsid w:val="00A9198A"/>
    <w:rsid w:val="00A928BD"/>
    <w:rsid w:val="00A96D1F"/>
    <w:rsid w:val="00A97DE9"/>
    <w:rsid w:val="00AA12CD"/>
    <w:rsid w:val="00AA2F1C"/>
    <w:rsid w:val="00AA2F40"/>
    <w:rsid w:val="00AA4D1C"/>
    <w:rsid w:val="00AA67E4"/>
    <w:rsid w:val="00AB3CD6"/>
    <w:rsid w:val="00AB4FC7"/>
    <w:rsid w:val="00AB5856"/>
    <w:rsid w:val="00AB61DC"/>
    <w:rsid w:val="00AC193C"/>
    <w:rsid w:val="00AC4DE5"/>
    <w:rsid w:val="00AC5206"/>
    <w:rsid w:val="00AD2E1C"/>
    <w:rsid w:val="00AD33A9"/>
    <w:rsid w:val="00AD4322"/>
    <w:rsid w:val="00AE11A5"/>
    <w:rsid w:val="00AE13E2"/>
    <w:rsid w:val="00AE21B4"/>
    <w:rsid w:val="00AE22D3"/>
    <w:rsid w:val="00AE57BC"/>
    <w:rsid w:val="00AE5A49"/>
    <w:rsid w:val="00AF0E94"/>
    <w:rsid w:val="00AF62DF"/>
    <w:rsid w:val="00AF68CC"/>
    <w:rsid w:val="00AF70D7"/>
    <w:rsid w:val="00B006D7"/>
    <w:rsid w:val="00B019C3"/>
    <w:rsid w:val="00B068A2"/>
    <w:rsid w:val="00B07390"/>
    <w:rsid w:val="00B07CFB"/>
    <w:rsid w:val="00B1059E"/>
    <w:rsid w:val="00B15338"/>
    <w:rsid w:val="00B1663A"/>
    <w:rsid w:val="00B170A5"/>
    <w:rsid w:val="00B176C8"/>
    <w:rsid w:val="00B205AA"/>
    <w:rsid w:val="00B22E84"/>
    <w:rsid w:val="00B233AD"/>
    <w:rsid w:val="00B23E25"/>
    <w:rsid w:val="00B2525D"/>
    <w:rsid w:val="00B25F75"/>
    <w:rsid w:val="00B262B6"/>
    <w:rsid w:val="00B267DB"/>
    <w:rsid w:val="00B26B3F"/>
    <w:rsid w:val="00B2778F"/>
    <w:rsid w:val="00B33533"/>
    <w:rsid w:val="00B33635"/>
    <w:rsid w:val="00B43E90"/>
    <w:rsid w:val="00B45D8F"/>
    <w:rsid w:val="00B467DC"/>
    <w:rsid w:val="00B46980"/>
    <w:rsid w:val="00B56118"/>
    <w:rsid w:val="00B5761D"/>
    <w:rsid w:val="00B60FEE"/>
    <w:rsid w:val="00B62E84"/>
    <w:rsid w:val="00B640A0"/>
    <w:rsid w:val="00B6773F"/>
    <w:rsid w:val="00B67D8E"/>
    <w:rsid w:val="00B760FB"/>
    <w:rsid w:val="00B76738"/>
    <w:rsid w:val="00B767AB"/>
    <w:rsid w:val="00B801BA"/>
    <w:rsid w:val="00B81E98"/>
    <w:rsid w:val="00B84D5C"/>
    <w:rsid w:val="00B9160F"/>
    <w:rsid w:val="00B92FBC"/>
    <w:rsid w:val="00B963A1"/>
    <w:rsid w:val="00B963D9"/>
    <w:rsid w:val="00BA2DA8"/>
    <w:rsid w:val="00BA347C"/>
    <w:rsid w:val="00BA5A7A"/>
    <w:rsid w:val="00BA74D2"/>
    <w:rsid w:val="00BB2DED"/>
    <w:rsid w:val="00BB69F5"/>
    <w:rsid w:val="00BB7EC3"/>
    <w:rsid w:val="00BC0EBB"/>
    <w:rsid w:val="00BC3AA0"/>
    <w:rsid w:val="00BC3B5A"/>
    <w:rsid w:val="00BC4B9A"/>
    <w:rsid w:val="00BD02C3"/>
    <w:rsid w:val="00BD1BB3"/>
    <w:rsid w:val="00BD32A7"/>
    <w:rsid w:val="00BD6516"/>
    <w:rsid w:val="00BD6CC7"/>
    <w:rsid w:val="00BD784C"/>
    <w:rsid w:val="00BE020A"/>
    <w:rsid w:val="00BE040D"/>
    <w:rsid w:val="00BE37B9"/>
    <w:rsid w:val="00BE38E9"/>
    <w:rsid w:val="00BF092C"/>
    <w:rsid w:val="00BF0BBD"/>
    <w:rsid w:val="00BF27A0"/>
    <w:rsid w:val="00BF3C35"/>
    <w:rsid w:val="00BF450C"/>
    <w:rsid w:val="00BF4CB6"/>
    <w:rsid w:val="00BF677D"/>
    <w:rsid w:val="00C00DA7"/>
    <w:rsid w:val="00C01EEF"/>
    <w:rsid w:val="00C04EEF"/>
    <w:rsid w:val="00C11FBA"/>
    <w:rsid w:val="00C12768"/>
    <w:rsid w:val="00C12D70"/>
    <w:rsid w:val="00C20996"/>
    <w:rsid w:val="00C21B09"/>
    <w:rsid w:val="00C21D84"/>
    <w:rsid w:val="00C21E99"/>
    <w:rsid w:val="00C220D7"/>
    <w:rsid w:val="00C2673A"/>
    <w:rsid w:val="00C27B58"/>
    <w:rsid w:val="00C31B0F"/>
    <w:rsid w:val="00C33485"/>
    <w:rsid w:val="00C34001"/>
    <w:rsid w:val="00C34015"/>
    <w:rsid w:val="00C350A7"/>
    <w:rsid w:val="00C35996"/>
    <w:rsid w:val="00C40790"/>
    <w:rsid w:val="00C41531"/>
    <w:rsid w:val="00C4747E"/>
    <w:rsid w:val="00C474B3"/>
    <w:rsid w:val="00C5040B"/>
    <w:rsid w:val="00C5342C"/>
    <w:rsid w:val="00C53B2B"/>
    <w:rsid w:val="00C53CF1"/>
    <w:rsid w:val="00C60272"/>
    <w:rsid w:val="00C603D4"/>
    <w:rsid w:val="00C61235"/>
    <w:rsid w:val="00C624C0"/>
    <w:rsid w:val="00C6256A"/>
    <w:rsid w:val="00C710E2"/>
    <w:rsid w:val="00C71C3F"/>
    <w:rsid w:val="00C7409E"/>
    <w:rsid w:val="00C76E76"/>
    <w:rsid w:val="00C77891"/>
    <w:rsid w:val="00C80136"/>
    <w:rsid w:val="00C81560"/>
    <w:rsid w:val="00C8724D"/>
    <w:rsid w:val="00C876D2"/>
    <w:rsid w:val="00C91449"/>
    <w:rsid w:val="00C92D10"/>
    <w:rsid w:val="00C95B7C"/>
    <w:rsid w:val="00C9655D"/>
    <w:rsid w:val="00CA3715"/>
    <w:rsid w:val="00CA3BE0"/>
    <w:rsid w:val="00CA48D9"/>
    <w:rsid w:val="00CB1193"/>
    <w:rsid w:val="00CB339D"/>
    <w:rsid w:val="00CB356A"/>
    <w:rsid w:val="00CB3E1D"/>
    <w:rsid w:val="00CB4767"/>
    <w:rsid w:val="00CB493D"/>
    <w:rsid w:val="00CB7D2D"/>
    <w:rsid w:val="00CC1C95"/>
    <w:rsid w:val="00CC3B97"/>
    <w:rsid w:val="00CD029F"/>
    <w:rsid w:val="00CD3149"/>
    <w:rsid w:val="00CD36B3"/>
    <w:rsid w:val="00CE10C4"/>
    <w:rsid w:val="00CE27B5"/>
    <w:rsid w:val="00CE6DAF"/>
    <w:rsid w:val="00CE7B45"/>
    <w:rsid w:val="00CF000E"/>
    <w:rsid w:val="00CF152E"/>
    <w:rsid w:val="00CF2D6F"/>
    <w:rsid w:val="00CF30B7"/>
    <w:rsid w:val="00CF410A"/>
    <w:rsid w:val="00CF65D4"/>
    <w:rsid w:val="00D00196"/>
    <w:rsid w:val="00D0321E"/>
    <w:rsid w:val="00D03B96"/>
    <w:rsid w:val="00D07A8A"/>
    <w:rsid w:val="00D12B30"/>
    <w:rsid w:val="00D133CD"/>
    <w:rsid w:val="00D1455A"/>
    <w:rsid w:val="00D15CB3"/>
    <w:rsid w:val="00D2084F"/>
    <w:rsid w:val="00D22093"/>
    <w:rsid w:val="00D23D0D"/>
    <w:rsid w:val="00D246F4"/>
    <w:rsid w:val="00D31150"/>
    <w:rsid w:val="00D3138B"/>
    <w:rsid w:val="00D324DA"/>
    <w:rsid w:val="00D3280C"/>
    <w:rsid w:val="00D3406A"/>
    <w:rsid w:val="00D34546"/>
    <w:rsid w:val="00D4145B"/>
    <w:rsid w:val="00D441F1"/>
    <w:rsid w:val="00D4572C"/>
    <w:rsid w:val="00D469B2"/>
    <w:rsid w:val="00D53750"/>
    <w:rsid w:val="00D62C3C"/>
    <w:rsid w:val="00D65658"/>
    <w:rsid w:val="00D71F2E"/>
    <w:rsid w:val="00D72B6F"/>
    <w:rsid w:val="00D741EB"/>
    <w:rsid w:val="00D7679C"/>
    <w:rsid w:val="00D80C53"/>
    <w:rsid w:val="00D81F04"/>
    <w:rsid w:val="00D820F3"/>
    <w:rsid w:val="00D83605"/>
    <w:rsid w:val="00D84934"/>
    <w:rsid w:val="00D91271"/>
    <w:rsid w:val="00D919F5"/>
    <w:rsid w:val="00D94F03"/>
    <w:rsid w:val="00D9579B"/>
    <w:rsid w:val="00D96AD8"/>
    <w:rsid w:val="00DA0D14"/>
    <w:rsid w:val="00DA1FC9"/>
    <w:rsid w:val="00DA2CB5"/>
    <w:rsid w:val="00DA3962"/>
    <w:rsid w:val="00DA3B0E"/>
    <w:rsid w:val="00DA4BAC"/>
    <w:rsid w:val="00DB0151"/>
    <w:rsid w:val="00DB1C09"/>
    <w:rsid w:val="00DB47AB"/>
    <w:rsid w:val="00DB6477"/>
    <w:rsid w:val="00DC023F"/>
    <w:rsid w:val="00DC256A"/>
    <w:rsid w:val="00DC2C3E"/>
    <w:rsid w:val="00DC404D"/>
    <w:rsid w:val="00DC4880"/>
    <w:rsid w:val="00DC6AAB"/>
    <w:rsid w:val="00DD31CC"/>
    <w:rsid w:val="00DD401A"/>
    <w:rsid w:val="00DD63C9"/>
    <w:rsid w:val="00DE06F6"/>
    <w:rsid w:val="00DE45F6"/>
    <w:rsid w:val="00DE6D27"/>
    <w:rsid w:val="00DF217D"/>
    <w:rsid w:val="00DF26A7"/>
    <w:rsid w:val="00DF3277"/>
    <w:rsid w:val="00DF4C37"/>
    <w:rsid w:val="00DF7252"/>
    <w:rsid w:val="00DF7919"/>
    <w:rsid w:val="00E0207E"/>
    <w:rsid w:val="00E03912"/>
    <w:rsid w:val="00E1487D"/>
    <w:rsid w:val="00E15627"/>
    <w:rsid w:val="00E164B3"/>
    <w:rsid w:val="00E16910"/>
    <w:rsid w:val="00E2047A"/>
    <w:rsid w:val="00E24E09"/>
    <w:rsid w:val="00E25B55"/>
    <w:rsid w:val="00E27234"/>
    <w:rsid w:val="00E27849"/>
    <w:rsid w:val="00E418F2"/>
    <w:rsid w:val="00E42BDB"/>
    <w:rsid w:val="00E42E64"/>
    <w:rsid w:val="00E47FB8"/>
    <w:rsid w:val="00E566DF"/>
    <w:rsid w:val="00E57EEB"/>
    <w:rsid w:val="00E61292"/>
    <w:rsid w:val="00E62D94"/>
    <w:rsid w:val="00E64987"/>
    <w:rsid w:val="00E64F37"/>
    <w:rsid w:val="00E65E54"/>
    <w:rsid w:val="00E661C7"/>
    <w:rsid w:val="00E67966"/>
    <w:rsid w:val="00E67DFE"/>
    <w:rsid w:val="00E711C1"/>
    <w:rsid w:val="00E745D7"/>
    <w:rsid w:val="00E74DCA"/>
    <w:rsid w:val="00E80155"/>
    <w:rsid w:val="00E8161D"/>
    <w:rsid w:val="00E81E0D"/>
    <w:rsid w:val="00E81F28"/>
    <w:rsid w:val="00E848C0"/>
    <w:rsid w:val="00E87ADA"/>
    <w:rsid w:val="00E91B96"/>
    <w:rsid w:val="00E92DE2"/>
    <w:rsid w:val="00E93D1E"/>
    <w:rsid w:val="00E93DBF"/>
    <w:rsid w:val="00E941A1"/>
    <w:rsid w:val="00E95CE3"/>
    <w:rsid w:val="00E97EA1"/>
    <w:rsid w:val="00EA14C5"/>
    <w:rsid w:val="00EA1611"/>
    <w:rsid w:val="00EA252F"/>
    <w:rsid w:val="00EA2825"/>
    <w:rsid w:val="00EA5C23"/>
    <w:rsid w:val="00EA5E6F"/>
    <w:rsid w:val="00EA7EDE"/>
    <w:rsid w:val="00EB0B63"/>
    <w:rsid w:val="00EB1656"/>
    <w:rsid w:val="00EB1936"/>
    <w:rsid w:val="00EB37BE"/>
    <w:rsid w:val="00EB4D03"/>
    <w:rsid w:val="00EB5088"/>
    <w:rsid w:val="00EB7BD6"/>
    <w:rsid w:val="00EC7870"/>
    <w:rsid w:val="00EC7EE4"/>
    <w:rsid w:val="00ED12B1"/>
    <w:rsid w:val="00ED1644"/>
    <w:rsid w:val="00ED2593"/>
    <w:rsid w:val="00ED34BD"/>
    <w:rsid w:val="00ED3A84"/>
    <w:rsid w:val="00ED7D9C"/>
    <w:rsid w:val="00EE0EAF"/>
    <w:rsid w:val="00EE2AD4"/>
    <w:rsid w:val="00EE2C1F"/>
    <w:rsid w:val="00EE3B21"/>
    <w:rsid w:val="00EF0069"/>
    <w:rsid w:val="00EF05EC"/>
    <w:rsid w:val="00EF44A0"/>
    <w:rsid w:val="00EF4FED"/>
    <w:rsid w:val="00EF6997"/>
    <w:rsid w:val="00F007C6"/>
    <w:rsid w:val="00F0172E"/>
    <w:rsid w:val="00F050BD"/>
    <w:rsid w:val="00F05657"/>
    <w:rsid w:val="00F10657"/>
    <w:rsid w:val="00F115D7"/>
    <w:rsid w:val="00F13CFB"/>
    <w:rsid w:val="00F15B6E"/>
    <w:rsid w:val="00F209E2"/>
    <w:rsid w:val="00F25578"/>
    <w:rsid w:val="00F258E5"/>
    <w:rsid w:val="00F25B9C"/>
    <w:rsid w:val="00F265C8"/>
    <w:rsid w:val="00F26910"/>
    <w:rsid w:val="00F26CC6"/>
    <w:rsid w:val="00F26FC4"/>
    <w:rsid w:val="00F300BC"/>
    <w:rsid w:val="00F3263C"/>
    <w:rsid w:val="00F3334E"/>
    <w:rsid w:val="00F36CCB"/>
    <w:rsid w:val="00F374E5"/>
    <w:rsid w:val="00F37B93"/>
    <w:rsid w:val="00F42A8E"/>
    <w:rsid w:val="00F43AF2"/>
    <w:rsid w:val="00F5007E"/>
    <w:rsid w:val="00F50610"/>
    <w:rsid w:val="00F50EC4"/>
    <w:rsid w:val="00F52232"/>
    <w:rsid w:val="00F522BB"/>
    <w:rsid w:val="00F52906"/>
    <w:rsid w:val="00F550CF"/>
    <w:rsid w:val="00F5642B"/>
    <w:rsid w:val="00F57A6D"/>
    <w:rsid w:val="00F62817"/>
    <w:rsid w:val="00F630DB"/>
    <w:rsid w:val="00F638CC"/>
    <w:rsid w:val="00F64C9E"/>
    <w:rsid w:val="00F64CC1"/>
    <w:rsid w:val="00F6714C"/>
    <w:rsid w:val="00F703B4"/>
    <w:rsid w:val="00F72317"/>
    <w:rsid w:val="00F760C4"/>
    <w:rsid w:val="00F80475"/>
    <w:rsid w:val="00F82078"/>
    <w:rsid w:val="00F8247A"/>
    <w:rsid w:val="00F85BDA"/>
    <w:rsid w:val="00F913D2"/>
    <w:rsid w:val="00F94031"/>
    <w:rsid w:val="00F958B4"/>
    <w:rsid w:val="00F9629A"/>
    <w:rsid w:val="00F96625"/>
    <w:rsid w:val="00F97EFC"/>
    <w:rsid w:val="00FA1BDD"/>
    <w:rsid w:val="00FA4DD5"/>
    <w:rsid w:val="00FA5883"/>
    <w:rsid w:val="00FA6055"/>
    <w:rsid w:val="00FB322F"/>
    <w:rsid w:val="00FB442F"/>
    <w:rsid w:val="00FB6966"/>
    <w:rsid w:val="00FC0057"/>
    <w:rsid w:val="00FC1929"/>
    <w:rsid w:val="00FC5B46"/>
    <w:rsid w:val="00FD18DA"/>
    <w:rsid w:val="00FD5DF0"/>
    <w:rsid w:val="00FD6D8E"/>
    <w:rsid w:val="00FE011E"/>
    <w:rsid w:val="00FE0E94"/>
    <w:rsid w:val="00FE3CD9"/>
    <w:rsid w:val="00FE608A"/>
    <w:rsid w:val="00FF00BD"/>
    <w:rsid w:val="00FF1ED4"/>
    <w:rsid w:val="00FF1F7B"/>
    <w:rsid w:val="00FF24E1"/>
    <w:rsid w:val="00FF2801"/>
    <w:rsid w:val="00FF2F01"/>
    <w:rsid w:val="00FF4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uiPriority w:val="99"/>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uiPriority w:val="99"/>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table" w:customStyle="1" w:styleId="PlainTable21">
    <w:name w:val="Plain Table 21"/>
    <w:basedOn w:val="TableNormal"/>
    <w:uiPriority w:val="42"/>
    <w:rsid w:val="00B006D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E0D66"/>
    <w:pPr>
      <w:spacing w:before="100" w:beforeAutospacing="1" w:after="100" w:afterAutospacing="1"/>
    </w:pPr>
  </w:style>
  <w:style w:type="character" w:styleId="Strong">
    <w:name w:val="Strong"/>
    <w:basedOn w:val="DefaultParagraphFont"/>
    <w:uiPriority w:val="22"/>
    <w:qFormat/>
    <w:rsid w:val="001E0D66"/>
    <w:rPr>
      <w:b/>
      <w:bCs/>
    </w:rPr>
  </w:style>
  <w:style w:type="paragraph" w:styleId="TOC9">
    <w:name w:val="toc 9"/>
    <w:basedOn w:val="Normal"/>
    <w:next w:val="Normal"/>
    <w:autoRedefine/>
    <w:uiPriority w:val="39"/>
    <w:unhideWhenUsed/>
    <w:rsid w:val="00CB3E1D"/>
    <w:pPr>
      <w:spacing w:after="100" w:line="276" w:lineRule="auto"/>
      <w:ind w:left="1760"/>
    </w:pPr>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8C29C6"/>
    <w:rPr>
      <w:sz w:val="20"/>
      <w:szCs w:val="20"/>
    </w:rPr>
  </w:style>
  <w:style w:type="character" w:customStyle="1" w:styleId="FootnoteTextChar">
    <w:name w:val="Footnote Text Char"/>
    <w:basedOn w:val="DefaultParagraphFont"/>
    <w:link w:val="FootnoteText"/>
    <w:semiHidden/>
    <w:rsid w:val="008C29C6"/>
  </w:style>
  <w:style w:type="character" w:styleId="FootnoteReference">
    <w:name w:val="footnote reference"/>
    <w:basedOn w:val="DefaultParagraphFont"/>
    <w:semiHidden/>
    <w:unhideWhenUsed/>
    <w:rsid w:val="008C29C6"/>
    <w:rPr>
      <w:vertAlign w:val="superscript"/>
    </w:rPr>
  </w:style>
  <w:style w:type="paragraph" w:customStyle="1" w:styleId="Default">
    <w:name w:val="Default"/>
    <w:rsid w:val="006E7062"/>
    <w:pPr>
      <w:autoSpaceDE w:val="0"/>
      <w:autoSpaceDN w:val="0"/>
      <w:adjustRightInd w:val="0"/>
    </w:pPr>
    <w:rPr>
      <w:rFonts w:ascii="Arial" w:hAnsi="Arial" w:cs="Arial"/>
      <w:color w:val="000000"/>
      <w:sz w:val="24"/>
      <w:szCs w:val="24"/>
    </w:rPr>
  </w:style>
  <w:style w:type="character" w:customStyle="1" w:styleId="BodyText1Char">
    <w:name w:val="Body Text1 Char"/>
    <w:link w:val="BodyText1"/>
    <w:locked/>
    <w:rsid w:val="00725EB2"/>
    <w:rPr>
      <w:rFonts w:ascii="Arial" w:hAnsi="Arial"/>
      <w:sz w:val="22"/>
      <w:szCs w:val="24"/>
      <w:lang w:eastAsia="en-GB"/>
    </w:rPr>
  </w:style>
  <w:style w:type="paragraph" w:customStyle="1" w:styleId="BodyText1">
    <w:name w:val="Body Text1"/>
    <w:basedOn w:val="Normal"/>
    <w:link w:val="BodyText1Char"/>
    <w:qFormat/>
    <w:rsid w:val="00725EB2"/>
    <w:pPr>
      <w:spacing w:before="120" w:after="120" w:line="276" w:lineRule="auto"/>
      <w:jc w:val="both"/>
    </w:pPr>
    <w:rPr>
      <w:rFonts w:ascii="Arial" w:hAnsi="Arial"/>
      <w:sz w:val="22"/>
      <w:lang w:eastAsia="en-GB"/>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C11FBA"/>
    <w:rPr>
      <w:rFonts w:ascii="Calibri" w:hAnsi="Calibri"/>
      <w:i/>
      <w:iCs/>
      <w:color w:val="000000" w:themeColor="text1"/>
      <w:sz w:val="18"/>
      <w:szCs w:val="18"/>
    </w:rPr>
  </w:style>
  <w:style w:type="paragraph" w:customStyle="1" w:styleId="Tablefootnote">
    <w:name w:val="Table footnote"/>
    <w:basedOn w:val="tablenotes"/>
    <w:link w:val="TablefootnoteChar"/>
    <w:qFormat/>
    <w:rsid w:val="00C11FBA"/>
    <w:pPr>
      <w:keepNext/>
      <w:keepLines/>
      <w:widowControl/>
      <w:spacing w:after="360"/>
      <w:contextualSpacing/>
      <w:jc w:val="left"/>
    </w:pPr>
    <w:rPr>
      <w:rFonts w:ascii="Arial Narrow" w:eastAsiaTheme="minorHAnsi" w:hAnsi="Arial Narrow"/>
      <w:snapToGrid/>
      <w:sz w:val="16"/>
      <w:szCs w:val="16"/>
    </w:rPr>
  </w:style>
  <w:style w:type="character" w:customStyle="1" w:styleId="TablefootnoteChar">
    <w:name w:val="Table footnote Char"/>
    <w:basedOn w:val="DefaultParagraphFont"/>
    <w:link w:val="Tablefootnote"/>
    <w:rsid w:val="00C11FBA"/>
    <w:rPr>
      <w:rFonts w:ascii="Arial Narrow" w:eastAsiaTheme="minorHAnsi" w:hAnsi="Arial Narrow"/>
      <w:sz w:val="16"/>
      <w:szCs w:val="16"/>
      <w:lang w:eastAsia="en-US"/>
    </w:rPr>
  </w:style>
  <w:style w:type="table" w:customStyle="1" w:styleId="ASDTable20">
    <w:name w:val="ASD Table20"/>
    <w:basedOn w:val="TableNormal"/>
    <w:next w:val="TableGrid"/>
    <w:rsid w:val="00C11FBA"/>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9">
    <w:name w:val="ASD Table19"/>
    <w:basedOn w:val="TableNormal"/>
    <w:next w:val="TableGrid"/>
    <w:rsid w:val="00A86557"/>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ectionHeading">
    <w:name w:val="2-Section Heading"/>
    <w:qFormat/>
    <w:rsid w:val="00C61235"/>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qFormat/>
    <w:rsid w:val="00C61235"/>
    <w:pPr>
      <w:spacing w:after="120"/>
      <w:ind w:left="720" w:hanging="720"/>
      <w:jc w:val="both"/>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8326613">
      <w:bodyDiv w:val="1"/>
      <w:marLeft w:val="0"/>
      <w:marRight w:val="0"/>
      <w:marTop w:val="0"/>
      <w:marBottom w:val="0"/>
      <w:divBdr>
        <w:top w:val="none" w:sz="0" w:space="0" w:color="auto"/>
        <w:left w:val="none" w:sz="0" w:space="0" w:color="auto"/>
        <w:bottom w:val="none" w:sz="0" w:space="0" w:color="auto"/>
        <w:right w:val="none" w:sz="0" w:space="0" w:color="auto"/>
      </w:divBdr>
    </w:div>
    <w:div w:id="557058819">
      <w:bodyDiv w:val="1"/>
      <w:marLeft w:val="0"/>
      <w:marRight w:val="0"/>
      <w:marTop w:val="0"/>
      <w:marBottom w:val="0"/>
      <w:divBdr>
        <w:top w:val="none" w:sz="0" w:space="0" w:color="auto"/>
        <w:left w:val="none" w:sz="0" w:space="0" w:color="auto"/>
        <w:bottom w:val="none" w:sz="0" w:space="0" w:color="auto"/>
        <w:right w:val="none" w:sz="0" w:space="0" w:color="auto"/>
      </w:divBdr>
    </w:div>
    <w:div w:id="78489097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46047724">
      <w:bodyDiv w:val="1"/>
      <w:marLeft w:val="0"/>
      <w:marRight w:val="0"/>
      <w:marTop w:val="0"/>
      <w:marBottom w:val="0"/>
      <w:divBdr>
        <w:top w:val="none" w:sz="0" w:space="0" w:color="auto"/>
        <w:left w:val="none" w:sz="0" w:space="0" w:color="auto"/>
        <w:bottom w:val="none" w:sz="0" w:space="0" w:color="auto"/>
        <w:right w:val="none" w:sz="0" w:space="0" w:color="auto"/>
      </w:divBdr>
    </w:div>
    <w:div w:id="15480576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3610797">
      <w:bodyDiv w:val="1"/>
      <w:marLeft w:val="0"/>
      <w:marRight w:val="0"/>
      <w:marTop w:val="0"/>
      <w:marBottom w:val="0"/>
      <w:divBdr>
        <w:top w:val="none" w:sz="0" w:space="0" w:color="auto"/>
        <w:left w:val="none" w:sz="0" w:space="0" w:color="auto"/>
        <w:bottom w:val="none" w:sz="0" w:space="0" w:color="auto"/>
        <w:right w:val="none" w:sz="0" w:space="0" w:color="auto"/>
      </w:divBdr>
      <w:divsChild>
        <w:div w:id="1606384785">
          <w:marLeft w:val="360"/>
          <w:marRight w:val="0"/>
          <w:marTop w:val="200"/>
          <w:marBottom w:val="0"/>
          <w:divBdr>
            <w:top w:val="none" w:sz="0" w:space="0" w:color="auto"/>
            <w:left w:val="none" w:sz="0" w:space="0" w:color="auto"/>
            <w:bottom w:val="none" w:sz="0" w:space="0" w:color="auto"/>
            <w:right w:val="none" w:sz="0" w:space="0" w:color="auto"/>
          </w:divBdr>
        </w:div>
      </w:divsChild>
    </w:div>
    <w:div w:id="2025201629">
      <w:bodyDiv w:val="1"/>
      <w:marLeft w:val="0"/>
      <w:marRight w:val="0"/>
      <w:marTop w:val="0"/>
      <w:marBottom w:val="0"/>
      <w:divBdr>
        <w:top w:val="none" w:sz="0" w:space="0" w:color="auto"/>
        <w:left w:val="none" w:sz="0" w:space="0" w:color="auto"/>
        <w:bottom w:val="none" w:sz="0" w:space="0" w:color="auto"/>
        <w:right w:val="none" w:sz="0" w:space="0" w:color="auto"/>
      </w:divBdr>
    </w:div>
    <w:div w:id="20882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ines.org.uk/emc/product/7504/smpc" TargetMode="External"/><Relationship Id="rId1" Type="http://schemas.openxmlformats.org/officeDocument/2006/relationships/hyperlink" Target="https://icd.who.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8196-B40E-4ED7-AC1C-67D61498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7296</Words>
  <Characters>41611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2020-06-19T04:50:00Z</dcterms:created>
  <dcterms:modified xsi:type="dcterms:W3CDTF">2020-06-19T05:11:00Z</dcterms:modified>
</cp:coreProperties>
</file>