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498" w:rsidRPr="001B446F" w:rsidRDefault="001F6E40" w:rsidP="00BB6498">
      <w:pPr>
        <w:pStyle w:val="1-MainHeading"/>
      </w:pPr>
      <w:bookmarkStart w:id="0" w:name="_Toc27396256"/>
      <w:bookmarkStart w:id="1" w:name="_Toc29397979"/>
      <w:bookmarkStart w:id="2" w:name="_Toc30496447"/>
      <w:r w:rsidRPr="001B446F">
        <w:t>5</w:t>
      </w:r>
      <w:r w:rsidR="00433044" w:rsidRPr="001B446F">
        <w:t>.</w:t>
      </w:r>
      <w:r w:rsidRPr="001B446F">
        <w:t>04</w:t>
      </w:r>
      <w:r w:rsidR="00163F66" w:rsidRPr="001B446F">
        <w:tab/>
      </w:r>
      <w:r w:rsidR="008B0193" w:rsidRPr="001B446F">
        <w:t>FLUOCINOLONE ACETONIDE</w:t>
      </w:r>
      <w:r w:rsidR="00BB6498" w:rsidRPr="001B446F">
        <w:t>,</w:t>
      </w:r>
      <w:r w:rsidR="008B0193" w:rsidRPr="001B446F">
        <w:t xml:space="preserve"> </w:t>
      </w:r>
      <w:r w:rsidR="00163F66" w:rsidRPr="001B446F">
        <w:br/>
      </w:r>
      <w:bookmarkEnd w:id="0"/>
      <w:bookmarkEnd w:id="1"/>
      <w:bookmarkEnd w:id="2"/>
      <w:proofErr w:type="spellStart"/>
      <w:r w:rsidR="00BB6498" w:rsidRPr="001B446F">
        <w:t>Intravitreal</w:t>
      </w:r>
      <w:proofErr w:type="spellEnd"/>
      <w:r w:rsidR="00BB6498" w:rsidRPr="001B446F">
        <w:t xml:space="preserve"> injection 190 micrograms</w:t>
      </w:r>
      <w:proofErr w:type="gramStart"/>
      <w:r w:rsidR="008B0193" w:rsidRPr="001B446F">
        <w:t>,</w:t>
      </w:r>
      <w:proofErr w:type="gramEnd"/>
      <w:r w:rsidR="00BB6498" w:rsidRPr="001B446F">
        <w:br/>
      </w:r>
      <w:proofErr w:type="spellStart"/>
      <w:r w:rsidR="00BB6498" w:rsidRPr="001B446F">
        <w:t>Iluvien</w:t>
      </w:r>
      <w:proofErr w:type="spellEnd"/>
      <w:r w:rsidR="00BB6498" w:rsidRPr="001B446F">
        <w:rPr>
          <w:vertAlign w:val="superscript"/>
        </w:rPr>
        <w:t>®</w:t>
      </w:r>
      <w:r w:rsidR="00BB6498" w:rsidRPr="001B446F">
        <w:t>,</w:t>
      </w:r>
      <w:r w:rsidR="00BB6498" w:rsidRPr="001B446F">
        <w:br/>
        <w:t xml:space="preserve">Specialised Therapeutics </w:t>
      </w:r>
      <w:proofErr w:type="spellStart"/>
      <w:r w:rsidR="00BB6498" w:rsidRPr="001B446F">
        <w:t>Alim</w:t>
      </w:r>
      <w:proofErr w:type="spellEnd"/>
      <w:r w:rsidR="00BB6498" w:rsidRPr="001B446F">
        <w:t xml:space="preserve"> Pty Ltd. </w:t>
      </w:r>
    </w:p>
    <w:p w:rsidR="00B50DB8" w:rsidRPr="001B446F" w:rsidRDefault="00B50DB8" w:rsidP="004A6040">
      <w:pPr>
        <w:pStyle w:val="2-SectionHeading"/>
      </w:pPr>
      <w:bookmarkStart w:id="3" w:name="_Toc30496449"/>
      <w:r w:rsidRPr="001B446F">
        <w:t xml:space="preserve">Purpose of </w:t>
      </w:r>
      <w:r w:rsidR="00CD7193" w:rsidRPr="001B446F">
        <w:t>s</w:t>
      </w:r>
      <w:r w:rsidR="00BB3A45" w:rsidRPr="001B446F">
        <w:t>ubmission</w:t>
      </w:r>
      <w:bookmarkEnd w:id="3"/>
    </w:p>
    <w:p w:rsidR="002C2775" w:rsidRPr="001B446F" w:rsidRDefault="007170DA" w:rsidP="004E18E9">
      <w:pPr>
        <w:pStyle w:val="3-BodyText"/>
      </w:pPr>
      <w:r w:rsidRPr="001B446F">
        <w:t xml:space="preserve">The submission requested </w:t>
      </w:r>
      <w:r w:rsidR="008C4475" w:rsidRPr="001B446F">
        <w:t xml:space="preserve">an </w:t>
      </w:r>
      <w:r w:rsidR="002463FE" w:rsidRPr="001B446F">
        <w:t>A</w:t>
      </w:r>
      <w:r w:rsidR="008C4475" w:rsidRPr="001B446F">
        <w:t xml:space="preserve">uthority </w:t>
      </w:r>
      <w:proofErr w:type="gramStart"/>
      <w:r w:rsidR="002463FE" w:rsidRPr="001B446F">
        <w:t>R</w:t>
      </w:r>
      <w:r w:rsidR="008C4475" w:rsidRPr="001B446F">
        <w:t>equired</w:t>
      </w:r>
      <w:proofErr w:type="gramEnd"/>
      <w:r w:rsidR="008C4475" w:rsidRPr="001B446F">
        <w:t xml:space="preserve"> </w:t>
      </w:r>
      <w:r w:rsidR="008B1757" w:rsidRPr="001B446F">
        <w:t xml:space="preserve">listing for </w:t>
      </w:r>
      <w:proofErr w:type="spellStart"/>
      <w:r w:rsidR="008A1B80" w:rsidRPr="001B446F">
        <w:t>fluocinolone</w:t>
      </w:r>
      <w:proofErr w:type="spellEnd"/>
      <w:r w:rsidR="008A1B80" w:rsidRPr="001B446F">
        <w:t xml:space="preserve"> </w:t>
      </w:r>
      <w:proofErr w:type="spellStart"/>
      <w:r w:rsidR="008A1B80" w:rsidRPr="001B446F">
        <w:t>acetonide</w:t>
      </w:r>
      <w:proofErr w:type="spellEnd"/>
      <w:r w:rsidR="008A1B80" w:rsidRPr="001B446F">
        <w:t xml:space="preserve"> (</w:t>
      </w:r>
      <w:r w:rsidR="00BE6C1B" w:rsidRPr="001B446F">
        <w:t>FA</w:t>
      </w:r>
      <w:r w:rsidR="008A1B80" w:rsidRPr="001B446F">
        <w:t>)</w:t>
      </w:r>
      <w:r w:rsidR="00FC6FF1" w:rsidRPr="001B446F">
        <w:t xml:space="preserve"> </w:t>
      </w:r>
      <w:r w:rsidR="008B1757" w:rsidRPr="001B446F">
        <w:t xml:space="preserve">for </w:t>
      </w:r>
      <w:r w:rsidR="0050174E" w:rsidRPr="001B446F">
        <w:t xml:space="preserve">the </w:t>
      </w:r>
      <w:r w:rsidR="008B1757" w:rsidRPr="001B446F">
        <w:t xml:space="preserve">treatment of </w:t>
      </w:r>
      <w:r w:rsidR="00260029" w:rsidRPr="001B446F">
        <w:t xml:space="preserve">diabetic macular </w:t>
      </w:r>
      <w:r w:rsidR="007417C4" w:rsidRPr="001B446F">
        <w:t>oedema</w:t>
      </w:r>
      <w:r w:rsidR="006B379C" w:rsidRPr="001B446F">
        <w:t xml:space="preserve"> </w:t>
      </w:r>
      <w:r w:rsidR="00FC6FF1" w:rsidRPr="001B446F">
        <w:t xml:space="preserve">(DMO, </w:t>
      </w:r>
      <w:r w:rsidR="001B446F">
        <w:t>also</w:t>
      </w:r>
      <w:r w:rsidR="001B446F" w:rsidRPr="001B446F">
        <w:t xml:space="preserve"> </w:t>
      </w:r>
      <w:r w:rsidR="00FC6FF1" w:rsidRPr="001B446F">
        <w:t xml:space="preserve">referred to as </w:t>
      </w:r>
      <w:r w:rsidR="00E25904" w:rsidRPr="001B446F">
        <w:t>DM</w:t>
      </w:r>
      <w:r w:rsidR="008D6EB4" w:rsidRPr="001B446F">
        <w:t>E</w:t>
      </w:r>
      <w:r w:rsidR="00FC6FF1" w:rsidRPr="001B446F">
        <w:t xml:space="preserve">) </w:t>
      </w:r>
      <w:r w:rsidR="006B379C" w:rsidRPr="001B446F">
        <w:t>who are unsuitable for</w:t>
      </w:r>
      <w:r w:rsidR="008C4475" w:rsidRPr="001B446F">
        <w:t>, contraindicated to, or have failed</w:t>
      </w:r>
      <w:r w:rsidR="006B379C" w:rsidRPr="001B446F">
        <w:t xml:space="preserve"> treatment with vascular endothelial growth factor (VEGF) inhibitors</w:t>
      </w:r>
      <w:r w:rsidR="008B1757" w:rsidRPr="001B446F">
        <w:t xml:space="preserve">. </w:t>
      </w:r>
    </w:p>
    <w:p w:rsidR="00C2778B" w:rsidRPr="001B446F" w:rsidRDefault="005750C5" w:rsidP="004E18E9">
      <w:pPr>
        <w:pStyle w:val="3-BodyText"/>
      </w:pPr>
      <w:r w:rsidRPr="001B446F">
        <w:t xml:space="preserve">Listing was requested </w:t>
      </w:r>
      <w:proofErr w:type="gramStart"/>
      <w:r w:rsidRPr="001B446F">
        <w:t>on the basis of</w:t>
      </w:r>
      <w:proofErr w:type="gramEnd"/>
      <w:r w:rsidRPr="001B446F">
        <w:t xml:space="preserve"> a cost-minimisation</w:t>
      </w:r>
      <w:r w:rsidR="002D550A" w:rsidRPr="001B446F">
        <w:t xml:space="preserve"> </w:t>
      </w:r>
      <w:r w:rsidRPr="001B446F">
        <w:t>analysis</w:t>
      </w:r>
      <w:r w:rsidR="00C050DC" w:rsidRPr="001B446F">
        <w:t xml:space="preserve"> (CMA)</w:t>
      </w:r>
      <w:r w:rsidRPr="001B446F">
        <w:t xml:space="preserve"> versus </w:t>
      </w:r>
      <w:r w:rsidR="005211DA" w:rsidRPr="001B446F">
        <w:t>dexamethasone (</w:t>
      </w:r>
      <w:r w:rsidR="00BE6C1B" w:rsidRPr="001B446F">
        <w:t>DEX</w:t>
      </w:r>
      <w:r w:rsidR="005211DA" w:rsidRPr="001B446F">
        <w:t xml:space="preserve">) </w:t>
      </w:r>
      <w:proofErr w:type="spellStart"/>
      <w:r w:rsidR="006B379C" w:rsidRPr="001B446F">
        <w:t>intravitreal</w:t>
      </w:r>
      <w:proofErr w:type="spellEnd"/>
      <w:r w:rsidR="006B379C" w:rsidRPr="001B446F">
        <w:t xml:space="preserve"> implant, using clinical evidence from an indirect comparison</w:t>
      </w:r>
      <w:r w:rsidR="006B22BE">
        <w:t>.</w:t>
      </w:r>
    </w:p>
    <w:p w:rsidR="008B1757" w:rsidRPr="001B446F" w:rsidRDefault="008B1757" w:rsidP="00FB0EA6">
      <w:pPr>
        <w:pStyle w:val="TableFigureHeading"/>
        <w:keepLines/>
        <w:rPr>
          <w:rStyle w:val="CommentReference"/>
          <w:b/>
          <w:szCs w:val="24"/>
        </w:rPr>
      </w:pPr>
      <w:r w:rsidRPr="001B446F">
        <w:rPr>
          <w:rStyle w:val="CommentReference"/>
          <w:b/>
          <w:szCs w:val="24"/>
        </w:rPr>
        <w:t xml:space="preserve">Table </w:t>
      </w:r>
      <w:r w:rsidR="008A59EC" w:rsidRPr="001B446F">
        <w:rPr>
          <w:rStyle w:val="CommentReference"/>
          <w:b/>
          <w:szCs w:val="24"/>
        </w:rPr>
        <w:t>1</w:t>
      </w:r>
      <w:r w:rsidRPr="001B446F">
        <w:rPr>
          <w:rStyle w:val="CommentReference"/>
          <w:b/>
          <w:szCs w:val="24"/>
        </w:rPr>
        <w:t>:</w:t>
      </w:r>
      <w:r w:rsidR="00BC591F" w:rsidRPr="001B446F">
        <w:rPr>
          <w:rStyle w:val="CommentReference"/>
          <w:b/>
          <w:szCs w:val="24"/>
        </w:rPr>
        <w:t xml:space="preserve"> </w:t>
      </w:r>
      <w:r w:rsidRPr="001B446F">
        <w:rPr>
          <w:rStyle w:val="CommentReference"/>
          <w:b/>
          <w:szCs w:val="24"/>
        </w:rPr>
        <w:t>Key components of the clinical issue addressed by the submission</w:t>
      </w:r>
      <w:r w:rsidR="007170DA" w:rsidRPr="001B446F">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1B446F" w:rsidTr="002A2ADE">
        <w:trPr>
          <w:cantSplit/>
          <w:tblHeader/>
        </w:trPr>
        <w:tc>
          <w:tcPr>
            <w:tcW w:w="924" w:type="pct"/>
            <w:shd w:val="clear" w:color="auto" w:fill="auto"/>
          </w:tcPr>
          <w:p w:rsidR="008B1757" w:rsidRPr="001B446F" w:rsidRDefault="008B1757" w:rsidP="00FB0EA6">
            <w:pPr>
              <w:pStyle w:val="In-tableHeading"/>
              <w:keepLines/>
              <w:rPr>
                <w:szCs w:val="20"/>
                <w:lang w:val="en-AU"/>
              </w:rPr>
            </w:pPr>
            <w:r w:rsidRPr="001B446F">
              <w:rPr>
                <w:lang w:val="en-AU"/>
              </w:rPr>
              <w:t>Component</w:t>
            </w:r>
          </w:p>
        </w:tc>
        <w:tc>
          <w:tcPr>
            <w:tcW w:w="4076" w:type="pct"/>
            <w:shd w:val="clear" w:color="auto" w:fill="auto"/>
          </w:tcPr>
          <w:p w:rsidR="008B1757" w:rsidRPr="001B446F" w:rsidRDefault="008B1757" w:rsidP="00FB0EA6">
            <w:pPr>
              <w:pStyle w:val="In-tableHeading"/>
              <w:keepLines/>
              <w:rPr>
                <w:lang w:val="en-AU"/>
              </w:rPr>
            </w:pPr>
            <w:r w:rsidRPr="001B446F">
              <w:rPr>
                <w:lang w:val="en-AU"/>
              </w:rPr>
              <w:t>Description</w:t>
            </w:r>
          </w:p>
        </w:tc>
      </w:tr>
      <w:tr w:rsidR="002D550A" w:rsidRPr="001B446F" w:rsidTr="00F2301A">
        <w:trPr>
          <w:cantSplit/>
        </w:trPr>
        <w:tc>
          <w:tcPr>
            <w:tcW w:w="924" w:type="pct"/>
            <w:vAlign w:val="center"/>
          </w:tcPr>
          <w:p w:rsidR="002D550A" w:rsidRPr="001B446F" w:rsidRDefault="002D550A" w:rsidP="00FB0EA6">
            <w:pPr>
              <w:pStyle w:val="TableText0"/>
              <w:keepLines/>
            </w:pPr>
            <w:r w:rsidRPr="001B446F">
              <w:t>Population</w:t>
            </w:r>
          </w:p>
        </w:tc>
        <w:tc>
          <w:tcPr>
            <w:tcW w:w="4076" w:type="pct"/>
            <w:vAlign w:val="center"/>
          </w:tcPr>
          <w:p w:rsidR="002D550A" w:rsidRPr="001B446F" w:rsidRDefault="002D550A" w:rsidP="00FB0EA6">
            <w:pPr>
              <w:pStyle w:val="TableText0"/>
              <w:keepLines/>
              <w:rPr>
                <w:szCs w:val="20"/>
              </w:rPr>
            </w:pPr>
            <w:r w:rsidRPr="001B446F">
              <w:t xml:space="preserve">Patients with </w:t>
            </w:r>
            <w:r w:rsidR="00E25904" w:rsidRPr="001B446F">
              <w:t>DMO</w:t>
            </w:r>
            <w:r w:rsidRPr="001B446F">
              <w:t xml:space="preserve"> who have been previously treated with a course of corticosteroids and did not have a clinically significant rise in IOP</w:t>
            </w:r>
          </w:p>
        </w:tc>
      </w:tr>
      <w:tr w:rsidR="002D550A" w:rsidRPr="001B446F" w:rsidTr="00F2301A">
        <w:trPr>
          <w:cantSplit/>
        </w:trPr>
        <w:tc>
          <w:tcPr>
            <w:tcW w:w="924" w:type="pct"/>
            <w:vAlign w:val="center"/>
          </w:tcPr>
          <w:p w:rsidR="002D550A" w:rsidRPr="001B446F" w:rsidRDefault="002D550A" w:rsidP="00FB0EA6">
            <w:pPr>
              <w:pStyle w:val="TableText0"/>
              <w:keepLines/>
            </w:pPr>
            <w:r w:rsidRPr="001B446F">
              <w:t>Intervention</w:t>
            </w:r>
          </w:p>
        </w:tc>
        <w:tc>
          <w:tcPr>
            <w:tcW w:w="4076" w:type="pct"/>
            <w:vAlign w:val="center"/>
          </w:tcPr>
          <w:p w:rsidR="002D550A" w:rsidRPr="001B446F" w:rsidRDefault="002D550A" w:rsidP="00FB0EA6">
            <w:pPr>
              <w:pStyle w:val="TableText0"/>
              <w:keepLines/>
            </w:pPr>
            <w:r w:rsidRPr="001B446F">
              <w:t>ILUVIEN (</w:t>
            </w:r>
            <w:r w:rsidR="00BE6C1B" w:rsidRPr="001B446F">
              <w:t>FA</w:t>
            </w:r>
            <w:r w:rsidRPr="001B446F">
              <w:t>) 190 micrograms</w:t>
            </w:r>
            <w:r w:rsidR="00BB6BC1" w:rsidRPr="001B446F">
              <w:t xml:space="preserve"> (</w:t>
            </w:r>
            <w:proofErr w:type="spellStart"/>
            <w:r w:rsidR="00BB6BC1" w:rsidRPr="001B446F">
              <w:t>μg</w:t>
            </w:r>
            <w:proofErr w:type="spellEnd"/>
            <w:r w:rsidR="00BB6BC1" w:rsidRPr="001B446F">
              <w:t>)</w:t>
            </w:r>
            <w:r w:rsidRPr="001B446F">
              <w:t xml:space="preserve"> </w:t>
            </w:r>
            <w:proofErr w:type="spellStart"/>
            <w:r w:rsidRPr="001B446F">
              <w:t>intravitreal</w:t>
            </w:r>
            <w:proofErr w:type="spellEnd"/>
            <w:r w:rsidRPr="001B446F">
              <w:t xml:space="preserve"> implant in applicator </w:t>
            </w:r>
          </w:p>
        </w:tc>
      </w:tr>
      <w:tr w:rsidR="002D550A" w:rsidRPr="001B446F" w:rsidTr="00F2301A">
        <w:trPr>
          <w:cantSplit/>
        </w:trPr>
        <w:tc>
          <w:tcPr>
            <w:tcW w:w="924" w:type="pct"/>
            <w:vAlign w:val="center"/>
          </w:tcPr>
          <w:p w:rsidR="002D550A" w:rsidRPr="001B446F" w:rsidRDefault="002D550A" w:rsidP="00FB0EA6">
            <w:pPr>
              <w:pStyle w:val="TableText0"/>
              <w:keepLines/>
            </w:pPr>
            <w:r w:rsidRPr="001B446F">
              <w:t>Comparator</w:t>
            </w:r>
          </w:p>
        </w:tc>
        <w:tc>
          <w:tcPr>
            <w:tcW w:w="4076" w:type="pct"/>
            <w:vAlign w:val="center"/>
          </w:tcPr>
          <w:p w:rsidR="002D550A" w:rsidRPr="001B446F" w:rsidRDefault="002D550A" w:rsidP="00FB0EA6">
            <w:pPr>
              <w:pStyle w:val="TableText0"/>
              <w:keepLines/>
            </w:pPr>
            <w:proofErr w:type="spellStart"/>
            <w:r w:rsidRPr="001B446F">
              <w:t>Intravitreal</w:t>
            </w:r>
            <w:proofErr w:type="spellEnd"/>
            <w:r w:rsidRPr="001B446F">
              <w:t xml:space="preserve"> implant containing 700 </w:t>
            </w:r>
            <w:proofErr w:type="spellStart"/>
            <w:r w:rsidRPr="001B446F">
              <w:t>μg</w:t>
            </w:r>
            <w:proofErr w:type="spellEnd"/>
            <w:r w:rsidRPr="001B446F">
              <w:t xml:space="preserve"> </w:t>
            </w:r>
            <w:r w:rsidR="00BE6C1B" w:rsidRPr="001B446F">
              <w:t>DEX</w:t>
            </w:r>
            <w:r w:rsidRPr="001B446F">
              <w:t xml:space="preserve"> in a solid polymer drug delivery system</w:t>
            </w:r>
          </w:p>
        </w:tc>
      </w:tr>
      <w:tr w:rsidR="002D550A" w:rsidRPr="001B446F" w:rsidTr="00F2301A">
        <w:trPr>
          <w:cantSplit/>
        </w:trPr>
        <w:tc>
          <w:tcPr>
            <w:tcW w:w="924" w:type="pct"/>
            <w:vAlign w:val="center"/>
          </w:tcPr>
          <w:p w:rsidR="002D550A" w:rsidRPr="001B446F" w:rsidRDefault="002D550A" w:rsidP="00FB0EA6">
            <w:pPr>
              <w:pStyle w:val="TableText0"/>
              <w:keepLines/>
            </w:pPr>
            <w:r w:rsidRPr="001B446F">
              <w:t>Outcomes</w:t>
            </w:r>
          </w:p>
        </w:tc>
        <w:tc>
          <w:tcPr>
            <w:tcW w:w="4076" w:type="pct"/>
            <w:vAlign w:val="center"/>
          </w:tcPr>
          <w:p w:rsidR="002D550A" w:rsidRPr="001B446F" w:rsidRDefault="00E62104" w:rsidP="00FB0EA6">
            <w:pPr>
              <w:pStyle w:val="TableText0"/>
              <w:keepLines/>
              <w:rPr>
                <w:rFonts w:eastAsia="Times New Roman" w:cs="Arial"/>
                <w:bCs w:val="0"/>
                <w:snapToGrid w:val="0"/>
                <w:color w:val="0066FF"/>
                <w:szCs w:val="20"/>
              </w:rPr>
            </w:pPr>
            <w:proofErr w:type="gramStart"/>
            <w:r w:rsidRPr="001B446F">
              <w:t xml:space="preserve">Proportion achieving </w:t>
            </w:r>
            <w:r w:rsidR="002D550A" w:rsidRPr="001B446F">
              <w:t>≥ 15-</w:t>
            </w:r>
            <w:r w:rsidR="0090565D" w:rsidRPr="001B446F">
              <w:t>l</w:t>
            </w:r>
            <w:r w:rsidR="002D550A" w:rsidRPr="001B446F">
              <w:t xml:space="preserve">etter </w:t>
            </w:r>
            <w:r w:rsidR="0090565D" w:rsidRPr="001B446F">
              <w:t>i</w:t>
            </w:r>
            <w:r w:rsidR="002D550A" w:rsidRPr="001B446F">
              <w:t xml:space="preserve">mprovement </w:t>
            </w:r>
            <w:r w:rsidR="0090565D" w:rsidRPr="001B446F">
              <w:t>i</w:t>
            </w:r>
            <w:r w:rsidR="002D550A" w:rsidRPr="001B446F">
              <w:t xml:space="preserve">n BCVA; </w:t>
            </w:r>
            <w:r w:rsidR="0090565D" w:rsidRPr="001B446F">
              <w:t>c</w:t>
            </w:r>
            <w:r w:rsidR="002D550A" w:rsidRPr="001B446F">
              <w:t xml:space="preserve">hange </w:t>
            </w:r>
            <w:r w:rsidR="0090565D" w:rsidRPr="001B446F">
              <w:t>f</w:t>
            </w:r>
            <w:r w:rsidR="002D550A" w:rsidRPr="001B446F">
              <w:t xml:space="preserve">rom </w:t>
            </w:r>
            <w:r w:rsidR="0090565D" w:rsidRPr="001B446F">
              <w:t>b</w:t>
            </w:r>
            <w:r w:rsidR="002D550A" w:rsidRPr="001B446F">
              <w:t xml:space="preserve">aseline </w:t>
            </w:r>
            <w:r w:rsidR="0090565D" w:rsidRPr="001B446F">
              <w:t>i</w:t>
            </w:r>
            <w:r w:rsidR="002D550A" w:rsidRPr="001B446F">
              <w:t xml:space="preserve">n BCVA </w:t>
            </w:r>
            <w:r w:rsidR="0090565D" w:rsidRPr="001B446F">
              <w:t>l</w:t>
            </w:r>
            <w:r w:rsidR="002D550A" w:rsidRPr="001B446F">
              <w:t xml:space="preserve">etter </w:t>
            </w:r>
            <w:r w:rsidR="0090565D" w:rsidRPr="001B446F">
              <w:t>s</w:t>
            </w:r>
            <w:r w:rsidR="002D550A" w:rsidRPr="001B446F">
              <w:t xml:space="preserve">core; </w:t>
            </w:r>
            <w:r w:rsidR="0090565D" w:rsidRPr="001B446F">
              <w:t>t</w:t>
            </w:r>
            <w:r w:rsidR="002D550A" w:rsidRPr="001B446F">
              <w:t>ime to ≥15-</w:t>
            </w:r>
            <w:r w:rsidR="0090565D" w:rsidRPr="001B446F">
              <w:t>l</w:t>
            </w:r>
            <w:r w:rsidR="002D550A" w:rsidRPr="001B446F">
              <w:t xml:space="preserve">etter </w:t>
            </w:r>
            <w:r w:rsidR="0090565D" w:rsidRPr="001B446F">
              <w:t>i</w:t>
            </w:r>
            <w:r w:rsidR="002D550A" w:rsidRPr="001B446F">
              <w:t xml:space="preserve">ncrease from </w:t>
            </w:r>
            <w:r w:rsidR="0090565D" w:rsidRPr="001B446F">
              <w:t>b</w:t>
            </w:r>
            <w:r w:rsidR="002D550A" w:rsidRPr="001B446F">
              <w:t xml:space="preserve">aseline in BCVA; </w:t>
            </w:r>
            <w:r w:rsidR="0090565D" w:rsidRPr="001B446F">
              <w:t>d</w:t>
            </w:r>
            <w:r w:rsidR="002D550A" w:rsidRPr="001B446F">
              <w:t xml:space="preserve">istribution of BCVA; </w:t>
            </w:r>
            <w:r w:rsidR="00AB1D3F" w:rsidRPr="001B446F">
              <w:t>p</w:t>
            </w:r>
            <w:r w:rsidRPr="001B446F">
              <w:t xml:space="preserve">roportion achieving </w:t>
            </w:r>
            <w:r w:rsidR="002D550A" w:rsidRPr="001B446F">
              <w:t>≥ 10-</w:t>
            </w:r>
            <w:r w:rsidR="0090565D" w:rsidRPr="001B446F">
              <w:t>l</w:t>
            </w:r>
            <w:r w:rsidR="002D550A" w:rsidRPr="001B446F">
              <w:t xml:space="preserve">etter </w:t>
            </w:r>
            <w:r w:rsidR="0090565D" w:rsidRPr="001B446F">
              <w:t>i</w:t>
            </w:r>
            <w:r w:rsidR="002D550A" w:rsidRPr="001B446F">
              <w:t xml:space="preserve">mprovement </w:t>
            </w:r>
            <w:r w:rsidR="0090565D" w:rsidRPr="001B446F">
              <w:t>i</w:t>
            </w:r>
            <w:r w:rsidR="002D550A" w:rsidRPr="001B446F">
              <w:t xml:space="preserve">n BCVA; </w:t>
            </w:r>
            <w:r w:rsidR="0090565D" w:rsidRPr="001B446F">
              <w:t>t</w:t>
            </w:r>
            <w:r w:rsidR="002D550A" w:rsidRPr="001B446F">
              <w:t>hree-</w:t>
            </w:r>
            <w:r w:rsidR="0090565D" w:rsidRPr="001B446F">
              <w:t>s</w:t>
            </w:r>
            <w:r w:rsidR="002D550A" w:rsidRPr="001B446F">
              <w:t xml:space="preserve">tep </w:t>
            </w:r>
            <w:r w:rsidR="0090565D" w:rsidRPr="001B446F">
              <w:t>w</w:t>
            </w:r>
            <w:r w:rsidR="002D550A" w:rsidRPr="001B446F">
              <w:t xml:space="preserve">orsening in ETDRS </w:t>
            </w:r>
            <w:r w:rsidR="0090565D" w:rsidRPr="001B446F">
              <w:t>m</w:t>
            </w:r>
            <w:r w:rsidR="002D550A" w:rsidRPr="001B446F">
              <w:t>ulti-</w:t>
            </w:r>
            <w:r w:rsidR="0090565D" w:rsidRPr="001B446F">
              <w:t>s</w:t>
            </w:r>
            <w:r w:rsidR="002D550A" w:rsidRPr="001B446F">
              <w:t xml:space="preserve">tep </w:t>
            </w:r>
            <w:r w:rsidR="0090565D" w:rsidRPr="001B446F">
              <w:t>e</w:t>
            </w:r>
            <w:r w:rsidR="002D550A" w:rsidRPr="001B446F">
              <w:t xml:space="preserve">ye </w:t>
            </w:r>
            <w:r w:rsidR="0090565D" w:rsidRPr="001B446F">
              <w:t>s</w:t>
            </w:r>
            <w:r w:rsidR="002D550A" w:rsidRPr="001B446F">
              <w:t xml:space="preserve">cale </w:t>
            </w:r>
            <w:r w:rsidR="0049431E" w:rsidRPr="001B446F">
              <w:t>o</w:t>
            </w:r>
            <w:r w:rsidR="002D550A" w:rsidRPr="001B446F">
              <w:t xml:space="preserve">f </w:t>
            </w:r>
            <w:r w:rsidR="0090565D" w:rsidRPr="001B446F">
              <w:t>d</w:t>
            </w:r>
            <w:r w:rsidR="002D550A" w:rsidRPr="001B446F">
              <w:t xml:space="preserve">iabetic </w:t>
            </w:r>
            <w:r w:rsidR="0090565D" w:rsidRPr="001B446F">
              <w:t>r</w:t>
            </w:r>
            <w:r w:rsidR="002D550A" w:rsidRPr="001B446F">
              <w:t xml:space="preserve">etinopathy; </w:t>
            </w:r>
            <w:r w:rsidR="0090565D" w:rsidRPr="001B446F">
              <w:t>m</w:t>
            </w:r>
            <w:r w:rsidR="002D550A" w:rsidRPr="001B446F">
              <w:t xml:space="preserve">ean </w:t>
            </w:r>
            <w:r w:rsidR="0090565D" w:rsidRPr="001B446F">
              <w:t>c</w:t>
            </w:r>
            <w:r w:rsidR="002D550A" w:rsidRPr="001B446F">
              <w:t xml:space="preserve">hange from </w:t>
            </w:r>
            <w:r w:rsidR="0090565D" w:rsidRPr="001B446F">
              <w:t>b</w:t>
            </w:r>
            <w:r w:rsidR="002D550A" w:rsidRPr="001B446F">
              <w:t xml:space="preserve">aseline in </w:t>
            </w:r>
            <w:r w:rsidR="0090565D" w:rsidRPr="001B446F">
              <w:t>c</w:t>
            </w:r>
            <w:r w:rsidR="002D550A" w:rsidRPr="001B446F">
              <w:t xml:space="preserve">entre </w:t>
            </w:r>
            <w:r w:rsidR="0090565D" w:rsidRPr="001B446F">
              <w:t>p</w:t>
            </w:r>
            <w:r w:rsidR="002D550A" w:rsidRPr="001B446F">
              <w:t xml:space="preserve">oint </w:t>
            </w:r>
            <w:r w:rsidR="0090565D" w:rsidRPr="001B446F">
              <w:t>t</w:t>
            </w:r>
            <w:r w:rsidR="002D550A" w:rsidRPr="001B446F">
              <w:t xml:space="preserve">hickness; </w:t>
            </w:r>
            <w:r w:rsidR="0090565D" w:rsidRPr="001B446F">
              <w:t>c</w:t>
            </w:r>
            <w:r w:rsidR="002D550A" w:rsidRPr="001B446F">
              <w:t xml:space="preserve">hange </w:t>
            </w:r>
            <w:r w:rsidR="0090565D" w:rsidRPr="001B446F">
              <w:t>f</w:t>
            </w:r>
            <w:r w:rsidR="002D550A" w:rsidRPr="001B446F">
              <w:t xml:space="preserve">rom </w:t>
            </w:r>
            <w:r w:rsidR="0090565D" w:rsidRPr="001B446F">
              <w:t>b</w:t>
            </w:r>
            <w:r w:rsidR="002D550A" w:rsidRPr="001B446F">
              <w:t xml:space="preserve">aseline </w:t>
            </w:r>
            <w:r w:rsidR="0090565D" w:rsidRPr="001B446F">
              <w:t>i</w:t>
            </w:r>
            <w:r w:rsidR="002D550A" w:rsidRPr="001B446F">
              <w:t xml:space="preserve">n </w:t>
            </w:r>
            <w:r w:rsidR="0090565D" w:rsidRPr="001B446F">
              <w:t>e</w:t>
            </w:r>
            <w:r w:rsidR="002D550A" w:rsidRPr="001B446F">
              <w:t xml:space="preserve">xcess </w:t>
            </w:r>
            <w:r w:rsidR="0090565D" w:rsidRPr="001B446F">
              <w:t>c</w:t>
            </w:r>
            <w:r w:rsidR="002D550A" w:rsidRPr="001B446F">
              <w:t xml:space="preserve">entre </w:t>
            </w:r>
            <w:r w:rsidR="0090565D" w:rsidRPr="001B446F">
              <w:t>p</w:t>
            </w:r>
            <w:r w:rsidR="002D550A" w:rsidRPr="001B446F">
              <w:t xml:space="preserve">oint </w:t>
            </w:r>
            <w:r w:rsidR="0090565D" w:rsidRPr="001B446F">
              <w:t>t</w:t>
            </w:r>
            <w:r w:rsidR="002D550A" w:rsidRPr="001B446F">
              <w:t xml:space="preserve">hickness; </w:t>
            </w:r>
            <w:r w:rsidR="0090565D" w:rsidRPr="001B446F">
              <w:t>m</w:t>
            </w:r>
            <w:r w:rsidR="002D550A" w:rsidRPr="001B446F">
              <w:t xml:space="preserve">ean </w:t>
            </w:r>
            <w:r w:rsidR="0090565D" w:rsidRPr="001B446F">
              <w:t>c</w:t>
            </w:r>
            <w:r w:rsidR="002D550A" w:rsidRPr="001B446F">
              <w:t xml:space="preserve">hange from </w:t>
            </w:r>
            <w:r w:rsidR="0090565D" w:rsidRPr="001B446F">
              <w:t>b</w:t>
            </w:r>
            <w:r w:rsidR="002D550A" w:rsidRPr="001B446F">
              <w:t xml:space="preserve">aseline in </w:t>
            </w:r>
            <w:r w:rsidR="0090565D" w:rsidRPr="001B446F">
              <w:t>m</w:t>
            </w:r>
            <w:r w:rsidR="002D550A" w:rsidRPr="001B446F">
              <w:t xml:space="preserve">acular </w:t>
            </w:r>
            <w:r w:rsidR="0090565D" w:rsidRPr="001B446F">
              <w:t>v</w:t>
            </w:r>
            <w:r w:rsidR="002D550A" w:rsidRPr="001B446F">
              <w:t>olume (mm</w:t>
            </w:r>
            <w:r w:rsidR="002D550A" w:rsidRPr="001B446F">
              <w:rPr>
                <w:vertAlign w:val="superscript"/>
              </w:rPr>
              <w:t>3</w:t>
            </w:r>
            <w:r w:rsidR="002D550A" w:rsidRPr="001B446F">
              <w:t xml:space="preserve">); </w:t>
            </w:r>
            <w:r w:rsidR="0090565D" w:rsidRPr="001B446F">
              <w:t>t</w:t>
            </w:r>
            <w:r w:rsidR="002D550A" w:rsidRPr="001B446F">
              <w:t xml:space="preserve">ime to ≥50% </w:t>
            </w:r>
            <w:r w:rsidR="0090565D" w:rsidRPr="001B446F">
              <w:t>r</w:t>
            </w:r>
            <w:r w:rsidR="002D550A" w:rsidRPr="001B446F">
              <w:t xml:space="preserve">eduction from </w:t>
            </w:r>
            <w:r w:rsidR="0090565D" w:rsidRPr="001B446F">
              <w:t>b</w:t>
            </w:r>
            <w:r w:rsidR="002D550A" w:rsidRPr="001B446F">
              <w:t xml:space="preserve">aseline in </w:t>
            </w:r>
            <w:r w:rsidR="0090565D" w:rsidRPr="001B446F">
              <w:t>e</w:t>
            </w:r>
            <w:r w:rsidR="002D550A" w:rsidRPr="001B446F">
              <w:t xml:space="preserve">xcess </w:t>
            </w:r>
            <w:proofErr w:type="spellStart"/>
            <w:r w:rsidR="0090565D" w:rsidRPr="001B446F">
              <w:t>f</w:t>
            </w:r>
            <w:r w:rsidR="002D550A" w:rsidRPr="001B446F">
              <w:t>oveal</w:t>
            </w:r>
            <w:proofErr w:type="spellEnd"/>
            <w:r w:rsidR="002D550A" w:rsidRPr="001B446F">
              <w:t xml:space="preserve"> </w:t>
            </w:r>
            <w:r w:rsidR="0090565D" w:rsidRPr="001B446F">
              <w:t>t</w:t>
            </w:r>
            <w:r w:rsidR="002D550A" w:rsidRPr="001B446F">
              <w:t xml:space="preserve">hickness; </w:t>
            </w:r>
            <w:r w:rsidR="0090565D" w:rsidRPr="001B446F">
              <w:t>q</w:t>
            </w:r>
            <w:r w:rsidR="002D550A" w:rsidRPr="001B446F">
              <w:t xml:space="preserve">uality of </w:t>
            </w:r>
            <w:r w:rsidR="0090565D" w:rsidRPr="001B446F">
              <w:t>l</w:t>
            </w:r>
            <w:r w:rsidR="002D550A" w:rsidRPr="001B446F">
              <w:t xml:space="preserve">ife (VFQ-25 and VFQ-39); </w:t>
            </w:r>
            <w:r w:rsidR="0090565D" w:rsidRPr="001B446F">
              <w:t>t</w:t>
            </w:r>
            <w:r w:rsidR="002D550A" w:rsidRPr="001B446F">
              <w:t>reatment-</w:t>
            </w:r>
            <w:r w:rsidR="0090565D" w:rsidRPr="001B446F">
              <w:t>e</w:t>
            </w:r>
            <w:r w:rsidR="002D550A" w:rsidRPr="001B446F">
              <w:t xml:space="preserve">mergent </w:t>
            </w:r>
            <w:r w:rsidR="0090565D" w:rsidRPr="001B446F">
              <w:t>a</w:t>
            </w:r>
            <w:r w:rsidR="002D550A" w:rsidRPr="001B446F">
              <w:t xml:space="preserve">dverse </w:t>
            </w:r>
            <w:r w:rsidR="0090565D" w:rsidRPr="001B446F">
              <w:t>e</w:t>
            </w:r>
            <w:r w:rsidR="002D550A" w:rsidRPr="001B446F">
              <w:t xml:space="preserve">vents; </w:t>
            </w:r>
            <w:r w:rsidR="0090565D" w:rsidRPr="001B446F">
              <w:t>m</w:t>
            </w:r>
            <w:r w:rsidR="002D550A" w:rsidRPr="001B446F">
              <w:t xml:space="preserve">ean </w:t>
            </w:r>
            <w:r w:rsidR="0090565D" w:rsidRPr="001B446F">
              <w:t>c</w:t>
            </w:r>
            <w:r w:rsidR="002D550A" w:rsidRPr="001B446F">
              <w:t xml:space="preserve">hange from </w:t>
            </w:r>
            <w:r w:rsidR="0090565D" w:rsidRPr="001B446F">
              <w:t>b</w:t>
            </w:r>
            <w:r w:rsidR="002D550A" w:rsidRPr="001B446F">
              <w:t xml:space="preserve">aseline in </w:t>
            </w:r>
            <w:r w:rsidR="00B80310" w:rsidRPr="001B446F">
              <w:t>IOP</w:t>
            </w:r>
            <w:r w:rsidR="002D550A" w:rsidRPr="001B446F">
              <w:t xml:space="preserve">; </w:t>
            </w:r>
            <w:r w:rsidR="00B80310" w:rsidRPr="001B446F">
              <w:t>IOP</w:t>
            </w:r>
            <w:r w:rsidR="002D550A" w:rsidRPr="001B446F">
              <w:t>-</w:t>
            </w:r>
            <w:r w:rsidR="0090565D" w:rsidRPr="001B446F">
              <w:t>r</w:t>
            </w:r>
            <w:r w:rsidR="002D550A" w:rsidRPr="001B446F">
              <w:t xml:space="preserve">elated </w:t>
            </w:r>
            <w:r w:rsidR="0090565D" w:rsidRPr="001B446F">
              <w:t>e</w:t>
            </w:r>
            <w:r w:rsidR="002D550A" w:rsidRPr="001B446F">
              <w:t xml:space="preserve">vents; </w:t>
            </w:r>
            <w:r w:rsidR="0090565D" w:rsidRPr="001B446F">
              <w:t>c</w:t>
            </w:r>
            <w:r w:rsidR="002D550A" w:rsidRPr="001B446F">
              <w:t>ataract-</w:t>
            </w:r>
            <w:r w:rsidR="0090565D" w:rsidRPr="001B446F">
              <w:t>r</w:t>
            </w:r>
            <w:r w:rsidR="002D550A" w:rsidRPr="001B446F">
              <w:t xml:space="preserve">elated </w:t>
            </w:r>
            <w:r w:rsidR="0090565D" w:rsidRPr="001B446F">
              <w:t>e</w:t>
            </w:r>
            <w:r w:rsidR="002D550A" w:rsidRPr="001B446F">
              <w:t xml:space="preserve">vents in </w:t>
            </w:r>
            <w:proofErr w:type="spellStart"/>
            <w:r w:rsidR="0090565D" w:rsidRPr="001B446F">
              <w:t>p</w:t>
            </w:r>
            <w:r w:rsidR="002D550A" w:rsidRPr="001B446F">
              <w:t>hakic</w:t>
            </w:r>
            <w:proofErr w:type="spellEnd"/>
            <w:r w:rsidR="002D550A" w:rsidRPr="001B446F">
              <w:t xml:space="preserve"> </w:t>
            </w:r>
            <w:r w:rsidR="0090565D" w:rsidRPr="001B446F">
              <w:t>p</w:t>
            </w:r>
            <w:r w:rsidR="008144F7" w:rsidRPr="001B446F">
              <w:t>atients</w:t>
            </w:r>
            <w:r w:rsidR="002D550A" w:rsidRPr="001B446F">
              <w:t>.</w:t>
            </w:r>
            <w:proofErr w:type="gramEnd"/>
          </w:p>
        </w:tc>
      </w:tr>
      <w:tr w:rsidR="002D550A" w:rsidRPr="001B446F" w:rsidTr="00F2301A">
        <w:trPr>
          <w:cantSplit/>
        </w:trPr>
        <w:tc>
          <w:tcPr>
            <w:tcW w:w="924" w:type="pct"/>
            <w:vAlign w:val="center"/>
          </w:tcPr>
          <w:p w:rsidR="002D550A" w:rsidRPr="001B446F" w:rsidRDefault="002D550A" w:rsidP="00FB0EA6">
            <w:pPr>
              <w:pStyle w:val="TableText0"/>
              <w:keepLines/>
            </w:pPr>
            <w:r w:rsidRPr="001B446F">
              <w:t>Clinical claim</w:t>
            </w:r>
          </w:p>
        </w:tc>
        <w:tc>
          <w:tcPr>
            <w:tcW w:w="4076" w:type="pct"/>
            <w:vAlign w:val="center"/>
          </w:tcPr>
          <w:p w:rsidR="002D550A" w:rsidRPr="001B446F" w:rsidRDefault="002D550A" w:rsidP="00FB0EA6">
            <w:pPr>
              <w:pStyle w:val="TableText0"/>
              <w:keepLines/>
              <w:rPr>
                <w:rFonts w:eastAsia="Times New Roman" w:cs="Arial"/>
                <w:bCs w:val="0"/>
                <w:snapToGrid w:val="0"/>
                <w:color w:val="0066FF"/>
                <w:szCs w:val="20"/>
              </w:rPr>
            </w:pPr>
            <w:r w:rsidRPr="001B446F">
              <w:t xml:space="preserve">In patients with </w:t>
            </w:r>
            <w:r w:rsidR="00E25904" w:rsidRPr="001B446F">
              <w:t>DMO</w:t>
            </w:r>
            <w:r w:rsidRPr="001B446F">
              <w:t xml:space="preserve"> </w:t>
            </w:r>
            <w:r w:rsidR="00BE6C1B" w:rsidRPr="001B446F">
              <w:t>FA</w:t>
            </w:r>
            <w:r w:rsidRPr="001B446F">
              <w:t xml:space="preserve"> </w:t>
            </w:r>
            <w:r w:rsidR="004E448A" w:rsidRPr="001B446F">
              <w:t>was</w:t>
            </w:r>
            <w:r w:rsidRPr="001B446F">
              <w:t xml:space="preserve"> no worse than </w:t>
            </w:r>
            <w:r w:rsidR="00BE6C1B" w:rsidRPr="001B446F">
              <w:t>DEX</w:t>
            </w:r>
            <w:r w:rsidRPr="001B446F">
              <w:t xml:space="preserve"> at improving/maintaining BCVA, with a similar safety profile</w:t>
            </w:r>
          </w:p>
        </w:tc>
      </w:tr>
    </w:tbl>
    <w:p w:rsidR="002D550A" w:rsidRPr="001B446F" w:rsidRDefault="008B1757" w:rsidP="00FB0EA6">
      <w:pPr>
        <w:pStyle w:val="TableFigureFooter"/>
        <w:keepNext/>
        <w:keepLines/>
      </w:pPr>
      <w:r w:rsidRPr="001B446F">
        <w:t>S</w:t>
      </w:r>
      <w:r w:rsidR="002D550A" w:rsidRPr="001B446F">
        <w:t>ource: Table 2, p1 of the submission.</w:t>
      </w:r>
    </w:p>
    <w:p w:rsidR="004E43B2" w:rsidRPr="001B446F" w:rsidRDefault="002D550A" w:rsidP="00FB0EA6">
      <w:pPr>
        <w:pStyle w:val="TableFigureFooter"/>
        <w:keepNext/>
        <w:keepLines/>
        <w:rPr>
          <w:sz w:val="20"/>
        </w:rPr>
      </w:pPr>
      <w:r w:rsidRPr="001B446F">
        <w:t xml:space="preserve">BCVA = </w:t>
      </w:r>
      <w:proofErr w:type="gramStart"/>
      <w:r w:rsidRPr="001B446F">
        <w:t>best corrected</w:t>
      </w:r>
      <w:proofErr w:type="gramEnd"/>
      <w:r w:rsidRPr="001B446F">
        <w:t xml:space="preserve"> visual acuity; </w:t>
      </w:r>
      <w:r w:rsidR="00AE5485" w:rsidRPr="001B446F">
        <w:t xml:space="preserve">DEX = dexamethasone; </w:t>
      </w:r>
      <w:r w:rsidR="00E25904" w:rsidRPr="001B446F">
        <w:t>DMO</w:t>
      </w:r>
      <w:r w:rsidRPr="001B446F">
        <w:t xml:space="preserve"> = diabetic macular </w:t>
      </w:r>
      <w:r w:rsidR="007417C4" w:rsidRPr="001B446F">
        <w:t>oedema</w:t>
      </w:r>
      <w:r w:rsidRPr="001B446F">
        <w:t xml:space="preserve">; </w:t>
      </w:r>
      <w:r w:rsidR="00AE5485" w:rsidRPr="001B446F">
        <w:t xml:space="preserve">FA= </w:t>
      </w:r>
      <w:proofErr w:type="spellStart"/>
      <w:r w:rsidR="00AE5485" w:rsidRPr="001B446F">
        <w:t>fluocinolone</w:t>
      </w:r>
      <w:proofErr w:type="spellEnd"/>
      <w:r w:rsidR="00DA1DCD" w:rsidRPr="001B446F">
        <w:t xml:space="preserve"> </w:t>
      </w:r>
      <w:proofErr w:type="spellStart"/>
      <w:r w:rsidR="00DA1DCD" w:rsidRPr="001B446F">
        <w:t>acetonide</w:t>
      </w:r>
      <w:proofErr w:type="spellEnd"/>
      <w:r w:rsidR="00AE5485" w:rsidRPr="001B446F">
        <w:t xml:space="preserve">; </w:t>
      </w:r>
      <w:r w:rsidR="00B80310" w:rsidRPr="001B446F">
        <w:t xml:space="preserve">IOP= intraocular pressure; </w:t>
      </w:r>
      <w:r w:rsidRPr="001B446F">
        <w:t>ET</w:t>
      </w:r>
      <w:r w:rsidR="00D353B2" w:rsidRPr="001B446F">
        <w:t>D</w:t>
      </w:r>
      <w:r w:rsidRPr="001B446F">
        <w:t>RS = Early Treatment Diabetic Retinopathy Study; VFQ = Vision Function Questionnaire</w:t>
      </w:r>
      <w:r w:rsidR="008B1757" w:rsidRPr="001B446F">
        <w:t>.</w:t>
      </w:r>
    </w:p>
    <w:p w:rsidR="005C25FF" w:rsidRPr="001B446F" w:rsidRDefault="005C25FF" w:rsidP="004A6040">
      <w:pPr>
        <w:pStyle w:val="2-SectionHeading"/>
      </w:pPr>
      <w:bookmarkStart w:id="4" w:name="_Toc30496450"/>
      <w:r w:rsidRPr="001B446F">
        <w:t>Background</w:t>
      </w:r>
      <w:bookmarkEnd w:id="4"/>
    </w:p>
    <w:p w:rsidR="005C25FF" w:rsidRPr="001B446F" w:rsidRDefault="005C25FF" w:rsidP="004A6040">
      <w:pPr>
        <w:pStyle w:val="4-SubsectionHeading"/>
      </w:pPr>
      <w:bookmarkStart w:id="5" w:name="_Toc22897638"/>
      <w:bookmarkStart w:id="6" w:name="_Toc30496451"/>
      <w:r w:rsidRPr="001B446F">
        <w:t>Registration status</w:t>
      </w:r>
      <w:bookmarkEnd w:id="5"/>
      <w:bookmarkEnd w:id="6"/>
    </w:p>
    <w:p w:rsidR="00061FFB" w:rsidRPr="001B446F" w:rsidRDefault="00BE6C1B" w:rsidP="00B30ABB">
      <w:pPr>
        <w:pStyle w:val="3-BodyText"/>
      </w:pPr>
      <w:r w:rsidRPr="001B446F">
        <w:t>FA</w:t>
      </w:r>
      <w:r w:rsidR="002D550A" w:rsidRPr="001B446F">
        <w:t xml:space="preserve"> </w:t>
      </w:r>
      <w:r w:rsidR="005C25FF" w:rsidRPr="001B446F">
        <w:t xml:space="preserve">was TGA registered on </w:t>
      </w:r>
      <w:r w:rsidR="007C6F09" w:rsidRPr="001B446F">
        <w:t xml:space="preserve">29 July 2019 </w:t>
      </w:r>
      <w:r w:rsidR="005C25FF" w:rsidRPr="001B446F">
        <w:t xml:space="preserve">for </w:t>
      </w:r>
      <w:r w:rsidR="009F69E7" w:rsidRPr="001B446F">
        <w:t xml:space="preserve">the treatment of </w:t>
      </w:r>
      <w:r w:rsidR="006A231C" w:rsidRPr="001B446F">
        <w:t>DMO</w:t>
      </w:r>
      <w:r w:rsidR="0028562E" w:rsidRPr="001B446F">
        <w:t xml:space="preserve"> in patients who </w:t>
      </w:r>
      <w:proofErr w:type="gramStart"/>
      <w:r w:rsidR="0028562E" w:rsidRPr="001B446F">
        <w:t>have been previously</w:t>
      </w:r>
      <w:r w:rsidR="00DE2321" w:rsidRPr="001B446F">
        <w:t xml:space="preserve"> treated</w:t>
      </w:r>
      <w:proofErr w:type="gramEnd"/>
      <w:r w:rsidR="00DE2321" w:rsidRPr="001B446F">
        <w:t xml:space="preserve"> with a course of corticosteroids </w:t>
      </w:r>
      <w:r w:rsidR="005211DA" w:rsidRPr="001B446F">
        <w:t xml:space="preserve">(CS) </w:t>
      </w:r>
      <w:r w:rsidR="00DE2321" w:rsidRPr="001B446F">
        <w:t>and did not have a clinically significant rise in intraocular pressure</w:t>
      </w:r>
      <w:r w:rsidR="00A12F59" w:rsidRPr="001B446F">
        <w:t xml:space="preserve"> (IOP)</w:t>
      </w:r>
      <w:r w:rsidR="009F69E7" w:rsidRPr="001B446F">
        <w:t>.</w:t>
      </w:r>
    </w:p>
    <w:p w:rsidR="00B60939" w:rsidRPr="001B446F" w:rsidRDefault="00B50DB8" w:rsidP="004E18E9">
      <w:pPr>
        <w:pStyle w:val="2-SectionHeading"/>
      </w:pPr>
      <w:bookmarkStart w:id="7" w:name="_Toc30496452"/>
      <w:r w:rsidRPr="001B446F">
        <w:t>Requested listing</w:t>
      </w:r>
      <w:bookmarkEnd w:id="7"/>
    </w:p>
    <w:p w:rsidR="004F336B" w:rsidRPr="001B446F" w:rsidRDefault="004F336B" w:rsidP="004F336B">
      <w:pPr>
        <w:pStyle w:val="3-BodyText"/>
      </w:pPr>
      <w:r w:rsidRPr="001B446F">
        <w:t xml:space="preserve">The requested listing </w:t>
      </w:r>
      <w:proofErr w:type="gramStart"/>
      <w:r w:rsidRPr="001B446F">
        <w:t>is provided</w:t>
      </w:r>
      <w:proofErr w:type="gramEnd"/>
      <w:r w:rsidRPr="001B446F">
        <w:t xml:space="preserve"> below. Suggested additions are in italics and deletions are in strikethrough</w:t>
      </w:r>
      <w:r w:rsidRPr="001B446F">
        <w:rPr>
          <w:i/>
        </w:rPr>
        <w:t>.</w:t>
      </w:r>
    </w:p>
    <w:p w:rsidR="002A6F4D" w:rsidRPr="001B446F" w:rsidRDefault="002A6F4D" w:rsidP="00617E12"/>
    <w:tbl>
      <w:tblPr>
        <w:tblW w:w="5000" w:type="pct"/>
        <w:tblInd w:w="28" w:type="dxa"/>
        <w:tblCellMar>
          <w:left w:w="28" w:type="dxa"/>
          <w:right w:w="28" w:type="dxa"/>
        </w:tblCellMar>
        <w:tblLook w:val="0000" w:firstRow="0" w:lastRow="0" w:firstColumn="0" w:lastColumn="0" w:noHBand="0" w:noVBand="0"/>
      </w:tblPr>
      <w:tblGrid>
        <w:gridCol w:w="3310"/>
        <w:gridCol w:w="702"/>
        <w:gridCol w:w="496"/>
        <w:gridCol w:w="1594"/>
        <w:gridCol w:w="695"/>
        <w:gridCol w:w="2230"/>
      </w:tblGrid>
      <w:tr w:rsidR="003517F9" w:rsidRPr="00432739" w:rsidTr="006C5D78">
        <w:trPr>
          <w:cantSplit/>
          <w:trHeight w:val="463"/>
        </w:trPr>
        <w:tc>
          <w:tcPr>
            <w:tcW w:w="1833" w:type="pct"/>
            <w:tcBorders>
              <w:top w:val="single" w:sz="4" w:space="0" w:color="auto"/>
              <w:bottom w:val="single" w:sz="4" w:space="0" w:color="auto"/>
            </w:tcBorders>
            <w:vAlign w:val="center"/>
          </w:tcPr>
          <w:p w:rsidR="00617E12" w:rsidRPr="00432739" w:rsidRDefault="00617E12" w:rsidP="00617E12">
            <w:pPr>
              <w:keepNext/>
              <w:jc w:val="left"/>
              <w:rPr>
                <w:rFonts w:ascii="Arial Narrow" w:hAnsi="Arial Narrow"/>
                <w:b/>
                <w:sz w:val="18"/>
                <w:szCs w:val="18"/>
              </w:rPr>
            </w:pPr>
            <w:r w:rsidRPr="00432739">
              <w:rPr>
                <w:rFonts w:ascii="Arial Narrow" w:hAnsi="Arial Narrow"/>
                <w:b/>
                <w:sz w:val="18"/>
                <w:szCs w:val="18"/>
              </w:rPr>
              <w:lastRenderedPageBreak/>
              <w:t>Name, Restriction,</w:t>
            </w:r>
          </w:p>
          <w:p w:rsidR="00617E12" w:rsidRPr="00432739" w:rsidRDefault="00617E12" w:rsidP="00617E12">
            <w:pPr>
              <w:keepNext/>
              <w:jc w:val="left"/>
              <w:rPr>
                <w:rFonts w:ascii="Arial Narrow" w:hAnsi="Arial Narrow"/>
                <w:b/>
                <w:sz w:val="18"/>
                <w:szCs w:val="18"/>
              </w:rPr>
            </w:pPr>
            <w:r w:rsidRPr="00432739">
              <w:rPr>
                <w:rFonts w:ascii="Arial Narrow" w:hAnsi="Arial Narrow"/>
                <w:b/>
                <w:sz w:val="18"/>
                <w:szCs w:val="18"/>
              </w:rPr>
              <w:t>Manner of administration and form</w:t>
            </w:r>
          </w:p>
        </w:tc>
        <w:tc>
          <w:tcPr>
            <w:tcW w:w="389" w:type="pct"/>
            <w:tcBorders>
              <w:top w:val="single" w:sz="4" w:space="0" w:color="auto"/>
              <w:bottom w:val="single" w:sz="4" w:space="0" w:color="auto"/>
            </w:tcBorders>
            <w:vAlign w:val="center"/>
          </w:tcPr>
          <w:p w:rsidR="00617E12" w:rsidRPr="00432739" w:rsidRDefault="00617E12" w:rsidP="00617E12">
            <w:pPr>
              <w:keepNext/>
              <w:jc w:val="center"/>
              <w:rPr>
                <w:rFonts w:ascii="Arial Narrow" w:hAnsi="Arial Narrow"/>
                <w:b/>
                <w:sz w:val="18"/>
                <w:szCs w:val="18"/>
              </w:rPr>
            </w:pPr>
            <w:r w:rsidRPr="00432739">
              <w:rPr>
                <w:rFonts w:ascii="Arial Narrow" w:hAnsi="Arial Narrow"/>
                <w:b/>
                <w:sz w:val="18"/>
                <w:szCs w:val="18"/>
              </w:rPr>
              <w:t>Max.</w:t>
            </w:r>
          </w:p>
          <w:p w:rsidR="00617E12" w:rsidRPr="00432739" w:rsidRDefault="00617E12" w:rsidP="00617E12">
            <w:pPr>
              <w:keepNext/>
              <w:jc w:val="center"/>
              <w:rPr>
                <w:rFonts w:ascii="Arial Narrow" w:hAnsi="Arial Narrow"/>
                <w:b/>
                <w:sz w:val="18"/>
                <w:szCs w:val="18"/>
              </w:rPr>
            </w:pPr>
            <w:r w:rsidRPr="00432739">
              <w:rPr>
                <w:rFonts w:ascii="Arial Narrow" w:hAnsi="Arial Narrow"/>
                <w:b/>
                <w:sz w:val="18"/>
                <w:szCs w:val="18"/>
              </w:rPr>
              <w:t>Qty</w:t>
            </w:r>
          </w:p>
        </w:tc>
        <w:tc>
          <w:tcPr>
            <w:tcW w:w="275" w:type="pct"/>
            <w:tcBorders>
              <w:top w:val="single" w:sz="4" w:space="0" w:color="auto"/>
              <w:bottom w:val="single" w:sz="4" w:space="0" w:color="auto"/>
            </w:tcBorders>
            <w:vAlign w:val="center"/>
          </w:tcPr>
          <w:p w:rsidR="00617E12" w:rsidRPr="00432739" w:rsidRDefault="00617E12" w:rsidP="00617E12">
            <w:pPr>
              <w:keepNext/>
              <w:jc w:val="center"/>
              <w:rPr>
                <w:rFonts w:ascii="Arial Narrow" w:hAnsi="Arial Narrow"/>
                <w:b/>
                <w:sz w:val="18"/>
                <w:szCs w:val="18"/>
              </w:rPr>
            </w:pPr>
            <w:r w:rsidRPr="00432739">
              <w:rPr>
                <w:rFonts w:ascii="Arial Narrow" w:hAnsi="Arial Narrow" w:cs="Times New Roman"/>
                <w:b/>
                <w:sz w:val="18"/>
                <w:szCs w:val="18"/>
              </w:rPr>
              <w:t>№</w:t>
            </w:r>
            <w:r w:rsidRPr="00432739">
              <w:rPr>
                <w:rFonts w:ascii="Arial Narrow" w:hAnsi="Arial Narrow"/>
                <w:b/>
                <w:sz w:val="18"/>
                <w:szCs w:val="18"/>
              </w:rPr>
              <w:t>.of</w:t>
            </w:r>
          </w:p>
          <w:p w:rsidR="00617E12" w:rsidRPr="00432739" w:rsidRDefault="00617E12" w:rsidP="00617E12">
            <w:pPr>
              <w:keepNext/>
              <w:jc w:val="center"/>
              <w:rPr>
                <w:rFonts w:ascii="Arial Narrow" w:hAnsi="Arial Narrow"/>
                <w:b/>
                <w:sz w:val="18"/>
                <w:szCs w:val="18"/>
              </w:rPr>
            </w:pPr>
            <w:r w:rsidRPr="00432739">
              <w:rPr>
                <w:rFonts w:ascii="Arial Narrow" w:hAnsi="Arial Narrow"/>
                <w:b/>
                <w:sz w:val="18"/>
                <w:szCs w:val="18"/>
              </w:rPr>
              <w:t>Rpts</w:t>
            </w:r>
          </w:p>
        </w:tc>
        <w:tc>
          <w:tcPr>
            <w:tcW w:w="883" w:type="pct"/>
            <w:tcBorders>
              <w:top w:val="single" w:sz="4" w:space="0" w:color="auto"/>
              <w:bottom w:val="single" w:sz="4" w:space="0" w:color="auto"/>
            </w:tcBorders>
            <w:vAlign w:val="center"/>
          </w:tcPr>
          <w:p w:rsidR="00617E12" w:rsidRPr="00432739" w:rsidRDefault="00617E12" w:rsidP="00E84E7A">
            <w:pPr>
              <w:keepNext/>
              <w:jc w:val="center"/>
              <w:rPr>
                <w:rFonts w:ascii="Arial Narrow" w:hAnsi="Arial Narrow"/>
                <w:b/>
                <w:sz w:val="18"/>
                <w:szCs w:val="18"/>
              </w:rPr>
            </w:pPr>
            <w:r w:rsidRPr="00432739">
              <w:rPr>
                <w:rFonts w:ascii="Arial Narrow" w:hAnsi="Arial Narrow"/>
                <w:b/>
                <w:sz w:val="18"/>
                <w:szCs w:val="18"/>
              </w:rPr>
              <w:t>Dispensed Price for Max. Qty</w:t>
            </w:r>
            <w:r w:rsidR="00591957" w:rsidRPr="00432739">
              <w:rPr>
                <w:rFonts w:ascii="Arial Narrow" w:hAnsi="Arial Narrow"/>
                <w:b/>
                <w:sz w:val="18"/>
                <w:szCs w:val="18"/>
              </w:rPr>
              <w:t xml:space="preserve"> </w:t>
            </w:r>
          </w:p>
        </w:tc>
        <w:tc>
          <w:tcPr>
            <w:tcW w:w="1620" w:type="pct"/>
            <w:gridSpan w:val="2"/>
            <w:tcBorders>
              <w:top w:val="single" w:sz="4" w:space="0" w:color="auto"/>
              <w:bottom w:val="single" w:sz="4" w:space="0" w:color="auto"/>
            </w:tcBorders>
            <w:vAlign w:val="center"/>
          </w:tcPr>
          <w:p w:rsidR="00617E12" w:rsidRPr="00432739" w:rsidRDefault="00617E12" w:rsidP="00617E12">
            <w:pPr>
              <w:keepNext/>
              <w:jc w:val="center"/>
              <w:rPr>
                <w:rFonts w:ascii="Arial Narrow" w:hAnsi="Arial Narrow"/>
                <w:b/>
                <w:sz w:val="18"/>
                <w:szCs w:val="18"/>
              </w:rPr>
            </w:pPr>
            <w:r w:rsidRPr="00432739">
              <w:rPr>
                <w:rFonts w:ascii="Arial Narrow" w:hAnsi="Arial Narrow"/>
                <w:b/>
                <w:sz w:val="18"/>
                <w:szCs w:val="18"/>
              </w:rPr>
              <w:t>Proprietary Name and Manufacturer</w:t>
            </w:r>
          </w:p>
        </w:tc>
      </w:tr>
      <w:tr w:rsidR="003517F9" w:rsidRPr="00432739" w:rsidTr="006C5D78">
        <w:trPr>
          <w:cantSplit/>
          <w:trHeight w:val="567"/>
        </w:trPr>
        <w:tc>
          <w:tcPr>
            <w:tcW w:w="1833" w:type="pct"/>
            <w:vAlign w:val="center"/>
          </w:tcPr>
          <w:p w:rsidR="00F853A5" w:rsidRPr="00432739" w:rsidRDefault="00F853A5" w:rsidP="00F853A5">
            <w:pPr>
              <w:keepNext/>
              <w:jc w:val="left"/>
              <w:rPr>
                <w:rFonts w:ascii="Arial Narrow" w:hAnsi="Arial Narrow"/>
                <w:smallCaps/>
                <w:sz w:val="18"/>
                <w:szCs w:val="18"/>
              </w:rPr>
            </w:pPr>
            <w:r w:rsidRPr="00432739">
              <w:rPr>
                <w:rFonts w:ascii="Arial Narrow" w:hAnsi="Arial Narrow"/>
                <w:smallCaps/>
                <w:sz w:val="18"/>
                <w:szCs w:val="18"/>
              </w:rPr>
              <w:t>FLUOCINOLONE ACETONIDE</w:t>
            </w:r>
          </w:p>
          <w:p w:rsidR="00443114" w:rsidRPr="00432739" w:rsidRDefault="00F853A5" w:rsidP="00F853A5">
            <w:pPr>
              <w:keepNext/>
              <w:jc w:val="left"/>
              <w:rPr>
                <w:rFonts w:ascii="Arial Narrow" w:hAnsi="Arial Narrow"/>
                <w:sz w:val="18"/>
                <w:szCs w:val="18"/>
              </w:rPr>
            </w:pPr>
            <w:proofErr w:type="spellStart"/>
            <w:r w:rsidRPr="00432739">
              <w:rPr>
                <w:rFonts w:ascii="Arial Narrow" w:hAnsi="Arial Narrow"/>
                <w:sz w:val="18"/>
                <w:szCs w:val="18"/>
              </w:rPr>
              <w:t>fluocinolone</w:t>
            </w:r>
            <w:proofErr w:type="spellEnd"/>
            <w:r w:rsidRPr="00432739">
              <w:rPr>
                <w:rFonts w:ascii="Arial Narrow" w:hAnsi="Arial Narrow"/>
                <w:sz w:val="18"/>
                <w:szCs w:val="18"/>
              </w:rPr>
              <w:t xml:space="preserve"> </w:t>
            </w:r>
            <w:proofErr w:type="spellStart"/>
            <w:r w:rsidRPr="00432739">
              <w:rPr>
                <w:rFonts w:ascii="Arial Narrow" w:hAnsi="Arial Narrow"/>
                <w:sz w:val="18"/>
                <w:szCs w:val="18"/>
              </w:rPr>
              <w:t>acetonide</w:t>
            </w:r>
            <w:proofErr w:type="spellEnd"/>
            <w:r w:rsidRPr="00432739">
              <w:rPr>
                <w:rFonts w:ascii="Arial Narrow" w:hAnsi="Arial Narrow"/>
                <w:sz w:val="18"/>
                <w:szCs w:val="18"/>
              </w:rPr>
              <w:t xml:space="preserve"> 190</w:t>
            </w:r>
            <w:r w:rsidR="00FC6FF1" w:rsidRPr="00432739">
              <w:rPr>
                <w:rFonts w:ascii="Arial Narrow" w:hAnsi="Arial Narrow"/>
                <w:sz w:val="18"/>
                <w:szCs w:val="18"/>
              </w:rPr>
              <w:t xml:space="preserve"> microgram</w:t>
            </w:r>
            <w:r w:rsidRPr="00432739">
              <w:rPr>
                <w:rFonts w:ascii="Arial Narrow" w:hAnsi="Arial Narrow"/>
                <w:sz w:val="18"/>
                <w:szCs w:val="18"/>
              </w:rPr>
              <w:t xml:space="preserve"> </w:t>
            </w:r>
            <w:r w:rsidR="00E84E7A" w:rsidRPr="00432739">
              <w:rPr>
                <w:rFonts w:ascii="Arial Narrow" w:hAnsi="Arial Narrow"/>
                <w:sz w:val="18"/>
                <w:szCs w:val="18"/>
              </w:rPr>
              <w:t>i</w:t>
            </w:r>
            <w:r w:rsidRPr="00432739">
              <w:rPr>
                <w:rFonts w:ascii="Arial Narrow" w:hAnsi="Arial Narrow"/>
                <w:sz w:val="18"/>
                <w:szCs w:val="18"/>
              </w:rPr>
              <w:t>mplant, 1</w:t>
            </w:r>
          </w:p>
        </w:tc>
        <w:tc>
          <w:tcPr>
            <w:tcW w:w="389" w:type="pct"/>
            <w:vAlign w:val="center"/>
          </w:tcPr>
          <w:p w:rsidR="00617E12" w:rsidRPr="00432739" w:rsidRDefault="00F853A5" w:rsidP="00617E12">
            <w:pPr>
              <w:keepNext/>
              <w:jc w:val="center"/>
              <w:rPr>
                <w:rFonts w:ascii="Arial Narrow" w:hAnsi="Arial Narrow"/>
                <w:sz w:val="18"/>
                <w:szCs w:val="18"/>
              </w:rPr>
            </w:pPr>
            <w:r w:rsidRPr="00432739">
              <w:rPr>
                <w:rFonts w:ascii="Arial Narrow" w:hAnsi="Arial Narrow"/>
                <w:sz w:val="18"/>
                <w:szCs w:val="18"/>
              </w:rPr>
              <w:t>1</w:t>
            </w:r>
          </w:p>
        </w:tc>
        <w:tc>
          <w:tcPr>
            <w:tcW w:w="275" w:type="pct"/>
            <w:vAlign w:val="center"/>
          </w:tcPr>
          <w:p w:rsidR="00617E12" w:rsidRPr="00432739" w:rsidRDefault="007E3A95" w:rsidP="00617E12">
            <w:pPr>
              <w:keepNext/>
              <w:jc w:val="center"/>
              <w:rPr>
                <w:rFonts w:ascii="Arial Narrow" w:hAnsi="Arial Narrow"/>
                <w:sz w:val="18"/>
                <w:szCs w:val="18"/>
              </w:rPr>
            </w:pPr>
            <w:r w:rsidRPr="00432739">
              <w:rPr>
                <w:rFonts w:ascii="Arial Narrow" w:hAnsi="Arial Narrow"/>
                <w:sz w:val="18"/>
                <w:szCs w:val="18"/>
              </w:rPr>
              <w:t>0</w:t>
            </w:r>
          </w:p>
        </w:tc>
        <w:tc>
          <w:tcPr>
            <w:tcW w:w="883" w:type="pct"/>
            <w:vAlign w:val="center"/>
          </w:tcPr>
          <w:p w:rsidR="00617E12" w:rsidRPr="00432739" w:rsidRDefault="000A2776" w:rsidP="000A2776">
            <w:pPr>
              <w:keepNext/>
              <w:ind w:left="-96"/>
              <w:jc w:val="center"/>
              <w:rPr>
                <w:rFonts w:ascii="Arial Narrow" w:hAnsi="Arial Narrow"/>
                <w:sz w:val="18"/>
                <w:szCs w:val="18"/>
              </w:rPr>
            </w:pPr>
            <w:r w:rsidRPr="00432739">
              <w:rPr>
                <w:rFonts w:ascii="Arial Narrow" w:hAnsi="Arial Narrow"/>
                <w:sz w:val="18"/>
                <w:szCs w:val="18"/>
              </w:rPr>
              <w:t xml:space="preserve">Published </w:t>
            </w:r>
            <w:r w:rsidR="00617E12" w:rsidRPr="00432739">
              <w:rPr>
                <w:rFonts w:ascii="Arial Narrow" w:hAnsi="Arial Narrow"/>
                <w:sz w:val="18"/>
                <w:szCs w:val="18"/>
              </w:rPr>
              <w:t>$</w:t>
            </w:r>
            <w:r w:rsidR="00F853A5" w:rsidRPr="000D0CD4">
              <w:rPr>
                <w:rFonts w:ascii="Arial Narrow" w:hAnsi="Arial Narrow"/>
                <w:sz w:val="18"/>
                <w:szCs w:val="18"/>
              </w:rPr>
              <w:t>9</w:t>
            </w:r>
            <w:r w:rsidR="005211DA" w:rsidRPr="000D0CD4">
              <w:rPr>
                <w:rFonts w:ascii="Arial Narrow" w:hAnsi="Arial Narrow"/>
                <w:sz w:val="18"/>
                <w:szCs w:val="18"/>
              </w:rPr>
              <w:t>,</w:t>
            </w:r>
            <w:r w:rsidR="00F853A5" w:rsidRPr="000D0CD4">
              <w:rPr>
                <w:rFonts w:ascii="Arial Narrow" w:hAnsi="Arial Narrow"/>
                <w:sz w:val="18"/>
                <w:szCs w:val="18"/>
              </w:rPr>
              <w:t>486.82</w:t>
            </w:r>
            <w:r w:rsidR="00F853A5" w:rsidRPr="00432739">
              <w:rPr>
                <w:rFonts w:ascii="Arial Narrow" w:hAnsi="Arial Narrow"/>
                <w:sz w:val="18"/>
                <w:szCs w:val="18"/>
              </w:rPr>
              <w:t xml:space="preserve"> </w:t>
            </w:r>
          </w:p>
        </w:tc>
        <w:tc>
          <w:tcPr>
            <w:tcW w:w="385" w:type="pct"/>
            <w:vAlign w:val="center"/>
          </w:tcPr>
          <w:p w:rsidR="00617E12" w:rsidRPr="00432739" w:rsidRDefault="00F853A5" w:rsidP="00F853A5">
            <w:pPr>
              <w:keepNext/>
              <w:jc w:val="center"/>
              <w:rPr>
                <w:rFonts w:ascii="Arial Narrow" w:hAnsi="Arial Narrow"/>
                <w:sz w:val="18"/>
                <w:szCs w:val="18"/>
              </w:rPr>
            </w:pPr>
            <w:r w:rsidRPr="00432739">
              <w:rPr>
                <w:rFonts w:ascii="Arial Narrow" w:hAnsi="Arial Narrow"/>
                <w:sz w:val="18"/>
                <w:szCs w:val="18"/>
              </w:rPr>
              <w:t>ILUVIEN</w:t>
            </w:r>
          </w:p>
        </w:tc>
        <w:tc>
          <w:tcPr>
            <w:tcW w:w="1235" w:type="pct"/>
            <w:vAlign w:val="center"/>
          </w:tcPr>
          <w:p w:rsidR="00591957" w:rsidRPr="00432739" w:rsidRDefault="00F853A5" w:rsidP="00E84E7A">
            <w:pPr>
              <w:keepNext/>
              <w:jc w:val="center"/>
              <w:rPr>
                <w:rFonts w:ascii="Arial Narrow" w:hAnsi="Arial Narrow"/>
                <w:sz w:val="18"/>
                <w:szCs w:val="18"/>
              </w:rPr>
            </w:pPr>
            <w:r w:rsidRPr="00432739">
              <w:rPr>
                <w:rFonts w:ascii="Arial Narrow" w:hAnsi="Arial Narrow"/>
                <w:sz w:val="18"/>
                <w:szCs w:val="18"/>
              </w:rPr>
              <w:t xml:space="preserve">Specialised Therapeutics </w:t>
            </w:r>
            <w:proofErr w:type="spellStart"/>
            <w:r w:rsidRPr="00432739">
              <w:rPr>
                <w:rFonts w:ascii="Arial Narrow" w:hAnsi="Arial Narrow"/>
                <w:sz w:val="18"/>
                <w:szCs w:val="18"/>
              </w:rPr>
              <w:t>Alim</w:t>
            </w:r>
            <w:proofErr w:type="spellEnd"/>
            <w:r w:rsidRPr="00432739">
              <w:rPr>
                <w:rFonts w:ascii="Arial Narrow" w:hAnsi="Arial Narrow"/>
                <w:sz w:val="18"/>
                <w:szCs w:val="18"/>
              </w:rPr>
              <w:t xml:space="preserve"> </w:t>
            </w:r>
          </w:p>
        </w:tc>
      </w:tr>
    </w:tbl>
    <w:p w:rsidR="00465B9F" w:rsidRPr="001B446F" w:rsidRDefault="00465B9F" w:rsidP="00465B9F">
      <w:pPr>
        <w:keepNext/>
        <w:keepLines/>
        <w:rPr>
          <w:rFonts w:ascii="Arial Narrow" w:hAnsi="Arial Narrow" w:cstheme="minorHAnsi"/>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432739" w:rsidRPr="001B446F" w:rsidTr="00432739">
        <w:tc>
          <w:tcPr>
            <w:tcW w:w="9067" w:type="dxa"/>
          </w:tcPr>
          <w:p w:rsidR="00432739" w:rsidRPr="001B446F" w:rsidRDefault="00432739" w:rsidP="004556DE">
            <w:pPr>
              <w:pStyle w:val="TableLeft"/>
              <w:keepNext/>
              <w:keepLines/>
              <w:rPr>
                <w:rFonts w:ascii="Arial Narrow" w:hAnsi="Arial Narrow"/>
                <w:szCs w:val="18"/>
              </w:rPr>
            </w:pPr>
            <w:r w:rsidRPr="001B446F">
              <w:rPr>
                <w:rFonts w:ascii="Arial Narrow" w:hAnsi="Arial Narrow"/>
                <w:b/>
                <w:szCs w:val="18"/>
              </w:rPr>
              <w:t>Category / Program:</w:t>
            </w:r>
            <w:r w:rsidRPr="001B446F">
              <w:rPr>
                <w:rFonts w:ascii="Arial Narrow" w:hAnsi="Arial Narrow"/>
                <w:szCs w:val="18"/>
              </w:rPr>
              <w:t xml:space="preserve"> General Schedule (Code GE)</w:t>
            </w:r>
          </w:p>
        </w:tc>
      </w:tr>
      <w:tr w:rsidR="00432739" w:rsidRPr="001B446F" w:rsidTr="00432739">
        <w:trPr>
          <w:trHeight w:val="192"/>
        </w:trPr>
        <w:tc>
          <w:tcPr>
            <w:tcW w:w="9067" w:type="dxa"/>
          </w:tcPr>
          <w:p w:rsidR="00432739" w:rsidRPr="001B446F" w:rsidRDefault="00432739" w:rsidP="004556DE">
            <w:pPr>
              <w:keepNext/>
              <w:keepLines/>
              <w:rPr>
                <w:rFonts w:ascii="Arial Narrow" w:hAnsi="Arial Narrow"/>
                <w:sz w:val="18"/>
                <w:szCs w:val="18"/>
              </w:rPr>
            </w:pPr>
            <w:r w:rsidRPr="001B446F">
              <w:rPr>
                <w:rFonts w:ascii="Arial Narrow" w:hAnsi="Arial Narrow"/>
                <w:b/>
                <w:sz w:val="18"/>
                <w:szCs w:val="18"/>
              </w:rPr>
              <w:t>Prescriber type:</w:t>
            </w:r>
            <w:r w:rsidR="00EA316A">
              <w:rPr>
                <w:rFonts w:ascii="Arial Narrow" w:hAnsi="Arial Narrow"/>
                <w:sz w:val="18"/>
                <w:szCs w:val="18"/>
              </w:rPr>
              <w:t xml:space="preserve">  </w:t>
            </w:r>
            <w:r w:rsidRPr="001B446F">
              <w:rPr>
                <w:rFonts w:ascii="Arial Narrow" w:hAnsi="Arial Narrow"/>
                <w:sz w:val="18"/>
                <w:szCs w:val="18"/>
              </w:rPr>
              <w:fldChar w:fldCharType="begin">
                <w:ffData>
                  <w:name w:val="Check1"/>
                  <w:enabled/>
                  <w:calcOnExit w:val="0"/>
                  <w:checkBox>
                    <w:sizeAuto/>
                    <w:default w:val="0"/>
                  </w:checkBox>
                </w:ffData>
              </w:fldChar>
            </w:r>
            <w:r w:rsidRPr="001B446F">
              <w:rPr>
                <w:rFonts w:ascii="Arial Narrow" w:hAnsi="Arial Narrow"/>
                <w:sz w:val="18"/>
                <w:szCs w:val="18"/>
              </w:rPr>
              <w:instrText xml:space="preserve"> FORMCHECKBOX </w:instrText>
            </w:r>
            <w:r w:rsidR="00F25584">
              <w:rPr>
                <w:rFonts w:ascii="Arial Narrow" w:hAnsi="Arial Narrow"/>
                <w:sz w:val="18"/>
                <w:szCs w:val="18"/>
              </w:rPr>
            </w:r>
            <w:r w:rsidR="00F25584">
              <w:rPr>
                <w:rFonts w:ascii="Arial Narrow" w:hAnsi="Arial Narrow"/>
                <w:sz w:val="18"/>
                <w:szCs w:val="18"/>
              </w:rPr>
              <w:fldChar w:fldCharType="separate"/>
            </w:r>
            <w:r w:rsidRPr="001B446F">
              <w:rPr>
                <w:rFonts w:ascii="Arial Narrow" w:hAnsi="Arial Narrow"/>
                <w:sz w:val="18"/>
                <w:szCs w:val="18"/>
              </w:rPr>
              <w:fldChar w:fldCharType="end"/>
            </w:r>
            <w:r w:rsidRPr="001B446F">
              <w:rPr>
                <w:rFonts w:ascii="Arial Narrow" w:hAnsi="Arial Narrow"/>
                <w:sz w:val="18"/>
                <w:szCs w:val="18"/>
              </w:rPr>
              <w:t xml:space="preserve">Dental   </w:t>
            </w:r>
            <w:r w:rsidRPr="001B446F">
              <w:rPr>
                <w:rFonts w:ascii="Arial Narrow" w:hAnsi="Arial Narrow"/>
                <w:sz w:val="18"/>
                <w:szCs w:val="18"/>
              </w:rPr>
              <w:fldChar w:fldCharType="begin">
                <w:ffData>
                  <w:name w:val=""/>
                  <w:enabled/>
                  <w:calcOnExit w:val="0"/>
                  <w:checkBox>
                    <w:sizeAuto/>
                    <w:default w:val="1"/>
                  </w:checkBox>
                </w:ffData>
              </w:fldChar>
            </w:r>
            <w:r w:rsidRPr="001B446F">
              <w:rPr>
                <w:rFonts w:ascii="Arial Narrow" w:hAnsi="Arial Narrow"/>
                <w:sz w:val="18"/>
                <w:szCs w:val="18"/>
              </w:rPr>
              <w:instrText xml:space="preserve"> FORMCHECKBOX </w:instrText>
            </w:r>
            <w:r w:rsidR="00F25584">
              <w:rPr>
                <w:rFonts w:ascii="Arial Narrow" w:hAnsi="Arial Narrow"/>
                <w:sz w:val="18"/>
                <w:szCs w:val="18"/>
              </w:rPr>
            </w:r>
            <w:r w:rsidR="00F25584">
              <w:rPr>
                <w:rFonts w:ascii="Arial Narrow" w:hAnsi="Arial Narrow"/>
                <w:sz w:val="18"/>
                <w:szCs w:val="18"/>
              </w:rPr>
              <w:fldChar w:fldCharType="separate"/>
            </w:r>
            <w:r w:rsidRPr="001B446F">
              <w:rPr>
                <w:rFonts w:ascii="Arial Narrow" w:hAnsi="Arial Narrow"/>
                <w:sz w:val="18"/>
                <w:szCs w:val="18"/>
              </w:rPr>
              <w:fldChar w:fldCharType="end"/>
            </w:r>
            <w:r w:rsidRPr="001B446F">
              <w:rPr>
                <w:rFonts w:ascii="Arial Narrow" w:hAnsi="Arial Narrow"/>
                <w:sz w:val="18"/>
                <w:szCs w:val="18"/>
              </w:rPr>
              <w:t>Medical Practitioners</w:t>
            </w:r>
            <w:r w:rsidR="00EA316A">
              <w:rPr>
                <w:rFonts w:ascii="Arial Narrow" w:hAnsi="Arial Narrow"/>
                <w:sz w:val="18"/>
                <w:szCs w:val="18"/>
              </w:rPr>
              <w:t xml:space="preserve"> </w:t>
            </w:r>
            <w:r w:rsidRPr="001B446F">
              <w:rPr>
                <w:rFonts w:ascii="Arial Narrow" w:hAnsi="Arial Narrow"/>
                <w:sz w:val="18"/>
                <w:szCs w:val="18"/>
              </w:rPr>
              <w:t xml:space="preserve"> </w:t>
            </w:r>
            <w:r w:rsidRPr="001B446F">
              <w:rPr>
                <w:rFonts w:ascii="Arial Narrow" w:hAnsi="Arial Narrow"/>
                <w:sz w:val="18"/>
                <w:szCs w:val="18"/>
              </w:rPr>
              <w:fldChar w:fldCharType="begin">
                <w:ffData>
                  <w:name w:val="Check3"/>
                  <w:enabled/>
                  <w:calcOnExit w:val="0"/>
                  <w:checkBox>
                    <w:sizeAuto/>
                    <w:default w:val="0"/>
                  </w:checkBox>
                </w:ffData>
              </w:fldChar>
            </w:r>
            <w:r w:rsidRPr="001B446F">
              <w:rPr>
                <w:rFonts w:ascii="Arial Narrow" w:hAnsi="Arial Narrow"/>
                <w:sz w:val="18"/>
                <w:szCs w:val="18"/>
              </w:rPr>
              <w:instrText xml:space="preserve"> FORMCHECKBOX </w:instrText>
            </w:r>
            <w:r w:rsidR="00F25584">
              <w:rPr>
                <w:rFonts w:ascii="Arial Narrow" w:hAnsi="Arial Narrow"/>
                <w:sz w:val="18"/>
                <w:szCs w:val="18"/>
              </w:rPr>
            </w:r>
            <w:r w:rsidR="00F25584">
              <w:rPr>
                <w:rFonts w:ascii="Arial Narrow" w:hAnsi="Arial Narrow"/>
                <w:sz w:val="18"/>
                <w:szCs w:val="18"/>
              </w:rPr>
              <w:fldChar w:fldCharType="separate"/>
            </w:r>
            <w:r w:rsidRPr="001B446F">
              <w:rPr>
                <w:rFonts w:ascii="Arial Narrow" w:hAnsi="Arial Narrow"/>
                <w:sz w:val="18"/>
                <w:szCs w:val="18"/>
              </w:rPr>
              <w:fldChar w:fldCharType="end"/>
            </w:r>
            <w:r w:rsidRPr="001B446F">
              <w:rPr>
                <w:rFonts w:ascii="Arial Narrow" w:hAnsi="Arial Narrow"/>
                <w:sz w:val="18"/>
                <w:szCs w:val="18"/>
              </w:rPr>
              <w:t xml:space="preserve">Nurse practitioners  </w:t>
            </w:r>
            <w:r w:rsidRPr="001B446F">
              <w:rPr>
                <w:rFonts w:ascii="Arial Narrow" w:hAnsi="Arial Narrow"/>
                <w:sz w:val="18"/>
                <w:szCs w:val="18"/>
              </w:rPr>
              <w:fldChar w:fldCharType="begin">
                <w:ffData>
                  <w:name w:val=""/>
                  <w:enabled/>
                  <w:calcOnExit w:val="0"/>
                  <w:checkBox>
                    <w:sizeAuto/>
                    <w:default w:val="0"/>
                  </w:checkBox>
                </w:ffData>
              </w:fldChar>
            </w:r>
            <w:r w:rsidRPr="001B446F">
              <w:rPr>
                <w:rFonts w:ascii="Arial Narrow" w:hAnsi="Arial Narrow"/>
                <w:sz w:val="18"/>
                <w:szCs w:val="18"/>
              </w:rPr>
              <w:instrText xml:space="preserve"> FORMCHECKBOX </w:instrText>
            </w:r>
            <w:r w:rsidR="00F25584">
              <w:rPr>
                <w:rFonts w:ascii="Arial Narrow" w:hAnsi="Arial Narrow"/>
                <w:sz w:val="18"/>
                <w:szCs w:val="18"/>
              </w:rPr>
            </w:r>
            <w:r w:rsidR="00F25584">
              <w:rPr>
                <w:rFonts w:ascii="Arial Narrow" w:hAnsi="Arial Narrow"/>
                <w:sz w:val="18"/>
                <w:szCs w:val="18"/>
              </w:rPr>
              <w:fldChar w:fldCharType="separate"/>
            </w:r>
            <w:r w:rsidRPr="001B446F">
              <w:rPr>
                <w:rFonts w:ascii="Arial Narrow" w:hAnsi="Arial Narrow"/>
                <w:sz w:val="18"/>
                <w:szCs w:val="18"/>
              </w:rPr>
              <w:fldChar w:fldCharType="end"/>
            </w:r>
            <w:r w:rsidRPr="001B446F">
              <w:rPr>
                <w:rFonts w:ascii="Arial Narrow" w:hAnsi="Arial Narrow"/>
                <w:sz w:val="18"/>
                <w:szCs w:val="18"/>
              </w:rPr>
              <w:t xml:space="preserve">Optometrists   </w:t>
            </w:r>
            <w:r w:rsidRPr="001B446F">
              <w:rPr>
                <w:rFonts w:ascii="Arial Narrow" w:hAnsi="Arial Narrow"/>
                <w:sz w:val="18"/>
                <w:szCs w:val="18"/>
              </w:rPr>
              <w:fldChar w:fldCharType="begin">
                <w:ffData>
                  <w:name w:val="Check5"/>
                  <w:enabled/>
                  <w:calcOnExit w:val="0"/>
                  <w:checkBox>
                    <w:sizeAuto/>
                    <w:default w:val="0"/>
                  </w:checkBox>
                </w:ffData>
              </w:fldChar>
            </w:r>
            <w:r w:rsidRPr="001B446F">
              <w:rPr>
                <w:rFonts w:ascii="Arial Narrow" w:hAnsi="Arial Narrow"/>
                <w:sz w:val="18"/>
                <w:szCs w:val="18"/>
              </w:rPr>
              <w:instrText xml:space="preserve"> FORMCHECKBOX </w:instrText>
            </w:r>
            <w:r w:rsidR="00F25584">
              <w:rPr>
                <w:rFonts w:ascii="Arial Narrow" w:hAnsi="Arial Narrow"/>
                <w:sz w:val="18"/>
                <w:szCs w:val="18"/>
              </w:rPr>
            </w:r>
            <w:r w:rsidR="00F25584">
              <w:rPr>
                <w:rFonts w:ascii="Arial Narrow" w:hAnsi="Arial Narrow"/>
                <w:sz w:val="18"/>
                <w:szCs w:val="18"/>
              </w:rPr>
              <w:fldChar w:fldCharType="separate"/>
            </w:r>
            <w:r w:rsidRPr="001B446F">
              <w:rPr>
                <w:rFonts w:ascii="Arial Narrow" w:hAnsi="Arial Narrow"/>
                <w:sz w:val="18"/>
                <w:szCs w:val="18"/>
              </w:rPr>
              <w:fldChar w:fldCharType="end"/>
            </w:r>
            <w:r w:rsidRPr="001B446F">
              <w:rPr>
                <w:rFonts w:ascii="Arial Narrow" w:hAnsi="Arial Narrow"/>
                <w:sz w:val="18"/>
                <w:szCs w:val="18"/>
              </w:rPr>
              <w:t>Midwives</w:t>
            </w:r>
          </w:p>
        </w:tc>
      </w:tr>
      <w:tr w:rsidR="00432739" w:rsidRPr="001B446F" w:rsidTr="00432739">
        <w:trPr>
          <w:trHeight w:val="194"/>
        </w:trPr>
        <w:tc>
          <w:tcPr>
            <w:tcW w:w="9067" w:type="dxa"/>
          </w:tcPr>
          <w:p w:rsidR="00432739" w:rsidRPr="00432739" w:rsidRDefault="00432739" w:rsidP="004556DE">
            <w:pPr>
              <w:keepNext/>
              <w:keepLines/>
              <w:rPr>
                <w:rFonts w:ascii="Arial Narrow" w:hAnsi="Arial Narrow"/>
                <w:b/>
                <w:sz w:val="18"/>
                <w:szCs w:val="18"/>
              </w:rPr>
            </w:pPr>
            <w:r w:rsidRPr="001B446F">
              <w:rPr>
                <w:rFonts w:ascii="Arial Narrow" w:hAnsi="Arial Narrow"/>
                <w:b/>
                <w:sz w:val="18"/>
                <w:szCs w:val="18"/>
              </w:rPr>
              <w:t>Restriction Level / Method:</w:t>
            </w:r>
            <w:r>
              <w:rPr>
                <w:rFonts w:ascii="Arial Narrow" w:hAnsi="Arial Narrow"/>
                <w:b/>
                <w:sz w:val="18"/>
                <w:szCs w:val="18"/>
              </w:rPr>
              <w:t xml:space="preserve"> </w:t>
            </w:r>
            <w:r w:rsidRPr="001B446F">
              <w:rPr>
                <w:rFonts w:ascii="Arial Narrow" w:hAnsi="Arial Narrow"/>
                <w:sz w:val="18"/>
                <w:szCs w:val="18"/>
              </w:rPr>
              <w:fldChar w:fldCharType="begin">
                <w:ffData>
                  <w:name w:val=""/>
                  <w:enabled/>
                  <w:calcOnExit w:val="0"/>
                  <w:checkBox>
                    <w:sizeAuto/>
                    <w:default w:val="1"/>
                  </w:checkBox>
                </w:ffData>
              </w:fldChar>
            </w:r>
            <w:r w:rsidRPr="001B446F">
              <w:rPr>
                <w:rFonts w:ascii="Arial Narrow" w:hAnsi="Arial Narrow"/>
                <w:sz w:val="18"/>
                <w:szCs w:val="18"/>
              </w:rPr>
              <w:instrText xml:space="preserve"> FORMCHECKBOX </w:instrText>
            </w:r>
            <w:r w:rsidR="00F25584">
              <w:rPr>
                <w:rFonts w:ascii="Arial Narrow" w:hAnsi="Arial Narrow"/>
                <w:sz w:val="18"/>
                <w:szCs w:val="18"/>
              </w:rPr>
            </w:r>
            <w:r w:rsidR="00F25584">
              <w:rPr>
                <w:rFonts w:ascii="Arial Narrow" w:hAnsi="Arial Narrow"/>
                <w:sz w:val="18"/>
                <w:szCs w:val="18"/>
              </w:rPr>
              <w:fldChar w:fldCharType="separate"/>
            </w:r>
            <w:r w:rsidRPr="001B446F">
              <w:rPr>
                <w:rFonts w:ascii="Arial Narrow" w:hAnsi="Arial Narrow"/>
                <w:sz w:val="18"/>
                <w:szCs w:val="18"/>
              </w:rPr>
              <w:fldChar w:fldCharType="end"/>
            </w:r>
            <w:r>
              <w:rPr>
                <w:rFonts w:ascii="Arial Narrow" w:hAnsi="Arial Narrow"/>
                <w:sz w:val="18"/>
                <w:szCs w:val="18"/>
              </w:rPr>
              <w:t xml:space="preserve"> </w:t>
            </w:r>
            <w:r w:rsidRPr="001B446F">
              <w:rPr>
                <w:rFonts w:ascii="Arial Narrow" w:hAnsi="Arial Narrow"/>
                <w:sz w:val="18"/>
                <w:szCs w:val="18"/>
              </w:rPr>
              <w:t>Authority Required – In Writing</w:t>
            </w:r>
            <w:r>
              <w:rPr>
                <w:rFonts w:ascii="Arial Narrow" w:hAnsi="Arial Narrow"/>
                <w:sz w:val="18"/>
                <w:szCs w:val="18"/>
              </w:rPr>
              <w:t xml:space="preserve"> Only</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Indication:</w:t>
            </w:r>
            <w:r w:rsidRPr="001B446F">
              <w:rPr>
                <w:rFonts w:ascii="Arial Narrow" w:hAnsi="Arial Narrow"/>
                <w:color w:val="333333"/>
                <w:sz w:val="18"/>
                <w:szCs w:val="18"/>
              </w:rPr>
              <w:t xml:space="preserve"> Diabetic macular oedema (DMO)</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Treatment Phase:</w:t>
            </w:r>
            <w:r w:rsidRPr="001B446F">
              <w:rPr>
                <w:rFonts w:ascii="Arial Narrow" w:hAnsi="Arial Narrow"/>
                <w:color w:val="333333"/>
                <w:sz w:val="18"/>
                <w:szCs w:val="18"/>
              </w:rPr>
              <w:t xml:space="preserve"> Initial treatment </w:t>
            </w:r>
            <w:r w:rsidRPr="001B446F">
              <w:rPr>
                <w:rFonts w:ascii="Arial Narrow" w:hAnsi="Arial Narrow"/>
                <w:strike/>
                <w:color w:val="333333"/>
                <w:sz w:val="18"/>
                <w:szCs w:val="18"/>
              </w:rPr>
              <w:t>and continuing treatment</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Treatment criteria:</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Must be treated by an ophthalmologist or in consultation with an ophthalmologist</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AND</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Clinical criteria:</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Patient must have visual impairment due to diabetic macular oedema</w:t>
            </w:r>
          </w:p>
        </w:tc>
      </w:tr>
      <w:tr w:rsidR="00432739" w:rsidRPr="001B446F" w:rsidTr="00432739">
        <w:tc>
          <w:tcPr>
            <w:tcW w:w="9067" w:type="dxa"/>
            <w:vAlign w:val="center"/>
          </w:tcPr>
          <w:p w:rsidR="00432739" w:rsidRPr="001B446F" w:rsidRDefault="00432739" w:rsidP="004556DE">
            <w:pPr>
              <w:rPr>
                <w:rFonts w:ascii="Arial Narrow" w:hAnsi="Arial Narrow"/>
                <w:i/>
                <w:color w:val="333333"/>
                <w:sz w:val="18"/>
                <w:szCs w:val="18"/>
              </w:rPr>
            </w:pPr>
            <w:r w:rsidRPr="001B446F">
              <w:rPr>
                <w:rFonts w:ascii="Arial Narrow" w:hAnsi="Arial Narrow"/>
                <w:b/>
                <w:bCs/>
                <w:i/>
                <w:color w:val="333333"/>
                <w:sz w:val="18"/>
                <w:szCs w:val="18"/>
              </w:rPr>
              <w:t>AND</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Clinical criteria:</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Patient must have documented visual impairment defined as a best corrected visual acuity score between 78 and 20 letters based on the early treatment diabetic retinopathy study chart administered at a distance of 4 metres (approximate Snellen equivalent 20/32 to 20/400), in the eye proposed for treatment</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AND</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Clinical criteria:</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The condition must be diagnosed by optical coherence tomography; or</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The condition must be diagnosed by fluorescein angiography</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AND</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Clinical criteria:</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Patient must have a contraindication to vascular endothelial growth factor (VEGF) inhibitors; or</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Patient must be unsuitable for treatment with VEGF inhibitors; or</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Patient must have failed prior treatment with VEGF inhibitors</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AND</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t>Population criteria:</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Patient must have had a cataract removed in the treated eye; or</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Patient must be scheduled for cataract surgery in the treated eye</w:t>
            </w:r>
          </w:p>
        </w:tc>
      </w:tr>
      <w:tr w:rsidR="00432739" w:rsidRPr="001B446F" w:rsidTr="00432739">
        <w:trPr>
          <w:trHeight w:val="2079"/>
        </w:trPr>
        <w:tc>
          <w:tcPr>
            <w:tcW w:w="9067" w:type="dxa"/>
            <w:vAlign w:val="center"/>
            <w:hideMark/>
          </w:tcPr>
          <w:p w:rsidR="00432739" w:rsidRPr="001B446F" w:rsidRDefault="00432739" w:rsidP="004556DE">
            <w:pPr>
              <w:rPr>
                <w:rFonts w:ascii="Arial Narrow" w:hAnsi="Arial Narrow"/>
                <w:b/>
                <w:bCs/>
                <w:strike/>
                <w:color w:val="333333"/>
                <w:sz w:val="18"/>
                <w:szCs w:val="18"/>
              </w:rPr>
            </w:pPr>
            <w:r w:rsidRPr="001B446F">
              <w:rPr>
                <w:rFonts w:ascii="Arial Narrow" w:hAnsi="Arial Narrow"/>
                <w:b/>
                <w:bCs/>
                <w:strike/>
                <w:color w:val="333333"/>
                <w:sz w:val="18"/>
                <w:szCs w:val="18"/>
              </w:rPr>
              <w:t>Administrative Advice:</w:t>
            </w:r>
          </w:p>
          <w:p w:rsidR="00432739" w:rsidRPr="001B446F" w:rsidRDefault="00432739" w:rsidP="004556DE">
            <w:pPr>
              <w:rPr>
                <w:rFonts w:ascii="Arial Narrow" w:hAnsi="Arial Narrow"/>
                <w:i/>
                <w:color w:val="333333"/>
                <w:sz w:val="18"/>
                <w:szCs w:val="18"/>
              </w:rPr>
            </w:pPr>
            <w:r w:rsidRPr="001B446F">
              <w:rPr>
                <w:rFonts w:ascii="Arial Narrow" w:hAnsi="Arial Narrow"/>
                <w:b/>
                <w:bCs/>
                <w:i/>
                <w:color w:val="333333"/>
                <w:sz w:val="18"/>
                <w:szCs w:val="18"/>
              </w:rPr>
              <w:t>Prescribing Instructions:</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 xml:space="preserve">Authority approval for initial treatment of each eye </w:t>
            </w:r>
            <w:proofErr w:type="gramStart"/>
            <w:r w:rsidRPr="001B446F">
              <w:rPr>
                <w:rFonts w:ascii="Arial Narrow" w:hAnsi="Arial Narrow"/>
                <w:color w:val="333333"/>
                <w:sz w:val="18"/>
                <w:szCs w:val="18"/>
              </w:rPr>
              <w:t>must be sought</w:t>
            </w:r>
            <w:proofErr w:type="gramEnd"/>
            <w:r w:rsidRPr="001B446F">
              <w:rPr>
                <w:rFonts w:ascii="Arial Narrow" w:hAnsi="Arial Narrow"/>
                <w:color w:val="333333"/>
                <w:sz w:val="18"/>
                <w:szCs w:val="18"/>
              </w:rPr>
              <w:t>.</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 xml:space="preserve">The first authority application for each eye </w:t>
            </w:r>
            <w:proofErr w:type="gramStart"/>
            <w:r w:rsidRPr="001B446F">
              <w:rPr>
                <w:rFonts w:ascii="Arial Narrow" w:hAnsi="Arial Narrow"/>
                <w:color w:val="333333"/>
                <w:sz w:val="18"/>
                <w:szCs w:val="18"/>
              </w:rPr>
              <w:t>must be made</w:t>
            </w:r>
            <w:proofErr w:type="gramEnd"/>
            <w:r w:rsidRPr="001B446F">
              <w:rPr>
                <w:rFonts w:ascii="Arial Narrow" w:hAnsi="Arial Narrow"/>
                <w:color w:val="333333"/>
                <w:sz w:val="18"/>
                <w:szCs w:val="18"/>
              </w:rPr>
              <w:t xml:space="preserve"> in writing or by telephone.</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A written application must include:</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a) a completed authority prescription form;</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b) a completed Diabetic Macular Oedema (DMO) - PBS Supporting Information Form; and</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 xml:space="preserve">c) </w:t>
            </w:r>
            <w:proofErr w:type="gramStart"/>
            <w:r w:rsidRPr="001B446F">
              <w:rPr>
                <w:rFonts w:ascii="Arial Narrow" w:hAnsi="Arial Narrow"/>
                <w:color w:val="333333"/>
                <w:sz w:val="18"/>
                <w:szCs w:val="18"/>
              </w:rPr>
              <w:t>a</w:t>
            </w:r>
            <w:proofErr w:type="gramEnd"/>
            <w:r w:rsidRPr="001B446F">
              <w:rPr>
                <w:rFonts w:ascii="Arial Narrow" w:hAnsi="Arial Narrow"/>
                <w:color w:val="333333"/>
                <w:sz w:val="18"/>
                <w:szCs w:val="18"/>
              </w:rPr>
              <w:t xml:space="preserve"> copy of the optical coherence tomography or fluorescein angiogram report.</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 xml:space="preserve">A telephone application </w:t>
            </w:r>
            <w:proofErr w:type="gramStart"/>
            <w:r w:rsidRPr="001B446F">
              <w:rPr>
                <w:rFonts w:ascii="Arial Narrow" w:hAnsi="Arial Narrow"/>
                <w:color w:val="333333"/>
                <w:sz w:val="18"/>
                <w:szCs w:val="18"/>
              </w:rPr>
              <w:t>must be made</w:t>
            </w:r>
            <w:proofErr w:type="gramEnd"/>
            <w:r w:rsidRPr="001B446F">
              <w:rPr>
                <w:rFonts w:ascii="Arial Narrow" w:hAnsi="Arial Narrow"/>
                <w:color w:val="333333"/>
                <w:sz w:val="18"/>
                <w:szCs w:val="18"/>
              </w:rPr>
              <w:t xml:space="preserve"> following submission by facsimile of a copy of a completed Diabetic Macular Oedema (DMO) - PBS Supporting Information Form and a copy of the optical coherence tomography or fluorescein angiogram report.</w:t>
            </w:r>
          </w:p>
        </w:tc>
      </w:tr>
      <w:tr w:rsidR="00432739" w:rsidRPr="001B446F" w:rsidTr="00432739">
        <w:tc>
          <w:tcPr>
            <w:tcW w:w="9067" w:type="dxa"/>
            <w:vAlign w:val="center"/>
          </w:tcPr>
          <w:p w:rsidR="00432739" w:rsidRPr="001B446F" w:rsidRDefault="00432739" w:rsidP="004556DE">
            <w:pPr>
              <w:rPr>
                <w:rFonts w:ascii="Arial Narrow" w:hAnsi="Arial Narrow"/>
                <w:b/>
                <w:bCs/>
                <w:strike/>
                <w:color w:val="333333"/>
                <w:sz w:val="18"/>
                <w:szCs w:val="18"/>
              </w:rPr>
            </w:pPr>
            <w:r w:rsidRPr="001B446F">
              <w:rPr>
                <w:rFonts w:ascii="Arial Narrow" w:hAnsi="Arial Narrow"/>
                <w:b/>
                <w:bCs/>
                <w:strike/>
                <w:color w:val="333333"/>
                <w:sz w:val="18"/>
                <w:szCs w:val="18"/>
              </w:rPr>
              <w:t>Administrative Advice:</w:t>
            </w:r>
          </w:p>
          <w:p w:rsidR="00432739" w:rsidRPr="001B446F" w:rsidRDefault="00432739" w:rsidP="004556DE">
            <w:pPr>
              <w:rPr>
                <w:rFonts w:ascii="Arial Narrow" w:hAnsi="Arial Narrow"/>
                <w:i/>
                <w:color w:val="333333"/>
                <w:sz w:val="18"/>
                <w:szCs w:val="18"/>
              </w:rPr>
            </w:pPr>
            <w:r w:rsidRPr="001B446F">
              <w:rPr>
                <w:rFonts w:ascii="Arial Narrow" w:hAnsi="Arial Narrow"/>
                <w:b/>
                <w:bCs/>
                <w:i/>
                <w:color w:val="333333"/>
                <w:sz w:val="18"/>
                <w:szCs w:val="18"/>
              </w:rPr>
              <w:t>Prescribing Instructions:</w:t>
            </w:r>
          </w:p>
          <w:p w:rsidR="00432739" w:rsidRPr="001B446F" w:rsidRDefault="00432739" w:rsidP="004556DE">
            <w:pPr>
              <w:rPr>
                <w:rFonts w:ascii="Arial Narrow" w:hAnsi="Arial Narrow"/>
                <w:b/>
                <w:bCs/>
                <w:strike/>
                <w:color w:val="333333"/>
                <w:sz w:val="18"/>
                <w:szCs w:val="18"/>
              </w:rPr>
            </w:pPr>
            <w:r w:rsidRPr="001B446F">
              <w:rPr>
                <w:rFonts w:ascii="Arial Narrow" w:hAnsi="Arial Narrow"/>
                <w:strike/>
                <w:color w:val="333333"/>
                <w:sz w:val="18"/>
                <w:szCs w:val="18"/>
              </w:rPr>
              <w:t>Repeat Authorities for the same eye will not be authorised within 30 months of initial script,</w:t>
            </w:r>
          </w:p>
        </w:tc>
      </w:tr>
      <w:tr w:rsidR="00432739" w:rsidRPr="001B446F" w:rsidTr="00432739">
        <w:tc>
          <w:tcPr>
            <w:tcW w:w="9067" w:type="dxa"/>
            <w:vAlign w:val="center"/>
            <w:hideMark/>
          </w:tcPr>
          <w:p w:rsidR="00432739" w:rsidRPr="001B446F" w:rsidRDefault="00432739" w:rsidP="004556DE">
            <w:pPr>
              <w:rPr>
                <w:rFonts w:ascii="Arial Narrow" w:hAnsi="Arial Narrow"/>
                <w:b/>
                <w:bCs/>
                <w:strike/>
                <w:color w:val="333333"/>
                <w:sz w:val="18"/>
                <w:szCs w:val="18"/>
              </w:rPr>
            </w:pPr>
            <w:r w:rsidRPr="001B446F">
              <w:rPr>
                <w:rFonts w:ascii="Arial Narrow" w:hAnsi="Arial Narrow"/>
                <w:b/>
                <w:bCs/>
                <w:strike/>
                <w:color w:val="333333"/>
                <w:sz w:val="18"/>
                <w:szCs w:val="18"/>
              </w:rPr>
              <w:t>Prescribing Instructions:</w:t>
            </w:r>
          </w:p>
          <w:p w:rsidR="00432739" w:rsidRPr="001B446F" w:rsidRDefault="00432739" w:rsidP="004556DE">
            <w:pPr>
              <w:rPr>
                <w:rFonts w:ascii="Arial Narrow" w:hAnsi="Arial Narrow"/>
                <w:i/>
                <w:color w:val="333333"/>
                <w:sz w:val="18"/>
                <w:szCs w:val="18"/>
              </w:rPr>
            </w:pPr>
            <w:r w:rsidRPr="001B446F">
              <w:rPr>
                <w:rFonts w:ascii="Arial Narrow" w:hAnsi="Arial Narrow"/>
                <w:b/>
                <w:bCs/>
                <w:i/>
                <w:color w:val="333333"/>
                <w:sz w:val="18"/>
                <w:szCs w:val="18"/>
              </w:rPr>
              <w:t>Administrative Advice:</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Any queries concerning the arrangements to prescribe may be directed to the Department of Human Services on 1800 700 270 (hours of operation 8 a.m. to 5 p.m. EST Monday to Friday).</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Prescribing information (including Authority Application forms and other relevant documentation as applicable) is available on the Department of Human Services website at www.humanservices.gov.au</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 xml:space="preserve">Applications for authority to prescribe should be forwarded to: </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Department of Human Services</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 xml:space="preserve">Complex Drugs </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 xml:space="preserve">Reply Paid 9826 </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HOBART TAS 7001</w:t>
            </w:r>
          </w:p>
        </w:tc>
      </w:tr>
      <w:tr w:rsidR="00432739" w:rsidRPr="001B446F" w:rsidTr="00432739">
        <w:tc>
          <w:tcPr>
            <w:tcW w:w="9067" w:type="dxa"/>
            <w:vAlign w:val="center"/>
            <w:hideMark/>
          </w:tcPr>
          <w:p w:rsidR="00432739" w:rsidRPr="001B446F" w:rsidRDefault="00432739" w:rsidP="004556DE">
            <w:pPr>
              <w:rPr>
                <w:rFonts w:ascii="Arial Narrow" w:hAnsi="Arial Narrow"/>
                <w:color w:val="333333"/>
                <w:sz w:val="18"/>
                <w:szCs w:val="18"/>
              </w:rPr>
            </w:pPr>
            <w:r w:rsidRPr="001B446F">
              <w:rPr>
                <w:rFonts w:ascii="Arial Narrow" w:hAnsi="Arial Narrow"/>
                <w:b/>
                <w:bCs/>
                <w:color w:val="333333"/>
                <w:sz w:val="18"/>
                <w:szCs w:val="18"/>
              </w:rPr>
              <w:lastRenderedPageBreak/>
              <w:t>Administrative Advice:</w:t>
            </w:r>
          </w:p>
          <w:p w:rsidR="00432739" w:rsidRPr="001B446F" w:rsidRDefault="00432739" w:rsidP="004556DE">
            <w:pPr>
              <w:rPr>
                <w:rFonts w:ascii="Arial Narrow" w:hAnsi="Arial Narrow"/>
                <w:color w:val="333333"/>
                <w:sz w:val="18"/>
                <w:szCs w:val="18"/>
              </w:rPr>
            </w:pPr>
            <w:r w:rsidRPr="001B446F">
              <w:rPr>
                <w:rFonts w:ascii="Arial Narrow" w:hAnsi="Arial Narrow"/>
                <w:color w:val="333333"/>
                <w:sz w:val="18"/>
                <w:szCs w:val="18"/>
              </w:rPr>
              <w:t>The first authority application may be faxed to the Department of Human Services on 1300 093 177 (hours of operation 8 a.m. to 5 p.m. EST Monday to Friday). The Department will then contact the prescriber by telephone.</w:t>
            </w:r>
          </w:p>
        </w:tc>
      </w:tr>
      <w:tr w:rsidR="00432739" w:rsidRPr="001B446F" w:rsidTr="00432739">
        <w:tc>
          <w:tcPr>
            <w:tcW w:w="9067" w:type="dxa"/>
            <w:vAlign w:val="center"/>
            <w:hideMark/>
          </w:tcPr>
          <w:p w:rsidR="00432739" w:rsidRPr="001B446F" w:rsidRDefault="00432739" w:rsidP="004556DE">
            <w:pPr>
              <w:rPr>
                <w:rFonts w:ascii="Arial Narrow" w:hAnsi="Arial Narrow"/>
                <w:i/>
                <w:color w:val="333333"/>
                <w:sz w:val="18"/>
                <w:szCs w:val="18"/>
              </w:rPr>
            </w:pPr>
            <w:r w:rsidRPr="001B446F">
              <w:rPr>
                <w:rFonts w:ascii="Arial Narrow" w:hAnsi="Arial Narrow"/>
                <w:b/>
                <w:bCs/>
                <w:i/>
                <w:color w:val="333333"/>
                <w:sz w:val="18"/>
                <w:szCs w:val="18"/>
              </w:rPr>
              <w:t>Administrative Advice:</w:t>
            </w:r>
            <w:r w:rsidRPr="001B446F">
              <w:rPr>
                <w:rFonts w:ascii="Arial Narrow" w:hAnsi="Arial Narrow"/>
                <w:i/>
                <w:color w:val="333333"/>
                <w:sz w:val="18"/>
                <w:szCs w:val="18"/>
              </w:rPr>
              <w:t xml:space="preserve"> Special Pricing Arrangements apply.</w:t>
            </w:r>
          </w:p>
        </w:tc>
      </w:tr>
    </w:tbl>
    <w:p w:rsidR="00465B9F" w:rsidRPr="001B446F" w:rsidRDefault="00465B9F" w:rsidP="00465B9F">
      <w:pPr>
        <w:keepNext/>
        <w:keepLines/>
        <w:rPr>
          <w:rFonts w:ascii="Arial Narrow" w:hAnsi="Arial Narrow"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037D18" w:rsidRPr="001B446F" w:rsidTr="00037D18">
        <w:tc>
          <w:tcPr>
            <w:tcW w:w="5000" w:type="pct"/>
          </w:tcPr>
          <w:p w:rsidR="00037D18" w:rsidRPr="001B446F" w:rsidRDefault="00037D18" w:rsidP="00465B9F">
            <w:pPr>
              <w:keepNext/>
              <w:keepLines/>
              <w:rPr>
                <w:rFonts w:ascii="Arial Narrow" w:hAnsi="Arial Narrow"/>
                <w:b/>
                <w:bCs/>
                <w:i/>
                <w:color w:val="333333"/>
                <w:sz w:val="18"/>
                <w:szCs w:val="18"/>
              </w:rPr>
            </w:pPr>
            <w:r w:rsidRPr="001B446F">
              <w:rPr>
                <w:rFonts w:ascii="Arial Narrow" w:hAnsi="Arial Narrow"/>
                <w:b/>
                <w:i/>
                <w:sz w:val="18"/>
                <w:szCs w:val="18"/>
              </w:rPr>
              <w:t>Category / Program:</w:t>
            </w:r>
            <w:r w:rsidRPr="001B446F">
              <w:rPr>
                <w:rFonts w:ascii="Arial Narrow" w:hAnsi="Arial Narrow"/>
                <w:i/>
                <w:sz w:val="18"/>
                <w:szCs w:val="18"/>
              </w:rPr>
              <w:t xml:space="preserve"> General Schedule (Code GE)</w:t>
            </w:r>
          </w:p>
        </w:tc>
      </w:tr>
      <w:tr w:rsidR="00037D18" w:rsidRPr="001B446F" w:rsidTr="00037D18">
        <w:tc>
          <w:tcPr>
            <w:tcW w:w="5000" w:type="pct"/>
          </w:tcPr>
          <w:p w:rsidR="00037D18" w:rsidRPr="001B446F" w:rsidRDefault="00037D18" w:rsidP="00465B9F">
            <w:pPr>
              <w:keepNext/>
              <w:keepLines/>
              <w:rPr>
                <w:rFonts w:ascii="Arial Narrow" w:hAnsi="Arial Narrow"/>
                <w:b/>
                <w:bCs/>
                <w:i/>
                <w:color w:val="333333"/>
                <w:sz w:val="18"/>
                <w:szCs w:val="18"/>
              </w:rPr>
            </w:pPr>
            <w:r w:rsidRPr="001B446F">
              <w:rPr>
                <w:rFonts w:ascii="Arial Narrow" w:hAnsi="Arial Narrow"/>
                <w:b/>
                <w:i/>
                <w:sz w:val="18"/>
                <w:szCs w:val="18"/>
              </w:rPr>
              <w:t>Prescriber type:</w:t>
            </w:r>
            <w:r w:rsidRPr="001B446F">
              <w:rPr>
                <w:rFonts w:ascii="Arial Narrow" w:hAnsi="Arial Narrow"/>
                <w:i/>
                <w:sz w:val="18"/>
                <w:szCs w:val="18"/>
              </w:rPr>
              <w:t xml:space="preserve">  </w:t>
            </w:r>
            <w:r w:rsidRPr="001B446F">
              <w:rPr>
                <w:rFonts w:ascii="Arial Narrow" w:hAnsi="Arial Narrow"/>
                <w:i/>
                <w:sz w:val="18"/>
                <w:szCs w:val="18"/>
              </w:rPr>
              <w:fldChar w:fldCharType="begin">
                <w:ffData>
                  <w:name w:val="Check1"/>
                  <w:enabled/>
                  <w:calcOnExit w:val="0"/>
                  <w:checkBox>
                    <w:sizeAuto/>
                    <w:default w:val="0"/>
                  </w:checkBox>
                </w:ffData>
              </w:fldChar>
            </w:r>
            <w:r w:rsidRPr="001B446F">
              <w:rPr>
                <w:rFonts w:ascii="Arial Narrow" w:hAnsi="Arial Narrow"/>
                <w:i/>
                <w:sz w:val="18"/>
                <w:szCs w:val="18"/>
              </w:rPr>
              <w:instrText xml:space="preserve"> FORMCHECKBOX </w:instrText>
            </w:r>
            <w:r w:rsidR="00F25584">
              <w:rPr>
                <w:rFonts w:ascii="Arial Narrow" w:hAnsi="Arial Narrow"/>
                <w:i/>
                <w:sz w:val="18"/>
                <w:szCs w:val="18"/>
              </w:rPr>
            </w:r>
            <w:r w:rsidR="00F25584">
              <w:rPr>
                <w:rFonts w:ascii="Arial Narrow" w:hAnsi="Arial Narrow"/>
                <w:i/>
                <w:sz w:val="18"/>
                <w:szCs w:val="18"/>
              </w:rPr>
              <w:fldChar w:fldCharType="separate"/>
            </w:r>
            <w:r w:rsidRPr="001B446F">
              <w:rPr>
                <w:rFonts w:ascii="Arial Narrow" w:hAnsi="Arial Narrow"/>
                <w:i/>
                <w:sz w:val="18"/>
                <w:szCs w:val="18"/>
              </w:rPr>
              <w:fldChar w:fldCharType="end"/>
            </w:r>
            <w:r w:rsidRPr="001B446F">
              <w:rPr>
                <w:rFonts w:ascii="Arial Narrow" w:hAnsi="Arial Narrow"/>
                <w:i/>
                <w:sz w:val="18"/>
                <w:szCs w:val="18"/>
              </w:rPr>
              <w:t xml:space="preserve">Dental   </w:t>
            </w:r>
            <w:r w:rsidRPr="001B446F">
              <w:rPr>
                <w:rFonts w:ascii="Arial Narrow" w:hAnsi="Arial Narrow"/>
                <w:i/>
                <w:sz w:val="18"/>
                <w:szCs w:val="18"/>
              </w:rPr>
              <w:fldChar w:fldCharType="begin">
                <w:ffData>
                  <w:name w:val=""/>
                  <w:enabled/>
                  <w:calcOnExit w:val="0"/>
                  <w:checkBox>
                    <w:sizeAuto/>
                    <w:default w:val="1"/>
                  </w:checkBox>
                </w:ffData>
              </w:fldChar>
            </w:r>
            <w:r w:rsidRPr="001B446F">
              <w:rPr>
                <w:rFonts w:ascii="Arial Narrow" w:hAnsi="Arial Narrow"/>
                <w:i/>
                <w:sz w:val="18"/>
                <w:szCs w:val="18"/>
              </w:rPr>
              <w:instrText xml:space="preserve"> FORMCHECKBOX </w:instrText>
            </w:r>
            <w:r w:rsidR="00F25584">
              <w:rPr>
                <w:rFonts w:ascii="Arial Narrow" w:hAnsi="Arial Narrow"/>
                <w:i/>
                <w:sz w:val="18"/>
                <w:szCs w:val="18"/>
              </w:rPr>
            </w:r>
            <w:r w:rsidR="00F25584">
              <w:rPr>
                <w:rFonts w:ascii="Arial Narrow" w:hAnsi="Arial Narrow"/>
                <w:i/>
                <w:sz w:val="18"/>
                <w:szCs w:val="18"/>
              </w:rPr>
              <w:fldChar w:fldCharType="separate"/>
            </w:r>
            <w:r w:rsidRPr="001B446F">
              <w:rPr>
                <w:rFonts w:ascii="Arial Narrow" w:hAnsi="Arial Narrow"/>
                <w:i/>
                <w:sz w:val="18"/>
                <w:szCs w:val="18"/>
              </w:rPr>
              <w:fldChar w:fldCharType="end"/>
            </w:r>
            <w:r w:rsidRPr="001B446F">
              <w:rPr>
                <w:rFonts w:ascii="Arial Narrow" w:hAnsi="Arial Narrow"/>
                <w:i/>
                <w:sz w:val="18"/>
                <w:szCs w:val="18"/>
              </w:rPr>
              <w:t>Medical Practitioners</w:t>
            </w:r>
            <w:r w:rsidR="00EA316A">
              <w:rPr>
                <w:rFonts w:ascii="Arial Narrow" w:hAnsi="Arial Narrow"/>
                <w:i/>
                <w:sz w:val="18"/>
                <w:szCs w:val="18"/>
              </w:rPr>
              <w:t xml:space="preserve"> </w:t>
            </w:r>
            <w:r w:rsidRPr="001B446F">
              <w:rPr>
                <w:rFonts w:ascii="Arial Narrow" w:hAnsi="Arial Narrow"/>
                <w:i/>
                <w:sz w:val="18"/>
                <w:szCs w:val="18"/>
              </w:rPr>
              <w:t xml:space="preserve">  </w:t>
            </w:r>
            <w:r w:rsidRPr="001B446F">
              <w:rPr>
                <w:rFonts w:ascii="Arial Narrow" w:hAnsi="Arial Narrow"/>
                <w:i/>
                <w:sz w:val="18"/>
                <w:szCs w:val="18"/>
              </w:rPr>
              <w:fldChar w:fldCharType="begin">
                <w:ffData>
                  <w:name w:val="Check3"/>
                  <w:enabled/>
                  <w:calcOnExit w:val="0"/>
                  <w:checkBox>
                    <w:sizeAuto/>
                    <w:default w:val="0"/>
                  </w:checkBox>
                </w:ffData>
              </w:fldChar>
            </w:r>
            <w:r w:rsidRPr="001B446F">
              <w:rPr>
                <w:rFonts w:ascii="Arial Narrow" w:hAnsi="Arial Narrow"/>
                <w:i/>
                <w:sz w:val="18"/>
                <w:szCs w:val="18"/>
              </w:rPr>
              <w:instrText xml:space="preserve"> FORMCHECKBOX </w:instrText>
            </w:r>
            <w:r w:rsidR="00F25584">
              <w:rPr>
                <w:rFonts w:ascii="Arial Narrow" w:hAnsi="Arial Narrow"/>
                <w:i/>
                <w:sz w:val="18"/>
                <w:szCs w:val="18"/>
              </w:rPr>
            </w:r>
            <w:r w:rsidR="00F25584">
              <w:rPr>
                <w:rFonts w:ascii="Arial Narrow" w:hAnsi="Arial Narrow"/>
                <w:i/>
                <w:sz w:val="18"/>
                <w:szCs w:val="18"/>
              </w:rPr>
              <w:fldChar w:fldCharType="separate"/>
            </w:r>
            <w:r w:rsidRPr="001B446F">
              <w:rPr>
                <w:rFonts w:ascii="Arial Narrow" w:hAnsi="Arial Narrow"/>
                <w:i/>
                <w:sz w:val="18"/>
                <w:szCs w:val="18"/>
              </w:rPr>
              <w:fldChar w:fldCharType="end"/>
            </w:r>
            <w:r w:rsidRPr="001B446F">
              <w:rPr>
                <w:rFonts w:ascii="Arial Narrow" w:hAnsi="Arial Narrow"/>
                <w:i/>
                <w:sz w:val="18"/>
                <w:szCs w:val="18"/>
              </w:rPr>
              <w:t xml:space="preserve">Nurse practitioners  </w:t>
            </w:r>
            <w:r w:rsidRPr="001B446F">
              <w:rPr>
                <w:rFonts w:ascii="Arial Narrow" w:hAnsi="Arial Narrow"/>
                <w:i/>
                <w:sz w:val="18"/>
                <w:szCs w:val="18"/>
              </w:rPr>
              <w:fldChar w:fldCharType="begin">
                <w:ffData>
                  <w:name w:val=""/>
                  <w:enabled/>
                  <w:calcOnExit w:val="0"/>
                  <w:checkBox>
                    <w:sizeAuto/>
                    <w:default w:val="0"/>
                  </w:checkBox>
                </w:ffData>
              </w:fldChar>
            </w:r>
            <w:r w:rsidRPr="001B446F">
              <w:rPr>
                <w:rFonts w:ascii="Arial Narrow" w:hAnsi="Arial Narrow"/>
                <w:i/>
                <w:sz w:val="18"/>
                <w:szCs w:val="18"/>
              </w:rPr>
              <w:instrText xml:space="preserve"> FORMCHECKBOX </w:instrText>
            </w:r>
            <w:r w:rsidR="00F25584">
              <w:rPr>
                <w:rFonts w:ascii="Arial Narrow" w:hAnsi="Arial Narrow"/>
                <w:i/>
                <w:sz w:val="18"/>
                <w:szCs w:val="18"/>
              </w:rPr>
            </w:r>
            <w:r w:rsidR="00F25584">
              <w:rPr>
                <w:rFonts w:ascii="Arial Narrow" w:hAnsi="Arial Narrow"/>
                <w:i/>
                <w:sz w:val="18"/>
                <w:szCs w:val="18"/>
              </w:rPr>
              <w:fldChar w:fldCharType="separate"/>
            </w:r>
            <w:r w:rsidRPr="001B446F">
              <w:rPr>
                <w:rFonts w:ascii="Arial Narrow" w:hAnsi="Arial Narrow"/>
                <w:i/>
                <w:sz w:val="18"/>
                <w:szCs w:val="18"/>
              </w:rPr>
              <w:fldChar w:fldCharType="end"/>
            </w:r>
            <w:r w:rsidRPr="001B446F">
              <w:rPr>
                <w:rFonts w:ascii="Arial Narrow" w:hAnsi="Arial Narrow"/>
                <w:i/>
                <w:sz w:val="18"/>
                <w:szCs w:val="18"/>
              </w:rPr>
              <w:t xml:space="preserve">Optometrists   </w:t>
            </w:r>
            <w:r w:rsidRPr="001B446F">
              <w:rPr>
                <w:rFonts w:ascii="Arial Narrow" w:hAnsi="Arial Narrow"/>
                <w:i/>
                <w:sz w:val="18"/>
                <w:szCs w:val="18"/>
              </w:rPr>
              <w:fldChar w:fldCharType="begin">
                <w:ffData>
                  <w:name w:val="Check5"/>
                  <w:enabled/>
                  <w:calcOnExit w:val="0"/>
                  <w:checkBox>
                    <w:sizeAuto/>
                    <w:default w:val="0"/>
                  </w:checkBox>
                </w:ffData>
              </w:fldChar>
            </w:r>
            <w:r w:rsidRPr="001B446F">
              <w:rPr>
                <w:rFonts w:ascii="Arial Narrow" w:hAnsi="Arial Narrow"/>
                <w:i/>
                <w:sz w:val="18"/>
                <w:szCs w:val="18"/>
              </w:rPr>
              <w:instrText xml:space="preserve"> FORMCHECKBOX </w:instrText>
            </w:r>
            <w:r w:rsidR="00F25584">
              <w:rPr>
                <w:rFonts w:ascii="Arial Narrow" w:hAnsi="Arial Narrow"/>
                <w:i/>
                <w:sz w:val="18"/>
                <w:szCs w:val="18"/>
              </w:rPr>
            </w:r>
            <w:r w:rsidR="00F25584">
              <w:rPr>
                <w:rFonts w:ascii="Arial Narrow" w:hAnsi="Arial Narrow"/>
                <w:i/>
                <w:sz w:val="18"/>
                <w:szCs w:val="18"/>
              </w:rPr>
              <w:fldChar w:fldCharType="separate"/>
            </w:r>
            <w:r w:rsidRPr="001B446F">
              <w:rPr>
                <w:rFonts w:ascii="Arial Narrow" w:hAnsi="Arial Narrow"/>
                <w:i/>
                <w:sz w:val="18"/>
                <w:szCs w:val="18"/>
              </w:rPr>
              <w:fldChar w:fldCharType="end"/>
            </w:r>
            <w:r w:rsidRPr="001B446F">
              <w:rPr>
                <w:rFonts w:ascii="Arial Narrow" w:hAnsi="Arial Narrow"/>
                <w:i/>
                <w:sz w:val="18"/>
                <w:szCs w:val="18"/>
              </w:rPr>
              <w:t>Midwives</w:t>
            </w:r>
          </w:p>
        </w:tc>
      </w:tr>
      <w:tr w:rsidR="00037D18" w:rsidRPr="001B446F" w:rsidTr="00037D18">
        <w:tc>
          <w:tcPr>
            <w:tcW w:w="5000" w:type="pct"/>
          </w:tcPr>
          <w:p w:rsidR="00037D18" w:rsidRPr="00037D18" w:rsidRDefault="00037D18" w:rsidP="00465B9F">
            <w:pPr>
              <w:keepNext/>
              <w:keepLines/>
              <w:rPr>
                <w:rFonts w:ascii="Arial Narrow" w:hAnsi="Arial Narrow"/>
                <w:b/>
                <w:i/>
                <w:sz w:val="18"/>
                <w:szCs w:val="18"/>
              </w:rPr>
            </w:pPr>
            <w:r>
              <w:rPr>
                <w:rFonts w:ascii="Arial Narrow" w:hAnsi="Arial Narrow"/>
                <w:b/>
                <w:i/>
                <w:sz w:val="18"/>
                <w:szCs w:val="18"/>
              </w:rPr>
              <w:t xml:space="preserve">Restriction Level / Method:  </w:t>
            </w:r>
            <w:r w:rsidRPr="001B446F">
              <w:rPr>
                <w:rFonts w:ascii="Arial Narrow" w:hAnsi="Arial Narrow"/>
                <w:i/>
                <w:sz w:val="18"/>
                <w:szCs w:val="18"/>
              </w:rPr>
              <w:fldChar w:fldCharType="begin">
                <w:ffData>
                  <w:name w:val="Check3"/>
                  <w:enabled/>
                  <w:calcOnExit w:val="0"/>
                  <w:checkBox>
                    <w:sizeAuto/>
                    <w:default w:val="1"/>
                  </w:checkBox>
                </w:ffData>
              </w:fldChar>
            </w:r>
            <w:r w:rsidRPr="001B446F">
              <w:rPr>
                <w:rFonts w:ascii="Arial Narrow" w:hAnsi="Arial Narrow"/>
                <w:i/>
                <w:sz w:val="18"/>
                <w:szCs w:val="18"/>
              </w:rPr>
              <w:instrText xml:space="preserve"> FORMCHECKBOX </w:instrText>
            </w:r>
            <w:r w:rsidR="00F25584">
              <w:rPr>
                <w:rFonts w:ascii="Arial Narrow" w:hAnsi="Arial Narrow"/>
                <w:i/>
                <w:sz w:val="18"/>
                <w:szCs w:val="18"/>
              </w:rPr>
            </w:r>
            <w:r w:rsidR="00F25584">
              <w:rPr>
                <w:rFonts w:ascii="Arial Narrow" w:hAnsi="Arial Narrow"/>
                <w:i/>
                <w:sz w:val="18"/>
                <w:szCs w:val="18"/>
              </w:rPr>
              <w:fldChar w:fldCharType="separate"/>
            </w:r>
            <w:r w:rsidRPr="001B446F">
              <w:rPr>
                <w:rFonts w:ascii="Arial Narrow" w:hAnsi="Arial Narrow"/>
                <w:i/>
                <w:sz w:val="18"/>
                <w:szCs w:val="18"/>
              </w:rPr>
              <w:fldChar w:fldCharType="end"/>
            </w:r>
            <w:r>
              <w:rPr>
                <w:rFonts w:ascii="Arial Narrow" w:hAnsi="Arial Narrow"/>
                <w:i/>
                <w:sz w:val="18"/>
                <w:szCs w:val="18"/>
              </w:rPr>
              <w:t xml:space="preserve"> </w:t>
            </w:r>
            <w:r w:rsidRPr="001B446F">
              <w:rPr>
                <w:rFonts w:ascii="Arial Narrow" w:hAnsi="Arial Narrow"/>
                <w:i/>
                <w:sz w:val="18"/>
                <w:szCs w:val="18"/>
              </w:rPr>
              <w:t>Authority Required – Telephone/Electronic/Emergency</w:t>
            </w:r>
          </w:p>
        </w:tc>
      </w:tr>
      <w:tr w:rsidR="00037D18" w:rsidRPr="001B446F" w:rsidTr="00037D18">
        <w:tc>
          <w:tcPr>
            <w:tcW w:w="5000" w:type="pct"/>
            <w:vAlign w:val="center"/>
            <w:hideMark/>
          </w:tcPr>
          <w:p w:rsidR="00037D18" w:rsidRPr="001B446F" w:rsidRDefault="00037D18" w:rsidP="00465B9F">
            <w:pPr>
              <w:keepNext/>
              <w:keepLines/>
              <w:rPr>
                <w:rFonts w:ascii="Arial Narrow" w:hAnsi="Arial Narrow"/>
                <w:i/>
                <w:color w:val="333333"/>
                <w:sz w:val="18"/>
                <w:szCs w:val="18"/>
              </w:rPr>
            </w:pPr>
            <w:r w:rsidRPr="001B446F">
              <w:rPr>
                <w:rFonts w:ascii="Arial Narrow" w:hAnsi="Arial Narrow"/>
                <w:b/>
                <w:bCs/>
                <w:i/>
                <w:color w:val="333333"/>
                <w:sz w:val="18"/>
                <w:szCs w:val="18"/>
              </w:rPr>
              <w:t>Indication:</w:t>
            </w:r>
            <w:r w:rsidRPr="001B446F">
              <w:rPr>
                <w:rFonts w:ascii="Arial Narrow" w:hAnsi="Arial Narrow"/>
                <w:i/>
                <w:color w:val="333333"/>
                <w:sz w:val="18"/>
                <w:szCs w:val="18"/>
              </w:rPr>
              <w:t xml:space="preserve"> Diabetic macular oedema (DMO)</w:t>
            </w:r>
          </w:p>
        </w:tc>
      </w:tr>
      <w:tr w:rsidR="00037D18" w:rsidRPr="001B446F" w:rsidTr="00037D18">
        <w:tc>
          <w:tcPr>
            <w:tcW w:w="5000" w:type="pct"/>
            <w:vAlign w:val="center"/>
            <w:hideMark/>
          </w:tcPr>
          <w:p w:rsidR="00037D18" w:rsidRPr="001B446F" w:rsidRDefault="00037D18" w:rsidP="00465B9F">
            <w:pPr>
              <w:keepNext/>
              <w:keepLines/>
              <w:rPr>
                <w:rFonts w:ascii="Arial Narrow" w:hAnsi="Arial Narrow"/>
                <w:i/>
                <w:color w:val="333333"/>
                <w:sz w:val="18"/>
                <w:szCs w:val="18"/>
              </w:rPr>
            </w:pPr>
            <w:r w:rsidRPr="001B446F">
              <w:rPr>
                <w:rFonts w:ascii="Arial Narrow" w:hAnsi="Arial Narrow"/>
                <w:b/>
                <w:bCs/>
                <w:i/>
                <w:color w:val="333333"/>
                <w:sz w:val="18"/>
                <w:szCs w:val="18"/>
              </w:rPr>
              <w:t>Treatment Phase:</w:t>
            </w:r>
            <w:r w:rsidRPr="001B446F">
              <w:rPr>
                <w:rFonts w:ascii="Arial Narrow" w:hAnsi="Arial Narrow"/>
                <w:i/>
                <w:color w:val="333333"/>
                <w:sz w:val="18"/>
                <w:szCs w:val="18"/>
              </w:rPr>
              <w:t xml:space="preserve"> Continuing treatment</w:t>
            </w:r>
          </w:p>
        </w:tc>
      </w:tr>
      <w:tr w:rsidR="00037D18" w:rsidRPr="001B446F" w:rsidTr="00037D18">
        <w:tc>
          <w:tcPr>
            <w:tcW w:w="5000" w:type="pct"/>
            <w:vAlign w:val="center"/>
            <w:hideMark/>
          </w:tcPr>
          <w:p w:rsidR="00037D18" w:rsidRPr="001B446F" w:rsidRDefault="00037D18" w:rsidP="00465B9F">
            <w:pPr>
              <w:keepNext/>
              <w:keepLines/>
              <w:rPr>
                <w:rFonts w:ascii="Arial Narrow" w:hAnsi="Arial Narrow"/>
                <w:i/>
                <w:color w:val="333333"/>
                <w:sz w:val="18"/>
                <w:szCs w:val="18"/>
              </w:rPr>
            </w:pPr>
            <w:r w:rsidRPr="001B446F">
              <w:rPr>
                <w:rFonts w:ascii="Arial Narrow" w:hAnsi="Arial Narrow"/>
                <w:b/>
                <w:bCs/>
                <w:i/>
                <w:color w:val="333333"/>
                <w:sz w:val="18"/>
                <w:szCs w:val="18"/>
              </w:rPr>
              <w:t>Treatment criteria:</w:t>
            </w:r>
          </w:p>
        </w:tc>
      </w:tr>
      <w:tr w:rsidR="00037D18" w:rsidRPr="001B446F" w:rsidTr="00037D18">
        <w:tc>
          <w:tcPr>
            <w:tcW w:w="5000" w:type="pct"/>
            <w:vAlign w:val="center"/>
            <w:hideMark/>
          </w:tcPr>
          <w:p w:rsidR="00037D18" w:rsidRPr="001B446F" w:rsidRDefault="00037D18" w:rsidP="00465B9F">
            <w:pPr>
              <w:keepNext/>
              <w:keepLines/>
              <w:rPr>
                <w:rFonts w:ascii="Arial Narrow" w:hAnsi="Arial Narrow"/>
                <w:i/>
                <w:color w:val="333333"/>
                <w:sz w:val="18"/>
                <w:szCs w:val="18"/>
              </w:rPr>
            </w:pPr>
            <w:r w:rsidRPr="001B446F">
              <w:rPr>
                <w:rFonts w:ascii="Arial Narrow" w:hAnsi="Arial Narrow"/>
                <w:i/>
                <w:color w:val="333333"/>
                <w:sz w:val="18"/>
                <w:szCs w:val="18"/>
              </w:rPr>
              <w:t>Must be treated by an ophthalmologist or in consultation with an ophthalmologist</w:t>
            </w:r>
          </w:p>
        </w:tc>
      </w:tr>
      <w:tr w:rsidR="00037D18" w:rsidRPr="001B446F" w:rsidTr="00037D18">
        <w:tc>
          <w:tcPr>
            <w:tcW w:w="5000" w:type="pct"/>
            <w:vAlign w:val="center"/>
            <w:hideMark/>
          </w:tcPr>
          <w:p w:rsidR="00037D18" w:rsidRPr="001B446F" w:rsidRDefault="00037D18" w:rsidP="00465B9F">
            <w:pPr>
              <w:keepNext/>
              <w:keepLines/>
              <w:rPr>
                <w:rFonts w:ascii="Arial Narrow" w:hAnsi="Arial Narrow"/>
                <w:i/>
                <w:color w:val="333333"/>
                <w:sz w:val="18"/>
                <w:szCs w:val="18"/>
              </w:rPr>
            </w:pPr>
            <w:r w:rsidRPr="001B446F">
              <w:rPr>
                <w:rFonts w:ascii="Arial Narrow" w:hAnsi="Arial Narrow"/>
                <w:b/>
                <w:bCs/>
                <w:i/>
                <w:color w:val="333333"/>
                <w:sz w:val="18"/>
                <w:szCs w:val="18"/>
              </w:rPr>
              <w:t>AND</w:t>
            </w:r>
          </w:p>
        </w:tc>
      </w:tr>
      <w:tr w:rsidR="00037D18" w:rsidRPr="001B446F" w:rsidTr="00037D18">
        <w:tc>
          <w:tcPr>
            <w:tcW w:w="5000" w:type="pct"/>
            <w:vAlign w:val="center"/>
            <w:hideMark/>
          </w:tcPr>
          <w:p w:rsidR="00037D18" w:rsidRPr="001B446F" w:rsidRDefault="00037D18" w:rsidP="00465B9F">
            <w:pPr>
              <w:keepNext/>
              <w:keepLines/>
              <w:rPr>
                <w:rFonts w:ascii="Arial Narrow" w:hAnsi="Arial Narrow"/>
                <w:i/>
                <w:color w:val="333333"/>
                <w:sz w:val="18"/>
                <w:szCs w:val="18"/>
              </w:rPr>
            </w:pPr>
            <w:r w:rsidRPr="001B446F">
              <w:rPr>
                <w:rFonts w:ascii="Arial Narrow" w:hAnsi="Arial Narrow"/>
                <w:b/>
                <w:bCs/>
                <w:i/>
                <w:color w:val="333333"/>
                <w:sz w:val="18"/>
                <w:szCs w:val="18"/>
              </w:rPr>
              <w:t>Clinical criteria:</w:t>
            </w:r>
          </w:p>
        </w:tc>
      </w:tr>
      <w:tr w:rsidR="00037D18" w:rsidRPr="001B446F" w:rsidTr="00037D18">
        <w:tc>
          <w:tcPr>
            <w:tcW w:w="5000" w:type="pct"/>
            <w:vAlign w:val="center"/>
            <w:hideMark/>
          </w:tcPr>
          <w:p w:rsidR="00037D18" w:rsidRPr="001B446F" w:rsidRDefault="00037D18" w:rsidP="00465B9F">
            <w:pPr>
              <w:keepNext/>
              <w:keepLines/>
              <w:rPr>
                <w:rFonts w:ascii="Arial Narrow" w:hAnsi="Arial Narrow"/>
                <w:i/>
                <w:color w:val="333333"/>
                <w:sz w:val="18"/>
                <w:szCs w:val="18"/>
              </w:rPr>
            </w:pPr>
            <w:r w:rsidRPr="001B446F">
              <w:rPr>
                <w:rFonts w:ascii="Arial Narrow" w:hAnsi="Arial Narrow"/>
                <w:i/>
                <w:color w:val="333333"/>
                <w:sz w:val="18"/>
                <w:szCs w:val="18"/>
              </w:rPr>
              <w:t>Patient must have previously been issued with an authority prescription for this drug for the same eye</w:t>
            </w:r>
          </w:p>
        </w:tc>
      </w:tr>
      <w:tr w:rsidR="00037D18" w:rsidRPr="001B446F" w:rsidTr="00037D18">
        <w:tc>
          <w:tcPr>
            <w:tcW w:w="5000" w:type="pct"/>
            <w:vAlign w:val="center"/>
          </w:tcPr>
          <w:p w:rsidR="00037D18" w:rsidRPr="001B446F" w:rsidRDefault="00037D18" w:rsidP="00465B9F">
            <w:pPr>
              <w:keepNext/>
              <w:keepLines/>
              <w:rPr>
                <w:rFonts w:ascii="Arial Narrow" w:hAnsi="Arial Narrow"/>
                <w:b/>
                <w:bCs/>
                <w:i/>
                <w:color w:val="333333"/>
                <w:sz w:val="18"/>
                <w:szCs w:val="18"/>
              </w:rPr>
            </w:pPr>
            <w:r w:rsidRPr="001B446F">
              <w:rPr>
                <w:rFonts w:ascii="Arial Narrow" w:hAnsi="Arial Narrow"/>
                <w:b/>
                <w:bCs/>
                <w:i/>
                <w:color w:val="333333"/>
                <w:sz w:val="18"/>
                <w:szCs w:val="18"/>
              </w:rPr>
              <w:t>Prescribing Instructions:</w:t>
            </w:r>
          </w:p>
          <w:p w:rsidR="00037D18" w:rsidRPr="001B446F" w:rsidRDefault="00037D18" w:rsidP="00465B9F">
            <w:pPr>
              <w:keepNext/>
              <w:keepLines/>
              <w:rPr>
                <w:rFonts w:ascii="Arial Narrow" w:hAnsi="Arial Narrow"/>
                <w:i/>
                <w:color w:val="333333"/>
                <w:sz w:val="18"/>
                <w:szCs w:val="18"/>
              </w:rPr>
            </w:pPr>
            <w:r w:rsidRPr="001B446F">
              <w:rPr>
                <w:rFonts w:ascii="Arial Narrow" w:hAnsi="Arial Narrow"/>
                <w:i/>
                <w:color w:val="333333"/>
                <w:sz w:val="18"/>
                <w:szCs w:val="18"/>
              </w:rPr>
              <w:t xml:space="preserve">The treatment </w:t>
            </w:r>
            <w:proofErr w:type="gramStart"/>
            <w:r w:rsidRPr="001B446F">
              <w:rPr>
                <w:rFonts w:ascii="Arial Narrow" w:hAnsi="Arial Narrow"/>
                <w:i/>
                <w:color w:val="333333"/>
                <w:sz w:val="18"/>
                <w:szCs w:val="18"/>
              </w:rPr>
              <w:t>must not be administered</w:t>
            </w:r>
            <w:proofErr w:type="gramEnd"/>
            <w:r w:rsidRPr="001B446F">
              <w:rPr>
                <w:rFonts w:ascii="Arial Narrow" w:hAnsi="Arial Narrow"/>
                <w:i/>
                <w:color w:val="333333"/>
                <w:sz w:val="18"/>
                <w:szCs w:val="18"/>
              </w:rPr>
              <w:t xml:space="preserve"> within 30 months from the start of a previous course of treatment.</w:t>
            </w:r>
          </w:p>
        </w:tc>
      </w:tr>
      <w:tr w:rsidR="00037D18" w:rsidRPr="001B446F" w:rsidTr="00037D18">
        <w:tc>
          <w:tcPr>
            <w:tcW w:w="5000" w:type="pct"/>
            <w:vAlign w:val="center"/>
            <w:hideMark/>
          </w:tcPr>
          <w:p w:rsidR="00037D18" w:rsidRPr="001B446F" w:rsidRDefault="00037D18" w:rsidP="00465B9F">
            <w:pPr>
              <w:keepNext/>
              <w:keepLines/>
              <w:rPr>
                <w:rFonts w:ascii="Arial Narrow" w:hAnsi="Arial Narrow"/>
                <w:i/>
                <w:color w:val="333333"/>
                <w:sz w:val="18"/>
                <w:szCs w:val="18"/>
              </w:rPr>
            </w:pPr>
            <w:r w:rsidRPr="001B446F">
              <w:rPr>
                <w:rFonts w:ascii="Arial Narrow" w:hAnsi="Arial Narrow"/>
                <w:b/>
                <w:bCs/>
                <w:i/>
                <w:color w:val="333333"/>
                <w:sz w:val="18"/>
                <w:szCs w:val="18"/>
              </w:rPr>
              <w:t>Administrative Advice:</w:t>
            </w:r>
          </w:p>
          <w:p w:rsidR="00037D18" w:rsidRPr="001B446F" w:rsidRDefault="00037D18" w:rsidP="00465B9F">
            <w:pPr>
              <w:keepNext/>
              <w:keepLines/>
              <w:rPr>
                <w:rFonts w:ascii="Arial Narrow" w:hAnsi="Arial Narrow"/>
                <w:i/>
                <w:color w:val="333333"/>
                <w:sz w:val="18"/>
                <w:szCs w:val="18"/>
              </w:rPr>
            </w:pPr>
            <w:r w:rsidRPr="001B446F">
              <w:rPr>
                <w:rFonts w:ascii="Arial Narrow" w:hAnsi="Arial Narrow"/>
                <w:i/>
                <w:color w:val="333333"/>
                <w:sz w:val="18"/>
                <w:szCs w:val="18"/>
              </w:rPr>
              <w:t>Authority applications for continuing treatment in the same eye may be made by telephone on 1800 700 270 (hours of operation 8 a.m. to 5 p.m. EST Monday to Friday).</w:t>
            </w:r>
          </w:p>
        </w:tc>
      </w:tr>
      <w:tr w:rsidR="00037D18" w:rsidRPr="001B446F" w:rsidTr="00037D18">
        <w:tc>
          <w:tcPr>
            <w:tcW w:w="5000" w:type="pct"/>
            <w:vAlign w:val="center"/>
            <w:hideMark/>
          </w:tcPr>
          <w:p w:rsidR="00037D18" w:rsidRPr="001B446F" w:rsidRDefault="00037D18" w:rsidP="00465B9F">
            <w:pPr>
              <w:keepNext/>
              <w:keepLines/>
              <w:rPr>
                <w:rFonts w:ascii="Arial Narrow" w:hAnsi="Arial Narrow"/>
                <w:i/>
                <w:color w:val="333333"/>
                <w:sz w:val="18"/>
                <w:szCs w:val="18"/>
              </w:rPr>
            </w:pPr>
            <w:r w:rsidRPr="001B446F">
              <w:rPr>
                <w:rFonts w:ascii="Arial Narrow" w:hAnsi="Arial Narrow"/>
                <w:b/>
                <w:bCs/>
                <w:i/>
                <w:color w:val="333333"/>
                <w:sz w:val="18"/>
                <w:szCs w:val="18"/>
              </w:rPr>
              <w:t>Administrative Advice:</w:t>
            </w:r>
            <w:r w:rsidRPr="001B446F">
              <w:rPr>
                <w:rFonts w:ascii="Arial Narrow" w:hAnsi="Arial Narrow"/>
                <w:i/>
                <w:color w:val="333333"/>
                <w:sz w:val="18"/>
                <w:szCs w:val="18"/>
              </w:rPr>
              <w:t xml:space="preserve"> Special Pricing Arrangements apply.</w:t>
            </w:r>
          </w:p>
        </w:tc>
      </w:tr>
    </w:tbl>
    <w:p w:rsidR="00465B9F" w:rsidRPr="001B446F" w:rsidRDefault="00465B9F" w:rsidP="004B1CB4"/>
    <w:p w:rsidR="00272E08" w:rsidRPr="001B446F" w:rsidRDefault="00272E08" w:rsidP="00733235">
      <w:pPr>
        <w:pStyle w:val="3-BodyText"/>
      </w:pPr>
      <w:r w:rsidRPr="001B446F">
        <w:t xml:space="preserve">The ESC noted </w:t>
      </w:r>
      <w:r w:rsidR="00733235" w:rsidRPr="001B446F">
        <w:t xml:space="preserve">the restriction did not require patients to have been previously </w:t>
      </w:r>
      <w:proofErr w:type="gramStart"/>
      <w:r w:rsidR="00733235" w:rsidRPr="001B446F">
        <w:t>treated</w:t>
      </w:r>
      <w:proofErr w:type="gramEnd"/>
      <w:r w:rsidR="00733235" w:rsidRPr="001B446F">
        <w:t xml:space="preserve"> with a CS and considered </w:t>
      </w:r>
      <w:r w:rsidRPr="001B446F">
        <w:t>this would mean that a broader population was proposed for PBS listing than the TGA registration.</w:t>
      </w:r>
    </w:p>
    <w:p w:rsidR="00C332CD" w:rsidRPr="001B446F" w:rsidRDefault="00B01B1A" w:rsidP="00982176">
      <w:pPr>
        <w:pStyle w:val="3-BodyText"/>
      </w:pPr>
      <w:r w:rsidRPr="001B446F">
        <w:t>I</w:t>
      </w:r>
      <w:r w:rsidR="00CF1F17" w:rsidRPr="001B446F">
        <w:t xml:space="preserve">n contrast to </w:t>
      </w:r>
      <w:r w:rsidR="00BE6C1B" w:rsidRPr="001B446F">
        <w:t>DEX</w:t>
      </w:r>
      <w:r w:rsidR="00F5431B" w:rsidRPr="001B446F">
        <w:t xml:space="preserve"> and the VEGF inhibitors</w:t>
      </w:r>
      <w:r w:rsidR="00622937" w:rsidRPr="001B446F">
        <w:t xml:space="preserve"> </w:t>
      </w:r>
      <w:r w:rsidR="00CF1F17" w:rsidRPr="001B446F">
        <w:t>t</w:t>
      </w:r>
      <w:r w:rsidR="00597D1B" w:rsidRPr="001B446F">
        <w:t xml:space="preserve">he proposed PBS listing </w:t>
      </w:r>
      <w:r w:rsidR="009D333A" w:rsidRPr="001B446F">
        <w:t>d</w:t>
      </w:r>
      <w:r w:rsidR="005B784A" w:rsidRPr="001B446F">
        <w:t>id</w:t>
      </w:r>
      <w:r w:rsidR="009D333A" w:rsidRPr="001B446F">
        <w:t xml:space="preserve"> not specify that treatment must be monotherapy</w:t>
      </w:r>
      <w:r w:rsidR="000276B4" w:rsidRPr="001B446F">
        <w:t xml:space="preserve"> (or </w:t>
      </w:r>
      <w:r w:rsidR="00CF1F17" w:rsidRPr="001B446F">
        <w:t>in combination with laser photocoagulation</w:t>
      </w:r>
      <w:r w:rsidR="000276B4" w:rsidRPr="001B446F">
        <w:t>)</w:t>
      </w:r>
      <w:r w:rsidR="007A5F9B" w:rsidRPr="001B446F">
        <w:t>, and</w:t>
      </w:r>
      <w:r w:rsidR="00CF1F17" w:rsidRPr="001B446F">
        <w:t xml:space="preserve"> the treatment must be the sole PBS-listed therapy for the condition</w:t>
      </w:r>
      <w:r w:rsidR="005B784A" w:rsidRPr="001B446F">
        <w:t>.</w:t>
      </w:r>
      <w:r w:rsidR="00982176" w:rsidRPr="001B446F">
        <w:t xml:space="preserve"> This would allow concomitant treatment with other </w:t>
      </w:r>
      <w:r w:rsidR="00FE5522" w:rsidRPr="001B446F">
        <w:t xml:space="preserve">PBS-listed </w:t>
      </w:r>
      <w:r w:rsidR="00982176" w:rsidRPr="001B446F">
        <w:t xml:space="preserve">DMO therapies. The </w:t>
      </w:r>
      <w:r w:rsidR="00FA004D" w:rsidRPr="001B446F">
        <w:t xml:space="preserve">PBAC </w:t>
      </w:r>
      <w:r w:rsidR="00FE5522" w:rsidRPr="001B446F">
        <w:t xml:space="preserve">agreed with the </w:t>
      </w:r>
      <w:r w:rsidR="00982176" w:rsidRPr="001B446F">
        <w:t xml:space="preserve">PSCR </w:t>
      </w:r>
      <w:r w:rsidR="00FE5522" w:rsidRPr="001B446F">
        <w:t xml:space="preserve">that </w:t>
      </w:r>
      <w:r w:rsidR="00982176" w:rsidRPr="001B446F">
        <w:t xml:space="preserve">it </w:t>
      </w:r>
      <w:r w:rsidR="00FE5522" w:rsidRPr="001B446F">
        <w:t xml:space="preserve">would </w:t>
      </w:r>
      <w:r w:rsidR="00982176" w:rsidRPr="001B446F">
        <w:t xml:space="preserve">not </w:t>
      </w:r>
      <w:r w:rsidR="00FE5522" w:rsidRPr="001B446F">
        <w:t xml:space="preserve">be </w:t>
      </w:r>
      <w:r w:rsidR="00982176" w:rsidRPr="001B446F">
        <w:t xml:space="preserve">clinically appropriate to preclude patients from receiving concomitant therapies for the entire three-year duration of FA. </w:t>
      </w:r>
    </w:p>
    <w:p w:rsidR="00C332CD" w:rsidRPr="001B446F" w:rsidRDefault="00EB0885" w:rsidP="00953437">
      <w:pPr>
        <w:pStyle w:val="3-BodyText"/>
        <w:ind w:left="709"/>
      </w:pPr>
      <w:r w:rsidRPr="001B446F">
        <w:t>The</w:t>
      </w:r>
      <w:r w:rsidR="005D6A46" w:rsidRPr="001B446F">
        <w:t xml:space="preserve"> </w:t>
      </w:r>
      <w:r w:rsidR="00ED3011" w:rsidRPr="001B446F">
        <w:t>Prescribing Instruction</w:t>
      </w:r>
      <w:r w:rsidR="005D6A46" w:rsidRPr="001B446F">
        <w:t xml:space="preserve"> that ‘</w:t>
      </w:r>
      <w:r w:rsidR="00250828" w:rsidRPr="001B446F">
        <w:t>r</w:t>
      </w:r>
      <w:r w:rsidRPr="001B446F">
        <w:t xml:space="preserve">epeat </w:t>
      </w:r>
      <w:r w:rsidR="00250828" w:rsidRPr="001B446F">
        <w:t>a</w:t>
      </w:r>
      <w:r w:rsidRPr="001B446F">
        <w:t>uthorities for the same eye will not be authorised within 30 months of initial script</w:t>
      </w:r>
      <w:r w:rsidR="005D6A46" w:rsidRPr="001B446F">
        <w:t>’</w:t>
      </w:r>
      <w:r w:rsidRPr="001B446F">
        <w:t xml:space="preserve"> </w:t>
      </w:r>
      <w:r w:rsidR="005D6A46" w:rsidRPr="001B446F">
        <w:t xml:space="preserve">is </w:t>
      </w:r>
      <w:r w:rsidR="000A21B6" w:rsidRPr="001B446F">
        <w:t>not consistent with the Product Information</w:t>
      </w:r>
      <w:r w:rsidR="00077D5A" w:rsidRPr="001B446F">
        <w:t>,</w:t>
      </w:r>
      <w:r w:rsidR="000A21B6" w:rsidRPr="001B446F">
        <w:t xml:space="preserve"> which allows for </w:t>
      </w:r>
      <w:r w:rsidR="00222C47" w:rsidRPr="001B446F">
        <w:t>re</w:t>
      </w:r>
      <w:r w:rsidR="000A21B6" w:rsidRPr="001B446F">
        <w:t>treatment after 12 months</w:t>
      </w:r>
      <w:r w:rsidR="00D76566" w:rsidRPr="001B446F">
        <w:t>.</w:t>
      </w:r>
      <w:r w:rsidR="00593B14" w:rsidRPr="001B446F">
        <w:t xml:space="preserve"> The ESC </w:t>
      </w:r>
      <w:r w:rsidR="00580582" w:rsidRPr="001B446F">
        <w:t>considered that</w:t>
      </w:r>
      <w:r w:rsidR="00B01B1A" w:rsidRPr="001B446F">
        <w:t xml:space="preserve"> </w:t>
      </w:r>
      <w:r w:rsidR="00593B14" w:rsidRPr="001B446F">
        <w:t>retreatment should not occur within 36 months</w:t>
      </w:r>
      <w:r w:rsidR="00580582" w:rsidRPr="001B446F">
        <w:t xml:space="preserve"> and </w:t>
      </w:r>
      <w:r w:rsidR="00CD0D68" w:rsidRPr="001B446F">
        <w:rPr>
          <w:bCs/>
          <w:iCs/>
        </w:rPr>
        <w:t xml:space="preserve">this </w:t>
      </w:r>
      <w:proofErr w:type="gramStart"/>
      <w:r w:rsidR="00CD0D68" w:rsidRPr="001B446F">
        <w:rPr>
          <w:bCs/>
          <w:iCs/>
        </w:rPr>
        <w:t>should be stipulated</w:t>
      </w:r>
      <w:proofErr w:type="gramEnd"/>
      <w:r w:rsidR="00CD0D68" w:rsidRPr="001B446F">
        <w:rPr>
          <w:bCs/>
          <w:iCs/>
        </w:rPr>
        <w:t xml:space="preserve"> within the restriction</w:t>
      </w:r>
      <w:r w:rsidR="00593B14" w:rsidRPr="001B446F">
        <w:t>.</w:t>
      </w:r>
      <w:r w:rsidR="00D76566" w:rsidRPr="001B446F">
        <w:t xml:space="preserve"> </w:t>
      </w:r>
    </w:p>
    <w:p w:rsidR="00FD2CA3" w:rsidRPr="001B446F" w:rsidRDefault="000276B4" w:rsidP="00C332CD">
      <w:pPr>
        <w:pStyle w:val="3-BodyText"/>
        <w:ind w:left="709"/>
      </w:pPr>
      <w:r w:rsidRPr="001B446F">
        <w:t>T</w:t>
      </w:r>
      <w:r w:rsidR="00FD2CA3" w:rsidRPr="001B446F">
        <w:t xml:space="preserve">he proposed </w:t>
      </w:r>
      <w:r w:rsidR="00F5431B" w:rsidRPr="001B446F">
        <w:t xml:space="preserve">initial </w:t>
      </w:r>
      <w:r w:rsidR="00FD2CA3" w:rsidRPr="001B446F">
        <w:t xml:space="preserve">listing </w:t>
      </w:r>
      <w:r w:rsidR="00F5431B" w:rsidRPr="001B446F">
        <w:t xml:space="preserve">criteria </w:t>
      </w:r>
      <w:r w:rsidR="00BB73B3" w:rsidRPr="001B446F">
        <w:t>required</w:t>
      </w:r>
      <w:r w:rsidRPr="001B446F">
        <w:t xml:space="preserve"> a </w:t>
      </w:r>
      <w:proofErr w:type="gramStart"/>
      <w:r w:rsidR="00FD2CA3" w:rsidRPr="001B446F">
        <w:t>best corrected</w:t>
      </w:r>
      <w:proofErr w:type="gramEnd"/>
      <w:r w:rsidR="00FD2CA3" w:rsidRPr="001B446F">
        <w:t xml:space="preserve"> visual acuity score (BCVA) </w:t>
      </w:r>
      <w:r w:rsidRPr="001B446F">
        <w:t xml:space="preserve">of between 78 and </w:t>
      </w:r>
      <w:r w:rsidR="00FD2CA3" w:rsidRPr="001B446F">
        <w:t>20</w:t>
      </w:r>
      <w:r w:rsidR="00BB73B3" w:rsidRPr="001B446F">
        <w:t>.</w:t>
      </w:r>
      <w:r w:rsidR="00FD2CA3" w:rsidRPr="001B446F">
        <w:t xml:space="preserve"> </w:t>
      </w:r>
      <w:r w:rsidR="00BB73B3" w:rsidRPr="001B446F">
        <w:t xml:space="preserve">The current DEX and VEGF </w:t>
      </w:r>
      <w:r w:rsidR="00C6055A" w:rsidRPr="001B446F">
        <w:t xml:space="preserve">inhibitor </w:t>
      </w:r>
      <w:r w:rsidR="00BB73B3" w:rsidRPr="001B446F">
        <w:t>criteria requires a BCVA of between 78 and 39 letters to access initial treatment.</w:t>
      </w:r>
      <w:r w:rsidR="00F5431B" w:rsidRPr="001B446F">
        <w:t xml:space="preserve"> L</w:t>
      </w:r>
      <w:r w:rsidR="00BB73B3" w:rsidRPr="001B446F">
        <w:t>owering the BCVA threshold for FA (</w:t>
      </w:r>
      <w:r w:rsidR="00F5431B" w:rsidRPr="001B446F">
        <w:t xml:space="preserve">to </w:t>
      </w:r>
      <w:r w:rsidR="00BB73B3" w:rsidRPr="001B446F">
        <w:t xml:space="preserve">20) </w:t>
      </w:r>
      <w:r w:rsidR="00CF4B7A" w:rsidRPr="001B446F">
        <w:t xml:space="preserve">would result in patients with </w:t>
      </w:r>
      <w:r w:rsidR="00710378" w:rsidRPr="001B446F">
        <w:t>poorer</w:t>
      </w:r>
      <w:r w:rsidR="00CF4B7A" w:rsidRPr="001B446F">
        <w:t xml:space="preserve"> visual acuity being eligible for treatment</w:t>
      </w:r>
      <w:r w:rsidR="00BB73B3" w:rsidRPr="001B446F">
        <w:t xml:space="preserve"> compared to the current listings</w:t>
      </w:r>
      <w:r w:rsidR="00CF4B7A" w:rsidRPr="001B446F">
        <w:t>.</w:t>
      </w:r>
      <w:r w:rsidR="00AC043A" w:rsidRPr="001B446F">
        <w:t xml:space="preserve"> </w:t>
      </w:r>
      <w:r w:rsidR="00BB7E55" w:rsidRPr="001B446F">
        <w:t xml:space="preserve">While the FAME study included patients with this degree of loss of visual acuity, the cost-effectiveness of treating patients with poorer visual acuity (BCVA 20-39 letters) </w:t>
      </w:r>
      <w:proofErr w:type="gramStart"/>
      <w:r w:rsidR="00BB7E55" w:rsidRPr="001B446F">
        <w:t>has not been demonstrated</w:t>
      </w:r>
      <w:proofErr w:type="gramEnd"/>
      <w:r w:rsidR="00BB7E55" w:rsidRPr="001B446F">
        <w:t xml:space="preserve">.  </w:t>
      </w:r>
      <w:r w:rsidR="005B784A" w:rsidRPr="001B446F">
        <w:t>T</w:t>
      </w:r>
      <w:r w:rsidR="00BB7E55" w:rsidRPr="001B446F">
        <w:t xml:space="preserve">he ESC </w:t>
      </w:r>
      <w:r w:rsidR="00580582" w:rsidRPr="001B446F">
        <w:t>note</w:t>
      </w:r>
      <w:r w:rsidR="00CD69CA">
        <w:t>d</w:t>
      </w:r>
      <w:r w:rsidR="00580582" w:rsidRPr="001B446F">
        <w:t xml:space="preserve"> that the additional patient population with BCVA </w:t>
      </w:r>
      <w:r w:rsidR="00422FD5" w:rsidRPr="001B446F">
        <w:t xml:space="preserve">20-39 </w:t>
      </w:r>
      <w:r w:rsidR="00580582" w:rsidRPr="001B446F">
        <w:t xml:space="preserve">letters </w:t>
      </w:r>
      <w:r w:rsidR="005B784A" w:rsidRPr="001B446F">
        <w:t>was l</w:t>
      </w:r>
      <w:r w:rsidR="00BB7E55" w:rsidRPr="001B446F">
        <w:t>ikely to be small</w:t>
      </w:r>
      <w:r w:rsidR="005B784A" w:rsidRPr="001B446F">
        <w:t xml:space="preserve">, </w:t>
      </w:r>
      <w:r w:rsidR="00BB7E55" w:rsidRPr="001B446F">
        <w:t>and</w:t>
      </w:r>
      <w:r w:rsidR="00F10642" w:rsidRPr="001B446F">
        <w:t xml:space="preserve"> that, on </w:t>
      </w:r>
      <w:r w:rsidR="00A46311" w:rsidRPr="001B446F">
        <w:t>balance</w:t>
      </w:r>
      <w:r w:rsidR="00F10642" w:rsidRPr="001B446F">
        <w:t>,</w:t>
      </w:r>
      <w:r w:rsidR="00BB7E55" w:rsidRPr="001B446F">
        <w:t xml:space="preserve"> the listing criteria was </w:t>
      </w:r>
      <w:proofErr w:type="gramStart"/>
      <w:r w:rsidR="00BB7E55" w:rsidRPr="001B446F">
        <w:t>not inappropriate</w:t>
      </w:r>
      <w:proofErr w:type="gramEnd"/>
      <w:r w:rsidR="00BB7E55" w:rsidRPr="001B446F">
        <w:t>.</w:t>
      </w:r>
    </w:p>
    <w:p w:rsidR="00E9403A" w:rsidRPr="001B446F" w:rsidRDefault="00F5431B" w:rsidP="00C332CD">
      <w:pPr>
        <w:pStyle w:val="3-BodyText"/>
        <w:ind w:left="709"/>
      </w:pPr>
      <w:r w:rsidRPr="001B446F">
        <w:lastRenderedPageBreak/>
        <w:t>Consistent with the DEX criteria, patients are required to have had a cataract removed in the treated eye (</w:t>
      </w:r>
      <w:r w:rsidR="002762E4" w:rsidRPr="001B446F">
        <w:t>i.e.</w:t>
      </w:r>
      <w:r w:rsidRPr="001B446F">
        <w:t xml:space="preserve"> have a </w:t>
      </w:r>
      <w:proofErr w:type="spellStart"/>
      <w:r w:rsidR="00E9403A" w:rsidRPr="001B446F">
        <w:t>pseudophakic</w:t>
      </w:r>
      <w:proofErr w:type="spellEnd"/>
      <w:r w:rsidR="00E9403A" w:rsidRPr="001B446F">
        <w:t xml:space="preserve"> lens</w:t>
      </w:r>
      <w:r w:rsidRPr="001B446F">
        <w:t>)</w:t>
      </w:r>
      <w:r w:rsidR="00E9403A" w:rsidRPr="001B446F">
        <w:t xml:space="preserve"> </w:t>
      </w:r>
      <w:r w:rsidRPr="001B446F">
        <w:t xml:space="preserve">or be </w:t>
      </w:r>
      <w:r w:rsidR="00E9403A" w:rsidRPr="001B446F">
        <w:t>scheduled for cataract surgery in the treated eye.</w:t>
      </w:r>
    </w:p>
    <w:p w:rsidR="000A6E9E" w:rsidRPr="001B446F" w:rsidRDefault="000A6E9E" w:rsidP="000A6E9E">
      <w:pPr>
        <w:pStyle w:val="3-BodyText"/>
      </w:pPr>
      <w:r w:rsidRPr="001B446F">
        <w:t xml:space="preserve">The submission did not request a special pricing arrangement (SPA) for FA but noted that DEX (the comparator) has a SPA. </w:t>
      </w:r>
    </w:p>
    <w:p w:rsidR="00061FFB" w:rsidRPr="001B446F" w:rsidRDefault="000A6E9E" w:rsidP="000A6E9E">
      <w:pPr>
        <w:pStyle w:val="3-BodyText"/>
        <w:numPr>
          <w:ilvl w:val="0"/>
          <w:numId w:val="0"/>
        </w:numPr>
        <w:ind w:left="720"/>
      </w:pPr>
      <w:r w:rsidRPr="001B446F">
        <w:rPr>
          <w:i/>
          <w:iCs/>
        </w:rPr>
        <w:t>For more detail on PBAC’s view, see section 7 PBAC outcome.</w:t>
      </w:r>
    </w:p>
    <w:p w:rsidR="00B50DB8" w:rsidRPr="001B446F" w:rsidRDefault="00203181" w:rsidP="004E18E9">
      <w:pPr>
        <w:pStyle w:val="2-SectionHeading"/>
      </w:pPr>
      <w:bookmarkStart w:id="8" w:name="_Toc30496453"/>
      <w:r w:rsidRPr="001B446F">
        <w:t xml:space="preserve">Population and </w:t>
      </w:r>
      <w:r w:rsidR="008E0D3C" w:rsidRPr="001B446F">
        <w:t>d</w:t>
      </w:r>
      <w:r w:rsidRPr="001B446F">
        <w:t>isease</w:t>
      </w:r>
      <w:bookmarkEnd w:id="8"/>
    </w:p>
    <w:p w:rsidR="00894489" w:rsidRPr="001B446F" w:rsidRDefault="00CB3465" w:rsidP="004E18E9">
      <w:pPr>
        <w:pStyle w:val="3-BodyText"/>
        <w:rPr>
          <w:color w:val="0066FF"/>
        </w:rPr>
      </w:pPr>
      <w:r w:rsidRPr="001B446F">
        <w:t>DMO</w:t>
      </w:r>
      <w:r w:rsidR="00EB0885" w:rsidRPr="001B446F">
        <w:t xml:space="preserve"> is a complication of </w:t>
      </w:r>
      <w:r w:rsidR="00C332CD" w:rsidRPr="001B446F">
        <w:t>d</w:t>
      </w:r>
      <w:r w:rsidR="00EB0885" w:rsidRPr="001B446F">
        <w:t xml:space="preserve">iabetes and occurs when leakage of fluid from small retinal blood vessels affects the macula leading to retinal thickening or hard exudates within one disc diameter of the </w:t>
      </w:r>
      <w:r w:rsidR="003E3669" w:rsidRPr="001B446F">
        <w:t>centre</w:t>
      </w:r>
      <w:r w:rsidR="00EB0885" w:rsidRPr="001B446F">
        <w:t xml:space="preserve"> of the macula. The pathophysiology of macular </w:t>
      </w:r>
      <w:r w:rsidR="007417C4" w:rsidRPr="001B446F">
        <w:t>oedema</w:t>
      </w:r>
      <w:r w:rsidR="00EB0885" w:rsidRPr="001B446F">
        <w:t xml:space="preserve"> is likely to be multifactorial. Contributing features may include increased leakage of fluid due to a break down in the blood retinal barrier, reduced osmotic pressure, increased intravascular fluid load, increased arterial perfusion pressure, tissue hypoxia and raised VEGF. Once </w:t>
      </w:r>
      <w:r w:rsidR="00E25904" w:rsidRPr="001B446F">
        <w:t>DMO</w:t>
      </w:r>
      <w:r w:rsidR="00EB0885" w:rsidRPr="001B446F">
        <w:t xml:space="preserve"> has developed, treatment </w:t>
      </w:r>
      <w:proofErr w:type="gramStart"/>
      <w:r w:rsidR="00EB0885" w:rsidRPr="001B446F">
        <w:t>is needed</w:t>
      </w:r>
      <w:proofErr w:type="gramEnd"/>
      <w:r w:rsidR="00EB0885" w:rsidRPr="001B446F">
        <w:t xml:space="preserve"> to stop/slow the progression of the disease and maintain visual acuity. Untreated, </w:t>
      </w:r>
      <w:r w:rsidR="00E25904" w:rsidRPr="001B446F">
        <w:t>DMO</w:t>
      </w:r>
      <w:r w:rsidR="00EB0885" w:rsidRPr="001B446F">
        <w:t xml:space="preserve"> causes blurring and distortion of central vision, measured as a reduction in</w:t>
      </w:r>
      <w:r w:rsidR="00CF1F17" w:rsidRPr="001B446F">
        <w:t xml:space="preserve"> </w:t>
      </w:r>
      <w:r w:rsidR="00EB0885" w:rsidRPr="001B446F">
        <w:t>BCVA measured according to the method used in the Early Treatment Diabetic Retinopathy Study (ETDRS).</w:t>
      </w:r>
    </w:p>
    <w:p w:rsidR="004C32AD" w:rsidRPr="001B446F" w:rsidRDefault="00477596" w:rsidP="004E18E9">
      <w:pPr>
        <w:pStyle w:val="3-BodyText"/>
      </w:pPr>
      <w:r w:rsidRPr="001B446F">
        <w:t>The VEGF inhibitors</w:t>
      </w:r>
      <w:r w:rsidR="004C32AD" w:rsidRPr="001B446F">
        <w:t xml:space="preserve"> </w:t>
      </w:r>
      <w:r w:rsidR="007424FB" w:rsidRPr="001B446F">
        <w:t xml:space="preserve">(aflibercept, ranibizumab, bevacizumab) </w:t>
      </w:r>
      <w:r w:rsidRPr="001B446F">
        <w:t>are considered first-line therapies for DMO with a ‘treat and extend’ approach generally</w:t>
      </w:r>
      <w:r w:rsidR="004C32AD" w:rsidRPr="001B446F">
        <w:t xml:space="preserve"> adopted</w:t>
      </w:r>
      <w:r w:rsidRPr="001B446F">
        <w:t xml:space="preserve"> (i.e. </w:t>
      </w:r>
      <w:r w:rsidR="004C32AD" w:rsidRPr="001B446F">
        <w:t>extending the time period between injections, based on response) (European Society of Retina Specialists, EURETINA</w:t>
      </w:r>
      <w:r w:rsidR="00E73876" w:rsidRPr="001B446F">
        <w:rPr>
          <w:rStyle w:val="FootnoteReference"/>
        </w:rPr>
        <w:footnoteReference w:id="1"/>
      </w:r>
      <w:r w:rsidR="004C32AD" w:rsidRPr="001B446F">
        <w:t>). Corticosteroid</w:t>
      </w:r>
      <w:r w:rsidR="00E37A1F" w:rsidRPr="001B446F">
        <w:t xml:space="preserve"> implant</w:t>
      </w:r>
      <w:r w:rsidR="004C32AD" w:rsidRPr="001B446F">
        <w:t>s are generally used as second-line treatments but may be appropriate as a first-line treatment option in patient</w:t>
      </w:r>
      <w:r w:rsidR="0075697E" w:rsidRPr="001B446F">
        <w:t>s</w:t>
      </w:r>
      <w:r w:rsidR="004C32AD" w:rsidRPr="001B446F">
        <w:t xml:space="preserve"> with a history of major cardiovascular events</w:t>
      </w:r>
      <w:r w:rsidR="000A6AD0" w:rsidRPr="001B446F">
        <w:t xml:space="preserve"> or in those patients for whom</w:t>
      </w:r>
      <w:r w:rsidR="0075697E" w:rsidRPr="001B446F">
        <w:t xml:space="preserve"> monthly injections</w:t>
      </w:r>
      <w:r w:rsidR="000A6AD0" w:rsidRPr="001B446F">
        <w:t xml:space="preserve"> are not possible</w:t>
      </w:r>
      <w:r w:rsidR="00E37A1F" w:rsidRPr="001B446F">
        <w:t>, noting that the ‘treat and extend’ approach can decrease th</w:t>
      </w:r>
      <w:r w:rsidR="00ED0F70" w:rsidRPr="001B446F">
        <w:t>is</w:t>
      </w:r>
      <w:r w:rsidR="00E37A1F" w:rsidRPr="001B446F">
        <w:t xml:space="preserve"> injection frequency</w:t>
      </w:r>
      <w:r w:rsidR="004C32AD" w:rsidRPr="001B446F">
        <w:t xml:space="preserve">. </w:t>
      </w:r>
      <w:r w:rsidR="00E73876" w:rsidRPr="001B446F">
        <w:t xml:space="preserve">Intraocular pressure (IOP) needs to be closely monitored in all patients and </w:t>
      </w:r>
      <w:proofErr w:type="spellStart"/>
      <w:r w:rsidR="00E73876" w:rsidRPr="001B446F">
        <w:t>p</w:t>
      </w:r>
      <w:r w:rsidR="004C32AD" w:rsidRPr="001B446F">
        <w:t>seudo</w:t>
      </w:r>
      <w:r w:rsidR="00D43B68" w:rsidRPr="001B446F">
        <w:t>phakic</w:t>
      </w:r>
      <w:proofErr w:type="spellEnd"/>
      <w:r w:rsidR="004C32AD" w:rsidRPr="001B446F">
        <w:t xml:space="preserve"> patients are preferred </w:t>
      </w:r>
      <w:r w:rsidR="0075697E" w:rsidRPr="001B446F">
        <w:t>for CS treatment due to the high risk of cataract surgery</w:t>
      </w:r>
      <w:r w:rsidR="00E73876" w:rsidRPr="001B446F">
        <w:rPr>
          <w:vertAlign w:val="superscript"/>
        </w:rPr>
        <w:t>1</w:t>
      </w:r>
      <w:r w:rsidR="0075697E" w:rsidRPr="001B446F">
        <w:t xml:space="preserve">. </w:t>
      </w:r>
    </w:p>
    <w:p w:rsidR="003E3669" w:rsidRPr="001B446F" w:rsidRDefault="00E37A1F" w:rsidP="003E3669">
      <w:pPr>
        <w:pStyle w:val="3-BodyText"/>
      </w:pPr>
      <w:r w:rsidRPr="001B446F">
        <w:t xml:space="preserve">The corticosteroid </w:t>
      </w:r>
      <w:r w:rsidR="00BE6C1B" w:rsidRPr="001B446F">
        <w:t>FA</w:t>
      </w:r>
      <w:r w:rsidR="002B7178" w:rsidRPr="001B446F">
        <w:t xml:space="preserve"> is a</w:t>
      </w:r>
      <w:r w:rsidR="00A85667" w:rsidRPr="001B446F">
        <w:t xml:space="preserve"> non-biodegradable </w:t>
      </w:r>
      <w:proofErr w:type="spellStart"/>
      <w:r w:rsidR="002B7178" w:rsidRPr="001B446F">
        <w:t>intr</w:t>
      </w:r>
      <w:r w:rsidR="006C5D78">
        <w:t>avitreal</w:t>
      </w:r>
      <w:proofErr w:type="spellEnd"/>
      <w:r w:rsidR="006C5D78">
        <w:t xml:space="preserve"> implant containing 190 </w:t>
      </w:r>
      <w:r w:rsidR="002B7178" w:rsidRPr="001B446F">
        <w:t xml:space="preserve">micrograms of </w:t>
      </w:r>
      <w:r w:rsidR="00BE6C1B" w:rsidRPr="001B446F">
        <w:t>FA</w:t>
      </w:r>
      <w:r w:rsidR="003E39E3" w:rsidRPr="001B446F">
        <w:t>,</w:t>
      </w:r>
      <w:r w:rsidR="002B7178" w:rsidRPr="001B446F">
        <w:t xml:space="preserve"> releasing approximately 0.2 micrograms/day for approximately 36 months.</w:t>
      </w:r>
      <w:r w:rsidR="00071771" w:rsidRPr="001B446F">
        <w:t xml:space="preserve"> Corticosteroids </w:t>
      </w:r>
      <w:r w:rsidR="005F5936" w:rsidRPr="001B446F">
        <w:t xml:space="preserve">inhibit a range of inflammatory responses </w:t>
      </w:r>
      <w:r w:rsidR="00F47545" w:rsidRPr="001B446F">
        <w:t xml:space="preserve">(including </w:t>
      </w:r>
      <w:r w:rsidR="007417C4" w:rsidRPr="001B446F">
        <w:t>oedema</w:t>
      </w:r>
      <w:r w:rsidR="00F47545" w:rsidRPr="001B446F">
        <w:t xml:space="preserve">) </w:t>
      </w:r>
      <w:r w:rsidR="005F5936" w:rsidRPr="001B446F">
        <w:t xml:space="preserve">and </w:t>
      </w:r>
      <w:proofErr w:type="gramStart"/>
      <w:r w:rsidR="005F5936" w:rsidRPr="001B446F">
        <w:t>have been shown</w:t>
      </w:r>
      <w:proofErr w:type="gramEnd"/>
      <w:r w:rsidR="005F5936" w:rsidRPr="001B446F">
        <w:t xml:space="preserve"> to reduce levels of VEGF (FA Product Information).</w:t>
      </w:r>
      <w:r w:rsidR="00EF2055" w:rsidRPr="001B446F">
        <w:t xml:space="preserve"> </w:t>
      </w:r>
    </w:p>
    <w:p w:rsidR="00BA6C15" w:rsidRPr="001B446F" w:rsidRDefault="00335BD3" w:rsidP="00D514DA">
      <w:pPr>
        <w:pStyle w:val="3-BodyText"/>
      </w:pPr>
      <w:r w:rsidRPr="001B446F">
        <w:t xml:space="preserve">The ESC noted that, as a non-biodegradable implant, removal was sometimes necessary and that </w:t>
      </w:r>
      <w:r w:rsidR="00BA6C15" w:rsidRPr="001B446F">
        <w:t>dissociation has been seen with FA implants in general</w:t>
      </w:r>
      <w:r w:rsidR="00260CA1" w:rsidRPr="001B446F">
        <w:t xml:space="preserve"> (</w:t>
      </w:r>
      <w:r w:rsidR="00B86BDB" w:rsidRPr="001B446F">
        <w:t>Nicholson et al</w:t>
      </w:r>
      <w:r w:rsidR="00BA6C15" w:rsidRPr="001B446F">
        <w:rPr>
          <w:rStyle w:val="FootnoteReference"/>
        </w:rPr>
        <w:footnoteReference w:id="2"/>
      </w:r>
      <w:r w:rsidR="00260CA1" w:rsidRPr="001B446F">
        <w:t>)</w:t>
      </w:r>
      <w:r w:rsidR="00BA6C15" w:rsidRPr="001B446F">
        <w:t xml:space="preserve"> and with </w:t>
      </w:r>
      <w:r w:rsidR="002F26A3" w:rsidRPr="001B446F">
        <w:t>ILUVIEN</w:t>
      </w:r>
      <w:r w:rsidR="00BA6C15" w:rsidRPr="001B446F">
        <w:t>®</w:t>
      </w:r>
      <w:r w:rsidR="002F26A3" w:rsidRPr="001B446F">
        <w:t xml:space="preserve"> in particular</w:t>
      </w:r>
      <w:r w:rsidR="00BA6C15" w:rsidRPr="001B446F">
        <w:t xml:space="preserve"> (post-marketing reports of device dislocation [implant migration]</w:t>
      </w:r>
      <w:r w:rsidR="00BA6C15" w:rsidRPr="001B446F">
        <w:rPr>
          <w:rStyle w:val="FootnoteReference"/>
        </w:rPr>
        <w:footnoteReference w:id="3"/>
      </w:r>
      <w:r w:rsidR="00BA6C15" w:rsidRPr="001B446F">
        <w:t>). P</w:t>
      </w:r>
      <w:r w:rsidR="00260CA1" w:rsidRPr="001B446F">
        <w:t xml:space="preserve">otential intra-ocular adverse events could arise </w:t>
      </w:r>
      <w:proofErr w:type="gramStart"/>
      <w:r w:rsidR="00260CA1" w:rsidRPr="001B446F">
        <w:t>as a result</w:t>
      </w:r>
      <w:proofErr w:type="gramEnd"/>
      <w:r w:rsidR="00260CA1" w:rsidRPr="001B446F">
        <w:t xml:space="preserve"> of </w:t>
      </w:r>
      <w:r w:rsidR="00260CA1" w:rsidRPr="001B446F">
        <w:lastRenderedPageBreak/>
        <w:t>th</w:t>
      </w:r>
      <w:r w:rsidR="00BA6C15" w:rsidRPr="001B446F">
        <w:t>e removal or attempted removal.</w:t>
      </w:r>
      <w:r w:rsidR="00CD69CA">
        <w:t xml:space="preserve"> The p</w:t>
      </w:r>
      <w:r w:rsidR="00D514DA" w:rsidRPr="001B446F">
        <w:t>re-PBAC response stated Nicholson et al referred to a different formulation of</w:t>
      </w:r>
      <w:r w:rsidR="00CD0D68" w:rsidRPr="001B446F">
        <w:t xml:space="preserve"> </w:t>
      </w:r>
      <w:proofErr w:type="spellStart"/>
      <w:r w:rsidR="00CD0D68" w:rsidRPr="001B446F">
        <w:t>fluocinolone</w:t>
      </w:r>
      <w:proofErr w:type="spellEnd"/>
      <w:r w:rsidR="00CD0D68" w:rsidRPr="001B446F">
        <w:t xml:space="preserve"> </w:t>
      </w:r>
      <w:proofErr w:type="spellStart"/>
      <w:r w:rsidR="00CD0D68" w:rsidRPr="001B446F">
        <w:t>acetonide</w:t>
      </w:r>
      <w:proofErr w:type="spellEnd"/>
      <w:r w:rsidR="00CD0D68" w:rsidRPr="001B446F">
        <w:t xml:space="preserve"> (</w:t>
      </w:r>
      <w:proofErr w:type="spellStart"/>
      <w:r w:rsidR="00CD0D68" w:rsidRPr="001B446F">
        <w:t>Retisert</w:t>
      </w:r>
      <w:proofErr w:type="spellEnd"/>
      <w:r w:rsidR="00EA5F61" w:rsidRPr="001B446F">
        <w:t>®</w:t>
      </w:r>
      <w:r w:rsidR="00D514DA" w:rsidRPr="001B446F">
        <w:t xml:space="preserve">). </w:t>
      </w:r>
      <w:proofErr w:type="spellStart"/>
      <w:r w:rsidR="00D514DA" w:rsidRPr="001B446F">
        <w:t>Retiser</w:t>
      </w:r>
      <w:r w:rsidR="004556DE" w:rsidRPr="001B446F">
        <w:t>t</w:t>
      </w:r>
      <w:proofErr w:type="spellEnd"/>
      <w:r w:rsidR="004556DE" w:rsidRPr="001B446F">
        <w:t xml:space="preserve"> </w:t>
      </w:r>
      <w:r w:rsidR="00D514DA" w:rsidRPr="001B446F">
        <w:t>implants (5</w:t>
      </w:r>
      <w:r w:rsidR="003E0334" w:rsidRPr="001B446F">
        <w:t xml:space="preserve"> </w:t>
      </w:r>
      <w:r w:rsidR="00D514DA" w:rsidRPr="001B446F">
        <w:t>mm x 3</w:t>
      </w:r>
      <w:r w:rsidR="003E0334" w:rsidRPr="001B446F">
        <w:t xml:space="preserve"> </w:t>
      </w:r>
      <w:r w:rsidR="00D514DA" w:rsidRPr="001B446F">
        <w:t>mm x 2</w:t>
      </w:r>
      <w:r w:rsidR="003E0334" w:rsidRPr="001B446F">
        <w:t xml:space="preserve"> </w:t>
      </w:r>
      <w:r w:rsidR="00D514DA" w:rsidRPr="001B446F">
        <w:t xml:space="preserve">mm) are considerably larger than </w:t>
      </w:r>
      <w:proofErr w:type="spellStart"/>
      <w:r w:rsidR="00D514DA" w:rsidRPr="001B446F">
        <w:t>Iluvien</w:t>
      </w:r>
      <w:proofErr w:type="spellEnd"/>
      <w:r w:rsidR="00D514DA" w:rsidRPr="001B446F">
        <w:t xml:space="preserve"> implants (3.5 mm long x 0.37 mm in diamet</w:t>
      </w:r>
      <w:r w:rsidR="003E0334" w:rsidRPr="001B446F">
        <w:t>er</w:t>
      </w:r>
      <w:r w:rsidR="00D514DA" w:rsidRPr="001B446F">
        <w:t xml:space="preserve">), and in vitro stability studies show that the strength of the adhesive bond between the silicone cup reservoir and the suture tab is reduced with prolonged hydration, indicating a potential for the separation of these components. </w:t>
      </w:r>
      <w:r w:rsidR="00B510FA" w:rsidRPr="001B446F">
        <w:t>The Sponsor stated</w:t>
      </w:r>
      <w:r w:rsidR="003E0334" w:rsidRPr="001B446F">
        <w:t xml:space="preserve"> that t</w:t>
      </w:r>
      <w:r w:rsidR="00D514DA" w:rsidRPr="001B446F">
        <w:t xml:space="preserve">his is not the case for </w:t>
      </w:r>
      <w:proofErr w:type="spellStart"/>
      <w:r w:rsidR="00D514DA" w:rsidRPr="001B446F">
        <w:t>Iluvien</w:t>
      </w:r>
      <w:proofErr w:type="spellEnd"/>
      <w:r w:rsidR="00D514DA" w:rsidRPr="001B446F">
        <w:t>.</w:t>
      </w:r>
    </w:p>
    <w:p w:rsidR="00B50DB8" w:rsidRPr="001B446F" w:rsidRDefault="00B50DB8" w:rsidP="004E18E9">
      <w:pPr>
        <w:pStyle w:val="2-SectionHeading"/>
      </w:pPr>
      <w:bookmarkStart w:id="9" w:name="_Toc30496454"/>
      <w:r w:rsidRPr="001B446F">
        <w:t>Comparator</w:t>
      </w:r>
      <w:bookmarkEnd w:id="9"/>
    </w:p>
    <w:p w:rsidR="008F624C" w:rsidRPr="001B446F" w:rsidRDefault="005A5847" w:rsidP="005D1CAD">
      <w:pPr>
        <w:pStyle w:val="3-BodyText"/>
        <w:rPr>
          <w:snapToGrid/>
          <w:color w:val="0066FF"/>
        </w:rPr>
      </w:pPr>
      <w:r w:rsidRPr="001B446F">
        <w:t>T</w:t>
      </w:r>
      <w:r w:rsidR="008F624C" w:rsidRPr="001B446F">
        <w:t xml:space="preserve">he submission nominated </w:t>
      </w:r>
      <w:proofErr w:type="gramStart"/>
      <w:r w:rsidR="008F624C" w:rsidRPr="001B446F">
        <w:t>DEX</w:t>
      </w:r>
      <w:proofErr w:type="gramEnd"/>
      <w:r w:rsidR="008F624C" w:rsidRPr="001B446F">
        <w:t xml:space="preserve"> </w:t>
      </w:r>
      <w:r w:rsidR="00620A53" w:rsidRPr="001B446F">
        <w:t xml:space="preserve">as </w:t>
      </w:r>
      <w:r w:rsidR="00F975E8" w:rsidRPr="001B446F">
        <w:t xml:space="preserve">it </w:t>
      </w:r>
      <w:r w:rsidR="001700ED" w:rsidRPr="001B446F">
        <w:t xml:space="preserve">is currently PBS listed for the treatment of DMO in patients who have a contraindication, have failed or are unsuitable for VEGF inhibitors. The ESC noted DEX was recommended on the basis that it had inferior effectiveness and safety compared to aflibercept and ranibizumab (paragraph 7.1, DEX </w:t>
      </w:r>
      <w:r w:rsidR="00CD69CA">
        <w:t>Public Summary Document (</w:t>
      </w:r>
      <w:r w:rsidR="001700ED" w:rsidRPr="001B446F">
        <w:t>PSD</w:t>
      </w:r>
      <w:r w:rsidR="00CD69CA">
        <w:t>)</w:t>
      </w:r>
      <w:r w:rsidR="001700ED" w:rsidRPr="001B446F">
        <w:t xml:space="preserve">, March 2016 PBAC meeting) and a lower price (compared to the VEGF inhibitors) was required </w:t>
      </w:r>
      <w:r w:rsidR="00C70021" w:rsidRPr="001B446F">
        <w:t xml:space="preserve">in view of this efficacy and safety </w:t>
      </w:r>
      <w:r w:rsidR="001700ED" w:rsidRPr="001B446F">
        <w:t xml:space="preserve">inferiority (paragraph 6.35, DEX PSD, March 2016 PBAC meeting).  </w:t>
      </w:r>
    </w:p>
    <w:p w:rsidR="00061FFB" w:rsidRPr="001B446F" w:rsidRDefault="00061FFB" w:rsidP="00061FFB">
      <w:pPr>
        <w:pStyle w:val="3-BodyText"/>
        <w:numPr>
          <w:ilvl w:val="0"/>
          <w:numId w:val="0"/>
        </w:numPr>
        <w:ind w:left="720"/>
        <w:rPr>
          <w:i/>
          <w:iCs/>
        </w:rPr>
      </w:pPr>
      <w:r w:rsidRPr="001B446F">
        <w:rPr>
          <w:i/>
          <w:iCs/>
        </w:rPr>
        <w:t>For more detail on PBAC’s view, see section 7 PBAC outcome.</w:t>
      </w:r>
    </w:p>
    <w:p w:rsidR="00223D5A" w:rsidRPr="001B446F" w:rsidRDefault="00223D5A" w:rsidP="00223D5A">
      <w:pPr>
        <w:pStyle w:val="2-SectionHeading"/>
      </w:pPr>
      <w:bookmarkStart w:id="10" w:name="_Toc30496455"/>
      <w:bookmarkStart w:id="11" w:name="_Toc22897640"/>
      <w:r w:rsidRPr="001B446F">
        <w:t>Consideration of the evidence</w:t>
      </w:r>
      <w:bookmarkEnd w:id="10"/>
    </w:p>
    <w:p w:rsidR="00AD5ABF" w:rsidRPr="001B446F" w:rsidRDefault="00AD5ABF" w:rsidP="002E4F02">
      <w:pPr>
        <w:pStyle w:val="4-SubsectionHeading"/>
      </w:pPr>
      <w:bookmarkStart w:id="12" w:name="_Toc30496456"/>
      <w:r w:rsidRPr="001B446F">
        <w:t>Sponsor hearing</w:t>
      </w:r>
    </w:p>
    <w:p w:rsidR="00AD5ABF" w:rsidRPr="001B446F" w:rsidRDefault="00AD5ABF" w:rsidP="00AD5ABF">
      <w:pPr>
        <w:pStyle w:val="3-BodyText"/>
      </w:pPr>
      <w:r w:rsidRPr="001B446F">
        <w:t>There was no hearing for this item.</w:t>
      </w:r>
    </w:p>
    <w:p w:rsidR="00AD5ABF" w:rsidRPr="001B446F" w:rsidRDefault="00AD5ABF" w:rsidP="00AD5ABF">
      <w:pPr>
        <w:pStyle w:val="4-SubsectionHeading"/>
      </w:pPr>
      <w:r w:rsidRPr="001B446F">
        <w:t>Consumer hearing</w:t>
      </w:r>
    </w:p>
    <w:p w:rsidR="00AD5ABF" w:rsidRPr="001B446F" w:rsidRDefault="00AD5ABF" w:rsidP="00AD5ABF">
      <w:pPr>
        <w:pStyle w:val="3-BodyText"/>
        <w:rPr>
          <w:color w:val="FF0000"/>
        </w:rPr>
      </w:pPr>
      <w:r w:rsidRPr="001B446F">
        <w:t xml:space="preserve">The PBAC noted that no consumer comments </w:t>
      </w:r>
      <w:proofErr w:type="gramStart"/>
      <w:r w:rsidRPr="001B446F">
        <w:t>were received</w:t>
      </w:r>
      <w:proofErr w:type="gramEnd"/>
      <w:r w:rsidRPr="001B446F">
        <w:t xml:space="preserve"> for this item</w:t>
      </w:r>
      <w:r w:rsidRPr="001B446F">
        <w:rPr>
          <w:color w:val="FF0000"/>
        </w:rPr>
        <w:t>.</w:t>
      </w:r>
    </w:p>
    <w:p w:rsidR="00B60939" w:rsidRPr="001B446F" w:rsidRDefault="00B60939" w:rsidP="002E4F02">
      <w:pPr>
        <w:pStyle w:val="4-SubsectionHeading"/>
      </w:pPr>
      <w:r w:rsidRPr="001B446F">
        <w:t>Clinical trials</w:t>
      </w:r>
      <w:bookmarkEnd w:id="11"/>
      <w:bookmarkEnd w:id="12"/>
    </w:p>
    <w:p w:rsidR="007F1017" w:rsidRPr="001B446F" w:rsidRDefault="001D72C0" w:rsidP="00F71329">
      <w:pPr>
        <w:pStyle w:val="3-BodyText"/>
        <w:rPr>
          <w:color w:val="0066FF"/>
        </w:rPr>
      </w:pPr>
      <w:r w:rsidRPr="001B446F">
        <w:t xml:space="preserve">No randomised controlled trials comparing FA implants with DEX implants </w:t>
      </w:r>
      <w:proofErr w:type="gramStart"/>
      <w:r w:rsidRPr="001B446F">
        <w:t>were identified</w:t>
      </w:r>
      <w:proofErr w:type="gramEnd"/>
      <w:r w:rsidR="00301C25" w:rsidRPr="001B446F">
        <w:t>. Therefore,</w:t>
      </w:r>
      <w:r w:rsidR="00E57C60" w:rsidRPr="001B446F">
        <w:t xml:space="preserve"> the submission </w:t>
      </w:r>
      <w:proofErr w:type="gramStart"/>
      <w:r w:rsidR="00E57C60" w:rsidRPr="001B446F">
        <w:t>was based</w:t>
      </w:r>
      <w:proofErr w:type="gramEnd"/>
      <w:r w:rsidR="00E57C60" w:rsidRPr="001B446F">
        <w:t xml:space="preserve"> on </w:t>
      </w:r>
      <w:r w:rsidR="00906B47" w:rsidRPr="001B446F">
        <w:t xml:space="preserve">an indirect comparison of </w:t>
      </w:r>
      <w:r w:rsidR="00E57C60" w:rsidRPr="001B446F">
        <w:t xml:space="preserve">four randomised trials: </w:t>
      </w:r>
      <w:r w:rsidR="00B7509D" w:rsidRPr="001B446F">
        <w:t xml:space="preserve">a pooled analysis of </w:t>
      </w:r>
      <w:r w:rsidR="00E57C60" w:rsidRPr="001B446F">
        <w:t xml:space="preserve">two identical trials comparing </w:t>
      </w:r>
      <w:r w:rsidR="00BE6C1B" w:rsidRPr="001B446F">
        <w:t>FA</w:t>
      </w:r>
      <w:r w:rsidR="00E57C60" w:rsidRPr="001B446F">
        <w:t xml:space="preserve"> to sham </w:t>
      </w:r>
      <w:r w:rsidR="00C27632" w:rsidRPr="001B446F">
        <w:t xml:space="preserve">injection </w:t>
      </w:r>
      <w:r w:rsidR="00E57C60" w:rsidRPr="001B446F">
        <w:t>(FAME-001a and FAME-001b) and</w:t>
      </w:r>
      <w:r w:rsidR="00B7509D" w:rsidRPr="001B446F">
        <w:t xml:space="preserve"> a pooled analysis of </w:t>
      </w:r>
      <w:r w:rsidR="00E57C60" w:rsidRPr="001B446F">
        <w:t xml:space="preserve">two identical trials comparing </w:t>
      </w:r>
      <w:r w:rsidR="00BE6C1B" w:rsidRPr="001B446F">
        <w:t>DEX</w:t>
      </w:r>
      <w:r w:rsidR="00E57C60" w:rsidRPr="001B446F">
        <w:t xml:space="preserve"> to sham</w:t>
      </w:r>
      <w:r w:rsidR="00C27632" w:rsidRPr="001B446F">
        <w:t xml:space="preserve"> injection</w:t>
      </w:r>
      <w:r w:rsidR="00E57C60" w:rsidRPr="001B446F">
        <w:t xml:space="preserve"> (MEAD-010 and MEAD-011). </w:t>
      </w:r>
    </w:p>
    <w:p w:rsidR="006A2991" w:rsidRPr="001B446F" w:rsidRDefault="00A73134" w:rsidP="006A2991">
      <w:pPr>
        <w:pStyle w:val="3-BodyText"/>
      </w:pPr>
      <w:r w:rsidRPr="001B446F">
        <w:rPr>
          <w:snapToGrid/>
        </w:rPr>
        <w:t xml:space="preserve">Details of the trials presented in the submission </w:t>
      </w:r>
      <w:proofErr w:type="gramStart"/>
      <w:r w:rsidRPr="001B446F">
        <w:rPr>
          <w:snapToGrid/>
        </w:rPr>
        <w:t>are provided</w:t>
      </w:r>
      <w:proofErr w:type="gramEnd"/>
      <w:r w:rsidRPr="001B446F">
        <w:rPr>
          <w:snapToGrid/>
        </w:rPr>
        <w:t xml:space="preserve"> in the</w:t>
      </w:r>
      <w:r w:rsidR="00EE737E" w:rsidRPr="001B446F">
        <w:rPr>
          <w:snapToGrid/>
        </w:rPr>
        <w:t xml:space="preserve"> T</w:t>
      </w:r>
      <w:r w:rsidRPr="001B446F">
        <w:rPr>
          <w:snapToGrid/>
        </w:rPr>
        <w:t xml:space="preserve">able </w:t>
      </w:r>
      <w:r w:rsidR="00EE737E" w:rsidRPr="001B446F">
        <w:rPr>
          <w:snapToGrid/>
        </w:rPr>
        <w:t>2</w:t>
      </w:r>
      <w:r w:rsidRPr="001B446F">
        <w:rPr>
          <w:snapToGrid/>
        </w:rPr>
        <w:t>.</w:t>
      </w:r>
      <w:r w:rsidR="00BC591F" w:rsidRPr="001B446F">
        <w:rPr>
          <w:snapToGrid/>
        </w:rPr>
        <w:t xml:space="preserve"> </w:t>
      </w:r>
    </w:p>
    <w:p w:rsidR="00EE737E" w:rsidRPr="001B446F" w:rsidRDefault="00EE737E" w:rsidP="00EE737E">
      <w:pPr>
        <w:pStyle w:val="TableFigureHeading"/>
        <w:keepLines/>
        <w:widowControl w:val="0"/>
      </w:pPr>
      <w:r w:rsidRPr="001B446F">
        <w:t xml:space="preserve">Table </w:t>
      </w:r>
      <w:proofErr w:type="gramStart"/>
      <w:r w:rsidRPr="001B446F">
        <w:t>2</w:t>
      </w:r>
      <w:proofErr w:type="gramEnd"/>
      <w:r w:rsidRPr="001B446F">
        <w:t xml:space="preserve"> </w:t>
      </w:r>
      <w:r w:rsidR="002A7A07" w:rsidRPr="001B446F">
        <w:t xml:space="preserve">Trials and associated reports presented in the </w:t>
      </w:r>
      <w:r w:rsidRPr="001B446F">
        <w:t>submission.</w:t>
      </w:r>
    </w:p>
    <w:tbl>
      <w:tblPr>
        <w:tblStyle w:val="TableGrid1"/>
        <w:tblW w:w="0" w:type="auto"/>
        <w:tblLook w:val="04A0" w:firstRow="1" w:lastRow="0" w:firstColumn="1" w:lastColumn="0" w:noHBand="0" w:noVBand="1"/>
        <w:tblCaption w:val="Table 2 Trials and associated reports presented in the submission."/>
      </w:tblPr>
      <w:tblGrid>
        <w:gridCol w:w="1413"/>
        <w:gridCol w:w="4111"/>
        <w:gridCol w:w="3492"/>
      </w:tblGrid>
      <w:tr w:rsidR="00EE737E" w:rsidRPr="001B446F" w:rsidTr="00112FEB">
        <w:trPr>
          <w:tblHeader/>
        </w:trPr>
        <w:tc>
          <w:tcPr>
            <w:tcW w:w="1413" w:type="dxa"/>
          </w:tcPr>
          <w:p w:rsidR="00EE737E" w:rsidRPr="001B446F" w:rsidRDefault="00EE737E" w:rsidP="00112FEB">
            <w:pPr>
              <w:rPr>
                <w:rFonts w:ascii="Arial Narrow" w:hAnsi="Arial Narrow"/>
                <w:b/>
                <w:sz w:val="20"/>
              </w:rPr>
            </w:pPr>
            <w:bookmarkStart w:id="13" w:name="_GoBack" w:colFirst="0" w:colLast="3"/>
            <w:r w:rsidRPr="001B446F">
              <w:rPr>
                <w:rFonts w:ascii="Arial Narrow" w:hAnsi="Arial Narrow"/>
                <w:b/>
                <w:sz w:val="20"/>
              </w:rPr>
              <w:t>Trial ID</w:t>
            </w:r>
          </w:p>
        </w:tc>
        <w:tc>
          <w:tcPr>
            <w:tcW w:w="4111" w:type="dxa"/>
          </w:tcPr>
          <w:p w:rsidR="00EE737E" w:rsidRPr="001B446F" w:rsidRDefault="00EE737E" w:rsidP="00112FEB">
            <w:pPr>
              <w:rPr>
                <w:rFonts w:ascii="Arial Narrow" w:hAnsi="Arial Narrow"/>
                <w:b/>
                <w:sz w:val="20"/>
              </w:rPr>
            </w:pPr>
            <w:r w:rsidRPr="001B446F">
              <w:rPr>
                <w:rFonts w:ascii="Arial Narrow" w:hAnsi="Arial Narrow"/>
                <w:b/>
                <w:sz w:val="20"/>
              </w:rPr>
              <w:t>Protocol title/ Publication title</w:t>
            </w:r>
          </w:p>
        </w:tc>
        <w:tc>
          <w:tcPr>
            <w:tcW w:w="3492" w:type="dxa"/>
          </w:tcPr>
          <w:p w:rsidR="00EE737E" w:rsidRPr="001B446F" w:rsidRDefault="00EE737E" w:rsidP="00112FEB">
            <w:pPr>
              <w:rPr>
                <w:rFonts w:ascii="Arial Narrow" w:hAnsi="Arial Narrow"/>
                <w:b/>
                <w:sz w:val="20"/>
              </w:rPr>
            </w:pPr>
            <w:r w:rsidRPr="001B446F">
              <w:rPr>
                <w:rFonts w:ascii="Arial Narrow" w:hAnsi="Arial Narrow"/>
                <w:b/>
                <w:sz w:val="20"/>
              </w:rPr>
              <w:t>Publication citation</w:t>
            </w:r>
          </w:p>
        </w:tc>
      </w:tr>
      <w:tr w:rsidR="00EE737E" w:rsidRPr="001B446F" w:rsidTr="00112FEB">
        <w:tc>
          <w:tcPr>
            <w:tcW w:w="1413" w:type="dxa"/>
            <w:vMerge w:val="restart"/>
          </w:tcPr>
          <w:p w:rsidR="00301C25" w:rsidRPr="001B446F" w:rsidRDefault="00EE737E" w:rsidP="00112FEB">
            <w:pPr>
              <w:rPr>
                <w:rFonts w:ascii="Arial Narrow" w:hAnsi="Arial Narrow"/>
                <w:sz w:val="20"/>
              </w:rPr>
            </w:pPr>
            <w:r w:rsidRPr="001B446F">
              <w:rPr>
                <w:rFonts w:ascii="Arial Narrow" w:hAnsi="Arial Narrow"/>
                <w:sz w:val="20"/>
              </w:rPr>
              <w:t>FAME 001a/</w:t>
            </w:r>
          </w:p>
          <w:p w:rsidR="00EE737E" w:rsidRPr="001B446F" w:rsidRDefault="00EE737E" w:rsidP="00112FEB">
            <w:pPr>
              <w:rPr>
                <w:rFonts w:ascii="Arial Narrow" w:hAnsi="Arial Narrow"/>
                <w:sz w:val="20"/>
              </w:rPr>
            </w:pPr>
            <w:r w:rsidRPr="001B446F">
              <w:rPr>
                <w:rFonts w:ascii="Arial Narrow" w:hAnsi="Arial Narrow"/>
                <w:sz w:val="20"/>
              </w:rPr>
              <w:t>FAME 001b</w:t>
            </w:r>
          </w:p>
        </w:tc>
        <w:tc>
          <w:tcPr>
            <w:tcW w:w="4111" w:type="dxa"/>
            <w:tcBorders>
              <w:left w:val="single" w:sz="4" w:space="0" w:color="auto"/>
              <w:bottom w:val="single" w:sz="4" w:space="0" w:color="auto"/>
            </w:tcBorders>
            <w:vAlign w:val="center"/>
          </w:tcPr>
          <w:p w:rsidR="00EE737E" w:rsidRPr="001B446F" w:rsidRDefault="00EE737E" w:rsidP="00112FEB">
            <w:pPr>
              <w:pStyle w:val="Table"/>
            </w:pPr>
            <w:proofErr w:type="spellStart"/>
            <w:r w:rsidRPr="001B446F">
              <w:t>Iluvien</w:t>
            </w:r>
            <w:proofErr w:type="spellEnd"/>
            <w:r w:rsidRPr="001B446F">
              <w:t>® (</w:t>
            </w:r>
            <w:proofErr w:type="spellStart"/>
            <w:r w:rsidRPr="001B446F">
              <w:t>fluocinolone</w:t>
            </w:r>
            <w:proofErr w:type="spellEnd"/>
            <w:r w:rsidRPr="001B446F">
              <w:t xml:space="preserve"> </w:t>
            </w:r>
            <w:proofErr w:type="spellStart"/>
            <w:r w:rsidRPr="001B446F">
              <w:t>acetonide</w:t>
            </w:r>
            <w:proofErr w:type="spellEnd"/>
            <w:r w:rsidRPr="001B446F">
              <w:t xml:space="preserve"> </w:t>
            </w:r>
            <w:proofErr w:type="spellStart"/>
            <w:r w:rsidRPr="001B446F">
              <w:t>intravitreal</w:t>
            </w:r>
            <w:proofErr w:type="spellEnd"/>
            <w:r w:rsidRPr="001B446F">
              <w:t xml:space="preserve"> insert), 0.18 mg </w:t>
            </w:r>
          </w:p>
          <w:p w:rsidR="00EE737E" w:rsidRPr="001B446F" w:rsidRDefault="00EE737E" w:rsidP="00112FEB">
            <w:pPr>
              <w:pStyle w:val="Table"/>
            </w:pPr>
            <w:r w:rsidRPr="001B446F">
              <w:t xml:space="preserve">Protocol No. C-01-05-001A. A randomized, double-masked, parallel group, multi-centre, dose-finding comparison of the safety and efficacy of ASI-001A 0.5 µg/day and ASI-001B 0.2 µg/day </w:t>
            </w:r>
            <w:proofErr w:type="spellStart"/>
            <w:r w:rsidRPr="001B446F">
              <w:t>fluocinolone</w:t>
            </w:r>
            <w:proofErr w:type="spellEnd"/>
            <w:r w:rsidRPr="001B446F">
              <w:t xml:space="preserve"> </w:t>
            </w:r>
            <w:proofErr w:type="spellStart"/>
            <w:r w:rsidRPr="001B446F">
              <w:t>acetonide</w:t>
            </w:r>
            <w:proofErr w:type="spellEnd"/>
            <w:r w:rsidRPr="001B446F">
              <w:t xml:space="preserve"> </w:t>
            </w:r>
            <w:proofErr w:type="spellStart"/>
            <w:r w:rsidRPr="001B446F">
              <w:t>intravitreal</w:t>
            </w:r>
            <w:proofErr w:type="spellEnd"/>
            <w:r w:rsidRPr="001B446F">
              <w:t xml:space="preserve"> inserts to sham injection in patients with diabetic macular </w:t>
            </w:r>
            <w:r w:rsidR="00A5135C" w:rsidRPr="001B446F">
              <w:t>oedema</w:t>
            </w:r>
          </w:p>
        </w:tc>
        <w:tc>
          <w:tcPr>
            <w:tcW w:w="3492" w:type="dxa"/>
            <w:tcBorders>
              <w:bottom w:val="single" w:sz="4" w:space="0" w:color="auto"/>
            </w:tcBorders>
          </w:tcPr>
          <w:p w:rsidR="00EE737E" w:rsidRPr="001B446F" w:rsidRDefault="00EE737E" w:rsidP="00112FEB">
            <w:pPr>
              <w:pStyle w:val="Table"/>
            </w:pPr>
            <w:r w:rsidRPr="001B446F">
              <w:t>Clinical study report - C-01-05-001A</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single" w:sz="4" w:space="0" w:color="auto"/>
              <w:bottom w:val="single" w:sz="4" w:space="0" w:color="auto"/>
            </w:tcBorders>
            <w:vAlign w:val="center"/>
          </w:tcPr>
          <w:p w:rsidR="00EE737E" w:rsidRPr="001B446F" w:rsidRDefault="00EE737E" w:rsidP="00112FEB">
            <w:pPr>
              <w:pStyle w:val="Table"/>
            </w:pPr>
            <w:proofErr w:type="spellStart"/>
            <w:r w:rsidRPr="001B446F">
              <w:t>Iluvien</w:t>
            </w:r>
            <w:proofErr w:type="spellEnd"/>
            <w:r w:rsidRPr="001B446F">
              <w:t>® (</w:t>
            </w:r>
            <w:proofErr w:type="spellStart"/>
            <w:r w:rsidRPr="001B446F">
              <w:t>fluocinolone</w:t>
            </w:r>
            <w:proofErr w:type="spellEnd"/>
            <w:r w:rsidRPr="001B446F">
              <w:t xml:space="preserve"> </w:t>
            </w:r>
            <w:proofErr w:type="spellStart"/>
            <w:r w:rsidRPr="001B446F">
              <w:t>acetonide</w:t>
            </w:r>
            <w:proofErr w:type="spellEnd"/>
            <w:r w:rsidRPr="001B446F">
              <w:t xml:space="preserve"> </w:t>
            </w:r>
            <w:proofErr w:type="spellStart"/>
            <w:r w:rsidRPr="001B446F">
              <w:t>intravitreal</w:t>
            </w:r>
            <w:proofErr w:type="spellEnd"/>
            <w:r w:rsidRPr="001B446F">
              <w:t xml:space="preserve"> insert), 0.18 mg </w:t>
            </w:r>
          </w:p>
          <w:p w:rsidR="00EE737E" w:rsidRPr="001B446F" w:rsidRDefault="00EE737E" w:rsidP="00112FEB">
            <w:pPr>
              <w:pStyle w:val="Table"/>
            </w:pPr>
            <w:r w:rsidRPr="001B446F">
              <w:lastRenderedPageBreak/>
              <w:t xml:space="preserve">Protocol No. C-01-05-001B A randomized, double-masked, parallel group, multi-centre, dose-finding comparison of the safety and efficacy of ASI-001A 0.5 µg/day and ASI-001B 0.2 µg/day </w:t>
            </w:r>
            <w:proofErr w:type="spellStart"/>
            <w:r w:rsidRPr="001B446F">
              <w:t>fluocinolone</w:t>
            </w:r>
            <w:proofErr w:type="spellEnd"/>
            <w:r w:rsidRPr="001B446F">
              <w:t xml:space="preserve"> </w:t>
            </w:r>
            <w:proofErr w:type="spellStart"/>
            <w:r w:rsidRPr="001B446F">
              <w:t>acetonide</w:t>
            </w:r>
            <w:proofErr w:type="spellEnd"/>
            <w:r w:rsidRPr="001B446F">
              <w:t xml:space="preserve"> </w:t>
            </w:r>
            <w:proofErr w:type="spellStart"/>
            <w:r w:rsidRPr="001B446F">
              <w:t>intravitreal</w:t>
            </w:r>
            <w:proofErr w:type="spellEnd"/>
            <w:r w:rsidRPr="001B446F">
              <w:t xml:space="preserve"> inserts to sham injection in patients with diabetic macular </w:t>
            </w:r>
            <w:r w:rsidR="00A5135C" w:rsidRPr="001B446F">
              <w:t>oedema</w:t>
            </w:r>
          </w:p>
        </w:tc>
        <w:tc>
          <w:tcPr>
            <w:tcW w:w="3492" w:type="dxa"/>
            <w:tcBorders>
              <w:top w:val="single" w:sz="4" w:space="0" w:color="auto"/>
              <w:bottom w:val="single" w:sz="4" w:space="0" w:color="auto"/>
            </w:tcBorders>
          </w:tcPr>
          <w:p w:rsidR="00EE737E" w:rsidRPr="001B446F" w:rsidRDefault="00EE737E" w:rsidP="00112FEB">
            <w:pPr>
              <w:pStyle w:val="Table"/>
            </w:pPr>
            <w:r w:rsidRPr="001B446F">
              <w:lastRenderedPageBreak/>
              <w:t>Clinical study report - C-01-05-001B</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single" w:sz="4" w:space="0" w:color="auto"/>
              <w:bottom w:val="single" w:sz="4" w:space="0" w:color="auto"/>
            </w:tcBorders>
            <w:vAlign w:val="center"/>
          </w:tcPr>
          <w:p w:rsidR="00EE737E" w:rsidRPr="001B446F" w:rsidRDefault="00EE737E" w:rsidP="00112FEB">
            <w:pPr>
              <w:pStyle w:val="Table"/>
            </w:pPr>
            <w:proofErr w:type="spellStart"/>
            <w:r w:rsidRPr="001B446F">
              <w:t>Campochiaro</w:t>
            </w:r>
            <w:proofErr w:type="spellEnd"/>
            <w:r w:rsidRPr="001B446F">
              <w:t xml:space="preserve"> PA, Brown DM, Pearson A, Chen S, Boyer D, Ruiz-Moreno J, Garretson B, Gupta A, </w:t>
            </w:r>
            <w:proofErr w:type="spellStart"/>
            <w:r w:rsidRPr="001B446F">
              <w:t>Hariprasad</w:t>
            </w:r>
            <w:proofErr w:type="spellEnd"/>
            <w:r w:rsidRPr="001B446F">
              <w:t xml:space="preserve"> SM, Bailey C, </w:t>
            </w:r>
            <w:proofErr w:type="spellStart"/>
            <w:r w:rsidRPr="001B446F">
              <w:t>Reichel</w:t>
            </w:r>
            <w:proofErr w:type="spellEnd"/>
            <w:r w:rsidRPr="001B446F">
              <w:t xml:space="preserve"> E, </w:t>
            </w:r>
            <w:proofErr w:type="spellStart"/>
            <w:r w:rsidRPr="001B446F">
              <w:t>Soubrane</w:t>
            </w:r>
            <w:proofErr w:type="spellEnd"/>
            <w:r w:rsidRPr="001B446F">
              <w:t xml:space="preserve"> G, </w:t>
            </w:r>
            <w:proofErr w:type="spellStart"/>
            <w:r w:rsidRPr="001B446F">
              <w:t>Kapik</w:t>
            </w:r>
            <w:proofErr w:type="spellEnd"/>
            <w:r w:rsidRPr="001B446F">
              <w:t xml:space="preserve"> B, </w:t>
            </w:r>
            <w:proofErr w:type="spellStart"/>
            <w:r w:rsidRPr="001B446F">
              <w:t>Billman</w:t>
            </w:r>
            <w:proofErr w:type="spellEnd"/>
            <w:r w:rsidRPr="001B446F">
              <w:t xml:space="preserve"> K, Kane FE, and Green K. Sustained Delivery </w:t>
            </w:r>
            <w:proofErr w:type="spellStart"/>
            <w:r w:rsidRPr="001B446F">
              <w:t>Fluocinolone</w:t>
            </w:r>
            <w:proofErr w:type="spellEnd"/>
            <w:r w:rsidRPr="001B446F">
              <w:t xml:space="preserve"> </w:t>
            </w:r>
            <w:proofErr w:type="spellStart"/>
            <w:r w:rsidRPr="001B446F">
              <w:t>Acetonide</w:t>
            </w:r>
            <w:proofErr w:type="spellEnd"/>
            <w:r w:rsidRPr="001B446F">
              <w:t xml:space="preserve"> Vitreous Inserts Provide Benefit for at Least 3 Years in Patients with Diabetic Macular </w:t>
            </w:r>
            <w:r w:rsidR="00A5135C" w:rsidRPr="001B446F">
              <w:t>Oedema</w:t>
            </w:r>
            <w:r w:rsidRPr="001B446F">
              <w:t xml:space="preserve">. </w:t>
            </w:r>
          </w:p>
        </w:tc>
        <w:tc>
          <w:tcPr>
            <w:tcW w:w="3492" w:type="dxa"/>
            <w:tcBorders>
              <w:top w:val="single" w:sz="4" w:space="0" w:color="auto"/>
              <w:bottom w:val="single" w:sz="4" w:space="0" w:color="auto"/>
            </w:tcBorders>
          </w:tcPr>
          <w:p w:rsidR="00EE737E" w:rsidRPr="001B446F" w:rsidRDefault="00EE737E" w:rsidP="00112FEB">
            <w:pPr>
              <w:pStyle w:val="Table"/>
            </w:pPr>
            <w:r w:rsidRPr="001B446F">
              <w:t xml:space="preserve">Ophthalmology. 2012 119(10):2125-32 </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single" w:sz="4" w:space="0" w:color="auto"/>
              <w:bottom w:val="single" w:sz="4" w:space="0" w:color="auto"/>
            </w:tcBorders>
            <w:vAlign w:val="center"/>
          </w:tcPr>
          <w:p w:rsidR="00EE737E" w:rsidRPr="001B446F" w:rsidRDefault="00EE737E" w:rsidP="00112FEB">
            <w:pPr>
              <w:pStyle w:val="Table"/>
            </w:pPr>
            <w:r w:rsidRPr="001B446F">
              <w:t>Cunha-</w:t>
            </w:r>
            <w:proofErr w:type="spellStart"/>
            <w:r w:rsidRPr="001B446F">
              <w:t>Vaz</w:t>
            </w:r>
            <w:proofErr w:type="spellEnd"/>
            <w:r w:rsidRPr="001B446F">
              <w:t xml:space="preserve"> J, Ashton P, </w:t>
            </w:r>
            <w:proofErr w:type="spellStart"/>
            <w:r w:rsidRPr="001B446F">
              <w:t>Iezzi</w:t>
            </w:r>
            <w:proofErr w:type="spellEnd"/>
            <w:r w:rsidRPr="001B446F">
              <w:t xml:space="preserve"> R, </w:t>
            </w:r>
            <w:proofErr w:type="spellStart"/>
            <w:r w:rsidRPr="001B446F">
              <w:t>Campochiaro</w:t>
            </w:r>
            <w:proofErr w:type="spellEnd"/>
            <w:r w:rsidRPr="001B446F">
              <w:t xml:space="preserve"> P, </w:t>
            </w:r>
            <w:proofErr w:type="spellStart"/>
            <w:r w:rsidRPr="001B446F">
              <w:t>Dugel</w:t>
            </w:r>
            <w:proofErr w:type="spellEnd"/>
            <w:r w:rsidRPr="001B446F">
              <w:t xml:space="preserve"> PU, </w:t>
            </w:r>
            <w:proofErr w:type="spellStart"/>
            <w:r w:rsidRPr="001B446F">
              <w:t>Holz</w:t>
            </w:r>
            <w:proofErr w:type="spellEnd"/>
            <w:r w:rsidRPr="001B446F">
              <w:t xml:space="preserve"> FG, Weber M, </w:t>
            </w:r>
            <w:proofErr w:type="spellStart"/>
            <w:r w:rsidRPr="001B446F">
              <w:t>Danis</w:t>
            </w:r>
            <w:proofErr w:type="spellEnd"/>
            <w:r w:rsidRPr="001B446F">
              <w:t xml:space="preserve"> RP, </w:t>
            </w:r>
            <w:proofErr w:type="spellStart"/>
            <w:r w:rsidRPr="001B446F">
              <w:t>Kuppermann</w:t>
            </w:r>
            <w:proofErr w:type="spellEnd"/>
            <w:r w:rsidRPr="001B446F">
              <w:t xml:space="preserve"> BD, Bailey C, </w:t>
            </w:r>
            <w:proofErr w:type="spellStart"/>
            <w:r w:rsidRPr="001B446F">
              <w:t>Billman</w:t>
            </w:r>
            <w:proofErr w:type="spellEnd"/>
            <w:r w:rsidRPr="001B446F">
              <w:t xml:space="preserve"> K, </w:t>
            </w:r>
            <w:proofErr w:type="spellStart"/>
            <w:r w:rsidRPr="001B446F">
              <w:t>Kapik</w:t>
            </w:r>
            <w:proofErr w:type="spellEnd"/>
            <w:r w:rsidRPr="001B446F">
              <w:t xml:space="preserve"> B, Kane F, and Green K. Sustained Delivery </w:t>
            </w:r>
            <w:proofErr w:type="spellStart"/>
            <w:r w:rsidRPr="001B446F">
              <w:t>Fluocinolone</w:t>
            </w:r>
            <w:proofErr w:type="spellEnd"/>
            <w:r w:rsidRPr="001B446F">
              <w:t xml:space="preserve"> </w:t>
            </w:r>
            <w:proofErr w:type="spellStart"/>
            <w:r w:rsidRPr="001B446F">
              <w:t>Acetonide</w:t>
            </w:r>
            <w:proofErr w:type="spellEnd"/>
            <w:r w:rsidRPr="001B446F">
              <w:t xml:space="preserve"> Vitreous Implants. </w:t>
            </w:r>
          </w:p>
        </w:tc>
        <w:tc>
          <w:tcPr>
            <w:tcW w:w="3492" w:type="dxa"/>
            <w:tcBorders>
              <w:top w:val="single" w:sz="4" w:space="0" w:color="auto"/>
              <w:bottom w:val="single" w:sz="4" w:space="0" w:color="auto"/>
            </w:tcBorders>
          </w:tcPr>
          <w:p w:rsidR="00EE737E" w:rsidRPr="001B446F" w:rsidRDefault="00EE737E" w:rsidP="00112FEB">
            <w:pPr>
              <w:pStyle w:val="Table"/>
            </w:pPr>
            <w:r w:rsidRPr="001B446F">
              <w:t>Ophthalmology. 2014.121(10)1892-1903.e3</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single" w:sz="4" w:space="0" w:color="auto"/>
              <w:bottom w:val="single" w:sz="4" w:space="0" w:color="auto"/>
            </w:tcBorders>
            <w:vAlign w:val="center"/>
          </w:tcPr>
          <w:p w:rsidR="00EE737E" w:rsidRPr="001B446F" w:rsidRDefault="00EE737E" w:rsidP="00112FEB">
            <w:pPr>
              <w:pStyle w:val="Table"/>
            </w:pPr>
            <w:r w:rsidRPr="001B446F">
              <w:t xml:space="preserve">Parrish RK 2nd, </w:t>
            </w:r>
            <w:proofErr w:type="spellStart"/>
            <w:r w:rsidRPr="001B446F">
              <w:t>Traverso</w:t>
            </w:r>
            <w:proofErr w:type="spellEnd"/>
            <w:r w:rsidRPr="001B446F">
              <w:t xml:space="preserve"> CE, Green K, </w:t>
            </w:r>
            <w:proofErr w:type="spellStart"/>
            <w:r w:rsidRPr="001B446F">
              <w:t>Danis</w:t>
            </w:r>
            <w:proofErr w:type="spellEnd"/>
            <w:r w:rsidRPr="001B446F">
              <w:t xml:space="preserve"> RP, FAME Study Group. Quantitative Assessment of Optic Nerve Changes in Patients With Diabetic Macular </w:t>
            </w:r>
            <w:r w:rsidR="00A5135C" w:rsidRPr="001B446F">
              <w:t>Oedema</w:t>
            </w:r>
            <w:r w:rsidRPr="001B446F">
              <w:t xml:space="preserve"> Treated With </w:t>
            </w:r>
            <w:proofErr w:type="spellStart"/>
            <w:r w:rsidRPr="001B446F">
              <w:t>Fluocinolone</w:t>
            </w:r>
            <w:proofErr w:type="spellEnd"/>
            <w:r w:rsidRPr="001B446F">
              <w:t xml:space="preserve"> </w:t>
            </w:r>
            <w:proofErr w:type="spellStart"/>
            <w:r w:rsidRPr="001B446F">
              <w:t>Acetonide</w:t>
            </w:r>
            <w:proofErr w:type="spellEnd"/>
            <w:r w:rsidRPr="001B446F">
              <w:t xml:space="preserve"> Vitreous Implants. </w:t>
            </w:r>
          </w:p>
        </w:tc>
        <w:tc>
          <w:tcPr>
            <w:tcW w:w="3492" w:type="dxa"/>
            <w:tcBorders>
              <w:top w:val="single" w:sz="4" w:space="0" w:color="auto"/>
              <w:bottom w:val="single" w:sz="4" w:space="0" w:color="auto"/>
            </w:tcBorders>
          </w:tcPr>
          <w:p w:rsidR="00EE737E" w:rsidRPr="001B446F" w:rsidRDefault="00EE737E" w:rsidP="00112FEB">
            <w:pPr>
              <w:pStyle w:val="Table"/>
            </w:pPr>
            <w:r w:rsidRPr="001B446F">
              <w:t>Ophthalmic Surgery, Lasers &amp; Imaging Retina. 2016. 47(5):418-25.</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single" w:sz="4" w:space="0" w:color="auto"/>
              <w:bottom w:val="single" w:sz="4" w:space="0" w:color="auto"/>
            </w:tcBorders>
            <w:vAlign w:val="center"/>
          </w:tcPr>
          <w:p w:rsidR="00EE737E" w:rsidRPr="001B446F" w:rsidRDefault="00EE737E" w:rsidP="00112FEB">
            <w:pPr>
              <w:pStyle w:val="Table"/>
            </w:pPr>
            <w:proofErr w:type="spellStart"/>
            <w:r w:rsidRPr="001B446F">
              <w:t>Campochiaro</w:t>
            </w:r>
            <w:proofErr w:type="spellEnd"/>
            <w:r w:rsidRPr="001B446F">
              <w:t xml:space="preserve"> PA, Brown DM, Pearson A, </w:t>
            </w:r>
            <w:proofErr w:type="spellStart"/>
            <w:r w:rsidRPr="001B446F">
              <w:t>Ciulla</w:t>
            </w:r>
            <w:proofErr w:type="spellEnd"/>
            <w:r w:rsidRPr="001B446F">
              <w:t xml:space="preserve"> T, Boyer D, </w:t>
            </w:r>
            <w:proofErr w:type="spellStart"/>
            <w:r w:rsidRPr="001B446F">
              <w:t>Holz</w:t>
            </w:r>
            <w:proofErr w:type="spellEnd"/>
            <w:r w:rsidRPr="001B446F">
              <w:t xml:space="preserve"> FG, Tolentino M, Gupta A, Duarte L, </w:t>
            </w:r>
            <w:proofErr w:type="spellStart"/>
            <w:r w:rsidRPr="001B446F">
              <w:t>Madreperla</w:t>
            </w:r>
            <w:proofErr w:type="spellEnd"/>
            <w:r w:rsidRPr="001B446F">
              <w:t xml:space="preserve"> S, </w:t>
            </w:r>
            <w:proofErr w:type="spellStart"/>
            <w:r w:rsidRPr="001B446F">
              <w:t>Gonder</w:t>
            </w:r>
            <w:proofErr w:type="spellEnd"/>
            <w:r w:rsidRPr="001B446F">
              <w:t xml:space="preserve"> J, </w:t>
            </w:r>
            <w:proofErr w:type="spellStart"/>
            <w:r w:rsidRPr="001B446F">
              <w:t>Kapik</w:t>
            </w:r>
            <w:proofErr w:type="spellEnd"/>
            <w:r w:rsidRPr="001B446F">
              <w:t xml:space="preserve"> B, </w:t>
            </w:r>
            <w:proofErr w:type="spellStart"/>
            <w:r w:rsidRPr="001B446F">
              <w:t>Billman</w:t>
            </w:r>
            <w:proofErr w:type="spellEnd"/>
            <w:r w:rsidRPr="001B446F">
              <w:t xml:space="preserve"> K, Kane FE, FAME Study Group. Long-term benefit of sustained-delivery </w:t>
            </w:r>
            <w:proofErr w:type="spellStart"/>
            <w:r w:rsidRPr="001B446F">
              <w:t>fluocinolone</w:t>
            </w:r>
            <w:proofErr w:type="spellEnd"/>
            <w:r w:rsidRPr="001B446F">
              <w:t xml:space="preserve"> </w:t>
            </w:r>
            <w:proofErr w:type="spellStart"/>
            <w:r w:rsidRPr="001B446F">
              <w:t>acetonide</w:t>
            </w:r>
            <w:proofErr w:type="spellEnd"/>
            <w:r w:rsidRPr="001B446F">
              <w:t xml:space="preserve"> vitreous inserts for diabetic macular </w:t>
            </w:r>
            <w:r w:rsidR="00A5135C" w:rsidRPr="001B446F">
              <w:t>oedema</w:t>
            </w:r>
            <w:r w:rsidRPr="001B446F">
              <w:t xml:space="preserve">. </w:t>
            </w:r>
          </w:p>
        </w:tc>
        <w:tc>
          <w:tcPr>
            <w:tcW w:w="3492" w:type="dxa"/>
            <w:tcBorders>
              <w:top w:val="single" w:sz="4" w:space="0" w:color="auto"/>
              <w:bottom w:val="single" w:sz="4" w:space="0" w:color="auto"/>
            </w:tcBorders>
          </w:tcPr>
          <w:p w:rsidR="00EE737E" w:rsidRPr="001B446F" w:rsidRDefault="00EE737E" w:rsidP="00112FEB">
            <w:pPr>
              <w:pStyle w:val="Table"/>
            </w:pPr>
            <w:r w:rsidRPr="001B446F">
              <w:t>Ophthalmology. 2011. 118(4):626-635.e2.</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single" w:sz="4" w:space="0" w:color="auto"/>
              <w:bottom w:val="single" w:sz="4" w:space="0" w:color="auto"/>
            </w:tcBorders>
            <w:vAlign w:val="center"/>
          </w:tcPr>
          <w:p w:rsidR="00EE737E" w:rsidRPr="001B446F" w:rsidRDefault="00EE737E" w:rsidP="00112FEB">
            <w:pPr>
              <w:pStyle w:val="Table"/>
            </w:pPr>
            <w:proofErr w:type="spellStart"/>
            <w:r w:rsidRPr="001B446F">
              <w:t>Iluvien</w:t>
            </w:r>
            <w:proofErr w:type="spellEnd"/>
            <w:r w:rsidRPr="001B446F">
              <w:t>® (</w:t>
            </w:r>
            <w:proofErr w:type="spellStart"/>
            <w:r w:rsidRPr="001B446F">
              <w:t>fluocinolone</w:t>
            </w:r>
            <w:proofErr w:type="spellEnd"/>
            <w:r w:rsidRPr="001B446F">
              <w:t xml:space="preserve"> </w:t>
            </w:r>
            <w:proofErr w:type="spellStart"/>
            <w:r w:rsidRPr="001B446F">
              <w:t>acetonide</w:t>
            </w:r>
            <w:proofErr w:type="spellEnd"/>
            <w:r w:rsidRPr="001B446F">
              <w:t xml:space="preserve"> </w:t>
            </w:r>
            <w:proofErr w:type="spellStart"/>
            <w:r w:rsidRPr="001B446F">
              <w:t>intravitreal</w:t>
            </w:r>
            <w:proofErr w:type="spellEnd"/>
            <w:r w:rsidRPr="001B446F">
              <w:t xml:space="preserve"> insert), 0.18 mg </w:t>
            </w:r>
          </w:p>
          <w:p w:rsidR="00EE737E" w:rsidRPr="001B446F" w:rsidRDefault="00EE737E" w:rsidP="00112FEB">
            <w:pPr>
              <w:pStyle w:val="Table"/>
            </w:pPr>
            <w:r w:rsidRPr="001B446F">
              <w:t>Protocol No. C-01-11-008 An Open Label, Multi-</w:t>
            </w:r>
            <w:r w:rsidR="00A5135C" w:rsidRPr="001B446F">
              <w:t>Centre</w:t>
            </w:r>
            <w:r w:rsidRPr="001B446F">
              <w:t xml:space="preserve"> Extension Study Of The Safety And Utility Of The New Inserter Of </w:t>
            </w:r>
            <w:proofErr w:type="spellStart"/>
            <w:r w:rsidRPr="001B446F">
              <w:t>Iluvien</w:t>
            </w:r>
            <w:proofErr w:type="spellEnd"/>
            <w:r w:rsidRPr="001B446F">
              <w:t>® (</w:t>
            </w:r>
            <w:proofErr w:type="spellStart"/>
            <w:r w:rsidRPr="001B446F">
              <w:t>Fluocinolone</w:t>
            </w:r>
            <w:proofErr w:type="spellEnd"/>
            <w:r w:rsidRPr="001B446F">
              <w:t xml:space="preserve"> </w:t>
            </w:r>
            <w:proofErr w:type="spellStart"/>
            <w:r w:rsidRPr="001B446F">
              <w:t>Acetonide</w:t>
            </w:r>
            <w:proofErr w:type="spellEnd"/>
            <w:r w:rsidRPr="001B446F">
              <w:t xml:space="preserve"> </w:t>
            </w:r>
            <w:proofErr w:type="spellStart"/>
            <w:r w:rsidRPr="001B446F">
              <w:t>Intravitreal</w:t>
            </w:r>
            <w:proofErr w:type="spellEnd"/>
            <w:r w:rsidRPr="001B446F">
              <w:t xml:space="preserve"> Insert) 0.19 Mg And The Safety Of </w:t>
            </w:r>
            <w:proofErr w:type="spellStart"/>
            <w:r w:rsidRPr="001B446F">
              <w:t>Iluvien</w:t>
            </w:r>
            <w:proofErr w:type="spellEnd"/>
            <w:r w:rsidRPr="001B446F">
              <w:t xml:space="preserve"> In Patients With Diabetic Macular </w:t>
            </w:r>
            <w:r w:rsidR="00A5135C" w:rsidRPr="001B446F">
              <w:t>Oedema</w:t>
            </w:r>
            <w:r w:rsidRPr="001B446F">
              <w:t xml:space="preserve">. </w:t>
            </w:r>
          </w:p>
        </w:tc>
        <w:tc>
          <w:tcPr>
            <w:tcW w:w="3492" w:type="dxa"/>
            <w:tcBorders>
              <w:top w:val="single" w:sz="4" w:space="0" w:color="auto"/>
              <w:bottom w:val="single" w:sz="4" w:space="0" w:color="auto"/>
            </w:tcBorders>
          </w:tcPr>
          <w:p w:rsidR="00EE737E" w:rsidRPr="001B446F" w:rsidRDefault="00EE737E" w:rsidP="00112FEB">
            <w:pPr>
              <w:pStyle w:val="Table"/>
            </w:pPr>
            <w:r w:rsidRPr="001B446F">
              <w:t>FAME™ EXTENSION STUDY: Final Study Report. 2014</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bottom w:val="single" w:sz="4" w:space="0" w:color="auto"/>
            </w:tcBorders>
            <w:vAlign w:val="center"/>
          </w:tcPr>
          <w:p w:rsidR="00EE737E" w:rsidRPr="001B446F" w:rsidRDefault="00EE737E" w:rsidP="00112FEB">
            <w:pPr>
              <w:pStyle w:val="Table"/>
            </w:pPr>
            <w:r w:rsidRPr="001B446F">
              <w:t xml:space="preserve">Yang Y, Bailey C, </w:t>
            </w:r>
            <w:proofErr w:type="spellStart"/>
            <w:r w:rsidRPr="001B446F">
              <w:t>Holz</w:t>
            </w:r>
            <w:proofErr w:type="spellEnd"/>
            <w:r w:rsidRPr="001B446F">
              <w:t xml:space="preserve"> FG, </w:t>
            </w:r>
            <w:proofErr w:type="spellStart"/>
            <w:r w:rsidRPr="001B446F">
              <w:t>Eter</w:t>
            </w:r>
            <w:proofErr w:type="spellEnd"/>
            <w:r w:rsidRPr="001B446F">
              <w:t xml:space="preserve"> N, Weber M, Baker C, Kiss S, </w:t>
            </w:r>
            <w:proofErr w:type="spellStart"/>
            <w:r w:rsidRPr="001B446F">
              <w:t>Menchini</w:t>
            </w:r>
            <w:proofErr w:type="spellEnd"/>
            <w:r w:rsidRPr="001B446F">
              <w:t xml:space="preserve"> U, Ruiz Moreno JM, </w:t>
            </w:r>
            <w:proofErr w:type="spellStart"/>
            <w:r w:rsidRPr="001B446F">
              <w:t>Dugel</w:t>
            </w:r>
            <w:proofErr w:type="spellEnd"/>
            <w:r w:rsidRPr="001B446F">
              <w:t xml:space="preserve"> P, </w:t>
            </w:r>
            <w:proofErr w:type="spellStart"/>
            <w:r w:rsidRPr="001B446F">
              <w:t>Lotery</w:t>
            </w:r>
            <w:proofErr w:type="spellEnd"/>
            <w:r w:rsidRPr="001B446F">
              <w:t xml:space="preserve"> A, FAME study group. Long-term outcomes of </w:t>
            </w:r>
            <w:proofErr w:type="spellStart"/>
            <w:r w:rsidRPr="001B446F">
              <w:t>phakic</w:t>
            </w:r>
            <w:proofErr w:type="spellEnd"/>
            <w:r w:rsidRPr="001B446F">
              <w:t xml:space="preserve"> patients with diabetic macular </w:t>
            </w:r>
            <w:r w:rsidR="007417C4" w:rsidRPr="001B446F">
              <w:t>oedema</w:t>
            </w:r>
            <w:r w:rsidRPr="001B446F">
              <w:t xml:space="preserve"> treated with </w:t>
            </w:r>
            <w:proofErr w:type="spellStart"/>
            <w:r w:rsidRPr="001B446F">
              <w:t>intravitreal</w:t>
            </w:r>
            <w:proofErr w:type="spellEnd"/>
            <w:r w:rsidRPr="001B446F">
              <w:t xml:space="preserve"> </w:t>
            </w:r>
            <w:proofErr w:type="spellStart"/>
            <w:r w:rsidRPr="001B446F">
              <w:t>fluocinolone</w:t>
            </w:r>
            <w:proofErr w:type="spellEnd"/>
            <w:r w:rsidRPr="001B446F">
              <w:t xml:space="preserve"> </w:t>
            </w:r>
            <w:proofErr w:type="spellStart"/>
            <w:r w:rsidRPr="001B446F">
              <w:t>acetonide</w:t>
            </w:r>
            <w:proofErr w:type="spellEnd"/>
            <w:r w:rsidRPr="001B446F">
              <w:t xml:space="preserve"> (</w:t>
            </w:r>
            <w:proofErr w:type="spellStart"/>
            <w:r w:rsidRPr="001B446F">
              <w:t>FAc</w:t>
            </w:r>
            <w:proofErr w:type="spellEnd"/>
            <w:r w:rsidRPr="001B446F">
              <w:t xml:space="preserve">) implants. </w:t>
            </w:r>
          </w:p>
        </w:tc>
        <w:tc>
          <w:tcPr>
            <w:tcW w:w="3492" w:type="dxa"/>
            <w:tcBorders>
              <w:top w:val="single" w:sz="4" w:space="0" w:color="auto"/>
              <w:bottom w:val="single" w:sz="4" w:space="0" w:color="auto"/>
            </w:tcBorders>
            <w:vAlign w:val="center"/>
          </w:tcPr>
          <w:p w:rsidR="00EE737E" w:rsidRPr="001B446F" w:rsidRDefault="00EE737E" w:rsidP="00112FEB">
            <w:pPr>
              <w:pStyle w:val="Table"/>
            </w:pPr>
            <w:r w:rsidRPr="001B446F">
              <w:t>Eye. 2015. 29(9):1173-80.</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bottom w:val="single" w:sz="4" w:space="0" w:color="auto"/>
            </w:tcBorders>
            <w:vAlign w:val="center"/>
          </w:tcPr>
          <w:p w:rsidR="00EE737E" w:rsidRPr="001B446F" w:rsidRDefault="00EE737E" w:rsidP="00112FEB">
            <w:pPr>
              <w:pStyle w:val="Table"/>
            </w:pPr>
            <w:proofErr w:type="spellStart"/>
            <w:r w:rsidRPr="001B446F">
              <w:t>Wykoff</w:t>
            </w:r>
            <w:proofErr w:type="spellEnd"/>
            <w:r w:rsidRPr="001B446F">
              <w:t xml:space="preserve"> CC, </w:t>
            </w:r>
            <w:proofErr w:type="spellStart"/>
            <w:r w:rsidRPr="001B446F">
              <w:t>Chakravarthy</w:t>
            </w:r>
            <w:proofErr w:type="spellEnd"/>
            <w:r w:rsidRPr="001B446F">
              <w:t xml:space="preserve"> U, </w:t>
            </w:r>
            <w:proofErr w:type="spellStart"/>
            <w:r w:rsidRPr="001B446F">
              <w:t>Campochiaro</w:t>
            </w:r>
            <w:proofErr w:type="spellEnd"/>
            <w:r w:rsidRPr="001B446F">
              <w:t xml:space="preserve"> PA, Bailey C, Green K, Cunha-</w:t>
            </w:r>
            <w:proofErr w:type="spellStart"/>
            <w:r w:rsidRPr="001B446F">
              <w:t>Vaz</w:t>
            </w:r>
            <w:proofErr w:type="spellEnd"/>
            <w:r w:rsidRPr="001B446F">
              <w:t xml:space="preserve"> J. Long-term Effects of </w:t>
            </w:r>
            <w:proofErr w:type="spellStart"/>
            <w:r w:rsidRPr="001B446F">
              <w:t>Intravitreal</w:t>
            </w:r>
            <w:proofErr w:type="spellEnd"/>
            <w:r w:rsidRPr="001B446F">
              <w:t xml:space="preserve"> 0.19 mg </w:t>
            </w:r>
            <w:proofErr w:type="spellStart"/>
            <w:r w:rsidRPr="001B446F">
              <w:t>Fluocinolone</w:t>
            </w:r>
            <w:proofErr w:type="spellEnd"/>
            <w:r w:rsidRPr="001B446F">
              <w:t xml:space="preserve"> </w:t>
            </w:r>
            <w:proofErr w:type="spellStart"/>
            <w:r w:rsidRPr="001B446F">
              <w:t>Acetonide</w:t>
            </w:r>
            <w:proofErr w:type="spellEnd"/>
            <w:r w:rsidRPr="001B446F">
              <w:t xml:space="preserve"> Implant on Progression and Regression of Diabetic Retinopathy. </w:t>
            </w:r>
          </w:p>
        </w:tc>
        <w:tc>
          <w:tcPr>
            <w:tcW w:w="3492" w:type="dxa"/>
            <w:tcBorders>
              <w:top w:val="single" w:sz="4" w:space="0" w:color="auto"/>
              <w:bottom w:val="single" w:sz="4" w:space="0" w:color="auto"/>
            </w:tcBorders>
            <w:vAlign w:val="center"/>
          </w:tcPr>
          <w:p w:rsidR="00EE737E" w:rsidRPr="001B446F" w:rsidRDefault="00EE737E" w:rsidP="00112FEB">
            <w:pPr>
              <w:pStyle w:val="Table"/>
            </w:pPr>
            <w:r w:rsidRPr="001B446F">
              <w:t>Ophthalmology. 2017. 124(4):440-449.</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bottom w:val="single" w:sz="4" w:space="0" w:color="auto"/>
            </w:tcBorders>
            <w:vAlign w:val="center"/>
          </w:tcPr>
          <w:p w:rsidR="00EE737E" w:rsidRPr="001B446F" w:rsidRDefault="00EE737E" w:rsidP="00112FEB">
            <w:pPr>
              <w:pStyle w:val="Table"/>
            </w:pPr>
            <w:r w:rsidRPr="001B446F">
              <w:t xml:space="preserve">Pearson P, Baker CW, </w:t>
            </w:r>
            <w:proofErr w:type="spellStart"/>
            <w:r w:rsidRPr="001B446F">
              <w:t>Eliott</w:t>
            </w:r>
            <w:proofErr w:type="spellEnd"/>
            <w:r w:rsidRPr="001B446F">
              <w:t xml:space="preserve"> D, Ip MS, Morse LS, </w:t>
            </w:r>
            <w:proofErr w:type="spellStart"/>
            <w:r w:rsidRPr="001B446F">
              <w:t>Callanan</w:t>
            </w:r>
            <w:proofErr w:type="spellEnd"/>
            <w:r w:rsidRPr="001B446F">
              <w:t xml:space="preserve"> D. </w:t>
            </w:r>
            <w:proofErr w:type="spellStart"/>
            <w:r w:rsidRPr="001B446F">
              <w:t>Fluocinolone</w:t>
            </w:r>
            <w:proofErr w:type="spellEnd"/>
            <w:r w:rsidRPr="001B446F">
              <w:t xml:space="preserve"> </w:t>
            </w:r>
            <w:proofErr w:type="spellStart"/>
            <w:r w:rsidRPr="001B446F">
              <w:t>Acetonide</w:t>
            </w:r>
            <w:proofErr w:type="spellEnd"/>
            <w:r w:rsidRPr="001B446F">
              <w:t xml:space="preserve"> </w:t>
            </w:r>
            <w:proofErr w:type="spellStart"/>
            <w:r w:rsidRPr="001B446F">
              <w:t>Intravitreal</w:t>
            </w:r>
            <w:proofErr w:type="spellEnd"/>
            <w:r w:rsidRPr="001B446F">
              <w:t xml:space="preserve"> Implant in Patients with Diabetic Macular </w:t>
            </w:r>
            <w:r w:rsidR="00A5135C" w:rsidRPr="001B446F">
              <w:t>Oedema</w:t>
            </w:r>
            <w:r w:rsidRPr="001B446F">
              <w:t xml:space="preserve">: 12 Month Results IOVS.  </w:t>
            </w:r>
          </w:p>
        </w:tc>
        <w:tc>
          <w:tcPr>
            <w:tcW w:w="3492" w:type="dxa"/>
            <w:tcBorders>
              <w:top w:val="single" w:sz="4" w:space="0" w:color="auto"/>
              <w:bottom w:val="single" w:sz="4" w:space="0" w:color="auto"/>
            </w:tcBorders>
            <w:vAlign w:val="center"/>
          </w:tcPr>
          <w:p w:rsidR="00EE737E" w:rsidRPr="001B446F" w:rsidRDefault="00EE737E" w:rsidP="00112FEB">
            <w:pPr>
              <w:pStyle w:val="Table"/>
            </w:pPr>
            <w:r w:rsidRPr="001B446F">
              <w:t>ARVO E-abstract 4288p. 2003.</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tcBorders>
            <w:vAlign w:val="center"/>
          </w:tcPr>
          <w:p w:rsidR="00EE737E" w:rsidRPr="001B446F" w:rsidRDefault="00EE737E" w:rsidP="00112FEB">
            <w:pPr>
              <w:pStyle w:val="Table"/>
            </w:pPr>
            <w:r w:rsidRPr="001B446F">
              <w:t xml:space="preserve">FAME Study Group Parrish RK 2nd, </w:t>
            </w:r>
            <w:proofErr w:type="spellStart"/>
            <w:r w:rsidRPr="001B446F">
              <w:t>Campochiaro</w:t>
            </w:r>
            <w:proofErr w:type="spellEnd"/>
            <w:r w:rsidRPr="001B446F">
              <w:t xml:space="preserve"> PA, Pearson PA, Green K, </w:t>
            </w:r>
            <w:proofErr w:type="spellStart"/>
            <w:r w:rsidRPr="001B446F">
              <w:t>Traverso</w:t>
            </w:r>
            <w:proofErr w:type="spellEnd"/>
            <w:r w:rsidRPr="001B446F">
              <w:t xml:space="preserve"> CE. Characterization of Intraocular Pressure Increases and Management Strategies Following Treatment </w:t>
            </w:r>
            <w:r w:rsidRPr="001B446F">
              <w:lastRenderedPageBreak/>
              <w:t xml:space="preserve">With </w:t>
            </w:r>
            <w:proofErr w:type="spellStart"/>
            <w:r w:rsidRPr="001B446F">
              <w:t>Fluocinolone</w:t>
            </w:r>
            <w:proofErr w:type="spellEnd"/>
            <w:r w:rsidRPr="001B446F">
              <w:t xml:space="preserve"> </w:t>
            </w:r>
            <w:proofErr w:type="spellStart"/>
            <w:r w:rsidRPr="001B446F">
              <w:t>Acetonide</w:t>
            </w:r>
            <w:proofErr w:type="spellEnd"/>
            <w:r w:rsidRPr="001B446F">
              <w:t xml:space="preserve"> </w:t>
            </w:r>
            <w:proofErr w:type="spellStart"/>
            <w:r w:rsidRPr="001B446F">
              <w:t>Intravitreal</w:t>
            </w:r>
            <w:proofErr w:type="spellEnd"/>
            <w:r w:rsidRPr="001B446F">
              <w:t xml:space="preserve"> Implants in the FAME Trials. </w:t>
            </w:r>
          </w:p>
        </w:tc>
        <w:tc>
          <w:tcPr>
            <w:tcW w:w="3492" w:type="dxa"/>
            <w:tcBorders>
              <w:top w:val="single" w:sz="4" w:space="0" w:color="auto"/>
            </w:tcBorders>
            <w:vAlign w:val="center"/>
          </w:tcPr>
          <w:p w:rsidR="00EE737E" w:rsidRPr="001B446F" w:rsidRDefault="00EE737E" w:rsidP="00112FEB">
            <w:pPr>
              <w:pStyle w:val="Table"/>
            </w:pPr>
            <w:r w:rsidRPr="001B446F">
              <w:lastRenderedPageBreak/>
              <w:t>Ophthalmic Surgery, Lasers &amp; Imaging Retina. 2016. 47(5):426-35.</w:t>
            </w:r>
          </w:p>
        </w:tc>
      </w:tr>
      <w:tr w:rsidR="00EE737E" w:rsidRPr="001B446F" w:rsidTr="00112FEB">
        <w:tc>
          <w:tcPr>
            <w:tcW w:w="9016" w:type="dxa"/>
            <w:gridSpan w:val="3"/>
          </w:tcPr>
          <w:p w:rsidR="00EE737E" w:rsidRPr="001B446F" w:rsidRDefault="00EE737E" w:rsidP="00112FEB">
            <w:r w:rsidRPr="001B446F">
              <w:rPr>
                <w:rFonts w:ascii="Arial Narrow" w:hAnsi="Arial Narrow"/>
                <w:sz w:val="20"/>
              </w:rPr>
              <w:t>Dexamethasone trials</w:t>
            </w:r>
          </w:p>
        </w:tc>
      </w:tr>
      <w:tr w:rsidR="00EE737E" w:rsidRPr="001B446F" w:rsidTr="00112FEB">
        <w:tc>
          <w:tcPr>
            <w:tcW w:w="1413" w:type="dxa"/>
            <w:vMerge w:val="restart"/>
          </w:tcPr>
          <w:p w:rsidR="00EE737E" w:rsidRPr="001B446F" w:rsidRDefault="00EE737E" w:rsidP="00112FEB">
            <w:pPr>
              <w:pStyle w:val="TableText0"/>
              <w:rPr>
                <w:sz w:val="20"/>
                <w:szCs w:val="20"/>
              </w:rPr>
            </w:pPr>
            <w:r w:rsidRPr="001B446F">
              <w:rPr>
                <w:sz w:val="20"/>
                <w:szCs w:val="20"/>
              </w:rPr>
              <w:t>MEAD-010/ MEAD-011</w:t>
            </w:r>
            <w:r w:rsidR="00CF1F17" w:rsidRPr="001B446F">
              <w:rPr>
                <w:sz w:val="20"/>
                <w:szCs w:val="20"/>
                <w:vertAlign w:val="superscript"/>
              </w:rPr>
              <w:t>a</w:t>
            </w:r>
          </w:p>
          <w:p w:rsidR="00EE737E" w:rsidRPr="001B446F" w:rsidRDefault="00EE737E" w:rsidP="00112FEB">
            <w:pPr>
              <w:rPr>
                <w:rFonts w:ascii="Arial Narrow" w:hAnsi="Arial Narrow"/>
                <w:sz w:val="20"/>
              </w:rPr>
            </w:pPr>
          </w:p>
        </w:tc>
        <w:tc>
          <w:tcPr>
            <w:tcW w:w="4111" w:type="dxa"/>
            <w:tcBorders>
              <w:bottom w:val="single" w:sz="4" w:space="0" w:color="auto"/>
            </w:tcBorders>
            <w:vAlign w:val="center"/>
          </w:tcPr>
          <w:p w:rsidR="00EE737E" w:rsidRPr="001B446F" w:rsidRDefault="00EE737E" w:rsidP="00112FEB">
            <w:pPr>
              <w:pStyle w:val="Table"/>
            </w:pPr>
            <w:r w:rsidRPr="001B446F">
              <w:t xml:space="preserve">Study 206207-010: A 3-year, phase 3, multicentre, masked, randomized, sham-controlled trial to assess the safety and efficacy of 700µg and 350µg dexamethasone posterior segment drug delivery system (DEX PS DDS) applicator system in the treatment of patients with diabetic macular </w:t>
            </w:r>
            <w:r w:rsidR="00A5135C" w:rsidRPr="001B446F">
              <w:t>oedema</w:t>
            </w:r>
            <w:r w:rsidRPr="001B446F">
              <w:t>.</w:t>
            </w:r>
          </w:p>
        </w:tc>
        <w:tc>
          <w:tcPr>
            <w:tcW w:w="3492" w:type="dxa"/>
            <w:tcBorders>
              <w:bottom w:val="single" w:sz="4" w:space="0" w:color="auto"/>
            </w:tcBorders>
          </w:tcPr>
          <w:p w:rsidR="00EE737E" w:rsidRPr="001B446F" w:rsidRDefault="00EE737E" w:rsidP="00112FEB">
            <w:pPr>
              <w:pStyle w:val="Table"/>
            </w:pPr>
            <w:r w:rsidRPr="001B446F">
              <w:t>CSR - 206207-010</w:t>
            </w:r>
            <w:r w:rsidR="00906B47" w:rsidRPr="001B446F">
              <w:t xml:space="preserve"> </w:t>
            </w:r>
            <w:r w:rsidRPr="001B446F">
              <w:rPr>
                <w:i/>
              </w:rPr>
              <w:t>(not available and not provided by the submission)</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bottom w:val="single" w:sz="4" w:space="0" w:color="auto"/>
            </w:tcBorders>
            <w:vAlign w:val="center"/>
          </w:tcPr>
          <w:p w:rsidR="00EE737E" w:rsidRPr="001B446F" w:rsidRDefault="00EE737E" w:rsidP="00112FEB">
            <w:pPr>
              <w:pStyle w:val="Table"/>
            </w:pPr>
            <w:r w:rsidRPr="001B446F">
              <w:t xml:space="preserve">Study 206207-011: A 3-year, phase 3, multicentre, masked, randomized, sham-controlled trial to assess the safety and efficacy of 700µg and 350µg dexamethasone posterior segment drug delivery system (DEX PS DDS) applicator system in the treatment of patients with diabetic macular </w:t>
            </w:r>
            <w:r w:rsidR="00A5135C" w:rsidRPr="001B446F">
              <w:t>oedema</w:t>
            </w:r>
            <w:r w:rsidRPr="001B446F">
              <w:t xml:space="preserve"> </w:t>
            </w:r>
          </w:p>
        </w:tc>
        <w:tc>
          <w:tcPr>
            <w:tcW w:w="3492" w:type="dxa"/>
            <w:tcBorders>
              <w:top w:val="single" w:sz="4" w:space="0" w:color="auto"/>
              <w:bottom w:val="single" w:sz="4" w:space="0" w:color="auto"/>
            </w:tcBorders>
          </w:tcPr>
          <w:p w:rsidR="00EE737E" w:rsidRPr="001B446F" w:rsidRDefault="00EE737E" w:rsidP="00112FEB">
            <w:pPr>
              <w:pStyle w:val="Table"/>
            </w:pPr>
            <w:r w:rsidRPr="001B446F">
              <w:t>CSR - 206207-011</w:t>
            </w:r>
            <w:r w:rsidR="00906B47" w:rsidRPr="001B446F">
              <w:t xml:space="preserve"> </w:t>
            </w:r>
            <w:r w:rsidRPr="001B446F">
              <w:rPr>
                <w:i/>
              </w:rPr>
              <w:t>(not available and not provided by the submission)</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nil"/>
              <w:bottom w:val="single" w:sz="4" w:space="0" w:color="auto"/>
              <w:right w:val="single" w:sz="4" w:space="0" w:color="auto"/>
            </w:tcBorders>
          </w:tcPr>
          <w:p w:rsidR="00EE737E" w:rsidRPr="001B446F" w:rsidRDefault="00EE737E" w:rsidP="00112FEB">
            <w:pPr>
              <w:pStyle w:val="Table"/>
            </w:pPr>
            <w:r w:rsidRPr="001B446F">
              <w:t xml:space="preserve">Mitchell P. </w:t>
            </w:r>
            <w:proofErr w:type="spellStart"/>
            <w:r w:rsidRPr="001B446F">
              <w:t>Ozurdex</w:t>
            </w:r>
            <w:proofErr w:type="spellEnd"/>
            <w:r w:rsidRPr="001B446F">
              <w:t xml:space="preserve"> </w:t>
            </w:r>
            <w:proofErr w:type="gramStart"/>
            <w:r w:rsidRPr="001B446F">
              <w:t>mead study subgroup analysis</w:t>
            </w:r>
            <w:proofErr w:type="gramEnd"/>
            <w:r w:rsidRPr="001B446F">
              <w:t xml:space="preserve">: Dexamethasone </w:t>
            </w:r>
            <w:proofErr w:type="spellStart"/>
            <w:r w:rsidRPr="001B446F">
              <w:t>intravitreal</w:t>
            </w:r>
            <w:proofErr w:type="spellEnd"/>
            <w:r w:rsidRPr="001B446F">
              <w:t xml:space="preserve"> implant (DEX) in previously treated patients with diabetic macular </w:t>
            </w:r>
            <w:r w:rsidR="007417C4" w:rsidRPr="001B446F">
              <w:t>oedema</w:t>
            </w:r>
            <w:r w:rsidRPr="001B446F">
              <w:t xml:space="preserve"> (</w:t>
            </w:r>
            <w:r w:rsidR="00E25904" w:rsidRPr="001B446F">
              <w:t>DMO</w:t>
            </w:r>
            <w:r w:rsidRPr="001B446F">
              <w:t xml:space="preserve">). </w:t>
            </w:r>
          </w:p>
        </w:tc>
        <w:tc>
          <w:tcPr>
            <w:tcW w:w="3492" w:type="dxa"/>
            <w:tcBorders>
              <w:top w:val="single" w:sz="4" w:space="0" w:color="auto"/>
              <w:bottom w:val="single" w:sz="4" w:space="0" w:color="auto"/>
            </w:tcBorders>
          </w:tcPr>
          <w:p w:rsidR="00EE737E" w:rsidRPr="001B446F" w:rsidRDefault="00EE737E" w:rsidP="00112FEB">
            <w:pPr>
              <w:pStyle w:val="Table"/>
            </w:pPr>
            <w:r w:rsidRPr="001B446F">
              <w:t>Clinical and Experimental Ophthalmology. Conference: 47th Annual Scientific Congress of the Royal Australian and New Zealand College of Ophthalmologists, RANZCO 2015. New Zealand. 43 (Supplement 1) (pp 24-25), 2015. Date of Publication: October 2015.</w:t>
            </w:r>
          </w:p>
          <w:p w:rsidR="00EE737E" w:rsidRPr="001B446F" w:rsidRDefault="00EE737E" w:rsidP="00112FEB">
            <w:pPr>
              <w:pStyle w:val="Table"/>
            </w:pP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nil"/>
              <w:bottom w:val="single" w:sz="4" w:space="0" w:color="auto"/>
              <w:right w:val="single" w:sz="4" w:space="0" w:color="auto"/>
            </w:tcBorders>
          </w:tcPr>
          <w:p w:rsidR="00EE737E" w:rsidRPr="001B446F" w:rsidRDefault="00EE737E" w:rsidP="00112FEB">
            <w:pPr>
              <w:pStyle w:val="Table"/>
            </w:pPr>
            <w:proofErr w:type="spellStart"/>
            <w:r w:rsidRPr="001B446F">
              <w:t>Danis</w:t>
            </w:r>
            <w:proofErr w:type="spellEnd"/>
            <w:r w:rsidRPr="001B446F">
              <w:t xml:space="preserve"> RP, </w:t>
            </w:r>
            <w:proofErr w:type="spellStart"/>
            <w:r w:rsidRPr="001B446F">
              <w:t>Sadda</w:t>
            </w:r>
            <w:proofErr w:type="spellEnd"/>
            <w:r w:rsidRPr="001B446F">
              <w:t xml:space="preserve"> SR, Cui H, Li X-Y, </w:t>
            </w:r>
            <w:proofErr w:type="spellStart"/>
            <w:r w:rsidRPr="001B446F">
              <w:t>Hashad</w:t>
            </w:r>
            <w:proofErr w:type="spellEnd"/>
            <w:r w:rsidRPr="001B446F">
              <w:t xml:space="preserve"> Y, </w:t>
            </w:r>
            <w:proofErr w:type="spellStart"/>
            <w:r w:rsidRPr="001B446F">
              <w:t>Whitcup</w:t>
            </w:r>
            <w:proofErr w:type="spellEnd"/>
            <w:r w:rsidRPr="001B446F">
              <w:t xml:space="preserve"> SM. Anatomic outcomes with dexamethasone </w:t>
            </w:r>
            <w:proofErr w:type="spellStart"/>
            <w:r w:rsidRPr="001B446F">
              <w:t>intravitreal</w:t>
            </w:r>
            <w:proofErr w:type="spellEnd"/>
            <w:r w:rsidRPr="001B446F">
              <w:t xml:space="preserve"> implant in diabetic macular </w:t>
            </w:r>
            <w:r w:rsidR="00A5135C" w:rsidRPr="001B446F">
              <w:t>oedema</w:t>
            </w:r>
            <w:r w:rsidRPr="001B446F">
              <w:t xml:space="preserve">: A pooled analysis of two randomized phase 3 trials. </w:t>
            </w:r>
          </w:p>
        </w:tc>
        <w:tc>
          <w:tcPr>
            <w:tcW w:w="3492" w:type="dxa"/>
            <w:tcBorders>
              <w:top w:val="single" w:sz="4" w:space="0" w:color="auto"/>
              <w:bottom w:val="single" w:sz="4" w:space="0" w:color="auto"/>
            </w:tcBorders>
          </w:tcPr>
          <w:p w:rsidR="00EE737E" w:rsidRPr="001B446F" w:rsidRDefault="00EE737E" w:rsidP="00112FEB">
            <w:pPr>
              <w:pStyle w:val="Table"/>
            </w:pPr>
            <w:r w:rsidRPr="001B446F">
              <w:t>Investigative Ophthalmology and Visual Science. Conference: 2014 Annual Meeting of the Association for Research in Vision and Ophthalmology, ARVO 2014. United States. 55 (13, pp 5051, 2014. Date of Publication: April 2014.</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nil"/>
              <w:bottom w:val="single" w:sz="4" w:space="0" w:color="auto"/>
              <w:right w:val="single" w:sz="4" w:space="0" w:color="auto"/>
            </w:tcBorders>
          </w:tcPr>
          <w:p w:rsidR="00EE737E" w:rsidRPr="001B446F" w:rsidRDefault="00EE737E" w:rsidP="00112FEB">
            <w:pPr>
              <w:pStyle w:val="Table"/>
            </w:pPr>
            <w:r w:rsidRPr="001B446F">
              <w:t xml:space="preserve">Yoon YH, Boyer DS, Belfort R, Bandello F, </w:t>
            </w:r>
            <w:proofErr w:type="spellStart"/>
            <w:r w:rsidRPr="001B446F">
              <w:t>Maturi</w:t>
            </w:r>
            <w:proofErr w:type="spellEnd"/>
            <w:r w:rsidRPr="001B446F">
              <w:t xml:space="preserve"> RK, Augustin AJ, Li X-Y, Cui H, </w:t>
            </w:r>
            <w:proofErr w:type="spellStart"/>
            <w:r w:rsidRPr="001B446F">
              <w:t>Hashad</w:t>
            </w:r>
            <w:proofErr w:type="spellEnd"/>
            <w:r w:rsidRPr="001B446F">
              <w:t xml:space="preserve"> Y, </w:t>
            </w:r>
            <w:proofErr w:type="spellStart"/>
            <w:r w:rsidRPr="001B446F">
              <w:t>Whitcup</w:t>
            </w:r>
            <w:proofErr w:type="spellEnd"/>
            <w:r w:rsidRPr="001B446F">
              <w:t xml:space="preserve"> SM. Long-term efficacy and safety of dexamethasone </w:t>
            </w:r>
            <w:proofErr w:type="spellStart"/>
            <w:r w:rsidRPr="001B446F">
              <w:t>intravitreal</w:t>
            </w:r>
            <w:proofErr w:type="spellEnd"/>
            <w:r w:rsidRPr="001B446F">
              <w:t xml:space="preserve"> implant in </w:t>
            </w:r>
            <w:proofErr w:type="spellStart"/>
            <w:r w:rsidRPr="001B446F">
              <w:t>phakic</w:t>
            </w:r>
            <w:proofErr w:type="spellEnd"/>
            <w:r w:rsidRPr="001B446F">
              <w:t xml:space="preserve"> and </w:t>
            </w:r>
            <w:proofErr w:type="spellStart"/>
            <w:r w:rsidRPr="001B446F">
              <w:t>pseudophakic</w:t>
            </w:r>
            <w:proofErr w:type="spellEnd"/>
            <w:r w:rsidRPr="001B446F">
              <w:t xml:space="preserve"> eyes with diabetic macular </w:t>
            </w:r>
            <w:r w:rsidR="00A5135C" w:rsidRPr="001B446F">
              <w:t>oedema</w:t>
            </w:r>
            <w:r w:rsidRPr="001B446F">
              <w:t xml:space="preserve">. </w:t>
            </w:r>
          </w:p>
        </w:tc>
        <w:tc>
          <w:tcPr>
            <w:tcW w:w="3492" w:type="dxa"/>
            <w:tcBorders>
              <w:top w:val="single" w:sz="4" w:space="0" w:color="auto"/>
              <w:bottom w:val="single" w:sz="4" w:space="0" w:color="auto"/>
            </w:tcBorders>
          </w:tcPr>
          <w:p w:rsidR="00EE737E" w:rsidRPr="001B446F" w:rsidRDefault="00EE737E" w:rsidP="00112FEB">
            <w:pPr>
              <w:pStyle w:val="Table"/>
            </w:pPr>
            <w:r w:rsidRPr="001B446F">
              <w:t>Investigative Ophthalmology and Visual Science. Conference: 2014 Annual Meeting of the Association for Research in Vision and Ophthalmology, ARVO 2014. United States. 55 (13 pp 1779), 2014. Date of Publication: April 2014.</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nil"/>
              <w:bottom w:val="single" w:sz="4" w:space="0" w:color="auto"/>
              <w:right w:val="single" w:sz="4" w:space="0" w:color="auto"/>
            </w:tcBorders>
          </w:tcPr>
          <w:p w:rsidR="00EE737E" w:rsidRPr="001B446F" w:rsidRDefault="00EE737E" w:rsidP="00112FEB">
            <w:pPr>
              <w:pStyle w:val="Table"/>
            </w:pPr>
            <w:proofErr w:type="spellStart"/>
            <w:r w:rsidRPr="001B446F">
              <w:t>Danis</w:t>
            </w:r>
            <w:proofErr w:type="spellEnd"/>
            <w:r w:rsidRPr="001B446F">
              <w:t xml:space="preserve"> RP, </w:t>
            </w:r>
            <w:proofErr w:type="spellStart"/>
            <w:r w:rsidRPr="001B446F">
              <w:t>Sadda</w:t>
            </w:r>
            <w:proofErr w:type="spellEnd"/>
            <w:r w:rsidRPr="001B446F">
              <w:t xml:space="preserve"> S, Jiao J, Li XY, </w:t>
            </w:r>
            <w:proofErr w:type="spellStart"/>
            <w:r w:rsidRPr="001B446F">
              <w:t>Whitcup</w:t>
            </w:r>
            <w:proofErr w:type="spellEnd"/>
            <w:r w:rsidRPr="001B446F">
              <w:t xml:space="preserve"> SM. Relationship between retinal thickness and visual acuity in eyes with retinal vein occlusion treated with dexamethasone implant. </w:t>
            </w:r>
          </w:p>
        </w:tc>
        <w:tc>
          <w:tcPr>
            <w:tcW w:w="3492" w:type="dxa"/>
            <w:tcBorders>
              <w:top w:val="single" w:sz="4" w:space="0" w:color="auto"/>
              <w:bottom w:val="single" w:sz="4" w:space="0" w:color="auto"/>
            </w:tcBorders>
          </w:tcPr>
          <w:p w:rsidR="00EE737E" w:rsidRPr="001B446F" w:rsidRDefault="00EE737E" w:rsidP="00112FEB">
            <w:pPr>
              <w:pStyle w:val="Table"/>
            </w:pPr>
            <w:r w:rsidRPr="001B446F">
              <w:t>Retina. 2016. 36(6):1170-6.</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nil"/>
              <w:bottom w:val="single" w:sz="4" w:space="0" w:color="auto"/>
              <w:right w:val="single" w:sz="4" w:space="0" w:color="auto"/>
            </w:tcBorders>
          </w:tcPr>
          <w:p w:rsidR="00EE737E" w:rsidRPr="001B446F" w:rsidRDefault="00EE737E" w:rsidP="00112FEB">
            <w:pPr>
              <w:pStyle w:val="Table"/>
            </w:pPr>
            <w:proofErr w:type="spellStart"/>
            <w:r w:rsidRPr="001B446F">
              <w:t>Danis</w:t>
            </w:r>
            <w:proofErr w:type="spellEnd"/>
            <w:r w:rsidRPr="001B446F">
              <w:t xml:space="preserve"> RP, </w:t>
            </w:r>
            <w:proofErr w:type="spellStart"/>
            <w:r w:rsidRPr="001B446F">
              <w:t>Sadda</w:t>
            </w:r>
            <w:proofErr w:type="spellEnd"/>
            <w:r w:rsidRPr="001B446F">
              <w:t xml:space="preserve"> S, Li XY, Cui H, </w:t>
            </w:r>
            <w:proofErr w:type="spellStart"/>
            <w:r w:rsidRPr="001B446F">
              <w:t>Hashad</w:t>
            </w:r>
            <w:proofErr w:type="spellEnd"/>
            <w:r w:rsidRPr="001B446F">
              <w:t xml:space="preserve"> Y, </w:t>
            </w:r>
            <w:proofErr w:type="spellStart"/>
            <w:r w:rsidRPr="001B446F">
              <w:t>Whitcup</w:t>
            </w:r>
            <w:proofErr w:type="spellEnd"/>
            <w:r w:rsidRPr="001B446F">
              <w:t xml:space="preserve"> SM. Anatomical effects of dexamethasone </w:t>
            </w:r>
            <w:proofErr w:type="spellStart"/>
            <w:r w:rsidRPr="001B446F">
              <w:t>intravitreal</w:t>
            </w:r>
            <w:proofErr w:type="spellEnd"/>
            <w:r w:rsidRPr="001B446F">
              <w:t xml:space="preserve"> implant in diabetic macular </w:t>
            </w:r>
            <w:r w:rsidR="007417C4" w:rsidRPr="001B446F">
              <w:t>oedema</w:t>
            </w:r>
            <w:r w:rsidRPr="001B446F">
              <w:t xml:space="preserve">: a pooled analysis of 3-year phase III trials. </w:t>
            </w:r>
          </w:p>
        </w:tc>
        <w:tc>
          <w:tcPr>
            <w:tcW w:w="3492" w:type="dxa"/>
            <w:tcBorders>
              <w:top w:val="single" w:sz="4" w:space="0" w:color="auto"/>
              <w:bottom w:val="single" w:sz="4" w:space="0" w:color="auto"/>
            </w:tcBorders>
          </w:tcPr>
          <w:p w:rsidR="00EE737E" w:rsidRPr="001B446F" w:rsidRDefault="00EE737E" w:rsidP="00112FEB">
            <w:pPr>
              <w:pStyle w:val="Table"/>
            </w:pPr>
            <w:r w:rsidRPr="001B446F">
              <w:t>British Journal of Ophthalmology. 2016. 100(6):796-801.</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nil"/>
              <w:bottom w:val="single" w:sz="4" w:space="0" w:color="auto"/>
              <w:right w:val="single" w:sz="4" w:space="0" w:color="auto"/>
            </w:tcBorders>
          </w:tcPr>
          <w:p w:rsidR="00EE737E" w:rsidRPr="001B446F" w:rsidRDefault="00EE737E" w:rsidP="00112FEB">
            <w:pPr>
              <w:pStyle w:val="Table"/>
            </w:pPr>
            <w:proofErr w:type="spellStart"/>
            <w:r w:rsidRPr="001B446F">
              <w:t>Maturi</w:t>
            </w:r>
            <w:proofErr w:type="spellEnd"/>
            <w:r w:rsidRPr="001B446F">
              <w:t xml:space="preserve"> RK, Pollack A, </w:t>
            </w:r>
            <w:proofErr w:type="spellStart"/>
            <w:r w:rsidRPr="001B446F">
              <w:t>Uy</w:t>
            </w:r>
            <w:proofErr w:type="spellEnd"/>
            <w:r w:rsidRPr="001B446F">
              <w:t xml:space="preserve"> HS, </w:t>
            </w:r>
            <w:proofErr w:type="spellStart"/>
            <w:r w:rsidRPr="001B446F">
              <w:t>Varano</w:t>
            </w:r>
            <w:proofErr w:type="spellEnd"/>
            <w:r w:rsidRPr="001B446F">
              <w:t xml:space="preserve"> M, Gomes AM, Li XY, Cui H, Lou J, </w:t>
            </w:r>
            <w:proofErr w:type="spellStart"/>
            <w:r w:rsidRPr="001B446F">
              <w:t>Hashad</w:t>
            </w:r>
            <w:proofErr w:type="spellEnd"/>
            <w:r w:rsidRPr="001B446F">
              <w:t xml:space="preserve"> Y, </w:t>
            </w:r>
            <w:proofErr w:type="spellStart"/>
            <w:r w:rsidRPr="001B446F">
              <w:t>Whitcup</w:t>
            </w:r>
            <w:proofErr w:type="spellEnd"/>
            <w:r w:rsidRPr="001B446F">
              <w:t xml:space="preserve"> SM, </w:t>
            </w:r>
            <w:proofErr w:type="spellStart"/>
            <w:r w:rsidRPr="001B446F">
              <w:t>Ozurdex</w:t>
            </w:r>
            <w:proofErr w:type="spellEnd"/>
            <w:r w:rsidRPr="001B446F">
              <w:t xml:space="preserve"> MEAD Study Group. Intraocular pressure in patients with diabetic macular </w:t>
            </w:r>
            <w:r w:rsidR="00A5135C" w:rsidRPr="001B446F">
              <w:t>oedema</w:t>
            </w:r>
            <w:r w:rsidRPr="001B446F">
              <w:t xml:space="preserve"> treated with dexamethasone </w:t>
            </w:r>
            <w:proofErr w:type="spellStart"/>
            <w:r w:rsidRPr="001B446F">
              <w:t>intravitreal</w:t>
            </w:r>
            <w:proofErr w:type="spellEnd"/>
            <w:r w:rsidRPr="001B446F">
              <w:t xml:space="preserve"> implant in the 3-year MEAD study. </w:t>
            </w:r>
          </w:p>
        </w:tc>
        <w:tc>
          <w:tcPr>
            <w:tcW w:w="3492" w:type="dxa"/>
            <w:tcBorders>
              <w:top w:val="single" w:sz="4" w:space="0" w:color="auto"/>
              <w:bottom w:val="single" w:sz="4" w:space="0" w:color="auto"/>
            </w:tcBorders>
          </w:tcPr>
          <w:p w:rsidR="00EE737E" w:rsidRPr="001B446F" w:rsidRDefault="00EE737E" w:rsidP="00112FEB">
            <w:pPr>
              <w:pStyle w:val="Table"/>
            </w:pPr>
            <w:r w:rsidRPr="001B446F">
              <w:t>Retina. 2016. 36(6):1143-52.</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nil"/>
              <w:bottom w:val="single" w:sz="4" w:space="0" w:color="auto"/>
              <w:right w:val="single" w:sz="4" w:space="0" w:color="auto"/>
            </w:tcBorders>
          </w:tcPr>
          <w:p w:rsidR="00EE737E" w:rsidRPr="001B446F" w:rsidRDefault="00EE737E" w:rsidP="00112FEB">
            <w:pPr>
              <w:pStyle w:val="Table"/>
            </w:pPr>
            <w:r w:rsidRPr="001B446F">
              <w:t xml:space="preserve">Augustin AJ, </w:t>
            </w:r>
            <w:proofErr w:type="spellStart"/>
            <w:r w:rsidRPr="001B446F">
              <w:t>Kuppermann</w:t>
            </w:r>
            <w:proofErr w:type="spellEnd"/>
            <w:r w:rsidRPr="001B446F">
              <w:t xml:space="preserve"> BD, </w:t>
            </w:r>
            <w:proofErr w:type="spellStart"/>
            <w:r w:rsidRPr="001B446F">
              <w:t>Lanzetta</w:t>
            </w:r>
            <w:proofErr w:type="spellEnd"/>
            <w:r w:rsidRPr="001B446F">
              <w:t xml:space="preserve"> P, </w:t>
            </w:r>
            <w:proofErr w:type="spellStart"/>
            <w:r w:rsidRPr="001B446F">
              <w:t>Loewenstein</w:t>
            </w:r>
            <w:proofErr w:type="spellEnd"/>
            <w:r w:rsidRPr="001B446F">
              <w:t xml:space="preserve"> A, Li XY, Cui H, </w:t>
            </w:r>
            <w:proofErr w:type="spellStart"/>
            <w:r w:rsidRPr="001B446F">
              <w:t>Hashad</w:t>
            </w:r>
            <w:proofErr w:type="spellEnd"/>
            <w:r w:rsidRPr="001B446F">
              <w:t xml:space="preserve"> Y, </w:t>
            </w:r>
            <w:proofErr w:type="spellStart"/>
            <w:r w:rsidRPr="001B446F">
              <w:t>Whitcup</w:t>
            </w:r>
            <w:proofErr w:type="spellEnd"/>
            <w:r w:rsidRPr="001B446F">
              <w:t xml:space="preserve"> SM, </w:t>
            </w:r>
            <w:proofErr w:type="spellStart"/>
            <w:r w:rsidRPr="001B446F">
              <w:t>Ozurdex</w:t>
            </w:r>
            <w:proofErr w:type="spellEnd"/>
            <w:r w:rsidRPr="001B446F">
              <w:t xml:space="preserve"> MEAD Study Group. Dexamethasone </w:t>
            </w:r>
            <w:proofErr w:type="spellStart"/>
            <w:r w:rsidRPr="001B446F">
              <w:t>intravitreal</w:t>
            </w:r>
            <w:proofErr w:type="spellEnd"/>
            <w:r w:rsidRPr="001B446F">
              <w:t xml:space="preserve"> implant in previously treated patients with diabetic macular </w:t>
            </w:r>
            <w:r w:rsidR="00A5135C" w:rsidRPr="001B446F">
              <w:t>oedema</w:t>
            </w:r>
            <w:r w:rsidRPr="001B446F">
              <w:t xml:space="preserve">: subgroup analysis of the MEAD study. </w:t>
            </w:r>
          </w:p>
        </w:tc>
        <w:tc>
          <w:tcPr>
            <w:tcW w:w="3492" w:type="dxa"/>
            <w:tcBorders>
              <w:top w:val="single" w:sz="4" w:space="0" w:color="auto"/>
              <w:bottom w:val="single" w:sz="4" w:space="0" w:color="auto"/>
            </w:tcBorders>
          </w:tcPr>
          <w:p w:rsidR="00EE737E" w:rsidRPr="001B446F" w:rsidRDefault="00EE737E" w:rsidP="00112FEB">
            <w:pPr>
              <w:pStyle w:val="Table"/>
            </w:pPr>
            <w:r w:rsidRPr="001B446F">
              <w:t>BMC Ophthalmology. 2015. 15:150.</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nil"/>
              <w:bottom w:val="single" w:sz="4" w:space="0" w:color="auto"/>
              <w:right w:val="single" w:sz="4" w:space="0" w:color="auto"/>
            </w:tcBorders>
          </w:tcPr>
          <w:p w:rsidR="00EE737E" w:rsidRPr="001B446F" w:rsidRDefault="00EE737E" w:rsidP="00112FEB">
            <w:pPr>
              <w:pStyle w:val="Table"/>
            </w:pPr>
            <w:r w:rsidRPr="001B446F">
              <w:t xml:space="preserve">Belfort R, Boyer DS, Yoon YH, Bandello F, </w:t>
            </w:r>
            <w:proofErr w:type="spellStart"/>
            <w:r w:rsidRPr="001B446F">
              <w:t>Maturi</w:t>
            </w:r>
            <w:proofErr w:type="spellEnd"/>
            <w:r w:rsidRPr="001B446F">
              <w:t xml:space="preserve"> RK, Augustin AJ, Li X-Y, Cui H, </w:t>
            </w:r>
            <w:proofErr w:type="spellStart"/>
            <w:r w:rsidRPr="001B446F">
              <w:t>Hashad</w:t>
            </w:r>
            <w:proofErr w:type="spellEnd"/>
            <w:r w:rsidRPr="001B446F">
              <w:t xml:space="preserve"> Y, </w:t>
            </w:r>
            <w:proofErr w:type="spellStart"/>
            <w:r w:rsidRPr="001B446F">
              <w:t>Whitcup</w:t>
            </w:r>
            <w:proofErr w:type="spellEnd"/>
            <w:r w:rsidRPr="001B446F">
              <w:t xml:space="preserve"> SM. Three-year, randomized, sham controlled, phase III study of dexamethasone </w:t>
            </w:r>
            <w:proofErr w:type="spellStart"/>
            <w:r w:rsidRPr="001B446F">
              <w:t>intravitreal</w:t>
            </w:r>
            <w:proofErr w:type="spellEnd"/>
            <w:r w:rsidRPr="001B446F">
              <w:t xml:space="preserve"> implant in patients with diabetic macular </w:t>
            </w:r>
            <w:r w:rsidR="00A5135C" w:rsidRPr="001B446F">
              <w:t>oedema</w:t>
            </w:r>
            <w:r w:rsidRPr="001B446F">
              <w:t xml:space="preserve">. </w:t>
            </w:r>
          </w:p>
        </w:tc>
        <w:tc>
          <w:tcPr>
            <w:tcW w:w="3492" w:type="dxa"/>
            <w:tcBorders>
              <w:bottom w:val="single" w:sz="4" w:space="0" w:color="auto"/>
            </w:tcBorders>
            <w:vAlign w:val="center"/>
          </w:tcPr>
          <w:p w:rsidR="00EE737E" w:rsidRPr="001B446F" w:rsidRDefault="00EE737E" w:rsidP="00112FEB">
            <w:pPr>
              <w:pStyle w:val="Table"/>
            </w:pPr>
            <w:r w:rsidRPr="001B446F">
              <w:t>Investigative Ophthalmology and Visual Science. Conference: 2014 Annual Meeting of the Association for Research in Vision and Ophthalmology, ARVO 2014. United States. 55 (13) (pp 1706), 2014. Date of Publication: April 2014.</w:t>
            </w:r>
          </w:p>
        </w:tc>
      </w:tr>
      <w:tr w:rsidR="00EE737E" w:rsidRPr="001B446F" w:rsidTr="00112FEB">
        <w:tc>
          <w:tcPr>
            <w:tcW w:w="1413" w:type="dxa"/>
            <w:vMerge/>
          </w:tcPr>
          <w:p w:rsidR="00EE737E" w:rsidRPr="001B446F" w:rsidRDefault="00EE737E" w:rsidP="00112FEB">
            <w:pPr>
              <w:rPr>
                <w:rFonts w:ascii="Arial Narrow" w:hAnsi="Arial Narrow"/>
                <w:sz w:val="20"/>
              </w:rPr>
            </w:pPr>
          </w:p>
        </w:tc>
        <w:tc>
          <w:tcPr>
            <w:tcW w:w="4111" w:type="dxa"/>
            <w:tcBorders>
              <w:top w:val="single" w:sz="4" w:space="0" w:color="auto"/>
              <w:left w:val="nil"/>
              <w:bottom w:val="single" w:sz="4" w:space="0" w:color="auto"/>
              <w:right w:val="single" w:sz="4" w:space="0" w:color="auto"/>
            </w:tcBorders>
          </w:tcPr>
          <w:p w:rsidR="00EE737E" w:rsidRPr="001B446F" w:rsidRDefault="00EE737E" w:rsidP="00112FEB">
            <w:pPr>
              <w:pStyle w:val="Table"/>
            </w:pPr>
            <w:r w:rsidRPr="001B446F">
              <w:t xml:space="preserve">Boyer </w:t>
            </w:r>
            <w:proofErr w:type="gramStart"/>
            <w:r w:rsidRPr="001B446F">
              <w:t>DS.,</w:t>
            </w:r>
            <w:proofErr w:type="gramEnd"/>
            <w:r w:rsidRPr="001B446F">
              <w:t xml:space="preserve"> Yoon YH., Belfort R. Three-year, randomized, sham-controlled trial of dexamethasone </w:t>
            </w:r>
            <w:proofErr w:type="spellStart"/>
            <w:r w:rsidRPr="001B446F">
              <w:t>intravitreal</w:t>
            </w:r>
            <w:proofErr w:type="spellEnd"/>
            <w:r w:rsidRPr="001B446F">
              <w:t xml:space="preserve"> implant in patients with diabetic macular </w:t>
            </w:r>
            <w:r w:rsidR="00A5135C" w:rsidRPr="001B446F">
              <w:t>oedema</w:t>
            </w:r>
            <w:r w:rsidRPr="001B446F">
              <w:t xml:space="preserve">. </w:t>
            </w:r>
          </w:p>
        </w:tc>
        <w:tc>
          <w:tcPr>
            <w:tcW w:w="3492" w:type="dxa"/>
            <w:tcBorders>
              <w:top w:val="single" w:sz="4" w:space="0" w:color="auto"/>
            </w:tcBorders>
            <w:vAlign w:val="center"/>
          </w:tcPr>
          <w:p w:rsidR="00EE737E" w:rsidRPr="001B446F" w:rsidRDefault="00EE737E" w:rsidP="00112FEB">
            <w:pPr>
              <w:pStyle w:val="Table"/>
            </w:pPr>
            <w:r w:rsidRPr="001B446F">
              <w:t>Ophthalmology 2014</w:t>
            </w:r>
            <w:proofErr w:type="gramStart"/>
            <w:r w:rsidRPr="001B446F">
              <w:t>;121</w:t>
            </w:r>
            <w:proofErr w:type="gramEnd"/>
            <w:r w:rsidRPr="001B446F">
              <w:t>(10):1904-14.</w:t>
            </w:r>
          </w:p>
        </w:tc>
      </w:tr>
    </w:tbl>
    <w:bookmarkEnd w:id="13"/>
    <w:p w:rsidR="00EE737E" w:rsidRPr="001B446F" w:rsidRDefault="00EE737E" w:rsidP="00EE737E">
      <w:pPr>
        <w:pStyle w:val="TableFooter"/>
      </w:pPr>
      <w:r w:rsidRPr="001B446F">
        <w:t>Source: Table 10, pp27-29 of the submission</w:t>
      </w:r>
    </w:p>
    <w:p w:rsidR="00CF1F17" w:rsidRPr="001B446F" w:rsidRDefault="00CF1F17" w:rsidP="00CF1F17">
      <w:pPr>
        <w:pStyle w:val="TableFooter"/>
      </w:pPr>
      <w:proofErr w:type="spellStart"/>
      <w:proofErr w:type="gramStart"/>
      <w:r w:rsidRPr="001B446F">
        <w:rPr>
          <w:vertAlign w:val="superscript"/>
        </w:rPr>
        <w:t>a</w:t>
      </w:r>
      <w:proofErr w:type="spellEnd"/>
      <w:proofErr w:type="gramEnd"/>
      <w:r w:rsidR="00C7606B" w:rsidRPr="001B446F">
        <w:rPr>
          <w:vertAlign w:val="superscript"/>
        </w:rPr>
        <w:t xml:space="preserve"> </w:t>
      </w:r>
      <w:r w:rsidR="00906B47" w:rsidRPr="001B446F">
        <w:t xml:space="preserve">The MEAD  trials were </w:t>
      </w:r>
      <w:r w:rsidRPr="001B446F">
        <w:t xml:space="preserve">considered by PBAC when recommending </w:t>
      </w:r>
      <w:r w:rsidR="00906B47" w:rsidRPr="001B446F">
        <w:t>DEX for DMO</w:t>
      </w:r>
      <w:r w:rsidRPr="001B446F">
        <w:t>. Two trials previously considered (Trial 024 and BEVORDEX</w:t>
      </w:r>
      <w:r w:rsidR="00012DCE" w:rsidRPr="001B446F">
        <w:t xml:space="preserve">) </w:t>
      </w:r>
      <w:r w:rsidRPr="001B446F">
        <w:t>were not included in this submission because they were vs ranibizumab/ bevacizumab</w:t>
      </w:r>
      <w:r w:rsidR="00906B47" w:rsidRPr="001B446F">
        <w:t>, rather than vs sham injection</w:t>
      </w:r>
      <w:r w:rsidRPr="001B446F">
        <w:t xml:space="preserve">. </w:t>
      </w:r>
    </w:p>
    <w:p w:rsidR="0074722B" w:rsidRPr="001B446F" w:rsidRDefault="0074722B">
      <w:pPr>
        <w:jc w:val="left"/>
        <w:rPr>
          <w:rFonts w:ascii="Arial Narrow" w:hAnsi="Arial Narrow"/>
          <w:sz w:val="18"/>
        </w:rPr>
      </w:pPr>
    </w:p>
    <w:p w:rsidR="006679C3" w:rsidRPr="001B446F" w:rsidRDefault="008F120A" w:rsidP="003C754B">
      <w:pPr>
        <w:pStyle w:val="3-BodyText"/>
        <w:widowControl w:val="0"/>
      </w:pPr>
      <w:r w:rsidRPr="001B446F">
        <w:t xml:space="preserve">The key features of the </w:t>
      </w:r>
      <w:r w:rsidR="00D608E4" w:rsidRPr="001B446F">
        <w:t>r</w:t>
      </w:r>
      <w:r w:rsidRPr="001B446F">
        <w:t xml:space="preserve">andomised trials are summarised in </w:t>
      </w:r>
      <w:r w:rsidR="00340CE3" w:rsidRPr="001B446F">
        <w:t xml:space="preserve">Table 3. </w:t>
      </w:r>
    </w:p>
    <w:p w:rsidR="006679C3" w:rsidRPr="001B446F" w:rsidRDefault="006679C3" w:rsidP="003C754B">
      <w:pPr>
        <w:pStyle w:val="TableFigureHeading"/>
        <w:keepNext w:val="0"/>
        <w:widowControl w:val="0"/>
        <w:rPr>
          <w:rStyle w:val="CommentReference"/>
          <w:b/>
          <w:szCs w:val="24"/>
        </w:rPr>
      </w:pPr>
      <w:r w:rsidRPr="001B446F">
        <w:rPr>
          <w:rStyle w:val="CommentReference"/>
          <w:b/>
          <w:szCs w:val="24"/>
        </w:rPr>
        <w:t xml:space="preserve">Table </w:t>
      </w:r>
      <w:r w:rsidR="00340CE3" w:rsidRPr="001B446F">
        <w:rPr>
          <w:rStyle w:val="CommentReference"/>
          <w:b/>
          <w:szCs w:val="24"/>
        </w:rPr>
        <w:t>3</w:t>
      </w:r>
      <w:r w:rsidRPr="001B446F">
        <w:rPr>
          <w:rStyle w:val="CommentReference"/>
          <w:b/>
          <w:szCs w:val="24"/>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31"/>
        <w:gridCol w:w="709"/>
        <w:gridCol w:w="1417"/>
        <w:gridCol w:w="849"/>
        <w:gridCol w:w="1134"/>
        <w:gridCol w:w="2837"/>
        <w:gridCol w:w="940"/>
      </w:tblGrid>
      <w:tr w:rsidR="006679C3" w:rsidRPr="001B446F" w:rsidTr="00A4429E">
        <w:trPr>
          <w:tblHeader/>
        </w:trPr>
        <w:tc>
          <w:tcPr>
            <w:tcW w:w="627" w:type="pct"/>
            <w:shd w:val="clear" w:color="auto" w:fill="auto"/>
            <w:vAlign w:val="center"/>
          </w:tcPr>
          <w:p w:rsidR="006679C3" w:rsidRPr="001B446F" w:rsidRDefault="006679C3" w:rsidP="003C754B">
            <w:pPr>
              <w:pStyle w:val="In-tableHeading"/>
              <w:keepNext w:val="0"/>
              <w:widowControl w:val="0"/>
              <w:rPr>
                <w:lang w:val="en-AU"/>
              </w:rPr>
            </w:pPr>
            <w:r w:rsidRPr="001B446F">
              <w:rPr>
                <w:lang w:val="en-AU"/>
              </w:rPr>
              <w:t>Trial</w:t>
            </w:r>
          </w:p>
        </w:tc>
        <w:tc>
          <w:tcPr>
            <w:tcW w:w="393" w:type="pct"/>
            <w:shd w:val="clear" w:color="auto" w:fill="auto"/>
            <w:vAlign w:val="center"/>
          </w:tcPr>
          <w:p w:rsidR="006679C3" w:rsidRPr="001B446F" w:rsidRDefault="006679C3" w:rsidP="003C754B">
            <w:pPr>
              <w:pStyle w:val="In-tableHeading"/>
              <w:keepNext w:val="0"/>
              <w:widowControl w:val="0"/>
              <w:jc w:val="center"/>
              <w:rPr>
                <w:lang w:val="en-AU"/>
              </w:rPr>
            </w:pPr>
            <w:r w:rsidRPr="001B446F">
              <w:rPr>
                <w:lang w:val="en-AU"/>
              </w:rPr>
              <w:t>N</w:t>
            </w:r>
          </w:p>
        </w:tc>
        <w:tc>
          <w:tcPr>
            <w:tcW w:w="786" w:type="pct"/>
            <w:shd w:val="clear" w:color="auto" w:fill="auto"/>
            <w:vAlign w:val="center"/>
          </w:tcPr>
          <w:p w:rsidR="006679C3" w:rsidRPr="001B446F" w:rsidRDefault="006679C3" w:rsidP="003C754B">
            <w:pPr>
              <w:pStyle w:val="In-tableHeading"/>
              <w:keepNext w:val="0"/>
              <w:widowControl w:val="0"/>
              <w:jc w:val="center"/>
              <w:rPr>
                <w:lang w:val="en-AU"/>
              </w:rPr>
            </w:pPr>
            <w:r w:rsidRPr="001B446F">
              <w:rPr>
                <w:lang w:val="en-AU"/>
              </w:rPr>
              <w:t>Design/ duration</w:t>
            </w:r>
          </w:p>
        </w:tc>
        <w:tc>
          <w:tcPr>
            <w:tcW w:w="471" w:type="pct"/>
            <w:shd w:val="clear" w:color="auto" w:fill="auto"/>
            <w:vAlign w:val="center"/>
          </w:tcPr>
          <w:p w:rsidR="006679C3" w:rsidRPr="001B446F" w:rsidRDefault="006679C3" w:rsidP="003C754B">
            <w:pPr>
              <w:pStyle w:val="In-tableHeading"/>
              <w:keepNext w:val="0"/>
              <w:widowControl w:val="0"/>
              <w:jc w:val="center"/>
              <w:rPr>
                <w:lang w:val="en-AU"/>
              </w:rPr>
            </w:pPr>
            <w:r w:rsidRPr="001B446F">
              <w:rPr>
                <w:lang w:val="en-AU"/>
              </w:rPr>
              <w:t>Risk of bias</w:t>
            </w:r>
          </w:p>
        </w:tc>
        <w:tc>
          <w:tcPr>
            <w:tcW w:w="629" w:type="pct"/>
            <w:shd w:val="clear" w:color="auto" w:fill="auto"/>
            <w:vAlign w:val="center"/>
          </w:tcPr>
          <w:p w:rsidR="006679C3" w:rsidRPr="001B446F" w:rsidRDefault="006679C3" w:rsidP="003C754B">
            <w:pPr>
              <w:pStyle w:val="In-tableHeading"/>
              <w:keepNext w:val="0"/>
              <w:widowControl w:val="0"/>
              <w:jc w:val="center"/>
              <w:rPr>
                <w:lang w:val="en-AU"/>
              </w:rPr>
            </w:pPr>
            <w:r w:rsidRPr="001B446F">
              <w:rPr>
                <w:lang w:val="en-AU"/>
              </w:rPr>
              <w:t>Patient population</w:t>
            </w:r>
          </w:p>
        </w:tc>
        <w:tc>
          <w:tcPr>
            <w:tcW w:w="1573" w:type="pct"/>
            <w:shd w:val="clear" w:color="auto" w:fill="auto"/>
            <w:vAlign w:val="center"/>
          </w:tcPr>
          <w:p w:rsidR="006679C3" w:rsidRPr="001B446F" w:rsidRDefault="006679C3" w:rsidP="003C754B">
            <w:pPr>
              <w:pStyle w:val="In-tableHeading"/>
              <w:keepNext w:val="0"/>
              <w:widowControl w:val="0"/>
              <w:jc w:val="center"/>
              <w:rPr>
                <w:lang w:val="en-AU"/>
              </w:rPr>
            </w:pPr>
            <w:r w:rsidRPr="001B446F">
              <w:rPr>
                <w:lang w:val="en-AU"/>
              </w:rPr>
              <w:t>Outcomes</w:t>
            </w:r>
          </w:p>
        </w:tc>
        <w:tc>
          <w:tcPr>
            <w:tcW w:w="521" w:type="pct"/>
            <w:shd w:val="clear" w:color="auto" w:fill="auto"/>
            <w:vAlign w:val="center"/>
          </w:tcPr>
          <w:p w:rsidR="006679C3" w:rsidRPr="001B446F" w:rsidRDefault="006679C3" w:rsidP="003C754B">
            <w:pPr>
              <w:pStyle w:val="In-tableHeading"/>
              <w:keepNext w:val="0"/>
              <w:widowControl w:val="0"/>
              <w:jc w:val="center"/>
              <w:rPr>
                <w:lang w:val="en-AU"/>
              </w:rPr>
            </w:pPr>
            <w:r w:rsidRPr="001B446F">
              <w:rPr>
                <w:lang w:val="en-AU"/>
              </w:rPr>
              <w:t>Use</w:t>
            </w:r>
            <w:r w:rsidR="00C7606B" w:rsidRPr="001B446F">
              <w:rPr>
                <w:lang w:val="en-AU"/>
              </w:rPr>
              <w:t>d</w:t>
            </w:r>
            <w:r w:rsidRPr="001B446F">
              <w:rPr>
                <w:lang w:val="en-AU"/>
              </w:rPr>
              <w:t xml:space="preserve"> in </w:t>
            </w:r>
            <w:r w:rsidR="00C7606B" w:rsidRPr="001B446F">
              <w:rPr>
                <w:lang w:val="en-AU"/>
              </w:rPr>
              <w:t>economic evaluation.</w:t>
            </w:r>
          </w:p>
        </w:tc>
      </w:tr>
      <w:tr w:rsidR="006679C3" w:rsidRPr="001B446F" w:rsidTr="00171484">
        <w:tc>
          <w:tcPr>
            <w:tcW w:w="5000" w:type="pct"/>
            <w:gridSpan w:val="7"/>
            <w:shd w:val="clear" w:color="auto" w:fill="auto"/>
            <w:vAlign w:val="center"/>
          </w:tcPr>
          <w:p w:rsidR="006679C3" w:rsidRPr="001B446F" w:rsidRDefault="006679C3" w:rsidP="003C754B">
            <w:pPr>
              <w:pStyle w:val="In-tableHeading"/>
              <w:keepNext w:val="0"/>
              <w:widowControl w:val="0"/>
              <w:rPr>
                <w:lang w:val="en-AU"/>
              </w:rPr>
            </w:pPr>
            <w:proofErr w:type="spellStart"/>
            <w:r w:rsidRPr="001B446F">
              <w:rPr>
                <w:lang w:val="en-AU"/>
              </w:rPr>
              <w:t>Fluocinolone</w:t>
            </w:r>
            <w:proofErr w:type="spellEnd"/>
            <w:r w:rsidRPr="001B446F">
              <w:rPr>
                <w:lang w:val="en-AU"/>
              </w:rPr>
              <w:t xml:space="preserve"> </w:t>
            </w:r>
            <w:proofErr w:type="spellStart"/>
            <w:r w:rsidRPr="001B446F">
              <w:rPr>
                <w:lang w:val="en-AU"/>
              </w:rPr>
              <w:t>acetonide</w:t>
            </w:r>
            <w:proofErr w:type="spellEnd"/>
            <w:r w:rsidRPr="001B446F">
              <w:rPr>
                <w:lang w:val="en-AU"/>
              </w:rPr>
              <w:t xml:space="preserve"> vs. sham</w:t>
            </w:r>
          </w:p>
        </w:tc>
      </w:tr>
      <w:tr w:rsidR="006679C3" w:rsidRPr="001B446F" w:rsidTr="00A4429E">
        <w:trPr>
          <w:trHeight w:val="606"/>
        </w:trPr>
        <w:tc>
          <w:tcPr>
            <w:tcW w:w="627" w:type="pct"/>
            <w:tcBorders>
              <w:top w:val="single" w:sz="4" w:space="0" w:color="auto"/>
              <w:left w:val="single" w:sz="4" w:space="0" w:color="auto"/>
              <w:bottom w:val="single" w:sz="4" w:space="0" w:color="auto"/>
              <w:right w:val="single" w:sz="4" w:space="0" w:color="auto"/>
            </w:tcBorders>
          </w:tcPr>
          <w:p w:rsidR="006679C3" w:rsidRPr="001B446F" w:rsidRDefault="006679C3" w:rsidP="003C754B">
            <w:pPr>
              <w:pStyle w:val="TableText0"/>
              <w:keepNext w:val="0"/>
              <w:widowControl w:val="0"/>
            </w:pPr>
            <w:r w:rsidRPr="001B446F">
              <w:t xml:space="preserve">FAME-001a </w:t>
            </w:r>
          </w:p>
        </w:tc>
        <w:tc>
          <w:tcPr>
            <w:tcW w:w="393" w:type="pct"/>
            <w:tcBorders>
              <w:top w:val="single" w:sz="4" w:space="0" w:color="auto"/>
              <w:left w:val="single" w:sz="4" w:space="0" w:color="auto"/>
              <w:bottom w:val="single" w:sz="4" w:space="0" w:color="auto"/>
              <w:right w:val="single" w:sz="4" w:space="0" w:color="auto"/>
            </w:tcBorders>
          </w:tcPr>
          <w:p w:rsidR="006679C3" w:rsidRPr="001B446F" w:rsidRDefault="006679C3" w:rsidP="003C754B">
            <w:pPr>
              <w:pStyle w:val="TableText0"/>
              <w:keepNext w:val="0"/>
              <w:widowControl w:val="0"/>
              <w:jc w:val="center"/>
            </w:pPr>
            <w:r w:rsidRPr="001B446F">
              <w:t>190</w:t>
            </w:r>
          </w:p>
        </w:tc>
        <w:tc>
          <w:tcPr>
            <w:tcW w:w="786" w:type="pct"/>
            <w:tcBorders>
              <w:top w:val="single" w:sz="4" w:space="0" w:color="auto"/>
              <w:left w:val="single" w:sz="4" w:space="0" w:color="auto"/>
              <w:bottom w:val="single" w:sz="4" w:space="0" w:color="auto"/>
              <w:right w:val="single" w:sz="4" w:space="0" w:color="auto"/>
            </w:tcBorders>
          </w:tcPr>
          <w:p w:rsidR="006679C3" w:rsidRPr="001B446F" w:rsidRDefault="006679C3" w:rsidP="003C754B">
            <w:pPr>
              <w:pStyle w:val="TableText0"/>
              <w:keepNext w:val="0"/>
              <w:widowControl w:val="0"/>
              <w:jc w:val="center"/>
            </w:pPr>
            <w:r w:rsidRPr="001B446F">
              <w:t>R, DB, MC</w:t>
            </w:r>
          </w:p>
          <w:p w:rsidR="006679C3" w:rsidRPr="001B446F" w:rsidRDefault="006679C3" w:rsidP="003C754B">
            <w:pPr>
              <w:pStyle w:val="TableText0"/>
              <w:keepNext w:val="0"/>
              <w:widowControl w:val="0"/>
              <w:jc w:val="center"/>
            </w:pPr>
            <w:r w:rsidRPr="001B446F">
              <w:t>36 MO</w:t>
            </w:r>
          </w:p>
        </w:tc>
        <w:tc>
          <w:tcPr>
            <w:tcW w:w="471" w:type="pct"/>
            <w:tcBorders>
              <w:top w:val="single" w:sz="4" w:space="0" w:color="auto"/>
              <w:left w:val="single" w:sz="4" w:space="0" w:color="auto"/>
              <w:bottom w:val="single" w:sz="4" w:space="0" w:color="auto"/>
              <w:right w:val="single" w:sz="4" w:space="0" w:color="auto"/>
            </w:tcBorders>
          </w:tcPr>
          <w:p w:rsidR="006679C3" w:rsidRPr="001B446F" w:rsidRDefault="006679C3" w:rsidP="003C754B">
            <w:pPr>
              <w:pStyle w:val="Table"/>
              <w:widowControl w:val="0"/>
              <w:jc w:val="center"/>
            </w:pPr>
            <w:r w:rsidRPr="001B446F">
              <w:t>High</w:t>
            </w:r>
          </w:p>
        </w:tc>
        <w:tc>
          <w:tcPr>
            <w:tcW w:w="629" w:type="pct"/>
            <w:vMerge w:val="restart"/>
            <w:tcBorders>
              <w:top w:val="single" w:sz="4" w:space="0" w:color="auto"/>
              <w:left w:val="single" w:sz="4" w:space="0" w:color="auto"/>
              <w:right w:val="single" w:sz="4" w:space="0" w:color="auto"/>
            </w:tcBorders>
          </w:tcPr>
          <w:p w:rsidR="006679C3" w:rsidRPr="001B446F" w:rsidRDefault="00E25904" w:rsidP="003C754B">
            <w:pPr>
              <w:pStyle w:val="TableText0"/>
              <w:keepNext w:val="0"/>
              <w:widowControl w:val="0"/>
            </w:pPr>
            <w:r w:rsidRPr="001B446F">
              <w:t>DMO</w:t>
            </w:r>
            <w:r w:rsidR="006679C3" w:rsidRPr="001B446F">
              <w:t xml:space="preserve"> with visual acuity of BCVA ≥19 and ≤68 letters</w:t>
            </w:r>
          </w:p>
        </w:tc>
        <w:tc>
          <w:tcPr>
            <w:tcW w:w="1573" w:type="pct"/>
            <w:vMerge w:val="restart"/>
            <w:tcBorders>
              <w:top w:val="single" w:sz="4" w:space="0" w:color="auto"/>
              <w:left w:val="single" w:sz="4" w:space="0" w:color="auto"/>
              <w:right w:val="single" w:sz="4" w:space="0" w:color="auto"/>
            </w:tcBorders>
          </w:tcPr>
          <w:p w:rsidR="006679C3" w:rsidRPr="001B446F" w:rsidRDefault="006679C3" w:rsidP="003C754B">
            <w:pPr>
              <w:pStyle w:val="TableText0"/>
              <w:keepNext w:val="0"/>
              <w:widowControl w:val="0"/>
            </w:pPr>
            <w:r w:rsidRPr="001B446F">
              <w:t>-</w:t>
            </w:r>
            <w:r w:rsidR="00D7315B" w:rsidRPr="001B446F">
              <w:t xml:space="preserve"> Proportion achieving </w:t>
            </w:r>
            <w:r w:rsidRPr="001B446F">
              <w:t>≥ 15-letter improvement in BCVA</w:t>
            </w:r>
            <w:r w:rsidR="00BF0D76" w:rsidRPr="001B446F">
              <w:t xml:space="preserve"> (primary outcome at 24 months)</w:t>
            </w:r>
          </w:p>
          <w:p w:rsidR="006679C3" w:rsidRPr="001B446F" w:rsidRDefault="006679C3" w:rsidP="003C754B">
            <w:pPr>
              <w:pStyle w:val="TableText0"/>
              <w:keepNext w:val="0"/>
              <w:widowControl w:val="0"/>
            </w:pPr>
            <w:r w:rsidRPr="001B446F">
              <w:t xml:space="preserve">-Proportion of </w:t>
            </w:r>
            <w:r w:rsidR="008144F7" w:rsidRPr="001B446F">
              <w:t>patients</w:t>
            </w:r>
            <w:r w:rsidRPr="001B446F">
              <w:t xml:space="preserve"> ≥ 10-letter improvement in BCVA</w:t>
            </w:r>
          </w:p>
          <w:p w:rsidR="006679C3" w:rsidRPr="001B446F" w:rsidRDefault="006679C3" w:rsidP="003C754B">
            <w:pPr>
              <w:pStyle w:val="TableText0"/>
              <w:keepNext w:val="0"/>
              <w:widowControl w:val="0"/>
            </w:pPr>
            <w:r w:rsidRPr="001B446F">
              <w:t xml:space="preserve">-Change from </w:t>
            </w:r>
            <w:r w:rsidR="00BF0D76" w:rsidRPr="001B446F">
              <w:t>b</w:t>
            </w:r>
            <w:r w:rsidRPr="001B446F">
              <w:t>aseline in BCVA Letter Score</w:t>
            </w:r>
          </w:p>
        </w:tc>
        <w:tc>
          <w:tcPr>
            <w:tcW w:w="521" w:type="pct"/>
            <w:vMerge w:val="restart"/>
            <w:tcBorders>
              <w:top w:val="single" w:sz="4" w:space="0" w:color="auto"/>
              <w:left w:val="single" w:sz="4" w:space="0" w:color="auto"/>
              <w:right w:val="single" w:sz="4" w:space="0" w:color="auto"/>
            </w:tcBorders>
          </w:tcPr>
          <w:p w:rsidR="006679C3" w:rsidRPr="001B446F" w:rsidRDefault="00096219" w:rsidP="003C754B">
            <w:pPr>
              <w:pStyle w:val="TableText0"/>
              <w:keepNext w:val="0"/>
              <w:widowControl w:val="0"/>
              <w:jc w:val="center"/>
            </w:pPr>
            <w:r w:rsidRPr="001B446F">
              <w:t>NA</w:t>
            </w:r>
          </w:p>
        </w:tc>
      </w:tr>
      <w:tr w:rsidR="006679C3" w:rsidRPr="001B446F" w:rsidTr="00A4429E">
        <w:tc>
          <w:tcPr>
            <w:tcW w:w="627" w:type="pct"/>
            <w:tcBorders>
              <w:top w:val="single" w:sz="4" w:space="0" w:color="auto"/>
              <w:left w:val="single" w:sz="4" w:space="0" w:color="auto"/>
              <w:bottom w:val="single" w:sz="4" w:space="0" w:color="auto"/>
              <w:right w:val="single" w:sz="4" w:space="0" w:color="auto"/>
            </w:tcBorders>
          </w:tcPr>
          <w:p w:rsidR="006679C3" w:rsidRPr="001B446F" w:rsidRDefault="006679C3" w:rsidP="003C754B">
            <w:pPr>
              <w:pStyle w:val="TableText0"/>
              <w:keepNext w:val="0"/>
              <w:widowControl w:val="0"/>
            </w:pPr>
            <w:r w:rsidRPr="001B446F">
              <w:t xml:space="preserve">FAME-001b </w:t>
            </w:r>
          </w:p>
        </w:tc>
        <w:tc>
          <w:tcPr>
            <w:tcW w:w="393" w:type="pct"/>
            <w:tcBorders>
              <w:top w:val="single" w:sz="4" w:space="0" w:color="auto"/>
              <w:left w:val="single" w:sz="4" w:space="0" w:color="auto"/>
              <w:bottom w:val="single" w:sz="4" w:space="0" w:color="auto"/>
              <w:right w:val="single" w:sz="4" w:space="0" w:color="auto"/>
            </w:tcBorders>
          </w:tcPr>
          <w:p w:rsidR="006679C3" w:rsidRPr="001B446F" w:rsidRDefault="006679C3" w:rsidP="003C754B">
            <w:pPr>
              <w:pStyle w:val="TableText0"/>
              <w:keepNext w:val="0"/>
              <w:widowControl w:val="0"/>
              <w:jc w:val="center"/>
            </w:pPr>
            <w:r w:rsidRPr="001B446F">
              <w:t>186</w:t>
            </w:r>
          </w:p>
        </w:tc>
        <w:tc>
          <w:tcPr>
            <w:tcW w:w="786" w:type="pct"/>
            <w:tcBorders>
              <w:top w:val="single" w:sz="4" w:space="0" w:color="auto"/>
              <w:left w:val="single" w:sz="4" w:space="0" w:color="auto"/>
              <w:bottom w:val="single" w:sz="4" w:space="0" w:color="auto"/>
              <w:right w:val="single" w:sz="4" w:space="0" w:color="auto"/>
            </w:tcBorders>
          </w:tcPr>
          <w:p w:rsidR="006679C3" w:rsidRPr="001B446F" w:rsidRDefault="006679C3" w:rsidP="003C754B">
            <w:pPr>
              <w:pStyle w:val="TableText0"/>
              <w:keepNext w:val="0"/>
              <w:widowControl w:val="0"/>
              <w:jc w:val="center"/>
            </w:pPr>
            <w:r w:rsidRPr="001B446F">
              <w:t>R, DB, MC</w:t>
            </w:r>
          </w:p>
          <w:p w:rsidR="006679C3" w:rsidRPr="001B446F" w:rsidRDefault="006679C3" w:rsidP="003C754B">
            <w:pPr>
              <w:pStyle w:val="TableText0"/>
              <w:keepNext w:val="0"/>
              <w:widowControl w:val="0"/>
              <w:jc w:val="center"/>
            </w:pPr>
            <w:r w:rsidRPr="001B446F">
              <w:t>36 MO</w:t>
            </w:r>
          </w:p>
        </w:tc>
        <w:tc>
          <w:tcPr>
            <w:tcW w:w="471" w:type="pct"/>
            <w:tcBorders>
              <w:top w:val="single" w:sz="4" w:space="0" w:color="auto"/>
              <w:left w:val="single" w:sz="4" w:space="0" w:color="auto"/>
              <w:bottom w:val="single" w:sz="4" w:space="0" w:color="auto"/>
              <w:right w:val="single" w:sz="4" w:space="0" w:color="auto"/>
            </w:tcBorders>
          </w:tcPr>
          <w:p w:rsidR="006679C3" w:rsidRPr="001B446F" w:rsidRDefault="006679C3" w:rsidP="003C754B">
            <w:pPr>
              <w:pStyle w:val="Table"/>
              <w:widowControl w:val="0"/>
              <w:jc w:val="center"/>
            </w:pPr>
            <w:r w:rsidRPr="001B446F">
              <w:t>High</w:t>
            </w:r>
          </w:p>
        </w:tc>
        <w:tc>
          <w:tcPr>
            <w:tcW w:w="629" w:type="pct"/>
            <w:vMerge/>
            <w:tcBorders>
              <w:left w:val="single" w:sz="4" w:space="0" w:color="auto"/>
              <w:bottom w:val="single" w:sz="4" w:space="0" w:color="auto"/>
              <w:right w:val="single" w:sz="4" w:space="0" w:color="auto"/>
            </w:tcBorders>
          </w:tcPr>
          <w:p w:rsidR="006679C3" w:rsidRPr="001B446F" w:rsidRDefault="006679C3" w:rsidP="003C754B">
            <w:pPr>
              <w:pStyle w:val="TableText0"/>
              <w:keepNext w:val="0"/>
              <w:widowControl w:val="0"/>
              <w:jc w:val="center"/>
            </w:pPr>
          </w:p>
        </w:tc>
        <w:tc>
          <w:tcPr>
            <w:tcW w:w="1573" w:type="pct"/>
            <w:vMerge/>
            <w:tcBorders>
              <w:left w:val="single" w:sz="4" w:space="0" w:color="auto"/>
              <w:bottom w:val="single" w:sz="4" w:space="0" w:color="auto"/>
              <w:right w:val="single" w:sz="4" w:space="0" w:color="auto"/>
            </w:tcBorders>
          </w:tcPr>
          <w:p w:rsidR="006679C3" w:rsidRPr="001B446F" w:rsidRDefault="006679C3" w:rsidP="003C754B">
            <w:pPr>
              <w:pStyle w:val="TableText0"/>
              <w:keepNext w:val="0"/>
              <w:widowControl w:val="0"/>
              <w:jc w:val="center"/>
            </w:pPr>
          </w:p>
        </w:tc>
        <w:tc>
          <w:tcPr>
            <w:tcW w:w="521" w:type="pct"/>
            <w:vMerge/>
            <w:tcBorders>
              <w:left w:val="single" w:sz="4" w:space="0" w:color="auto"/>
              <w:bottom w:val="single" w:sz="4" w:space="0" w:color="auto"/>
              <w:right w:val="single" w:sz="4" w:space="0" w:color="auto"/>
            </w:tcBorders>
          </w:tcPr>
          <w:p w:rsidR="006679C3" w:rsidRPr="001B446F" w:rsidRDefault="006679C3" w:rsidP="003C754B">
            <w:pPr>
              <w:pStyle w:val="TableText0"/>
              <w:keepNext w:val="0"/>
              <w:widowControl w:val="0"/>
              <w:jc w:val="center"/>
            </w:pPr>
          </w:p>
        </w:tc>
      </w:tr>
      <w:tr w:rsidR="006679C3" w:rsidRPr="001B446F" w:rsidTr="00171484">
        <w:tc>
          <w:tcPr>
            <w:tcW w:w="5000" w:type="pct"/>
            <w:gridSpan w:val="7"/>
            <w:shd w:val="clear" w:color="auto" w:fill="auto"/>
            <w:vAlign w:val="center"/>
          </w:tcPr>
          <w:p w:rsidR="006679C3" w:rsidRPr="001B446F" w:rsidRDefault="006679C3" w:rsidP="003C754B">
            <w:pPr>
              <w:pStyle w:val="In-tableHeading"/>
              <w:keepNext w:val="0"/>
              <w:widowControl w:val="0"/>
              <w:rPr>
                <w:lang w:val="en-AU"/>
              </w:rPr>
            </w:pPr>
            <w:r w:rsidRPr="001B446F">
              <w:rPr>
                <w:lang w:val="en-AU"/>
              </w:rPr>
              <w:t xml:space="preserve">Dexamethasone vs. sham </w:t>
            </w:r>
          </w:p>
        </w:tc>
      </w:tr>
      <w:tr w:rsidR="008A2E81" w:rsidRPr="001B446F" w:rsidTr="00B92A1B">
        <w:trPr>
          <w:trHeight w:val="672"/>
        </w:trPr>
        <w:tc>
          <w:tcPr>
            <w:tcW w:w="627" w:type="pct"/>
            <w:tcBorders>
              <w:top w:val="single" w:sz="4" w:space="0" w:color="auto"/>
              <w:left w:val="single" w:sz="4" w:space="0" w:color="auto"/>
              <w:bottom w:val="single" w:sz="4" w:space="0" w:color="auto"/>
              <w:right w:val="single" w:sz="4" w:space="0" w:color="auto"/>
            </w:tcBorders>
          </w:tcPr>
          <w:p w:rsidR="008A2E81" w:rsidRPr="001B446F" w:rsidRDefault="008A2E81" w:rsidP="003C754B">
            <w:pPr>
              <w:pStyle w:val="TableText0"/>
              <w:keepNext w:val="0"/>
              <w:widowControl w:val="0"/>
            </w:pPr>
            <w:r w:rsidRPr="001B446F">
              <w:t xml:space="preserve">MEAD-010 </w:t>
            </w:r>
          </w:p>
        </w:tc>
        <w:tc>
          <w:tcPr>
            <w:tcW w:w="393" w:type="pct"/>
            <w:tcBorders>
              <w:top w:val="single" w:sz="4" w:space="0" w:color="auto"/>
              <w:left w:val="single" w:sz="4" w:space="0" w:color="auto"/>
              <w:bottom w:val="single" w:sz="4" w:space="0" w:color="auto"/>
              <w:right w:val="single" w:sz="4" w:space="0" w:color="auto"/>
            </w:tcBorders>
          </w:tcPr>
          <w:p w:rsidR="008A2E81" w:rsidRPr="001B446F" w:rsidRDefault="008A2E81" w:rsidP="003C754B">
            <w:pPr>
              <w:pStyle w:val="TableText0"/>
              <w:keepNext w:val="0"/>
              <w:widowControl w:val="0"/>
              <w:jc w:val="center"/>
            </w:pPr>
            <w:r w:rsidRPr="001B446F">
              <w:t>163</w:t>
            </w:r>
          </w:p>
        </w:tc>
        <w:tc>
          <w:tcPr>
            <w:tcW w:w="786" w:type="pct"/>
            <w:tcBorders>
              <w:top w:val="single" w:sz="4" w:space="0" w:color="auto"/>
              <w:left w:val="single" w:sz="4" w:space="0" w:color="auto"/>
              <w:bottom w:val="single" w:sz="4" w:space="0" w:color="auto"/>
              <w:right w:val="single" w:sz="4" w:space="0" w:color="auto"/>
            </w:tcBorders>
          </w:tcPr>
          <w:p w:rsidR="008A2E81" w:rsidRPr="001B446F" w:rsidRDefault="008A2E81" w:rsidP="003C754B">
            <w:pPr>
              <w:pStyle w:val="TableText0"/>
              <w:keepNext w:val="0"/>
              <w:widowControl w:val="0"/>
              <w:jc w:val="center"/>
            </w:pPr>
            <w:r w:rsidRPr="001B446F">
              <w:t>R, DB, MC</w:t>
            </w:r>
          </w:p>
          <w:p w:rsidR="008A2E81" w:rsidRPr="001B446F" w:rsidRDefault="008A2E81" w:rsidP="003C754B">
            <w:pPr>
              <w:pStyle w:val="TableText0"/>
              <w:keepNext w:val="0"/>
              <w:widowControl w:val="0"/>
              <w:jc w:val="center"/>
            </w:pPr>
            <w:r w:rsidRPr="001B446F">
              <w:t>36 MO</w:t>
            </w:r>
          </w:p>
        </w:tc>
        <w:tc>
          <w:tcPr>
            <w:tcW w:w="471" w:type="pct"/>
            <w:tcBorders>
              <w:top w:val="single" w:sz="4" w:space="0" w:color="auto"/>
              <w:left w:val="single" w:sz="4" w:space="0" w:color="auto"/>
              <w:bottom w:val="single" w:sz="4" w:space="0" w:color="auto"/>
              <w:right w:val="single" w:sz="4" w:space="0" w:color="auto"/>
            </w:tcBorders>
          </w:tcPr>
          <w:p w:rsidR="008A2E81" w:rsidRPr="001B446F" w:rsidRDefault="008A2E81" w:rsidP="003C754B">
            <w:pPr>
              <w:pStyle w:val="Table"/>
              <w:widowControl w:val="0"/>
              <w:jc w:val="center"/>
            </w:pPr>
            <w:r w:rsidRPr="001B446F">
              <w:t>Low</w:t>
            </w:r>
          </w:p>
        </w:tc>
        <w:tc>
          <w:tcPr>
            <w:tcW w:w="629" w:type="pct"/>
            <w:vMerge w:val="restart"/>
            <w:tcBorders>
              <w:top w:val="single" w:sz="4" w:space="0" w:color="auto"/>
              <w:left w:val="single" w:sz="4" w:space="0" w:color="auto"/>
              <w:right w:val="single" w:sz="4" w:space="0" w:color="auto"/>
            </w:tcBorders>
          </w:tcPr>
          <w:p w:rsidR="008A2E81" w:rsidRPr="001B446F" w:rsidRDefault="008A2E81" w:rsidP="003C754B">
            <w:pPr>
              <w:pStyle w:val="TableText0"/>
              <w:keepNext w:val="0"/>
              <w:widowControl w:val="0"/>
            </w:pPr>
            <w:r w:rsidRPr="001B446F">
              <w:t>DMO with visual acuity of BCVA ≥34 letters and ≤68 letters</w:t>
            </w:r>
          </w:p>
        </w:tc>
        <w:tc>
          <w:tcPr>
            <w:tcW w:w="1573" w:type="pct"/>
            <w:vMerge w:val="restart"/>
            <w:tcBorders>
              <w:top w:val="single" w:sz="4" w:space="0" w:color="auto"/>
              <w:left w:val="single" w:sz="4" w:space="0" w:color="auto"/>
              <w:right w:val="single" w:sz="4" w:space="0" w:color="auto"/>
            </w:tcBorders>
          </w:tcPr>
          <w:p w:rsidR="008A2E81" w:rsidRPr="001B446F" w:rsidRDefault="008A2E81" w:rsidP="003C754B">
            <w:pPr>
              <w:pStyle w:val="TableText0"/>
              <w:keepNext w:val="0"/>
              <w:widowControl w:val="0"/>
            </w:pPr>
            <w:r w:rsidRPr="001B446F">
              <w:t>- Proportion achieving ≥ 15-letter improvement in BCVA</w:t>
            </w:r>
          </w:p>
          <w:p w:rsidR="008A2E81" w:rsidRPr="001B446F" w:rsidRDefault="008A2E81" w:rsidP="003C754B">
            <w:pPr>
              <w:pStyle w:val="TableText0"/>
              <w:keepNext w:val="0"/>
              <w:widowControl w:val="0"/>
            </w:pPr>
            <w:r w:rsidRPr="001B446F">
              <w:t>-Proportion of patients ≥ 10-letter improvement in BCVA</w:t>
            </w:r>
          </w:p>
          <w:p w:rsidR="008A2E81" w:rsidRPr="001B446F" w:rsidRDefault="008A2E81" w:rsidP="003C754B">
            <w:pPr>
              <w:pStyle w:val="TableText0"/>
              <w:keepNext w:val="0"/>
              <w:widowControl w:val="0"/>
            </w:pPr>
            <w:r w:rsidRPr="001B446F">
              <w:t>-Change from baseline in BCVA Letter Score</w:t>
            </w:r>
          </w:p>
        </w:tc>
        <w:tc>
          <w:tcPr>
            <w:tcW w:w="521" w:type="pct"/>
            <w:tcBorders>
              <w:top w:val="single" w:sz="4" w:space="0" w:color="auto"/>
              <w:left w:val="single" w:sz="4" w:space="0" w:color="auto"/>
              <w:bottom w:val="single" w:sz="4" w:space="0" w:color="auto"/>
              <w:right w:val="single" w:sz="4" w:space="0" w:color="auto"/>
            </w:tcBorders>
          </w:tcPr>
          <w:p w:rsidR="008A2E81" w:rsidRPr="001B446F" w:rsidRDefault="008A2E81" w:rsidP="003C754B">
            <w:pPr>
              <w:pStyle w:val="TableText0"/>
              <w:keepNext w:val="0"/>
              <w:widowControl w:val="0"/>
              <w:jc w:val="center"/>
            </w:pPr>
            <w:r w:rsidRPr="001B446F">
              <w:t>NA</w:t>
            </w:r>
          </w:p>
        </w:tc>
      </w:tr>
      <w:tr w:rsidR="008A2E81" w:rsidRPr="001B446F" w:rsidTr="00B92A1B">
        <w:trPr>
          <w:trHeight w:val="672"/>
        </w:trPr>
        <w:tc>
          <w:tcPr>
            <w:tcW w:w="627" w:type="pct"/>
            <w:tcBorders>
              <w:top w:val="single" w:sz="4" w:space="0" w:color="auto"/>
              <w:left w:val="single" w:sz="4" w:space="0" w:color="auto"/>
              <w:bottom w:val="single" w:sz="4" w:space="0" w:color="auto"/>
              <w:right w:val="single" w:sz="4" w:space="0" w:color="auto"/>
            </w:tcBorders>
          </w:tcPr>
          <w:p w:rsidR="008A2E81" w:rsidRPr="001B446F" w:rsidRDefault="008A2E81" w:rsidP="003C754B">
            <w:pPr>
              <w:pStyle w:val="TableText0"/>
              <w:keepNext w:val="0"/>
              <w:widowControl w:val="0"/>
            </w:pPr>
            <w:r w:rsidRPr="001B446F">
              <w:t>MEAD-011</w:t>
            </w:r>
          </w:p>
        </w:tc>
        <w:tc>
          <w:tcPr>
            <w:tcW w:w="393" w:type="pct"/>
            <w:tcBorders>
              <w:top w:val="single" w:sz="4" w:space="0" w:color="auto"/>
              <w:left w:val="single" w:sz="4" w:space="0" w:color="auto"/>
              <w:bottom w:val="single" w:sz="4" w:space="0" w:color="auto"/>
              <w:right w:val="single" w:sz="4" w:space="0" w:color="auto"/>
            </w:tcBorders>
          </w:tcPr>
          <w:p w:rsidR="008A2E81" w:rsidRPr="001B446F" w:rsidRDefault="008A2E81" w:rsidP="003C754B">
            <w:pPr>
              <w:pStyle w:val="TableText0"/>
              <w:keepNext w:val="0"/>
              <w:widowControl w:val="0"/>
              <w:jc w:val="center"/>
            </w:pPr>
            <w:r w:rsidRPr="001B446F">
              <w:t>188</w:t>
            </w:r>
          </w:p>
        </w:tc>
        <w:tc>
          <w:tcPr>
            <w:tcW w:w="786" w:type="pct"/>
            <w:tcBorders>
              <w:top w:val="single" w:sz="4" w:space="0" w:color="auto"/>
              <w:left w:val="single" w:sz="4" w:space="0" w:color="auto"/>
              <w:bottom w:val="single" w:sz="4" w:space="0" w:color="auto"/>
              <w:right w:val="single" w:sz="4" w:space="0" w:color="auto"/>
            </w:tcBorders>
          </w:tcPr>
          <w:p w:rsidR="008A2E81" w:rsidRPr="001B446F" w:rsidRDefault="008A2E81" w:rsidP="003C754B">
            <w:pPr>
              <w:pStyle w:val="TableText0"/>
              <w:keepNext w:val="0"/>
              <w:widowControl w:val="0"/>
              <w:jc w:val="center"/>
            </w:pPr>
            <w:r w:rsidRPr="001B446F">
              <w:t>R, DB, MC</w:t>
            </w:r>
          </w:p>
          <w:p w:rsidR="008A2E81" w:rsidRPr="001B446F" w:rsidRDefault="008A2E81" w:rsidP="003C754B">
            <w:pPr>
              <w:pStyle w:val="TableText0"/>
              <w:keepNext w:val="0"/>
              <w:widowControl w:val="0"/>
              <w:jc w:val="center"/>
            </w:pPr>
            <w:r w:rsidRPr="001B446F">
              <w:t>36 MO</w:t>
            </w:r>
          </w:p>
        </w:tc>
        <w:tc>
          <w:tcPr>
            <w:tcW w:w="471" w:type="pct"/>
            <w:tcBorders>
              <w:top w:val="single" w:sz="4" w:space="0" w:color="auto"/>
              <w:left w:val="single" w:sz="4" w:space="0" w:color="auto"/>
              <w:bottom w:val="single" w:sz="4" w:space="0" w:color="auto"/>
              <w:right w:val="single" w:sz="4" w:space="0" w:color="auto"/>
            </w:tcBorders>
          </w:tcPr>
          <w:p w:rsidR="008A2E81" w:rsidRPr="001B446F" w:rsidRDefault="008A2E81" w:rsidP="003C754B">
            <w:pPr>
              <w:pStyle w:val="Table"/>
              <w:widowControl w:val="0"/>
              <w:jc w:val="center"/>
            </w:pPr>
            <w:r w:rsidRPr="001B446F">
              <w:t>Low</w:t>
            </w:r>
          </w:p>
        </w:tc>
        <w:tc>
          <w:tcPr>
            <w:tcW w:w="629" w:type="pct"/>
            <w:vMerge/>
            <w:tcBorders>
              <w:left w:val="single" w:sz="4" w:space="0" w:color="auto"/>
              <w:right w:val="single" w:sz="4" w:space="0" w:color="auto"/>
            </w:tcBorders>
          </w:tcPr>
          <w:p w:rsidR="008A2E81" w:rsidRPr="001B446F" w:rsidRDefault="008A2E81" w:rsidP="003C754B">
            <w:pPr>
              <w:pStyle w:val="TableText0"/>
              <w:keepNext w:val="0"/>
              <w:widowControl w:val="0"/>
            </w:pPr>
          </w:p>
        </w:tc>
        <w:tc>
          <w:tcPr>
            <w:tcW w:w="1573" w:type="pct"/>
            <w:vMerge/>
            <w:tcBorders>
              <w:left w:val="single" w:sz="4" w:space="0" w:color="auto"/>
              <w:right w:val="single" w:sz="4" w:space="0" w:color="auto"/>
            </w:tcBorders>
          </w:tcPr>
          <w:p w:rsidR="008A2E81" w:rsidRPr="001B446F" w:rsidRDefault="008A2E81" w:rsidP="003C754B">
            <w:pPr>
              <w:pStyle w:val="TableText0"/>
              <w:keepNext w:val="0"/>
              <w:widowControl w:val="0"/>
            </w:pPr>
          </w:p>
        </w:tc>
        <w:tc>
          <w:tcPr>
            <w:tcW w:w="521" w:type="pct"/>
            <w:tcBorders>
              <w:top w:val="single" w:sz="4" w:space="0" w:color="auto"/>
              <w:left w:val="single" w:sz="4" w:space="0" w:color="auto"/>
              <w:right w:val="single" w:sz="4" w:space="0" w:color="auto"/>
            </w:tcBorders>
          </w:tcPr>
          <w:p w:rsidR="008A2E81" w:rsidRPr="001B446F" w:rsidRDefault="008A2E81" w:rsidP="003C754B">
            <w:pPr>
              <w:pStyle w:val="TableText0"/>
              <w:keepNext w:val="0"/>
              <w:widowControl w:val="0"/>
              <w:jc w:val="center"/>
            </w:pPr>
          </w:p>
        </w:tc>
      </w:tr>
    </w:tbl>
    <w:p w:rsidR="006679C3" w:rsidRPr="001B446F" w:rsidRDefault="006679C3" w:rsidP="003C754B">
      <w:pPr>
        <w:pStyle w:val="TableFigureFooter"/>
        <w:widowControl w:val="0"/>
      </w:pPr>
      <w:r w:rsidRPr="001B446F">
        <w:t>Source: Section 2.3, pp33-42 of the submission.</w:t>
      </w:r>
    </w:p>
    <w:p w:rsidR="006679C3" w:rsidRPr="001B446F" w:rsidRDefault="00BF0D76" w:rsidP="003C754B">
      <w:pPr>
        <w:pStyle w:val="TableFigureFooter"/>
        <w:widowControl w:val="0"/>
      </w:pPr>
      <w:r w:rsidRPr="001B446F">
        <w:t xml:space="preserve">BCVA = </w:t>
      </w:r>
      <w:proofErr w:type="gramStart"/>
      <w:r w:rsidRPr="001B446F">
        <w:t>best corrected</w:t>
      </w:r>
      <w:proofErr w:type="gramEnd"/>
      <w:r w:rsidRPr="001B446F">
        <w:t xml:space="preserve"> visual acuity; </w:t>
      </w:r>
      <w:r w:rsidR="006679C3" w:rsidRPr="001B446F">
        <w:t xml:space="preserve">DB = double blind; </w:t>
      </w:r>
      <w:r w:rsidR="00C27632" w:rsidRPr="001B446F">
        <w:t>DMO</w:t>
      </w:r>
      <w:r w:rsidR="00C7606B" w:rsidRPr="001B446F">
        <w:t xml:space="preserve"> = diabetic macular </w:t>
      </w:r>
      <w:r w:rsidR="007417C4" w:rsidRPr="001B446F">
        <w:t>oedema</w:t>
      </w:r>
      <w:r w:rsidR="00C7606B" w:rsidRPr="001B446F">
        <w:t xml:space="preserve">; </w:t>
      </w:r>
      <w:r w:rsidR="006679C3" w:rsidRPr="001B446F">
        <w:t xml:space="preserve">MC = multicentre; MO = months; </w:t>
      </w:r>
      <w:r w:rsidR="00096219" w:rsidRPr="001B446F">
        <w:t xml:space="preserve">NA = not applicable; </w:t>
      </w:r>
      <w:r w:rsidR="006679C3" w:rsidRPr="001B446F">
        <w:t>R = randomised.</w:t>
      </w:r>
    </w:p>
    <w:p w:rsidR="006679C3" w:rsidRPr="001B446F" w:rsidRDefault="00AE2EE1" w:rsidP="003C754B">
      <w:pPr>
        <w:pStyle w:val="3-BodyText"/>
      </w:pPr>
      <w:r w:rsidRPr="001B446F">
        <w:t>The evaluation considered the FAME studies were at risk of bias for the following reasons:</w:t>
      </w:r>
      <w:r w:rsidR="006679C3" w:rsidRPr="001B446F">
        <w:t xml:space="preserve"> </w:t>
      </w:r>
    </w:p>
    <w:p w:rsidR="00D81C33" w:rsidRPr="001B446F" w:rsidRDefault="00D81C33" w:rsidP="00AD5ABF">
      <w:pPr>
        <w:pStyle w:val="3-BodyText"/>
        <w:numPr>
          <w:ilvl w:val="0"/>
          <w:numId w:val="9"/>
        </w:numPr>
      </w:pPr>
      <w:r w:rsidRPr="001B446F">
        <w:t>Patients who had non-protocol therapies during the study were included in the full analysis data set</w:t>
      </w:r>
      <w:r w:rsidR="00BB5687" w:rsidRPr="001B446F">
        <w:t>;</w:t>
      </w:r>
    </w:p>
    <w:p w:rsidR="00D81C33" w:rsidRPr="001B446F" w:rsidRDefault="00BB5687" w:rsidP="00AD5ABF">
      <w:pPr>
        <w:pStyle w:val="3-BodyText"/>
        <w:numPr>
          <w:ilvl w:val="0"/>
          <w:numId w:val="9"/>
        </w:numPr>
      </w:pPr>
      <w:r w:rsidRPr="001B446F">
        <w:t>A</w:t>
      </w:r>
      <w:r w:rsidR="00D81C33" w:rsidRPr="001B446F">
        <w:t>pproximately 30% of patients</w:t>
      </w:r>
      <w:r w:rsidRPr="001B446F">
        <w:t xml:space="preserve"> in each treatment group</w:t>
      </w:r>
      <w:r w:rsidR="00D81C33" w:rsidRPr="001B446F">
        <w:t xml:space="preserve"> in the full analysis data set received at least 1 retreatment with study drug</w:t>
      </w:r>
      <w:r w:rsidR="00532431" w:rsidRPr="001B446F">
        <w:t xml:space="preserve"> over 36 months</w:t>
      </w:r>
      <w:r w:rsidR="00D81C33" w:rsidRPr="001B446F">
        <w:t xml:space="preserve">; and </w:t>
      </w:r>
    </w:p>
    <w:p w:rsidR="00AE2EE1" w:rsidRPr="001B446F" w:rsidRDefault="00D81C33" w:rsidP="00F53F38">
      <w:pPr>
        <w:pStyle w:val="3-BodyText"/>
        <w:numPr>
          <w:ilvl w:val="0"/>
          <w:numId w:val="9"/>
        </w:numPr>
      </w:pPr>
      <w:r w:rsidRPr="001B446F">
        <w:t>There were six protocol amendments to the FAME trial.</w:t>
      </w:r>
    </w:p>
    <w:p w:rsidR="00BD4C46" w:rsidRPr="001B446F" w:rsidRDefault="00465945" w:rsidP="00753912">
      <w:pPr>
        <w:pStyle w:val="3-BodyText"/>
      </w:pPr>
      <w:r w:rsidRPr="001B446F">
        <w:t xml:space="preserve">The PBAC </w:t>
      </w:r>
      <w:r w:rsidR="00BD4C46" w:rsidRPr="001B446F">
        <w:t xml:space="preserve">considered that the overall risk of bias in the FAME trials was </w:t>
      </w:r>
      <w:r w:rsidR="00B60796">
        <w:t xml:space="preserve">likely </w:t>
      </w:r>
      <w:r w:rsidR="00BD4C46" w:rsidRPr="001B446F">
        <w:t>low</w:t>
      </w:r>
      <w:r w:rsidR="003B67C1" w:rsidRPr="001B446F">
        <w:t>, as follows</w:t>
      </w:r>
      <w:r w:rsidR="00BD4C46" w:rsidRPr="001B446F">
        <w:t>:</w:t>
      </w:r>
      <w:r w:rsidR="00AE2EE1" w:rsidRPr="001B446F">
        <w:t xml:space="preserve"> </w:t>
      </w:r>
    </w:p>
    <w:p w:rsidR="003B67C1" w:rsidRPr="001B446F" w:rsidRDefault="003B67C1" w:rsidP="00921299">
      <w:pPr>
        <w:pStyle w:val="ListParagraph"/>
      </w:pPr>
      <w:r w:rsidRPr="001B446F">
        <w:t xml:space="preserve">It was appropriate for participants in the FAME studies who received non-protocol therapies (15% FA patients vs 33% sham patients) to be included in the full analysis </w:t>
      </w:r>
      <w:r w:rsidRPr="001B446F">
        <w:lastRenderedPageBreak/>
        <w:t>set, and that this had the most likely effect of masking the true effectiveness of FA.</w:t>
      </w:r>
    </w:p>
    <w:p w:rsidR="00D81C33" w:rsidRPr="001B446F" w:rsidRDefault="003B67C1" w:rsidP="00754A9A">
      <w:pPr>
        <w:pStyle w:val="ListParagraph"/>
      </w:pPr>
      <w:r w:rsidRPr="001B446F">
        <w:t>T</w:t>
      </w:r>
      <w:r w:rsidR="00AE2EE1" w:rsidRPr="001B446F">
        <w:t>he protocol amendments were generally administrative</w:t>
      </w:r>
      <w:r w:rsidR="00FE6B83" w:rsidRPr="001B446F">
        <w:t xml:space="preserve"> and </w:t>
      </w:r>
      <w:proofErr w:type="gramStart"/>
      <w:r w:rsidR="00FE6B83" w:rsidRPr="001B446F">
        <w:t>were</w:t>
      </w:r>
      <w:r w:rsidR="00AE2EE1" w:rsidRPr="001B446F">
        <w:t xml:space="preserve"> </w:t>
      </w:r>
      <w:r w:rsidR="00FE6B83" w:rsidRPr="001B446F">
        <w:t>made</w:t>
      </w:r>
      <w:proofErr w:type="gramEnd"/>
      <w:r w:rsidR="00FE6B83" w:rsidRPr="001B446F">
        <w:t xml:space="preserve"> early in the trial and before </w:t>
      </w:r>
      <w:proofErr w:type="spellStart"/>
      <w:r w:rsidR="00FE6B83" w:rsidRPr="001B446F">
        <w:t>unb</w:t>
      </w:r>
      <w:r w:rsidR="00BD4C46" w:rsidRPr="001B446F">
        <w:t>l</w:t>
      </w:r>
      <w:r w:rsidR="00FE6B83" w:rsidRPr="001B446F">
        <w:t>inding</w:t>
      </w:r>
      <w:proofErr w:type="spellEnd"/>
      <w:r w:rsidR="00BD4C46" w:rsidRPr="001B446F">
        <w:t>,</w:t>
      </w:r>
      <w:r w:rsidR="00FE6B83" w:rsidRPr="001B446F">
        <w:t xml:space="preserve"> </w:t>
      </w:r>
      <w:r w:rsidR="00BD4C46" w:rsidRPr="001B446F">
        <w:t xml:space="preserve">and were </w:t>
      </w:r>
      <w:r w:rsidR="00FE6B83" w:rsidRPr="001B446F">
        <w:t xml:space="preserve">therefore unlikely to </w:t>
      </w:r>
      <w:r w:rsidR="00B60796">
        <w:t xml:space="preserve">significantly </w:t>
      </w:r>
      <w:r w:rsidR="00FE6B83" w:rsidRPr="001B446F">
        <w:t>bias the effect estimates</w:t>
      </w:r>
      <w:r w:rsidRPr="001B446F">
        <w:t>.</w:t>
      </w:r>
    </w:p>
    <w:p w:rsidR="00754A9A" w:rsidRPr="001B446F" w:rsidRDefault="00754A9A" w:rsidP="00CC120B">
      <w:pPr>
        <w:pStyle w:val="3-BodyText"/>
      </w:pPr>
      <w:r w:rsidRPr="001B446F">
        <w:t>Though baseline characteristics were similar across the MEAD and FAME studies, there may be transitivity issues with the indirect treatment comparison due to the heterogeneity between the trials</w:t>
      </w:r>
      <w:r w:rsidR="00D30AD7" w:rsidRPr="001B446F">
        <w:t xml:space="preserve">. </w:t>
      </w:r>
      <w:r w:rsidR="00CC120B" w:rsidRPr="001B446F">
        <w:t>Data from p</w:t>
      </w:r>
      <w:r w:rsidR="00D30AD7" w:rsidRPr="001B446F">
        <w:t>atients</w:t>
      </w:r>
      <w:r w:rsidR="00CC120B" w:rsidRPr="001B446F">
        <w:t xml:space="preserve"> who received non-protocol (concomitant) treatments</w:t>
      </w:r>
      <w:r w:rsidR="00D30AD7" w:rsidRPr="001B446F">
        <w:t xml:space="preserve"> in the FAME trials</w:t>
      </w:r>
      <w:r w:rsidR="001E088E" w:rsidRPr="001B446F">
        <w:t xml:space="preserve"> </w:t>
      </w:r>
      <w:r w:rsidR="00CC120B" w:rsidRPr="001B446F">
        <w:t>were included in the full analysis set, while these data were not included in the ITT analysis for the MEAD studies.</w:t>
      </w:r>
    </w:p>
    <w:p w:rsidR="0075051C" w:rsidRPr="001B446F" w:rsidRDefault="00D174D3" w:rsidP="001546A1">
      <w:pPr>
        <w:pStyle w:val="3-BodyText"/>
      </w:pPr>
      <w:r w:rsidRPr="001B446F">
        <w:t>The key outcomes of interest included in the</w:t>
      </w:r>
      <w:r w:rsidR="00C13053" w:rsidRPr="001B446F">
        <w:t xml:space="preserve"> submission</w:t>
      </w:r>
      <w:r w:rsidRPr="001B446F">
        <w:t xml:space="preserve"> were </w:t>
      </w:r>
      <w:r w:rsidR="00E62104" w:rsidRPr="001B446F">
        <w:t xml:space="preserve">proportion </w:t>
      </w:r>
      <w:r w:rsidR="009D3534" w:rsidRPr="001B446F">
        <w:t xml:space="preserve">of patients </w:t>
      </w:r>
      <w:r w:rsidR="00E62104" w:rsidRPr="001B446F">
        <w:t>achieving</w:t>
      </w:r>
      <w:r w:rsidR="00D7315B" w:rsidRPr="001B446F">
        <w:t xml:space="preserve"> </w:t>
      </w:r>
      <w:r w:rsidRPr="001B446F">
        <w:t>≥</w:t>
      </w:r>
      <w:r w:rsidR="00382D1C" w:rsidRPr="001B446F">
        <w:t> </w:t>
      </w:r>
      <w:r w:rsidRPr="001B446F">
        <w:t>15 letter or ≥</w:t>
      </w:r>
      <w:r w:rsidR="00382D1C" w:rsidRPr="001B446F">
        <w:t xml:space="preserve"> </w:t>
      </w:r>
      <w:proofErr w:type="gramStart"/>
      <w:r w:rsidRPr="001B446F">
        <w:t>10 letter</w:t>
      </w:r>
      <w:proofErr w:type="gramEnd"/>
      <w:r w:rsidRPr="001B446F">
        <w:t xml:space="preserve"> change from baseline in BCVA at </w:t>
      </w:r>
      <w:r w:rsidR="00D7315B" w:rsidRPr="001B446F">
        <w:t xml:space="preserve">24 and </w:t>
      </w:r>
      <w:r w:rsidRPr="001B446F">
        <w:t xml:space="preserve">36 months and change from baseline in BCVA score. </w:t>
      </w:r>
      <w:r w:rsidR="00971471" w:rsidRPr="001B446F">
        <w:t>The submission noted that the PBAC ha</w:t>
      </w:r>
      <w:r w:rsidR="009D3534" w:rsidRPr="001B446F">
        <w:t>d</w:t>
      </w:r>
      <w:r w:rsidR="00971471" w:rsidRPr="001B446F">
        <w:t xml:space="preserve"> previously </w:t>
      </w:r>
      <w:proofErr w:type="gramStart"/>
      <w:r w:rsidR="00971471" w:rsidRPr="001B446F">
        <w:t>indicated that</w:t>
      </w:r>
      <w:proofErr w:type="gramEnd"/>
      <w:r w:rsidR="00971471" w:rsidRPr="001B446F">
        <w:t xml:space="preserve"> “a mean BCVA change of -5 letters in the lower bound non-inferiority limit was probably reasonable” </w:t>
      </w:r>
      <w:r w:rsidR="004C0F1F" w:rsidRPr="001B446F">
        <w:t xml:space="preserve">[at 12 months] </w:t>
      </w:r>
      <w:r w:rsidR="00971471" w:rsidRPr="001B446F">
        <w:t>when it considered the previous dexamethasone implant submission (paragraph 7.5, dexamethasone implant PSD, March 2015 PBAC meeting)</w:t>
      </w:r>
      <w:r w:rsidR="00B4729B" w:rsidRPr="001B446F">
        <w:t xml:space="preserve">, </w:t>
      </w:r>
      <w:r w:rsidR="00971471" w:rsidRPr="001B446F">
        <w:t xml:space="preserve">although </w:t>
      </w:r>
      <w:r w:rsidR="00B4729B" w:rsidRPr="001B446F">
        <w:t>no non-inferiority margin was nominated</w:t>
      </w:r>
      <w:r w:rsidR="00C13053" w:rsidRPr="001B446F">
        <w:t xml:space="preserve"> by the submission</w:t>
      </w:r>
      <w:r w:rsidR="00B4729B" w:rsidRPr="001B446F">
        <w:t xml:space="preserve">. </w:t>
      </w:r>
    </w:p>
    <w:p w:rsidR="008D34FA" w:rsidRPr="001B446F" w:rsidRDefault="00C70021" w:rsidP="008D34FA">
      <w:pPr>
        <w:pStyle w:val="3-BodyText"/>
      </w:pPr>
      <w:r w:rsidRPr="001B446F">
        <w:t xml:space="preserve">It </w:t>
      </w:r>
      <w:proofErr w:type="gramStart"/>
      <w:r w:rsidRPr="001B446F">
        <w:t>was noted</w:t>
      </w:r>
      <w:proofErr w:type="gramEnd"/>
      <w:r w:rsidRPr="001B446F">
        <w:t xml:space="preserve"> that a</w:t>
      </w:r>
      <w:r w:rsidR="008D34FA" w:rsidRPr="001B446F">
        <w:t xml:space="preserve">pproximately 32% to 36% of patients in the FAME studies and 22 to 30% in the MEAD studies were </w:t>
      </w:r>
      <w:proofErr w:type="spellStart"/>
      <w:r w:rsidR="008D34FA" w:rsidRPr="001B446F">
        <w:t>pseudo</w:t>
      </w:r>
      <w:r w:rsidR="00831A2A" w:rsidRPr="001B446F">
        <w:t>phakic</w:t>
      </w:r>
      <w:proofErr w:type="spellEnd"/>
      <w:r w:rsidR="008D34FA" w:rsidRPr="001B446F">
        <w:t xml:space="preserve"> at baseline. </w:t>
      </w:r>
      <w:r w:rsidRPr="001B446F">
        <w:t>Additionally, t</w:t>
      </w:r>
      <w:r w:rsidR="008D34FA" w:rsidRPr="001B446F">
        <w:t xml:space="preserve">he proportion of patients who had received prior treatment with VEGF inhibitors was low across all trials (FAME 4.2% to 7.5%, MEAD 4.3% to 10.4%). </w:t>
      </w:r>
      <w:r w:rsidRPr="001B446F">
        <w:t>Hence, t</w:t>
      </w:r>
      <w:r w:rsidR="008D34FA" w:rsidRPr="001B446F">
        <w:t xml:space="preserve">he </w:t>
      </w:r>
      <w:r w:rsidRPr="001B446F">
        <w:t xml:space="preserve">efficacy </w:t>
      </w:r>
      <w:r w:rsidR="008D34FA" w:rsidRPr="001B446F">
        <w:t xml:space="preserve">and safety results presented may not </w:t>
      </w:r>
      <w:r w:rsidRPr="001B446F">
        <w:t xml:space="preserve">adequately </w:t>
      </w:r>
      <w:r w:rsidR="008D34FA" w:rsidRPr="001B446F">
        <w:t>represent the population intended for PBS listing (</w:t>
      </w:r>
      <w:proofErr w:type="spellStart"/>
      <w:r w:rsidRPr="001B446F">
        <w:t>pseudophakic</w:t>
      </w:r>
      <w:proofErr w:type="spellEnd"/>
      <w:r w:rsidRPr="001B446F">
        <w:t xml:space="preserve"> lens or </w:t>
      </w:r>
      <w:r w:rsidR="008D34FA" w:rsidRPr="001B446F">
        <w:t xml:space="preserve">patients unsuitable for, </w:t>
      </w:r>
      <w:proofErr w:type="gramStart"/>
      <w:r w:rsidR="008D34FA" w:rsidRPr="001B446F">
        <w:t>contraindicated</w:t>
      </w:r>
      <w:proofErr w:type="gramEnd"/>
      <w:r w:rsidR="008D34FA" w:rsidRPr="001B446F">
        <w:t xml:space="preserve"> to, or have failed treatment with VEGF inhibitors).</w:t>
      </w:r>
    </w:p>
    <w:p w:rsidR="00B60939" w:rsidRPr="001B446F" w:rsidRDefault="00B60939" w:rsidP="00EC5836">
      <w:pPr>
        <w:pStyle w:val="4-SubsectionHeading"/>
      </w:pPr>
      <w:bookmarkStart w:id="14" w:name="_Toc22897641"/>
      <w:bookmarkStart w:id="15" w:name="_Toc30496457"/>
      <w:r w:rsidRPr="001B446F">
        <w:t>Comparative effectiveness</w:t>
      </w:r>
      <w:bookmarkEnd w:id="14"/>
      <w:bookmarkEnd w:id="15"/>
    </w:p>
    <w:p w:rsidR="00EA5D92" w:rsidRPr="001B446F" w:rsidRDefault="00304FFA" w:rsidP="00EA5D92">
      <w:pPr>
        <w:pStyle w:val="3-BodyText"/>
        <w:rPr>
          <w:snapToGrid/>
        </w:rPr>
      </w:pPr>
      <w:r w:rsidRPr="001B446F">
        <w:rPr>
          <w:snapToGrid/>
        </w:rPr>
        <w:t xml:space="preserve">The proportion </w:t>
      </w:r>
      <w:r w:rsidR="00C13053" w:rsidRPr="001B446F">
        <w:rPr>
          <w:snapToGrid/>
        </w:rPr>
        <w:t xml:space="preserve">of patients </w:t>
      </w:r>
      <w:r w:rsidRPr="001B446F">
        <w:rPr>
          <w:snapToGrid/>
        </w:rPr>
        <w:t>achieving ≥ 15 letter or ≥</w:t>
      </w:r>
      <w:r w:rsidR="00D76566" w:rsidRPr="001B446F">
        <w:rPr>
          <w:snapToGrid/>
        </w:rPr>
        <w:t xml:space="preserve"> </w:t>
      </w:r>
      <w:proofErr w:type="gramStart"/>
      <w:r w:rsidRPr="001B446F">
        <w:rPr>
          <w:snapToGrid/>
        </w:rPr>
        <w:t>10 letter</w:t>
      </w:r>
      <w:proofErr w:type="gramEnd"/>
      <w:r w:rsidRPr="001B446F">
        <w:rPr>
          <w:snapToGrid/>
        </w:rPr>
        <w:t xml:space="preserve"> change from baseline in BCVA at 36 months</w:t>
      </w:r>
      <w:r w:rsidR="00C13053" w:rsidRPr="001B446F">
        <w:rPr>
          <w:snapToGrid/>
        </w:rPr>
        <w:t xml:space="preserve"> in </w:t>
      </w:r>
      <w:r w:rsidRPr="001B446F">
        <w:rPr>
          <w:snapToGrid/>
        </w:rPr>
        <w:t xml:space="preserve">the key trials </w:t>
      </w:r>
      <w:r w:rsidR="00C13053" w:rsidRPr="001B446F">
        <w:rPr>
          <w:snapToGrid/>
        </w:rPr>
        <w:t xml:space="preserve">is </w:t>
      </w:r>
      <w:r w:rsidRPr="001B446F">
        <w:rPr>
          <w:snapToGrid/>
        </w:rPr>
        <w:t xml:space="preserve">presented in </w:t>
      </w:r>
      <w:r w:rsidR="00EA5D92" w:rsidRPr="001B446F">
        <w:rPr>
          <w:snapToGrid/>
        </w:rPr>
        <w:t xml:space="preserve">Table </w:t>
      </w:r>
      <w:r w:rsidR="00340CE3" w:rsidRPr="001B446F">
        <w:rPr>
          <w:snapToGrid/>
        </w:rPr>
        <w:t>4</w:t>
      </w:r>
      <w:r w:rsidR="00EA5D92" w:rsidRPr="001B446F">
        <w:rPr>
          <w:snapToGrid/>
        </w:rPr>
        <w:t xml:space="preserve">. </w:t>
      </w:r>
    </w:p>
    <w:p w:rsidR="00304FFA" w:rsidRPr="001B446F" w:rsidRDefault="00304FFA" w:rsidP="00DB2C12">
      <w:pPr>
        <w:pStyle w:val="Table"/>
      </w:pPr>
    </w:p>
    <w:p w:rsidR="00DB2C12" w:rsidRPr="001B446F" w:rsidRDefault="00DB2C12" w:rsidP="00DB2C12">
      <w:pPr>
        <w:pStyle w:val="TableFigureHeading"/>
        <w:rPr>
          <w:rStyle w:val="CommentReference"/>
          <w:b/>
          <w:szCs w:val="24"/>
        </w:rPr>
      </w:pPr>
      <w:r w:rsidRPr="001B446F">
        <w:rPr>
          <w:rStyle w:val="CommentReference"/>
          <w:b/>
          <w:szCs w:val="24"/>
        </w:rPr>
        <w:lastRenderedPageBreak/>
        <w:t xml:space="preserve">Table 4: Results: </w:t>
      </w:r>
      <w:r w:rsidR="00E62104" w:rsidRPr="001B446F">
        <w:rPr>
          <w:rStyle w:val="CommentReference"/>
          <w:b/>
          <w:szCs w:val="24"/>
        </w:rPr>
        <w:t xml:space="preserve">Proportion achieving </w:t>
      </w:r>
      <w:r w:rsidRPr="001B446F">
        <w:rPr>
          <w:rStyle w:val="CommentReference"/>
          <w:b/>
          <w:szCs w:val="24"/>
        </w:rPr>
        <w:t xml:space="preserve">≥15 letter change and ≥10 letter change from baseline in BCVA at 36 months for FAME (full analysis population) and MEAD (intention to treat population).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327"/>
        <w:gridCol w:w="1414"/>
        <w:gridCol w:w="1436"/>
        <w:gridCol w:w="1830"/>
        <w:gridCol w:w="1536"/>
      </w:tblGrid>
      <w:tr w:rsidR="00DB2C12" w:rsidRPr="001B446F" w:rsidTr="001E612C">
        <w:trPr>
          <w:tblHeader/>
        </w:trPr>
        <w:tc>
          <w:tcPr>
            <w:tcW w:w="817" w:type="pct"/>
            <w:vAlign w:val="center"/>
          </w:tcPr>
          <w:p w:rsidR="00DB2C12" w:rsidRPr="001B446F" w:rsidRDefault="00DB2C12" w:rsidP="001E612C">
            <w:pPr>
              <w:pStyle w:val="In-tableHeading"/>
              <w:rPr>
                <w:lang w:val="en-AU"/>
              </w:rPr>
            </w:pPr>
            <w:r w:rsidRPr="001B446F">
              <w:rPr>
                <w:lang w:val="en-AU"/>
              </w:rPr>
              <w:t xml:space="preserve">Trial </w:t>
            </w:r>
          </w:p>
        </w:tc>
        <w:tc>
          <w:tcPr>
            <w:tcW w:w="736" w:type="pct"/>
            <w:vAlign w:val="center"/>
          </w:tcPr>
          <w:p w:rsidR="00DB2C12" w:rsidRPr="001B446F" w:rsidRDefault="00DB2C12" w:rsidP="001E612C">
            <w:pPr>
              <w:pStyle w:val="In-tableHeading"/>
              <w:jc w:val="center"/>
              <w:rPr>
                <w:rFonts w:eastAsiaTheme="minorHAnsi" w:cstheme="minorBidi"/>
                <w:szCs w:val="22"/>
                <w:lang w:val="en-AU"/>
              </w:rPr>
            </w:pPr>
            <w:r w:rsidRPr="001B446F">
              <w:rPr>
                <w:rFonts w:eastAsiaTheme="minorHAnsi" w:cstheme="minorBidi"/>
                <w:szCs w:val="22"/>
                <w:lang w:val="en-AU"/>
              </w:rPr>
              <w:t xml:space="preserve">0.2 µg FA </w:t>
            </w:r>
          </w:p>
          <w:p w:rsidR="00DB2C12" w:rsidRPr="001B446F" w:rsidRDefault="00DB2C12" w:rsidP="001E612C">
            <w:pPr>
              <w:pStyle w:val="In-tableHeading"/>
              <w:jc w:val="center"/>
              <w:rPr>
                <w:rFonts w:eastAsiaTheme="minorHAnsi" w:cstheme="minorBidi"/>
                <w:szCs w:val="22"/>
                <w:lang w:val="en-AU"/>
              </w:rPr>
            </w:pPr>
            <w:proofErr w:type="gramStart"/>
            <w:r w:rsidRPr="001B446F">
              <w:rPr>
                <w:rFonts w:eastAsiaTheme="minorHAnsi" w:cstheme="minorBidi"/>
                <w:szCs w:val="22"/>
                <w:lang w:val="en-AU"/>
              </w:rPr>
              <w:t>n/N</w:t>
            </w:r>
            <w:proofErr w:type="gramEnd"/>
            <w:r w:rsidRPr="001B446F">
              <w:rPr>
                <w:rFonts w:eastAsiaTheme="minorHAnsi" w:cstheme="minorBidi"/>
                <w:szCs w:val="22"/>
                <w:lang w:val="en-AU"/>
              </w:rPr>
              <w:t xml:space="preserve"> (%)</w:t>
            </w:r>
          </w:p>
        </w:tc>
        <w:tc>
          <w:tcPr>
            <w:tcW w:w="784" w:type="pct"/>
            <w:vAlign w:val="center"/>
          </w:tcPr>
          <w:p w:rsidR="00DB2C12" w:rsidRPr="001B446F" w:rsidRDefault="00DB2C12" w:rsidP="001E612C">
            <w:pPr>
              <w:pStyle w:val="In-tableHeading"/>
              <w:rPr>
                <w:lang w:val="en-AU"/>
              </w:rPr>
            </w:pPr>
            <w:r w:rsidRPr="001B446F">
              <w:rPr>
                <w:lang w:val="en-AU"/>
              </w:rPr>
              <w:t>DEX 700</w:t>
            </w:r>
            <w:r w:rsidRPr="001B446F">
              <w:rPr>
                <w:rFonts w:eastAsiaTheme="minorHAnsi" w:cstheme="minorBidi"/>
                <w:szCs w:val="22"/>
                <w:lang w:val="en-AU"/>
              </w:rPr>
              <w:t xml:space="preserve"> µg</w:t>
            </w:r>
          </w:p>
          <w:p w:rsidR="00DB2C12" w:rsidRPr="001B446F" w:rsidRDefault="00DB2C12" w:rsidP="001E612C">
            <w:pPr>
              <w:pStyle w:val="In-tableHeading"/>
              <w:jc w:val="center"/>
              <w:rPr>
                <w:lang w:val="en-AU"/>
              </w:rPr>
            </w:pPr>
            <w:proofErr w:type="gramStart"/>
            <w:r w:rsidRPr="001B446F">
              <w:rPr>
                <w:rFonts w:eastAsiaTheme="minorHAnsi" w:cstheme="minorBidi"/>
                <w:szCs w:val="22"/>
                <w:lang w:val="en-AU"/>
              </w:rPr>
              <w:t>n/N</w:t>
            </w:r>
            <w:proofErr w:type="gramEnd"/>
            <w:r w:rsidRPr="001B446F">
              <w:rPr>
                <w:rFonts w:eastAsiaTheme="minorHAnsi" w:cstheme="minorBidi"/>
                <w:szCs w:val="22"/>
                <w:lang w:val="en-AU"/>
              </w:rPr>
              <w:t xml:space="preserve"> (%)</w:t>
            </w:r>
          </w:p>
        </w:tc>
        <w:tc>
          <w:tcPr>
            <w:tcW w:w="796" w:type="pct"/>
            <w:vAlign w:val="center"/>
          </w:tcPr>
          <w:p w:rsidR="00DB2C12" w:rsidRPr="001B446F" w:rsidRDefault="00DB2C12" w:rsidP="001E612C">
            <w:pPr>
              <w:pStyle w:val="In-tableHeading"/>
              <w:jc w:val="center"/>
              <w:rPr>
                <w:rFonts w:eastAsiaTheme="minorHAnsi" w:cstheme="minorBidi"/>
                <w:szCs w:val="22"/>
                <w:lang w:val="en-AU"/>
              </w:rPr>
            </w:pPr>
            <w:r w:rsidRPr="001B446F">
              <w:rPr>
                <w:rFonts w:eastAsiaTheme="minorHAnsi" w:cstheme="minorBidi"/>
                <w:szCs w:val="22"/>
                <w:lang w:val="en-AU"/>
              </w:rPr>
              <w:t>Sham</w:t>
            </w:r>
          </w:p>
          <w:p w:rsidR="00DB2C12" w:rsidRPr="001B446F" w:rsidRDefault="00DB2C12" w:rsidP="001E612C">
            <w:pPr>
              <w:pStyle w:val="In-tableHeading"/>
              <w:jc w:val="center"/>
              <w:rPr>
                <w:lang w:val="en-AU"/>
              </w:rPr>
            </w:pPr>
            <w:proofErr w:type="gramStart"/>
            <w:r w:rsidRPr="001B446F">
              <w:rPr>
                <w:rFonts w:eastAsiaTheme="minorHAnsi" w:cstheme="minorBidi"/>
                <w:szCs w:val="22"/>
                <w:lang w:val="en-AU"/>
              </w:rPr>
              <w:t>n/N</w:t>
            </w:r>
            <w:proofErr w:type="gramEnd"/>
            <w:r w:rsidRPr="001B446F">
              <w:rPr>
                <w:rFonts w:eastAsiaTheme="minorHAnsi" w:cstheme="minorBidi"/>
                <w:szCs w:val="22"/>
                <w:lang w:val="en-AU"/>
              </w:rPr>
              <w:t xml:space="preserve"> (%)</w:t>
            </w:r>
          </w:p>
        </w:tc>
        <w:tc>
          <w:tcPr>
            <w:tcW w:w="1015" w:type="pct"/>
            <w:vAlign w:val="center"/>
          </w:tcPr>
          <w:p w:rsidR="00DB2C12" w:rsidRPr="001B446F" w:rsidRDefault="00DB2C12" w:rsidP="001E612C">
            <w:pPr>
              <w:pStyle w:val="In-tableHeading"/>
              <w:jc w:val="center"/>
              <w:rPr>
                <w:lang w:val="en-AU"/>
              </w:rPr>
            </w:pPr>
            <w:r w:rsidRPr="001B446F">
              <w:rPr>
                <w:lang w:val="en-AU"/>
              </w:rPr>
              <w:t xml:space="preserve">Risk </w:t>
            </w:r>
            <w:proofErr w:type="spellStart"/>
            <w:r w:rsidRPr="001B446F">
              <w:rPr>
                <w:lang w:val="en-AU"/>
              </w:rPr>
              <w:t>difference</w:t>
            </w:r>
            <w:r w:rsidRPr="001B446F">
              <w:rPr>
                <w:vertAlign w:val="superscript"/>
                <w:lang w:val="en-AU"/>
              </w:rPr>
              <w:t>a</w:t>
            </w:r>
            <w:proofErr w:type="spellEnd"/>
            <w:r w:rsidRPr="001B446F">
              <w:rPr>
                <w:lang w:val="en-AU"/>
              </w:rPr>
              <w:t xml:space="preserve"> (95% CI)</w:t>
            </w:r>
          </w:p>
        </w:tc>
        <w:tc>
          <w:tcPr>
            <w:tcW w:w="852" w:type="pct"/>
            <w:vAlign w:val="center"/>
          </w:tcPr>
          <w:p w:rsidR="00DB2C12" w:rsidRPr="001B446F" w:rsidRDefault="00DB2C12" w:rsidP="001E612C">
            <w:pPr>
              <w:pStyle w:val="In-tableHeading"/>
              <w:jc w:val="center"/>
              <w:rPr>
                <w:lang w:val="en-AU"/>
              </w:rPr>
            </w:pPr>
            <w:r w:rsidRPr="001B446F">
              <w:rPr>
                <w:lang w:val="en-AU"/>
              </w:rPr>
              <w:t>P-value</w:t>
            </w:r>
          </w:p>
        </w:tc>
      </w:tr>
      <w:tr w:rsidR="00DB2C12" w:rsidRPr="001B446F" w:rsidTr="001E612C">
        <w:tc>
          <w:tcPr>
            <w:tcW w:w="5000" w:type="pct"/>
            <w:gridSpan w:val="6"/>
            <w:vAlign w:val="center"/>
          </w:tcPr>
          <w:p w:rsidR="00DB2C12" w:rsidRPr="001B446F" w:rsidRDefault="00E62104" w:rsidP="001E612C">
            <w:pPr>
              <w:pStyle w:val="TableText0"/>
              <w:rPr>
                <w:b/>
              </w:rPr>
            </w:pPr>
            <w:r w:rsidRPr="001B446F">
              <w:rPr>
                <w:b/>
              </w:rPr>
              <w:t xml:space="preserve">Proportion achieving </w:t>
            </w:r>
            <w:r w:rsidR="00DB2C12" w:rsidRPr="001B446F">
              <w:rPr>
                <w:b/>
              </w:rPr>
              <w:t>≥ 15 letter change from baseline in BCVA at 36 months</w:t>
            </w:r>
          </w:p>
        </w:tc>
      </w:tr>
      <w:tr w:rsidR="00DB2C12" w:rsidRPr="001B446F" w:rsidTr="001E612C">
        <w:tc>
          <w:tcPr>
            <w:tcW w:w="5000" w:type="pct"/>
            <w:gridSpan w:val="6"/>
            <w:vAlign w:val="center"/>
          </w:tcPr>
          <w:p w:rsidR="00DB2C12" w:rsidRPr="001B446F" w:rsidRDefault="00DB2C12" w:rsidP="001E612C">
            <w:pPr>
              <w:pStyle w:val="TableText0"/>
              <w:rPr>
                <w:b/>
              </w:rPr>
            </w:pPr>
            <w:r w:rsidRPr="001B446F">
              <w:rPr>
                <w:b/>
              </w:rPr>
              <w:t xml:space="preserve">FA </w:t>
            </w:r>
          </w:p>
        </w:tc>
      </w:tr>
      <w:tr w:rsidR="00DB2C12" w:rsidRPr="001B446F" w:rsidTr="001E612C">
        <w:tc>
          <w:tcPr>
            <w:tcW w:w="817" w:type="pct"/>
            <w:vAlign w:val="center"/>
          </w:tcPr>
          <w:p w:rsidR="00DB2C12" w:rsidRPr="001B446F" w:rsidRDefault="00DB2C12" w:rsidP="001E612C">
            <w:pPr>
              <w:pStyle w:val="TableText0"/>
            </w:pPr>
            <w:r w:rsidRPr="001B446F">
              <w:t xml:space="preserve">FAME-001a </w:t>
            </w:r>
          </w:p>
        </w:tc>
        <w:tc>
          <w:tcPr>
            <w:tcW w:w="736" w:type="pct"/>
          </w:tcPr>
          <w:p w:rsidR="00DB2C12" w:rsidRPr="001B446F" w:rsidRDefault="00DB2C12" w:rsidP="001E612C">
            <w:pPr>
              <w:pStyle w:val="TableText0"/>
              <w:jc w:val="center"/>
            </w:pPr>
            <w:r w:rsidRPr="001B446F">
              <w:t xml:space="preserve">54/190 (28.4) </w:t>
            </w:r>
          </w:p>
        </w:tc>
        <w:tc>
          <w:tcPr>
            <w:tcW w:w="784" w:type="pct"/>
          </w:tcPr>
          <w:p w:rsidR="00DB2C12" w:rsidRPr="001B446F" w:rsidRDefault="00DB2C12" w:rsidP="001E612C">
            <w:pPr>
              <w:pStyle w:val="TableText0"/>
              <w:jc w:val="center"/>
            </w:pPr>
            <w:r w:rsidRPr="001B446F">
              <w:t>-</w:t>
            </w:r>
          </w:p>
        </w:tc>
        <w:tc>
          <w:tcPr>
            <w:tcW w:w="796" w:type="pct"/>
          </w:tcPr>
          <w:p w:rsidR="00DB2C12" w:rsidRPr="001B446F" w:rsidRDefault="00DB2C12" w:rsidP="001E612C">
            <w:pPr>
              <w:pStyle w:val="TableText0"/>
              <w:jc w:val="center"/>
            </w:pPr>
            <w:r w:rsidRPr="001B446F">
              <w:t xml:space="preserve">18/95 (18.9) </w:t>
            </w:r>
          </w:p>
        </w:tc>
        <w:tc>
          <w:tcPr>
            <w:tcW w:w="1015" w:type="pct"/>
          </w:tcPr>
          <w:p w:rsidR="00DB2C12" w:rsidRPr="001B446F" w:rsidRDefault="00DB2C12" w:rsidP="00A230BB">
            <w:pPr>
              <w:pStyle w:val="TableText0"/>
              <w:jc w:val="center"/>
            </w:pPr>
            <w:r w:rsidRPr="001B446F">
              <w:t>9</w:t>
            </w:r>
            <w:r w:rsidR="00A230BB" w:rsidRPr="001B446F">
              <w:t>.</w:t>
            </w:r>
            <w:r w:rsidRPr="001B446F">
              <w:t>5 (</w:t>
            </w:r>
            <w:r w:rsidR="00A230BB" w:rsidRPr="001B446F">
              <w:t>-0.7, 19.6)</w:t>
            </w:r>
          </w:p>
        </w:tc>
        <w:tc>
          <w:tcPr>
            <w:tcW w:w="852" w:type="pct"/>
          </w:tcPr>
          <w:p w:rsidR="00DB2C12" w:rsidRPr="001B446F" w:rsidRDefault="00DB2C12" w:rsidP="001E612C">
            <w:pPr>
              <w:pStyle w:val="TableText0"/>
              <w:jc w:val="center"/>
            </w:pPr>
            <w:r w:rsidRPr="001B446F">
              <w:t>0.106</w:t>
            </w:r>
          </w:p>
        </w:tc>
      </w:tr>
      <w:tr w:rsidR="00DB2C12" w:rsidRPr="001B446F" w:rsidTr="001E612C">
        <w:tc>
          <w:tcPr>
            <w:tcW w:w="817" w:type="pct"/>
            <w:vAlign w:val="center"/>
          </w:tcPr>
          <w:p w:rsidR="00DB2C12" w:rsidRPr="001B446F" w:rsidRDefault="00DB2C12" w:rsidP="001E612C">
            <w:pPr>
              <w:pStyle w:val="TableText0"/>
            </w:pPr>
            <w:r w:rsidRPr="001B446F">
              <w:t xml:space="preserve">FAME-001b </w:t>
            </w:r>
          </w:p>
        </w:tc>
        <w:tc>
          <w:tcPr>
            <w:tcW w:w="736" w:type="pct"/>
          </w:tcPr>
          <w:p w:rsidR="00DB2C12" w:rsidRPr="001B446F" w:rsidRDefault="00DB2C12" w:rsidP="001E612C">
            <w:pPr>
              <w:pStyle w:val="TableText0"/>
              <w:jc w:val="center"/>
            </w:pPr>
            <w:r w:rsidRPr="001B446F">
              <w:t xml:space="preserve">54/186 (29.0) </w:t>
            </w:r>
          </w:p>
        </w:tc>
        <w:tc>
          <w:tcPr>
            <w:tcW w:w="784" w:type="pct"/>
          </w:tcPr>
          <w:p w:rsidR="00DB2C12" w:rsidRPr="001B446F" w:rsidRDefault="00DB2C12" w:rsidP="001E612C">
            <w:pPr>
              <w:pStyle w:val="TableText0"/>
              <w:jc w:val="center"/>
            </w:pPr>
            <w:r w:rsidRPr="001B446F">
              <w:t>-</w:t>
            </w:r>
          </w:p>
        </w:tc>
        <w:tc>
          <w:tcPr>
            <w:tcW w:w="796" w:type="pct"/>
          </w:tcPr>
          <w:p w:rsidR="00DB2C12" w:rsidRPr="001B446F" w:rsidRDefault="00DB2C12" w:rsidP="001E612C">
            <w:pPr>
              <w:pStyle w:val="TableText0"/>
              <w:jc w:val="center"/>
            </w:pPr>
            <w:r w:rsidRPr="001B446F">
              <w:t xml:space="preserve">17/90 (18.9) </w:t>
            </w:r>
          </w:p>
        </w:tc>
        <w:tc>
          <w:tcPr>
            <w:tcW w:w="1015" w:type="pct"/>
          </w:tcPr>
          <w:p w:rsidR="00DB2C12" w:rsidRPr="001B446F" w:rsidRDefault="00A230BB" w:rsidP="001E612C">
            <w:pPr>
              <w:pStyle w:val="TableText0"/>
              <w:jc w:val="center"/>
            </w:pPr>
            <w:r w:rsidRPr="001B446F">
              <w:t>10.1 (-0.2, 20.5)</w:t>
            </w:r>
          </w:p>
        </w:tc>
        <w:tc>
          <w:tcPr>
            <w:tcW w:w="852" w:type="pct"/>
          </w:tcPr>
          <w:p w:rsidR="00DB2C12" w:rsidRPr="001B446F" w:rsidRDefault="00DB2C12" w:rsidP="001E612C">
            <w:pPr>
              <w:pStyle w:val="TableText0"/>
              <w:jc w:val="center"/>
            </w:pPr>
            <w:r w:rsidRPr="001B446F">
              <w:t>0.086</w:t>
            </w:r>
          </w:p>
        </w:tc>
      </w:tr>
      <w:tr w:rsidR="00DB2C12" w:rsidRPr="001B446F" w:rsidTr="001E612C">
        <w:tc>
          <w:tcPr>
            <w:tcW w:w="817" w:type="pct"/>
            <w:vAlign w:val="center"/>
          </w:tcPr>
          <w:p w:rsidR="00DB2C12" w:rsidRPr="001B446F" w:rsidRDefault="00DB2C12" w:rsidP="001E612C">
            <w:pPr>
              <w:pStyle w:val="TableText0"/>
            </w:pPr>
            <w:r w:rsidRPr="001B446F">
              <w:t>Pooled</w:t>
            </w:r>
          </w:p>
        </w:tc>
        <w:tc>
          <w:tcPr>
            <w:tcW w:w="736" w:type="pct"/>
          </w:tcPr>
          <w:p w:rsidR="00DB2C12" w:rsidRPr="001B446F" w:rsidRDefault="00DB2C12" w:rsidP="001E612C">
            <w:pPr>
              <w:pStyle w:val="TableText0"/>
              <w:jc w:val="center"/>
              <w:rPr>
                <w:bCs w:val="0"/>
              </w:rPr>
            </w:pPr>
            <w:r w:rsidRPr="001B446F">
              <w:rPr>
                <w:bCs w:val="0"/>
              </w:rPr>
              <w:t>108/376 (28.7)</w:t>
            </w:r>
          </w:p>
        </w:tc>
        <w:tc>
          <w:tcPr>
            <w:tcW w:w="784" w:type="pct"/>
          </w:tcPr>
          <w:p w:rsidR="00DB2C12" w:rsidRPr="001B446F" w:rsidRDefault="00DB2C12" w:rsidP="001E612C">
            <w:pPr>
              <w:pStyle w:val="TableText0"/>
              <w:jc w:val="center"/>
            </w:pPr>
            <w:r w:rsidRPr="001B446F">
              <w:t>-</w:t>
            </w:r>
          </w:p>
        </w:tc>
        <w:tc>
          <w:tcPr>
            <w:tcW w:w="796" w:type="pct"/>
          </w:tcPr>
          <w:p w:rsidR="00DB2C12" w:rsidRPr="001B446F" w:rsidRDefault="00DB2C12" w:rsidP="001E612C">
            <w:pPr>
              <w:pStyle w:val="TableText0"/>
              <w:jc w:val="center"/>
              <w:rPr>
                <w:bCs w:val="0"/>
              </w:rPr>
            </w:pPr>
            <w:r w:rsidRPr="001B446F">
              <w:rPr>
                <w:bCs w:val="0"/>
              </w:rPr>
              <w:t>35/185 (18.9)</w:t>
            </w:r>
          </w:p>
        </w:tc>
        <w:tc>
          <w:tcPr>
            <w:tcW w:w="1015" w:type="pct"/>
          </w:tcPr>
          <w:p w:rsidR="00DB2C12" w:rsidRPr="001B446F" w:rsidRDefault="00A230BB" w:rsidP="001E612C">
            <w:pPr>
              <w:pStyle w:val="TableText0"/>
              <w:jc w:val="center"/>
              <w:rPr>
                <w:b/>
                <w:bCs w:val="0"/>
              </w:rPr>
            </w:pPr>
            <w:r w:rsidRPr="001B446F">
              <w:rPr>
                <w:b/>
                <w:bCs w:val="0"/>
              </w:rPr>
              <w:t>9.8 (2.5, 17.1)</w:t>
            </w:r>
          </w:p>
        </w:tc>
        <w:tc>
          <w:tcPr>
            <w:tcW w:w="852" w:type="pct"/>
          </w:tcPr>
          <w:p w:rsidR="00DB2C12" w:rsidRPr="001B446F" w:rsidRDefault="00DB2C12" w:rsidP="001E612C">
            <w:pPr>
              <w:pStyle w:val="TableText0"/>
              <w:jc w:val="center"/>
              <w:rPr>
                <w:b/>
                <w:bCs w:val="0"/>
              </w:rPr>
            </w:pPr>
            <w:r w:rsidRPr="001B446F">
              <w:rPr>
                <w:b/>
                <w:bCs w:val="0"/>
              </w:rPr>
              <w:t>0.018</w:t>
            </w:r>
          </w:p>
        </w:tc>
      </w:tr>
      <w:tr w:rsidR="00DB2C12" w:rsidRPr="001B446F" w:rsidTr="001E612C">
        <w:tc>
          <w:tcPr>
            <w:tcW w:w="5000" w:type="pct"/>
            <w:gridSpan w:val="6"/>
            <w:vAlign w:val="center"/>
          </w:tcPr>
          <w:p w:rsidR="00DB2C12" w:rsidRPr="001B446F" w:rsidRDefault="00DB2C12" w:rsidP="001E612C">
            <w:pPr>
              <w:pStyle w:val="TableText0"/>
              <w:rPr>
                <w:b/>
              </w:rPr>
            </w:pPr>
            <w:r w:rsidRPr="001B446F">
              <w:rPr>
                <w:b/>
              </w:rPr>
              <w:t>DEX</w:t>
            </w:r>
          </w:p>
        </w:tc>
      </w:tr>
      <w:tr w:rsidR="00DB2C12" w:rsidRPr="001B446F" w:rsidTr="001E612C">
        <w:tc>
          <w:tcPr>
            <w:tcW w:w="817" w:type="pct"/>
            <w:vAlign w:val="center"/>
          </w:tcPr>
          <w:p w:rsidR="00DB2C12" w:rsidRPr="001B446F" w:rsidRDefault="00DB2C12" w:rsidP="001E612C">
            <w:pPr>
              <w:pStyle w:val="TableText0"/>
            </w:pPr>
            <w:r w:rsidRPr="001B446F">
              <w:t>MEAD-010</w:t>
            </w:r>
          </w:p>
        </w:tc>
        <w:tc>
          <w:tcPr>
            <w:tcW w:w="736" w:type="pct"/>
          </w:tcPr>
          <w:p w:rsidR="00DB2C12" w:rsidRPr="001B446F" w:rsidRDefault="00DB2C12" w:rsidP="001E612C">
            <w:pPr>
              <w:pStyle w:val="TableText0"/>
              <w:jc w:val="center"/>
            </w:pPr>
            <w:r w:rsidRPr="001B446F">
              <w:t>-</w:t>
            </w:r>
          </w:p>
        </w:tc>
        <w:tc>
          <w:tcPr>
            <w:tcW w:w="784" w:type="pct"/>
          </w:tcPr>
          <w:p w:rsidR="00DB2C12" w:rsidRPr="001B446F" w:rsidRDefault="00DB2C12" w:rsidP="001E612C">
            <w:pPr>
              <w:pStyle w:val="TableText0"/>
              <w:jc w:val="center"/>
            </w:pPr>
            <w:r w:rsidRPr="001B446F">
              <w:t xml:space="preserve">36/163 (22.1) </w:t>
            </w:r>
          </w:p>
        </w:tc>
        <w:tc>
          <w:tcPr>
            <w:tcW w:w="796" w:type="pct"/>
          </w:tcPr>
          <w:p w:rsidR="00DB2C12" w:rsidRPr="001B446F" w:rsidRDefault="00DB2C12" w:rsidP="001E612C">
            <w:pPr>
              <w:pStyle w:val="TableText0"/>
              <w:jc w:val="center"/>
            </w:pPr>
            <w:r w:rsidRPr="001B446F">
              <w:t>22/165 (13.3)</w:t>
            </w:r>
          </w:p>
        </w:tc>
        <w:tc>
          <w:tcPr>
            <w:tcW w:w="1015" w:type="pct"/>
          </w:tcPr>
          <w:p w:rsidR="00DB2C12" w:rsidRPr="001B446F" w:rsidRDefault="00A230BB" w:rsidP="001E612C">
            <w:pPr>
              <w:pStyle w:val="TableText0"/>
              <w:jc w:val="center"/>
              <w:rPr>
                <w:b/>
              </w:rPr>
            </w:pPr>
            <w:r w:rsidRPr="001B446F">
              <w:rPr>
                <w:b/>
              </w:rPr>
              <w:t xml:space="preserve"> 8.8 (0.5, 17.0)</w:t>
            </w:r>
          </w:p>
        </w:tc>
        <w:tc>
          <w:tcPr>
            <w:tcW w:w="852" w:type="pct"/>
          </w:tcPr>
          <w:p w:rsidR="00DB2C12" w:rsidRPr="001B446F" w:rsidRDefault="00DB2C12" w:rsidP="001E612C">
            <w:pPr>
              <w:pStyle w:val="TableText0"/>
              <w:jc w:val="center"/>
              <w:rPr>
                <w:b/>
              </w:rPr>
            </w:pPr>
            <w:r w:rsidRPr="001B446F">
              <w:rPr>
                <w:b/>
              </w:rPr>
              <w:t>0.038</w:t>
            </w:r>
          </w:p>
        </w:tc>
      </w:tr>
      <w:tr w:rsidR="00DB2C12" w:rsidRPr="001B446F" w:rsidTr="001E612C">
        <w:tc>
          <w:tcPr>
            <w:tcW w:w="817" w:type="pct"/>
            <w:vAlign w:val="center"/>
          </w:tcPr>
          <w:p w:rsidR="00DB2C12" w:rsidRPr="001B446F" w:rsidRDefault="00DB2C12" w:rsidP="001E612C">
            <w:pPr>
              <w:pStyle w:val="TableText0"/>
            </w:pPr>
            <w:r w:rsidRPr="001B446F">
              <w:t>MEAD-011</w:t>
            </w:r>
          </w:p>
        </w:tc>
        <w:tc>
          <w:tcPr>
            <w:tcW w:w="736" w:type="pct"/>
          </w:tcPr>
          <w:p w:rsidR="00DB2C12" w:rsidRPr="001B446F" w:rsidRDefault="00DB2C12" w:rsidP="001E612C">
            <w:pPr>
              <w:pStyle w:val="TableText0"/>
              <w:jc w:val="center"/>
            </w:pPr>
            <w:r w:rsidRPr="001B446F">
              <w:t>-</w:t>
            </w:r>
          </w:p>
        </w:tc>
        <w:tc>
          <w:tcPr>
            <w:tcW w:w="784" w:type="pct"/>
            <w:tcBorders>
              <w:bottom w:val="single" w:sz="4" w:space="0" w:color="auto"/>
            </w:tcBorders>
          </w:tcPr>
          <w:p w:rsidR="00DB2C12" w:rsidRPr="001B446F" w:rsidRDefault="00DB2C12" w:rsidP="001E612C">
            <w:pPr>
              <w:pStyle w:val="TableText0"/>
              <w:jc w:val="center"/>
            </w:pPr>
            <w:r w:rsidRPr="001B446F">
              <w:t>42/188 (22.3)</w:t>
            </w:r>
          </w:p>
        </w:tc>
        <w:tc>
          <w:tcPr>
            <w:tcW w:w="796" w:type="pct"/>
            <w:tcBorders>
              <w:bottom w:val="single" w:sz="4" w:space="0" w:color="auto"/>
            </w:tcBorders>
          </w:tcPr>
          <w:p w:rsidR="00DB2C12" w:rsidRPr="001B446F" w:rsidRDefault="00DB2C12" w:rsidP="001E612C">
            <w:pPr>
              <w:pStyle w:val="TableText0"/>
              <w:jc w:val="center"/>
            </w:pPr>
            <w:r w:rsidRPr="001B446F">
              <w:t>20/185 (10.8)</w:t>
            </w:r>
          </w:p>
        </w:tc>
        <w:tc>
          <w:tcPr>
            <w:tcW w:w="1015" w:type="pct"/>
          </w:tcPr>
          <w:p w:rsidR="00DB2C12" w:rsidRPr="001B446F" w:rsidRDefault="00A230BB" w:rsidP="001E612C">
            <w:pPr>
              <w:pStyle w:val="TableText0"/>
              <w:jc w:val="center"/>
              <w:rPr>
                <w:b/>
              </w:rPr>
            </w:pPr>
            <w:r w:rsidRPr="001B446F">
              <w:rPr>
                <w:b/>
              </w:rPr>
              <w:t xml:space="preserve"> 11.5 (4.1, 19.0)</w:t>
            </w:r>
          </w:p>
        </w:tc>
        <w:tc>
          <w:tcPr>
            <w:tcW w:w="852" w:type="pct"/>
            <w:tcBorders>
              <w:bottom w:val="single" w:sz="4" w:space="0" w:color="auto"/>
            </w:tcBorders>
          </w:tcPr>
          <w:p w:rsidR="00DB2C12" w:rsidRPr="001B446F" w:rsidRDefault="00DB2C12" w:rsidP="001E612C">
            <w:pPr>
              <w:pStyle w:val="TableText0"/>
              <w:jc w:val="center"/>
              <w:rPr>
                <w:b/>
              </w:rPr>
            </w:pPr>
            <w:r w:rsidRPr="001B446F">
              <w:rPr>
                <w:b/>
              </w:rPr>
              <w:t>0.003</w:t>
            </w:r>
          </w:p>
        </w:tc>
      </w:tr>
      <w:tr w:rsidR="00DB2C12" w:rsidRPr="001B446F" w:rsidTr="001E612C">
        <w:tc>
          <w:tcPr>
            <w:tcW w:w="817" w:type="pct"/>
            <w:vAlign w:val="center"/>
          </w:tcPr>
          <w:p w:rsidR="00DB2C12" w:rsidRPr="001B446F" w:rsidRDefault="00DB2C12" w:rsidP="001E612C">
            <w:pPr>
              <w:pStyle w:val="TableText0"/>
            </w:pPr>
            <w:r w:rsidRPr="001B446F">
              <w:t>Pooled</w:t>
            </w:r>
          </w:p>
        </w:tc>
        <w:tc>
          <w:tcPr>
            <w:tcW w:w="736" w:type="pct"/>
          </w:tcPr>
          <w:p w:rsidR="00DB2C12" w:rsidRPr="001B446F" w:rsidRDefault="00DB2C12" w:rsidP="001E612C">
            <w:pPr>
              <w:pStyle w:val="TableText0"/>
              <w:jc w:val="center"/>
              <w:rPr>
                <w:bCs w:val="0"/>
              </w:rPr>
            </w:pPr>
            <w:r w:rsidRPr="001B446F">
              <w:rPr>
                <w:bCs w:val="0"/>
              </w:rPr>
              <w:t>-</w:t>
            </w:r>
          </w:p>
        </w:tc>
        <w:tc>
          <w:tcPr>
            <w:tcW w:w="784" w:type="pct"/>
          </w:tcPr>
          <w:p w:rsidR="00DB2C12" w:rsidRPr="001B446F" w:rsidRDefault="00DB2C12" w:rsidP="001E612C">
            <w:pPr>
              <w:pStyle w:val="TableText0"/>
              <w:jc w:val="center"/>
            </w:pPr>
            <w:r w:rsidRPr="001B446F">
              <w:rPr>
                <w:bCs w:val="0"/>
              </w:rPr>
              <w:t xml:space="preserve">78/351 (22.2) </w:t>
            </w:r>
          </w:p>
        </w:tc>
        <w:tc>
          <w:tcPr>
            <w:tcW w:w="796" w:type="pct"/>
          </w:tcPr>
          <w:p w:rsidR="00DB2C12" w:rsidRPr="001B446F" w:rsidRDefault="00DB2C12" w:rsidP="001E612C">
            <w:pPr>
              <w:pStyle w:val="TableText0"/>
              <w:jc w:val="center"/>
            </w:pPr>
            <w:r w:rsidRPr="001B446F">
              <w:rPr>
                <w:bCs w:val="0"/>
              </w:rPr>
              <w:t>42/350 (12.0)</w:t>
            </w:r>
          </w:p>
        </w:tc>
        <w:tc>
          <w:tcPr>
            <w:tcW w:w="1015" w:type="pct"/>
          </w:tcPr>
          <w:p w:rsidR="00DB2C12" w:rsidRPr="001B446F" w:rsidRDefault="00A230BB" w:rsidP="001E612C">
            <w:pPr>
              <w:pStyle w:val="TableText0"/>
              <w:jc w:val="center"/>
              <w:rPr>
                <w:b/>
              </w:rPr>
            </w:pPr>
            <w:r w:rsidRPr="001B446F">
              <w:rPr>
                <w:b/>
              </w:rPr>
              <w:t>10.2 (4.7, 15.7)</w:t>
            </w:r>
          </w:p>
        </w:tc>
        <w:tc>
          <w:tcPr>
            <w:tcW w:w="852" w:type="pct"/>
          </w:tcPr>
          <w:p w:rsidR="00DB2C12" w:rsidRPr="001B446F" w:rsidRDefault="00DB2C12" w:rsidP="001E612C">
            <w:pPr>
              <w:pStyle w:val="TableText0"/>
              <w:jc w:val="center"/>
              <w:rPr>
                <w:b/>
              </w:rPr>
            </w:pPr>
            <w:r w:rsidRPr="001B446F">
              <w:rPr>
                <w:b/>
                <w:bCs w:val="0"/>
              </w:rPr>
              <w:t>&lt;0.001</w:t>
            </w:r>
          </w:p>
        </w:tc>
      </w:tr>
      <w:tr w:rsidR="00DB2C12" w:rsidRPr="001B446F" w:rsidTr="001E612C">
        <w:tc>
          <w:tcPr>
            <w:tcW w:w="5000" w:type="pct"/>
            <w:gridSpan w:val="6"/>
            <w:vAlign w:val="center"/>
          </w:tcPr>
          <w:p w:rsidR="00DB2C12" w:rsidRPr="001B446F" w:rsidRDefault="00E62104" w:rsidP="001E612C">
            <w:pPr>
              <w:pStyle w:val="TableText0"/>
              <w:rPr>
                <w:b/>
                <w:bCs w:val="0"/>
              </w:rPr>
            </w:pPr>
            <w:r w:rsidRPr="001B446F">
              <w:rPr>
                <w:b/>
              </w:rPr>
              <w:t xml:space="preserve">Proportion achieving </w:t>
            </w:r>
            <w:r w:rsidR="00DB2C12" w:rsidRPr="001B446F">
              <w:rPr>
                <w:b/>
              </w:rPr>
              <w:t>≥ 10 letter change from baseline in BCVA at 36 months</w:t>
            </w:r>
          </w:p>
        </w:tc>
      </w:tr>
      <w:tr w:rsidR="00DB2C12" w:rsidRPr="001B446F" w:rsidTr="001E612C">
        <w:tc>
          <w:tcPr>
            <w:tcW w:w="5000" w:type="pct"/>
            <w:gridSpan w:val="6"/>
            <w:vAlign w:val="center"/>
          </w:tcPr>
          <w:p w:rsidR="00DB2C12" w:rsidRPr="001B446F" w:rsidRDefault="00DB2C12" w:rsidP="001E612C">
            <w:pPr>
              <w:pStyle w:val="TableText0"/>
              <w:rPr>
                <w:b/>
                <w:bCs w:val="0"/>
              </w:rPr>
            </w:pPr>
            <w:r w:rsidRPr="001B446F">
              <w:rPr>
                <w:b/>
              </w:rPr>
              <w:t xml:space="preserve">FA </w:t>
            </w:r>
          </w:p>
        </w:tc>
      </w:tr>
      <w:tr w:rsidR="00DB2C12" w:rsidRPr="001B446F" w:rsidTr="001E612C">
        <w:tc>
          <w:tcPr>
            <w:tcW w:w="817" w:type="pct"/>
            <w:vAlign w:val="center"/>
          </w:tcPr>
          <w:p w:rsidR="00DB2C12" w:rsidRPr="001B446F" w:rsidRDefault="00DB2C12" w:rsidP="001E612C">
            <w:pPr>
              <w:pStyle w:val="TableText0"/>
            </w:pPr>
            <w:r w:rsidRPr="001B446F">
              <w:t xml:space="preserve">FAME-001a </w:t>
            </w:r>
          </w:p>
        </w:tc>
        <w:tc>
          <w:tcPr>
            <w:tcW w:w="736" w:type="pct"/>
          </w:tcPr>
          <w:p w:rsidR="00DB2C12" w:rsidRPr="001B446F" w:rsidRDefault="00DB2C12" w:rsidP="001E612C">
            <w:pPr>
              <w:pStyle w:val="TableText0"/>
              <w:jc w:val="center"/>
              <w:rPr>
                <w:bCs w:val="0"/>
              </w:rPr>
            </w:pPr>
            <w:r w:rsidRPr="001B446F">
              <w:t xml:space="preserve">80/190 (42.1) </w:t>
            </w:r>
          </w:p>
        </w:tc>
        <w:tc>
          <w:tcPr>
            <w:tcW w:w="784" w:type="pct"/>
          </w:tcPr>
          <w:p w:rsidR="00DB2C12" w:rsidRPr="001B446F" w:rsidRDefault="00DB2C12" w:rsidP="001E612C">
            <w:pPr>
              <w:pStyle w:val="TableText0"/>
              <w:jc w:val="center"/>
              <w:rPr>
                <w:bCs w:val="0"/>
              </w:rPr>
            </w:pPr>
            <w:r w:rsidRPr="001B446F">
              <w:rPr>
                <w:bCs w:val="0"/>
              </w:rPr>
              <w:t>-</w:t>
            </w:r>
          </w:p>
        </w:tc>
        <w:tc>
          <w:tcPr>
            <w:tcW w:w="796" w:type="pct"/>
          </w:tcPr>
          <w:p w:rsidR="00DB2C12" w:rsidRPr="001B446F" w:rsidRDefault="00DB2C12" w:rsidP="001E612C">
            <w:pPr>
              <w:pStyle w:val="TableText0"/>
              <w:jc w:val="center"/>
              <w:rPr>
                <w:bCs w:val="0"/>
              </w:rPr>
            </w:pPr>
            <w:r w:rsidRPr="001B446F">
              <w:t xml:space="preserve">32/95 (33.7) </w:t>
            </w:r>
          </w:p>
        </w:tc>
        <w:tc>
          <w:tcPr>
            <w:tcW w:w="1015" w:type="pct"/>
          </w:tcPr>
          <w:p w:rsidR="00DB2C12" w:rsidRPr="001B446F" w:rsidRDefault="00DB2C12" w:rsidP="001E612C">
            <w:pPr>
              <w:pStyle w:val="TableText0"/>
              <w:jc w:val="center"/>
            </w:pPr>
            <w:r w:rsidRPr="001B446F">
              <w:t>8</w:t>
            </w:r>
            <w:r w:rsidR="0020253D" w:rsidRPr="001B446F">
              <w:t>.</w:t>
            </w:r>
            <w:r w:rsidRPr="001B446F">
              <w:t>4 (-</w:t>
            </w:r>
            <w:r w:rsidR="0020253D" w:rsidRPr="001B446F">
              <w:t>3.4</w:t>
            </w:r>
            <w:r w:rsidRPr="001B446F">
              <w:t xml:space="preserve">, </w:t>
            </w:r>
            <w:r w:rsidR="0020253D" w:rsidRPr="001B446F">
              <w:t>20.2</w:t>
            </w:r>
            <w:r w:rsidRPr="001B446F">
              <w:t>)</w:t>
            </w:r>
          </w:p>
        </w:tc>
        <w:tc>
          <w:tcPr>
            <w:tcW w:w="852" w:type="pct"/>
          </w:tcPr>
          <w:p w:rsidR="00DB2C12" w:rsidRPr="001B446F" w:rsidRDefault="00DB2C12" w:rsidP="001E612C">
            <w:pPr>
              <w:pStyle w:val="TableText0"/>
              <w:jc w:val="center"/>
              <w:rPr>
                <w:b/>
                <w:bCs w:val="0"/>
              </w:rPr>
            </w:pPr>
            <w:r w:rsidRPr="001B446F">
              <w:t>0.215</w:t>
            </w:r>
          </w:p>
        </w:tc>
      </w:tr>
      <w:tr w:rsidR="00DB2C12" w:rsidRPr="001B446F" w:rsidTr="001E612C">
        <w:tc>
          <w:tcPr>
            <w:tcW w:w="817" w:type="pct"/>
            <w:vAlign w:val="center"/>
          </w:tcPr>
          <w:p w:rsidR="00DB2C12" w:rsidRPr="001B446F" w:rsidRDefault="00DB2C12" w:rsidP="001E612C">
            <w:pPr>
              <w:pStyle w:val="TableText0"/>
            </w:pPr>
            <w:r w:rsidRPr="001B446F">
              <w:t xml:space="preserve">FAME-001b </w:t>
            </w:r>
          </w:p>
        </w:tc>
        <w:tc>
          <w:tcPr>
            <w:tcW w:w="736" w:type="pct"/>
          </w:tcPr>
          <w:p w:rsidR="00DB2C12" w:rsidRPr="001B446F" w:rsidRDefault="00DB2C12" w:rsidP="001E612C">
            <w:pPr>
              <w:pStyle w:val="TableText0"/>
              <w:jc w:val="center"/>
              <w:rPr>
                <w:bCs w:val="0"/>
              </w:rPr>
            </w:pPr>
            <w:r w:rsidRPr="001B446F">
              <w:t xml:space="preserve">82/186 (44.1) </w:t>
            </w:r>
          </w:p>
        </w:tc>
        <w:tc>
          <w:tcPr>
            <w:tcW w:w="784" w:type="pct"/>
          </w:tcPr>
          <w:p w:rsidR="00DB2C12" w:rsidRPr="001B446F" w:rsidRDefault="00DB2C12" w:rsidP="001E612C">
            <w:pPr>
              <w:pStyle w:val="TableText0"/>
              <w:jc w:val="center"/>
              <w:rPr>
                <w:bCs w:val="0"/>
              </w:rPr>
            </w:pPr>
            <w:r w:rsidRPr="001B446F">
              <w:rPr>
                <w:bCs w:val="0"/>
              </w:rPr>
              <w:t>-</w:t>
            </w:r>
          </w:p>
        </w:tc>
        <w:tc>
          <w:tcPr>
            <w:tcW w:w="796" w:type="pct"/>
          </w:tcPr>
          <w:p w:rsidR="00DB2C12" w:rsidRPr="001B446F" w:rsidRDefault="00DB2C12" w:rsidP="001E612C">
            <w:pPr>
              <w:pStyle w:val="TableText0"/>
              <w:jc w:val="center"/>
              <w:rPr>
                <w:bCs w:val="0"/>
              </w:rPr>
            </w:pPr>
            <w:r w:rsidRPr="001B446F">
              <w:t xml:space="preserve">30/90 (33.3) </w:t>
            </w:r>
          </w:p>
        </w:tc>
        <w:tc>
          <w:tcPr>
            <w:tcW w:w="1015" w:type="pct"/>
          </w:tcPr>
          <w:p w:rsidR="00DB2C12" w:rsidRPr="001B446F" w:rsidRDefault="00DB2C12" w:rsidP="001E612C">
            <w:pPr>
              <w:pStyle w:val="TableText0"/>
              <w:jc w:val="center"/>
            </w:pPr>
            <w:r w:rsidRPr="001B446F">
              <w:t>10</w:t>
            </w:r>
            <w:r w:rsidR="0020253D" w:rsidRPr="001B446F">
              <w:t>.</w:t>
            </w:r>
            <w:r w:rsidRPr="001B446F">
              <w:t>8 (-</w:t>
            </w:r>
            <w:r w:rsidR="0020253D" w:rsidRPr="001B446F">
              <w:t>1.3</w:t>
            </w:r>
            <w:r w:rsidRPr="001B446F">
              <w:t>, 2</w:t>
            </w:r>
            <w:r w:rsidR="0020253D" w:rsidRPr="001B446F">
              <w:t>2.8</w:t>
            </w:r>
            <w:r w:rsidRPr="001B446F">
              <w:t>)</w:t>
            </w:r>
          </w:p>
        </w:tc>
        <w:tc>
          <w:tcPr>
            <w:tcW w:w="852" w:type="pct"/>
          </w:tcPr>
          <w:p w:rsidR="00DB2C12" w:rsidRPr="001B446F" w:rsidRDefault="00DB2C12" w:rsidP="001E612C">
            <w:pPr>
              <w:pStyle w:val="TableText0"/>
              <w:jc w:val="center"/>
              <w:rPr>
                <w:b/>
                <w:bCs w:val="0"/>
              </w:rPr>
            </w:pPr>
            <w:r w:rsidRPr="001B446F">
              <w:t>0.105</w:t>
            </w:r>
          </w:p>
        </w:tc>
      </w:tr>
      <w:tr w:rsidR="00DB2C12" w:rsidRPr="001B446F" w:rsidTr="001E612C">
        <w:tc>
          <w:tcPr>
            <w:tcW w:w="817" w:type="pct"/>
            <w:vAlign w:val="center"/>
          </w:tcPr>
          <w:p w:rsidR="00DB2C12" w:rsidRPr="001B446F" w:rsidRDefault="00DB2C12" w:rsidP="001E612C">
            <w:pPr>
              <w:pStyle w:val="TableText0"/>
            </w:pPr>
            <w:r w:rsidRPr="001B446F">
              <w:t>Pooled</w:t>
            </w:r>
          </w:p>
        </w:tc>
        <w:tc>
          <w:tcPr>
            <w:tcW w:w="736" w:type="pct"/>
          </w:tcPr>
          <w:p w:rsidR="00DB2C12" w:rsidRPr="001B446F" w:rsidRDefault="00DB2C12" w:rsidP="001E612C">
            <w:pPr>
              <w:pStyle w:val="TableText0"/>
              <w:jc w:val="center"/>
            </w:pPr>
            <w:r w:rsidRPr="001B446F">
              <w:rPr>
                <w:rStyle w:val="Emphasis"/>
                <w:i w:val="0"/>
                <w:iCs w:val="0"/>
              </w:rPr>
              <w:t>162/376 (43.1)</w:t>
            </w:r>
          </w:p>
        </w:tc>
        <w:tc>
          <w:tcPr>
            <w:tcW w:w="784" w:type="pct"/>
          </w:tcPr>
          <w:p w:rsidR="00DB2C12" w:rsidRPr="001B446F" w:rsidRDefault="00DB2C12" w:rsidP="001E612C">
            <w:pPr>
              <w:pStyle w:val="TableText0"/>
              <w:jc w:val="center"/>
              <w:rPr>
                <w:bCs w:val="0"/>
              </w:rPr>
            </w:pPr>
            <w:r w:rsidRPr="001B446F">
              <w:rPr>
                <w:bCs w:val="0"/>
              </w:rPr>
              <w:t>-</w:t>
            </w:r>
          </w:p>
        </w:tc>
        <w:tc>
          <w:tcPr>
            <w:tcW w:w="796" w:type="pct"/>
          </w:tcPr>
          <w:p w:rsidR="00DB2C12" w:rsidRPr="001B446F" w:rsidRDefault="00DB2C12" w:rsidP="001E612C">
            <w:pPr>
              <w:pStyle w:val="TableText0"/>
              <w:jc w:val="center"/>
            </w:pPr>
            <w:r w:rsidRPr="001B446F">
              <w:t>62/185 (33.5)</w:t>
            </w:r>
          </w:p>
        </w:tc>
        <w:tc>
          <w:tcPr>
            <w:tcW w:w="1015" w:type="pct"/>
          </w:tcPr>
          <w:p w:rsidR="00DB2C12" w:rsidRPr="001B446F" w:rsidRDefault="00DB2C12" w:rsidP="0020253D">
            <w:pPr>
              <w:pStyle w:val="TableText0"/>
              <w:jc w:val="center"/>
              <w:rPr>
                <w:b/>
              </w:rPr>
            </w:pPr>
            <w:r w:rsidRPr="001B446F">
              <w:rPr>
                <w:b/>
              </w:rPr>
              <w:t>9</w:t>
            </w:r>
            <w:r w:rsidR="0020253D" w:rsidRPr="001B446F">
              <w:rPr>
                <w:b/>
              </w:rPr>
              <w:t>.</w:t>
            </w:r>
            <w:r w:rsidRPr="001B446F">
              <w:rPr>
                <w:b/>
              </w:rPr>
              <w:t>6 (</w:t>
            </w:r>
            <w:r w:rsidR="0020253D" w:rsidRPr="001B446F">
              <w:rPr>
                <w:b/>
              </w:rPr>
              <w:t>1.1</w:t>
            </w:r>
            <w:r w:rsidRPr="001B446F">
              <w:rPr>
                <w:b/>
              </w:rPr>
              <w:t>, 18</w:t>
            </w:r>
            <w:r w:rsidR="0020253D" w:rsidRPr="001B446F">
              <w:rPr>
                <w:b/>
              </w:rPr>
              <w:t>.0</w:t>
            </w:r>
            <w:r w:rsidRPr="001B446F">
              <w:rPr>
                <w:b/>
              </w:rPr>
              <w:t>)</w:t>
            </w:r>
          </w:p>
        </w:tc>
        <w:tc>
          <w:tcPr>
            <w:tcW w:w="852" w:type="pct"/>
          </w:tcPr>
          <w:p w:rsidR="00DB2C12" w:rsidRPr="001B446F" w:rsidRDefault="00DB2C12" w:rsidP="001E612C">
            <w:pPr>
              <w:pStyle w:val="TableText0"/>
              <w:jc w:val="center"/>
              <w:rPr>
                <w:b/>
                <w:bCs w:val="0"/>
              </w:rPr>
            </w:pPr>
          </w:p>
        </w:tc>
      </w:tr>
      <w:tr w:rsidR="00DB2C12" w:rsidRPr="001B446F" w:rsidTr="001E612C">
        <w:tc>
          <w:tcPr>
            <w:tcW w:w="5000" w:type="pct"/>
            <w:gridSpan w:val="6"/>
            <w:vAlign w:val="center"/>
          </w:tcPr>
          <w:p w:rsidR="00DB2C12" w:rsidRPr="001B446F" w:rsidRDefault="00DB2C12" w:rsidP="001E612C">
            <w:pPr>
              <w:pStyle w:val="TableText0"/>
              <w:rPr>
                <w:b/>
                <w:bCs w:val="0"/>
              </w:rPr>
            </w:pPr>
            <w:r w:rsidRPr="001B446F">
              <w:rPr>
                <w:b/>
              </w:rPr>
              <w:t>DEX</w:t>
            </w:r>
          </w:p>
        </w:tc>
      </w:tr>
      <w:tr w:rsidR="00DB2C12" w:rsidRPr="001B446F" w:rsidTr="001E612C">
        <w:tc>
          <w:tcPr>
            <w:tcW w:w="817" w:type="pct"/>
            <w:vAlign w:val="center"/>
          </w:tcPr>
          <w:p w:rsidR="00DB2C12" w:rsidRPr="001B446F" w:rsidRDefault="00DB2C12" w:rsidP="001E612C">
            <w:pPr>
              <w:pStyle w:val="TableText0"/>
            </w:pPr>
            <w:r w:rsidRPr="001B446F">
              <w:t>MEAD-010</w:t>
            </w:r>
          </w:p>
        </w:tc>
        <w:tc>
          <w:tcPr>
            <w:tcW w:w="736" w:type="pct"/>
          </w:tcPr>
          <w:p w:rsidR="00DB2C12" w:rsidRPr="001B446F" w:rsidRDefault="00DB2C12" w:rsidP="001E612C">
            <w:pPr>
              <w:pStyle w:val="TableText0"/>
              <w:jc w:val="center"/>
              <w:rPr>
                <w:bCs w:val="0"/>
              </w:rPr>
            </w:pPr>
            <w:r w:rsidRPr="001B446F">
              <w:rPr>
                <w:bCs w:val="0"/>
              </w:rPr>
              <w:t>-</w:t>
            </w:r>
          </w:p>
        </w:tc>
        <w:tc>
          <w:tcPr>
            <w:tcW w:w="784" w:type="pct"/>
          </w:tcPr>
          <w:p w:rsidR="00DB2C12" w:rsidRPr="001B446F" w:rsidRDefault="00DB2C12" w:rsidP="001E612C">
            <w:pPr>
              <w:pStyle w:val="TableText0"/>
              <w:jc w:val="center"/>
              <w:rPr>
                <w:bCs w:val="0"/>
              </w:rPr>
            </w:pPr>
            <w:r w:rsidRPr="001B446F">
              <w:rPr>
                <w:rStyle w:val="Emphasis"/>
                <w:i w:val="0"/>
                <w:iCs w:val="0"/>
              </w:rPr>
              <w:t>63</w:t>
            </w:r>
            <w:r w:rsidRPr="001B446F">
              <w:rPr>
                <w:rStyle w:val="Emphasis"/>
                <w:iCs w:val="0"/>
              </w:rPr>
              <w:t>/</w:t>
            </w:r>
            <w:r w:rsidRPr="001B446F">
              <w:rPr>
                <w:rStyle w:val="Emphasis"/>
              </w:rPr>
              <w:t>163</w:t>
            </w:r>
            <w:r w:rsidRPr="001B446F">
              <w:rPr>
                <w:rStyle w:val="Emphasis"/>
                <w:i w:val="0"/>
                <w:iCs w:val="0"/>
              </w:rPr>
              <w:t xml:space="preserve"> (38.7) </w:t>
            </w:r>
          </w:p>
        </w:tc>
        <w:tc>
          <w:tcPr>
            <w:tcW w:w="796" w:type="pct"/>
          </w:tcPr>
          <w:p w:rsidR="00DB2C12" w:rsidRPr="001B446F" w:rsidRDefault="00DB2C12" w:rsidP="001E612C">
            <w:pPr>
              <w:pStyle w:val="TableText0"/>
              <w:jc w:val="center"/>
              <w:rPr>
                <w:bCs w:val="0"/>
              </w:rPr>
            </w:pPr>
            <w:r w:rsidRPr="001B446F">
              <w:rPr>
                <w:rStyle w:val="Emphasis"/>
                <w:i w:val="0"/>
                <w:iCs w:val="0"/>
              </w:rPr>
              <w:t>38/</w:t>
            </w:r>
            <w:r w:rsidRPr="001B446F">
              <w:rPr>
                <w:rStyle w:val="Emphasis"/>
              </w:rPr>
              <w:t>165</w:t>
            </w:r>
            <w:r w:rsidRPr="001B446F">
              <w:rPr>
                <w:rStyle w:val="Emphasis"/>
                <w:i w:val="0"/>
                <w:iCs w:val="0"/>
              </w:rPr>
              <w:t xml:space="preserve"> (23.0) </w:t>
            </w:r>
          </w:p>
        </w:tc>
        <w:tc>
          <w:tcPr>
            <w:tcW w:w="1015" w:type="pct"/>
          </w:tcPr>
          <w:p w:rsidR="00DB2C12" w:rsidRPr="001B446F" w:rsidRDefault="00DB2C12" w:rsidP="001E612C">
            <w:pPr>
              <w:pStyle w:val="TableText0"/>
              <w:jc w:val="center"/>
              <w:rPr>
                <w:b/>
              </w:rPr>
            </w:pPr>
            <w:r w:rsidRPr="001B446F">
              <w:rPr>
                <w:b/>
              </w:rPr>
              <w:t>15</w:t>
            </w:r>
            <w:r w:rsidR="0020253D" w:rsidRPr="001B446F">
              <w:rPr>
                <w:b/>
              </w:rPr>
              <w:t>.</w:t>
            </w:r>
            <w:r w:rsidRPr="001B446F">
              <w:rPr>
                <w:b/>
              </w:rPr>
              <w:t>6 (</w:t>
            </w:r>
            <w:r w:rsidR="0020253D" w:rsidRPr="001B446F">
              <w:rPr>
                <w:b/>
              </w:rPr>
              <w:t>5.8</w:t>
            </w:r>
            <w:r w:rsidRPr="001B446F">
              <w:rPr>
                <w:b/>
              </w:rPr>
              <w:t>, 2</w:t>
            </w:r>
            <w:r w:rsidR="0020253D" w:rsidRPr="001B446F">
              <w:rPr>
                <w:b/>
              </w:rPr>
              <w:t>5.4</w:t>
            </w:r>
            <w:r w:rsidRPr="001B446F">
              <w:rPr>
                <w:b/>
              </w:rPr>
              <w:t>)</w:t>
            </w:r>
          </w:p>
        </w:tc>
        <w:tc>
          <w:tcPr>
            <w:tcW w:w="852" w:type="pct"/>
          </w:tcPr>
          <w:p w:rsidR="00DB2C12" w:rsidRPr="001B446F" w:rsidRDefault="00DB2C12" w:rsidP="001E612C">
            <w:pPr>
              <w:pStyle w:val="TableText0"/>
              <w:jc w:val="center"/>
              <w:rPr>
                <w:b/>
                <w:bCs w:val="0"/>
              </w:rPr>
            </w:pPr>
            <w:r w:rsidRPr="001B446F">
              <w:rPr>
                <w:rStyle w:val="Emphasis"/>
                <w:b/>
                <w:bCs w:val="0"/>
                <w:i w:val="0"/>
                <w:iCs w:val="0"/>
              </w:rPr>
              <w:t>0.002</w:t>
            </w:r>
          </w:p>
        </w:tc>
      </w:tr>
      <w:tr w:rsidR="00DB2C12" w:rsidRPr="001B446F" w:rsidTr="001E612C">
        <w:tc>
          <w:tcPr>
            <w:tcW w:w="817" w:type="pct"/>
            <w:vAlign w:val="center"/>
          </w:tcPr>
          <w:p w:rsidR="00DB2C12" w:rsidRPr="001B446F" w:rsidRDefault="00DB2C12" w:rsidP="001E612C">
            <w:pPr>
              <w:pStyle w:val="TableText0"/>
            </w:pPr>
            <w:r w:rsidRPr="001B446F">
              <w:t>MEAD-011</w:t>
            </w:r>
          </w:p>
        </w:tc>
        <w:tc>
          <w:tcPr>
            <w:tcW w:w="736" w:type="pct"/>
          </w:tcPr>
          <w:p w:rsidR="00DB2C12" w:rsidRPr="001B446F" w:rsidRDefault="00DB2C12" w:rsidP="001E612C">
            <w:pPr>
              <w:pStyle w:val="TableText0"/>
              <w:jc w:val="center"/>
              <w:rPr>
                <w:bCs w:val="0"/>
              </w:rPr>
            </w:pPr>
            <w:r w:rsidRPr="001B446F">
              <w:rPr>
                <w:bCs w:val="0"/>
              </w:rPr>
              <w:t>-</w:t>
            </w:r>
          </w:p>
        </w:tc>
        <w:tc>
          <w:tcPr>
            <w:tcW w:w="784" w:type="pct"/>
          </w:tcPr>
          <w:p w:rsidR="00DB2C12" w:rsidRPr="001B446F" w:rsidRDefault="00DB2C12" w:rsidP="001E612C">
            <w:pPr>
              <w:pStyle w:val="TableText0"/>
              <w:jc w:val="center"/>
              <w:rPr>
                <w:bCs w:val="0"/>
              </w:rPr>
            </w:pPr>
            <w:r w:rsidRPr="001B446F">
              <w:rPr>
                <w:rStyle w:val="Emphasis"/>
                <w:i w:val="0"/>
                <w:iCs w:val="0"/>
              </w:rPr>
              <w:t>65/</w:t>
            </w:r>
            <w:r w:rsidRPr="001B446F">
              <w:rPr>
                <w:rStyle w:val="Emphasis"/>
              </w:rPr>
              <w:t>188</w:t>
            </w:r>
            <w:r w:rsidRPr="001B446F">
              <w:rPr>
                <w:rStyle w:val="Emphasis"/>
                <w:i w:val="0"/>
                <w:iCs w:val="0"/>
              </w:rPr>
              <w:t xml:space="preserve"> (34.6) </w:t>
            </w:r>
          </w:p>
        </w:tc>
        <w:tc>
          <w:tcPr>
            <w:tcW w:w="796" w:type="pct"/>
          </w:tcPr>
          <w:p w:rsidR="00DB2C12" w:rsidRPr="001B446F" w:rsidRDefault="00DB2C12" w:rsidP="001E612C">
            <w:pPr>
              <w:pStyle w:val="TableText0"/>
              <w:jc w:val="center"/>
              <w:rPr>
                <w:bCs w:val="0"/>
              </w:rPr>
            </w:pPr>
            <w:r w:rsidRPr="001B446F">
              <w:rPr>
                <w:rStyle w:val="Emphasis"/>
                <w:i w:val="0"/>
                <w:iCs w:val="0"/>
              </w:rPr>
              <w:t>46/</w:t>
            </w:r>
            <w:r w:rsidRPr="001B446F">
              <w:rPr>
                <w:rStyle w:val="Emphasis"/>
              </w:rPr>
              <w:t>185</w:t>
            </w:r>
            <w:r w:rsidRPr="001B446F">
              <w:rPr>
                <w:rStyle w:val="Emphasis"/>
                <w:i w:val="0"/>
                <w:iCs w:val="0"/>
              </w:rPr>
              <w:t xml:space="preserve"> (24.9) </w:t>
            </w:r>
          </w:p>
        </w:tc>
        <w:tc>
          <w:tcPr>
            <w:tcW w:w="1015" w:type="pct"/>
          </w:tcPr>
          <w:p w:rsidR="00DB2C12" w:rsidRPr="001B446F" w:rsidRDefault="00DB2C12" w:rsidP="001E612C">
            <w:pPr>
              <w:pStyle w:val="TableText0"/>
              <w:jc w:val="center"/>
              <w:rPr>
                <w:b/>
              </w:rPr>
            </w:pPr>
            <w:r w:rsidRPr="001B446F">
              <w:rPr>
                <w:b/>
              </w:rPr>
              <w:t>9</w:t>
            </w:r>
            <w:r w:rsidR="0020253D" w:rsidRPr="001B446F">
              <w:rPr>
                <w:b/>
              </w:rPr>
              <w:t>.</w:t>
            </w:r>
            <w:r w:rsidRPr="001B446F">
              <w:rPr>
                <w:b/>
              </w:rPr>
              <w:t>7 (0</w:t>
            </w:r>
            <w:r w:rsidR="0020253D" w:rsidRPr="001B446F">
              <w:rPr>
                <w:b/>
              </w:rPr>
              <w:t>.5</w:t>
            </w:r>
            <w:r w:rsidRPr="001B446F">
              <w:rPr>
                <w:b/>
              </w:rPr>
              <w:t>, 0.1</w:t>
            </w:r>
            <w:r w:rsidR="0020253D" w:rsidRPr="001B446F">
              <w:rPr>
                <w:b/>
              </w:rPr>
              <w:t>8.9</w:t>
            </w:r>
            <w:r w:rsidRPr="001B446F">
              <w:rPr>
                <w:b/>
              </w:rPr>
              <w:t>)</w:t>
            </w:r>
          </w:p>
        </w:tc>
        <w:tc>
          <w:tcPr>
            <w:tcW w:w="852" w:type="pct"/>
          </w:tcPr>
          <w:p w:rsidR="00DB2C12" w:rsidRPr="001B446F" w:rsidRDefault="00DB2C12" w:rsidP="001E612C">
            <w:pPr>
              <w:pStyle w:val="TableText0"/>
              <w:jc w:val="center"/>
              <w:rPr>
                <w:b/>
                <w:bCs w:val="0"/>
              </w:rPr>
            </w:pPr>
            <w:r w:rsidRPr="001B446F">
              <w:rPr>
                <w:rStyle w:val="Emphasis"/>
                <w:b/>
                <w:bCs w:val="0"/>
                <w:i w:val="0"/>
                <w:iCs w:val="0"/>
              </w:rPr>
              <w:t>0.040</w:t>
            </w:r>
          </w:p>
        </w:tc>
      </w:tr>
      <w:tr w:rsidR="00DB2C12" w:rsidRPr="001B446F" w:rsidTr="001E612C">
        <w:tc>
          <w:tcPr>
            <w:tcW w:w="817" w:type="pct"/>
            <w:vAlign w:val="center"/>
          </w:tcPr>
          <w:p w:rsidR="00DB2C12" w:rsidRPr="001B446F" w:rsidRDefault="00DB2C12" w:rsidP="001E612C">
            <w:pPr>
              <w:pStyle w:val="TableText0"/>
            </w:pPr>
            <w:r w:rsidRPr="001B446F">
              <w:t>Pooled</w:t>
            </w:r>
          </w:p>
        </w:tc>
        <w:tc>
          <w:tcPr>
            <w:tcW w:w="736" w:type="pct"/>
          </w:tcPr>
          <w:p w:rsidR="00DB2C12" w:rsidRPr="001B446F" w:rsidRDefault="00DB2C12" w:rsidP="001E612C">
            <w:pPr>
              <w:pStyle w:val="TableText0"/>
              <w:jc w:val="center"/>
              <w:rPr>
                <w:bCs w:val="0"/>
              </w:rPr>
            </w:pPr>
            <w:r w:rsidRPr="001B446F">
              <w:rPr>
                <w:bCs w:val="0"/>
              </w:rPr>
              <w:t>-</w:t>
            </w:r>
          </w:p>
        </w:tc>
        <w:tc>
          <w:tcPr>
            <w:tcW w:w="784" w:type="pct"/>
          </w:tcPr>
          <w:p w:rsidR="00DB2C12" w:rsidRPr="001B446F" w:rsidRDefault="00DB2C12" w:rsidP="001E612C">
            <w:pPr>
              <w:pStyle w:val="TableText0"/>
              <w:jc w:val="center"/>
            </w:pPr>
            <w:r w:rsidRPr="001B446F">
              <w:rPr>
                <w:rStyle w:val="Emphasis"/>
                <w:i w:val="0"/>
                <w:iCs w:val="0"/>
              </w:rPr>
              <w:t>128/351 (36.5)</w:t>
            </w:r>
          </w:p>
        </w:tc>
        <w:tc>
          <w:tcPr>
            <w:tcW w:w="796" w:type="pct"/>
          </w:tcPr>
          <w:p w:rsidR="00DB2C12" w:rsidRPr="001B446F" w:rsidRDefault="00DB2C12" w:rsidP="001E612C">
            <w:pPr>
              <w:pStyle w:val="TableText0"/>
              <w:jc w:val="center"/>
            </w:pPr>
            <w:r w:rsidRPr="001B446F">
              <w:rPr>
                <w:rStyle w:val="Emphasis"/>
                <w:i w:val="0"/>
                <w:iCs w:val="0"/>
              </w:rPr>
              <w:t xml:space="preserve">84/350 (24.0) </w:t>
            </w:r>
          </w:p>
        </w:tc>
        <w:tc>
          <w:tcPr>
            <w:tcW w:w="1015" w:type="pct"/>
          </w:tcPr>
          <w:p w:rsidR="00DB2C12" w:rsidRPr="001B446F" w:rsidRDefault="00DB2C12" w:rsidP="001E612C">
            <w:pPr>
              <w:pStyle w:val="TableText0"/>
              <w:jc w:val="center"/>
              <w:rPr>
                <w:b/>
                <w:iCs/>
              </w:rPr>
            </w:pPr>
            <w:r w:rsidRPr="001B446F">
              <w:rPr>
                <w:b/>
                <w:iCs/>
              </w:rPr>
              <w:t>12</w:t>
            </w:r>
            <w:r w:rsidR="0020253D" w:rsidRPr="001B446F">
              <w:rPr>
                <w:b/>
                <w:iCs/>
              </w:rPr>
              <w:t>.</w:t>
            </w:r>
            <w:r w:rsidRPr="001B446F">
              <w:rPr>
                <w:b/>
                <w:iCs/>
              </w:rPr>
              <w:t>5 (</w:t>
            </w:r>
            <w:r w:rsidR="0020253D" w:rsidRPr="001B446F">
              <w:rPr>
                <w:b/>
                <w:iCs/>
              </w:rPr>
              <w:t>5.7</w:t>
            </w:r>
            <w:r w:rsidRPr="001B446F">
              <w:rPr>
                <w:b/>
                <w:iCs/>
              </w:rPr>
              <w:t>,</w:t>
            </w:r>
            <w:r w:rsidR="0020253D" w:rsidRPr="001B446F">
              <w:rPr>
                <w:b/>
                <w:iCs/>
              </w:rPr>
              <w:t xml:space="preserve"> 19.2</w:t>
            </w:r>
            <w:r w:rsidRPr="001B446F">
              <w:rPr>
                <w:b/>
                <w:iCs/>
              </w:rPr>
              <w:t>)</w:t>
            </w:r>
          </w:p>
        </w:tc>
        <w:tc>
          <w:tcPr>
            <w:tcW w:w="852" w:type="pct"/>
          </w:tcPr>
          <w:p w:rsidR="00DB2C12" w:rsidRPr="001B446F" w:rsidRDefault="00DB2C12" w:rsidP="001E612C">
            <w:pPr>
              <w:pStyle w:val="TableText0"/>
              <w:jc w:val="center"/>
              <w:rPr>
                <w:b/>
                <w:bCs w:val="0"/>
              </w:rPr>
            </w:pPr>
            <w:r w:rsidRPr="001B446F">
              <w:rPr>
                <w:rStyle w:val="Emphasis"/>
                <w:b/>
                <w:bCs w:val="0"/>
                <w:i w:val="0"/>
                <w:iCs w:val="0"/>
              </w:rPr>
              <w:t>&lt;0.001</w:t>
            </w:r>
          </w:p>
        </w:tc>
      </w:tr>
    </w:tbl>
    <w:p w:rsidR="00DB2C12" w:rsidRPr="001B446F" w:rsidRDefault="00DB2C12" w:rsidP="00DB2C12">
      <w:pPr>
        <w:pStyle w:val="TableFigureFooter"/>
        <w:rPr>
          <w:sz w:val="20"/>
        </w:rPr>
      </w:pPr>
      <w:r w:rsidRPr="001B446F">
        <w:t xml:space="preserve">Source: Table 22, p59; Table 23, p60; Table 30, p70; Table 31, p71 of the submission. </w:t>
      </w:r>
      <w:r w:rsidRPr="001B446F">
        <w:rPr>
          <w:i/>
        </w:rPr>
        <w:t>Calculated during evaluation.</w:t>
      </w:r>
    </w:p>
    <w:p w:rsidR="00DB2C12" w:rsidRPr="001B446F" w:rsidRDefault="00DB2C12" w:rsidP="00DB2C12">
      <w:pPr>
        <w:pStyle w:val="TableFigureFooter"/>
        <w:rPr>
          <w:rFonts w:eastAsia="Calibri"/>
        </w:rPr>
      </w:pPr>
      <w:r w:rsidRPr="001B446F">
        <w:rPr>
          <w:rFonts w:eastAsia="Calibri"/>
        </w:rPr>
        <w:t xml:space="preserve">BCVA = </w:t>
      </w:r>
      <w:proofErr w:type="gramStart"/>
      <w:r w:rsidRPr="001B446F">
        <w:rPr>
          <w:rFonts w:eastAsia="Calibri"/>
        </w:rPr>
        <w:t>best corrected</w:t>
      </w:r>
      <w:proofErr w:type="gramEnd"/>
      <w:r w:rsidRPr="001B446F">
        <w:rPr>
          <w:rFonts w:eastAsia="Calibri"/>
        </w:rPr>
        <w:t xml:space="preserve"> visual acuity; CI = confidence interval; FA = </w:t>
      </w:r>
      <w:proofErr w:type="spellStart"/>
      <w:r w:rsidRPr="001B446F">
        <w:rPr>
          <w:rFonts w:eastAsia="Calibri"/>
        </w:rPr>
        <w:t>fluocinolone</w:t>
      </w:r>
      <w:proofErr w:type="spellEnd"/>
      <w:r w:rsidRPr="001B446F">
        <w:rPr>
          <w:rFonts w:eastAsia="Calibri"/>
        </w:rPr>
        <w:t xml:space="preserve"> </w:t>
      </w:r>
      <w:proofErr w:type="spellStart"/>
      <w:r w:rsidRPr="001B446F">
        <w:rPr>
          <w:rFonts w:eastAsia="Calibri"/>
        </w:rPr>
        <w:t>acetonide</w:t>
      </w:r>
      <w:proofErr w:type="spellEnd"/>
      <w:r w:rsidRPr="001B446F">
        <w:rPr>
          <w:rFonts w:eastAsia="Calibri"/>
        </w:rPr>
        <w:t xml:space="preserve">; DEX = dexamethasone; n = number of participants with event; N = total participants in group; </w:t>
      </w:r>
      <w:r w:rsidRPr="001B446F">
        <w:rPr>
          <w:rFonts w:eastAsia="Calibri"/>
          <w:b/>
        </w:rPr>
        <w:t xml:space="preserve">Bold </w:t>
      </w:r>
      <w:r w:rsidRPr="001B446F">
        <w:rPr>
          <w:rFonts w:eastAsia="Calibri"/>
        </w:rPr>
        <w:t>= statistically significant.</w:t>
      </w:r>
    </w:p>
    <w:p w:rsidR="00DB2C12" w:rsidRPr="001B446F" w:rsidRDefault="00DB2C12" w:rsidP="00DB2C12">
      <w:pPr>
        <w:pStyle w:val="TableFigureFooter"/>
        <w:rPr>
          <w:rFonts w:eastAsia="Calibri"/>
        </w:rPr>
      </w:pPr>
      <w:proofErr w:type="spellStart"/>
      <w:proofErr w:type="gramStart"/>
      <w:r w:rsidRPr="001B446F">
        <w:rPr>
          <w:rFonts w:eastAsia="Calibri"/>
          <w:vertAlign w:val="superscript"/>
        </w:rPr>
        <w:t>a</w:t>
      </w:r>
      <w:proofErr w:type="spellEnd"/>
      <w:proofErr w:type="gramEnd"/>
      <w:r w:rsidRPr="001B446F">
        <w:rPr>
          <w:rFonts w:eastAsia="Calibri"/>
        </w:rPr>
        <w:t xml:space="preserve"> the submission reports negative risk difference; the commentary presents positive risk difference </w:t>
      </w:r>
    </w:p>
    <w:p w:rsidR="00FF5C95" w:rsidRPr="001B446F" w:rsidRDefault="00FF5C95" w:rsidP="00B72AE7">
      <w:pPr>
        <w:pStyle w:val="TableFigureHeading"/>
      </w:pPr>
    </w:p>
    <w:p w:rsidR="006679C3" w:rsidRPr="001B446F" w:rsidRDefault="006679C3" w:rsidP="0054223D">
      <w:pPr>
        <w:pStyle w:val="3-BodyText"/>
        <w:rPr>
          <w:snapToGrid/>
        </w:rPr>
      </w:pPr>
      <w:r w:rsidRPr="001B446F">
        <w:t xml:space="preserve">The results of the pooled direct comparisons demonstrated that both </w:t>
      </w:r>
      <w:r w:rsidR="00BE6C1B" w:rsidRPr="001B446F">
        <w:t>FA</w:t>
      </w:r>
      <w:r w:rsidRPr="001B446F">
        <w:t xml:space="preserve"> and </w:t>
      </w:r>
      <w:r w:rsidR="00BE6C1B" w:rsidRPr="001B446F">
        <w:t>DEX</w:t>
      </w:r>
      <w:r w:rsidRPr="001B446F">
        <w:t xml:space="preserve"> were superior to sham treatment </w:t>
      </w:r>
      <w:r w:rsidR="00D35261" w:rsidRPr="001B446F">
        <w:t xml:space="preserve">with </w:t>
      </w:r>
      <w:r w:rsidRPr="001B446F">
        <w:t xml:space="preserve">regard to the </w:t>
      </w:r>
      <w:r w:rsidR="00E62104" w:rsidRPr="001B446F">
        <w:t xml:space="preserve">proportion achieving </w:t>
      </w:r>
      <w:r w:rsidR="004A249C" w:rsidRPr="001B446F">
        <w:t>≥ 15 letter or ≥ </w:t>
      </w:r>
      <w:proofErr w:type="gramStart"/>
      <w:r w:rsidR="00037D18">
        <w:t>10 </w:t>
      </w:r>
      <w:r w:rsidRPr="001B446F">
        <w:t>letter</w:t>
      </w:r>
      <w:proofErr w:type="gramEnd"/>
      <w:r w:rsidRPr="001B446F">
        <w:t xml:space="preserve"> change from baseline in BCVA at 36 months.</w:t>
      </w:r>
    </w:p>
    <w:p w:rsidR="006A35AC" w:rsidRPr="001B446F" w:rsidRDefault="006A35AC" w:rsidP="0054223D">
      <w:pPr>
        <w:pStyle w:val="3-BodyText"/>
      </w:pPr>
      <w:r w:rsidRPr="001B446F">
        <w:rPr>
          <w:snapToGrid/>
        </w:rPr>
        <w:t>The proportion of patients achieving ≥ 15 letter cha</w:t>
      </w:r>
      <w:r w:rsidR="00037D18">
        <w:rPr>
          <w:snapToGrid/>
        </w:rPr>
        <w:t>nge from baseline in BCVA at 24 </w:t>
      </w:r>
      <w:r w:rsidRPr="001B446F">
        <w:rPr>
          <w:snapToGrid/>
        </w:rPr>
        <w:t xml:space="preserve">months (the primary endpoint in the FAME trial) in the FA treatment arm was 28.7% and in the sham treatment arm was 16.2% (RD 12.5% (95%CI: 5.5, 19.5)). </w:t>
      </w:r>
    </w:p>
    <w:p w:rsidR="0054223D" w:rsidRPr="001B446F" w:rsidRDefault="0054223D" w:rsidP="00535701">
      <w:pPr>
        <w:pStyle w:val="3-BodyText"/>
      </w:pPr>
      <w:r w:rsidRPr="001B446F">
        <w:t xml:space="preserve">The mean change from baseline in BCVA Letter Score </w:t>
      </w:r>
      <w:proofErr w:type="gramStart"/>
      <w:r w:rsidR="00F94D0C" w:rsidRPr="001B446F">
        <w:t>was calculated</w:t>
      </w:r>
      <w:proofErr w:type="gramEnd"/>
      <w:r w:rsidR="00F94D0C" w:rsidRPr="001B446F">
        <w:t xml:space="preserve"> using two approaches: 1) the difference at baseline versus follow up and 2) as the change during the entire period of the study using an area under the curve</w:t>
      </w:r>
      <w:r w:rsidRPr="001B446F">
        <w:t xml:space="preserve"> </w:t>
      </w:r>
      <w:r w:rsidR="00F94D0C" w:rsidRPr="001B446F">
        <w:t>(</w:t>
      </w:r>
      <w:r w:rsidRPr="001B446F">
        <w:t>AUC</w:t>
      </w:r>
      <w:r w:rsidR="00F94D0C" w:rsidRPr="001B446F">
        <w:t>) analysis. The results</w:t>
      </w:r>
      <w:r w:rsidR="007A41CE" w:rsidRPr="001B446F">
        <w:t xml:space="preserve"> </w:t>
      </w:r>
      <w:r w:rsidRPr="001B446F">
        <w:t xml:space="preserve">from the key trials </w:t>
      </w:r>
      <w:proofErr w:type="gramStart"/>
      <w:r w:rsidRPr="001B446F">
        <w:t>are presented</w:t>
      </w:r>
      <w:proofErr w:type="gramEnd"/>
      <w:r w:rsidRPr="001B446F">
        <w:t xml:space="preserve"> in Table </w:t>
      </w:r>
      <w:r w:rsidR="00340CE3" w:rsidRPr="001B446F">
        <w:t>5</w:t>
      </w:r>
      <w:r w:rsidRPr="001B446F">
        <w:t>.</w:t>
      </w:r>
    </w:p>
    <w:p w:rsidR="00874337" w:rsidRPr="001B446F" w:rsidRDefault="00874337" w:rsidP="00874337">
      <w:pPr>
        <w:keepNext/>
        <w:jc w:val="left"/>
        <w:rPr>
          <w:rFonts w:ascii="Arial Narrow" w:eastAsiaTheme="majorEastAsia" w:hAnsi="Arial Narrow" w:cstheme="majorBidi"/>
          <w:b/>
          <w:bCs/>
          <w:sz w:val="20"/>
          <w:szCs w:val="16"/>
        </w:rPr>
      </w:pPr>
      <w:r w:rsidRPr="001B446F">
        <w:rPr>
          <w:rFonts w:ascii="Arial Narrow" w:eastAsiaTheme="majorEastAsia" w:hAnsi="Arial Narrow" w:cstheme="majorBidi"/>
          <w:b/>
          <w:bCs/>
          <w:sz w:val="20"/>
          <w:szCs w:val="16"/>
        </w:rPr>
        <w:lastRenderedPageBreak/>
        <w:t xml:space="preserve">Table </w:t>
      </w:r>
      <w:r w:rsidR="00340CE3" w:rsidRPr="001B446F">
        <w:rPr>
          <w:rFonts w:ascii="Arial Narrow" w:eastAsiaTheme="majorEastAsia" w:hAnsi="Arial Narrow" w:cstheme="majorBidi"/>
          <w:b/>
          <w:bCs/>
          <w:sz w:val="20"/>
          <w:szCs w:val="16"/>
        </w:rPr>
        <w:t>5</w:t>
      </w:r>
      <w:r w:rsidRPr="001B446F">
        <w:rPr>
          <w:rFonts w:ascii="Arial Narrow" w:eastAsiaTheme="majorEastAsia" w:hAnsi="Arial Narrow" w:cstheme="majorBidi"/>
          <w:b/>
          <w:bCs/>
          <w:sz w:val="20"/>
          <w:szCs w:val="16"/>
        </w:rPr>
        <w:t xml:space="preserve">: Mean </w:t>
      </w:r>
      <w:r w:rsidR="00A35601" w:rsidRPr="001B446F">
        <w:rPr>
          <w:rFonts w:ascii="Arial Narrow" w:eastAsiaTheme="majorEastAsia" w:hAnsi="Arial Narrow" w:cstheme="majorBidi"/>
          <w:b/>
          <w:bCs/>
          <w:sz w:val="20"/>
          <w:szCs w:val="16"/>
        </w:rPr>
        <w:t>c</w:t>
      </w:r>
      <w:r w:rsidRPr="001B446F">
        <w:rPr>
          <w:rFonts w:ascii="Arial Narrow" w:eastAsiaTheme="majorEastAsia" w:hAnsi="Arial Narrow" w:cstheme="majorBidi"/>
          <w:b/>
          <w:bCs/>
          <w:sz w:val="20"/>
          <w:szCs w:val="16"/>
        </w:rPr>
        <w:t xml:space="preserve">hange from </w:t>
      </w:r>
      <w:r w:rsidR="00A35601" w:rsidRPr="001B446F">
        <w:rPr>
          <w:rFonts w:ascii="Arial Narrow" w:eastAsiaTheme="majorEastAsia" w:hAnsi="Arial Narrow" w:cstheme="majorBidi"/>
          <w:b/>
          <w:bCs/>
          <w:sz w:val="20"/>
          <w:szCs w:val="16"/>
        </w:rPr>
        <w:t>b</w:t>
      </w:r>
      <w:r w:rsidRPr="001B446F">
        <w:rPr>
          <w:rFonts w:ascii="Arial Narrow" w:eastAsiaTheme="majorEastAsia" w:hAnsi="Arial Narrow" w:cstheme="majorBidi"/>
          <w:b/>
          <w:bCs/>
          <w:sz w:val="20"/>
          <w:szCs w:val="16"/>
        </w:rPr>
        <w:t xml:space="preserve">aseline (36 months) in BCVA </w:t>
      </w:r>
      <w:r w:rsidR="00A35601" w:rsidRPr="001B446F">
        <w:rPr>
          <w:rFonts w:ascii="Arial Narrow" w:eastAsiaTheme="majorEastAsia" w:hAnsi="Arial Narrow" w:cstheme="majorBidi"/>
          <w:b/>
          <w:bCs/>
          <w:sz w:val="20"/>
          <w:szCs w:val="16"/>
        </w:rPr>
        <w:t>l</w:t>
      </w:r>
      <w:r w:rsidRPr="001B446F">
        <w:rPr>
          <w:rFonts w:ascii="Arial Narrow" w:eastAsiaTheme="majorEastAsia" w:hAnsi="Arial Narrow" w:cstheme="majorBidi"/>
          <w:b/>
          <w:bCs/>
          <w:sz w:val="20"/>
          <w:szCs w:val="16"/>
        </w:rPr>
        <w:t xml:space="preserve">etter </w:t>
      </w:r>
      <w:r w:rsidR="00A35601" w:rsidRPr="001B446F">
        <w:rPr>
          <w:rFonts w:ascii="Arial Narrow" w:eastAsiaTheme="majorEastAsia" w:hAnsi="Arial Narrow" w:cstheme="majorBidi"/>
          <w:b/>
          <w:bCs/>
          <w:sz w:val="20"/>
          <w:szCs w:val="16"/>
        </w:rPr>
        <w:t>s</w:t>
      </w:r>
      <w:r w:rsidRPr="001B446F">
        <w:rPr>
          <w:rFonts w:ascii="Arial Narrow" w:eastAsiaTheme="majorEastAsia" w:hAnsi="Arial Narrow" w:cstheme="majorBidi"/>
          <w:b/>
          <w:bCs/>
          <w:sz w:val="20"/>
          <w:szCs w:val="16"/>
        </w:rPr>
        <w:t xml:space="preserve">core in the </w:t>
      </w:r>
      <w:r w:rsidR="00A35601" w:rsidRPr="001B446F">
        <w:rPr>
          <w:rFonts w:ascii="Arial Narrow" w:eastAsiaTheme="majorEastAsia" w:hAnsi="Arial Narrow" w:cstheme="majorBidi"/>
          <w:b/>
          <w:bCs/>
          <w:sz w:val="20"/>
          <w:szCs w:val="16"/>
        </w:rPr>
        <w:t>s</w:t>
      </w:r>
      <w:r w:rsidRPr="001B446F">
        <w:rPr>
          <w:rFonts w:ascii="Arial Narrow" w:eastAsiaTheme="majorEastAsia" w:hAnsi="Arial Narrow" w:cstheme="majorBidi"/>
          <w:b/>
          <w:bCs/>
          <w:sz w:val="20"/>
          <w:szCs w:val="16"/>
        </w:rPr>
        <w:t xml:space="preserve">tudy </w:t>
      </w:r>
      <w:r w:rsidR="00A35601" w:rsidRPr="001B446F">
        <w:rPr>
          <w:rFonts w:ascii="Arial Narrow" w:eastAsiaTheme="majorEastAsia" w:hAnsi="Arial Narrow" w:cstheme="majorBidi"/>
          <w:b/>
          <w:bCs/>
          <w:sz w:val="20"/>
          <w:szCs w:val="16"/>
        </w:rPr>
        <w:t>e</w:t>
      </w:r>
      <w:r w:rsidRPr="001B446F">
        <w:rPr>
          <w:rFonts w:ascii="Arial Narrow" w:eastAsiaTheme="majorEastAsia" w:hAnsi="Arial Narrow" w:cstheme="majorBidi"/>
          <w:b/>
          <w:bCs/>
          <w:sz w:val="20"/>
          <w:szCs w:val="16"/>
        </w:rPr>
        <w:t xml:space="preserve">ye by </w:t>
      </w:r>
      <w:r w:rsidR="00A35601" w:rsidRPr="001B446F">
        <w:rPr>
          <w:rFonts w:ascii="Arial Narrow" w:eastAsiaTheme="majorEastAsia" w:hAnsi="Arial Narrow" w:cstheme="majorBidi"/>
          <w:b/>
          <w:bCs/>
          <w:sz w:val="20"/>
          <w:szCs w:val="16"/>
        </w:rPr>
        <w:t>t</w:t>
      </w:r>
      <w:r w:rsidRPr="001B446F">
        <w:rPr>
          <w:rFonts w:ascii="Arial Narrow" w:eastAsiaTheme="majorEastAsia" w:hAnsi="Arial Narrow" w:cstheme="majorBidi"/>
          <w:b/>
          <w:bCs/>
          <w:sz w:val="20"/>
          <w:szCs w:val="16"/>
        </w:rPr>
        <w:t xml:space="preserve">reatment </w:t>
      </w:r>
      <w:r w:rsidR="00A35601" w:rsidRPr="001B446F">
        <w:rPr>
          <w:rFonts w:ascii="Arial Narrow" w:eastAsiaTheme="majorEastAsia" w:hAnsi="Arial Narrow" w:cstheme="majorBidi"/>
          <w:b/>
          <w:bCs/>
          <w:sz w:val="20"/>
          <w:szCs w:val="16"/>
        </w:rPr>
        <w:t>g</w:t>
      </w:r>
      <w:r w:rsidRPr="001B446F">
        <w:rPr>
          <w:rFonts w:ascii="Arial Narrow" w:eastAsiaTheme="majorEastAsia" w:hAnsi="Arial Narrow" w:cstheme="majorBidi"/>
          <w:b/>
          <w:bCs/>
          <w:sz w:val="20"/>
          <w:szCs w:val="16"/>
        </w:rPr>
        <w:t xml:space="preserve">roup (Integrated FAME Studies: </w:t>
      </w:r>
      <w:r w:rsidR="00A35601" w:rsidRPr="001B446F">
        <w:rPr>
          <w:rFonts w:ascii="Arial Narrow" w:eastAsiaTheme="majorEastAsia" w:hAnsi="Arial Narrow" w:cstheme="majorBidi"/>
          <w:b/>
          <w:bCs/>
          <w:sz w:val="20"/>
          <w:szCs w:val="16"/>
        </w:rPr>
        <w:t>f</w:t>
      </w:r>
      <w:r w:rsidRPr="001B446F">
        <w:rPr>
          <w:rFonts w:ascii="Arial Narrow" w:eastAsiaTheme="majorEastAsia" w:hAnsi="Arial Narrow" w:cstheme="majorBidi"/>
          <w:b/>
          <w:bCs/>
          <w:sz w:val="20"/>
          <w:szCs w:val="16"/>
        </w:rPr>
        <w:t xml:space="preserve">ull </w:t>
      </w:r>
      <w:r w:rsidR="00A35601" w:rsidRPr="001B446F">
        <w:rPr>
          <w:rFonts w:ascii="Arial Narrow" w:eastAsiaTheme="majorEastAsia" w:hAnsi="Arial Narrow" w:cstheme="majorBidi"/>
          <w:b/>
          <w:bCs/>
          <w:sz w:val="20"/>
          <w:szCs w:val="16"/>
        </w:rPr>
        <w:t>a</w:t>
      </w:r>
      <w:r w:rsidRPr="001B446F">
        <w:rPr>
          <w:rFonts w:ascii="Arial Narrow" w:eastAsiaTheme="majorEastAsia" w:hAnsi="Arial Narrow" w:cstheme="majorBidi"/>
          <w:b/>
          <w:bCs/>
          <w:sz w:val="20"/>
          <w:szCs w:val="16"/>
        </w:rPr>
        <w:t xml:space="preserve">nalysis </w:t>
      </w:r>
      <w:r w:rsidR="00A35601" w:rsidRPr="001B446F">
        <w:rPr>
          <w:rFonts w:ascii="Arial Narrow" w:eastAsiaTheme="majorEastAsia" w:hAnsi="Arial Narrow" w:cstheme="majorBidi"/>
          <w:b/>
          <w:bCs/>
          <w:sz w:val="20"/>
          <w:szCs w:val="16"/>
        </w:rPr>
        <w:t>p</w:t>
      </w:r>
      <w:r w:rsidRPr="001B446F">
        <w:rPr>
          <w:rFonts w:ascii="Arial Narrow" w:eastAsiaTheme="majorEastAsia" w:hAnsi="Arial Narrow" w:cstheme="majorBidi"/>
          <w:b/>
          <w:bCs/>
          <w:sz w:val="20"/>
          <w:szCs w:val="16"/>
        </w:rPr>
        <w:t xml:space="preserve">opulation) and MEAD (intention to treat population).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950"/>
        <w:gridCol w:w="1277"/>
        <w:gridCol w:w="849"/>
        <w:gridCol w:w="1702"/>
        <w:gridCol w:w="1845"/>
        <w:gridCol w:w="940"/>
      </w:tblGrid>
      <w:tr w:rsidR="00912AE7" w:rsidRPr="001B446F" w:rsidTr="00912AE7">
        <w:tc>
          <w:tcPr>
            <w:tcW w:w="806" w:type="pct"/>
            <w:shd w:val="clear" w:color="auto" w:fill="auto"/>
            <w:vAlign w:val="center"/>
          </w:tcPr>
          <w:p w:rsidR="00912AE7" w:rsidRPr="001B446F" w:rsidRDefault="00912AE7" w:rsidP="00FC108B">
            <w:pPr>
              <w:keepNext/>
              <w:jc w:val="left"/>
              <w:rPr>
                <w:rFonts w:ascii="Arial Narrow" w:eastAsiaTheme="majorEastAsia" w:hAnsi="Arial Narrow" w:cstheme="majorBidi"/>
                <w:b/>
                <w:bCs/>
                <w:sz w:val="20"/>
                <w:lang w:eastAsia="en-ZA"/>
              </w:rPr>
            </w:pPr>
          </w:p>
        </w:tc>
        <w:tc>
          <w:tcPr>
            <w:tcW w:w="1235" w:type="pct"/>
            <w:gridSpan w:val="2"/>
            <w:shd w:val="clear" w:color="auto" w:fill="auto"/>
            <w:vAlign w:val="center"/>
          </w:tcPr>
          <w:p w:rsidR="00912AE7" w:rsidRPr="001B446F" w:rsidRDefault="00912AE7" w:rsidP="00912AE7">
            <w:pPr>
              <w:keepNext/>
              <w:jc w:val="center"/>
              <w:rPr>
                <w:rFonts w:ascii="Arial Narrow" w:eastAsiaTheme="majorEastAsia" w:hAnsi="Arial Narrow" w:cstheme="majorBidi"/>
                <w:b/>
                <w:bCs/>
                <w:sz w:val="20"/>
                <w:lang w:eastAsia="en-ZA"/>
              </w:rPr>
            </w:pPr>
            <w:r w:rsidRPr="001B446F">
              <w:rPr>
                <w:rFonts w:ascii="Arial Narrow" w:eastAsiaTheme="majorEastAsia" w:hAnsi="Arial Narrow" w:cstheme="majorBidi"/>
                <w:b/>
                <w:bCs/>
                <w:sz w:val="20"/>
                <w:lang w:eastAsia="en-ZA"/>
              </w:rPr>
              <w:t>Active treatment</w:t>
            </w:r>
          </w:p>
        </w:tc>
        <w:tc>
          <w:tcPr>
            <w:tcW w:w="1415" w:type="pct"/>
            <w:gridSpan w:val="2"/>
            <w:shd w:val="clear" w:color="auto" w:fill="auto"/>
            <w:vAlign w:val="center"/>
          </w:tcPr>
          <w:p w:rsidR="00912AE7" w:rsidRPr="001B446F" w:rsidRDefault="00912AE7" w:rsidP="00FC108B">
            <w:pPr>
              <w:keepNext/>
              <w:jc w:val="center"/>
              <w:rPr>
                <w:rFonts w:ascii="Arial Narrow" w:eastAsiaTheme="majorEastAsia" w:hAnsi="Arial Narrow" w:cstheme="majorBidi"/>
                <w:b/>
                <w:bCs/>
                <w:sz w:val="20"/>
                <w:lang w:eastAsia="en-ZA"/>
              </w:rPr>
            </w:pPr>
            <w:r w:rsidRPr="001B446F">
              <w:rPr>
                <w:rFonts w:ascii="Arial Narrow" w:eastAsiaTheme="majorEastAsia" w:hAnsi="Arial Narrow" w:cstheme="majorBidi"/>
                <w:b/>
                <w:bCs/>
                <w:sz w:val="20"/>
                <w:lang w:eastAsia="en-ZA"/>
              </w:rPr>
              <w:t>Sham</w:t>
            </w:r>
          </w:p>
        </w:tc>
        <w:tc>
          <w:tcPr>
            <w:tcW w:w="1023" w:type="pct"/>
            <w:shd w:val="clear" w:color="auto" w:fill="auto"/>
            <w:vAlign w:val="center"/>
          </w:tcPr>
          <w:p w:rsidR="00912AE7" w:rsidRPr="001B446F" w:rsidRDefault="00912AE7" w:rsidP="00FC108B">
            <w:pPr>
              <w:keepNext/>
              <w:jc w:val="center"/>
              <w:rPr>
                <w:rFonts w:ascii="Arial Narrow" w:eastAsiaTheme="majorEastAsia" w:hAnsi="Arial Narrow" w:cstheme="majorBidi"/>
                <w:b/>
                <w:bCs/>
                <w:sz w:val="20"/>
                <w:lang w:eastAsia="en-ZA"/>
              </w:rPr>
            </w:pPr>
          </w:p>
        </w:tc>
        <w:tc>
          <w:tcPr>
            <w:tcW w:w="521" w:type="pct"/>
            <w:shd w:val="clear" w:color="auto" w:fill="auto"/>
            <w:vAlign w:val="center"/>
          </w:tcPr>
          <w:p w:rsidR="00912AE7" w:rsidRPr="001B446F" w:rsidRDefault="00912AE7" w:rsidP="00FC108B">
            <w:pPr>
              <w:keepNext/>
              <w:jc w:val="center"/>
              <w:rPr>
                <w:rFonts w:ascii="Arial Narrow" w:eastAsiaTheme="majorEastAsia" w:hAnsi="Arial Narrow" w:cstheme="majorBidi"/>
                <w:b/>
                <w:bCs/>
                <w:sz w:val="20"/>
                <w:lang w:eastAsia="en-ZA"/>
              </w:rPr>
            </w:pPr>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 </w:t>
            </w:r>
          </w:p>
        </w:tc>
        <w:tc>
          <w:tcPr>
            <w:tcW w:w="527" w:type="pct"/>
            <w:shd w:val="clear" w:color="auto" w:fill="auto"/>
            <w:vAlign w:val="center"/>
          </w:tcPr>
          <w:p w:rsidR="00874337" w:rsidRPr="001B446F" w:rsidRDefault="00874337" w:rsidP="00FC108B">
            <w:pPr>
              <w:keepNext/>
              <w:jc w:val="center"/>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N</w:t>
            </w:r>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Mean change ± SD</w:t>
            </w:r>
          </w:p>
        </w:tc>
        <w:tc>
          <w:tcPr>
            <w:tcW w:w="471" w:type="pct"/>
            <w:shd w:val="clear" w:color="auto" w:fill="auto"/>
            <w:vAlign w:val="center"/>
          </w:tcPr>
          <w:p w:rsidR="00874337" w:rsidRPr="001B446F" w:rsidRDefault="00874337" w:rsidP="00FC108B">
            <w:pPr>
              <w:keepNext/>
              <w:jc w:val="center"/>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N</w:t>
            </w:r>
          </w:p>
        </w:tc>
        <w:tc>
          <w:tcPr>
            <w:tcW w:w="944" w:type="pct"/>
            <w:shd w:val="clear" w:color="auto" w:fill="auto"/>
            <w:vAlign w:val="center"/>
          </w:tcPr>
          <w:p w:rsidR="00912AE7" w:rsidRPr="001B446F" w:rsidRDefault="00912AE7" w:rsidP="00FC108B">
            <w:pPr>
              <w:keepNext/>
              <w:jc w:val="center"/>
              <w:rPr>
                <w:rFonts w:ascii="Arial Narrow" w:eastAsiaTheme="majorEastAsia" w:hAnsi="Arial Narrow" w:cstheme="majorBidi"/>
                <w:b/>
                <w:bCs/>
                <w:sz w:val="20"/>
                <w:lang w:eastAsia="en-ZA"/>
              </w:rPr>
            </w:pPr>
          </w:p>
          <w:p w:rsidR="00874337" w:rsidRPr="001B446F" w:rsidRDefault="00874337" w:rsidP="00FC108B">
            <w:pPr>
              <w:keepNext/>
              <w:jc w:val="center"/>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Mean change ± SD</w:t>
            </w:r>
          </w:p>
        </w:tc>
        <w:tc>
          <w:tcPr>
            <w:tcW w:w="1023" w:type="pct"/>
            <w:shd w:val="clear" w:color="auto" w:fill="auto"/>
            <w:vAlign w:val="center"/>
          </w:tcPr>
          <w:p w:rsidR="00874337" w:rsidRPr="001B446F" w:rsidRDefault="00874337" w:rsidP="00FC108B">
            <w:pPr>
              <w:keepNext/>
              <w:jc w:val="center"/>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Mean difference (95% CI)</w:t>
            </w:r>
          </w:p>
        </w:tc>
        <w:tc>
          <w:tcPr>
            <w:tcW w:w="521" w:type="pct"/>
            <w:shd w:val="clear" w:color="auto" w:fill="auto"/>
            <w:vAlign w:val="center"/>
          </w:tcPr>
          <w:p w:rsidR="00874337" w:rsidRPr="001B446F" w:rsidRDefault="00874337" w:rsidP="00FC108B">
            <w:pPr>
              <w:keepNext/>
              <w:jc w:val="center"/>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P-value</w:t>
            </w:r>
          </w:p>
        </w:tc>
      </w:tr>
      <w:tr w:rsidR="00A35601" w:rsidRPr="001B446F" w:rsidTr="00FC108B">
        <w:tc>
          <w:tcPr>
            <w:tcW w:w="5000" w:type="pct"/>
            <w:gridSpan w:val="7"/>
            <w:shd w:val="clear" w:color="auto" w:fill="auto"/>
            <w:vAlign w:val="center"/>
          </w:tcPr>
          <w:p w:rsidR="00A35601" w:rsidRPr="001B446F" w:rsidRDefault="00A35601" w:rsidP="00FC108B">
            <w:pPr>
              <w:keepNext/>
              <w:jc w:val="left"/>
              <w:rPr>
                <w:rFonts w:ascii="Arial Narrow" w:eastAsiaTheme="majorEastAsia" w:hAnsi="Arial Narrow" w:cstheme="majorBidi"/>
                <w:b/>
                <w:bCs/>
                <w:sz w:val="20"/>
                <w:lang w:eastAsia="en-ZA"/>
              </w:rPr>
            </w:pPr>
            <w:r w:rsidRPr="001B446F">
              <w:rPr>
                <w:rFonts w:ascii="Arial Narrow" w:eastAsiaTheme="majorEastAsia" w:hAnsi="Arial Narrow" w:cstheme="majorBidi"/>
                <w:b/>
                <w:bCs/>
                <w:sz w:val="20"/>
                <w:szCs w:val="16"/>
              </w:rPr>
              <w:t>Mean change from baseline (36 months) in BCVA letter score in the study eye by treatment group</w:t>
            </w:r>
          </w:p>
        </w:tc>
      </w:tr>
      <w:tr w:rsidR="00874337" w:rsidRPr="001B446F" w:rsidTr="00FC108B">
        <w:tc>
          <w:tcPr>
            <w:tcW w:w="5000" w:type="pct"/>
            <w:gridSpan w:val="7"/>
            <w:shd w:val="clear" w:color="auto" w:fill="auto"/>
            <w:vAlign w:val="center"/>
          </w:tcPr>
          <w:p w:rsidR="00874337" w:rsidRPr="001B446F" w:rsidRDefault="00BE6C1B" w:rsidP="00FC108B">
            <w:pPr>
              <w:keepNext/>
              <w:jc w:val="left"/>
              <w:rPr>
                <w:rFonts w:ascii="Arial Narrow" w:eastAsiaTheme="majorEastAsia" w:hAnsi="Arial Narrow" w:cs="Calibri"/>
                <w:b/>
                <w:bCs/>
                <w:color w:val="000000"/>
                <w:sz w:val="22"/>
                <w:szCs w:val="22"/>
                <w:lang w:eastAsia="en-ZA"/>
              </w:rPr>
            </w:pPr>
            <w:r w:rsidRPr="001B446F">
              <w:rPr>
                <w:rFonts w:ascii="Arial Narrow" w:eastAsiaTheme="majorEastAsia" w:hAnsi="Arial Narrow" w:cstheme="majorBidi"/>
                <w:b/>
                <w:bCs/>
                <w:sz w:val="20"/>
                <w:lang w:eastAsia="en-ZA"/>
              </w:rPr>
              <w:t>FA</w:t>
            </w:r>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rPr>
            </w:pPr>
            <w:r w:rsidRPr="001B446F">
              <w:rPr>
                <w:rFonts w:ascii="Arial Narrow" w:eastAsiaTheme="majorEastAsia" w:hAnsi="Arial Narrow" w:cstheme="majorBidi"/>
                <w:bCs/>
                <w:sz w:val="20"/>
                <w:lang w:eastAsia="en-ZA"/>
              </w:rPr>
              <w:t>FAME-001a</w:t>
            </w:r>
          </w:p>
        </w:tc>
        <w:tc>
          <w:tcPr>
            <w:tcW w:w="527"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lang w:eastAsia="en-ZA"/>
              </w:rPr>
              <w:t>190</w:t>
            </w:r>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lang w:eastAsia="en-ZA"/>
              </w:rPr>
              <w:t>4.9 ± 19.2</w:t>
            </w:r>
          </w:p>
        </w:tc>
        <w:tc>
          <w:tcPr>
            <w:tcW w:w="471" w:type="pct"/>
            <w:shd w:val="clear" w:color="auto" w:fill="auto"/>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rPr>
              <w:t>95</w:t>
            </w:r>
          </w:p>
        </w:tc>
        <w:tc>
          <w:tcPr>
            <w:tcW w:w="944" w:type="pct"/>
            <w:shd w:val="clear" w:color="auto" w:fill="auto"/>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rPr>
              <w:t xml:space="preserve">3.3 ± 14.5 </w:t>
            </w:r>
          </w:p>
        </w:tc>
        <w:tc>
          <w:tcPr>
            <w:tcW w:w="1023" w:type="pct"/>
            <w:shd w:val="clear" w:color="auto" w:fill="auto"/>
            <w:vAlign w:val="center"/>
          </w:tcPr>
          <w:p w:rsidR="009501BA" w:rsidRPr="001B446F" w:rsidRDefault="00FA2383" w:rsidP="006A35AC">
            <w:pPr>
              <w:keepNext/>
              <w:jc w:val="center"/>
              <w:rPr>
                <w:rFonts w:ascii="Arial Narrow" w:eastAsiaTheme="majorEastAsia" w:hAnsi="Arial Narrow" w:cstheme="majorBidi"/>
                <w:b/>
                <w:bCs/>
                <w:sz w:val="20"/>
              </w:rPr>
            </w:pPr>
            <w:r w:rsidRPr="001B446F">
              <w:rPr>
                <w:rFonts w:ascii="Arial Narrow" w:eastAsiaTheme="majorEastAsia" w:hAnsi="Arial Narrow" w:cstheme="majorBidi"/>
                <w:bCs/>
                <w:sz w:val="20"/>
                <w:lang w:eastAsia="en-ZA"/>
              </w:rPr>
              <w:t>2.9 (-1.8, 7.5)</w:t>
            </w:r>
          </w:p>
        </w:tc>
        <w:tc>
          <w:tcPr>
            <w:tcW w:w="521"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lang w:eastAsia="en-ZA"/>
              </w:rPr>
              <w:t>0.225</w:t>
            </w:r>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rPr>
            </w:pPr>
            <w:r w:rsidRPr="001B446F">
              <w:rPr>
                <w:rFonts w:ascii="Arial Narrow" w:eastAsiaTheme="majorEastAsia" w:hAnsi="Arial Narrow" w:cstheme="majorBidi"/>
                <w:bCs/>
                <w:sz w:val="20"/>
                <w:lang w:eastAsia="en-ZA"/>
              </w:rPr>
              <w:t>FAME-001b</w:t>
            </w:r>
          </w:p>
        </w:tc>
        <w:tc>
          <w:tcPr>
            <w:tcW w:w="527"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lang w:eastAsia="en-ZA"/>
              </w:rPr>
              <w:t>186</w:t>
            </w:r>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lang w:eastAsia="en-ZA"/>
              </w:rPr>
              <w:t>5.7 ± 18.2</w:t>
            </w:r>
          </w:p>
        </w:tc>
        <w:tc>
          <w:tcPr>
            <w:tcW w:w="471" w:type="pct"/>
            <w:shd w:val="clear" w:color="auto" w:fill="auto"/>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rPr>
              <w:t>90</w:t>
            </w:r>
          </w:p>
        </w:tc>
        <w:tc>
          <w:tcPr>
            <w:tcW w:w="944" w:type="pct"/>
            <w:shd w:val="clear" w:color="auto" w:fill="auto"/>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rPr>
              <w:t xml:space="preserve">0.7 ± 16.4 </w:t>
            </w:r>
          </w:p>
        </w:tc>
        <w:tc>
          <w:tcPr>
            <w:tcW w:w="1023" w:type="pct"/>
            <w:shd w:val="clear" w:color="auto" w:fill="auto"/>
            <w:vAlign w:val="center"/>
          </w:tcPr>
          <w:p w:rsidR="009501BA" w:rsidRPr="001B446F" w:rsidRDefault="00874337" w:rsidP="006A35AC">
            <w:pPr>
              <w:keepNext/>
              <w:jc w:val="center"/>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6.4 (</w:t>
            </w:r>
            <w:r w:rsidR="00FA2383" w:rsidRPr="001B446F">
              <w:rPr>
                <w:rFonts w:ascii="Arial Narrow" w:eastAsiaTheme="majorEastAsia" w:hAnsi="Arial Narrow" w:cstheme="majorBidi"/>
                <w:b/>
                <w:bCs/>
                <w:sz w:val="20"/>
                <w:lang w:eastAsia="en-ZA"/>
              </w:rPr>
              <w:t xml:space="preserve">1.7, </w:t>
            </w:r>
            <w:r w:rsidRPr="001B446F">
              <w:rPr>
                <w:rFonts w:ascii="Arial Narrow" w:eastAsiaTheme="majorEastAsia" w:hAnsi="Arial Narrow" w:cstheme="majorBidi"/>
                <w:b/>
                <w:bCs/>
                <w:sz w:val="20"/>
                <w:lang w:eastAsia="en-ZA"/>
              </w:rPr>
              <w:t>11.2)</w:t>
            </w:r>
          </w:p>
        </w:tc>
        <w:tc>
          <w:tcPr>
            <w:tcW w:w="521" w:type="pct"/>
            <w:shd w:val="clear" w:color="auto" w:fill="auto"/>
            <w:vAlign w:val="center"/>
          </w:tcPr>
          <w:p w:rsidR="00874337" w:rsidRPr="001B446F" w:rsidRDefault="00874337" w:rsidP="00FC108B">
            <w:pPr>
              <w:keepNext/>
              <w:jc w:val="center"/>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0.008</w:t>
            </w:r>
          </w:p>
        </w:tc>
      </w:tr>
      <w:tr w:rsidR="00874337" w:rsidRPr="001B446F" w:rsidTr="00FC108B">
        <w:tc>
          <w:tcPr>
            <w:tcW w:w="806" w:type="pct"/>
            <w:shd w:val="clear" w:color="auto" w:fill="auto"/>
            <w:vAlign w:val="center"/>
          </w:tcPr>
          <w:p w:rsidR="00874337" w:rsidRPr="001B446F" w:rsidRDefault="0041466F" w:rsidP="00FC108B">
            <w:pPr>
              <w:keepNext/>
              <w:jc w:val="left"/>
              <w:rPr>
                <w:rFonts w:ascii="Arial Narrow" w:eastAsiaTheme="majorEastAsia" w:hAnsi="Arial Narrow" w:cstheme="majorBidi"/>
                <w:bCs/>
                <w:sz w:val="20"/>
              </w:rPr>
            </w:pPr>
            <w:r w:rsidRPr="001B446F">
              <w:rPr>
                <w:rFonts w:ascii="Arial Narrow" w:eastAsiaTheme="majorEastAsia" w:hAnsi="Arial Narrow" w:cstheme="majorBidi"/>
                <w:bCs/>
                <w:sz w:val="20"/>
                <w:lang w:eastAsia="en-ZA"/>
              </w:rPr>
              <w:t>Pooled</w:t>
            </w:r>
          </w:p>
        </w:tc>
        <w:tc>
          <w:tcPr>
            <w:tcW w:w="527"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lang w:eastAsia="en-ZA"/>
              </w:rPr>
              <w:t>376</w:t>
            </w:r>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lang w:eastAsia="en-ZA"/>
              </w:rPr>
              <w:t>5.3 ± 18.7</w:t>
            </w:r>
          </w:p>
        </w:tc>
        <w:tc>
          <w:tcPr>
            <w:tcW w:w="471" w:type="pct"/>
            <w:shd w:val="clear" w:color="auto" w:fill="auto"/>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rPr>
              <w:t>185</w:t>
            </w:r>
          </w:p>
        </w:tc>
        <w:tc>
          <w:tcPr>
            <w:tcW w:w="944" w:type="pct"/>
            <w:shd w:val="clear" w:color="auto" w:fill="auto"/>
          </w:tcPr>
          <w:p w:rsidR="00874337" w:rsidRPr="001B446F" w:rsidRDefault="00874337" w:rsidP="00FC108B">
            <w:pPr>
              <w:keepNext/>
              <w:jc w:val="center"/>
              <w:rPr>
                <w:rFonts w:ascii="Arial Narrow" w:eastAsiaTheme="majorEastAsia" w:hAnsi="Arial Narrow" w:cstheme="majorBidi"/>
                <w:bCs/>
                <w:sz w:val="20"/>
              </w:rPr>
            </w:pPr>
            <w:r w:rsidRPr="001B446F">
              <w:rPr>
                <w:rFonts w:ascii="Arial Narrow" w:eastAsiaTheme="majorEastAsia" w:hAnsi="Arial Narrow" w:cstheme="majorBidi"/>
                <w:bCs/>
                <w:sz w:val="20"/>
              </w:rPr>
              <w:t xml:space="preserve">2.0 ± 15.4 </w:t>
            </w:r>
          </w:p>
        </w:tc>
        <w:tc>
          <w:tcPr>
            <w:tcW w:w="1023" w:type="pct"/>
            <w:shd w:val="clear" w:color="auto" w:fill="auto"/>
            <w:vAlign w:val="center"/>
          </w:tcPr>
          <w:p w:rsidR="009501BA" w:rsidRPr="001B446F" w:rsidRDefault="00874337" w:rsidP="006A35AC">
            <w:pPr>
              <w:keepNext/>
              <w:jc w:val="center"/>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4.6 (</w:t>
            </w:r>
            <w:r w:rsidR="00FA2383" w:rsidRPr="001B446F">
              <w:rPr>
                <w:rFonts w:ascii="Arial Narrow" w:eastAsiaTheme="majorEastAsia" w:hAnsi="Arial Narrow" w:cstheme="majorBidi"/>
                <w:b/>
                <w:bCs/>
                <w:sz w:val="20"/>
                <w:lang w:eastAsia="en-ZA"/>
              </w:rPr>
              <w:t xml:space="preserve">1.3, </w:t>
            </w:r>
            <w:r w:rsidRPr="001B446F">
              <w:rPr>
                <w:rFonts w:ascii="Arial Narrow" w:eastAsiaTheme="majorEastAsia" w:hAnsi="Arial Narrow" w:cstheme="majorBidi"/>
                <w:b/>
                <w:bCs/>
                <w:sz w:val="20"/>
                <w:lang w:eastAsia="en-ZA"/>
              </w:rPr>
              <w:t>7.9)</w:t>
            </w:r>
          </w:p>
        </w:tc>
        <w:tc>
          <w:tcPr>
            <w:tcW w:w="521" w:type="pct"/>
            <w:shd w:val="clear" w:color="auto" w:fill="auto"/>
            <w:vAlign w:val="center"/>
          </w:tcPr>
          <w:p w:rsidR="00874337" w:rsidRPr="001B446F" w:rsidRDefault="00874337" w:rsidP="00FC108B">
            <w:pPr>
              <w:keepNext/>
              <w:jc w:val="center"/>
              <w:rPr>
                <w:rFonts w:ascii="Arial Narrow" w:eastAsiaTheme="majorEastAsia" w:hAnsi="Arial Narrow" w:cstheme="majorBidi"/>
                <w:b/>
                <w:bCs/>
                <w:sz w:val="20"/>
              </w:rPr>
            </w:pPr>
            <w:r w:rsidRPr="001B446F">
              <w:rPr>
                <w:rFonts w:ascii="Arial Narrow" w:eastAsiaTheme="majorEastAsia" w:hAnsi="Arial Narrow" w:cstheme="majorBidi"/>
                <w:b/>
                <w:bCs/>
                <w:sz w:val="20"/>
                <w:lang w:eastAsia="en-ZA"/>
              </w:rPr>
              <w:t>0.007</w:t>
            </w:r>
          </w:p>
        </w:tc>
      </w:tr>
      <w:tr w:rsidR="00874337" w:rsidRPr="001B446F" w:rsidTr="00FC108B">
        <w:tc>
          <w:tcPr>
            <w:tcW w:w="5000" w:type="pct"/>
            <w:gridSpan w:val="7"/>
            <w:shd w:val="clear" w:color="auto" w:fill="auto"/>
            <w:vAlign w:val="center"/>
          </w:tcPr>
          <w:p w:rsidR="00874337" w:rsidRPr="001B446F" w:rsidRDefault="00BE6C1B" w:rsidP="00FC108B">
            <w:pPr>
              <w:keepNext/>
              <w:jc w:val="left"/>
              <w:rPr>
                <w:rFonts w:ascii="Arial Narrow" w:eastAsiaTheme="majorEastAsia" w:hAnsi="Arial Narrow" w:cstheme="majorBidi"/>
                <w:b/>
                <w:bCs/>
                <w:sz w:val="20"/>
                <w:lang w:eastAsia="en-ZA"/>
              </w:rPr>
            </w:pPr>
            <w:r w:rsidRPr="001B446F">
              <w:rPr>
                <w:rFonts w:ascii="Arial Narrow" w:eastAsiaTheme="majorEastAsia" w:hAnsi="Arial Narrow" w:cs="Calibri"/>
                <w:b/>
                <w:bCs/>
                <w:color w:val="000000"/>
                <w:sz w:val="20"/>
                <w:szCs w:val="20"/>
                <w:lang w:eastAsia="en-ZA"/>
              </w:rPr>
              <w:t>DEX</w:t>
            </w:r>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 xml:space="preserve">MEAD-010 </w:t>
            </w:r>
          </w:p>
        </w:tc>
        <w:tc>
          <w:tcPr>
            <w:tcW w:w="527"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4.13 ± 13.9</w:t>
            </w:r>
          </w:p>
        </w:tc>
        <w:tc>
          <w:tcPr>
            <w:tcW w:w="471"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944"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0.79 ± 11.9</w:t>
            </w:r>
          </w:p>
        </w:tc>
        <w:tc>
          <w:tcPr>
            <w:tcW w:w="1023" w:type="pct"/>
            <w:shd w:val="clear" w:color="auto" w:fill="auto"/>
            <w:vAlign w:val="center"/>
          </w:tcPr>
          <w:p w:rsidR="009501BA" w:rsidRPr="001B446F" w:rsidRDefault="00874337" w:rsidP="006A35AC">
            <w:pPr>
              <w:keepNext/>
              <w:jc w:val="center"/>
              <w:rPr>
                <w:rFonts w:ascii="Arial Narrow" w:eastAsiaTheme="majorEastAsia" w:hAnsi="Arial Narrow" w:cstheme="majorBidi"/>
                <w:b/>
                <w:bCs/>
                <w:sz w:val="20"/>
                <w:lang w:eastAsia="en-ZA"/>
              </w:rPr>
            </w:pPr>
            <w:r w:rsidRPr="001B446F">
              <w:rPr>
                <w:rFonts w:ascii="Arial Narrow" w:eastAsiaTheme="majorEastAsia" w:hAnsi="Arial Narrow" w:cs="Calibri"/>
                <w:b/>
                <w:bCs/>
                <w:color w:val="000000"/>
                <w:sz w:val="20"/>
                <w:szCs w:val="20"/>
                <w:lang w:eastAsia="en-ZA"/>
              </w:rPr>
              <w:t>3.3 (0.5, 6.1)</w:t>
            </w:r>
          </w:p>
        </w:tc>
        <w:tc>
          <w:tcPr>
            <w:tcW w:w="521"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 xml:space="preserve">MEAD-011 </w:t>
            </w:r>
          </w:p>
        </w:tc>
        <w:tc>
          <w:tcPr>
            <w:tcW w:w="527"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0.02 ± 17.8</w:t>
            </w:r>
          </w:p>
        </w:tc>
        <w:tc>
          <w:tcPr>
            <w:tcW w:w="471"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944"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0.85 ± 13.6</w:t>
            </w:r>
          </w:p>
        </w:tc>
        <w:tc>
          <w:tcPr>
            <w:tcW w:w="1023" w:type="pct"/>
            <w:shd w:val="clear" w:color="auto" w:fill="auto"/>
            <w:vAlign w:val="center"/>
          </w:tcPr>
          <w:p w:rsidR="009501BA" w:rsidRPr="001B446F" w:rsidRDefault="00874337" w:rsidP="006A35AC">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–0.8 (–4.2,</w:t>
            </w:r>
            <w:r w:rsidR="00FA2383" w:rsidRPr="001B446F">
              <w:rPr>
                <w:rFonts w:ascii="Arial Narrow" w:eastAsiaTheme="majorEastAsia" w:hAnsi="Arial Narrow" w:cs="Calibri"/>
                <w:bCs/>
                <w:color w:val="000000"/>
                <w:sz w:val="20"/>
                <w:szCs w:val="20"/>
                <w:lang w:eastAsia="en-ZA"/>
              </w:rPr>
              <w:t xml:space="preserve"> </w:t>
            </w:r>
            <w:r w:rsidRPr="001B446F">
              <w:rPr>
                <w:rFonts w:ascii="Arial Narrow" w:eastAsiaTheme="majorEastAsia" w:hAnsi="Arial Narrow" w:cs="Calibri"/>
                <w:bCs/>
                <w:color w:val="000000"/>
                <w:sz w:val="20"/>
                <w:szCs w:val="20"/>
                <w:lang w:eastAsia="en-ZA"/>
              </w:rPr>
              <w:t>2.6)</w:t>
            </w:r>
          </w:p>
        </w:tc>
        <w:tc>
          <w:tcPr>
            <w:tcW w:w="521"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Pooled</w:t>
            </w:r>
          </w:p>
        </w:tc>
        <w:tc>
          <w:tcPr>
            <w:tcW w:w="527"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2.06 ± 16.1</w:t>
            </w:r>
          </w:p>
        </w:tc>
        <w:tc>
          <w:tcPr>
            <w:tcW w:w="471"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944"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0.82 ± 12.7</w:t>
            </w:r>
          </w:p>
        </w:tc>
        <w:tc>
          <w:tcPr>
            <w:tcW w:w="1023" w:type="pct"/>
            <w:shd w:val="clear" w:color="auto" w:fill="auto"/>
            <w:vAlign w:val="center"/>
          </w:tcPr>
          <w:p w:rsidR="009501BA" w:rsidRPr="001B446F" w:rsidRDefault="00874337" w:rsidP="006A35AC">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1.2 (–0.9, 3.4)</w:t>
            </w:r>
          </w:p>
        </w:tc>
        <w:tc>
          <w:tcPr>
            <w:tcW w:w="521"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r>
      <w:tr w:rsidR="00874337" w:rsidRPr="001B446F" w:rsidTr="00FC108B">
        <w:tc>
          <w:tcPr>
            <w:tcW w:w="5000" w:type="pct"/>
            <w:gridSpan w:val="7"/>
            <w:shd w:val="clear" w:color="auto" w:fill="auto"/>
            <w:vAlign w:val="center"/>
          </w:tcPr>
          <w:p w:rsidR="00874337" w:rsidRPr="001B446F" w:rsidRDefault="00874337" w:rsidP="00FC108B">
            <w:pPr>
              <w:keepNext/>
              <w:jc w:val="left"/>
              <w:rPr>
                <w:rFonts w:ascii="Arial Narrow" w:eastAsiaTheme="majorEastAsia" w:hAnsi="Arial Narrow" w:cstheme="majorBidi"/>
                <w:b/>
                <w:bCs/>
                <w:sz w:val="20"/>
                <w:lang w:eastAsia="en-ZA"/>
              </w:rPr>
            </w:pPr>
            <w:r w:rsidRPr="001B446F">
              <w:rPr>
                <w:rFonts w:ascii="Arial Narrow" w:eastAsiaTheme="majorEastAsia" w:hAnsi="Arial Narrow" w:cstheme="majorBidi"/>
                <w:b/>
                <w:bCs/>
                <w:sz w:val="20"/>
                <w:lang w:eastAsia="en-ZA"/>
              </w:rPr>
              <w:t>Mean BCVA average change (AUC approach) from baseline in the FAME trials, ETDRS letters (SD)</w:t>
            </w:r>
          </w:p>
        </w:tc>
      </w:tr>
      <w:tr w:rsidR="00874337" w:rsidRPr="001B446F" w:rsidTr="00FC108B">
        <w:tc>
          <w:tcPr>
            <w:tcW w:w="5000" w:type="pct"/>
            <w:gridSpan w:val="7"/>
            <w:shd w:val="clear" w:color="auto" w:fill="auto"/>
            <w:vAlign w:val="center"/>
          </w:tcPr>
          <w:p w:rsidR="00874337" w:rsidRPr="001B446F" w:rsidRDefault="00BE6C1B" w:rsidP="00FC108B">
            <w:pPr>
              <w:keepNext/>
              <w:jc w:val="left"/>
              <w:rPr>
                <w:rFonts w:ascii="Arial Narrow" w:eastAsiaTheme="majorEastAsia" w:hAnsi="Arial Narrow" w:cstheme="majorBidi"/>
                <w:b/>
                <w:bCs/>
                <w:sz w:val="20"/>
                <w:lang w:eastAsia="en-ZA"/>
              </w:rPr>
            </w:pPr>
            <w:r w:rsidRPr="001B446F">
              <w:rPr>
                <w:rFonts w:ascii="Arial Narrow" w:eastAsiaTheme="majorEastAsia" w:hAnsi="Arial Narrow" w:cstheme="majorBidi"/>
                <w:b/>
                <w:bCs/>
                <w:sz w:val="20"/>
                <w:lang w:eastAsia="en-ZA"/>
              </w:rPr>
              <w:t>FA</w:t>
            </w:r>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FAME-001a</w:t>
            </w:r>
          </w:p>
        </w:tc>
        <w:tc>
          <w:tcPr>
            <w:tcW w:w="527"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190</w:t>
            </w:r>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4.5</w:t>
            </w:r>
          </w:p>
        </w:tc>
        <w:tc>
          <w:tcPr>
            <w:tcW w:w="471"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95</w:t>
            </w:r>
          </w:p>
        </w:tc>
        <w:tc>
          <w:tcPr>
            <w:tcW w:w="944"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2.3</w:t>
            </w:r>
          </w:p>
        </w:tc>
        <w:tc>
          <w:tcPr>
            <w:tcW w:w="1023"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521"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
                <w:bCs/>
                <w:sz w:val="20"/>
                <w:lang w:eastAsia="en-ZA"/>
              </w:rPr>
              <w:t>0.003</w:t>
            </w:r>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FAME-001b</w:t>
            </w:r>
          </w:p>
        </w:tc>
        <w:tc>
          <w:tcPr>
            <w:tcW w:w="527"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186</w:t>
            </w:r>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Cs/>
                <w:i/>
                <w:iCs/>
                <w:sz w:val="20"/>
                <w:lang w:eastAsia="en-ZA"/>
              </w:rPr>
              <w:t>5.8</w:t>
            </w:r>
          </w:p>
        </w:tc>
        <w:tc>
          <w:tcPr>
            <w:tcW w:w="471"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90</w:t>
            </w:r>
          </w:p>
        </w:tc>
        <w:tc>
          <w:tcPr>
            <w:tcW w:w="944" w:type="pct"/>
            <w:shd w:val="clear" w:color="auto" w:fill="auto"/>
            <w:vAlign w:val="center"/>
          </w:tcPr>
          <w:p w:rsidR="00874337" w:rsidRPr="001B446F" w:rsidRDefault="00874337" w:rsidP="00CD55D0">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0.</w:t>
            </w:r>
            <w:r w:rsidR="00CD55D0" w:rsidRPr="001B446F">
              <w:rPr>
                <w:rFonts w:ascii="Arial Narrow" w:eastAsiaTheme="majorEastAsia" w:hAnsi="Arial Narrow" w:cstheme="majorBidi"/>
                <w:bCs/>
                <w:sz w:val="20"/>
                <w:lang w:eastAsia="en-ZA"/>
              </w:rPr>
              <w:t>9</w:t>
            </w:r>
          </w:p>
        </w:tc>
        <w:tc>
          <w:tcPr>
            <w:tcW w:w="1023"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521"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
                <w:bCs/>
                <w:sz w:val="20"/>
                <w:lang w:eastAsia="en-ZA"/>
              </w:rPr>
              <w:t>&lt;0.001</w:t>
            </w:r>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Pooled</w:t>
            </w:r>
          </w:p>
        </w:tc>
        <w:tc>
          <w:tcPr>
            <w:tcW w:w="527"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708" w:type="pct"/>
            <w:shd w:val="clear" w:color="auto" w:fill="auto"/>
            <w:vAlign w:val="center"/>
          </w:tcPr>
          <w:p w:rsidR="00874337" w:rsidRPr="001B446F" w:rsidRDefault="00874337" w:rsidP="00CD55D0">
            <w:pPr>
              <w:keepNext/>
              <w:jc w:val="center"/>
              <w:rPr>
                <w:rFonts w:ascii="Arial Narrow" w:eastAsiaTheme="majorEastAsia" w:hAnsi="Arial Narrow" w:cstheme="majorBidi"/>
                <w:bCs/>
                <w:sz w:val="20"/>
                <w:lang w:eastAsia="en-ZA"/>
              </w:rPr>
            </w:pPr>
            <w:r w:rsidRPr="001B446F">
              <w:rPr>
                <w:rFonts w:ascii="Arial Narrow" w:eastAsiaTheme="majorEastAsia" w:hAnsi="Arial Narrow" w:cstheme="majorBidi"/>
                <w:bCs/>
                <w:sz w:val="20"/>
                <w:lang w:eastAsia="en-ZA"/>
              </w:rPr>
              <w:t>5.</w:t>
            </w:r>
            <w:r w:rsidR="00CD55D0" w:rsidRPr="001B446F">
              <w:rPr>
                <w:rFonts w:ascii="Arial Narrow" w:eastAsiaTheme="majorEastAsia" w:hAnsi="Arial Narrow" w:cstheme="majorBidi"/>
                <w:bCs/>
                <w:sz w:val="20"/>
                <w:lang w:eastAsia="en-ZA"/>
              </w:rPr>
              <w:t>2</w:t>
            </w:r>
          </w:p>
        </w:tc>
        <w:tc>
          <w:tcPr>
            <w:tcW w:w="471"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944" w:type="pct"/>
            <w:shd w:val="clear" w:color="auto" w:fill="auto"/>
            <w:vAlign w:val="center"/>
          </w:tcPr>
          <w:p w:rsidR="00874337" w:rsidRPr="001B446F" w:rsidRDefault="00465945"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w:t>
            </w:r>
            <w:r w:rsidR="00874337" w:rsidRPr="001B446F">
              <w:rPr>
                <w:rFonts w:ascii="Arial Narrow" w:eastAsiaTheme="majorEastAsia" w:hAnsi="Arial Narrow" w:cs="Calibri"/>
                <w:bCs/>
                <w:color w:val="000000"/>
                <w:sz w:val="20"/>
                <w:szCs w:val="20"/>
                <w:lang w:eastAsia="en-ZA"/>
              </w:rPr>
              <w:t>r</w:t>
            </w:r>
            <w:proofErr w:type="spellEnd"/>
          </w:p>
        </w:tc>
        <w:tc>
          <w:tcPr>
            <w:tcW w:w="1023"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521" w:type="pct"/>
            <w:shd w:val="clear" w:color="auto" w:fill="auto"/>
            <w:vAlign w:val="center"/>
          </w:tcPr>
          <w:p w:rsidR="00874337" w:rsidRPr="001B446F" w:rsidRDefault="006C66CE" w:rsidP="00FC108B">
            <w:pPr>
              <w:keepNext/>
              <w:jc w:val="center"/>
              <w:rPr>
                <w:rFonts w:ascii="Arial Narrow" w:eastAsiaTheme="majorEastAsia" w:hAnsi="Arial Narrow" w:cstheme="majorBidi"/>
                <w:bCs/>
                <w:sz w:val="20"/>
                <w:lang w:eastAsia="en-ZA"/>
              </w:rPr>
            </w:pPr>
            <w:proofErr w:type="spellStart"/>
            <w:r w:rsidRPr="001B446F">
              <w:rPr>
                <w:rFonts w:ascii="Arial Narrow" w:eastAsiaTheme="majorEastAsia" w:hAnsi="Arial Narrow" w:cstheme="majorBidi"/>
                <w:bCs/>
                <w:sz w:val="20"/>
                <w:lang w:eastAsia="en-ZA"/>
              </w:rPr>
              <w:t>nr</w:t>
            </w:r>
            <w:proofErr w:type="spellEnd"/>
          </w:p>
        </w:tc>
      </w:tr>
      <w:tr w:rsidR="00874337" w:rsidRPr="001B446F" w:rsidTr="00FC108B">
        <w:tc>
          <w:tcPr>
            <w:tcW w:w="5000" w:type="pct"/>
            <w:gridSpan w:val="7"/>
            <w:shd w:val="clear" w:color="auto" w:fill="auto"/>
            <w:vAlign w:val="center"/>
          </w:tcPr>
          <w:p w:rsidR="00874337" w:rsidRPr="001B446F" w:rsidRDefault="00874337" w:rsidP="00FC108B">
            <w:pPr>
              <w:keepNext/>
              <w:jc w:val="left"/>
              <w:rPr>
                <w:rFonts w:ascii="Arial Narrow" w:eastAsiaTheme="majorEastAsia" w:hAnsi="Arial Narrow" w:cs="Calibri"/>
                <w:b/>
                <w:bCs/>
                <w:color w:val="000000"/>
                <w:sz w:val="20"/>
                <w:szCs w:val="20"/>
                <w:lang w:eastAsia="en-ZA"/>
              </w:rPr>
            </w:pPr>
            <w:r w:rsidRPr="001B446F">
              <w:rPr>
                <w:rFonts w:ascii="Arial Narrow" w:eastAsiaTheme="majorEastAsia" w:hAnsi="Arial Narrow" w:cs="Calibri"/>
                <w:b/>
                <w:bCs/>
                <w:color w:val="000000"/>
                <w:sz w:val="20"/>
                <w:szCs w:val="20"/>
                <w:lang w:eastAsia="en-ZA"/>
              </w:rPr>
              <w:t>Mean BCVA average change (AUC approach) from baseline in the MEAD trial programme, ETDRS letters (SD)</w:t>
            </w:r>
          </w:p>
        </w:tc>
      </w:tr>
      <w:tr w:rsidR="00874337" w:rsidRPr="001B446F" w:rsidTr="00FC108B">
        <w:tc>
          <w:tcPr>
            <w:tcW w:w="5000" w:type="pct"/>
            <w:gridSpan w:val="7"/>
            <w:shd w:val="clear" w:color="auto" w:fill="auto"/>
            <w:vAlign w:val="center"/>
          </w:tcPr>
          <w:p w:rsidR="00874337" w:rsidRPr="001B446F" w:rsidRDefault="00BE6C1B" w:rsidP="00FC108B">
            <w:pPr>
              <w:keepNext/>
              <w:jc w:val="left"/>
              <w:rPr>
                <w:rFonts w:ascii="Arial Narrow" w:eastAsiaTheme="majorEastAsia" w:hAnsi="Arial Narrow" w:cs="Calibri"/>
                <w:b/>
                <w:bCs/>
                <w:color w:val="000000"/>
                <w:sz w:val="20"/>
                <w:szCs w:val="20"/>
                <w:lang w:eastAsia="en-ZA"/>
              </w:rPr>
            </w:pPr>
            <w:r w:rsidRPr="001B446F">
              <w:rPr>
                <w:rFonts w:ascii="Arial Narrow" w:eastAsiaTheme="majorEastAsia" w:hAnsi="Arial Narrow" w:cs="Calibri"/>
                <w:b/>
                <w:bCs/>
                <w:color w:val="000000"/>
                <w:sz w:val="20"/>
                <w:szCs w:val="20"/>
                <w:lang w:eastAsia="en-ZA"/>
              </w:rPr>
              <w:t>DEX</w:t>
            </w:r>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 xml:space="preserve">MEAD-010 </w:t>
            </w:r>
          </w:p>
        </w:tc>
        <w:tc>
          <w:tcPr>
            <w:tcW w:w="527"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4.1 ± 8.3</w:t>
            </w:r>
          </w:p>
        </w:tc>
        <w:tc>
          <w:tcPr>
            <w:tcW w:w="471"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944"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1.9 ± 7.7</w:t>
            </w:r>
          </w:p>
        </w:tc>
        <w:tc>
          <w:tcPr>
            <w:tcW w:w="1023"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521"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
                <w:bCs/>
                <w:color w:val="000000"/>
                <w:sz w:val="20"/>
                <w:szCs w:val="20"/>
                <w:lang w:eastAsia="en-ZA"/>
              </w:rPr>
              <w:t>0.016</w:t>
            </w:r>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 xml:space="preserve">MEAD-011 </w:t>
            </w:r>
          </w:p>
        </w:tc>
        <w:tc>
          <w:tcPr>
            <w:tcW w:w="527"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2.9 ± 8.6</w:t>
            </w:r>
          </w:p>
        </w:tc>
        <w:tc>
          <w:tcPr>
            <w:tcW w:w="471"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944"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2.0 ± 8.2</w:t>
            </w:r>
          </w:p>
        </w:tc>
        <w:tc>
          <w:tcPr>
            <w:tcW w:w="1023"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521"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0.366</w:t>
            </w:r>
          </w:p>
        </w:tc>
      </w:tr>
      <w:tr w:rsidR="00874337" w:rsidRPr="001B446F" w:rsidTr="00FC108B">
        <w:tc>
          <w:tcPr>
            <w:tcW w:w="806" w:type="pct"/>
            <w:shd w:val="clear" w:color="auto" w:fill="auto"/>
            <w:vAlign w:val="center"/>
          </w:tcPr>
          <w:p w:rsidR="00874337" w:rsidRPr="001B446F" w:rsidRDefault="00874337" w:rsidP="00FC108B">
            <w:pPr>
              <w:keepNext/>
              <w:jc w:val="left"/>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Pooled</w:t>
            </w:r>
          </w:p>
        </w:tc>
        <w:tc>
          <w:tcPr>
            <w:tcW w:w="527"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708"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3.5 ± 8.4</w:t>
            </w:r>
          </w:p>
        </w:tc>
        <w:tc>
          <w:tcPr>
            <w:tcW w:w="471"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944"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Cs/>
                <w:color w:val="000000"/>
                <w:sz w:val="20"/>
                <w:szCs w:val="20"/>
                <w:lang w:eastAsia="en-ZA"/>
              </w:rPr>
              <w:t>2.0 ± 8.0</w:t>
            </w:r>
          </w:p>
        </w:tc>
        <w:tc>
          <w:tcPr>
            <w:tcW w:w="1023" w:type="pct"/>
            <w:shd w:val="clear" w:color="auto" w:fill="auto"/>
          </w:tcPr>
          <w:p w:rsidR="00874337" w:rsidRPr="001B446F" w:rsidRDefault="00874337" w:rsidP="00FC108B">
            <w:pPr>
              <w:keepNext/>
              <w:jc w:val="center"/>
              <w:rPr>
                <w:rFonts w:ascii="Arial Narrow" w:eastAsiaTheme="majorEastAsia" w:hAnsi="Arial Narrow" w:cstheme="majorBidi"/>
                <w:bCs/>
                <w:sz w:val="20"/>
                <w:szCs w:val="20"/>
                <w:lang w:eastAsia="en-ZA"/>
              </w:rPr>
            </w:pPr>
            <w:proofErr w:type="spellStart"/>
            <w:r w:rsidRPr="001B446F">
              <w:rPr>
                <w:rFonts w:ascii="Arial Narrow" w:eastAsiaTheme="majorEastAsia" w:hAnsi="Arial Narrow" w:cs="Calibri"/>
                <w:bCs/>
                <w:color w:val="000000"/>
                <w:sz w:val="20"/>
                <w:szCs w:val="20"/>
                <w:lang w:eastAsia="en-ZA"/>
              </w:rPr>
              <w:t>nr</w:t>
            </w:r>
            <w:proofErr w:type="spellEnd"/>
          </w:p>
        </w:tc>
        <w:tc>
          <w:tcPr>
            <w:tcW w:w="521" w:type="pct"/>
            <w:shd w:val="clear" w:color="auto" w:fill="auto"/>
            <w:vAlign w:val="center"/>
          </w:tcPr>
          <w:p w:rsidR="00874337" w:rsidRPr="001B446F" w:rsidRDefault="00874337" w:rsidP="00FC108B">
            <w:pPr>
              <w:keepNext/>
              <w:jc w:val="center"/>
              <w:rPr>
                <w:rFonts w:ascii="Arial Narrow" w:eastAsiaTheme="majorEastAsia" w:hAnsi="Arial Narrow" w:cstheme="majorBidi"/>
                <w:bCs/>
                <w:sz w:val="20"/>
                <w:lang w:eastAsia="en-ZA"/>
              </w:rPr>
            </w:pPr>
            <w:r w:rsidRPr="001B446F">
              <w:rPr>
                <w:rFonts w:ascii="Arial Narrow" w:eastAsiaTheme="majorEastAsia" w:hAnsi="Arial Narrow" w:cs="Calibri"/>
                <w:b/>
                <w:bCs/>
                <w:color w:val="000000"/>
                <w:sz w:val="20"/>
                <w:szCs w:val="20"/>
                <w:lang w:eastAsia="en-ZA"/>
              </w:rPr>
              <w:t>0.023</w:t>
            </w:r>
          </w:p>
        </w:tc>
      </w:tr>
    </w:tbl>
    <w:p w:rsidR="00874337" w:rsidRPr="001B446F" w:rsidRDefault="00874337" w:rsidP="00874337">
      <w:pPr>
        <w:spacing w:after="120"/>
        <w:contextualSpacing/>
        <w:rPr>
          <w:rFonts w:ascii="Arial Narrow" w:hAnsi="Arial Narrow"/>
          <w:snapToGrid w:val="0"/>
          <w:sz w:val="20"/>
          <w:szCs w:val="22"/>
        </w:rPr>
      </w:pPr>
      <w:r w:rsidRPr="001B446F">
        <w:rPr>
          <w:rFonts w:ascii="Arial Narrow" w:hAnsi="Arial Narrow"/>
          <w:snapToGrid w:val="0"/>
          <w:sz w:val="18"/>
          <w:szCs w:val="22"/>
        </w:rPr>
        <w:t>Source: Table 24, p62; Table 25, p63; Table 26, p64; Table 27, p65 of the submission</w:t>
      </w:r>
      <w:r w:rsidR="00A35601" w:rsidRPr="001B446F">
        <w:rPr>
          <w:rFonts w:ascii="Arial Narrow" w:hAnsi="Arial Narrow"/>
          <w:snapToGrid w:val="0"/>
          <w:sz w:val="18"/>
          <w:szCs w:val="22"/>
        </w:rPr>
        <w:t xml:space="preserve">; </w:t>
      </w:r>
      <w:r w:rsidRPr="001B446F">
        <w:rPr>
          <w:rFonts w:ascii="Arial Narrow" w:hAnsi="Arial Narrow"/>
          <w:snapToGrid w:val="0"/>
          <w:sz w:val="18"/>
          <w:szCs w:val="22"/>
        </w:rPr>
        <w:t>Table 3, p22 of the European Medicines Agency Assessment Report dexamethasone July 2014.</w:t>
      </w:r>
      <w:r w:rsidR="00ED508C" w:rsidRPr="001B446F">
        <w:rPr>
          <w:rFonts w:ascii="Arial Narrow" w:hAnsi="Arial Narrow"/>
          <w:snapToGrid w:val="0"/>
          <w:sz w:val="18"/>
          <w:szCs w:val="22"/>
        </w:rPr>
        <w:t xml:space="preserve"> </w:t>
      </w:r>
      <w:r w:rsidR="00ED508C" w:rsidRPr="001B446F">
        <w:rPr>
          <w:rFonts w:ascii="Arial Narrow" w:hAnsi="Arial Narrow"/>
          <w:i/>
          <w:snapToGrid w:val="0"/>
          <w:sz w:val="18"/>
          <w:szCs w:val="22"/>
        </w:rPr>
        <w:t>Modified during evaluation</w:t>
      </w:r>
    </w:p>
    <w:p w:rsidR="00874337" w:rsidRPr="001B446F" w:rsidRDefault="007F4D60" w:rsidP="00874337">
      <w:pPr>
        <w:spacing w:after="120"/>
        <w:contextualSpacing/>
        <w:rPr>
          <w:rFonts w:ascii="Arial Narrow" w:eastAsia="Calibri" w:hAnsi="Arial Narrow"/>
          <w:snapToGrid w:val="0"/>
          <w:sz w:val="18"/>
          <w:szCs w:val="22"/>
        </w:rPr>
      </w:pPr>
      <w:r w:rsidRPr="001B446F">
        <w:rPr>
          <w:rFonts w:ascii="Arial Narrow" w:eastAsia="Calibri" w:hAnsi="Arial Narrow"/>
          <w:snapToGrid w:val="0"/>
          <w:sz w:val="18"/>
          <w:szCs w:val="22"/>
        </w:rPr>
        <w:t>BCVA</w:t>
      </w:r>
      <w:r w:rsidR="00874337" w:rsidRPr="001B446F">
        <w:rPr>
          <w:rFonts w:ascii="Arial Narrow" w:eastAsia="Calibri" w:hAnsi="Arial Narrow"/>
          <w:snapToGrid w:val="0"/>
          <w:sz w:val="18"/>
          <w:szCs w:val="22"/>
        </w:rPr>
        <w:t xml:space="preserve"> = </w:t>
      </w:r>
      <w:proofErr w:type="gramStart"/>
      <w:r w:rsidR="00A35601" w:rsidRPr="001B446F">
        <w:rPr>
          <w:rFonts w:ascii="Arial Narrow" w:eastAsia="Calibri" w:hAnsi="Arial Narrow"/>
          <w:snapToGrid w:val="0"/>
          <w:sz w:val="18"/>
          <w:szCs w:val="22"/>
        </w:rPr>
        <w:t>b</w:t>
      </w:r>
      <w:r w:rsidR="00874337" w:rsidRPr="001B446F">
        <w:rPr>
          <w:rFonts w:ascii="Arial Narrow" w:eastAsia="Calibri" w:hAnsi="Arial Narrow"/>
          <w:snapToGrid w:val="0"/>
          <w:sz w:val="18"/>
          <w:szCs w:val="22"/>
        </w:rPr>
        <w:t>est corrected</w:t>
      </w:r>
      <w:proofErr w:type="gramEnd"/>
      <w:r w:rsidR="00874337" w:rsidRPr="001B446F">
        <w:rPr>
          <w:rFonts w:ascii="Arial Narrow" w:eastAsia="Calibri" w:hAnsi="Arial Narrow"/>
          <w:snapToGrid w:val="0"/>
          <w:sz w:val="18"/>
          <w:szCs w:val="22"/>
        </w:rPr>
        <w:t xml:space="preserve"> visual acuity; CI = confidence interval; FA = </w:t>
      </w:r>
      <w:proofErr w:type="spellStart"/>
      <w:r w:rsidR="00874337" w:rsidRPr="001B446F">
        <w:rPr>
          <w:rFonts w:ascii="Arial Narrow" w:eastAsia="Calibri" w:hAnsi="Arial Narrow"/>
          <w:snapToGrid w:val="0"/>
          <w:sz w:val="18"/>
          <w:szCs w:val="22"/>
        </w:rPr>
        <w:t>fluocinolone</w:t>
      </w:r>
      <w:proofErr w:type="spellEnd"/>
      <w:r w:rsidR="00874337" w:rsidRPr="001B446F">
        <w:rPr>
          <w:rFonts w:ascii="Arial Narrow" w:eastAsia="Calibri" w:hAnsi="Arial Narrow"/>
          <w:snapToGrid w:val="0"/>
          <w:sz w:val="18"/>
          <w:szCs w:val="22"/>
        </w:rPr>
        <w:t xml:space="preserve"> </w:t>
      </w:r>
      <w:proofErr w:type="spellStart"/>
      <w:r w:rsidR="00874337" w:rsidRPr="001B446F">
        <w:rPr>
          <w:rFonts w:ascii="Arial Narrow" w:eastAsia="Calibri" w:hAnsi="Arial Narrow"/>
          <w:snapToGrid w:val="0"/>
          <w:sz w:val="18"/>
          <w:szCs w:val="22"/>
        </w:rPr>
        <w:t>acetonide</w:t>
      </w:r>
      <w:proofErr w:type="spellEnd"/>
      <w:r w:rsidR="00874337" w:rsidRPr="001B446F">
        <w:rPr>
          <w:rFonts w:ascii="Arial Narrow" w:eastAsia="Calibri" w:hAnsi="Arial Narrow"/>
          <w:snapToGrid w:val="0"/>
          <w:sz w:val="18"/>
          <w:szCs w:val="22"/>
        </w:rPr>
        <w:t xml:space="preserve">; DEX = dexamethasone; n = number of participants with event; </w:t>
      </w:r>
      <w:proofErr w:type="spellStart"/>
      <w:r w:rsidR="00A35601" w:rsidRPr="001B446F">
        <w:rPr>
          <w:rFonts w:ascii="Arial Narrow" w:eastAsia="Calibri" w:hAnsi="Arial Narrow"/>
          <w:snapToGrid w:val="0"/>
          <w:sz w:val="18"/>
          <w:szCs w:val="22"/>
        </w:rPr>
        <w:t>nr</w:t>
      </w:r>
      <w:proofErr w:type="spellEnd"/>
      <w:r w:rsidR="00A35601" w:rsidRPr="001B446F">
        <w:rPr>
          <w:rFonts w:ascii="Arial Narrow" w:eastAsia="Calibri" w:hAnsi="Arial Narrow"/>
          <w:snapToGrid w:val="0"/>
          <w:sz w:val="18"/>
          <w:szCs w:val="22"/>
        </w:rPr>
        <w:t xml:space="preserve"> = not reported; </w:t>
      </w:r>
      <w:r w:rsidR="00874337" w:rsidRPr="001B446F">
        <w:rPr>
          <w:rFonts w:ascii="Arial Narrow" w:eastAsia="Calibri" w:hAnsi="Arial Narrow"/>
          <w:snapToGrid w:val="0"/>
          <w:sz w:val="18"/>
          <w:szCs w:val="22"/>
        </w:rPr>
        <w:t>N = total participants in group</w:t>
      </w:r>
      <w:r w:rsidR="00A35601" w:rsidRPr="001B446F">
        <w:rPr>
          <w:rFonts w:ascii="Arial Narrow" w:eastAsia="Calibri" w:hAnsi="Arial Narrow"/>
          <w:snapToGrid w:val="0"/>
          <w:sz w:val="18"/>
          <w:szCs w:val="22"/>
        </w:rPr>
        <w:t xml:space="preserve">; SD = standard deviation; </w:t>
      </w:r>
      <w:r w:rsidR="00874337" w:rsidRPr="001B446F">
        <w:rPr>
          <w:rFonts w:ascii="Arial Narrow" w:eastAsia="Calibri" w:hAnsi="Arial Narrow"/>
          <w:b/>
          <w:snapToGrid w:val="0"/>
          <w:sz w:val="18"/>
          <w:szCs w:val="22"/>
        </w:rPr>
        <w:t>Bold</w:t>
      </w:r>
      <w:r w:rsidR="00874337" w:rsidRPr="001B446F">
        <w:rPr>
          <w:rFonts w:ascii="Arial Narrow" w:eastAsia="Calibri" w:hAnsi="Arial Narrow"/>
          <w:snapToGrid w:val="0"/>
          <w:sz w:val="18"/>
          <w:szCs w:val="22"/>
        </w:rPr>
        <w:t xml:space="preserve"> </w:t>
      </w:r>
      <w:r w:rsidR="00A35601" w:rsidRPr="001B446F">
        <w:rPr>
          <w:rFonts w:ascii="Arial Narrow" w:eastAsia="Calibri" w:hAnsi="Arial Narrow"/>
          <w:snapToGrid w:val="0"/>
          <w:sz w:val="18"/>
          <w:szCs w:val="22"/>
        </w:rPr>
        <w:t xml:space="preserve">= </w:t>
      </w:r>
      <w:r w:rsidR="00874337" w:rsidRPr="001B446F">
        <w:rPr>
          <w:rFonts w:ascii="Arial Narrow" w:eastAsia="Calibri" w:hAnsi="Arial Narrow"/>
          <w:snapToGrid w:val="0"/>
          <w:sz w:val="18"/>
          <w:szCs w:val="22"/>
        </w:rPr>
        <w:t>statistically significant results.</w:t>
      </w:r>
    </w:p>
    <w:p w:rsidR="005F0680" w:rsidRPr="001B446F" w:rsidRDefault="005F0680" w:rsidP="00874337">
      <w:pPr>
        <w:spacing w:after="120"/>
        <w:contextualSpacing/>
        <w:rPr>
          <w:rFonts w:ascii="Arial Narrow" w:eastAsia="Calibri" w:hAnsi="Arial Narrow"/>
          <w:snapToGrid w:val="0"/>
          <w:sz w:val="18"/>
          <w:szCs w:val="22"/>
        </w:rPr>
      </w:pPr>
      <w:r w:rsidRPr="001B446F">
        <w:rPr>
          <w:rFonts w:ascii="Arial Narrow" w:eastAsia="Calibri" w:hAnsi="Arial Narrow"/>
          <w:snapToGrid w:val="0"/>
          <w:sz w:val="18"/>
          <w:szCs w:val="22"/>
        </w:rPr>
        <w:t xml:space="preserve">Results </w:t>
      </w:r>
      <w:proofErr w:type="gramStart"/>
      <w:r w:rsidRPr="001B446F">
        <w:rPr>
          <w:rFonts w:ascii="Arial Narrow" w:eastAsia="Calibri" w:hAnsi="Arial Narrow"/>
          <w:snapToGrid w:val="0"/>
          <w:sz w:val="18"/>
          <w:szCs w:val="22"/>
        </w:rPr>
        <w:t>are adjusted</w:t>
      </w:r>
      <w:proofErr w:type="gramEnd"/>
      <w:r w:rsidRPr="001B446F">
        <w:rPr>
          <w:rFonts w:ascii="Arial Narrow" w:eastAsia="Calibri" w:hAnsi="Arial Narrow"/>
          <w:snapToGrid w:val="0"/>
          <w:sz w:val="18"/>
          <w:szCs w:val="22"/>
        </w:rPr>
        <w:t xml:space="preserve"> by baseline characteristics for FAME and MEAD, both studies used ANOVA.</w:t>
      </w:r>
    </w:p>
    <w:p w:rsidR="0054223D" w:rsidRPr="001B446F" w:rsidRDefault="0054223D" w:rsidP="0054223D"/>
    <w:p w:rsidR="008C7292" w:rsidRPr="001B446F" w:rsidRDefault="008C7292" w:rsidP="00171484">
      <w:pPr>
        <w:pStyle w:val="3-BodyText"/>
      </w:pPr>
      <w:r w:rsidRPr="001B446F">
        <w:t xml:space="preserve">The results of the pooled direct comparisons demonstrated that both </w:t>
      </w:r>
      <w:r w:rsidR="00BE6C1B" w:rsidRPr="001B446F">
        <w:t>FA</w:t>
      </w:r>
      <w:r w:rsidRPr="001B446F">
        <w:t xml:space="preserve"> and </w:t>
      </w:r>
      <w:r w:rsidR="00BE6C1B" w:rsidRPr="001B446F">
        <w:t>DEX</w:t>
      </w:r>
      <w:r w:rsidRPr="001B446F">
        <w:t xml:space="preserve"> were superior to sham treatment in regard to the mean change from baseline </w:t>
      </w:r>
      <w:r w:rsidR="008E4E15" w:rsidRPr="001B446F">
        <w:t xml:space="preserve">to </w:t>
      </w:r>
      <w:r w:rsidRPr="001B446F">
        <w:t>36 months in BCVA letter score using both the direct or AUC approach.</w:t>
      </w:r>
    </w:p>
    <w:p w:rsidR="0054223D" w:rsidRPr="001B446F" w:rsidRDefault="0054223D" w:rsidP="00F864EF">
      <w:pPr>
        <w:pStyle w:val="3-BodyText"/>
      </w:pPr>
      <w:r w:rsidRPr="001B446F">
        <w:t xml:space="preserve">A summary of results of the indirect comparisons presented in the submission </w:t>
      </w:r>
      <w:proofErr w:type="gramStart"/>
      <w:r w:rsidR="00DC0FE2" w:rsidRPr="001B446F">
        <w:t xml:space="preserve">are </w:t>
      </w:r>
      <w:r w:rsidRPr="001B446F">
        <w:t>shown</w:t>
      </w:r>
      <w:proofErr w:type="gramEnd"/>
      <w:r w:rsidRPr="001B446F">
        <w:t xml:space="preserve"> in Table </w:t>
      </w:r>
      <w:r w:rsidR="00112FEB" w:rsidRPr="001B446F">
        <w:t>6</w:t>
      </w:r>
      <w:r w:rsidRPr="001B446F">
        <w:t>.</w:t>
      </w:r>
      <w:r w:rsidR="008C7292" w:rsidRPr="001B446F">
        <w:t xml:space="preserve"> During </w:t>
      </w:r>
      <w:proofErr w:type="gramStart"/>
      <w:r w:rsidR="008C7292" w:rsidRPr="001B446F">
        <w:t>evaluation</w:t>
      </w:r>
      <w:proofErr w:type="gramEnd"/>
      <w:r w:rsidR="008C7292" w:rsidRPr="001B446F">
        <w:t xml:space="preserve"> a number of errors in </w:t>
      </w:r>
      <w:r w:rsidR="00F62406" w:rsidRPr="001B446F">
        <w:t xml:space="preserve">the </w:t>
      </w:r>
      <w:r w:rsidR="008C7292" w:rsidRPr="001B446F">
        <w:t>calculation</w:t>
      </w:r>
      <w:r w:rsidR="00F62406" w:rsidRPr="001B446F">
        <w:t xml:space="preserve">s of the indirect comparison </w:t>
      </w:r>
      <w:r w:rsidR="00535701" w:rsidRPr="001B446F">
        <w:t xml:space="preserve">for the proportion of patients achieving a </w:t>
      </w:r>
      <w:r w:rsidR="00535701" w:rsidRPr="001B446F">
        <w:rPr>
          <w:rFonts w:cstheme="minorHAnsi"/>
        </w:rPr>
        <w:t>≥</w:t>
      </w:r>
      <w:r w:rsidR="00535701" w:rsidRPr="001B446F">
        <w:t xml:space="preserve">15- or </w:t>
      </w:r>
      <w:r w:rsidR="00535701" w:rsidRPr="001B446F">
        <w:rPr>
          <w:rFonts w:cstheme="minorHAnsi"/>
        </w:rPr>
        <w:t>≥</w:t>
      </w:r>
      <w:r w:rsidR="00535701" w:rsidRPr="001B446F">
        <w:t xml:space="preserve">10- letter improvement in BCVA </w:t>
      </w:r>
      <w:r w:rsidR="00F62406" w:rsidRPr="001B446F">
        <w:t xml:space="preserve">were identified </w:t>
      </w:r>
      <w:r w:rsidR="00E84967" w:rsidRPr="001B446F">
        <w:t xml:space="preserve">and </w:t>
      </w:r>
      <w:r w:rsidR="00F62406" w:rsidRPr="001B446F">
        <w:t>these were corrected</w:t>
      </w:r>
      <w:r w:rsidR="009D3534" w:rsidRPr="001B446F">
        <w:t>.</w:t>
      </w:r>
      <w:r w:rsidR="008E4E15" w:rsidRPr="001B446F">
        <w:t xml:space="preserve"> </w:t>
      </w:r>
      <w:r w:rsidR="00762E65" w:rsidRPr="001B446F">
        <w:t>In addition, t</w:t>
      </w:r>
      <w:r w:rsidR="00F864EF" w:rsidRPr="001B446F">
        <w:t xml:space="preserve">he </w:t>
      </w:r>
      <w:r w:rsidR="00871A04" w:rsidRPr="001B446F">
        <w:t xml:space="preserve">indirect comparison of the </w:t>
      </w:r>
      <w:r w:rsidR="00F864EF" w:rsidRPr="001B446F">
        <w:t>mean change</w:t>
      </w:r>
      <w:r w:rsidR="00871A04" w:rsidRPr="001B446F">
        <w:t xml:space="preserve"> from baseline</w:t>
      </w:r>
      <w:r w:rsidR="00F864EF" w:rsidRPr="001B446F">
        <w:t xml:space="preserve"> </w:t>
      </w:r>
      <w:r w:rsidR="00762E65" w:rsidRPr="001B446F">
        <w:t>in</w:t>
      </w:r>
      <w:r w:rsidR="00F864EF" w:rsidRPr="001B446F">
        <w:t xml:space="preserve"> BCVA</w:t>
      </w:r>
      <w:r w:rsidR="003A6E07" w:rsidRPr="001B446F">
        <w:t xml:space="preserve"> letter score</w:t>
      </w:r>
      <w:r w:rsidR="00F864EF" w:rsidRPr="001B446F">
        <w:t xml:space="preserve"> was incorrectly calculated in the </w:t>
      </w:r>
      <w:r w:rsidR="00762E65" w:rsidRPr="001B446F">
        <w:t>E</w:t>
      </w:r>
      <w:r w:rsidR="00F864EF" w:rsidRPr="001B446F">
        <w:t xml:space="preserve">xecutive </w:t>
      </w:r>
      <w:r w:rsidR="00762E65" w:rsidRPr="001B446F">
        <w:t>S</w:t>
      </w:r>
      <w:r w:rsidR="00F864EF" w:rsidRPr="001B446F">
        <w:t xml:space="preserve">ummary </w:t>
      </w:r>
      <w:r w:rsidR="00E17B78" w:rsidRPr="001B446F">
        <w:t>(-3.36 (</w:t>
      </w:r>
      <w:r w:rsidR="00E17B78" w:rsidRPr="001B446F">
        <w:noBreakHyphen/>
        <w:t xml:space="preserve">7.34, 0.62)) </w:t>
      </w:r>
      <w:r w:rsidR="00F864EF" w:rsidRPr="001B446F">
        <w:t>and in the main body of the submission</w:t>
      </w:r>
      <w:r w:rsidR="00871A04" w:rsidRPr="001B446F">
        <w:t xml:space="preserve"> (5.84 (1.86, 9.82))</w:t>
      </w:r>
      <w:r w:rsidR="00F864EF" w:rsidRPr="001B446F">
        <w:t xml:space="preserve">. The </w:t>
      </w:r>
      <w:r w:rsidR="00871A04" w:rsidRPr="001B446F">
        <w:t xml:space="preserve">correct value </w:t>
      </w:r>
      <w:proofErr w:type="gramStart"/>
      <w:r w:rsidR="00871A04" w:rsidRPr="001B446F">
        <w:t>is presented</w:t>
      </w:r>
      <w:proofErr w:type="gramEnd"/>
      <w:r w:rsidR="00871A04" w:rsidRPr="001B446F">
        <w:t xml:space="preserve"> in Table 6</w:t>
      </w:r>
      <w:r w:rsidR="00F864EF" w:rsidRPr="001B446F">
        <w:t>.</w:t>
      </w:r>
      <w:r w:rsidR="00762E65" w:rsidRPr="001B446F">
        <w:t xml:space="preserve"> The Sponsor continued to </w:t>
      </w:r>
      <w:r w:rsidR="00871A04" w:rsidRPr="001B446F">
        <w:t xml:space="preserve">present </w:t>
      </w:r>
      <w:r w:rsidR="00762E65" w:rsidRPr="001B446F">
        <w:t>incorrect value</w:t>
      </w:r>
      <w:r w:rsidR="009D38AC" w:rsidRPr="001B446F">
        <w:t>s</w:t>
      </w:r>
      <w:r w:rsidR="00762E65" w:rsidRPr="001B446F">
        <w:t xml:space="preserve"> </w:t>
      </w:r>
      <w:r w:rsidR="009D38AC" w:rsidRPr="001B446F">
        <w:t>(</w:t>
      </w:r>
      <w:r w:rsidR="00762E65" w:rsidRPr="001B446F">
        <w:t>5.84 (1.86, 9.82)</w:t>
      </w:r>
      <w:r w:rsidR="009D38AC" w:rsidRPr="001B446F">
        <w:t xml:space="preserve">) </w:t>
      </w:r>
      <w:r w:rsidR="00762E65" w:rsidRPr="001B446F">
        <w:t xml:space="preserve">in the pre-PBAC </w:t>
      </w:r>
      <w:r w:rsidR="002762E4" w:rsidRPr="001B446F">
        <w:t>response.</w:t>
      </w:r>
    </w:p>
    <w:p w:rsidR="0054223D" w:rsidRPr="001B446F" w:rsidRDefault="0054223D" w:rsidP="0054223D">
      <w:pPr>
        <w:pStyle w:val="TableFigureHeading"/>
        <w:rPr>
          <w:rStyle w:val="CommentReference"/>
          <w:b/>
          <w:szCs w:val="24"/>
        </w:rPr>
      </w:pPr>
      <w:r w:rsidRPr="001B446F">
        <w:rPr>
          <w:rStyle w:val="CommentReference"/>
          <w:b/>
          <w:szCs w:val="24"/>
        </w:rPr>
        <w:lastRenderedPageBreak/>
        <w:t xml:space="preserve">Table </w:t>
      </w:r>
      <w:r w:rsidR="00112FEB" w:rsidRPr="001B446F">
        <w:rPr>
          <w:rStyle w:val="CommentReference"/>
          <w:b/>
          <w:szCs w:val="24"/>
        </w:rPr>
        <w:t>6</w:t>
      </w:r>
      <w:r w:rsidRPr="001B446F">
        <w:rPr>
          <w:rStyle w:val="CommentReference"/>
          <w:b/>
          <w:szCs w:val="24"/>
        </w:rPr>
        <w:t xml:space="preserve">: Summary of results of the indirect comparisons presented in the submission for dichotomous and continuous outcomes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2144"/>
        <w:gridCol w:w="1701"/>
        <w:gridCol w:w="1845"/>
        <w:gridCol w:w="1791"/>
      </w:tblGrid>
      <w:tr w:rsidR="00BB4F1C" w:rsidRPr="001B446F" w:rsidTr="00454C50">
        <w:trPr>
          <w:tblHeader/>
        </w:trPr>
        <w:tc>
          <w:tcPr>
            <w:tcW w:w="852" w:type="pct"/>
            <w:shd w:val="clear" w:color="auto" w:fill="auto"/>
            <w:vAlign w:val="center"/>
          </w:tcPr>
          <w:p w:rsidR="00BB4F1C" w:rsidRPr="001B446F" w:rsidRDefault="00BB4F1C" w:rsidP="005211DA">
            <w:pPr>
              <w:pStyle w:val="In-tableHeading"/>
              <w:rPr>
                <w:lang w:val="en-AU"/>
              </w:rPr>
            </w:pPr>
            <w:r w:rsidRPr="001B446F">
              <w:rPr>
                <w:lang w:val="en-AU"/>
              </w:rPr>
              <w:t xml:space="preserve">Trial </w:t>
            </w:r>
          </w:p>
        </w:tc>
        <w:tc>
          <w:tcPr>
            <w:tcW w:w="1189" w:type="pct"/>
            <w:shd w:val="clear" w:color="auto" w:fill="auto"/>
            <w:vAlign w:val="center"/>
          </w:tcPr>
          <w:p w:rsidR="00454C50" w:rsidRPr="001B446F" w:rsidRDefault="00454C50" w:rsidP="005211DA">
            <w:pPr>
              <w:pStyle w:val="In-tableHeading"/>
              <w:jc w:val="center"/>
              <w:rPr>
                <w:lang w:val="en-AU"/>
              </w:rPr>
            </w:pPr>
            <w:r w:rsidRPr="001B446F">
              <w:rPr>
                <w:lang w:val="en-AU"/>
              </w:rPr>
              <w:t>Treatment</w:t>
            </w:r>
          </w:p>
          <w:p w:rsidR="00BB4F1C" w:rsidRPr="001B446F" w:rsidRDefault="00BB4F1C" w:rsidP="005211DA">
            <w:pPr>
              <w:pStyle w:val="In-tableHeading"/>
              <w:jc w:val="center"/>
              <w:rPr>
                <w:lang w:val="en-AU"/>
              </w:rPr>
            </w:pPr>
            <w:proofErr w:type="gramStart"/>
            <w:r w:rsidRPr="001B446F">
              <w:rPr>
                <w:lang w:val="en-AU"/>
              </w:rPr>
              <w:t>n</w:t>
            </w:r>
            <w:proofErr w:type="gramEnd"/>
            <w:r w:rsidRPr="001B446F">
              <w:rPr>
                <w:lang w:val="en-AU"/>
              </w:rPr>
              <w:t xml:space="preserve"> with event/N (%)</w:t>
            </w:r>
          </w:p>
        </w:tc>
        <w:tc>
          <w:tcPr>
            <w:tcW w:w="943" w:type="pct"/>
            <w:shd w:val="clear" w:color="auto" w:fill="auto"/>
            <w:vAlign w:val="center"/>
          </w:tcPr>
          <w:p w:rsidR="00BB4F1C" w:rsidRPr="001B446F" w:rsidRDefault="00BB4F1C" w:rsidP="005211DA">
            <w:pPr>
              <w:pStyle w:val="In-tableHeading"/>
              <w:jc w:val="center"/>
              <w:rPr>
                <w:lang w:val="en-AU"/>
              </w:rPr>
            </w:pPr>
            <w:r w:rsidRPr="001B446F">
              <w:rPr>
                <w:lang w:val="en-AU"/>
              </w:rPr>
              <w:t xml:space="preserve">Common reference </w:t>
            </w:r>
          </w:p>
          <w:p w:rsidR="00BB4F1C" w:rsidRPr="001B446F" w:rsidRDefault="00BB4F1C" w:rsidP="005211DA">
            <w:pPr>
              <w:pStyle w:val="In-tableHeading"/>
              <w:jc w:val="center"/>
              <w:rPr>
                <w:lang w:val="en-AU"/>
              </w:rPr>
            </w:pPr>
            <w:proofErr w:type="gramStart"/>
            <w:r w:rsidRPr="001B446F">
              <w:rPr>
                <w:lang w:val="en-AU"/>
              </w:rPr>
              <w:t>n</w:t>
            </w:r>
            <w:proofErr w:type="gramEnd"/>
            <w:r w:rsidRPr="001B446F">
              <w:rPr>
                <w:lang w:val="en-AU"/>
              </w:rPr>
              <w:t xml:space="preserve"> with event/N (%)</w:t>
            </w:r>
          </w:p>
        </w:tc>
        <w:tc>
          <w:tcPr>
            <w:tcW w:w="2016" w:type="pct"/>
            <w:gridSpan w:val="2"/>
            <w:shd w:val="clear" w:color="auto" w:fill="auto"/>
            <w:vAlign w:val="center"/>
          </w:tcPr>
          <w:p w:rsidR="00BB4F1C" w:rsidRPr="001B446F" w:rsidRDefault="00BB4F1C" w:rsidP="005211DA">
            <w:pPr>
              <w:pStyle w:val="In-tableHeading"/>
              <w:jc w:val="center"/>
              <w:rPr>
                <w:lang w:val="en-AU"/>
              </w:rPr>
            </w:pPr>
            <w:r w:rsidRPr="001B446F">
              <w:rPr>
                <w:lang w:val="en-AU"/>
              </w:rPr>
              <w:t>Treatment effect (95% CI)</w:t>
            </w:r>
          </w:p>
          <w:p w:rsidR="00BB4F1C" w:rsidRPr="001B446F" w:rsidRDefault="00BB4F1C" w:rsidP="005211DA">
            <w:pPr>
              <w:pStyle w:val="In-tableHeading"/>
              <w:jc w:val="center"/>
              <w:rPr>
                <w:lang w:val="en-AU"/>
              </w:rPr>
            </w:pPr>
          </w:p>
          <w:p w:rsidR="00BB4F1C" w:rsidRPr="001B446F" w:rsidRDefault="00BB4F1C" w:rsidP="005211DA">
            <w:pPr>
              <w:pStyle w:val="In-tableHeading"/>
              <w:jc w:val="center"/>
              <w:rPr>
                <w:lang w:val="en-AU"/>
              </w:rPr>
            </w:pPr>
          </w:p>
        </w:tc>
      </w:tr>
      <w:tr w:rsidR="00BB4F1C" w:rsidRPr="001B446F" w:rsidTr="00B77AA2">
        <w:tc>
          <w:tcPr>
            <w:tcW w:w="852" w:type="pct"/>
            <w:shd w:val="clear" w:color="auto" w:fill="auto"/>
            <w:vAlign w:val="center"/>
          </w:tcPr>
          <w:p w:rsidR="00BB4F1C" w:rsidRPr="001B446F" w:rsidRDefault="00BB4F1C" w:rsidP="005211DA">
            <w:pPr>
              <w:pStyle w:val="TableText0"/>
              <w:rPr>
                <w:b/>
              </w:rPr>
            </w:pPr>
            <w:r w:rsidRPr="001B446F">
              <w:rPr>
                <w:b/>
              </w:rPr>
              <w:t>Dichotomous outcomes</w:t>
            </w:r>
          </w:p>
        </w:tc>
        <w:tc>
          <w:tcPr>
            <w:tcW w:w="1189" w:type="pct"/>
            <w:shd w:val="clear" w:color="auto" w:fill="auto"/>
            <w:vAlign w:val="center"/>
          </w:tcPr>
          <w:p w:rsidR="00BB4F1C" w:rsidRPr="001B446F" w:rsidRDefault="00BB4F1C" w:rsidP="005211DA">
            <w:pPr>
              <w:pStyle w:val="TableText0"/>
              <w:jc w:val="center"/>
            </w:pPr>
          </w:p>
        </w:tc>
        <w:tc>
          <w:tcPr>
            <w:tcW w:w="943" w:type="pct"/>
            <w:shd w:val="clear" w:color="auto" w:fill="auto"/>
            <w:vAlign w:val="center"/>
          </w:tcPr>
          <w:p w:rsidR="00BB4F1C" w:rsidRPr="001B446F" w:rsidRDefault="00BB4F1C" w:rsidP="005211DA">
            <w:pPr>
              <w:pStyle w:val="TableText0"/>
              <w:jc w:val="center"/>
            </w:pPr>
          </w:p>
        </w:tc>
        <w:tc>
          <w:tcPr>
            <w:tcW w:w="1023" w:type="pct"/>
            <w:shd w:val="clear" w:color="auto" w:fill="auto"/>
            <w:vAlign w:val="center"/>
          </w:tcPr>
          <w:p w:rsidR="00BB4F1C" w:rsidRPr="001B446F" w:rsidRDefault="00BB4F1C" w:rsidP="005211DA">
            <w:pPr>
              <w:pStyle w:val="TableText0"/>
              <w:jc w:val="center"/>
            </w:pPr>
            <w:r w:rsidRPr="001B446F">
              <w:t>Odds Ratio (95% CI)</w:t>
            </w:r>
          </w:p>
        </w:tc>
        <w:tc>
          <w:tcPr>
            <w:tcW w:w="993" w:type="pct"/>
          </w:tcPr>
          <w:p w:rsidR="00BB4F1C" w:rsidRPr="001B446F" w:rsidRDefault="00BB4F1C" w:rsidP="005211DA">
            <w:pPr>
              <w:pStyle w:val="TableText0"/>
              <w:jc w:val="center"/>
            </w:pPr>
            <w:r w:rsidRPr="001B446F">
              <w:t xml:space="preserve">Risk Difference </w:t>
            </w:r>
          </w:p>
          <w:p w:rsidR="00BB4F1C" w:rsidRPr="001B446F" w:rsidRDefault="00BB4F1C" w:rsidP="005211DA">
            <w:pPr>
              <w:pStyle w:val="TableText0"/>
              <w:jc w:val="center"/>
            </w:pPr>
            <w:r w:rsidRPr="001B446F">
              <w:t>(95% CI)</w:t>
            </w:r>
          </w:p>
        </w:tc>
      </w:tr>
      <w:tr w:rsidR="00BB4F1C" w:rsidRPr="001B446F" w:rsidTr="00454C50">
        <w:tc>
          <w:tcPr>
            <w:tcW w:w="5000" w:type="pct"/>
            <w:gridSpan w:val="5"/>
            <w:shd w:val="clear" w:color="auto" w:fill="auto"/>
            <w:vAlign w:val="center"/>
          </w:tcPr>
          <w:p w:rsidR="00BB4F1C" w:rsidRPr="001B446F" w:rsidRDefault="00BB4F1C" w:rsidP="005211DA">
            <w:pPr>
              <w:pStyle w:val="TableText0"/>
            </w:pPr>
            <w:r w:rsidRPr="001B446F">
              <w:t>Proportion achieving ≥ 15-letter improvement in BCVA</w:t>
            </w:r>
          </w:p>
        </w:tc>
      </w:tr>
      <w:tr w:rsidR="00BB4F1C" w:rsidRPr="001B446F" w:rsidTr="00E60203">
        <w:tc>
          <w:tcPr>
            <w:tcW w:w="852" w:type="pct"/>
            <w:shd w:val="clear" w:color="auto" w:fill="auto"/>
            <w:vAlign w:val="center"/>
          </w:tcPr>
          <w:p w:rsidR="00BB4F1C" w:rsidRPr="001B446F" w:rsidRDefault="00BB4F1C" w:rsidP="005211DA">
            <w:pPr>
              <w:pStyle w:val="TableText0"/>
            </w:pPr>
            <w:r w:rsidRPr="001B446F">
              <w:t>FA vs. Sham [FAME]</w:t>
            </w:r>
          </w:p>
        </w:tc>
        <w:tc>
          <w:tcPr>
            <w:tcW w:w="1189" w:type="pct"/>
            <w:shd w:val="clear" w:color="auto" w:fill="auto"/>
          </w:tcPr>
          <w:p w:rsidR="00BB4F1C" w:rsidRPr="001B446F" w:rsidRDefault="00BB4F1C" w:rsidP="005211DA">
            <w:pPr>
              <w:pStyle w:val="TableText0"/>
              <w:jc w:val="center"/>
            </w:pPr>
            <w:r w:rsidRPr="001B446F">
              <w:t>108/376 (28.7)</w:t>
            </w:r>
          </w:p>
        </w:tc>
        <w:tc>
          <w:tcPr>
            <w:tcW w:w="943" w:type="pct"/>
            <w:shd w:val="clear" w:color="auto" w:fill="auto"/>
          </w:tcPr>
          <w:p w:rsidR="00BB4F1C" w:rsidRPr="001B446F" w:rsidRDefault="00BB4F1C" w:rsidP="005211DA">
            <w:pPr>
              <w:pStyle w:val="TableText0"/>
              <w:jc w:val="center"/>
            </w:pPr>
            <w:r w:rsidRPr="001B446F">
              <w:t>35/185 (18.9)</w:t>
            </w:r>
          </w:p>
        </w:tc>
        <w:tc>
          <w:tcPr>
            <w:tcW w:w="1023" w:type="pct"/>
            <w:shd w:val="clear" w:color="auto" w:fill="auto"/>
          </w:tcPr>
          <w:p w:rsidR="00BB4F1C" w:rsidRPr="001B446F" w:rsidRDefault="00BB4F1C" w:rsidP="005211DA">
            <w:pPr>
              <w:pStyle w:val="TableText0"/>
              <w:jc w:val="center"/>
              <w:rPr>
                <w:b/>
              </w:rPr>
            </w:pPr>
            <w:r w:rsidRPr="001B446F">
              <w:rPr>
                <w:b/>
              </w:rPr>
              <w:t>1.73 (1.12</w:t>
            </w:r>
            <w:r w:rsidR="00CF1891" w:rsidRPr="001B446F">
              <w:rPr>
                <w:b/>
              </w:rPr>
              <w:t xml:space="preserve">, </w:t>
            </w:r>
            <w:r w:rsidRPr="001B446F">
              <w:rPr>
                <w:b/>
              </w:rPr>
              <w:t>2.66)</w:t>
            </w:r>
          </w:p>
        </w:tc>
        <w:tc>
          <w:tcPr>
            <w:tcW w:w="993" w:type="pct"/>
          </w:tcPr>
          <w:p w:rsidR="00B77AA2" w:rsidRPr="001B446F" w:rsidRDefault="00BB4F1C" w:rsidP="00B77AA2">
            <w:pPr>
              <w:pStyle w:val="TableText0"/>
              <w:jc w:val="center"/>
              <w:rPr>
                <w:iCs/>
              </w:rPr>
            </w:pPr>
            <w:r w:rsidRPr="001B446F">
              <w:rPr>
                <w:iCs/>
              </w:rPr>
              <w:t>9</w:t>
            </w:r>
            <w:r w:rsidR="00B77AA2" w:rsidRPr="001B446F">
              <w:rPr>
                <w:iCs/>
              </w:rPr>
              <w:t>.</w:t>
            </w:r>
            <w:r w:rsidRPr="001B446F">
              <w:rPr>
                <w:iCs/>
              </w:rPr>
              <w:t>8</w:t>
            </w:r>
          </w:p>
          <w:p w:rsidR="00BB4F1C" w:rsidRPr="001B446F" w:rsidRDefault="00BB4F1C" w:rsidP="005211DA">
            <w:pPr>
              <w:pStyle w:val="TableText0"/>
              <w:jc w:val="center"/>
              <w:rPr>
                <w:iCs/>
              </w:rPr>
            </w:pPr>
            <w:r w:rsidRPr="001B446F">
              <w:rPr>
                <w:iCs/>
              </w:rPr>
              <w:t>(</w:t>
            </w:r>
            <w:r w:rsidR="003D6C6C" w:rsidRPr="001B446F">
              <w:rPr>
                <w:iCs/>
              </w:rPr>
              <w:t>2.5</w:t>
            </w:r>
            <w:r w:rsidR="00CF1891" w:rsidRPr="001B446F">
              <w:rPr>
                <w:iCs/>
              </w:rPr>
              <w:t>,</w:t>
            </w:r>
            <w:r w:rsidRPr="001B446F">
              <w:rPr>
                <w:iCs/>
              </w:rPr>
              <w:t xml:space="preserve"> 17</w:t>
            </w:r>
            <w:r w:rsidR="003D6C6C" w:rsidRPr="001B446F">
              <w:rPr>
                <w:iCs/>
              </w:rPr>
              <w:t>.1</w:t>
            </w:r>
            <w:r w:rsidRPr="001B446F">
              <w:rPr>
                <w:iCs/>
              </w:rPr>
              <w:t>)</w:t>
            </w:r>
          </w:p>
        </w:tc>
      </w:tr>
      <w:tr w:rsidR="00BB4F1C" w:rsidRPr="001B446F" w:rsidTr="00E60203">
        <w:tc>
          <w:tcPr>
            <w:tcW w:w="852" w:type="pct"/>
            <w:shd w:val="clear" w:color="auto" w:fill="auto"/>
            <w:vAlign w:val="center"/>
          </w:tcPr>
          <w:p w:rsidR="00BB4F1C" w:rsidRPr="001B446F" w:rsidRDefault="00BB4F1C" w:rsidP="005211DA">
            <w:pPr>
              <w:pStyle w:val="TableText0"/>
            </w:pPr>
            <w:r w:rsidRPr="001B446F">
              <w:t>DEX vs. Sham [MEAD]</w:t>
            </w:r>
          </w:p>
        </w:tc>
        <w:tc>
          <w:tcPr>
            <w:tcW w:w="1189" w:type="pct"/>
            <w:shd w:val="clear" w:color="auto" w:fill="auto"/>
          </w:tcPr>
          <w:p w:rsidR="00BB4F1C" w:rsidRPr="001B446F" w:rsidRDefault="00BB4F1C" w:rsidP="005211DA">
            <w:pPr>
              <w:pStyle w:val="TableText0"/>
              <w:jc w:val="center"/>
            </w:pPr>
            <w:r w:rsidRPr="001B446F">
              <w:t>78/351 (22.2)</w:t>
            </w:r>
          </w:p>
        </w:tc>
        <w:tc>
          <w:tcPr>
            <w:tcW w:w="943" w:type="pct"/>
            <w:shd w:val="clear" w:color="auto" w:fill="auto"/>
          </w:tcPr>
          <w:p w:rsidR="00BB4F1C" w:rsidRPr="001B446F" w:rsidRDefault="00BB4F1C" w:rsidP="005211DA">
            <w:pPr>
              <w:pStyle w:val="TableText0"/>
              <w:jc w:val="center"/>
            </w:pPr>
            <w:r w:rsidRPr="001B446F">
              <w:t>42/350 (12.0)</w:t>
            </w:r>
          </w:p>
        </w:tc>
        <w:tc>
          <w:tcPr>
            <w:tcW w:w="1023" w:type="pct"/>
            <w:shd w:val="clear" w:color="auto" w:fill="auto"/>
          </w:tcPr>
          <w:p w:rsidR="00BB4F1C" w:rsidRPr="001B446F" w:rsidRDefault="00BB4F1C" w:rsidP="005211DA">
            <w:pPr>
              <w:pStyle w:val="TableText0"/>
              <w:jc w:val="center"/>
              <w:rPr>
                <w:b/>
              </w:rPr>
            </w:pPr>
            <w:r w:rsidRPr="001B446F">
              <w:rPr>
                <w:b/>
              </w:rPr>
              <w:t>2.10 (1.39</w:t>
            </w:r>
            <w:r w:rsidR="00CF1891" w:rsidRPr="001B446F">
              <w:rPr>
                <w:b/>
              </w:rPr>
              <w:t xml:space="preserve">, </w:t>
            </w:r>
            <w:r w:rsidRPr="001B446F">
              <w:rPr>
                <w:b/>
              </w:rPr>
              <w:t>3.15)</w:t>
            </w:r>
          </w:p>
        </w:tc>
        <w:tc>
          <w:tcPr>
            <w:tcW w:w="993" w:type="pct"/>
          </w:tcPr>
          <w:p w:rsidR="00B77AA2" w:rsidRPr="001B446F" w:rsidRDefault="00BB4F1C" w:rsidP="005211DA">
            <w:pPr>
              <w:pStyle w:val="TableText0"/>
              <w:jc w:val="center"/>
              <w:rPr>
                <w:iCs/>
              </w:rPr>
            </w:pPr>
            <w:r w:rsidRPr="001B446F">
              <w:rPr>
                <w:iCs/>
              </w:rPr>
              <w:t>10</w:t>
            </w:r>
            <w:r w:rsidR="00B77AA2" w:rsidRPr="001B446F">
              <w:rPr>
                <w:iCs/>
              </w:rPr>
              <w:t>.</w:t>
            </w:r>
            <w:r w:rsidRPr="001B446F">
              <w:rPr>
                <w:iCs/>
              </w:rPr>
              <w:t xml:space="preserve">2 </w:t>
            </w:r>
          </w:p>
          <w:p w:rsidR="00BB4F1C" w:rsidRPr="001B446F" w:rsidRDefault="00BB4F1C" w:rsidP="005211DA">
            <w:pPr>
              <w:pStyle w:val="TableText0"/>
              <w:jc w:val="center"/>
              <w:rPr>
                <w:iCs/>
              </w:rPr>
            </w:pPr>
            <w:r w:rsidRPr="001B446F">
              <w:rPr>
                <w:iCs/>
              </w:rPr>
              <w:t>(</w:t>
            </w:r>
            <w:r w:rsidR="003D6C6C" w:rsidRPr="001B446F">
              <w:rPr>
                <w:iCs/>
              </w:rPr>
              <w:t>4.7</w:t>
            </w:r>
            <w:r w:rsidR="00CF1891" w:rsidRPr="001B446F">
              <w:rPr>
                <w:iCs/>
              </w:rPr>
              <w:t>,</w:t>
            </w:r>
            <w:r w:rsidRPr="001B446F">
              <w:rPr>
                <w:iCs/>
              </w:rPr>
              <w:t xml:space="preserve"> 1</w:t>
            </w:r>
            <w:r w:rsidR="003D6C6C" w:rsidRPr="001B446F">
              <w:rPr>
                <w:iCs/>
              </w:rPr>
              <w:t>5.7</w:t>
            </w:r>
            <w:r w:rsidRPr="001B446F">
              <w:rPr>
                <w:iCs/>
              </w:rPr>
              <w:t>)</w:t>
            </w:r>
          </w:p>
        </w:tc>
      </w:tr>
      <w:tr w:rsidR="00B77AA2" w:rsidRPr="001B446F" w:rsidTr="00E60203">
        <w:tc>
          <w:tcPr>
            <w:tcW w:w="852" w:type="pct"/>
            <w:shd w:val="clear" w:color="auto" w:fill="auto"/>
            <w:vAlign w:val="center"/>
          </w:tcPr>
          <w:p w:rsidR="00B77AA2" w:rsidRPr="001B446F" w:rsidRDefault="00B77AA2" w:rsidP="005211DA">
            <w:pPr>
              <w:pStyle w:val="TableText0"/>
            </w:pPr>
            <w:r w:rsidRPr="001B446F">
              <w:t>Indirect comparison</w:t>
            </w:r>
          </w:p>
        </w:tc>
        <w:tc>
          <w:tcPr>
            <w:tcW w:w="2132" w:type="pct"/>
            <w:gridSpan w:val="2"/>
            <w:shd w:val="clear" w:color="auto" w:fill="auto"/>
            <w:vAlign w:val="center"/>
          </w:tcPr>
          <w:p w:rsidR="00B77AA2" w:rsidRPr="001B446F" w:rsidRDefault="00B77AA2" w:rsidP="005211DA">
            <w:pPr>
              <w:pStyle w:val="TableText0"/>
              <w:jc w:val="center"/>
            </w:pPr>
          </w:p>
        </w:tc>
        <w:tc>
          <w:tcPr>
            <w:tcW w:w="1023" w:type="pct"/>
            <w:shd w:val="clear" w:color="auto" w:fill="auto"/>
          </w:tcPr>
          <w:p w:rsidR="00B77AA2" w:rsidRPr="001B446F" w:rsidRDefault="00B77AA2" w:rsidP="00BB4F1C">
            <w:pPr>
              <w:pStyle w:val="TableText0"/>
              <w:jc w:val="center"/>
            </w:pPr>
            <w:r w:rsidRPr="001B446F">
              <w:t>0.82 (0.45</w:t>
            </w:r>
            <w:r w:rsidR="00CF1891" w:rsidRPr="001B446F">
              <w:t>,</w:t>
            </w:r>
            <w:r w:rsidRPr="001B446F">
              <w:t xml:space="preserve"> 1.49</w:t>
            </w:r>
            <w:r w:rsidR="00183840" w:rsidRPr="001B446F">
              <w:t>)</w:t>
            </w:r>
          </w:p>
        </w:tc>
        <w:tc>
          <w:tcPr>
            <w:tcW w:w="993" w:type="pct"/>
          </w:tcPr>
          <w:p w:rsidR="00B77AA2" w:rsidRPr="001B446F" w:rsidRDefault="00CF1891" w:rsidP="00BB4F1C">
            <w:pPr>
              <w:pStyle w:val="TableText0"/>
              <w:jc w:val="center"/>
            </w:pPr>
            <w:r w:rsidRPr="001B446F">
              <w:t>-</w:t>
            </w:r>
            <w:r w:rsidR="00B77AA2" w:rsidRPr="001B446F">
              <w:t xml:space="preserve">0.4 </w:t>
            </w:r>
          </w:p>
          <w:p w:rsidR="00B77AA2" w:rsidRPr="001B446F" w:rsidRDefault="00B77AA2" w:rsidP="00BB4F1C">
            <w:pPr>
              <w:pStyle w:val="TableText0"/>
              <w:jc w:val="center"/>
              <w:rPr>
                <w:strike/>
              </w:rPr>
            </w:pPr>
            <w:r w:rsidRPr="001B446F">
              <w:t>(-9</w:t>
            </w:r>
            <w:r w:rsidR="00CF1891" w:rsidRPr="001B446F">
              <w:t>.</w:t>
            </w:r>
            <w:r w:rsidRPr="001B446F">
              <w:t>3</w:t>
            </w:r>
            <w:r w:rsidR="00CF1891" w:rsidRPr="001B446F">
              <w:t>,</w:t>
            </w:r>
            <w:r w:rsidRPr="001B446F">
              <w:t xml:space="preserve"> 8</w:t>
            </w:r>
            <w:r w:rsidR="00CF1891" w:rsidRPr="001B446F">
              <w:t>.</w:t>
            </w:r>
            <w:r w:rsidRPr="001B446F">
              <w:t>5)</w:t>
            </w:r>
          </w:p>
        </w:tc>
      </w:tr>
      <w:tr w:rsidR="00BB4F1C" w:rsidRPr="001B446F" w:rsidTr="00454C50">
        <w:tc>
          <w:tcPr>
            <w:tcW w:w="5000" w:type="pct"/>
            <w:gridSpan w:val="5"/>
            <w:shd w:val="clear" w:color="auto" w:fill="auto"/>
            <w:vAlign w:val="center"/>
          </w:tcPr>
          <w:p w:rsidR="00BB4F1C" w:rsidRPr="001B446F" w:rsidRDefault="00BB4F1C" w:rsidP="005211DA">
            <w:pPr>
              <w:pStyle w:val="TableText0"/>
              <w:rPr>
                <w:i/>
              </w:rPr>
            </w:pPr>
            <w:r w:rsidRPr="001B446F">
              <w:t>Proportion achieving ≥ 10-letter improvement in BCVA</w:t>
            </w:r>
          </w:p>
        </w:tc>
      </w:tr>
      <w:tr w:rsidR="00BB4F1C" w:rsidRPr="001B446F" w:rsidTr="00B77AA2">
        <w:tc>
          <w:tcPr>
            <w:tcW w:w="852" w:type="pct"/>
            <w:shd w:val="clear" w:color="auto" w:fill="auto"/>
            <w:vAlign w:val="center"/>
          </w:tcPr>
          <w:p w:rsidR="00BB4F1C" w:rsidRPr="001B446F" w:rsidRDefault="00BB4F1C" w:rsidP="005211DA">
            <w:pPr>
              <w:pStyle w:val="TableText0"/>
            </w:pPr>
            <w:r w:rsidRPr="001B446F">
              <w:t>FA vs. Sham [FAME]</w:t>
            </w:r>
          </w:p>
        </w:tc>
        <w:tc>
          <w:tcPr>
            <w:tcW w:w="1189" w:type="pct"/>
            <w:shd w:val="clear" w:color="auto" w:fill="auto"/>
          </w:tcPr>
          <w:p w:rsidR="00BB4F1C" w:rsidRPr="001B446F" w:rsidRDefault="00BB4F1C" w:rsidP="005211DA">
            <w:pPr>
              <w:pStyle w:val="TableText0"/>
              <w:jc w:val="center"/>
            </w:pPr>
            <w:r w:rsidRPr="001B446F">
              <w:rPr>
                <w:rStyle w:val="Emphasis"/>
                <w:i w:val="0"/>
                <w:iCs w:val="0"/>
              </w:rPr>
              <w:t>162/376 (43.1)</w:t>
            </w:r>
          </w:p>
        </w:tc>
        <w:tc>
          <w:tcPr>
            <w:tcW w:w="943" w:type="pct"/>
            <w:shd w:val="clear" w:color="auto" w:fill="auto"/>
          </w:tcPr>
          <w:p w:rsidR="00BB4F1C" w:rsidRPr="001B446F" w:rsidRDefault="00BB4F1C" w:rsidP="005211DA">
            <w:pPr>
              <w:pStyle w:val="TableText0"/>
              <w:jc w:val="center"/>
            </w:pPr>
            <w:r w:rsidRPr="001B446F">
              <w:t>62/185 (33.5)</w:t>
            </w:r>
          </w:p>
        </w:tc>
        <w:tc>
          <w:tcPr>
            <w:tcW w:w="1023" w:type="pct"/>
          </w:tcPr>
          <w:p w:rsidR="00BB4F1C" w:rsidRPr="001B446F" w:rsidRDefault="00BB4F1C" w:rsidP="005211DA">
            <w:pPr>
              <w:pStyle w:val="TableText0"/>
              <w:jc w:val="center"/>
              <w:rPr>
                <w:b/>
              </w:rPr>
            </w:pPr>
            <w:r w:rsidRPr="001B446F">
              <w:rPr>
                <w:b/>
              </w:rPr>
              <w:t>1.50 (1.04</w:t>
            </w:r>
            <w:r w:rsidR="00CF1891" w:rsidRPr="001B446F">
              <w:rPr>
                <w:b/>
              </w:rPr>
              <w:t>,</w:t>
            </w:r>
            <w:r w:rsidRPr="001B446F">
              <w:rPr>
                <w:b/>
              </w:rPr>
              <w:t xml:space="preserve"> 2.17)</w:t>
            </w:r>
          </w:p>
        </w:tc>
        <w:tc>
          <w:tcPr>
            <w:tcW w:w="993" w:type="pct"/>
          </w:tcPr>
          <w:p w:rsidR="00B77AA2" w:rsidRPr="001B446F" w:rsidRDefault="00BB4F1C" w:rsidP="005211DA">
            <w:pPr>
              <w:pStyle w:val="TableText0"/>
              <w:jc w:val="center"/>
              <w:rPr>
                <w:rStyle w:val="Emphasis"/>
                <w:i w:val="0"/>
              </w:rPr>
            </w:pPr>
            <w:r w:rsidRPr="001B446F">
              <w:rPr>
                <w:rStyle w:val="Emphasis"/>
                <w:i w:val="0"/>
              </w:rPr>
              <w:t>9</w:t>
            </w:r>
            <w:r w:rsidR="00CF1891" w:rsidRPr="001B446F">
              <w:rPr>
                <w:rStyle w:val="Emphasis"/>
                <w:i w:val="0"/>
              </w:rPr>
              <w:t>.</w:t>
            </w:r>
            <w:r w:rsidRPr="001B446F">
              <w:rPr>
                <w:rStyle w:val="Emphasis"/>
                <w:i w:val="0"/>
              </w:rPr>
              <w:t xml:space="preserve">6 </w:t>
            </w:r>
          </w:p>
          <w:p w:rsidR="00BB4F1C" w:rsidRPr="001B446F" w:rsidRDefault="00BB4F1C" w:rsidP="005211DA">
            <w:pPr>
              <w:pStyle w:val="TableText0"/>
              <w:jc w:val="center"/>
              <w:rPr>
                <w:rStyle w:val="Emphasis"/>
                <w:i w:val="0"/>
              </w:rPr>
            </w:pPr>
            <w:r w:rsidRPr="001B446F">
              <w:rPr>
                <w:rStyle w:val="Emphasis"/>
                <w:i w:val="0"/>
              </w:rPr>
              <w:t>(1</w:t>
            </w:r>
            <w:r w:rsidR="003D6C6C" w:rsidRPr="001B446F">
              <w:rPr>
                <w:rStyle w:val="Emphasis"/>
                <w:i w:val="0"/>
              </w:rPr>
              <w:t>.1</w:t>
            </w:r>
            <w:r w:rsidR="00CF1891" w:rsidRPr="001B446F">
              <w:rPr>
                <w:rStyle w:val="Emphasis"/>
                <w:i w:val="0"/>
              </w:rPr>
              <w:t xml:space="preserve">; </w:t>
            </w:r>
            <w:r w:rsidRPr="001B446F">
              <w:rPr>
                <w:rStyle w:val="Emphasis"/>
                <w:i w:val="0"/>
              </w:rPr>
              <w:t>18</w:t>
            </w:r>
            <w:r w:rsidR="003D6C6C" w:rsidRPr="001B446F">
              <w:rPr>
                <w:rStyle w:val="Emphasis"/>
                <w:i w:val="0"/>
              </w:rPr>
              <w:t>.0</w:t>
            </w:r>
            <w:r w:rsidRPr="001B446F">
              <w:rPr>
                <w:rStyle w:val="Emphasis"/>
                <w:i w:val="0"/>
              </w:rPr>
              <w:t>)</w:t>
            </w:r>
          </w:p>
        </w:tc>
      </w:tr>
      <w:tr w:rsidR="00BB4F1C" w:rsidRPr="001B446F" w:rsidTr="00B77AA2">
        <w:tc>
          <w:tcPr>
            <w:tcW w:w="852" w:type="pct"/>
            <w:shd w:val="clear" w:color="auto" w:fill="auto"/>
            <w:vAlign w:val="center"/>
          </w:tcPr>
          <w:p w:rsidR="00BB4F1C" w:rsidRPr="001B446F" w:rsidRDefault="00BB4F1C" w:rsidP="005211DA">
            <w:pPr>
              <w:pStyle w:val="TableText0"/>
            </w:pPr>
            <w:r w:rsidRPr="001B446F">
              <w:t>DEX vs. Sham [MEAD]</w:t>
            </w:r>
          </w:p>
        </w:tc>
        <w:tc>
          <w:tcPr>
            <w:tcW w:w="1189" w:type="pct"/>
            <w:shd w:val="clear" w:color="auto" w:fill="auto"/>
          </w:tcPr>
          <w:p w:rsidR="00BB4F1C" w:rsidRPr="001B446F" w:rsidRDefault="00BB4F1C" w:rsidP="005211DA">
            <w:pPr>
              <w:pStyle w:val="TableText0"/>
              <w:jc w:val="center"/>
            </w:pPr>
            <w:r w:rsidRPr="001B446F">
              <w:rPr>
                <w:rStyle w:val="Emphasis"/>
                <w:i w:val="0"/>
                <w:iCs w:val="0"/>
              </w:rPr>
              <w:t>128/351 (36.5)</w:t>
            </w:r>
          </w:p>
        </w:tc>
        <w:tc>
          <w:tcPr>
            <w:tcW w:w="943" w:type="pct"/>
            <w:shd w:val="clear" w:color="auto" w:fill="auto"/>
          </w:tcPr>
          <w:p w:rsidR="00BB4F1C" w:rsidRPr="001B446F" w:rsidRDefault="00BB4F1C" w:rsidP="005211DA">
            <w:pPr>
              <w:pStyle w:val="TableText0"/>
              <w:jc w:val="center"/>
            </w:pPr>
            <w:r w:rsidRPr="001B446F">
              <w:rPr>
                <w:rStyle w:val="Emphasis"/>
                <w:i w:val="0"/>
                <w:iCs w:val="0"/>
              </w:rPr>
              <w:t>84/350 (24.0)</w:t>
            </w:r>
          </w:p>
        </w:tc>
        <w:tc>
          <w:tcPr>
            <w:tcW w:w="1023" w:type="pct"/>
          </w:tcPr>
          <w:p w:rsidR="00BB4F1C" w:rsidRPr="001B446F" w:rsidRDefault="00BB4F1C" w:rsidP="005211DA">
            <w:pPr>
              <w:pStyle w:val="TableText0"/>
              <w:jc w:val="center"/>
              <w:rPr>
                <w:b/>
              </w:rPr>
            </w:pPr>
            <w:r w:rsidRPr="001B446F">
              <w:rPr>
                <w:b/>
              </w:rPr>
              <w:t>1.82 (1.31</w:t>
            </w:r>
            <w:r w:rsidR="00CF1891" w:rsidRPr="001B446F">
              <w:rPr>
                <w:b/>
              </w:rPr>
              <w:t>,</w:t>
            </w:r>
            <w:r w:rsidRPr="001B446F">
              <w:rPr>
                <w:b/>
              </w:rPr>
              <w:t xml:space="preserve"> 2.52)</w:t>
            </w:r>
          </w:p>
        </w:tc>
        <w:tc>
          <w:tcPr>
            <w:tcW w:w="993" w:type="pct"/>
          </w:tcPr>
          <w:p w:rsidR="00B77AA2" w:rsidRPr="001B446F" w:rsidRDefault="00BB4F1C" w:rsidP="005211DA">
            <w:pPr>
              <w:pStyle w:val="TableText0"/>
              <w:jc w:val="center"/>
              <w:rPr>
                <w:rStyle w:val="Emphasis"/>
                <w:i w:val="0"/>
              </w:rPr>
            </w:pPr>
            <w:r w:rsidRPr="001B446F">
              <w:rPr>
                <w:rStyle w:val="Emphasis"/>
                <w:i w:val="0"/>
              </w:rPr>
              <w:t>12</w:t>
            </w:r>
            <w:r w:rsidR="00CF1891" w:rsidRPr="001B446F">
              <w:rPr>
                <w:rStyle w:val="Emphasis"/>
                <w:i w:val="0"/>
              </w:rPr>
              <w:t>.</w:t>
            </w:r>
            <w:r w:rsidRPr="001B446F">
              <w:rPr>
                <w:rStyle w:val="Emphasis"/>
                <w:i w:val="0"/>
              </w:rPr>
              <w:t xml:space="preserve">5 </w:t>
            </w:r>
          </w:p>
          <w:p w:rsidR="00BB4F1C" w:rsidRPr="001B446F" w:rsidRDefault="00BB4F1C" w:rsidP="005211DA">
            <w:pPr>
              <w:pStyle w:val="TableText0"/>
              <w:jc w:val="center"/>
              <w:rPr>
                <w:rStyle w:val="Emphasis"/>
                <w:i w:val="0"/>
              </w:rPr>
            </w:pPr>
            <w:r w:rsidRPr="001B446F">
              <w:rPr>
                <w:rStyle w:val="Emphasis"/>
                <w:i w:val="0"/>
              </w:rPr>
              <w:t>(</w:t>
            </w:r>
            <w:r w:rsidR="003D6C6C" w:rsidRPr="001B446F">
              <w:rPr>
                <w:rStyle w:val="Emphasis"/>
                <w:i w:val="0"/>
              </w:rPr>
              <w:t>5.7</w:t>
            </w:r>
            <w:r w:rsidRPr="001B446F">
              <w:rPr>
                <w:rStyle w:val="Emphasis"/>
                <w:i w:val="0"/>
              </w:rPr>
              <w:t>, 19</w:t>
            </w:r>
            <w:r w:rsidR="003D6C6C" w:rsidRPr="001B446F">
              <w:rPr>
                <w:rStyle w:val="Emphasis"/>
                <w:i w:val="0"/>
              </w:rPr>
              <w:t>.2</w:t>
            </w:r>
            <w:r w:rsidRPr="001B446F">
              <w:rPr>
                <w:rStyle w:val="Emphasis"/>
                <w:i w:val="0"/>
              </w:rPr>
              <w:t>)</w:t>
            </w:r>
          </w:p>
        </w:tc>
      </w:tr>
      <w:tr w:rsidR="00B77AA2" w:rsidRPr="001B446F" w:rsidTr="00B77AA2">
        <w:tc>
          <w:tcPr>
            <w:tcW w:w="852" w:type="pct"/>
            <w:shd w:val="clear" w:color="auto" w:fill="auto"/>
            <w:vAlign w:val="center"/>
          </w:tcPr>
          <w:p w:rsidR="00B77AA2" w:rsidRPr="001B446F" w:rsidRDefault="00B77AA2" w:rsidP="005211DA">
            <w:pPr>
              <w:pStyle w:val="TableText0"/>
              <w:rPr>
                <w:b/>
              </w:rPr>
            </w:pPr>
            <w:r w:rsidRPr="001B446F">
              <w:t>Indirect comparison</w:t>
            </w:r>
          </w:p>
        </w:tc>
        <w:tc>
          <w:tcPr>
            <w:tcW w:w="2132" w:type="pct"/>
            <w:gridSpan w:val="2"/>
            <w:shd w:val="clear" w:color="auto" w:fill="auto"/>
            <w:vAlign w:val="center"/>
          </w:tcPr>
          <w:p w:rsidR="00B77AA2" w:rsidRPr="001B446F" w:rsidRDefault="00B77AA2" w:rsidP="005211DA">
            <w:pPr>
              <w:pStyle w:val="TableText0"/>
              <w:jc w:val="center"/>
            </w:pPr>
          </w:p>
        </w:tc>
        <w:tc>
          <w:tcPr>
            <w:tcW w:w="1023" w:type="pct"/>
            <w:shd w:val="clear" w:color="auto" w:fill="auto"/>
            <w:vAlign w:val="center"/>
          </w:tcPr>
          <w:p w:rsidR="00B77AA2" w:rsidRPr="001B446F" w:rsidRDefault="00B77AA2" w:rsidP="00BB4F1C">
            <w:pPr>
              <w:pStyle w:val="TableText0"/>
              <w:jc w:val="center"/>
            </w:pPr>
            <w:r w:rsidRPr="001B446F">
              <w:t>0.82 (0.50</w:t>
            </w:r>
            <w:r w:rsidR="00CF1891" w:rsidRPr="001B446F">
              <w:t>,</w:t>
            </w:r>
            <w:r w:rsidRPr="001B446F">
              <w:t xml:space="preserve"> 1.35)</w:t>
            </w:r>
          </w:p>
        </w:tc>
        <w:tc>
          <w:tcPr>
            <w:tcW w:w="993" w:type="pct"/>
          </w:tcPr>
          <w:p w:rsidR="00B77AA2" w:rsidRPr="001B446F" w:rsidRDefault="00B77AA2" w:rsidP="00BB4F1C">
            <w:pPr>
              <w:pStyle w:val="TableText0"/>
              <w:jc w:val="center"/>
            </w:pPr>
            <w:r w:rsidRPr="001B446F">
              <w:t>-2</w:t>
            </w:r>
            <w:r w:rsidR="00CF1891" w:rsidRPr="001B446F">
              <w:t>.</w:t>
            </w:r>
            <w:r w:rsidRPr="001B446F">
              <w:t>9</w:t>
            </w:r>
          </w:p>
          <w:p w:rsidR="00B77AA2" w:rsidRPr="001B446F" w:rsidRDefault="00B77AA2" w:rsidP="00BB4F1C">
            <w:pPr>
              <w:pStyle w:val="TableText0"/>
              <w:jc w:val="center"/>
              <w:rPr>
                <w:strike/>
              </w:rPr>
            </w:pPr>
            <w:r w:rsidRPr="001B446F">
              <w:t>(-1</w:t>
            </w:r>
            <w:r w:rsidR="00CF1891" w:rsidRPr="001B446F">
              <w:t xml:space="preserve">4.6, </w:t>
            </w:r>
            <w:r w:rsidRPr="001B446F">
              <w:t>78)</w:t>
            </w:r>
          </w:p>
        </w:tc>
      </w:tr>
      <w:tr w:rsidR="00A36FC2" w:rsidRPr="001B446F" w:rsidTr="00A36FC2">
        <w:tc>
          <w:tcPr>
            <w:tcW w:w="852" w:type="pct"/>
            <w:shd w:val="clear" w:color="auto" w:fill="auto"/>
            <w:vAlign w:val="center"/>
          </w:tcPr>
          <w:p w:rsidR="00A36FC2" w:rsidRPr="001B446F" w:rsidRDefault="00A36FC2" w:rsidP="005211DA">
            <w:pPr>
              <w:pStyle w:val="TableText0"/>
              <w:rPr>
                <w:b/>
              </w:rPr>
            </w:pPr>
            <w:r w:rsidRPr="001B446F">
              <w:rPr>
                <w:b/>
              </w:rPr>
              <w:t>Continuous outcomes</w:t>
            </w:r>
          </w:p>
        </w:tc>
        <w:tc>
          <w:tcPr>
            <w:tcW w:w="1189" w:type="pct"/>
            <w:shd w:val="clear" w:color="auto" w:fill="auto"/>
            <w:vAlign w:val="center"/>
          </w:tcPr>
          <w:p w:rsidR="00A36FC2" w:rsidRPr="001B446F" w:rsidRDefault="00F22967" w:rsidP="005211DA">
            <w:pPr>
              <w:pStyle w:val="TableText0"/>
              <w:jc w:val="center"/>
              <w:rPr>
                <w:b/>
              </w:rPr>
            </w:pPr>
            <w:r w:rsidRPr="001B446F">
              <w:rPr>
                <w:b/>
              </w:rPr>
              <w:t xml:space="preserve"> Treatment </w:t>
            </w:r>
          </w:p>
          <w:p w:rsidR="00A36FC2" w:rsidRPr="001B446F" w:rsidRDefault="00A36FC2" w:rsidP="005211DA">
            <w:pPr>
              <w:pStyle w:val="TableText0"/>
              <w:jc w:val="center"/>
              <w:rPr>
                <w:b/>
              </w:rPr>
            </w:pPr>
            <w:r w:rsidRPr="001B446F">
              <w:rPr>
                <w:b/>
              </w:rPr>
              <w:t>Mean change ± SD</w:t>
            </w:r>
          </w:p>
        </w:tc>
        <w:tc>
          <w:tcPr>
            <w:tcW w:w="943" w:type="pct"/>
            <w:shd w:val="clear" w:color="auto" w:fill="auto"/>
            <w:vAlign w:val="center"/>
          </w:tcPr>
          <w:p w:rsidR="00A36FC2" w:rsidRPr="001B446F" w:rsidRDefault="00A36FC2" w:rsidP="005211DA">
            <w:pPr>
              <w:pStyle w:val="TableText0"/>
              <w:jc w:val="center"/>
              <w:rPr>
                <w:b/>
              </w:rPr>
            </w:pPr>
            <w:r w:rsidRPr="001B446F">
              <w:rPr>
                <w:b/>
              </w:rPr>
              <w:t>Common reference</w:t>
            </w:r>
          </w:p>
          <w:p w:rsidR="00A36FC2" w:rsidRPr="001B446F" w:rsidRDefault="00A36FC2" w:rsidP="005211DA">
            <w:pPr>
              <w:pStyle w:val="TableText0"/>
              <w:jc w:val="center"/>
              <w:rPr>
                <w:b/>
              </w:rPr>
            </w:pPr>
            <w:r w:rsidRPr="001B446F">
              <w:rPr>
                <w:b/>
              </w:rPr>
              <w:t>Mean change ± SD</w:t>
            </w:r>
          </w:p>
        </w:tc>
        <w:tc>
          <w:tcPr>
            <w:tcW w:w="2016" w:type="pct"/>
            <w:gridSpan w:val="2"/>
            <w:shd w:val="clear" w:color="auto" w:fill="auto"/>
            <w:vAlign w:val="center"/>
          </w:tcPr>
          <w:p w:rsidR="00A36FC2" w:rsidRPr="001B446F" w:rsidRDefault="00A36FC2" w:rsidP="005211DA">
            <w:pPr>
              <w:pStyle w:val="TableText0"/>
              <w:jc w:val="center"/>
            </w:pPr>
            <w:r w:rsidRPr="001B446F">
              <w:rPr>
                <w:b/>
              </w:rPr>
              <w:t>Mean difference (95% CI)</w:t>
            </w:r>
          </w:p>
        </w:tc>
      </w:tr>
      <w:tr w:rsidR="00BB4F1C" w:rsidRPr="001B446F" w:rsidTr="00454C50">
        <w:tc>
          <w:tcPr>
            <w:tcW w:w="5000" w:type="pct"/>
            <w:gridSpan w:val="5"/>
            <w:shd w:val="clear" w:color="auto" w:fill="auto"/>
          </w:tcPr>
          <w:p w:rsidR="00BB4F1C" w:rsidRPr="001B446F" w:rsidRDefault="00BB4F1C" w:rsidP="005211DA">
            <w:pPr>
              <w:pStyle w:val="TableText0"/>
            </w:pPr>
            <w:r w:rsidRPr="001B446F">
              <w:t>Change from Baseline in BCVA Letter Score</w:t>
            </w:r>
          </w:p>
        </w:tc>
      </w:tr>
      <w:tr w:rsidR="00A36FC2" w:rsidRPr="001B446F" w:rsidTr="00A36FC2">
        <w:tc>
          <w:tcPr>
            <w:tcW w:w="852" w:type="pct"/>
            <w:shd w:val="clear" w:color="auto" w:fill="auto"/>
          </w:tcPr>
          <w:p w:rsidR="00A36FC2" w:rsidRPr="001B446F" w:rsidRDefault="00A36FC2" w:rsidP="005211DA">
            <w:pPr>
              <w:pStyle w:val="TableText0"/>
            </w:pPr>
            <w:r w:rsidRPr="001B446F">
              <w:t>FA vs. Sham [FAME]</w:t>
            </w:r>
          </w:p>
        </w:tc>
        <w:tc>
          <w:tcPr>
            <w:tcW w:w="1189" w:type="pct"/>
            <w:shd w:val="clear" w:color="auto" w:fill="auto"/>
          </w:tcPr>
          <w:p w:rsidR="00A36FC2" w:rsidRPr="001B446F" w:rsidRDefault="00A36FC2" w:rsidP="005211DA">
            <w:pPr>
              <w:pStyle w:val="TableText0"/>
              <w:jc w:val="center"/>
            </w:pPr>
            <w:r w:rsidRPr="001B446F">
              <w:t>5.3 ± 18.75</w:t>
            </w:r>
          </w:p>
        </w:tc>
        <w:tc>
          <w:tcPr>
            <w:tcW w:w="943" w:type="pct"/>
            <w:shd w:val="clear" w:color="auto" w:fill="auto"/>
          </w:tcPr>
          <w:p w:rsidR="00A36FC2" w:rsidRPr="001B446F" w:rsidRDefault="00A36FC2" w:rsidP="005211DA">
            <w:pPr>
              <w:pStyle w:val="TableText0"/>
              <w:jc w:val="center"/>
            </w:pPr>
            <w:r w:rsidRPr="001B446F">
              <w:t>2.0 ± 15.48</w:t>
            </w:r>
          </w:p>
        </w:tc>
        <w:tc>
          <w:tcPr>
            <w:tcW w:w="2016" w:type="pct"/>
            <w:gridSpan w:val="2"/>
            <w:shd w:val="clear" w:color="auto" w:fill="auto"/>
          </w:tcPr>
          <w:p w:rsidR="00A36FC2" w:rsidRPr="001B446F" w:rsidRDefault="00A36FC2" w:rsidP="005211DA">
            <w:pPr>
              <w:pStyle w:val="TableText0"/>
              <w:jc w:val="center"/>
            </w:pPr>
            <w:r w:rsidRPr="001B446F">
              <w:t xml:space="preserve">4.6 (1.3, 7.9) </w:t>
            </w:r>
          </w:p>
          <w:p w:rsidR="00A36FC2" w:rsidRPr="001B446F" w:rsidRDefault="00A36FC2" w:rsidP="00A36FC2">
            <w:pPr>
              <w:pStyle w:val="TableText0"/>
            </w:pPr>
          </w:p>
        </w:tc>
      </w:tr>
      <w:tr w:rsidR="00A36FC2" w:rsidRPr="001B446F" w:rsidTr="00A36FC2">
        <w:tc>
          <w:tcPr>
            <w:tcW w:w="852" w:type="pct"/>
            <w:shd w:val="clear" w:color="auto" w:fill="auto"/>
          </w:tcPr>
          <w:p w:rsidR="00A36FC2" w:rsidRPr="001B446F" w:rsidRDefault="00A36FC2" w:rsidP="005211DA">
            <w:pPr>
              <w:pStyle w:val="TableText0"/>
            </w:pPr>
            <w:r w:rsidRPr="001B446F">
              <w:t>DEX vs. Sham [MEAD]</w:t>
            </w:r>
          </w:p>
        </w:tc>
        <w:tc>
          <w:tcPr>
            <w:tcW w:w="1189" w:type="pct"/>
            <w:shd w:val="clear" w:color="auto" w:fill="auto"/>
          </w:tcPr>
          <w:p w:rsidR="00A36FC2" w:rsidRPr="001B446F" w:rsidRDefault="00A36FC2" w:rsidP="005211DA">
            <w:pPr>
              <w:pStyle w:val="TableText0"/>
              <w:jc w:val="center"/>
            </w:pPr>
            <w:r w:rsidRPr="001B446F">
              <w:t>2.06 ± 16.1</w:t>
            </w:r>
          </w:p>
        </w:tc>
        <w:tc>
          <w:tcPr>
            <w:tcW w:w="943" w:type="pct"/>
            <w:shd w:val="clear" w:color="auto" w:fill="auto"/>
          </w:tcPr>
          <w:p w:rsidR="00A36FC2" w:rsidRPr="001B446F" w:rsidRDefault="00A36FC2" w:rsidP="005211DA">
            <w:pPr>
              <w:pStyle w:val="TableText0"/>
              <w:jc w:val="center"/>
            </w:pPr>
            <w:r w:rsidRPr="001B446F">
              <w:t>0.82 ± 12.7</w:t>
            </w:r>
          </w:p>
        </w:tc>
        <w:tc>
          <w:tcPr>
            <w:tcW w:w="2016" w:type="pct"/>
            <w:gridSpan w:val="2"/>
            <w:shd w:val="clear" w:color="auto" w:fill="auto"/>
          </w:tcPr>
          <w:p w:rsidR="00A36FC2" w:rsidRPr="001B446F" w:rsidRDefault="00A36FC2" w:rsidP="005211DA">
            <w:pPr>
              <w:pStyle w:val="TableText0"/>
              <w:jc w:val="center"/>
            </w:pPr>
            <w:r w:rsidRPr="001B446F">
              <w:t>1.24 (–0.98, 3.47)</w:t>
            </w:r>
          </w:p>
          <w:p w:rsidR="00A36FC2" w:rsidRPr="001B446F" w:rsidRDefault="00A36FC2" w:rsidP="00A36FC2">
            <w:pPr>
              <w:pStyle w:val="TableText0"/>
            </w:pPr>
          </w:p>
        </w:tc>
      </w:tr>
      <w:tr w:rsidR="00A36FC2" w:rsidRPr="001B446F" w:rsidTr="00A36FC2">
        <w:tc>
          <w:tcPr>
            <w:tcW w:w="852" w:type="pct"/>
            <w:shd w:val="clear" w:color="auto" w:fill="auto"/>
            <w:vAlign w:val="center"/>
          </w:tcPr>
          <w:p w:rsidR="00A36FC2" w:rsidRPr="001B446F" w:rsidRDefault="00A36FC2" w:rsidP="005211DA">
            <w:pPr>
              <w:pStyle w:val="TableText0"/>
            </w:pPr>
            <w:r w:rsidRPr="001B446F">
              <w:t>Indirect comparison</w:t>
            </w:r>
          </w:p>
        </w:tc>
        <w:tc>
          <w:tcPr>
            <w:tcW w:w="2132" w:type="pct"/>
            <w:gridSpan w:val="2"/>
            <w:shd w:val="clear" w:color="auto" w:fill="auto"/>
          </w:tcPr>
          <w:p w:rsidR="00A36FC2" w:rsidRPr="001B446F" w:rsidRDefault="00A36FC2" w:rsidP="005211DA">
            <w:pPr>
              <w:pStyle w:val="TableText0"/>
              <w:jc w:val="center"/>
            </w:pPr>
          </w:p>
        </w:tc>
        <w:tc>
          <w:tcPr>
            <w:tcW w:w="2016" w:type="pct"/>
            <w:gridSpan w:val="2"/>
            <w:shd w:val="clear" w:color="auto" w:fill="auto"/>
          </w:tcPr>
          <w:p w:rsidR="00A36FC2" w:rsidRPr="001B446F" w:rsidRDefault="00E60203" w:rsidP="008F36E7">
            <w:pPr>
              <w:pStyle w:val="TableText0"/>
              <w:jc w:val="center"/>
              <w:rPr>
                <w:b/>
              </w:rPr>
            </w:pPr>
            <w:r w:rsidRPr="001B446F">
              <w:t>3.36 (-0.62, 7.34</w:t>
            </w:r>
            <w:r w:rsidR="00D411CD" w:rsidRPr="001B446F">
              <w:t>)</w:t>
            </w:r>
            <w:r w:rsidR="00D411CD" w:rsidRPr="001B446F">
              <w:rPr>
                <w:vertAlign w:val="superscript"/>
              </w:rPr>
              <w:t>a</w:t>
            </w:r>
          </w:p>
        </w:tc>
      </w:tr>
    </w:tbl>
    <w:p w:rsidR="00BB4F1C" w:rsidRPr="001B446F" w:rsidRDefault="00BB4F1C" w:rsidP="00BB4F1C">
      <w:pPr>
        <w:pStyle w:val="TableFooter"/>
      </w:pPr>
      <w:r w:rsidRPr="001B446F">
        <w:t>Source: Tables 64, pp132-133; Table 65, p134 of the submission.</w:t>
      </w:r>
      <w:r w:rsidR="00B77AA2" w:rsidRPr="001B446F">
        <w:t xml:space="preserve"> </w:t>
      </w:r>
      <w:r w:rsidR="00A36FC2" w:rsidRPr="001B446F">
        <w:rPr>
          <w:i/>
        </w:rPr>
        <w:t>C</w:t>
      </w:r>
      <w:r w:rsidRPr="001B446F">
        <w:rPr>
          <w:i/>
        </w:rPr>
        <w:t>alculated during evaluation</w:t>
      </w:r>
    </w:p>
    <w:p w:rsidR="00BB4F1C" w:rsidRPr="001B446F" w:rsidRDefault="00BB4F1C" w:rsidP="00BB4F1C">
      <w:pPr>
        <w:pStyle w:val="TableFooter"/>
      </w:pPr>
      <w:r w:rsidRPr="001B446F">
        <w:t xml:space="preserve">BCVA = </w:t>
      </w:r>
      <w:proofErr w:type="gramStart"/>
      <w:r w:rsidRPr="001B446F">
        <w:t>best corrected</w:t>
      </w:r>
      <w:proofErr w:type="gramEnd"/>
      <w:r w:rsidRPr="001B446F">
        <w:t xml:space="preserve"> visual acuity; CI = confidence interval; n = number of participants with event; N = total number of participants; NA not applicable.</w:t>
      </w:r>
    </w:p>
    <w:p w:rsidR="00BB4F1C" w:rsidRPr="001B446F" w:rsidRDefault="00BB4F1C" w:rsidP="00BB4F1C">
      <w:pPr>
        <w:pStyle w:val="TableFooter"/>
        <w:rPr>
          <w:i/>
        </w:rPr>
      </w:pPr>
      <w:r w:rsidRPr="001B446F">
        <w:rPr>
          <w:b/>
        </w:rPr>
        <w:t>Bold</w:t>
      </w:r>
      <w:r w:rsidR="00D411CD" w:rsidRPr="001B446F">
        <w:t xml:space="preserve"> = statistically significant.</w:t>
      </w:r>
    </w:p>
    <w:p w:rsidR="008F36E7" w:rsidRPr="001B446F" w:rsidRDefault="00D411CD" w:rsidP="00BB4F1C">
      <w:pPr>
        <w:pStyle w:val="TableFooter"/>
        <w:rPr>
          <w:iCs/>
        </w:rPr>
      </w:pPr>
      <w:proofErr w:type="spellStart"/>
      <w:proofErr w:type="gramStart"/>
      <w:r w:rsidRPr="001B446F">
        <w:rPr>
          <w:iCs/>
        </w:rPr>
        <w:t>a</w:t>
      </w:r>
      <w:proofErr w:type="spellEnd"/>
      <w:proofErr w:type="gramEnd"/>
      <w:r w:rsidR="009561DE" w:rsidRPr="001B446F">
        <w:rPr>
          <w:iCs/>
        </w:rPr>
        <w:t xml:space="preserve"> </w:t>
      </w:r>
      <w:r w:rsidR="008F36E7" w:rsidRPr="001B446F">
        <w:rPr>
          <w:iCs/>
        </w:rPr>
        <w:t>This result</w:t>
      </w:r>
      <w:r w:rsidR="00957EB8" w:rsidRPr="001B446F">
        <w:rPr>
          <w:iCs/>
        </w:rPr>
        <w:t xml:space="preserve"> was recalculated during the evaluation</w:t>
      </w:r>
      <w:r w:rsidR="008F36E7" w:rsidRPr="001B446F">
        <w:rPr>
          <w:iCs/>
        </w:rPr>
        <w:t xml:space="preserve">. </w:t>
      </w:r>
    </w:p>
    <w:p w:rsidR="00D174D3" w:rsidRPr="001B446F" w:rsidRDefault="00D174D3" w:rsidP="00A35601">
      <w:pPr>
        <w:pStyle w:val="TableFooter"/>
        <w:rPr>
          <w:i/>
        </w:rPr>
      </w:pPr>
    </w:p>
    <w:p w:rsidR="0054223D" w:rsidRPr="001B446F" w:rsidRDefault="00D174D3" w:rsidP="0054223D">
      <w:pPr>
        <w:pStyle w:val="3-BodyText"/>
        <w:rPr>
          <w:i/>
        </w:rPr>
      </w:pPr>
      <w:r w:rsidRPr="001B446F">
        <w:t>Overall, there was no statistical</w:t>
      </w:r>
      <w:r w:rsidR="0094282A" w:rsidRPr="001B446F">
        <w:t>ly significant</w:t>
      </w:r>
      <w:r w:rsidRPr="001B446F">
        <w:t xml:space="preserve"> difference</w:t>
      </w:r>
      <w:r w:rsidR="00F21985" w:rsidRPr="001B446F">
        <w:t xml:space="preserve"> in the indirect comparison between FA and DEX</w:t>
      </w:r>
      <w:r w:rsidRPr="001B446F">
        <w:t xml:space="preserve"> in </w:t>
      </w:r>
      <w:r w:rsidR="00D10250" w:rsidRPr="001B446F">
        <w:t>the</w:t>
      </w:r>
      <w:r w:rsidRPr="001B446F">
        <w:t xml:space="preserve"> </w:t>
      </w:r>
      <w:r w:rsidR="0094282A" w:rsidRPr="001B446F">
        <w:t>p</w:t>
      </w:r>
      <w:r w:rsidR="00E62104" w:rsidRPr="001B446F">
        <w:t xml:space="preserve">roportion </w:t>
      </w:r>
      <w:r w:rsidR="00D10250" w:rsidRPr="001B446F">
        <w:t xml:space="preserve">of patients </w:t>
      </w:r>
      <w:r w:rsidR="00E62104" w:rsidRPr="001B446F">
        <w:t>achieving</w:t>
      </w:r>
      <w:r w:rsidRPr="001B446F">
        <w:t xml:space="preserve"> ≥ 15-letter and ≥ 10-letter improvement in BCVA</w:t>
      </w:r>
      <w:r w:rsidR="009561DE" w:rsidRPr="001B446F">
        <w:t xml:space="preserve"> or in the change from baseline in BCVA </w:t>
      </w:r>
      <w:r w:rsidR="003A6E07" w:rsidRPr="001B446F">
        <w:t>l</w:t>
      </w:r>
      <w:r w:rsidR="009561DE" w:rsidRPr="001B446F">
        <w:t xml:space="preserve">etter </w:t>
      </w:r>
      <w:r w:rsidR="003A6E07" w:rsidRPr="001B446F">
        <w:t>s</w:t>
      </w:r>
      <w:r w:rsidR="009561DE" w:rsidRPr="001B446F">
        <w:t>core</w:t>
      </w:r>
      <w:r w:rsidR="00D10250" w:rsidRPr="001B446F">
        <w:t>.</w:t>
      </w:r>
      <w:r w:rsidR="00D10250" w:rsidRPr="001B446F">
        <w:rPr>
          <w:i/>
        </w:rPr>
        <w:t xml:space="preserve"> </w:t>
      </w:r>
    </w:p>
    <w:p w:rsidR="00B60939" w:rsidRPr="001B446F" w:rsidRDefault="00B60939" w:rsidP="00D86231">
      <w:pPr>
        <w:pStyle w:val="4-SubsectionHeading"/>
      </w:pPr>
      <w:bookmarkStart w:id="16" w:name="_Toc22897642"/>
      <w:bookmarkStart w:id="17" w:name="_Toc30496458"/>
      <w:r w:rsidRPr="001B446F">
        <w:t>Comparative harms</w:t>
      </w:r>
      <w:bookmarkEnd w:id="16"/>
      <w:bookmarkEnd w:id="17"/>
    </w:p>
    <w:p w:rsidR="00B60939" w:rsidRPr="001B446F" w:rsidRDefault="004E00B5" w:rsidP="00D86231">
      <w:pPr>
        <w:pStyle w:val="3-BodyText"/>
      </w:pPr>
      <w:r w:rsidRPr="001B446F">
        <w:t xml:space="preserve">A range of safety results </w:t>
      </w:r>
      <w:proofErr w:type="gramStart"/>
      <w:r w:rsidRPr="001B446F">
        <w:t>were presented</w:t>
      </w:r>
      <w:proofErr w:type="gramEnd"/>
      <w:r w:rsidRPr="001B446F">
        <w:t xml:space="preserve"> in the submission. The risk management plan states that the most frequently reported adverse drug reactions included cataract operation, cataract and increased </w:t>
      </w:r>
      <w:r w:rsidR="000A6AD0" w:rsidRPr="001B446F">
        <w:t>IOP</w:t>
      </w:r>
      <w:r w:rsidRPr="001B446F">
        <w:t xml:space="preserve">. These adverse events </w:t>
      </w:r>
      <w:proofErr w:type="gramStart"/>
      <w:r w:rsidRPr="001B446F">
        <w:t>are shown</w:t>
      </w:r>
      <w:proofErr w:type="gramEnd"/>
      <w:r w:rsidRPr="001B446F">
        <w:t xml:space="preserve"> in Table </w:t>
      </w:r>
      <w:r w:rsidR="00112FEB" w:rsidRPr="001B446F">
        <w:t>7</w:t>
      </w:r>
      <w:r w:rsidR="009C703C" w:rsidRPr="001B446F">
        <w:t>.</w:t>
      </w:r>
      <w:r w:rsidR="00162512" w:rsidRPr="001B446F">
        <w:t xml:space="preserve"> The occurrence of cataracts and/or the rate of cataract operation see</w:t>
      </w:r>
      <w:r w:rsidR="000A6AD0" w:rsidRPr="001B446F">
        <w:t>n</w:t>
      </w:r>
      <w:r w:rsidR="00162512" w:rsidRPr="001B446F">
        <w:t xml:space="preserve"> in the clinical trials </w:t>
      </w:r>
      <w:r w:rsidR="003F2BAB" w:rsidRPr="001B446F">
        <w:t xml:space="preserve">will </w:t>
      </w:r>
      <w:r w:rsidR="00162512" w:rsidRPr="001B446F">
        <w:t>not be applicable to the PBS population, as the requested restriction for FA and the DEX PBS restriction specifies that patients must have had a cataract removed or be scheduled for cataract surgery.</w:t>
      </w:r>
      <w:r w:rsidR="0057561B" w:rsidRPr="001B446F">
        <w:t xml:space="preserve"> </w:t>
      </w:r>
    </w:p>
    <w:p w:rsidR="00134929" w:rsidRPr="001B446F" w:rsidRDefault="00134929" w:rsidP="00134929"/>
    <w:p w:rsidR="00134929" w:rsidRPr="001B446F" w:rsidRDefault="00134929" w:rsidP="00134929">
      <w:pPr>
        <w:pStyle w:val="TableFigureHeading"/>
      </w:pPr>
      <w:r w:rsidRPr="001B446F">
        <w:lastRenderedPageBreak/>
        <w:t xml:space="preserve">Table </w:t>
      </w:r>
      <w:r w:rsidR="00112FEB" w:rsidRPr="001B446F">
        <w:t>7</w:t>
      </w:r>
      <w:r w:rsidR="00BC67BD" w:rsidRPr="001B446F">
        <w:t>:</w:t>
      </w:r>
      <w:r w:rsidRPr="001B446F">
        <w:t xml:space="preserve"> Common (≥</w:t>
      </w:r>
      <w:r w:rsidR="00A35601" w:rsidRPr="001B446F">
        <w:t xml:space="preserve"> </w:t>
      </w:r>
      <w:r w:rsidRPr="001B446F">
        <w:t>1.0%) Treatment-Emergent Ocular Adverse Events in the Study Eye (Integrated FAME Studies: Safety Population and MEAD Studies Pooled, Safety Population)</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1173"/>
        <w:gridCol w:w="1173"/>
        <w:gridCol w:w="1173"/>
        <w:gridCol w:w="1169"/>
        <w:gridCol w:w="1169"/>
        <w:gridCol w:w="1166"/>
      </w:tblGrid>
      <w:tr w:rsidR="005C4083" w:rsidRPr="001B446F" w:rsidTr="005C4083">
        <w:trPr>
          <w:tblHeader/>
        </w:trPr>
        <w:tc>
          <w:tcPr>
            <w:tcW w:w="1108" w:type="pct"/>
            <w:vAlign w:val="center"/>
          </w:tcPr>
          <w:p w:rsidR="005C4083" w:rsidRPr="001B446F" w:rsidRDefault="005C4083" w:rsidP="005C4083">
            <w:pPr>
              <w:pStyle w:val="In-tableHeading"/>
              <w:rPr>
                <w:lang w:val="en-AU"/>
              </w:rPr>
            </w:pPr>
            <w:r w:rsidRPr="001B446F">
              <w:rPr>
                <w:lang w:val="en-AU"/>
              </w:rPr>
              <w:t>Adverse event</w:t>
            </w:r>
          </w:p>
        </w:tc>
        <w:tc>
          <w:tcPr>
            <w:tcW w:w="650" w:type="pct"/>
            <w:vAlign w:val="center"/>
          </w:tcPr>
          <w:p w:rsidR="005C4083" w:rsidRPr="001B446F" w:rsidRDefault="005C4083" w:rsidP="005C4083">
            <w:pPr>
              <w:pStyle w:val="In-tableHeading"/>
              <w:jc w:val="center"/>
              <w:rPr>
                <w:lang w:val="en-AU"/>
              </w:rPr>
            </w:pPr>
            <w:r w:rsidRPr="001B446F">
              <w:rPr>
                <w:lang w:val="en-AU"/>
              </w:rPr>
              <w:t xml:space="preserve">0.2 </w:t>
            </w:r>
            <w:proofErr w:type="spellStart"/>
            <w:r w:rsidRPr="001B446F">
              <w:rPr>
                <w:lang w:val="en-AU"/>
              </w:rPr>
              <w:t>μg</w:t>
            </w:r>
            <w:proofErr w:type="spellEnd"/>
            <w:r w:rsidRPr="001B446F">
              <w:rPr>
                <w:lang w:val="en-AU"/>
              </w:rPr>
              <w:t xml:space="preserve">/day FA </w:t>
            </w:r>
          </w:p>
          <w:p w:rsidR="005C4083" w:rsidRPr="001B446F" w:rsidRDefault="005C4083" w:rsidP="005C4083">
            <w:pPr>
              <w:pStyle w:val="In-tableHeading"/>
              <w:jc w:val="center"/>
              <w:rPr>
                <w:lang w:val="en-AU"/>
              </w:rPr>
            </w:pPr>
            <w:r w:rsidRPr="001B446F">
              <w:rPr>
                <w:lang w:val="en-AU"/>
              </w:rPr>
              <w:t xml:space="preserve">(N = 375) </w:t>
            </w:r>
          </w:p>
          <w:p w:rsidR="005C4083" w:rsidRPr="001B446F" w:rsidRDefault="005C4083" w:rsidP="005C4083">
            <w:pPr>
              <w:pStyle w:val="In-tableHeading"/>
              <w:jc w:val="center"/>
              <w:rPr>
                <w:lang w:val="en-AU"/>
              </w:rPr>
            </w:pPr>
            <w:proofErr w:type="gramStart"/>
            <w:r w:rsidRPr="001B446F">
              <w:rPr>
                <w:lang w:val="en-AU"/>
              </w:rPr>
              <w:t>n</w:t>
            </w:r>
            <w:proofErr w:type="gramEnd"/>
            <w:r w:rsidRPr="001B446F">
              <w:rPr>
                <w:lang w:val="en-AU"/>
              </w:rPr>
              <w:t xml:space="preserve"> (%)</w:t>
            </w:r>
          </w:p>
        </w:tc>
        <w:tc>
          <w:tcPr>
            <w:tcW w:w="650" w:type="pct"/>
            <w:tcBorders>
              <w:right w:val="double" w:sz="4" w:space="0" w:color="auto"/>
            </w:tcBorders>
            <w:vAlign w:val="center"/>
          </w:tcPr>
          <w:p w:rsidR="005C4083" w:rsidRPr="001B446F" w:rsidRDefault="005C4083" w:rsidP="005C4083">
            <w:pPr>
              <w:pStyle w:val="In-tableHeading"/>
              <w:jc w:val="center"/>
              <w:rPr>
                <w:lang w:val="en-AU"/>
              </w:rPr>
            </w:pPr>
            <w:r w:rsidRPr="001B446F">
              <w:rPr>
                <w:lang w:val="en-AU"/>
              </w:rPr>
              <w:t xml:space="preserve">Sham </w:t>
            </w:r>
          </w:p>
          <w:p w:rsidR="005C4083" w:rsidRPr="001B446F" w:rsidRDefault="005C4083" w:rsidP="005C4083">
            <w:pPr>
              <w:pStyle w:val="In-tableHeading"/>
              <w:jc w:val="center"/>
              <w:rPr>
                <w:lang w:val="en-AU"/>
              </w:rPr>
            </w:pPr>
            <w:r w:rsidRPr="001B446F">
              <w:rPr>
                <w:lang w:val="en-AU"/>
              </w:rPr>
              <w:t xml:space="preserve">(N = 185) </w:t>
            </w:r>
          </w:p>
          <w:p w:rsidR="005C4083" w:rsidRPr="001B446F" w:rsidRDefault="005C4083" w:rsidP="005C4083">
            <w:pPr>
              <w:pStyle w:val="In-tableHeading"/>
              <w:jc w:val="center"/>
              <w:rPr>
                <w:lang w:val="en-AU"/>
              </w:rPr>
            </w:pPr>
            <w:proofErr w:type="gramStart"/>
            <w:r w:rsidRPr="001B446F">
              <w:rPr>
                <w:lang w:val="en-AU"/>
              </w:rPr>
              <w:t>n</w:t>
            </w:r>
            <w:proofErr w:type="gramEnd"/>
            <w:r w:rsidRPr="001B446F">
              <w:rPr>
                <w:lang w:val="en-AU"/>
              </w:rPr>
              <w:t xml:space="preserve"> (%)</w:t>
            </w:r>
          </w:p>
        </w:tc>
        <w:tc>
          <w:tcPr>
            <w:tcW w:w="650" w:type="pct"/>
          </w:tcPr>
          <w:p w:rsidR="005C4083" w:rsidRPr="001B446F" w:rsidRDefault="005C4083" w:rsidP="005C4083">
            <w:pPr>
              <w:pStyle w:val="In-tableHeading"/>
              <w:jc w:val="center"/>
              <w:rPr>
                <w:lang w:val="en-AU"/>
              </w:rPr>
            </w:pPr>
            <w:r w:rsidRPr="001B446F">
              <w:rPr>
                <w:i/>
                <w:lang w:val="en-AU"/>
              </w:rPr>
              <w:t>Risk difference (95%CI)</w:t>
            </w:r>
          </w:p>
        </w:tc>
        <w:tc>
          <w:tcPr>
            <w:tcW w:w="648" w:type="pct"/>
            <w:tcBorders>
              <w:left w:val="double" w:sz="4" w:space="0" w:color="auto"/>
            </w:tcBorders>
          </w:tcPr>
          <w:p w:rsidR="005C4083" w:rsidRPr="001B446F" w:rsidRDefault="005C4083" w:rsidP="005C4083">
            <w:pPr>
              <w:pStyle w:val="In-tableHeading"/>
              <w:jc w:val="center"/>
              <w:rPr>
                <w:lang w:val="en-AU"/>
              </w:rPr>
            </w:pPr>
            <w:r w:rsidRPr="001B446F">
              <w:rPr>
                <w:lang w:val="en-AU"/>
              </w:rPr>
              <w:t>700 µg DEX</w:t>
            </w:r>
          </w:p>
          <w:p w:rsidR="005C4083" w:rsidRPr="001B446F" w:rsidRDefault="005C4083" w:rsidP="005C4083">
            <w:pPr>
              <w:pStyle w:val="In-tableHeading"/>
              <w:jc w:val="center"/>
              <w:rPr>
                <w:lang w:val="en-AU"/>
              </w:rPr>
            </w:pPr>
            <w:r w:rsidRPr="001B446F">
              <w:rPr>
                <w:lang w:val="en-AU"/>
              </w:rPr>
              <w:t xml:space="preserve">N = 347 </w:t>
            </w:r>
          </w:p>
          <w:p w:rsidR="005C4083" w:rsidRPr="001B446F" w:rsidRDefault="005C4083" w:rsidP="005C4083">
            <w:pPr>
              <w:pStyle w:val="In-tableHeading"/>
              <w:jc w:val="center"/>
              <w:rPr>
                <w:lang w:val="en-AU"/>
              </w:rPr>
            </w:pPr>
            <w:proofErr w:type="gramStart"/>
            <w:r w:rsidRPr="001B446F">
              <w:rPr>
                <w:lang w:val="en-AU"/>
              </w:rPr>
              <w:t>n</w:t>
            </w:r>
            <w:proofErr w:type="gramEnd"/>
            <w:r w:rsidRPr="001B446F">
              <w:rPr>
                <w:lang w:val="en-AU"/>
              </w:rPr>
              <w:t xml:space="preserve"> (%)</w:t>
            </w:r>
          </w:p>
        </w:tc>
        <w:tc>
          <w:tcPr>
            <w:tcW w:w="648" w:type="pct"/>
          </w:tcPr>
          <w:p w:rsidR="005C4083" w:rsidRPr="001B446F" w:rsidRDefault="005C4083" w:rsidP="005C4083">
            <w:pPr>
              <w:pStyle w:val="In-tableHeading"/>
              <w:jc w:val="center"/>
              <w:rPr>
                <w:lang w:val="en-AU"/>
              </w:rPr>
            </w:pPr>
            <w:r w:rsidRPr="001B446F">
              <w:rPr>
                <w:lang w:val="en-AU"/>
              </w:rPr>
              <w:t xml:space="preserve">Sham </w:t>
            </w:r>
          </w:p>
          <w:p w:rsidR="005C4083" w:rsidRPr="001B446F" w:rsidRDefault="005C4083" w:rsidP="005C4083">
            <w:pPr>
              <w:pStyle w:val="In-tableHeading"/>
              <w:jc w:val="center"/>
              <w:rPr>
                <w:lang w:val="en-AU"/>
              </w:rPr>
            </w:pPr>
            <w:r w:rsidRPr="001B446F">
              <w:rPr>
                <w:lang w:val="en-AU"/>
              </w:rPr>
              <w:t xml:space="preserve">N = 350 </w:t>
            </w:r>
          </w:p>
          <w:p w:rsidR="005C4083" w:rsidRPr="001B446F" w:rsidRDefault="005C4083" w:rsidP="005C4083">
            <w:pPr>
              <w:pStyle w:val="In-tableHeading"/>
              <w:jc w:val="center"/>
              <w:rPr>
                <w:lang w:val="en-AU"/>
              </w:rPr>
            </w:pPr>
            <w:proofErr w:type="gramStart"/>
            <w:r w:rsidRPr="001B446F">
              <w:rPr>
                <w:lang w:val="en-AU"/>
              </w:rPr>
              <w:t>n</w:t>
            </w:r>
            <w:proofErr w:type="gramEnd"/>
            <w:r w:rsidRPr="001B446F">
              <w:rPr>
                <w:lang w:val="en-AU"/>
              </w:rPr>
              <w:t xml:space="preserve"> (%)</w:t>
            </w:r>
          </w:p>
        </w:tc>
        <w:tc>
          <w:tcPr>
            <w:tcW w:w="648" w:type="pct"/>
          </w:tcPr>
          <w:p w:rsidR="005C4083" w:rsidRPr="001B446F" w:rsidRDefault="005C4083" w:rsidP="005C4083">
            <w:pPr>
              <w:pStyle w:val="In-tableHeading"/>
              <w:jc w:val="center"/>
              <w:rPr>
                <w:lang w:val="en-AU"/>
              </w:rPr>
            </w:pPr>
            <w:r w:rsidRPr="001B446F">
              <w:rPr>
                <w:i/>
                <w:lang w:val="en-AU"/>
              </w:rPr>
              <w:t>Risk difference (95%CI)</w:t>
            </w:r>
          </w:p>
        </w:tc>
      </w:tr>
      <w:tr w:rsidR="005C4083" w:rsidRPr="001B446F" w:rsidTr="005C4083">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pPr>
            <w:r w:rsidRPr="001B446F">
              <w:t xml:space="preserve">IOP increased </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132 (35.2)</w:t>
            </w:r>
          </w:p>
        </w:tc>
        <w:tc>
          <w:tcPr>
            <w:tcW w:w="650" w:type="pct"/>
            <w:tcBorders>
              <w:top w:val="single" w:sz="4" w:space="0" w:color="auto"/>
              <w:left w:val="single" w:sz="4" w:space="0" w:color="auto"/>
              <w:bottom w:val="single" w:sz="4" w:space="0" w:color="auto"/>
              <w:right w:val="double" w:sz="4" w:space="0" w:color="auto"/>
            </w:tcBorders>
            <w:shd w:val="clear" w:color="auto" w:fill="auto"/>
            <w:vAlign w:val="center"/>
          </w:tcPr>
          <w:p w:rsidR="005C4083" w:rsidRPr="001B446F" w:rsidRDefault="005C4083" w:rsidP="005C4083">
            <w:pPr>
              <w:pStyle w:val="TableText0"/>
              <w:jc w:val="center"/>
            </w:pPr>
            <w:r w:rsidRPr="001B446F">
              <w:t>21 (11.4)</w:t>
            </w:r>
          </w:p>
        </w:tc>
        <w:tc>
          <w:tcPr>
            <w:tcW w:w="650" w:type="pct"/>
            <w:tcBorders>
              <w:top w:val="single" w:sz="4" w:space="0" w:color="auto"/>
              <w:left w:val="double" w:sz="4" w:space="0" w:color="auto"/>
              <w:bottom w:val="single" w:sz="4" w:space="0" w:color="auto"/>
              <w:right w:val="double" w:sz="4" w:space="0" w:color="auto"/>
            </w:tcBorders>
          </w:tcPr>
          <w:p w:rsidR="005C4083" w:rsidRPr="001B446F" w:rsidRDefault="005C4083" w:rsidP="005C4083">
            <w:pPr>
              <w:pStyle w:val="TableText0"/>
              <w:jc w:val="center"/>
            </w:pPr>
            <w:r w:rsidRPr="001B446F">
              <w:t>24 (17, 31)</w:t>
            </w:r>
          </w:p>
        </w:tc>
        <w:tc>
          <w:tcPr>
            <w:tcW w:w="648" w:type="pct"/>
            <w:tcBorders>
              <w:top w:val="single" w:sz="4" w:space="0" w:color="auto"/>
              <w:left w:val="doub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116 (33.4)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23 (6.6)</w:t>
            </w:r>
          </w:p>
        </w:tc>
        <w:tc>
          <w:tcPr>
            <w:tcW w:w="648" w:type="pct"/>
            <w:tcBorders>
              <w:top w:val="single" w:sz="4" w:space="0" w:color="auto"/>
              <w:left w:val="single" w:sz="4" w:space="0" w:color="auto"/>
              <w:bottom w:val="single" w:sz="4" w:space="0" w:color="auto"/>
              <w:right w:val="single" w:sz="4" w:space="0" w:color="auto"/>
            </w:tcBorders>
          </w:tcPr>
          <w:p w:rsidR="005C4083" w:rsidRPr="001B446F" w:rsidRDefault="005C4083" w:rsidP="005C4083">
            <w:pPr>
              <w:pStyle w:val="TableText0"/>
              <w:jc w:val="center"/>
            </w:pPr>
            <w:r w:rsidRPr="001B446F">
              <w:t>27 (21, 33)</w:t>
            </w:r>
          </w:p>
        </w:tc>
      </w:tr>
      <w:tr w:rsidR="005C4083" w:rsidRPr="001B446F" w:rsidTr="005C4083">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pPr>
            <w:r w:rsidRPr="001B446F">
              <w:t xml:space="preserve">Cataract </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171 (45.6)</w:t>
            </w:r>
          </w:p>
        </w:tc>
        <w:tc>
          <w:tcPr>
            <w:tcW w:w="650" w:type="pct"/>
            <w:tcBorders>
              <w:top w:val="single" w:sz="4" w:space="0" w:color="auto"/>
              <w:left w:val="single" w:sz="4" w:space="0" w:color="auto"/>
              <w:bottom w:val="single" w:sz="4" w:space="0" w:color="auto"/>
              <w:right w:val="double" w:sz="4" w:space="0" w:color="auto"/>
            </w:tcBorders>
            <w:shd w:val="clear" w:color="auto" w:fill="auto"/>
            <w:vAlign w:val="center"/>
          </w:tcPr>
          <w:p w:rsidR="005C4083" w:rsidRPr="001B446F" w:rsidRDefault="005C4083" w:rsidP="005C4083">
            <w:pPr>
              <w:pStyle w:val="TableText0"/>
              <w:jc w:val="center"/>
            </w:pPr>
            <w:r w:rsidRPr="001B446F">
              <w:t>53 (28.6)</w:t>
            </w:r>
          </w:p>
        </w:tc>
        <w:tc>
          <w:tcPr>
            <w:tcW w:w="650" w:type="pct"/>
            <w:tcBorders>
              <w:top w:val="single" w:sz="4" w:space="0" w:color="auto"/>
              <w:left w:val="double" w:sz="4" w:space="0" w:color="auto"/>
              <w:bottom w:val="single" w:sz="4" w:space="0" w:color="auto"/>
              <w:right w:val="double" w:sz="4" w:space="0" w:color="auto"/>
            </w:tcBorders>
          </w:tcPr>
          <w:p w:rsidR="005C4083" w:rsidRPr="001B446F" w:rsidRDefault="005C4083" w:rsidP="005C4083">
            <w:pPr>
              <w:pStyle w:val="TableText0"/>
              <w:jc w:val="center"/>
            </w:pPr>
            <w:r w:rsidRPr="001B446F">
              <w:t>17 (9, 25)</w:t>
            </w:r>
          </w:p>
        </w:tc>
        <w:tc>
          <w:tcPr>
            <w:tcW w:w="648" w:type="pct"/>
            <w:tcBorders>
              <w:top w:val="single" w:sz="4" w:space="0" w:color="auto"/>
              <w:left w:val="doub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141 (40.6)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44 (12.6)</w:t>
            </w:r>
          </w:p>
        </w:tc>
        <w:tc>
          <w:tcPr>
            <w:tcW w:w="648" w:type="pct"/>
            <w:tcBorders>
              <w:top w:val="single" w:sz="4" w:space="0" w:color="auto"/>
              <w:left w:val="single" w:sz="4" w:space="0" w:color="auto"/>
              <w:bottom w:val="single" w:sz="4" w:space="0" w:color="auto"/>
              <w:right w:val="single" w:sz="4" w:space="0" w:color="auto"/>
            </w:tcBorders>
          </w:tcPr>
          <w:p w:rsidR="005C4083" w:rsidRPr="001B446F" w:rsidRDefault="005C4083" w:rsidP="005C4083">
            <w:pPr>
              <w:pStyle w:val="TableText0"/>
              <w:jc w:val="center"/>
            </w:pPr>
            <w:r w:rsidRPr="001B446F">
              <w:t>28 (22, 34)</w:t>
            </w:r>
          </w:p>
        </w:tc>
      </w:tr>
      <w:tr w:rsidR="005C4083" w:rsidRPr="001B446F" w:rsidTr="005C4083">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pPr>
            <w:r w:rsidRPr="001B446F">
              <w:t xml:space="preserve">Cataract nuclear </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8 (2.1)</w:t>
            </w:r>
          </w:p>
        </w:tc>
        <w:tc>
          <w:tcPr>
            <w:tcW w:w="650" w:type="pct"/>
            <w:tcBorders>
              <w:top w:val="single" w:sz="4" w:space="0" w:color="auto"/>
              <w:left w:val="single" w:sz="4" w:space="0" w:color="auto"/>
              <w:bottom w:val="single" w:sz="4" w:space="0" w:color="auto"/>
              <w:right w:val="double" w:sz="4" w:space="0" w:color="auto"/>
            </w:tcBorders>
            <w:shd w:val="clear" w:color="auto" w:fill="auto"/>
            <w:vAlign w:val="center"/>
          </w:tcPr>
          <w:p w:rsidR="005C4083" w:rsidRPr="001B446F" w:rsidRDefault="005C4083" w:rsidP="005C4083">
            <w:pPr>
              <w:pStyle w:val="TableText0"/>
              <w:jc w:val="center"/>
            </w:pPr>
            <w:r w:rsidRPr="001B446F">
              <w:t>5 (2.7)</w:t>
            </w:r>
          </w:p>
        </w:tc>
        <w:tc>
          <w:tcPr>
            <w:tcW w:w="650" w:type="pct"/>
            <w:tcBorders>
              <w:top w:val="single" w:sz="4" w:space="0" w:color="auto"/>
              <w:left w:val="double" w:sz="4" w:space="0" w:color="auto"/>
              <w:bottom w:val="single" w:sz="4" w:space="0" w:color="auto"/>
              <w:right w:val="double" w:sz="4" w:space="0" w:color="auto"/>
            </w:tcBorders>
          </w:tcPr>
          <w:p w:rsidR="005C4083" w:rsidRPr="001B446F" w:rsidRDefault="005C4083" w:rsidP="005C4083">
            <w:pPr>
              <w:pStyle w:val="TableText0"/>
              <w:jc w:val="center"/>
            </w:pPr>
            <w:r w:rsidRPr="001B446F">
              <w:t>-1 (-3, 2)</w:t>
            </w:r>
          </w:p>
        </w:tc>
        <w:tc>
          <w:tcPr>
            <w:tcW w:w="648" w:type="pct"/>
            <w:tcBorders>
              <w:top w:val="single" w:sz="4" w:space="0" w:color="auto"/>
              <w:left w:val="doub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proofErr w:type="spellStart"/>
            <w:r w:rsidRPr="001B446F">
              <w:t>nr</w:t>
            </w:r>
            <w:proofErr w:type="spellEnd"/>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proofErr w:type="spellStart"/>
            <w:r w:rsidRPr="001B446F">
              <w:t>nr</w:t>
            </w:r>
            <w:proofErr w:type="spellEnd"/>
          </w:p>
        </w:tc>
        <w:tc>
          <w:tcPr>
            <w:tcW w:w="648" w:type="pct"/>
            <w:tcBorders>
              <w:top w:val="single" w:sz="4" w:space="0" w:color="auto"/>
              <w:left w:val="single" w:sz="4" w:space="0" w:color="auto"/>
              <w:bottom w:val="single" w:sz="4" w:space="0" w:color="auto"/>
              <w:right w:val="single" w:sz="4" w:space="0" w:color="auto"/>
            </w:tcBorders>
          </w:tcPr>
          <w:p w:rsidR="005C4083" w:rsidRPr="001B446F" w:rsidRDefault="005C4083" w:rsidP="005C4083">
            <w:pPr>
              <w:pStyle w:val="TableText0"/>
              <w:jc w:val="center"/>
            </w:pPr>
            <w:r w:rsidRPr="001B446F">
              <w:t>-</w:t>
            </w:r>
          </w:p>
        </w:tc>
      </w:tr>
      <w:tr w:rsidR="005C4083" w:rsidRPr="001B446F" w:rsidTr="005C4083">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pPr>
            <w:r w:rsidRPr="001B446F">
              <w:t xml:space="preserve">Cataract operation </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188 (50.1)</w:t>
            </w:r>
          </w:p>
        </w:tc>
        <w:tc>
          <w:tcPr>
            <w:tcW w:w="650" w:type="pct"/>
            <w:tcBorders>
              <w:top w:val="single" w:sz="4" w:space="0" w:color="auto"/>
              <w:left w:val="single" w:sz="4" w:space="0" w:color="auto"/>
              <w:bottom w:val="single" w:sz="4" w:space="0" w:color="auto"/>
              <w:right w:val="double" w:sz="4" w:space="0" w:color="auto"/>
            </w:tcBorders>
            <w:shd w:val="clear" w:color="auto" w:fill="auto"/>
            <w:vAlign w:val="center"/>
          </w:tcPr>
          <w:p w:rsidR="005C4083" w:rsidRPr="001B446F" w:rsidRDefault="005C4083" w:rsidP="005C4083">
            <w:pPr>
              <w:pStyle w:val="TableText0"/>
              <w:jc w:val="center"/>
            </w:pPr>
            <w:r w:rsidRPr="001B446F">
              <w:t>33 (17.8)</w:t>
            </w:r>
          </w:p>
        </w:tc>
        <w:tc>
          <w:tcPr>
            <w:tcW w:w="650" w:type="pct"/>
            <w:tcBorders>
              <w:top w:val="single" w:sz="4" w:space="0" w:color="auto"/>
              <w:left w:val="double" w:sz="4" w:space="0" w:color="auto"/>
              <w:bottom w:val="single" w:sz="4" w:space="0" w:color="auto"/>
              <w:right w:val="double" w:sz="4" w:space="0" w:color="auto"/>
            </w:tcBorders>
          </w:tcPr>
          <w:p w:rsidR="005C4083" w:rsidRPr="001B446F" w:rsidRDefault="005C4083" w:rsidP="005C4083">
            <w:pPr>
              <w:pStyle w:val="TableText0"/>
              <w:jc w:val="center"/>
            </w:pPr>
            <w:r w:rsidRPr="001B446F">
              <w:t>32 (25, 40)</w:t>
            </w:r>
          </w:p>
        </w:tc>
        <w:tc>
          <w:tcPr>
            <w:tcW w:w="648" w:type="pct"/>
            <w:tcBorders>
              <w:top w:val="single" w:sz="4" w:space="0" w:color="auto"/>
              <w:left w:val="doub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21 (6.1)</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10 (2.9)</w:t>
            </w:r>
          </w:p>
        </w:tc>
        <w:tc>
          <w:tcPr>
            <w:tcW w:w="648" w:type="pct"/>
            <w:tcBorders>
              <w:top w:val="single" w:sz="4" w:space="0" w:color="auto"/>
              <w:left w:val="single" w:sz="4" w:space="0" w:color="auto"/>
              <w:bottom w:val="single" w:sz="4" w:space="0" w:color="auto"/>
              <w:right w:val="single" w:sz="4" w:space="0" w:color="auto"/>
            </w:tcBorders>
          </w:tcPr>
          <w:p w:rsidR="005C4083" w:rsidRPr="001B446F" w:rsidRDefault="005C4083" w:rsidP="005C4083">
            <w:pPr>
              <w:pStyle w:val="TableText0"/>
              <w:jc w:val="center"/>
            </w:pPr>
            <w:r w:rsidRPr="001B446F">
              <w:t>3 (0,6)</w:t>
            </w:r>
          </w:p>
        </w:tc>
      </w:tr>
      <w:tr w:rsidR="005C4083" w:rsidRPr="001B446F" w:rsidTr="005C4083">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pPr>
            <w:r w:rsidRPr="001B446F">
              <w:t xml:space="preserve">Cataract </w:t>
            </w:r>
            <w:proofErr w:type="spellStart"/>
            <w:r w:rsidRPr="001B446F">
              <w:t>subcapsular</w:t>
            </w:r>
            <w:proofErr w:type="spellEnd"/>
            <w:r w:rsidRPr="001B446F">
              <w:t xml:space="preserve"> </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28 (7.5)</w:t>
            </w:r>
          </w:p>
        </w:tc>
        <w:tc>
          <w:tcPr>
            <w:tcW w:w="650" w:type="pct"/>
            <w:tcBorders>
              <w:top w:val="single" w:sz="4" w:space="0" w:color="auto"/>
              <w:left w:val="single" w:sz="4" w:space="0" w:color="auto"/>
              <w:bottom w:val="single" w:sz="4" w:space="0" w:color="auto"/>
              <w:right w:val="double" w:sz="4" w:space="0" w:color="auto"/>
            </w:tcBorders>
            <w:shd w:val="clear" w:color="auto" w:fill="auto"/>
            <w:vAlign w:val="center"/>
          </w:tcPr>
          <w:p w:rsidR="005C4083" w:rsidRPr="001B446F" w:rsidRDefault="005C4083" w:rsidP="005C4083">
            <w:pPr>
              <w:pStyle w:val="TableText0"/>
              <w:jc w:val="center"/>
            </w:pPr>
            <w:r w:rsidRPr="001B446F">
              <w:t>8 (4.3)</w:t>
            </w:r>
          </w:p>
        </w:tc>
        <w:tc>
          <w:tcPr>
            <w:tcW w:w="650" w:type="pct"/>
            <w:tcBorders>
              <w:top w:val="single" w:sz="4" w:space="0" w:color="auto"/>
              <w:left w:val="double" w:sz="4" w:space="0" w:color="auto"/>
              <w:bottom w:val="single" w:sz="4" w:space="0" w:color="auto"/>
              <w:right w:val="double" w:sz="4" w:space="0" w:color="auto"/>
            </w:tcBorders>
          </w:tcPr>
          <w:p w:rsidR="005C4083" w:rsidRPr="001B446F" w:rsidRDefault="005C4083" w:rsidP="005C4083">
            <w:pPr>
              <w:pStyle w:val="TableText0"/>
              <w:jc w:val="center"/>
            </w:pPr>
            <w:r w:rsidRPr="001B446F">
              <w:t>3 (-1, 7)</w:t>
            </w:r>
          </w:p>
        </w:tc>
        <w:tc>
          <w:tcPr>
            <w:tcW w:w="648" w:type="pct"/>
            <w:tcBorders>
              <w:top w:val="single" w:sz="4" w:space="0" w:color="auto"/>
              <w:left w:val="doub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45 (13.0)</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16 (4.6)</w:t>
            </w:r>
          </w:p>
        </w:tc>
        <w:tc>
          <w:tcPr>
            <w:tcW w:w="648" w:type="pct"/>
            <w:tcBorders>
              <w:top w:val="single" w:sz="4" w:space="0" w:color="auto"/>
              <w:left w:val="single" w:sz="4" w:space="0" w:color="auto"/>
              <w:bottom w:val="single" w:sz="4" w:space="0" w:color="auto"/>
              <w:right w:val="single" w:sz="4" w:space="0" w:color="auto"/>
            </w:tcBorders>
          </w:tcPr>
          <w:p w:rsidR="005C4083" w:rsidRPr="001B446F" w:rsidRDefault="005C4083" w:rsidP="005C4083">
            <w:pPr>
              <w:pStyle w:val="TableText0"/>
              <w:jc w:val="center"/>
            </w:pPr>
            <w:r w:rsidRPr="001B446F">
              <w:t>8 (4, 13)</w:t>
            </w:r>
          </w:p>
        </w:tc>
      </w:tr>
      <w:tr w:rsidR="005C4083" w:rsidRPr="001B446F" w:rsidTr="005C4083">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pPr>
            <w:r w:rsidRPr="001B446F">
              <w:t>Cataract cortical</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proofErr w:type="spellStart"/>
            <w:r w:rsidRPr="001B446F">
              <w:t>nr</w:t>
            </w:r>
            <w:proofErr w:type="spellEnd"/>
          </w:p>
        </w:tc>
        <w:tc>
          <w:tcPr>
            <w:tcW w:w="650" w:type="pct"/>
            <w:tcBorders>
              <w:top w:val="single" w:sz="4" w:space="0" w:color="auto"/>
              <w:left w:val="single" w:sz="4" w:space="0" w:color="auto"/>
              <w:bottom w:val="single" w:sz="4" w:space="0" w:color="auto"/>
              <w:right w:val="double" w:sz="4" w:space="0" w:color="auto"/>
            </w:tcBorders>
            <w:shd w:val="clear" w:color="auto" w:fill="auto"/>
            <w:vAlign w:val="center"/>
          </w:tcPr>
          <w:p w:rsidR="005C4083" w:rsidRPr="001B446F" w:rsidRDefault="005C4083" w:rsidP="005C4083">
            <w:pPr>
              <w:pStyle w:val="TableText0"/>
              <w:jc w:val="center"/>
            </w:pPr>
            <w:proofErr w:type="spellStart"/>
            <w:r w:rsidRPr="001B446F">
              <w:t>nr</w:t>
            </w:r>
            <w:proofErr w:type="spellEnd"/>
          </w:p>
        </w:tc>
        <w:tc>
          <w:tcPr>
            <w:tcW w:w="650" w:type="pct"/>
            <w:tcBorders>
              <w:top w:val="single" w:sz="4" w:space="0" w:color="auto"/>
              <w:left w:val="double" w:sz="4" w:space="0" w:color="auto"/>
              <w:bottom w:val="single" w:sz="4" w:space="0" w:color="auto"/>
              <w:right w:val="double" w:sz="4" w:space="0" w:color="auto"/>
            </w:tcBorders>
          </w:tcPr>
          <w:p w:rsidR="005C4083" w:rsidRPr="001B446F" w:rsidRDefault="005C4083" w:rsidP="005C4083">
            <w:pPr>
              <w:pStyle w:val="TableText0"/>
              <w:jc w:val="center"/>
            </w:pPr>
            <w:r w:rsidRPr="001B446F">
              <w:t>-</w:t>
            </w:r>
          </w:p>
        </w:tc>
        <w:tc>
          <w:tcPr>
            <w:tcW w:w="648" w:type="pct"/>
            <w:tcBorders>
              <w:top w:val="single" w:sz="4" w:space="0" w:color="auto"/>
              <w:left w:val="doub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11 (3.2)</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11 (3.1)</w:t>
            </w:r>
          </w:p>
        </w:tc>
        <w:tc>
          <w:tcPr>
            <w:tcW w:w="648" w:type="pct"/>
            <w:tcBorders>
              <w:top w:val="single" w:sz="4" w:space="0" w:color="auto"/>
              <w:left w:val="single" w:sz="4" w:space="0" w:color="auto"/>
              <w:bottom w:val="single" w:sz="4" w:space="0" w:color="auto"/>
              <w:right w:val="single" w:sz="4" w:space="0" w:color="auto"/>
            </w:tcBorders>
          </w:tcPr>
          <w:p w:rsidR="005C4083" w:rsidRPr="001B446F" w:rsidRDefault="005C4083" w:rsidP="005C4083">
            <w:pPr>
              <w:pStyle w:val="TableText0"/>
              <w:jc w:val="center"/>
            </w:pPr>
            <w:r w:rsidRPr="001B446F">
              <w:t>0 (-3, 3)</w:t>
            </w:r>
          </w:p>
        </w:tc>
      </w:tr>
      <w:tr w:rsidR="005C4083" w:rsidRPr="001B446F" w:rsidTr="005C4083">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pPr>
            <w:r w:rsidRPr="001B446F">
              <w:t xml:space="preserve">Visual acuity reduced </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39 (10.4)</w:t>
            </w:r>
          </w:p>
        </w:tc>
        <w:tc>
          <w:tcPr>
            <w:tcW w:w="650" w:type="pct"/>
            <w:tcBorders>
              <w:top w:val="single" w:sz="4" w:space="0" w:color="auto"/>
              <w:left w:val="single" w:sz="4" w:space="0" w:color="auto"/>
              <w:bottom w:val="single" w:sz="4" w:space="0" w:color="auto"/>
              <w:right w:val="double" w:sz="4" w:space="0" w:color="auto"/>
            </w:tcBorders>
            <w:shd w:val="clear" w:color="auto" w:fill="auto"/>
            <w:vAlign w:val="center"/>
          </w:tcPr>
          <w:p w:rsidR="005C4083" w:rsidRPr="001B446F" w:rsidRDefault="005C4083" w:rsidP="005C4083">
            <w:pPr>
              <w:pStyle w:val="TableText0"/>
              <w:jc w:val="center"/>
            </w:pPr>
            <w:r w:rsidRPr="001B446F">
              <w:t>17 (9.2)</w:t>
            </w:r>
          </w:p>
        </w:tc>
        <w:tc>
          <w:tcPr>
            <w:tcW w:w="650" w:type="pct"/>
            <w:tcBorders>
              <w:top w:val="single" w:sz="4" w:space="0" w:color="auto"/>
              <w:left w:val="double" w:sz="4" w:space="0" w:color="auto"/>
              <w:bottom w:val="single" w:sz="4" w:space="0" w:color="auto"/>
              <w:right w:val="double" w:sz="4" w:space="0" w:color="auto"/>
            </w:tcBorders>
          </w:tcPr>
          <w:p w:rsidR="005C4083" w:rsidRPr="001B446F" w:rsidRDefault="005C4083" w:rsidP="005C4083">
            <w:pPr>
              <w:pStyle w:val="TableText0"/>
              <w:jc w:val="center"/>
            </w:pPr>
            <w:r w:rsidRPr="001B446F">
              <w:t>1 (-4, 6)</w:t>
            </w:r>
          </w:p>
        </w:tc>
        <w:tc>
          <w:tcPr>
            <w:tcW w:w="648" w:type="pct"/>
            <w:tcBorders>
              <w:top w:val="single" w:sz="4" w:space="0" w:color="auto"/>
              <w:left w:val="doub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33 (9.5)</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18 (5.1)</w:t>
            </w:r>
          </w:p>
        </w:tc>
        <w:tc>
          <w:tcPr>
            <w:tcW w:w="648" w:type="pct"/>
            <w:tcBorders>
              <w:top w:val="single" w:sz="4" w:space="0" w:color="auto"/>
              <w:left w:val="single" w:sz="4" w:space="0" w:color="auto"/>
              <w:bottom w:val="single" w:sz="4" w:space="0" w:color="auto"/>
              <w:right w:val="single" w:sz="4" w:space="0" w:color="auto"/>
            </w:tcBorders>
          </w:tcPr>
          <w:p w:rsidR="005C4083" w:rsidRPr="001B446F" w:rsidRDefault="005C4083" w:rsidP="005C4083">
            <w:pPr>
              <w:pStyle w:val="TableText0"/>
              <w:jc w:val="center"/>
            </w:pPr>
            <w:r w:rsidRPr="001B446F">
              <w:t>4 (1, 8)</w:t>
            </w:r>
          </w:p>
        </w:tc>
      </w:tr>
      <w:tr w:rsidR="005C4083" w:rsidRPr="001B446F" w:rsidTr="005C4083">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pPr>
            <w:r w:rsidRPr="001B446F">
              <w:t xml:space="preserve">Visual impairment </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13 (3.5)</w:t>
            </w:r>
          </w:p>
        </w:tc>
        <w:tc>
          <w:tcPr>
            <w:tcW w:w="650" w:type="pct"/>
            <w:tcBorders>
              <w:top w:val="single" w:sz="4" w:space="0" w:color="auto"/>
              <w:left w:val="single" w:sz="4" w:space="0" w:color="auto"/>
              <w:bottom w:val="single" w:sz="4" w:space="0" w:color="auto"/>
              <w:right w:val="double" w:sz="4" w:space="0" w:color="auto"/>
            </w:tcBorders>
            <w:shd w:val="clear" w:color="auto" w:fill="auto"/>
            <w:vAlign w:val="center"/>
          </w:tcPr>
          <w:p w:rsidR="005C4083" w:rsidRPr="001B446F" w:rsidRDefault="005C4083" w:rsidP="005C4083">
            <w:pPr>
              <w:pStyle w:val="TableText0"/>
              <w:jc w:val="center"/>
            </w:pPr>
            <w:r w:rsidRPr="001B446F">
              <w:t>7 (3.8)</w:t>
            </w:r>
          </w:p>
        </w:tc>
        <w:tc>
          <w:tcPr>
            <w:tcW w:w="650" w:type="pct"/>
            <w:tcBorders>
              <w:top w:val="single" w:sz="4" w:space="0" w:color="auto"/>
              <w:left w:val="double" w:sz="4" w:space="0" w:color="auto"/>
              <w:bottom w:val="single" w:sz="4" w:space="0" w:color="auto"/>
              <w:right w:val="double" w:sz="4" w:space="0" w:color="auto"/>
            </w:tcBorders>
          </w:tcPr>
          <w:p w:rsidR="005C4083" w:rsidRPr="001B446F" w:rsidRDefault="005C4083" w:rsidP="005C4083">
            <w:pPr>
              <w:pStyle w:val="TableText0"/>
              <w:jc w:val="center"/>
            </w:pPr>
            <w:r w:rsidRPr="001B446F">
              <w:t>0 (-4, 3)</w:t>
            </w:r>
          </w:p>
        </w:tc>
        <w:tc>
          <w:tcPr>
            <w:tcW w:w="648" w:type="pct"/>
            <w:tcBorders>
              <w:top w:val="single" w:sz="4" w:space="0" w:color="auto"/>
              <w:left w:val="doub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5 (1.4)</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4 (1.1)</w:t>
            </w:r>
          </w:p>
        </w:tc>
        <w:tc>
          <w:tcPr>
            <w:tcW w:w="648" w:type="pct"/>
            <w:tcBorders>
              <w:top w:val="single" w:sz="4" w:space="0" w:color="auto"/>
              <w:left w:val="single" w:sz="4" w:space="0" w:color="auto"/>
              <w:bottom w:val="single" w:sz="4" w:space="0" w:color="auto"/>
              <w:right w:val="single" w:sz="4" w:space="0" w:color="auto"/>
            </w:tcBorders>
          </w:tcPr>
          <w:p w:rsidR="005C4083" w:rsidRPr="001B446F" w:rsidRDefault="005C4083" w:rsidP="005C4083">
            <w:pPr>
              <w:pStyle w:val="TableText0"/>
              <w:jc w:val="center"/>
            </w:pPr>
            <w:r w:rsidRPr="001B446F">
              <w:t>0 (-1, 2)</w:t>
            </w:r>
          </w:p>
        </w:tc>
      </w:tr>
      <w:tr w:rsidR="005C4083" w:rsidRPr="001B446F" w:rsidTr="005C4083">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pPr>
            <w:r w:rsidRPr="001B446F">
              <w:t>Deaths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rPr>
                <w:i/>
                <w:iCs/>
              </w:rPr>
              <w:t>22.5</w:t>
            </w:r>
            <w:r w:rsidRPr="001B446F">
              <w:t xml:space="preserve"> (6.0)</w:t>
            </w:r>
          </w:p>
        </w:tc>
        <w:tc>
          <w:tcPr>
            <w:tcW w:w="650" w:type="pct"/>
            <w:tcBorders>
              <w:top w:val="single" w:sz="4" w:space="0" w:color="auto"/>
              <w:left w:val="single" w:sz="4" w:space="0" w:color="auto"/>
              <w:bottom w:val="single" w:sz="4" w:space="0" w:color="auto"/>
              <w:right w:val="double" w:sz="4" w:space="0" w:color="auto"/>
            </w:tcBorders>
            <w:shd w:val="clear" w:color="auto" w:fill="auto"/>
            <w:vAlign w:val="center"/>
          </w:tcPr>
          <w:p w:rsidR="005C4083" w:rsidRPr="001B446F" w:rsidRDefault="005C4083" w:rsidP="005C4083">
            <w:pPr>
              <w:pStyle w:val="TableText0"/>
              <w:jc w:val="center"/>
            </w:pPr>
            <w:r w:rsidRPr="001B446F">
              <w:rPr>
                <w:iCs/>
              </w:rPr>
              <w:t>14.8</w:t>
            </w:r>
            <w:r w:rsidRPr="001B446F">
              <w:t xml:space="preserve"> (8.0)</w:t>
            </w:r>
          </w:p>
        </w:tc>
        <w:tc>
          <w:tcPr>
            <w:tcW w:w="650" w:type="pct"/>
            <w:tcBorders>
              <w:top w:val="single" w:sz="4" w:space="0" w:color="auto"/>
              <w:left w:val="double" w:sz="4" w:space="0" w:color="auto"/>
              <w:bottom w:val="single" w:sz="4" w:space="0" w:color="auto"/>
              <w:right w:val="double" w:sz="4" w:space="0" w:color="auto"/>
            </w:tcBorders>
          </w:tcPr>
          <w:p w:rsidR="005C4083" w:rsidRPr="001B446F" w:rsidRDefault="005C4083" w:rsidP="005C4083">
            <w:pPr>
              <w:pStyle w:val="TableText0"/>
              <w:jc w:val="center"/>
            </w:pPr>
            <w:r w:rsidRPr="001B446F">
              <w:t>-2 (-7, 3)</w:t>
            </w:r>
          </w:p>
        </w:tc>
        <w:tc>
          <w:tcPr>
            <w:tcW w:w="648" w:type="pct"/>
            <w:tcBorders>
              <w:top w:val="single" w:sz="4" w:space="0" w:color="auto"/>
              <w:left w:val="doub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9 (2.6)</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rsidR="005C4083" w:rsidRPr="001B446F" w:rsidRDefault="005C4083" w:rsidP="005C4083">
            <w:pPr>
              <w:pStyle w:val="TableText0"/>
              <w:jc w:val="center"/>
            </w:pPr>
            <w:r w:rsidRPr="001B446F">
              <w:t>5 (1.4)</w:t>
            </w:r>
          </w:p>
        </w:tc>
        <w:tc>
          <w:tcPr>
            <w:tcW w:w="648" w:type="pct"/>
            <w:tcBorders>
              <w:top w:val="single" w:sz="4" w:space="0" w:color="auto"/>
              <w:left w:val="single" w:sz="4" w:space="0" w:color="auto"/>
              <w:bottom w:val="single" w:sz="4" w:space="0" w:color="auto"/>
              <w:right w:val="single" w:sz="4" w:space="0" w:color="auto"/>
            </w:tcBorders>
          </w:tcPr>
          <w:p w:rsidR="005C4083" w:rsidRPr="001B446F" w:rsidRDefault="005C4083" w:rsidP="005C4083">
            <w:pPr>
              <w:pStyle w:val="TableText0"/>
              <w:jc w:val="center"/>
            </w:pPr>
            <w:r w:rsidRPr="001B446F">
              <w:t>1 (-1, 3)</w:t>
            </w:r>
          </w:p>
        </w:tc>
      </w:tr>
    </w:tbl>
    <w:p w:rsidR="00134929" w:rsidRPr="001B446F" w:rsidRDefault="00134929" w:rsidP="00134929">
      <w:pPr>
        <w:pStyle w:val="TableFigureFooter"/>
        <w:rPr>
          <w:sz w:val="20"/>
        </w:rPr>
      </w:pPr>
      <w:r w:rsidRPr="001B446F">
        <w:t>Source: Table 48, pp101-103; Table 49, pp103-105 of the submission.</w:t>
      </w:r>
      <w:r w:rsidR="005C4083" w:rsidRPr="001B446F">
        <w:t xml:space="preserve"> </w:t>
      </w:r>
      <w:r w:rsidR="005C4083" w:rsidRPr="001B446F">
        <w:rPr>
          <w:i/>
        </w:rPr>
        <w:t>Calculated during evaluation.</w:t>
      </w:r>
    </w:p>
    <w:p w:rsidR="00134929" w:rsidRPr="001B446F" w:rsidRDefault="00A35601" w:rsidP="00134929">
      <w:pPr>
        <w:pStyle w:val="TableFigureFooter"/>
      </w:pPr>
      <w:r w:rsidRPr="001B446F">
        <w:rPr>
          <w:rFonts w:eastAsia="Calibri"/>
        </w:rPr>
        <w:t xml:space="preserve">DEX = dexamethasone; FA = </w:t>
      </w:r>
      <w:proofErr w:type="spellStart"/>
      <w:r w:rsidRPr="001B446F">
        <w:rPr>
          <w:rFonts w:eastAsia="Calibri"/>
        </w:rPr>
        <w:t>fluocinolone</w:t>
      </w:r>
      <w:proofErr w:type="spellEnd"/>
      <w:r w:rsidRPr="001B446F">
        <w:rPr>
          <w:rFonts w:eastAsia="Calibri"/>
        </w:rPr>
        <w:t xml:space="preserve"> </w:t>
      </w:r>
      <w:proofErr w:type="spellStart"/>
      <w:r w:rsidRPr="001B446F">
        <w:rPr>
          <w:rFonts w:eastAsia="Calibri"/>
        </w:rPr>
        <w:t>acetonide</w:t>
      </w:r>
      <w:proofErr w:type="spellEnd"/>
      <w:r w:rsidRPr="001B446F">
        <w:rPr>
          <w:rFonts w:eastAsia="Calibri"/>
        </w:rPr>
        <w:t xml:space="preserve">; </w:t>
      </w:r>
      <w:r w:rsidR="00444B55" w:rsidRPr="001B446F">
        <w:rPr>
          <w:rFonts w:eastAsia="Calibri"/>
        </w:rPr>
        <w:t xml:space="preserve">IOP = intraocular pressure; </w:t>
      </w:r>
      <w:r w:rsidR="00134929" w:rsidRPr="001B446F">
        <w:rPr>
          <w:rFonts w:eastAsia="Calibri"/>
        </w:rPr>
        <w:t xml:space="preserve">n = number of participants reporting data; N = total participants </w:t>
      </w:r>
      <w:proofErr w:type="gramStart"/>
      <w:r w:rsidR="00134929" w:rsidRPr="001B446F">
        <w:rPr>
          <w:rFonts w:eastAsia="Calibri"/>
        </w:rPr>
        <w:t>in group</w:t>
      </w:r>
      <w:proofErr w:type="gramEnd"/>
      <w:r w:rsidR="00134929" w:rsidRPr="001B446F">
        <w:rPr>
          <w:rFonts w:eastAsia="Calibri"/>
        </w:rPr>
        <w:t xml:space="preserve">; </w:t>
      </w:r>
      <w:proofErr w:type="spellStart"/>
      <w:r w:rsidRPr="001B446F">
        <w:rPr>
          <w:rFonts w:eastAsia="Calibri"/>
        </w:rPr>
        <w:t>nr</w:t>
      </w:r>
      <w:proofErr w:type="spellEnd"/>
      <w:r w:rsidRPr="001B446F">
        <w:rPr>
          <w:rFonts w:eastAsia="Calibri"/>
        </w:rPr>
        <w:t xml:space="preserve"> = not reported</w:t>
      </w:r>
      <w:r w:rsidR="00E03FAF" w:rsidRPr="001B446F">
        <w:rPr>
          <w:rFonts w:eastAsia="Calibri"/>
        </w:rPr>
        <w:t>.</w:t>
      </w:r>
    </w:p>
    <w:p w:rsidR="004A249C" w:rsidRPr="001B446F" w:rsidRDefault="004A249C" w:rsidP="00F47C35">
      <w:pPr>
        <w:pStyle w:val="3-BodyText"/>
        <w:spacing w:after="0"/>
        <w:rPr>
          <w:rFonts w:eastAsia="Calibri"/>
        </w:rPr>
      </w:pPr>
      <w:r w:rsidRPr="001B446F">
        <w:rPr>
          <w:rFonts w:eastAsia="Calibri"/>
        </w:rPr>
        <w:t>There were differences in the safety profile between the two populations in the trials with the proportion of patients with increase in intraocular pressure, cataracts and cataract operations higher for FA compared to DEX.</w:t>
      </w:r>
      <w:r w:rsidR="00AE0A31" w:rsidRPr="001B446F">
        <w:rPr>
          <w:rFonts w:eastAsia="Calibri"/>
        </w:rPr>
        <w:t xml:space="preserve"> The ESC considered the high rate of cataract surgery in the FA treatment arm was </w:t>
      </w:r>
      <w:proofErr w:type="gramStart"/>
      <w:r w:rsidR="00AE0A31" w:rsidRPr="001B446F">
        <w:rPr>
          <w:rFonts w:eastAsia="Calibri"/>
        </w:rPr>
        <w:t>not</w:t>
      </w:r>
      <w:r w:rsidR="00E159DF" w:rsidRPr="001B446F">
        <w:rPr>
          <w:rFonts w:eastAsia="Calibri"/>
        </w:rPr>
        <w:t xml:space="preserve"> informative</w:t>
      </w:r>
      <w:proofErr w:type="gramEnd"/>
      <w:r w:rsidR="00AE0A31" w:rsidRPr="001B446F">
        <w:rPr>
          <w:rFonts w:eastAsia="Calibri"/>
        </w:rPr>
        <w:t xml:space="preserve">, as the PBS population must have </w:t>
      </w:r>
      <w:r w:rsidR="00E159DF" w:rsidRPr="001B446F">
        <w:rPr>
          <w:rFonts w:eastAsia="Calibri"/>
        </w:rPr>
        <w:t>had cataract</w:t>
      </w:r>
      <w:r w:rsidR="00C345C8" w:rsidRPr="001B446F">
        <w:rPr>
          <w:rFonts w:eastAsia="Calibri"/>
        </w:rPr>
        <w:t xml:space="preserve"> removed</w:t>
      </w:r>
      <w:r w:rsidR="00AE0A31" w:rsidRPr="001B446F">
        <w:rPr>
          <w:rFonts w:eastAsia="Calibri"/>
        </w:rPr>
        <w:t xml:space="preserve"> or be scheduled for cataract surgery in the affected eye.</w:t>
      </w:r>
    </w:p>
    <w:p w:rsidR="004A249C" w:rsidRPr="001B446F" w:rsidRDefault="004A249C" w:rsidP="004A249C">
      <w:pPr>
        <w:pStyle w:val="4-SubsectionHeading"/>
        <w:rPr>
          <w:rFonts w:eastAsia="Calibri"/>
        </w:rPr>
      </w:pPr>
      <w:bookmarkStart w:id="18" w:name="_Toc22897644"/>
      <w:bookmarkStart w:id="19" w:name="_Toc30496459"/>
      <w:r w:rsidRPr="001B446F">
        <w:t>Clinical claim</w:t>
      </w:r>
      <w:bookmarkEnd w:id="18"/>
      <w:bookmarkEnd w:id="19"/>
    </w:p>
    <w:p w:rsidR="00784FD5" w:rsidRPr="001B446F" w:rsidRDefault="00A5053C" w:rsidP="00784FD5">
      <w:pPr>
        <w:pStyle w:val="3-BodyText"/>
        <w:spacing w:after="0"/>
        <w:rPr>
          <w:rFonts w:eastAsia="Calibri"/>
        </w:rPr>
      </w:pPr>
      <w:r w:rsidRPr="001B446F">
        <w:rPr>
          <w:rFonts w:eastAsia="Calibri"/>
        </w:rPr>
        <w:t xml:space="preserve">The evaluation considered the </w:t>
      </w:r>
      <w:r w:rsidR="005A7821" w:rsidRPr="001B446F">
        <w:rPr>
          <w:rFonts w:eastAsia="Calibri"/>
        </w:rPr>
        <w:t>claim of non-inferior effectiveness</w:t>
      </w:r>
      <w:r w:rsidR="008814A2" w:rsidRPr="001B446F">
        <w:rPr>
          <w:rFonts w:eastAsia="Calibri"/>
        </w:rPr>
        <w:t xml:space="preserve"> of FA</w:t>
      </w:r>
      <w:r w:rsidR="005A7821" w:rsidRPr="001B446F">
        <w:rPr>
          <w:rFonts w:eastAsia="Calibri"/>
        </w:rPr>
        <w:t xml:space="preserve"> versus </w:t>
      </w:r>
      <w:r w:rsidR="00BE6C1B" w:rsidRPr="001B446F">
        <w:rPr>
          <w:rFonts w:eastAsia="Calibri"/>
        </w:rPr>
        <w:t>DEX</w:t>
      </w:r>
      <w:r w:rsidRPr="001B446F">
        <w:rPr>
          <w:rFonts w:eastAsia="Calibri"/>
        </w:rPr>
        <w:t xml:space="preserve"> was not </w:t>
      </w:r>
      <w:r w:rsidR="005F7588" w:rsidRPr="001B446F">
        <w:rPr>
          <w:rFonts w:eastAsia="Calibri"/>
        </w:rPr>
        <w:t xml:space="preserve">adequately </w:t>
      </w:r>
      <w:r w:rsidR="00B75BE2" w:rsidRPr="001B446F">
        <w:rPr>
          <w:rFonts w:eastAsia="Calibri"/>
        </w:rPr>
        <w:t>supported</w:t>
      </w:r>
      <w:r w:rsidR="00D10250" w:rsidRPr="001B446F">
        <w:rPr>
          <w:rFonts w:eastAsia="Calibri"/>
        </w:rPr>
        <w:t xml:space="preserve"> due to</w:t>
      </w:r>
      <w:r w:rsidR="005A7821" w:rsidRPr="001B446F">
        <w:rPr>
          <w:rFonts w:eastAsia="Calibri"/>
        </w:rPr>
        <w:t xml:space="preserve">: </w:t>
      </w:r>
      <w:r w:rsidR="007C70FF" w:rsidRPr="001B446F">
        <w:rPr>
          <w:rFonts w:eastAsia="Calibri"/>
        </w:rPr>
        <w:t xml:space="preserve"> </w:t>
      </w:r>
    </w:p>
    <w:p w:rsidR="00784FD5" w:rsidRPr="001B446F" w:rsidRDefault="007C70FF" w:rsidP="00AD5ABF">
      <w:pPr>
        <w:pStyle w:val="3-BodyText"/>
        <w:numPr>
          <w:ilvl w:val="1"/>
          <w:numId w:val="6"/>
        </w:numPr>
        <w:spacing w:after="0"/>
        <w:ind w:left="1077" w:hanging="357"/>
        <w:rPr>
          <w:rFonts w:eastAsia="Calibri"/>
        </w:rPr>
      </w:pPr>
      <w:r w:rsidRPr="001B446F">
        <w:t xml:space="preserve">the </w:t>
      </w:r>
      <w:r w:rsidR="00754A9A" w:rsidRPr="001B446F">
        <w:t xml:space="preserve">potential </w:t>
      </w:r>
      <w:r w:rsidRPr="001B446F">
        <w:t xml:space="preserve">risk of bias </w:t>
      </w:r>
      <w:r w:rsidR="00494207" w:rsidRPr="001B446F">
        <w:t>in</w:t>
      </w:r>
      <w:r w:rsidRPr="001B446F">
        <w:t xml:space="preserve"> the </w:t>
      </w:r>
      <w:r w:rsidR="00606F93" w:rsidRPr="001B446F">
        <w:t xml:space="preserve">FAME </w:t>
      </w:r>
      <w:r w:rsidRPr="001B446F">
        <w:t>trial</w:t>
      </w:r>
      <w:r w:rsidR="00B86BDB" w:rsidRPr="001B446F">
        <w:t>s</w:t>
      </w:r>
      <w:r w:rsidR="00B75BE2" w:rsidRPr="001B446F">
        <w:t xml:space="preserve"> (</w:t>
      </w:r>
      <w:r w:rsidR="00D10250" w:rsidRPr="001B446F">
        <w:t xml:space="preserve">paragraph </w:t>
      </w:r>
      <w:r w:rsidR="00A5053C" w:rsidRPr="001B446F">
        <w:t>6.6</w:t>
      </w:r>
      <w:r w:rsidR="00B75BE2" w:rsidRPr="001B446F">
        <w:t>)</w:t>
      </w:r>
      <w:r w:rsidR="00784FD5" w:rsidRPr="001B446F">
        <w:t>;</w:t>
      </w:r>
      <w:r w:rsidR="00B75BE2" w:rsidRPr="001B446F">
        <w:t xml:space="preserve"> </w:t>
      </w:r>
    </w:p>
    <w:p w:rsidR="00784FD5" w:rsidRPr="001B446F" w:rsidRDefault="00784FD5" w:rsidP="00AD5ABF">
      <w:pPr>
        <w:pStyle w:val="3-BodyText"/>
        <w:numPr>
          <w:ilvl w:val="1"/>
          <w:numId w:val="6"/>
        </w:numPr>
        <w:spacing w:after="0"/>
        <w:ind w:left="1077" w:hanging="357"/>
        <w:rPr>
          <w:rFonts w:eastAsia="Calibri"/>
        </w:rPr>
      </w:pPr>
      <w:r w:rsidRPr="001B446F">
        <w:t xml:space="preserve">the </w:t>
      </w:r>
      <w:r w:rsidR="00D10250" w:rsidRPr="001B446F">
        <w:t>lack of a</w:t>
      </w:r>
      <w:r w:rsidR="00C5547B" w:rsidRPr="001B446F">
        <w:t xml:space="preserve"> specified</w:t>
      </w:r>
      <w:r w:rsidRPr="001B446F">
        <w:t xml:space="preserve"> non-inferiority margin</w:t>
      </w:r>
      <w:r w:rsidR="00D10250" w:rsidRPr="001B446F">
        <w:t xml:space="preserve"> to determine non-inferiority (rather than basing the claim on a lack of statistical significance</w:t>
      </w:r>
      <w:r w:rsidR="00754A9A" w:rsidRPr="001B446F">
        <w:t>, paragraph 6.</w:t>
      </w:r>
      <w:r w:rsidR="00C5547B" w:rsidRPr="001B446F">
        <w:t>9</w:t>
      </w:r>
      <w:r w:rsidR="00D10250" w:rsidRPr="001B446F">
        <w:t>)</w:t>
      </w:r>
      <w:r w:rsidRPr="001B446F">
        <w:t xml:space="preserve">; and </w:t>
      </w:r>
    </w:p>
    <w:p w:rsidR="00D10250" w:rsidRPr="001B446F" w:rsidRDefault="00D10250" w:rsidP="00AD5ABF">
      <w:pPr>
        <w:pStyle w:val="3-BodyText"/>
        <w:numPr>
          <w:ilvl w:val="1"/>
          <w:numId w:val="6"/>
        </w:numPr>
        <w:spacing w:after="0"/>
        <w:ind w:left="1077" w:hanging="357"/>
      </w:pPr>
      <w:r w:rsidRPr="001B446F">
        <w:t>the</w:t>
      </w:r>
      <w:r w:rsidR="00C5547B" w:rsidRPr="001B446F">
        <w:t xml:space="preserve"> potential</w:t>
      </w:r>
      <w:r w:rsidRPr="001B446F">
        <w:t xml:space="preserve"> transitivity issues across the FAME and MEAD trials (paragraph </w:t>
      </w:r>
      <w:r w:rsidR="00A5053C" w:rsidRPr="001B446F">
        <w:t>6.</w:t>
      </w:r>
      <w:r w:rsidR="00C5547B" w:rsidRPr="001B446F">
        <w:t>8</w:t>
      </w:r>
      <w:r w:rsidRPr="001B446F">
        <w:t>)</w:t>
      </w:r>
      <w:r w:rsidR="00E43B58" w:rsidRPr="001B446F">
        <w:t>; and</w:t>
      </w:r>
    </w:p>
    <w:p w:rsidR="00F973C6" w:rsidRPr="001B446F" w:rsidRDefault="008D34FA" w:rsidP="00AD5ABF">
      <w:pPr>
        <w:pStyle w:val="3-BodyText"/>
        <w:numPr>
          <w:ilvl w:val="1"/>
          <w:numId w:val="6"/>
        </w:numPr>
        <w:spacing w:after="0"/>
        <w:ind w:left="1077" w:hanging="357"/>
      </w:pPr>
      <w:proofErr w:type="gramStart"/>
      <w:r w:rsidRPr="001B446F">
        <w:rPr>
          <w:rFonts w:eastAsia="Calibri"/>
        </w:rPr>
        <w:t>the</w:t>
      </w:r>
      <w:proofErr w:type="gramEnd"/>
      <w:r w:rsidRPr="001B446F">
        <w:rPr>
          <w:rFonts w:eastAsia="Calibri"/>
        </w:rPr>
        <w:t xml:space="preserve"> uncertain comparative effectiveness and safety in the population proposed for </w:t>
      </w:r>
      <w:r w:rsidRPr="001B446F">
        <w:t>PBS listing (</w:t>
      </w:r>
      <w:r w:rsidRPr="001B446F">
        <w:rPr>
          <w:rFonts w:eastAsia="Calibri"/>
        </w:rPr>
        <w:t>patients unsuitable for, contraindicated to, or have failed treatment with VEGF inhibitors)</w:t>
      </w:r>
      <w:r w:rsidRPr="001B446F">
        <w:t xml:space="preserve"> (paragraph </w:t>
      </w:r>
      <w:r w:rsidR="00A5053C" w:rsidRPr="001B446F">
        <w:t>6.</w:t>
      </w:r>
      <w:r w:rsidR="00C5547B" w:rsidRPr="001B446F">
        <w:t>10</w:t>
      </w:r>
      <w:r w:rsidRPr="001B446F">
        <w:t>)</w:t>
      </w:r>
      <w:r w:rsidR="00E43B58" w:rsidRPr="001B446F">
        <w:t>.</w:t>
      </w:r>
    </w:p>
    <w:p w:rsidR="00F973C6" w:rsidRPr="001B446F" w:rsidRDefault="0027251E" w:rsidP="00F973C6">
      <w:pPr>
        <w:pStyle w:val="3-BodyText"/>
        <w:numPr>
          <w:ilvl w:val="0"/>
          <w:numId w:val="0"/>
        </w:numPr>
        <w:spacing w:after="0"/>
        <w:rPr>
          <w:i/>
        </w:rPr>
      </w:pPr>
      <w:r w:rsidRPr="001B446F">
        <w:rPr>
          <w:rFonts w:eastAsia="Calibri"/>
          <w:i/>
        </w:rPr>
        <w:t xml:space="preserve"> </w:t>
      </w:r>
    </w:p>
    <w:p w:rsidR="00360E34" w:rsidRPr="001B446F" w:rsidRDefault="00360E34" w:rsidP="00E9094A">
      <w:pPr>
        <w:pStyle w:val="3-BodyText"/>
        <w:rPr>
          <w:rFonts w:eastAsia="Calibri"/>
        </w:rPr>
      </w:pPr>
      <w:r w:rsidRPr="001B446F">
        <w:rPr>
          <w:rFonts w:eastAsia="Calibri"/>
        </w:rPr>
        <w:t xml:space="preserve">The </w:t>
      </w:r>
      <w:r w:rsidR="002F67F2" w:rsidRPr="001B446F">
        <w:rPr>
          <w:rFonts w:eastAsia="Calibri"/>
        </w:rPr>
        <w:t xml:space="preserve">PBAC agreed with the </w:t>
      </w:r>
      <w:r w:rsidRPr="001B446F">
        <w:rPr>
          <w:rFonts w:eastAsia="Calibri"/>
        </w:rPr>
        <w:t>ESC that</w:t>
      </w:r>
      <w:r w:rsidR="00B86BDB" w:rsidRPr="001B446F">
        <w:rPr>
          <w:rFonts w:eastAsia="Calibri"/>
        </w:rPr>
        <w:t xml:space="preserve"> overall,</w:t>
      </w:r>
      <w:r w:rsidRPr="001B446F">
        <w:rPr>
          <w:rFonts w:eastAsia="Calibri"/>
        </w:rPr>
        <w:t xml:space="preserve"> notwithstanding the issues listed above, FA appears non-inferior to DEX</w:t>
      </w:r>
      <w:r w:rsidR="00AB6C7E" w:rsidRPr="001B446F">
        <w:rPr>
          <w:rFonts w:eastAsia="Calibri"/>
        </w:rPr>
        <w:t xml:space="preserve"> in terms of effectiveness</w:t>
      </w:r>
      <w:r w:rsidRPr="001B446F">
        <w:rPr>
          <w:rFonts w:eastAsia="Calibri"/>
        </w:rPr>
        <w:t xml:space="preserve">, based on a mean difference in BCVA of </w:t>
      </w:r>
      <w:r w:rsidRPr="001B446F">
        <w:t>3.36 (-0.62, 7.34) letters.</w:t>
      </w:r>
      <w:r w:rsidR="00971471" w:rsidRPr="001B446F">
        <w:t xml:space="preserve"> The PBAC </w:t>
      </w:r>
      <w:r w:rsidR="00C345C8" w:rsidRPr="001B446F">
        <w:t xml:space="preserve">noted it had </w:t>
      </w:r>
      <w:r w:rsidR="00971471" w:rsidRPr="001B446F">
        <w:t>previously indicated that “a mean BCVA change of -5 letters in the lower bound non-inferiority limit was probably reasonable” (paragraph 6.9</w:t>
      </w:r>
      <w:r w:rsidR="00C345C8" w:rsidRPr="001B446F">
        <w:t>) and t</w:t>
      </w:r>
      <w:r w:rsidR="00DA6FAA" w:rsidRPr="001B446F">
        <w:t>he lower confidence interval (-0.62) support</w:t>
      </w:r>
      <w:r w:rsidR="00AE0A31" w:rsidRPr="001B446F">
        <w:t>ed</w:t>
      </w:r>
      <w:r w:rsidR="00DA6FAA" w:rsidRPr="001B446F">
        <w:t xml:space="preserve"> non-inferiority.</w:t>
      </w:r>
    </w:p>
    <w:p w:rsidR="003F2BAB" w:rsidRPr="001B446F" w:rsidRDefault="005F7588" w:rsidP="00E9094A">
      <w:pPr>
        <w:pStyle w:val="3-BodyText"/>
        <w:rPr>
          <w:rFonts w:eastAsia="Calibri"/>
        </w:rPr>
      </w:pPr>
      <w:r w:rsidRPr="001B446F">
        <w:rPr>
          <w:rFonts w:eastAsia="Calibri"/>
        </w:rPr>
        <w:t xml:space="preserve">The submission described </w:t>
      </w:r>
      <w:r w:rsidR="00BE6C1B" w:rsidRPr="001B446F">
        <w:rPr>
          <w:rFonts w:eastAsia="Calibri"/>
        </w:rPr>
        <w:t>FA</w:t>
      </w:r>
      <w:r w:rsidR="00B75BE2" w:rsidRPr="001B446F">
        <w:rPr>
          <w:rFonts w:eastAsia="Calibri"/>
        </w:rPr>
        <w:t xml:space="preserve"> </w:t>
      </w:r>
      <w:r w:rsidRPr="001B446F">
        <w:rPr>
          <w:rFonts w:eastAsia="Calibri"/>
        </w:rPr>
        <w:t>as non-inferior in term</w:t>
      </w:r>
      <w:r w:rsidR="00156F8F" w:rsidRPr="001B446F">
        <w:rPr>
          <w:rFonts w:eastAsia="Calibri"/>
        </w:rPr>
        <w:t>s</w:t>
      </w:r>
      <w:r w:rsidRPr="001B446F">
        <w:rPr>
          <w:rFonts w:eastAsia="Calibri"/>
        </w:rPr>
        <w:t xml:space="preserve"> of safety compared to </w:t>
      </w:r>
      <w:r w:rsidR="00BE6C1B" w:rsidRPr="001B446F">
        <w:rPr>
          <w:rFonts w:eastAsia="Calibri"/>
        </w:rPr>
        <w:t>DEX</w:t>
      </w:r>
      <w:r w:rsidRPr="001B446F">
        <w:rPr>
          <w:rFonts w:eastAsia="Calibri"/>
        </w:rPr>
        <w:t xml:space="preserve">. </w:t>
      </w:r>
      <w:r w:rsidR="00010CF3" w:rsidRPr="001B446F">
        <w:rPr>
          <w:rFonts w:eastAsia="Calibri"/>
        </w:rPr>
        <w:t>T</w:t>
      </w:r>
      <w:r w:rsidRPr="001B446F">
        <w:rPr>
          <w:rFonts w:eastAsia="Calibri"/>
        </w:rPr>
        <w:t>h</w:t>
      </w:r>
      <w:r w:rsidR="00AE0A31" w:rsidRPr="001B446F">
        <w:rPr>
          <w:rFonts w:eastAsia="Calibri"/>
        </w:rPr>
        <w:t>e evaluation considered this</w:t>
      </w:r>
      <w:r w:rsidRPr="001B446F">
        <w:rPr>
          <w:rFonts w:eastAsia="Calibri"/>
        </w:rPr>
        <w:t xml:space="preserve"> claim </w:t>
      </w:r>
      <w:proofErr w:type="gramStart"/>
      <w:r w:rsidR="00010CF3" w:rsidRPr="001B446F">
        <w:rPr>
          <w:rFonts w:eastAsia="Calibri"/>
        </w:rPr>
        <w:t xml:space="preserve">may </w:t>
      </w:r>
      <w:r w:rsidR="007C70FF" w:rsidRPr="001B446F">
        <w:rPr>
          <w:rFonts w:eastAsia="Calibri"/>
        </w:rPr>
        <w:t>not</w:t>
      </w:r>
      <w:r w:rsidR="00010CF3" w:rsidRPr="001B446F">
        <w:rPr>
          <w:rFonts w:eastAsia="Calibri"/>
        </w:rPr>
        <w:t xml:space="preserve"> be</w:t>
      </w:r>
      <w:r w:rsidR="00B75BE2" w:rsidRPr="001B446F">
        <w:rPr>
          <w:rFonts w:eastAsia="Calibri"/>
        </w:rPr>
        <w:t xml:space="preserve"> </w:t>
      </w:r>
      <w:r w:rsidRPr="001B446F">
        <w:rPr>
          <w:rFonts w:eastAsia="Calibri"/>
        </w:rPr>
        <w:t>adequately supported</w:t>
      </w:r>
      <w:proofErr w:type="gramEnd"/>
      <w:r w:rsidR="00B75BE2" w:rsidRPr="001B446F">
        <w:rPr>
          <w:rFonts w:eastAsia="Calibri"/>
        </w:rPr>
        <w:t xml:space="preserve"> </w:t>
      </w:r>
      <w:r w:rsidR="00D5000A" w:rsidRPr="001B446F">
        <w:rPr>
          <w:rFonts w:eastAsia="Calibri"/>
        </w:rPr>
        <w:t xml:space="preserve">because </w:t>
      </w:r>
      <w:r w:rsidR="001D2324" w:rsidRPr="001B446F">
        <w:t>IOP</w:t>
      </w:r>
      <w:r w:rsidR="00B57DD4" w:rsidRPr="001B446F">
        <w:t>, cataracts and cataract operations</w:t>
      </w:r>
      <w:r w:rsidR="00B57DD4" w:rsidRPr="001B446F" w:rsidDel="00B57DD4">
        <w:rPr>
          <w:rFonts w:eastAsia="Calibri"/>
        </w:rPr>
        <w:t xml:space="preserve"> </w:t>
      </w:r>
      <w:r w:rsidR="00B57DD4" w:rsidRPr="001B446F">
        <w:rPr>
          <w:rFonts w:eastAsia="Calibri"/>
        </w:rPr>
        <w:t xml:space="preserve">were more frequent adverse events in the </w:t>
      </w:r>
      <w:r w:rsidR="00BE6C1B" w:rsidRPr="001B446F">
        <w:rPr>
          <w:rFonts w:eastAsia="Calibri"/>
        </w:rPr>
        <w:t>FA</w:t>
      </w:r>
      <w:r w:rsidR="00B57DD4" w:rsidRPr="001B446F">
        <w:rPr>
          <w:rFonts w:eastAsia="Calibri"/>
        </w:rPr>
        <w:t xml:space="preserve"> population</w:t>
      </w:r>
      <w:r w:rsidR="007C70FF" w:rsidRPr="001B446F">
        <w:rPr>
          <w:rFonts w:eastAsia="Calibri"/>
        </w:rPr>
        <w:t>.</w:t>
      </w:r>
      <w:r w:rsidR="00712390" w:rsidRPr="001B446F">
        <w:rPr>
          <w:rFonts w:eastAsia="Calibri"/>
        </w:rPr>
        <w:t xml:space="preserve"> </w:t>
      </w:r>
      <w:r w:rsidR="00EF2055" w:rsidRPr="001B446F">
        <w:rPr>
          <w:rFonts w:eastAsia="Calibri"/>
        </w:rPr>
        <w:t>T</w:t>
      </w:r>
      <w:r w:rsidR="00712390" w:rsidRPr="001B446F">
        <w:rPr>
          <w:rFonts w:eastAsia="Calibri"/>
        </w:rPr>
        <w:t xml:space="preserve">he </w:t>
      </w:r>
      <w:r w:rsidR="00203457" w:rsidRPr="001B446F">
        <w:rPr>
          <w:rFonts w:eastAsia="Calibri"/>
        </w:rPr>
        <w:t xml:space="preserve">PBAC agreed with the </w:t>
      </w:r>
      <w:r w:rsidR="00712390" w:rsidRPr="001B446F">
        <w:rPr>
          <w:rFonts w:eastAsia="Calibri"/>
        </w:rPr>
        <w:t xml:space="preserve">ESC </w:t>
      </w:r>
      <w:r w:rsidR="00203457" w:rsidRPr="001B446F">
        <w:rPr>
          <w:rFonts w:eastAsia="Calibri"/>
        </w:rPr>
        <w:t xml:space="preserve">that </w:t>
      </w:r>
      <w:r w:rsidR="00712390" w:rsidRPr="001B446F">
        <w:rPr>
          <w:rFonts w:eastAsia="Calibri"/>
        </w:rPr>
        <w:t xml:space="preserve">the more frequent adverse events </w:t>
      </w:r>
      <w:r w:rsidR="00712390" w:rsidRPr="001B446F">
        <w:rPr>
          <w:rFonts w:eastAsia="Calibri"/>
        </w:rPr>
        <w:lastRenderedPageBreak/>
        <w:t>described</w:t>
      </w:r>
      <w:r w:rsidR="006D327F" w:rsidRPr="001B446F">
        <w:rPr>
          <w:rFonts w:eastAsia="Calibri"/>
        </w:rPr>
        <w:t xml:space="preserve"> </w:t>
      </w:r>
      <w:r w:rsidR="00360E34" w:rsidRPr="001B446F">
        <w:rPr>
          <w:rFonts w:eastAsia="Calibri"/>
        </w:rPr>
        <w:t>were</w:t>
      </w:r>
      <w:r w:rsidR="00712390" w:rsidRPr="001B446F">
        <w:rPr>
          <w:rFonts w:eastAsia="Calibri"/>
        </w:rPr>
        <w:t xml:space="preserve"> not </w:t>
      </w:r>
      <w:proofErr w:type="gramStart"/>
      <w:r w:rsidR="00C345C8" w:rsidRPr="001B446F">
        <w:rPr>
          <w:rFonts w:eastAsia="Calibri"/>
        </w:rPr>
        <w:t>informative</w:t>
      </w:r>
      <w:r w:rsidR="00360E34" w:rsidRPr="001B446F">
        <w:rPr>
          <w:rFonts w:eastAsia="Calibri"/>
        </w:rPr>
        <w:t>,</w:t>
      </w:r>
      <w:proofErr w:type="gramEnd"/>
      <w:r w:rsidR="00712390" w:rsidRPr="001B446F">
        <w:rPr>
          <w:rFonts w:eastAsia="Calibri"/>
        </w:rPr>
        <w:t xml:space="preserve"> as </w:t>
      </w:r>
      <w:r w:rsidR="00360E34" w:rsidRPr="001B446F">
        <w:rPr>
          <w:rFonts w:eastAsia="Calibri"/>
        </w:rPr>
        <w:t xml:space="preserve">the requested PBS patient </w:t>
      </w:r>
      <w:r w:rsidR="00712390" w:rsidRPr="001B446F">
        <w:rPr>
          <w:rFonts w:eastAsia="Calibri"/>
        </w:rPr>
        <w:t>population</w:t>
      </w:r>
      <w:r w:rsidR="00203457" w:rsidRPr="001B446F">
        <w:rPr>
          <w:rFonts w:eastAsia="Calibri"/>
        </w:rPr>
        <w:t xml:space="preserve"> must have had a cataract removed</w:t>
      </w:r>
      <w:r w:rsidR="00AE0A31" w:rsidRPr="001B446F">
        <w:rPr>
          <w:rFonts w:eastAsia="Calibri"/>
        </w:rPr>
        <w:t xml:space="preserve"> </w:t>
      </w:r>
      <w:r w:rsidR="00712390" w:rsidRPr="001B446F">
        <w:rPr>
          <w:rFonts w:eastAsia="Calibri"/>
        </w:rPr>
        <w:t xml:space="preserve">or </w:t>
      </w:r>
      <w:r w:rsidR="00203457" w:rsidRPr="001B446F">
        <w:rPr>
          <w:rFonts w:eastAsia="Calibri"/>
        </w:rPr>
        <w:t xml:space="preserve">be </w:t>
      </w:r>
      <w:r w:rsidR="00712390" w:rsidRPr="001B446F">
        <w:rPr>
          <w:rFonts w:eastAsia="Calibri"/>
        </w:rPr>
        <w:t xml:space="preserve">scheduled for cataract surgery in </w:t>
      </w:r>
      <w:r w:rsidR="006D327F" w:rsidRPr="001B446F">
        <w:rPr>
          <w:rFonts w:eastAsia="Calibri"/>
        </w:rPr>
        <w:t xml:space="preserve">the </w:t>
      </w:r>
      <w:r w:rsidR="00712390" w:rsidRPr="001B446F">
        <w:rPr>
          <w:rFonts w:eastAsia="Calibri"/>
        </w:rPr>
        <w:t>affected eye.</w:t>
      </w:r>
      <w:r w:rsidR="003F2BAB" w:rsidRPr="001B446F">
        <w:rPr>
          <w:rFonts w:eastAsia="Calibri"/>
        </w:rPr>
        <w:t xml:space="preserve"> </w:t>
      </w:r>
    </w:p>
    <w:p w:rsidR="00F46744" w:rsidRPr="001B446F" w:rsidRDefault="00F46744" w:rsidP="00252D98">
      <w:pPr>
        <w:pStyle w:val="3-BodyText"/>
        <w:rPr>
          <w:rFonts w:eastAsia="Calibri"/>
        </w:rPr>
      </w:pPr>
      <w:r w:rsidRPr="001B446F">
        <w:rPr>
          <w:rFonts w:eastAsia="Calibri"/>
        </w:rPr>
        <w:t xml:space="preserve">The PBAC considered </w:t>
      </w:r>
      <w:r w:rsidR="004A5B70" w:rsidRPr="001B446F">
        <w:rPr>
          <w:rFonts w:eastAsia="Calibri"/>
        </w:rPr>
        <w:t xml:space="preserve">the benefit was modest in terms of effectiveness </w:t>
      </w:r>
      <w:r w:rsidR="00252D98" w:rsidRPr="001B446F">
        <w:rPr>
          <w:rFonts w:eastAsia="Calibri"/>
        </w:rPr>
        <w:t>for both DEX</w:t>
      </w:r>
      <w:r w:rsidR="004A5B70" w:rsidRPr="001B446F">
        <w:rPr>
          <w:rFonts w:eastAsia="Calibri"/>
        </w:rPr>
        <w:t xml:space="preserve"> and </w:t>
      </w:r>
      <w:r w:rsidR="00252D98" w:rsidRPr="001B446F">
        <w:rPr>
          <w:rFonts w:eastAsia="Calibri"/>
        </w:rPr>
        <w:t>FA</w:t>
      </w:r>
      <w:r w:rsidR="00C345C8" w:rsidRPr="001B446F">
        <w:rPr>
          <w:rFonts w:eastAsia="Calibri"/>
        </w:rPr>
        <w:t xml:space="preserve"> with the risk difference for the proportion of patients achieving a</w:t>
      </w:r>
      <w:r w:rsidR="00252D98" w:rsidRPr="001B446F">
        <w:rPr>
          <w:rFonts w:eastAsia="Calibri"/>
        </w:rPr>
        <w:t xml:space="preserve"> </w:t>
      </w:r>
      <w:r w:rsidR="00C345C8" w:rsidRPr="001B446F">
        <w:t>≥ 10-letter or ≥ 1</w:t>
      </w:r>
      <w:r w:rsidR="00B462E4">
        <w:t>5</w:t>
      </w:r>
      <w:r w:rsidR="00C345C8" w:rsidRPr="001B446F">
        <w:t>-letter improvement in BCVA over 36 months versus sham injection ranging from 9.6% to 12.5%</w:t>
      </w:r>
      <w:r w:rsidR="00C345C8" w:rsidRPr="001B446F">
        <w:rPr>
          <w:rFonts w:eastAsia="Calibri"/>
        </w:rPr>
        <w:t xml:space="preserve">. However, the PBAC considered </w:t>
      </w:r>
      <w:r w:rsidRPr="001B446F">
        <w:rPr>
          <w:rFonts w:eastAsia="Calibri"/>
        </w:rPr>
        <w:t>the claim of non-inferior comparative effectiveness was reasonable</w:t>
      </w:r>
      <w:r w:rsidR="004A5B70" w:rsidRPr="001B446F">
        <w:rPr>
          <w:rFonts w:eastAsia="Calibri"/>
        </w:rPr>
        <w:t>.</w:t>
      </w:r>
      <w:r w:rsidR="00252D98" w:rsidRPr="001B446F">
        <w:t xml:space="preserve"> </w:t>
      </w:r>
    </w:p>
    <w:p w:rsidR="00F46744" w:rsidRPr="001B446F" w:rsidRDefault="00F46744" w:rsidP="00F46744">
      <w:pPr>
        <w:pStyle w:val="3-BodyText"/>
        <w:rPr>
          <w:rFonts w:eastAsia="Calibri"/>
        </w:rPr>
      </w:pPr>
      <w:r w:rsidRPr="001B446F">
        <w:rPr>
          <w:rFonts w:eastAsia="Calibri"/>
        </w:rPr>
        <w:t xml:space="preserve">The PBAC considered that the claim </w:t>
      </w:r>
      <w:r w:rsidR="00186F11" w:rsidRPr="001B446F">
        <w:rPr>
          <w:rFonts w:eastAsia="Calibri"/>
        </w:rPr>
        <w:t xml:space="preserve">of </w:t>
      </w:r>
      <w:r w:rsidRPr="001B446F">
        <w:rPr>
          <w:rFonts w:eastAsia="Calibri"/>
        </w:rPr>
        <w:t xml:space="preserve">non-inferior comparative safety was </w:t>
      </w:r>
      <w:r w:rsidR="00186F11" w:rsidRPr="001B446F">
        <w:rPr>
          <w:rFonts w:eastAsia="Calibri"/>
        </w:rPr>
        <w:t xml:space="preserve">uncertain </w:t>
      </w:r>
      <w:r w:rsidR="00E831E6" w:rsidRPr="001B446F">
        <w:rPr>
          <w:rFonts w:eastAsia="Calibri"/>
        </w:rPr>
        <w:t xml:space="preserve">because the clinical data provided was not in the proposed PBS population (i.e. have had, or are scheduled for, cataract removal) </w:t>
      </w:r>
      <w:r w:rsidR="00186F11" w:rsidRPr="001B446F">
        <w:rPr>
          <w:rFonts w:eastAsia="Calibri"/>
        </w:rPr>
        <w:t xml:space="preserve">but, on balance, was </w:t>
      </w:r>
      <w:r w:rsidR="00E831E6" w:rsidRPr="001B446F">
        <w:rPr>
          <w:rFonts w:eastAsia="Calibri"/>
        </w:rPr>
        <w:t xml:space="preserve">likely to be </w:t>
      </w:r>
      <w:r w:rsidR="00186F11" w:rsidRPr="001B446F">
        <w:rPr>
          <w:rFonts w:eastAsia="Calibri"/>
        </w:rPr>
        <w:t xml:space="preserve">reasonable.  </w:t>
      </w:r>
    </w:p>
    <w:p w:rsidR="00B60939" w:rsidRPr="001B446F" w:rsidRDefault="00B60939" w:rsidP="00E9094A">
      <w:pPr>
        <w:pStyle w:val="4-SubsectionHeading"/>
      </w:pPr>
      <w:bookmarkStart w:id="20" w:name="_Toc22897645"/>
      <w:bookmarkStart w:id="21" w:name="_Toc30496460"/>
      <w:r w:rsidRPr="001B446F">
        <w:t>Economic analysis</w:t>
      </w:r>
      <w:bookmarkEnd w:id="20"/>
      <w:bookmarkEnd w:id="21"/>
      <w:r w:rsidR="00491B3A" w:rsidRPr="001B446F">
        <w:t xml:space="preserve"> </w:t>
      </w:r>
    </w:p>
    <w:p w:rsidR="00292330" w:rsidRPr="001B446F" w:rsidRDefault="00292330" w:rsidP="00292330">
      <w:pPr>
        <w:pStyle w:val="3-BodyText"/>
      </w:pPr>
      <w:r w:rsidRPr="001B446F">
        <w:t xml:space="preserve">The submission presented a cost-minimisation analysis (CMA) using the published </w:t>
      </w:r>
      <w:r w:rsidR="009503C8" w:rsidRPr="001B446F">
        <w:t xml:space="preserve">dispensed price for maximum quantity (DPMQ) </w:t>
      </w:r>
      <w:r w:rsidRPr="001B446F">
        <w:t xml:space="preserve">for DEX. </w:t>
      </w:r>
      <w:r w:rsidR="009503C8" w:rsidRPr="001B446F">
        <w:t xml:space="preserve">It is noted that </w:t>
      </w:r>
      <w:proofErr w:type="gramStart"/>
      <w:r w:rsidR="009503C8" w:rsidRPr="001B446F">
        <w:t xml:space="preserve">pricing agreements are made by Government under the </w:t>
      </w:r>
      <w:r w:rsidR="009503C8" w:rsidRPr="00037D18">
        <w:rPr>
          <w:i/>
        </w:rPr>
        <w:t>National Health Act 1953</w:t>
      </w:r>
      <w:r w:rsidR="009503C8" w:rsidRPr="001B446F">
        <w:t xml:space="preserve"> at the ex-manufacturer level</w:t>
      </w:r>
      <w:proofErr w:type="gramEnd"/>
      <w:r w:rsidR="009503C8" w:rsidRPr="001B446F">
        <w:t xml:space="preserve"> and, as such, the prices would be agreed on this basis. It is not usually the case that pharmacy and wholesaler mark-ups are considered for the purpose of cost-</w:t>
      </w:r>
      <w:proofErr w:type="gramStart"/>
      <w:r w:rsidR="009503C8" w:rsidRPr="001B446F">
        <w:t>minimisation</w:t>
      </w:r>
      <w:proofErr w:type="gramEnd"/>
      <w:r w:rsidR="009503C8" w:rsidRPr="001B446F">
        <w:t xml:space="preserve"> as they do not relate to the cost of the medicine.</w:t>
      </w:r>
      <w:r w:rsidRPr="001B446F">
        <w:t xml:space="preserve"> The CMA should have used the published AEMP for DEX to determine the price for FA.</w:t>
      </w:r>
    </w:p>
    <w:p w:rsidR="00275C5A" w:rsidRPr="001B446F" w:rsidRDefault="00112FEB" w:rsidP="00641FB3">
      <w:pPr>
        <w:pStyle w:val="3-BodyText"/>
      </w:pPr>
      <w:r w:rsidRPr="001B446F">
        <w:t xml:space="preserve">Results of the </w:t>
      </w:r>
      <w:r w:rsidR="0021364C" w:rsidRPr="001B446F">
        <w:t>CMA</w:t>
      </w:r>
      <w:r w:rsidRPr="001B446F">
        <w:t xml:space="preserve"> </w:t>
      </w:r>
      <w:r w:rsidR="000B35ED" w:rsidRPr="001B446F">
        <w:t xml:space="preserve">based on published prices </w:t>
      </w:r>
      <w:proofErr w:type="gramStart"/>
      <w:r w:rsidRPr="001B446F">
        <w:t>are shown</w:t>
      </w:r>
      <w:proofErr w:type="gramEnd"/>
      <w:r w:rsidRPr="001B446F">
        <w:t xml:space="preserve"> in Table 8.</w:t>
      </w:r>
      <w:r w:rsidR="000B35ED" w:rsidRPr="001B446F">
        <w:t xml:space="preserve"> </w:t>
      </w:r>
    </w:p>
    <w:p w:rsidR="00FA7D35" w:rsidRPr="001B446F" w:rsidRDefault="00FA7D35" w:rsidP="00FA7D35">
      <w:pPr>
        <w:pStyle w:val="TableFigureHeading"/>
      </w:pPr>
      <w:r w:rsidRPr="001B446F">
        <w:rPr>
          <w:rStyle w:val="CommentReference"/>
          <w:b/>
          <w:szCs w:val="24"/>
        </w:rPr>
        <w:t>Table 8: Results of the cost minimisation analysis conducted by the submission (using DPMQ values)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098"/>
        <w:gridCol w:w="2126"/>
        <w:gridCol w:w="1793"/>
      </w:tblGrid>
      <w:tr w:rsidR="0055434B" w:rsidRPr="001B446F" w:rsidTr="0021364C">
        <w:trPr>
          <w:cantSplit/>
          <w:tblHeader/>
        </w:trPr>
        <w:tc>
          <w:tcPr>
            <w:tcW w:w="2827" w:type="pct"/>
            <w:tcBorders>
              <w:top w:val="single" w:sz="4" w:space="0" w:color="auto"/>
              <w:left w:val="single" w:sz="4" w:space="0" w:color="auto"/>
              <w:bottom w:val="single" w:sz="4" w:space="0" w:color="auto"/>
              <w:right w:val="single" w:sz="4" w:space="0" w:color="auto"/>
            </w:tcBorders>
            <w:shd w:val="clear" w:color="auto" w:fill="FFFFFF"/>
          </w:tcPr>
          <w:p w:rsidR="0055434B" w:rsidRPr="001B446F" w:rsidRDefault="0055434B" w:rsidP="00FA7D35">
            <w:pPr>
              <w:pStyle w:val="In-tableHeading"/>
              <w:jc w:val="center"/>
              <w:rPr>
                <w:lang w:val="en-AU"/>
              </w:rPr>
            </w:pPr>
          </w:p>
        </w:tc>
        <w:tc>
          <w:tcPr>
            <w:tcW w:w="1179" w:type="pct"/>
            <w:tcBorders>
              <w:top w:val="single" w:sz="4" w:space="0" w:color="auto"/>
              <w:left w:val="single" w:sz="4" w:space="0" w:color="auto"/>
              <w:bottom w:val="single" w:sz="4" w:space="0" w:color="auto"/>
              <w:right w:val="single" w:sz="4" w:space="0" w:color="auto"/>
            </w:tcBorders>
            <w:shd w:val="clear" w:color="auto" w:fill="FFFFFF"/>
          </w:tcPr>
          <w:p w:rsidR="0055434B" w:rsidRPr="001B446F" w:rsidRDefault="0055434B" w:rsidP="00FA7D35">
            <w:pPr>
              <w:pStyle w:val="In-tableHeading"/>
              <w:jc w:val="center"/>
              <w:rPr>
                <w:lang w:val="en-AU"/>
              </w:rPr>
            </w:pPr>
            <w:proofErr w:type="spellStart"/>
            <w:r w:rsidRPr="001B446F">
              <w:rPr>
                <w:lang w:val="en-AU"/>
              </w:rPr>
              <w:t>Fluocinolone</w:t>
            </w:r>
            <w:proofErr w:type="spellEnd"/>
            <w:r w:rsidRPr="001B446F">
              <w:rPr>
                <w:lang w:val="en-AU"/>
              </w:rPr>
              <w:t xml:space="preserve"> </w:t>
            </w:r>
            <w:proofErr w:type="spellStart"/>
            <w:r w:rsidRPr="001B446F">
              <w:rPr>
                <w:lang w:val="en-AU"/>
              </w:rPr>
              <w:t>acetonide</w:t>
            </w:r>
            <w:proofErr w:type="spellEnd"/>
          </w:p>
        </w:tc>
        <w:tc>
          <w:tcPr>
            <w:tcW w:w="994" w:type="pct"/>
            <w:tcBorders>
              <w:top w:val="single" w:sz="4" w:space="0" w:color="auto"/>
              <w:left w:val="single" w:sz="4" w:space="0" w:color="auto"/>
              <w:bottom w:val="single" w:sz="4" w:space="0" w:color="auto"/>
              <w:right w:val="single" w:sz="4" w:space="0" w:color="auto"/>
            </w:tcBorders>
            <w:shd w:val="clear" w:color="auto" w:fill="FFFFFF"/>
          </w:tcPr>
          <w:p w:rsidR="0055434B" w:rsidRPr="001B446F" w:rsidRDefault="0055434B" w:rsidP="00FA7D35">
            <w:pPr>
              <w:pStyle w:val="In-tableHeading"/>
              <w:jc w:val="center"/>
              <w:rPr>
                <w:lang w:val="en-AU"/>
              </w:rPr>
            </w:pPr>
            <w:r w:rsidRPr="001B446F">
              <w:rPr>
                <w:lang w:val="en-AU"/>
              </w:rPr>
              <w:t>Dexamethasone</w:t>
            </w:r>
          </w:p>
        </w:tc>
      </w:tr>
      <w:tr w:rsidR="0055434B" w:rsidRPr="001B446F" w:rsidTr="0021364C">
        <w:trPr>
          <w:cantSplit/>
        </w:trPr>
        <w:tc>
          <w:tcPr>
            <w:tcW w:w="2827" w:type="pct"/>
            <w:tcBorders>
              <w:top w:val="single" w:sz="4" w:space="0" w:color="auto"/>
              <w:left w:val="single" w:sz="4" w:space="0" w:color="auto"/>
              <w:bottom w:val="single" w:sz="4" w:space="0" w:color="auto"/>
              <w:right w:val="single" w:sz="4" w:space="0" w:color="auto"/>
            </w:tcBorders>
            <w:shd w:val="clear" w:color="auto" w:fill="auto"/>
          </w:tcPr>
          <w:p w:rsidR="0055434B" w:rsidRPr="001B446F" w:rsidRDefault="0055434B" w:rsidP="00FA7D35">
            <w:pPr>
              <w:pStyle w:val="TableText0"/>
            </w:pPr>
            <w:r w:rsidRPr="001B446F">
              <w:t>Drug cost</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55434B" w:rsidRPr="000D0CD4" w:rsidRDefault="0055434B" w:rsidP="00FA7D35">
            <w:pPr>
              <w:pStyle w:val="TableText0"/>
              <w:jc w:val="center"/>
            </w:pPr>
            <w:r w:rsidRPr="001B446F">
              <w:t>$</w:t>
            </w:r>
            <w:r w:rsidRPr="000D0CD4">
              <w:t>9,486.83</w:t>
            </w:r>
          </w:p>
          <w:p w:rsidR="0055434B" w:rsidRPr="001B446F" w:rsidRDefault="0055434B" w:rsidP="00FA7D35">
            <w:pPr>
              <w:pStyle w:val="TableText0"/>
              <w:jc w:val="center"/>
              <w:rPr>
                <w:i/>
                <w:iCs/>
              </w:rPr>
            </w:pP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55434B" w:rsidRPr="00957453" w:rsidRDefault="0055434B" w:rsidP="00FA7D35">
            <w:pPr>
              <w:pStyle w:val="TableText0"/>
              <w:jc w:val="center"/>
            </w:pPr>
            <w:r w:rsidRPr="001B446F">
              <w:t>$</w:t>
            </w:r>
            <w:r w:rsidRPr="00EB0EE1">
              <w:t>8,781.57</w:t>
            </w:r>
          </w:p>
          <w:p w:rsidR="0055434B" w:rsidRPr="001B446F" w:rsidRDefault="0055434B" w:rsidP="00FA7D35">
            <w:pPr>
              <w:pStyle w:val="TableText0"/>
              <w:jc w:val="center"/>
              <w:rPr>
                <w:i/>
                <w:iCs/>
              </w:rPr>
            </w:pPr>
          </w:p>
        </w:tc>
      </w:tr>
      <w:tr w:rsidR="0055434B" w:rsidRPr="001B446F" w:rsidTr="0021364C">
        <w:trPr>
          <w:cantSplit/>
        </w:trPr>
        <w:tc>
          <w:tcPr>
            <w:tcW w:w="2827" w:type="pct"/>
            <w:tcBorders>
              <w:top w:val="single" w:sz="4" w:space="0" w:color="auto"/>
              <w:left w:val="single" w:sz="4" w:space="0" w:color="auto"/>
              <w:bottom w:val="single" w:sz="4" w:space="0" w:color="auto"/>
              <w:right w:val="single" w:sz="4" w:space="0" w:color="auto"/>
            </w:tcBorders>
            <w:shd w:val="clear" w:color="auto" w:fill="auto"/>
          </w:tcPr>
          <w:p w:rsidR="0055434B" w:rsidRPr="001B446F" w:rsidRDefault="0055434B" w:rsidP="007A6F29">
            <w:pPr>
              <w:pStyle w:val="TableText0"/>
            </w:pPr>
            <w:r w:rsidRPr="001B446F">
              <w:t>Administration costs</w:t>
            </w:r>
            <w:r w:rsidR="009B5D74" w:rsidRPr="001B446F">
              <w:t xml:space="preserve"> (ophthalmologist visit, steroid administration, optical coherence tomography, fluorescein angiography).</w:t>
            </w:r>
          </w:p>
        </w:tc>
        <w:tc>
          <w:tcPr>
            <w:tcW w:w="1179" w:type="pct"/>
            <w:tcBorders>
              <w:top w:val="single" w:sz="4" w:space="0" w:color="auto"/>
              <w:left w:val="single" w:sz="4" w:space="0" w:color="auto"/>
              <w:bottom w:val="single" w:sz="4" w:space="0" w:color="auto"/>
              <w:right w:val="single" w:sz="4" w:space="0" w:color="auto"/>
            </w:tcBorders>
            <w:vAlign w:val="center"/>
          </w:tcPr>
          <w:p w:rsidR="0055434B" w:rsidRPr="001B446F" w:rsidRDefault="0055434B" w:rsidP="0055434B">
            <w:pPr>
              <w:pStyle w:val="TableText0"/>
              <w:jc w:val="center"/>
              <w:rPr>
                <w:i/>
              </w:rPr>
            </w:pPr>
            <w:r w:rsidRPr="001B446F">
              <w:t>$</w:t>
            </w:r>
            <w:r w:rsidRPr="000D0CD4">
              <w:t>1,143.69</w:t>
            </w:r>
          </w:p>
        </w:tc>
        <w:tc>
          <w:tcPr>
            <w:tcW w:w="994" w:type="pct"/>
            <w:tcBorders>
              <w:top w:val="single" w:sz="4" w:space="0" w:color="auto"/>
              <w:left w:val="single" w:sz="4" w:space="0" w:color="auto"/>
              <w:bottom w:val="single" w:sz="4" w:space="0" w:color="auto"/>
              <w:right w:val="single" w:sz="4" w:space="0" w:color="auto"/>
            </w:tcBorders>
            <w:vAlign w:val="center"/>
          </w:tcPr>
          <w:p w:rsidR="0055434B" w:rsidRPr="001B446F" w:rsidRDefault="0055434B" w:rsidP="0055434B">
            <w:pPr>
              <w:pStyle w:val="TableText0"/>
              <w:jc w:val="center"/>
              <w:rPr>
                <w:i/>
              </w:rPr>
            </w:pPr>
            <w:r w:rsidRPr="001B446F">
              <w:t>$</w:t>
            </w:r>
            <w:r w:rsidRPr="000D0CD4">
              <w:t>2,680.78</w:t>
            </w:r>
          </w:p>
        </w:tc>
      </w:tr>
      <w:tr w:rsidR="0055434B" w:rsidRPr="001B446F" w:rsidTr="0021364C">
        <w:trPr>
          <w:cantSplit/>
        </w:trPr>
        <w:tc>
          <w:tcPr>
            <w:tcW w:w="2827" w:type="pct"/>
            <w:tcBorders>
              <w:top w:val="single" w:sz="4" w:space="0" w:color="auto"/>
              <w:left w:val="single" w:sz="4" w:space="0" w:color="auto"/>
              <w:bottom w:val="single" w:sz="4" w:space="0" w:color="auto"/>
              <w:right w:val="single" w:sz="4" w:space="0" w:color="auto"/>
            </w:tcBorders>
            <w:shd w:val="clear" w:color="auto" w:fill="auto"/>
          </w:tcPr>
          <w:p w:rsidR="0055434B" w:rsidRPr="001B446F" w:rsidRDefault="0055434B" w:rsidP="0021364C">
            <w:pPr>
              <w:pStyle w:val="TableText0"/>
            </w:pPr>
            <w:r w:rsidRPr="001B446F">
              <w:t>Other therapies</w:t>
            </w:r>
            <w:r w:rsidR="009B5D74" w:rsidRPr="001B446F">
              <w:t xml:space="preserve"> (laser treatment, </w:t>
            </w:r>
            <w:proofErr w:type="spellStart"/>
            <w:r w:rsidR="009B5D74" w:rsidRPr="001B446F">
              <w:t>intravitreal</w:t>
            </w:r>
            <w:proofErr w:type="spellEnd"/>
            <w:r w:rsidR="009B5D74" w:rsidRPr="001B446F">
              <w:t xml:space="preserve"> steroids, VEGF</w:t>
            </w:r>
            <w:r w:rsidR="0021364C" w:rsidRPr="001B446F">
              <w:t xml:space="preserve"> inhibitors*</w:t>
            </w:r>
            <w:r w:rsidR="009B5D74" w:rsidRPr="001B446F">
              <w:t xml:space="preserve">). </w:t>
            </w:r>
          </w:p>
        </w:tc>
        <w:tc>
          <w:tcPr>
            <w:tcW w:w="1179" w:type="pct"/>
            <w:tcBorders>
              <w:top w:val="single" w:sz="4" w:space="0" w:color="auto"/>
              <w:left w:val="single" w:sz="4" w:space="0" w:color="auto"/>
              <w:bottom w:val="single" w:sz="4" w:space="0" w:color="auto"/>
              <w:right w:val="single" w:sz="4" w:space="0" w:color="auto"/>
            </w:tcBorders>
            <w:vAlign w:val="center"/>
          </w:tcPr>
          <w:p w:rsidR="0055434B" w:rsidRPr="001B446F" w:rsidRDefault="0055434B" w:rsidP="0055434B">
            <w:pPr>
              <w:pStyle w:val="TableText0"/>
              <w:jc w:val="center"/>
            </w:pPr>
            <w:r w:rsidRPr="001B446F">
              <w:t>$</w:t>
            </w:r>
            <w:r w:rsidRPr="000D0CD4">
              <w:t>938</w:t>
            </w:r>
            <w:r w:rsidR="00CE0EEB" w:rsidRPr="000D0CD4">
              <w:t>.</w:t>
            </w:r>
            <w:r w:rsidRPr="000D0CD4">
              <w:t>93</w:t>
            </w:r>
          </w:p>
          <w:p w:rsidR="0055434B" w:rsidRPr="001B446F" w:rsidDel="004352D4" w:rsidRDefault="0055434B" w:rsidP="0055434B">
            <w:pPr>
              <w:pStyle w:val="TableText0"/>
              <w:jc w:val="center"/>
            </w:pPr>
          </w:p>
        </w:tc>
        <w:tc>
          <w:tcPr>
            <w:tcW w:w="994" w:type="pct"/>
            <w:tcBorders>
              <w:top w:val="single" w:sz="4" w:space="0" w:color="auto"/>
              <w:left w:val="single" w:sz="4" w:space="0" w:color="auto"/>
              <w:bottom w:val="single" w:sz="4" w:space="0" w:color="auto"/>
              <w:right w:val="single" w:sz="4" w:space="0" w:color="auto"/>
            </w:tcBorders>
            <w:vAlign w:val="center"/>
          </w:tcPr>
          <w:p w:rsidR="0055434B" w:rsidRPr="001B446F" w:rsidRDefault="0055434B" w:rsidP="0055434B">
            <w:pPr>
              <w:pStyle w:val="TableText0"/>
              <w:jc w:val="center"/>
            </w:pPr>
            <w:r w:rsidRPr="001B446F">
              <w:t>$</w:t>
            </w:r>
            <w:r w:rsidRPr="000D0CD4">
              <w:t>200</w:t>
            </w:r>
            <w:r w:rsidR="00CE0EEB" w:rsidRPr="000D0CD4">
              <w:t>.</w:t>
            </w:r>
            <w:r w:rsidRPr="000D0CD4">
              <w:t>52</w:t>
            </w:r>
          </w:p>
          <w:p w:rsidR="0055434B" w:rsidRPr="001B446F" w:rsidRDefault="0055434B" w:rsidP="0055434B">
            <w:pPr>
              <w:pStyle w:val="TableText0"/>
              <w:jc w:val="center"/>
            </w:pPr>
          </w:p>
        </w:tc>
      </w:tr>
      <w:tr w:rsidR="008456C4" w:rsidRPr="001B446F" w:rsidTr="0021364C">
        <w:trPr>
          <w:cantSplit/>
        </w:trPr>
        <w:tc>
          <w:tcPr>
            <w:tcW w:w="2827" w:type="pct"/>
            <w:tcBorders>
              <w:top w:val="single" w:sz="4" w:space="0" w:color="auto"/>
              <w:left w:val="single" w:sz="4" w:space="0" w:color="auto"/>
              <w:bottom w:val="single" w:sz="4" w:space="0" w:color="auto"/>
              <w:right w:val="single" w:sz="4" w:space="0" w:color="auto"/>
            </w:tcBorders>
            <w:shd w:val="clear" w:color="auto" w:fill="auto"/>
          </w:tcPr>
          <w:p w:rsidR="008456C4" w:rsidRPr="001B446F" w:rsidRDefault="008456C4" w:rsidP="008456C4">
            <w:pPr>
              <w:pStyle w:val="TableText0"/>
            </w:pPr>
            <w:r w:rsidRPr="001B446F">
              <w:t>IOP-lowering medication and surgical interventions</w:t>
            </w:r>
          </w:p>
        </w:tc>
        <w:tc>
          <w:tcPr>
            <w:tcW w:w="1179" w:type="pct"/>
            <w:tcBorders>
              <w:top w:val="single" w:sz="4" w:space="0" w:color="auto"/>
              <w:left w:val="single" w:sz="4" w:space="0" w:color="auto"/>
              <w:bottom w:val="single" w:sz="4" w:space="0" w:color="auto"/>
              <w:right w:val="single" w:sz="4" w:space="0" w:color="auto"/>
            </w:tcBorders>
            <w:shd w:val="clear" w:color="auto" w:fill="auto"/>
          </w:tcPr>
          <w:p w:rsidR="008456C4" w:rsidRPr="001B446F" w:rsidRDefault="008456C4" w:rsidP="008456C4">
            <w:pPr>
              <w:pStyle w:val="Table"/>
              <w:jc w:val="center"/>
            </w:pPr>
            <w:r w:rsidRPr="001B446F">
              <w:t xml:space="preserve"> $</w:t>
            </w:r>
            <w:r w:rsidRPr="000D0CD4">
              <w:t>121.90</w:t>
            </w:r>
          </w:p>
        </w:tc>
        <w:tc>
          <w:tcPr>
            <w:tcW w:w="994" w:type="pct"/>
            <w:tcBorders>
              <w:top w:val="single" w:sz="4" w:space="0" w:color="auto"/>
              <w:left w:val="single" w:sz="4" w:space="0" w:color="auto"/>
              <w:bottom w:val="single" w:sz="4" w:space="0" w:color="auto"/>
              <w:right w:val="single" w:sz="4" w:space="0" w:color="auto"/>
            </w:tcBorders>
            <w:shd w:val="clear" w:color="auto" w:fill="auto"/>
          </w:tcPr>
          <w:p w:rsidR="008456C4" w:rsidRPr="001B446F" w:rsidRDefault="008456C4" w:rsidP="008456C4">
            <w:pPr>
              <w:pStyle w:val="Table"/>
              <w:jc w:val="center"/>
            </w:pPr>
            <w:r w:rsidRPr="001B446F">
              <w:t xml:space="preserve"> $</w:t>
            </w:r>
            <w:r w:rsidRPr="000D0CD4">
              <w:t>28.49</w:t>
            </w:r>
          </w:p>
        </w:tc>
      </w:tr>
      <w:tr w:rsidR="008456C4" w:rsidRPr="001B446F" w:rsidTr="0021364C">
        <w:trPr>
          <w:cantSplit/>
        </w:trPr>
        <w:tc>
          <w:tcPr>
            <w:tcW w:w="2827" w:type="pct"/>
            <w:tcBorders>
              <w:top w:val="single" w:sz="4" w:space="0" w:color="auto"/>
              <w:left w:val="single" w:sz="4" w:space="0" w:color="auto"/>
              <w:bottom w:val="single" w:sz="4" w:space="0" w:color="auto"/>
              <w:right w:val="single" w:sz="4" w:space="0" w:color="auto"/>
            </w:tcBorders>
            <w:shd w:val="clear" w:color="auto" w:fill="auto"/>
          </w:tcPr>
          <w:p w:rsidR="008456C4" w:rsidRPr="001B446F" w:rsidRDefault="008456C4" w:rsidP="008456C4">
            <w:pPr>
              <w:pStyle w:val="TableText0"/>
            </w:pPr>
            <w:r w:rsidRPr="001B446F">
              <w:t>Total cost</w:t>
            </w:r>
          </w:p>
        </w:tc>
        <w:tc>
          <w:tcPr>
            <w:tcW w:w="1179" w:type="pct"/>
            <w:tcBorders>
              <w:top w:val="single" w:sz="4" w:space="0" w:color="auto"/>
              <w:left w:val="single" w:sz="4" w:space="0" w:color="auto"/>
              <w:bottom w:val="single" w:sz="4" w:space="0" w:color="auto"/>
              <w:right w:val="single" w:sz="4" w:space="0" w:color="auto"/>
            </w:tcBorders>
            <w:vAlign w:val="center"/>
          </w:tcPr>
          <w:p w:rsidR="008456C4" w:rsidRPr="00957453" w:rsidRDefault="008456C4" w:rsidP="008456C4">
            <w:pPr>
              <w:pStyle w:val="TableText0"/>
              <w:jc w:val="center"/>
            </w:pPr>
            <w:r w:rsidRPr="001B446F">
              <w:t>$</w:t>
            </w:r>
            <w:r w:rsidRPr="000D0CD4">
              <w:t>11, 691.3</w:t>
            </w:r>
            <w:r w:rsidR="004747D2" w:rsidRPr="000D0CD4">
              <w:t>5</w:t>
            </w:r>
          </w:p>
          <w:p w:rsidR="008456C4" w:rsidRPr="001B446F" w:rsidRDefault="008456C4" w:rsidP="008456C4">
            <w:pPr>
              <w:pStyle w:val="TableFooter"/>
              <w:jc w:val="center"/>
            </w:pPr>
          </w:p>
        </w:tc>
        <w:tc>
          <w:tcPr>
            <w:tcW w:w="994" w:type="pct"/>
            <w:tcBorders>
              <w:top w:val="single" w:sz="4" w:space="0" w:color="auto"/>
              <w:left w:val="single" w:sz="4" w:space="0" w:color="auto"/>
              <w:bottom w:val="single" w:sz="4" w:space="0" w:color="auto"/>
              <w:right w:val="single" w:sz="4" w:space="0" w:color="auto"/>
            </w:tcBorders>
            <w:vAlign w:val="center"/>
          </w:tcPr>
          <w:p w:rsidR="008456C4" w:rsidRPr="000D0CD4" w:rsidRDefault="008456C4" w:rsidP="008456C4">
            <w:pPr>
              <w:pStyle w:val="TableText0"/>
              <w:jc w:val="center"/>
            </w:pPr>
            <w:r w:rsidRPr="001B446F">
              <w:t>$</w:t>
            </w:r>
            <w:r w:rsidRPr="000D0CD4">
              <w:t>11, 691.35</w:t>
            </w:r>
          </w:p>
          <w:p w:rsidR="008456C4" w:rsidRPr="001B446F" w:rsidRDefault="008456C4" w:rsidP="008456C4">
            <w:pPr>
              <w:pStyle w:val="TableFooter"/>
              <w:jc w:val="center"/>
            </w:pPr>
          </w:p>
        </w:tc>
      </w:tr>
    </w:tbl>
    <w:p w:rsidR="00FA7D35" w:rsidRPr="001B446F" w:rsidRDefault="00FA7D35" w:rsidP="0055434B">
      <w:pPr>
        <w:pStyle w:val="TableFooter"/>
      </w:pPr>
      <w:r w:rsidRPr="001B446F">
        <w:t xml:space="preserve">Source: Table 56, pp155-156 of the submission. </w:t>
      </w:r>
    </w:p>
    <w:p w:rsidR="0055434B" w:rsidRPr="001B446F" w:rsidRDefault="0021364C" w:rsidP="0055434B">
      <w:pPr>
        <w:pStyle w:val="TableFigureFooter"/>
      </w:pPr>
      <w:r w:rsidRPr="001B446F">
        <w:t>*Costs</w:t>
      </w:r>
      <w:r w:rsidR="0055434B" w:rsidRPr="001B446F">
        <w:t xml:space="preserve"> in the submission are based on a weighted average published DPMQ of aflibercept 4mg $1,096.21, ranibizumab 1.65 mg $1,042.60.</w:t>
      </w:r>
    </w:p>
    <w:p w:rsidR="00784FD5" w:rsidRPr="001B446F" w:rsidRDefault="00784FD5" w:rsidP="00BB732D">
      <w:pPr>
        <w:pStyle w:val="TableFigureFooter"/>
        <w:rPr>
          <w:rStyle w:val="CommentReference"/>
        </w:rPr>
      </w:pPr>
    </w:p>
    <w:p w:rsidR="00EC09F8" w:rsidRPr="001B446F" w:rsidRDefault="00AB3F19" w:rsidP="00BB732D">
      <w:pPr>
        <w:pStyle w:val="3-BodyText"/>
      </w:pPr>
      <w:r w:rsidRPr="001B446F">
        <w:t>T</w:t>
      </w:r>
      <w:r w:rsidR="00EC09F8" w:rsidRPr="001B446F">
        <w:t xml:space="preserve">he </w:t>
      </w:r>
      <w:r w:rsidR="00084C67">
        <w:t xml:space="preserve">submission proposed </w:t>
      </w:r>
      <w:proofErr w:type="spellStart"/>
      <w:r w:rsidR="00084C67">
        <w:t>equi</w:t>
      </w:r>
      <w:proofErr w:type="spellEnd"/>
      <w:r w:rsidR="00084C67">
        <w:t xml:space="preserve">-effective doses of </w:t>
      </w:r>
      <w:r w:rsidR="00EC09F8" w:rsidRPr="001B446F">
        <w:t xml:space="preserve">FA 190 </w:t>
      </w:r>
      <w:r w:rsidR="00EC09F8" w:rsidRPr="001B446F">
        <w:rPr>
          <w:rFonts w:ascii="Symbol" w:hAnsi="Symbol"/>
        </w:rPr>
        <w:t></w:t>
      </w:r>
      <w:r w:rsidR="00037D18">
        <w:t>g 1 </w:t>
      </w:r>
      <w:r w:rsidR="00EC09F8" w:rsidRPr="001B446F">
        <w:t xml:space="preserve">administration per 36 months and DEX 700 </w:t>
      </w:r>
      <w:r w:rsidR="00EC09F8" w:rsidRPr="001B446F">
        <w:rPr>
          <w:rFonts w:ascii="Symbol" w:hAnsi="Symbol"/>
        </w:rPr>
        <w:t></w:t>
      </w:r>
      <w:r w:rsidR="00EC09F8" w:rsidRPr="001B446F">
        <w:t xml:space="preserve">g </w:t>
      </w:r>
      <w:r w:rsidR="00EC09F8" w:rsidRPr="00334932">
        <w:t>6.48</w:t>
      </w:r>
      <w:r w:rsidR="00EC09F8" w:rsidRPr="001B446F">
        <w:t xml:space="preserve"> administrations per 36 months</w:t>
      </w:r>
      <w:r w:rsidR="00666E96" w:rsidRPr="001B446F">
        <w:t xml:space="preserve">. </w:t>
      </w:r>
      <w:r w:rsidR="00381892" w:rsidRPr="001B446F">
        <w:t>This dose relativ</w:t>
      </w:r>
      <w:r w:rsidR="00A77D9B" w:rsidRPr="001B446F">
        <w:t>ity</w:t>
      </w:r>
      <w:r w:rsidR="00381892" w:rsidRPr="001B446F">
        <w:t xml:space="preserve"> </w:t>
      </w:r>
      <w:r w:rsidR="00666E96" w:rsidRPr="001B446F">
        <w:t xml:space="preserve">is </w:t>
      </w:r>
      <w:r w:rsidR="00381892" w:rsidRPr="001B446F">
        <w:t xml:space="preserve">inappropriate because it does not reflect </w:t>
      </w:r>
      <w:r w:rsidR="00DC280E" w:rsidRPr="001B446F">
        <w:t xml:space="preserve">the </w:t>
      </w:r>
      <w:r w:rsidR="00381892" w:rsidRPr="001B446F">
        <w:t>clinical trial data</w:t>
      </w:r>
      <w:r w:rsidR="00DC280E" w:rsidRPr="001B446F">
        <w:t xml:space="preserve"> provided in the submission</w:t>
      </w:r>
      <w:r w:rsidR="00A77D9B" w:rsidRPr="001B446F">
        <w:t xml:space="preserve">. </w:t>
      </w:r>
      <w:r w:rsidR="006C612D" w:rsidRPr="001B446F">
        <w:t xml:space="preserve">The PBAC noted the </w:t>
      </w:r>
      <w:proofErr w:type="spellStart"/>
      <w:r w:rsidR="006C612D" w:rsidRPr="001B446F">
        <w:t>equi</w:t>
      </w:r>
      <w:proofErr w:type="spellEnd"/>
      <w:r w:rsidR="006C612D" w:rsidRPr="001B446F">
        <w:t xml:space="preserve">-effective doses </w:t>
      </w:r>
      <w:r w:rsidR="00084C67" w:rsidRPr="001B446F">
        <w:t>were 1.3 administrations for FA and 4.11</w:t>
      </w:r>
      <w:r w:rsidR="00084C67">
        <w:t xml:space="preserve"> administrations of DEX over 36 months </w:t>
      </w:r>
      <w:r w:rsidR="006C612D" w:rsidRPr="001B446F">
        <w:t>based on the clinical trial data presented in the submission that supported the</w:t>
      </w:r>
      <w:r w:rsidR="00084C67">
        <w:t xml:space="preserve"> claim of non-inferiority. </w:t>
      </w:r>
    </w:p>
    <w:p w:rsidR="00082EFD" w:rsidRPr="001B446F" w:rsidRDefault="00082EFD" w:rsidP="00BB732D">
      <w:pPr>
        <w:pStyle w:val="3-BodyText"/>
        <w:rPr>
          <w:rFonts w:cstheme="minorHAnsi"/>
        </w:rPr>
      </w:pPr>
      <w:r w:rsidRPr="001B446F">
        <w:t xml:space="preserve">The submission </w:t>
      </w:r>
      <w:r w:rsidR="00DC280E" w:rsidRPr="001B446F">
        <w:t xml:space="preserve">claimed that patients would </w:t>
      </w:r>
      <w:r w:rsidR="00A77D9B" w:rsidRPr="001B446F">
        <w:t>receive VEGF inhibitors ra</w:t>
      </w:r>
      <w:r w:rsidR="00E42B92" w:rsidRPr="001B446F">
        <w:t>ther than another FA implant if</w:t>
      </w:r>
      <w:r w:rsidR="0021364C" w:rsidRPr="001B446F">
        <w:t xml:space="preserve"> they require retreatment</w:t>
      </w:r>
      <w:r w:rsidR="00E42B92" w:rsidRPr="001B446F">
        <w:t>.</w:t>
      </w:r>
      <w:r w:rsidRPr="001B446F">
        <w:t xml:space="preserve"> </w:t>
      </w:r>
      <w:r w:rsidR="00996ADA" w:rsidRPr="001B446F">
        <w:t>The CMA assumed only one VEGF</w:t>
      </w:r>
      <w:r w:rsidR="00C40DA0" w:rsidRPr="001B446F">
        <w:t xml:space="preserve"> inhibitor</w:t>
      </w:r>
      <w:r w:rsidR="00996ADA" w:rsidRPr="001B446F">
        <w:t xml:space="preserve"> injection would be received</w:t>
      </w:r>
      <w:r w:rsidR="007E3A95" w:rsidRPr="001B446F">
        <w:t xml:space="preserve"> </w:t>
      </w:r>
      <w:r w:rsidR="0021364C" w:rsidRPr="001B446F">
        <w:t xml:space="preserve">per patient </w:t>
      </w:r>
      <w:r w:rsidR="007E3A95" w:rsidRPr="001B446F">
        <w:t>(</w:t>
      </w:r>
      <w:r w:rsidR="00B96ADD" w:rsidRPr="001B446F">
        <w:t>i.e.</w:t>
      </w:r>
      <w:r w:rsidR="007E3A95" w:rsidRPr="001B446F">
        <w:t xml:space="preserve"> one month of treatment)</w:t>
      </w:r>
      <w:r w:rsidR="00E32165" w:rsidRPr="001B446F">
        <w:t>,</w:t>
      </w:r>
      <w:r w:rsidR="009B73C6" w:rsidRPr="001B446F">
        <w:t xml:space="preserve"> which may not be reasonable</w:t>
      </w:r>
      <w:r w:rsidR="00666E96" w:rsidRPr="001B446F">
        <w:t xml:space="preserve"> and no data were provided to support this assumption</w:t>
      </w:r>
      <w:r w:rsidR="00996ADA" w:rsidRPr="001B446F">
        <w:t>.</w:t>
      </w:r>
      <w:r w:rsidR="000567EA" w:rsidRPr="001B446F">
        <w:t xml:space="preserve"> </w:t>
      </w:r>
    </w:p>
    <w:p w:rsidR="0048379A" w:rsidRPr="001B446F" w:rsidRDefault="00F57270" w:rsidP="0048379A">
      <w:pPr>
        <w:pStyle w:val="3-BodyText"/>
      </w:pPr>
      <w:r w:rsidRPr="001B446F">
        <w:lastRenderedPageBreak/>
        <w:t>The CMA assumed 11.04 ophthalmologist visits for pat</w:t>
      </w:r>
      <w:r w:rsidR="00037D18">
        <w:t>ients treated with FA and 14.42 </w:t>
      </w:r>
      <w:r w:rsidRPr="001B446F">
        <w:t>for patients treated with DEX</w:t>
      </w:r>
      <w:r w:rsidR="00D90517" w:rsidRPr="001B446F">
        <w:t xml:space="preserve"> over 36 months</w:t>
      </w:r>
      <w:r w:rsidRPr="001B446F">
        <w:t xml:space="preserve">. The </w:t>
      </w:r>
      <w:r w:rsidR="00D90517" w:rsidRPr="001B446F">
        <w:t xml:space="preserve">methodology for calculating the number </w:t>
      </w:r>
      <w:r w:rsidR="00A35AA0" w:rsidRPr="001B446F">
        <w:t xml:space="preserve">of ophthalmologist visits was </w:t>
      </w:r>
      <w:r w:rsidR="00D90517" w:rsidRPr="001B446F">
        <w:t xml:space="preserve">uncertain and the assumptions applied were not </w:t>
      </w:r>
      <w:r w:rsidR="00A35AA0" w:rsidRPr="001B446F">
        <w:t>justified in the submission</w:t>
      </w:r>
      <w:r w:rsidR="00112997" w:rsidRPr="001B446F">
        <w:t>.</w:t>
      </w:r>
      <w:r w:rsidR="00CD5C11" w:rsidRPr="001B446F">
        <w:t xml:space="preserve"> </w:t>
      </w:r>
      <w:r w:rsidR="00C523C8" w:rsidRPr="001B446F">
        <w:t>The PBAC</w:t>
      </w:r>
      <w:r w:rsidR="004A5B70" w:rsidRPr="001B446F">
        <w:t xml:space="preserve"> </w:t>
      </w:r>
      <w:r w:rsidR="00B534BF" w:rsidRPr="001B446F">
        <w:t xml:space="preserve">agreed with </w:t>
      </w:r>
      <w:r w:rsidR="004A5B70" w:rsidRPr="001B446F">
        <w:t>ESC</w:t>
      </w:r>
      <w:r w:rsidR="00D90517" w:rsidRPr="001B446F">
        <w:t xml:space="preserve"> </w:t>
      </w:r>
      <w:r w:rsidR="004A1E03" w:rsidRPr="001B446F">
        <w:t xml:space="preserve">that </w:t>
      </w:r>
      <w:r w:rsidR="00C523C8" w:rsidRPr="001B446F">
        <w:t xml:space="preserve">the number of ophthalmology visits </w:t>
      </w:r>
      <w:r w:rsidR="00D515D8" w:rsidRPr="001B446F">
        <w:t>over 36 months for patients receiving either FA or DEX should not be different.</w:t>
      </w:r>
      <w:r w:rsidR="0048379A" w:rsidRPr="001B446F" w:rsidDel="0048379A">
        <w:rPr>
          <w:iCs/>
        </w:rPr>
        <w:t xml:space="preserve"> </w:t>
      </w:r>
    </w:p>
    <w:p w:rsidR="00804C7C" w:rsidRPr="001B446F" w:rsidRDefault="00804C7C" w:rsidP="0048379A">
      <w:pPr>
        <w:pStyle w:val="3-BodyText"/>
      </w:pPr>
      <w:r w:rsidRPr="001B446F">
        <w:t xml:space="preserve">The </w:t>
      </w:r>
      <w:r w:rsidR="00603037" w:rsidRPr="001B446F">
        <w:t xml:space="preserve">CMA </w:t>
      </w:r>
      <w:r w:rsidRPr="001B446F">
        <w:t>included the cost of concomitant use of VEGF</w:t>
      </w:r>
      <w:r w:rsidR="009B73C6" w:rsidRPr="001B446F">
        <w:t xml:space="preserve"> inhibitors</w:t>
      </w:r>
      <w:r w:rsidR="00603037" w:rsidRPr="001B446F">
        <w:t xml:space="preserve"> and </w:t>
      </w:r>
      <w:proofErr w:type="spellStart"/>
      <w:r w:rsidR="00603037" w:rsidRPr="001B446F">
        <w:t>intravitreal</w:t>
      </w:r>
      <w:proofErr w:type="spellEnd"/>
      <w:r w:rsidR="00603037" w:rsidRPr="001B446F">
        <w:t xml:space="preserve"> steroids </w:t>
      </w:r>
      <w:r w:rsidRPr="001B446F">
        <w:t xml:space="preserve">for </w:t>
      </w:r>
      <w:r w:rsidR="00BE6C1B" w:rsidRPr="001B446F">
        <w:t>FA</w:t>
      </w:r>
      <w:r w:rsidRPr="001B446F">
        <w:t xml:space="preserve"> and </w:t>
      </w:r>
      <w:r w:rsidR="00BE6C1B" w:rsidRPr="001B446F">
        <w:t>DEX</w:t>
      </w:r>
      <w:r w:rsidRPr="001B446F">
        <w:t xml:space="preserve">. </w:t>
      </w:r>
      <w:r w:rsidR="00603037" w:rsidRPr="001B446F">
        <w:t xml:space="preserve">The submission applied the rates </w:t>
      </w:r>
      <w:r w:rsidR="00491062" w:rsidRPr="001B446F">
        <w:t xml:space="preserve">of concomitant treatment </w:t>
      </w:r>
      <w:r w:rsidR="00603037" w:rsidRPr="001B446F">
        <w:t xml:space="preserve">observed in the FAME studies (3.2% for </w:t>
      </w:r>
      <w:r w:rsidR="009B73C6" w:rsidRPr="001B446F">
        <w:t>V</w:t>
      </w:r>
      <w:r w:rsidR="00603037" w:rsidRPr="001B446F">
        <w:t>EGF</w:t>
      </w:r>
      <w:r w:rsidR="009B73C6" w:rsidRPr="001B446F">
        <w:t xml:space="preserve"> inhibitors</w:t>
      </w:r>
      <w:r w:rsidR="00603037" w:rsidRPr="001B446F">
        <w:t xml:space="preserve">, 8.2% for </w:t>
      </w:r>
      <w:proofErr w:type="spellStart"/>
      <w:r w:rsidR="00603037" w:rsidRPr="001B446F">
        <w:t>intravitreal</w:t>
      </w:r>
      <w:proofErr w:type="spellEnd"/>
      <w:r w:rsidR="00603037" w:rsidRPr="001B446F">
        <w:t xml:space="preserve"> steroids) to FA and assumed a rate of treatment (2.7% for VEGF</w:t>
      </w:r>
      <w:r w:rsidR="009B73C6" w:rsidRPr="001B446F">
        <w:t xml:space="preserve"> inhibitor</w:t>
      </w:r>
      <w:r w:rsidR="006E2D13" w:rsidRPr="001B446F">
        <w:t>s</w:t>
      </w:r>
      <w:r w:rsidR="0014399C" w:rsidRPr="001B446F">
        <w:t xml:space="preserve">, </w:t>
      </w:r>
      <w:r w:rsidR="00603037" w:rsidRPr="001B446F">
        <w:t xml:space="preserve">6.9% for </w:t>
      </w:r>
      <w:proofErr w:type="spellStart"/>
      <w:r w:rsidR="00603037" w:rsidRPr="001B446F">
        <w:t>intravitreal</w:t>
      </w:r>
      <w:proofErr w:type="spellEnd"/>
      <w:r w:rsidR="00603037" w:rsidRPr="001B446F">
        <w:t xml:space="preserve"> steroids) for DEX.</w:t>
      </w:r>
      <w:r w:rsidR="00491062" w:rsidRPr="001B446F">
        <w:t xml:space="preserve"> </w:t>
      </w:r>
      <w:r w:rsidR="009C16EA" w:rsidRPr="001B446F">
        <w:t xml:space="preserve">The </w:t>
      </w:r>
      <w:r w:rsidR="0014399C" w:rsidRPr="001B446F">
        <w:t xml:space="preserve">ESC </w:t>
      </w:r>
      <w:r w:rsidR="009C16EA" w:rsidRPr="001B446F">
        <w:t xml:space="preserve">considered </w:t>
      </w:r>
      <w:r w:rsidR="0014399C" w:rsidRPr="001B446F">
        <w:t xml:space="preserve">the estimated proportions of use were highly uncertain and </w:t>
      </w:r>
      <w:r w:rsidR="009C16EA" w:rsidRPr="001B446F">
        <w:t>the</w:t>
      </w:r>
      <w:r w:rsidR="007E3A95" w:rsidRPr="001B446F">
        <w:t xml:space="preserve"> </w:t>
      </w:r>
      <w:r w:rsidR="0014399C" w:rsidRPr="001B446F">
        <w:t xml:space="preserve">assumption </w:t>
      </w:r>
      <w:r w:rsidR="007E3A95" w:rsidRPr="001B446F">
        <w:t>only one injection of VEGF</w:t>
      </w:r>
      <w:r w:rsidR="009B73C6" w:rsidRPr="001B446F">
        <w:t xml:space="preserve"> inhibitors </w:t>
      </w:r>
      <w:r w:rsidR="007E3A95" w:rsidRPr="001B446F">
        <w:t xml:space="preserve">or </w:t>
      </w:r>
      <w:proofErr w:type="spellStart"/>
      <w:r w:rsidR="007E3A95" w:rsidRPr="001B446F">
        <w:t>intravitreal</w:t>
      </w:r>
      <w:proofErr w:type="spellEnd"/>
      <w:r w:rsidR="007E3A95" w:rsidRPr="001B446F">
        <w:t xml:space="preserve"> steroids </w:t>
      </w:r>
      <w:r w:rsidR="0014399C" w:rsidRPr="001B446F">
        <w:t xml:space="preserve">would be </w:t>
      </w:r>
      <w:r w:rsidR="007E3A95" w:rsidRPr="001B446F">
        <w:t xml:space="preserve">received per patient over the </w:t>
      </w:r>
      <w:proofErr w:type="gramStart"/>
      <w:r w:rsidR="007E3A95" w:rsidRPr="001B446F">
        <w:t>36 month</w:t>
      </w:r>
      <w:proofErr w:type="gramEnd"/>
      <w:r w:rsidR="007E3A95" w:rsidRPr="001B446F">
        <w:t xml:space="preserve"> timeframe</w:t>
      </w:r>
      <w:r w:rsidR="000B18F9" w:rsidRPr="001B446F">
        <w:t xml:space="preserve"> was poorly supported</w:t>
      </w:r>
      <w:r w:rsidR="00D20A6A" w:rsidRPr="001B446F">
        <w:t>.</w:t>
      </w:r>
      <w:r w:rsidR="00030B0A" w:rsidRPr="001B446F">
        <w:t xml:space="preserve"> </w:t>
      </w:r>
    </w:p>
    <w:p w:rsidR="00817C79" w:rsidRPr="001B446F" w:rsidRDefault="00817C79" w:rsidP="00E30926">
      <w:pPr>
        <w:pStyle w:val="3-BodyText"/>
      </w:pPr>
      <w:r w:rsidRPr="001B446F">
        <w:t xml:space="preserve">The </w:t>
      </w:r>
      <w:r w:rsidR="00491062" w:rsidRPr="001B446F">
        <w:t xml:space="preserve">CMA </w:t>
      </w:r>
      <w:r w:rsidRPr="001B446F">
        <w:t xml:space="preserve">included the cost of </w:t>
      </w:r>
      <w:r w:rsidR="00E32165" w:rsidRPr="001B446F">
        <w:t>IOP</w:t>
      </w:r>
      <w:r w:rsidRPr="001B446F">
        <w:t xml:space="preserve"> lowering medication for </w:t>
      </w:r>
      <w:r w:rsidR="00491062" w:rsidRPr="001B446F">
        <w:t xml:space="preserve">38.4% of patients treated with </w:t>
      </w:r>
      <w:r w:rsidR="00BE6C1B" w:rsidRPr="001B446F">
        <w:t>FA</w:t>
      </w:r>
      <w:r w:rsidRPr="001B446F">
        <w:t xml:space="preserve"> and </w:t>
      </w:r>
      <w:r w:rsidR="00491062" w:rsidRPr="001B446F">
        <w:t xml:space="preserve">41.5% of patients treated with </w:t>
      </w:r>
      <w:r w:rsidR="00BE6C1B" w:rsidRPr="001B446F">
        <w:t>DEX</w:t>
      </w:r>
      <w:r w:rsidR="000E14CE" w:rsidRPr="001B446F">
        <w:t xml:space="preserve">. Although this cost </w:t>
      </w:r>
      <w:r w:rsidR="004E448A" w:rsidRPr="001B446F">
        <w:t>was</w:t>
      </w:r>
      <w:r w:rsidR="000E14CE" w:rsidRPr="001B446F">
        <w:t xml:space="preserve"> minimal, </w:t>
      </w:r>
      <w:r w:rsidR="00491062" w:rsidRPr="001B446F">
        <w:t>these rates appear to be inconsistent with the rates of IOP increased presented in Table 7 (35.2% for FA and 33.4% for DEX)</w:t>
      </w:r>
      <w:r w:rsidR="00B51497" w:rsidRPr="001B446F">
        <w:t>, as a greater proportion of patients were taking IOP-lowering medication compared with the proportion identified with increased IOP</w:t>
      </w:r>
      <w:r w:rsidR="00491062" w:rsidRPr="001B446F">
        <w:t>.</w:t>
      </w:r>
      <w:r w:rsidR="00030B0A" w:rsidRPr="001B446F">
        <w:t xml:space="preserve"> The ESC </w:t>
      </w:r>
      <w:r w:rsidR="0014399C" w:rsidRPr="001B446F">
        <w:t xml:space="preserve">noted </w:t>
      </w:r>
      <w:r w:rsidR="00030B0A" w:rsidRPr="001B446F">
        <w:t>that this would be unlikely to have a significant impact on the CMA.</w:t>
      </w:r>
    </w:p>
    <w:p w:rsidR="001E2F24" w:rsidRPr="001B446F" w:rsidRDefault="00B87304" w:rsidP="001E2F24">
      <w:pPr>
        <w:pStyle w:val="3-BodyText"/>
      </w:pPr>
      <w:r w:rsidRPr="001B446F">
        <w:t>Given the non-inferiority claims have been accepted by the PBAC (paragraphs 6.23 and 6.24)</w:t>
      </w:r>
      <w:proofErr w:type="gramStart"/>
      <w:r w:rsidRPr="001B446F">
        <w:t>,</w:t>
      </w:r>
      <w:proofErr w:type="gramEnd"/>
      <w:r w:rsidRPr="001B446F">
        <w:t xml:space="preserve"> </w:t>
      </w:r>
      <w:r w:rsidR="00004C56" w:rsidRPr="001B446F">
        <w:t>the</w:t>
      </w:r>
      <w:r w:rsidR="001E2F24" w:rsidRPr="001B446F">
        <w:t xml:space="preserve"> cost per patient for treatment with </w:t>
      </w:r>
      <w:r w:rsidR="00BE6C1B" w:rsidRPr="001B446F">
        <w:t>FA</w:t>
      </w:r>
      <w:r w:rsidR="001E2F24" w:rsidRPr="001B446F">
        <w:t xml:space="preserve"> </w:t>
      </w:r>
      <w:r w:rsidR="00004C56" w:rsidRPr="001B446F">
        <w:t>should</w:t>
      </w:r>
      <w:r w:rsidR="001E2F24" w:rsidRPr="001B446F">
        <w:t xml:space="preserve"> be no more than the cost per patient of </w:t>
      </w:r>
      <w:r w:rsidR="00BE6C1B" w:rsidRPr="001B446F">
        <w:t>DEX</w:t>
      </w:r>
      <w:r w:rsidR="001E2F24" w:rsidRPr="001B446F">
        <w:t xml:space="preserve">. The cost per patient takes into account the mean </w:t>
      </w:r>
      <w:proofErr w:type="spellStart"/>
      <w:r w:rsidR="001E2F24" w:rsidRPr="001B446F">
        <w:t>equi</w:t>
      </w:r>
      <w:proofErr w:type="spellEnd"/>
      <w:r w:rsidR="001E2F24" w:rsidRPr="001B446F">
        <w:t xml:space="preserve">-effective doses of the new intervention and the alternative therapy. Where these </w:t>
      </w:r>
      <w:proofErr w:type="gramStart"/>
      <w:r w:rsidR="001E2F24" w:rsidRPr="001B446F">
        <w:t>cost</w:t>
      </w:r>
      <w:proofErr w:type="gramEnd"/>
      <w:r w:rsidR="001E2F24" w:rsidRPr="001B446F">
        <w:t xml:space="preserve"> per patient calculations are uncertain, the guiding principle is that the Australian Government should not bear the financial risk of this uncertainty because the Australian population already has access to therapy that is at least as effective and safe.</w:t>
      </w:r>
    </w:p>
    <w:p w:rsidR="009907B8" w:rsidRPr="001B446F" w:rsidRDefault="009907B8" w:rsidP="009907B8">
      <w:pPr>
        <w:pStyle w:val="4-SubsectionHeading"/>
      </w:pPr>
      <w:bookmarkStart w:id="22" w:name="_Toc26885641"/>
      <w:bookmarkStart w:id="23" w:name="_Toc30496461"/>
      <w:r w:rsidRPr="001B446F">
        <w:t>Drug cost/patient/treatment</w:t>
      </w:r>
      <w:bookmarkEnd w:id="22"/>
      <w:r w:rsidR="005E3895" w:rsidRPr="001B446F">
        <w:t>: $</w:t>
      </w:r>
      <w:r w:rsidR="005E3895" w:rsidRPr="007928E1">
        <w:t>9,487</w:t>
      </w:r>
      <w:bookmarkEnd w:id="23"/>
    </w:p>
    <w:p w:rsidR="009907B8" w:rsidRPr="001B446F" w:rsidRDefault="00611F7E" w:rsidP="009907B8">
      <w:pPr>
        <w:pStyle w:val="3-BodyText"/>
        <w:rPr>
          <w:rFonts w:ascii="Calibri" w:hAnsi="Calibri"/>
          <w:szCs w:val="22"/>
          <w:lang w:eastAsia="en-US"/>
        </w:rPr>
      </w:pPr>
      <w:r w:rsidRPr="001B446F">
        <w:rPr>
          <w:rFonts w:ascii="Calibri" w:hAnsi="Calibri"/>
          <w:szCs w:val="22"/>
          <w:lang w:eastAsia="en-US"/>
        </w:rPr>
        <w:t>The cost per patient</w:t>
      </w:r>
      <w:r w:rsidR="000B35ED" w:rsidRPr="001B446F">
        <w:rPr>
          <w:rFonts w:ascii="Calibri" w:hAnsi="Calibri"/>
          <w:szCs w:val="22"/>
          <w:lang w:eastAsia="en-US"/>
        </w:rPr>
        <w:t xml:space="preserve"> over 36 months</w:t>
      </w:r>
      <w:r w:rsidRPr="001B446F">
        <w:rPr>
          <w:rFonts w:ascii="Calibri" w:hAnsi="Calibri"/>
          <w:szCs w:val="22"/>
          <w:lang w:eastAsia="en-US"/>
        </w:rPr>
        <w:t xml:space="preserve"> </w:t>
      </w:r>
      <w:r w:rsidR="00A500DA" w:rsidRPr="001B446F">
        <w:rPr>
          <w:rFonts w:ascii="Calibri" w:hAnsi="Calibri"/>
          <w:szCs w:val="22"/>
          <w:lang w:eastAsia="en-US"/>
        </w:rPr>
        <w:t xml:space="preserve">(based on the published DPMQ) </w:t>
      </w:r>
      <w:r w:rsidRPr="001B446F">
        <w:rPr>
          <w:rFonts w:ascii="Calibri" w:hAnsi="Calibri"/>
          <w:szCs w:val="22"/>
          <w:lang w:eastAsia="en-US"/>
        </w:rPr>
        <w:t xml:space="preserve">for FA and DEX </w:t>
      </w:r>
      <w:r w:rsidR="005E3895" w:rsidRPr="001B446F">
        <w:rPr>
          <w:rFonts w:ascii="Calibri" w:hAnsi="Calibri"/>
          <w:szCs w:val="22"/>
          <w:lang w:eastAsia="en-US"/>
        </w:rPr>
        <w:t xml:space="preserve">is presented in </w:t>
      </w:r>
      <w:r w:rsidR="008A666B">
        <w:rPr>
          <w:rFonts w:ascii="Calibri" w:hAnsi="Calibri"/>
          <w:szCs w:val="22"/>
          <w:lang w:eastAsia="en-US"/>
        </w:rPr>
        <w:t>Table 9</w:t>
      </w:r>
      <w:r w:rsidRPr="001B446F">
        <w:rPr>
          <w:rFonts w:ascii="Calibri" w:hAnsi="Calibri"/>
          <w:szCs w:val="22"/>
          <w:lang w:eastAsia="en-US"/>
        </w:rPr>
        <w:t>.</w:t>
      </w:r>
      <w:r w:rsidR="009907B8" w:rsidRPr="001B446F">
        <w:rPr>
          <w:rFonts w:ascii="Calibri" w:hAnsi="Calibri"/>
          <w:szCs w:val="22"/>
          <w:lang w:eastAsia="en-US"/>
        </w:rPr>
        <w:t xml:space="preserve"> </w:t>
      </w:r>
    </w:p>
    <w:p w:rsidR="009907B8" w:rsidRPr="001B446F" w:rsidRDefault="008A666B" w:rsidP="009907B8">
      <w:pPr>
        <w:keepNext/>
        <w:rPr>
          <w:rFonts w:ascii="Arial Narrow" w:hAnsi="Arial Narrow"/>
          <w:b/>
          <w:sz w:val="20"/>
          <w:szCs w:val="16"/>
        </w:rPr>
      </w:pPr>
      <w:r>
        <w:rPr>
          <w:rFonts w:ascii="Arial Narrow" w:hAnsi="Arial Narrow"/>
          <w:b/>
          <w:sz w:val="20"/>
          <w:szCs w:val="16"/>
        </w:rPr>
        <w:t>Table 9</w:t>
      </w:r>
      <w:r w:rsidR="009907B8" w:rsidRPr="001B446F">
        <w:rPr>
          <w:rFonts w:ascii="Arial Narrow" w:hAnsi="Arial Narrow"/>
          <w:b/>
          <w:sz w:val="20"/>
          <w:szCs w:val="16"/>
        </w:rPr>
        <w:t>: Drug cost per patient for proposed and comparator drugs</w:t>
      </w:r>
      <w:r w:rsidR="00CB0DE5" w:rsidRPr="001B446F">
        <w:rPr>
          <w:rFonts w:ascii="Arial Narrow" w:hAnsi="Arial Narrow"/>
          <w:b/>
          <w:sz w:val="20"/>
          <w:szCs w:val="16"/>
        </w:rPr>
        <w:t xml:space="preserve"> (published DPMQ)</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2"/>
        <w:gridCol w:w="1701"/>
        <w:gridCol w:w="1702"/>
        <w:gridCol w:w="1675"/>
        <w:gridCol w:w="1677"/>
      </w:tblGrid>
      <w:tr w:rsidR="009907B8" w:rsidRPr="001B446F" w:rsidTr="00CA758F">
        <w:trPr>
          <w:trHeight w:val="60"/>
          <w:jc w:val="center"/>
        </w:trPr>
        <w:tc>
          <w:tcPr>
            <w:tcW w:w="1254" w:type="pct"/>
            <w:vMerge w:val="restart"/>
            <w:tcBorders>
              <w:top w:val="single" w:sz="4" w:space="0" w:color="auto"/>
              <w:left w:val="single" w:sz="4" w:space="0" w:color="auto"/>
              <w:right w:val="single" w:sz="4" w:space="0" w:color="auto"/>
            </w:tcBorders>
          </w:tcPr>
          <w:p w:rsidR="009907B8" w:rsidRPr="001B446F" w:rsidRDefault="009907B8" w:rsidP="00171484">
            <w:pPr>
              <w:keepNext/>
              <w:spacing w:line="256" w:lineRule="auto"/>
              <w:jc w:val="left"/>
              <w:rPr>
                <w:szCs w:val="20"/>
              </w:rPr>
            </w:pPr>
          </w:p>
        </w:tc>
        <w:tc>
          <w:tcPr>
            <w:tcW w:w="1887" w:type="pct"/>
            <w:gridSpan w:val="2"/>
            <w:tcBorders>
              <w:top w:val="single" w:sz="4" w:space="0" w:color="auto"/>
              <w:left w:val="single" w:sz="4" w:space="0" w:color="auto"/>
              <w:right w:val="single" w:sz="4" w:space="0" w:color="auto"/>
            </w:tcBorders>
            <w:hideMark/>
          </w:tcPr>
          <w:p w:rsidR="009907B8" w:rsidRPr="001B446F" w:rsidRDefault="00BE6C1B" w:rsidP="00171484">
            <w:pPr>
              <w:keepNext/>
              <w:spacing w:line="256" w:lineRule="auto"/>
              <w:jc w:val="center"/>
              <w:rPr>
                <w:rFonts w:ascii="Arial Narrow" w:hAnsi="Arial Narrow"/>
                <w:b/>
                <w:sz w:val="20"/>
              </w:rPr>
            </w:pPr>
            <w:r w:rsidRPr="001B446F">
              <w:rPr>
                <w:rFonts w:ascii="Arial Narrow" w:hAnsi="Arial Narrow"/>
                <w:b/>
                <w:sz w:val="20"/>
              </w:rPr>
              <w:t>FA</w:t>
            </w:r>
          </w:p>
        </w:tc>
        <w:tc>
          <w:tcPr>
            <w:tcW w:w="1859" w:type="pct"/>
            <w:gridSpan w:val="2"/>
            <w:tcBorders>
              <w:top w:val="single" w:sz="4" w:space="0" w:color="auto"/>
              <w:left w:val="single" w:sz="4" w:space="0" w:color="auto"/>
              <w:right w:val="single" w:sz="4" w:space="0" w:color="auto"/>
            </w:tcBorders>
            <w:hideMark/>
          </w:tcPr>
          <w:p w:rsidR="009907B8" w:rsidRPr="001B446F" w:rsidRDefault="00CB0DE5" w:rsidP="00171484">
            <w:pPr>
              <w:keepNext/>
              <w:spacing w:line="256" w:lineRule="auto"/>
              <w:jc w:val="center"/>
              <w:rPr>
                <w:rFonts w:ascii="Arial Narrow" w:hAnsi="Arial Narrow"/>
                <w:b/>
                <w:sz w:val="20"/>
              </w:rPr>
            </w:pPr>
            <w:r w:rsidRPr="001B446F">
              <w:rPr>
                <w:rFonts w:ascii="Arial Narrow" w:hAnsi="Arial Narrow"/>
                <w:b/>
                <w:sz w:val="20"/>
              </w:rPr>
              <w:t>DEX</w:t>
            </w:r>
          </w:p>
        </w:tc>
      </w:tr>
      <w:tr w:rsidR="00565584" w:rsidRPr="001B446F" w:rsidTr="00CA758F">
        <w:trPr>
          <w:trHeight w:val="407"/>
          <w:jc w:val="center"/>
        </w:trPr>
        <w:tc>
          <w:tcPr>
            <w:tcW w:w="1254" w:type="pct"/>
            <w:vMerge/>
            <w:tcBorders>
              <w:left w:val="single" w:sz="4" w:space="0" w:color="auto"/>
              <w:bottom w:val="single" w:sz="4" w:space="0" w:color="auto"/>
              <w:right w:val="single" w:sz="4" w:space="0" w:color="auto"/>
            </w:tcBorders>
          </w:tcPr>
          <w:p w:rsidR="00565584" w:rsidRPr="001B446F" w:rsidRDefault="00565584" w:rsidP="00171484">
            <w:pPr>
              <w:keepNext/>
              <w:spacing w:line="256" w:lineRule="auto"/>
              <w:jc w:val="left"/>
              <w:rPr>
                <w:szCs w:val="20"/>
              </w:rPr>
            </w:pPr>
          </w:p>
        </w:tc>
        <w:tc>
          <w:tcPr>
            <w:tcW w:w="943" w:type="pct"/>
            <w:tcBorders>
              <w:left w:val="single" w:sz="4" w:space="0" w:color="auto"/>
              <w:bottom w:val="single" w:sz="4" w:space="0" w:color="auto"/>
              <w:right w:val="single" w:sz="4" w:space="0" w:color="auto"/>
            </w:tcBorders>
          </w:tcPr>
          <w:p w:rsidR="00565584" w:rsidRPr="001B446F" w:rsidRDefault="00565584" w:rsidP="00171484">
            <w:pPr>
              <w:keepNext/>
              <w:spacing w:line="256" w:lineRule="auto"/>
              <w:jc w:val="center"/>
              <w:rPr>
                <w:rFonts w:ascii="Arial Narrow" w:hAnsi="Arial Narrow"/>
                <w:b/>
                <w:sz w:val="20"/>
              </w:rPr>
            </w:pPr>
            <w:r w:rsidRPr="001B446F">
              <w:rPr>
                <w:rFonts w:ascii="Arial Narrow" w:hAnsi="Arial Narrow"/>
                <w:b/>
                <w:sz w:val="20"/>
              </w:rPr>
              <w:t>Trial dose and duration</w:t>
            </w:r>
          </w:p>
        </w:tc>
        <w:tc>
          <w:tcPr>
            <w:tcW w:w="944" w:type="pct"/>
            <w:tcBorders>
              <w:top w:val="single" w:sz="4" w:space="0" w:color="auto"/>
              <w:left w:val="single" w:sz="4" w:space="0" w:color="auto"/>
              <w:bottom w:val="single" w:sz="4" w:space="0" w:color="auto"/>
              <w:right w:val="single" w:sz="4" w:space="0" w:color="auto"/>
            </w:tcBorders>
          </w:tcPr>
          <w:p w:rsidR="00565584" w:rsidRPr="001B446F" w:rsidRDefault="00565584" w:rsidP="00171484">
            <w:pPr>
              <w:keepNext/>
              <w:spacing w:line="256" w:lineRule="auto"/>
              <w:jc w:val="center"/>
              <w:rPr>
                <w:rFonts w:ascii="Arial Narrow" w:hAnsi="Arial Narrow"/>
                <w:b/>
                <w:sz w:val="20"/>
              </w:rPr>
            </w:pPr>
            <w:r w:rsidRPr="001B446F">
              <w:rPr>
                <w:rFonts w:ascii="Arial Narrow" w:hAnsi="Arial Narrow"/>
                <w:b/>
                <w:sz w:val="20"/>
              </w:rPr>
              <w:t xml:space="preserve">CMA and </w:t>
            </w:r>
          </w:p>
          <w:p w:rsidR="00565584" w:rsidRPr="001B446F" w:rsidRDefault="00565584" w:rsidP="00171484">
            <w:pPr>
              <w:keepNext/>
              <w:spacing w:line="256" w:lineRule="auto"/>
              <w:jc w:val="center"/>
              <w:rPr>
                <w:rFonts w:ascii="Arial Narrow" w:hAnsi="Arial Narrow"/>
                <w:b/>
                <w:sz w:val="20"/>
              </w:rPr>
            </w:pPr>
            <w:r w:rsidRPr="001B446F">
              <w:rPr>
                <w:rFonts w:ascii="Arial Narrow" w:hAnsi="Arial Narrow"/>
                <w:b/>
                <w:sz w:val="20"/>
              </w:rPr>
              <w:t>financial estimates</w:t>
            </w:r>
          </w:p>
        </w:tc>
        <w:tc>
          <w:tcPr>
            <w:tcW w:w="929" w:type="pct"/>
            <w:tcBorders>
              <w:left w:val="single" w:sz="4" w:space="0" w:color="auto"/>
              <w:bottom w:val="single" w:sz="4" w:space="0" w:color="auto"/>
              <w:right w:val="single" w:sz="4" w:space="0" w:color="auto"/>
            </w:tcBorders>
          </w:tcPr>
          <w:p w:rsidR="00565584" w:rsidRPr="001B446F" w:rsidRDefault="00565584" w:rsidP="00171484">
            <w:pPr>
              <w:keepNext/>
              <w:spacing w:line="256" w:lineRule="auto"/>
              <w:jc w:val="center"/>
              <w:rPr>
                <w:rFonts w:ascii="Arial Narrow" w:hAnsi="Arial Narrow"/>
                <w:b/>
                <w:sz w:val="20"/>
              </w:rPr>
            </w:pPr>
            <w:r w:rsidRPr="001B446F">
              <w:rPr>
                <w:rFonts w:ascii="Arial Narrow" w:hAnsi="Arial Narrow"/>
                <w:b/>
                <w:sz w:val="20"/>
              </w:rPr>
              <w:t>Trial dose and duration</w:t>
            </w:r>
          </w:p>
        </w:tc>
        <w:tc>
          <w:tcPr>
            <w:tcW w:w="930" w:type="pct"/>
            <w:tcBorders>
              <w:left w:val="single" w:sz="4" w:space="0" w:color="auto"/>
              <w:bottom w:val="single" w:sz="4" w:space="0" w:color="auto"/>
              <w:right w:val="single" w:sz="4" w:space="0" w:color="auto"/>
            </w:tcBorders>
          </w:tcPr>
          <w:p w:rsidR="00565584" w:rsidRPr="001B446F" w:rsidRDefault="00565584" w:rsidP="00171484">
            <w:pPr>
              <w:keepNext/>
              <w:spacing w:line="256" w:lineRule="auto"/>
              <w:jc w:val="center"/>
              <w:rPr>
                <w:rFonts w:ascii="Arial Narrow" w:hAnsi="Arial Narrow"/>
                <w:b/>
                <w:sz w:val="20"/>
              </w:rPr>
            </w:pPr>
            <w:r w:rsidRPr="001B446F">
              <w:rPr>
                <w:rFonts w:ascii="Arial Narrow" w:hAnsi="Arial Narrow"/>
                <w:b/>
                <w:sz w:val="20"/>
              </w:rPr>
              <w:t xml:space="preserve">CMA and </w:t>
            </w:r>
          </w:p>
          <w:p w:rsidR="00565584" w:rsidRPr="001B446F" w:rsidRDefault="00565584" w:rsidP="00171484">
            <w:pPr>
              <w:keepNext/>
              <w:spacing w:line="256" w:lineRule="auto"/>
              <w:jc w:val="center"/>
              <w:rPr>
                <w:rFonts w:ascii="Arial Narrow" w:hAnsi="Arial Narrow"/>
                <w:b/>
                <w:sz w:val="20"/>
              </w:rPr>
            </w:pPr>
            <w:r w:rsidRPr="001B446F">
              <w:rPr>
                <w:rFonts w:ascii="Arial Narrow" w:hAnsi="Arial Narrow"/>
                <w:b/>
                <w:sz w:val="20"/>
              </w:rPr>
              <w:t>financial estimates</w:t>
            </w:r>
          </w:p>
        </w:tc>
      </w:tr>
      <w:tr w:rsidR="00611F7E" w:rsidRPr="001B446F" w:rsidTr="00CA758F">
        <w:trPr>
          <w:jc w:val="center"/>
        </w:trPr>
        <w:tc>
          <w:tcPr>
            <w:tcW w:w="1254" w:type="pct"/>
            <w:tcBorders>
              <w:top w:val="single" w:sz="4" w:space="0" w:color="auto"/>
              <w:left w:val="single" w:sz="4" w:space="0" w:color="auto"/>
              <w:bottom w:val="single" w:sz="4" w:space="0" w:color="auto"/>
              <w:right w:val="single" w:sz="4" w:space="0" w:color="auto"/>
            </w:tcBorders>
            <w:hideMark/>
          </w:tcPr>
          <w:p w:rsidR="00611F7E" w:rsidRPr="001B446F" w:rsidRDefault="00611F7E" w:rsidP="00171484">
            <w:pPr>
              <w:keepNext/>
              <w:spacing w:line="256" w:lineRule="auto"/>
              <w:jc w:val="left"/>
              <w:rPr>
                <w:rFonts w:ascii="Arial Narrow" w:hAnsi="Arial Narrow"/>
                <w:sz w:val="20"/>
              </w:rPr>
            </w:pPr>
            <w:r w:rsidRPr="001B446F">
              <w:rPr>
                <w:rFonts w:ascii="Arial Narrow" w:hAnsi="Arial Narrow"/>
                <w:sz w:val="20"/>
              </w:rPr>
              <w:t xml:space="preserve"> Dose per implant </w:t>
            </w:r>
          </w:p>
        </w:tc>
        <w:tc>
          <w:tcPr>
            <w:tcW w:w="1887" w:type="pct"/>
            <w:gridSpan w:val="2"/>
            <w:tcBorders>
              <w:top w:val="single" w:sz="4" w:space="0" w:color="auto"/>
              <w:left w:val="single" w:sz="4" w:space="0" w:color="auto"/>
              <w:bottom w:val="single" w:sz="4" w:space="0" w:color="auto"/>
              <w:right w:val="single" w:sz="4" w:space="0" w:color="auto"/>
            </w:tcBorders>
          </w:tcPr>
          <w:p w:rsidR="00611F7E" w:rsidRPr="001B446F" w:rsidRDefault="00611F7E" w:rsidP="00171484">
            <w:pPr>
              <w:keepNext/>
              <w:spacing w:line="256" w:lineRule="auto"/>
              <w:jc w:val="center"/>
              <w:rPr>
                <w:rFonts w:ascii="Arial Narrow" w:hAnsi="Arial Narrow"/>
                <w:sz w:val="20"/>
              </w:rPr>
            </w:pPr>
            <w:r w:rsidRPr="001B446F">
              <w:rPr>
                <w:rFonts w:ascii="Arial Narrow" w:hAnsi="Arial Narrow"/>
                <w:sz w:val="20"/>
              </w:rPr>
              <w:t xml:space="preserve">190 </w:t>
            </w:r>
            <w:proofErr w:type="spellStart"/>
            <w:r w:rsidRPr="001B446F">
              <w:rPr>
                <w:rFonts w:ascii="Arial Narrow" w:hAnsi="Arial Narrow"/>
                <w:sz w:val="20"/>
              </w:rPr>
              <w:t>μg</w:t>
            </w:r>
            <w:proofErr w:type="spellEnd"/>
          </w:p>
        </w:tc>
        <w:tc>
          <w:tcPr>
            <w:tcW w:w="1859" w:type="pct"/>
            <w:gridSpan w:val="2"/>
            <w:tcBorders>
              <w:top w:val="single" w:sz="4" w:space="0" w:color="auto"/>
              <w:left w:val="single" w:sz="4" w:space="0" w:color="auto"/>
              <w:bottom w:val="single" w:sz="4" w:space="0" w:color="auto"/>
              <w:right w:val="single" w:sz="4" w:space="0" w:color="auto"/>
            </w:tcBorders>
          </w:tcPr>
          <w:p w:rsidR="00611F7E" w:rsidRPr="001B446F" w:rsidRDefault="00611F7E" w:rsidP="00171484">
            <w:pPr>
              <w:keepNext/>
              <w:spacing w:line="256" w:lineRule="auto"/>
              <w:jc w:val="center"/>
              <w:rPr>
                <w:rFonts w:ascii="Arial Narrow" w:hAnsi="Arial Narrow"/>
                <w:sz w:val="20"/>
              </w:rPr>
            </w:pPr>
            <w:r w:rsidRPr="001B446F">
              <w:rPr>
                <w:rFonts w:ascii="Arial Narrow" w:hAnsi="Arial Narrow"/>
                <w:sz w:val="20"/>
              </w:rPr>
              <w:t xml:space="preserve">700 </w:t>
            </w:r>
            <w:proofErr w:type="spellStart"/>
            <w:r w:rsidRPr="001B446F">
              <w:rPr>
                <w:rFonts w:ascii="Arial Narrow" w:hAnsi="Arial Narrow"/>
                <w:sz w:val="20"/>
              </w:rPr>
              <w:t>μg</w:t>
            </w:r>
            <w:proofErr w:type="spellEnd"/>
          </w:p>
        </w:tc>
      </w:tr>
      <w:tr w:rsidR="00565584" w:rsidRPr="001B446F" w:rsidTr="00CA758F">
        <w:trPr>
          <w:jc w:val="center"/>
        </w:trPr>
        <w:tc>
          <w:tcPr>
            <w:tcW w:w="1254" w:type="pct"/>
            <w:tcBorders>
              <w:top w:val="single" w:sz="4" w:space="0" w:color="auto"/>
              <w:left w:val="single" w:sz="4" w:space="0" w:color="auto"/>
              <w:bottom w:val="single" w:sz="4" w:space="0" w:color="auto"/>
              <w:right w:val="single" w:sz="4" w:space="0" w:color="auto"/>
            </w:tcBorders>
            <w:hideMark/>
          </w:tcPr>
          <w:p w:rsidR="00565584" w:rsidRPr="001B446F" w:rsidRDefault="00565584" w:rsidP="00171484">
            <w:pPr>
              <w:keepNext/>
              <w:spacing w:line="256" w:lineRule="auto"/>
              <w:jc w:val="left"/>
              <w:rPr>
                <w:rFonts w:ascii="Arial Narrow" w:hAnsi="Arial Narrow"/>
                <w:sz w:val="20"/>
              </w:rPr>
            </w:pPr>
            <w:r w:rsidRPr="001B446F">
              <w:rPr>
                <w:rFonts w:ascii="Arial Narrow" w:hAnsi="Arial Narrow"/>
                <w:sz w:val="20"/>
              </w:rPr>
              <w:t>Average number of implants (36 months)</w:t>
            </w:r>
          </w:p>
        </w:tc>
        <w:tc>
          <w:tcPr>
            <w:tcW w:w="943" w:type="pct"/>
            <w:tcBorders>
              <w:top w:val="single" w:sz="4" w:space="0" w:color="auto"/>
              <w:left w:val="single" w:sz="4" w:space="0" w:color="auto"/>
              <w:bottom w:val="single" w:sz="4" w:space="0" w:color="auto"/>
              <w:right w:val="single" w:sz="4" w:space="0" w:color="auto"/>
            </w:tcBorders>
            <w:hideMark/>
          </w:tcPr>
          <w:p w:rsidR="00565584" w:rsidRPr="001B446F" w:rsidRDefault="00565584" w:rsidP="00E32165">
            <w:pPr>
              <w:keepNext/>
              <w:jc w:val="center"/>
              <w:rPr>
                <w:rFonts w:ascii="Arial Narrow" w:hAnsi="Arial Narrow"/>
                <w:sz w:val="20"/>
              </w:rPr>
            </w:pPr>
            <w:r w:rsidRPr="001B446F">
              <w:rPr>
                <w:rFonts w:ascii="Arial Narrow" w:hAnsi="Arial Narrow"/>
                <w:sz w:val="20"/>
              </w:rPr>
              <w:t>1.3</w:t>
            </w:r>
            <w:r w:rsidRPr="001B446F">
              <w:rPr>
                <w:rFonts w:ascii="Arial Narrow" w:hAnsi="Arial Narrow"/>
                <w:sz w:val="20"/>
                <w:vertAlign w:val="superscript"/>
              </w:rPr>
              <w:t>a</w:t>
            </w:r>
          </w:p>
        </w:tc>
        <w:tc>
          <w:tcPr>
            <w:tcW w:w="944" w:type="pct"/>
            <w:tcBorders>
              <w:top w:val="single" w:sz="4" w:space="0" w:color="auto"/>
              <w:left w:val="single" w:sz="4" w:space="0" w:color="auto"/>
              <w:bottom w:val="single" w:sz="4" w:space="0" w:color="auto"/>
              <w:right w:val="single" w:sz="4" w:space="0" w:color="auto"/>
            </w:tcBorders>
            <w:hideMark/>
          </w:tcPr>
          <w:p w:rsidR="00565584" w:rsidRPr="001B446F" w:rsidRDefault="00565584" w:rsidP="001D2324">
            <w:pPr>
              <w:keepNext/>
              <w:jc w:val="center"/>
              <w:rPr>
                <w:rFonts w:ascii="Arial Narrow" w:hAnsi="Arial Narrow"/>
                <w:sz w:val="20"/>
              </w:rPr>
            </w:pPr>
            <w:r w:rsidRPr="001B446F">
              <w:rPr>
                <w:rFonts w:ascii="Arial Narrow" w:hAnsi="Arial Narrow"/>
                <w:sz w:val="20"/>
              </w:rPr>
              <w:t>1</w:t>
            </w:r>
          </w:p>
        </w:tc>
        <w:tc>
          <w:tcPr>
            <w:tcW w:w="929" w:type="pct"/>
            <w:tcBorders>
              <w:top w:val="single" w:sz="4" w:space="0" w:color="auto"/>
              <w:left w:val="single" w:sz="4" w:space="0" w:color="auto"/>
              <w:bottom w:val="single" w:sz="4" w:space="0" w:color="auto"/>
              <w:right w:val="single" w:sz="4" w:space="0" w:color="auto"/>
            </w:tcBorders>
          </w:tcPr>
          <w:p w:rsidR="00565584" w:rsidRPr="001B446F" w:rsidRDefault="00565584" w:rsidP="00E32165">
            <w:pPr>
              <w:keepNext/>
              <w:jc w:val="center"/>
              <w:rPr>
                <w:rFonts w:ascii="Arial Narrow" w:hAnsi="Arial Narrow"/>
                <w:sz w:val="20"/>
              </w:rPr>
            </w:pPr>
            <w:r w:rsidRPr="001B446F">
              <w:rPr>
                <w:rFonts w:ascii="Arial Narrow" w:hAnsi="Arial Narrow"/>
                <w:sz w:val="20"/>
              </w:rPr>
              <w:t>4.11</w:t>
            </w:r>
            <w:r w:rsidRPr="001B446F">
              <w:rPr>
                <w:rFonts w:ascii="Arial Narrow" w:hAnsi="Arial Narrow"/>
                <w:sz w:val="20"/>
                <w:vertAlign w:val="superscript"/>
              </w:rPr>
              <w:t>b</w:t>
            </w:r>
          </w:p>
        </w:tc>
        <w:tc>
          <w:tcPr>
            <w:tcW w:w="930" w:type="pct"/>
            <w:tcBorders>
              <w:top w:val="single" w:sz="4" w:space="0" w:color="auto"/>
              <w:left w:val="single" w:sz="4" w:space="0" w:color="auto"/>
              <w:bottom w:val="single" w:sz="4" w:space="0" w:color="auto"/>
              <w:right w:val="single" w:sz="4" w:space="0" w:color="auto"/>
            </w:tcBorders>
          </w:tcPr>
          <w:p w:rsidR="00565584" w:rsidRPr="001B446F" w:rsidRDefault="00565584" w:rsidP="00E32165">
            <w:pPr>
              <w:keepNext/>
              <w:jc w:val="center"/>
              <w:rPr>
                <w:rFonts w:ascii="Arial Narrow" w:hAnsi="Arial Narrow"/>
                <w:sz w:val="20"/>
              </w:rPr>
            </w:pPr>
            <w:r w:rsidRPr="001B446F">
              <w:rPr>
                <w:rFonts w:ascii="Arial Narrow" w:hAnsi="Arial Narrow"/>
                <w:sz w:val="20"/>
              </w:rPr>
              <w:t>6.48</w:t>
            </w:r>
          </w:p>
        </w:tc>
      </w:tr>
      <w:tr w:rsidR="00565584" w:rsidRPr="001B446F" w:rsidTr="00CA758F">
        <w:trPr>
          <w:jc w:val="center"/>
        </w:trPr>
        <w:tc>
          <w:tcPr>
            <w:tcW w:w="1254" w:type="pct"/>
            <w:tcBorders>
              <w:top w:val="single" w:sz="4" w:space="0" w:color="auto"/>
              <w:left w:val="single" w:sz="4" w:space="0" w:color="auto"/>
              <w:bottom w:val="single" w:sz="4" w:space="0" w:color="auto"/>
              <w:right w:val="single" w:sz="4" w:space="0" w:color="auto"/>
            </w:tcBorders>
            <w:hideMark/>
          </w:tcPr>
          <w:p w:rsidR="00565584" w:rsidRPr="001B446F" w:rsidRDefault="00565584" w:rsidP="008860ED">
            <w:pPr>
              <w:keepNext/>
              <w:spacing w:line="256" w:lineRule="auto"/>
              <w:jc w:val="left"/>
              <w:rPr>
                <w:rFonts w:ascii="Arial Narrow" w:hAnsi="Arial Narrow"/>
                <w:sz w:val="20"/>
              </w:rPr>
            </w:pPr>
            <w:r w:rsidRPr="001B446F">
              <w:rPr>
                <w:rFonts w:ascii="Arial Narrow" w:hAnsi="Arial Narrow"/>
                <w:sz w:val="20"/>
              </w:rPr>
              <w:t>Drug cost/patient</w:t>
            </w:r>
          </w:p>
        </w:tc>
        <w:tc>
          <w:tcPr>
            <w:tcW w:w="943" w:type="pct"/>
            <w:tcBorders>
              <w:top w:val="single" w:sz="4" w:space="0" w:color="auto"/>
              <w:left w:val="single" w:sz="4" w:space="0" w:color="auto"/>
              <w:bottom w:val="single" w:sz="4" w:space="0" w:color="auto"/>
              <w:right w:val="single" w:sz="4" w:space="0" w:color="auto"/>
            </w:tcBorders>
          </w:tcPr>
          <w:p w:rsidR="00565584" w:rsidRPr="001B446F" w:rsidRDefault="00565584" w:rsidP="00E32165">
            <w:pPr>
              <w:pStyle w:val="Table"/>
              <w:jc w:val="center"/>
            </w:pPr>
            <w:r w:rsidRPr="001B446F">
              <w:t>$</w:t>
            </w:r>
            <w:r w:rsidRPr="000D0CD4">
              <w:t>12,333</w:t>
            </w:r>
          </w:p>
        </w:tc>
        <w:tc>
          <w:tcPr>
            <w:tcW w:w="944" w:type="pct"/>
            <w:tcBorders>
              <w:top w:val="single" w:sz="4" w:space="0" w:color="auto"/>
              <w:left w:val="single" w:sz="4" w:space="0" w:color="auto"/>
              <w:bottom w:val="single" w:sz="4" w:space="0" w:color="auto"/>
              <w:right w:val="single" w:sz="4" w:space="0" w:color="auto"/>
            </w:tcBorders>
          </w:tcPr>
          <w:p w:rsidR="00565584" w:rsidRPr="001B446F" w:rsidRDefault="00565584" w:rsidP="001D2324">
            <w:pPr>
              <w:pStyle w:val="Table"/>
              <w:jc w:val="center"/>
            </w:pPr>
            <w:r w:rsidRPr="001B446F">
              <w:t>$</w:t>
            </w:r>
            <w:r w:rsidRPr="000D0CD4">
              <w:t>9,487</w:t>
            </w:r>
          </w:p>
        </w:tc>
        <w:tc>
          <w:tcPr>
            <w:tcW w:w="929" w:type="pct"/>
            <w:tcBorders>
              <w:top w:val="single" w:sz="4" w:space="0" w:color="auto"/>
              <w:left w:val="single" w:sz="4" w:space="0" w:color="auto"/>
              <w:bottom w:val="single" w:sz="4" w:space="0" w:color="auto"/>
              <w:right w:val="single" w:sz="4" w:space="0" w:color="auto"/>
            </w:tcBorders>
          </w:tcPr>
          <w:p w:rsidR="00565584" w:rsidRPr="001B446F" w:rsidRDefault="00565584" w:rsidP="00E32165">
            <w:pPr>
              <w:pStyle w:val="Table"/>
              <w:jc w:val="center"/>
            </w:pPr>
            <w:r w:rsidRPr="001B446F">
              <w:t>$</w:t>
            </w:r>
            <w:r w:rsidRPr="000D0CD4">
              <w:t>5,570</w:t>
            </w:r>
          </w:p>
        </w:tc>
        <w:tc>
          <w:tcPr>
            <w:tcW w:w="930" w:type="pct"/>
            <w:tcBorders>
              <w:top w:val="single" w:sz="4" w:space="0" w:color="auto"/>
              <w:left w:val="single" w:sz="4" w:space="0" w:color="auto"/>
              <w:bottom w:val="single" w:sz="4" w:space="0" w:color="auto"/>
              <w:right w:val="single" w:sz="4" w:space="0" w:color="auto"/>
            </w:tcBorders>
          </w:tcPr>
          <w:p w:rsidR="00565584" w:rsidRPr="001B446F" w:rsidRDefault="00565584" w:rsidP="00E32165">
            <w:pPr>
              <w:pStyle w:val="Table"/>
              <w:jc w:val="center"/>
            </w:pPr>
            <w:r w:rsidRPr="001B446F">
              <w:t>$</w:t>
            </w:r>
            <w:r w:rsidRPr="000D0CD4">
              <w:t>8,782</w:t>
            </w:r>
          </w:p>
        </w:tc>
      </w:tr>
      <w:tr w:rsidR="00565584" w:rsidRPr="001B446F" w:rsidTr="00CA758F">
        <w:trPr>
          <w:jc w:val="center"/>
        </w:trPr>
        <w:tc>
          <w:tcPr>
            <w:tcW w:w="1254" w:type="pct"/>
            <w:tcBorders>
              <w:top w:val="single" w:sz="4" w:space="0" w:color="auto"/>
              <w:left w:val="single" w:sz="4" w:space="0" w:color="auto"/>
              <w:bottom w:val="single" w:sz="4" w:space="0" w:color="auto"/>
              <w:right w:val="single" w:sz="4" w:space="0" w:color="auto"/>
            </w:tcBorders>
          </w:tcPr>
          <w:p w:rsidR="00565584" w:rsidRPr="001B446F" w:rsidRDefault="00565584" w:rsidP="001C1FAE">
            <w:pPr>
              <w:keepNext/>
              <w:spacing w:line="256" w:lineRule="auto"/>
              <w:jc w:val="left"/>
              <w:rPr>
                <w:rFonts w:ascii="Arial Narrow" w:hAnsi="Arial Narrow"/>
                <w:sz w:val="20"/>
              </w:rPr>
            </w:pPr>
            <w:r w:rsidRPr="001B446F">
              <w:rPr>
                <w:rFonts w:ascii="Arial Narrow" w:hAnsi="Arial Narrow"/>
                <w:sz w:val="20"/>
              </w:rPr>
              <w:t>Cost/ patient including administration cost*</w:t>
            </w:r>
          </w:p>
        </w:tc>
        <w:tc>
          <w:tcPr>
            <w:tcW w:w="943" w:type="pct"/>
            <w:tcBorders>
              <w:top w:val="single" w:sz="4" w:space="0" w:color="auto"/>
              <w:left w:val="single" w:sz="4" w:space="0" w:color="auto"/>
              <w:bottom w:val="single" w:sz="4" w:space="0" w:color="auto"/>
              <w:right w:val="single" w:sz="4" w:space="0" w:color="auto"/>
            </w:tcBorders>
          </w:tcPr>
          <w:p w:rsidR="00565584" w:rsidRPr="001B446F" w:rsidRDefault="00565584" w:rsidP="00E32165">
            <w:pPr>
              <w:pStyle w:val="Table"/>
              <w:jc w:val="center"/>
            </w:pPr>
            <w:r w:rsidRPr="001B446F">
              <w:t>$</w:t>
            </w:r>
            <w:r w:rsidRPr="000D0CD4">
              <w:t>12,671</w:t>
            </w:r>
          </w:p>
        </w:tc>
        <w:tc>
          <w:tcPr>
            <w:tcW w:w="944" w:type="pct"/>
            <w:tcBorders>
              <w:top w:val="single" w:sz="4" w:space="0" w:color="auto"/>
              <w:left w:val="single" w:sz="4" w:space="0" w:color="auto"/>
              <w:bottom w:val="single" w:sz="4" w:space="0" w:color="auto"/>
              <w:right w:val="single" w:sz="4" w:space="0" w:color="auto"/>
            </w:tcBorders>
          </w:tcPr>
          <w:p w:rsidR="00565584" w:rsidRPr="001B446F" w:rsidRDefault="00565584" w:rsidP="00E32165">
            <w:pPr>
              <w:pStyle w:val="Table"/>
              <w:jc w:val="center"/>
            </w:pPr>
            <w:r w:rsidRPr="001B446F">
              <w:t>$</w:t>
            </w:r>
            <w:r w:rsidRPr="000D0CD4">
              <w:t>9,747</w:t>
            </w:r>
          </w:p>
        </w:tc>
        <w:tc>
          <w:tcPr>
            <w:tcW w:w="929" w:type="pct"/>
            <w:tcBorders>
              <w:top w:val="single" w:sz="4" w:space="0" w:color="auto"/>
              <w:left w:val="single" w:sz="4" w:space="0" w:color="auto"/>
              <w:bottom w:val="single" w:sz="4" w:space="0" w:color="auto"/>
              <w:right w:val="single" w:sz="4" w:space="0" w:color="auto"/>
            </w:tcBorders>
          </w:tcPr>
          <w:p w:rsidR="00565584" w:rsidRPr="001B446F" w:rsidRDefault="00565584" w:rsidP="00E32165">
            <w:pPr>
              <w:pStyle w:val="Table"/>
              <w:jc w:val="center"/>
            </w:pPr>
            <w:r w:rsidRPr="001B446F">
              <w:t>$</w:t>
            </w:r>
            <w:r w:rsidRPr="000D0CD4">
              <w:t>6,638</w:t>
            </w:r>
          </w:p>
        </w:tc>
        <w:tc>
          <w:tcPr>
            <w:tcW w:w="930" w:type="pct"/>
            <w:tcBorders>
              <w:top w:val="single" w:sz="4" w:space="0" w:color="auto"/>
              <w:left w:val="single" w:sz="4" w:space="0" w:color="auto"/>
              <w:bottom w:val="single" w:sz="4" w:space="0" w:color="auto"/>
              <w:right w:val="single" w:sz="4" w:space="0" w:color="auto"/>
            </w:tcBorders>
          </w:tcPr>
          <w:p w:rsidR="00565584" w:rsidRPr="001B446F" w:rsidRDefault="00565584" w:rsidP="00E32165">
            <w:pPr>
              <w:pStyle w:val="Table"/>
              <w:jc w:val="center"/>
            </w:pPr>
            <w:r w:rsidRPr="001B446F">
              <w:t>$</w:t>
            </w:r>
            <w:r w:rsidRPr="000D0CD4">
              <w:t>10,465</w:t>
            </w:r>
          </w:p>
        </w:tc>
      </w:tr>
    </w:tbl>
    <w:p w:rsidR="00CB0DE5" w:rsidRPr="001B446F" w:rsidRDefault="00A9669B" w:rsidP="002A433C">
      <w:pPr>
        <w:rPr>
          <w:rFonts w:ascii="Arial Narrow" w:hAnsi="Arial Narrow"/>
          <w:sz w:val="18"/>
        </w:rPr>
      </w:pPr>
      <w:r w:rsidRPr="001B446F">
        <w:rPr>
          <w:rFonts w:ascii="Arial Narrow" w:hAnsi="Arial Narrow"/>
          <w:sz w:val="18"/>
        </w:rPr>
        <w:t>Source: Table 39, p81 of the submission, Table 40 p82 of the submission</w:t>
      </w:r>
      <w:r w:rsidR="006E2D13" w:rsidRPr="001B446F">
        <w:rPr>
          <w:rFonts w:ascii="Arial Narrow" w:hAnsi="Arial Narrow"/>
          <w:sz w:val="18"/>
        </w:rPr>
        <w:t xml:space="preserve">. </w:t>
      </w:r>
      <w:r w:rsidR="006E2D13" w:rsidRPr="001B446F">
        <w:rPr>
          <w:rFonts w:ascii="Arial Narrow" w:hAnsi="Arial Narrow"/>
          <w:i/>
          <w:sz w:val="18"/>
        </w:rPr>
        <w:t>Italics calculated during evaluation.</w:t>
      </w:r>
      <w:r w:rsidR="006E2D13" w:rsidRPr="001B446F">
        <w:rPr>
          <w:rFonts w:ascii="Arial Narrow" w:hAnsi="Arial Narrow"/>
          <w:sz w:val="18"/>
        </w:rPr>
        <w:t xml:space="preserve"> </w:t>
      </w:r>
    </w:p>
    <w:p w:rsidR="00A9669B" w:rsidRPr="001B446F" w:rsidRDefault="00CB0DE5" w:rsidP="002A433C">
      <w:pPr>
        <w:rPr>
          <w:rFonts w:ascii="Arial Narrow" w:hAnsi="Arial Narrow"/>
          <w:sz w:val="18"/>
        </w:rPr>
      </w:pPr>
      <w:r w:rsidRPr="001B446F">
        <w:rPr>
          <w:rFonts w:ascii="Arial Narrow" w:hAnsi="Arial Narrow"/>
          <w:sz w:val="18"/>
        </w:rPr>
        <w:t xml:space="preserve">CMA = cost minimisation analysis; DEX = dexamethasone; </w:t>
      </w:r>
      <w:r w:rsidR="000B35ED" w:rsidRPr="001B446F">
        <w:rPr>
          <w:rFonts w:ascii="Arial Narrow" w:hAnsi="Arial Narrow"/>
          <w:sz w:val="18"/>
        </w:rPr>
        <w:t xml:space="preserve">DPMQ = dispensed price for maximum quantity; </w:t>
      </w:r>
      <w:r w:rsidRPr="001B446F">
        <w:rPr>
          <w:rFonts w:ascii="Arial Narrow" w:hAnsi="Arial Narrow"/>
          <w:sz w:val="18"/>
        </w:rPr>
        <w:t xml:space="preserve">FA= </w:t>
      </w:r>
      <w:proofErr w:type="spellStart"/>
      <w:r w:rsidRPr="001B446F">
        <w:rPr>
          <w:rFonts w:ascii="Arial Narrow" w:hAnsi="Arial Narrow"/>
          <w:sz w:val="18"/>
        </w:rPr>
        <w:t>fluocinolone</w:t>
      </w:r>
      <w:proofErr w:type="spellEnd"/>
      <w:r w:rsidRPr="001B446F">
        <w:rPr>
          <w:rFonts w:ascii="Arial Narrow" w:hAnsi="Arial Narrow"/>
          <w:sz w:val="18"/>
        </w:rPr>
        <w:t xml:space="preserve"> </w:t>
      </w:r>
      <w:proofErr w:type="spellStart"/>
      <w:r w:rsidRPr="001B446F">
        <w:rPr>
          <w:rFonts w:ascii="Arial Narrow" w:hAnsi="Arial Narrow"/>
          <w:sz w:val="18"/>
        </w:rPr>
        <w:t>acetonide</w:t>
      </w:r>
      <w:proofErr w:type="spellEnd"/>
    </w:p>
    <w:p w:rsidR="00CA758F" w:rsidRPr="001B446F" w:rsidRDefault="00A9669B" w:rsidP="002A433C">
      <w:pPr>
        <w:rPr>
          <w:rFonts w:ascii="Arial Narrow" w:hAnsi="Arial Narrow"/>
          <w:sz w:val="18"/>
        </w:rPr>
      </w:pPr>
      <w:proofErr w:type="gramStart"/>
      <w:r w:rsidRPr="001B446F">
        <w:rPr>
          <w:rFonts w:ascii="Arial Narrow" w:hAnsi="Arial Narrow"/>
          <w:sz w:val="18"/>
          <w:vertAlign w:val="superscript"/>
        </w:rPr>
        <w:t>a</w:t>
      </w:r>
      <w:proofErr w:type="gramEnd"/>
      <w:r w:rsidR="00D73D30" w:rsidRPr="001B446F">
        <w:rPr>
          <w:rFonts w:ascii="Arial Narrow" w:hAnsi="Arial Narrow"/>
          <w:sz w:val="18"/>
          <w:vertAlign w:val="superscript"/>
        </w:rPr>
        <w:t xml:space="preserve"> </w:t>
      </w:r>
      <w:r w:rsidR="000E0BE4" w:rsidRPr="001B446F">
        <w:rPr>
          <w:rFonts w:ascii="Arial Narrow" w:hAnsi="Arial Narrow"/>
          <w:sz w:val="18"/>
        </w:rPr>
        <w:t>total treatments/n=489/376 = 1.30 FA CSR</w:t>
      </w:r>
    </w:p>
    <w:p w:rsidR="002A433C" w:rsidRPr="001B446F" w:rsidRDefault="00A9669B" w:rsidP="002A433C">
      <w:pPr>
        <w:rPr>
          <w:rFonts w:ascii="Arial Narrow" w:hAnsi="Arial Narrow"/>
          <w:sz w:val="18"/>
        </w:rPr>
      </w:pPr>
      <w:proofErr w:type="gramStart"/>
      <w:r w:rsidRPr="001B446F">
        <w:rPr>
          <w:rFonts w:ascii="Arial Narrow" w:hAnsi="Arial Narrow"/>
          <w:sz w:val="18"/>
          <w:vertAlign w:val="superscript"/>
        </w:rPr>
        <w:t>b</w:t>
      </w:r>
      <w:proofErr w:type="gramEnd"/>
      <w:r w:rsidR="00CA758F" w:rsidRPr="001B446F">
        <w:rPr>
          <w:rFonts w:ascii="Arial Narrow" w:hAnsi="Arial Narrow"/>
          <w:sz w:val="18"/>
          <w:vertAlign w:val="superscript"/>
        </w:rPr>
        <w:t xml:space="preserve"> </w:t>
      </w:r>
      <w:r w:rsidR="000E0BE4" w:rsidRPr="001B446F">
        <w:rPr>
          <w:rFonts w:ascii="Arial Narrow" w:hAnsi="Arial Narrow"/>
          <w:sz w:val="18"/>
        </w:rPr>
        <w:t xml:space="preserve">total treatments/n=1427/347 = </w:t>
      </w:r>
      <w:r w:rsidR="000E0BE4" w:rsidRPr="001B446F">
        <w:rPr>
          <w:rFonts w:ascii="Arial Narrow" w:hAnsi="Arial Narrow"/>
          <w:sz w:val="18"/>
          <w:szCs w:val="18"/>
        </w:rPr>
        <w:t>4.11</w:t>
      </w:r>
      <w:r w:rsidR="000E0BE4" w:rsidRPr="001B446F">
        <w:rPr>
          <w:rFonts w:ascii="Arial Narrow" w:hAnsi="Arial Narrow"/>
          <w:sz w:val="18"/>
        </w:rPr>
        <w:t xml:space="preserve"> DEX </w:t>
      </w:r>
    </w:p>
    <w:p w:rsidR="00565584" w:rsidRPr="001B446F" w:rsidRDefault="00565584" w:rsidP="002A433C">
      <w:pPr>
        <w:rPr>
          <w:rFonts w:ascii="Arial Narrow" w:hAnsi="Arial Narrow"/>
          <w:sz w:val="18"/>
        </w:rPr>
      </w:pPr>
      <w:r w:rsidRPr="001B446F">
        <w:rPr>
          <w:rFonts w:ascii="Arial Narrow" w:hAnsi="Arial Narrow"/>
          <w:sz w:val="18"/>
        </w:rPr>
        <w:lastRenderedPageBreak/>
        <w:t>* $259.75 per administration</w:t>
      </w:r>
    </w:p>
    <w:p w:rsidR="009907B8" w:rsidRPr="001B446F" w:rsidRDefault="009907B8" w:rsidP="00F56EFF"/>
    <w:p w:rsidR="00B60939" w:rsidRPr="001B446F" w:rsidRDefault="00B60939" w:rsidP="002B05A1">
      <w:pPr>
        <w:pStyle w:val="4-SubsectionHeading"/>
      </w:pPr>
      <w:bookmarkStart w:id="24" w:name="_Toc22897647"/>
      <w:bookmarkStart w:id="25" w:name="_Toc30496462"/>
      <w:r w:rsidRPr="001B446F">
        <w:t>Estimated PBS usage &amp; financial implications</w:t>
      </w:r>
      <w:bookmarkEnd w:id="24"/>
      <w:bookmarkEnd w:id="25"/>
    </w:p>
    <w:p w:rsidR="009907B8" w:rsidRPr="001B446F" w:rsidRDefault="00977DE3" w:rsidP="009907B8">
      <w:pPr>
        <w:pStyle w:val="3-BodyText"/>
        <w:rPr>
          <w:color w:val="0066FF"/>
        </w:rPr>
      </w:pPr>
      <w:r w:rsidRPr="001B446F">
        <w:t>T</w:t>
      </w:r>
      <w:r w:rsidR="00C25D9C" w:rsidRPr="001B446F">
        <w:t xml:space="preserve">his submission </w:t>
      </w:r>
      <w:proofErr w:type="gramStart"/>
      <w:r w:rsidR="00B87DA1" w:rsidRPr="001B446F">
        <w:t>was not considered</w:t>
      </w:r>
      <w:proofErr w:type="gramEnd"/>
      <w:r w:rsidR="00B87DA1" w:rsidRPr="001B446F">
        <w:t xml:space="preserve"> by DUSC.</w:t>
      </w:r>
      <w:r w:rsidR="00BC591F" w:rsidRPr="001B446F">
        <w:rPr>
          <w:color w:val="0070C0"/>
        </w:rPr>
        <w:t xml:space="preserve"> </w:t>
      </w:r>
    </w:p>
    <w:p w:rsidR="0072416F" w:rsidRPr="001B446F" w:rsidRDefault="00D04872" w:rsidP="009907B8">
      <w:pPr>
        <w:pStyle w:val="3-BodyText"/>
        <w:rPr>
          <w:color w:val="0066FF"/>
        </w:rPr>
      </w:pPr>
      <w:r w:rsidRPr="001B446F">
        <w:t>The submission used an epidemiological approach.</w:t>
      </w:r>
      <w:r w:rsidR="00CD5C11" w:rsidRPr="001B446F">
        <w:rPr>
          <w:i/>
        </w:rPr>
        <w:t xml:space="preserve"> </w:t>
      </w:r>
      <w:r w:rsidR="00CD5C11" w:rsidRPr="001B446F">
        <w:t xml:space="preserve">No justification for this approach </w:t>
      </w:r>
      <w:proofErr w:type="gramStart"/>
      <w:r w:rsidR="00CD5C11" w:rsidRPr="001B446F">
        <w:t>was provided</w:t>
      </w:r>
      <w:proofErr w:type="gramEnd"/>
      <w:r w:rsidR="00CD5C11" w:rsidRPr="001B446F">
        <w:t xml:space="preserve"> in the submission and the evaluation considered a </w:t>
      </w:r>
      <w:r w:rsidR="001B446F" w:rsidRPr="001B446F">
        <w:t>market</w:t>
      </w:r>
      <w:r w:rsidR="001B446F">
        <w:t>-</w:t>
      </w:r>
      <w:r w:rsidR="00CD5C11" w:rsidRPr="001B446F">
        <w:t>share approach may have been more appropriate</w:t>
      </w:r>
      <w:r w:rsidR="006027B7" w:rsidRPr="001B446F">
        <w:t>.</w:t>
      </w:r>
      <w:r w:rsidR="00CD5C11" w:rsidRPr="001B446F">
        <w:t xml:space="preserve"> </w:t>
      </w:r>
      <w:r w:rsidR="001243F6" w:rsidRPr="001B446F">
        <w:t xml:space="preserve">The PSCR </w:t>
      </w:r>
      <w:r w:rsidR="002762E4" w:rsidRPr="001B446F">
        <w:t>stated that</w:t>
      </w:r>
      <w:r w:rsidR="001243F6" w:rsidRPr="001B446F">
        <w:t xml:space="preserve"> </w:t>
      </w:r>
      <w:r w:rsidR="008168C3" w:rsidRPr="001B446F">
        <w:t xml:space="preserve">an epidemiological approach </w:t>
      </w:r>
      <w:proofErr w:type="gramStart"/>
      <w:r w:rsidR="008168C3" w:rsidRPr="001B446F">
        <w:t>was used</w:t>
      </w:r>
      <w:proofErr w:type="gramEnd"/>
      <w:r w:rsidR="0027251E" w:rsidRPr="001B446F">
        <w:t xml:space="preserve"> </w:t>
      </w:r>
      <w:r w:rsidR="00030B0A" w:rsidRPr="001B446F">
        <w:t xml:space="preserve">on </w:t>
      </w:r>
      <w:r w:rsidR="0027251E" w:rsidRPr="001B446F">
        <w:t>the basis that DEX was under</w:t>
      </w:r>
      <w:r w:rsidR="0071149B" w:rsidRPr="001B446F">
        <w:t>utilised and</w:t>
      </w:r>
      <w:r w:rsidR="008168C3" w:rsidRPr="001B446F">
        <w:t xml:space="preserve"> there is</w:t>
      </w:r>
      <w:r w:rsidR="0071149B" w:rsidRPr="001B446F">
        <w:t xml:space="preserve"> non-PBS usage of </w:t>
      </w:r>
      <w:proofErr w:type="spellStart"/>
      <w:r w:rsidR="006027B7" w:rsidRPr="001B446F">
        <w:t>intravitreal</w:t>
      </w:r>
      <w:proofErr w:type="spellEnd"/>
      <w:r w:rsidR="006027B7" w:rsidRPr="001B446F">
        <w:t xml:space="preserve"> </w:t>
      </w:r>
      <w:r w:rsidR="008168C3" w:rsidRPr="001B446F">
        <w:t xml:space="preserve">triamcinolone </w:t>
      </w:r>
      <w:proofErr w:type="spellStart"/>
      <w:r w:rsidR="008168C3" w:rsidRPr="001B446F">
        <w:t>acetonide</w:t>
      </w:r>
      <w:proofErr w:type="spellEnd"/>
      <w:r w:rsidR="008168C3" w:rsidRPr="001B446F">
        <w:t xml:space="preserve">. </w:t>
      </w:r>
      <w:r w:rsidR="00030B0A" w:rsidRPr="001B446F">
        <w:t xml:space="preserve">The ESC considered that this was </w:t>
      </w:r>
      <w:proofErr w:type="gramStart"/>
      <w:r w:rsidR="00030B0A" w:rsidRPr="001B446F">
        <w:t>not unreasonable</w:t>
      </w:r>
      <w:proofErr w:type="gramEnd"/>
      <w:r w:rsidR="00030B0A" w:rsidRPr="001B446F">
        <w:t xml:space="preserve"> but the extent of any underutilisation was highly uncertain.  </w:t>
      </w:r>
      <w:r w:rsidR="008168C3" w:rsidRPr="001B446F">
        <w:t xml:space="preserve">The Sponsor argued for </w:t>
      </w:r>
      <w:r w:rsidR="0071149B" w:rsidRPr="001B446F">
        <w:t xml:space="preserve">projected market growth due to switching </w:t>
      </w:r>
      <w:r w:rsidR="008168C3" w:rsidRPr="001B446F">
        <w:t>from</w:t>
      </w:r>
      <w:r w:rsidR="006027B7" w:rsidRPr="001B446F">
        <w:t xml:space="preserve"> triamcinolone </w:t>
      </w:r>
      <w:proofErr w:type="spellStart"/>
      <w:r w:rsidR="006027B7" w:rsidRPr="001B446F">
        <w:t>acetonide</w:t>
      </w:r>
      <w:proofErr w:type="spellEnd"/>
      <w:r w:rsidR="0071149B" w:rsidRPr="001B446F">
        <w:t xml:space="preserve"> to FA with an increase in adherence due to FA listing.</w:t>
      </w:r>
      <w:r w:rsidR="006027B7" w:rsidRPr="001B446F">
        <w:t xml:space="preserve"> </w:t>
      </w:r>
      <w:r w:rsidR="00DC280E" w:rsidRPr="001B446F">
        <w:t>T</w:t>
      </w:r>
      <w:r w:rsidR="00FC70F5" w:rsidRPr="001B446F">
        <w:t>he ESC considered th</w:t>
      </w:r>
      <w:r w:rsidR="006027B7" w:rsidRPr="001B446F">
        <w:t>e</w:t>
      </w:r>
      <w:r w:rsidR="00DC280E" w:rsidRPr="001B446F">
        <w:t xml:space="preserve"> </w:t>
      </w:r>
      <w:r w:rsidR="00862CFF" w:rsidRPr="001B446F">
        <w:t>assumption</w:t>
      </w:r>
      <w:r w:rsidR="006027B7" w:rsidRPr="001B446F">
        <w:t xml:space="preserve"> of substantial </w:t>
      </w:r>
      <w:r w:rsidR="00B261D9" w:rsidRPr="001B446F">
        <w:t>market growth may</w:t>
      </w:r>
      <w:r w:rsidR="006027B7" w:rsidRPr="001B446F">
        <w:t xml:space="preserve"> not be reasonable</w:t>
      </w:r>
      <w:r w:rsidR="00B261D9" w:rsidRPr="001B446F">
        <w:t xml:space="preserve"> given </w:t>
      </w:r>
      <w:r w:rsidR="00F719C7" w:rsidRPr="001B446F">
        <w:t xml:space="preserve">there is a low clinical need and </w:t>
      </w:r>
      <w:r w:rsidR="006027B7" w:rsidRPr="001B446F">
        <w:t xml:space="preserve">FA </w:t>
      </w:r>
      <w:r w:rsidR="00B261D9" w:rsidRPr="001B446F">
        <w:t xml:space="preserve">is a </w:t>
      </w:r>
      <w:r w:rsidR="001243F6" w:rsidRPr="001B446F">
        <w:t>second line</w:t>
      </w:r>
      <w:r w:rsidR="00B261D9" w:rsidRPr="001B446F">
        <w:t xml:space="preserve"> </w:t>
      </w:r>
      <w:r w:rsidR="006027B7" w:rsidRPr="001B446F">
        <w:t>therapy with</w:t>
      </w:r>
      <w:r w:rsidR="00B261D9" w:rsidRPr="001B446F">
        <w:t xml:space="preserve"> inferior </w:t>
      </w:r>
      <w:r w:rsidR="006027B7" w:rsidRPr="001B446F">
        <w:t xml:space="preserve">effectiveness and safety compared to </w:t>
      </w:r>
      <w:r w:rsidR="00B261D9" w:rsidRPr="001B446F">
        <w:t>VEGF</w:t>
      </w:r>
      <w:r w:rsidR="006027B7" w:rsidRPr="001B446F">
        <w:t xml:space="preserve"> inhibitors</w:t>
      </w:r>
      <w:r w:rsidR="00B261D9" w:rsidRPr="001B446F">
        <w:t xml:space="preserve">. </w:t>
      </w:r>
      <w:r w:rsidR="009439AB" w:rsidRPr="001B446F">
        <w:t>The key input parameters for financi</w:t>
      </w:r>
      <w:r w:rsidR="00B23384" w:rsidRPr="001B446F">
        <w:t xml:space="preserve">al estimates </w:t>
      </w:r>
      <w:proofErr w:type="gramStart"/>
      <w:r w:rsidR="00B23384" w:rsidRPr="001B446F">
        <w:t>are shown</w:t>
      </w:r>
      <w:proofErr w:type="gramEnd"/>
      <w:r w:rsidR="00B23384" w:rsidRPr="001B446F">
        <w:t xml:space="preserve"> in Table </w:t>
      </w:r>
      <w:r w:rsidR="009439AB" w:rsidRPr="001B446F">
        <w:t>1</w:t>
      </w:r>
      <w:r w:rsidR="008A666B">
        <w:t>0</w:t>
      </w:r>
      <w:r w:rsidR="00AA275A" w:rsidRPr="001B446F">
        <w:t>.</w:t>
      </w:r>
    </w:p>
    <w:p w:rsidR="00E42F73" w:rsidRPr="001B446F" w:rsidRDefault="00E42F73" w:rsidP="007925DF">
      <w:pPr>
        <w:pStyle w:val="TableFigureHeading"/>
        <w:rPr>
          <w:rStyle w:val="CommentReference"/>
          <w:b/>
          <w:szCs w:val="24"/>
        </w:rPr>
      </w:pPr>
      <w:r w:rsidRPr="001B446F">
        <w:rPr>
          <w:rStyle w:val="CommentReference"/>
          <w:b/>
          <w:szCs w:val="24"/>
        </w:rPr>
        <w:t xml:space="preserve">Table </w:t>
      </w:r>
      <w:r w:rsidR="00DB11C5" w:rsidRPr="001B446F">
        <w:rPr>
          <w:rStyle w:val="CommentReference"/>
          <w:b/>
          <w:szCs w:val="24"/>
        </w:rPr>
        <w:t>1</w:t>
      </w:r>
      <w:r w:rsidR="008A666B">
        <w:rPr>
          <w:rStyle w:val="CommentReference"/>
          <w:b/>
          <w:szCs w:val="24"/>
        </w:rPr>
        <w:t>0</w:t>
      </w:r>
      <w:r w:rsidRPr="001B446F">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4"/>
        <w:gridCol w:w="3527"/>
        <w:gridCol w:w="3776"/>
      </w:tblGrid>
      <w:tr w:rsidR="00E42F73" w:rsidRPr="001B446F" w:rsidTr="007D7CB0">
        <w:trPr>
          <w:tblHeader/>
        </w:trPr>
        <w:tc>
          <w:tcPr>
            <w:tcW w:w="950" w:type="pct"/>
            <w:shd w:val="clear" w:color="auto" w:fill="auto"/>
            <w:vAlign w:val="center"/>
          </w:tcPr>
          <w:p w:rsidR="00E42F73" w:rsidRPr="001B446F" w:rsidRDefault="004658B5" w:rsidP="007925DF">
            <w:pPr>
              <w:pStyle w:val="In-tableHeading"/>
              <w:rPr>
                <w:lang w:val="en-AU"/>
              </w:rPr>
            </w:pPr>
            <w:r w:rsidRPr="001B446F">
              <w:rPr>
                <w:lang w:val="en-AU"/>
              </w:rPr>
              <w:t>Parameter</w:t>
            </w:r>
          </w:p>
        </w:tc>
        <w:tc>
          <w:tcPr>
            <w:tcW w:w="1956" w:type="pct"/>
            <w:shd w:val="clear" w:color="auto" w:fill="auto"/>
            <w:vAlign w:val="center"/>
          </w:tcPr>
          <w:p w:rsidR="00E42F73" w:rsidRPr="001B446F" w:rsidRDefault="004658B5" w:rsidP="007925DF">
            <w:pPr>
              <w:pStyle w:val="In-tableHeading"/>
              <w:rPr>
                <w:lang w:val="en-AU"/>
              </w:rPr>
            </w:pPr>
            <w:r w:rsidRPr="001B446F">
              <w:rPr>
                <w:lang w:val="en-AU"/>
              </w:rPr>
              <w:t>Value applied and source</w:t>
            </w:r>
          </w:p>
        </w:tc>
        <w:tc>
          <w:tcPr>
            <w:tcW w:w="2094" w:type="pct"/>
            <w:shd w:val="clear" w:color="auto" w:fill="auto"/>
            <w:vAlign w:val="center"/>
          </w:tcPr>
          <w:p w:rsidR="00E42F73" w:rsidRPr="001B446F" w:rsidRDefault="004658B5" w:rsidP="007925DF">
            <w:pPr>
              <w:pStyle w:val="In-tableHeading"/>
              <w:rPr>
                <w:lang w:val="en-AU"/>
              </w:rPr>
            </w:pPr>
            <w:r w:rsidRPr="001B446F">
              <w:rPr>
                <w:lang w:val="en-AU"/>
              </w:rPr>
              <w:t>Comment</w:t>
            </w:r>
          </w:p>
        </w:tc>
      </w:tr>
      <w:tr w:rsidR="00E42F73" w:rsidRPr="001B446F" w:rsidTr="008362E0">
        <w:tc>
          <w:tcPr>
            <w:tcW w:w="950" w:type="pct"/>
            <w:shd w:val="clear" w:color="auto" w:fill="auto"/>
            <w:vAlign w:val="center"/>
          </w:tcPr>
          <w:p w:rsidR="00E42F73" w:rsidRPr="001B446F" w:rsidRDefault="00004EA1" w:rsidP="007925DF">
            <w:pPr>
              <w:pStyle w:val="TableText0"/>
            </w:pPr>
            <w:r w:rsidRPr="001B446F">
              <w:t xml:space="preserve">Estimation of the number of patients with </w:t>
            </w:r>
            <w:r w:rsidR="00233AF1" w:rsidRPr="001B446F">
              <w:t>d</w:t>
            </w:r>
            <w:r w:rsidRPr="001B446F">
              <w:t>iabetes</w:t>
            </w:r>
          </w:p>
        </w:tc>
        <w:tc>
          <w:tcPr>
            <w:tcW w:w="1956" w:type="pct"/>
            <w:shd w:val="clear" w:color="auto" w:fill="auto"/>
            <w:vAlign w:val="center"/>
          </w:tcPr>
          <w:p w:rsidR="00004EA1" w:rsidRPr="001B446F" w:rsidRDefault="00635969" w:rsidP="007925DF">
            <w:pPr>
              <w:pStyle w:val="TableText0"/>
            </w:pPr>
            <w:r w:rsidRPr="001B446F">
              <w:t>Prevalence of diabetes</w:t>
            </w:r>
            <w:r w:rsidR="00004EA1" w:rsidRPr="001B446F">
              <w:t xml:space="preserve"> 4.9%</w:t>
            </w:r>
            <w:r w:rsidR="00A9243E" w:rsidRPr="001B446F">
              <w:t xml:space="preserve">: </w:t>
            </w:r>
            <w:r w:rsidR="00004EA1" w:rsidRPr="001B446F">
              <w:t xml:space="preserve">National Health Survey: 2017-18. </w:t>
            </w:r>
          </w:p>
          <w:p w:rsidR="00E42F73" w:rsidRPr="001B446F" w:rsidRDefault="00004EA1" w:rsidP="007925DF">
            <w:pPr>
              <w:pStyle w:val="TableText0"/>
            </w:pPr>
            <w:r w:rsidRPr="001B446F">
              <w:t>A</w:t>
            </w:r>
            <w:r w:rsidR="00D04872" w:rsidRPr="001B446F">
              <w:t>pplied to Australian population</w:t>
            </w:r>
            <w:r w:rsidRPr="001B446F">
              <w:t>, all ages (ABS data)</w:t>
            </w:r>
            <w:r w:rsidR="00D04872" w:rsidRPr="001B446F">
              <w:t xml:space="preserve">. </w:t>
            </w:r>
          </w:p>
        </w:tc>
        <w:tc>
          <w:tcPr>
            <w:tcW w:w="2094" w:type="pct"/>
            <w:shd w:val="clear" w:color="auto" w:fill="auto"/>
            <w:vAlign w:val="center"/>
          </w:tcPr>
          <w:p w:rsidR="00E42F73" w:rsidRPr="001B446F" w:rsidRDefault="00D04872" w:rsidP="007925DF">
            <w:pPr>
              <w:pStyle w:val="TableText0"/>
            </w:pPr>
            <w:r w:rsidRPr="001B446F">
              <w:t xml:space="preserve">Likely overestimated because it </w:t>
            </w:r>
            <w:proofErr w:type="gramStart"/>
            <w:r w:rsidRPr="001B446F">
              <w:t>was applied</w:t>
            </w:r>
            <w:proofErr w:type="gramEnd"/>
            <w:r w:rsidRPr="001B446F">
              <w:t xml:space="preserve"> to the total population rather than the adult population. </w:t>
            </w:r>
          </w:p>
        </w:tc>
      </w:tr>
      <w:tr w:rsidR="00A05C32" w:rsidRPr="001B446F" w:rsidTr="007D7CB0">
        <w:tc>
          <w:tcPr>
            <w:tcW w:w="950" w:type="pct"/>
            <w:shd w:val="clear" w:color="auto" w:fill="auto"/>
            <w:vAlign w:val="center"/>
          </w:tcPr>
          <w:p w:rsidR="00A05C32" w:rsidRPr="001B446F" w:rsidRDefault="00004EA1" w:rsidP="007925DF">
            <w:pPr>
              <w:pStyle w:val="TableText0"/>
            </w:pPr>
            <w:r w:rsidRPr="001B446F">
              <w:t xml:space="preserve">Estimation of the number of patients with </w:t>
            </w:r>
            <w:r w:rsidR="00E25904" w:rsidRPr="001B446F">
              <w:t>DMO</w:t>
            </w:r>
          </w:p>
        </w:tc>
        <w:tc>
          <w:tcPr>
            <w:tcW w:w="1956" w:type="pct"/>
            <w:shd w:val="clear" w:color="auto" w:fill="auto"/>
            <w:vAlign w:val="center"/>
          </w:tcPr>
          <w:p w:rsidR="00A05C32" w:rsidRPr="001B446F" w:rsidRDefault="00A9243E" w:rsidP="007925DF">
            <w:pPr>
              <w:pStyle w:val="TableText0"/>
            </w:pPr>
            <w:r w:rsidRPr="001B446F">
              <w:t xml:space="preserve">2.77% prevalence, 0.25% incidence: </w:t>
            </w:r>
            <w:proofErr w:type="spellStart"/>
            <w:r w:rsidRPr="001B446F">
              <w:t>Minassian</w:t>
            </w:r>
            <w:proofErr w:type="spellEnd"/>
            <w:r w:rsidRPr="001B446F">
              <w:t xml:space="preserve"> </w:t>
            </w:r>
            <w:r w:rsidRPr="001B446F">
              <w:rPr>
                <w:i/>
              </w:rPr>
              <w:t>et al</w:t>
            </w:r>
            <w:r w:rsidR="009D7207" w:rsidRPr="001B446F">
              <w:t>.</w:t>
            </w:r>
            <w:r w:rsidRPr="001B446F">
              <w:t xml:space="preserve"> 2012</w:t>
            </w:r>
          </w:p>
        </w:tc>
        <w:tc>
          <w:tcPr>
            <w:tcW w:w="2094" w:type="pct"/>
            <w:shd w:val="clear" w:color="auto" w:fill="auto"/>
            <w:vAlign w:val="center"/>
          </w:tcPr>
          <w:p w:rsidR="00A05C32" w:rsidRPr="001B446F" w:rsidRDefault="00A9243E" w:rsidP="00C324FA">
            <w:pPr>
              <w:pStyle w:val="TableText0"/>
            </w:pPr>
            <w:r w:rsidRPr="001B446F">
              <w:t>Likely overestimated due to double counting</w:t>
            </w:r>
            <w:r w:rsidR="000B35ED" w:rsidRPr="001B446F">
              <w:t xml:space="preserve"> with the inciden</w:t>
            </w:r>
            <w:r w:rsidR="00C324FA" w:rsidRPr="001B446F">
              <w:t>t</w:t>
            </w:r>
            <w:r w:rsidR="000B35ED" w:rsidRPr="001B446F">
              <w:t xml:space="preserve"> population added to the </w:t>
            </w:r>
            <w:r w:rsidR="00C324FA" w:rsidRPr="001B446F">
              <w:t xml:space="preserve">prevalent </w:t>
            </w:r>
            <w:r w:rsidRPr="001B446F">
              <w:t xml:space="preserve">population. </w:t>
            </w:r>
          </w:p>
        </w:tc>
      </w:tr>
      <w:tr w:rsidR="00004EA1" w:rsidRPr="001B446F" w:rsidTr="007D7CB0">
        <w:tc>
          <w:tcPr>
            <w:tcW w:w="950" w:type="pct"/>
            <w:shd w:val="clear" w:color="auto" w:fill="auto"/>
            <w:vAlign w:val="center"/>
          </w:tcPr>
          <w:p w:rsidR="00004EA1" w:rsidRPr="001B446F" w:rsidRDefault="00004EA1" w:rsidP="00004EA1">
            <w:pPr>
              <w:pStyle w:val="TableText0"/>
            </w:pPr>
            <w:r w:rsidRPr="001B446F">
              <w:t>Uptake rate</w:t>
            </w:r>
          </w:p>
        </w:tc>
        <w:tc>
          <w:tcPr>
            <w:tcW w:w="1956" w:type="pct"/>
            <w:shd w:val="clear" w:color="auto" w:fill="auto"/>
            <w:vAlign w:val="center"/>
          </w:tcPr>
          <w:p w:rsidR="00004EA1" w:rsidRPr="001B446F" w:rsidRDefault="0036743D" w:rsidP="00004EA1">
            <w:pPr>
              <w:pStyle w:val="TableText0"/>
            </w:pPr>
            <w:r w:rsidRPr="001B446F">
              <w:t>20</w:t>
            </w:r>
            <w:r w:rsidR="00004EA1" w:rsidRPr="001B446F">
              <w:t xml:space="preserve">% in Year 1 increasing to </w:t>
            </w:r>
            <w:r w:rsidRPr="001B446F">
              <w:t>70</w:t>
            </w:r>
            <w:r w:rsidR="00004EA1" w:rsidRPr="001B446F">
              <w:t xml:space="preserve">% in Year 6. </w:t>
            </w:r>
            <w:r w:rsidRPr="001B446F">
              <w:t>Assumption that majority will switch to FA and rate will increase over time.</w:t>
            </w:r>
          </w:p>
        </w:tc>
        <w:tc>
          <w:tcPr>
            <w:tcW w:w="2094" w:type="pct"/>
            <w:shd w:val="clear" w:color="auto" w:fill="auto"/>
            <w:vAlign w:val="center"/>
          </w:tcPr>
          <w:p w:rsidR="00004EA1" w:rsidRPr="001B446F" w:rsidRDefault="00004EA1" w:rsidP="00004EA1">
            <w:pPr>
              <w:pStyle w:val="TableText0"/>
            </w:pPr>
            <w:r w:rsidRPr="001B446F">
              <w:t xml:space="preserve">Likely overestimated </w:t>
            </w:r>
            <w:r w:rsidR="00E761C4" w:rsidRPr="001B446F">
              <w:t>rapid uptake of the implant.</w:t>
            </w:r>
          </w:p>
        </w:tc>
      </w:tr>
      <w:tr w:rsidR="00004EA1" w:rsidRPr="001B446F" w:rsidTr="007D7CB0">
        <w:tc>
          <w:tcPr>
            <w:tcW w:w="950" w:type="pct"/>
            <w:shd w:val="clear" w:color="auto" w:fill="auto"/>
            <w:vAlign w:val="center"/>
          </w:tcPr>
          <w:p w:rsidR="00004EA1" w:rsidRPr="001B446F" w:rsidRDefault="00E06082" w:rsidP="00004EA1">
            <w:pPr>
              <w:pStyle w:val="TableText0"/>
            </w:pPr>
            <w:r w:rsidRPr="001B446F">
              <w:t>Retreatment at 36 months</w:t>
            </w:r>
          </w:p>
        </w:tc>
        <w:tc>
          <w:tcPr>
            <w:tcW w:w="1956" w:type="pct"/>
            <w:shd w:val="clear" w:color="auto" w:fill="auto"/>
            <w:vAlign w:val="center"/>
          </w:tcPr>
          <w:p w:rsidR="00004EA1" w:rsidRPr="001B446F" w:rsidRDefault="00E761C4" w:rsidP="00004EA1">
            <w:pPr>
              <w:pStyle w:val="TableText0"/>
            </w:pPr>
            <w:r w:rsidRPr="001B446F">
              <w:t>Two rates applied: 8.94% based on the number in the extension divided by the sum of the two FAME patient numbers and 18.03% based on the number in the extension study divided by the number in FAME-001a</w:t>
            </w:r>
          </w:p>
        </w:tc>
        <w:tc>
          <w:tcPr>
            <w:tcW w:w="2094" w:type="pct"/>
            <w:shd w:val="clear" w:color="auto" w:fill="auto"/>
            <w:vAlign w:val="center"/>
          </w:tcPr>
          <w:p w:rsidR="00004EA1" w:rsidRPr="001B446F" w:rsidRDefault="00E761C4" w:rsidP="00004EA1">
            <w:pPr>
              <w:pStyle w:val="TableText0"/>
            </w:pPr>
            <w:r w:rsidRPr="001B446F">
              <w:t>Likely overestimated due to double counting</w:t>
            </w:r>
            <w:r w:rsidR="00905B1C" w:rsidRPr="001B446F">
              <w:t>*</w:t>
            </w:r>
            <w:r w:rsidRPr="001B446F">
              <w:t>.</w:t>
            </w:r>
          </w:p>
        </w:tc>
      </w:tr>
      <w:tr w:rsidR="00C324FA" w:rsidRPr="001B446F" w:rsidTr="007D7CB0">
        <w:tc>
          <w:tcPr>
            <w:tcW w:w="950" w:type="pct"/>
            <w:shd w:val="clear" w:color="auto" w:fill="auto"/>
            <w:vAlign w:val="center"/>
          </w:tcPr>
          <w:p w:rsidR="00C324FA" w:rsidRPr="001B446F" w:rsidDel="00C324FA" w:rsidRDefault="00C324FA" w:rsidP="00004EA1">
            <w:pPr>
              <w:pStyle w:val="TableText0"/>
            </w:pPr>
            <w:r w:rsidRPr="001B446F">
              <w:t>Number of scripts per person</w:t>
            </w:r>
          </w:p>
        </w:tc>
        <w:tc>
          <w:tcPr>
            <w:tcW w:w="1956" w:type="pct"/>
            <w:shd w:val="clear" w:color="auto" w:fill="auto"/>
            <w:vAlign w:val="center"/>
          </w:tcPr>
          <w:p w:rsidR="00C324FA" w:rsidRPr="001B446F" w:rsidDel="00C324FA" w:rsidRDefault="00C324FA" w:rsidP="00C324FA">
            <w:pPr>
              <w:pStyle w:val="TableText0"/>
            </w:pPr>
            <w:r w:rsidRPr="001B446F">
              <w:t>1.3 scripts of FA per person to account for 30% of patients receiving an implant in both eyes</w:t>
            </w:r>
          </w:p>
        </w:tc>
        <w:tc>
          <w:tcPr>
            <w:tcW w:w="2094" w:type="pct"/>
            <w:shd w:val="clear" w:color="auto" w:fill="auto"/>
            <w:vAlign w:val="center"/>
          </w:tcPr>
          <w:p w:rsidR="00C324FA" w:rsidRPr="001B446F" w:rsidDel="00C324FA" w:rsidRDefault="00905B1C" w:rsidP="00905B1C">
            <w:pPr>
              <w:pStyle w:val="TableText0"/>
            </w:pPr>
            <w:r w:rsidRPr="001B446F">
              <w:t xml:space="preserve">Assumption not justified in the submission. </w:t>
            </w:r>
          </w:p>
        </w:tc>
      </w:tr>
    </w:tbl>
    <w:p w:rsidR="00E42F73" w:rsidRPr="001B446F" w:rsidRDefault="00E42F73" w:rsidP="007925DF">
      <w:pPr>
        <w:pStyle w:val="TableFigureFooter"/>
      </w:pPr>
      <w:r w:rsidRPr="001B446F">
        <w:t>Source: Table</w:t>
      </w:r>
      <w:r w:rsidR="000F3C79" w:rsidRPr="001B446F">
        <w:t xml:space="preserve"> 78, p162; Table 79, p163 </w:t>
      </w:r>
      <w:r w:rsidRPr="001B446F">
        <w:t>of the submission.</w:t>
      </w:r>
      <w:r w:rsidR="000F3C79" w:rsidRPr="001B446F">
        <w:t xml:space="preserve"> File </w:t>
      </w:r>
      <w:proofErr w:type="gramStart"/>
      <w:r w:rsidR="000F3C79" w:rsidRPr="001B446F">
        <w:t>named:</w:t>
      </w:r>
      <w:proofErr w:type="gramEnd"/>
      <w:r w:rsidR="000F3C79" w:rsidRPr="001B446F">
        <w:t xml:space="preserve"> Iluvien_utilitsation-and-cost-minimsation_Nov2019.</w:t>
      </w:r>
    </w:p>
    <w:p w:rsidR="009439AB" w:rsidRPr="001B446F" w:rsidRDefault="00905B1C" w:rsidP="007925DF">
      <w:pPr>
        <w:pStyle w:val="TableFigureFooter"/>
      </w:pPr>
      <w:r w:rsidRPr="001B446F">
        <w:t>* There appears to be some double counting of scripts by calculating retreated patients in the sheet “'2. Patients” and again in “3a. Scripts new”.</w:t>
      </w:r>
    </w:p>
    <w:p w:rsidR="009439AB" w:rsidRPr="001B446F" w:rsidRDefault="009439AB" w:rsidP="009439AB">
      <w:pPr>
        <w:pStyle w:val="3-BodyText"/>
      </w:pPr>
      <w:r w:rsidRPr="001B446F">
        <w:t xml:space="preserve">The net financial implications </w:t>
      </w:r>
      <w:r w:rsidR="00C324FA" w:rsidRPr="001B446F">
        <w:t>of listing FA</w:t>
      </w:r>
      <w:r w:rsidR="00C324FA" w:rsidRPr="001B446F" w:rsidDel="009907B8">
        <w:t xml:space="preserve"> </w:t>
      </w:r>
      <w:r w:rsidR="00C324FA" w:rsidRPr="001B446F">
        <w:t xml:space="preserve">on the </w:t>
      </w:r>
      <w:r w:rsidRPr="001B446F">
        <w:t xml:space="preserve">PBS/RPBS </w:t>
      </w:r>
      <w:r w:rsidR="00240305" w:rsidRPr="001B446F">
        <w:t xml:space="preserve">(based on the published price of DEX) </w:t>
      </w:r>
      <w:proofErr w:type="gramStart"/>
      <w:r w:rsidRPr="001B446F">
        <w:t>is shown</w:t>
      </w:r>
      <w:proofErr w:type="gramEnd"/>
      <w:r w:rsidRPr="001B446F">
        <w:t xml:space="preserve"> in </w:t>
      </w:r>
      <w:r w:rsidR="004C12EB" w:rsidRPr="001B446F">
        <w:t>T</w:t>
      </w:r>
      <w:r w:rsidRPr="001B446F">
        <w:t>able 1</w:t>
      </w:r>
      <w:r w:rsidR="008A666B">
        <w:t>1</w:t>
      </w:r>
      <w:r w:rsidRPr="001B446F">
        <w:t xml:space="preserve">. </w:t>
      </w:r>
    </w:p>
    <w:p w:rsidR="00C25D9C" w:rsidRPr="001B446F" w:rsidRDefault="002A2F50" w:rsidP="00606FBA">
      <w:pPr>
        <w:pStyle w:val="TableFigureHeading"/>
      </w:pPr>
      <w:r w:rsidRPr="001B446F">
        <w:rPr>
          <w:rStyle w:val="CommentReference"/>
          <w:b/>
          <w:szCs w:val="24"/>
        </w:rPr>
        <w:lastRenderedPageBreak/>
        <w:t xml:space="preserve">Table </w:t>
      </w:r>
      <w:r w:rsidR="00577E89" w:rsidRPr="001B446F">
        <w:rPr>
          <w:rStyle w:val="CommentReference"/>
          <w:b/>
          <w:szCs w:val="24"/>
        </w:rPr>
        <w:t>1</w:t>
      </w:r>
      <w:r w:rsidR="008A666B">
        <w:rPr>
          <w:rStyle w:val="CommentReference"/>
          <w:b/>
          <w:szCs w:val="24"/>
        </w:rPr>
        <w:t>1</w:t>
      </w:r>
      <w:r w:rsidRPr="001B446F">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385A9D" w:rsidRPr="001B446F" w:rsidTr="00577E89">
        <w:trPr>
          <w:tblHeader/>
        </w:trPr>
        <w:tc>
          <w:tcPr>
            <w:tcW w:w="1116" w:type="pct"/>
            <w:shd w:val="clear" w:color="auto" w:fill="auto"/>
            <w:vAlign w:val="center"/>
          </w:tcPr>
          <w:p w:rsidR="00385A9D" w:rsidRPr="001B446F" w:rsidRDefault="00385A9D" w:rsidP="00606FBA">
            <w:pPr>
              <w:pStyle w:val="In-tableHeading"/>
              <w:jc w:val="center"/>
              <w:rPr>
                <w:lang w:val="en-AU"/>
              </w:rPr>
            </w:pPr>
          </w:p>
        </w:tc>
        <w:tc>
          <w:tcPr>
            <w:tcW w:w="647" w:type="pct"/>
            <w:shd w:val="clear" w:color="auto" w:fill="auto"/>
            <w:vAlign w:val="center"/>
          </w:tcPr>
          <w:p w:rsidR="00385A9D" w:rsidRPr="001B446F" w:rsidRDefault="00385A9D" w:rsidP="00606FBA">
            <w:pPr>
              <w:pStyle w:val="In-tableHeading"/>
              <w:jc w:val="center"/>
              <w:rPr>
                <w:lang w:val="en-AU"/>
              </w:rPr>
            </w:pPr>
            <w:r w:rsidRPr="001B446F">
              <w:rPr>
                <w:lang w:val="en-AU"/>
              </w:rPr>
              <w:t>Year 1</w:t>
            </w:r>
          </w:p>
        </w:tc>
        <w:tc>
          <w:tcPr>
            <w:tcW w:w="647" w:type="pct"/>
            <w:shd w:val="clear" w:color="auto" w:fill="auto"/>
            <w:vAlign w:val="center"/>
          </w:tcPr>
          <w:p w:rsidR="00385A9D" w:rsidRPr="001B446F" w:rsidRDefault="00385A9D" w:rsidP="00606FBA">
            <w:pPr>
              <w:pStyle w:val="In-tableHeading"/>
              <w:jc w:val="center"/>
              <w:rPr>
                <w:lang w:val="en-AU"/>
              </w:rPr>
            </w:pPr>
            <w:r w:rsidRPr="001B446F">
              <w:rPr>
                <w:lang w:val="en-AU"/>
              </w:rPr>
              <w:t>Year 2</w:t>
            </w:r>
          </w:p>
        </w:tc>
        <w:tc>
          <w:tcPr>
            <w:tcW w:w="647" w:type="pct"/>
            <w:shd w:val="clear" w:color="auto" w:fill="auto"/>
            <w:vAlign w:val="center"/>
          </w:tcPr>
          <w:p w:rsidR="00385A9D" w:rsidRPr="001B446F" w:rsidRDefault="00385A9D" w:rsidP="00606FBA">
            <w:pPr>
              <w:pStyle w:val="In-tableHeading"/>
              <w:jc w:val="center"/>
              <w:rPr>
                <w:lang w:val="en-AU"/>
              </w:rPr>
            </w:pPr>
            <w:r w:rsidRPr="001B446F">
              <w:rPr>
                <w:lang w:val="en-AU"/>
              </w:rPr>
              <w:t>Year 3</w:t>
            </w:r>
          </w:p>
        </w:tc>
        <w:tc>
          <w:tcPr>
            <w:tcW w:w="647" w:type="pct"/>
            <w:shd w:val="clear" w:color="auto" w:fill="auto"/>
            <w:vAlign w:val="center"/>
          </w:tcPr>
          <w:p w:rsidR="00385A9D" w:rsidRPr="001B446F" w:rsidRDefault="00385A9D" w:rsidP="00606FBA">
            <w:pPr>
              <w:pStyle w:val="In-tableHeading"/>
              <w:jc w:val="center"/>
              <w:rPr>
                <w:lang w:val="en-AU"/>
              </w:rPr>
            </w:pPr>
            <w:r w:rsidRPr="001B446F">
              <w:rPr>
                <w:lang w:val="en-AU"/>
              </w:rPr>
              <w:t>Year 4</w:t>
            </w:r>
          </w:p>
        </w:tc>
        <w:tc>
          <w:tcPr>
            <w:tcW w:w="647" w:type="pct"/>
            <w:shd w:val="clear" w:color="auto" w:fill="auto"/>
            <w:vAlign w:val="center"/>
          </w:tcPr>
          <w:p w:rsidR="00385A9D" w:rsidRPr="001B446F" w:rsidRDefault="00385A9D" w:rsidP="00606FBA">
            <w:pPr>
              <w:pStyle w:val="In-tableHeading"/>
              <w:jc w:val="center"/>
              <w:rPr>
                <w:lang w:val="en-AU"/>
              </w:rPr>
            </w:pPr>
            <w:r w:rsidRPr="001B446F">
              <w:rPr>
                <w:lang w:val="en-AU"/>
              </w:rPr>
              <w:t>Year 5</w:t>
            </w:r>
          </w:p>
        </w:tc>
        <w:tc>
          <w:tcPr>
            <w:tcW w:w="649" w:type="pct"/>
          </w:tcPr>
          <w:p w:rsidR="00385A9D" w:rsidRPr="001B446F" w:rsidRDefault="00385A9D" w:rsidP="00606FBA">
            <w:pPr>
              <w:pStyle w:val="In-tableHeading"/>
              <w:jc w:val="center"/>
              <w:rPr>
                <w:lang w:val="en-AU"/>
              </w:rPr>
            </w:pPr>
            <w:r w:rsidRPr="001B446F">
              <w:rPr>
                <w:lang w:val="en-AU"/>
              </w:rPr>
              <w:t>Year 6</w:t>
            </w:r>
          </w:p>
        </w:tc>
      </w:tr>
      <w:tr w:rsidR="00385A9D" w:rsidRPr="001B446F" w:rsidTr="009C3A3A">
        <w:tc>
          <w:tcPr>
            <w:tcW w:w="5000" w:type="pct"/>
            <w:gridSpan w:val="7"/>
            <w:shd w:val="clear" w:color="auto" w:fill="auto"/>
            <w:vAlign w:val="center"/>
          </w:tcPr>
          <w:p w:rsidR="00385A9D" w:rsidRPr="001B446F" w:rsidRDefault="00385A9D" w:rsidP="00606FBA">
            <w:pPr>
              <w:pStyle w:val="In-tableHeading"/>
              <w:rPr>
                <w:bCs/>
                <w:color w:val="000000"/>
                <w:lang w:val="en-AU"/>
              </w:rPr>
            </w:pPr>
            <w:r w:rsidRPr="001B446F">
              <w:rPr>
                <w:bCs/>
                <w:color w:val="000000"/>
                <w:lang w:val="en-AU"/>
              </w:rPr>
              <w:t>Estimated extent of use</w:t>
            </w:r>
          </w:p>
        </w:tc>
      </w:tr>
      <w:tr w:rsidR="00C324FA" w:rsidRPr="001B446F" w:rsidTr="00577E89">
        <w:tc>
          <w:tcPr>
            <w:tcW w:w="1116" w:type="pct"/>
            <w:shd w:val="clear" w:color="auto" w:fill="auto"/>
            <w:vAlign w:val="center"/>
          </w:tcPr>
          <w:p w:rsidR="00C324FA" w:rsidRPr="001B446F" w:rsidRDefault="00C324FA" w:rsidP="00C324FA">
            <w:pPr>
              <w:pStyle w:val="TableText0"/>
            </w:pPr>
            <w:r w:rsidRPr="001B446F">
              <w:t>Number of patients treated</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324FA" w:rsidRPr="00BD6CE4" w:rsidRDefault="00BD6CE4" w:rsidP="00C324FA">
            <w:pPr>
              <w:pStyle w:val="TableText0"/>
              <w:jc w:val="center"/>
              <w:rPr>
                <w:highlight w:val="black"/>
              </w:rPr>
            </w:pPr>
            <w:r>
              <w:rPr>
                <w:noProof/>
                <w:color w:val="000000"/>
                <w:highlight w:val="black"/>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C324FA" w:rsidRPr="00BD6CE4" w:rsidRDefault="00BD6CE4" w:rsidP="00C324FA">
            <w:pPr>
              <w:pStyle w:val="TableText0"/>
              <w:jc w:val="center"/>
              <w:rPr>
                <w:highlight w:val="black"/>
              </w:rPr>
            </w:pPr>
            <w:r>
              <w:rPr>
                <w:noProof/>
                <w:color w:val="000000"/>
                <w:highlight w:val="black"/>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C324FA" w:rsidRPr="00BD6CE4" w:rsidRDefault="00BD6CE4" w:rsidP="00C324FA">
            <w:pPr>
              <w:pStyle w:val="TableText0"/>
              <w:jc w:val="center"/>
              <w:rPr>
                <w:highlight w:val="black"/>
              </w:rPr>
            </w:pPr>
            <w:r>
              <w:rPr>
                <w:noProof/>
                <w:color w:val="000000"/>
                <w:highlight w:val="black"/>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C324FA" w:rsidRPr="00BD6CE4" w:rsidRDefault="00BD6CE4" w:rsidP="00C324FA">
            <w:pPr>
              <w:pStyle w:val="TableText0"/>
              <w:jc w:val="center"/>
              <w:rPr>
                <w:highlight w:val="black"/>
              </w:rPr>
            </w:pPr>
            <w:r>
              <w:rPr>
                <w:noProof/>
                <w:color w:val="000000"/>
                <w:highlight w:val="black"/>
              </w:rPr>
              <w:t>''''''''''''</w:t>
            </w:r>
          </w:p>
        </w:tc>
        <w:tc>
          <w:tcPr>
            <w:tcW w:w="647" w:type="pct"/>
            <w:tcBorders>
              <w:top w:val="single" w:sz="4" w:space="0" w:color="auto"/>
              <w:left w:val="nil"/>
              <w:bottom w:val="single" w:sz="4" w:space="0" w:color="auto"/>
              <w:right w:val="single" w:sz="4" w:space="0" w:color="auto"/>
            </w:tcBorders>
            <w:shd w:val="clear" w:color="auto" w:fill="auto"/>
            <w:vAlign w:val="center"/>
          </w:tcPr>
          <w:p w:rsidR="00C324FA" w:rsidRPr="00BD6CE4" w:rsidRDefault="00BD6CE4" w:rsidP="00C324FA">
            <w:pPr>
              <w:pStyle w:val="TableText0"/>
              <w:jc w:val="center"/>
              <w:rPr>
                <w:highlight w:val="black"/>
              </w:rPr>
            </w:pPr>
            <w:r>
              <w:rPr>
                <w:noProof/>
                <w:color w:val="000000"/>
                <w:highlight w:val="black"/>
              </w:rPr>
              <w:t xml:space="preserve">''''''''''''' </w:t>
            </w:r>
          </w:p>
        </w:tc>
        <w:tc>
          <w:tcPr>
            <w:tcW w:w="649" w:type="pct"/>
            <w:tcBorders>
              <w:top w:val="single" w:sz="4" w:space="0" w:color="auto"/>
              <w:left w:val="nil"/>
              <w:bottom w:val="single" w:sz="4" w:space="0" w:color="auto"/>
              <w:right w:val="single" w:sz="4" w:space="0" w:color="auto"/>
            </w:tcBorders>
            <w:shd w:val="clear" w:color="auto" w:fill="auto"/>
            <w:vAlign w:val="center"/>
          </w:tcPr>
          <w:p w:rsidR="00C324FA" w:rsidRPr="00BD6CE4" w:rsidRDefault="00BD6CE4" w:rsidP="00BE6B11">
            <w:pPr>
              <w:pStyle w:val="TableText0"/>
              <w:jc w:val="center"/>
              <w:rPr>
                <w:highlight w:val="black"/>
              </w:rPr>
            </w:pPr>
            <w:r>
              <w:rPr>
                <w:noProof/>
                <w:color w:val="000000"/>
                <w:highlight w:val="black"/>
              </w:rPr>
              <w:t xml:space="preserve">'''''''''''''' </w:t>
            </w:r>
          </w:p>
        </w:tc>
      </w:tr>
      <w:tr w:rsidR="00C324FA" w:rsidRPr="001B446F" w:rsidTr="00577E89">
        <w:tc>
          <w:tcPr>
            <w:tcW w:w="1116" w:type="pct"/>
            <w:shd w:val="clear" w:color="auto" w:fill="auto"/>
            <w:vAlign w:val="center"/>
          </w:tcPr>
          <w:p w:rsidR="00C324FA" w:rsidRPr="001B446F" w:rsidRDefault="00C324FA" w:rsidP="00C324FA">
            <w:pPr>
              <w:pStyle w:val="TableText0"/>
              <w:rPr>
                <w:rFonts w:ascii="Times" w:hAnsi="Times"/>
              </w:rPr>
            </w:pPr>
            <w:r w:rsidRPr="001B446F">
              <w:t>Number of scripts*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rsidR="00C324FA" w:rsidRPr="00BD6CE4" w:rsidRDefault="00BD6CE4" w:rsidP="00C324FA">
            <w:pPr>
              <w:pStyle w:val="TableText0"/>
              <w:jc w:val="center"/>
              <w:rPr>
                <w:color w:val="000000"/>
                <w:highlight w:val="black"/>
              </w:rPr>
            </w:pPr>
            <w:r>
              <w:rPr>
                <w:noProof/>
                <w:color w:val="000000"/>
                <w:highlight w:val="black"/>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C324FA" w:rsidRPr="00BD6CE4" w:rsidRDefault="00BD6CE4" w:rsidP="00C324FA">
            <w:pPr>
              <w:pStyle w:val="TableText0"/>
              <w:jc w:val="center"/>
              <w:rPr>
                <w:color w:val="000000"/>
                <w:highlight w:val="black"/>
              </w:rPr>
            </w:pPr>
            <w:r>
              <w:rPr>
                <w:noProof/>
                <w:color w:val="000000"/>
                <w:highlight w:val="black"/>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C324FA" w:rsidRPr="00BD6CE4" w:rsidRDefault="00BD6CE4" w:rsidP="00C324FA">
            <w:pPr>
              <w:pStyle w:val="TableText0"/>
              <w:jc w:val="center"/>
              <w:rPr>
                <w:color w:val="000000"/>
                <w:highlight w:val="black"/>
              </w:rPr>
            </w:pPr>
            <w:r>
              <w:rPr>
                <w:noProof/>
                <w:color w:val="000000"/>
                <w:highlight w:val="black"/>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C324FA" w:rsidRPr="00BD6CE4" w:rsidRDefault="00BD6CE4" w:rsidP="00C324FA">
            <w:pPr>
              <w:pStyle w:val="TableText0"/>
              <w:jc w:val="center"/>
              <w:rPr>
                <w:color w:val="000000"/>
                <w:highlight w:val="black"/>
              </w:rPr>
            </w:pPr>
            <w:r>
              <w:rPr>
                <w:noProof/>
                <w:color w:val="000000"/>
                <w:highlight w:val="black"/>
              </w:rPr>
              <w:t xml:space="preserve">''''''''''''' </w:t>
            </w:r>
          </w:p>
        </w:tc>
        <w:tc>
          <w:tcPr>
            <w:tcW w:w="647" w:type="pct"/>
            <w:tcBorders>
              <w:top w:val="single" w:sz="4" w:space="0" w:color="auto"/>
              <w:left w:val="nil"/>
              <w:bottom w:val="single" w:sz="4" w:space="0" w:color="auto"/>
              <w:right w:val="single" w:sz="4" w:space="0" w:color="auto"/>
            </w:tcBorders>
            <w:shd w:val="clear" w:color="auto" w:fill="auto"/>
            <w:vAlign w:val="center"/>
          </w:tcPr>
          <w:p w:rsidR="00C324FA" w:rsidRPr="00BD6CE4" w:rsidRDefault="00BD6CE4" w:rsidP="00C324FA">
            <w:pPr>
              <w:pStyle w:val="TableText0"/>
              <w:jc w:val="center"/>
              <w:rPr>
                <w:color w:val="000000"/>
                <w:highlight w:val="black"/>
              </w:rPr>
            </w:pPr>
            <w:r>
              <w:rPr>
                <w:noProof/>
                <w:color w:val="000000"/>
                <w:highlight w:val="black"/>
              </w:rPr>
              <w:t xml:space="preserve">''''''''''''' </w:t>
            </w:r>
          </w:p>
        </w:tc>
        <w:tc>
          <w:tcPr>
            <w:tcW w:w="649" w:type="pct"/>
            <w:tcBorders>
              <w:top w:val="single" w:sz="4" w:space="0" w:color="auto"/>
              <w:left w:val="nil"/>
              <w:bottom w:val="single" w:sz="4" w:space="0" w:color="auto"/>
              <w:right w:val="single" w:sz="4" w:space="0" w:color="auto"/>
            </w:tcBorders>
            <w:shd w:val="clear" w:color="auto" w:fill="auto"/>
            <w:vAlign w:val="center"/>
          </w:tcPr>
          <w:p w:rsidR="00C324FA" w:rsidRPr="00BD6CE4" w:rsidRDefault="00BD6CE4" w:rsidP="00C324FA">
            <w:pPr>
              <w:pStyle w:val="TableText0"/>
              <w:jc w:val="center"/>
              <w:rPr>
                <w:color w:val="000000"/>
                <w:highlight w:val="black"/>
              </w:rPr>
            </w:pPr>
            <w:r>
              <w:rPr>
                <w:noProof/>
                <w:color w:val="000000"/>
                <w:highlight w:val="black"/>
              </w:rPr>
              <w:t xml:space="preserve">''''''''''''''' </w:t>
            </w:r>
          </w:p>
        </w:tc>
      </w:tr>
      <w:tr w:rsidR="00C324FA" w:rsidRPr="001B446F" w:rsidTr="009C3A3A">
        <w:tc>
          <w:tcPr>
            <w:tcW w:w="5000" w:type="pct"/>
            <w:gridSpan w:val="7"/>
            <w:shd w:val="clear" w:color="auto" w:fill="auto"/>
            <w:vAlign w:val="center"/>
          </w:tcPr>
          <w:p w:rsidR="00C324FA" w:rsidRPr="001B446F" w:rsidRDefault="00C324FA" w:rsidP="00C324FA">
            <w:pPr>
              <w:pStyle w:val="In-tableHeading"/>
              <w:rPr>
                <w:lang w:val="en-AU"/>
              </w:rPr>
            </w:pPr>
            <w:r w:rsidRPr="001B446F">
              <w:rPr>
                <w:lang w:val="en-AU"/>
              </w:rPr>
              <w:t>Estimated financial implications of FA</w:t>
            </w:r>
          </w:p>
        </w:tc>
      </w:tr>
      <w:tr w:rsidR="00C324FA" w:rsidRPr="001B446F" w:rsidTr="0049436B">
        <w:tc>
          <w:tcPr>
            <w:tcW w:w="1116" w:type="pct"/>
            <w:shd w:val="clear" w:color="auto" w:fill="auto"/>
            <w:vAlign w:val="center"/>
          </w:tcPr>
          <w:p w:rsidR="00C324FA" w:rsidRPr="001B446F" w:rsidRDefault="00C324FA" w:rsidP="00C324FA">
            <w:pPr>
              <w:pStyle w:val="TableText0"/>
              <w:rPr>
                <w:sz w:val="19"/>
                <w:szCs w:val="19"/>
              </w:rPr>
            </w:pPr>
            <w:r w:rsidRPr="001B446F">
              <w:rPr>
                <w:sz w:val="19"/>
                <w:szCs w:val="19"/>
              </w:rPr>
              <w:t>Cost to PBS/RPBS less co-payments</w:t>
            </w:r>
          </w:p>
        </w:tc>
        <w:tc>
          <w:tcPr>
            <w:tcW w:w="647" w:type="pct"/>
            <w:tcBorders>
              <w:top w:val="single" w:sz="4" w:space="0" w:color="auto"/>
              <w:bottom w:val="single" w:sz="4" w:space="0" w:color="auto"/>
              <w:right w:val="single" w:sz="4" w:space="0" w:color="auto"/>
            </w:tcBorders>
            <w:shd w:val="clear" w:color="auto" w:fill="auto"/>
            <w:vAlign w:val="center"/>
          </w:tcPr>
          <w:p w:rsidR="00C324FA" w:rsidRPr="001B446F" w:rsidRDefault="00C324FA" w:rsidP="00C324FA">
            <w:pPr>
              <w:pStyle w:val="Table"/>
              <w:jc w:val="center"/>
            </w:pPr>
            <w:r w:rsidRPr="001B446F">
              <w:t>$</w:t>
            </w:r>
            <w:r w:rsidR="00BD6CE4">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C324FA" w:rsidRPr="001B446F" w:rsidRDefault="00C324FA" w:rsidP="00C324FA">
            <w:pPr>
              <w:pStyle w:val="Table"/>
              <w:jc w:val="center"/>
            </w:pPr>
            <w:r w:rsidRPr="001B446F">
              <w:t>$</w:t>
            </w:r>
            <w:r w:rsidR="00BD6CE4">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C324FA" w:rsidRPr="001B446F" w:rsidRDefault="00C324FA" w:rsidP="00C324FA">
            <w:pPr>
              <w:pStyle w:val="Table"/>
              <w:jc w:val="center"/>
            </w:pPr>
            <w:r w:rsidRPr="001B446F">
              <w:t>$</w:t>
            </w:r>
            <w:r w:rsidR="00BD6CE4">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C324FA" w:rsidRPr="001B446F" w:rsidRDefault="00C324FA" w:rsidP="00C324FA">
            <w:pPr>
              <w:pStyle w:val="Table"/>
              <w:jc w:val="center"/>
            </w:pPr>
            <w:r w:rsidRPr="001B446F">
              <w:t>$</w:t>
            </w:r>
            <w:r w:rsidR="00BD6CE4">
              <w:rPr>
                <w:noProof/>
                <w:color w:val="000000"/>
                <w:highlight w:val="black"/>
              </w:rPr>
              <w:t>''''''''''''''''''''''''''''</w:t>
            </w:r>
          </w:p>
        </w:tc>
        <w:tc>
          <w:tcPr>
            <w:tcW w:w="647" w:type="pct"/>
            <w:tcBorders>
              <w:top w:val="single" w:sz="4" w:space="0" w:color="auto"/>
              <w:left w:val="single" w:sz="4" w:space="0" w:color="auto"/>
              <w:bottom w:val="single" w:sz="4" w:space="0" w:color="auto"/>
              <w:right w:val="single" w:sz="4" w:space="0" w:color="auto"/>
            </w:tcBorders>
            <w:shd w:val="clear" w:color="000000" w:fill="FFFFFF"/>
            <w:vAlign w:val="center"/>
          </w:tcPr>
          <w:p w:rsidR="00C324FA" w:rsidRPr="001B446F" w:rsidRDefault="00C324FA" w:rsidP="00C324FA">
            <w:pPr>
              <w:pStyle w:val="Table"/>
              <w:jc w:val="center"/>
            </w:pPr>
            <w:r w:rsidRPr="001B446F">
              <w:t>$</w:t>
            </w:r>
            <w:r w:rsidR="00BD6CE4">
              <w:rPr>
                <w:noProof/>
                <w:color w:val="000000"/>
                <w:highlight w:val="black"/>
              </w:rPr>
              <w:t>''''''''''''''''''''''''''''</w:t>
            </w:r>
          </w:p>
        </w:tc>
        <w:tc>
          <w:tcPr>
            <w:tcW w:w="649" w:type="pct"/>
            <w:tcBorders>
              <w:top w:val="single" w:sz="4" w:space="0" w:color="auto"/>
              <w:left w:val="single" w:sz="4" w:space="0" w:color="auto"/>
              <w:bottom w:val="single" w:sz="4" w:space="0" w:color="auto"/>
              <w:right w:val="single" w:sz="4" w:space="0" w:color="auto"/>
            </w:tcBorders>
            <w:shd w:val="clear" w:color="000000" w:fill="FFFFFF"/>
            <w:vAlign w:val="center"/>
          </w:tcPr>
          <w:p w:rsidR="00C324FA" w:rsidRPr="001B446F" w:rsidRDefault="00C324FA" w:rsidP="00C324FA">
            <w:pPr>
              <w:pStyle w:val="Table"/>
              <w:jc w:val="center"/>
            </w:pPr>
            <w:r w:rsidRPr="001B446F">
              <w:t>$</w:t>
            </w:r>
            <w:r w:rsidR="00BD6CE4">
              <w:rPr>
                <w:noProof/>
                <w:color w:val="000000"/>
                <w:highlight w:val="black"/>
              </w:rPr>
              <w:t>'''''''''''''''''''''''''</w:t>
            </w:r>
          </w:p>
        </w:tc>
      </w:tr>
      <w:tr w:rsidR="00C324FA" w:rsidRPr="001B446F" w:rsidTr="0049436B">
        <w:tc>
          <w:tcPr>
            <w:tcW w:w="1116" w:type="pct"/>
            <w:shd w:val="clear" w:color="auto" w:fill="auto"/>
          </w:tcPr>
          <w:p w:rsidR="00C324FA" w:rsidRPr="001B446F" w:rsidRDefault="00C324FA" w:rsidP="00C324FA">
            <w:pPr>
              <w:pStyle w:val="Table"/>
              <w:rPr>
                <w:sz w:val="19"/>
                <w:szCs w:val="19"/>
              </w:rPr>
            </w:pPr>
            <w:r w:rsidRPr="001B446F">
              <w:t>Net cost of displaced drugs to PBS/RPBS</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Pr="00B303A4">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Pr="00B303A4">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Pr="00B303A4">
              <w:t>$</w:t>
            </w:r>
            <w:r w:rsidR="00BD6CE4">
              <w:rPr>
                <w:noProof/>
                <w:color w:val="000000"/>
                <w:highlight w:val="black"/>
              </w:rPr>
              <w:t>'''''''''''''''''''''''</w:t>
            </w:r>
          </w:p>
        </w:tc>
        <w:tc>
          <w:tcPr>
            <w:tcW w:w="649"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r>
      <w:tr w:rsidR="00C324FA" w:rsidRPr="001B446F" w:rsidTr="00381271">
        <w:tc>
          <w:tcPr>
            <w:tcW w:w="1116" w:type="pct"/>
            <w:shd w:val="clear" w:color="auto" w:fill="auto"/>
            <w:vAlign w:val="center"/>
          </w:tcPr>
          <w:p w:rsidR="00C324FA" w:rsidRPr="001B446F" w:rsidRDefault="00C324FA" w:rsidP="00C324FA">
            <w:pPr>
              <w:pStyle w:val="TableText0"/>
              <w:rPr>
                <w:sz w:val="19"/>
                <w:szCs w:val="19"/>
              </w:rPr>
            </w:pPr>
            <w:r w:rsidRPr="001B446F">
              <w:rPr>
                <w:sz w:val="19"/>
                <w:szCs w:val="19"/>
              </w:rPr>
              <w:t>Net cost to PBS/RPBS</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9"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r>
      <w:tr w:rsidR="00C324FA" w:rsidRPr="001B446F" w:rsidTr="0049436B">
        <w:tc>
          <w:tcPr>
            <w:tcW w:w="1116" w:type="pct"/>
            <w:shd w:val="clear" w:color="auto" w:fill="auto"/>
            <w:vAlign w:val="center"/>
          </w:tcPr>
          <w:p w:rsidR="00C324FA" w:rsidRPr="001B446F" w:rsidRDefault="00C324FA" w:rsidP="00C324FA">
            <w:pPr>
              <w:pStyle w:val="TableText0"/>
              <w:rPr>
                <w:rFonts w:ascii="Times" w:hAnsi="Times"/>
              </w:rPr>
            </w:pPr>
            <w:r w:rsidRPr="001B446F">
              <w:rPr>
                <w:sz w:val="19"/>
                <w:szCs w:val="19"/>
              </w:rPr>
              <w:t>Net cost to MBS/</w:t>
            </w:r>
            <w:r w:rsidRPr="001B446F" w:rsidDel="00D244B6">
              <w:rPr>
                <w:sz w:val="19"/>
                <w:szCs w:val="19"/>
              </w:rPr>
              <w:t xml:space="preserve"> </w:t>
            </w:r>
            <w:r w:rsidRPr="001B446F">
              <w:rPr>
                <w:sz w:val="19"/>
                <w:szCs w:val="19"/>
              </w:rPr>
              <w:t>Services Australia/other</w:t>
            </w:r>
          </w:p>
        </w:tc>
        <w:tc>
          <w:tcPr>
            <w:tcW w:w="647" w:type="pct"/>
            <w:shd w:val="clear" w:color="auto" w:fill="auto"/>
            <w:vAlign w:val="center"/>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vAlign w:val="center"/>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vAlign w:val="center"/>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vAlign w:val="center"/>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vAlign w:val="center"/>
          </w:tcPr>
          <w:p w:rsidR="00C324FA" w:rsidRPr="001B446F" w:rsidRDefault="00C324FA" w:rsidP="00C324FA">
            <w:pPr>
              <w:pStyle w:val="Table"/>
              <w:jc w:val="center"/>
            </w:pPr>
            <w:r w:rsidRPr="001B446F">
              <w:t>–$</w:t>
            </w:r>
            <w:r w:rsidR="00BD6CE4">
              <w:rPr>
                <w:noProof/>
                <w:color w:val="000000"/>
                <w:highlight w:val="black"/>
              </w:rPr>
              <w:t>''''''''''''''''''''</w:t>
            </w:r>
          </w:p>
        </w:tc>
        <w:tc>
          <w:tcPr>
            <w:tcW w:w="649" w:type="pct"/>
            <w:shd w:val="clear" w:color="auto" w:fill="auto"/>
            <w:vAlign w:val="center"/>
          </w:tcPr>
          <w:p w:rsidR="00C324FA" w:rsidRPr="001B446F" w:rsidRDefault="00C324FA" w:rsidP="00C324FA">
            <w:pPr>
              <w:pStyle w:val="Table"/>
              <w:jc w:val="center"/>
            </w:pPr>
            <w:r w:rsidRPr="001B446F">
              <w:t>–$</w:t>
            </w:r>
            <w:r w:rsidR="00BD6CE4">
              <w:rPr>
                <w:noProof/>
                <w:color w:val="000000"/>
                <w:highlight w:val="black"/>
              </w:rPr>
              <w:t>'''''''''''''''''''</w:t>
            </w:r>
          </w:p>
        </w:tc>
      </w:tr>
      <w:tr w:rsidR="00C324FA" w:rsidRPr="001B446F" w:rsidTr="0049436B">
        <w:tc>
          <w:tcPr>
            <w:tcW w:w="1116" w:type="pct"/>
            <w:shd w:val="clear" w:color="auto" w:fill="auto"/>
            <w:vAlign w:val="center"/>
          </w:tcPr>
          <w:p w:rsidR="00C324FA" w:rsidRPr="001B446F" w:rsidRDefault="00C324FA" w:rsidP="00C324FA">
            <w:pPr>
              <w:pStyle w:val="TableText0"/>
              <w:rPr>
                <w:sz w:val="19"/>
                <w:szCs w:val="19"/>
              </w:rPr>
            </w:pPr>
            <w:r w:rsidRPr="001B446F">
              <w:rPr>
                <w:sz w:val="19"/>
                <w:szCs w:val="19"/>
              </w:rPr>
              <w:t>Net cost to PBS/RPBS/MBS/Services Australia</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7" w:type="pct"/>
            <w:shd w:val="clear" w:color="auto" w:fill="auto"/>
          </w:tcPr>
          <w:p w:rsidR="00C324FA" w:rsidRPr="001B446F" w:rsidRDefault="00C324FA" w:rsidP="00C324FA">
            <w:pPr>
              <w:pStyle w:val="Table"/>
              <w:jc w:val="center"/>
            </w:pPr>
            <w:r w:rsidRPr="001B446F">
              <w:t>$</w:t>
            </w:r>
            <w:r w:rsidR="00BD6CE4">
              <w:rPr>
                <w:noProof/>
                <w:color w:val="000000"/>
                <w:highlight w:val="black"/>
              </w:rPr>
              <w:t>''''''''''''''''''''''''</w:t>
            </w:r>
          </w:p>
        </w:tc>
        <w:tc>
          <w:tcPr>
            <w:tcW w:w="649" w:type="pct"/>
          </w:tcPr>
          <w:p w:rsidR="00C324FA" w:rsidRPr="001B446F" w:rsidRDefault="00C324FA" w:rsidP="00C324FA">
            <w:pPr>
              <w:pStyle w:val="Table"/>
              <w:jc w:val="center"/>
            </w:pPr>
            <w:r w:rsidRPr="001B446F">
              <w:t>$</w:t>
            </w:r>
            <w:r w:rsidR="00BD6CE4">
              <w:rPr>
                <w:noProof/>
                <w:color w:val="000000"/>
                <w:highlight w:val="black"/>
              </w:rPr>
              <w:t>'''''''''''''''''''''''''''''</w:t>
            </w:r>
          </w:p>
        </w:tc>
      </w:tr>
    </w:tbl>
    <w:p w:rsidR="00620C25" w:rsidRPr="001B446F" w:rsidRDefault="00620C25" w:rsidP="00620C25">
      <w:pPr>
        <w:pStyle w:val="TableFigureFooter"/>
      </w:pPr>
      <w:r w:rsidRPr="001B446F">
        <w:t xml:space="preserve">Source: </w:t>
      </w:r>
      <w:r w:rsidR="00411DDB" w:rsidRPr="001B446F">
        <w:t xml:space="preserve">File </w:t>
      </w:r>
      <w:proofErr w:type="gramStart"/>
      <w:r w:rsidR="00411DDB" w:rsidRPr="001B446F">
        <w:t>named:</w:t>
      </w:r>
      <w:proofErr w:type="gramEnd"/>
      <w:r w:rsidR="00411DDB" w:rsidRPr="001B446F">
        <w:t xml:space="preserve"> Iluvien_utilitsation-and-cost-minimsation_Nov2019.</w:t>
      </w:r>
    </w:p>
    <w:p w:rsidR="00C324FA" w:rsidRPr="001B446F" w:rsidRDefault="00C324FA" w:rsidP="00620C25">
      <w:pPr>
        <w:pStyle w:val="TableFigureFooter"/>
        <w:rPr>
          <w:rStyle w:val="CommentReference"/>
        </w:rPr>
      </w:pPr>
      <w:r w:rsidRPr="001B446F">
        <w:t>* The model assumed each patient received 1.3 scripts to account for 30% of patients receiving an implant in eac</w:t>
      </w:r>
      <w:r w:rsidRPr="001B446F">
        <w:rPr>
          <w:i/>
        </w:rPr>
        <w:t>h eye</w:t>
      </w:r>
      <w:r w:rsidR="000C082C" w:rsidRPr="001B446F">
        <w:rPr>
          <w:i/>
        </w:rPr>
        <w:t>. There</w:t>
      </w:r>
      <w:r w:rsidR="0025410D" w:rsidRPr="001B446F">
        <w:rPr>
          <w:i/>
        </w:rPr>
        <w:t xml:space="preserve"> appears to be</w:t>
      </w:r>
      <w:r w:rsidR="000C082C" w:rsidRPr="001B446F">
        <w:rPr>
          <w:i/>
        </w:rPr>
        <w:t xml:space="preserve"> some double counting of scripts by calculating retreated patients in the sheet “'2. Patients” and again in “3a. Scripts new”.</w:t>
      </w:r>
    </w:p>
    <w:p w:rsidR="004020A8" w:rsidRPr="001B446F" w:rsidDel="009907B8" w:rsidRDefault="000902D9" w:rsidP="004020A8">
      <w:pPr>
        <w:pStyle w:val="3-BodyText"/>
      </w:pPr>
      <w:r w:rsidRPr="001B446F" w:rsidDel="009907B8">
        <w:t>The</w:t>
      </w:r>
      <w:r w:rsidR="009B70B1" w:rsidRPr="001B446F">
        <w:t xml:space="preserve"> net </w:t>
      </w:r>
      <w:r w:rsidRPr="001B446F" w:rsidDel="009907B8">
        <w:t xml:space="preserve">cost to the PBS/RPBS of listing </w:t>
      </w:r>
      <w:r w:rsidR="00BE6C1B" w:rsidRPr="001B446F">
        <w:t>FA</w:t>
      </w:r>
      <w:r w:rsidR="00921989" w:rsidRPr="001B446F" w:rsidDel="009907B8">
        <w:t xml:space="preserve"> </w:t>
      </w:r>
      <w:r w:rsidRPr="001B446F" w:rsidDel="009907B8">
        <w:t xml:space="preserve">was estimated </w:t>
      </w:r>
      <w:r w:rsidR="00A05C32" w:rsidRPr="001B446F" w:rsidDel="009907B8">
        <w:t>to be</w:t>
      </w:r>
      <w:r w:rsidRPr="001B446F" w:rsidDel="009907B8">
        <w:t xml:space="preserve"> </w:t>
      </w:r>
      <w:r w:rsidR="00B303A4">
        <w:t>less than $10 million</w:t>
      </w:r>
      <w:r w:rsidR="00D843D1" w:rsidRPr="001B446F" w:rsidDel="009907B8">
        <w:t xml:space="preserve"> </w:t>
      </w:r>
      <w:r w:rsidRPr="001B446F" w:rsidDel="009907B8">
        <w:t xml:space="preserve">in Year </w:t>
      </w:r>
      <w:proofErr w:type="gramStart"/>
      <w:r w:rsidR="00BC466E" w:rsidRPr="001B446F">
        <w:t>1</w:t>
      </w:r>
      <w:r w:rsidRPr="001B446F" w:rsidDel="009907B8">
        <w:t>,</w:t>
      </w:r>
      <w:proofErr w:type="gramEnd"/>
      <w:r w:rsidRPr="001B446F" w:rsidDel="009907B8">
        <w:t xml:space="preserve"> and a total of </w:t>
      </w:r>
      <w:r w:rsidR="00B303A4">
        <w:t>$30 – $60</w:t>
      </w:r>
      <w:r w:rsidR="00806551" w:rsidRPr="001B446F">
        <w:t xml:space="preserve"> </w:t>
      </w:r>
      <w:r w:rsidR="00D73D30" w:rsidRPr="001B446F">
        <w:t>million</w:t>
      </w:r>
      <w:r w:rsidR="00D843D1" w:rsidRPr="001B446F" w:rsidDel="009907B8">
        <w:t xml:space="preserve"> </w:t>
      </w:r>
      <w:r w:rsidRPr="001B446F" w:rsidDel="009907B8">
        <w:t>in the first 6 years of listing</w:t>
      </w:r>
      <w:r w:rsidR="004135CF" w:rsidRPr="001B446F" w:rsidDel="009907B8">
        <w:t>, based on</w:t>
      </w:r>
      <w:r w:rsidR="00806551" w:rsidRPr="001B446F">
        <w:t xml:space="preserve"> published prices</w:t>
      </w:r>
      <w:r w:rsidR="004135CF" w:rsidRPr="001B446F" w:rsidDel="009907B8">
        <w:t xml:space="preserve">. </w:t>
      </w:r>
      <w:r w:rsidR="008403C6" w:rsidRPr="001B446F">
        <w:t xml:space="preserve">The </w:t>
      </w:r>
      <w:r w:rsidR="00DB3194" w:rsidRPr="001B446F">
        <w:t xml:space="preserve">PBAC agreed with the </w:t>
      </w:r>
      <w:r w:rsidR="00F719C7" w:rsidRPr="001B446F">
        <w:t xml:space="preserve">ESC </w:t>
      </w:r>
      <w:r w:rsidR="00DB3194" w:rsidRPr="001B446F">
        <w:t xml:space="preserve">that </w:t>
      </w:r>
      <w:r w:rsidR="00F719C7" w:rsidRPr="001B446F">
        <w:t xml:space="preserve">the </w:t>
      </w:r>
      <w:r w:rsidR="008403C6" w:rsidRPr="001B446F">
        <w:t>net cost to the PBS/RPBS was high</w:t>
      </w:r>
      <w:r w:rsidR="00C324FA" w:rsidRPr="001B446F">
        <w:t xml:space="preserve"> </w:t>
      </w:r>
      <w:r w:rsidR="008403C6" w:rsidRPr="001B446F">
        <w:t>in the context of cost-minimisation.</w:t>
      </w:r>
      <w:r w:rsidR="004020A8" w:rsidRPr="001B446F">
        <w:t xml:space="preserve"> </w:t>
      </w:r>
      <w:r w:rsidR="00422FD5" w:rsidRPr="001B446F">
        <w:t>The PBAC noted a</w:t>
      </w:r>
      <w:r w:rsidR="004020A8" w:rsidRPr="001B446F">
        <w:t xml:space="preserve"> contributing factor to the high net cost was </w:t>
      </w:r>
      <w:r w:rsidR="00F60E74" w:rsidRPr="001B446F">
        <w:t>the</w:t>
      </w:r>
      <w:r w:rsidR="004020A8" w:rsidRPr="001B446F">
        <w:t xml:space="preserve"> </w:t>
      </w:r>
      <w:r w:rsidR="00F60E74" w:rsidRPr="001B446F">
        <w:t>calculation of the budget impact</w:t>
      </w:r>
      <w:r w:rsidR="004020A8" w:rsidRPr="001B446F">
        <w:t xml:space="preserve"> using a FA price derived from an inappropriate </w:t>
      </w:r>
      <w:proofErr w:type="spellStart"/>
      <w:r w:rsidR="004020A8" w:rsidRPr="001B446F">
        <w:t>equi</w:t>
      </w:r>
      <w:proofErr w:type="spellEnd"/>
      <w:r w:rsidR="004020A8" w:rsidRPr="001B446F">
        <w:t xml:space="preserve">-effective dose </w:t>
      </w:r>
      <w:r w:rsidR="00422FD5" w:rsidRPr="001B446F">
        <w:t xml:space="preserve">as described in paragraph 6.27. </w:t>
      </w:r>
    </w:p>
    <w:p w:rsidR="00C17438" w:rsidRPr="001B446F" w:rsidRDefault="004135CF" w:rsidP="00C17438">
      <w:pPr>
        <w:pStyle w:val="3-BodyText"/>
      </w:pPr>
      <w:r w:rsidRPr="001B446F" w:rsidDel="009439AB">
        <w:t>The total</w:t>
      </w:r>
      <w:r w:rsidR="00E06082" w:rsidRPr="001B446F">
        <w:t xml:space="preserve"> net</w:t>
      </w:r>
      <w:r w:rsidRPr="001B446F" w:rsidDel="009439AB">
        <w:t xml:space="preserve"> cost </w:t>
      </w:r>
      <w:r w:rsidR="0066162F" w:rsidRPr="001B446F">
        <w:t xml:space="preserve">to the health budget </w:t>
      </w:r>
      <w:r w:rsidR="004E448A" w:rsidRPr="001B446F">
        <w:t>was</w:t>
      </w:r>
      <w:r w:rsidRPr="001B446F" w:rsidDel="009439AB">
        <w:t xml:space="preserve"> </w:t>
      </w:r>
      <w:r w:rsidR="00C17438" w:rsidRPr="001B446F">
        <w:t>uncertain</w:t>
      </w:r>
      <w:r w:rsidRPr="001B446F" w:rsidDel="009439AB">
        <w:t xml:space="preserve"> due to</w:t>
      </w:r>
      <w:r w:rsidR="00005B9D" w:rsidRPr="001B446F">
        <w:t xml:space="preserve"> the following</w:t>
      </w:r>
      <w:r w:rsidR="00C17438" w:rsidRPr="001B446F">
        <w:t>:</w:t>
      </w:r>
    </w:p>
    <w:p w:rsidR="00C17438" w:rsidRPr="001B446F" w:rsidRDefault="00C17438" w:rsidP="00AD5ABF">
      <w:pPr>
        <w:pStyle w:val="3-BodyText"/>
        <w:numPr>
          <w:ilvl w:val="1"/>
          <w:numId w:val="7"/>
        </w:numPr>
        <w:ind w:left="1077" w:hanging="357"/>
      </w:pPr>
      <w:r w:rsidRPr="001B446F">
        <w:t>Retreatment was</w:t>
      </w:r>
      <w:r w:rsidR="0066162F" w:rsidRPr="001B446F">
        <w:t xml:space="preserve"> assumed </w:t>
      </w:r>
      <w:r w:rsidRPr="001B446F">
        <w:t xml:space="preserve">at year three </w:t>
      </w:r>
      <w:r w:rsidR="0066162F" w:rsidRPr="001B446F">
        <w:t xml:space="preserve">for a proportion of patients (8% to 18%)  </w:t>
      </w:r>
      <w:r w:rsidRPr="001B446F">
        <w:t xml:space="preserve">whereas the trial demonstrated that </w:t>
      </w:r>
      <w:r w:rsidR="005A7821" w:rsidRPr="001B446F">
        <w:t xml:space="preserve">a proportion </w:t>
      </w:r>
      <w:r w:rsidR="00DD6597" w:rsidRPr="001B446F">
        <w:t>(</w:t>
      </w:r>
      <w:r w:rsidR="00F540FD" w:rsidRPr="001B446F">
        <w:t>26</w:t>
      </w:r>
      <w:r w:rsidR="00DD6597" w:rsidRPr="001B446F">
        <w:t xml:space="preserve">%) </w:t>
      </w:r>
      <w:r w:rsidR="005A7821" w:rsidRPr="001B446F">
        <w:t xml:space="preserve">of patients </w:t>
      </w:r>
      <w:r w:rsidRPr="001B446F">
        <w:t xml:space="preserve">were receiving retreatment </w:t>
      </w:r>
      <w:r w:rsidR="00893570" w:rsidRPr="001B446F">
        <w:t xml:space="preserve"> prior to year three</w:t>
      </w:r>
      <w:r w:rsidR="00240305" w:rsidRPr="001B446F">
        <w:t>;</w:t>
      </w:r>
    </w:p>
    <w:p w:rsidR="00C17438" w:rsidRPr="001B446F" w:rsidRDefault="00EA35FE" w:rsidP="00AD5ABF">
      <w:pPr>
        <w:pStyle w:val="3-BodyText"/>
        <w:numPr>
          <w:ilvl w:val="1"/>
          <w:numId w:val="7"/>
        </w:numPr>
        <w:ind w:left="1077" w:hanging="357"/>
      </w:pPr>
      <w:r w:rsidRPr="001B446F">
        <w:t>The u</w:t>
      </w:r>
      <w:r w:rsidR="00C17438" w:rsidRPr="001B446F">
        <w:t>se of both prevalent and inciden</w:t>
      </w:r>
      <w:r w:rsidR="00A500DA" w:rsidRPr="001B446F">
        <w:t>t</w:t>
      </w:r>
      <w:r w:rsidR="00C17438" w:rsidRPr="001B446F">
        <w:t xml:space="preserve"> </w:t>
      </w:r>
      <w:r w:rsidR="00A500DA" w:rsidRPr="001B446F">
        <w:t xml:space="preserve">DMO </w:t>
      </w:r>
      <w:r w:rsidR="00C17438" w:rsidRPr="001B446F">
        <w:t xml:space="preserve">population leads to double counting </w:t>
      </w:r>
      <w:r w:rsidR="0066162F" w:rsidRPr="001B446F">
        <w:t>of the number of eligible patients</w:t>
      </w:r>
      <w:r w:rsidR="00C17438" w:rsidRPr="001B446F">
        <w:t>;</w:t>
      </w:r>
    </w:p>
    <w:p w:rsidR="00C17438" w:rsidRPr="001B446F" w:rsidRDefault="00C17438" w:rsidP="00AD5ABF">
      <w:pPr>
        <w:pStyle w:val="3-BodyText"/>
        <w:numPr>
          <w:ilvl w:val="1"/>
          <w:numId w:val="7"/>
        </w:numPr>
        <w:ind w:left="1077" w:hanging="357"/>
      </w:pPr>
      <w:r w:rsidRPr="001B446F">
        <w:t xml:space="preserve">The use of the prevalent </w:t>
      </w:r>
      <w:r w:rsidR="00A500DA" w:rsidRPr="001B446F">
        <w:t xml:space="preserve">DMO </w:t>
      </w:r>
      <w:r w:rsidRPr="001B446F">
        <w:t xml:space="preserve">population leads to patients being treated three times in three years rather than once over a three-year period; </w:t>
      </w:r>
    </w:p>
    <w:p w:rsidR="00BE679A" w:rsidRPr="001B446F" w:rsidRDefault="0066162F" w:rsidP="00AD5ABF">
      <w:pPr>
        <w:pStyle w:val="3-BodyText"/>
        <w:numPr>
          <w:ilvl w:val="1"/>
          <w:numId w:val="7"/>
        </w:numPr>
        <w:ind w:left="1077" w:hanging="357"/>
      </w:pPr>
      <w:r w:rsidRPr="001B446F">
        <w:t>The p</w:t>
      </w:r>
      <w:r w:rsidR="00E06082" w:rsidRPr="001B446F">
        <w:t xml:space="preserve">roportion of patients </w:t>
      </w:r>
      <w:r w:rsidRPr="001B446F">
        <w:t xml:space="preserve">who have had (or were scheduled for) cataract surgery as defined by the proposed PBS listing was not accounted for; </w:t>
      </w:r>
    </w:p>
    <w:p w:rsidR="00E06082" w:rsidRPr="001B446F" w:rsidRDefault="00005B9D" w:rsidP="00AD5ABF">
      <w:pPr>
        <w:pStyle w:val="3-BodyText"/>
        <w:numPr>
          <w:ilvl w:val="1"/>
          <w:numId w:val="7"/>
        </w:numPr>
        <w:ind w:left="1077" w:hanging="357"/>
      </w:pPr>
      <w:r w:rsidRPr="001B446F">
        <w:t>The number of op</w:t>
      </w:r>
      <w:r w:rsidR="00EB704C" w:rsidRPr="001B446F">
        <w:t>hthalmologist visits for FA and DEX (11.04 and 14.42, respectively, may not be reasonable</w:t>
      </w:r>
      <w:r w:rsidR="00AD218A" w:rsidRPr="001B446F">
        <w:t xml:space="preserve"> and is likely to be very similar</w:t>
      </w:r>
      <w:r w:rsidR="001B29AD" w:rsidRPr="001B446F">
        <w:t>.</w:t>
      </w:r>
      <w:r w:rsidR="0066162F" w:rsidRPr="001B446F">
        <w:t xml:space="preserve"> </w:t>
      </w:r>
    </w:p>
    <w:p w:rsidR="00576972" w:rsidRPr="001B446F" w:rsidRDefault="00576972" w:rsidP="00606FBA">
      <w:pPr>
        <w:pStyle w:val="4-SubsectionHeading"/>
      </w:pPr>
      <w:bookmarkStart w:id="26" w:name="_Toc22897648"/>
      <w:bookmarkStart w:id="27" w:name="_Toc30496463"/>
      <w:r w:rsidRPr="001B446F">
        <w:t>Quality Use of Medicines</w:t>
      </w:r>
      <w:bookmarkEnd w:id="26"/>
      <w:bookmarkEnd w:id="27"/>
    </w:p>
    <w:p w:rsidR="00AF531A" w:rsidRPr="001B446F" w:rsidRDefault="007D0352" w:rsidP="00AF531A">
      <w:pPr>
        <w:pStyle w:val="3-BodyText"/>
      </w:pPr>
      <w:r w:rsidRPr="001B446F">
        <w:t xml:space="preserve">The submission provided a copy of European Risk Management Plan (RMP) for </w:t>
      </w:r>
      <w:r w:rsidR="00BE6C1B" w:rsidRPr="001B446F">
        <w:t>FA</w:t>
      </w:r>
      <w:r w:rsidRPr="001B446F">
        <w:t xml:space="preserve"> and the Australian Specific Annex. The key aspect of the proposed risk management plan </w:t>
      </w:r>
      <w:r w:rsidR="004E448A" w:rsidRPr="001B446F">
        <w:t>was</w:t>
      </w:r>
      <w:r w:rsidRPr="001B446F">
        <w:t xml:space="preserve"> the IRISS study which </w:t>
      </w:r>
      <w:r w:rsidR="004E448A" w:rsidRPr="001B446F">
        <w:t>was</w:t>
      </w:r>
      <w:r w:rsidRPr="001B446F">
        <w:t xml:space="preserve"> a European, multicentre, open-label, observational registry study of patients treated with the FA implant for any reason. The study </w:t>
      </w:r>
      <w:proofErr w:type="gramStart"/>
      <w:r w:rsidR="004E448A" w:rsidRPr="001B446F">
        <w:t>was</w:t>
      </w:r>
      <w:r w:rsidRPr="001B446F">
        <w:t xml:space="preserve"> registered</w:t>
      </w:r>
      <w:proofErr w:type="gramEnd"/>
      <w:r w:rsidRPr="001B446F">
        <w:t xml:space="preserve"> at ClinicalTrials.gov (NCT01998412). The observation phase is ongoing, with a planned duration of follow-up of 5 years.</w:t>
      </w:r>
      <w:r w:rsidR="00D038A6" w:rsidRPr="001B446F">
        <w:t xml:space="preserve"> </w:t>
      </w:r>
      <w:r w:rsidRPr="001B446F">
        <w:t>The submission state</w:t>
      </w:r>
      <w:r w:rsidR="00D16CD1" w:rsidRPr="001B446F">
        <w:t>d</w:t>
      </w:r>
      <w:r w:rsidRPr="001B446F">
        <w:t xml:space="preserve"> that </w:t>
      </w:r>
      <w:r w:rsidR="00BE6C1B" w:rsidRPr="001B446F">
        <w:t>FA</w:t>
      </w:r>
      <w:r w:rsidRPr="001B446F">
        <w:t xml:space="preserve"> has been available in international markets for several years and multiple post marketing </w:t>
      </w:r>
      <w:r w:rsidRPr="001B446F">
        <w:lastRenderedPageBreak/>
        <w:t xml:space="preserve">studies are available that support the use in clinical practice. No further Australian post-marketing surveillance studies </w:t>
      </w:r>
      <w:proofErr w:type="gramStart"/>
      <w:r w:rsidRPr="001B446F">
        <w:t>are planned</w:t>
      </w:r>
      <w:proofErr w:type="gramEnd"/>
      <w:r w:rsidRPr="001B446F">
        <w:t>.</w:t>
      </w:r>
    </w:p>
    <w:p w:rsidR="00576972" w:rsidRPr="001B446F" w:rsidRDefault="00576972" w:rsidP="00606FBA">
      <w:pPr>
        <w:pStyle w:val="4-SubsectionHeading"/>
      </w:pPr>
      <w:bookmarkStart w:id="28" w:name="_Toc22897649"/>
      <w:bookmarkStart w:id="29" w:name="_Toc30496464"/>
      <w:r w:rsidRPr="001B446F">
        <w:t>Financial Management – Risk Sharing Arrangements</w:t>
      </w:r>
      <w:bookmarkEnd w:id="28"/>
      <w:bookmarkEnd w:id="29"/>
    </w:p>
    <w:p w:rsidR="00D13C3F" w:rsidRPr="001B446F" w:rsidRDefault="00686DF1" w:rsidP="00AF531A">
      <w:pPr>
        <w:pStyle w:val="3-BodyText"/>
      </w:pPr>
      <w:r w:rsidRPr="001B446F">
        <w:t>No risk-sharing arrangement</w:t>
      </w:r>
      <w:r w:rsidR="00D16CD1" w:rsidRPr="001B446F">
        <w:t xml:space="preserve"> (RSA)</w:t>
      </w:r>
      <w:r w:rsidR="009F5C0C" w:rsidRPr="001B446F">
        <w:t xml:space="preserve"> </w:t>
      </w:r>
      <w:proofErr w:type="gramStart"/>
      <w:r w:rsidR="009F5C0C" w:rsidRPr="001B446F">
        <w:t>was proposed</w:t>
      </w:r>
      <w:proofErr w:type="gramEnd"/>
      <w:r w:rsidR="009F5C0C" w:rsidRPr="001B446F">
        <w:t xml:space="preserve"> in the </w:t>
      </w:r>
      <w:r w:rsidRPr="001B446F">
        <w:t xml:space="preserve">submission. </w:t>
      </w:r>
      <w:r w:rsidR="00D16CD1" w:rsidRPr="001B446F">
        <w:t>The PBAC</w:t>
      </w:r>
      <w:r w:rsidR="00C33B7E" w:rsidRPr="001B446F">
        <w:t xml:space="preserve"> noted</w:t>
      </w:r>
      <w:r w:rsidR="00D16CD1" w:rsidRPr="001B446F">
        <w:rPr>
          <w:i/>
        </w:rPr>
        <w:t xml:space="preserve"> </w:t>
      </w:r>
      <w:r w:rsidR="00D16CD1" w:rsidRPr="001B446F">
        <w:t>an RSA with subsidisation caps</w:t>
      </w:r>
      <w:r w:rsidR="00C33B7E" w:rsidRPr="001B446F">
        <w:t xml:space="preserve"> was</w:t>
      </w:r>
      <w:r w:rsidR="00D16CD1" w:rsidRPr="001B446F">
        <w:t xml:space="preserve"> </w:t>
      </w:r>
      <w:r w:rsidR="00D13C3F" w:rsidRPr="001B446F">
        <w:t>recommended</w:t>
      </w:r>
      <w:r w:rsidR="00D16CD1" w:rsidRPr="001B446F">
        <w:t xml:space="preserve"> for </w:t>
      </w:r>
      <w:r w:rsidR="00BE6C1B" w:rsidRPr="001B446F">
        <w:t>DEX</w:t>
      </w:r>
      <w:r w:rsidR="00D16CD1" w:rsidRPr="001B446F">
        <w:t xml:space="preserve"> with </w:t>
      </w:r>
      <w:r w:rsidR="00186C30" w:rsidRPr="001B446F">
        <w:t>a rebate in place to account fo</w:t>
      </w:r>
      <w:r w:rsidR="00D16CD1" w:rsidRPr="001B446F">
        <w:t>r</w:t>
      </w:r>
      <w:r w:rsidR="00186C30" w:rsidRPr="001B446F">
        <w:t xml:space="preserve"> </w:t>
      </w:r>
      <w:r w:rsidR="00D16CD1" w:rsidRPr="001B446F">
        <w:t>use beyond the utilisation estimates presented in the submission (paragraph 7.9,</w:t>
      </w:r>
      <w:r w:rsidR="00EA35FE" w:rsidRPr="001B446F">
        <w:t xml:space="preserve"> DEX</w:t>
      </w:r>
      <w:r w:rsidR="00D16CD1" w:rsidRPr="001B446F">
        <w:t xml:space="preserve"> PSD, March 2016 PBAC meeting).</w:t>
      </w:r>
      <w:r w:rsidR="00004C56" w:rsidRPr="001B446F">
        <w:t xml:space="preserve"> </w:t>
      </w:r>
    </w:p>
    <w:p w:rsidR="00061FFB" w:rsidRPr="001B446F" w:rsidRDefault="00061FFB" w:rsidP="001E088E">
      <w:pPr>
        <w:pStyle w:val="ListParagraph"/>
        <w:numPr>
          <w:ilvl w:val="0"/>
          <w:numId w:val="0"/>
        </w:numPr>
        <w:ind w:left="720"/>
        <w:rPr>
          <w:i/>
          <w:iCs/>
        </w:rPr>
      </w:pPr>
      <w:r w:rsidRPr="001B446F">
        <w:rPr>
          <w:i/>
          <w:iCs/>
        </w:rPr>
        <w:t>For more detail on PBAC’s view, see section 7 PBAC outcome.</w:t>
      </w:r>
    </w:p>
    <w:p w:rsidR="001D5461" w:rsidRPr="001B446F" w:rsidRDefault="001D5461" w:rsidP="00545AFE">
      <w:pPr>
        <w:pStyle w:val="2-SectionHeading"/>
        <w:rPr>
          <w:b w:val="0"/>
          <w:bCs/>
        </w:rPr>
      </w:pPr>
      <w:r w:rsidRPr="001B446F">
        <w:rPr>
          <w:bCs/>
        </w:rPr>
        <w:t>PBAC Outcome</w:t>
      </w:r>
    </w:p>
    <w:p w:rsidR="00EE37BF" w:rsidRPr="001B446F" w:rsidRDefault="00DF474C" w:rsidP="000358CD">
      <w:pPr>
        <w:pStyle w:val="3-BodyText"/>
        <w:rPr>
          <w:rFonts w:ascii="Calibri" w:hAnsi="Calibri"/>
          <w:snapToGrid/>
        </w:rPr>
      </w:pPr>
      <w:r w:rsidRPr="001B446F">
        <w:rPr>
          <w:bCs/>
        </w:rPr>
        <w:t xml:space="preserve">The </w:t>
      </w:r>
      <w:r w:rsidR="00BD259C" w:rsidRPr="001B446F">
        <w:rPr>
          <w:bCs/>
        </w:rPr>
        <w:t xml:space="preserve">PBAC recommended </w:t>
      </w:r>
      <w:r w:rsidR="000358CD" w:rsidRPr="001B446F">
        <w:rPr>
          <w:bCs/>
        </w:rPr>
        <w:t xml:space="preserve">the </w:t>
      </w:r>
      <w:r w:rsidR="00BD259C" w:rsidRPr="001B446F">
        <w:rPr>
          <w:bCs/>
        </w:rPr>
        <w:t xml:space="preserve">authority required </w:t>
      </w:r>
      <w:r w:rsidR="00EE37BF" w:rsidRPr="001B446F">
        <w:rPr>
          <w:bCs/>
        </w:rPr>
        <w:t>listing of</w:t>
      </w:r>
      <w:r w:rsidR="00AB3467" w:rsidRPr="001B446F">
        <w:rPr>
          <w:bCs/>
        </w:rPr>
        <w:t xml:space="preserve"> FA</w:t>
      </w:r>
      <w:r w:rsidR="00BD259C" w:rsidRPr="001B446F">
        <w:t xml:space="preserve"> for the treatment of </w:t>
      </w:r>
      <w:r w:rsidR="00B07146" w:rsidRPr="001B446F">
        <w:t xml:space="preserve">DMO in patients </w:t>
      </w:r>
      <w:r w:rsidR="00BD259C" w:rsidRPr="001B446F">
        <w:t>who are unsuitable for, contraindicated to, or have failed treatment with VEGF inhibitors</w:t>
      </w:r>
      <w:r w:rsidR="00D13C3F" w:rsidRPr="001B446F">
        <w:t>.</w:t>
      </w:r>
      <w:r w:rsidR="000358CD" w:rsidRPr="001B446F">
        <w:t xml:space="preserve"> </w:t>
      </w:r>
      <w:r w:rsidR="000358CD" w:rsidRPr="001B446F">
        <w:rPr>
          <w:rFonts w:ascii="Calibri" w:hAnsi="Calibri"/>
          <w:snapToGrid/>
        </w:rPr>
        <w:t xml:space="preserve">The PBAC’s recommendation for listing </w:t>
      </w:r>
      <w:proofErr w:type="gramStart"/>
      <w:r w:rsidR="000358CD" w:rsidRPr="001B446F">
        <w:rPr>
          <w:rFonts w:ascii="Calibri" w:hAnsi="Calibri"/>
          <w:snapToGrid/>
        </w:rPr>
        <w:t>was based</w:t>
      </w:r>
      <w:proofErr w:type="gramEnd"/>
      <w:r w:rsidR="000358CD" w:rsidRPr="001B446F">
        <w:rPr>
          <w:rFonts w:ascii="Calibri" w:hAnsi="Calibri"/>
          <w:snapToGrid/>
        </w:rPr>
        <w:t xml:space="preserve"> on, among other matters, its assessment, as described above, that the cost-effectiveness of FA would be acceptable if it were cost-minimised against DEX.</w:t>
      </w:r>
    </w:p>
    <w:p w:rsidR="00DF474C" w:rsidRPr="001B446F" w:rsidRDefault="00DF474C" w:rsidP="00DF474C">
      <w:pPr>
        <w:pStyle w:val="3-BodyText"/>
      </w:pPr>
      <w:r w:rsidRPr="001B446F">
        <w:t xml:space="preserve">The PBAC </w:t>
      </w:r>
      <w:r w:rsidR="006C74B4" w:rsidRPr="001B446F">
        <w:t xml:space="preserve">noted the </w:t>
      </w:r>
      <w:proofErr w:type="spellStart"/>
      <w:r w:rsidR="006C74B4" w:rsidRPr="001B446F">
        <w:t>equi</w:t>
      </w:r>
      <w:proofErr w:type="spellEnd"/>
      <w:r w:rsidR="006C74B4" w:rsidRPr="001B446F">
        <w:t xml:space="preserve">-effective doses proposed in the submission were not based on the clinical evidence presented to support the non-inferiority claim and considered this was not appropriate. The PBAC </w:t>
      </w:r>
      <w:r w:rsidRPr="001B446F">
        <w:t>advised</w:t>
      </w:r>
      <w:r w:rsidR="00A43BE5" w:rsidRPr="001B446F">
        <w:t xml:space="preserve"> </w:t>
      </w:r>
      <w:r w:rsidR="006C74B4" w:rsidRPr="001B446F">
        <w:t xml:space="preserve">the </w:t>
      </w:r>
      <w:proofErr w:type="spellStart"/>
      <w:r w:rsidR="006C74B4" w:rsidRPr="001B446F">
        <w:t>equi</w:t>
      </w:r>
      <w:proofErr w:type="spellEnd"/>
      <w:r w:rsidR="006C74B4" w:rsidRPr="001B446F">
        <w:t>-effective doses should be 1.3</w:t>
      </w:r>
      <w:r w:rsidR="00037D18">
        <w:t> </w:t>
      </w:r>
      <w:r w:rsidR="006C74B4" w:rsidRPr="001B446F">
        <w:t xml:space="preserve">administrations of FA and 4.11 administrations of DEX over 36 months as this reflects the mean doses in the MEAD and FAME studies presented in the </w:t>
      </w:r>
      <w:r w:rsidR="00CA2D15" w:rsidRPr="001B446F">
        <w:t>submission</w:t>
      </w:r>
      <w:r w:rsidR="006C74B4" w:rsidRPr="001B446F">
        <w:t xml:space="preserve">.  </w:t>
      </w:r>
    </w:p>
    <w:p w:rsidR="00D84936" w:rsidRPr="001B446F" w:rsidRDefault="00AF59DA" w:rsidP="00957EB8">
      <w:pPr>
        <w:widowControl w:val="0"/>
        <w:numPr>
          <w:ilvl w:val="1"/>
          <w:numId w:val="1"/>
        </w:numPr>
        <w:spacing w:after="120"/>
        <w:contextualSpacing/>
        <w:rPr>
          <w:bCs/>
        </w:rPr>
      </w:pPr>
      <w:r w:rsidRPr="001B446F">
        <w:rPr>
          <w:rFonts w:asciiTheme="minorHAnsi" w:hAnsiTheme="minorHAnsi"/>
          <w:bCs/>
          <w:snapToGrid w:val="0"/>
        </w:rPr>
        <w:t xml:space="preserve">The </w:t>
      </w:r>
      <w:r w:rsidR="005253DC" w:rsidRPr="001B446F">
        <w:rPr>
          <w:rFonts w:asciiTheme="minorHAnsi" w:hAnsiTheme="minorHAnsi"/>
          <w:bCs/>
          <w:snapToGrid w:val="0"/>
        </w:rPr>
        <w:t xml:space="preserve">PBAC advised </w:t>
      </w:r>
      <w:r w:rsidR="00D84936" w:rsidRPr="001B446F">
        <w:rPr>
          <w:rFonts w:asciiTheme="minorHAnsi" w:hAnsiTheme="minorHAnsi"/>
          <w:bCs/>
          <w:snapToGrid w:val="0"/>
        </w:rPr>
        <w:t xml:space="preserve">the </w:t>
      </w:r>
      <w:r w:rsidR="00E5095B" w:rsidRPr="001B446F">
        <w:rPr>
          <w:rFonts w:asciiTheme="minorHAnsi" w:hAnsiTheme="minorHAnsi"/>
          <w:bCs/>
          <w:snapToGrid w:val="0"/>
        </w:rPr>
        <w:t xml:space="preserve">proposed </w:t>
      </w:r>
      <w:r w:rsidR="00D84936" w:rsidRPr="001B446F">
        <w:rPr>
          <w:rFonts w:asciiTheme="minorHAnsi" w:hAnsiTheme="minorHAnsi"/>
          <w:bCs/>
          <w:snapToGrid w:val="0"/>
        </w:rPr>
        <w:t xml:space="preserve">restriction in Section </w:t>
      </w:r>
      <w:r w:rsidR="00E5095B" w:rsidRPr="001B446F">
        <w:rPr>
          <w:rFonts w:asciiTheme="minorHAnsi" w:hAnsiTheme="minorHAnsi"/>
          <w:bCs/>
          <w:snapToGrid w:val="0"/>
        </w:rPr>
        <w:t>3.1</w:t>
      </w:r>
      <w:r w:rsidR="00D84936" w:rsidRPr="001B446F">
        <w:rPr>
          <w:rFonts w:asciiTheme="minorHAnsi" w:hAnsiTheme="minorHAnsi"/>
          <w:bCs/>
          <w:snapToGrid w:val="0"/>
        </w:rPr>
        <w:t xml:space="preserve"> was appropriate with the following amendments:</w:t>
      </w:r>
    </w:p>
    <w:p w:rsidR="00AF59DA" w:rsidRPr="001B446F" w:rsidRDefault="009D784B" w:rsidP="00D84936">
      <w:pPr>
        <w:pStyle w:val="ListParagraph"/>
        <w:widowControl w:val="0"/>
        <w:numPr>
          <w:ilvl w:val="0"/>
          <w:numId w:val="34"/>
        </w:numPr>
        <w:contextualSpacing/>
        <w:rPr>
          <w:bCs/>
        </w:rPr>
      </w:pPr>
      <w:r w:rsidRPr="001B446F">
        <w:rPr>
          <w:bCs/>
        </w:rPr>
        <w:t xml:space="preserve">Given the lack of benefit, retreatment </w:t>
      </w:r>
      <w:r w:rsidR="000358CD" w:rsidRPr="001B446F">
        <w:rPr>
          <w:bCs/>
        </w:rPr>
        <w:t>with</w:t>
      </w:r>
      <w:r w:rsidRPr="001B446F">
        <w:rPr>
          <w:bCs/>
        </w:rPr>
        <w:t xml:space="preserve"> FA </w:t>
      </w:r>
      <w:proofErr w:type="gramStart"/>
      <w:r w:rsidR="00037D18">
        <w:rPr>
          <w:bCs/>
        </w:rPr>
        <w:t>should not be allowed</w:t>
      </w:r>
      <w:proofErr w:type="gramEnd"/>
      <w:r w:rsidR="00037D18">
        <w:rPr>
          <w:bCs/>
        </w:rPr>
        <w:t xml:space="preserve"> within 36 </w:t>
      </w:r>
      <w:r w:rsidRPr="001B446F">
        <w:rPr>
          <w:bCs/>
        </w:rPr>
        <w:t>months and this should be specified in the restriction criteria</w:t>
      </w:r>
      <w:r w:rsidR="00E5095B" w:rsidRPr="001B446F">
        <w:rPr>
          <w:bCs/>
        </w:rPr>
        <w:t xml:space="preserve"> (paragraph 3.4)</w:t>
      </w:r>
      <w:r w:rsidRPr="001B446F">
        <w:rPr>
          <w:bCs/>
        </w:rPr>
        <w:t xml:space="preserve">. </w:t>
      </w:r>
    </w:p>
    <w:p w:rsidR="00CC4170" w:rsidRDefault="00E5095B" w:rsidP="00CC4170">
      <w:pPr>
        <w:pStyle w:val="ListBullet"/>
        <w:tabs>
          <w:tab w:val="clear" w:pos="360"/>
          <w:tab w:val="num" w:pos="1440"/>
        </w:tabs>
        <w:spacing w:after="240"/>
        <w:ind w:left="1440"/>
      </w:pPr>
      <w:r w:rsidRPr="001B446F">
        <w:t>Addition of the clinical criteria “Patient must have been treated with a course of topical or intra-ocular corticosteroids and did not experience a clinically significant rise in intraocular pressure” to reflect the wording in the approved Product Information (paragraph 3.2)</w:t>
      </w:r>
      <w:r w:rsidR="00991C52" w:rsidRPr="001B446F">
        <w:t>.</w:t>
      </w:r>
    </w:p>
    <w:p w:rsidR="0055686A" w:rsidRPr="001B446F" w:rsidRDefault="0055686A" w:rsidP="00CC4170">
      <w:pPr>
        <w:pStyle w:val="ListBullet"/>
        <w:tabs>
          <w:tab w:val="clear" w:pos="360"/>
          <w:tab w:val="num" w:pos="1440"/>
        </w:tabs>
        <w:spacing w:after="240"/>
        <w:ind w:left="1440"/>
      </w:pPr>
      <w:r w:rsidRPr="001B446F">
        <w:t xml:space="preserve">The PBAC noted the proposed listing lowered the limit of BCVA </w:t>
      </w:r>
      <w:r w:rsidR="00CD582D">
        <w:t>letter score</w:t>
      </w:r>
      <w:r w:rsidR="00D35F08">
        <w:t xml:space="preserve"> for treatment initiation</w:t>
      </w:r>
      <w:r w:rsidR="00CD582D">
        <w:t xml:space="preserve"> </w:t>
      </w:r>
      <w:r w:rsidRPr="001B446F">
        <w:t xml:space="preserve">from 39 to 20, thereby broadening the eligibility criteria for treatment compared to DEX and the VEGF inhibitors. The PBAC noted that, while the FAME trials included patients with </w:t>
      </w:r>
      <w:r w:rsidR="00084C67">
        <w:t>a BCVA letter score of &gt;20, it was not clear in the submission how many patients had a score of 20 to 39 at baseline</w:t>
      </w:r>
      <w:r w:rsidR="0095522D" w:rsidRPr="001B446F">
        <w:t>.</w:t>
      </w:r>
      <w:r w:rsidRPr="001B446F">
        <w:t xml:space="preserve"> The PBAC considered allowing a lower BCVA limit of 20 </w:t>
      </w:r>
      <w:r w:rsidR="00344A18">
        <w:t>may</w:t>
      </w:r>
      <w:r w:rsidRPr="001B446F">
        <w:t xml:space="preserve"> address an unmet clinical need and may be appropriate</w:t>
      </w:r>
      <w:r w:rsidR="00344A18">
        <w:t xml:space="preserve">. </w:t>
      </w:r>
      <w:proofErr w:type="gramStart"/>
      <w:r w:rsidR="00344A18">
        <w:t>However</w:t>
      </w:r>
      <w:proofErr w:type="gramEnd"/>
      <w:r w:rsidR="00344A18">
        <w:t xml:space="preserve"> the PBAC considered</w:t>
      </w:r>
      <w:r w:rsidR="00084C67">
        <w:t xml:space="preserve"> there was insufficient information </w:t>
      </w:r>
      <w:r w:rsidR="00344A18">
        <w:t>provided regarding the efficacy</w:t>
      </w:r>
      <w:r w:rsidR="00CC4170">
        <w:t xml:space="preserve"> and</w:t>
      </w:r>
      <w:r w:rsidR="00344A18">
        <w:t xml:space="preserve"> cost-effectiveness </w:t>
      </w:r>
      <w:r w:rsidR="00CC4170">
        <w:t xml:space="preserve">of treating patients with a baseline score of 20 to 39 letters </w:t>
      </w:r>
      <w:r w:rsidR="00344A18">
        <w:t xml:space="preserve">and </w:t>
      </w:r>
      <w:r w:rsidR="00CC4170">
        <w:t xml:space="preserve">the </w:t>
      </w:r>
      <w:r w:rsidR="00344A18">
        <w:t>financial implications of changing the restriction</w:t>
      </w:r>
      <w:r w:rsidR="00CC4170">
        <w:t xml:space="preserve"> were </w:t>
      </w:r>
      <w:r w:rsidR="00FD5DFC">
        <w:t>unknown</w:t>
      </w:r>
      <w:r w:rsidR="00CC4170">
        <w:t>. The PBAC considered the initial restriction criteria for FA should be consistent with the criteria for DEX</w:t>
      </w:r>
      <w:r w:rsidR="0085059B">
        <w:t xml:space="preserve"> and require a BCVA letter score of between 78 and 39</w:t>
      </w:r>
      <w:r w:rsidR="00084C67">
        <w:t>.</w:t>
      </w:r>
      <w:r w:rsidRPr="00CC4170">
        <w:rPr>
          <w:bCs/>
        </w:rPr>
        <w:t xml:space="preserve">  </w:t>
      </w:r>
    </w:p>
    <w:p w:rsidR="00040B88" w:rsidRPr="001B446F" w:rsidRDefault="004349C3" w:rsidP="001E088E">
      <w:pPr>
        <w:widowControl w:val="0"/>
        <w:numPr>
          <w:ilvl w:val="1"/>
          <w:numId w:val="1"/>
        </w:numPr>
        <w:spacing w:after="120"/>
        <w:rPr>
          <w:rFonts w:eastAsia="Calibri"/>
        </w:rPr>
      </w:pPr>
      <w:r w:rsidRPr="001B446F">
        <w:lastRenderedPageBreak/>
        <w:t xml:space="preserve">The PBAC noted the claim that FA was of non-inferior effectiveness and safety versus DEX </w:t>
      </w:r>
      <w:proofErr w:type="gramStart"/>
      <w:r w:rsidRPr="001B446F">
        <w:t>was supported</w:t>
      </w:r>
      <w:proofErr w:type="gramEnd"/>
      <w:r w:rsidRPr="001B446F">
        <w:t xml:space="preserve"> by an indirect comparison of </w:t>
      </w:r>
      <w:r w:rsidR="00E532AA" w:rsidRPr="001B446F">
        <w:t xml:space="preserve">two pooled </w:t>
      </w:r>
      <w:r w:rsidRPr="001B446F">
        <w:t xml:space="preserve">randomised studies </w:t>
      </w:r>
      <w:r w:rsidR="00E532AA" w:rsidRPr="001B446F">
        <w:t xml:space="preserve">for each product </w:t>
      </w:r>
      <w:r w:rsidRPr="001B446F">
        <w:t>using sham injection as a common treatment arm.</w:t>
      </w:r>
      <w:r w:rsidR="005A765A" w:rsidRPr="001B446F">
        <w:t xml:space="preserve"> The change from baseline in BCVA letter score was 3.36 (95% CI -0.62, 7.34) in favour of FA, with the lower CI falling inside a non-inferiority margin of -5 letters previously accepted by the PBAC.</w:t>
      </w:r>
      <w:r w:rsidR="00657883" w:rsidRPr="001B446F">
        <w:t xml:space="preserve"> </w:t>
      </w:r>
      <w:r w:rsidRPr="001B446F">
        <w:t xml:space="preserve">The PBAC considered that while there were transitivity (paragraph 6.8) and applicability (paragraph 6.10) issues with the indirect </w:t>
      </w:r>
      <w:r w:rsidR="00E532AA" w:rsidRPr="001B446F">
        <w:t>comparison</w:t>
      </w:r>
      <w:r w:rsidR="00F72914" w:rsidRPr="001B446F">
        <w:t>, on balance, the claim of non-inferi</w:t>
      </w:r>
      <w:r w:rsidR="006B22BE">
        <w:t xml:space="preserve">or effectiveness </w:t>
      </w:r>
      <w:proofErr w:type="gramStart"/>
      <w:r w:rsidR="006B22BE">
        <w:t>was supported</w:t>
      </w:r>
      <w:proofErr w:type="gramEnd"/>
      <w:r w:rsidR="006B22BE">
        <w:t>.</w:t>
      </w:r>
    </w:p>
    <w:p w:rsidR="003F5771" w:rsidRPr="007231B1" w:rsidRDefault="003F5771" w:rsidP="003F5771">
      <w:pPr>
        <w:pStyle w:val="3-BodyText"/>
        <w:spacing w:after="0"/>
        <w:rPr>
          <w:rFonts w:eastAsia="Calibri"/>
        </w:rPr>
      </w:pPr>
      <w:r w:rsidRPr="001B446F">
        <w:t>The PBAC noted there were differences in the safety profile between the two populations in the trials</w:t>
      </w:r>
      <w:r w:rsidR="00B20D91" w:rsidRPr="001B446F">
        <w:t>,</w:t>
      </w:r>
      <w:r w:rsidRPr="001B446F">
        <w:t xml:space="preserve"> with the proportion of patients with increase in </w:t>
      </w:r>
      <w:r w:rsidR="00B20D91" w:rsidRPr="001B446F">
        <w:t>IOP</w:t>
      </w:r>
      <w:r w:rsidRPr="001B446F">
        <w:t>, cataracts and cataract operations higher for FA compared to DEX. However</w:t>
      </w:r>
      <w:r w:rsidR="00B20D91" w:rsidRPr="001B446F">
        <w:t>, the PBAC</w:t>
      </w:r>
      <w:r w:rsidRPr="001B446F">
        <w:t xml:space="preserve"> considered the high rate of cataract surgery in the FA treatment arm was not</w:t>
      </w:r>
      <w:r w:rsidR="008577A1" w:rsidRPr="001B446F">
        <w:t xml:space="preserve"> </w:t>
      </w:r>
      <w:proofErr w:type="gramStart"/>
      <w:r w:rsidR="008577A1" w:rsidRPr="001B446F">
        <w:t>informative</w:t>
      </w:r>
      <w:r w:rsidRPr="001B446F">
        <w:t>,</w:t>
      </w:r>
      <w:proofErr w:type="gramEnd"/>
      <w:r w:rsidRPr="001B446F">
        <w:t xml:space="preserve"> as the PBS population must have</w:t>
      </w:r>
      <w:r w:rsidR="00B20D91" w:rsidRPr="001B446F">
        <w:t xml:space="preserve"> had a cataract removed in the treated eye</w:t>
      </w:r>
      <w:r w:rsidRPr="001B446F">
        <w:t xml:space="preserve"> or be scheduled for cataract surgery in the </w:t>
      </w:r>
      <w:r w:rsidR="00B20D91" w:rsidRPr="001B446F">
        <w:t xml:space="preserve">treated </w:t>
      </w:r>
      <w:r w:rsidRPr="001B446F">
        <w:t>eye.</w:t>
      </w:r>
      <w:r w:rsidR="00F72914" w:rsidRPr="001B446F">
        <w:t xml:space="preserve"> The PBAC </w:t>
      </w:r>
      <w:r w:rsidR="00CC4170">
        <w:t>acknowledged FA and DEX were</w:t>
      </w:r>
      <w:r w:rsidR="001129AB" w:rsidRPr="001B446F">
        <w:t xml:space="preserve"> likely to have a similar safety profile in the proposed PBS population and </w:t>
      </w:r>
      <w:r w:rsidR="00F72914" w:rsidRPr="001B446F">
        <w:t xml:space="preserve">accepted the claim of non-inferior safety. </w:t>
      </w:r>
    </w:p>
    <w:p w:rsidR="007231B1" w:rsidRPr="001B446F" w:rsidRDefault="007231B1" w:rsidP="007231B1">
      <w:pPr>
        <w:pStyle w:val="3-BodyText"/>
        <w:numPr>
          <w:ilvl w:val="0"/>
          <w:numId w:val="0"/>
        </w:numPr>
        <w:spacing w:after="0"/>
        <w:ind w:left="720"/>
        <w:rPr>
          <w:rFonts w:eastAsia="Calibri"/>
        </w:rPr>
      </w:pPr>
    </w:p>
    <w:p w:rsidR="00FE7D51" w:rsidRPr="001B446F" w:rsidRDefault="00657883" w:rsidP="00657883">
      <w:pPr>
        <w:pStyle w:val="3-BodyText"/>
        <w:rPr>
          <w:rFonts w:eastAsia="Calibri"/>
        </w:rPr>
      </w:pPr>
      <w:r w:rsidRPr="001B446F">
        <w:rPr>
          <w:rFonts w:eastAsia="Calibri"/>
        </w:rPr>
        <w:t xml:space="preserve">The PBAC noted the modest benefit of FA and DEX (paragraph 6.23) and recalled that DEX was recommended </w:t>
      </w:r>
      <w:proofErr w:type="gramStart"/>
      <w:r w:rsidRPr="001B446F">
        <w:rPr>
          <w:rFonts w:eastAsia="Calibri"/>
        </w:rPr>
        <w:t>on the basis of</w:t>
      </w:r>
      <w:proofErr w:type="gramEnd"/>
      <w:r w:rsidRPr="001B446F">
        <w:rPr>
          <w:rFonts w:eastAsia="Calibri"/>
        </w:rPr>
        <w:t xml:space="preserve"> having inferior effectiveness and safety compared to the VEGF inhibitors. The PBAC reiterated that DEX and FA </w:t>
      </w:r>
      <w:proofErr w:type="gramStart"/>
      <w:r w:rsidRPr="001B446F">
        <w:rPr>
          <w:rFonts w:eastAsia="Calibri"/>
        </w:rPr>
        <w:t>should not be considered</w:t>
      </w:r>
      <w:proofErr w:type="gramEnd"/>
      <w:r w:rsidRPr="001B446F">
        <w:rPr>
          <w:rFonts w:eastAsia="Calibri"/>
        </w:rPr>
        <w:t xml:space="preserve"> as </w:t>
      </w:r>
      <w:r w:rsidR="003D707D" w:rsidRPr="001B446F">
        <w:rPr>
          <w:rFonts w:eastAsia="Calibri"/>
        </w:rPr>
        <w:t>alternative therapies</w:t>
      </w:r>
      <w:r w:rsidRPr="001B446F">
        <w:rPr>
          <w:rFonts w:eastAsia="Calibri"/>
        </w:rPr>
        <w:t xml:space="preserve"> to the VEGF inhibitors. </w:t>
      </w:r>
    </w:p>
    <w:p w:rsidR="00FE7D51" w:rsidRPr="001B446F" w:rsidRDefault="004C4312" w:rsidP="003D707D">
      <w:pPr>
        <w:pStyle w:val="3-BodyText"/>
      </w:pPr>
      <w:r w:rsidRPr="001B446F">
        <w:t>The PBAC recommended that the r</w:t>
      </w:r>
      <w:r w:rsidR="003D707D" w:rsidRPr="001B446F">
        <w:t xml:space="preserve">evised </w:t>
      </w:r>
      <w:proofErr w:type="spellStart"/>
      <w:r w:rsidR="003D707D" w:rsidRPr="001B446F">
        <w:t>equi</w:t>
      </w:r>
      <w:proofErr w:type="spellEnd"/>
      <w:r w:rsidR="003D707D" w:rsidRPr="001B446F">
        <w:t>-effective doses</w:t>
      </w:r>
      <w:r w:rsidRPr="001B446F">
        <w:t xml:space="preserve"> </w:t>
      </w:r>
      <w:r w:rsidR="00CA13D0">
        <w:t xml:space="preserve">(paragraph 7.2) </w:t>
      </w:r>
      <w:proofErr w:type="gramStart"/>
      <w:r w:rsidRPr="001B446F">
        <w:t xml:space="preserve">should be </w:t>
      </w:r>
      <w:r w:rsidR="00CA13D0">
        <w:t>applied</w:t>
      </w:r>
      <w:proofErr w:type="gramEnd"/>
      <w:r w:rsidR="00CA13D0">
        <w:t xml:space="preserve"> in </w:t>
      </w:r>
      <w:r w:rsidRPr="001B446F">
        <w:t>the CMA</w:t>
      </w:r>
      <w:r w:rsidR="004E596E" w:rsidRPr="001B446F">
        <w:t xml:space="preserve"> using</w:t>
      </w:r>
      <w:r w:rsidR="00CA13D0">
        <w:t xml:space="preserve"> the effective price of DEX</w:t>
      </w:r>
      <w:r w:rsidR="004E596E" w:rsidRPr="001B446F">
        <w:t xml:space="preserve">. The PBAC considered </w:t>
      </w:r>
      <w:r w:rsidR="001129AB" w:rsidRPr="001B446F">
        <w:t xml:space="preserve">the CMA should only </w:t>
      </w:r>
      <w:r w:rsidR="00991C52" w:rsidRPr="001B446F">
        <w:t xml:space="preserve">include the cost of drug and the </w:t>
      </w:r>
      <w:r w:rsidR="001129AB" w:rsidRPr="001B446F">
        <w:t>cost of administering the implants</w:t>
      </w:r>
      <w:r w:rsidR="00991C52" w:rsidRPr="001B446F">
        <w:t xml:space="preserve">. The PBAC considered </w:t>
      </w:r>
      <w:r w:rsidR="001129AB" w:rsidRPr="001B446F">
        <w:t xml:space="preserve">all other costs were </w:t>
      </w:r>
      <w:r w:rsidR="00991C52" w:rsidRPr="001B446F">
        <w:t xml:space="preserve">highly </w:t>
      </w:r>
      <w:r w:rsidR="001129AB" w:rsidRPr="001B446F">
        <w:t>uncertain</w:t>
      </w:r>
      <w:r w:rsidR="00876B1D" w:rsidRPr="001B446F">
        <w:t xml:space="preserve">, </w:t>
      </w:r>
      <w:r w:rsidR="00991C52" w:rsidRPr="001B446F">
        <w:t>not well justified in the submission (paragraph 6.28 to 6.31)</w:t>
      </w:r>
      <w:r w:rsidR="00876B1D" w:rsidRPr="001B446F">
        <w:t xml:space="preserve"> and should not be included in the CMA</w:t>
      </w:r>
      <w:r w:rsidR="00991C52" w:rsidRPr="001B446F">
        <w:t xml:space="preserve">. </w:t>
      </w:r>
    </w:p>
    <w:p w:rsidR="00C33B7E" w:rsidRPr="001B446F" w:rsidRDefault="00F3395E" w:rsidP="00CC4170">
      <w:pPr>
        <w:pStyle w:val="3-BodyText"/>
        <w:rPr>
          <w:bCs/>
        </w:rPr>
      </w:pPr>
      <w:r w:rsidRPr="001B446F">
        <w:rPr>
          <w:iCs/>
        </w:rPr>
        <w:t xml:space="preserve">The </w:t>
      </w:r>
      <w:r w:rsidRPr="001B446F">
        <w:t>PBAC considered the financial estimates provided in the submission were unreliable</w:t>
      </w:r>
      <w:r w:rsidR="004C4312" w:rsidRPr="001B446F">
        <w:t xml:space="preserve"> (paragraphs 6.35, 6.37 and 6.38)</w:t>
      </w:r>
      <w:r w:rsidR="00657883" w:rsidRPr="001B446F">
        <w:t>.</w:t>
      </w:r>
      <w:r w:rsidR="00CC4170">
        <w:t xml:space="preserve"> </w:t>
      </w:r>
      <w:r w:rsidR="00CC4170" w:rsidRPr="00CC4170">
        <w:t xml:space="preserve">The PBAC considered that </w:t>
      </w:r>
      <w:r w:rsidR="00CC4170">
        <w:t xml:space="preserve">a </w:t>
      </w:r>
      <w:r w:rsidR="00CC4170" w:rsidRPr="00CC4170">
        <w:t xml:space="preserve">market share approach </w:t>
      </w:r>
      <w:r w:rsidR="00CC4170">
        <w:t xml:space="preserve">would have been </w:t>
      </w:r>
      <w:r w:rsidR="00E330A5">
        <w:t xml:space="preserve">more </w:t>
      </w:r>
      <w:r w:rsidR="00CC4170">
        <w:t xml:space="preserve">appropriate to estimate the use of this medicine. The PBAC considered there was a low clinical need and </w:t>
      </w:r>
      <w:r w:rsidR="00E330A5">
        <w:t xml:space="preserve">listing FA on the PBS </w:t>
      </w:r>
      <w:r w:rsidR="00CC4170">
        <w:t xml:space="preserve">was unlikely </w:t>
      </w:r>
      <w:proofErr w:type="gramStart"/>
      <w:r w:rsidR="00CC4170">
        <w:t xml:space="preserve">to </w:t>
      </w:r>
      <w:r w:rsidR="003F25FF">
        <w:t xml:space="preserve">substantially </w:t>
      </w:r>
      <w:r w:rsidR="00CC4170">
        <w:t>grow</w:t>
      </w:r>
      <w:proofErr w:type="gramEnd"/>
      <w:r w:rsidR="00CC4170">
        <w:t xml:space="preserve"> the market. The PBAC considered that</w:t>
      </w:r>
      <w:r w:rsidR="00CA13D0">
        <w:t xml:space="preserve"> listing FA for DMO on a cost minimisation basis with DEX </w:t>
      </w:r>
      <w:r w:rsidR="00CC4170">
        <w:t xml:space="preserve">using </w:t>
      </w:r>
      <w:r w:rsidR="00CA13D0">
        <w:t xml:space="preserve">effective prices and </w:t>
      </w:r>
      <w:r w:rsidR="00CC4170">
        <w:t xml:space="preserve">the </w:t>
      </w:r>
      <w:proofErr w:type="spellStart"/>
      <w:r w:rsidR="00CC4170">
        <w:t>equi</w:t>
      </w:r>
      <w:proofErr w:type="spellEnd"/>
      <w:r w:rsidR="00CC4170">
        <w:t xml:space="preserve">-effective doses recommended (paragraph </w:t>
      </w:r>
      <w:r w:rsidR="003F25FF">
        <w:t>7.2</w:t>
      </w:r>
      <w:r w:rsidR="00CA13D0">
        <w:t>) would be cost-neutral to the PBS. The PBAC</w:t>
      </w:r>
      <w:r w:rsidR="003F25FF">
        <w:t xml:space="preserve"> </w:t>
      </w:r>
      <w:r w:rsidR="00CA13D0">
        <w:t>considered</w:t>
      </w:r>
      <w:r w:rsidR="003F25FF">
        <w:t xml:space="preserve"> that inclusion of FA in the DEX RSA (paragraph 7.9) would manage any </w:t>
      </w:r>
      <w:r w:rsidR="00CA13D0">
        <w:t xml:space="preserve">residual </w:t>
      </w:r>
      <w:r w:rsidR="003F25FF">
        <w:t xml:space="preserve">uncertainty regarding the financial estimates.  </w:t>
      </w:r>
    </w:p>
    <w:p w:rsidR="00C33B7E" w:rsidRPr="001B446F" w:rsidRDefault="006263D7" w:rsidP="006263D7">
      <w:pPr>
        <w:pStyle w:val="3-BodyText"/>
        <w:rPr>
          <w:bCs/>
        </w:rPr>
      </w:pPr>
      <w:r w:rsidRPr="001B446F">
        <w:t>The PBAC noted DEX has a SPA and</w:t>
      </w:r>
      <w:r w:rsidR="004D060D" w:rsidRPr="001B446F">
        <w:t xml:space="preserve"> a</w:t>
      </w:r>
      <w:r w:rsidR="00C33B7E" w:rsidRPr="001B446F">
        <w:t xml:space="preserve"> RSA with</w:t>
      </w:r>
      <w:r w:rsidR="00B20D91" w:rsidRPr="001B446F">
        <w:t xml:space="preserve"> a</w:t>
      </w:r>
      <w:r w:rsidR="00C33B7E" w:rsidRPr="001B446F">
        <w:t xml:space="preserve"> rebate in place to account for use beyond the utilisation estimates presented in the </w:t>
      </w:r>
      <w:r w:rsidR="00CA13D0">
        <w:t xml:space="preserve">DEX </w:t>
      </w:r>
      <w:r w:rsidR="00C33B7E" w:rsidRPr="001B446F">
        <w:t>submission (paragraph 7.9, DEX PSD, March 2016 PBAC meeting).</w:t>
      </w:r>
      <w:r w:rsidR="00192C19" w:rsidRPr="001B446F">
        <w:t xml:space="preserve"> The PBAC advised</w:t>
      </w:r>
      <w:r w:rsidR="00B20D91" w:rsidRPr="001B446F">
        <w:t xml:space="preserve"> that</w:t>
      </w:r>
      <w:r w:rsidR="00192C19" w:rsidRPr="001B446F">
        <w:t xml:space="preserve"> FA</w:t>
      </w:r>
      <w:r w:rsidR="00B20D91" w:rsidRPr="001B446F">
        <w:t xml:space="preserve"> would be required</w:t>
      </w:r>
      <w:r w:rsidR="00192C19" w:rsidRPr="001B446F">
        <w:t xml:space="preserve"> to</w:t>
      </w:r>
      <w:r w:rsidR="00C33B7E" w:rsidRPr="001B446F">
        <w:t xml:space="preserve"> join the DEX RSA with no changes to the </w:t>
      </w:r>
      <w:r w:rsidR="007B53DA" w:rsidRPr="001B446F">
        <w:t xml:space="preserve">expenditure </w:t>
      </w:r>
      <w:r w:rsidR="00B20D91" w:rsidRPr="001B446F">
        <w:t>caps</w:t>
      </w:r>
      <w:r w:rsidR="00C33B7E" w:rsidRPr="001B446F">
        <w:t>.</w:t>
      </w:r>
    </w:p>
    <w:p w:rsidR="003D707D" w:rsidRPr="001B446F" w:rsidRDefault="001D5461" w:rsidP="003D707D">
      <w:pPr>
        <w:widowControl w:val="0"/>
        <w:numPr>
          <w:ilvl w:val="1"/>
          <w:numId w:val="1"/>
        </w:numPr>
        <w:spacing w:after="120"/>
        <w:rPr>
          <w:rFonts w:asciiTheme="minorHAnsi" w:hAnsiTheme="minorHAnsi"/>
          <w:bCs/>
          <w:snapToGrid w:val="0"/>
        </w:rPr>
      </w:pPr>
      <w:r w:rsidRPr="001B446F">
        <w:rPr>
          <w:rFonts w:asciiTheme="minorHAnsi" w:hAnsiTheme="minorHAnsi"/>
          <w:bCs/>
          <w:snapToGrid w:val="0"/>
        </w:rPr>
        <w:t xml:space="preserve">The PBAC recommended that </w:t>
      </w:r>
      <w:r w:rsidR="004D70BB" w:rsidRPr="001B446F">
        <w:rPr>
          <w:rFonts w:asciiTheme="minorHAnsi" w:hAnsiTheme="minorHAnsi"/>
          <w:bCs/>
          <w:snapToGrid w:val="0"/>
        </w:rPr>
        <w:t xml:space="preserve">FA </w:t>
      </w:r>
      <w:proofErr w:type="gramStart"/>
      <w:r w:rsidRPr="001B446F">
        <w:rPr>
          <w:rFonts w:asciiTheme="minorHAnsi" w:hAnsiTheme="minorHAnsi"/>
          <w:bCs/>
          <w:snapToGrid w:val="0"/>
        </w:rPr>
        <w:t>should</w:t>
      </w:r>
      <w:r w:rsidR="004D70BB" w:rsidRPr="001B446F">
        <w:rPr>
          <w:rFonts w:asciiTheme="minorHAnsi" w:hAnsiTheme="minorHAnsi"/>
          <w:bCs/>
          <w:snapToGrid w:val="0"/>
        </w:rPr>
        <w:t xml:space="preserve"> not</w:t>
      </w:r>
      <w:r w:rsidRPr="001B446F">
        <w:rPr>
          <w:rFonts w:asciiTheme="minorHAnsi" w:hAnsiTheme="minorHAnsi"/>
          <w:bCs/>
          <w:snapToGrid w:val="0"/>
        </w:rPr>
        <w:t xml:space="preserve"> be treated</w:t>
      </w:r>
      <w:proofErr w:type="gramEnd"/>
      <w:r w:rsidRPr="001B446F">
        <w:rPr>
          <w:rFonts w:asciiTheme="minorHAnsi" w:hAnsiTheme="minorHAnsi"/>
          <w:bCs/>
          <w:snapToGrid w:val="0"/>
        </w:rPr>
        <w:t xml:space="preserve"> as interchangeable </w:t>
      </w:r>
      <w:r w:rsidR="004D70BB" w:rsidRPr="001B446F">
        <w:rPr>
          <w:rFonts w:asciiTheme="minorHAnsi" w:hAnsiTheme="minorHAnsi"/>
          <w:bCs/>
          <w:snapToGrid w:val="0"/>
        </w:rPr>
        <w:t>with any other drugs.</w:t>
      </w:r>
    </w:p>
    <w:p w:rsidR="009E149F" w:rsidRPr="001B446F" w:rsidRDefault="009E149F" w:rsidP="003D707D">
      <w:pPr>
        <w:widowControl w:val="0"/>
        <w:numPr>
          <w:ilvl w:val="1"/>
          <w:numId w:val="1"/>
        </w:numPr>
        <w:spacing w:after="120"/>
        <w:rPr>
          <w:rFonts w:asciiTheme="minorHAnsi" w:hAnsiTheme="minorHAnsi"/>
          <w:bCs/>
          <w:snapToGrid w:val="0"/>
        </w:rPr>
      </w:pPr>
      <w:proofErr w:type="gramStart"/>
      <w:r w:rsidRPr="001B446F">
        <w:t xml:space="preserve">The PBAC noted that its recommendation was on a cost-minimisation basis and </w:t>
      </w:r>
      <w:r w:rsidRPr="001B446F">
        <w:lastRenderedPageBreak/>
        <w:t>advised that, because FA is not expected to provide a substantial and clinically relevant improvement in efficacy, or reduction of toxicity, over alternative therapies, or not expected to address a high and urgent unmet clinical need given the presence of an alternative therapy, the criteria prescribed by the National Health (Pharmaceuticals and Vaccines – Cost Recovery) Regulations 2009 for Pricing Pathway A were not met.</w:t>
      </w:r>
      <w:proofErr w:type="gramEnd"/>
    </w:p>
    <w:p w:rsidR="001D5461" w:rsidRPr="001B446F" w:rsidRDefault="001D5461" w:rsidP="001D5461">
      <w:pPr>
        <w:widowControl w:val="0"/>
        <w:numPr>
          <w:ilvl w:val="1"/>
          <w:numId w:val="1"/>
        </w:numPr>
        <w:spacing w:after="120"/>
        <w:rPr>
          <w:rFonts w:asciiTheme="minorHAnsi" w:hAnsiTheme="minorHAnsi"/>
          <w:bCs/>
          <w:snapToGrid w:val="0"/>
        </w:rPr>
      </w:pPr>
      <w:r w:rsidRPr="001B446F">
        <w:rPr>
          <w:rFonts w:asciiTheme="minorHAnsi" w:hAnsiTheme="minorHAnsi"/>
          <w:bCs/>
          <w:snapToGrid w:val="0"/>
        </w:rPr>
        <w:t xml:space="preserve">The PBAC advised that </w:t>
      </w:r>
      <w:r w:rsidR="006F5FDA" w:rsidRPr="001B446F">
        <w:rPr>
          <w:rFonts w:asciiTheme="minorHAnsi" w:hAnsiTheme="minorHAnsi"/>
          <w:bCs/>
          <w:snapToGrid w:val="0"/>
        </w:rPr>
        <w:t xml:space="preserve">FA </w:t>
      </w:r>
      <w:r w:rsidRPr="001B446F">
        <w:rPr>
          <w:rFonts w:asciiTheme="minorHAnsi" w:hAnsiTheme="minorHAnsi"/>
          <w:bCs/>
          <w:snapToGrid w:val="0"/>
        </w:rPr>
        <w:t xml:space="preserve">not suitable for prescribing by nurse practitioners.  </w:t>
      </w:r>
    </w:p>
    <w:p w:rsidR="001D5461" w:rsidRPr="001B446F" w:rsidRDefault="001D5461" w:rsidP="001D5461">
      <w:pPr>
        <w:widowControl w:val="0"/>
        <w:numPr>
          <w:ilvl w:val="1"/>
          <w:numId w:val="1"/>
        </w:numPr>
        <w:spacing w:after="120"/>
        <w:rPr>
          <w:rFonts w:asciiTheme="minorHAnsi" w:hAnsiTheme="minorHAnsi"/>
          <w:bCs/>
          <w:snapToGrid w:val="0"/>
        </w:rPr>
      </w:pPr>
      <w:r w:rsidRPr="001B446F">
        <w:rPr>
          <w:rFonts w:asciiTheme="minorHAnsi" w:hAnsiTheme="minorHAnsi"/>
          <w:bCs/>
          <w:snapToGrid w:val="0"/>
        </w:rPr>
        <w:t xml:space="preserve">The PBAC </w:t>
      </w:r>
      <w:r w:rsidR="006F5FDA" w:rsidRPr="001B446F">
        <w:rPr>
          <w:rFonts w:asciiTheme="minorHAnsi" w:hAnsiTheme="minorHAnsi"/>
          <w:bCs/>
          <w:snapToGrid w:val="0"/>
        </w:rPr>
        <w:t>considered</w:t>
      </w:r>
      <w:r w:rsidRPr="001B446F">
        <w:rPr>
          <w:rFonts w:asciiTheme="minorHAnsi" w:hAnsiTheme="minorHAnsi"/>
          <w:bCs/>
          <w:snapToGrid w:val="0"/>
        </w:rPr>
        <w:t xml:space="preserve"> that the Early Supply Rule </w:t>
      </w:r>
      <w:r w:rsidR="006F5FDA" w:rsidRPr="001B446F">
        <w:rPr>
          <w:rFonts w:asciiTheme="minorHAnsi" w:hAnsiTheme="minorHAnsi"/>
          <w:bCs/>
          <w:snapToGrid w:val="0"/>
        </w:rPr>
        <w:t>should not apply to FA.</w:t>
      </w:r>
    </w:p>
    <w:p w:rsidR="000123CF" w:rsidRPr="001B446F" w:rsidRDefault="000123CF" w:rsidP="000123CF">
      <w:pPr>
        <w:pStyle w:val="3-BodyText"/>
      </w:pPr>
      <w:r w:rsidRPr="001B446F">
        <w:t>The PBAC noted that this submission is not eligible for an Independent Review as it received a positive recommendation.</w:t>
      </w:r>
    </w:p>
    <w:p w:rsidR="001D5461" w:rsidRPr="001B446F" w:rsidRDefault="001D5461" w:rsidP="000123CF">
      <w:pPr>
        <w:widowControl w:val="0"/>
        <w:spacing w:before="240" w:after="120"/>
        <w:rPr>
          <w:rFonts w:asciiTheme="minorHAnsi" w:hAnsiTheme="minorHAnsi"/>
          <w:b/>
          <w:bCs/>
          <w:snapToGrid w:val="0"/>
        </w:rPr>
      </w:pPr>
      <w:r w:rsidRPr="001B446F">
        <w:rPr>
          <w:rFonts w:asciiTheme="minorHAnsi" w:hAnsiTheme="minorHAnsi"/>
          <w:b/>
          <w:bCs/>
          <w:snapToGrid w:val="0"/>
        </w:rPr>
        <w:t>Outcome:</w:t>
      </w:r>
    </w:p>
    <w:p w:rsidR="001D5461" w:rsidRPr="001B446F" w:rsidRDefault="000123CF" w:rsidP="001D5461">
      <w:pPr>
        <w:rPr>
          <w:rFonts w:asciiTheme="minorHAnsi" w:hAnsiTheme="minorHAnsi"/>
          <w:bCs/>
          <w:snapToGrid w:val="0"/>
        </w:rPr>
      </w:pPr>
      <w:r w:rsidRPr="001B446F">
        <w:rPr>
          <w:rFonts w:asciiTheme="minorHAnsi" w:hAnsiTheme="minorHAnsi"/>
          <w:bCs/>
          <w:snapToGrid w:val="0"/>
        </w:rPr>
        <w:t>Recommended</w:t>
      </w:r>
    </w:p>
    <w:p w:rsidR="00506F84" w:rsidRPr="001B446F" w:rsidRDefault="00506F84" w:rsidP="00F42612">
      <w:pPr>
        <w:keepNext/>
        <w:keepLines/>
        <w:widowControl w:val="0"/>
        <w:rPr>
          <w:rFonts w:asciiTheme="minorHAnsi" w:hAnsiTheme="minorHAnsi"/>
          <w:bCs/>
          <w:snapToGrid w:val="0"/>
        </w:rPr>
      </w:pPr>
    </w:p>
    <w:p w:rsidR="001D5461" w:rsidRPr="001B446F" w:rsidRDefault="001D5461" w:rsidP="00545AFE">
      <w:pPr>
        <w:pStyle w:val="2-SectionHeading"/>
        <w:rPr>
          <w:b w:val="0"/>
          <w:bCs/>
          <w:i/>
        </w:rPr>
      </w:pPr>
      <w:r w:rsidRPr="001B446F">
        <w:rPr>
          <w:bCs/>
        </w:rPr>
        <w:t>Recommended listing</w:t>
      </w:r>
    </w:p>
    <w:p w:rsidR="001E54EB" w:rsidRPr="005B167C" w:rsidRDefault="001E54EB" w:rsidP="00437BB8">
      <w:pPr>
        <w:widowControl w:val="0"/>
        <w:numPr>
          <w:ilvl w:val="1"/>
          <w:numId w:val="1"/>
        </w:numPr>
        <w:spacing w:after="120"/>
        <w:rPr>
          <w:rFonts w:asciiTheme="minorHAnsi" w:hAnsiTheme="minorHAnsi" w:cstheme="minorHAnsi"/>
        </w:rPr>
      </w:pPr>
      <w:r w:rsidRPr="005B167C">
        <w:rPr>
          <w:rFonts w:asciiTheme="minorHAnsi" w:hAnsiTheme="minorHAnsi" w:cstheme="minorHAnsi"/>
        </w:rPr>
        <w:t xml:space="preserve">Add new </w:t>
      </w:r>
      <w:r w:rsidR="005B167C" w:rsidRPr="005B167C">
        <w:rPr>
          <w:rFonts w:asciiTheme="minorHAnsi" w:hAnsiTheme="minorHAnsi" w:cstheme="minorHAnsi"/>
        </w:rPr>
        <w:t>item</w:t>
      </w:r>
      <w:r w:rsidRPr="005B167C">
        <w:rPr>
          <w:rFonts w:asciiTheme="minorHAnsi" w:hAnsiTheme="minorHAnsi" w:cstheme="minorHAnsi"/>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851"/>
        <w:gridCol w:w="850"/>
        <w:gridCol w:w="567"/>
        <w:gridCol w:w="992"/>
        <w:gridCol w:w="851"/>
        <w:gridCol w:w="1984"/>
      </w:tblGrid>
      <w:tr w:rsidR="002377E0" w:rsidRPr="001B446F" w:rsidTr="005846DA">
        <w:trPr>
          <w:cantSplit/>
          <w:trHeight w:val="408"/>
        </w:trPr>
        <w:tc>
          <w:tcPr>
            <w:tcW w:w="2972" w:type="dxa"/>
          </w:tcPr>
          <w:p w:rsidR="002377E0" w:rsidRPr="005B167C" w:rsidRDefault="002377E0" w:rsidP="00F53F38">
            <w:pPr>
              <w:rPr>
                <w:rFonts w:ascii="Arial Narrow" w:hAnsi="Arial Narrow"/>
                <w:b/>
                <w:sz w:val="18"/>
                <w:szCs w:val="18"/>
              </w:rPr>
            </w:pPr>
            <w:r w:rsidRPr="005B167C">
              <w:rPr>
                <w:rFonts w:ascii="Arial Narrow" w:hAnsi="Arial Narrow"/>
                <w:b/>
                <w:sz w:val="18"/>
                <w:szCs w:val="18"/>
              </w:rPr>
              <w:t>Name, Restriction,</w:t>
            </w:r>
          </w:p>
          <w:p w:rsidR="002377E0" w:rsidRPr="005B167C" w:rsidRDefault="002377E0" w:rsidP="00F53F38">
            <w:pPr>
              <w:rPr>
                <w:rFonts w:ascii="Arial Narrow" w:hAnsi="Arial Narrow"/>
                <w:b/>
                <w:sz w:val="18"/>
                <w:szCs w:val="18"/>
              </w:rPr>
            </w:pPr>
            <w:r w:rsidRPr="005B167C">
              <w:rPr>
                <w:rFonts w:ascii="Arial Narrow" w:hAnsi="Arial Narrow"/>
                <w:b/>
                <w:sz w:val="18"/>
                <w:szCs w:val="18"/>
              </w:rPr>
              <w:t>Manner of administration and form</w:t>
            </w:r>
          </w:p>
        </w:tc>
        <w:tc>
          <w:tcPr>
            <w:tcW w:w="851" w:type="dxa"/>
          </w:tcPr>
          <w:p w:rsidR="002377E0" w:rsidRPr="005B167C" w:rsidRDefault="002377E0" w:rsidP="00F53F38">
            <w:pPr>
              <w:jc w:val="center"/>
              <w:rPr>
                <w:rFonts w:ascii="Arial Narrow" w:hAnsi="Arial Narrow"/>
                <w:b/>
                <w:sz w:val="18"/>
                <w:szCs w:val="18"/>
              </w:rPr>
            </w:pPr>
            <w:proofErr w:type="spellStart"/>
            <w:r w:rsidRPr="005B167C">
              <w:rPr>
                <w:rFonts w:ascii="Arial Narrow" w:hAnsi="Arial Narrow"/>
                <w:b/>
                <w:sz w:val="18"/>
                <w:szCs w:val="18"/>
              </w:rPr>
              <w:t>Max.Qty</w:t>
            </w:r>
            <w:proofErr w:type="spellEnd"/>
            <w:r w:rsidRPr="005B167C">
              <w:rPr>
                <w:rFonts w:ascii="Arial Narrow" w:hAnsi="Arial Narrow"/>
                <w:b/>
                <w:sz w:val="18"/>
                <w:szCs w:val="18"/>
              </w:rPr>
              <w:t xml:space="preserve"> (Units)</w:t>
            </w:r>
          </w:p>
        </w:tc>
        <w:tc>
          <w:tcPr>
            <w:tcW w:w="850" w:type="dxa"/>
          </w:tcPr>
          <w:p w:rsidR="002377E0" w:rsidRPr="005B167C" w:rsidRDefault="002377E0" w:rsidP="00F53F38">
            <w:pPr>
              <w:jc w:val="center"/>
              <w:rPr>
                <w:rFonts w:ascii="Arial Narrow" w:hAnsi="Arial Narrow"/>
                <w:b/>
                <w:sz w:val="18"/>
                <w:szCs w:val="18"/>
              </w:rPr>
            </w:pPr>
            <w:r w:rsidRPr="005B167C">
              <w:rPr>
                <w:rFonts w:ascii="Arial Narrow" w:hAnsi="Arial Narrow"/>
                <w:b/>
                <w:sz w:val="18"/>
                <w:szCs w:val="18"/>
              </w:rPr>
              <w:t>Max. Qty (Packs)</w:t>
            </w:r>
          </w:p>
        </w:tc>
        <w:tc>
          <w:tcPr>
            <w:tcW w:w="567" w:type="dxa"/>
          </w:tcPr>
          <w:p w:rsidR="002377E0" w:rsidRPr="005B167C" w:rsidRDefault="002377E0" w:rsidP="00F53F38">
            <w:pPr>
              <w:jc w:val="center"/>
              <w:rPr>
                <w:rFonts w:ascii="Arial Narrow" w:hAnsi="Arial Narrow"/>
                <w:b/>
                <w:sz w:val="18"/>
                <w:szCs w:val="18"/>
              </w:rPr>
            </w:pPr>
            <w:r w:rsidRPr="005B167C">
              <w:rPr>
                <w:rFonts w:ascii="Arial Narrow" w:hAnsi="Arial Narrow"/>
                <w:b/>
                <w:sz w:val="18"/>
                <w:szCs w:val="18"/>
              </w:rPr>
              <w:t>№.of</w:t>
            </w:r>
          </w:p>
          <w:p w:rsidR="002377E0" w:rsidRPr="005B167C" w:rsidRDefault="002377E0" w:rsidP="00F53F38">
            <w:pPr>
              <w:jc w:val="center"/>
              <w:rPr>
                <w:rFonts w:ascii="Arial Narrow" w:hAnsi="Arial Narrow"/>
                <w:b/>
                <w:sz w:val="18"/>
                <w:szCs w:val="18"/>
              </w:rPr>
            </w:pPr>
            <w:r w:rsidRPr="005B167C">
              <w:rPr>
                <w:rFonts w:ascii="Arial Narrow" w:hAnsi="Arial Narrow"/>
                <w:b/>
                <w:sz w:val="18"/>
                <w:szCs w:val="18"/>
              </w:rPr>
              <w:t>Rpts</w:t>
            </w:r>
          </w:p>
        </w:tc>
        <w:tc>
          <w:tcPr>
            <w:tcW w:w="992" w:type="dxa"/>
          </w:tcPr>
          <w:p w:rsidR="002377E0" w:rsidRPr="005B167C" w:rsidRDefault="002377E0" w:rsidP="00F53F38">
            <w:pPr>
              <w:jc w:val="center"/>
              <w:rPr>
                <w:rFonts w:ascii="Arial Narrow" w:hAnsi="Arial Narrow"/>
                <w:b/>
                <w:sz w:val="18"/>
                <w:szCs w:val="18"/>
              </w:rPr>
            </w:pPr>
            <w:r w:rsidRPr="005B167C">
              <w:rPr>
                <w:rFonts w:ascii="Arial Narrow" w:hAnsi="Arial Narrow"/>
                <w:b/>
                <w:sz w:val="18"/>
                <w:szCs w:val="18"/>
              </w:rPr>
              <w:t>PBS item code</w:t>
            </w:r>
          </w:p>
        </w:tc>
        <w:tc>
          <w:tcPr>
            <w:tcW w:w="2835" w:type="dxa"/>
            <w:gridSpan w:val="2"/>
          </w:tcPr>
          <w:p w:rsidR="002377E0" w:rsidRPr="005B167C" w:rsidRDefault="002377E0" w:rsidP="00F53F38">
            <w:pPr>
              <w:rPr>
                <w:rFonts w:ascii="Arial Narrow" w:hAnsi="Arial Narrow"/>
                <w:b/>
                <w:sz w:val="18"/>
                <w:szCs w:val="18"/>
              </w:rPr>
            </w:pPr>
            <w:r w:rsidRPr="005B167C">
              <w:rPr>
                <w:rFonts w:ascii="Arial Narrow" w:hAnsi="Arial Narrow"/>
                <w:b/>
                <w:sz w:val="18"/>
                <w:szCs w:val="18"/>
              </w:rPr>
              <w:t>Proprietary Name and Manufacturer</w:t>
            </w:r>
          </w:p>
        </w:tc>
      </w:tr>
      <w:tr w:rsidR="002377E0" w:rsidRPr="001B446F" w:rsidTr="005846DA">
        <w:trPr>
          <w:cantSplit/>
          <w:trHeight w:val="500"/>
        </w:trPr>
        <w:tc>
          <w:tcPr>
            <w:tcW w:w="2972" w:type="dxa"/>
          </w:tcPr>
          <w:p w:rsidR="002377E0" w:rsidRPr="001B446F" w:rsidRDefault="00C82FF2" w:rsidP="00FB0EA6">
            <w:pPr>
              <w:jc w:val="left"/>
              <w:rPr>
                <w:rFonts w:ascii="Arial Narrow" w:hAnsi="Arial Narrow"/>
                <w:sz w:val="18"/>
                <w:szCs w:val="18"/>
              </w:rPr>
            </w:pPr>
            <w:proofErr w:type="spellStart"/>
            <w:r w:rsidRPr="001B446F">
              <w:rPr>
                <w:rFonts w:ascii="Arial Narrow" w:hAnsi="Arial Narrow"/>
                <w:sz w:val="18"/>
                <w:szCs w:val="18"/>
              </w:rPr>
              <w:t>Fluocinolone</w:t>
            </w:r>
            <w:proofErr w:type="spellEnd"/>
            <w:r w:rsidRPr="001B446F">
              <w:rPr>
                <w:rFonts w:ascii="Arial Narrow" w:hAnsi="Arial Narrow"/>
                <w:sz w:val="18"/>
                <w:szCs w:val="18"/>
              </w:rPr>
              <w:t xml:space="preserve"> </w:t>
            </w:r>
            <w:proofErr w:type="spellStart"/>
            <w:r w:rsidRPr="001B446F">
              <w:rPr>
                <w:rFonts w:ascii="Arial Narrow" w:hAnsi="Arial Narrow"/>
                <w:sz w:val="18"/>
                <w:szCs w:val="18"/>
              </w:rPr>
              <w:t>acetonide</w:t>
            </w:r>
            <w:proofErr w:type="spellEnd"/>
            <w:r w:rsidRPr="001B446F">
              <w:rPr>
                <w:rFonts w:ascii="Arial Narrow" w:hAnsi="Arial Narrow"/>
                <w:sz w:val="18"/>
                <w:szCs w:val="18"/>
              </w:rPr>
              <w:t xml:space="preserve"> 190 microgram implant, 1</w:t>
            </w:r>
          </w:p>
        </w:tc>
        <w:tc>
          <w:tcPr>
            <w:tcW w:w="851" w:type="dxa"/>
          </w:tcPr>
          <w:p w:rsidR="002377E0" w:rsidRPr="001B446F" w:rsidRDefault="00C82FF2" w:rsidP="00F53F38">
            <w:pPr>
              <w:jc w:val="center"/>
              <w:rPr>
                <w:rFonts w:ascii="Arial Narrow" w:hAnsi="Arial Narrow"/>
                <w:sz w:val="18"/>
                <w:szCs w:val="18"/>
              </w:rPr>
            </w:pPr>
            <w:r w:rsidRPr="001B446F">
              <w:rPr>
                <w:rFonts w:ascii="Arial Narrow" w:hAnsi="Arial Narrow"/>
                <w:sz w:val="18"/>
                <w:szCs w:val="18"/>
              </w:rPr>
              <w:t>1</w:t>
            </w:r>
          </w:p>
          <w:p w:rsidR="002377E0" w:rsidRPr="001B446F" w:rsidRDefault="002377E0" w:rsidP="00F53F38">
            <w:pPr>
              <w:jc w:val="center"/>
              <w:rPr>
                <w:rFonts w:ascii="Arial Narrow" w:hAnsi="Arial Narrow"/>
                <w:sz w:val="18"/>
                <w:szCs w:val="18"/>
              </w:rPr>
            </w:pPr>
          </w:p>
        </w:tc>
        <w:tc>
          <w:tcPr>
            <w:tcW w:w="850" w:type="dxa"/>
          </w:tcPr>
          <w:p w:rsidR="002377E0" w:rsidRPr="001B446F" w:rsidRDefault="002377E0" w:rsidP="00F53F38">
            <w:pPr>
              <w:jc w:val="center"/>
              <w:rPr>
                <w:rFonts w:ascii="Arial Narrow" w:hAnsi="Arial Narrow"/>
                <w:sz w:val="18"/>
                <w:szCs w:val="18"/>
              </w:rPr>
            </w:pPr>
            <w:r w:rsidRPr="001B446F">
              <w:rPr>
                <w:rFonts w:ascii="Arial Narrow" w:hAnsi="Arial Narrow"/>
                <w:sz w:val="18"/>
                <w:szCs w:val="18"/>
              </w:rPr>
              <w:t>1</w:t>
            </w:r>
          </w:p>
        </w:tc>
        <w:tc>
          <w:tcPr>
            <w:tcW w:w="567" w:type="dxa"/>
          </w:tcPr>
          <w:p w:rsidR="002377E0" w:rsidRPr="001B446F" w:rsidRDefault="00C82FF2" w:rsidP="00F53F38">
            <w:pPr>
              <w:jc w:val="center"/>
              <w:rPr>
                <w:rFonts w:ascii="Arial Narrow" w:hAnsi="Arial Narrow"/>
                <w:sz w:val="18"/>
                <w:szCs w:val="18"/>
              </w:rPr>
            </w:pPr>
            <w:r w:rsidRPr="001B446F">
              <w:rPr>
                <w:rFonts w:ascii="Arial Narrow" w:hAnsi="Arial Narrow"/>
                <w:sz w:val="18"/>
                <w:szCs w:val="18"/>
              </w:rPr>
              <w:t>0</w:t>
            </w:r>
          </w:p>
        </w:tc>
        <w:tc>
          <w:tcPr>
            <w:tcW w:w="992" w:type="dxa"/>
          </w:tcPr>
          <w:p w:rsidR="002377E0" w:rsidRPr="001B446F" w:rsidRDefault="002377E0" w:rsidP="00F53F38">
            <w:pPr>
              <w:jc w:val="center"/>
              <w:rPr>
                <w:rFonts w:ascii="Arial Narrow" w:hAnsi="Arial Narrow"/>
                <w:sz w:val="18"/>
                <w:szCs w:val="18"/>
              </w:rPr>
            </w:pPr>
            <w:r w:rsidRPr="001B446F">
              <w:rPr>
                <w:rFonts w:ascii="Arial Narrow" w:hAnsi="Arial Narrow"/>
                <w:sz w:val="18"/>
                <w:szCs w:val="18"/>
              </w:rPr>
              <w:t>NEW</w:t>
            </w:r>
          </w:p>
          <w:p w:rsidR="002377E0" w:rsidRPr="001B446F" w:rsidRDefault="002377E0" w:rsidP="00F53F38">
            <w:pPr>
              <w:jc w:val="center"/>
              <w:rPr>
                <w:rFonts w:ascii="Arial Narrow" w:hAnsi="Arial Narrow"/>
                <w:sz w:val="18"/>
                <w:szCs w:val="18"/>
              </w:rPr>
            </w:pPr>
          </w:p>
        </w:tc>
        <w:tc>
          <w:tcPr>
            <w:tcW w:w="851" w:type="dxa"/>
          </w:tcPr>
          <w:p w:rsidR="002377E0" w:rsidRPr="001B446F" w:rsidRDefault="00C82FF2" w:rsidP="00F53F38">
            <w:pPr>
              <w:rPr>
                <w:rFonts w:ascii="Arial Narrow" w:hAnsi="Arial Narrow"/>
                <w:sz w:val="18"/>
                <w:szCs w:val="18"/>
              </w:rPr>
            </w:pPr>
            <w:proofErr w:type="spellStart"/>
            <w:r w:rsidRPr="001B446F">
              <w:rPr>
                <w:rFonts w:ascii="Arial Narrow" w:hAnsi="Arial Narrow"/>
                <w:sz w:val="18"/>
                <w:szCs w:val="18"/>
              </w:rPr>
              <w:t>Iluvien</w:t>
            </w:r>
            <w:proofErr w:type="spellEnd"/>
            <w:r w:rsidRPr="001B446F">
              <w:rPr>
                <w:rFonts w:ascii="Arial Narrow" w:hAnsi="Arial Narrow"/>
                <w:sz w:val="18"/>
                <w:szCs w:val="18"/>
                <w:vertAlign w:val="superscript"/>
              </w:rPr>
              <w:t>®</w:t>
            </w:r>
          </w:p>
        </w:tc>
        <w:tc>
          <w:tcPr>
            <w:tcW w:w="1984" w:type="dxa"/>
          </w:tcPr>
          <w:p w:rsidR="002377E0" w:rsidRPr="001B446F" w:rsidRDefault="00C82FF2" w:rsidP="00C82FF2">
            <w:pPr>
              <w:jc w:val="left"/>
              <w:rPr>
                <w:rFonts w:ascii="Arial Narrow" w:hAnsi="Arial Narrow"/>
                <w:sz w:val="18"/>
                <w:szCs w:val="18"/>
              </w:rPr>
            </w:pPr>
            <w:r w:rsidRPr="001B446F">
              <w:rPr>
                <w:rFonts w:ascii="Arial Narrow" w:hAnsi="Arial Narrow"/>
                <w:sz w:val="18"/>
                <w:szCs w:val="18"/>
              </w:rPr>
              <w:t xml:space="preserve">Specialised Therapeutics </w:t>
            </w:r>
            <w:proofErr w:type="spellStart"/>
            <w:r w:rsidRPr="001B446F">
              <w:rPr>
                <w:rFonts w:ascii="Arial Narrow" w:hAnsi="Arial Narrow"/>
                <w:sz w:val="18"/>
                <w:szCs w:val="18"/>
              </w:rPr>
              <w:t>Alim</w:t>
            </w:r>
            <w:proofErr w:type="spellEnd"/>
            <w:r w:rsidRPr="001B446F">
              <w:rPr>
                <w:rFonts w:ascii="Arial Narrow" w:hAnsi="Arial Narrow"/>
                <w:sz w:val="18"/>
                <w:szCs w:val="18"/>
              </w:rPr>
              <w:t xml:space="preserve"> Pty Ltd</w:t>
            </w:r>
          </w:p>
        </w:tc>
      </w:tr>
    </w:tbl>
    <w:p w:rsidR="001E54EB" w:rsidRPr="001B446F" w:rsidRDefault="001E54EB" w:rsidP="00593B14">
      <w:pPr>
        <w:keepNext/>
        <w:keepLines/>
        <w:rPr>
          <w:rFonts w:ascii="Arial Narrow" w:hAnsi="Arial Narrow" w:cstheme="minorHAnsi"/>
          <w:sz w:val="20"/>
          <w:szCs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67"/>
      </w:tblGrid>
      <w:tr w:rsidR="005F204C" w:rsidRPr="001B446F" w:rsidTr="005F204C">
        <w:tc>
          <w:tcPr>
            <w:tcW w:w="9067" w:type="dxa"/>
          </w:tcPr>
          <w:p w:rsidR="005F204C" w:rsidRPr="001B446F" w:rsidRDefault="005F204C" w:rsidP="00593B14">
            <w:pPr>
              <w:pStyle w:val="TableLeft"/>
              <w:keepNext/>
              <w:keepLines/>
              <w:rPr>
                <w:rFonts w:ascii="Arial Narrow" w:hAnsi="Arial Narrow"/>
                <w:sz w:val="20"/>
                <w:szCs w:val="20"/>
              </w:rPr>
            </w:pPr>
            <w:r w:rsidRPr="001B446F">
              <w:rPr>
                <w:rFonts w:ascii="Arial Narrow" w:hAnsi="Arial Narrow"/>
                <w:b/>
                <w:sz w:val="20"/>
                <w:szCs w:val="20"/>
              </w:rPr>
              <w:t>Category / Program:</w:t>
            </w:r>
            <w:r w:rsidRPr="001B446F">
              <w:rPr>
                <w:rFonts w:ascii="Arial Narrow" w:hAnsi="Arial Narrow"/>
                <w:sz w:val="20"/>
                <w:szCs w:val="20"/>
              </w:rPr>
              <w:t xml:space="preserve"> General Schedule (Code GE)</w:t>
            </w:r>
          </w:p>
        </w:tc>
      </w:tr>
      <w:tr w:rsidR="005F204C" w:rsidRPr="001B446F" w:rsidTr="005F204C">
        <w:trPr>
          <w:trHeight w:val="192"/>
        </w:trPr>
        <w:tc>
          <w:tcPr>
            <w:tcW w:w="9067" w:type="dxa"/>
          </w:tcPr>
          <w:p w:rsidR="005F204C" w:rsidRPr="001B446F" w:rsidRDefault="005F204C" w:rsidP="00593B14">
            <w:pPr>
              <w:keepNext/>
              <w:keepLines/>
              <w:rPr>
                <w:rFonts w:ascii="Arial Narrow" w:hAnsi="Arial Narrow"/>
                <w:sz w:val="20"/>
                <w:szCs w:val="20"/>
              </w:rPr>
            </w:pPr>
            <w:r w:rsidRPr="001B446F">
              <w:rPr>
                <w:rFonts w:ascii="Arial Narrow" w:hAnsi="Arial Narrow"/>
                <w:b/>
                <w:sz w:val="20"/>
                <w:szCs w:val="20"/>
              </w:rPr>
              <w:t>Prescriber type:</w:t>
            </w:r>
            <w:r w:rsidR="00EA316A">
              <w:rPr>
                <w:rFonts w:ascii="Arial Narrow" w:hAnsi="Arial Narrow"/>
                <w:sz w:val="20"/>
                <w:szCs w:val="20"/>
              </w:rPr>
              <w:t xml:space="preserve">  </w:t>
            </w:r>
            <w:r w:rsidRPr="001B446F">
              <w:rPr>
                <w:rFonts w:ascii="Arial Narrow" w:hAnsi="Arial Narrow"/>
                <w:sz w:val="20"/>
                <w:szCs w:val="20"/>
              </w:rPr>
              <w:t xml:space="preserve"> </w:t>
            </w:r>
            <w:r w:rsidRPr="001B446F">
              <w:rPr>
                <w:rFonts w:ascii="Arial Narrow" w:hAnsi="Arial Narrow"/>
                <w:sz w:val="20"/>
                <w:szCs w:val="20"/>
              </w:rPr>
              <w:fldChar w:fldCharType="begin">
                <w:ffData>
                  <w:name w:val="Check1"/>
                  <w:enabled/>
                  <w:calcOnExit w:val="0"/>
                  <w:checkBox>
                    <w:sizeAuto/>
                    <w:default w:val="0"/>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sidRPr="001B446F">
              <w:rPr>
                <w:rFonts w:ascii="Arial Narrow" w:hAnsi="Arial Narrow"/>
                <w:sz w:val="20"/>
                <w:szCs w:val="20"/>
              </w:rPr>
              <w:t xml:space="preserve">Dental   </w:t>
            </w:r>
            <w:r w:rsidRPr="001B446F">
              <w:rPr>
                <w:rFonts w:ascii="Arial Narrow" w:hAnsi="Arial Narrow"/>
                <w:sz w:val="20"/>
                <w:szCs w:val="20"/>
              </w:rPr>
              <w:fldChar w:fldCharType="begin">
                <w:ffData>
                  <w:name w:val=""/>
                  <w:enabled/>
                  <w:calcOnExit w:val="0"/>
                  <w:checkBox>
                    <w:sizeAuto/>
                    <w:default w:val="1"/>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sidRPr="001B446F">
              <w:rPr>
                <w:rFonts w:ascii="Arial Narrow" w:hAnsi="Arial Narrow"/>
                <w:sz w:val="20"/>
                <w:szCs w:val="20"/>
              </w:rPr>
              <w:t xml:space="preserve">Medical Practitioners   </w:t>
            </w:r>
            <w:r w:rsidRPr="001B446F">
              <w:rPr>
                <w:rFonts w:ascii="Arial Narrow" w:hAnsi="Arial Narrow"/>
                <w:sz w:val="20"/>
                <w:szCs w:val="20"/>
              </w:rPr>
              <w:fldChar w:fldCharType="begin">
                <w:ffData>
                  <w:name w:val="Check3"/>
                  <w:enabled/>
                  <w:calcOnExit w:val="0"/>
                  <w:checkBox>
                    <w:sizeAuto/>
                    <w:default w:val="0"/>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sidRPr="001B446F">
              <w:rPr>
                <w:rFonts w:ascii="Arial Narrow" w:hAnsi="Arial Narrow"/>
                <w:sz w:val="20"/>
                <w:szCs w:val="20"/>
              </w:rPr>
              <w:t xml:space="preserve">Nurse practitioners  </w:t>
            </w:r>
            <w:r w:rsidRPr="001B446F">
              <w:rPr>
                <w:rFonts w:ascii="Arial Narrow" w:hAnsi="Arial Narrow"/>
                <w:sz w:val="20"/>
                <w:szCs w:val="20"/>
              </w:rPr>
              <w:fldChar w:fldCharType="begin">
                <w:ffData>
                  <w:name w:val=""/>
                  <w:enabled/>
                  <w:calcOnExit w:val="0"/>
                  <w:checkBox>
                    <w:sizeAuto/>
                    <w:default w:val="0"/>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sidRPr="001B446F">
              <w:rPr>
                <w:rFonts w:ascii="Arial Narrow" w:hAnsi="Arial Narrow"/>
                <w:sz w:val="20"/>
                <w:szCs w:val="20"/>
              </w:rPr>
              <w:t xml:space="preserve">Optometrists   </w:t>
            </w:r>
            <w:r w:rsidRPr="001B446F">
              <w:rPr>
                <w:rFonts w:ascii="Arial Narrow" w:hAnsi="Arial Narrow"/>
                <w:sz w:val="20"/>
                <w:szCs w:val="20"/>
              </w:rPr>
              <w:fldChar w:fldCharType="begin">
                <w:ffData>
                  <w:name w:val="Check5"/>
                  <w:enabled/>
                  <w:calcOnExit w:val="0"/>
                  <w:checkBox>
                    <w:sizeAuto/>
                    <w:default w:val="0"/>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sidRPr="001B446F">
              <w:rPr>
                <w:rFonts w:ascii="Arial Narrow" w:hAnsi="Arial Narrow"/>
                <w:sz w:val="20"/>
                <w:szCs w:val="20"/>
              </w:rPr>
              <w:t>Midwives</w:t>
            </w:r>
          </w:p>
        </w:tc>
      </w:tr>
      <w:tr w:rsidR="005F204C" w:rsidRPr="001B446F" w:rsidTr="00602DBA">
        <w:trPr>
          <w:trHeight w:val="271"/>
        </w:trPr>
        <w:tc>
          <w:tcPr>
            <w:tcW w:w="9067" w:type="dxa"/>
            <w:tcBorders>
              <w:bottom w:val="single" w:sz="4" w:space="0" w:color="auto"/>
            </w:tcBorders>
          </w:tcPr>
          <w:p w:rsidR="005F204C" w:rsidRPr="005F204C" w:rsidRDefault="005F204C" w:rsidP="00593B14">
            <w:pPr>
              <w:keepNext/>
              <w:keepLines/>
              <w:rPr>
                <w:rFonts w:ascii="Arial Narrow" w:hAnsi="Arial Narrow"/>
                <w:b/>
                <w:sz w:val="20"/>
                <w:szCs w:val="20"/>
              </w:rPr>
            </w:pPr>
            <w:r>
              <w:rPr>
                <w:rFonts w:ascii="Arial Narrow" w:hAnsi="Arial Narrow"/>
                <w:b/>
                <w:sz w:val="20"/>
                <w:szCs w:val="20"/>
              </w:rPr>
              <w:t xml:space="preserve">Restriction Level / Method:  </w:t>
            </w:r>
            <w:r w:rsidRPr="001B446F">
              <w:rPr>
                <w:rFonts w:ascii="Arial Narrow" w:hAnsi="Arial Narrow"/>
                <w:sz w:val="20"/>
                <w:szCs w:val="20"/>
              </w:rPr>
              <w:fldChar w:fldCharType="begin">
                <w:ffData>
                  <w:name w:val=""/>
                  <w:enabled/>
                  <w:calcOnExit w:val="0"/>
                  <w:checkBox>
                    <w:sizeAuto/>
                    <w:default w:val="1"/>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Pr>
                <w:rFonts w:ascii="Arial Narrow" w:hAnsi="Arial Narrow"/>
                <w:sz w:val="20"/>
                <w:szCs w:val="20"/>
              </w:rPr>
              <w:t xml:space="preserve">  </w:t>
            </w:r>
            <w:r w:rsidRPr="001B446F">
              <w:rPr>
                <w:rFonts w:ascii="Arial Narrow" w:hAnsi="Arial Narrow"/>
                <w:sz w:val="20"/>
                <w:szCs w:val="20"/>
              </w:rPr>
              <w:t>Authority Required – In Writing</w:t>
            </w:r>
            <w:r>
              <w:rPr>
                <w:rFonts w:ascii="Arial Narrow" w:hAnsi="Arial Narrow"/>
                <w:sz w:val="20"/>
                <w:szCs w:val="20"/>
              </w:rPr>
              <w:t xml:space="preserve"> Only</w:t>
            </w:r>
          </w:p>
        </w:tc>
      </w:tr>
      <w:tr w:rsidR="005F204C" w:rsidRPr="001B446F" w:rsidTr="00602DBA">
        <w:tc>
          <w:tcPr>
            <w:tcW w:w="9067" w:type="dxa"/>
            <w:tcBorders>
              <w:bottom w:val="nil"/>
            </w:tcBorders>
            <w:vAlign w:val="center"/>
            <w:hideMark/>
          </w:tcPr>
          <w:p w:rsidR="005F204C" w:rsidRPr="001B446F" w:rsidRDefault="005F204C" w:rsidP="00EF1C1A">
            <w:pPr>
              <w:rPr>
                <w:rFonts w:ascii="Arial Narrow" w:hAnsi="Arial Narrow"/>
                <w:color w:val="333333"/>
                <w:sz w:val="20"/>
                <w:szCs w:val="20"/>
              </w:rPr>
            </w:pPr>
            <w:r w:rsidRPr="001B446F">
              <w:rPr>
                <w:rFonts w:ascii="Arial Narrow" w:hAnsi="Arial Narrow"/>
                <w:b/>
                <w:bCs/>
                <w:color w:val="333333"/>
                <w:sz w:val="20"/>
                <w:szCs w:val="20"/>
              </w:rPr>
              <w:t>Indication:</w:t>
            </w:r>
            <w:r w:rsidRPr="001B446F">
              <w:rPr>
                <w:rFonts w:ascii="Arial Narrow" w:hAnsi="Arial Narrow"/>
                <w:color w:val="333333"/>
                <w:sz w:val="20"/>
                <w:szCs w:val="20"/>
              </w:rPr>
              <w:t xml:space="preserve"> Diabetic macular oedema (DMO)</w:t>
            </w:r>
          </w:p>
        </w:tc>
      </w:tr>
      <w:tr w:rsidR="005F204C" w:rsidRPr="001B446F" w:rsidTr="00602DBA">
        <w:tc>
          <w:tcPr>
            <w:tcW w:w="9067" w:type="dxa"/>
            <w:tcBorders>
              <w:top w:val="nil"/>
              <w:bottom w:val="nil"/>
            </w:tcBorders>
            <w:vAlign w:val="center"/>
            <w:hideMark/>
          </w:tcPr>
          <w:p w:rsidR="005F204C" w:rsidRPr="001B446F" w:rsidRDefault="005F204C" w:rsidP="00045D0D">
            <w:pPr>
              <w:rPr>
                <w:rFonts w:ascii="Arial Narrow" w:hAnsi="Arial Narrow"/>
                <w:color w:val="333333"/>
                <w:sz w:val="20"/>
                <w:szCs w:val="20"/>
              </w:rPr>
            </w:pPr>
            <w:r w:rsidRPr="001B446F">
              <w:rPr>
                <w:rFonts w:ascii="Arial Narrow" w:hAnsi="Arial Narrow"/>
                <w:b/>
                <w:bCs/>
                <w:color w:val="333333"/>
                <w:sz w:val="20"/>
                <w:szCs w:val="20"/>
              </w:rPr>
              <w:t>Treatment Phase:</w:t>
            </w:r>
            <w:r w:rsidRPr="001B446F">
              <w:rPr>
                <w:rFonts w:ascii="Arial Narrow" w:hAnsi="Arial Narrow"/>
                <w:color w:val="333333"/>
                <w:sz w:val="20"/>
                <w:szCs w:val="20"/>
              </w:rPr>
              <w:t xml:space="preserve"> Initial treatment</w:t>
            </w:r>
          </w:p>
        </w:tc>
      </w:tr>
      <w:tr w:rsidR="005F204C" w:rsidRPr="001B446F" w:rsidTr="00602DBA">
        <w:tc>
          <w:tcPr>
            <w:tcW w:w="9067" w:type="dxa"/>
            <w:tcBorders>
              <w:top w:val="nil"/>
              <w:bottom w:val="nil"/>
            </w:tcBorders>
            <w:vAlign w:val="center"/>
            <w:hideMark/>
          </w:tcPr>
          <w:p w:rsidR="005F204C" w:rsidRPr="001B446F" w:rsidRDefault="005F204C" w:rsidP="00EF1C1A">
            <w:pPr>
              <w:rPr>
                <w:rFonts w:ascii="Arial Narrow" w:hAnsi="Arial Narrow"/>
                <w:color w:val="333333"/>
                <w:sz w:val="20"/>
                <w:szCs w:val="20"/>
              </w:rPr>
            </w:pPr>
            <w:r w:rsidRPr="001B446F">
              <w:rPr>
                <w:rFonts w:ascii="Arial Narrow" w:hAnsi="Arial Narrow"/>
                <w:b/>
                <w:bCs/>
                <w:color w:val="333333"/>
                <w:sz w:val="20"/>
                <w:szCs w:val="20"/>
              </w:rPr>
              <w:t>Treatment criteria:</w:t>
            </w:r>
          </w:p>
        </w:tc>
      </w:tr>
      <w:tr w:rsidR="005F204C" w:rsidRPr="001B446F" w:rsidTr="00602DBA">
        <w:tc>
          <w:tcPr>
            <w:tcW w:w="9067" w:type="dxa"/>
            <w:tcBorders>
              <w:top w:val="nil"/>
              <w:bottom w:val="nil"/>
            </w:tcBorders>
            <w:vAlign w:val="center"/>
            <w:hideMark/>
          </w:tcPr>
          <w:p w:rsidR="005F204C" w:rsidRPr="00602DBA" w:rsidRDefault="005F204C" w:rsidP="00602DBA">
            <w:pPr>
              <w:pStyle w:val="ListParagraph"/>
              <w:numPr>
                <w:ilvl w:val="0"/>
                <w:numId w:val="35"/>
              </w:numPr>
              <w:spacing w:after="0"/>
              <w:rPr>
                <w:rFonts w:ascii="Arial Narrow" w:hAnsi="Arial Narrow"/>
                <w:color w:val="333333"/>
                <w:sz w:val="20"/>
                <w:szCs w:val="20"/>
              </w:rPr>
            </w:pPr>
            <w:r w:rsidRPr="00602DBA">
              <w:rPr>
                <w:rFonts w:ascii="Arial Narrow" w:hAnsi="Arial Narrow"/>
                <w:color w:val="333333"/>
                <w:sz w:val="20"/>
                <w:szCs w:val="20"/>
              </w:rPr>
              <w:t>Must be treated by an ophthalmologist or in consultation with an ophthalmologist</w:t>
            </w:r>
          </w:p>
        </w:tc>
      </w:tr>
      <w:tr w:rsidR="005F204C" w:rsidRPr="001B446F" w:rsidTr="00602DBA">
        <w:tc>
          <w:tcPr>
            <w:tcW w:w="9067" w:type="dxa"/>
            <w:tcBorders>
              <w:top w:val="nil"/>
              <w:bottom w:val="nil"/>
            </w:tcBorders>
            <w:vAlign w:val="center"/>
            <w:hideMark/>
          </w:tcPr>
          <w:p w:rsidR="005F204C" w:rsidRPr="001B446F" w:rsidRDefault="005F204C" w:rsidP="00602DBA">
            <w:pPr>
              <w:rPr>
                <w:rFonts w:ascii="Arial Narrow" w:hAnsi="Arial Narrow"/>
                <w:color w:val="333333"/>
                <w:sz w:val="20"/>
                <w:szCs w:val="20"/>
              </w:rPr>
            </w:pPr>
            <w:r w:rsidRPr="001B446F">
              <w:rPr>
                <w:rFonts w:ascii="Arial Narrow" w:hAnsi="Arial Narrow"/>
                <w:b/>
                <w:bCs/>
                <w:color w:val="333333"/>
                <w:sz w:val="20"/>
                <w:szCs w:val="20"/>
              </w:rPr>
              <w:t>Clinical criteria:</w:t>
            </w:r>
          </w:p>
        </w:tc>
      </w:tr>
      <w:tr w:rsidR="005F204C" w:rsidRPr="001B446F" w:rsidTr="00602DBA">
        <w:tc>
          <w:tcPr>
            <w:tcW w:w="9067" w:type="dxa"/>
            <w:tcBorders>
              <w:top w:val="nil"/>
              <w:bottom w:val="nil"/>
            </w:tcBorders>
            <w:vAlign w:val="center"/>
            <w:hideMark/>
          </w:tcPr>
          <w:p w:rsidR="005F204C" w:rsidRPr="00602DBA" w:rsidRDefault="005F204C" w:rsidP="00602DBA">
            <w:pPr>
              <w:pStyle w:val="ListParagraph"/>
              <w:numPr>
                <w:ilvl w:val="0"/>
                <w:numId w:val="36"/>
              </w:numPr>
              <w:spacing w:after="0"/>
              <w:rPr>
                <w:rFonts w:ascii="Arial Narrow" w:hAnsi="Arial Narrow"/>
                <w:color w:val="333333"/>
                <w:sz w:val="20"/>
                <w:szCs w:val="20"/>
              </w:rPr>
            </w:pPr>
            <w:r w:rsidRPr="00602DBA">
              <w:rPr>
                <w:rFonts w:ascii="Arial Narrow" w:hAnsi="Arial Narrow"/>
                <w:color w:val="333333"/>
                <w:sz w:val="20"/>
                <w:szCs w:val="20"/>
              </w:rPr>
              <w:t>Patient must have visual impairment due to diabetic macular oedema</w:t>
            </w:r>
          </w:p>
        </w:tc>
      </w:tr>
      <w:tr w:rsidR="005F204C" w:rsidRPr="001B446F" w:rsidTr="00602DBA">
        <w:tc>
          <w:tcPr>
            <w:tcW w:w="9067" w:type="dxa"/>
            <w:tcBorders>
              <w:top w:val="nil"/>
              <w:bottom w:val="nil"/>
            </w:tcBorders>
            <w:vAlign w:val="center"/>
          </w:tcPr>
          <w:p w:rsidR="005F204C" w:rsidRPr="00602DBA" w:rsidRDefault="005F204C" w:rsidP="004E65B5">
            <w:pPr>
              <w:pStyle w:val="ListParagraph"/>
              <w:numPr>
                <w:ilvl w:val="0"/>
                <w:numId w:val="0"/>
              </w:numPr>
              <w:spacing w:after="0"/>
              <w:ind w:left="720"/>
              <w:rPr>
                <w:rFonts w:ascii="Arial Narrow" w:hAnsi="Arial Narrow"/>
                <w:color w:val="333333"/>
                <w:sz w:val="20"/>
                <w:szCs w:val="20"/>
              </w:rPr>
            </w:pPr>
            <w:r w:rsidRPr="00602DBA">
              <w:rPr>
                <w:rFonts w:ascii="Arial Narrow" w:hAnsi="Arial Narrow"/>
                <w:b/>
                <w:bCs/>
                <w:color w:val="333333"/>
                <w:sz w:val="20"/>
                <w:szCs w:val="20"/>
              </w:rPr>
              <w:t>AND</w:t>
            </w:r>
          </w:p>
        </w:tc>
      </w:tr>
      <w:tr w:rsidR="005F204C" w:rsidRPr="001B446F" w:rsidTr="00602DBA">
        <w:tc>
          <w:tcPr>
            <w:tcW w:w="9067" w:type="dxa"/>
            <w:tcBorders>
              <w:top w:val="nil"/>
              <w:bottom w:val="nil"/>
            </w:tcBorders>
            <w:vAlign w:val="center"/>
            <w:hideMark/>
          </w:tcPr>
          <w:p w:rsidR="005F204C" w:rsidRPr="00602DBA" w:rsidRDefault="005F204C" w:rsidP="00602DBA">
            <w:pPr>
              <w:pStyle w:val="ListParagraph"/>
              <w:numPr>
                <w:ilvl w:val="0"/>
                <w:numId w:val="36"/>
              </w:numPr>
              <w:spacing w:after="0"/>
              <w:rPr>
                <w:rFonts w:ascii="Arial Narrow" w:hAnsi="Arial Narrow"/>
                <w:color w:val="333333"/>
                <w:sz w:val="20"/>
                <w:szCs w:val="20"/>
              </w:rPr>
            </w:pPr>
            <w:r w:rsidRPr="00602DBA">
              <w:rPr>
                <w:rFonts w:ascii="Arial Narrow" w:hAnsi="Arial Narrow"/>
                <w:color w:val="333333"/>
                <w:sz w:val="20"/>
                <w:szCs w:val="20"/>
              </w:rPr>
              <w:t xml:space="preserve">Patient must have been treated with a course of topical or intra-ocular corticosteroids and did not experience a clinically significant rise in intraocular pressure </w:t>
            </w:r>
          </w:p>
        </w:tc>
      </w:tr>
      <w:tr w:rsidR="005F204C" w:rsidRPr="001B446F" w:rsidTr="00602DBA">
        <w:tc>
          <w:tcPr>
            <w:tcW w:w="9067" w:type="dxa"/>
            <w:tcBorders>
              <w:top w:val="nil"/>
              <w:bottom w:val="nil"/>
            </w:tcBorders>
            <w:vAlign w:val="center"/>
          </w:tcPr>
          <w:p w:rsidR="005F204C" w:rsidRPr="00602DBA" w:rsidRDefault="005F204C" w:rsidP="004E65B5">
            <w:pPr>
              <w:pStyle w:val="ListParagraph"/>
              <w:numPr>
                <w:ilvl w:val="0"/>
                <w:numId w:val="0"/>
              </w:numPr>
              <w:spacing w:after="0"/>
              <w:ind w:left="720"/>
              <w:rPr>
                <w:rFonts w:ascii="Arial Narrow" w:hAnsi="Arial Narrow"/>
                <w:b/>
                <w:bCs/>
                <w:color w:val="333333"/>
                <w:sz w:val="20"/>
                <w:szCs w:val="20"/>
              </w:rPr>
            </w:pPr>
            <w:r w:rsidRPr="00602DBA">
              <w:rPr>
                <w:rFonts w:ascii="Arial Narrow" w:hAnsi="Arial Narrow"/>
                <w:b/>
                <w:bCs/>
                <w:color w:val="333333"/>
                <w:sz w:val="20"/>
                <w:szCs w:val="20"/>
              </w:rPr>
              <w:t>AND</w:t>
            </w:r>
          </w:p>
        </w:tc>
      </w:tr>
      <w:tr w:rsidR="005F204C" w:rsidRPr="001B446F" w:rsidTr="00602DBA">
        <w:tc>
          <w:tcPr>
            <w:tcW w:w="9067" w:type="dxa"/>
            <w:tcBorders>
              <w:top w:val="nil"/>
              <w:bottom w:val="nil"/>
            </w:tcBorders>
            <w:vAlign w:val="center"/>
            <w:hideMark/>
          </w:tcPr>
          <w:p w:rsidR="005F204C" w:rsidRPr="00602DBA" w:rsidRDefault="005F204C" w:rsidP="003F25FF">
            <w:pPr>
              <w:pStyle w:val="ListParagraph"/>
              <w:numPr>
                <w:ilvl w:val="0"/>
                <w:numId w:val="36"/>
              </w:numPr>
              <w:spacing w:after="0"/>
              <w:rPr>
                <w:rFonts w:ascii="Arial Narrow" w:hAnsi="Arial Narrow"/>
                <w:color w:val="333333"/>
                <w:sz w:val="20"/>
                <w:szCs w:val="20"/>
              </w:rPr>
            </w:pPr>
            <w:r w:rsidRPr="00602DBA">
              <w:rPr>
                <w:rFonts w:ascii="Arial Narrow" w:hAnsi="Arial Narrow"/>
                <w:color w:val="333333"/>
                <w:sz w:val="20"/>
                <w:szCs w:val="20"/>
              </w:rPr>
              <w:t xml:space="preserve">Patient must have documented visual impairment defined as a best corrected visual acuity score between 78 and </w:t>
            </w:r>
            <w:r w:rsidR="003F25FF">
              <w:rPr>
                <w:rFonts w:ascii="Arial Narrow" w:hAnsi="Arial Narrow"/>
                <w:color w:val="333333"/>
                <w:sz w:val="20"/>
                <w:szCs w:val="20"/>
              </w:rPr>
              <w:t>39</w:t>
            </w:r>
            <w:r w:rsidRPr="00602DBA">
              <w:rPr>
                <w:rFonts w:ascii="Arial Narrow" w:hAnsi="Arial Narrow"/>
                <w:color w:val="333333"/>
                <w:sz w:val="20"/>
                <w:szCs w:val="20"/>
              </w:rPr>
              <w:t xml:space="preserve"> letters based on the early treatment diabetic retinopathy study chart administered at a distance of 4 metres (approximate Sn</w:t>
            </w:r>
            <w:r w:rsidR="003F25FF">
              <w:rPr>
                <w:rFonts w:ascii="Arial Narrow" w:hAnsi="Arial Narrow"/>
                <w:color w:val="333333"/>
                <w:sz w:val="20"/>
                <w:szCs w:val="20"/>
              </w:rPr>
              <w:t>ellen equivalent 20/32 to 20/160</w:t>
            </w:r>
            <w:r w:rsidRPr="00602DBA">
              <w:rPr>
                <w:rFonts w:ascii="Arial Narrow" w:hAnsi="Arial Narrow"/>
                <w:color w:val="333333"/>
                <w:sz w:val="20"/>
                <w:szCs w:val="20"/>
              </w:rPr>
              <w:t>), in the eye proposed for treatment</w:t>
            </w:r>
          </w:p>
        </w:tc>
      </w:tr>
      <w:tr w:rsidR="005F204C" w:rsidRPr="001B446F" w:rsidTr="00602DBA">
        <w:tc>
          <w:tcPr>
            <w:tcW w:w="9067" w:type="dxa"/>
            <w:tcBorders>
              <w:top w:val="nil"/>
              <w:bottom w:val="nil"/>
            </w:tcBorders>
            <w:vAlign w:val="center"/>
          </w:tcPr>
          <w:p w:rsidR="005F204C" w:rsidRPr="00602DBA" w:rsidRDefault="005F204C" w:rsidP="004E65B5">
            <w:pPr>
              <w:pStyle w:val="ListParagraph"/>
              <w:numPr>
                <w:ilvl w:val="0"/>
                <w:numId w:val="0"/>
              </w:numPr>
              <w:spacing w:after="0"/>
              <w:ind w:left="720"/>
              <w:rPr>
                <w:rFonts w:ascii="Arial Narrow" w:hAnsi="Arial Narrow"/>
                <w:b/>
                <w:bCs/>
                <w:color w:val="333333"/>
                <w:sz w:val="20"/>
                <w:szCs w:val="20"/>
              </w:rPr>
            </w:pPr>
            <w:r w:rsidRPr="00602DBA">
              <w:rPr>
                <w:rFonts w:ascii="Arial Narrow" w:hAnsi="Arial Narrow"/>
                <w:b/>
                <w:bCs/>
                <w:color w:val="333333"/>
                <w:sz w:val="20"/>
                <w:szCs w:val="20"/>
              </w:rPr>
              <w:t>AND</w:t>
            </w:r>
          </w:p>
        </w:tc>
      </w:tr>
      <w:tr w:rsidR="005F204C" w:rsidRPr="001B446F" w:rsidTr="00602DBA">
        <w:tc>
          <w:tcPr>
            <w:tcW w:w="9067" w:type="dxa"/>
            <w:tcBorders>
              <w:top w:val="nil"/>
              <w:bottom w:val="nil"/>
            </w:tcBorders>
            <w:vAlign w:val="center"/>
            <w:hideMark/>
          </w:tcPr>
          <w:p w:rsidR="005F204C" w:rsidRPr="00602DBA" w:rsidRDefault="005F204C" w:rsidP="00602DBA">
            <w:pPr>
              <w:pStyle w:val="ListParagraph"/>
              <w:numPr>
                <w:ilvl w:val="0"/>
                <w:numId w:val="36"/>
              </w:numPr>
              <w:spacing w:after="0"/>
              <w:rPr>
                <w:rFonts w:ascii="Arial Narrow" w:hAnsi="Arial Narrow"/>
                <w:color w:val="333333"/>
                <w:sz w:val="20"/>
                <w:szCs w:val="20"/>
              </w:rPr>
            </w:pPr>
            <w:r w:rsidRPr="00602DBA">
              <w:rPr>
                <w:rFonts w:ascii="Arial Narrow" w:hAnsi="Arial Narrow"/>
                <w:color w:val="333333"/>
                <w:sz w:val="20"/>
                <w:szCs w:val="20"/>
              </w:rPr>
              <w:t>The condition must be diagnosed by optical coherence tomography; or</w:t>
            </w:r>
          </w:p>
        </w:tc>
      </w:tr>
      <w:tr w:rsidR="005F204C" w:rsidRPr="001B446F" w:rsidTr="00602DBA">
        <w:tc>
          <w:tcPr>
            <w:tcW w:w="9067" w:type="dxa"/>
            <w:tcBorders>
              <w:top w:val="nil"/>
              <w:bottom w:val="nil"/>
            </w:tcBorders>
            <w:vAlign w:val="center"/>
            <w:hideMark/>
          </w:tcPr>
          <w:p w:rsidR="005F204C" w:rsidRPr="00602DBA" w:rsidRDefault="005F204C" w:rsidP="00602DBA">
            <w:pPr>
              <w:pStyle w:val="ListParagraph"/>
              <w:numPr>
                <w:ilvl w:val="0"/>
                <w:numId w:val="36"/>
              </w:numPr>
              <w:spacing w:after="0"/>
              <w:rPr>
                <w:rFonts w:ascii="Arial Narrow" w:hAnsi="Arial Narrow"/>
                <w:color w:val="333333"/>
                <w:sz w:val="20"/>
                <w:szCs w:val="20"/>
              </w:rPr>
            </w:pPr>
            <w:r w:rsidRPr="00602DBA">
              <w:rPr>
                <w:rFonts w:ascii="Arial Narrow" w:hAnsi="Arial Narrow"/>
                <w:color w:val="333333"/>
                <w:sz w:val="20"/>
                <w:szCs w:val="20"/>
              </w:rPr>
              <w:t>The condition must be diagnosed by fluorescein angiography</w:t>
            </w:r>
          </w:p>
        </w:tc>
      </w:tr>
      <w:tr w:rsidR="005F204C" w:rsidRPr="001B446F" w:rsidTr="00602DBA">
        <w:tc>
          <w:tcPr>
            <w:tcW w:w="9067" w:type="dxa"/>
            <w:tcBorders>
              <w:top w:val="nil"/>
              <w:bottom w:val="nil"/>
            </w:tcBorders>
            <w:vAlign w:val="center"/>
            <w:hideMark/>
          </w:tcPr>
          <w:p w:rsidR="005F204C" w:rsidRPr="00602DBA" w:rsidRDefault="005F204C" w:rsidP="004E65B5">
            <w:pPr>
              <w:pStyle w:val="ListParagraph"/>
              <w:numPr>
                <w:ilvl w:val="0"/>
                <w:numId w:val="0"/>
              </w:numPr>
              <w:spacing w:after="0"/>
              <w:ind w:left="720"/>
              <w:rPr>
                <w:rFonts w:ascii="Arial Narrow" w:hAnsi="Arial Narrow"/>
                <w:color w:val="333333"/>
                <w:sz w:val="20"/>
                <w:szCs w:val="20"/>
              </w:rPr>
            </w:pPr>
            <w:r w:rsidRPr="00602DBA">
              <w:rPr>
                <w:rFonts w:ascii="Arial Narrow" w:hAnsi="Arial Narrow"/>
                <w:b/>
                <w:bCs/>
                <w:color w:val="333333"/>
                <w:sz w:val="20"/>
                <w:szCs w:val="20"/>
              </w:rPr>
              <w:t>AND</w:t>
            </w:r>
          </w:p>
        </w:tc>
      </w:tr>
      <w:tr w:rsidR="005F204C" w:rsidRPr="001B446F" w:rsidTr="00602DBA">
        <w:tc>
          <w:tcPr>
            <w:tcW w:w="9067" w:type="dxa"/>
            <w:tcBorders>
              <w:top w:val="nil"/>
              <w:bottom w:val="nil"/>
            </w:tcBorders>
            <w:vAlign w:val="center"/>
            <w:hideMark/>
          </w:tcPr>
          <w:p w:rsidR="005F204C" w:rsidRPr="00602DBA" w:rsidRDefault="005F204C" w:rsidP="00602DBA">
            <w:pPr>
              <w:pStyle w:val="ListParagraph"/>
              <w:numPr>
                <w:ilvl w:val="0"/>
                <w:numId w:val="36"/>
              </w:numPr>
              <w:spacing w:after="0"/>
              <w:rPr>
                <w:rFonts w:ascii="Arial Narrow" w:hAnsi="Arial Narrow"/>
                <w:color w:val="333333"/>
                <w:sz w:val="20"/>
                <w:szCs w:val="20"/>
              </w:rPr>
            </w:pPr>
            <w:r w:rsidRPr="00602DBA">
              <w:rPr>
                <w:rFonts w:ascii="Arial Narrow" w:hAnsi="Arial Narrow"/>
                <w:color w:val="333333"/>
                <w:sz w:val="20"/>
                <w:szCs w:val="20"/>
              </w:rPr>
              <w:t>Patient must have a contraindication to vascular endothelial growth factor (VEGF) inhibitors; or</w:t>
            </w:r>
          </w:p>
        </w:tc>
      </w:tr>
      <w:tr w:rsidR="005F204C" w:rsidRPr="001B446F" w:rsidTr="00602DBA">
        <w:tc>
          <w:tcPr>
            <w:tcW w:w="9067" w:type="dxa"/>
            <w:tcBorders>
              <w:top w:val="nil"/>
              <w:bottom w:val="nil"/>
            </w:tcBorders>
            <w:vAlign w:val="center"/>
            <w:hideMark/>
          </w:tcPr>
          <w:p w:rsidR="005F204C" w:rsidRPr="00602DBA" w:rsidRDefault="005F204C" w:rsidP="00602DBA">
            <w:pPr>
              <w:pStyle w:val="ListParagraph"/>
              <w:numPr>
                <w:ilvl w:val="0"/>
                <w:numId w:val="36"/>
              </w:numPr>
              <w:spacing w:after="0"/>
              <w:rPr>
                <w:rFonts w:ascii="Arial Narrow" w:hAnsi="Arial Narrow"/>
                <w:color w:val="333333"/>
                <w:sz w:val="20"/>
                <w:szCs w:val="20"/>
              </w:rPr>
            </w:pPr>
            <w:r w:rsidRPr="00602DBA">
              <w:rPr>
                <w:rFonts w:ascii="Arial Narrow" w:hAnsi="Arial Narrow"/>
                <w:color w:val="333333"/>
                <w:sz w:val="20"/>
                <w:szCs w:val="20"/>
              </w:rPr>
              <w:t>Patient must be unsuitable for treatment with VEGF inhibitors; or</w:t>
            </w:r>
          </w:p>
        </w:tc>
      </w:tr>
      <w:tr w:rsidR="005F204C" w:rsidRPr="001B446F" w:rsidTr="00602DBA">
        <w:tc>
          <w:tcPr>
            <w:tcW w:w="9067" w:type="dxa"/>
            <w:tcBorders>
              <w:top w:val="nil"/>
              <w:bottom w:val="nil"/>
            </w:tcBorders>
            <w:vAlign w:val="center"/>
            <w:hideMark/>
          </w:tcPr>
          <w:p w:rsidR="005F204C" w:rsidRPr="00602DBA" w:rsidRDefault="005F204C" w:rsidP="00602DBA">
            <w:pPr>
              <w:pStyle w:val="ListParagraph"/>
              <w:numPr>
                <w:ilvl w:val="0"/>
                <w:numId w:val="36"/>
              </w:numPr>
              <w:spacing w:after="0"/>
              <w:rPr>
                <w:rFonts w:ascii="Arial Narrow" w:hAnsi="Arial Narrow"/>
                <w:color w:val="333333"/>
                <w:sz w:val="20"/>
                <w:szCs w:val="20"/>
              </w:rPr>
            </w:pPr>
            <w:r w:rsidRPr="00602DBA">
              <w:rPr>
                <w:rFonts w:ascii="Arial Narrow" w:hAnsi="Arial Narrow"/>
                <w:color w:val="333333"/>
                <w:sz w:val="20"/>
                <w:szCs w:val="20"/>
              </w:rPr>
              <w:t>Patient must have failed prior treatment with VEGF inhibitors</w:t>
            </w:r>
          </w:p>
        </w:tc>
      </w:tr>
      <w:tr w:rsidR="005F204C" w:rsidRPr="001B446F" w:rsidTr="00602DBA">
        <w:tc>
          <w:tcPr>
            <w:tcW w:w="9067" w:type="dxa"/>
            <w:tcBorders>
              <w:top w:val="nil"/>
              <w:bottom w:val="nil"/>
            </w:tcBorders>
            <w:vAlign w:val="center"/>
            <w:hideMark/>
          </w:tcPr>
          <w:p w:rsidR="005F204C" w:rsidRPr="001B446F" w:rsidRDefault="005F204C" w:rsidP="00602DBA">
            <w:pPr>
              <w:rPr>
                <w:rFonts w:ascii="Arial Narrow" w:hAnsi="Arial Narrow"/>
                <w:color w:val="333333"/>
                <w:sz w:val="20"/>
                <w:szCs w:val="20"/>
              </w:rPr>
            </w:pPr>
            <w:r w:rsidRPr="001B446F">
              <w:rPr>
                <w:rFonts w:ascii="Arial Narrow" w:hAnsi="Arial Narrow"/>
                <w:b/>
                <w:bCs/>
                <w:color w:val="333333"/>
                <w:sz w:val="20"/>
                <w:szCs w:val="20"/>
              </w:rPr>
              <w:t>Population criteria:</w:t>
            </w:r>
          </w:p>
        </w:tc>
      </w:tr>
      <w:tr w:rsidR="005F204C" w:rsidRPr="001B446F" w:rsidTr="00602DBA">
        <w:tc>
          <w:tcPr>
            <w:tcW w:w="9067" w:type="dxa"/>
            <w:tcBorders>
              <w:top w:val="nil"/>
              <w:bottom w:val="nil"/>
            </w:tcBorders>
            <w:vAlign w:val="center"/>
            <w:hideMark/>
          </w:tcPr>
          <w:p w:rsidR="005F204C" w:rsidRPr="00602DBA" w:rsidRDefault="005F204C" w:rsidP="00602DBA">
            <w:pPr>
              <w:pStyle w:val="ListParagraph"/>
              <w:numPr>
                <w:ilvl w:val="0"/>
                <w:numId w:val="37"/>
              </w:numPr>
              <w:spacing w:after="0"/>
              <w:rPr>
                <w:rFonts w:ascii="Arial Narrow" w:hAnsi="Arial Narrow"/>
                <w:color w:val="333333"/>
                <w:sz w:val="20"/>
                <w:szCs w:val="20"/>
              </w:rPr>
            </w:pPr>
            <w:r w:rsidRPr="00602DBA">
              <w:rPr>
                <w:rFonts w:ascii="Arial Narrow" w:hAnsi="Arial Narrow"/>
                <w:color w:val="333333"/>
                <w:sz w:val="20"/>
                <w:szCs w:val="20"/>
              </w:rPr>
              <w:t>Patient must have had a cataract removed in the treated eye; or</w:t>
            </w:r>
          </w:p>
        </w:tc>
      </w:tr>
      <w:tr w:rsidR="005F204C" w:rsidRPr="001B446F" w:rsidTr="00602DBA">
        <w:tc>
          <w:tcPr>
            <w:tcW w:w="9067" w:type="dxa"/>
            <w:tcBorders>
              <w:top w:val="nil"/>
            </w:tcBorders>
            <w:vAlign w:val="center"/>
            <w:hideMark/>
          </w:tcPr>
          <w:p w:rsidR="005F204C" w:rsidRPr="00602DBA" w:rsidRDefault="005F204C" w:rsidP="00602DBA">
            <w:pPr>
              <w:pStyle w:val="ListParagraph"/>
              <w:numPr>
                <w:ilvl w:val="0"/>
                <w:numId w:val="37"/>
              </w:numPr>
              <w:spacing w:after="0"/>
              <w:rPr>
                <w:rFonts w:ascii="Arial Narrow" w:hAnsi="Arial Narrow"/>
                <w:color w:val="333333"/>
                <w:sz w:val="20"/>
                <w:szCs w:val="20"/>
              </w:rPr>
            </w:pPr>
            <w:r w:rsidRPr="00602DBA">
              <w:rPr>
                <w:rFonts w:ascii="Arial Narrow" w:hAnsi="Arial Narrow"/>
                <w:color w:val="333333"/>
                <w:sz w:val="20"/>
                <w:szCs w:val="20"/>
              </w:rPr>
              <w:lastRenderedPageBreak/>
              <w:t>Patient must be scheduled for cataract surgery in the treated eye</w:t>
            </w:r>
          </w:p>
        </w:tc>
      </w:tr>
      <w:tr w:rsidR="00602DBA" w:rsidRPr="001B446F" w:rsidTr="00AD5E29">
        <w:trPr>
          <w:trHeight w:val="3023"/>
        </w:trPr>
        <w:tc>
          <w:tcPr>
            <w:tcW w:w="9067" w:type="dxa"/>
            <w:vAlign w:val="center"/>
            <w:hideMark/>
          </w:tcPr>
          <w:p w:rsidR="00602DBA" w:rsidRPr="001B446F" w:rsidRDefault="00602DBA" w:rsidP="00192C19">
            <w:pPr>
              <w:rPr>
                <w:rFonts w:ascii="Arial Narrow" w:hAnsi="Arial Narrow"/>
                <w:color w:val="333333"/>
                <w:sz w:val="20"/>
                <w:szCs w:val="20"/>
              </w:rPr>
            </w:pPr>
            <w:r w:rsidRPr="001B446F">
              <w:rPr>
                <w:rFonts w:ascii="Arial Narrow" w:hAnsi="Arial Narrow"/>
                <w:b/>
                <w:bCs/>
                <w:color w:val="333333"/>
                <w:sz w:val="20"/>
                <w:szCs w:val="20"/>
              </w:rPr>
              <w:t>Prescribing Instructions:</w:t>
            </w: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 xml:space="preserve">Authority approval for initial treatment of each eye </w:t>
            </w:r>
            <w:proofErr w:type="gramStart"/>
            <w:r w:rsidRPr="001B446F">
              <w:rPr>
                <w:rFonts w:ascii="Arial Narrow" w:hAnsi="Arial Narrow"/>
                <w:color w:val="333333"/>
                <w:sz w:val="20"/>
                <w:szCs w:val="20"/>
              </w:rPr>
              <w:t>must be sought</w:t>
            </w:r>
            <w:proofErr w:type="gramEnd"/>
            <w:r w:rsidRPr="001B446F">
              <w:rPr>
                <w:rFonts w:ascii="Arial Narrow" w:hAnsi="Arial Narrow"/>
                <w:color w:val="333333"/>
                <w:sz w:val="20"/>
                <w:szCs w:val="20"/>
              </w:rPr>
              <w:t>.</w:t>
            </w: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 xml:space="preserve">The first authority application for each eye </w:t>
            </w:r>
            <w:proofErr w:type="gramStart"/>
            <w:r w:rsidRPr="001B446F">
              <w:rPr>
                <w:rFonts w:ascii="Arial Narrow" w:hAnsi="Arial Narrow"/>
                <w:color w:val="333333"/>
                <w:sz w:val="20"/>
                <w:szCs w:val="20"/>
              </w:rPr>
              <w:t>must be made</w:t>
            </w:r>
            <w:proofErr w:type="gramEnd"/>
            <w:r w:rsidRPr="001B446F">
              <w:rPr>
                <w:rFonts w:ascii="Arial Narrow" w:hAnsi="Arial Narrow"/>
                <w:color w:val="333333"/>
                <w:sz w:val="20"/>
                <w:szCs w:val="20"/>
              </w:rPr>
              <w:t xml:space="preserve"> in writing or by telephone.</w:t>
            </w: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A written application must include:</w:t>
            </w: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a) a completed authority prescription form;</w:t>
            </w: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b) a completed Diabetic Macular Oedema (DMO) - PBS Supporting Information Form; and</w:t>
            </w:r>
          </w:p>
          <w:p w:rsidR="00602DBA" w:rsidRDefault="00602DBA" w:rsidP="00192C19">
            <w:pPr>
              <w:rPr>
                <w:rFonts w:ascii="Arial Narrow" w:hAnsi="Arial Narrow"/>
                <w:color w:val="333333"/>
                <w:sz w:val="20"/>
                <w:szCs w:val="20"/>
              </w:rPr>
            </w:pPr>
            <w:r w:rsidRPr="001B446F">
              <w:rPr>
                <w:rFonts w:ascii="Arial Narrow" w:hAnsi="Arial Narrow"/>
                <w:color w:val="333333"/>
                <w:sz w:val="20"/>
                <w:szCs w:val="20"/>
              </w:rPr>
              <w:t xml:space="preserve">c) </w:t>
            </w:r>
            <w:proofErr w:type="gramStart"/>
            <w:r w:rsidRPr="001B446F">
              <w:rPr>
                <w:rFonts w:ascii="Arial Narrow" w:hAnsi="Arial Narrow"/>
                <w:color w:val="333333"/>
                <w:sz w:val="20"/>
                <w:szCs w:val="20"/>
              </w:rPr>
              <w:t>a</w:t>
            </w:r>
            <w:proofErr w:type="gramEnd"/>
            <w:r w:rsidRPr="001B446F">
              <w:rPr>
                <w:rFonts w:ascii="Arial Narrow" w:hAnsi="Arial Narrow"/>
                <w:color w:val="333333"/>
                <w:sz w:val="20"/>
                <w:szCs w:val="20"/>
              </w:rPr>
              <w:t xml:space="preserve"> copy of the optical coherence tomography or fluorescein angiogram report.</w:t>
            </w:r>
          </w:p>
          <w:p w:rsidR="00602DBA" w:rsidRPr="001B446F" w:rsidRDefault="00602DBA" w:rsidP="00192C19">
            <w:pPr>
              <w:rPr>
                <w:rFonts w:ascii="Arial Narrow" w:hAnsi="Arial Narrow"/>
                <w:color w:val="333333"/>
                <w:sz w:val="20"/>
                <w:szCs w:val="20"/>
              </w:rPr>
            </w:pP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 xml:space="preserve">A telephone application </w:t>
            </w:r>
            <w:proofErr w:type="gramStart"/>
            <w:r w:rsidRPr="001B446F">
              <w:rPr>
                <w:rFonts w:ascii="Arial Narrow" w:hAnsi="Arial Narrow"/>
                <w:color w:val="333333"/>
                <w:sz w:val="20"/>
                <w:szCs w:val="20"/>
              </w:rPr>
              <w:t>must be made</w:t>
            </w:r>
            <w:proofErr w:type="gramEnd"/>
            <w:r w:rsidRPr="001B446F">
              <w:rPr>
                <w:rFonts w:ascii="Arial Narrow" w:hAnsi="Arial Narrow"/>
                <w:color w:val="333333"/>
                <w:sz w:val="20"/>
                <w:szCs w:val="20"/>
              </w:rPr>
              <w:t xml:space="preserve"> following submission by facsimile of a copy of a completed Diabetic Macular Oedema (DMO) - PBS Supporting Information Form and a copy of the optical coherence tomography or fluorescein angiogram report.</w:t>
            </w:r>
          </w:p>
          <w:p w:rsidR="00602DBA" w:rsidRDefault="00602DBA" w:rsidP="00192C19">
            <w:pPr>
              <w:rPr>
                <w:rFonts w:ascii="Arial Narrow" w:hAnsi="Arial Narrow"/>
                <w:color w:val="333333"/>
                <w:sz w:val="20"/>
                <w:szCs w:val="20"/>
              </w:rPr>
            </w:pPr>
          </w:p>
          <w:p w:rsidR="00602DBA" w:rsidRPr="001B446F" w:rsidRDefault="00602DBA" w:rsidP="00192C19">
            <w:pPr>
              <w:rPr>
                <w:rFonts w:ascii="Arial Narrow" w:hAnsi="Arial Narrow"/>
                <w:color w:val="333333"/>
                <w:sz w:val="20"/>
                <w:szCs w:val="20"/>
              </w:rPr>
            </w:pPr>
            <w:r>
              <w:rPr>
                <w:rFonts w:ascii="Arial Narrow" w:hAnsi="Arial Narrow"/>
                <w:color w:val="333333"/>
                <w:sz w:val="20"/>
                <w:szCs w:val="20"/>
              </w:rPr>
              <w:t xml:space="preserve">Authority applications for the same eye will be limited to 1 application per </w:t>
            </w:r>
            <w:proofErr w:type="gramStart"/>
            <w:r>
              <w:rPr>
                <w:rFonts w:ascii="Arial Narrow" w:hAnsi="Arial Narrow"/>
                <w:color w:val="333333"/>
                <w:sz w:val="20"/>
                <w:szCs w:val="20"/>
              </w:rPr>
              <w:t>36 month</w:t>
            </w:r>
            <w:proofErr w:type="gramEnd"/>
            <w:r>
              <w:rPr>
                <w:rFonts w:ascii="Arial Narrow" w:hAnsi="Arial Narrow"/>
                <w:color w:val="333333"/>
                <w:sz w:val="20"/>
                <w:szCs w:val="20"/>
              </w:rPr>
              <w:t xml:space="preserve"> period.</w:t>
            </w:r>
          </w:p>
        </w:tc>
      </w:tr>
      <w:tr w:rsidR="00602DBA" w:rsidRPr="001B446F" w:rsidTr="00AD5E29">
        <w:trPr>
          <w:trHeight w:val="3752"/>
        </w:trPr>
        <w:tc>
          <w:tcPr>
            <w:tcW w:w="9067" w:type="dxa"/>
            <w:vAlign w:val="center"/>
            <w:hideMark/>
          </w:tcPr>
          <w:p w:rsidR="00602DBA" w:rsidRPr="001B446F" w:rsidRDefault="00602DBA" w:rsidP="00192C19">
            <w:pPr>
              <w:rPr>
                <w:rFonts w:ascii="Arial Narrow" w:hAnsi="Arial Narrow"/>
                <w:color w:val="333333"/>
                <w:sz w:val="20"/>
                <w:szCs w:val="20"/>
              </w:rPr>
            </w:pPr>
            <w:r w:rsidRPr="001B446F">
              <w:rPr>
                <w:rFonts w:ascii="Arial Narrow" w:hAnsi="Arial Narrow"/>
                <w:b/>
                <w:bCs/>
                <w:color w:val="333333"/>
                <w:sz w:val="20"/>
                <w:szCs w:val="20"/>
              </w:rPr>
              <w:t>Administrative Advice:</w:t>
            </w:r>
          </w:p>
          <w:p w:rsidR="00602DBA" w:rsidRDefault="00602DBA" w:rsidP="00192C19">
            <w:pPr>
              <w:rPr>
                <w:rFonts w:ascii="Arial Narrow" w:hAnsi="Arial Narrow"/>
                <w:color w:val="333333"/>
                <w:sz w:val="20"/>
                <w:szCs w:val="20"/>
              </w:rPr>
            </w:pPr>
            <w:r w:rsidRPr="001B446F">
              <w:rPr>
                <w:rFonts w:ascii="Arial Narrow" w:hAnsi="Arial Narrow"/>
                <w:color w:val="333333"/>
                <w:sz w:val="20"/>
                <w:szCs w:val="20"/>
              </w:rPr>
              <w:t>Any queries concerning the arrangements to prescribe may be directed to the Department of Human Services on 1800 700 270 (hours of operation 8 a.m. to 5 p.m. EST Monday to Friday).</w:t>
            </w:r>
          </w:p>
          <w:p w:rsidR="00602DBA" w:rsidRPr="001B446F" w:rsidRDefault="00602DBA" w:rsidP="00192C19">
            <w:pPr>
              <w:rPr>
                <w:rFonts w:ascii="Arial Narrow" w:hAnsi="Arial Narrow"/>
                <w:color w:val="333333"/>
                <w:sz w:val="20"/>
                <w:szCs w:val="20"/>
              </w:rPr>
            </w:pP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Prescribing information (including Authority Application forms and other relevant documentation as applicable) is available on the Department of Human Services website at www.humanservices.gov.au</w:t>
            </w:r>
          </w:p>
          <w:p w:rsidR="00602DBA" w:rsidRDefault="00602DBA" w:rsidP="00192C19">
            <w:pPr>
              <w:rPr>
                <w:rFonts w:ascii="Arial Narrow" w:hAnsi="Arial Narrow"/>
                <w:color w:val="333333"/>
                <w:sz w:val="20"/>
                <w:szCs w:val="20"/>
              </w:rPr>
            </w:pP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 xml:space="preserve">Applications for authority to prescribe should be forwarded to: </w:t>
            </w: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Department of Human Services</w:t>
            </w: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 xml:space="preserve">Complex Drugs </w:t>
            </w: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 xml:space="preserve">Reply Paid 9826 </w:t>
            </w: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HOBART TAS 7001</w:t>
            </w:r>
          </w:p>
          <w:p w:rsidR="00602DBA" w:rsidRDefault="00602DBA" w:rsidP="00192C19">
            <w:pPr>
              <w:rPr>
                <w:rFonts w:ascii="Arial Narrow" w:hAnsi="Arial Narrow"/>
                <w:color w:val="333333"/>
                <w:sz w:val="20"/>
                <w:szCs w:val="20"/>
              </w:rPr>
            </w:pP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The first authority application may be faxed to the Department of Human Services on 1300 093 177 (hours of operation 8 a.m. to 5 p.m. EST Monday to Friday). The Department will then contact the prescriber by telephone.</w:t>
            </w:r>
          </w:p>
          <w:p w:rsidR="00602DBA" w:rsidRDefault="00602DBA" w:rsidP="00192C19">
            <w:pPr>
              <w:rPr>
                <w:rFonts w:ascii="Arial Narrow" w:hAnsi="Arial Narrow"/>
                <w:color w:val="333333"/>
                <w:sz w:val="20"/>
                <w:szCs w:val="20"/>
              </w:rPr>
            </w:pPr>
          </w:p>
          <w:p w:rsidR="00602DBA" w:rsidRPr="001B446F" w:rsidRDefault="00602DBA" w:rsidP="00192C19">
            <w:pPr>
              <w:rPr>
                <w:rFonts w:ascii="Arial Narrow" w:hAnsi="Arial Narrow"/>
                <w:color w:val="333333"/>
                <w:sz w:val="20"/>
                <w:szCs w:val="20"/>
              </w:rPr>
            </w:pPr>
            <w:r w:rsidRPr="001B446F">
              <w:rPr>
                <w:rFonts w:ascii="Arial Narrow" w:hAnsi="Arial Narrow"/>
                <w:color w:val="333333"/>
                <w:sz w:val="20"/>
                <w:szCs w:val="20"/>
              </w:rPr>
              <w:t>Special Pricing Arrangements apply.</w:t>
            </w:r>
          </w:p>
        </w:tc>
      </w:tr>
    </w:tbl>
    <w:p w:rsidR="001E54EB" w:rsidRPr="001B446F" w:rsidRDefault="001E54EB" w:rsidP="001E54EB">
      <w:pPr>
        <w:rPr>
          <w:rFonts w:ascii="Arial Narrow" w:hAnsi="Arial Narrow"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02DBA" w:rsidRPr="001B446F" w:rsidTr="00602DBA">
        <w:tc>
          <w:tcPr>
            <w:tcW w:w="5000" w:type="pct"/>
          </w:tcPr>
          <w:p w:rsidR="00602DBA" w:rsidRPr="001B446F" w:rsidRDefault="00602DBA" w:rsidP="00EF1C1A">
            <w:pPr>
              <w:rPr>
                <w:rFonts w:ascii="Arial Narrow" w:hAnsi="Arial Narrow"/>
                <w:b/>
                <w:bCs/>
                <w:color w:val="333333"/>
                <w:sz w:val="20"/>
                <w:szCs w:val="20"/>
              </w:rPr>
            </w:pPr>
            <w:r w:rsidRPr="001B446F">
              <w:rPr>
                <w:rFonts w:ascii="Arial Narrow" w:hAnsi="Arial Narrow"/>
                <w:b/>
                <w:sz w:val="20"/>
                <w:szCs w:val="20"/>
              </w:rPr>
              <w:t>Category / Program:</w:t>
            </w:r>
            <w:r w:rsidRPr="001B446F">
              <w:rPr>
                <w:rFonts w:ascii="Arial Narrow" w:hAnsi="Arial Narrow"/>
                <w:sz w:val="20"/>
                <w:szCs w:val="20"/>
              </w:rPr>
              <w:t xml:space="preserve"> General Schedule (Code GE)</w:t>
            </w:r>
          </w:p>
        </w:tc>
      </w:tr>
      <w:tr w:rsidR="00602DBA" w:rsidRPr="001B446F" w:rsidTr="00602DBA">
        <w:tc>
          <w:tcPr>
            <w:tcW w:w="5000" w:type="pct"/>
          </w:tcPr>
          <w:p w:rsidR="00602DBA" w:rsidRPr="001B446F" w:rsidRDefault="00602DBA" w:rsidP="00EF1C1A">
            <w:pPr>
              <w:rPr>
                <w:rFonts w:ascii="Arial Narrow" w:hAnsi="Arial Narrow"/>
                <w:b/>
                <w:bCs/>
                <w:color w:val="333333"/>
                <w:sz w:val="20"/>
                <w:szCs w:val="20"/>
              </w:rPr>
            </w:pPr>
            <w:r w:rsidRPr="001B446F">
              <w:rPr>
                <w:rFonts w:ascii="Arial Narrow" w:hAnsi="Arial Narrow"/>
                <w:b/>
                <w:sz w:val="20"/>
                <w:szCs w:val="20"/>
              </w:rPr>
              <w:t>Prescriber type:</w:t>
            </w:r>
            <w:r w:rsidR="00EA316A">
              <w:rPr>
                <w:rFonts w:ascii="Arial Narrow" w:hAnsi="Arial Narrow"/>
                <w:sz w:val="20"/>
                <w:szCs w:val="20"/>
              </w:rPr>
              <w:t xml:space="preserve"> </w:t>
            </w:r>
            <w:r w:rsidRPr="001B446F">
              <w:rPr>
                <w:rFonts w:ascii="Arial Narrow" w:hAnsi="Arial Narrow"/>
                <w:sz w:val="20"/>
                <w:szCs w:val="20"/>
              </w:rPr>
              <w:t xml:space="preserve">  </w:t>
            </w:r>
            <w:r w:rsidRPr="001B446F">
              <w:rPr>
                <w:rFonts w:ascii="Arial Narrow" w:hAnsi="Arial Narrow"/>
                <w:sz w:val="20"/>
                <w:szCs w:val="20"/>
              </w:rPr>
              <w:fldChar w:fldCharType="begin">
                <w:ffData>
                  <w:name w:val="Check1"/>
                  <w:enabled/>
                  <w:calcOnExit w:val="0"/>
                  <w:checkBox>
                    <w:sizeAuto/>
                    <w:default w:val="0"/>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sidRPr="001B446F">
              <w:rPr>
                <w:rFonts w:ascii="Arial Narrow" w:hAnsi="Arial Narrow"/>
                <w:sz w:val="20"/>
                <w:szCs w:val="20"/>
              </w:rPr>
              <w:t xml:space="preserve">Dental   </w:t>
            </w:r>
            <w:r w:rsidRPr="001B446F">
              <w:rPr>
                <w:rFonts w:ascii="Arial Narrow" w:hAnsi="Arial Narrow"/>
                <w:sz w:val="20"/>
                <w:szCs w:val="20"/>
              </w:rPr>
              <w:fldChar w:fldCharType="begin">
                <w:ffData>
                  <w:name w:val=""/>
                  <w:enabled/>
                  <w:calcOnExit w:val="0"/>
                  <w:checkBox>
                    <w:sizeAuto/>
                    <w:default w:val="1"/>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Pr>
                <w:rFonts w:ascii="Arial Narrow" w:hAnsi="Arial Narrow"/>
                <w:sz w:val="20"/>
                <w:szCs w:val="20"/>
              </w:rPr>
              <w:t xml:space="preserve">  </w:t>
            </w:r>
            <w:r w:rsidRPr="001B446F">
              <w:rPr>
                <w:rFonts w:ascii="Arial Narrow" w:hAnsi="Arial Narrow"/>
                <w:sz w:val="20"/>
                <w:szCs w:val="20"/>
              </w:rPr>
              <w:t>Medical Practitioners</w:t>
            </w:r>
            <w:r w:rsidR="00EA316A">
              <w:rPr>
                <w:rFonts w:ascii="Arial Narrow" w:hAnsi="Arial Narrow"/>
                <w:sz w:val="20"/>
                <w:szCs w:val="20"/>
              </w:rPr>
              <w:t xml:space="preserve">  </w:t>
            </w:r>
            <w:r w:rsidRPr="001B446F">
              <w:rPr>
                <w:rFonts w:ascii="Arial Narrow" w:hAnsi="Arial Narrow"/>
                <w:sz w:val="20"/>
                <w:szCs w:val="20"/>
              </w:rPr>
              <w:t xml:space="preserve"> </w:t>
            </w:r>
            <w:r w:rsidRPr="001B446F">
              <w:rPr>
                <w:rFonts w:ascii="Arial Narrow" w:hAnsi="Arial Narrow"/>
                <w:sz w:val="20"/>
                <w:szCs w:val="20"/>
              </w:rPr>
              <w:fldChar w:fldCharType="begin">
                <w:ffData>
                  <w:name w:val="Check3"/>
                  <w:enabled/>
                  <w:calcOnExit w:val="0"/>
                  <w:checkBox>
                    <w:sizeAuto/>
                    <w:default w:val="0"/>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sidRPr="001B446F">
              <w:rPr>
                <w:rFonts w:ascii="Arial Narrow" w:hAnsi="Arial Narrow"/>
                <w:sz w:val="20"/>
                <w:szCs w:val="20"/>
              </w:rPr>
              <w:t xml:space="preserve">Nurse practitioners  </w:t>
            </w:r>
            <w:r w:rsidRPr="001B446F">
              <w:rPr>
                <w:rFonts w:ascii="Arial Narrow" w:hAnsi="Arial Narrow"/>
                <w:sz w:val="20"/>
                <w:szCs w:val="20"/>
              </w:rPr>
              <w:fldChar w:fldCharType="begin">
                <w:ffData>
                  <w:name w:val=""/>
                  <w:enabled/>
                  <w:calcOnExit w:val="0"/>
                  <w:checkBox>
                    <w:sizeAuto/>
                    <w:default w:val="0"/>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sidRPr="001B446F">
              <w:rPr>
                <w:rFonts w:ascii="Arial Narrow" w:hAnsi="Arial Narrow"/>
                <w:sz w:val="20"/>
                <w:szCs w:val="20"/>
              </w:rPr>
              <w:t xml:space="preserve">Optometrists   </w:t>
            </w:r>
            <w:r w:rsidRPr="001B446F">
              <w:rPr>
                <w:rFonts w:ascii="Arial Narrow" w:hAnsi="Arial Narrow"/>
                <w:sz w:val="20"/>
                <w:szCs w:val="20"/>
              </w:rPr>
              <w:fldChar w:fldCharType="begin">
                <w:ffData>
                  <w:name w:val="Check5"/>
                  <w:enabled/>
                  <w:calcOnExit w:val="0"/>
                  <w:checkBox>
                    <w:sizeAuto/>
                    <w:default w:val="0"/>
                  </w:checkBox>
                </w:ffData>
              </w:fldChar>
            </w:r>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r w:rsidRPr="001B446F">
              <w:rPr>
                <w:rFonts w:ascii="Arial Narrow" w:hAnsi="Arial Narrow"/>
                <w:sz w:val="20"/>
                <w:szCs w:val="20"/>
              </w:rPr>
              <w:t>Midwives</w:t>
            </w:r>
          </w:p>
        </w:tc>
      </w:tr>
      <w:tr w:rsidR="00602DBA" w:rsidRPr="001B446F" w:rsidTr="00602DBA">
        <w:tc>
          <w:tcPr>
            <w:tcW w:w="5000" w:type="pct"/>
            <w:tcBorders>
              <w:bottom w:val="single" w:sz="4" w:space="0" w:color="auto"/>
            </w:tcBorders>
          </w:tcPr>
          <w:p w:rsidR="00602DBA" w:rsidRPr="00602DBA" w:rsidRDefault="00602DBA" w:rsidP="00EF1C1A">
            <w:pPr>
              <w:rPr>
                <w:rFonts w:ascii="Arial Narrow" w:hAnsi="Arial Narrow"/>
                <w:b/>
                <w:sz w:val="20"/>
                <w:szCs w:val="20"/>
              </w:rPr>
            </w:pPr>
            <w:r>
              <w:rPr>
                <w:rFonts w:ascii="Arial Narrow" w:hAnsi="Arial Narrow"/>
                <w:b/>
                <w:sz w:val="20"/>
                <w:szCs w:val="20"/>
              </w:rPr>
              <w:t xml:space="preserve">Restriction Level / Method:  </w:t>
            </w:r>
            <w:r w:rsidRPr="001B446F">
              <w:rPr>
                <w:rFonts w:ascii="Arial Narrow" w:hAnsi="Arial Narrow"/>
                <w:sz w:val="20"/>
                <w:szCs w:val="20"/>
              </w:rPr>
              <w:fldChar w:fldCharType="begin">
                <w:ffData>
                  <w:name w:val="Check3"/>
                  <w:enabled/>
                  <w:calcOnExit w:val="0"/>
                  <w:checkBox>
                    <w:sizeAuto/>
                    <w:default w:val="1"/>
                  </w:checkBox>
                </w:ffData>
              </w:fldChar>
            </w:r>
            <w:bookmarkStart w:id="30" w:name="Check3"/>
            <w:r w:rsidRPr="001B446F">
              <w:rPr>
                <w:rFonts w:ascii="Arial Narrow" w:hAnsi="Arial Narrow"/>
                <w:sz w:val="20"/>
                <w:szCs w:val="20"/>
              </w:rPr>
              <w:instrText xml:space="preserve"> FORMCHECKBOX </w:instrText>
            </w:r>
            <w:r w:rsidR="00F25584">
              <w:rPr>
                <w:rFonts w:ascii="Arial Narrow" w:hAnsi="Arial Narrow"/>
                <w:sz w:val="20"/>
                <w:szCs w:val="20"/>
              </w:rPr>
            </w:r>
            <w:r w:rsidR="00F25584">
              <w:rPr>
                <w:rFonts w:ascii="Arial Narrow" w:hAnsi="Arial Narrow"/>
                <w:sz w:val="20"/>
                <w:szCs w:val="20"/>
              </w:rPr>
              <w:fldChar w:fldCharType="separate"/>
            </w:r>
            <w:r w:rsidRPr="001B446F">
              <w:rPr>
                <w:rFonts w:ascii="Arial Narrow" w:hAnsi="Arial Narrow"/>
                <w:sz w:val="20"/>
                <w:szCs w:val="20"/>
              </w:rPr>
              <w:fldChar w:fldCharType="end"/>
            </w:r>
            <w:bookmarkEnd w:id="30"/>
            <w:r>
              <w:rPr>
                <w:rFonts w:ascii="Arial Narrow" w:hAnsi="Arial Narrow"/>
                <w:sz w:val="20"/>
                <w:szCs w:val="20"/>
              </w:rPr>
              <w:t xml:space="preserve">  </w:t>
            </w:r>
            <w:r w:rsidRPr="001B446F">
              <w:rPr>
                <w:rFonts w:ascii="Arial Narrow" w:hAnsi="Arial Narrow"/>
                <w:sz w:val="20"/>
                <w:szCs w:val="20"/>
              </w:rPr>
              <w:t>Authority Required – Telephone/Electronic/Emergency</w:t>
            </w:r>
          </w:p>
        </w:tc>
      </w:tr>
      <w:tr w:rsidR="00602DBA" w:rsidRPr="001B446F" w:rsidTr="00602DBA">
        <w:tc>
          <w:tcPr>
            <w:tcW w:w="5000" w:type="pct"/>
            <w:tcBorders>
              <w:bottom w:val="nil"/>
            </w:tcBorders>
            <w:vAlign w:val="center"/>
            <w:hideMark/>
          </w:tcPr>
          <w:p w:rsidR="00602DBA" w:rsidRPr="001B446F" w:rsidRDefault="00602DBA" w:rsidP="00EF1C1A">
            <w:pPr>
              <w:rPr>
                <w:rFonts w:ascii="Arial Narrow" w:hAnsi="Arial Narrow"/>
                <w:color w:val="333333"/>
                <w:sz w:val="20"/>
                <w:szCs w:val="20"/>
              </w:rPr>
            </w:pPr>
            <w:r w:rsidRPr="001B446F">
              <w:rPr>
                <w:rFonts w:ascii="Arial Narrow" w:hAnsi="Arial Narrow"/>
                <w:b/>
                <w:bCs/>
                <w:color w:val="333333"/>
                <w:sz w:val="20"/>
                <w:szCs w:val="20"/>
              </w:rPr>
              <w:t>Indication:</w:t>
            </w:r>
            <w:r w:rsidRPr="001B446F">
              <w:rPr>
                <w:rFonts w:ascii="Arial Narrow" w:hAnsi="Arial Narrow"/>
                <w:color w:val="333333"/>
                <w:sz w:val="20"/>
                <w:szCs w:val="20"/>
              </w:rPr>
              <w:t xml:space="preserve"> Diabetic macular oedema (DMO)</w:t>
            </w:r>
          </w:p>
        </w:tc>
      </w:tr>
      <w:tr w:rsidR="00602DBA" w:rsidRPr="001B446F" w:rsidTr="00602DBA">
        <w:tc>
          <w:tcPr>
            <w:tcW w:w="5000" w:type="pct"/>
            <w:tcBorders>
              <w:top w:val="nil"/>
              <w:bottom w:val="nil"/>
            </w:tcBorders>
            <w:vAlign w:val="center"/>
            <w:hideMark/>
          </w:tcPr>
          <w:p w:rsidR="00602DBA" w:rsidRPr="001B446F" w:rsidRDefault="00602DBA" w:rsidP="00EF1C1A">
            <w:pPr>
              <w:rPr>
                <w:rFonts w:ascii="Arial Narrow" w:hAnsi="Arial Narrow"/>
                <w:color w:val="333333"/>
                <w:sz w:val="20"/>
                <w:szCs w:val="20"/>
              </w:rPr>
            </w:pPr>
            <w:r w:rsidRPr="001B446F">
              <w:rPr>
                <w:rFonts w:ascii="Arial Narrow" w:hAnsi="Arial Narrow"/>
                <w:b/>
                <w:bCs/>
                <w:color w:val="333333"/>
                <w:sz w:val="20"/>
                <w:szCs w:val="20"/>
              </w:rPr>
              <w:t>Treatment Phase:</w:t>
            </w:r>
            <w:r w:rsidRPr="001B446F">
              <w:rPr>
                <w:rFonts w:ascii="Arial Narrow" w:hAnsi="Arial Narrow"/>
                <w:color w:val="333333"/>
                <w:sz w:val="20"/>
                <w:szCs w:val="20"/>
              </w:rPr>
              <w:t xml:space="preserve"> Continuing treatment</w:t>
            </w:r>
          </w:p>
        </w:tc>
      </w:tr>
      <w:tr w:rsidR="00602DBA" w:rsidRPr="001B446F" w:rsidTr="00602DBA">
        <w:tc>
          <w:tcPr>
            <w:tcW w:w="5000" w:type="pct"/>
            <w:tcBorders>
              <w:top w:val="nil"/>
              <w:bottom w:val="nil"/>
            </w:tcBorders>
            <w:vAlign w:val="center"/>
            <w:hideMark/>
          </w:tcPr>
          <w:p w:rsidR="00602DBA" w:rsidRPr="001B446F" w:rsidRDefault="00602DBA" w:rsidP="00EF1C1A">
            <w:pPr>
              <w:rPr>
                <w:rFonts w:ascii="Arial Narrow" w:hAnsi="Arial Narrow"/>
                <w:color w:val="333333"/>
                <w:sz w:val="20"/>
                <w:szCs w:val="20"/>
              </w:rPr>
            </w:pPr>
            <w:r w:rsidRPr="001B446F">
              <w:rPr>
                <w:rFonts w:ascii="Arial Narrow" w:hAnsi="Arial Narrow"/>
                <w:b/>
                <w:bCs/>
                <w:color w:val="333333"/>
                <w:sz w:val="20"/>
                <w:szCs w:val="20"/>
              </w:rPr>
              <w:t>Treatment criteria:</w:t>
            </w:r>
          </w:p>
        </w:tc>
      </w:tr>
      <w:tr w:rsidR="00602DBA" w:rsidRPr="001B446F" w:rsidTr="00602DBA">
        <w:tc>
          <w:tcPr>
            <w:tcW w:w="5000" w:type="pct"/>
            <w:tcBorders>
              <w:top w:val="nil"/>
              <w:bottom w:val="nil"/>
            </w:tcBorders>
            <w:vAlign w:val="center"/>
            <w:hideMark/>
          </w:tcPr>
          <w:p w:rsidR="00602DBA" w:rsidRPr="00602DBA" w:rsidRDefault="00602DBA" w:rsidP="00602DBA">
            <w:pPr>
              <w:pStyle w:val="ListParagraph"/>
              <w:numPr>
                <w:ilvl w:val="0"/>
                <w:numId w:val="38"/>
              </w:numPr>
              <w:spacing w:after="0"/>
              <w:rPr>
                <w:rFonts w:ascii="Arial Narrow" w:hAnsi="Arial Narrow"/>
                <w:color w:val="333333"/>
                <w:sz w:val="20"/>
                <w:szCs w:val="20"/>
              </w:rPr>
            </w:pPr>
            <w:r w:rsidRPr="00602DBA">
              <w:rPr>
                <w:rFonts w:ascii="Arial Narrow" w:hAnsi="Arial Narrow"/>
                <w:color w:val="333333"/>
                <w:sz w:val="20"/>
                <w:szCs w:val="20"/>
              </w:rPr>
              <w:t>Must be treated by an ophthalmologist or in consultation with an ophthalmologist</w:t>
            </w:r>
          </w:p>
        </w:tc>
      </w:tr>
      <w:tr w:rsidR="00602DBA" w:rsidRPr="001B446F" w:rsidTr="00602DBA">
        <w:tc>
          <w:tcPr>
            <w:tcW w:w="5000" w:type="pct"/>
            <w:tcBorders>
              <w:top w:val="nil"/>
              <w:bottom w:val="nil"/>
            </w:tcBorders>
            <w:vAlign w:val="center"/>
            <w:hideMark/>
          </w:tcPr>
          <w:p w:rsidR="00602DBA" w:rsidRPr="001B446F" w:rsidRDefault="00602DBA" w:rsidP="00602DBA">
            <w:pPr>
              <w:rPr>
                <w:rFonts w:ascii="Arial Narrow" w:hAnsi="Arial Narrow"/>
                <w:color w:val="333333"/>
                <w:sz w:val="20"/>
                <w:szCs w:val="20"/>
              </w:rPr>
            </w:pPr>
            <w:r w:rsidRPr="001B446F">
              <w:rPr>
                <w:rFonts w:ascii="Arial Narrow" w:hAnsi="Arial Narrow"/>
                <w:b/>
                <w:bCs/>
                <w:color w:val="333333"/>
                <w:sz w:val="20"/>
                <w:szCs w:val="20"/>
              </w:rPr>
              <w:t>Clinical criteria:</w:t>
            </w:r>
          </w:p>
        </w:tc>
      </w:tr>
      <w:tr w:rsidR="00602DBA" w:rsidRPr="001B446F" w:rsidTr="00602DBA">
        <w:tc>
          <w:tcPr>
            <w:tcW w:w="5000" w:type="pct"/>
            <w:tcBorders>
              <w:top w:val="nil"/>
            </w:tcBorders>
            <w:vAlign w:val="center"/>
            <w:hideMark/>
          </w:tcPr>
          <w:p w:rsidR="00602DBA" w:rsidRPr="00602DBA" w:rsidRDefault="00602DBA" w:rsidP="00602DBA">
            <w:pPr>
              <w:pStyle w:val="ListParagraph"/>
              <w:numPr>
                <w:ilvl w:val="0"/>
                <w:numId w:val="38"/>
              </w:numPr>
              <w:spacing w:after="0"/>
              <w:rPr>
                <w:rFonts w:ascii="Arial Narrow" w:hAnsi="Arial Narrow"/>
                <w:color w:val="333333"/>
                <w:sz w:val="20"/>
                <w:szCs w:val="20"/>
              </w:rPr>
            </w:pPr>
            <w:r w:rsidRPr="00602DBA">
              <w:rPr>
                <w:rFonts w:ascii="Arial Narrow" w:hAnsi="Arial Narrow"/>
                <w:color w:val="333333"/>
                <w:sz w:val="20"/>
                <w:szCs w:val="20"/>
              </w:rPr>
              <w:t>Patient must have previously been issued with an authority prescription for this drug for the same eye</w:t>
            </w:r>
          </w:p>
        </w:tc>
      </w:tr>
      <w:tr w:rsidR="00602DBA" w:rsidRPr="001B446F" w:rsidTr="00602DBA">
        <w:tc>
          <w:tcPr>
            <w:tcW w:w="5000" w:type="pct"/>
            <w:vAlign w:val="center"/>
          </w:tcPr>
          <w:p w:rsidR="00602DBA" w:rsidRPr="001B446F" w:rsidRDefault="00602DBA" w:rsidP="00EF1C1A">
            <w:pPr>
              <w:rPr>
                <w:rFonts w:ascii="Arial Narrow" w:hAnsi="Arial Narrow"/>
                <w:b/>
                <w:bCs/>
                <w:color w:val="333333"/>
                <w:sz w:val="20"/>
                <w:szCs w:val="20"/>
              </w:rPr>
            </w:pPr>
            <w:r w:rsidRPr="001B446F">
              <w:rPr>
                <w:rFonts w:ascii="Arial Narrow" w:hAnsi="Arial Narrow"/>
                <w:b/>
                <w:bCs/>
                <w:color w:val="333333"/>
                <w:sz w:val="20"/>
                <w:szCs w:val="20"/>
              </w:rPr>
              <w:t>Prescribing Instructions:</w:t>
            </w:r>
          </w:p>
          <w:p w:rsidR="00602DBA" w:rsidRPr="001B446F" w:rsidRDefault="00602DBA" w:rsidP="00EF1C1A">
            <w:pPr>
              <w:rPr>
                <w:rFonts w:ascii="Arial Narrow" w:hAnsi="Arial Narrow"/>
                <w:color w:val="333333"/>
                <w:sz w:val="20"/>
                <w:szCs w:val="20"/>
              </w:rPr>
            </w:pPr>
            <w:r w:rsidRPr="00023448">
              <w:rPr>
                <w:rFonts w:ascii="Arial Narrow" w:hAnsi="Arial Narrow"/>
                <w:color w:val="333333"/>
                <w:sz w:val="20"/>
                <w:szCs w:val="20"/>
              </w:rPr>
              <w:t xml:space="preserve">Authority applications for the same eye will be limited to 1 application per </w:t>
            </w:r>
            <w:proofErr w:type="gramStart"/>
            <w:r w:rsidRPr="00023448">
              <w:rPr>
                <w:rFonts w:ascii="Arial Narrow" w:hAnsi="Arial Narrow"/>
                <w:color w:val="333333"/>
                <w:sz w:val="20"/>
                <w:szCs w:val="20"/>
              </w:rPr>
              <w:t>36 month</w:t>
            </w:r>
            <w:proofErr w:type="gramEnd"/>
            <w:r w:rsidRPr="00023448">
              <w:rPr>
                <w:rFonts w:ascii="Arial Narrow" w:hAnsi="Arial Narrow"/>
                <w:color w:val="333333"/>
                <w:sz w:val="20"/>
                <w:szCs w:val="20"/>
              </w:rPr>
              <w:t xml:space="preserve"> period.</w:t>
            </w:r>
          </w:p>
        </w:tc>
      </w:tr>
      <w:tr w:rsidR="00602DBA" w:rsidRPr="001B446F" w:rsidTr="00AD5E29">
        <w:trPr>
          <w:trHeight w:val="958"/>
        </w:trPr>
        <w:tc>
          <w:tcPr>
            <w:tcW w:w="5000" w:type="pct"/>
            <w:vAlign w:val="center"/>
            <w:hideMark/>
          </w:tcPr>
          <w:p w:rsidR="00602DBA" w:rsidRPr="001B446F" w:rsidRDefault="00602DBA" w:rsidP="00EF1C1A">
            <w:pPr>
              <w:rPr>
                <w:rFonts w:ascii="Arial Narrow" w:hAnsi="Arial Narrow"/>
                <w:color w:val="333333"/>
                <w:sz w:val="20"/>
                <w:szCs w:val="20"/>
              </w:rPr>
            </w:pPr>
            <w:r w:rsidRPr="001B446F">
              <w:rPr>
                <w:rFonts w:ascii="Arial Narrow" w:hAnsi="Arial Narrow"/>
                <w:b/>
                <w:bCs/>
                <w:color w:val="333333"/>
                <w:sz w:val="20"/>
                <w:szCs w:val="20"/>
              </w:rPr>
              <w:t>Administrative Advice:</w:t>
            </w:r>
          </w:p>
          <w:p w:rsidR="00602DBA" w:rsidRDefault="00602DBA" w:rsidP="00EF1C1A">
            <w:pPr>
              <w:rPr>
                <w:rFonts w:ascii="Arial Narrow" w:hAnsi="Arial Narrow"/>
                <w:color w:val="333333"/>
                <w:sz w:val="20"/>
                <w:szCs w:val="20"/>
              </w:rPr>
            </w:pPr>
            <w:r w:rsidRPr="001B446F">
              <w:rPr>
                <w:rFonts w:ascii="Arial Narrow" w:hAnsi="Arial Narrow"/>
                <w:color w:val="333333"/>
                <w:sz w:val="20"/>
                <w:szCs w:val="20"/>
              </w:rPr>
              <w:t>Authority applications for continuing treatment in the same eye may be made by telephone on 1800 700 270 (hours of operation 8 a.m. to 5 p.m. EST Monday to Friday).</w:t>
            </w:r>
          </w:p>
          <w:p w:rsidR="00602DBA" w:rsidRPr="001B446F" w:rsidRDefault="00602DBA" w:rsidP="00EF1C1A">
            <w:pPr>
              <w:rPr>
                <w:rFonts w:ascii="Arial Narrow" w:hAnsi="Arial Narrow"/>
                <w:color w:val="333333"/>
                <w:sz w:val="20"/>
                <w:szCs w:val="20"/>
              </w:rPr>
            </w:pPr>
          </w:p>
          <w:p w:rsidR="00602DBA" w:rsidRPr="001B446F" w:rsidRDefault="00602DBA" w:rsidP="00EF1C1A">
            <w:pPr>
              <w:rPr>
                <w:rFonts w:ascii="Arial Narrow" w:hAnsi="Arial Narrow"/>
                <w:color w:val="333333"/>
                <w:sz w:val="20"/>
                <w:szCs w:val="20"/>
              </w:rPr>
            </w:pPr>
            <w:r w:rsidRPr="001B446F">
              <w:rPr>
                <w:rFonts w:ascii="Arial Narrow" w:hAnsi="Arial Narrow"/>
                <w:color w:val="333333"/>
                <w:sz w:val="20"/>
                <w:szCs w:val="20"/>
              </w:rPr>
              <w:t>Special Pricing Arrangements apply.</w:t>
            </w:r>
          </w:p>
        </w:tc>
      </w:tr>
    </w:tbl>
    <w:p w:rsidR="004E1D18" w:rsidRPr="001B446F" w:rsidRDefault="004E1D18" w:rsidP="004E1D18">
      <w:pPr>
        <w:rPr>
          <w:b/>
          <w:caps/>
          <w:sz w:val="16"/>
          <w:szCs w:val="16"/>
        </w:rPr>
      </w:pPr>
    </w:p>
    <w:p w:rsidR="00506F84" w:rsidRPr="001B446F" w:rsidRDefault="00506F84" w:rsidP="00506F84">
      <w:pPr>
        <w:spacing w:after="120"/>
        <w:rPr>
          <w:rFonts w:cs="Calibri"/>
          <w:b/>
          <w:i/>
        </w:rPr>
      </w:pPr>
      <w:r w:rsidRPr="001B446F">
        <w:rPr>
          <w:rFonts w:cs="Calibri"/>
          <w:b/>
          <w:i/>
        </w:rPr>
        <w:t>This restriction may be subject to further review. Should there be any changes made to the restriction the Sponsor will be informed.</w:t>
      </w:r>
    </w:p>
    <w:p w:rsidR="005F57D2" w:rsidRDefault="005F57D2" w:rsidP="00415075">
      <w:pPr>
        <w:spacing w:after="120"/>
        <w:rPr>
          <w:b/>
          <w:caps/>
          <w:sz w:val="16"/>
          <w:szCs w:val="16"/>
        </w:rPr>
      </w:pPr>
    </w:p>
    <w:p w:rsidR="00CD69CA" w:rsidRPr="00920A65" w:rsidRDefault="00CD69CA" w:rsidP="00CD69CA">
      <w:pPr>
        <w:pStyle w:val="PBACHeading1"/>
        <w:numPr>
          <w:ilvl w:val="0"/>
          <w:numId w:val="1"/>
        </w:numPr>
        <w:spacing w:before="240" w:after="120"/>
        <w:ind w:left="709" w:hanging="709"/>
        <w:jc w:val="both"/>
        <w:rPr>
          <w:rFonts w:asciiTheme="minorHAnsi" w:hAnsiTheme="minorHAnsi"/>
          <w:szCs w:val="32"/>
        </w:rPr>
      </w:pPr>
      <w:r w:rsidRPr="00920A65">
        <w:rPr>
          <w:rFonts w:asciiTheme="minorHAnsi" w:hAnsiTheme="minorHAnsi"/>
          <w:szCs w:val="32"/>
        </w:rPr>
        <w:lastRenderedPageBreak/>
        <w:t>Context for Decision</w:t>
      </w:r>
    </w:p>
    <w:p w:rsidR="00CD69CA" w:rsidRPr="007129F2" w:rsidRDefault="00CD69CA" w:rsidP="00CD69CA">
      <w:pPr>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w:t>
      </w:r>
      <w:proofErr w:type="gramStart"/>
      <w:r w:rsidRPr="007129F2">
        <w:rPr>
          <w:rFonts w:asciiTheme="minorHAnsi" w:hAnsiTheme="minorHAnsi"/>
          <w:bCs/>
          <w:lang w:val="en-GB"/>
        </w:rPr>
        <w:t>should be made</w:t>
      </w:r>
      <w:proofErr w:type="gramEnd"/>
      <w:r w:rsidRPr="007129F2">
        <w:rPr>
          <w:rFonts w:asciiTheme="minorHAnsi" w:hAnsiTheme="minorHAnsi"/>
          <w:bCs/>
          <w:lang w:val="en-GB"/>
        </w:rPr>
        <w:t xml:space="preserve"> available through the PBS. The PBAC welcomes applications containing new information at any time.</w:t>
      </w:r>
    </w:p>
    <w:p w:rsidR="00CD69CA" w:rsidRDefault="00CD69CA" w:rsidP="00CD69CA">
      <w:pPr>
        <w:rPr>
          <w:rFonts w:cs="Calibri"/>
        </w:rPr>
      </w:pPr>
    </w:p>
    <w:p w:rsidR="00CD69CA" w:rsidRPr="00920A65" w:rsidRDefault="00CD69CA" w:rsidP="00CD69CA">
      <w:pPr>
        <w:pStyle w:val="PBACHeading1"/>
        <w:numPr>
          <w:ilvl w:val="0"/>
          <w:numId w:val="1"/>
        </w:numPr>
        <w:spacing w:before="240" w:after="120"/>
        <w:ind w:left="709" w:hanging="709"/>
        <w:jc w:val="both"/>
        <w:rPr>
          <w:rFonts w:asciiTheme="minorHAnsi" w:hAnsiTheme="minorHAnsi"/>
          <w:szCs w:val="32"/>
        </w:rPr>
      </w:pPr>
      <w:r w:rsidRPr="00920A65">
        <w:rPr>
          <w:rFonts w:asciiTheme="minorHAnsi" w:hAnsiTheme="minorHAnsi"/>
          <w:szCs w:val="32"/>
        </w:rPr>
        <w:t>Sponsor’s Comment</w:t>
      </w:r>
    </w:p>
    <w:p w:rsidR="00CD69CA" w:rsidRPr="001179AC" w:rsidRDefault="00CD69CA" w:rsidP="00CD69CA">
      <w:pPr>
        <w:spacing w:after="120"/>
        <w:rPr>
          <w:rFonts w:asciiTheme="minorHAnsi" w:hAnsiTheme="minorHAnsi"/>
          <w:bCs/>
        </w:rPr>
      </w:pPr>
      <w:r w:rsidRPr="00C07617">
        <w:rPr>
          <w:rFonts w:asciiTheme="minorHAnsi" w:hAnsiTheme="minorHAnsi"/>
          <w:bCs/>
        </w:rPr>
        <w:t>The sponsor had no comment.</w:t>
      </w:r>
    </w:p>
    <w:p w:rsidR="00CD69CA" w:rsidRPr="001B446F" w:rsidRDefault="00CD69CA" w:rsidP="00415075">
      <w:pPr>
        <w:spacing w:after="120"/>
        <w:rPr>
          <w:b/>
          <w:caps/>
          <w:sz w:val="16"/>
          <w:szCs w:val="16"/>
        </w:rPr>
      </w:pPr>
    </w:p>
    <w:sectPr w:rsidR="00CD69CA" w:rsidRPr="001B446F" w:rsidSect="00AD6F2B">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993"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F4BC5" w16cex:dateUtc="2020-04-01T06:20:00Z"/>
  <w16cex:commentExtensible w16cex:durableId="222F4ECC" w16cex:dateUtc="2020-04-01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E004A0" w16cid:durableId="222F4B71"/>
  <w16cid:commentId w16cid:paraId="3E67F368" w16cid:durableId="222F4BC5"/>
  <w16cid:commentId w16cid:paraId="512E03AB" w16cid:durableId="222F4B72"/>
  <w16cid:commentId w16cid:paraId="0749410E" w16cid:durableId="222F4E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CE4" w:rsidRDefault="00BD6CE4" w:rsidP="00124A51">
      <w:r>
        <w:separator/>
      </w:r>
    </w:p>
    <w:p w:rsidR="00BD6CE4" w:rsidRDefault="00BD6CE4"/>
  </w:endnote>
  <w:endnote w:type="continuationSeparator" w:id="0">
    <w:p w:rsidR="00BD6CE4" w:rsidRDefault="00BD6CE4" w:rsidP="00124A51">
      <w:r>
        <w:continuationSeparator/>
      </w:r>
    </w:p>
    <w:p w:rsidR="00BD6CE4" w:rsidRDefault="00BD6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E4" w:rsidRDefault="00BD6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53" w:rsidRDefault="00957453">
    <w:pPr>
      <w:pStyle w:val="Footer"/>
      <w:jc w:val="center"/>
    </w:pPr>
  </w:p>
  <w:p w:rsidR="00957453" w:rsidRPr="00BC3A82" w:rsidRDefault="00F25584" w:rsidP="00BC3A82">
    <w:pPr>
      <w:pStyle w:val="Footer"/>
      <w:jc w:val="center"/>
      <w:rPr>
        <w:b/>
      </w:rPr>
    </w:pPr>
    <w:sdt>
      <w:sdtPr>
        <w:id w:val="-602499724"/>
        <w:docPartObj>
          <w:docPartGallery w:val="Page Numbers (Bottom of Page)"/>
          <w:docPartUnique/>
        </w:docPartObj>
      </w:sdtPr>
      <w:sdtEndPr>
        <w:rPr>
          <w:b/>
          <w:noProof/>
        </w:rPr>
      </w:sdtEndPr>
      <w:sdtContent>
        <w:r w:rsidR="00957453" w:rsidRPr="008E7478">
          <w:rPr>
            <w:b/>
          </w:rPr>
          <w:fldChar w:fldCharType="begin"/>
        </w:r>
        <w:r w:rsidR="00957453" w:rsidRPr="008E7478">
          <w:rPr>
            <w:b/>
          </w:rPr>
          <w:instrText xml:space="preserve"> PAGE   \* MERGEFORMAT </w:instrText>
        </w:r>
        <w:r w:rsidR="00957453" w:rsidRPr="008E7478">
          <w:rPr>
            <w:b/>
          </w:rPr>
          <w:fldChar w:fldCharType="separate"/>
        </w:r>
        <w:r>
          <w:rPr>
            <w:b/>
            <w:noProof/>
          </w:rPr>
          <w:t>6</w:t>
        </w:r>
        <w:r w:rsidR="00957453" w:rsidRPr="008E7478">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E4" w:rsidRDefault="00BD6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CE4" w:rsidRDefault="00BD6CE4" w:rsidP="00124A51">
      <w:r>
        <w:separator/>
      </w:r>
    </w:p>
    <w:p w:rsidR="00BD6CE4" w:rsidRDefault="00BD6CE4"/>
  </w:footnote>
  <w:footnote w:type="continuationSeparator" w:id="0">
    <w:p w:rsidR="00BD6CE4" w:rsidRDefault="00BD6CE4" w:rsidP="00124A51">
      <w:r>
        <w:continuationSeparator/>
      </w:r>
    </w:p>
    <w:p w:rsidR="00BD6CE4" w:rsidRDefault="00BD6CE4"/>
  </w:footnote>
  <w:footnote w:id="1">
    <w:p w:rsidR="00957453" w:rsidRPr="00BA6C15" w:rsidRDefault="00957453">
      <w:pPr>
        <w:pStyle w:val="FootnoteText"/>
        <w:rPr>
          <w:rFonts w:ascii="Arial Narrow" w:hAnsi="Arial Narrow"/>
          <w:sz w:val="18"/>
          <w:szCs w:val="18"/>
        </w:rPr>
      </w:pPr>
      <w:r w:rsidRPr="00BA6C15">
        <w:rPr>
          <w:rStyle w:val="FootnoteReference"/>
          <w:rFonts w:ascii="Arial Narrow" w:hAnsi="Arial Narrow"/>
          <w:sz w:val="18"/>
          <w:szCs w:val="18"/>
        </w:rPr>
        <w:footnoteRef/>
      </w:r>
      <w:r w:rsidRPr="00BA6C15">
        <w:rPr>
          <w:rFonts w:ascii="Arial Narrow" w:hAnsi="Arial Narrow"/>
          <w:sz w:val="18"/>
          <w:szCs w:val="18"/>
        </w:rPr>
        <w:t xml:space="preserve"> Guidelines for the Management of Diabetic Macular Oedema by the European Society of Retina Specialists (EURETINA). </w:t>
      </w:r>
      <w:proofErr w:type="spellStart"/>
      <w:r w:rsidRPr="00BA6C15">
        <w:rPr>
          <w:rFonts w:ascii="Arial Narrow" w:hAnsi="Arial Narrow"/>
          <w:sz w:val="18"/>
          <w:szCs w:val="18"/>
        </w:rPr>
        <w:t>Opthalmologica</w:t>
      </w:r>
      <w:proofErr w:type="spellEnd"/>
      <w:r w:rsidRPr="00BA6C15">
        <w:rPr>
          <w:rFonts w:ascii="Arial Narrow" w:hAnsi="Arial Narrow"/>
          <w:sz w:val="18"/>
          <w:szCs w:val="18"/>
        </w:rPr>
        <w:t xml:space="preserve"> 2017; 237: 185-222</w:t>
      </w:r>
    </w:p>
  </w:footnote>
  <w:footnote w:id="2">
    <w:p w:rsidR="00957453" w:rsidRPr="00BA6C15" w:rsidRDefault="00957453">
      <w:pPr>
        <w:pStyle w:val="FootnoteText"/>
        <w:rPr>
          <w:rFonts w:ascii="Arial Narrow" w:hAnsi="Arial Narrow"/>
          <w:sz w:val="18"/>
          <w:szCs w:val="18"/>
        </w:rPr>
      </w:pPr>
      <w:r w:rsidRPr="00BA6C15">
        <w:rPr>
          <w:rStyle w:val="FootnoteReference"/>
          <w:rFonts w:ascii="Arial Narrow" w:hAnsi="Arial Narrow"/>
          <w:sz w:val="18"/>
          <w:szCs w:val="18"/>
        </w:rPr>
        <w:footnoteRef/>
      </w:r>
      <w:r w:rsidRPr="00BA6C15">
        <w:rPr>
          <w:rFonts w:ascii="Arial Narrow" w:hAnsi="Arial Narrow"/>
          <w:sz w:val="18"/>
          <w:szCs w:val="18"/>
        </w:rPr>
        <w:t xml:space="preserve"> Nicholson BP et al. Evaluation of </w:t>
      </w:r>
      <w:proofErr w:type="spellStart"/>
      <w:r w:rsidRPr="00BA6C15">
        <w:rPr>
          <w:rFonts w:ascii="Arial Narrow" w:hAnsi="Arial Narrow"/>
          <w:sz w:val="18"/>
          <w:szCs w:val="18"/>
        </w:rPr>
        <w:t>fluocinolone</w:t>
      </w:r>
      <w:proofErr w:type="spellEnd"/>
      <w:r w:rsidRPr="00BA6C15">
        <w:rPr>
          <w:rFonts w:ascii="Arial Narrow" w:hAnsi="Arial Narrow"/>
          <w:sz w:val="18"/>
          <w:szCs w:val="18"/>
        </w:rPr>
        <w:t xml:space="preserve"> </w:t>
      </w:r>
      <w:proofErr w:type="spellStart"/>
      <w:r w:rsidRPr="00BA6C15">
        <w:rPr>
          <w:rFonts w:ascii="Arial Narrow" w:hAnsi="Arial Narrow"/>
          <w:sz w:val="18"/>
          <w:szCs w:val="18"/>
        </w:rPr>
        <w:t>acetonide</w:t>
      </w:r>
      <w:proofErr w:type="spellEnd"/>
      <w:r w:rsidRPr="00BA6C15">
        <w:rPr>
          <w:rFonts w:ascii="Arial Narrow" w:hAnsi="Arial Narrow"/>
          <w:sz w:val="18"/>
          <w:szCs w:val="18"/>
        </w:rPr>
        <w:t xml:space="preserve"> sustained release implant dissociation during implant removal and exchange surgery.  Am J </w:t>
      </w:r>
      <w:proofErr w:type="spellStart"/>
      <w:r w:rsidRPr="00BA6C15">
        <w:rPr>
          <w:rFonts w:ascii="Arial Narrow" w:hAnsi="Arial Narrow"/>
          <w:sz w:val="18"/>
          <w:szCs w:val="18"/>
        </w:rPr>
        <w:t>Ophthalmol</w:t>
      </w:r>
      <w:proofErr w:type="spellEnd"/>
      <w:r w:rsidRPr="00BA6C15">
        <w:rPr>
          <w:rFonts w:ascii="Arial Narrow" w:hAnsi="Arial Narrow"/>
          <w:sz w:val="18"/>
          <w:szCs w:val="18"/>
        </w:rPr>
        <w:t xml:space="preserve"> 2012</w:t>
      </w:r>
      <w:proofErr w:type="gramStart"/>
      <w:r w:rsidRPr="00BA6C15">
        <w:rPr>
          <w:rFonts w:ascii="Arial Narrow" w:hAnsi="Arial Narrow"/>
          <w:sz w:val="18"/>
          <w:szCs w:val="18"/>
        </w:rPr>
        <w:t>;</w:t>
      </w:r>
      <w:proofErr w:type="gramEnd"/>
      <w:r w:rsidRPr="00BA6C15">
        <w:rPr>
          <w:rFonts w:ascii="Arial Narrow" w:hAnsi="Arial Narrow"/>
          <w:sz w:val="18"/>
          <w:szCs w:val="18"/>
        </w:rPr>
        <w:t xml:space="preserve"> 154(6): 969-973.</w:t>
      </w:r>
    </w:p>
  </w:footnote>
  <w:footnote w:id="3">
    <w:p w:rsidR="00957453" w:rsidRPr="002F26A3" w:rsidRDefault="00957453">
      <w:pPr>
        <w:pStyle w:val="FootnoteText"/>
        <w:rPr>
          <w:rFonts w:ascii="Arial Narrow" w:hAnsi="Arial Narrow"/>
          <w:sz w:val="18"/>
          <w:szCs w:val="18"/>
        </w:rPr>
      </w:pPr>
      <w:r w:rsidRPr="002F26A3">
        <w:rPr>
          <w:rStyle w:val="FootnoteReference"/>
          <w:rFonts w:ascii="Arial Narrow" w:hAnsi="Arial Narrow"/>
          <w:sz w:val="18"/>
          <w:szCs w:val="18"/>
        </w:rPr>
        <w:footnoteRef/>
      </w:r>
      <w:r w:rsidRPr="002F26A3">
        <w:rPr>
          <w:rFonts w:ascii="Arial Narrow" w:hAnsi="Arial Narrow"/>
          <w:sz w:val="18"/>
          <w:szCs w:val="18"/>
        </w:rPr>
        <w:t xml:space="preserve"> ILUVIEN Product Information</w:t>
      </w:r>
      <w:r>
        <w:rPr>
          <w:rFonts w:ascii="Arial Narrow" w:hAnsi="Arial Narrow"/>
          <w:sz w:val="18"/>
          <w:szCs w:val="18"/>
        </w:rPr>
        <w:t>, Section 4.8 Adverse effects (Undesirable effects).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E4" w:rsidRDefault="00BD6C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453" w:rsidRPr="00CD69CA" w:rsidRDefault="00957453" w:rsidP="00CD69CA">
    <w:pPr>
      <w:tabs>
        <w:tab w:val="left" w:pos="142"/>
        <w:tab w:val="right" w:pos="9026"/>
      </w:tabs>
      <w:jc w:val="center"/>
      <w:rPr>
        <w:i/>
      </w:rPr>
    </w:pPr>
    <w:r>
      <w:rPr>
        <w:i/>
      </w:rPr>
      <w:t xml:space="preserve">Public Summary Document </w:t>
    </w:r>
    <w:r w:rsidRPr="0001302C">
      <w:rPr>
        <w:i/>
      </w:rPr>
      <w:t>– March 2020 PBAC Meeting</w:t>
    </w:r>
  </w:p>
  <w:p w:rsidR="00957453" w:rsidRPr="008C7ECB" w:rsidRDefault="00957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CE4" w:rsidRDefault="00BD6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04A49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66310E"/>
    <w:multiLevelType w:val="multilevel"/>
    <w:tmpl w:val="3A2AB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353F09"/>
    <w:multiLevelType w:val="hybridMultilevel"/>
    <w:tmpl w:val="EB12AC8E"/>
    <w:lvl w:ilvl="0" w:tplc="04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72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53F11"/>
    <w:multiLevelType w:val="multilevel"/>
    <w:tmpl w:val="31DE9CA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17B546D"/>
    <w:multiLevelType w:val="multilevel"/>
    <w:tmpl w:val="5A6EC22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88E2855"/>
    <w:multiLevelType w:val="hybridMultilevel"/>
    <w:tmpl w:val="32A2E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E55641E"/>
    <w:multiLevelType w:val="hybridMultilevel"/>
    <w:tmpl w:val="62F4C8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B219F8"/>
    <w:multiLevelType w:val="hybridMultilevel"/>
    <w:tmpl w:val="1C5EBF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6801E6"/>
    <w:multiLevelType w:val="hybridMultilevel"/>
    <w:tmpl w:val="ECB0B1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B6274A"/>
    <w:multiLevelType w:val="hybridMultilevel"/>
    <w:tmpl w:val="153C1570"/>
    <w:lvl w:ilvl="0" w:tplc="E8800532">
      <w:start w:val="1"/>
      <w:numFmt w:val="decimal"/>
      <w:lvlText w:val="%1."/>
      <w:lvlJc w:val="left"/>
      <w:pPr>
        <w:ind w:left="5186" w:hanging="360"/>
      </w:pPr>
      <w:rPr>
        <w:rFonts w:hint="default"/>
        <w:b w:val="0"/>
        <w:color w:val="auto"/>
      </w:rPr>
    </w:lvl>
    <w:lvl w:ilvl="1" w:tplc="0C090019">
      <w:start w:val="1"/>
      <w:numFmt w:val="lowerLetter"/>
      <w:lvlText w:val="%2."/>
      <w:lvlJc w:val="left"/>
      <w:pPr>
        <w:ind w:left="4848" w:hanging="360"/>
      </w:pPr>
    </w:lvl>
    <w:lvl w:ilvl="2" w:tplc="0C09001B" w:tentative="1">
      <w:start w:val="1"/>
      <w:numFmt w:val="lowerRoman"/>
      <w:lvlText w:val="%3."/>
      <w:lvlJc w:val="right"/>
      <w:pPr>
        <w:ind w:left="5568" w:hanging="180"/>
      </w:pPr>
    </w:lvl>
    <w:lvl w:ilvl="3" w:tplc="0C09000F" w:tentative="1">
      <w:start w:val="1"/>
      <w:numFmt w:val="decimal"/>
      <w:lvlText w:val="%4."/>
      <w:lvlJc w:val="left"/>
      <w:pPr>
        <w:ind w:left="6288" w:hanging="360"/>
      </w:pPr>
    </w:lvl>
    <w:lvl w:ilvl="4" w:tplc="0C090019" w:tentative="1">
      <w:start w:val="1"/>
      <w:numFmt w:val="lowerLetter"/>
      <w:lvlText w:val="%5."/>
      <w:lvlJc w:val="left"/>
      <w:pPr>
        <w:ind w:left="7008" w:hanging="360"/>
      </w:pPr>
    </w:lvl>
    <w:lvl w:ilvl="5" w:tplc="0C09001B" w:tentative="1">
      <w:start w:val="1"/>
      <w:numFmt w:val="lowerRoman"/>
      <w:lvlText w:val="%6."/>
      <w:lvlJc w:val="right"/>
      <w:pPr>
        <w:ind w:left="7728" w:hanging="180"/>
      </w:pPr>
    </w:lvl>
    <w:lvl w:ilvl="6" w:tplc="0C09000F" w:tentative="1">
      <w:start w:val="1"/>
      <w:numFmt w:val="decimal"/>
      <w:lvlText w:val="%7."/>
      <w:lvlJc w:val="left"/>
      <w:pPr>
        <w:ind w:left="8448" w:hanging="360"/>
      </w:pPr>
    </w:lvl>
    <w:lvl w:ilvl="7" w:tplc="0C090019" w:tentative="1">
      <w:start w:val="1"/>
      <w:numFmt w:val="lowerLetter"/>
      <w:lvlText w:val="%8."/>
      <w:lvlJc w:val="left"/>
      <w:pPr>
        <w:ind w:left="9168" w:hanging="360"/>
      </w:pPr>
    </w:lvl>
    <w:lvl w:ilvl="8" w:tplc="0C09001B" w:tentative="1">
      <w:start w:val="1"/>
      <w:numFmt w:val="lowerRoman"/>
      <w:lvlText w:val="%9."/>
      <w:lvlJc w:val="right"/>
      <w:pPr>
        <w:ind w:left="9888" w:hanging="180"/>
      </w:p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536238"/>
    <w:multiLevelType w:val="hybridMultilevel"/>
    <w:tmpl w:val="B94C20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6D47DC"/>
    <w:multiLevelType w:val="hybridMultilevel"/>
    <w:tmpl w:val="2424D2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D71CE4"/>
    <w:multiLevelType w:val="hybridMultilevel"/>
    <w:tmpl w:val="01880C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08F0263"/>
    <w:multiLevelType w:val="hybridMultilevel"/>
    <w:tmpl w:val="98849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8D67A6"/>
    <w:multiLevelType w:val="hybridMultilevel"/>
    <w:tmpl w:val="697AE0FA"/>
    <w:lvl w:ilvl="0" w:tplc="04090001">
      <w:start w:val="1"/>
      <w:numFmt w:val="bullet"/>
      <w:pStyle w:val="ListParagraph"/>
      <w:lvlText w:val=""/>
      <w:lvlJc w:val="left"/>
      <w:pPr>
        <w:ind w:left="1080" w:hanging="360"/>
      </w:pPr>
      <w:rPr>
        <w:rFonts w:ascii="Symbol" w:hAnsi="Symbol" w:hint="default"/>
      </w:rPr>
    </w:lvl>
    <w:lvl w:ilvl="1" w:tplc="A3464020">
      <w:numFmt w:val="bullet"/>
      <w:lvlText w:val="•"/>
      <w:lvlJc w:val="left"/>
      <w:pPr>
        <w:ind w:left="2160" w:hanging="72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F4D789F"/>
    <w:multiLevelType w:val="multilevel"/>
    <w:tmpl w:val="9DFC70B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5FF6086"/>
    <w:multiLevelType w:val="hybridMultilevel"/>
    <w:tmpl w:val="74F42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933D41"/>
    <w:multiLevelType w:val="hybridMultilevel"/>
    <w:tmpl w:val="743CC5A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A5F2F1B"/>
    <w:multiLevelType w:val="hybridMultilevel"/>
    <w:tmpl w:val="CADCE54A"/>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BA3416"/>
    <w:multiLevelType w:val="hybridMultilevel"/>
    <w:tmpl w:val="FCD2B78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E661499"/>
    <w:multiLevelType w:val="hybridMultilevel"/>
    <w:tmpl w:val="B1A48BCC"/>
    <w:lvl w:ilvl="0" w:tplc="9D58C7A0">
      <w:start w:val="1"/>
      <w:numFmt w:val="bullet"/>
      <w:lvlText w:val="•"/>
      <w:lvlJc w:val="left"/>
      <w:pPr>
        <w:tabs>
          <w:tab w:val="num" w:pos="720"/>
        </w:tabs>
        <w:ind w:left="720" w:hanging="360"/>
      </w:pPr>
      <w:rPr>
        <w:rFonts w:ascii="Arial" w:hAnsi="Arial" w:hint="default"/>
      </w:rPr>
    </w:lvl>
    <w:lvl w:ilvl="1" w:tplc="F002225C" w:tentative="1">
      <w:start w:val="1"/>
      <w:numFmt w:val="bullet"/>
      <w:lvlText w:val="•"/>
      <w:lvlJc w:val="left"/>
      <w:pPr>
        <w:tabs>
          <w:tab w:val="num" w:pos="1440"/>
        </w:tabs>
        <w:ind w:left="1440" w:hanging="360"/>
      </w:pPr>
      <w:rPr>
        <w:rFonts w:ascii="Arial" w:hAnsi="Arial" w:hint="default"/>
      </w:rPr>
    </w:lvl>
    <w:lvl w:ilvl="2" w:tplc="8D5EF944" w:tentative="1">
      <w:start w:val="1"/>
      <w:numFmt w:val="bullet"/>
      <w:lvlText w:val="•"/>
      <w:lvlJc w:val="left"/>
      <w:pPr>
        <w:tabs>
          <w:tab w:val="num" w:pos="2160"/>
        </w:tabs>
        <w:ind w:left="2160" w:hanging="360"/>
      </w:pPr>
      <w:rPr>
        <w:rFonts w:ascii="Arial" w:hAnsi="Arial" w:hint="default"/>
      </w:rPr>
    </w:lvl>
    <w:lvl w:ilvl="3" w:tplc="65BE8E7E" w:tentative="1">
      <w:start w:val="1"/>
      <w:numFmt w:val="bullet"/>
      <w:lvlText w:val="•"/>
      <w:lvlJc w:val="left"/>
      <w:pPr>
        <w:tabs>
          <w:tab w:val="num" w:pos="2880"/>
        </w:tabs>
        <w:ind w:left="2880" w:hanging="360"/>
      </w:pPr>
      <w:rPr>
        <w:rFonts w:ascii="Arial" w:hAnsi="Arial" w:hint="default"/>
      </w:rPr>
    </w:lvl>
    <w:lvl w:ilvl="4" w:tplc="DF7C3E82" w:tentative="1">
      <w:start w:val="1"/>
      <w:numFmt w:val="bullet"/>
      <w:lvlText w:val="•"/>
      <w:lvlJc w:val="left"/>
      <w:pPr>
        <w:tabs>
          <w:tab w:val="num" w:pos="3600"/>
        </w:tabs>
        <w:ind w:left="3600" w:hanging="360"/>
      </w:pPr>
      <w:rPr>
        <w:rFonts w:ascii="Arial" w:hAnsi="Arial" w:hint="default"/>
      </w:rPr>
    </w:lvl>
    <w:lvl w:ilvl="5" w:tplc="553EBBCE" w:tentative="1">
      <w:start w:val="1"/>
      <w:numFmt w:val="bullet"/>
      <w:lvlText w:val="•"/>
      <w:lvlJc w:val="left"/>
      <w:pPr>
        <w:tabs>
          <w:tab w:val="num" w:pos="4320"/>
        </w:tabs>
        <w:ind w:left="4320" w:hanging="360"/>
      </w:pPr>
      <w:rPr>
        <w:rFonts w:ascii="Arial" w:hAnsi="Arial" w:hint="default"/>
      </w:rPr>
    </w:lvl>
    <w:lvl w:ilvl="6" w:tplc="3D5431AC" w:tentative="1">
      <w:start w:val="1"/>
      <w:numFmt w:val="bullet"/>
      <w:lvlText w:val="•"/>
      <w:lvlJc w:val="left"/>
      <w:pPr>
        <w:tabs>
          <w:tab w:val="num" w:pos="5040"/>
        </w:tabs>
        <w:ind w:left="5040" w:hanging="360"/>
      </w:pPr>
      <w:rPr>
        <w:rFonts w:ascii="Arial" w:hAnsi="Arial" w:hint="default"/>
      </w:rPr>
    </w:lvl>
    <w:lvl w:ilvl="7" w:tplc="0AD0409E" w:tentative="1">
      <w:start w:val="1"/>
      <w:numFmt w:val="bullet"/>
      <w:lvlText w:val="•"/>
      <w:lvlJc w:val="left"/>
      <w:pPr>
        <w:tabs>
          <w:tab w:val="num" w:pos="5760"/>
        </w:tabs>
        <w:ind w:left="5760" w:hanging="360"/>
      </w:pPr>
      <w:rPr>
        <w:rFonts w:ascii="Arial" w:hAnsi="Arial" w:hint="default"/>
      </w:rPr>
    </w:lvl>
    <w:lvl w:ilvl="8" w:tplc="42B4686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4D033C"/>
    <w:multiLevelType w:val="multilevel"/>
    <w:tmpl w:val="8E827C34"/>
    <w:lvl w:ilvl="0">
      <w:start w:val="1"/>
      <w:numFmt w:val="decimal"/>
      <w:pStyle w:val="2-SectionHeading"/>
      <w:lvlText w:val="%1"/>
      <w:lvlJc w:val="left"/>
      <w:pPr>
        <w:ind w:left="720" w:hanging="720"/>
      </w:pPr>
      <w:rPr>
        <w:rFonts w:hint="default"/>
        <w:b/>
        <w:i w:val="0"/>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8"/>
  </w:num>
  <w:num w:numId="2">
    <w:abstractNumId w:val="19"/>
  </w:num>
  <w:num w:numId="3">
    <w:abstractNumId w:val="20"/>
  </w:num>
  <w:num w:numId="4">
    <w:abstractNumId w:val="0"/>
  </w:num>
  <w:num w:numId="5">
    <w:abstractNumId w:val="9"/>
  </w:num>
  <w:num w:numId="6">
    <w:abstractNumId w:val="6"/>
  </w:num>
  <w:num w:numId="7">
    <w:abstractNumId w:val="21"/>
  </w:num>
  <w:num w:numId="8">
    <w:abstractNumId w:val="5"/>
  </w:num>
  <w:num w:numId="9">
    <w:abstractNumId w:val="7"/>
  </w:num>
  <w:num w:numId="10">
    <w:abstractNumId w:val="26"/>
  </w:num>
  <w:num w:numId="11">
    <w:abstractNumId w:val="12"/>
  </w:num>
  <w:num w:numId="12">
    <w:abstractNumId w:val="25"/>
  </w:num>
  <w:num w:numId="13">
    <w:abstractNumId w:val="3"/>
  </w:num>
  <w:num w:numId="14">
    <w:abstractNumId w:val="28"/>
  </w:num>
  <w:num w:numId="15">
    <w:abstractNumId w:val="28"/>
  </w:num>
  <w:num w:numId="16">
    <w:abstractNumId w:val="28"/>
  </w:num>
  <w:num w:numId="17">
    <w:abstractNumId w:val="28"/>
  </w:num>
  <w:num w:numId="18">
    <w:abstractNumId w:val="28"/>
  </w:num>
  <w:num w:numId="19">
    <w:abstractNumId w:val="28"/>
  </w:num>
  <w:num w:numId="20">
    <w:abstractNumId w:val="22"/>
  </w:num>
  <w:num w:numId="21">
    <w:abstractNumId w:val="4"/>
  </w:num>
  <w:num w:numId="22">
    <w:abstractNumId w:val="1"/>
  </w:num>
  <w:num w:numId="23">
    <w:abstractNumId w:val="13"/>
  </w:num>
  <w:num w:numId="24">
    <w:abstractNumId w:val="16"/>
  </w:num>
  <w:num w:numId="25">
    <w:abstractNumId w:val="11"/>
  </w:num>
  <w:num w:numId="26">
    <w:abstractNumId w:val="28"/>
  </w:num>
  <w:num w:numId="27">
    <w:abstractNumId w:val="28"/>
  </w:num>
  <w:num w:numId="28">
    <w:abstractNumId w:val="2"/>
  </w:num>
  <w:num w:numId="29">
    <w:abstractNumId w:val="28"/>
  </w:num>
  <w:num w:numId="30">
    <w:abstractNumId w:val="27"/>
  </w:num>
  <w:num w:numId="31">
    <w:abstractNumId w:val="23"/>
  </w:num>
  <w:num w:numId="32">
    <w:abstractNumId w:val="28"/>
  </w:num>
  <w:num w:numId="33">
    <w:abstractNumId w:val="18"/>
  </w:num>
  <w:num w:numId="34">
    <w:abstractNumId w:val="17"/>
  </w:num>
  <w:num w:numId="35">
    <w:abstractNumId w:val="24"/>
  </w:num>
  <w:num w:numId="36">
    <w:abstractNumId w:val="14"/>
  </w:num>
  <w:num w:numId="37">
    <w:abstractNumId w:val="15"/>
  </w:num>
  <w:num w:numId="38">
    <w:abstractNumId w:val="8"/>
  </w:num>
  <w:num w:numId="39">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02C"/>
    <w:rsid w:val="000004F3"/>
    <w:rsid w:val="00000790"/>
    <w:rsid w:val="00000A25"/>
    <w:rsid w:val="00000E25"/>
    <w:rsid w:val="0000110B"/>
    <w:rsid w:val="00001C2E"/>
    <w:rsid w:val="00002725"/>
    <w:rsid w:val="00003499"/>
    <w:rsid w:val="00003670"/>
    <w:rsid w:val="000037CB"/>
    <w:rsid w:val="000038DE"/>
    <w:rsid w:val="000039B7"/>
    <w:rsid w:val="00003E01"/>
    <w:rsid w:val="00004C56"/>
    <w:rsid w:val="00004EA1"/>
    <w:rsid w:val="00005B9D"/>
    <w:rsid w:val="0000639A"/>
    <w:rsid w:val="00006C3E"/>
    <w:rsid w:val="00006CAD"/>
    <w:rsid w:val="0000746A"/>
    <w:rsid w:val="00007992"/>
    <w:rsid w:val="000079C3"/>
    <w:rsid w:val="00007A8B"/>
    <w:rsid w:val="00007C30"/>
    <w:rsid w:val="00007FB8"/>
    <w:rsid w:val="00010189"/>
    <w:rsid w:val="00010984"/>
    <w:rsid w:val="00010CF3"/>
    <w:rsid w:val="00011082"/>
    <w:rsid w:val="0001109B"/>
    <w:rsid w:val="00011AA3"/>
    <w:rsid w:val="000122C0"/>
    <w:rsid w:val="000123CF"/>
    <w:rsid w:val="00012C6C"/>
    <w:rsid w:val="00012DCE"/>
    <w:rsid w:val="0001302C"/>
    <w:rsid w:val="00013247"/>
    <w:rsid w:val="0001472A"/>
    <w:rsid w:val="000149CD"/>
    <w:rsid w:val="00014F99"/>
    <w:rsid w:val="00015886"/>
    <w:rsid w:val="00016049"/>
    <w:rsid w:val="000162E4"/>
    <w:rsid w:val="000162EF"/>
    <w:rsid w:val="00016863"/>
    <w:rsid w:val="00017098"/>
    <w:rsid w:val="00017607"/>
    <w:rsid w:val="00017CDC"/>
    <w:rsid w:val="000207C9"/>
    <w:rsid w:val="00020B05"/>
    <w:rsid w:val="00021832"/>
    <w:rsid w:val="0002225F"/>
    <w:rsid w:val="00022573"/>
    <w:rsid w:val="000226D1"/>
    <w:rsid w:val="00023448"/>
    <w:rsid w:val="00023763"/>
    <w:rsid w:val="00023912"/>
    <w:rsid w:val="000249BF"/>
    <w:rsid w:val="000251BC"/>
    <w:rsid w:val="00025D7A"/>
    <w:rsid w:val="00026015"/>
    <w:rsid w:val="0002704B"/>
    <w:rsid w:val="000274B8"/>
    <w:rsid w:val="000276B4"/>
    <w:rsid w:val="000301BE"/>
    <w:rsid w:val="0003068D"/>
    <w:rsid w:val="00030877"/>
    <w:rsid w:val="00030AB1"/>
    <w:rsid w:val="00030B0A"/>
    <w:rsid w:val="00030B0D"/>
    <w:rsid w:val="00030F59"/>
    <w:rsid w:val="000312C6"/>
    <w:rsid w:val="000313CD"/>
    <w:rsid w:val="000314B5"/>
    <w:rsid w:val="00032084"/>
    <w:rsid w:val="00032C43"/>
    <w:rsid w:val="0003307A"/>
    <w:rsid w:val="000334D5"/>
    <w:rsid w:val="000337D8"/>
    <w:rsid w:val="00033863"/>
    <w:rsid w:val="00034921"/>
    <w:rsid w:val="00034D62"/>
    <w:rsid w:val="00035609"/>
    <w:rsid w:val="000358CD"/>
    <w:rsid w:val="00035DC0"/>
    <w:rsid w:val="00035F7A"/>
    <w:rsid w:val="00036372"/>
    <w:rsid w:val="00036829"/>
    <w:rsid w:val="00036D50"/>
    <w:rsid w:val="00036EDF"/>
    <w:rsid w:val="00037425"/>
    <w:rsid w:val="00037819"/>
    <w:rsid w:val="00037D18"/>
    <w:rsid w:val="000407BC"/>
    <w:rsid w:val="00040895"/>
    <w:rsid w:val="00040B88"/>
    <w:rsid w:val="000414C5"/>
    <w:rsid w:val="00041749"/>
    <w:rsid w:val="0004174A"/>
    <w:rsid w:val="000418CD"/>
    <w:rsid w:val="000419AA"/>
    <w:rsid w:val="00041C11"/>
    <w:rsid w:val="000432D9"/>
    <w:rsid w:val="000435EE"/>
    <w:rsid w:val="00043A08"/>
    <w:rsid w:val="00043C37"/>
    <w:rsid w:val="000441C5"/>
    <w:rsid w:val="0004448D"/>
    <w:rsid w:val="0004465C"/>
    <w:rsid w:val="00044D16"/>
    <w:rsid w:val="00044E5F"/>
    <w:rsid w:val="00045017"/>
    <w:rsid w:val="00045A2B"/>
    <w:rsid w:val="00045D0D"/>
    <w:rsid w:val="00045D9E"/>
    <w:rsid w:val="0004698F"/>
    <w:rsid w:val="00047527"/>
    <w:rsid w:val="000478BC"/>
    <w:rsid w:val="00047F83"/>
    <w:rsid w:val="0005025C"/>
    <w:rsid w:val="000509CA"/>
    <w:rsid w:val="0005177E"/>
    <w:rsid w:val="00051CDD"/>
    <w:rsid w:val="00051EE9"/>
    <w:rsid w:val="000539D0"/>
    <w:rsid w:val="00053C53"/>
    <w:rsid w:val="00054428"/>
    <w:rsid w:val="00054621"/>
    <w:rsid w:val="000546D7"/>
    <w:rsid w:val="000557C1"/>
    <w:rsid w:val="000560B4"/>
    <w:rsid w:val="000567EA"/>
    <w:rsid w:val="00056ECF"/>
    <w:rsid w:val="00057F02"/>
    <w:rsid w:val="000604DF"/>
    <w:rsid w:val="00061160"/>
    <w:rsid w:val="00061ACC"/>
    <w:rsid w:val="00061FFB"/>
    <w:rsid w:val="0006208A"/>
    <w:rsid w:val="00062434"/>
    <w:rsid w:val="00062504"/>
    <w:rsid w:val="0006258C"/>
    <w:rsid w:val="00062739"/>
    <w:rsid w:val="00062A76"/>
    <w:rsid w:val="0006387F"/>
    <w:rsid w:val="00064953"/>
    <w:rsid w:val="00064D85"/>
    <w:rsid w:val="00064EAB"/>
    <w:rsid w:val="00065387"/>
    <w:rsid w:val="000653B5"/>
    <w:rsid w:val="0006624A"/>
    <w:rsid w:val="00066360"/>
    <w:rsid w:val="00066803"/>
    <w:rsid w:val="00066AF8"/>
    <w:rsid w:val="000677CC"/>
    <w:rsid w:val="00067CB3"/>
    <w:rsid w:val="00067E6E"/>
    <w:rsid w:val="000701F4"/>
    <w:rsid w:val="000709EF"/>
    <w:rsid w:val="00071248"/>
    <w:rsid w:val="000712C8"/>
    <w:rsid w:val="00071771"/>
    <w:rsid w:val="00071D43"/>
    <w:rsid w:val="0007207A"/>
    <w:rsid w:val="000720B9"/>
    <w:rsid w:val="000721CA"/>
    <w:rsid w:val="00072814"/>
    <w:rsid w:val="00072E7D"/>
    <w:rsid w:val="00072F71"/>
    <w:rsid w:val="000737F7"/>
    <w:rsid w:val="00073E97"/>
    <w:rsid w:val="00074260"/>
    <w:rsid w:val="00075B52"/>
    <w:rsid w:val="0007672F"/>
    <w:rsid w:val="00076B54"/>
    <w:rsid w:val="00076C9A"/>
    <w:rsid w:val="00077222"/>
    <w:rsid w:val="000774F0"/>
    <w:rsid w:val="00077559"/>
    <w:rsid w:val="000779F2"/>
    <w:rsid w:val="00077D5A"/>
    <w:rsid w:val="000800A5"/>
    <w:rsid w:val="0008024F"/>
    <w:rsid w:val="000803CD"/>
    <w:rsid w:val="00080909"/>
    <w:rsid w:val="00080EB3"/>
    <w:rsid w:val="000812CA"/>
    <w:rsid w:val="00081DF5"/>
    <w:rsid w:val="00081E63"/>
    <w:rsid w:val="00082418"/>
    <w:rsid w:val="0008258D"/>
    <w:rsid w:val="00082E01"/>
    <w:rsid w:val="00082EFD"/>
    <w:rsid w:val="00082FFC"/>
    <w:rsid w:val="00083408"/>
    <w:rsid w:val="0008356D"/>
    <w:rsid w:val="00083E99"/>
    <w:rsid w:val="000845F0"/>
    <w:rsid w:val="00084690"/>
    <w:rsid w:val="00084C67"/>
    <w:rsid w:val="00084FA8"/>
    <w:rsid w:val="000856C5"/>
    <w:rsid w:val="00085C31"/>
    <w:rsid w:val="0008616F"/>
    <w:rsid w:val="000866B2"/>
    <w:rsid w:val="00086989"/>
    <w:rsid w:val="00086AF1"/>
    <w:rsid w:val="000902D9"/>
    <w:rsid w:val="00090355"/>
    <w:rsid w:val="00090C7E"/>
    <w:rsid w:val="00091428"/>
    <w:rsid w:val="00091F40"/>
    <w:rsid w:val="00092600"/>
    <w:rsid w:val="0009262B"/>
    <w:rsid w:val="000927CD"/>
    <w:rsid w:val="000928A5"/>
    <w:rsid w:val="00092A71"/>
    <w:rsid w:val="00092B3E"/>
    <w:rsid w:val="00092FF5"/>
    <w:rsid w:val="000931E0"/>
    <w:rsid w:val="00093310"/>
    <w:rsid w:val="0009389C"/>
    <w:rsid w:val="00094204"/>
    <w:rsid w:val="0009445C"/>
    <w:rsid w:val="0009458C"/>
    <w:rsid w:val="00094790"/>
    <w:rsid w:val="00094928"/>
    <w:rsid w:val="00095200"/>
    <w:rsid w:val="0009562E"/>
    <w:rsid w:val="000959E2"/>
    <w:rsid w:val="00095A8E"/>
    <w:rsid w:val="00095F14"/>
    <w:rsid w:val="00095FE5"/>
    <w:rsid w:val="00096219"/>
    <w:rsid w:val="00096284"/>
    <w:rsid w:val="00096D59"/>
    <w:rsid w:val="00097489"/>
    <w:rsid w:val="0009785E"/>
    <w:rsid w:val="00097C14"/>
    <w:rsid w:val="000A0B3C"/>
    <w:rsid w:val="000A1BC0"/>
    <w:rsid w:val="000A21B6"/>
    <w:rsid w:val="000A221B"/>
    <w:rsid w:val="000A239C"/>
    <w:rsid w:val="000A257B"/>
    <w:rsid w:val="000A2776"/>
    <w:rsid w:val="000A278A"/>
    <w:rsid w:val="000A2795"/>
    <w:rsid w:val="000A3242"/>
    <w:rsid w:val="000A3DAC"/>
    <w:rsid w:val="000A465E"/>
    <w:rsid w:val="000A5777"/>
    <w:rsid w:val="000A6039"/>
    <w:rsid w:val="000A6169"/>
    <w:rsid w:val="000A6837"/>
    <w:rsid w:val="000A6AD0"/>
    <w:rsid w:val="000A6E9E"/>
    <w:rsid w:val="000A70FE"/>
    <w:rsid w:val="000A7453"/>
    <w:rsid w:val="000A7D08"/>
    <w:rsid w:val="000B0019"/>
    <w:rsid w:val="000B0121"/>
    <w:rsid w:val="000B0318"/>
    <w:rsid w:val="000B04E0"/>
    <w:rsid w:val="000B0670"/>
    <w:rsid w:val="000B0E75"/>
    <w:rsid w:val="000B1724"/>
    <w:rsid w:val="000B18F9"/>
    <w:rsid w:val="000B2DCB"/>
    <w:rsid w:val="000B35ED"/>
    <w:rsid w:val="000B383D"/>
    <w:rsid w:val="000B39F6"/>
    <w:rsid w:val="000B533B"/>
    <w:rsid w:val="000B5CE0"/>
    <w:rsid w:val="000B5D73"/>
    <w:rsid w:val="000B6459"/>
    <w:rsid w:val="000B6CAC"/>
    <w:rsid w:val="000B7612"/>
    <w:rsid w:val="000B78AE"/>
    <w:rsid w:val="000C0276"/>
    <w:rsid w:val="000C02EB"/>
    <w:rsid w:val="000C0393"/>
    <w:rsid w:val="000C082C"/>
    <w:rsid w:val="000C0980"/>
    <w:rsid w:val="000C1109"/>
    <w:rsid w:val="000C16FE"/>
    <w:rsid w:val="000C2358"/>
    <w:rsid w:val="000C349F"/>
    <w:rsid w:val="000C3DF9"/>
    <w:rsid w:val="000C4AA2"/>
    <w:rsid w:val="000C4CDB"/>
    <w:rsid w:val="000C5336"/>
    <w:rsid w:val="000C54B5"/>
    <w:rsid w:val="000C5826"/>
    <w:rsid w:val="000C6713"/>
    <w:rsid w:val="000C6A03"/>
    <w:rsid w:val="000C73C0"/>
    <w:rsid w:val="000C7453"/>
    <w:rsid w:val="000C7524"/>
    <w:rsid w:val="000C7E91"/>
    <w:rsid w:val="000D0CD4"/>
    <w:rsid w:val="000D1BFC"/>
    <w:rsid w:val="000D1C7B"/>
    <w:rsid w:val="000D1D5D"/>
    <w:rsid w:val="000D1FAF"/>
    <w:rsid w:val="000D2377"/>
    <w:rsid w:val="000D281A"/>
    <w:rsid w:val="000D2848"/>
    <w:rsid w:val="000D2893"/>
    <w:rsid w:val="000D326A"/>
    <w:rsid w:val="000D3B5F"/>
    <w:rsid w:val="000D3C2E"/>
    <w:rsid w:val="000D432F"/>
    <w:rsid w:val="000D46EB"/>
    <w:rsid w:val="000D48A7"/>
    <w:rsid w:val="000D4FB3"/>
    <w:rsid w:val="000D51FB"/>
    <w:rsid w:val="000D58E2"/>
    <w:rsid w:val="000D5D49"/>
    <w:rsid w:val="000D6912"/>
    <w:rsid w:val="000D7A51"/>
    <w:rsid w:val="000D7B99"/>
    <w:rsid w:val="000D7D35"/>
    <w:rsid w:val="000E0640"/>
    <w:rsid w:val="000E0BE4"/>
    <w:rsid w:val="000E0FDA"/>
    <w:rsid w:val="000E11E4"/>
    <w:rsid w:val="000E135D"/>
    <w:rsid w:val="000E14CE"/>
    <w:rsid w:val="000E17BD"/>
    <w:rsid w:val="000E238D"/>
    <w:rsid w:val="000E28FF"/>
    <w:rsid w:val="000E35D8"/>
    <w:rsid w:val="000E3F1F"/>
    <w:rsid w:val="000E4F32"/>
    <w:rsid w:val="000E626C"/>
    <w:rsid w:val="000E6AD8"/>
    <w:rsid w:val="000F00BA"/>
    <w:rsid w:val="000F0784"/>
    <w:rsid w:val="000F1B85"/>
    <w:rsid w:val="000F1E60"/>
    <w:rsid w:val="000F2948"/>
    <w:rsid w:val="000F316A"/>
    <w:rsid w:val="000F31CA"/>
    <w:rsid w:val="000F374F"/>
    <w:rsid w:val="000F3884"/>
    <w:rsid w:val="000F3BE5"/>
    <w:rsid w:val="000F3C74"/>
    <w:rsid w:val="000F3C79"/>
    <w:rsid w:val="000F4B54"/>
    <w:rsid w:val="000F4BB8"/>
    <w:rsid w:val="000F4D8B"/>
    <w:rsid w:val="000F4FA9"/>
    <w:rsid w:val="000F518E"/>
    <w:rsid w:val="000F53FB"/>
    <w:rsid w:val="000F6007"/>
    <w:rsid w:val="000F6360"/>
    <w:rsid w:val="000F7127"/>
    <w:rsid w:val="000F7B54"/>
    <w:rsid w:val="000F7C67"/>
    <w:rsid w:val="00100214"/>
    <w:rsid w:val="0010022A"/>
    <w:rsid w:val="001002DE"/>
    <w:rsid w:val="00100F8A"/>
    <w:rsid w:val="0010133E"/>
    <w:rsid w:val="001013CE"/>
    <w:rsid w:val="001017E4"/>
    <w:rsid w:val="00101B65"/>
    <w:rsid w:val="00102AE1"/>
    <w:rsid w:val="0010403D"/>
    <w:rsid w:val="0010452E"/>
    <w:rsid w:val="00104749"/>
    <w:rsid w:val="00104AD7"/>
    <w:rsid w:val="00105AE2"/>
    <w:rsid w:val="001060C6"/>
    <w:rsid w:val="001062DA"/>
    <w:rsid w:val="00106B80"/>
    <w:rsid w:val="00107FEB"/>
    <w:rsid w:val="0011032E"/>
    <w:rsid w:val="0011133D"/>
    <w:rsid w:val="00111433"/>
    <w:rsid w:val="00112997"/>
    <w:rsid w:val="001129AB"/>
    <w:rsid w:val="00112E34"/>
    <w:rsid w:val="00112FA9"/>
    <w:rsid w:val="00112FEB"/>
    <w:rsid w:val="0011348B"/>
    <w:rsid w:val="00113889"/>
    <w:rsid w:val="00113BB1"/>
    <w:rsid w:val="0011492F"/>
    <w:rsid w:val="00115982"/>
    <w:rsid w:val="00115BE2"/>
    <w:rsid w:val="00116C53"/>
    <w:rsid w:val="00121799"/>
    <w:rsid w:val="00121EB0"/>
    <w:rsid w:val="001221CE"/>
    <w:rsid w:val="001222FC"/>
    <w:rsid w:val="0012268F"/>
    <w:rsid w:val="00122AE8"/>
    <w:rsid w:val="00122C56"/>
    <w:rsid w:val="00122EB7"/>
    <w:rsid w:val="00123902"/>
    <w:rsid w:val="00123D5B"/>
    <w:rsid w:val="001243F6"/>
    <w:rsid w:val="00124A51"/>
    <w:rsid w:val="0012645D"/>
    <w:rsid w:val="00126621"/>
    <w:rsid w:val="001268FD"/>
    <w:rsid w:val="00126B1D"/>
    <w:rsid w:val="00126D5D"/>
    <w:rsid w:val="0012788E"/>
    <w:rsid w:val="00127DB5"/>
    <w:rsid w:val="001301E9"/>
    <w:rsid w:val="001304B0"/>
    <w:rsid w:val="00131306"/>
    <w:rsid w:val="0013150A"/>
    <w:rsid w:val="00131D82"/>
    <w:rsid w:val="00131EFE"/>
    <w:rsid w:val="00132157"/>
    <w:rsid w:val="00132B22"/>
    <w:rsid w:val="00132B56"/>
    <w:rsid w:val="00133716"/>
    <w:rsid w:val="00133D36"/>
    <w:rsid w:val="00134929"/>
    <w:rsid w:val="001353F5"/>
    <w:rsid w:val="00135659"/>
    <w:rsid w:val="00135960"/>
    <w:rsid w:val="00135FA5"/>
    <w:rsid w:val="001367A6"/>
    <w:rsid w:val="001371F7"/>
    <w:rsid w:val="00137361"/>
    <w:rsid w:val="001375B8"/>
    <w:rsid w:val="001375BD"/>
    <w:rsid w:val="00137645"/>
    <w:rsid w:val="001378A6"/>
    <w:rsid w:val="00137D25"/>
    <w:rsid w:val="0014015A"/>
    <w:rsid w:val="00140E99"/>
    <w:rsid w:val="00141C86"/>
    <w:rsid w:val="00142939"/>
    <w:rsid w:val="0014399C"/>
    <w:rsid w:val="00143F67"/>
    <w:rsid w:val="00144CC7"/>
    <w:rsid w:val="00145540"/>
    <w:rsid w:val="0014557F"/>
    <w:rsid w:val="001456B0"/>
    <w:rsid w:val="00145EC5"/>
    <w:rsid w:val="00146F89"/>
    <w:rsid w:val="00147812"/>
    <w:rsid w:val="00150305"/>
    <w:rsid w:val="001505CB"/>
    <w:rsid w:val="00150899"/>
    <w:rsid w:val="001518CD"/>
    <w:rsid w:val="00151D4B"/>
    <w:rsid w:val="00151EBE"/>
    <w:rsid w:val="00154211"/>
    <w:rsid w:val="001546A1"/>
    <w:rsid w:val="001546E0"/>
    <w:rsid w:val="00154773"/>
    <w:rsid w:val="0015483C"/>
    <w:rsid w:val="00154B85"/>
    <w:rsid w:val="00154C5D"/>
    <w:rsid w:val="0015521D"/>
    <w:rsid w:val="00155972"/>
    <w:rsid w:val="00156094"/>
    <w:rsid w:val="001563E8"/>
    <w:rsid w:val="00156AC4"/>
    <w:rsid w:val="00156D3D"/>
    <w:rsid w:val="00156F8F"/>
    <w:rsid w:val="00157130"/>
    <w:rsid w:val="001576B1"/>
    <w:rsid w:val="00157921"/>
    <w:rsid w:val="0016047B"/>
    <w:rsid w:val="00160A4C"/>
    <w:rsid w:val="00160B5E"/>
    <w:rsid w:val="00161184"/>
    <w:rsid w:val="00161886"/>
    <w:rsid w:val="00161961"/>
    <w:rsid w:val="001619B8"/>
    <w:rsid w:val="00161E19"/>
    <w:rsid w:val="00162050"/>
    <w:rsid w:val="0016239B"/>
    <w:rsid w:val="00162512"/>
    <w:rsid w:val="00162913"/>
    <w:rsid w:val="00163A9D"/>
    <w:rsid w:val="00163EFF"/>
    <w:rsid w:val="00163F66"/>
    <w:rsid w:val="0016463D"/>
    <w:rsid w:val="00165286"/>
    <w:rsid w:val="00165490"/>
    <w:rsid w:val="00165914"/>
    <w:rsid w:val="00165C0C"/>
    <w:rsid w:val="001661FB"/>
    <w:rsid w:val="00166757"/>
    <w:rsid w:val="00167107"/>
    <w:rsid w:val="001671A0"/>
    <w:rsid w:val="0016767F"/>
    <w:rsid w:val="00167895"/>
    <w:rsid w:val="001679B3"/>
    <w:rsid w:val="00167F77"/>
    <w:rsid w:val="001700ED"/>
    <w:rsid w:val="001701A4"/>
    <w:rsid w:val="001703EA"/>
    <w:rsid w:val="00171060"/>
    <w:rsid w:val="0017130C"/>
    <w:rsid w:val="0017137C"/>
    <w:rsid w:val="00171484"/>
    <w:rsid w:val="00171B1F"/>
    <w:rsid w:val="00172CE7"/>
    <w:rsid w:val="00172D7D"/>
    <w:rsid w:val="00172F4D"/>
    <w:rsid w:val="00173565"/>
    <w:rsid w:val="00173B07"/>
    <w:rsid w:val="00174097"/>
    <w:rsid w:val="0017463E"/>
    <w:rsid w:val="0017480D"/>
    <w:rsid w:val="00174CED"/>
    <w:rsid w:val="001751FA"/>
    <w:rsid w:val="00175283"/>
    <w:rsid w:val="001762D4"/>
    <w:rsid w:val="00176788"/>
    <w:rsid w:val="00176B1E"/>
    <w:rsid w:val="00176E0D"/>
    <w:rsid w:val="001773B0"/>
    <w:rsid w:val="00177410"/>
    <w:rsid w:val="001777D1"/>
    <w:rsid w:val="00177D4E"/>
    <w:rsid w:val="00177E0D"/>
    <w:rsid w:val="0018001D"/>
    <w:rsid w:val="00180359"/>
    <w:rsid w:val="001803E0"/>
    <w:rsid w:val="00180792"/>
    <w:rsid w:val="00181A19"/>
    <w:rsid w:val="00181D9C"/>
    <w:rsid w:val="001825F0"/>
    <w:rsid w:val="001828E6"/>
    <w:rsid w:val="00182BCD"/>
    <w:rsid w:val="00183779"/>
    <w:rsid w:val="00183840"/>
    <w:rsid w:val="0018454A"/>
    <w:rsid w:val="00184B0E"/>
    <w:rsid w:val="00185319"/>
    <w:rsid w:val="00186C30"/>
    <w:rsid w:val="00186F11"/>
    <w:rsid w:val="0018752F"/>
    <w:rsid w:val="00187555"/>
    <w:rsid w:val="001876DD"/>
    <w:rsid w:val="00187BE0"/>
    <w:rsid w:val="001909CD"/>
    <w:rsid w:val="00190D80"/>
    <w:rsid w:val="00190F7D"/>
    <w:rsid w:val="00191371"/>
    <w:rsid w:val="001921F9"/>
    <w:rsid w:val="001929BB"/>
    <w:rsid w:val="00192C19"/>
    <w:rsid w:val="00193838"/>
    <w:rsid w:val="00194AD8"/>
    <w:rsid w:val="00194D85"/>
    <w:rsid w:val="00195222"/>
    <w:rsid w:val="001957BE"/>
    <w:rsid w:val="00195F82"/>
    <w:rsid w:val="001960C5"/>
    <w:rsid w:val="0019671B"/>
    <w:rsid w:val="001969BD"/>
    <w:rsid w:val="001970FF"/>
    <w:rsid w:val="001975D8"/>
    <w:rsid w:val="001977C5"/>
    <w:rsid w:val="001A03F0"/>
    <w:rsid w:val="001A15B2"/>
    <w:rsid w:val="001A178E"/>
    <w:rsid w:val="001A1938"/>
    <w:rsid w:val="001A1B4F"/>
    <w:rsid w:val="001A296D"/>
    <w:rsid w:val="001A2A38"/>
    <w:rsid w:val="001A41BB"/>
    <w:rsid w:val="001A4307"/>
    <w:rsid w:val="001A43FA"/>
    <w:rsid w:val="001A4515"/>
    <w:rsid w:val="001A46BE"/>
    <w:rsid w:val="001A47C5"/>
    <w:rsid w:val="001A5134"/>
    <w:rsid w:val="001A59FB"/>
    <w:rsid w:val="001A5E9E"/>
    <w:rsid w:val="001A6354"/>
    <w:rsid w:val="001A6366"/>
    <w:rsid w:val="001A6417"/>
    <w:rsid w:val="001A6EB2"/>
    <w:rsid w:val="001A72E0"/>
    <w:rsid w:val="001A74AF"/>
    <w:rsid w:val="001A7AE8"/>
    <w:rsid w:val="001B03BB"/>
    <w:rsid w:val="001B18BC"/>
    <w:rsid w:val="001B204E"/>
    <w:rsid w:val="001B2372"/>
    <w:rsid w:val="001B29AD"/>
    <w:rsid w:val="001B2E6F"/>
    <w:rsid w:val="001B2FF4"/>
    <w:rsid w:val="001B302B"/>
    <w:rsid w:val="001B3443"/>
    <w:rsid w:val="001B3AC8"/>
    <w:rsid w:val="001B446F"/>
    <w:rsid w:val="001B4748"/>
    <w:rsid w:val="001B4D20"/>
    <w:rsid w:val="001B522C"/>
    <w:rsid w:val="001B5D35"/>
    <w:rsid w:val="001B76F2"/>
    <w:rsid w:val="001B7EDA"/>
    <w:rsid w:val="001C03E6"/>
    <w:rsid w:val="001C0834"/>
    <w:rsid w:val="001C0F9B"/>
    <w:rsid w:val="001C18B8"/>
    <w:rsid w:val="001C1F87"/>
    <w:rsid w:val="001C1FAE"/>
    <w:rsid w:val="001C2008"/>
    <w:rsid w:val="001C2376"/>
    <w:rsid w:val="001C2A9B"/>
    <w:rsid w:val="001C2F6F"/>
    <w:rsid w:val="001C3881"/>
    <w:rsid w:val="001C4254"/>
    <w:rsid w:val="001C4299"/>
    <w:rsid w:val="001C4874"/>
    <w:rsid w:val="001C4B85"/>
    <w:rsid w:val="001C5066"/>
    <w:rsid w:val="001C537A"/>
    <w:rsid w:val="001C54E8"/>
    <w:rsid w:val="001C590C"/>
    <w:rsid w:val="001C5F94"/>
    <w:rsid w:val="001C6218"/>
    <w:rsid w:val="001C6306"/>
    <w:rsid w:val="001C6A98"/>
    <w:rsid w:val="001C6D8C"/>
    <w:rsid w:val="001C6E66"/>
    <w:rsid w:val="001D0983"/>
    <w:rsid w:val="001D0A7A"/>
    <w:rsid w:val="001D1100"/>
    <w:rsid w:val="001D11E9"/>
    <w:rsid w:val="001D1391"/>
    <w:rsid w:val="001D170C"/>
    <w:rsid w:val="001D2324"/>
    <w:rsid w:val="001D2427"/>
    <w:rsid w:val="001D25D7"/>
    <w:rsid w:val="001D2919"/>
    <w:rsid w:val="001D33E4"/>
    <w:rsid w:val="001D35B1"/>
    <w:rsid w:val="001D36D6"/>
    <w:rsid w:val="001D4F82"/>
    <w:rsid w:val="001D50B2"/>
    <w:rsid w:val="001D5461"/>
    <w:rsid w:val="001D56BA"/>
    <w:rsid w:val="001D5F04"/>
    <w:rsid w:val="001D6055"/>
    <w:rsid w:val="001D69B8"/>
    <w:rsid w:val="001D6B00"/>
    <w:rsid w:val="001D72C0"/>
    <w:rsid w:val="001D7334"/>
    <w:rsid w:val="001D7645"/>
    <w:rsid w:val="001D7BDE"/>
    <w:rsid w:val="001D7C82"/>
    <w:rsid w:val="001E088E"/>
    <w:rsid w:val="001E1956"/>
    <w:rsid w:val="001E1E86"/>
    <w:rsid w:val="001E238E"/>
    <w:rsid w:val="001E2483"/>
    <w:rsid w:val="001E2B1E"/>
    <w:rsid w:val="001E2C75"/>
    <w:rsid w:val="001E2CFF"/>
    <w:rsid w:val="001E2F24"/>
    <w:rsid w:val="001E30D4"/>
    <w:rsid w:val="001E34DF"/>
    <w:rsid w:val="001E3BB6"/>
    <w:rsid w:val="001E3C77"/>
    <w:rsid w:val="001E3F30"/>
    <w:rsid w:val="001E4081"/>
    <w:rsid w:val="001E52EB"/>
    <w:rsid w:val="001E5327"/>
    <w:rsid w:val="001E54EB"/>
    <w:rsid w:val="001E612C"/>
    <w:rsid w:val="001E61D2"/>
    <w:rsid w:val="001E68EB"/>
    <w:rsid w:val="001E7390"/>
    <w:rsid w:val="001E740C"/>
    <w:rsid w:val="001E79B0"/>
    <w:rsid w:val="001F0CA1"/>
    <w:rsid w:val="001F0E6D"/>
    <w:rsid w:val="001F1235"/>
    <w:rsid w:val="001F1CB3"/>
    <w:rsid w:val="001F2E52"/>
    <w:rsid w:val="001F33A2"/>
    <w:rsid w:val="001F36ED"/>
    <w:rsid w:val="001F38B5"/>
    <w:rsid w:val="001F3B88"/>
    <w:rsid w:val="001F4081"/>
    <w:rsid w:val="001F5E1C"/>
    <w:rsid w:val="001F61B5"/>
    <w:rsid w:val="001F6A3B"/>
    <w:rsid w:val="001F6D46"/>
    <w:rsid w:val="001F6E40"/>
    <w:rsid w:val="001F7361"/>
    <w:rsid w:val="001F76EB"/>
    <w:rsid w:val="001F7E34"/>
    <w:rsid w:val="002002D0"/>
    <w:rsid w:val="00200679"/>
    <w:rsid w:val="0020073C"/>
    <w:rsid w:val="002011B0"/>
    <w:rsid w:val="0020150D"/>
    <w:rsid w:val="00201865"/>
    <w:rsid w:val="00201AFA"/>
    <w:rsid w:val="00202105"/>
    <w:rsid w:val="002021F1"/>
    <w:rsid w:val="002023D9"/>
    <w:rsid w:val="0020253D"/>
    <w:rsid w:val="0020260D"/>
    <w:rsid w:val="00202678"/>
    <w:rsid w:val="00202779"/>
    <w:rsid w:val="00202EC5"/>
    <w:rsid w:val="00203181"/>
    <w:rsid w:val="00203308"/>
    <w:rsid w:val="00203457"/>
    <w:rsid w:val="0020377D"/>
    <w:rsid w:val="00203783"/>
    <w:rsid w:val="0020385F"/>
    <w:rsid w:val="00203A22"/>
    <w:rsid w:val="00203C80"/>
    <w:rsid w:val="00205523"/>
    <w:rsid w:val="00206856"/>
    <w:rsid w:val="002068A0"/>
    <w:rsid w:val="00206FE5"/>
    <w:rsid w:val="00207021"/>
    <w:rsid w:val="002071AA"/>
    <w:rsid w:val="0020732F"/>
    <w:rsid w:val="00207870"/>
    <w:rsid w:val="00207C4E"/>
    <w:rsid w:val="00207D00"/>
    <w:rsid w:val="002105C1"/>
    <w:rsid w:val="002132C2"/>
    <w:rsid w:val="002135FA"/>
    <w:rsid w:val="0021364C"/>
    <w:rsid w:val="00213EF5"/>
    <w:rsid w:val="002144E3"/>
    <w:rsid w:val="00214ECC"/>
    <w:rsid w:val="00215443"/>
    <w:rsid w:val="0021584F"/>
    <w:rsid w:val="002159DE"/>
    <w:rsid w:val="00215B64"/>
    <w:rsid w:val="002168FB"/>
    <w:rsid w:val="00216BF5"/>
    <w:rsid w:val="00216FD4"/>
    <w:rsid w:val="00217EB2"/>
    <w:rsid w:val="00222BAA"/>
    <w:rsid w:val="00222C3A"/>
    <w:rsid w:val="00222C47"/>
    <w:rsid w:val="00222ECF"/>
    <w:rsid w:val="00222F95"/>
    <w:rsid w:val="00223B2B"/>
    <w:rsid w:val="00223B49"/>
    <w:rsid w:val="00223D5A"/>
    <w:rsid w:val="002240CC"/>
    <w:rsid w:val="00224144"/>
    <w:rsid w:val="00224C69"/>
    <w:rsid w:val="00224DD4"/>
    <w:rsid w:val="00224FC6"/>
    <w:rsid w:val="0022697D"/>
    <w:rsid w:val="0022760E"/>
    <w:rsid w:val="002278A0"/>
    <w:rsid w:val="002309A2"/>
    <w:rsid w:val="002309CC"/>
    <w:rsid w:val="00230E1F"/>
    <w:rsid w:val="00230ED9"/>
    <w:rsid w:val="0023156E"/>
    <w:rsid w:val="00231A43"/>
    <w:rsid w:val="0023209F"/>
    <w:rsid w:val="0023230C"/>
    <w:rsid w:val="00232730"/>
    <w:rsid w:val="00232915"/>
    <w:rsid w:val="002329E3"/>
    <w:rsid w:val="002339EA"/>
    <w:rsid w:val="00233AF1"/>
    <w:rsid w:val="00233C01"/>
    <w:rsid w:val="0023413C"/>
    <w:rsid w:val="002346F0"/>
    <w:rsid w:val="0023497D"/>
    <w:rsid w:val="0023629D"/>
    <w:rsid w:val="002371E5"/>
    <w:rsid w:val="00237255"/>
    <w:rsid w:val="00237273"/>
    <w:rsid w:val="002376C2"/>
    <w:rsid w:val="002377E0"/>
    <w:rsid w:val="00240305"/>
    <w:rsid w:val="00240B80"/>
    <w:rsid w:val="00240C84"/>
    <w:rsid w:val="00240C9E"/>
    <w:rsid w:val="00240D35"/>
    <w:rsid w:val="00241102"/>
    <w:rsid w:val="00241160"/>
    <w:rsid w:val="0024137A"/>
    <w:rsid w:val="002416A6"/>
    <w:rsid w:val="00241B14"/>
    <w:rsid w:val="002424AF"/>
    <w:rsid w:val="002432B6"/>
    <w:rsid w:val="00243718"/>
    <w:rsid w:val="0024377D"/>
    <w:rsid w:val="002439DC"/>
    <w:rsid w:val="002441D2"/>
    <w:rsid w:val="00244468"/>
    <w:rsid w:val="00244DC8"/>
    <w:rsid w:val="0024523F"/>
    <w:rsid w:val="002458BA"/>
    <w:rsid w:val="00245CE9"/>
    <w:rsid w:val="00245D1D"/>
    <w:rsid w:val="0024636C"/>
    <w:rsid w:val="002463FE"/>
    <w:rsid w:val="0024769A"/>
    <w:rsid w:val="00247925"/>
    <w:rsid w:val="00247E03"/>
    <w:rsid w:val="00247ECC"/>
    <w:rsid w:val="002501CF"/>
    <w:rsid w:val="00250582"/>
    <w:rsid w:val="00250828"/>
    <w:rsid w:val="00251006"/>
    <w:rsid w:val="00251D41"/>
    <w:rsid w:val="00251F70"/>
    <w:rsid w:val="002524D5"/>
    <w:rsid w:val="00252706"/>
    <w:rsid w:val="0025294E"/>
    <w:rsid w:val="00252D98"/>
    <w:rsid w:val="00252F99"/>
    <w:rsid w:val="00253561"/>
    <w:rsid w:val="00253B1D"/>
    <w:rsid w:val="00253F78"/>
    <w:rsid w:val="00254016"/>
    <w:rsid w:val="0025410D"/>
    <w:rsid w:val="002545C8"/>
    <w:rsid w:val="0025464E"/>
    <w:rsid w:val="00254B28"/>
    <w:rsid w:val="00254DCF"/>
    <w:rsid w:val="0025534B"/>
    <w:rsid w:val="00255BB7"/>
    <w:rsid w:val="00257541"/>
    <w:rsid w:val="00257A39"/>
    <w:rsid w:val="00257AC4"/>
    <w:rsid w:val="00257B13"/>
    <w:rsid w:val="00257E30"/>
    <w:rsid w:val="00260029"/>
    <w:rsid w:val="00260CA1"/>
    <w:rsid w:val="00261639"/>
    <w:rsid w:val="002617C3"/>
    <w:rsid w:val="00261EEF"/>
    <w:rsid w:val="002625B2"/>
    <w:rsid w:val="00262958"/>
    <w:rsid w:val="00262A1A"/>
    <w:rsid w:val="00262A87"/>
    <w:rsid w:val="00262AC2"/>
    <w:rsid w:val="00262B42"/>
    <w:rsid w:val="002640A7"/>
    <w:rsid w:val="00264D26"/>
    <w:rsid w:val="00264E35"/>
    <w:rsid w:val="00264F1B"/>
    <w:rsid w:val="00264FE1"/>
    <w:rsid w:val="002657DA"/>
    <w:rsid w:val="00265B30"/>
    <w:rsid w:val="00265CE4"/>
    <w:rsid w:val="00265D00"/>
    <w:rsid w:val="00265DEC"/>
    <w:rsid w:val="00266217"/>
    <w:rsid w:val="00267187"/>
    <w:rsid w:val="00267642"/>
    <w:rsid w:val="00267657"/>
    <w:rsid w:val="002677C3"/>
    <w:rsid w:val="00267AEA"/>
    <w:rsid w:val="002700E6"/>
    <w:rsid w:val="00270FEF"/>
    <w:rsid w:val="002723E3"/>
    <w:rsid w:val="0027251E"/>
    <w:rsid w:val="0027294B"/>
    <w:rsid w:val="00272E08"/>
    <w:rsid w:val="00272E1B"/>
    <w:rsid w:val="00272EE6"/>
    <w:rsid w:val="00272F14"/>
    <w:rsid w:val="00273449"/>
    <w:rsid w:val="002739C0"/>
    <w:rsid w:val="00273E0E"/>
    <w:rsid w:val="00273EB4"/>
    <w:rsid w:val="00273FAA"/>
    <w:rsid w:val="00274281"/>
    <w:rsid w:val="002742EA"/>
    <w:rsid w:val="00274682"/>
    <w:rsid w:val="002749BD"/>
    <w:rsid w:val="00275338"/>
    <w:rsid w:val="00275390"/>
    <w:rsid w:val="00275C5A"/>
    <w:rsid w:val="00275D2E"/>
    <w:rsid w:val="00275FCE"/>
    <w:rsid w:val="002762E4"/>
    <w:rsid w:val="00280F5E"/>
    <w:rsid w:val="00281014"/>
    <w:rsid w:val="002826AB"/>
    <w:rsid w:val="00283777"/>
    <w:rsid w:val="00283CD5"/>
    <w:rsid w:val="00283FAE"/>
    <w:rsid w:val="00284723"/>
    <w:rsid w:val="002849A1"/>
    <w:rsid w:val="00284C4A"/>
    <w:rsid w:val="0028528D"/>
    <w:rsid w:val="0028534E"/>
    <w:rsid w:val="0028562E"/>
    <w:rsid w:val="0028665D"/>
    <w:rsid w:val="00286D75"/>
    <w:rsid w:val="00287333"/>
    <w:rsid w:val="002878D2"/>
    <w:rsid w:val="00287A13"/>
    <w:rsid w:val="00287C13"/>
    <w:rsid w:val="00287D0D"/>
    <w:rsid w:val="00290E80"/>
    <w:rsid w:val="002913E0"/>
    <w:rsid w:val="00292330"/>
    <w:rsid w:val="00292A38"/>
    <w:rsid w:val="00292DD6"/>
    <w:rsid w:val="0029358F"/>
    <w:rsid w:val="00293753"/>
    <w:rsid w:val="00293B8A"/>
    <w:rsid w:val="002943D2"/>
    <w:rsid w:val="002957A9"/>
    <w:rsid w:val="00295CB9"/>
    <w:rsid w:val="0029645E"/>
    <w:rsid w:val="0029665F"/>
    <w:rsid w:val="00296CE7"/>
    <w:rsid w:val="00297497"/>
    <w:rsid w:val="002976E0"/>
    <w:rsid w:val="00297C88"/>
    <w:rsid w:val="00297E00"/>
    <w:rsid w:val="002A0578"/>
    <w:rsid w:val="002A14AB"/>
    <w:rsid w:val="002A16F9"/>
    <w:rsid w:val="002A1841"/>
    <w:rsid w:val="002A1C8B"/>
    <w:rsid w:val="002A2ADE"/>
    <w:rsid w:val="002A2F50"/>
    <w:rsid w:val="002A414C"/>
    <w:rsid w:val="002A42C4"/>
    <w:rsid w:val="002A433C"/>
    <w:rsid w:val="002A43C4"/>
    <w:rsid w:val="002A471A"/>
    <w:rsid w:val="002A57B1"/>
    <w:rsid w:val="002A5D18"/>
    <w:rsid w:val="002A6F4D"/>
    <w:rsid w:val="002A7A07"/>
    <w:rsid w:val="002A7E73"/>
    <w:rsid w:val="002A7E87"/>
    <w:rsid w:val="002B006C"/>
    <w:rsid w:val="002B05A1"/>
    <w:rsid w:val="002B09A4"/>
    <w:rsid w:val="002B111F"/>
    <w:rsid w:val="002B1473"/>
    <w:rsid w:val="002B1702"/>
    <w:rsid w:val="002B1AC3"/>
    <w:rsid w:val="002B1C1F"/>
    <w:rsid w:val="002B1D67"/>
    <w:rsid w:val="002B25B3"/>
    <w:rsid w:val="002B2677"/>
    <w:rsid w:val="002B432F"/>
    <w:rsid w:val="002B5350"/>
    <w:rsid w:val="002B5950"/>
    <w:rsid w:val="002B5EF8"/>
    <w:rsid w:val="002B62B3"/>
    <w:rsid w:val="002B6754"/>
    <w:rsid w:val="002B6965"/>
    <w:rsid w:val="002B6BD9"/>
    <w:rsid w:val="002B6CCE"/>
    <w:rsid w:val="002B714B"/>
    <w:rsid w:val="002B7178"/>
    <w:rsid w:val="002B71FF"/>
    <w:rsid w:val="002B7957"/>
    <w:rsid w:val="002B7A8F"/>
    <w:rsid w:val="002C1CC3"/>
    <w:rsid w:val="002C215E"/>
    <w:rsid w:val="002C2510"/>
    <w:rsid w:val="002C2775"/>
    <w:rsid w:val="002C27C1"/>
    <w:rsid w:val="002C2973"/>
    <w:rsid w:val="002C2AD0"/>
    <w:rsid w:val="002C4C72"/>
    <w:rsid w:val="002C5099"/>
    <w:rsid w:val="002C5443"/>
    <w:rsid w:val="002C5889"/>
    <w:rsid w:val="002C6B2A"/>
    <w:rsid w:val="002C6B9B"/>
    <w:rsid w:val="002C6ECF"/>
    <w:rsid w:val="002C71CE"/>
    <w:rsid w:val="002C7519"/>
    <w:rsid w:val="002D03BA"/>
    <w:rsid w:val="002D08F8"/>
    <w:rsid w:val="002D09BC"/>
    <w:rsid w:val="002D18FD"/>
    <w:rsid w:val="002D2374"/>
    <w:rsid w:val="002D27B1"/>
    <w:rsid w:val="002D28B8"/>
    <w:rsid w:val="002D3049"/>
    <w:rsid w:val="002D35A2"/>
    <w:rsid w:val="002D44A8"/>
    <w:rsid w:val="002D4543"/>
    <w:rsid w:val="002D45C7"/>
    <w:rsid w:val="002D49F3"/>
    <w:rsid w:val="002D4A68"/>
    <w:rsid w:val="002D4B43"/>
    <w:rsid w:val="002D550A"/>
    <w:rsid w:val="002D56B4"/>
    <w:rsid w:val="002D577C"/>
    <w:rsid w:val="002D5BA9"/>
    <w:rsid w:val="002D5E17"/>
    <w:rsid w:val="002D62EC"/>
    <w:rsid w:val="002D63B6"/>
    <w:rsid w:val="002D7D32"/>
    <w:rsid w:val="002E01FA"/>
    <w:rsid w:val="002E04F2"/>
    <w:rsid w:val="002E0A20"/>
    <w:rsid w:val="002E1071"/>
    <w:rsid w:val="002E15B9"/>
    <w:rsid w:val="002E2158"/>
    <w:rsid w:val="002E35EB"/>
    <w:rsid w:val="002E3A3E"/>
    <w:rsid w:val="002E4F02"/>
    <w:rsid w:val="002E7722"/>
    <w:rsid w:val="002F02FE"/>
    <w:rsid w:val="002F07BA"/>
    <w:rsid w:val="002F0A86"/>
    <w:rsid w:val="002F0DA9"/>
    <w:rsid w:val="002F0E0B"/>
    <w:rsid w:val="002F1014"/>
    <w:rsid w:val="002F1B61"/>
    <w:rsid w:val="002F1CC6"/>
    <w:rsid w:val="002F253C"/>
    <w:rsid w:val="002F26A3"/>
    <w:rsid w:val="002F2B06"/>
    <w:rsid w:val="002F32CB"/>
    <w:rsid w:val="002F35AB"/>
    <w:rsid w:val="002F3B3B"/>
    <w:rsid w:val="002F3FD8"/>
    <w:rsid w:val="002F3FEC"/>
    <w:rsid w:val="002F402A"/>
    <w:rsid w:val="002F4AD1"/>
    <w:rsid w:val="002F4E96"/>
    <w:rsid w:val="002F548F"/>
    <w:rsid w:val="002F643C"/>
    <w:rsid w:val="002F67F2"/>
    <w:rsid w:val="002F683F"/>
    <w:rsid w:val="002F71C0"/>
    <w:rsid w:val="002F74F1"/>
    <w:rsid w:val="002F7752"/>
    <w:rsid w:val="002F790A"/>
    <w:rsid w:val="002F7C72"/>
    <w:rsid w:val="00300035"/>
    <w:rsid w:val="00301017"/>
    <w:rsid w:val="0030118B"/>
    <w:rsid w:val="0030155F"/>
    <w:rsid w:val="00301C25"/>
    <w:rsid w:val="00301EEE"/>
    <w:rsid w:val="003034D4"/>
    <w:rsid w:val="00303935"/>
    <w:rsid w:val="00303EEB"/>
    <w:rsid w:val="0030478F"/>
    <w:rsid w:val="00304FFA"/>
    <w:rsid w:val="003050D4"/>
    <w:rsid w:val="0030587B"/>
    <w:rsid w:val="00305F5E"/>
    <w:rsid w:val="00306D98"/>
    <w:rsid w:val="0030786C"/>
    <w:rsid w:val="003100DD"/>
    <w:rsid w:val="0031031A"/>
    <w:rsid w:val="00310600"/>
    <w:rsid w:val="00310981"/>
    <w:rsid w:val="0031125B"/>
    <w:rsid w:val="00311956"/>
    <w:rsid w:val="00311FA7"/>
    <w:rsid w:val="003124D9"/>
    <w:rsid w:val="00312594"/>
    <w:rsid w:val="00312BA6"/>
    <w:rsid w:val="003132D0"/>
    <w:rsid w:val="003146AC"/>
    <w:rsid w:val="0031543C"/>
    <w:rsid w:val="00315498"/>
    <w:rsid w:val="00315968"/>
    <w:rsid w:val="00316025"/>
    <w:rsid w:val="00316474"/>
    <w:rsid w:val="00316653"/>
    <w:rsid w:val="0031697B"/>
    <w:rsid w:val="00316F46"/>
    <w:rsid w:val="00316FB7"/>
    <w:rsid w:val="00317497"/>
    <w:rsid w:val="00317A83"/>
    <w:rsid w:val="00320D0F"/>
    <w:rsid w:val="00320D3F"/>
    <w:rsid w:val="00322107"/>
    <w:rsid w:val="003221B7"/>
    <w:rsid w:val="00322355"/>
    <w:rsid w:val="00322846"/>
    <w:rsid w:val="00322875"/>
    <w:rsid w:val="0032342B"/>
    <w:rsid w:val="00325A49"/>
    <w:rsid w:val="003269AA"/>
    <w:rsid w:val="00326DA7"/>
    <w:rsid w:val="00326F4F"/>
    <w:rsid w:val="003270E4"/>
    <w:rsid w:val="003277FF"/>
    <w:rsid w:val="00327AED"/>
    <w:rsid w:val="00327F0F"/>
    <w:rsid w:val="00330048"/>
    <w:rsid w:val="0033035E"/>
    <w:rsid w:val="00330DAA"/>
    <w:rsid w:val="00330F5C"/>
    <w:rsid w:val="003311A3"/>
    <w:rsid w:val="00331A4C"/>
    <w:rsid w:val="00331D66"/>
    <w:rsid w:val="003341E5"/>
    <w:rsid w:val="00334932"/>
    <w:rsid w:val="00334C0A"/>
    <w:rsid w:val="0033579F"/>
    <w:rsid w:val="00335BD3"/>
    <w:rsid w:val="003362D8"/>
    <w:rsid w:val="003366C9"/>
    <w:rsid w:val="00336958"/>
    <w:rsid w:val="00336C36"/>
    <w:rsid w:val="003371B0"/>
    <w:rsid w:val="0033739E"/>
    <w:rsid w:val="0033744C"/>
    <w:rsid w:val="003378C4"/>
    <w:rsid w:val="00340B53"/>
    <w:rsid w:val="00340CE3"/>
    <w:rsid w:val="00340DF1"/>
    <w:rsid w:val="003411BF"/>
    <w:rsid w:val="00341574"/>
    <w:rsid w:val="00341D25"/>
    <w:rsid w:val="00342232"/>
    <w:rsid w:val="00342CC2"/>
    <w:rsid w:val="0034314A"/>
    <w:rsid w:val="00343F4C"/>
    <w:rsid w:val="00344067"/>
    <w:rsid w:val="00344448"/>
    <w:rsid w:val="003448A6"/>
    <w:rsid w:val="00344A18"/>
    <w:rsid w:val="00344A53"/>
    <w:rsid w:val="00344B47"/>
    <w:rsid w:val="00345BCE"/>
    <w:rsid w:val="00345C7A"/>
    <w:rsid w:val="003471D0"/>
    <w:rsid w:val="0034784B"/>
    <w:rsid w:val="00347F94"/>
    <w:rsid w:val="00350BC1"/>
    <w:rsid w:val="003517F9"/>
    <w:rsid w:val="00351AD8"/>
    <w:rsid w:val="00351BA9"/>
    <w:rsid w:val="00351EAF"/>
    <w:rsid w:val="00351F9E"/>
    <w:rsid w:val="00351FBE"/>
    <w:rsid w:val="0035216C"/>
    <w:rsid w:val="003528AF"/>
    <w:rsid w:val="00352D6F"/>
    <w:rsid w:val="00352F85"/>
    <w:rsid w:val="003533A7"/>
    <w:rsid w:val="003535B2"/>
    <w:rsid w:val="00354F64"/>
    <w:rsid w:val="0035521D"/>
    <w:rsid w:val="00355DB6"/>
    <w:rsid w:val="0035620E"/>
    <w:rsid w:val="00357261"/>
    <w:rsid w:val="003572BA"/>
    <w:rsid w:val="00357F3B"/>
    <w:rsid w:val="00360345"/>
    <w:rsid w:val="0036059F"/>
    <w:rsid w:val="00360981"/>
    <w:rsid w:val="00360B61"/>
    <w:rsid w:val="00360C91"/>
    <w:rsid w:val="00360E34"/>
    <w:rsid w:val="00360EBB"/>
    <w:rsid w:val="00361007"/>
    <w:rsid w:val="003614DA"/>
    <w:rsid w:val="00361A05"/>
    <w:rsid w:val="00361FBF"/>
    <w:rsid w:val="0036215D"/>
    <w:rsid w:val="003623A8"/>
    <w:rsid w:val="003624C4"/>
    <w:rsid w:val="00363B00"/>
    <w:rsid w:val="00363C67"/>
    <w:rsid w:val="003646DF"/>
    <w:rsid w:val="003652AA"/>
    <w:rsid w:val="003654AC"/>
    <w:rsid w:val="0036637C"/>
    <w:rsid w:val="00366FAE"/>
    <w:rsid w:val="0036743D"/>
    <w:rsid w:val="003676ED"/>
    <w:rsid w:val="0036786A"/>
    <w:rsid w:val="00367F70"/>
    <w:rsid w:val="00370538"/>
    <w:rsid w:val="00370627"/>
    <w:rsid w:val="00370DC1"/>
    <w:rsid w:val="003710CF"/>
    <w:rsid w:val="0037153F"/>
    <w:rsid w:val="00372BBD"/>
    <w:rsid w:val="0037358A"/>
    <w:rsid w:val="0037430D"/>
    <w:rsid w:val="00374580"/>
    <w:rsid w:val="00374679"/>
    <w:rsid w:val="003750F6"/>
    <w:rsid w:val="00375845"/>
    <w:rsid w:val="00375F57"/>
    <w:rsid w:val="003760FC"/>
    <w:rsid w:val="00376895"/>
    <w:rsid w:val="00377606"/>
    <w:rsid w:val="00377772"/>
    <w:rsid w:val="00377F49"/>
    <w:rsid w:val="003811E3"/>
    <w:rsid w:val="00381252"/>
    <w:rsid w:val="00381271"/>
    <w:rsid w:val="00381892"/>
    <w:rsid w:val="00382D1C"/>
    <w:rsid w:val="003831D0"/>
    <w:rsid w:val="00383349"/>
    <w:rsid w:val="0038365C"/>
    <w:rsid w:val="0038369B"/>
    <w:rsid w:val="00383B78"/>
    <w:rsid w:val="003844FC"/>
    <w:rsid w:val="00384526"/>
    <w:rsid w:val="00385115"/>
    <w:rsid w:val="00385433"/>
    <w:rsid w:val="00385A9D"/>
    <w:rsid w:val="00386996"/>
    <w:rsid w:val="00386F38"/>
    <w:rsid w:val="00387276"/>
    <w:rsid w:val="003902B1"/>
    <w:rsid w:val="0039179C"/>
    <w:rsid w:val="003917CE"/>
    <w:rsid w:val="00391C87"/>
    <w:rsid w:val="00394F42"/>
    <w:rsid w:val="003953ED"/>
    <w:rsid w:val="00395C13"/>
    <w:rsid w:val="0039636D"/>
    <w:rsid w:val="00396896"/>
    <w:rsid w:val="00396FD0"/>
    <w:rsid w:val="00397300"/>
    <w:rsid w:val="003973EE"/>
    <w:rsid w:val="003A11E4"/>
    <w:rsid w:val="003A1A7A"/>
    <w:rsid w:val="003A2392"/>
    <w:rsid w:val="003A2831"/>
    <w:rsid w:val="003A3CB6"/>
    <w:rsid w:val="003A3D9F"/>
    <w:rsid w:val="003A3ED1"/>
    <w:rsid w:val="003A419A"/>
    <w:rsid w:val="003A44DB"/>
    <w:rsid w:val="003A54B3"/>
    <w:rsid w:val="003A56AC"/>
    <w:rsid w:val="003A57C6"/>
    <w:rsid w:val="003A5AFD"/>
    <w:rsid w:val="003A66D0"/>
    <w:rsid w:val="003A6AF2"/>
    <w:rsid w:val="003A6E07"/>
    <w:rsid w:val="003A7717"/>
    <w:rsid w:val="003A7A84"/>
    <w:rsid w:val="003A7F69"/>
    <w:rsid w:val="003B0141"/>
    <w:rsid w:val="003B0B44"/>
    <w:rsid w:val="003B0D5F"/>
    <w:rsid w:val="003B1B2C"/>
    <w:rsid w:val="003B2106"/>
    <w:rsid w:val="003B3971"/>
    <w:rsid w:val="003B5146"/>
    <w:rsid w:val="003B5280"/>
    <w:rsid w:val="003B55D1"/>
    <w:rsid w:val="003B5B61"/>
    <w:rsid w:val="003B67C1"/>
    <w:rsid w:val="003B7B8C"/>
    <w:rsid w:val="003C0024"/>
    <w:rsid w:val="003C066C"/>
    <w:rsid w:val="003C0AF5"/>
    <w:rsid w:val="003C0D48"/>
    <w:rsid w:val="003C1123"/>
    <w:rsid w:val="003C136D"/>
    <w:rsid w:val="003C15FB"/>
    <w:rsid w:val="003C1654"/>
    <w:rsid w:val="003C1799"/>
    <w:rsid w:val="003C19A9"/>
    <w:rsid w:val="003C1F40"/>
    <w:rsid w:val="003C25BA"/>
    <w:rsid w:val="003C31CE"/>
    <w:rsid w:val="003C3404"/>
    <w:rsid w:val="003C3564"/>
    <w:rsid w:val="003C358D"/>
    <w:rsid w:val="003C421A"/>
    <w:rsid w:val="003C4898"/>
    <w:rsid w:val="003C4BED"/>
    <w:rsid w:val="003C51A1"/>
    <w:rsid w:val="003C5542"/>
    <w:rsid w:val="003C55C7"/>
    <w:rsid w:val="003C563C"/>
    <w:rsid w:val="003C62D8"/>
    <w:rsid w:val="003C67FB"/>
    <w:rsid w:val="003C6E0B"/>
    <w:rsid w:val="003C721D"/>
    <w:rsid w:val="003C754B"/>
    <w:rsid w:val="003C7D19"/>
    <w:rsid w:val="003C7D2F"/>
    <w:rsid w:val="003D061E"/>
    <w:rsid w:val="003D1828"/>
    <w:rsid w:val="003D1DE4"/>
    <w:rsid w:val="003D1E9A"/>
    <w:rsid w:val="003D2422"/>
    <w:rsid w:val="003D2EBC"/>
    <w:rsid w:val="003D39A1"/>
    <w:rsid w:val="003D3A33"/>
    <w:rsid w:val="003D3D80"/>
    <w:rsid w:val="003D3EDE"/>
    <w:rsid w:val="003D3FBF"/>
    <w:rsid w:val="003D48CF"/>
    <w:rsid w:val="003D4A30"/>
    <w:rsid w:val="003D4A66"/>
    <w:rsid w:val="003D4BFC"/>
    <w:rsid w:val="003D5016"/>
    <w:rsid w:val="003D5121"/>
    <w:rsid w:val="003D6744"/>
    <w:rsid w:val="003D6A13"/>
    <w:rsid w:val="003D6C6C"/>
    <w:rsid w:val="003D707D"/>
    <w:rsid w:val="003D73CB"/>
    <w:rsid w:val="003D7452"/>
    <w:rsid w:val="003D79BB"/>
    <w:rsid w:val="003D7C98"/>
    <w:rsid w:val="003D7D75"/>
    <w:rsid w:val="003D7D9D"/>
    <w:rsid w:val="003D7E93"/>
    <w:rsid w:val="003E0334"/>
    <w:rsid w:val="003E0543"/>
    <w:rsid w:val="003E13A1"/>
    <w:rsid w:val="003E23CA"/>
    <w:rsid w:val="003E256B"/>
    <w:rsid w:val="003E2D3A"/>
    <w:rsid w:val="003E2EE7"/>
    <w:rsid w:val="003E3669"/>
    <w:rsid w:val="003E39E3"/>
    <w:rsid w:val="003E479B"/>
    <w:rsid w:val="003E5161"/>
    <w:rsid w:val="003E5361"/>
    <w:rsid w:val="003E5455"/>
    <w:rsid w:val="003E567F"/>
    <w:rsid w:val="003E5D2B"/>
    <w:rsid w:val="003E5D46"/>
    <w:rsid w:val="003E5EDF"/>
    <w:rsid w:val="003E615E"/>
    <w:rsid w:val="003E749E"/>
    <w:rsid w:val="003E7505"/>
    <w:rsid w:val="003E7ED6"/>
    <w:rsid w:val="003E7F29"/>
    <w:rsid w:val="003F0C5A"/>
    <w:rsid w:val="003F0D93"/>
    <w:rsid w:val="003F13B6"/>
    <w:rsid w:val="003F17F0"/>
    <w:rsid w:val="003F18AA"/>
    <w:rsid w:val="003F1CE0"/>
    <w:rsid w:val="003F25FF"/>
    <w:rsid w:val="003F2BAB"/>
    <w:rsid w:val="003F2FD5"/>
    <w:rsid w:val="003F40A4"/>
    <w:rsid w:val="003F4156"/>
    <w:rsid w:val="003F47CC"/>
    <w:rsid w:val="003F499E"/>
    <w:rsid w:val="003F5103"/>
    <w:rsid w:val="003F5226"/>
    <w:rsid w:val="003F5771"/>
    <w:rsid w:val="003F5ADF"/>
    <w:rsid w:val="003F60D9"/>
    <w:rsid w:val="0040042F"/>
    <w:rsid w:val="00400685"/>
    <w:rsid w:val="0040071A"/>
    <w:rsid w:val="00400B29"/>
    <w:rsid w:val="00401358"/>
    <w:rsid w:val="004020A8"/>
    <w:rsid w:val="00402696"/>
    <w:rsid w:val="0040274C"/>
    <w:rsid w:val="00403784"/>
    <w:rsid w:val="00403EB4"/>
    <w:rsid w:val="004048FC"/>
    <w:rsid w:val="0040504B"/>
    <w:rsid w:val="00405102"/>
    <w:rsid w:val="004059F4"/>
    <w:rsid w:val="00405FAC"/>
    <w:rsid w:val="0040676C"/>
    <w:rsid w:val="00406D21"/>
    <w:rsid w:val="00407943"/>
    <w:rsid w:val="00407F47"/>
    <w:rsid w:val="00407FE5"/>
    <w:rsid w:val="004101B0"/>
    <w:rsid w:val="00410326"/>
    <w:rsid w:val="00410708"/>
    <w:rsid w:val="00410EC7"/>
    <w:rsid w:val="004113F7"/>
    <w:rsid w:val="00411907"/>
    <w:rsid w:val="00411B39"/>
    <w:rsid w:val="00411DDB"/>
    <w:rsid w:val="004120FA"/>
    <w:rsid w:val="004127A7"/>
    <w:rsid w:val="004127F0"/>
    <w:rsid w:val="00412BBF"/>
    <w:rsid w:val="00412E42"/>
    <w:rsid w:val="00413514"/>
    <w:rsid w:val="004135CF"/>
    <w:rsid w:val="00413991"/>
    <w:rsid w:val="00413A1E"/>
    <w:rsid w:val="00414262"/>
    <w:rsid w:val="00414476"/>
    <w:rsid w:val="0041466B"/>
    <w:rsid w:val="0041466F"/>
    <w:rsid w:val="00414C2E"/>
    <w:rsid w:val="00415075"/>
    <w:rsid w:val="004151CF"/>
    <w:rsid w:val="00415452"/>
    <w:rsid w:val="004155B3"/>
    <w:rsid w:val="00416364"/>
    <w:rsid w:val="0041724B"/>
    <w:rsid w:val="00417BB8"/>
    <w:rsid w:val="0042047F"/>
    <w:rsid w:val="00420AA6"/>
    <w:rsid w:val="00420AD4"/>
    <w:rsid w:val="00420B9F"/>
    <w:rsid w:val="0042192C"/>
    <w:rsid w:val="00421E49"/>
    <w:rsid w:val="00421EBD"/>
    <w:rsid w:val="00422260"/>
    <w:rsid w:val="0042298F"/>
    <w:rsid w:val="00422FD5"/>
    <w:rsid w:val="00423171"/>
    <w:rsid w:val="0042413F"/>
    <w:rsid w:val="00424400"/>
    <w:rsid w:val="00424569"/>
    <w:rsid w:val="0042497F"/>
    <w:rsid w:val="00425867"/>
    <w:rsid w:val="00425B0E"/>
    <w:rsid w:val="00425D40"/>
    <w:rsid w:val="00426031"/>
    <w:rsid w:val="0043056C"/>
    <w:rsid w:val="0043059D"/>
    <w:rsid w:val="00430858"/>
    <w:rsid w:val="00430C2F"/>
    <w:rsid w:val="004313C3"/>
    <w:rsid w:val="004319F8"/>
    <w:rsid w:val="00431E4D"/>
    <w:rsid w:val="00431E55"/>
    <w:rsid w:val="00432155"/>
    <w:rsid w:val="004321F6"/>
    <w:rsid w:val="004326E2"/>
    <w:rsid w:val="00432739"/>
    <w:rsid w:val="00433044"/>
    <w:rsid w:val="00433789"/>
    <w:rsid w:val="00434088"/>
    <w:rsid w:val="00434714"/>
    <w:rsid w:val="004349C3"/>
    <w:rsid w:val="00434B2E"/>
    <w:rsid w:val="004352D4"/>
    <w:rsid w:val="00435F09"/>
    <w:rsid w:val="00436538"/>
    <w:rsid w:val="004372C5"/>
    <w:rsid w:val="004375B9"/>
    <w:rsid w:val="00437AD2"/>
    <w:rsid w:val="00437BB8"/>
    <w:rsid w:val="00437D68"/>
    <w:rsid w:val="00440B67"/>
    <w:rsid w:val="00441B16"/>
    <w:rsid w:val="00441DEE"/>
    <w:rsid w:val="004428D0"/>
    <w:rsid w:val="00442E20"/>
    <w:rsid w:val="00443114"/>
    <w:rsid w:val="00443926"/>
    <w:rsid w:val="00444185"/>
    <w:rsid w:val="004443A7"/>
    <w:rsid w:val="0044442C"/>
    <w:rsid w:val="00444672"/>
    <w:rsid w:val="00444A30"/>
    <w:rsid w:val="00444B55"/>
    <w:rsid w:val="00445941"/>
    <w:rsid w:val="004464EB"/>
    <w:rsid w:val="00446E70"/>
    <w:rsid w:val="00447D26"/>
    <w:rsid w:val="00447DFC"/>
    <w:rsid w:val="004507A2"/>
    <w:rsid w:val="004509D9"/>
    <w:rsid w:val="00450FD2"/>
    <w:rsid w:val="00451477"/>
    <w:rsid w:val="00451499"/>
    <w:rsid w:val="00451F9A"/>
    <w:rsid w:val="0045245D"/>
    <w:rsid w:val="0045268B"/>
    <w:rsid w:val="00452B7D"/>
    <w:rsid w:val="004535BD"/>
    <w:rsid w:val="0045384F"/>
    <w:rsid w:val="00453910"/>
    <w:rsid w:val="00453F1D"/>
    <w:rsid w:val="004545A6"/>
    <w:rsid w:val="00454869"/>
    <w:rsid w:val="004549ED"/>
    <w:rsid w:val="00454BCE"/>
    <w:rsid w:val="00454C50"/>
    <w:rsid w:val="00454F54"/>
    <w:rsid w:val="00454F67"/>
    <w:rsid w:val="004556DE"/>
    <w:rsid w:val="00455770"/>
    <w:rsid w:val="00455D45"/>
    <w:rsid w:val="00455F51"/>
    <w:rsid w:val="004563D1"/>
    <w:rsid w:val="004564BA"/>
    <w:rsid w:val="004565B5"/>
    <w:rsid w:val="004566CC"/>
    <w:rsid w:val="00456753"/>
    <w:rsid w:val="00457909"/>
    <w:rsid w:val="0045792F"/>
    <w:rsid w:val="00460441"/>
    <w:rsid w:val="00461821"/>
    <w:rsid w:val="00461EEC"/>
    <w:rsid w:val="00461F5D"/>
    <w:rsid w:val="00463097"/>
    <w:rsid w:val="00463306"/>
    <w:rsid w:val="0046337A"/>
    <w:rsid w:val="0046381C"/>
    <w:rsid w:val="00463838"/>
    <w:rsid w:val="004641C3"/>
    <w:rsid w:val="00464595"/>
    <w:rsid w:val="00464C94"/>
    <w:rsid w:val="004652D8"/>
    <w:rsid w:val="004658B5"/>
    <w:rsid w:val="00465945"/>
    <w:rsid w:val="00465B9F"/>
    <w:rsid w:val="00465D67"/>
    <w:rsid w:val="00466213"/>
    <w:rsid w:val="0046637F"/>
    <w:rsid w:val="004669E3"/>
    <w:rsid w:val="00467AFC"/>
    <w:rsid w:val="00467C3E"/>
    <w:rsid w:val="0047033E"/>
    <w:rsid w:val="004705F1"/>
    <w:rsid w:val="00470B4E"/>
    <w:rsid w:val="004711CC"/>
    <w:rsid w:val="00471A9C"/>
    <w:rsid w:val="00471EA5"/>
    <w:rsid w:val="00472A79"/>
    <w:rsid w:val="004736E0"/>
    <w:rsid w:val="00473B6F"/>
    <w:rsid w:val="00473F19"/>
    <w:rsid w:val="00474474"/>
    <w:rsid w:val="004747D2"/>
    <w:rsid w:val="00475E22"/>
    <w:rsid w:val="004762D6"/>
    <w:rsid w:val="00476869"/>
    <w:rsid w:val="00477236"/>
    <w:rsid w:val="00477596"/>
    <w:rsid w:val="004801C1"/>
    <w:rsid w:val="0048088E"/>
    <w:rsid w:val="00480F2B"/>
    <w:rsid w:val="00481482"/>
    <w:rsid w:val="004815C9"/>
    <w:rsid w:val="00481C3C"/>
    <w:rsid w:val="00482720"/>
    <w:rsid w:val="004827B2"/>
    <w:rsid w:val="004829DA"/>
    <w:rsid w:val="004831F1"/>
    <w:rsid w:val="00483400"/>
    <w:rsid w:val="004835E7"/>
    <w:rsid w:val="0048379A"/>
    <w:rsid w:val="00484DBA"/>
    <w:rsid w:val="00484E99"/>
    <w:rsid w:val="00485CFB"/>
    <w:rsid w:val="00485F2F"/>
    <w:rsid w:val="004867E2"/>
    <w:rsid w:val="00490B17"/>
    <w:rsid w:val="00490B4F"/>
    <w:rsid w:val="00491036"/>
    <w:rsid w:val="00491062"/>
    <w:rsid w:val="004910C6"/>
    <w:rsid w:val="004914A7"/>
    <w:rsid w:val="00491B09"/>
    <w:rsid w:val="00491B3A"/>
    <w:rsid w:val="00492CFD"/>
    <w:rsid w:val="0049349A"/>
    <w:rsid w:val="0049396A"/>
    <w:rsid w:val="00493A7A"/>
    <w:rsid w:val="00494207"/>
    <w:rsid w:val="0049431E"/>
    <w:rsid w:val="0049436B"/>
    <w:rsid w:val="004946E7"/>
    <w:rsid w:val="00494DD5"/>
    <w:rsid w:val="00494EF2"/>
    <w:rsid w:val="00495634"/>
    <w:rsid w:val="00495C53"/>
    <w:rsid w:val="00495DF3"/>
    <w:rsid w:val="004962D2"/>
    <w:rsid w:val="00496EA2"/>
    <w:rsid w:val="004977F9"/>
    <w:rsid w:val="00497F42"/>
    <w:rsid w:val="004A0DA1"/>
    <w:rsid w:val="004A13D6"/>
    <w:rsid w:val="004A1E03"/>
    <w:rsid w:val="004A249C"/>
    <w:rsid w:val="004A489F"/>
    <w:rsid w:val="004A494B"/>
    <w:rsid w:val="004A52E9"/>
    <w:rsid w:val="004A5B70"/>
    <w:rsid w:val="004A6040"/>
    <w:rsid w:val="004A63EE"/>
    <w:rsid w:val="004A6597"/>
    <w:rsid w:val="004A6883"/>
    <w:rsid w:val="004A6983"/>
    <w:rsid w:val="004A6D53"/>
    <w:rsid w:val="004A73AD"/>
    <w:rsid w:val="004A74F9"/>
    <w:rsid w:val="004A7848"/>
    <w:rsid w:val="004A7D8B"/>
    <w:rsid w:val="004B10F1"/>
    <w:rsid w:val="004B14FE"/>
    <w:rsid w:val="004B1CB4"/>
    <w:rsid w:val="004B1FDA"/>
    <w:rsid w:val="004B227B"/>
    <w:rsid w:val="004B2B4B"/>
    <w:rsid w:val="004B2E61"/>
    <w:rsid w:val="004B2F18"/>
    <w:rsid w:val="004B3DDB"/>
    <w:rsid w:val="004B44FD"/>
    <w:rsid w:val="004B489C"/>
    <w:rsid w:val="004B538A"/>
    <w:rsid w:val="004B5CFC"/>
    <w:rsid w:val="004B5E50"/>
    <w:rsid w:val="004B6061"/>
    <w:rsid w:val="004B658E"/>
    <w:rsid w:val="004B6716"/>
    <w:rsid w:val="004B6930"/>
    <w:rsid w:val="004B6F58"/>
    <w:rsid w:val="004B6F79"/>
    <w:rsid w:val="004B774D"/>
    <w:rsid w:val="004C04D8"/>
    <w:rsid w:val="004C0569"/>
    <w:rsid w:val="004C0F1F"/>
    <w:rsid w:val="004C12EB"/>
    <w:rsid w:val="004C1AEF"/>
    <w:rsid w:val="004C32AD"/>
    <w:rsid w:val="004C41EA"/>
    <w:rsid w:val="004C4312"/>
    <w:rsid w:val="004C4377"/>
    <w:rsid w:val="004C43AA"/>
    <w:rsid w:val="004C4AED"/>
    <w:rsid w:val="004C517F"/>
    <w:rsid w:val="004C586B"/>
    <w:rsid w:val="004C69CF"/>
    <w:rsid w:val="004C6C63"/>
    <w:rsid w:val="004C6C78"/>
    <w:rsid w:val="004C72B7"/>
    <w:rsid w:val="004C7A3F"/>
    <w:rsid w:val="004C7A4A"/>
    <w:rsid w:val="004D0078"/>
    <w:rsid w:val="004D060D"/>
    <w:rsid w:val="004D0E5A"/>
    <w:rsid w:val="004D16EC"/>
    <w:rsid w:val="004D2250"/>
    <w:rsid w:val="004D2C2D"/>
    <w:rsid w:val="004D3B67"/>
    <w:rsid w:val="004D443D"/>
    <w:rsid w:val="004D49EE"/>
    <w:rsid w:val="004D4DAC"/>
    <w:rsid w:val="004D5B8E"/>
    <w:rsid w:val="004D69B5"/>
    <w:rsid w:val="004D6D32"/>
    <w:rsid w:val="004D70BB"/>
    <w:rsid w:val="004D70F1"/>
    <w:rsid w:val="004D7227"/>
    <w:rsid w:val="004D7D14"/>
    <w:rsid w:val="004E00B5"/>
    <w:rsid w:val="004E0322"/>
    <w:rsid w:val="004E06D4"/>
    <w:rsid w:val="004E09FA"/>
    <w:rsid w:val="004E0E7F"/>
    <w:rsid w:val="004E0EB8"/>
    <w:rsid w:val="004E18E9"/>
    <w:rsid w:val="004E1D18"/>
    <w:rsid w:val="004E2ADC"/>
    <w:rsid w:val="004E2C48"/>
    <w:rsid w:val="004E2CC0"/>
    <w:rsid w:val="004E30B4"/>
    <w:rsid w:val="004E3977"/>
    <w:rsid w:val="004E3B2D"/>
    <w:rsid w:val="004E41E9"/>
    <w:rsid w:val="004E43B2"/>
    <w:rsid w:val="004E448A"/>
    <w:rsid w:val="004E4D0A"/>
    <w:rsid w:val="004E55D4"/>
    <w:rsid w:val="004E55DB"/>
    <w:rsid w:val="004E596E"/>
    <w:rsid w:val="004E65B5"/>
    <w:rsid w:val="004E6701"/>
    <w:rsid w:val="004E685C"/>
    <w:rsid w:val="004E6D0F"/>
    <w:rsid w:val="004E6E1B"/>
    <w:rsid w:val="004E799B"/>
    <w:rsid w:val="004F0488"/>
    <w:rsid w:val="004F0890"/>
    <w:rsid w:val="004F134F"/>
    <w:rsid w:val="004F1D02"/>
    <w:rsid w:val="004F22E0"/>
    <w:rsid w:val="004F252C"/>
    <w:rsid w:val="004F2679"/>
    <w:rsid w:val="004F2777"/>
    <w:rsid w:val="004F2F21"/>
    <w:rsid w:val="004F3015"/>
    <w:rsid w:val="004F336B"/>
    <w:rsid w:val="004F3DE5"/>
    <w:rsid w:val="004F453D"/>
    <w:rsid w:val="004F5243"/>
    <w:rsid w:val="004F530A"/>
    <w:rsid w:val="004F5C9F"/>
    <w:rsid w:val="004F6913"/>
    <w:rsid w:val="004F7865"/>
    <w:rsid w:val="004F7F91"/>
    <w:rsid w:val="00500145"/>
    <w:rsid w:val="00500360"/>
    <w:rsid w:val="005005FF"/>
    <w:rsid w:val="005007E1"/>
    <w:rsid w:val="0050174E"/>
    <w:rsid w:val="00501854"/>
    <w:rsid w:val="0050219B"/>
    <w:rsid w:val="005023CA"/>
    <w:rsid w:val="005023D6"/>
    <w:rsid w:val="00502864"/>
    <w:rsid w:val="005028B3"/>
    <w:rsid w:val="00502CE3"/>
    <w:rsid w:val="0050368E"/>
    <w:rsid w:val="00503EA0"/>
    <w:rsid w:val="00503F17"/>
    <w:rsid w:val="00503FF9"/>
    <w:rsid w:val="00505874"/>
    <w:rsid w:val="00506928"/>
    <w:rsid w:val="00506F84"/>
    <w:rsid w:val="005077EF"/>
    <w:rsid w:val="005078C7"/>
    <w:rsid w:val="00507D86"/>
    <w:rsid w:val="00507DCB"/>
    <w:rsid w:val="00507EDF"/>
    <w:rsid w:val="005105B3"/>
    <w:rsid w:val="00510BDB"/>
    <w:rsid w:val="00510C09"/>
    <w:rsid w:val="00510CE4"/>
    <w:rsid w:val="0051150E"/>
    <w:rsid w:val="0051162E"/>
    <w:rsid w:val="00511AD5"/>
    <w:rsid w:val="00511DC7"/>
    <w:rsid w:val="0051234B"/>
    <w:rsid w:val="005124FB"/>
    <w:rsid w:val="00512EF9"/>
    <w:rsid w:val="0051349D"/>
    <w:rsid w:val="00513859"/>
    <w:rsid w:val="005142C5"/>
    <w:rsid w:val="005144C5"/>
    <w:rsid w:val="005146CA"/>
    <w:rsid w:val="005148C5"/>
    <w:rsid w:val="00514917"/>
    <w:rsid w:val="0051501B"/>
    <w:rsid w:val="005152B5"/>
    <w:rsid w:val="005209D3"/>
    <w:rsid w:val="005211DA"/>
    <w:rsid w:val="0052123C"/>
    <w:rsid w:val="00521319"/>
    <w:rsid w:val="005213CF"/>
    <w:rsid w:val="0052179E"/>
    <w:rsid w:val="00521895"/>
    <w:rsid w:val="0052252B"/>
    <w:rsid w:val="00522B14"/>
    <w:rsid w:val="00522BC8"/>
    <w:rsid w:val="00523C28"/>
    <w:rsid w:val="005253DC"/>
    <w:rsid w:val="005258F6"/>
    <w:rsid w:val="005269D9"/>
    <w:rsid w:val="00526B24"/>
    <w:rsid w:val="00526DE3"/>
    <w:rsid w:val="0052783A"/>
    <w:rsid w:val="0052797A"/>
    <w:rsid w:val="00530839"/>
    <w:rsid w:val="005308DE"/>
    <w:rsid w:val="00531390"/>
    <w:rsid w:val="0053176B"/>
    <w:rsid w:val="005321D2"/>
    <w:rsid w:val="00532254"/>
    <w:rsid w:val="005322A6"/>
    <w:rsid w:val="00532431"/>
    <w:rsid w:val="00532559"/>
    <w:rsid w:val="005326E4"/>
    <w:rsid w:val="005332F7"/>
    <w:rsid w:val="0053356E"/>
    <w:rsid w:val="005338AF"/>
    <w:rsid w:val="00535701"/>
    <w:rsid w:val="00535EA4"/>
    <w:rsid w:val="00536BDA"/>
    <w:rsid w:val="00536F42"/>
    <w:rsid w:val="00537182"/>
    <w:rsid w:val="005375C3"/>
    <w:rsid w:val="00537D9B"/>
    <w:rsid w:val="00541EDD"/>
    <w:rsid w:val="0054223D"/>
    <w:rsid w:val="00542743"/>
    <w:rsid w:val="00542C2D"/>
    <w:rsid w:val="00542CE1"/>
    <w:rsid w:val="00542D38"/>
    <w:rsid w:val="00545AFE"/>
    <w:rsid w:val="00546B60"/>
    <w:rsid w:val="005478BD"/>
    <w:rsid w:val="005479E3"/>
    <w:rsid w:val="00550E3B"/>
    <w:rsid w:val="00550F54"/>
    <w:rsid w:val="005510AF"/>
    <w:rsid w:val="00551202"/>
    <w:rsid w:val="00551985"/>
    <w:rsid w:val="0055219E"/>
    <w:rsid w:val="00552BD3"/>
    <w:rsid w:val="005532A0"/>
    <w:rsid w:val="00553436"/>
    <w:rsid w:val="00553837"/>
    <w:rsid w:val="00553D66"/>
    <w:rsid w:val="00553E35"/>
    <w:rsid w:val="005542FC"/>
    <w:rsid w:val="0055434B"/>
    <w:rsid w:val="00555109"/>
    <w:rsid w:val="005551E2"/>
    <w:rsid w:val="005552E3"/>
    <w:rsid w:val="00555422"/>
    <w:rsid w:val="00555B4B"/>
    <w:rsid w:val="00555EF3"/>
    <w:rsid w:val="0055686A"/>
    <w:rsid w:val="00556B35"/>
    <w:rsid w:val="00556FB7"/>
    <w:rsid w:val="0055741A"/>
    <w:rsid w:val="0056037A"/>
    <w:rsid w:val="005605F8"/>
    <w:rsid w:val="00560B56"/>
    <w:rsid w:val="005611B7"/>
    <w:rsid w:val="00561234"/>
    <w:rsid w:val="00561663"/>
    <w:rsid w:val="005618D4"/>
    <w:rsid w:val="005621E9"/>
    <w:rsid w:val="00562256"/>
    <w:rsid w:val="00562313"/>
    <w:rsid w:val="0056279B"/>
    <w:rsid w:val="0056323E"/>
    <w:rsid w:val="00564581"/>
    <w:rsid w:val="005649E5"/>
    <w:rsid w:val="00564BAE"/>
    <w:rsid w:val="00565015"/>
    <w:rsid w:val="00565584"/>
    <w:rsid w:val="00565DF0"/>
    <w:rsid w:val="00565FF8"/>
    <w:rsid w:val="0056696F"/>
    <w:rsid w:val="00566B43"/>
    <w:rsid w:val="00566B65"/>
    <w:rsid w:val="00567E3A"/>
    <w:rsid w:val="00567FEE"/>
    <w:rsid w:val="00570905"/>
    <w:rsid w:val="00570F6D"/>
    <w:rsid w:val="00572269"/>
    <w:rsid w:val="00572302"/>
    <w:rsid w:val="0057244A"/>
    <w:rsid w:val="00572B7E"/>
    <w:rsid w:val="00572F26"/>
    <w:rsid w:val="0057343A"/>
    <w:rsid w:val="00573845"/>
    <w:rsid w:val="00573E3F"/>
    <w:rsid w:val="00574910"/>
    <w:rsid w:val="00574944"/>
    <w:rsid w:val="00574947"/>
    <w:rsid w:val="00574EC9"/>
    <w:rsid w:val="00574F4F"/>
    <w:rsid w:val="005750C5"/>
    <w:rsid w:val="005752B2"/>
    <w:rsid w:val="005752DE"/>
    <w:rsid w:val="005754D7"/>
    <w:rsid w:val="0057561B"/>
    <w:rsid w:val="00575D8D"/>
    <w:rsid w:val="00575DFF"/>
    <w:rsid w:val="00576070"/>
    <w:rsid w:val="00576972"/>
    <w:rsid w:val="0057716D"/>
    <w:rsid w:val="00577761"/>
    <w:rsid w:val="00577E89"/>
    <w:rsid w:val="005804AC"/>
    <w:rsid w:val="005804D0"/>
    <w:rsid w:val="00580582"/>
    <w:rsid w:val="00581494"/>
    <w:rsid w:val="00581B09"/>
    <w:rsid w:val="005824FD"/>
    <w:rsid w:val="00582799"/>
    <w:rsid w:val="0058302A"/>
    <w:rsid w:val="00583699"/>
    <w:rsid w:val="00583B6D"/>
    <w:rsid w:val="00583DD1"/>
    <w:rsid w:val="005846DA"/>
    <w:rsid w:val="00585591"/>
    <w:rsid w:val="005856A3"/>
    <w:rsid w:val="00585CDD"/>
    <w:rsid w:val="005862CB"/>
    <w:rsid w:val="005863B1"/>
    <w:rsid w:val="00587058"/>
    <w:rsid w:val="00591957"/>
    <w:rsid w:val="00593541"/>
    <w:rsid w:val="005938E6"/>
    <w:rsid w:val="00593B14"/>
    <w:rsid w:val="00593B8A"/>
    <w:rsid w:val="00594A9E"/>
    <w:rsid w:val="00595B85"/>
    <w:rsid w:val="00596A1B"/>
    <w:rsid w:val="00596C27"/>
    <w:rsid w:val="00597055"/>
    <w:rsid w:val="00597BF9"/>
    <w:rsid w:val="00597D1B"/>
    <w:rsid w:val="005A1F71"/>
    <w:rsid w:val="005A2A37"/>
    <w:rsid w:val="005A309A"/>
    <w:rsid w:val="005A373D"/>
    <w:rsid w:val="005A3860"/>
    <w:rsid w:val="005A3F7B"/>
    <w:rsid w:val="005A4144"/>
    <w:rsid w:val="005A43F1"/>
    <w:rsid w:val="005A4733"/>
    <w:rsid w:val="005A4F84"/>
    <w:rsid w:val="005A5847"/>
    <w:rsid w:val="005A5937"/>
    <w:rsid w:val="005A5A18"/>
    <w:rsid w:val="005A6745"/>
    <w:rsid w:val="005A73C6"/>
    <w:rsid w:val="005A765A"/>
    <w:rsid w:val="005A7821"/>
    <w:rsid w:val="005B0B58"/>
    <w:rsid w:val="005B0F46"/>
    <w:rsid w:val="005B142F"/>
    <w:rsid w:val="005B159A"/>
    <w:rsid w:val="005B167C"/>
    <w:rsid w:val="005B1D1A"/>
    <w:rsid w:val="005B26FD"/>
    <w:rsid w:val="005B3192"/>
    <w:rsid w:val="005B32BE"/>
    <w:rsid w:val="005B34C1"/>
    <w:rsid w:val="005B42C9"/>
    <w:rsid w:val="005B4E53"/>
    <w:rsid w:val="005B4E83"/>
    <w:rsid w:val="005B560B"/>
    <w:rsid w:val="005B5857"/>
    <w:rsid w:val="005B5B77"/>
    <w:rsid w:val="005B5F7F"/>
    <w:rsid w:val="005B6009"/>
    <w:rsid w:val="005B631E"/>
    <w:rsid w:val="005B6744"/>
    <w:rsid w:val="005B6A2E"/>
    <w:rsid w:val="005B6BA3"/>
    <w:rsid w:val="005B75E9"/>
    <w:rsid w:val="005B784A"/>
    <w:rsid w:val="005C05C5"/>
    <w:rsid w:val="005C09BE"/>
    <w:rsid w:val="005C1232"/>
    <w:rsid w:val="005C18EA"/>
    <w:rsid w:val="005C1B83"/>
    <w:rsid w:val="005C1F25"/>
    <w:rsid w:val="005C25FF"/>
    <w:rsid w:val="005C26F4"/>
    <w:rsid w:val="005C2D55"/>
    <w:rsid w:val="005C346B"/>
    <w:rsid w:val="005C3671"/>
    <w:rsid w:val="005C4083"/>
    <w:rsid w:val="005C4773"/>
    <w:rsid w:val="005C5C05"/>
    <w:rsid w:val="005C6102"/>
    <w:rsid w:val="005C75CC"/>
    <w:rsid w:val="005C7FD3"/>
    <w:rsid w:val="005D044D"/>
    <w:rsid w:val="005D08D8"/>
    <w:rsid w:val="005D0ABD"/>
    <w:rsid w:val="005D0C23"/>
    <w:rsid w:val="005D12CB"/>
    <w:rsid w:val="005D18AD"/>
    <w:rsid w:val="005D1A1A"/>
    <w:rsid w:val="005D1CAD"/>
    <w:rsid w:val="005D1CCD"/>
    <w:rsid w:val="005D2002"/>
    <w:rsid w:val="005D26B4"/>
    <w:rsid w:val="005D338A"/>
    <w:rsid w:val="005D37FD"/>
    <w:rsid w:val="005D46F9"/>
    <w:rsid w:val="005D6A46"/>
    <w:rsid w:val="005D75C8"/>
    <w:rsid w:val="005E045D"/>
    <w:rsid w:val="005E04BC"/>
    <w:rsid w:val="005E077B"/>
    <w:rsid w:val="005E1099"/>
    <w:rsid w:val="005E15E7"/>
    <w:rsid w:val="005E1605"/>
    <w:rsid w:val="005E1B33"/>
    <w:rsid w:val="005E2623"/>
    <w:rsid w:val="005E2C92"/>
    <w:rsid w:val="005E2E41"/>
    <w:rsid w:val="005E3508"/>
    <w:rsid w:val="005E3895"/>
    <w:rsid w:val="005E3A7F"/>
    <w:rsid w:val="005E3E40"/>
    <w:rsid w:val="005E3FD2"/>
    <w:rsid w:val="005E4AD5"/>
    <w:rsid w:val="005E5913"/>
    <w:rsid w:val="005E65D1"/>
    <w:rsid w:val="005E6CBC"/>
    <w:rsid w:val="005E72FF"/>
    <w:rsid w:val="005E73C0"/>
    <w:rsid w:val="005E7B47"/>
    <w:rsid w:val="005F0680"/>
    <w:rsid w:val="005F173E"/>
    <w:rsid w:val="005F1A2C"/>
    <w:rsid w:val="005F204C"/>
    <w:rsid w:val="005F2080"/>
    <w:rsid w:val="005F2706"/>
    <w:rsid w:val="005F38EC"/>
    <w:rsid w:val="005F3F69"/>
    <w:rsid w:val="005F475F"/>
    <w:rsid w:val="005F57CE"/>
    <w:rsid w:val="005F57D2"/>
    <w:rsid w:val="005F5936"/>
    <w:rsid w:val="005F640F"/>
    <w:rsid w:val="005F677E"/>
    <w:rsid w:val="005F6A8F"/>
    <w:rsid w:val="005F6B2F"/>
    <w:rsid w:val="005F6BB7"/>
    <w:rsid w:val="005F6E86"/>
    <w:rsid w:val="005F7588"/>
    <w:rsid w:val="005F7D06"/>
    <w:rsid w:val="006002C1"/>
    <w:rsid w:val="006008B8"/>
    <w:rsid w:val="00600DE6"/>
    <w:rsid w:val="00601219"/>
    <w:rsid w:val="006015EF"/>
    <w:rsid w:val="00601C6C"/>
    <w:rsid w:val="006027B7"/>
    <w:rsid w:val="00602AF5"/>
    <w:rsid w:val="00602DBA"/>
    <w:rsid w:val="00603037"/>
    <w:rsid w:val="00603177"/>
    <w:rsid w:val="00603987"/>
    <w:rsid w:val="00603DB9"/>
    <w:rsid w:val="006047AC"/>
    <w:rsid w:val="00604E86"/>
    <w:rsid w:val="006052A2"/>
    <w:rsid w:val="006053EB"/>
    <w:rsid w:val="00605805"/>
    <w:rsid w:val="00605BFB"/>
    <w:rsid w:val="006060C1"/>
    <w:rsid w:val="00606280"/>
    <w:rsid w:val="0060636B"/>
    <w:rsid w:val="00606AE5"/>
    <w:rsid w:val="00606F93"/>
    <w:rsid w:val="00606FBA"/>
    <w:rsid w:val="0060724D"/>
    <w:rsid w:val="00607669"/>
    <w:rsid w:val="006076F4"/>
    <w:rsid w:val="00607749"/>
    <w:rsid w:val="00607AFD"/>
    <w:rsid w:val="00607D84"/>
    <w:rsid w:val="006100A3"/>
    <w:rsid w:val="0061020E"/>
    <w:rsid w:val="00610C4E"/>
    <w:rsid w:val="006112F6"/>
    <w:rsid w:val="00611573"/>
    <w:rsid w:val="00611ADC"/>
    <w:rsid w:val="00611F7E"/>
    <w:rsid w:val="00612BB8"/>
    <w:rsid w:val="00612E6F"/>
    <w:rsid w:val="00612F97"/>
    <w:rsid w:val="0061345D"/>
    <w:rsid w:val="00613BAD"/>
    <w:rsid w:val="00613D72"/>
    <w:rsid w:val="00614A4E"/>
    <w:rsid w:val="0061549B"/>
    <w:rsid w:val="00615518"/>
    <w:rsid w:val="00615C6B"/>
    <w:rsid w:val="00616802"/>
    <w:rsid w:val="0061694A"/>
    <w:rsid w:val="00617410"/>
    <w:rsid w:val="00617476"/>
    <w:rsid w:val="00617E12"/>
    <w:rsid w:val="0062083F"/>
    <w:rsid w:val="00620A53"/>
    <w:rsid w:val="00620C25"/>
    <w:rsid w:val="00620D68"/>
    <w:rsid w:val="00621477"/>
    <w:rsid w:val="00621ADA"/>
    <w:rsid w:val="0062253D"/>
    <w:rsid w:val="00622937"/>
    <w:rsid w:val="0062342D"/>
    <w:rsid w:val="0062394A"/>
    <w:rsid w:val="00623BD8"/>
    <w:rsid w:val="00623F7B"/>
    <w:rsid w:val="00624750"/>
    <w:rsid w:val="006247A3"/>
    <w:rsid w:val="00624A2C"/>
    <w:rsid w:val="00625112"/>
    <w:rsid w:val="0062525D"/>
    <w:rsid w:val="0062564A"/>
    <w:rsid w:val="00625CFA"/>
    <w:rsid w:val="00626111"/>
    <w:rsid w:val="006263D7"/>
    <w:rsid w:val="00626FCA"/>
    <w:rsid w:val="00627959"/>
    <w:rsid w:val="00627E17"/>
    <w:rsid w:val="00627E5C"/>
    <w:rsid w:val="006306E8"/>
    <w:rsid w:val="00630849"/>
    <w:rsid w:val="0063158F"/>
    <w:rsid w:val="00631D6B"/>
    <w:rsid w:val="0063206A"/>
    <w:rsid w:val="00632183"/>
    <w:rsid w:val="006330A1"/>
    <w:rsid w:val="00633535"/>
    <w:rsid w:val="00633835"/>
    <w:rsid w:val="00633FE2"/>
    <w:rsid w:val="00634264"/>
    <w:rsid w:val="006342D1"/>
    <w:rsid w:val="0063479F"/>
    <w:rsid w:val="006353F0"/>
    <w:rsid w:val="00635725"/>
    <w:rsid w:val="006357B5"/>
    <w:rsid w:val="00635969"/>
    <w:rsid w:val="0063596C"/>
    <w:rsid w:val="00635F0A"/>
    <w:rsid w:val="00636369"/>
    <w:rsid w:val="006364A1"/>
    <w:rsid w:val="0063678E"/>
    <w:rsid w:val="00637249"/>
    <w:rsid w:val="00637270"/>
    <w:rsid w:val="00637584"/>
    <w:rsid w:val="00637BFD"/>
    <w:rsid w:val="00640B6B"/>
    <w:rsid w:val="0064126C"/>
    <w:rsid w:val="006414DA"/>
    <w:rsid w:val="00641964"/>
    <w:rsid w:val="00641C4E"/>
    <w:rsid w:val="00641FB3"/>
    <w:rsid w:val="0064229A"/>
    <w:rsid w:val="006428CE"/>
    <w:rsid w:val="006429D2"/>
    <w:rsid w:val="00642B42"/>
    <w:rsid w:val="00643E59"/>
    <w:rsid w:val="0064434C"/>
    <w:rsid w:val="0064499A"/>
    <w:rsid w:val="00645882"/>
    <w:rsid w:val="006465A0"/>
    <w:rsid w:val="0064664D"/>
    <w:rsid w:val="006471CC"/>
    <w:rsid w:val="00647981"/>
    <w:rsid w:val="00647A29"/>
    <w:rsid w:val="00650416"/>
    <w:rsid w:val="006504C3"/>
    <w:rsid w:val="0065079F"/>
    <w:rsid w:val="00650949"/>
    <w:rsid w:val="006512E1"/>
    <w:rsid w:val="0065145D"/>
    <w:rsid w:val="00651631"/>
    <w:rsid w:val="00651867"/>
    <w:rsid w:val="00652A28"/>
    <w:rsid w:val="006532BA"/>
    <w:rsid w:val="0065379F"/>
    <w:rsid w:val="00653E7D"/>
    <w:rsid w:val="00653ED2"/>
    <w:rsid w:val="006548EE"/>
    <w:rsid w:val="00654CDB"/>
    <w:rsid w:val="0065524C"/>
    <w:rsid w:val="00655DB4"/>
    <w:rsid w:val="00655DBC"/>
    <w:rsid w:val="00656188"/>
    <w:rsid w:val="0065715A"/>
    <w:rsid w:val="006574E7"/>
    <w:rsid w:val="00657883"/>
    <w:rsid w:val="00660745"/>
    <w:rsid w:val="006610F1"/>
    <w:rsid w:val="00661386"/>
    <w:rsid w:val="0066162F"/>
    <w:rsid w:val="006616BD"/>
    <w:rsid w:val="00661C6B"/>
    <w:rsid w:val="006624F2"/>
    <w:rsid w:val="00662550"/>
    <w:rsid w:val="00662965"/>
    <w:rsid w:val="006636BF"/>
    <w:rsid w:val="006643A0"/>
    <w:rsid w:val="006648CF"/>
    <w:rsid w:val="00665E9A"/>
    <w:rsid w:val="00666C37"/>
    <w:rsid w:val="00666E96"/>
    <w:rsid w:val="006679C3"/>
    <w:rsid w:val="00667DEF"/>
    <w:rsid w:val="00667F9B"/>
    <w:rsid w:val="00670786"/>
    <w:rsid w:val="00670BEC"/>
    <w:rsid w:val="00671004"/>
    <w:rsid w:val="006716C6"/>
    <w:rsid w:val="00672189"/>
    <w:rsid w:val="00672646"/>
    <w:rsid w:val="006727CF"/>
    <w:rsid w:val="00674935"/>
    <w:rsid w:val="00674E42"/>
    <w:rsid w:val="00674EBB"/>
    <w:rsid w:val="006755D3"/>
    <w:rsid w:val="0067561F"/>
    <w:rsid w:val="00675B37"/>
    <w:rsid w:val="0067651B"/>
    <w:rsid w:val="0067718D"/>
    <w:rsid w:val="00677406"/>
    <w:rsid w:val="006776DB"/>
    <w:rsid w:val="0067775E"/>
    <w:rsid w:val="006778C0"/>
    <w:rsid w:val="006810F3"/>
    <w:rsid w:val="006813F8"/>
    <w:rsid w:val="00681E38"/>
    <w:rsid w:val="00682112"/>
    <w:rsid w:val="006821B5"/>
    <w:rsid w:val="00682BA6"/>
    <w:rsid w:val="00683D82"/>
    <w:rsid w:val="00683EF9"/>
    <w:rsid w:val="0068439F"/>
    <w:rsid w:val="006843D8"/>
    <w:rsid w:val="00684473"/>
    <w:rsid w:val="006850B7"/>
    <w:rsid w:val="006852B3"/>
    <w:rsid w:val="00686010"/>
    <w:rsid w:val="00686423"/>
    <w:rsid w:val="00686957"/>
    <w:rsid w:val="00686CE9"/>
    <w:rsid w:val="00686DF1"/>
    <w:rsid w:val="00686E6C"/>
    <w:rsid w:val="00686EEE"/>
    <w:rsid w:val="00686FFA"/>
    <w:rsid w:val="006872BA"/>
    <w:rsid w:val="00687D08"/>
    <w:rsid w:val="00687EE5"/>
    <w:rsid w:val="00690795"/>
    <w:rsid w:val="00690C44"/>
    <w:rsid w:val="00690F6F"/>
    <w:rsid w:val="006915AC"/>
    <w:rsid w:val="00691648"/>
    <w:rsid w:val="006917D7"/>
    <w:rsid w:val="006918CF"/>
    <w:rsid w:val="006918E1"/>
    <w:rsid w:val="006920EF"/>
    <w:rsid w:val="00692CE2"/>
    <w:rsid w:val="00692D72"/>
    <w:rsid w:val="00693063"/>
    <w:rsid w:val="006937C8"/>
    <w:rsid w:val="00693DC7"/>
    <w:rsid w:val="006942CB"/>
    <w:rsid w:val="0069434C"/>
    <w:rsid w:val="00694C3A"/>
    <w:rsid w:val="00694F44"/>
    <w:rsid w:val="006951F6"/>
    <w:rsid w:val="00695926"/>
    <w:rsid w:val="00696286"/>
    <w:rsid w:val="00696F51"/>
    <w:rsid w:val="006973CE"/>
    <w:rsid w:val="00697595"/>
    <w:rsid w:val="006977FA"/>
    <w:rsid w:val="006979A5"/>
    <w:rsid w:val="00697BA4"/>
    <w:rsid w:val="006A0A16"/>
    <w:rsid w:val="006A12BA"/>
    <w:rsid w:val="006A1CC0"/>
    <w:rsid w:val="006A231C"/>
    <w:rsid w:val="006A2733"/>
    <w:rsid w:val="006A2879"/>
    <w:rsid w:val="006A2991"/>
    <w:rsid w:val="006A32B5"/>
    <w:rsid w:val="006A35AC"/>
    <w:rsid w:val="006A4199"/>
    <w:rsid w:val="006A4AEC"/>
    <w:rsid w:val="006A5CA2"/>
    <w:rsid w:val="006A6594"/>
    <w:rsid w:val="006A6A41"/>
    <w:rsid w:val="006A6B99"/>
    <w:rsid w:val="006A7E5F"/>
    <w:rsid w:val="006A7FA4"/>
    <w:rsid w:val="006B0B62"/>
    <w:rsid w:val="006B0D23"/>
    <w:rsid w:val="006B2140"/>
    <w:rsid w:val="006B22BE"/>
    <w:rsid w:val="006B261B"/>
    <w:rsid w:val="006B2B1A"/>
    <w:rsid w:val="006B2C90"/>
    <w:rsid w:val="006B2FF3"/>
    <w:rsid w:val="006B35E6"/>
    <w:rsid w:val="006B379C"/>
    <w:rsid w:val="006B4118"/>
    <w:rsid w:val="006B4287"/>
    <w:rsid w:val="006B465A"/>
    <w:rsid w:val="006B488C"/>
    <w:rsid w:val="006B48B8"/>
    <w:rsid w:val="006B4A5C"/>
    <w:rsid w:val="006B5420"/>
    <w:rsid w:val="006B5AA0"/>
    <w:rsid w:val="006B5AAF"/>
    <w:rsid w:val="006B68BB"/>
    <w:rsid w:val="006B6DD0"/>
    <w:rsid w:val="006C0188"/>
    <w:rsid w:val="006C0191"/>
    <w:rsid w:val="006C01E6"/>
    <w:rsid w:val="006C0399"/>
    <w:rsid w:val="006C1A54"/>
    <w:rsid w:val="006C1F9E"/>
    <w:rsid w:val="006C2A8E"/>
    <w:rsid w:val="006C3255"/>
    <w:rsid w:val="006C3C12"/>
    <w:rsid w:val="006C3D64"/>
    <w:rsid w:val="006C3F26"/>
    <w:rsid w:val="006C4415"/>
    <w:rsid w:val="006C5687"/>
    <w:rsid w:val="006C5D78"/>
    <w:rsid w:val="006C5E05"/>
    <w:rsid w:val="006C612D"/>
    <w:rsid w:val="006C62D3"/>
    <w:rsid w:val="006C66CE"/>
    <w:rsid w:val="006C6E52"/>
    <w:rsid w:val="006C7235"/>
    <w:rsid w:val="006C74B4"/>
    <w:rsid w:val="006C79D6"/>
    <w:rsid w:val="006C7D9D"/>
    <w:rsid w:val="006D01A0"/>
    <w:rsid w:val="006D026F"/>
    <w:rsid w:val="006D08FB"/>
    <w:rsid w:val="006D0AD5"/>
    <w:rsid w:val="006D0D17"/>
    <w:rsid w:val="006D14DB"/>
    <w:rsid w:val="006D18AE"/>
    <w:rsid w:val="006D19E0"/>
    <w:rsid w:val="006D1D66"/>
    <w:rsid w:val="006D1D70"/>
    <w:rsid w:val="006D25C8"/>
    <w:rsid w:val="006D2F03"/>
    <w:rsid w:val="006D327F"/>
    <w:rsid w:val="006D37AD"/>
    <w:rsid w:val="006D3C7D"/>
    <w:rsid w:val="006D3DE9"/>
    <w:rsid w:val="006D3FF6"/>
    <w:rsid w:val="006D43F2"/>
    <w:rsid w:val="006D4659"/>
    <w:rsid w:val="006D4733"/>
    <w:rsid w:val="006D5D5F"/>
    <w:rsid w:val="006D5F3A"/>
    <w:rsid w:val="006D68FB"/>
    <w:rsid w:val="006E0137"/>
    <w:rsid w:val="006E14DB"/>
    <w:rsid w:val="006E1C1C"/>
    <w:rsid w:val="006E1CEF"/>
    <w:rsid w:val="006E1F39"/>
    <w:rsid w:val="006E266B"/>
    <w:rsid w:val="006E2868"/>
    <w:rsid w:val="006E2ADD"/>
    <w:rsid w:val="006E2D13"/>
    <w:rsid w:val="006E327A"/>
    <w:rsid w:val="006E5D27"/>
    <w:rsid w:val="006E6177"/>
    <w:rsid w:val="006E6486"/>
    <w:rsid w:val="006E668E"/>
    <w:rsid w:val="006E66AF"/>
    <w:rsid w:val="006E72D4"/>
    <w:rsid w:val="006E7D8F"/>
    <w:rsid w:val="006E7EAE"/>
    <w:rsid w:val="006E7FCF"/>
    <w:rsid w:val="006F05E4"/>
    <w:rsid w:val="006F09CB"/>
    <w:rsid w:val="006F0CF5"/>
    <w:rsid w:val="006F224F"/>
    <w:rsid w:val="006F2F25"/>
    <w:rsid w:val="006F306C"/>
    <w:rsid w:val="006F34C3"/>
    <w:rsid w:val="006F361B"/>
    <w:rsid w:val="006F412B"/>
    <w:rsid w:val="006F412D"/>
    <w:rsid w:val="006F4185"/>
    <w:rsid w:val="006F5FDA"/>
    <w:rsid w:val="006F63A5"/>
    <w:rsid w:val="006F677C"/>
    <w:rsid w:val="006F6D03"/>
    <w:rsid w:val="006F6D6F"/>
    <w:rsid w:val="006F75AB"/>
    <w:rsid w:val="007001EA"/>
    <w:rsid w:val="007002D0"/>
    <w:rsid w:val="00700FCA"/>
    <w:rsid w:val="0070142B"/>
    <w:rsid w:val="0070179F"/>
    <w:rsid w:val="007017F6"/>
    <w:rsid w:val="0070276E"/>
    <w:rsid w:val="00702A7D"/>
    <w:rsid w:val="00702F8F"/>
    <w:rsid w:val="0070313E"/>
    <w:rsid w:val="00703539"/>
    <w:rsid w:val="00703961"/>
    <w:rsid w:val="00703AEF"/>
    <w:rsid w:val="00703F80"/>
    <w:rsid w:val="00704FE2"/>
    <w:rsid w:val="00706014"/>
    <w:rsid w:val="00706C38"/>
    <w:rsid w:val="007072B8"/>
    <w:rsid w:val="0070741C"/>
    <w:rsid w:val="007079BE"/>
    <w:rsid w:val="007079FC"/>
    <w:rsid w:val="00707E93"/>
    <w:rsid w:val="00710378"/>
    <w:rsid w:val="0071149B"/>
    <w:rsid w:val="00711A36"/>
    <w:rsid w:val="00712390"/>
    <w:rsid w:val="007123CC"/>
    <w:rsid w:val="00712678"/>
    <w:rsid w:val="007128A3"/>
    <w:rsid w:val="007140B5"/>
    <w:rsid w:val="00714A11"/>
    <w:rsid w:val="00714C26"/>
    <w:rsid w:val="00715158"/>
    <w:rsid w:val="0071529C"/>
    <w:rsid w:val="007158E4"/>
    <w:rsid w:val="007167E1"/>
    <w:rsid w:val="007170DA"/>
    <w:rsid w:val="007172AD"/>
    <w:rsid w:val="007173A0"/>
    <w:rsid w:val="007174AD"/>
    <w:rsid w:val="00717625"/>
    <w:rsid w:val="00720427"/>
    <w:rsid w:val="00720646"/>
    <w:rsid w:val="00720801"/>
    <w:rsid w:val="00720D9D"/>
    <w:rsid w:val="00721C0E"/>
    <w:rsid w:val="00721C40"/>
    <w:rsid w:val="00721FE2"/>
    <w:rsid w:val="0072212D"/>
    <w:rsid w:val="00722171"/>
    <w:rsid w:val="00722195"/>
    <w:rsid w:val="00722B1B"/>
    <w:rsid w:val="00722FA9"/>
    <w:rsid w:val="007231B1"/>
    <w:rsid w:val="0072328B"/>
    <w:rsid w:val="007235AE"/>
    <w:rsid w:val="00723E01"/>
    <w:rsid w:val="0072416F"/>
    <w:rsid w:val="0072418C"/>
    <w:rsid w:val="007242A7"/>
    <w:rsid w:val="00725598"/>
    <w:rsid w:val="00725860"/>
    <w:rsid w:val="00726525"/>
    <w:rsid w:val="007269E3"/>
    <w:rsid w:val="00726F9E"/>
    <w:rsid w:val="00727C94"/>
    <w:rsid w:val="0073038A"/>
    <w:rsid w:val="00730F99"/>
    <w:rsid w:val="00731A76"/>
    <w:rsid w:val="00731B0A"/>
    <w:rsid w:val="00731EAE"/>
    <w:rsid w:val="00732E91"/>
    <w:rsid w:val="00733073"/>
    <w:rsid w:val="0073309F"/>
    <w:rsid w:val="00733235"/>
    <w:rsid w:val="00733802"/>
    <w:rsid w:val="007343FF"/>
    <w:rsid w:val="007346F9"/>
    <w:rsid w:val="00735033"/>
    <w:rsid w:val="00735328"/>
    <w:rsid w:val="00735DB7"/>
    <w:rsid w:val="0073685B"/>
    <w:rsid w:val="00737120"/>
    <w:rsid w:val="00737469"/>
    <w:rsid w:val="00737D98"/>
    <w:rsid w:val="007403EE"/>
    <w:rsid w:val="007417C4"/>
    <w:rsid w:val="00741986"/>
    <w:rsid w:val="007424FB"/>
    <w:rsid w:val="00742AE1"/>
    <w:rsid w:val="00742C3E"/>
    <w:rsid w:val="00743A69"/>
    <w:rsid w:val="007442D0"/>
    <w:rsid w:val="007449BF"/>
    <w:rsid w:val="00745E03"/>
    <w:rsid w:val="0074696A"/>
    <w:rsid w:val="00746BC0"/>
    <w:rsid w:val="00747112"/>
    <w:rsid w:val="0074722B"/>
    <w:rsid w:val="00747312"/>
    <w:rsid w:val="00747623"/>
    <w:rsid w:val="00747F3C"/>
    <w:rsid w:val="0075051C"/>
    <w:rsid w:val="00750CFF"/>
    <w:rsid w:val="00750E4E"/>
    <w:rsid w:val="007510B4"/>
    <w:rsid w:val="00751D48"/>
    <w:rsid w:val="00752142"/>
    <w:rsid w:val="007523F9"/>
    <w:rsid w:val="0075357E"/>
    <w:rsid w:val="00753912"/>
    <w:rsid w:val="00754A9A"/>
    <w:rsid w:val="00754E39"/>
    <w:rsid w:val="0075572B"/>
    <w:rsid w:val="0075697E"/>
    <w:rsid w:val="00756D3F"/>
    <w:rsid w:val="007570E5"/>
    <w:rsid w:val="007573E8"/>
    <w:rsid w:val="00757F2A"/>
    <w:rsid w:val="00760474"/>
    <w:rsid w:val="00760BE2"/>
    <w:rsid w:val="00760C4E"/>
    <w:rsid w:val="00760CB5"/>
    <w:rsid w:val="00760E5D"/>
    <w:rsid w:val="00760F9E"/>
    <w:rsid w:val="0076123E"/>
    <w:rsid w:val="007616B1"/>
    <w:rsid w:val="007618DF"/>
    <w:rsid w:val="007619D7"/>
    <w:rsid w:val="007621CF"/>
    <w:rsid w:val="007627BE"/>
    <w:rsid w:val="00762B06"/>
    <w:rsid w:val="00762E65"/>
    <w:rsid w:val="00763149"/>
    <w:rsid w:val="0076318E"/>
    <w:rsid w:val="00763354"/>
    <w:rsid w:val="0076430E"/>
    <w:rsid w:val="007649E3"/>
    <w:rsid w:val="00764F03"/>
    <w:rsid w:val="00765856"/>
    <w:rsid w:val="00765B1A"/>
    <w:rsid w:val="00765B54"/>
    <w:rsid w:val="00766B45"/>
    <w:rsid w:val="00767123"/>
    <w:rsid w:val="00767517"/>
    <w:rsid w:val="00770F9D"/>
    <w:rsid w:val="0077128D"/>
    <w:rsid w:val="00771711"/>
    <w:rsid w:val="00772044"/>
    <w:rsid w:val="0077368D"/>
    <w:rsid w:val="007736B7"/>
    <w:rsid w:val="00773C89"/>
    <w:rsid w:val="007745A1"/>
    <w:rsid w:val="00774D6D"/>
    <w:rsid w:val="00775380"/>
    <w:rsid w:val="00775DB3"/>
    <w:rsid w:val="007767C5"/>
    <w:rsid w:val="00777335"/>
    <w:rsid w:val="00777CFC"/>
    <w:rsid w:val="007800E8"/>
    <w:rsid w:val="0078189F"/>
    <w:rsid w:val="007819AB"/>
    <w:rsid w:val="00781B8A"/>
    <w:rsid w:val="00781BFC"/>
    <w:rsid w:val="0078341D"/>
    <w:rsid w:val="00783842"/>
    <w:rsid w:val="007843F2"/>
    <w:rsid w:val="00784B14"/>
    <w:rsid w:val="00784C50"/>
    <w:rsid w:val="00784FD5"/>
    <w:rsid w:val="007856EF"/>
    <w:rsid w:val="00785A9F"/>
    <w:rsid w:val="00785F31"/>
    <w:rsid w:val="0078627D"/>
    <w:rsid w:val="007862B0"/>
    <w:rsid w:val="007867A6"/>
    <w:rsid w:val="00786E2C"/>
    <w:rsid w:val="007870C0"/>
    <w:rsid w:val="00787323"/>
    <w:rsid w:val="0078752E"/>
    <w:rsid w:val="0078762B"/>
    <w:rsid w:val="00787BA6"/>
    <w:rsid w:val="00790763"/>
    <w:rsid w:val="007908E8"/>
    <w:rsid w:val="007917E1"/>
    <w:rsid w:val="00791DA5"/>
    <w:rsid w:val="007925B6"/>
    <w:rsid w:val="007925DF"/>
    <w:rsid w:val="007927F4"/>
    <w:rsid w:val="007928E1"/>
    <w:rsid w:val="00792EEF"/>
    <w:rsid w:val="007933AD"/>
    <w:rsid w:val="00794907"/>
    <w:rsid w:val="00795300"/>
    <w:rsid w:val="007957DB"/>
    <w:rsid w:val="00796D99"/>
    <w:rsid w:val="007978E1"/>
    <w:rsid w:val="00797904"/>
    <w:rsid w:val="007A08AA"/>
    <w:rsid w:val="007A0A12"/>
    <w:rsid w:val="007A10E2"/>
    <w:rsid w:val="007A132D"/>
    <w:rsid w:val="007A1345"/>
    <w:rsid w:val="007A1B42"/>
    <w:rsid w:val="007A1BAE"/>
    <w:rsid w:val="007A1C49"/>
    <w:rsid w:val="007A2DDB"/>
    <w:rsid w:val="007A36B9"/>
    <w:rsid w:val="007A39C9"/>
    <w:rsid w:val="007A3B23"/>
    <w:rsid w:val="007A3B27"/>
    <w:rsid w:val="007A41CE"/>
    <w:rsid w:val="007A4358"/>
    <w:rsid w:val="007A4641"/>
    <w:rsid w:val="007A4E44"/>
    <w:rsid w:val="007A5015"/>
    <w:rsid w:val="007A53CA"/>
    <w:rsid w:val="007A5641"/>
    <w:rsid w:val="007A5C47"/>
    <w:rsid w:val="007A5F46"/>
    <w:rsid w:val="007A5F9B"/>
    <w:rsid w:val="007A6BA3"/>
    <w:rsid w:val="007A6F29"/>
    <w:rsid w:val="007A70BA"/>
    <w:rsid w:val="007A745D"/>
    <w:rsid w:val="007A75A8"/>
    <w:rsid w:val="007B0D45"/>
    <w:rsid w:val="007B0D68"/>
    <w:rsid w:val="007B1342"/>
    <w:rsid w:val="007B1463"/>
    <w:rsid w:val="007B173A"/>
    <w:rsid w:val="007B203D"/>
    <w:rsid w:val="007B251D"/>
    <w:rsid w:val="007B4E21"/>
    <w:rsid w:val="007B4F58"/>
    <w:rsid w:val="007B5185"/>
    <w:rsid w:val="007B528D"/>
    <w:rsid w:val="007B53DA"/>
    <w:rsid w:val="007B5C4C"/>
    <w:rsid w:val="007B5C51"/>
    <w:rsid w:val="007B6199"/>
    <w:rsid w:val="007B623E"/>
    <w:rsid w:val="007B63CA"/>
    <w:rsid w:val="007B6F13"/>
    <w:rsid w:val="007B7055"/>
    <w:rsid w:val="007B73E6"/>
    <w:rsid w:val="007B7657"/>
    <w:rsid w:val="007B77D1"/>
    <w:rsid w:val="007B7AFB"/>
    <w:rsid w:val="007B7D19"/>
    <w:rsid w:val="007C038B"/>
    <w:rsid w:val="007C07C7"/>
    <w:rsid w:val="007C0CB1"/>
    <w:rsid w:val="007C1763"/>
    <w:rsid w:val="007C19F7"/>
    <w:rsid w:val="007C1CD9"/>
    <w:rsid w:val="007C249B"/>
    <w:rsid w:val="007C2849"/>
    <w:rsid w:val="007C32EF"/>
    <w:rsid w:val="007C361D"/>
    <w:rsid w:val="007C3A30"/>
    <w:rsid w:val="007C4568"/>
    <w:rsid w:val="007C4B84"/>
    <w:rsid w:val="007C4C2C"/>
    <w:rsid w:val="007C6B10"/>
    <w:rsid w:val="007C6F09"/>
    <w:rsid w:val="007C6F0F"/>
    <w:rsid w:val="007C70FF"/>
    <w:rsid w:val="007C71D9"/>
    <w:rsid w:val="007C7C25"/>
    <w:rsid w:val="007D004F"/>
    <w:rsid w:val="007D0352"/>
    <w:rsid w:val="007D0B38"/>
    <w:rsid w:val="007D20A3"/>
    <w:rsid w:val="007D32D8"/>
    <w:rsid w:val="007D3BC7"/>
    <w:rsid w:val="007D436E"/>
    <w:rsid w:val="007D45EB"/>
    <w:rsid w:val="007D51B2"/>
    <w:rsid w:val="007D5440"/>
    <w:rsid w:val="007D5766"/>
    <w:rsid w:val="007D5E11"/>
    <w:rsid w:val="007D6017"/>
    <w:rsid w:val="007D69EB"/>
    <w:rsid w:val="007D6BE4"/>
    <w:rsid w:val="007D6CA7"/>
    <w:rsid w:val="007D72B3"/>
    <w:rsid w:val="007D759E"/>
    <w:rsid w:val="007D7C1F"/>
    <w:rsid w:val="007D7CB0"/>
    <w:rsid w:val="007E00C5"/>
    <w:rsid w:val="007E0E89"/>
    <w:rsid w:val="007E1209"/>
    <w:rsid w:val="007E128F"/>
    <w:rsid w:val="007E1634"/>
    <w:rsid w:val="007E1715"/>
    <w:rsid w:val="007E2935"/>
    <w:rsid w:val="007E2C31"/>
    <w:rsid w:val="007E2EF6"/>
    <w:rsid w:val="007E3A95"/>
    <w:rsid w:val="007E3C3E"/>
    <w:rsid w:val="007E4361"/>
    <w:rsid w:val="007E56A9"/>
    <w:rsid w:val="007E5A55"/>
    <w:rsid w:val="007E5CEB"/>
    <w:rsid w:val="007E6084"/>
    <w:rsid w:val="007E6085"/>
    <w:rsid w:val="007E6475"/>
    <w:rsid w:val="007E6A06"/>
    <w:rsid w:val="007E6EDF"/>
    <w:rsid w:val="007E71FB"/>
    <w:rsid w:val="007E74DA"/>
    <w:rsid w:val="007F07C4"/>
    <w:rsid w:val="007F08D6"/>
    <w:rsid w:val="007F0F26"/>
    <w:rsid w:val="007F1017"/>
    <w:rsid w:val="007F1B80"/>
    <w:rsid w:val="007F206C"/>
    <w:rsid w:val="007F309D"/>
    <w:rsid w:val="007F34D3"/>
    <w:rsid w:val="007F35FF"/>
    <w:rsid w:val="007F40DA"/>
    <w:rsid w:val="007F42D0"/>
    <w:rsid w:val="007F43D9"/>
    <w:rsid w:val="007F460E"/>
    <w:rsid w:val="007F4A3F"/>
    <w:rsid w:val="007F4A61"/>
    <w:rsid w:val="007F4D60"/>
    <w:rsid w:val="007F5255"/>
    <w:rsid w:val="007F56CC"/>
    <w:rsid w:val="007F6194"/>
    <w:rsid w:val="007F61C2"/>
    <w:rsid w:val="007F757C"/>
    <w:rsid w:val="00800551"/>
    <w:rsid w:val="00801571"/>
    <w:rsid w:val="00801BAB"/>
    <w:rsid w:val="008020A9"/>
    <w:rsid w:val="00802A67"/>
    <w:rsid w:val="00803391"/>
    <w:rsid w:val="0080485A"/>
    <w:rsid w:val="0080485D"/>
    <w:rsid w:val="00804C7C"/>
    <w:rsid w:val="00804D93"/>
    <w:rsid w:val="00804FC0"/>
    <w:rsid w:val="00805142"/>
    <w:rsid w:val="00805382"/>
    <w:rsid w:val="0080548C"/>
    <w:rsid w:val="008054E7"/>
    <w:rsid w:val="00805633"/>
    <w:rsid w:val="00805FCE"/>
    <w:rsid w:val="008061DC"/>
    <w:rsid w:val="00806551"/>
    <w:rsid w:val="0080679B"/>
    <w:rsid w:val="00806C00"/>
    <w:rsid w:val="00807706"/>
    <w:rsid w:val="00807A8B"/>
    <w:rsid w:val="00807B42"/>
    <w:rsid w:val="00807B64"/>
    <w:rsid w:val="00807E0A"/>
    <w:rsid w:val="008104A4"/>
    <w:rsid w:val="0081098C"/>
    <w:rsid w:val="00810FA7"/>
    <w:rsid w:val="00811383"/>
    <w:rsid w:val="0081142C"/>
    <w:rsid w:val="00811EF1"/>
    <w:rsid w:val="00812149"/>
    <w:rsid w:val="00812CAC"/>
    <w:rsid w:val="00812DD5"/>
    <w:rsid w:val="00812FB5"/>
    <w:rsid w:val="008132A1"/>
    <w:rsid w:val="00814162"/>
    <w:rsid w:val="008144F7"/>
    <w:rsid w:val="00814759"/>
    <w:rsid w:val="00814DA8"/>
    <w:rsid w:val="00815CC5"/>
    <w:rsid w:val="00816125"/>
    <w:rsid w:val="00816361"/>
    <w:rsid w:val="008166EF"/>
    <w:rsid w:val="008168C3"/>
    <w:rsid w:val="00816FEF"/>
    <w:rsid w:val="008178FC"/>
    <w:rsid w:val="00817966"/>
    <w:rsid w:val="00817C08"/>
    <w:rsid w:val="00817C79"/>
    <w:rsid w:val="008207E0"/>
    <w:rsid w:val="00820A8C"/>
    <w:rsid w:val="00820F3D"/>
    <w:rsid w:val="008215FB"/>
    <w:rsid w:val="0082168A"/>
    <w:rsid w:val="00822A38"/>
    <w:rsid w:val="00823031"/>
    <w:rsid w:val="00823174"/>
    <w:rsid w:val="008239F4"/>
    <w:rsid w:val="008241E8"/>
    <w:rsid w:val="00824569"/>
    <w:rsid w:val="00824713"/>
    <w:rsid w:val="0082496D"/>
    <w:rsid w:val="008256B5"/>
    <w:rsid w:val="00825751"/>
    <w:rsid w:val="008264A4"/>
    <w:rsid w:val="008264EB"/>
    <w:rsid w:val="008268BF"/>
    <w:rsid w:val="0082694E"/>
    <w:rsid w:val="00831A2A"/>
    <w:rsid w:val="00832BEF"/>
    <w:rsid w:val="0083348E"/>
    <w:rsid w:val="00833B05"/>
    <w:rsid w:val="00833DCD"/>
    <w:rsid w:val="008342E4"/>
    <w:rsid w:val="00834844"/>
    <w:rsid w:val="00835484"/>
    <w:rsid w:val="00835F10"/>
    <w:rsid w:val="008362B4"/>
    <w:rsid w:val="008362E0"/>
    <w:rsid w:val="00836BC5"/>
    <w:rsid w:val="00836C9F"/>
    <w:rsid w:val="00836D3B"/>
    <w:rsid w:val="00836E07"/>
    <w:rsid w:val="0083731B"/>
    <w:rsid w:val="00837776"/>
    <w:rsid w:val="00837E80"/>
    <w:rsid w:val="0084018B"/>
    <w:rsid w:val="00840283"/>
    <w:rsid w:val="008403C6"/>
    <w:rsid w:val="008405EA"/>
    <w:rsid w:val="00840CA2"/>
    <w:rsid w:val="00840E5C"/>
    <w:rsid w:val="00840F0F"/>
    <w:rsid w:val="0084107A"/>
    <w:rsid w:val="008413C1"/>
    <w:rsid w:val="0084355D"/>
    <w:rsid w:val="0084374F"/>
    <w:rsid w:val="00843E26"/>
    <w:rsid w:val="0084417C"/>
    <w:rsid w:val="008444D1"/>
    <w:rsid w:val="00844716"/>
    <w:rsid w:val="00844A22"/>
    <w:rsid w:val="00845342"/>
    <w:rsid w:val="00845568"/>
    <w:rsid w:val="008456C4"/>
    <w:rsid w:val="00845EB5"/>
    <w:rsid w:val="00846308"/>
    <w:rsid w:val="008468CA"/>
    <w:rsid w:val="0084741E"/>
    <w:rsid w:val="00847703"/>
    <w:rsid w:val="00847798"/>
    <w:rsid w:val="00847DF5"/>
    <w:rsid w:val="0085059B"/>
    <w:rsid w:val="00850C35"/>
    <w:rsid w:val="00850F09"/>
    <w:rsid w:val="00851185"/>
    <w:rsid w:val="00851C84"/>
    <w:rsid w:val="00851D66"/>
    <w:rsid w:val="00852C71"/>
    <w:rsid w:val="0085309D"/>
    <w:rsid w:val="00853A74"/>
    <w:rsid w:val="008540A1"/>
    <w:rsid w:val="0085472B"/>
    <w:rsid w:val="008551FE"/>
    <w:rsid w:val="00855459"/>
    <w:rsid w:val="00856897"/>
    <w:rsid w:val="00856E3E"/>
    <w:rsid w:val="00856E9A"/>
    <w:rsid w:val="00856FCB"/>
    <w:rsid w:val="008577A1"/>
    <w:rsid w:val="00857B3B"/>
    <w:rsid w:val="00857C1F"/>
    <w:rsid w:val="00857EA9"/>
    <w:rsid w:val="008600E2"/>
    <w:rsid w:val="0086075D"/>
    <w:rsid w:val="008608C5"/>
    <w:rsid w:val="008609B9"/>
    <w:rsid w:val="0086179C"/>
    <w:rsid w:val="00862502"/>
    <w:rsid w:val="00862CC1"/>
    <w:rsid w:val="00862CD2"/>
    <w:rsid w:val="00862CFF"/>
    <w:rsid w:val="00862FA6"/>
    <w:rsid w:val="00864E36"/>
    <w:rsid w:val="008659DC"/>
    <w:rsid w:val="008660D4"/>
    <w:rsid w:val="00866902"/>
    <w:rsid w:val="00866956"/>
    <w:rsid w:val="00866B6A"/>
    <w:rsid w:val="0086771D"/>
    <w:rsid w:val="0086781F"/>
    <w:rsid w:val="00867ACC"/>
    <w:rsid w:val="00867C2F"/>
    <w:rsid w:val="0087114F"/>
    <w:rsid w:val="008718C0"/>
    <w:rsid w:val="0087195C"/>
    <w:rsid w:val="00871A04"/>
    <w:rsid w:val="00871C10"/>
    <w:rsid w:val="00871E8E"/>
    <w:rsid w:val="00871FA9"/>
    <w:rsid w:val="008728E9"/>
    <w:rsid w:val="008739C0"/>
    <w:rsid w:val="00873D74"/>
    <w:rsid w:val="0087430A"/>
    <w:rsid w:val="00874337"/>
    <w:rsid w:val="008743AE"/>
    <w:rsid w:val="00874613"/>
    <w:rsid w:val="00876338"/>
    <w:rsid w:val="008763BA"/>
    <w:rsid w:val="008769B0"/>
    <w:rsid w:val="00876B1D"/>
    <w:rsid w:val="00876C29"/>
    <w:rsid w:val="00876FD3"/>
    <w:rsid w:val="0087709F"/>
    <w:rsid w:val="00877939"/>
    <w:rsid w:val="00880904"/>
    <w:rsid w:val="0088096B"/>
    <w:rsid w:val="008814A2"/>
    <w:rsid w:val="00881D98"/>
    <w:rsid w:val="00882874"/>
    <w:rsid w:val="00882E3C"/>
    <w:rsid w:val="00882F1B"/>
    <w:rsid w:val="008836B4"/>
    <w:rsid w:val="00883787"/>
    <w:rsid w:val="00883F2F"/>
    <w:rsid w:val="00884BBA"/>
    <w:rsid w:val="00885385"/>
    <w:rsid w:val="008855E4"/>
    <w:rsid w:val="00885863"/>
    <w:rsid w:val="00885DFC"/>
    <w:rsid w:val="008860ED"/>
    <w:rsid w:val="00886CD2"/>
    <w:rsid w:val="00886DCA"/>
    <w:rsid w:val="00887503"/>
    <w:rsid w:val="008878F6"/>
    <w:rsid w:val="00890314"/>
    <w:rsid w:val="00891880"/>
    <w:rsid w:val="00891B6E"/>
    <w:rsid w:val="00891E6F"/>
    <w:rsid w:val="0089264F"/>
    <w:rsid w:val="0089275D"/>
    <w:rsid w:val="008929F7"/>
    <w:rsid w:val="00892A36"/>
    <w:rsid w:val="0089308E"/>
    <w:rsid w:val="00893239"/>
    <w:rsid w:val="00893570"/>
    <w:rsid w:val="0089368D"/>
    <w:rsid w:val="00893EEF"/>
    <w:rsid w:val="008940C5"/>
    <w:rsid w:val="00894489"/>
    <w:rsid w:val="00894EF3"/>
    <w:rsid w:val="008953D1"/>
    <w:rsid w:val="00895CEB"/>
    <w:rsid w:val="00895DA4"/>
    <w:rsid w:val="008963A5"/>
    <w:rsid w:val="0089674D"/>
    <w:rsid w:val="00896B47"/>
    <w:rsid w:val="00896D5D"/>
    <w:rsid w:val="00896FC0"/>
    <w:rsid w:val="00897D98"/>
    <w:rsid w:val="00897DF4"/>
    <w:rsid w:val="008A061B"/>
    <w:rsid w:val="008A0CEA"/>
    <w:rsid w:val="008A1964"/>
    <w:rsid w:val="008A19A6"/>
    <w:rsid w:val="008A1B80"/>
    <w:rsid w:val="008A1D4D"/>
    <w:rsid w:val="008A2E28"/>
    <w:rsid w:val="008A2E81"/>
    <w:rsid w:val="008A3363"/>
    <w:rsid w:val="008A3371"/>
    <w:rsid w:val="008A33D7"/>
    <w:rsid w:val="008A34C1"/>
    <w:rsid w:val="008A3C3E"/>
    <w:rsid w:val="008A42D7"/>
    <w:rsid w:val="008A4CF2"/>
    <w:rsid w:val="008A4D45"/>
    <w:rsid w:val="008A5389"/>
    <w:rsid w:val="008A5513"/>
    <w:rsid w:val="008A59EC"/>
    <w:rsid w:val="008A5D27"/>
    <w:rsid w:val="008A5FF5"/>
    <w:rsid w:val="008A6591"/>
    <w:rsid w:val="008A666B"/>
    <w:rsid w:val="008A7588"/>
    <w:rsid w:val="008A79DE"/>
    <w:rsid w:val="008A7DC1"/>
    <w:rsid w:val="008B0193"/>
    <w:rsid w:val="008B01A8"/>
    <w:rsid w:val="008B0D55"/>
    <w:rsid w:val="008B0E46"/>
    <w:rsid w:val="008B1757"/>
    <w:rsid w:val="008B23BE"/>
    <w:rsid w:val="008B2EBA"/>
    <w:rsid w:val="008B3847"/>
    <w:rsid w:val="008B4F59"/>
    <w:rsid w:val="008B524C"/>
    <w:rsid w:val="008B5A63"/>
    <w:rsid w:val="008B6E66"/>
    <w:rsid w:val="008B6F84"/>
    <w:rsid w:val="008B7992"/>
    <w:rsid w:val="008B7D7E"/>
    <w:rsid w:val="008C021B"/>
    <w:rsid w:val="008C058E"/>
    <w:rsid w:val="008C0DE9"/>
    <w:rsid w:val="008C133A"/>
    <w:rsid w:val="008C1496"/>
    <w:rsid w:val="008C1EA8"/>
    <w:rsid w:val="008C25DD"/>
    <w:rsid w:val="008C2F98"/>
    <w:rsid w:val="008C317F"/>
    <w:rsid w:val="008C39D8"/>
    <w:rsid w:val="008C3B33"/>
    <w:rsid w:val="008C4475"/>
    <w:rsid w:val="008C5610"/>
    <w:rsid w:val="008C5739"/>
    <w:rsid w:val="008C57B2"/>
    <w:rsid w:val="008C57EC"/>
    <w:rsid w:val="008C5C20"/>
    <w:rsid w:val="008C6C4F"/>
    <w:rsid w:val="008C7292"/>
    <w:rsid w:val="008C7ECB"/>
    <w:rsid w:val="008C7F1F"/>
    <w:rsid w:val="008D014E"/>
    <w:rsid w:val="008D0A32"/>
    <w:rsid w:val="008D266E"/>
    <w:rsid w:val="008D2751"/>
    <w:rsid w:val="008D2D47"/>
    <w:rsid w:val="008D2E8E"/>
    <w:rsid w:val="008D321C"/>
    <w:rsid w:val="008D34FA"/>
    <w:rsid w:val="008D3B86"/>
    <w:rsid w:val="008D3C01"/>
    <w:rsid w:val="008D4532"/>
    <w:rsid w:val="008D4755"/>
    <w:rsid w:val="008D4C3D"/>
    <w:rsid w:val="008D6D26"/>
    <w:rsid w:val="008D6EB4"/>
    <w:rsid w:val="008D743C"/>
    <w:rsid w:val="008D77B4"/>
    <w:rsid w:val="008D78D6"/>
    <w:rsid w:val="008D7A5B"/>
    <w:rsid w:val="008D7AA9"/>
    <w:rsid w:val="008E006B"/>
    <w:rsid w:val="008E0D3C"/>
    <w:rsid w:val="008E1A2B"/>
    <w:rsid w:val="008E1B9E"/>
    <w:rsid w:val="008E1FE1"/>
    <w:rsid w:val="008E293B"/>
    <w:rsid w:val="008E2E47"/>
    <w:rsid w:val="008E46CE"/>
    <w:rsid w:val="008E4BA1"/>
    <w:rsid w:val="008E4D76"/>
    <w:rsid w:val="008E4E15"/>
    <w:rsid w:val="008E4E7D"/>
    <w:rsid w:val="008E55AB"/>
    <w:rsid w:val="008E5837"/>
    <w:rsid w:val="008E5F6B"/>
    <w:rsid w:val="008E6640"/>
    <w:rsid w:val="008E6923"/>
    <w:rsid w:val="008E7478"/>
    <w:rsid w:val="008E77F0"/>
    <w:rsid w:val="008E7C6E"/>
    <w:rsid w:val="008E7D83"/>
    <w:rsid w:val="008F04A3"/>
    <w:rsid w:val="008F0864"/>
    <w:rsid w:val="008F120A"/>
    <w:rsid w:val="008F187A"/>
    <w:rsid w:val="008F1E01"/>
    <w:rsid w:val="008F248C"/>
    <w:rsid w:val="008F27CE"/>
    <w:rsid w:val="008F27E0"/>
    <w:rsid w:val="008F285F"/>
    <w:rsid w:val="008F36E7"/>
    <w:rsid w:val="008F3CF2"/>
    <w:rsid w:val="008F48A7"/>
    <w:rsid w:val="008F48EB"/>
    <w:rsid w:val="008F499F"/>
    <w:rsid w:val="008F4E67"/>
    <w:rsid w:val="008F4F0B"/>
    <w:rsid w:val="008F624C"/>
    <w:rsid w:val="008F6522"/>
    <w:rsid w:val="008F6D39"/>
    <w:rsid w:val="008F6E64"/>
    <w:rsid w:val="009002BE"/>
    <w:rsid w:val="00900B30"/>
    <w:rsid w:val="0090147C"/>
    <w:rsid w:val="009025A2"/>
    <w:rsid w:val="00902A4F"/>
    <w:rsid w:val="00902D68"/>
    <w:rsid w:val="00903073"/>
    <w:rsid w:val="00903365"/>
    <w:rsid w:val="009038DA"/>
    <w:rsid w:val="00903B7E"/>
    <w:rsid w:val="0090402E"/>
    <w:rsid w:val="009046C4"/>
    <w:rsid w:val="00904F6C"/>
    <w:rsid w:val="0090565D"/>
    <w:rsid w:val="0090572E"/>
    <w:rsid w:val="00905B1C"/>
    <w:rsid w:val="009062A5"/>
    <w:rsid w:val="0090633A"/>
    <w:rsid w:val="0090642E"/>
    <w:rsid w:val="00906B47"/>
    <w:rsid w:val="00906BDF"/>
    <w:rsid w:val="00906C68"/>
    <w:rsid w:val="00906FFE"/>
    <w:rsid w:val="00907BA2"/>
    <w:rsid w:val="009100D1"/>
    <w:rsid w:val="00910888"/>
    <w:rsid w:val="00910C7A"/>
    <w:rsid w:val="00910E95"/>
    <w:rsid w:val="00910FA7"/>
    <w:rsid w:val="0091103C"/>
    <w:rsid w:val="00911272"/>
    <w:rsid w:val="009115B9"/>
    <w:rsid w:val="009115F1"/>
    <w:rsid w:val="009117E0"/>
    <w:rsid w:val="00911CA5"/>
    <w:rsid w:val="0091202C"/>
    <w:rsid w:val="009123C5"/>
    <w:rsid w:val="00912AE7"/>
    <w:rsid w:val="00912BFC"/>
    <w:rsid w:val="0091319A"/>
    <w:rsid w:val="00913311"/>
    <w:rsid w:val="009135D6"/>
    <w:rsid w:val="009145EA"/>
    <w:rsid w:val="009148F7"/>
    <w:rsid w:val="00914C77"/>
    <w:rsid w:val="00914D57"/>
    <w:rsid w:val="00916216"/>
    <w:rsid w:val="00917CFF"/>
    <w:rsid w:val="0092020C"/>
    <w:rsid w:val="00921299"/>
    <w:rsid w:val="0092154E"/>
    <w:rsid w:val="00921989"/>
    <w:rsid w:val="00921ACB"/>
    <w:rsid w:val="00922861"/>
    <w:rsid w:val="009231CD"/>
    <w:rsid w:val="00923550"/>
    <w:rsid w:val="0092369B"/>
    <w:rsid w:val="00925F80"/>
    <w:rsid w:val="00926647"/>
    <w:rsid w:val="00926951"/>
    <w:rsid w:val="009269B8"/>
    <w:rsid w:val="00926BA7"/>
    <w:rsid w:val="009307A5"/>
    <w:rsid w:val="00930BB5"/>
    <w:rsid w:val="009314C0"/>
    <w:rsid w:val="00931815"/>
    <w:rsid w:val="00931C55"/>
    <w:rsid w:val="0093239F"/>
    <w:rsid w:val="0093322E"/>
    <w:rsid w:val="00934165"/>
    <w:rsid w:val="00934988"/>
    <w:rsid w:val="00934A62"/>
    <w:rsid w:val="00934CDA"/>
    <w:rsid w:val="00934E2D"/>
    <w:rsid w:val="00935D2E"/>
    <w:rsid w:val="00936451"/>
    <w:rsid w:val="00936B4E"/>
    <w:rsid w:val="00937089"/>
    <w:rsid w:val="00940894"/>
    <w:rsid w:val="009409BB"/>
    <w:rsid w:val="0094101A"/>
    <w:rsid w:val="0094127B"/>
    <w:rsid w:val="009415E8"/>
    <w:rsid w:val="0094282A"/>
    <w:rsid w:val="00943104"/>
    <w:rsid w:val="009432B3"/>
    <w:rsid w:val="009434A1"/>
    <w:rsid w:val="009436B6"/>
    <w:rsid w:val="009439AB"/>
    <w:rsid w:val="00943D76"/>
    <w:rsid w:val="00943FF8"/>
    <w:rsid w:val="00944257"/>
    <w:rsid w:val="00944F8A"/>
    <w:rsid w:val="00945856"/>
    <w:rsid w:val="00945B9C"/>
    <w:rsid w:val="00945D7B"/>
    <w:rsid w:val="00946552"/>
    <w:rsid w:val="009465A7"/>
    <w:rsid w:val="009465F8"/>
    <w:rsid w:val="0094708A"/>
    <w:rsid w:val="009477B9"/>
    <w:rsid w:val="00947AFC"/>
    <w:rsid w:val="009501BA"/>
    <w:rsid w:val="009503C8"/>
    <w:rsid w:val="00950C88"/>
    <w:rsid w:val="00950ED0"/>
    <w:rsid w:val="009510A2"/>
    <w:rsid w:val="00951CF5"/>
    <w:rsid w:val="00952B3C"/>
    <w:rsid w:val="00952CBE"/>
    <w:rsid w:val="00953125"/>
    <w:rsid w:val="00953257"/>
    <w:rsid w:val="00953437"/>
    <w:rsid w:val="00953531"/>
    <w:rsid w:val="00953558"/>
    <w:rsid w:val="0095399F"/>
    <w:rsid w:val="0095474C"/>
    <w:rsid w:val="00954F53"/>
    <w:rsid w:val="0095522D"/>
    <w:rsid w:val="00955F62"/>
    <w:rsid w:val="009561DE"/>
    <w:rsid w:val="00956413"/>
    <w:rsid w:val="0095716F"/>
    <w:rsid w:val="00957453"/>
    <w:rsid w:val="00957AFE"/>
    <w:rsid w:val="00957D60"/>
    <w:rsid w:val="00957EB8"/>
    <w:rsid w:val="00957F37"/>
    <w:rsid w:val="009608C7"/>
    <w:rsid w:val="00961B0F"/>
    <w:rsid w:val="0096258C"/>
    <w:rsid w:val="009629D4"/>
    <w:rsid w:val="00962AC6"/>
    <w:rsid w:val="00962CB9"/>
    <w:rsid w:val="00963877"/>
    <w:rsid w:val="00963A95"/>
    <w:rsid w:val="00963C0F"/>
    <w:rsid w:val="009641B6"/>
    <w:rsid w:val="00964312"/>
    <w:rsid w:val="00964407"/>
    <w:rsid w:val="009648D7"/>
    <w:rsid w:val="00964910"/>
    <w:rsid w:val="00964D76"/>
    <w:rsid w:val="00965B8A"/>
    <w:rsid w:val="009660C4"/>
    <w:rsid w:val="00966915"/>
    <w:rsid w:val="00966EF7"/>
    <w:rsid w:val="00967096"/>
    <w:rsid w:val="0096717F"/>
    <w:rsid w:val="009674BD"/>
    <w:rsid w:val="0096759D"/>
    <w:rsid w:val="00967820"/>
    <w:rsid w:val="00967EF6"/>
    <w:rsid w:val="0097071F"/>
    <w:rsid w:val="00970765"/>
    <w:rsid w:val="00970B43"/>
    <w:rsid w:val="00971471"/>
    <w:rsid w:val="009717AC"/>
    <w:rsid w:val="00972510"/>
    <w:rsid w:val="00972887"/>
    <w:rsid w:val="00972CF0"/>
    <w:rsid w:val="00972EB0"/>
    <w:rsid w:val="00972EE0"/>
    <w:rsid w:val="009751C1"/>
    <w:rsid w:val="00975283"/>
    <w:rsid w:val="00975C17"/>
    <w:rsid w:val="009768B7"/>
    <w:rsid w:val="00976A1B"/>
    <w:rsid w:val="00976A34"/>
    <w:rsid w:val="0097763A"/>
    <w:rsid w:val="00977DE3"/>
    <w:rsid w:val="00980CCC"/>
    <w:rsid w:val="009811F1"/>
    <w:rsid w:val="00981902"/>
    <w:rsid w:val="00981B90"/>
    <w:rsid w:val="00982176"/>
    <w:rsid w:val="00983E57"/>
    <w:rsid w:val="0098447E"/>
    <w:rsid w:val="00984941"/>
    <w:rsid w:val="00985DE2"/>
    <w:rsid w:val="0098675D"/>
    <w:rsid w:val="009871C4"/>
    <w:rsid w:val="00987333"/>
    <w:rsid w:val="00987425"/>
    <w:rsid w:val="00987904"/>
    <w:rsid w:val="00987953"/>
    <w:rsid w:val="009907B8"/>
    <w:rsid w:val="00991C52"/>
    <w:rsid w:val="009924EF"/>
    <w:rsid w:val="009926E0"/>
    <w:rsid w:val="00993773"/>
    <w:rsid w:val="00993A18"/>
    <w:rsid w:val="00993BCF"/>
    <w:rsid w:val="0099451E"/>
    <w:rsid w:val="0099499F"/>
    <w:rsid w:val="00994C14"/>
    <w:rsid w:val="00994C34"/>
    <w:rsid w:val="00996614"/>
    <w:rsid w:val="00996A5D"/>
    <w:rsid w:val="00996ADA"/>
    <w:rsid w:val="00996B1A"/>
    <w:rsid w:val="0099794A"/>
    <w:rsid w:val="009A0080"/>
    <w:rsid w:val="009A04B7"/>
    <w:rsid w:val="009A0809"/>
    <w:rsid w:val="009A1DEE"/>
    <w:rsid w:val="009A24E2"/>
    <w:rsid w:val="009A2DCC"/>
    <w:rsid w:val="009A2F99"/>
    <w:rsid w:val="009A539F"/>
    <w:rsid w:val="009A5ABC"/>
    <w:rsid w:val="009A70DF"/>
    <w:rsid w:val="009A73F6"/>
    <w:rsid w:val="009A7441"/>
    <w:rsid w:val="009A7F10"/>
    <w:rsid w:val="009B0E65"/>
    <w:rsid w:val="009B0EAF"/>
    <w:rsid w:val="009B0F95"/>
    <w:rsid w:val="009B167F"/>
    <w:rsid w:val="009B225B"/>
    <w:rsid w:val="009B3076"/>
    <w:rsid w:val="009B3C5E"/>
    <w:rsid w:val="009B3D3B"/>
    <w:rsid w:val="009B3E26"/>
    <w:rsid w:val="009B4201"/>
    <w:rsid w:val="009B4B8D"/>
    <w:rsid w:val="009B5AE1"/>
    <w:rsid w:val="009B5D74"/>
    <w:rsid w:val="009B5DC3"/>
    <w:rsid w:val="009B6782"/>
    <w:rsid w:val="009B6A78"/>
    <w:rsid w:val="009B6E0E"/>
    <w:rsid w:val="009B70B1"/>
    <w:rsid w:val="009B73C6"/>
    <w:rsid w:val="009C16EA"/>
    <w:rsid w:val="009C25FA"/>
    <w:rsid w:val="009C2605"/>
    <w:rsid w:val="009C3706"/>
    <w:rsid w:val="009C3A3A"/>
    <w:rsid w:val="009C4470"/>
    <w:rsid w:val="009C6559"/>
    <w:rsid w:val="009C69AA"/>
    <w:rsid w:val="009C6CEA"/>
    <w:rsid w:val="009C6DCE"/>
    <w:rsid w:val="009C703C"/>
    <w:rsid w:val="009C7058"/>
    <w:rsid w:val="009C77A3"/>
    <w:rsid w:val="009C7823"/>
    <w:rsid w:val="009C78CA"/>
    <w:rsid w:val="009C7B85"/>
    <w:rsid w:val="009C7BBA"/>
    <w:rsid w:val="009C7CD6"/>
    <w:rsid w:val="009D0254"/>
    <w:rsid w:val="009D120B"/>
    <w:rsid w:val="009D1A64"/>
    <w:rsid w:val="009D1FFA"/>
    <w:rsid w:val="009D2162"/>
    <w:rsid w:val="009D2442"/>
    <w:rsid w:val="009D2D48"/>
    <w:rsid w:val="009D333A"/>
    <w:rsid w:val="009D3534"/>
    <w:rsid w:val="009D38AC"/>
    <w:rsid w:val="009D414D"/>
    <w:rsid w:val="009D4A0E"/>
    <w:rsid w:val="009D53DA"/>
    <w:rsid w:val="009D5B91"/>
    <w:rsid w:val="009D6A21"/>
    <w:rsid w:val="009D7207"/>
    <w:rsid w:val="009D73B2"/>
    <w:rsid w:val="009D784B"/>
    <w:rsid w:val="009D792E"/>
    <w:rsid w:val="009D798E"/>
    <w:rsid w:val="009E0370"/>
    <w:rsid w:val="009E0A57"/>
    <w:rsid w:val="009E0C67"/>
    <w:rsid w:val="009E0DFE"/>
    <w:rsid w:val="009E149F"/>
    <w:rsid w:val="009E14AC"/>
    <w:rsid w:val="009E2D25"/>
    <w:rsid w:val="009E3082"/>
    <w:rsid w:val="009E31F6"/>
    <w:rsid w:val="009E33F0"/>
    <w:rsid w:val="009E3C8F"/>
    <w:rsid w:val="009E3D0E"/>
    <w:rsid w:val="009E3F2F"/>
    <w:rsid w:val="009E4012"/>
    <w:rsid w:val="009E4021"/>
    <w:rsid w:val="009E4066"/>
    <w:rsid w:val="009E4410"/>
    <w:rsid w:val="009E441E"/>
    <w:rsid w:val="009E4474"/>
    <w:rsid w:val="009E4C07"/>
    <w:rsid w:val="009E5C83"/>
    <w:rsid w:val="009E6574"/>
    <w:rsid w:val="009E77DD"/>
    <w:rsid w:val="009E7D55"/>
    <w:rsid w:val="009F080C"/>
    <w:rsid w:val="009F1038"/>
    <w:rsid w:val="009F1629"/>
    <w:rsid w:val="009F1935"/>
    <w:rsid w:val="009F2042"/>
    <w:rsid w:val="009F2479"/>
    <w:rsid w:val="009F284B"/>
    <w:rsid w:val="009F2D2F"/>
    <w:rsid w:val="009F2F38"/>
    <w:rsid w:val="009F36C8"/>
    <w:rsid w:val="009F422A"/>
    <w:rsid w:val="009F4261"/>
    <w:rsid w:val="009F42EB"/>
    <w:rsid w:val="009F4331"/>
    <w:rsid w:val="009F5214"/>
    <w:rsid w:val="009F5C0C"/>
    <w:rsid w:val="009F67E3"/>
    <w:rsid w:val="009F69E7"/>
    <w:rsid w:val="009F6FE4"/>
    <w:rsid w:val="009F7194"/>
    <w:rsid w:val="009F7B47"/>
    <w:rsid w:val="00A009E2"/>
    <w:rsid w:val="00A01184"/>
    <w:rsid w:val="00A012E4"/>
    <w:rsid w:val="00A01A6D"/>
    <w:rsid w:val="00A01B53"/>
    <w:rsid w:val="00A02738"/>
    <w:rsid w:val="00A02866"/>
    <w:rsid w:val="00A028E9"/>
    <w:rsid w:val="00A037C2"/>
    <w:rsid w:val="00A03B64"/>
    <w:rsid w:val="00A03C2A"/>
    <w:rsid w:val="00A03D43"/>
    <w:rsid w:val="00A04217"/>
    <w:rsid w:val="00A04380"/>
    <w:rsid w:val="00A04693"/>
    <w:rsid w:val="00A05472"/>
    <w:rsid w:val="00A05C32"/>
    <w:rsid w:val="00A0653F"/>
    <w:rsid w:val="00A06ADA"/>
    <w:rsid w:val="00A06E5E"/>
    <w:rsid w:val="00A072D3"/>
    <w:rsid w:val="00A07C06"/>
    <w:rsid w:val="00A10D8D"/>
    <w:rsid w:val="00A11CD0"/>
    <w:rsid w:val="00A1223F"/>
    <w:rsid w:val="00A12F59"/>
    <w:rsid w:val="00A13948"/>
    <w:rsid w:val="00A13B6B"/>
    <w:rsid w:val="00A13D0A"/>
    <w:rsid w:val="00A148FD"/>
    <w:rsid w:val="00A14996"/>
    <w:rsid w:val="00A149F1"/>
    <w:rsid w:val="00A15241"/>
    <w:rsid w:val="00A1555B"/>
    <w:rsid w:val="00A155C5"/>
    <w:rsid w:val="00A16061"/>
    <w:rsid w:val="00A162D4"/>
    <w:rsid w:val="00A16821"/>
    <w:rsid w:val="00A16AD8"/>
    <w:rsid w:val="00A16F6F"/>
    <w:rsid w:val="00A20966"/>
    <w:rsid w:val="00A214E9"/>
    <w:rsid w:val="00A21AED"/>
    <w:rsid w:val="00A21C95"/>
    <w:rsid w:val="00A21CCB"/>
    <w:rsid w:val="00A21CF3"/>
    <w:rsid w:val="00A2260A"/>
    <w:rsid w:val="00A22BBF"/>
    <w:rsid w:val="00A230BB"/>
    <w:rsid w:val="00A23BE7"/>
    <w:rsid w:val="00A24813"/>
    <w:rsid w:val="00A24B36"/>
    <w:rsid w:val="00A24D9F"/>
    <w:rsid w:val="00A2596D"/>
    <w:rsid w:val="00A260B6"/>
    <w:rsid w:val="00A26D81"/>
    <w:rsid w:val="00A27AEC"/>
    <w:rsid w:val="00A300A3"/>
    <w:rsid w:val="00A309AF"/>
    <w:rsid w:val="00A30B45"/>
    <w:rsid w:val="00A31EB7"/>
    <w:rsid w:val="00A320DB"/>
    <w:rsid w:val="00A321F7"/>
    <w:rsid w:val="00A33229"/>
    <w:rsid w:val="00A33297"/>
    <w:rsid w:val="00A347D2"/>
    <w:rsid w:val="00A3547A"/>
    <w:rsid w:val="00A35536"/>
    <w:rsid w:val="00A35601"/>
    <w:rsid w:val="00A35AA0"/>
    <w:rsid w:val="00A35BBE"/>
    <w:rsid w:val="00A35D16"/>
    <w:rsid w:val="00A36FBD"/>
    <w:rsid w:val="00A36FC2"/>
    <w:rsid w:val="00A37418"/>
    <w:rsid w:val="00A37BCD"/>
    <w:rsid w:val="00A37D61"/>
    <w:rsid w:val="00A40295"/>
    <w:rsid w:val="00A40489"/>
    <w:rsid w:val="00A413AA"/>
    <w:rsid w:val="00A414E7"/>
    <w:rsid w:val="00A41689"/>
    <w:rsid w:val="00A42592"/>
    <w:rsid w:val="00A425C0"/>
    <w:rsid w:val="00A4264A"/>
    <w:rsid w:val="00A42D60"/>
    <w:rsid w:val="00A42E1B"/>
    <w:rsid w:val="00A43A59"/>
    <w:rsid w:val="00A43BE5"/>
    <w:rsid w:val="00A43C59"/>
    <w:rsid w:val="00A4429E"/>
    <w:rsid w:val="00A44CF5"/>
    <w:rsid w:val="00A44E63"/>
    <w:rsid w:val="00A461CC"/>
    <w:rsid w:val="00A46311"/>
    <w:rsid w:val="00A47B84"/>
    <w:rsid w:val="00A500DA"/>
    <w:rsid w:val="00A5053C"/>
    <w:rsid w:val="00A505F8"/>
    <w:rsid w:val="00A50ECD"/>
    <w:rsid w:val="00A51104"/>
    <w:rsid w:val="00A5135C"/>
    <w:rsid w:val="00A51519"/>
    <w:rsid w:val="00A51684"/>
    <w:rsid w:val="00A518F3"/>
    <w:rsid w:val="00A51979"/>
    <w:rsid w:val="00A51AAD"/>
    <w:rsid w:val="00A52729"/>
    <w:rsid w:val="00A529E4"/>
    <w:rsid w:val="00A52CDF"/>
    <w:rsid w:val="00A53675"/>
    <w:rsid w:val="00A537DE"/>
    <w:rsid w:val="00A54296"/>
    <w:rsid w:val="00A54A4A"/>
    <w:rsid w:val="00A54EA8"/>
    <w:rsid w:val="00A55B57"/>
    <w:rsid w:val="00A564D7"/>
    <w:rsid w:val="00A56A12"/>
    <w:rsid w:val="00A56B6A"/>
    <w:rsid w:val="00A56E79"/>
    <w:rsid w:val="00A572AB"/>
    <w:rsid w:val="00A578DC"/>
    <w:rsid w:val="00A57AF8"/>
    <w:rsid w:val="00A60813"/>
    <w:rsid w:val="00A60F46"/>
    <w:rsid w:val="00A61A20"/>
    <w:rsid w:val="00A61B2C"/>
    <w:rsid w:val="00A61B8C"/>
    <w:rsid w:val="00A62919"/>
    <w:rsid w:val="00A62E5F"/>
    <w:rsid w:val="00A63147"/>
    <w:rsid w:val="00A63504"/>
    <w:rsid w:val="00A63BA7"/>
    <w:rsid w:val="00A63E0A"/>
    <w:rsid w:val="00A63F2B"/>
    <w:rsid w:val="00A640E2"/>
    <w:rsid w:val="00A64D65"/>
    <w:rsid w:val="00A64EEA"/>
    <w:rsid w:val="00A66912"/>
    <w:rsid w:val="00A66C67"/>
    <w:rsid w:val="00A6725B"/>
    <w:rsid w:val="00A677F1"/>
    <w:rsid w:val="00A67DA8"/>
    <w:rsid w:val="00A704C6"/>
    <w:rsid w:val="00A70605"/>
    <w:rsid w:val="00A71009"/>
    <w:rsid w:val="00A71819"/>
    <w:rsid w:val="00A71835"/>
    <w:rsid w:val="00A721D6"/>
    <w:rsid w:val="00A727CF"/>
    <w:rsid w:val="00A72CA7"/>
    <w:rsid w:val="00A72D9B"/>
    <w:rsid w:val="00A73134"/>
    <w:rsid w:val="00A737A3"/>
    <w:rsid w:val="00A73842"/>
    <w:rsid w:val="00A73B31"/>
    <w:rsid w:val="00A73F6E"/>
    <w:rsid w:val="00A74005"/>
    <w:rsid w:val="00A74FCB"/>
    <w:rsid w:val="00A76001"/>
    <w:rsid w:val="00A767B9"/>
    <w:rsid w:val="00A76C16"/>
    <w:rsid w:val="00A7728C"/>
    <w:rsid w:val="00A777B2"/>
    <w:rsid w:val="00A77D9B"/>
    <w:rsid w:val="00A806F1"/>
    <w:rsid w:val="00A811D2"/>
    <w:rsid w:val="00A81370"/>
    <w:rsid w:val="00A81F66"/>
    <w:rsid w:val="00A82036"/>
    <w:rsid w:val="00A825D4"/>
    <w:rsid w:val="00A82740"/>
    <w:rsid w:val="00A828F6"/>
    <w:rsid w:val="00A82B73"/>
    <w:rsid w:val="00A84668"/>
    <w:rsid w:val="00A8473A"/>
    <w:rsid w:val="00A85542"/>
    <w:rsid w:val="00A855A5"/>
    <w:rsid w:val="00A85667"/>
    <w:rsid w:val="00A859DC"/>
    <w:rsid w:val="00A85E7B"/>
    <w:rsid w:val="00A865C7"/>
    <w:rsid w:val="00A86E8B"/>
    <w:rsid w:val="00A87164"/>
    <w:rsid w:val="00A87E78"/>
    <w:rsid w:val="00A90BEA"/>
    <w:rsid w:val="00A910B6"/>
    <w:rsid w:val="00A91D7A"/>
    <w:rsid w:val="00A9204C"/>
    <w:rsid w:val="00A9243E"/>
    <w:rsid w:val="00A92482"/>
    <w:rsid w:val="00A92A7D"/>
    <w:rsid w:val="00A93072"/>
    <w:rsid w:val="00A938BD"/>
    <w:rsid w:val="00A93953"/>
    <w:rsid w:val="00A93EAD"/>
    <w:rsid w:val="00A94AD6"/>
    <w:rsid w:val="00A94B47"/>
    <w:rsid w:val="00A95647"/>
    <w:rsid w:val="00A959D8"/>
    <w:rsid w:val="00A9669B"/>
    <w:rsid w:val="00A96B63"/>
    <w:rsid w:val="00A96EF9"/>
    <w:rsid w:val="00A970E3"/>
    <w:rsid w:val="00A97150"/>
    <w:rsid w:val="00A97F86"/>
    <w:rsid w:val="00AA012D"/>
    <w:rsid w:val="00AA021C"/>
    <w:rsid w:val="00AA113D"/>
    <w:rsid w:val="00AA12C1"/>
    <w:rsid w:val="00AA1759"/>
    <w:rsid w:val="00AA1C02"/>
    <w:rsid w:val="00AA2003"/>
    <w:rsid w:val="00AA275A"/>
    <w:rsid w:val="00AA351C"/>
    <w:rsid w:val="00AA3A70"/>
    <w:rsid w:val="00AA4796"/>
    <w:rsid w:val="00AA4BF9"/>
    <w:rsid w:val="00AA4D75"/>
    <w:rsid w:val="00AA4DC3"/>
    <w:rsid w:val="00AA53F1"/>
    <w:rsid w:val="00AA5555"/>
    <w:rsid w:val="00AA5990"/>
    <w:rsid w:val="00AA5AB9"/>
    <w:rsid w:val="00AA63CD"/>
    <w:rsid w:val="00AA6BD5"/>
    <w:rsid w:val="00AA6BD8"/>
    <w:rsid w:val="00AA6C7D"/>
    <w:rsid w:val="00AA6EF3"/>
    <w:rsid w:val="00AA79D9"/>
    <w:rsid w:val="00AA7B19"/>
    <w:rsid w:val="00AA7B8D"/>
    <w:rsid w:val="00AA7EEC"/>
    <w:rsid w:val="00AA7FD6"/>
    <w:rsid w:val="00AB042A"/>
    <w:rsid w:val="00AB065D"/>
    <w:rsid w:val="00AB0C09"/>
    <w:rsid w:val="00AB19EF"/>
    <w:rsid w:val="00AB1D3F"/>
    <w:rsid w:val="00AB1E11"/>
    <w:rsid w:val="00AB1FC5"/>
    <w:rsid w:val="00AB20DC"/>
    <w:rsid w:val="00AB2A22"/>
    <w:rsid w:val="00AB2B31"/>
    <w:rsid w:val="00AB2D34"/>
    <w:rsid w:val="00AB3430"/>
    <w:rsid w:val="00AB3467"/>
    <w:rsid w:val="00AB37B9"/>
    <w:rsid w:val="00AB3F19"/>
    <w:rsid w:val="00AB4AD1"/>
    <w:rsid w:val="00AB5E07"/>
    <w:rsid w:val="00AB6A26"/>
    <w:rsid w:val="00AB6C7E"/>
    <w:rsid w:val="00AB6DEF"/>
    <w:rsid w:val="00AB7CFA"/>
    <w:rsid w:val="00AC043A"/>
    <w:rsid w:val="00AC1538"/>
    <w:rsid w:val="00AC1E79"/>
    <w:rsid w:val="00AC3950"/>
    <w:rsid w:val="00AC3DE8"/>
    <w:rsid w:val="00AC405E"/>
    <w:rsid w:val="00AC41FD"/>
    <w:rsid w:val="00AC514E"/>
    <w:rsid w:val="00AC5B48"/>
    <w:rsid w:val="00AC61FE"/>
    <w:rsid w:val="00AC6858"/>
    <w:rsid w:val="00AC7126"/>
    <w:rsid w:val="00AC7A46"/>
    <w:rsid w:val="00AC7B48"/>
    <w:rsid w:val="00AD1450"/>
    <w:rsid w:val="00AD1888"/>
    <w:rsid w:val="00AD1CBC"/>
    <w:rsid w:val="00AD1F79"/>
    <w:rsid w:val="00AD2124"/>
    <w:rsid w:val="00AD2160"/>
    <w:rsid w:val="00AD218A"/>
    <w:rsid w:val="00AD2D63"/>
    <w:rsid w:val="00AD306A"/>
    <w:rsid w:val="00AD396D"/>
    <w:rsid w:val="00AD3A35"/>
    <w:rsid w:val="00AD48E2"/>
    <w:rsid w:val="00AD4AAF"/>
    <w:rsid w:val="00AD5592"/>
    <w:rsid w:val="00AD5A31"/>
    <w:rsid w:val="00AD5ABF"/>
    <w:rsid w:val="00AD5E29"/>
    <w:rsid w:val="00AD6502"/>
    <w:rsid w:val="00AD6F2B"/>
    <w:rsid w:val="00AD7139"/>
    <w:rsid w:val="00AE04AC"/>
    <w:rsid w:val="00AE0665"/>
    <w:rsid w:val="00AE0695"/>
    <w:rsid w:val="00AE0698"/>
    <w:rsid w:val="00AE074C"/>
    <w:rsid w:val="00AE0A31"/>
    <w:rsid w:val="00AE12AA"/>
    <w:rsid w:val="00AE193B"/>
    <w:rsid w:val="00AE199A"/>
    <w:rsid w:val="00AE2934"/>
    <w:rsid w:val="00AE2EA4"/>
    <w:rsid w:val="00AE2EE1"/>
    <w:rsid w:val="00AE3506"/>
    <w:rsid w:val="00AE3A6D"/>
    <w:rsid w:val="00AE3B3F"/>
    <w:rsid w:val="00AE3E7E"/>
    <w:rsid w:val="00AE50CE"/>
    <w:rsid w:val="00AE531C"/>
    <w:rsid w:val="00AE5485"/>
    <w:rsid w:val="00AF0170"/>
    <w:rsid w:val="00AF0330"/>
    <w:rsid w:val="00AF0981"/>
    <w:rsid w:val="00AF0B38"/>
    <w:rsid w:val="00AF0C39"/>
    <w:rsid w:val="00AF1315"/>
    <w:rsid w:val="00AF1591"/>
    <w:rsid w:val="00AF19BF"/>
    <w:rsid w:val="00AF2680"/>
    <w:rsid w:val="00AF2DC3"/>
    <w:rsid w:val="00AF3421"/>
    <w:rsid w:val="00AF3BB0"/>
    <w:rsid w:val="00AF449C"/>
    <w:rsid w:val="00AF531A"/>
    <w:rsid w:val="00AF559B"/>
    <w:rsid w:val="00AF59DA"/>
    <w:rsid w:val="00AF682E"/>
    <w:rsid w:val="00AF6C96"/>
    <w:rsid w:val="00AF72DB"/>
    <w:rsid w:val="00AF73CE"/>
    <w:rsid w:val="00AF76A8"/>
    <w:rsid w:val="00AF7B97"/>
    <w:rsid w:val="00AF7EA8"/>
    <w:rsid w:val="00B006ED"/>
    <w:rsid w:val="00B00E86"/>
    <w:rsid w:val="00B01176"/>
    <w:rsid w:val="00B016FE"/>
    <w:rsid w:val="00B01AD2"/>
    <w:rsid w:val="00B01B1A"/>
    <w:rsid w:val="00B01BC5"/>
    <w:rsid w:val="00B020FF"/>
    <w:rsid w:val="00B02451"/>
    <w:rsid w:val="00B03044"/>
    <w:rsid w:val="00B03165"/>
    <w:rsid w:val="00B033E5"/>
    <w:rsid w:val="00B036B3"/>
    <w:rsid w:val="00B03A63"/>
    <w:rsid w:val="00B03B67"/>
    <w:rsid w:val="00B03CA5"/>
    <w:rsid w:val="00B03E45"/>
    <w:rsid w:val="00B04799"/>
    <w:rsid w:val="00B050D8"/>
    <w:rsid w:val="00B0526C"/>
    <w:rsid w:val="00B062B1"/>
    <w:rsid w:val="00B06523"/>
    <w:rsid w:val="00B06658"/>
    <w:rsid w:val="00B06CB1"/>
    <w:rsid w:val="00B06DF3"/>
    <w:rsid w:val="00B06EBD"/>
    <w:rsid w:val="00B07146"/>
    <w:rsid w:val="00B076FD"/>
    <w:rsid w:val="00B1027D"/>
    <w:rsid w:val="00B108AE"/>
    <w:rsid w:val="00B10B4B"/>
    <w:rsid w:val="00B10C2C"/>
    <w:rsid w:val="00B1195D"/>
    <w:rsid w:val="00B11CDB"/>
    <w:rsid w:val="00B121E7"/>
    <w:rsid w:val="00B12396"/>
    <w:rsid w:val="00B12A2D"/>
    <w:rsid w:val="00B13387"/>
    <w:rsid w:val="00B1402F"/>
    <w:rsid w:val="00B140F2"/>
    <w:rsid w:val="00B147AA"/>
    <w:rsid w:val="00B149CF"/>
    <w:rsid w:val="00B14BA3"/>
    <w:rsid w:val="00B15319"/>
    <w:rsid w:val="00B15605"/>
    <w:rsid w:val="00B15D20"/>
    <w:rsid w:val="00B169E8"/>
    <w:rsid w:val="00B1728F"/>
    <w:rsid w:val="00B17F5F"/>
    <w:rsid w:val="00B201A4"/>
    <w:rsid w:val="00B201D1"/>
    <w:rsid w:val="00B2035B"/>
    <w:rsid w:val="00B209E1"/>
    <w:rsid w:val="00B20D91"/>
    <w:rsid w:val="00B213A6"/>
    <w:rsid w:val="00B23384"/>
    <w:rsid w:val="00B235B0"/>
    <w:rsid w:val="00B23DC9"/>
    <w:rsid w:val="00B243D9"/>
    <w:rsid w:val="00B24941"/>
    <w:rsid w:val="00B24DF6"/>
    <w:rsid w:val="00B25250"/>
    <w:rsid w:val="00B261D9"/>
    <w:rsid w:val="00B26769"/>
    <w:rsid w:val="00B27F57"/>
    <w:rsid w:val="00B300EC"/>
    <w:rsid w:val="00B303A4"/>
    <w:rsid w:val="00B30ABB"/>
    <w:rsid w:val="00B310D0"/>
    <w:rsid w:val="00B31676"/>
    <w:rsid w:val="00B3186A"/>
    <w:rsid w:val="00B31AFA"/>
    <w:rsid w:val="00B32135"/>
    <w:rsid w:val="00B3213E"/>
    <w:rsid w:val="00B32366"/>
    <w:rsid w:val="00B32AA9"/>
    <w:rsid w:val="00B32C09"/>
    <w:rsid w:val="00B34B2E"/>
    <w:rsid w:val="00B34F13"/>
    <w:rsid w:val="00B34FE2"/>
    <w:rsid w:val="00B35166"/>
    <w:rsid w:val="00B35294"/>
    <w:rsid w:val="00B357D8"/>
    <w:rsid w:val="00B35C53"/>
    <w:rsid w:val="00B35D3A"/>
    <w:rsid w:val="00B35E97"/>
    <w:rsid w:val="00B360F4"/>
    <w:rsid w:val="00B3627F"/>
    <w:rsid w:val="00B36A00"/>
    <w:rsid w:val="00B37BFB"/>
    <w:rsid w:val="00B37BFC"/>
    <w:rsid w:val="00B37D76"/>
    <w:rsid w:val="00B37EEA"/>
    <w:rsid w:val="00B40175"/>
    <w:rsid w:val="00B40258"/>
    <w:rsid w:val="00B40358"/>
    <w:rsid w:val="00B41614"/>
    <w:rsid w:val="00B41616"/>
    <w:rsid w:val="00B41D6E"/>
    <w:rsid w:val="00B4246E"/>
    <w:rsid w:val="00B42851"/>
    <w:rsid w:val="00B42F80"/>
    <w:rsid w:val="00B435CB"/>
    <w:rsid w:val="00B43804"/>
    <w:rsid w:val="00B43A4E"/>
    <w:rsid w:val="00B43C5E"/>
    <w:rsid w:val="00B44A34"/>
    <w:rsid w:val="00B450C1"/>
    <w:rsid w:val="00B462E4"/>
    <w:rsid w:val="00B465FE"/>
    <w:rsid w:val="00B4729B"/>
    <w:rsid w:val="00B47395"/>
    <w:rsid w:val="00B479AA"/>
    <w:rsid w:val="00B505C8"/>
    <w:rsid w:val="00B50DB8"/>
    <w:rsid w:val="00B50F49"/>
    <w:rsid w:val="00B510FA"/>
    <w:rsid w:val="00B51497"/>
    <w:rsid w:val="00B51FB3"/>
    <w:rsid w:val="00B5251D"/>
    <w:rsid w:val="00B52ADB"/>
    <w:rsid w:val="00B52C22"/>
    <w:rsid w:val="00B5304D"/>
    <w:rsid w:val="00B534BF"/>
    <w:rsid w:val="00B53654"/>
    <w:rsid w:val="00B53905"/>
    <w:rsid w:val="00B54633"/>
    <w:rsid w:val="00B54909"/>
    <w:rsid w:val="00B54B5B"/>
    <w:rsid w:val="00B54BF8"/>
    <w:rsid w:val="00B5562E"/>
    <w:rsid w:val="00B55D65"/>
    <w:rsid w:val="00B56A7C"/>
    <w:rsid w:val="00B57000"/>
    <w:rsid w:val="00B57316"/>
    <w:rsid w:val="00B5749A"/>
    <w:rsid w:val="00B57DD4"/>
    <w:rsid w:val="00B57F83"/>
    <w:rsid w:val="00B604B3"/>
    <w:rsid w:val="00B60796"/>
    <w:rsid w:val="00B60939"/>
    <w:rsid w:val="00B60AFD"/>
    <w:rsid w:val="00B61AFB"/>
    <w:rsid w:val="00B62715"/>
    <w:rsid w:val="00B62DD8"/>
    <w:rsid w:val="00B62E29"/>
    <w:rsid w:val="00B63B34"/>
    <w:rsid w:val="00B63E17"/>
    <w:rsid w:val="00B64762"/>
    <w:rsid w:val="00B64D5D"/>
    <w:rsid w:val="00B64E08"/>
    <w:rsid w:val="00B64EC0"/>
    <w:rsid w:val="00B64EC7"/>
    <w:rsid w:val="00B64F42"/>
    <w:rsid w:val="00B64F84"/>
    <w:rsid w:val="00B650CC"/>
    <w:rsid w:val="00B65611"/>
    <w:rsid w:val="00B6561C"/>
    <w:rsid w:val="00B65788"/>
    <w:rsid w:val="00B65DEC"/>
    <w:rsid w:val="00B65E53"/>
    <w:rsid w:val="00B65E78"/>
    <w:rsid w:val="00B663CD"/>
    <w:rsid w:val="00B6699E"/>
    <w:rsid w:val="00B70C85"/>
    <w:rsid w:val="00B70E8E"/>
    <w:rsid w:val="00B7210C"/>
    <w:rsid w:val="00B72AE7"/>
    <w:rsid w:val="00B7509D"/>
    <w:rsid w:val="00B75A5E"/>
    <w:rsid w:val="00B75BE2"/>
    <w:rsid w:val="00B75F05"/>
    <w:rsid w:val="00B76878"/>
    <w:rsid w:val="00B76C92"/>
    <w:rsid w:val="00B76D1D"/>
    <w:rsid w:val="00B76D25"/>
    <w:rsid w:val="00B77AA2"/>
    <w:rsid w:val="00B80310"/>
    <w:rsid w:val="00B809D1"/>
    <w:rsid w:val="00B80AE3"/>
    <w:rsid w:val="00B80BE0"/>
    <w:rsid w:val="00B813F4"/>
    <w:rsid w:val="00B818A4"/>
    <w:rsid w:val="00B82255"/>
    <w:rsid w:val="00B823D5"/>
    <w:rsid w:val="00B8313D"/>
    <w:rsid w:val="00B84117"/>
    <w:rsid w:val="00B858F0"/>
    <w:rsid w:val="00B85AA2"/>
    <w:rsid w:val="00B85B8E"/>
    <w:rsid w:val="00B85EF4"/>
    <w:rsid w:val="00B861FC"/>
    <w:rsid w:val="00B8649C"/>
    <w:rsid w:val="00B8695D"/>
    <w:rsid w:val="00B86BDB"/>
    <w:rsid w:val="00B87304"/>
    <w:rsid w:val="00B87B6C"/>
    <w:rsid w:val="00B87DA1"/>
    <w:rsid w:val="00B87F0A"/>
    <w:rsid w:val="00B902CA"/>
    <w:rsid w:val="00B9098F"/>
    <w:rsid w:val="00B91710"/>
    <w:rsid w:val="00B91BC0"/>
    <w:rsid w:val="00B9225C"/>
    <w:rsid w:val="00B92A1B"/>
    <w:rsid w:val="00B92D0B"/>
    <w:rsid w:val="00B941A8"/>
    <w:rsid w:val="00B9422D"/>
    <w:rsid w:val="00B94322"/>
    <w:rsid w:val="00B94490"/>
    <w:rsid w:val="00B946BD"/>
    <w:rsid w:val="00B9486A"/>
    <w:rsid w:val="00B94945"/>
    <w:rsid w:val="00B94DC0"/>
    <w:rsid w:val="00B94DD6"/>
    <w:rsid w:val="00B94EE7"/>
    <w:rsid w:val="00B951A8"/>
    <w:rsid w:val="00B953FB"/>
    <w:rsid w:val="00B95EF6"/>
    <w:rsid w:val="00B9627D"/>
    <w:rsid w:val="00B96ADD"/>
    <w:rsid w:val="00B96CC8"/>
    <w:rsid w:val="00B96F44"/>
    <w:rsid w:val="00B96FF8"/>
    <w:rsid w:val="00B9708B"/>
    <w:rsid w:val="00B97296"/>
    <w:rsid w:val="00B9732E"/>
    <w:rsid w:val="00B973F5"/>
    <w:rsid w:val="00B97D2F"/>
    <w:rsid w:val="00BA01C4"/>
    <w:rsid w:val="00BA02A8"/>
    <w:rsid w:val="00BA10C1"/>
    <w:rsid w:val="00BA1181"/>
    <w:rsid w:val="00BA11E7"/>
    <w:rsid w:val="00BA190A"/>
    <w:rsid w:val="00BA1E7D"/>
    <w:rsid w:val="00BA21E1"/>
    <w:rsid w:val="00BA322D"/>
    <w:rsid w:val="00BA3640"/>
    <w:rsid w:val="00BA3C82"/>
    <w:rsid w:val="00BA419C"/>
    <w:rsid w:val="00BA4E46"/>
    <w:rsid w:val="00BA531A"/>
    <w:rsid w:val="00BA5C54"/>
    <w:rsid w:val="00BA6261"/>
    <w:rsid w:val="00BA63AA"/>
    <w:rsid w:val="00BA63FA"/>
    <w:rsid w:val="00BA677D"/>
    <w:rsid w:val="00BA6C15"/>
    <w:rsid w:val="00BA719A"/>
    <w:rsid w:val="00BA7368"/>
    <w:rsid w:val="00BA7CC5"/>
    <w:rsid w:val="00BB00B3"/>
    <w:rsid w:val="00BB0661"/>
    <w:rsid w:val="00BB0BDD"/>
    <w:rsid w:val="00BB176C"/>
    <w:rsid w:val="00BB1872"/>
    <w:rsid w:val="00BB2A73"/>
    <w:rsid w:val="00BB2D93"/>
    <w:rsid w:val="00BB3046"/>
    <w:rsid w:val="00BB311E"/>
    <w:rsid w:val="00BB3A45"/>
    <w:rsid w:val="00BB4429"/>
    <w:rsid w:val="00BB4ACC"/>
    <w:rsid w:val="00BB4E0D"/>
    <w:rsid w:val="00BB4F1C"/>
    <w:rsid w:val="00BB5687"/>
    <w:rsid w:val="00BB57EC"/>
    <w:rsid w:val="00BB5FAD"/>
    <w:rsid w:val="00BB6498"/>
    <w:rsid w:val="00BB6BC1"/>
    <w:rsid w:val="00BB703E"/>
    <w:rsid w:val="00BB732D"/>
    <w:rsid w:val="00BB73A3"/>
    <w:rsid w:val="00BB73B3"/>
    <w:rsid w:val="00BB7405"/>
    <w:rsid w:val="00BB7CCA"/>
    <w:rsid w:val="00BB7E55"/>
    <w:rsid w:val="00BB7F22"/>
    <w:rsid w:val="00BC0079"/>
    <w:rsid w:val="00BC0539"/>
    <w:rsid w:val="00BC0935"/>
    <w:rsid w:val="00BC09AE"/>
    <w:rsid w:val="00BC1168"/>
    <w:rsid w:val="00BC1367"/>
    <w:rsid w:val="00BC149B"/>
    <w:rsid w:val="00BC1F4E"/>
    <w:rsid w:val="00BC20CC"/>
    <w:rsid w:val="00BC2BDA"/>
    <w:rsid w:val="00BC3631"/>
    <w:rsid w:val="00BC3A82"/>
    <w:rsid w:val="00BC4078"/>
    <w:rsid w:val="00BC466E"/>
    <w:rsid w:val="00BC51C8"/>
    <w:rsid w:val="00BC591F"/>
    <w:rsid w:val="00BC5AD4"/>
    <w:rsid w:val="00BC603A"/>
    <w:rsid w:val="00BC616D"/>
    <w:rsid w:val="00BC6399"/>
    <w:rsid w:val="00BC67BD"/>
    <w:rsid w:val="00BC6AC5"/>
    <w:rsid w:val="00BC6B26"/>
    <w:rsid w:val="00BC75EC"/>
    <w:rsid w:val="00BC791D"/>
    <w:rsid w:val="00BC7CC9"/>
    <w:rsid w:val="00BC7D6D"/>
    <w:rsid w:val="00BD044B"/>
    <w:rsid w:val="00BD04FE"/>
    <w:rsid w:val="00BD0530"/>
    <w:rsid w:val="00BD0AFE"/>
    <w:rsid w:val="00BD1801"/>
    <w:rsid w:val="00BD2108"/>
    <w:rsid w:val="00BD259C"/>
    <w:rsid w:val="00BD3E5A"/>
    <w:rsid w:val="00BD4529"/>
    <w:rsid w:val="00BD4C46"/>
    <w:rsid w:val="00BD51F4"/>
    <w:rsid w:val="00BD54C3"/>
    <w:rsid w:val="00BD5E5D"/>
    <w:rsid w:val="00BD68A3"/>
    <w:rsid w:val="00BD6938"/>
    <w:rsid w:val="00BD6CE4"/>
    <w:rsid w:val="00BD6CF3"/>
    <w:rsid w:val="00BD7227"/>
    <w:rsid w:val="00BD7A1E"/>
    <w:rsid w:val="00BD7B22"/>
    <w:rsid w:val="00BD7DB3"/>
    <w:rsid w:val="00BE04B2"/>
    <w:rsid w:val="00BE07E2"/>
    <w:rsid w:val="00BE0ECA"/>
    <w:rsid w:val="00BE125C"/>
    <w:rsid w:val="00BE1E68"/>
    <w:rsid w:val="00BE2180"/>
    <w:rsid w:val="00BE21F2"/>
    <w:rsid w:val="00BE2976"/>
    <w:rsid w:val="00BE2B8F"/>
    <w:rsid w:val="00BE2CB0"/>
    <w:rsid w:val="00BE38D3"/>
    <w:rsid w:val="00BE3D56"/>
    <w:rsid w:val="00BE40E5"/>
    <w:rsid w:val="00BE4275"/>
    <w:rsid w:val="00BE5161"/>
    <w:rsid w:val="00BE5F4B"/>
    <w:rsid w:val="00BE626A"/>
    <w:rsid w:val="00BE6624"/>
    <w:rsid w:val="00BE679A"/>
    <w:rsid w:val="00BE6B11"/>
    <w:rsid w:val="00BE6C1B"/>
    <w:rsid w:val="00BE71D7"/>
    <w:rsid w:val="00BF069A"/>
    <w:rsid w:val="00BF06AE"/>
    <w:rsid w:val="00BF08FA"/>
    <w:rsid w:val="00BF0D76"/>
    <w:rsid w:val="00BF0D7E"/>
    <w:rsid w:val="00BF0EFD"/>
    <w:rsid w:val="00BF0F95"/>
    <w:rsid w:val="00BF167A"/>
    <w:rsid w:val="00BF1BB6"/>
    <w:rsid w:val="00BF1EF9"/>
    <w:rsid w:val="00BF2093"/>
    <w:rsid w:val="00BF2433"/>
    <w:rsid w:val="00BF2F77"/>
    <w:rsid w:val="00BF2FD6"/>
    <w:rsid w:val="00BF433F"/>
    <w:rsid w:val="00BF5C91"/>
    <w:rsid w:val="00BF61C9"/>
    <w:rsid w:val="00BF6359"/>
    <w:rsid w:val="00BF6C94"/>
    <w:rsid w:val="00BF7381"/>
    <w:rsid w:val="00BF7777"/>
    <w:rsid w:val="00BF77EC"/>
    <w:rsid w:val="00BF7D76"/>
    <w:rsid w:val="00BF7DA0"/>
    <w:rsid w:val="00C00424"/>
    <w:rsid w:val="00C004B8"/>
    <w:rsid w:val="00C013D0"/>
    <w:rsid w:val="00C013DD"/>
    <w:rsid w:val="00C017EB"/>
    <w:rsid w:val="00C01C85"/>
    <w:rsid w:val="00C02047"/>
    <w:rsid w:val="00C0287A"/>
    <w:rsid w:val="00C02A76"/>
    <w:rsid w:val="00C033E0"/>
    <w:rsid w:val="00C037F1"/>
    <w:rsid w:val="00C0386D"/>
    <w:rsid w:val="00C04110"/>
    <w:rsid w:val="00C044C2"/>
    <w:rsid w:val="00C04CB9"/>
    <w:rsid w:val="00C050DC"/>
    <w:rsid w:val="00C052C0"/>
    <w:rsid w:val="00C06A04"/>
    <w:rsid w:val="00C06E46"/>
    <w:rsid w:val="00C07723"/>
    <w:rsid w:val="00C07D17"/>
    <w:rsid w:val="00C112D6"/>
    <w:rsid w:val="00C1179F"/>
    <w:rsid w:val="00C11D1C"/>
    <w:rsid w:val="00C12C14"/>
    <w:rsid w:val="00C12EC3"/>
    <w:rsid w:val="00C13053"/>
    <w:rsid w:val="00C14094"/>
    <w:rsid w:val="00C14ABD"/>
    <w:rsid w:val="00C1556E"/>
    <w:rsid w:val="00C15F04"/>
    <w:rsid w:val="00C16CA5"/>
    <w:rsid w:val="00C17048"/>
    <w:rsid w:val="00C17438"/>
    <w:rsid w:val="00C179B3"/>
    <w:rsid w:val="00C17E3F"/>
    <w:rsid w:val="00C200AA"/>
    <w:rsid w:val="00C2045B"/>
    <w:rsid w:val="00C20C46"/>
    <w:rsid w:val="00C2183E"/>
    <w:rsid w:val="00C21B27"/>
    <w:rsid w:val="00C21B8F"/>
    <w:rsid w:val="00C2206A"/>
    <w:rsid w:val="00C22213"/>
    <w:rsid w:val="00C226F0"/>
    <w:rsid w:val="00C22B50"/>
    <w:rsid w:val="00C22DE1"/>
    <w:rsid w:val="00C23270"/>
    <w:rsid w:val="00C2330B"/>
    <w:rsid w:val="00C235F3"/>
    <w:rsid w:val="00C237ED"/>
    <w:rsid w:val="00C23D0B"/>
    <w:rsid w:val="00C241A1"/>
    <w:rsid w:val="00C24632"/>
    <w:rsid w:val="00C24EE7"/>
    <w:rsid w:val="00C25156"/>
    <w:rsid w:val="00C25211"/>
    <w:rsid w:val="00C252FA"/>
    <w:rsid w:val="00C25418"/>
    <w:rsid w:val="00C25D9C"/>
    <w:rsid w:val="00C260FA"/>
    <w:rsid w:val="00C26CC7"/>
    <w:rsid w:val="00C26F13"/>
    <w:rsid w:val="00C27632"/>
    <w:rsid w:val="00C27733"/>
    <w:rsid w:val="00C2778B"/>
    <w:rsid w:val="00C31649"/>
    <w:rsid w:val="00C32312"/>
    <w:rsid w:val="00C324FA"/>
    <w:rsid w:val="00C325A4"/>
    <w:rsid w:val="00C327B6"/>
    <w:rsid w:val="00C32834"/>
    <w:rsid w:val="00C329E3"/>
    <w:rsid w:val="00C32D76"/>
    <w:rsid w:val="00C332CD"/>
    <w:rsid w:val="00C3363A"/>
    <w:rsid w:val="00C33B7E"/>
    <w:rsid w:val="00C33DF5"/>
    <w:rsid w:val="00C33F0E"/>
    <w:rsid w:val="00C3434C"/>
    <w:rsid w:val="00C3438C"/>
    <w:rsid w:val="00C345C8"/>
    <w:rsid w:val="00C347B0"/>
    <w:rsid w:val="00C34D64"/>
    <w:rsid w:val="00C34F09"/>
    <w:rsid w:val="00C35052"/>
    <w:rsid w:val="00C356F4"/>
    <w:rsid w:val="00C35F0C"/>
    <w:rsid w:val="00C36073"/>
    <w:rsid w:val="00C3623B"/>
    <w:rsid w:val="00C37380"/>
    <w:rsid w:val="00C3773E"/>
    <w:rsid w:val="00C37964"/>
    <w:rsid w:val="00C40385"/>
    <w:rsid w:val="00C4041C"/>
    <w:rsid w:val="00C404CF"/>
    <w:rsid w:val="00C40DA0"/>
    <w:rsid w:val="00C41355"/>
    <w:rsid w:val="00C41583"/>
    <w:rsid w:val="00C41768"/>
    <w:rsid w:val="00C4194B"/>
    <w:rsid w:val="00C41D94"/>
    <w:rsid w:val="00C41D98"/>
    <w:rsid w:val="00C42DBE"/>
    <w:rsid w:val="00C43219"/>
    <w:rsid w:val="00C43338"/>
    <w:rsid w:val="00C4348E"/>
    <w:rsid w:val="00C441C6"/>
    <w:rsid w:val="00C4438D"/>
    <w:rsid w:val="00C44472"/>
    <w:rsid w:val="00C4460F"/>
    <w:rsid w:val="00C44AD7"/>
    <w:rsid w:val="00C46506"/>
    <w:rsid w:val="00C46C46"/>
    <w:rsid w:val="00C47457"/>
    <w:rsid w:val="00C475AA"/>
    <w:rsid w:val="00C477BE"/>
    <w:rsid w:val="00C47997"/>
    <w:rsid w:val="00C50349"/>
    <w:rsid w:val="00C509C0"/>
    <w:rsid w:val="00C50E90"/>
    <w:rsid w:val="00C5109B"/>
    <w:rsid w:val="00C5148D"/>
    <w:rsid w:val="00C51A48"/>
    <w:rsid w:val="00C51C61"/>
    <w:rsid w:val="00C51FB1"/>
    <w:rsid w:val="00C51FC2"/>
    <w:rsid w:val="00C521A0"/>
    <w:rsid w:val="00C5228D"/>
    <w:rsid w:val="00C523C8"/>
    <w:rsid w:val="00C535D2"/>
    <w:rsid w:val="00C53C98"/>
    <w:rsid w:val="00C53DC1"/>
    <w:rsid w:val="00C53E4D"/>
    <w:rsid w:val="00C54088"/>
    <w:rsid w:val="00C543C2"/>
    <w:rsid w:val="00C54966"/>
    <w:rsid w:val="00C54C2D"/>
    <w:rsid w:val="00C54C65"/>
    <w:rsid w:val="00C5509B"/>
    <w:rsid w:val="00C5547B"/>
    <w:rsid w:val="00C5565B"/>
    <w:rsid w:val="00C55C72"/>
    <w:rsid w:val="00C55E4A"/>
    <w:rsid w:val="00C561C7"/>
    <w:rsid w:val="00C563A4"/>
    <w:rsid w:val="00C56FCF"/>
    <w:rsid w:val="00C57B6C"/>
    <w:rsid w:val="00C6055A"/>
    <w:rsid w:val="00C622EA"/>
    <w:rsid w:val="00C6273B"/>
    <w:rsid w:val="00C628A6"/>
    <w:rsid w:val="00C62A1C"/>
    <w:rsid w:val="00C62BC1"/>
    <w:rsid w:val="00C63516"/>
    <w:rsid w:val="00C63829"/>
    <w:rsid w:val="00C63E56"/>
    <w:rsid w:val="00C64141"/>
    <w:rsid w:val="00C64344"/>
    <w:rsid w:val="00C6448D"/>
    <w:rsid w:val="00C64872"/>
    <w:rsid w:val="00C64B67"/>
    <w:rsid w:val="00C6506E"/>
    <w:rsid w:val="00C65108"/>
    <w:rsid w:val="00C652ED"/>
    <w:rsid w:val="00C65576"/>
    <w:rsid w:val="00C6563E"/>
    <w:rsid w:val="00C66165"/>
    <w:rsid w:val="00C66A92"/>
    <w:rsid w:val="00C70021"/>
    <w:rsid w:val="00C7050F"/>
    <w:rsid w:val="00C7060A"/>
    <w:rsid w:val="00C70C76"/>
    <w:rsid w:val="00C711C3"/>
    <w:rsid w:val="00C713B1"/>
    <w:rsid w:val="00C7151A"/>
    <w:rsid w:val="00C717E3"/>
    <w:rsid w:val="00C71CD0"/>
    <w:rsid w:val="00C71F60"/>
    <w:rsid w:val="00C72241"/>
    <w:rsid w:val="00C73706"/>
    <w:rsid w:val="00C73A13"/>
    <w:rsid w:val="00C74060"/>
    <w:rsid w:val="00C74173"/>
    <w:rsid w:val="00C746A2"/>
    <w:rsid w:val="00C750C8"/>
    <w:rsid w:val="00C7560F"/>
    <w:rsid w:val="00C75D05"/>
    <w:rsid w:val="00C76016"/>
    <w:rsid w:val="00C7606B"/>
    <w:rsid w:val="00C76391"/>
    <w:rsid w:val="00C764EC"/>
    <w:rsid w:val="00C76D81"/>
    <w:rsid w:val="00C771FF"/>
    <w:rsid w:val="00C77E18"/>
    <w:rsid w:val="00C8012A"/>
    <w:rsid w:val="00C80A0E"/>
    <w:rsid w:val="00C810B3"/>
    <w:rsid w:val="00C81575"/>
    <w:rsid w:val="00C820CA"/>
    <w:rsid w:val="00C8213F"/>
    <w:rsid w:val="00C82585"/>
    <w:rsid w:val="00C82617"/>
    <w:rsid w:val="00C8265C"/>
    <w:rsid w:val="00C82FF2"/>
    <w:rsid w:val="00C83AFF"/>
    <w:rsid w:val="00C83F49"/>
    <w:rsid w:val="00C8418C"/>
    <w:rsid w:val="00C844EB"/>
    <w:rsid w:val="00C84F6C"/>
    <w:rsid w:val="00C85154"/>
    <w:rsid w:val="00C86030"/>
    <w:rsid w:val="00C86330"/>
    <w:rsid w:val="00C865DE"/>
    <w:rsid w:val="00C86FFA"/>
    <w:rsid w:val="00C870C4"/>
    <w:rsid w:val="00C8797A"/>
    <w:rsid w:val="00C87A5F"/>
    <w:rsid w:val="00C900B8"/>
    <w:rsid w:val="00C901BA"/>
    <w:rsid w:val="00C9072F"/>
    <w:rsid w:val="00C90C71"/>
    <w:rsid w:val="00C91FD1"/>
    <w:rsid w:val="00C926F9"/>
    <w:rsid w:val="00C9290A"/>
    <w:rsid w:val="00C92CD0"/>
    <w:rsid w:val="00C931CF"/>
    <w:rsid w:val="00C932AC"/>
    <w:rsid w:val="00C9334C"/>
    <w:rsid w:val="00C938CF"/>
    <w:rsid w:val="00C94053"/>
    <w:rsid w:val="00C94321"/>
    <w:rsid w:val="00C9446F"/>
    <w:rsid w:val="00C9489D"/>
    <w:rsid w:val="00C94BE7"/>
    <w:rsid w:val="00C94E03"/>
    <w:rsid w:val="00C95058"/>
    <w:rsid w:val="00C9624D"/>
    <w:rsid w:val="00C969DA"/>
    <w:rsid w:val="00C9763B"/>
    <w:rsid w:val="00CA0E7A"/>
    <w:rsid w:val="00CA13D0"/>
    <w:rsid w:val="00CA1B2F"/>
    <w:rsid w:val="00CA266B"/>
    <w:rsid w:val="00CA2BFA"/>
    <w:rsid w:val="00CA2C77"/>
    <w:rsid w:val="00CA2D15"/>
    <w:rsid w:val="00CA379B"/>
    <w:rsid w:val="00CA3871"/>
    <w:rsid w:val="00CA3C3B"/>
    <w:rsid w:val="00CA3CFA"/>
    <w:rsid w:val="00CA444F"/>
    <w:rsid w:val="00CA4E63"/>
    <w:rsid w:val="00CA4F65"/>
    <w:rsid w:val="00CA514D"/>
    <w:rsid w:val="00CA5245"/>
    <w:rsid w:val="00CA6A1D"/>
    <w:rsid w:val="00CA6A2F"/>
    <w:rsid w:val="00CA71F4"/>
    <w:rsid w:val="00CA72AD"/>
    <w:rsid w:val="00CA7468"/>
    <w:rsid w:val="00CA754D"/>
    <w:rsid w:val="00CA758F"/>
    <w:rsid w:val="00CA7B09"/>
    <w:rsid w:val="00CB00B3"/>
    <w:rsid w:val="00CB0303"/>
    <w:rsid w:val="00CB04D5"/>
    <w:rsid w:val="00CB0DE5"/>
    <w:rsid w:val="00CB0F5D"/>
    <w:rsid w:val="00CB12A5"/>
    <w:rsid w:val="00CB1CAC"/>
    <w:rsid w:val="00CB2735"/>
    <w:rsid w:val="00CB2F2A"/>
    <w:rsid w:val="00CB2F2F"/>
    <w:rsid w:val="00CB31DA"/>
    <w:rsid w:val="00CB3465"/>
    <w:rsid w:val="00CB3813"/>
    <w:rsid w:val="00CB3866"/>
    <w:rsid w:val="00CB3EF9"/>
    <w:rsid w:val="00CB4161"/>
    <w:rsid w:val="00CB4443"/>
    <w:rsid w:val="00CB4A05"/>
    <w:rsid w:val="00CB4BDC"/>
    <w:rsid w:val="00CB5775"/>
    <w:rsid w:val="00CB5B1A"/>
    <w:rsid w:val="00CB6036"/>
    <w:rsid w:val="00CB6665"/>
    <w:rsid w:val="00CB6B22"/>
    <w:rsid w:val="00CB6C17"/>
    <w:rsid w:val="00CB7F5F"/>
    <w:rsid w:val="00CC0493"/>
    <w:rsid w:val="00CC085D"/>
    <w:rsid w:val="00CC120B"/>
    <w:rsid w:val="00CC1B39"/>
    <w:rsid w:val="00CC2BA7"/>
    <w:rsid w:val="00CC2E77"/>
    <w:rsid w:val="00CC35EA"/>
    <w:rsid w:val="00CC3848"/>
    <w:rsid w:val="00CC3BEC"/>
    <w:rsid w:val="00CC3DAE"/>
    <w:rsid w:val="00CC4170"/>
    <w:rsid w:val="00CC43C1"/>
    <w:rsid w:val="00CC46CE"/>
    <w:rsid w:val="00CC48BD"/>
    <w:rsid w:val="00CC4F89"/>
    <w:rsid w:val="00CC55B3"/>
    <w:rsid w:val="00CC66A5"/>
    <w:rsid w:val="00CC6A94"/>
    <w:rsid w:val="00CC6B6F"/>
    <w:rsid w:val="00CC7B4E"/>
    <w:rsid w:val="00CC7F0F"/>
    <w:rsid w:val="00CD0D68"/>
    <w:rsid w:val="00CD0E82"/>
    <w:rsid w:val="00CD23B8"/>
    <w:rsid w:val="00CD252A"/>
    <w:rsid w:val="00CD2579"/>
    <w:rsid w:val="00CD2BD1"/>
    <w:rsid w:val="00CD3F77"/>
    <w:rsid w:val="00CD442D"/>
    <w:rsid w:val="00CD55CE"/>
    <w:rsid w:val="00CD55D0"/>
    <w:rsid w:val="00CD582D"/>
    <w:rsid w:val="00CD5851"/>
    <w:rsid w:val="00CD5C11"/>
    <w:rsid w:val="00CD63D3"/>
    <w:rsid w:val="00CD6519"/>
    <w:rsid w:val="00CD65B6"/>
    <w:rsid w:val="00CD65FF"/>
    <w:rsid w:val="00CD69CA"/>
    <w:rsid w:val="00CD6ADC"/>
    <w:rsid w:val="00CD7193"/>
    <w:rsid w:val="00CD7A77"/>
    <w:rsid w:val="00CD7E4E"/>
    <w:rsid w:val="00CE031F"/>
    <w:rsid w:val="00CE0356"/>
    <w:rsid w:val="00CE0EEB"/>
    <w:rsid w:val="00CE1EEB"/>
    <w:rsid w:val="00CE3283"/>
    <w:rsid w:val="00CE3894"/>
    <w:rsid w:val="00CE38C8"/>
    <w:rsid w:val="00CE43C0"/>
    <w:rsid w:val="00CE4521"/>
    <w:rsid w:val="00CE55D2"/>
    <w:rsid w:val="00CE60DA"/>
    <w:rsid w:val="00CE6274"/>
    <w:rsid w:val="00CE6E95"/>
    <w:rsid w:val="00CE7249"/>
    <w:rsid w:val="00CE77B6"/>
    <w:rsid w:val="00CE7864"/>
    <w:rsid w:val="00CF0308"/>
    <w:rsid w:val="00CF05E4"/>
    <w:rsid w:val="00CF12BD"/>
    <w:rsid w:val="00CF1891"/>
    <w:rsid w:val="00CF1BED"/>
    <w:rsid w:val="00CF1F17"/>
    <w:rsid w:val="00CF242C"/>
    <w:rsid w:val="00CF2B8D"/>
    <w:rsid w:val="00CF2EC5"/>
    <w:rsid w:val="00CF3624"/>
    <w:rsid w:val="00CF456B"/>
    <w:rsid w:val="00CF48CB"/>
    <w:rsid w:val="00CF48E2"/>
    <w:rsid w:val="00CF4B7A"/>
    <w:rsid w:val="00CF50F7"/>
    <w:rsid w:val="00CF52D6"/>
    <w:rsid w:val="00CF5529"/>
    <w:rsid w:val="00CF5A22"/>
    <w:rsid w:val="00CF680A"/>
    <w:rsid w:val="00CF7C39"/>
    <w:rsid w:val="00D00672"/>
    <w:rsid w:val="00D00691"/>
    <w:rsid w:val="00D00D9F"/>
    <w:rsid w:val="00D01AD5"/>
    <w:rsid w:val="00D0262E"/>
    <w:rsid w:val="00D02821"/>
    <w:rsid w:val="00D028FF"/>
    <w:rsid w:val="00D038A6"/>
    <w:rsid w:val="00D03B18"/>
    <w:rsid w:val="00D03B46"/>
    <w:rsid w:val="00D040CE"/>
    <w:rsid w:val="00D04872"/>
    <w:rsid w:val="00D04CDF"/>
    <w:rsid w:val="00D056A2"/>
    <w:rsid w:val="00D05947"/>
    <w:rsid w:val="00D05E3D"/>
    <w:rsid w:val="00D06139"/>
    <w:rsid w:val="00D06C15"/>
    <w:rsid w:val="00D0739D"/>
    <w:rsid w:val="00D07B72"/>
    <w:rsid w:val="00D10250"/>
    <w:rsid w:val="00D1036F"/>
    <w:rsid w:val="00D10F00"/>
    <w:rsid w:val="00D110BD"/>
    <w:rsid w:val="00D114D5"/>
    <w:rsid w:val="00D11B28"/>
    <w:rsid w:val="00D13675"/>
    <w:rsid w:val="00D13C3F"/>
    <w:rsid w:val="00D13EBA"/>
    <w:rsid w:val="00D141E1"/>
    <w:rsid w:val="00D14ABB"/>
    <w:rsid w:val="00D150D4"/>
    <w:rsid w:val="00D15314"/>
    <w:rsid w:val="00D1545D"/>
    <w:rsid w:val="00D15E7F"/>
    <w:rsid w:val="00D16379"/>
    <w:rsid w:val="00D16B1F"/>
    <w:rsid w:val="00D16CD1"/>
    <w:rsid w:val="00D17025"/>
    <w:rsid w:val="00D1713A"/>
    <w:rsid w:val="00D174D3"/>
    <w:rsid w:val="00D1766C"/>
    <w:rsid w:val="00D178DF"/>
    <w:rsid w:val="00D17CDD"/>
    <w:rsid w:val="00D17D6C"/>
    <w:rsid w:val="00D203A9"/>
    <w:rsid w:val="00D20726"/>
    <w:rsid w:val="00D20A6A"/>
    <w:rsid w:val="00D2155B"/>
    <w:rsid w:val="00D219A7"/>
    <w:rsid w:val="00D21A4F"/>
    <w:rsid w:val="00D21FC9"/>
    <w:rsid w:val="00D2222E"/>
    <w:rsid w:val="00D224E9"/>
    <w:rsid w:val="00D22AD1"/>
    <w:rsid w:val="00D22BCC"/>
    <w:rsid w:val="00D23258"/>
    <w:rsid w:val="00D23D11"/>
    <w:rsid w:val="00D2436F"/>
    <w:rsid w:val="00D244B6"/>
    <w:rsid w:val="00D245AC"/>
    <w:rsid w:val="00D24E06"/>
    <w:rsid w:val="00D25143"/>
    <w:rsid w:val="00D260EA"/>
    <w:rsid w:val="00D2668A"/>
    <w:rsid w:val="00D26A73"/>
    <w:rsid w:val="00D2754D"/>
    <w:rsid w:val="00D27726"/>
    <w:rsid w:val="00D27B27"/>
    <w:rsid w:val="00D27D4C"/>
    <w:rsid w:val="00D3019B"/>
    <w:rsid w:val="00D30A59"/>
    <w:rsid w:val="00D30AD7"/>
    <w:rsid w:val="00D30CB7"/>
    <w:rsid w:val="00D33580"/>
    <w:rsid w:val="00D3379C"/>
    <w:rsid w:val="00D33BE9"/>
    <w:rsid w:val="00D33F93"/>
    <w:rsid w:val="00D342C7"/>
    <w:rsid w:val="00D35261"/>
    <w:rsid w:val="00D353B2"/>
    <w:rsid w:val="00D357FF"/>
    <w:rsid w:val="00D35A07"/>
    <w:rsid w:val="00D35DDA"/>
    <w:rsid w:val="00D35F08"/>
    <w:rsid w:val="00D35FE8"/>
    <w:rsid w:val="00D376B8"/>
    <w:rsid w:val="00D404B3"/>
    <w:rsid w:val="00D404F0"/>
    <w:rsid w:val="00D40643"/>
    <w:rsid w:val="00D411CD"/>
    <w:rsid w:val="00D41346"/>
    <w:rsid w:val="00D4156C"/>
    <w:rsid w:val="00D41AF8"/>
    <w:rsid w:val="00D421CA"/>
    <w:rsid w:val="00D42334"/>
    <w:rsid w:val="00D424C7"/>
    <w:rsid w:val="00D42892"/>
    <w:rsid w:val="00D42B7A"/>
    <w:rsid w:val="00D43979"/>
    <w:rsid w:val="00D43B2A"/>
    <w:rsid w:val="00D43B68"/>
    <w:rsid w:val="00D43D83"/>
    <w:rsid w:val="00D448A8"/>
    <w:rsid w:val="00D44ED9"/>
    <w:rsid w:val="00D450A2"/>
    <w:rsid w:val="00D45553"/>
    <w:rsid w:val="00D45AE1"/>
    <w:rsid w:val="00D45D3C"/>
    <w:rsid w:val="00D45E81"/>
    <w:rsid w:val="00D460FB"/>
    <w:rsid w:val="00D4612A"/>
    <w:rsid w:val="00D461CE"/>
    <w:rsid w:val="00D4688F"/>
    <w:rsid w:val="00D46CF8"/>
    <w:rsid w:val="00D471D7"/>
    <w:rsid w:val="00D47213"/>
    <w:rsid w:val="00D47575"/>
    <w:rsid w:val="00D5000A"/>
    <w:rsid w:val="00D50A1C"/>
    <w:rsid w:val="00D51226"/>
    <w:rsid w:val="00D5148B"/>
    <w:rsid w:val="00D514DA"/>
    <w:rsid w:val="00D515D8"/>
    <w:rsid w:val="00D51768"/>
    <w:rsid w:val="00D51844"/>
    <w:rsid w:val="00D51DB8"/>
    <w:rsid w:val="00D5243B"/>
    <w:rsid w:val="00D5273D"/>
    <w:rsid w:val="00D527C8"/>
    <w:rsid w:val="00D52AD2"/>
    <w:rsid w:val="00D533EC"/>
    <w:rsid w:val="00D54073"/>
    <w:rsid w:val="00D54321"/>
    <w:rsid w:val="00D55037"/>
    <w:rsid w:val="00D555C5"/>
    <w:rsid w:val="00D55666"/>
    <w:rsid w:val="00D55ED5"/>
    <w:rsid w:val="00D56A95"/>
    <w:rsid w:val="00D60119"/>
    <w:rsid w:val="00D6072C"/>
    <w:rsid w:val="00D608E4"/>
    <w:rsid w:val="00D615F4"/>
    <w:rsid w:val="00D61908"/>
    <w:rsid w:val="00D61927"/>
    <w:rsid w:val="00D62E88"/>
    <w:rsid w:val="00D63506"/>
    <w:rsid w:val="00D64B25"/>
    <w:rsid w:val="00D64DE4"/>
    <w:rsid w:val="00D64F24"/>
    <w:rsid w:val="00D671B9"/>
    <w:rsid w:val="00D701CD"/>
    <w:rsid w:val="00D708BB"/>
    <w:rsid w:val="00D70C29"/>
    <w:rsid w:val="00D70F16"/>
    <w:rsid w:val="00D7108A"/>
    <w:rsid w:val="00D7184D"/>
    <w:rsid w:val="00D71969"/>
    <w:rsid w:val="00D71D00"/>
    <w:rsid w:val="00D722A7"/>
    <w:rsid w:val="00D72E17"/>
    <w:rsid w:val="00D72F57"/>
    <w:rsid w:val="00D7315B"/>
    <w:rsid w:val="00D7338B"/>
    <w:rsid w:val="00D73B56"/>
    <w:rsid w:val="00D73BC7"/>
    <w:rsid w:val="00D73D30"/>
    <w:rsid w:val="00D73E8B"/>
    <w:rsid w:val="00D74913"/>
    <w:rsid w:val="00D74A2C"/>
    <w:rsid w:val="00D751FE"/>
    <w:rsid w:val="00D75994"/>
    <w:rsid w:val="00D761EC"/>
    <w:rsid w:val="00D76566"/>
    <w:rsid w:val="00D76672"/>
    <w:rsid w:val="00D76A44"/>
    <w:rsid w:val="00D76CB1"/>
    <w:rsid w:val="00D76E53"/>
    <w:rsid w:val="00D77437"/>
    <w:rsid w:val="00D80E1D"/>
    <w:rsid w:val="00D80EE7"/>
    <w:rsid w:val="00D8123B"/>
    <w:rsid w:val="00D8156E"/>
    <w:rsid w:val="00D815EF"/>
    <w:rsid w:val="00D81C33"/>
    <w:rsid w:val="00D81F26"/>
    <w:rsid w:val="00D83585"/>
    <w:rsid w:val="00D83677"/>
    <w:rsid w:val="00D83A07"/>
    <w:rsid w:val="00D83AD0"/>
    <w:rsid w:val="00D83E5A"/>
    <w:rsid w:val="00D83FC5"/>
    <w:rsid w:val="00D843D1"/>
    <w:rsid w:val="00D84744"/>
    <w:rsid w:val="00D84936"/>
    <w:rsid w:val="00D856D3"/>
    <w:rsid w:val="00D85DA9"/>
    <w:rsid w:val="00D85F66"/>
    <w:rsid w:val="00D86231"/>
    <w:rsid w:val="00D865A9"/>
    <w:rsid w:val="00D86E70"/>
    <w:rsid w:val="00D87160"/>
    <w:rsid w:val="00D87ABF"/>
    <w:rsid w:val="00D87FBA"/>
    <w:rsid w:val="00D904D2"/>
    <w:rsid w:val="00D90517"/>
    <w:rsid w:val="00D917E9"/>
    <w:rsid w:val="00D91923"/>
    <w:rsid w:val="00D91A5F"/>
    <w:rsid w:val="00D9236F"/>
    <w:rsid w:val="00D92A27"/>
    <w:rsid w:val="00D934E1"/>
    <w:rsid w:val="00D93701"/>
    <w:rsid w:val="00D93753"/>
    <w:rsid w:val="00D94202"/>
    <w:rsid w:val="00D94B11"/>
    <w:rsid w:val="00D94F7D"/>
    <w:rsid w:val="00D94FD5"/>
    <w:rsid w:val="00D969D2"/>
    <w:rsid w:val="00D975A5"/>
    <w:rsid w:val="00DA0465"/>
    <w:rsid w:val="00DA04EE"/>
    <w:rsid w:val="00DA0C48"/>
    <w:rsid w:val="00DA1730"/>
    <w:rsid w:val="00DA197F"/>
    <w:rsid w:val="00DA1DCD"/>
    <w:rsid w:val="00DA1E02"/>
    <w:rsid w:val="00DA271D"/>
    <w:rsid w:val="00DA3167"/>
    <w:rsid w:val="00DA4498"/>
    <w:rsid w:val="00DA4DC3"/>
    <w:rsid w:val="00DA4DF3"/>
    <w:rsid w:val="00DA649B"/>
    <w:rsid w:val="00DA6FAA"/>
    <w:rsid w:val="00DA71E7"/>
    <w:rsid w:val="00DA77A5"/>
    <w:rsid w:val="00DB0A54"/>
    <w:rsid w:val="00DB0E41"/>
    <w:rsid w:val="00DB11C5"/>
    <w:rsid w:val="00DB1378"/>
    <w:rsid w:val="00DB1E0A"/>
    <w:rsid w:val="00DB1FE1"/>
    <w:rsid w:val="00DB27D8"/>
    <w:rsid w:val="00DB2BEE"/>
    <w:rsid w:val="00DB2C12"/>
    <w:rsid w:val="00DB2D8B"/>
    <w:rsid w:val="00DB3194"/>
    <w:rsid w:val="00DB382A"/>
    <w:rsid w:val="00DB3C6E"/>
    <w:rsid w:val="00DB3DBF"/>
    <w:rsid w:val="00DB484F"/>
    <w:rsid w:val="00DB506E"/>
    <w:rsid w:val="00DB559E"/>
    <w:rsid w:val="00DB58E2"/>
    <w:rsid w:val="00DB5B25"/>
    <w:rsid w:val="00DB609E"/>
    <w:rsid w:val="00DB73AE"/>
    <w:rsid w:val="00DB73CF"/>
    <w:rsid w:val="00DB744C"/>
    <w:rsid w:val="00DC04F6"/>
    <w:rsid w:val="00DC065C"/>
    <w:rsid w:val="00DC0690"/>
    <w:rsid w:val="00DC07F9"/>
    <w:rsid w:val="00DC0908"/>
    <w:rsid w:val="00DC0FE2"/>
    <w:rsid w:val="00DC160B"/>
    <w:rsid w:val="00DC1640"/>
    <w:rsid w:val="00DC1D65"/>
    <w:rsid w:val="00DC2580"/>
    <w:rsid w:val="00DC280E"/>
    <w:rsid w:val="00DC3C57"/>
    <w:rsid w:val="00DC3C80"/>
    <w:rsid w:val="00DC3CEC"/>
    <w:rsid w:val="00DC40AD"/>
    <w:rsid w:val="00DC4A3B"/>
    <w:rsid w:val="00DC5501"/>
    <w:rsid w:val="00DC5734"/>
    <w:rsid w:val="00DC5D68"/>
    <w:rsid w:val="00DC631F"/>
    <w:rsid w:val="00DC68A8"/>
    <w:rsid w:val="00DC6FEE"/>
    <w:rsid w:val="00DC7154"/>
    <w:rsid w:val="00DC7BA6"/>
    <w:rsid w:val="00DC7E8A"/>
    <w:rsid w:val="00DD005E"/>
    <w:rsid w:val="00DD051D"/>
    <w:rsid w:val="00DD0F78"/>
    <w:rsid w:val="00DD101E"/>
    <w:rsid w:val="00DD11D8"/>
    <w:rsid w:val="00DD127A"/>
    <w:rsid w:val="00DD273C"/>
    <w:rsid w:val="00DD2B7E"/>
    <w:rsid w:val="00DD309A"/>
    <w:rsid w:val="00DD38B6"/>
    <w:rsid w:val="00DD3F28"/>
    <w:rsid w:val="00DD4537"/>
    <w:rsid w:val="00DD48F5"/>
    <w:rsid w:val="00DD4E15"/>
    <w:rsid w:val="00DD4FFB"/>
    <w:rsid w:val="00DD57C5"/>
    <w:rsid w:val="00DD64A7"/>
    <w:rsid w:val="00DD655A"/>
    <w:rsid w:val="00DD6597"/>
    <w:rsid w:val="00DD673D"/>
    <w:rsid w:val="00DD73BC"/>
    <w:rsid w:val="00DD7592"/>
    <w:rsid w:val="00DD7B6C"/>
    <w:rsid w:val="00DE05B5"/>
    <w:rsid w:val="00DE2304"/>
    <w:rsid w:val="00DE2321"/>
    <w:rsid w:val="00DE284A"/>
    <w:rsid w:val="00DE3138"/>
    <w:rsid w:val="00DE32D8"/>
    <w:rsid w:val="00DE36C3"/>
    <w:rsid w:val="00DE37F8"/>
    <w:rsid w:val="00DE4297"/>
    <w:rsid w:val="00DE4AE3"/>
    <w:rsid w:val="00DE4FCB"/>
    <w:rsid w:val="00DE52E1"/>
    <w:rsid w:val="00DE5D07"/>
    <w:rsid w:val="00DE678B"/>
    <w:rsid w:val="00DE68B5"/>
    <w:rsid w:val="00DE72A7"/>
    <w:rsid w:val="00DE7832"/>
    <w:rsid w:val="00DE7FB4"/>
    <w:rsid w:val="00DF1487"/>
    <w:rsid w:val="00DF18FC"/>
    <w:rsid w:val="00DF1F41"/>
    <w:rsid w:val="00DF3696"/>
    <w:rsid w:val="00DF36D6"/>
    <w:rsid w:val="00DF3EFF"/>
    <w:rsid w:val="00DF474C"/>
    <w:rsid w:val="00DF4D3E"/>
    <w:rsid w:val="00DF597A"/>
    <w:rsid w:val="00DF5C4E"/>
    <w:rsid w:val="00DF5D2B"/>
    <w:rsid w:val="00DF64D7"/>
    <w:rsid w:val="00DF6D7B"/>
    <w:rsid w:val="00DF71F0"/>
    <w:rsid w:val="00DF74B2"/>
    <w:rsid w:val="00E00B96"/>
    <w:rsid w:val="00E00E8E"/>
    <w:rsid w:val="00E00F03"/>
    <w:rsid w:val="00E018A4"/>
    <w:rsid w:val="00E018B6"/>
    <w:rsid w:val="00E01AF9"/>
    <w:rsid w:val="00E025A1"/>
    <w:rsid w:val="00E027B8"/>
    <w:rsid w:val="00E02F9C"/>
    <w:rsid w:val="00E0353B"/>
    <w:rsid w:val="00E03571"/>
    <w:rsid w:val="00E03FAF"/>
    <w:rsid w:val="00E04941"/>
    <w:rsid w:val="00E051DF"/>
    <w:rsid w:val="00E05630"/>
    <w:rsid w:val="00E06082"/>
    <w:rsid w:val="00E06872"/>
    <w:rsid w:val="00E06DBB"/>
    <w:rsid w:val="00E072A1"/>
    <w:rsid w:val="00E07AE3"/>
    <w:rsid w:val="00E10149"/>
    <w:rsid w:val="00E102F8"/>
    <w:rsid w:val="00E109FD"/>
    <w:rsid w:val="00E10FE3"/>
    <w:rsid w:val="00E11340"/>
    <w:rsid w:val="00E11543"/>
    <w:rsid w:val="00E11B02"/>
    <w:rsid w:val="00E122A1"/>
    <w:rsid w:val="00E1278D"/>
    <w:rsid w:val="00E12ED6"/>
    <w:rsid w:val="00E13365"/>
    <w:rsid w:val="00E14765"/>
    <w:rsid w:val="00E151C3"/>
    <w:rsid w:val="00E157C3"/>
    <w:rsid w:val="00E159DF"/>
    <w:rsid w:val="00E16372"/>
    <w:rsid w:val="00E164B3"/>
    <w:rsid w:val="00E17B78"/>
    <w:rsid w:val="00E20512"/>
    <w:rsid w:val="00E20613"/>
    <w:rsid w:val="00E20E4D"/>
    <w:rsid w:val="00E20ED6"/>
    <w:rsid w:val="00E21358"/>
    <w:rsid w:val="00E21BD1"/>
    <w:rsid w:val="00E21DC3"/>
    <w:rsid w:val="00E2249B"/>
    <w:rsid w:val="00E2253D"/>
    <w:rsid w:val="00E22795"/>
    <w:rsid w:val="00E22A0D"/>
    <w:rsid w:val="00E22A9E"/>
    <w:rsid w:val="00E22E72"/>
    <w:rsid w:val="00E244F6"/>
    <w:rsid w:val="00E24A8D"/>
    <w:rsid w:val="00E24BB3"/>
    <w:rsid w:val="00E25465"/>
    <w:rsid w:val="00E25904"/>
    <w:rsid w:val="00E2689E"/>
    <w:rsid w:val="00E2771E"/>
    <w:rsid w:val="00E3032C"/>
    <w:rsid w:val="00E30804"/>
    <w:rsid w:val="00E30871"/>
    <w:rsid w:val="00E30926"/>
    <w:rsid w:val="00E30C88"/>
    <w:rsid w:val="00E311EF"/>
    <w:rsid w:val="00E3131A"/>
    <w:rsid w:val="00E316DC"/>
    <w:rsid w:val="00E31EC0"/>
    <w:rsid w:val="00E32165"/>
    <w:rsid w:val="00E32180"/>
    <w:rsid w:val="00E32930"/>
    <w:rsid w:val="00E32DD2"/>
    <w:rsid w:val="00E330A5"/>
    <w:rsid w:val="00E339CE"/>
    <w:rsid w:val="00E34948"/>
    <w:rsid w:val="00E34FD5"/>
    <w:rsid w:val="00E353AA"/>
    <w:rsid w:val="00E36238"/>
    <w:rsid w:val="00E36AEA"/>
    <w:rsid w:val="00E37373"/>
    <w:rsid w:val="00E37569"/>
    <w:rsid w:val="00E378BB"/>
    <w:rsid w:val="00E379A6"/>
    <w:rsid w:val="00E37A1F"/>
    <w:rsid w:val="00E37C20"/>
    <w:rsid w:val="00E401B2"/>
    <w:rsid w:val="00E401D0"/>
    <w:rsid w:val="00E41B0A"/>
    <w:rsid w:val="00E41E30"/>
    <w:rsid w:val="00E425A0"/>
    <w:rsid w:val="00E426B5"/>
    <w:rsid w:val="00E42AC5"/>
    <w:rsid w:val="00E42B06"/>
    <w:rsid w:val="00E42B92"/>
    <w:rsid w:val="00E42F73"/>
    <w:rsid w:val="00E43389"/>
    <w:rsid w:val="00E434CB"/>
    <w:rsid w:val="00E43776"/>
    <w:rsid w:val="00E43999"/>
    <w:rsid w:val="00E43B58"/>
    <w:rsid w:val="00E43BF3"/>
    <w:rsid w:val="00E43D70"/>
    <w:rsid w:val="00E43EBA"/>
    <w:rsid w:val="00E44AB3"/>
    <w:rsid w:val="00E44B5D"/>
    <w:rsid w:val="00E44FE3"/>
    <w:rsid w:val="00E45464"/>
    <w:rsid w:val="00E45CF9"/>
    <w:rsid w:val="00E4611E"/>
    <w:rsid w:val="00E4622C"/>
    <w:rsid w:val="00E464A3"/>
    <w:rsid w:val="00E466F3"/>
    <w:rsid w:val="00E46810"/>
    <w:rsid w:val="00E46ACA"/>
    <w:rsid w:val="00E47537"/>
    <w:rsid w:val="00E477E9"/>
    <w:rsid w:val="00E47A13"/>
    <w:rsid w:val="00E47B2C"/>
    <w:rsid w:val="00E500F5"/>
    <w:rsid w:val="00E504FF"/>
    <w:rsid w:val="00E5095B"/>
    <w:rsid w:val="00E51560"/>
    <w:rsid w:val="00E51676"/>
    <w:rsid w:val="00E52002"/>
    <w:rsid w:val="00E52590"/>
    <w:rsid w:val="00E5267B"/>
    <w:rsid w:val="00E52753"/>
    <w:rsid w:val="00E5303A"/>
    <w:rsid w:val="00E532AA"/>
    <w:rsid w:val="00E53FC8"/>
    <w:rsid w:val="00E54347"/>
    <w:rsid w:val="00E54417"/>
    <w:rsid w:val="00E54AAF"/>
    <w:rsid w:val="00E54F33"/>
    <w:rsid w:val="00E55424"/>
    <w:rsid w:val="00E55915"/>
    <w:rsid w:val="00E55B15"/>
    <w:rsid w:val="00E55BB5"/>
    <w:rsid w:val="00E55BEE"/>
    <w:rsid w:val="00E56997"/>
    <w:rsid w:val="00E57268"/>
    <w:rsid w:val="00E57B18"/>
    <w:rsid w:val="00E57C60"/>
    <w:rsid w:val="00E57F1F"/>
    <w:rsid w:val="00E60203"/>
    <w:rsid w:val="00E610AA"/>
    <w:rsid w:val="00E61876"/>
    <w:rsid w:val="00E61A46"/>
    <w:rsid w:val="00E62104"/>
    <w:rsid w:val="00E62560"/>
    <w:rsid w:val="00E63714"/>
    <w:rsid w:val="00E63826"/>
    <w:rsid w:val="00E63C37"/>
    <w:rsid w:val="00E63E19"/>
    <w:rsid w:val="00E63E7F"/>
    <w:rsid w:val="00E64508"/>
    <w:rsid w:val="00E64629"/>
    <w:rsid w:val="00E64D26"/>
    <w:rsid w:val="00E65E79"/>
    <w:rsid w:val="00E660A0"/>
    <w:rsid w:val="00E66BA2"/>
    <w:rsid w:val="00E67416"/>
    <w:rsid w:val="00E67788"/>
    <w:rsid w:val="00E6792D"/>
    <w:rsid w:val="00E718B6"/>
    <w:rsid w:val="00E719D1"/>
    <w:rsid w:val="00E71F67"/>
    <w:rsid w:val="00E723BA"/>
    <w:rsid w:val="00E73092"/>
    <w:rsid w:val="00E73203"/>
    <w:rsid w:val="00E73581"/>
    <w:rsid w:val="00E73876"/>
    <w:rsid w:val="00E73CD9"/>
    <w:rsid w:val="00E746F9"/>
    <w:rsid w:val="00E753CC"/>
    <w:rsid w:val="00E75C06"/>
    <w:rsid w:val="00E75F04"/>
    <w:rsid w:val="00E761C4"/>
    <w:rsid w:val="00E767E8"/>
    <w:rsid w:val="00E800AD"/>
    <w:rsid w:val="00E807BC"/>
    <w:rsid w:val="00E80A3E"/>
    <w:rsid w:val="00E8116C"/>
    <w:rsid w:val="00E82576"/>
    <w:rsid w:val="00E826E0"/>
    <w:rsid w:val="00E82E97"/>
    <w:rsid w:val="00E831E6"/>
    <w:rsid w:val="00E833B0"/>
    <w:rsid w:val="00E833F7"/>
    <w:rsid w:val="00E8360A"/>
    <w:rsid w:val="00E8395C"/>
    <w:rsid w:val="00E83BA3"/>
    <w:rsid w:val="00E83BDF"/>
    <w:rsid w:val="00E84967"/>
    <w:rsid w:val="00E84E69"/>
    <w:rsid w:val="00E84E7A"/>
    <w:rsid w:val="00E854C5"/>
    <w:rsid w:val="00E85909"/>
    <w:rsid w:val="00E863AC"/>
    <w:rsid w:val="00E8670D"/>
    <w:rsid w:val="00E86FD9"/>
    <w:rsid w:val="00E87A1D"/>
    <w:rsid w:val="00E9003D"/>
    <w:rsid w:val="00E9049E"/>
    <w:rsid w:val="00E9094A"/>
    <w:rsid w:val="00E914A1"/>
    <w:rsid w:val="00E9170C"/>
    <w:rsid w:val="00E91D35"/>
    <w:rsid w:val="00E925D6"/>
    <w:rsid w:val="00E926A5"/>
    <w:rsid w:val="00E92BC7"/>
    <w:rsid w:val="00E9309A"/>
    <w:rsid w:val="00E936CC"/>
    <w:rsid w:val="00E9403A"/>
    <w:rsid w:val="00E948BB"/>
    <w:rsid w:val="00E962DD"/>
    <w:rsid w:val="00E963D8"/>
    <w:rsid w:val="00E96BA1"/>
    <w:rsid w:val="00E97205"/>
    <w:rsid w:val="00E97F2A"/>
    <w:rsid w:val="00EA120A"/>
    <w:rsid w:val="00EA17C3"/>
    <w:rsid w:val="00EA201E"/>
    <w:rsid w:val="00EA2CAA"/>
    <w:rsid w:val="00EA2EB2"/>
    <w:rsid w:val="00EA310F"/>
    <w:rsid w:val="00EA316A"/>
    <w:rsid w:val="00EA3415"/>
    <w:rsid w:val="00EA35FE"/>
    <w:rsid w:val="00EA3864"/>
    <w:rsid w:val="00EA3A81"/>
    <w:rsid w:val="00EA520A"/>
    <w:rsid w:val="00EA5D92"/>
    <w:rsid w:val="00EA5F61"/>
    <w:rsid w:val="00EA5FF8"/>
    <w:rsid w:val="00EA6A05"/>
    <w:rsid w:val="00EA6D42"/>
    <w:rsid w:val="00EA784D"/>
    <w:rsid w:val="00EA7BBF"/>
    <w:rsid w:val="00EA7F1C"/>
    <w:rsid w:val="00EB0151"/>
    <w:rsid w:val="00EB030B"/>
    <w:rsid w:val="00EB0885"/>
    <w:rsid w:val="00EB0A3C"/>
    <w:rsid w:val="00EB0E2D"/>
    <w:rsid w:val="00EB0EE1"/>
    <w:rsid w:val="00EB15B6"/>
    <w:rsid w:val="00EB318F"/>
    <w:rsid w:val="00EB3635"/>
    <w:rsid w:val="00EB3D06"/>
    <w:rsid w:val="00EB4846"/>
    <w:rsid w:val="00EB4916"/>
    <w:rsid w:val="00EB4EE5"/>
    <w:rsid w:val="00EB4F8F"/>
    <w:rsid w:val="00EB4FC3"/>
    <w:rsid w:val="00EB55B4"/>
    <w:rsid w:val="00EB56F5"/>
    <w:rsid w:val="00EB5A90"/>
    <w:rsid w:val="00EB5B98"/>
    <w:rsid w:val="00EB5F7A"/>
    <w:rsid w:val="00EB615D"/>
    <w:rsid w:val="00EB62FF"/>
    <w:rsid w:val="00EB66B4"/>
    <w:rsid w:val="00EB704C"/>
    <w:rsid w:val="00EC005C"/>
    <w:rsid w:val="00EC00C9"/>
    <w:rsid w:val="00EC09F8"/>
    <w:rsid w:val="00EC0DD9"/>
    <w:rsid w:val="00EC0F2A"/>
    <w:rsid w:val="00EC1365"/>
    <w:rsid w:val="00EC1B86"/>
    <w:rsid w:val="00EC20BF"/>
    <w:rsid w:val="00EC2649"/>
    <w:rsid w:val="00EC2DB8"/>
    <w:rsid w:val="00EC31ED"/>
    <w:rsid w:val="00EC363C"/>
    <w:rsid w:val="00EC420C"/>
    <w:rsid w:val="00EC47E2"/>
    <w:rsid w:val="00EC4F90"/>
    <w:rsid w:val="00EC5162"/>
    <w:rsid w:val="00EC51B1"/>
    <w:rsid w:val="00EC562E"/>
    <w:rsid w:val="00EC578C"/>
    <w:rsid w:val="00EC5836"/>
    <w:rsid w:val="00EC5EF6"/>
    <w:rsid w:val="00EC61B0"/>
    <w:rsid w:val="00EC688C"/>
    <w:rsid w:val="00EC6B77"/>
    <w:rsid w:val="00EC7150"/>
    <w:rsid w:val="00EC7FA3"/>
    <w:rsid w:val="00ED0023"/>
    <w:rsid w:val="00ED0F70"/>
    <w:rsid w:val="00ED171F"/>
    <w:rsid w:val="00ED1EB3"/>
    <w:rsid w:val="00ED2649"/>
    <w:rsid w:val="00ED2CBE"/>
    <w:rsid w:val="00ED2CDC"/>
    <w:rsid w:val="00ED3011"/>
    <w:rsid w:val="00ED39F2"/>
    <w:rsid w:val="00ED4971"/>
    <w:rsid w:val="00ED508C"/>
    <w:rsid w:val="00ED57EA"/>
    <w:rsid w:val="00ED5BD4"/>
    <w:rsid w:val="00ED60E9"/>
    <w:rsid w:val="00ED6133"/>
    <w:rsid w:val="00ED66E5"/>
    <w:rsid w:val="00ED6AA6"/>
    <w:rsid w:val="00ED6B85"/>
    <w:rsid w:val="00ED70B4"/>
    <w:rsid w:val="00ED7440"/>
    <w:rsid w:val="00EE01BD"/>
    <w:rsid w:val="00EE07D3"/>
    <w:rsid w:val="00EE0F0F"/>
    <w:rsid w:val="00EE0F9A"/>
    <w:rsid w:val="00EE1402"/>
    <w:rsid w:val="00EE14B5"/>
    <w:rsid w:val="00EE184A"/>
    <w:rsid w:val="00EE1996"/>
    <w:rsid w:val="00EE1C01"/>
    <w:rsid w:val="00EE1DD1"/>
    <w:rsid w:val="00EE1FE1"/>
    <w:rsid w:val="00EE22AF"/>
    <w:rsid w:val="00EE277E"/>
    <w:rsid w:val="00EE2A54"/>
    <w:rsid w:val="00EE37BF"/>
    <w:rsid w:val="00EE3862"/>
    <w:rsid w:val="00EE61DA"/>
    <w:rsid w:val="00EE6A03"/>
    <w:rsid w:val="00EE6CBC"/>
    <w:rsid w:val="00EE737E"/>
    <w:rsid w:val="00EE789E"/>
    <w:rsid w:val="00EE7D47"/>
    <w:rsid w:val="00EF0171"/>
    <w:rsid w:val="00EF168E"/>
    <w:rsid w:val="00EF1B25"/>
    <w:rsid w:val="00EF1C1A"/>
    <w:rsid w:val="00EF1DA0"/>
    <w:rsid w:val="00EF1E9D"/>
    <w:rsid w:val="00EF2055"/>
    <w:rsid w:val="00EF2C3E"/>
    <w:rsid w:val="00EF378C"/>
    <w:rsid w:val="00EF41A1"/>
    <w:rsid w:val="00EF4747"/>
    <w:rsid w:val="00EF4A57"/>
    <w:rsid w:val="00EF4BF8"/>
    <w:rsid w:val="00EF5518"/>
    <w:rsid w:val="00EF56C2"/>
    <w:rsid w:val="00EF5880"/>
    <w:rsid w:val="00EF588B"/>
    <w:rsid w:val="00EF62CF"/>
    <w:rsid w:val="00EF67EA"/>
    <w:rsid w:val="00EF6926"/>
    <w:rsid w:val="00EF779B"/>
    <w:rsid w:val="00F0078C"/>
    <w:rsid w:val="00F01340"/>
    <w:rsid w:val="00F016B3"/>
    <w:rsid w:val="00F01737"/>
    <w:rsid w:val="00F0205F"/>
    <w:rsid w:val="00F02100"/>
    <w:rsid w:val="00F02253"/>
    <w:rsid w:val="00F0239B"/>
    <w:rsid w:val="00F028D3"/>
    <w:rsid w:val="00F02D34"/>
    <w:rsid w:val="00F02DE0"/>
    <w:rsid w:val="00F02E3A"/>
    <w:rsid w:val="00F03C2E"/>
    <w:rsid w:val="00F04524"/>
    <w:rsid w:val="00F04563"/>
    <w:rsid w:val="00F04A66"/>
    <w:rsid w:val="00F04B4B"/>
    <w:rsid w:val="00F0516C"/>
    <w:rsid w:val="00F06657"/>
    <w:rsid w:val="00F06762"/>
    <w:rsid w:val="00F067A2"/>
    <w:rsid w:val="00F07123"/>
    <w:rsid w:val="00F0738F"/>
    <w:rsid w:val="00F07B9E"/>
    <w:rsid w:val="00F07E8C"/>
    <w:rsid w:val="00F10642"/>
    <w:rsid w:val="00F1067F"/>
    <w:rsid w:val="00F1116F"/>
    <w:rsid w:val="00F117E1"/>
    <w:rsid w:val="00F120B0"/>
    <w:rsid w:val="00F12586"/>
    <w:rsid w:val="00F1263A"/>
    <w:rsid w:val="00F143C0"/>
    <w:rsid w:val="00F14D3F"/>
    <w:rsid w:val="00F14E6C"/>
    <w:rsid w:val="00F15001"/>
    <w:rsid w:val="00F15072"/>
    <w:rsid w:val="00F15913"/>
    <w:rsid w:val="00F15B77"/>
    <w:rsid w:val="00F1644D"/>
    <w:rsid w:val="00F16562"/>
    <w:rsid w:val="00F16603"/>
    <w:rsid w:val="00F16DA3"/>
    <w:rsid w:val="00F16E32"/>
    <w:rsid w:val="00F16F75"/>
    <w:rsid w:val="00F170E6"/>
    <w:rsid w:val="00F17B6E"/>
    <w:rsid w:val="00F17DAE"/>
    <w:rsid w:val="00F2016C"/>
    <w:rsid w:val="00F20230"/>
    <w:rsid w:val="00F20F63"/>
    <w:rsid w:val="00F213B2"/>
    <w:rsid w:val="00F213D9"/>
    <w:rsid w:val="00F21985"/>
    <w:rsid w:val="00F21CDE"/>
    <w:rsid w:val="00F2283D"/>
    <w:rsid w:val="00F22967"/>
    <w:rsid w:val="00F2301A"/>
    <w:rsid w:val="00F230B4"/>
    <w:rsid w:val="00F23186"/>
    <w:rsid w:val="00F23524"/>
    <w:rsid w:val="00F2362B"/>
    <w:rsid w:val="00F24837"/>
    <w:rsid w:val="00F25584"/>
    <w:rsid w:val="00F2575F"/>
    <w:rsid w:val="00F27565"/>
    <w:rsid w:val="00F304E4"/>
    <w:rsid w:val="00F310D4"/>
    <w:rsid w:val="00F31290"/>
    <w:rsid w:val="00F317B2"/>
    <w:rsid w:val="00F318DC"/>
    <w:rsid w:val="00F31D5A"/>
    <w:rsid w:val="00F321AA"/>
    <w:rsid w:val="00F32B9E"/>
    <w:rsid w:val="00F331E7"/>
    <w:rsid w:val="00F331FD"/>
    <w:rsid w:val="00F3395E"/>
    <w:rsid w:val="00F33975"/>
    <w:rsid w:val="00F33DE9"/>
    <w:rsid w:val="00F33E92"/>
    <w:rsid w:val="00F34980"/>
    <w:rsid w:val="00F35D58"/>
    <w:rsid w:val="00F35E6D"/>
    <w:rsid w:val="00F36133"/>
    <w:rsid w:val="00F3619A"/>
    <w:rsid w:val="00F36924"/>
    <w:rsid w:val="00F36E45"/>
    <w:rsid w:val="00F3780D"/>
    <w:rsid w:val="00F40206"/>
    <w:rsid w:val="00F40AAA"/>
    <w:rsid w:val="00F40BA7"/>
    <w:rsid w:val="00F40F9D"/>
    <w:rsid w:val="00F411D0"/>
    <w:rsid w:val="00F41ACD"/>
    <w:rsid w:val="00F4255E"/>
    <w:rsid w:val="00F42612"/>
    <w:rsid w:val="00F42D8B"/>
    <w:rsid w:val="00F440A0"/>
    <w:rsid w:val="00F44489"/>
    <w:rsid w:val="00F44738"/>
    <w:rsid w:val="00F44F46"/>
    <w:rsid w:val="00F450A6"/>
    <w:rsid w:val="00F45111"/>
    <w:rsid w:val="00F452C0"/>
    <w:rsid w:val="00F461A6"/>
    <w:rsid w:val="00F4626F"/>
    <w:rsid w:val="00F46744"/>
    <w:rsid w:val="00F46AEE"/>
    <w:rsid w:val="00F46CB6"/>
    <w:rsid w:val="00F46D89"/>
    <w:rsid w:val="00F47122"/>
    <w:rsid w:val="00F47545"/>
    <w:rsid w:val="00F4756D"/>
    <w:rsid w:val="00F47596"/>
    <w:rsid w:val="00F47B3E"/>
    <w:rsid w:val="00F47C35"/>
    <w:rsid w:val="00F47DE8"/>
    <w:rsid w:val="00F5076B"/>
    <w:rsid w:val="00F50AA2"/>
    <w:rsid w:val="00F520AC"/>
    <w:rsid w:val="00F52421"/>
    <w:rsid w:val="00F528AD"/>
    <w:rsid w:val="00F53AF2"/>
    <w:rsid w:val="00F53F38"/>
    <w:rsid w:val="00F540FD"/>
    <w:rsid w:val="00F542C1"/>
    <w:rsid w:val="00F5431B"/>
    <w:rsid w:val="00F54674"/>
    <w:rsid w:val="00F54F4D"/>
    <w:rsid w:val="00F558D9"/>
    <w:rsid w:val="00F55E73"/>
    <w:rsid w:val="00F55EDA"/>
    <w:rsid w:val="00F55F85"/>
    <w:rsid w:val="00F5619A"/>
    <w:rsid w:val="00F56C80"/>
    <w:rsid w:val="00F56EFF"/>
    <w:rsid w:val="00F57270"/>
    <w:rsid w:val="00F60092"/>
    <w:rsid w:val="00F602F3"/>
    <w:rsid w:val="00F6046D"/>
    <w:rsid w:val="00F60E74"/>
    <w:rsid w:val="00F60E96"/>
    <w:rsid w:val="00F61097"/>
    <w:rsid w:val="00F61C18"/>
    <w:rsid w:val="00F62406"/>
    <w:rsid w:val="00F62519"/>
    <w:rsid w:val="00F627A7"/>
    <w:rsid w:val="00F62A16"/>
    <w:rsid w:val="00F6443D"/>
    <w:rsid w:val="00F65D08"/>
    <w:rsid w:val="00F65DCC"/>
    <w:rsid w:val="00F65F4B"/>
    <w:rsid w:val="00F6639C"/>
    <w:rsid w:val="00F67513"/>
    <w:rsid w:val="00F6798E"/>
    <w:rsid w:val="00F67A69"/>
    <w:rsid w:val="00F70BFF"/>
    <w:rsid w:val="00F70C9D"/>
    <w:rsid w:val="00F71329"/>
    <w:rsid w:val="00F714E6"/>
    <w:rsid w:val="00F719C7"/>
    <w:rsid w:val="00F723D9"/>
    <w:rsid w:val="00F726AA"/>
    <w:rsid w:val="00F72914"/>
    <w:rsid w:val="00F73987"/>
    <w:rsid w:val="00F73B11"/>
    <w:rsid w:val="00F74CD9"/>
    <w:rsid w:val="00F7548D"/>
    <w:rsid w:val="00F75CAF"/>
    <w:rsid w:val="00F75CE3"/>
    <w:rsid w:val="00F76492"/>
    <w:rsid w:val="00F7657E"/>
    <w:rsid w:val="00F768A5"/>
    <w:rsid w:val="00F772A7"/>
    <w:rsid w:val="00F778E6"/>
    <w:rsid w:val="00F80A7B"/>
    <w:rsid w:val="00F80D88"/>
    <w:rsid w:val="00F80E5D"/>
    <w:rsid w:val="00F81402"/>
    <w:rsid w:val="00F81E78"/>
    <w:rsid w:val="00F83062"/>
    <w:rsid w:val="00F833DA"/>
    <w:rsid w:val="00F835A6"/>
    <w:rsid w:val="00F84C30"/>
    <w:rsid w:val="00F851CE"/>
    <w:rsid w:val="00F853A5"/>
    <w:rsid w:val="00F85A5F"/>
    <w:rsid w:val="00F85C99"/>
    <w:rsid w:val="00F85CE8"/>
    <w:rsid w:val="00F864EF"/>
    <w:rsid w:val="00F86737"/>
    <w:rsid w:val="00F8712D"/>
    <w:rsid w:val="00F87DFF"/>
    <w:rsid w:val="00F87E16"/>
    <w:rsid w:val="00F87F6E"/>
    <w:rsid w:val="00F90912"/>
    <w:rsid w:val="00F91219"/>
    <w:rsid w:val="00F92444"/>
    <w:rsid w:val="00F925C1"/>
    <w:rsid w:val="00F92A0C"/>
    <w:rsid w:val="00F9393E"/>
    <w:rsid w:val="00F93B21"/>
    <w:rsid w:val="00F945A9"/>
    <w:rsid w:val="00F945B9"/>
    <w:rsid w:val="00F94740"/>
    <w:rsid w:val="00F94D0C"/>
    <w:rsid w:val="00F9546E"/>
    <w:rsid w:val="00F95559"/>
    <w:rsid w:val="00F9574F"/>
    <w:rsid w:val="00F96379"/>
    <w:rsid w:val="00F96FD0"/>
    <w:rsid w:val="00F973C6"/>
    <w:rsid w:val="00F975E8"/>
    <w:rsid w:val="00F97A78"/>
    <w:rsid w:val="00FA004D"/>
    <w:rsid w:val="00FA0B20"/>
    <w:rsid w:val="00FA0B3C"/>
    <w:rsid w:val="00FA1ACE"/>
    <w:rsid w:val="00FA1B31"/>
    <w:rsid w:val="00FA1E05"/>
    <w:rsid w:val="00FA2383"/>
    <w:rsid w:val="00FA24E7"/>
    <w:rsid w:val="00FA292F"/>
    <w:rsid w:val="00FA330B"/>
    <w:rsid w:val="00FA35A1"/>
    <w:rsid w:val="00FA3930"/>
    <w:rsid w:val="00FA4464"/>
    <w:rsid w:val="00FA466B"/>
    <w:rsid w:val="00FA4B9A"/>
    <w:rsid w:val="00FA4D3F"/>
    <w:rsid w:val="00FA5578"/>
    <w:rsid w:val="00FA567B"/>
    <w:rsid w:val="00FA5772"/>
    <w:rsid w:val="00FA58C4"/>
    <w:rsid w:val="00FA5A58"/>
    <w:rsid w:val="00FA5EE6"/>
    <w:rsid w:val="00FA5EFC"/>
    <w:rsid w:val="00FA5FFB"/>
    <w:rsid w:val="00FA69CC"/>
    <w:rsid w:val="00FA69EE"/>
    <w:rsid w:val="00FA6AC9"/>
    <w:rsid w:val="00FA6D4E"/>
    <w:rsid w:val="00FA6EE0"/>
    <w:rsid w:val="00FA719E"/>
    <w:rsid w:val="00FA7956"/>
    <w:rsid w:val="00FA7C90"/>
    <w:rsid w:val="00FA7D35"/>
    <w:rsid w:val="00FB0EA6"/>
    <w:rsid w:val="00FB203D"/>
    <w:rsid w:val="00FB25EB"/>
    <w:rsid w:val="00FB2FCB"/>
    <w:rsid w:val="00FB37C2"/>
    <w:rsid w:val="00FB4A81"/>
    <w:rsid w:val="00FB4B49"/>
    <w:rsid w:val="00FB5482"/>
    <w:rsid w:val="00FB5F3E"/>
    <w:rsid w:val="00FB6977"/>
    <w:rsid w:val="00FB75B5"/>
    <w:rsid w:val="00FB7C55"/>
    <w:rsid w:val="00FC0576"/>
    <w:rsid w:val="00FC09B5"/>
    <w:rsid w:val="00FC0D4F"/>
    <w:rsid w:val="00FC0D7B"/>
    <w:rsid w:val="00FC0F7E"/>
    <w:rsid w:val="00FC0FB8"/>
    <w:rsid w:val="00FC0FE8"/>
    <w:rsid w:val="00FC1074"/>
    <w:rsid w:val="00FC108B"/>
    <w:rsid w:val="00FC1884"/>
    <w:rsid w:val="00FC1AE2"/>
    <w:rsid w:val="00FC26D0"/>
    <w:rsid w:val="00FC2BD1"/>
    <w:rsid w:val="00FC371D"/>
    <w:rsid w:val="00FC5F0B"/>
    <w:rsid w:val="00FC6082"/>
    <w:rsid w:val="00FC60FD"/>
    <w:rsid w:val="00FC6FF1"/>
    <w:rsid w:val="00FC70F5"/>
    <w:rsid w:val="00FD067A"/>
    <w:rsid w:val="00FD0AF9"/>
    <w:rsid w:val="00FD0D49"/>
    <w:rsid w:val="00FD1467"/>
    <w:rsid w:val="00FD20AA"/>
    <w:rsid w:val="00FD2100"/>
    <w:rsid w:val="00FD27F9"/>
    <w:rsid w:val="00FD2CA3"/>
    <w:rsid w:val="00FD436C"/>
    <w:rsid w:val="00FD446D"/>
    <w:rsid w:val="00FD4551"/>
    <w:rsid w:val="00FD4C55"/>
    <w:rsid w:val="00FD4F2C"/>
    <w:rsid w:val="00FD5201"/>
    <w:rsid w:val="00FD56F6"/>
    <w:rsid w:val="00FD5C17"/>
    <w:rsid w:val="00FD5DFC"/>
    <w:rsid w:val="00FD6053"/>
    <w:rsid w:val="00FD618B"/>
    <w:rsid w:val="00FD6394"/>
    <w:rsid w:val="00FD6E5C"/>
    <w:rsid w:val="00FD7259"/>
    <w:rsid w:val="00FD78D6"/>
    <w:rsid w:val="00FD7919"/>
    <w:rsid w:val="00FD7F32"/>
    <w:rsid w:val="00FE0085"/>
    <w:rsid w:val="00FE0E6C"/>
    <w:rsid w:val="00FE1022"/>
    <w:rsid w:val="00FE107D"/>
    <w:rsid w:val="00FE170F"/>
    <w:rsid w:val="00FE1CDC"/>
    <w:rsid w:val="00FE28DF"/>
    <w:rsid w:val="00FE350A"/>
    <w:rsid w:val="00FE3CD6"/>
    <w:rsid w:val="00FE45DB"/>
    <w:rsid w:val="00FE4A55"/>
    <w:rsid w:val="00FE4AAA"/>
    <w:rsid w:val="00FE4D29"/>
    <w:rsid w:val="00FE5253"/>
    <w:rsid w:val="00FE530E"/>
    <w:rsid w:val="00FE5522"/>
    <w:rsid w:val="00FE586D"/>
    <w:rsid w:val="00FE6340"/>
    <w:rsid w:val="00FE65FA"/>
    <w:rsid w:val="00FE6B83"/>
    <w:rsid w:val="00FE70C3"/>
    <w:rsid w:val="00FE72CA"/>
    <w:rsid w:val="00FE7D51"/>
    <w:rsid w:val="00FE7E70"/>
    <w:rsid w:val="00FF010F"/>
    <w:rsid w:val="00FF01F3"/>
    <w:rsid w:val="00FF0DE2"/>
    <w:rsid w:val="00FF15CF"/>
    <w:rsid w:val="00FF1F85"/>
    <w:rsid w:val="00FF2AD9"/>
    <w:rsid w:val="00FF2FE4"/>
    <w:rsid w:val="00FF359F"/>
    <w:rsid w:val="00FF3DCF"/>
    <w:rsid w:val="00FF4430"/>
    <w:rsid w:val="00FF492C"/>
    <w:rsid w:val="00FF4A21"/>
    <w:rsid w:val="00FF4FA5"/>
    <w:rsid w:val="00FF5081"/>
    <w:rsid w:val="00FF5296"/>
    <w:rsid w:val="00FF55DA"/>
    <w:rsid w:val="00FF5AA3"/>
    <w:rsid w:val="00FF5AD8"/>
    <w:rsid w:val="00FF5C95"/>
    <w:rsid w:val="00FF5DFD"/>
    <w:rsid w:val="00FF654F"/>
    <w:rsid w:val="00FF6748"/>
    <w:rsid w:val="00FF6AD6"/>
    <w:rsid w:val="00FF735C"/>
    <w:rsid w:val="00FF77A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B8B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2D25"/>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uiPriority w:val="7"/>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1,Caption Char Char,Lengende,figure,caption,Caption-FUSA,Caption Char Char Char Char,Caption Char Char Char Char Char Char,Caption Char1 Char Char,Caption Char1 Char Char Char Char,Char,12,Caption 12pt+,Caption 12pt,12+"/>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1,Caption Char Char Char1,Lengende Char1,figure Char1,caption Char1,Caption-FUSA Char1,Caption Char Char Char Char Char1,Caption Char Char Char Char Char Char Char1,Caption Char1 Char Char Char1,Char Char1,12 Char,12+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s Points,Styl moj,Akapit z listą1,Akapit z listą11,ES Paragraph,PBAC ES Paragraph,L"/>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Bullets Points Char,Styl moj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link w:val="TableHeadingChar"/>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CA758F"/>
    <w:pPr>
      <w:tabs>
        <w:tab w:val="left" w:pos="440"/>
        <w:tab w:val="right" w:leader="dot" w:pos="9016"/>
      </w:tabs>
      <w:spacing w:after="120"/>
      <w:jc w:val="left"/>
    </w:pPr>
    <w:rPr>
      <w:b/>
      <w:bCs/>
      <w:noProof/>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bodytext0">
    <w:name w:val="bodytext"/>
    <w:basedOn w:val="Normal"/>
    <w:link w:val="bodytextChar0"/>
    <w:rsid w:val="00B50F49"/>
    <w:pPr>
      <w:spacing w:before="120" w:after="240" w:line="360" w:lineRule="auto"/>
      <w:jc w:val="left"/>
    </w:pPr>
    <w:rPr>
      <w:rFonts w:ascii="Garamond" w:hAnsi="Garamond" w:cs="Times New Roman"/>
      <w:szCs w:val="22"/>
      <w:lang w:eastAsia="en-US"/>
    </w:rPr>
  </w:style>
  <w:style w:type="character" w:customStyle="1" w:styleId="bodytextChar0">
    <w:name w:val="bodytext Char"/>
    <w:basedOn w:val="DefaultParagraphFont"/>
    <w:link w:val="bodytext0"/>
    <w:rsid w:val="00B50F49"/>
    <w:rPr>
      <w:rFonts w:ascii="Garamond" w:hAnsi="Garamond"/>
      <w:sz w:val="24"/>
      <w:szCs w:val="22"/>
      <w:lang w:eastAsia="en-US"/>
    </w:rPr>
  </w:style>
  <w:style w:type="paragraph" w:customStyle="1" w:styleId="Table">
    <w:name w:val="Table"/>
    <w:basedOn w:val="Normal"/>
    <w:qFormat/>
    <w:rsid w:val="00B50F49"/>
    <w:pPr>
      <w:jc w:val="left"/>
    </w:pPr>
    <w:rPr>
      <w:rFonts w:ascii="Arial Narrow" w:eastAsiaTheme="minorHAnsi" w:hAnsi="Arial Narrow" w:cstheme="minorBidi"/>
      <w:sz w:val="20"/>
      <w:szCs w:val="22"/>
      <w:lang w:eastAsia="en-US"/>
    </w:rPr>
  </w:style>
  <w:style w:type="paragraph" w:customStyle="1" w:styleId="Default">
    <w:name w:val="Default"/>
    <w:rsid w:val="00FD067A"/>
    <w:pPr>
      <w:autoSpaceDE w:val="0"/>
      <w:autoSpaceDN w:val="0"/>
      <w:adjustRightInd w:val="0"/>
    </w:pPr>
    <w:rPr>
      <w:rFonts w:ascii="Arial" w:hAnsi="Arial" w:cs="Arial"/>
      <w:color w:val="000000"/>
      <w:sz w:val="24"/>
      <w:szCs w:val="24"/>
      <w:lang w:val="en-ZA"/>
    </w:rPr>
  </w:style>
  <w:style w:type="paragraph" w:customStyle="1" w:styleId="TableText1">
    <w:name w:val="TableText"/>
    <w:basedOn w:val="Normal"/>
    <w:link w:val="TableTextChar1"/>
    <w:qFormat/>
    <w:rsid w:val="007A1B42"/>
    <w:pPr>
      <w:keepNext/>
      <w:spacing w:before="40" w:after="40"/>
      <w:jc w:val="left"/>
    </w:pPr>
    <w:rPr>
      <w:rFonts w:ascii="Arial Narrow" w:hAnsi="Arial Narrow" w:cs="Arial Narrow"/>
      <w:sz w:val="20"/>
      <w:szCs w:val="20"/>
      <w:lang w:eastAsia="en-US"/>
    </w:rPr>
  </w:style>
  <w:style w:type="character" w:customStyle="1" w:styleId="TableTextChar1">
    <w:name w:val="TableText Char"/>
    <w:basedOn w:val="DefaultParagraphFont"/>
    <w:link w:val="TableText1"/>
    <w:rsid w:val="007A1B42"/>
    <w:rPr>
      <w:rFonts w:ascii="Arial Narrow" w:hAnsi="Arial Narrow" w:cs="Arial Narrow"/>
      <w:lang w:eastAsia="en-US"/>
    </w:rPr>
  </w:style>
  <w:style w:type="paragraph" w:customStyle="1" w:styleId="TableDash">
    <w:name w:val="TableDash"/>
    <w:basedOn w:val="TableText1"/>
    <w:rsid w:val="007A1B42"/>
    <w:pPr>
      <w:tabs>
        <w:tab w:val="num" w:pos="360"/>
      </w:tabs>
      <w:ind w:left="216" w:hanging="216"/>
    </w:pPr>
  </w:style>
  <w:style w:type="character" w:customStyle="1" w:styleId="TableHeadingChar">
    <w:name w:val="TableHeading Char"/>
    <w:basedOn w:val="DefaultParagraphFont"/>
    <w:link w:val="TableHeading"/>
    <w:rsid w:val="007A1B42"/>
    <w:rPr>
      <w:rFonts w:ascii="Arial Narrow" w:hAnsi="Arial Narrow" w:cs="Arial Narrow"/>
      <w:b/>
      <w:bCs/>
      <w:snapToGrid w:val="0"/>
      <w:szCs w:val="24"/>
    </w:rPr>
  </w:style>
  <w:style w:type="character" w:customStyle="1" w:styleId="UnresolvedMention1">
    <w:name w:val="Unresolved Mention1"/>
    <w:basedOn w:val="DefaultParagraphFont"/>
    <w:uiPriority w:val="99"/>
    <w:semiHidden/>
    <w:unhideWhenUsed/>
    <w:rsid w:val="00A9204C"/>
    <w:rPr>
      <w:color w:val="605E5C"/>
      <w:shd w:val="clear" w:color="auto" w:fill="E1DFDD"/>
    </w:rPr>
  </w:style>
  <w:style w:type="paragraph" w:customStyle="1" w:styleId="Comment">
    <w:name w:val="Comment"/>
    <w:basedOn w:val="Normal"/>
    <w:next w:val="Normal"/>
    <w:uiPriority w:val="1"/>
    <w:qFormat/>
    <w:rsid w:val="00894EF3"/>
    <w:pPr>
      <w:spacing w:before="120" w:after="120" w:line="240" w:lineRule="atLeast"/>
      <w:ind w:left="1134" w:hanging="1134"/>
      <w:jc w:val="left"/>
    </w:pPr>
    <w:rPr>
      <w:rFonts w:ascii="Cambria" w:eastAsia="Cambria" w:hAnsi="Cambria" w:cs="Times New Roman"/>
      <w:sz w:val="22"/>
      <w:szCs w:val="22"/>
      <w:lang w:eastAsia="en-US"/>
    </w:rPr>
  </w:style>
  <w:style w:type="character" w:styleId="Emphasis">
    <w:name w:val="Emphasis"/>
    <w:basedOn w:val="DefaultParagraphFont"/>
    <w:uiPriority w:val="20"/>
    <w:qFormat/>
    <w:rsid w:val="00C9072F"/>
    <w:rPr>
      <w:i/>
      <w:iCs/>
    </w:rPr>
  </w:style>
  <w:style w:type="paragraph" w:styleId="FootnoteText">
    <w:name w:val="footnote text"/>
    <w:basedOn w:val="Normal"/>
    <w:link w:val="FootnoteTextChar"/>
    <w:semiHidden/>
    <w:unhideWhenUsed/>
    <w:rsid w:val="00D45AE1"/>
    <w:pPr>
      <w:widowControl w:val="0"/>
    </w:pPr>
    <w:rPr>
      <w:rFonts w:ascii="Arial" w:hAnsi="Arial"/>
      <w:snapToGrid w:val="0"/>
      <w:sz w:val="20"/>
      <w:szCs w:val="20"/>
      <w:lang w:eastAsia="en-US"/>
    </w:rPr>
  </w:style>
  <w:style w:type="character" w:customStyle="1" w:styleId="FootnoteTextChar">
    <w:name w:val="Footnote Text Char"/>
    <w:basedOn w:val="DefaultParagraphFont"/>
    <w:link w:val="FootnoteText"/>
    <w:semiHidden/>
    <w:rsid w:val="00D45AE1"/>
    <w:rPr>
      <w:rFonts w:ascii="Arial" w:hAnsi="Arial" w:cs="Arial"/>
      <w:snapToGrid w:val="0"/>
      <w:lang w:eastAsia="en-US"/>
    </w:rPr>
  </w:style>
  <w:style w:type="character" w:customStyle="1" w:styleId="CaptionChar2">
    <w:name w:val="Caption Char2"/>
    <w:aliases w:val="Caption Char1 Char,Caption Char Char Char,Caption Char Char1,Lengende Char,figure Char,caption Char,Caption-FUSA Char,Caption Char Char Char Char Char,Caption Char Char Char Char Char Char Char,Caption Char1 Char Char Char,Char Char"/>
    <w:rsid w:val="0078341D"/>
    <w:rPr>
      <w:rFonts w:ascii="Cambria" w:hAnsi="Cambria"/>
      <w:b/>
      <w:sz w:val="22"/>
      <w:szCs w:val="22"/>
      <w:lang w:eastAsia="en-US"/>
    </w:rPr>
  </w:style>
  <w:style w:type="character" w:customStyle="1" w:styleId="Heading1Char">
    <w:name w:val="Heading 1 Char"/>
    <w:basedOn w:val="DefaultParagraphFont"/>
    <w:link w:val="Heading1"/>
    <w:uiPriority w:val="1"/>
    <w:rsid w:val="00251F70"/>
    <w:rPr>
      <w:rFonts w:ascii="Calibri" w:hAnsi="Calibri" w:cs="Arial"/>
      <w:b/>
      <w:caps/>
      <w:sz w:val="32"/>
      <w:szCs w:val="24"/>
    </w:rPr>
  </w:style>
  <w:style w:type="character" w:customStyle="1" w:styleId="Heading3Char">
    <w:name w:val="Heading 3 Char"/>
    <w:basedOn w:val="DefaultParagraphFont"/>
    <w:link w:val="Heading3"/>
    <w:rsid w:val="00251F70"/>
    <w:rPr>
      <w:rFonts w:ascii="Calibri" w:hAnsi="Calibri" w:cs="Arial"/>
      <w:sz w:val="24"/>
      <w:szCs w:val="24"/>
      <w:u w:val="single"/>
    </w:rPr>
  </w:style>
  <w:style w:type="character" w:customStyle="1" w:styleId="Heading4Char">
    <w:name w:val="Heading 4 Char"/>
    <w:basedOn w:val="DefaultParagraphFont"/>
    <w:link w:val="Heading4"/>
    <w:rsid w:val="00251F70"/>
    <w:rPr>
      <w:rFonts w:ascii="Calibri" w:hAnsi="Calibri" w:cs="Arial"/>
      <w:b/>
      <w:bCs/>
      <w:i/>
      <w:sz w:val="26"/>
      <w:szCs w:val="28"/>
    </w:rPr>
  </w:style>
  <w:style w:type="character" w:customStyle="1" w:styleId="Heading5Char">
    <w:name w:val="Heading 5 Char"/>
    <w:basedOn w:val="DefaultParagraphFont"/>
    <w:link w:val="Heading5"/>
    <w:rsid w:val="00251F70"/>
    <w:rPr>
      <w:rFonts w:ascii="Calibri" w:hAnsi="Calibri" w:cs="Arial"/>
      <w:b/>
      <w:bCs/>
      <w:iCs/>
      <w:sz w:val="26"/>
      <w:szCs w:val="26"/>
    </w:rPr>
  </w:style>
  <w:style w:type="character" w:customStyle="1" w:styleId="Heading6Char">
    <w:name w:val="Heading 6 Char"/>
    <w:basedOn w:val="DefaultParagraphFont"/>
    <w:link w:val="Heading6"/>
    <w:rsid w:val="00251F70"/>
    <w:rPr>
      <w:rFonts w:ascii="Calibri" w:hAnsi="Calibri" w:cs="Arial"/>
      <w:b/>
      <w:bCs/>
      <w:i/>
      <w:sz w:val="24"/>
      <w:szCs w:val="24"/>
    </w:rPr>
  </w:style>
  <w:style w:type="table" w:customStyle="1" w:styleId="TableGrid1">
    <w:name w:val="Table Grid1"/>
    <w:basedOn w:val="TableNormal"/>
    <w:next w:val="TableGrid"/>
    <w:uiPriority w:val="39"/>
    <w:rsid w:val="00CD23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s">
    <w:name w:val="Table footnotes"/>
    <w:basedOn w:val="BodyText"/>
    <w:qFormat/>
    <w:rsid w:val="00AF73CE"/>
    <w:pPr>
      <w:keepLines/>
      <w:spacing w:after="240"/>
      <w:contextualSpacing/>
    </w:pPr>
    <w:rPr>
      <w:sz w:val="16"/>
      <w:lang w:eastAsia="en-US"/>
    </w:rPr>
  </w:style>
  <w:style w:type="character" w:styleId="FootnoteReference">
    <w:name w:val="footnote reference"/>
    <w:basedOn w:val="DefaultParagraphFont"/>
    <w:semiHidden/>
    <w:unhideWhenUsed/>
    <w:rsid w:val="00E73876"/>
    <w:rPr>
      <w:vertAlign w:val="superscript"/>
    </w:rPr>
  </w:style>
  <w:style w:type="paragraph" w:customStyle="1" w:styleId="Numberbullet0">
    <w:name w:val="Number bullet"/>
    <w:basedOn w:val="ListBullet"/>
    <w:qFormat/>
    <w:rsid w:val="0013150A"/>
    <w:pPr>
      <w:numPr>
        <w:numId w:val="8"/>
      </w:numPr>
      <w:adjustRightInd w:val="0"/>
      <w:snapToGrid w:val="0"/>
      <w:spacing w:before="180" w:after="160" w:line="240" w:lineRule="atLeast"/>
      <w:contextualSpacing w:val="0"/>
      <w:jc w:val="left"/>
    </w:pPr>
    <w:rPr>
      <w:rFonts w:ascii="Cambria" w:eastAsia="MS Mincho" w:hAnsi="Cambria" w:cs="Times New Roman"/>
      <w:sz w:val="22"/>
      <w:szCs w:val="20"/>
      <w:lang w:eastAsia="ja-JP"/>
    </w:rPr>
  </w:style>
  <w:style w:type="paragraph" w:customStyle="1" w:styleId="Numberbullet2">
    <w:name w:val="Number bullet 2"/>
    <w:basedOn w:val="ListBullet2"/>
    <w:qFormat/>
    <w:rsid w:val="0013150A"/>
    <w:pPr>
      <w:numPr>
        <w:ilvl w:val="1"/>
      </w:numPr>
      <w:adjustRightInd w:val="0"/>
      <w:snapToGrid w:val="0"/>
      <w:spacing w:before="180" w:after="180" w:line="240" w:lineRule="atLeast"/>
      <w:ind w:left="1440" w:hanging="360"/>
      <w:jc w:val="left"/>
    </w:pPr>
    <w:rPr>
      <w:rFonts w:ascii="Cambria" w:eastAsia="MS Mincho" w:hAnsi="Cambria" w:cs="Times New Roman"/>
      <w:sz w:val="22"/>
      <w:szCs w:val="20"/>
      <w:lang w:eastAsia="ja-JP"/>
    </w:rPr>
  </w:style>
  <w:style w:type="paragraph" w:customStyle="1" w:styleId="Numberbullet3">
    <w:name w:val="Number bullet 3"/>
    <w:basedOn w:val="ListBullet3"/>
    <w:qFormat/>
    <w:rsid w:val="0013150A"/>
    <w:pPr>
      <w:numPr>
        <w:ilvl w:val="2"/>
        <w:numId w:val="8"/>
      </w:numPr>
      <w:adjustRightInd w:val="0"/>
      <w:snapToGrid w:val="0"/>
      <w:spacing w:before="180" w:after="180" w:line="240" w:lineRule="atLeast"/>
      <w:ind w:left="2160" w:hanging="360"/>
      <w:jc w:val="left"/>
    </w:pPr>
    <w:rPr>
      <w:rFonts w:ascii="Cambria" w:eastAsia="MS Mincho" w:hAnsi="Cambria" w:cs="Times New Roman"/>
      <w:sz w:val="22"/>
      <w:szCs w:val="20"/>
      <w:lang w:eastAsia="ja-JP"/>
    </w:rPr>
  </w:style>
  <w:style w:type="numbering" w:customStyle="1" w:styleId="NumberBullet">
    <w:name w:val="NumberBullet"/>
    <w:uiPriority w:val="99"/>
    <w:locked/>
    <w:rsid w:val="0013150A"/>
    <w:pPr>
      <w:numPr>
        <w:numId w:val="8"/>
      </w:numPr>
    </w:pPr>
  </w:style>
  <w:style w:type="paragraph" w:styleId="ListBullet2">
    <w:name w:val="List Bullet 2"/>
    <w:basedOn w:val="Normal"/>
    <w:semiHidden/>
    <w:unhideWhenUsed/>
    <w:rsid w:val="0013150A"/>
    <w:pPr>
      <w:ind w:left="425" w:hanging="425"/>
      <w:contextualSpacing/>
    </w:pPr>
  </w:style>
  <w:style w:type="paragraph" w:styleId="ListBullet3">
    <w:name w:val="List Bullet 3"/>
    <w:basedOn w:val="Normal"/>
    <w:semiHidden/>
    <w:unhideWhenUsed/>
    <w:rsid w:val="0013150A"/>
    <w:pPr>
      <w:ind w:left="425" w:hanging="425"/>
      <w:contextualSpacing/>
    </w:pPr>
  </w:style>
  <w:style w:type="table" w:customStyle="1" w:styleId="StandardTable">
    <w:name w:val="Standard Table"/>
    <w:basedOn w:val="TableNormal"/>
    <w:rsid w:val="00AA4DC3"/>
    <w:rPr>
      <w:rFonts w:ascii="Arial" w:hAnsi="Arial"/>
    </w:rPr>
    <w:tblPr>
      <w:tblInd w:w="85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tcMar>
        <w:left w:w="57" w:type="dxa"/>
        <w:right w:w="57" w:type="dxa"/>
      </w:tcMar>
      <w:vAlign w:val="center"/>
    </w:tcPr>
  </w:style>
  <w:style w:type="paragraph" w:customStyle="1" w:styleId="TableLeft">
    <w:name w:val="Table Left"/>
    <w:basedOn w:val="Normal"/>
    <w:link w:val="TableLeftChar"/>
    <w:uiPriority w:val="99"/>
    <w:qFormat/>
    <w:rsid w:val="00EB704C"/>
    <w:pPr>
      <w:jc w:val="left"/>
    </w:pPr>
    <w:rPr>
      <w:rFonts w:eastAsiaTheme="majorEastAsia" w:cstheme="majorBidi"/>
      <w:sz w:val="18"/>
      <w:szCs w:val="22"/>
      <w:lang w:eastAsia="en-US" w:bidi="en-US"/>
    </w:rPr>
  </w:style>
  <w:style w:type="character" w:customStyle="1" w:styleId="TableLeftChar">
    <w:name w:val="Table Left Char"/>
    <w:basedOn w:val="DefaultParagraphFont"/>
    <w:link w:val="TableLeft"/>
    <w:uiPriority w:val="99"/>
    <w:locked/>
    <w:rsid w:val="00EB704C"/>
    <w:rPr>
      <w:rFonts w:ascii="Calibri" w:eastAsiaTheme="majorEastAsia" w:hAnsi="Calibri" w:cstheme="majorBidi"/>
      <w:sz w:val="18"/>
      <w:szCs w:val="22"/>
      <w:lang w:eastAsia="en-US" w:bidi="en-US"/>
    </w:rPr>
  </w:style>
  <w:style w:type="paragraph" w:customStyle="1" w:styleId="2Sections">
    <w:name w:val="2. Sections"/>
    <w:qFormat/>
    <w:rsid w:val="00CD69CA"/>
    <w:pPr>
      <w:spacing w:before="240" w:after="120"/>
      <w:ind w:left="720" w:hanging="720"/>
      <w:outlineLvl w:val="0"/>
    </w:pPr>
    <w:rPr>
      <w:rFonts w:asciiTheme="minorHAnsi" w:hAnsiTheme="minorHAnsi" w:cs="Arial"/>
      <w:b/>
      <w:snapToGrid w:val="0"/>
      <w:sz w:val="32"/>
      <w:szCs w:val="32"/>
      <w:lang w:eastAsia="en-US"/>
    </w:rPr>
  </w:style>
  <w:style w:type="paragraph" w:customStyle="1" w:styleId="3Bodytext">
    <w:name w:val="3. Body text"/>
    <w:basedOn w:val="ListParagraph"/>
    <w:qFormat/>
    <w:rsid w:val="00CD69CA"/>
    <w:pPr>
      <w:numPr>
        <w:numId w:val="0"/>
      </w:numPr>
      <w:ind w:left="720" w:hanging="720"/>
    </w:pPr>
    <w:rPr>
      <w:rFonts w:eastAsiaTheme="minorHAnsi" w:cstheme="minorBidi"/>
      <w:snapToGrid/>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81606">
      <w:bodyDiv w:val="1"/>
      <w:marLeft w:val="0"/>
      <w:marRight w:val="0"/>
      <w:marTop w:val="0"/>
      <w:marBottom w:val="0"/>
      <w:divBdr>
        <w:top w:val="none" w:sz="0" w:space="0" w:color="auto"/>
        <w:left w:val="none" w:sz="0" w:space="0" w:color="auto"/>
        <w:bottom w:val="none" w:sz="0" w:space="0" w:color="auto"/>
        <w:right w:val="none" w:sz="0" w:space="0" w:color="auto"/>
      </w:divBdr>
    </w:div>
    <w:div w:id="5763638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4466964">
      <w:bodyDiv w:val="1"/>
      <w:marLeft w:val="0"/>
      <w:marRight w:val="0"/>
      <w:marTop w:val="0"/>
      <w:marBottom w:val="0"/>
      <w:divBdr>
        <w:top w:val="none" w:sz="0" w:space="0" w:color="auto"/>
        <w:left w:val="none" w:sz="0" w:space="0" w:color="auto"/>
        <w:bottom w:val="none" w:sz="0" w:space="0" w:color="auto"/>
        <w:right w:val="none" w:sz="0" w:space="0" w:color="auto"/>
      </w:divBdr>
    </w:div>
    <w:div w:id="217398427">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06197619">
      <w:bodyDiv w:val="1"/>
      <w:marLeft w:val="0"/>
      <w:marRight w:val="0"/>
      <w:marTop w:val="0"/>
      <w:marBottom w:val="0"/>
      <w:divBdr>
        <w:top w:val="none" w:sz="0" w:space="0" w:color="auto"/>
        <w:left w:val="none" w:sz="0" w:space="0" w:color="auto"/>
        <w:bottom w:val="none" w:sz="0" w:space="0" w:color="auto"/>
        <w:right w:val="none" w:sz="0" w:space="0" w:color="auto"/>
      </w:divBdr>
      <w:divsChild>
        <w:div w:id="133910024">
          <w:marLeft w:val="360"/>
          <w:marRight w:val="0"/>
          <w:marTop w:val="200"/>
          <w:marBottom w:val="0"/>
          <w:divBdr>
            <w:top w:val="none" w:sz="0" w:space="0" w:color="auto"/>
            <w:left w:val="none" w:sz="0" w:space="0" w:color="auto"/>
            <w:bottom w:val="none" w:sz="0" w:space="0" w:color="auto"/>
            <w:right w:val="none" w:sz="0" w:space="0" w:color="auto"/>
          </w:divBdr>
        </w:div>
      </w:divsChild>
    </w:div>
    <w:div w:id="410855503">
      <w:bodyDiv w:val="1"/>
      <w:marLeft w:val="0"/>
      <w:marRight w:val="0"/>
      <w:marTop w:val="0"/>
      <w:marBottom w:val="0"/>
      <w:divBdr>
        <w:top w:val="none" w:sz="0" w:space="0" w:color="auto"/>
        <w:left w:val="none" w:sz="0" w:space="0" w:color="auto"/>
        <w:bottom w:val="none" w:sz="0" w:space="0" w:color="auto"/>
        <w:right w:val="none" w:sz="0" w:space="0" w:color="auto"/>
      </w:divBdr>
    </w:div>
    <w:div w:id="465318178">
      <w:bodyDiv w:val="1"/>
      <w:marLeft w:val="0"/>
      <w:marRight w:val="0"/>
      <w:marTop w:val="0"/>
      <w:marBottom w:val="0"/>
      <w:divBdr>
        <w:top w:val="none" w:sz="0" w:space="0" w:color="auto"/>
        <w:left w:val="none" w:sz="0" w:space="0" w:color="auto"/>
        <w:bottom w:val="none" w:sz="0" w:space="0" w:color="auto"/>
        <w:right w:val="none" w:sz="0" w:space="0" w:color="auto"/>
      </w:divBdr>
    </w:div>
    <w:div w:id="466244375">
      <w:bodyDiv w:val="1"/>
      <w:marLeft w:val="0"/>
      <w:marRight w:val="0"/>
      <w:marTop w:val="0"/>
      <w:marBottom w:val="0"/>
      <w:divBdr>
        <w:top w:val="none" w:sz="0" w:space="0" w:color="auto"/>
        <w:left w:val="none" w:sz="0" w:space="0" w:color="auto"/>
        <w:bottom w:val="none" w:sz="0" w:space="0" w:color="auto"/>
        <w:right w:val="none" w:sz="0" w:space="0" w:color="auto"/>
      </w:divBdr>
    </w:div>
    <w:div w:id="479270091">
      <w:bodyDiv w:val="1"/>
      <w:marLeft w:val="0"/>
      <w:marRight w:val="0"/>
      <w:marTop w:val="0"/>
      <w:marBottom w:val="0"/>
      <w:divBdr>
        <w:top w:val="none" w:sz="0" w:space="0" w:color="auto"/>
        <w:left w:val="none" w:sz="0" w:space="0" w:color="auto"/>
        <w:bottom w:val="none" w:sz="0" w:space="0" w:color="auto"/>
        <w:right w:val="none" w:sz="0" w:space="0" w:color="auto"/>
      </w:divBdr>
    </w:div>
    <w:div w:id="486437102">
      <w:bodyDiv w:val="1"/>
      <w:marLeft w:val="0"/>
      <w:marRight w:val="0"/>
      <w:marTop w:val="0"/>
      <w:marBottom w:val="0"/>
      <w:divBdr>
        <w:top w:val="none" w:sz="0" w:space="0" w:color="auto"/>
        <w:left w:val="none" w:sz="0" w:space="0" w:color="auto"/>
        <w:bottom w:val="none" w:sz="0" w:space="0" w:color="auto"/>
        <w:right w:val="none" w:sz="0" w:space="0" w:color="auto"/>
      </w:divBdr>
    </w:div>
    <w:div w:id="661353259">
      <w:bodyDiv w:val="1"/>
      <w:marLeft w:val="0"/>
      <w:marRight w:val="0"/>
      <w:marTop w:val="0"/>
      <w:marBottom w:val="0"/>
      <w:divBdr>
        <w:top w:val="none" w:sz="0" w:space="0" w:color="auto"/>
        <w:left w:val="none" w:sz="0" w:space="0" w:color="auto"/>
        <w:bottom w:val="none" w:sz="0" w:space="0" w:color="auto"/>
        <w:right w:val="none" w:sz="0" w:space="0" w:color="auto"/>
      </w:divBdr>
    </w:div>
    <w:div w:id="727338065">
      <w:bodyDiv w:val="1"/>
      <w:marLeft w:val="0"/>
      <w:marRight w:val="0"/>
      <w:marTop w:val="0"/>
      <w:marBottom w:val="0"/>
      <w:divBdr>
        <w:top w:val="none" w:sz="0" w:space="0" w:color="auto"/>
        <w:left w:val="none" w:sz="0" w:space="0" w:color="auto"/>
        <w:bottom w:val="none" w:sz="0" w:space="0" w:color="auto"/>
        <w:right w:val="none" w:sz="0" w:space="0" w:color="auto"/>
      </w:divBdr>
    </w:div>
    <w:div w:id="737823678">
      <w:bodyDiv w:val="1"/>
      <w:marLeft w:val="0"/>
      <w:marRight w:val="0"/>
      <w:marTop w:val="0"/>
      <w:marBottom w:val="0"/>
      <w:divBdr>
        <w:top w:val="none" w:sz="0" w:space="0" w:color="auto"/>
        <w:left w:val="none" w:sz="0" w:space="0" w:color="auto"/>
        <w:bottom w:val="none" w:sz="0" w:space="0" w:color="auto"/>
        <w:right w:val="none" w:sz="0" w:space="0" w:color="auto"/>
      </w:divBdr>
    </w:div>
    <w:div w:id="756829699">
      <w:bodyDiv w:val="1"/>
      <w:marLeft w:val="0"/>
      <w:marRight w:val="0"/>
      <w:marTop w:val="0"/>
      <w:marBottom w:val="0"/>
      <w:divBdr>
        <w:top w:val="none" w:sz="0" w:space="0" w:color="auto"/>
        <w:left w:val="none" w:sz="0" w:space="0" w:color="auto"/>
        <w:bottom w:val="none" w:sz="0" w:space="0" w:color="auto"/>
        <w:right w:val="none" w:sz="0" w:space="0" w:color="auto"/>
      </w:divBdr>
    </w:div>
    <w:div w:id="817577433">
      <w:bodyDiv w:val="1"/>
      <w:marLeft w:val="0"/>
      <w:marRight w:val="0"/>
      <w:marTop w:val="0"/>
      <w:marBottom w:val="0"/>
      <w:divBdr>
        <w:top w:val="none" w:sz="0" w:space="0" w:color="auto"/>
        <w:left w:val="none" w:sz="0" w:space="0" w:color="auto"/>
        <w:bottom w:val="none" w:sz="0" w:space="0" w:color="auto"/>
        <w:right w:val="none" w:sz="0" w:space="0" w:color="auto"/>
      </w:divBdr>
    </w:div>
    <w:div w:id="844443011">
      <w:bodyDiv w:val="1"/>
      <w:marLeft w:val="0"/>
      <w:marRight w:val="0"/>
      <w:marTop w:val="0"/>
      <w:marBottom w:val="0"/>
      <w:divBdr>
        <w:top w:val="none" w:sz="0" w:space="0" w:color="auto"/>
        <w:left w:val="none" w:sz="0" w:space="0" w:color="auto"/>
        <w:bottom w:val="none" w:sz="0" w:space="0" w:color="auto"/>
        <w:right w:val="none" w:sz="0" w:space="0" w:color="auto"/>
      </w:divBdr>
    </w:div>
    <w:div w:id="849099592">
      <w:bodyDiv w:val="1"/>
      <w:marLeft w:val="0"/>
      <w:marRight w:val="0"/>
      <w:marTop w:val="0"/>
      <w:marBottom w:val="0"/>
      <w:divBdr>
        <w:top w:val="none" w:sz="0" w:space="0" w:color="auto"/>
        <w:left w:val="none" w:sz="0" w:space="0" w:color="auto"/>
        <w:bottom w:val="none" w:sz="0" w:space="0" w:color="auto"/>
        <w:right w:val="none" w:sz="0" w:space="0" w:color="auto"/>
      </w:divBdr>
    </w:div>
    <w:div w:id="853151977">
      <w:bodyDiv w:val="1"/>
      <w:marLeft w:val="0"/>
      <w:marRight w:val="0"/>
      <w:marTop w:val="0"/>
      <w:marBottom w:val="0"/>
      <w:divBdr>
        <w:top w:val="none" w:sz="0" w:space="0" w:color="auto"/>
        <w:left w:val="none" w:sz="0" w:space="0" w:color="auto"/>
        <w:bottom w:val="none" w:sz="0" w:space="0" w:color="auto"/>
        <w:right w:val="none" w:sz="0" w:space="0" w:color="auto"/>
      </w:divBdr>
    </w:div>
    <w:div w:id="854421035">
      <w:bodyDiv w:val="1"/>
      <w:marLeft w:val="0"/>
      <w:marRight w:val="0"/>
      <w:marTop w:val="0"/>
      <w:marBottom w:val="0"/>
      <w:divBdr>
        <w:top w:val="none" w:sz="0" w:space="0" w:color="auto"/>
        <w:left w:val="none" w:sz="0" w:space="0" w:color="auto"/>
        <w:bottom w:val="none" w:sz="0" w:space="0" w:color="auto"/>
        <w:right w:val="none" w:sz="0" w:space="0" w:color="auto"/>
      </w:divBdr>
    </w:div>
    <w:div w:id="904681415">
      <w:bodyDiv w:val="1"/>
      <w:marLeft w:val="0"/>
      <w:marRight w:val="0"/>
      <w:marTop w:val="0"/>
      <w:marBottom w:val="0"/>
      <w:divBdr>
        <w:top w:val="none" w:sz="0" w:space="0" w:color="auto"/>
        <w:left w:val="none" w:sz="0" w:space="0" w:color="auto"/>
        <w:bottom w:val="none" w:sz="0" w:space="0" w:color="auto"/>
        <w:right w:val="none" w:sz="0" w:space="0" w:color="auto"/>
      </w:divBdr>
    </w:div>
    <w:div w:id="908425955">
      <w:bodyDiv w:val="1"/>
      <w:marLeft w:val="0"/>
      <w:marRight w:val="0"/>
      <w:marTop w:val="0"/>
      <w:marBottom w:val="0"/>
      <w:divBdr>
        <w:top w:val="none" w:sz="0" w:space="0" w:color="auto"/>
        <w:left w:val="none" w:sz="0" w:space="0" w:color="auto"/>
        <w:bottom w:val="none" w:sz="0" w:space="0" w:color="auto"/>
        <w:right w:val="none" w:sz="0" w:space="0" w:color="auto"/>
      </w:divBdr>
    </w:div>
    <w:div w:id="971791431">
      <w:bodyDiv w:val="1"/>
      <w:marLeft w:val="0"/>
      <w:marRight w:val="0"/>
      <w:marTop w:val="0"/>
      <w:marBottom w:val="0"/>
      <w:divBdr>
        <w:top w:val="none" w:sz="0" w:space="0" w:color="auto"/>
        <w:left w:val="none" w:sz="0" w:space="0" w:color="auto"/>
        <w:bottom w:val="none" w:sz="0" w:space="0" w:color="auto"/>
        <w:right w:val="none" w:sz="0" w:space="0" w:color="auto"/>
      </w:divBdr>
    </w:div>
    <w:div w:id="1000696043">
      <w:bodyDiv w:val="1"/>
      <w:marLeft w:val="0"/>
      <w:marRight w:val="0"/>
      <w:marTop w:val="0"/>
      <w:marBottom w:val="0"/>
      <w:divBdr>
        <w:top w:val="none" w:sz="0" w:space="0" w:color="auto"/>
        <w:left w:val="none" w:sz="0" w:space="0" w:color="auto"/>
        <w:bottom w:val="none" w:sz="0" w:space="0" w:color="auto"/>
        <w:right w:val="none" w:sz="0" w:space="0" w:color="auto"/>
      </w:divBdr>
    </w:div>
    <w:div w:id="1000885620">
      <w:bodyDiv w:val="1"/>
      <w:marLeft w:val="0"/>
      <w:marRight w:val="0"/>
      <w:marTop w:val="0"/>
      <w:marBottom w:val="0"/>
      <w:divBdr>
        <w:top w:val="none" w:sz="0" w:space="0" w:color="auto"/>
        <w:left w:val="none" w:sz="0" w:space="0" w:color="auto"/>
        <w:bottom w:val="none" w:sz="0" w:space="0" w:color="auto"/>
        <w:right w:val="none" w:sz="0" w:space="0" w:color="auto"/>
      </w:divBdr>
    </w:div>
    <w:div w:id="1003313331">
      <w:bodyDiv w:val="1"/>
      <w:marLeft w:val="0"/>
      <w:marRight w:val="0"/>
      <w:marTop w:val="0"/>
      <w:marBottom w:val="0"/>
      <w:divBdr>
        <w:top w:val="none" w:sz="0" w:space="0" w:color="auto"/>
        <w:left w:val="none" w:sz="0" w:space="0" w:color="auto"/>
        <w:bottom w:val="none" w:sz="0" w:space="0" w:color="auto"/>
        <w:right w:val="none" w:sz="0" w:space="0" w:color="auto"/>
      </w:divBdr>
    </w:div>
    <w:div w:id="1014838929">
      <w:bodyDiv w:val="1"/>
      <w:marLeft w:val="0"/>
      <w:marRight w:val="0"/>
      <w:marTop w:val="0"/>
      <w:marBottom w:val="0"/>
      <w:divBdr>
        <w:top w:val="none" w:sz="0" w:space="0" w:color="auto"/>
        <w:left w:val="none" w:sz="0" w:space="0" w:color="auto"/>
        <w:bottom w:val="none" w:sz="0" w:space="0" w:color="auto"/>
        <w:right w:val="none" w:sz="0" w:space="0" w:color="auto"/>
      </w:divBdr>
    </w:div>
    <w:div w:id="1047489047">
      <w:bodyDiv w:val="1"/>
      <w:marLeft w:val="0"/>
      <w:marRight w:val="0"/>
      <w:marTop w:val="0"/>
      <w:marBottom w:val="0"/>
      <w:divBdr>
        <w:top w:val="none" w:sz="0" w:space="0" w:color="auto"/>
        <w:left w:val="none" w:sz="0" w:space="0" w:color="auto"/>
        <w:bottom w:val="none" w:sz="0" w:space="0" w:color="auto"/>
        <w:right w:val="none" w:sz="0" w:space="0" w:color="auto"/>
      </w:divBdr>
    </w:div>
    <w:div w:id="1062799449">
      <w:bodyDiv w:val="1"/>
      <w:marLeft w:val="0"/>
      <w:marRight w:val="0"/>
      <w:marTop w:val="0"/>
      <w:marBottom w:val="0"/>
      <w:divBdr>
        <w:top w:val="none" w:sz="0" w:space="0" w:color="auto"/>
        <w:left w:val="none" w:sz="0" w:space="0" w:color="auto"/>
        <w:bottom w:val="none" w:sz="0" w:space="0" w:color="auto"/>
        <w:right w:val="none" w:sz="0" w:space="0" w:color="auto"/>
      </w:divBdr>
    </w:div>
    <w:div w:id="1105731435">
      <w:bodyDiv w:val="1"/>
      <w:marLeft w:val="0"/>
      <w:marRight w:val="0"/>
      <w:marTop w:val="0"/>
      <w:marBottom w:val="0"/>
      <w:divBdr>
        <w:top w:val="none" w:sz="0" w:space="0" w:color="auto"/>
        <w:left w:val="none" w:sz="0" w:space="0" w:color="auto"/>
        <w:bottom w:val="none" w:sz="0" w:space="0" w:color="auto"/>
        <w:right w:val="none" w:sz="0" w:space="0" w:color="auto"/>
      </w:divBdr>
    </w:div>
    <w:div w:id="1123957180">
      <w:bodyDiv w:val="1"/>
      <w:marLeft w:val="0"/>
      <w:marRight w:val="0"/>
      <w:marTop w:val="0"/>
      <w:marBottom w:val="0"/>
      <w:divBdr>
        <w:top w:val="none" w:sz="0" w:space="0" w:color="auto"/>
        <w:left w:val="none" w:sz="0" w:space="0" w:color="auto"/>
        <w:bottom w:val="none" w:sz="0" w:space="0" w:color="auto"/>
        <w:right w:val="none" w:sz="0" w:space="0" w:color="auto"/>
      </w:divBdr>
    </w:div>
    <w:div w:id="1127775161">
      <w:bodyDiv w:val="1"/>
      <w:marLeft w:val="0"/>
      <w:marRight w:val="0"/>
      <w:marTop w:val="0"/>
      <w:marBottom w:val="0"/>
      <w:divBdr>
        <w:top w:val="none" w:sz="0" w:space="0" w:color="auto"/>
        <w:left w:val="none" w:sz="0" w:space="0" w:color="auto"/>
        <w:bottom w:val="none" w:sz="0" w:space="0" w:color="auto"/>
        <w:right w:val="none" w:sz="0" w:space="0" w:color="auto"/>
      </w:divBdr>
    </w:div>
    <w:div w:id="1150246208">
      <w:bodyDiv w:val="1"/>
      <w:marLeft w:val="0"/>
      <w:marRight w:val="0"/>
      <w:marTop w:val="0"/>
      <w:marBottom w:val="0"/>
      <w:divBdr>
        <w:top w:val="none" w:sz="0" w:space="0" w:color="auto"/>
        <w:left w:val="none" w:sz="0" w:space="0" w:color="auto"/>
        <w:bottom w:val="none" w:sz="0" w:space="0" w:color="auto"/>
        <w:right w:val="none" w:sz="0" w:space="0" w:color="auto"/>
      </w:divBdr>
    </w:div>
    <w:div w:id="1154376353">
      <w:bodyDiv w:val="1"/>
      <w:marLeft w:val="0"/>
      <w:marRight w:val="0"/>
      <w:marTop w:val="0"/>
      <w:marBottom w:val="0"/>
      <w:divBdr>
        <w:top w:val="none" w:sz="0" w:space="0" w:color="auto"/>
        <w:left w:val="none" w:sz="0" w:space="0" w:color="auto"/>
        <w:bottom w:val="none" w:sz="0" w:space="0" w:color="auto"/>
        <w:right w:val="none" w:sz="0" w:space="0" w:color="auto"/>
      </w:divBdr>
      <w:divsChild>
        <w:div w:id="1282035763">
          <w:marLeft w:val="360"/>
          <w:marRight w:val="0"/>
          <w:marTop w:val="2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8509">
      <w:bodyDiv w:val="1"/>
      <w:marLeft w:val="0"/>
      <w:marRight w:val="0"/>
      <w:marTop w:val="0"/>
      <w:marBottom w:val="0"/>
      <w:divBdr>
        <w:top w:val="none" w:sz="0" w:space="0" w:color="auto"/>
        <w:left w:val="none" w:sz="0" w:space="0" w:color="auto"/>
        <w:bottom w:val="none" w:sz="0" w:space="0" w:color="auto"/>
        <w:right w:val="none" w:sz="0" w:space="0" w:color="auto"/>
      </w:divBdr>
    </w:div>
    <w:div w:id="1195579422">
      <w:bodyDiv w:val="1"/>
      <w:marLeft w:val="0"/>
      <w:marRight w:val="0"/>
      <w:marTop w:val="0"/>
      <w:marBottom w:val="0"/>
      <w:divBdr>
        <w:top w:val="none" w:sz="0" w:space="0" w:color="auto"/>
        <w:left w:val="none" w:sz="0" w:space="0" w:color="auto"/>
        <w:bottom w:val="none" w:sz="0" w:space="0" w:color="auto"/>
        <w:right w:val="none" w:sz="0" w:space="0" w:color="auto"/>
      </w:divBdr>
    </w:div>
    <w:div w:id="1210801346">
      <w:bodyDiv w:val="1"/>
      <w:marLeft w:val="0"/>
      <w:marRight w:val="0"/>
      <w:marTop w:val="0"/>
      <w:marBottom w:val="0"/>
      <w:divBdr>
        <w:top w:val="none" w:sz="0" w:space="0" w:color="auto"/>
        <w:left w:val="none" w:sz="0" w:space="0" w:color="auto"/>
        <w:bottom w:val="none" w:sz="0" w:space="0" w:color="auto"/>
        <w:right w:val="none" w:sz="0" w:space="0" w:color="auto"/>
      </w:divBdr>
    </w:div>
    <w:div w:id="1257783140">
      <w:bodyDiv w:val="1"/>
      <w:marLeft w:val="0"/>
      <w:marRight w:val="0"/>
      <w:marTop w:val="0"/>
      <w:marBottom w:val="0"/>
      <w:divBdr>
        <w:top w:val="none" w:sz="0" w:space="0" w:color="auto"/>
        <w:left w:val="none" w:sz="0" w:space="0" w:color="auto"/>
        <w:bottom w:val="none" w:sz="0" w:space="0" w:color="auto"/>
        <w:right w:val="none" w:sz="0" w:space="0" w:color="auto"/>
      </w:divBdr>
    </w:div>
    <w:div w:id="1318533062">
      <w:bodyDiv w:val="1"/>
      <w:marLeft w:val="0"/>
      <w:marRight w:val="0"/>
      <w:marTop w:val="0"/>
      <w:marBottom w:val="0"/>
      <w:divBdr>
        <w:top w:val="none" w:sz="0" w:space="0" w:color="auto"/>
        <w:left w:val="none" w:sz="0" w:space="0" w:color="auto"/>
        <w:bottom w:val="none" w:sz="0" w:space="0" w:color="auto"/>
        <w:right w:val="none" w:sz="0" w:space="0" w:color="auto"/>
      </w:divBdr>
    </w:div>
    <w:div w:id="1411661249">
      <w:bodyDiv w:val="1"/>
      <w:marLeft w:val="0"/>
      <w:marRight w:val="0"/>
      <w:marTop w:val="0"/>
      <w:marBottom w:val="0"/>
      <w:divBdr>
        <w:top w:val="none" w:sz="0" w:space="0" w:color="auto"/>
        <w:left w:val="none" w:sz="0" w:space="0" w:color="auto"/>
        <w:bottom w:val="none" w:sz="0" w:space="0" w:color="auto"/>
        <w:right w:val="none" w:sz="0" w:space="0" w:color="auto"/>
      </w:divBdr>
    </w:div>
    <w:div w:id="1414088627">
      <w:bodyDiv w:val="1"/>
      <w:marLeft w:val="0"/>
      <w:marRight w:val="0"/>
      <w:marTop w:val="0"/>
      <w:marBottom w:val="0"/>
      <w:divBdr>
        <w:top w:val="none" w:sz="0" w:space="0" w:color="auto"/>
        <w:left w:val="none" w:sz="0" w:space="0" w:color="auto"/>
        <w:bottom w:val="none" w:sz="0" w:space="0" w:color="auto"/>
        <w:right w:val="none" w:sz="0" w:space="0" w:color="auto"/>
      </w:divBdr>
    </w:div>
    <w:div w:id="1467308677">
      <w:bodyDiv w:val="1"/>
      <w:marLeft w:val="0"/>
      <w:marRight w:val="0"/>
      <w:marTop w:val="0"/>
      <w:marBottom w:val="0"/>
      <w:divBdr>
        <w:top w:val="none" w:sz="0" w:space="0" w:color="auto"/>
        <w:left w:val="none" w:sz="0" w:space="0" w:color="auto"/>
        <w:bottom w:val="none" w:sz="0" w:space="0" w:color="auto"/>
        <w:right w:val="none" w:sz="0" w:space="0" w:color="auto"/>
      </w:divBdr>
    </w:div>
    <w:div w:id="1560701045">
      <w:bodyDiv w:val="1"/>
      <w:marLeft w:val="0"/>
      <w:marRight w:val="0"/>
      <w:marTop w:val="0"/>
      <w:marBottom w:val="0"/>
      <w:divBdr>
        <w:top w:val="none" w:sz="0" w:space="0" w:color="auto"/>
        <w:left w:val="none" w:sz="0" w:space="0" w:color="auto"/>
        <w:bottom w:val="none" w:sz="0" w:space="0" w:color="auto"/>
        <w:right w:val="none" w:sz="0" w:space="0" w:color="auto"/>
      </w:divBdr>
    </w:div>
    <w:div w:id="1567763400">
      <w:bodyDiv w:val="1"/>
      <w:marLeft w:val="0"/>
      <w:marRight w:val="0"/>
      <w:marTop w:val="0"/>
      <w:marBottom w:val="0"/>
      <w:divBdr>
        <w:top w:val="none" w:sz="0" w:space="0" w:color="auto"/>
        <w:left w:val="none" w:sz="0" w:space="0" w:color="auto"/>
        <w:bottom w:val="none" w:sz="0" w:space="0" w:color="auto"/>
        <w:right w:val="none" w:sz="0" w:space="0" w:color="auto"/>
      </w:divBdr>
    </w:div>
    <w:div w:id="1606422261">
      <w:bodyDiv w:val="1"/>
      <w:marLeft w:val="0"/>
      <w:marRight w:val="0"/>
      <w:marTop w:val="0"/>
      <w:marBottom w:val="0"/>
      <w:divBdr>
        <w:top w:val="none" w:sz="0" w:space="0" w:color="auto"/>
        <w:left w:val="none" w:sz="0" w:space="0" w:color="auto"/>
        <w:bottom w:val="none" w:sz="0" w:space="0" w:color="auto"/>
        <w:right w:val="none" w:sz="0" w:space="0" w:color="auto"/>
      </w:divBdr>
    </w:div>
    <w:div w:id="1670251434">
      <w:bodyDiv w:val="1"/>
      <w:marLeft w:val="0"/>
      <w:marRight w:val="0"/>
      <w:marTop w:val="0"/>
      <w:marBottom w:val="0"/>
      <w:divBdr>
        <w:top w:val="none" w:sz="0" w:space="0" w:color="auto"/>
        <w:left w:val="none" w:sz="0" w:space="0" w:color="auto"/>
        <w:bottom w:val="none" w:sz="0" w:space="0" w:color="auto"/>
        <w:right w:val="none" w:sz="0" w:space="0" w:color="auto"/>
      </w:divBdr>
    </w:div>
    <w:div w:id="1737512012">
      <w:bodyDiv w:val="1"/>
      <w:marLeft w:val="0"/>
      <w:marRight w:val="0"/>
      <w:marTop w:val="0"/>
      <w:marBottom w:val="0"/>
      <w:divBdr>
        <w:top w:val="none" w:sz="0" w:space="0" w:color="auto"/>
        <w:left w:val="none" w:sz="0" w:space="0" w:color="auto"/>
        <w:bottom w:val="none" w:sz="0" w:space="0" w:color="auto"/>
        <w:right w:val="none" w:sz="0" w:space="0" w:color="auto"/>
      </w:divBdr>
    </w:div>
    <w:div w:id="1757826673">
      <w:bodyDiv w:val="1"/>
      <w:marLeft w:val="0"/>
      <w:marRight w:val="0"/>
      <w:marTop w:val="0"/>
      <w:marBottom w:val="0"/>
      <w:divBdr>
        <w:top w:val="none" w:sz="0" w:space="0" w:color="auto"/>
        <w:left w:val="none" w:sz="0" w:space="0" w:color="auto"/>
        <w:bottom w:val="none" w:sz="0" w:space="0" w:color="auto"/>
        <w:right w:val="none" w:sz="0" w:space="0" w:color="auto"/>
      </w:divBdr>
    </w:div>
    <w:div w:id="1826899591">
      <w:bodyDiv w:val="1"/>
      <w:marLeft w:val="0"/>
      <w:marRight w:val="0"/>
      <w:marTop w:val="0"/>
      <w:marBottom w:val="0"/>
      <w:divBdr>
        <w:top w:val="none" w:sz="0" w:space="0" w:color="auto"/>
        <w:left w:val="none" w:sz="0" w:space="0" w:color="auto"/>
        <w:bottom w:val="none" w:sz="0" w:space="0" w:color="auto"/>
        <w:right w:val="none" w:sz="0" w:space="0" w:color="auto"/>
      </w:divBdr>
    </w:div>
    <w:div w:id="1833905156">
      <w:bodyDiv w:val="1"/>
      <w:marLeft w:val="0"/>
      <w:marRight w:val="0"/>
      <w:marTop w:val="0"/>
      <w:marBottom w:val="0"/>
      <w:divBdr>
        <w:top w:val="none" w:sz="0" w:space="0" w:color="auto"/>
        <w:left w:val="none" w:sz="0" w:space="0" w:color="auto"/>
        <w:bottom w:val="none" w:sz="0" w:space="0" w:color="auto"/>
        <w:right w:val="none" w:sz="0" w:space="0" w:color="auto"/>
      </w:divBdr>
    </w:div>
    <w:div w:id="1881701600">
      <w:bodyDiv w:val="1"/>
      <w:marLeft w:val="0"/>
      <w:marRight w:val="0"/>
      <w:marTop w:val="0"/>
      <w:marBottom w:val="0"/>
      <w:divBdr>
        <w:top w:val="none" w:sz="0" w:space="0" w:color="auto"/>
        <w:left w:val="none" w:sz="0" w:space="0" w:color="auto"/>
        <w:bottom w:val="none" w:sz="0" w:space="0" w:color="auto"/>
        <w:right w:val="none" w:sz="0" w:space="0" w:color="auto"/>
      </w:divBdr>
    </w:div>
    <w:div w:id="192264165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7521017">
      <w:bodyDiv w:val="1"/>
      <w:marLeft w:val="0"/>
      <w:marRight w:val="0"/>
      <w:marTop w:val="0"/>
      <w:marBottom w:val="0"/>
      <w:divBdr>
        <w:top w:val="none" w:sz="0" w:space="0" w:color="auto"/>
        <w:left w:val="none" w:sz="0" w:space="0" w:color="auto"/>
        <w:bottom w:val="none" w:sz="0" w:space="0" w:color="auto"/>
        <w:right w:val="none" w:sz="0" w:space="0" w:color="auto"/>
      </w:divBdr>
    </w:div>
    <w:div w:id="1977948348">
      <w:bodyDiv w:val="1"/>
      <w:marLeft w:val="0"/>
      <w:marRight w:val="0"/>
      <w:marTop w:val="0"/>
      <w:marBottom w:val="0"/>
      <w:divBdr>
        <w:top w:val="none" w:sz="0" w:space="0" w:color="auto"/>
        <w:left w:val="none" w:sz="0" w:space="0" w:color="auto"/>
        <w:bottom w:val="none" w:sz="0" w:space="0" w:color="auto"/>
        <w:right w:val="none" w:sz="0" w:space="0" w:color="auto"/>
      </w:divBdr>
    </w:div>
    <w:div w:id="1986734389">
      <w:bodyDiv w:val="1"/>
      <w:marLeft w:val="0"/>
      <w:marRight w:val="0"/>
      <w:marTop w:val="0"/>
      <w:marBottom w:val="0"/>
      <w:divBdr>
        <w:top w:val="none" w:sz="0" w:space="0" w:color="auto"/>
        <w:left w:val="none" w:sz="0" w:space="0" w:color="auto"/>
        <w:bottom w:val="none" w:sz="0" w:space="0" w:color="auto"/>
        <w:right w:val="none" w:sz="0" w:space="0" w:color="auto"/>
      </w:divBdr>
    </w:div>
    <w:div w:id="2035382147">
      <w:bodyDiv w:val="1"/>
      <w:marLeft w:val="0"/>
      <w:marRight w:val="0"/>
      <w:marTop w:val="0"/>
      <w:marBottom w:val="0"/>
      <w:divBdr>
        <w:top w:val="none" w:sz="0" w:space="0" w:color="auto"/>
        <w:left w:val="none" w:sz="0" w:space="0" w:color="auto"/>
        <w:bottom w:val="none" w:sz="0" w:space="0" w:color="auto"/>
        <w:right w:val="none" w:sz="0" w:space="0" w:color="auto"/>
      </w:divBdr>
    </w:div>
    <w:div w:id="2061054527">
      <w:bodyDiv w:val="1"/>
      <w:marLeft w:val="0"/>
      <w:marRight w:val="0"/>
      <w:marTop w:val="0"/>
      <w:marBottom w:val="0"/>
      <w:divBdr>
        <w:top w:val="none" w:sz="0" w:space="0" w:color="auto"/>
        <w:left w:val="none" w:sz="0" w:space="0" w:color="auto"/>
        <w:bottom w:val="none" w:sz="0" w:space="0" w:color="auto"/>
        <w:right w:val="none" w:sz="0" w:space="0" w:color="auto"/>
      </w:divBdr>
    </w:div>
    <w:div w:id="2063405739">
      <w:bodyDiv w:val="1"/>
      <w:marLeft w:val="0"/>
      <w:marRight w:val="0"/>
      <w:marTop w:val="0"/>
      <w:marBottom w:val="0"/>
      <w:divBdr>
        <w:top w:val="none" w:sz="0" w:space="0" w:color="auto"/>
        <w:left w:val="none" w:sz="0" w:space="0" w:color="auto"/>
        <w:bottom w:val="none" w:sz="0" w:space="0" w:color="auto"/>
        <w:right w:val="none" w:sz="0" w:space="0" w:color="auto"/>
      </w:divBdr>
    </w:div>
    <w:div w:id="2074422815">
      <w:bodyDiv w:val="1"/>
      <w:marLeft w:val="0"/>
      <w:marRight w:val="0"/>
      <w:marTop w:val="0"/>
      <w:marBottom w:val="0"/>
      <w:divBdr>
        <w:top w:val="none" w:sz="0" w:space="0" w:color="auto"/>
        <w:left w:val="none" w:sz="0" w:space="0" w:color="auto"/>
        <w:bottom w:val="none" w:sz="0" w:space="0" w:color="auto"/>
        <w:right w:val="none" w:sz="0" w:space="0" w:color="auto"/>
      </w:divBdr>
    </w:div>
    <w:div w:id="2086489219">
      <w:bodyDiv w:val="1"/>
      <w:marLeft w:val="0"/>
      <w:marRight w:val="0"/>
      <w:marTop w:val="0"/>
      <w:marBottom w:val="0"/>
      <w:divBdr>
        <w:top w:val="none" w:sz="0" w:space="0" w:color="auto"/>
        <w:left w:val="none" w:sz="0" w:space="0" w:color="auto"/>
        <w:bottom w:val="none" w:sz="0" w:space="0" w:color="auto"/>
        <w:right w:val="none" w:sz="0" w:space="0" w:color="auto"/>
      </w:divBdr>
    </w:div>
    <w:div w:id="2100590854">
      <w:bodyDiv w:val="1"/>
      <w:marLeft w:val="0"/>
      <w:marRight w:val="0"/>
      <w:marTop w:val="0"/>
      <w:marBottom w:val="0"/>
      <w:divBdr>
        <w:top w:val="none" w:sz="0" w:space="0" w:color="auto"/>
        <w:left w:val="none" w:sz="0" w:space="0" w:color="auto"/>
        <w:bottom w:val="none" w:sz="0" w:space="0" w:color="auto"/>
        <w:right w:val="none" w:sz="0" w:space="0" w:color="auto"/>
      </w:divBdr>
    </w:div>
    <w:div w:id="213840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54AF-C132-43D0-B6ED-8D891003E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9081</Words>
  <Characters>50243</Characters>
  <Application>Microsoft Office Word</Application>
  <DocSecurity>0</DocSecurity>
  <Lines>418</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2020-06-12T04:35:00Z</dcterms:created>
  <dcterms:modified xsi:type="dcterms:W3CDTF">2020-06-19T05:34:00Z</dcterms:modified>
</cp:coreProperties>
</file>